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739E47" w14:textId="77777777" w:rsidR="00F1148B" w:rsidRPr="00BF0E64" w:rsidRDefault="00F1148B" w:rsidP="00F1148B">
      <w:pPr>
        <w:jc w:val="right"/>
        <w:rPr>
          <w:rFonts w:ascii="Arial" w:eastAsia="Calibri" w:hAnsi="Arial" w:cs="Arial"/>
          <w:b/>
          <w:color w:val="000000" w:themeColor="text1"/>
          <w:sz w:val="20"/>
          <w:szCs w:val="20"/>
          <w:lang w:val="es-ES_tradnl"/>
        </w:rPr>
      </w:pPr>
      <w:bookmarkStart w:id="0" w:name="_Hlk28946138"/>
      <w:bookmarkStart w:id="1" w:name="_Hlk29548183"/>
      <w:r w:rsidRPr="00BF0E64">
        <w:rPr>
          <w:rFonts w:ascii="Arial" w:hAnsi="Arial" w:cs="Arial"/>
          <w:bCs/>
          <w:color w:val="000000" w:themeColor="text1"/>
          <w:sz w:val="16"/>
          <w:szCs w:val="16"/>
          <w:lang w:val="es-ES_tradnl" w:eastAsia="es-ES"/>
        </w:rPr>
        <w:t>CCE-DES-FM-17</w:t>
      </w:r>
      <w:bookmarkEnd w:id="0"/>
      <w:bookmarkEnd w:id="1"/>
    </w:p>
    <w:p w14:paraId="368BF29E" w14:textId="77777777" w:rsidR="00F1148B" w:rsidRPr="00BF0E64" w:rsidRDefault="00F1148B" w:rsidP="00F1148B">
      <w:pPr>
        <w:spacing w:line="276" w:lineRule="auto"/>
        <w:jc w:val="both"/>
        <w:rPr>
          <w:rFonts w:ascii="Arial" w:hAnsi="Arial" w:cs="Arial"/>
          <w:noProof/>
          <w:color w:val="000000" w:themeColor="text1"/>
          <w:sz w:val="22"/>
          <w:lang w:val="es-ES_tradnl"/>
        </w:rPr>
      </w:pPr>
    </w:p>
    <w:p w14:paraId="63A3E1B0" w14:textId="7FB3F3FD" w:rsidR="009D508B" w:rsidRPr="00374C94" w:rsidRDefault="009D508B" w:rsidP="009D508B">
      <w:pPr>
        <w:jc w:val="both"/>
        <w:rPr>
          <w:rFonts w:ascii="Arial" w:hAnsi="Arial" w:cs="Arial"/>
          <w:b/>
          <w:bCs/>
          <w:sz w:val="22"/>
          <w:szCs w:val="22"/>
        </w:rPr>
      </w:pPr>
      <w:r w:rsidRPr="00374C94">
        <w:rPr>
          <w:rFonts w:ascii="Arial" w:hAnsi="Arial" w:cs="Arial"/>
          <w:b/>
          <w:bCs/>
          <w:sz w:val="22"/>
          <w:szCs w:val="22"/>
        </w:rPr>
        <w:t xml:space="preserve">EXPERIENCIA </w:t>
      </w:r>
      <w:bookmarkStart w:id="2" w:name="_Hlk39676694"/>
      <w:r w:rsidRPr="00374C94">
        <w:rPr>
          <w:rFonts w:ascii="Arial" w:eastAsia="Calibri" w:hAnsi="Arial" w:cs="Arial"/>
          <w:b/>
          <w:sz w:val="22"/>
          <w:szCs w:val="22"/>
        </w:rPr>
        <w:t>–</w:t>
      </w:r>
      <w:bookmarkEnd w:id="2"/>
      <w:r w:rsidRPr="00374C94">
        <w:rPr>
          <w:rFonts w:ascii="Arial" w:eastAsia="Calibri" w:hAnsi="Arial" w:cs="Arial"/>
          <w:b/>
          <w:sz w:val="22"/>
          <w:szCs w:val="22"/>
        </w:rPr>
        <w:t xml:space="preserve"> Concepto – </w:t>
      </w:r>
      <w:r w:rsidRPr="00374C94">
        <w:rPr>
          <w:rFonts w:ascii="Arial" w:hAnsi="Arial" w:cs="Arial"/>
          <w:b/>
          <w:bCs/>
          <w:sz w:val="22"/>
          <w:szCs w:val="22"/>
        </w:rPr>
        <w:t xml:space="preserve">Colombia </w:t>
      </w:r>
      <w:r w:rsidR="00374C94" w:rsidRPr="00374C94">
        <w:rPr>
          <w:rFonts w:ascii="Arial" w:hAnsi="Arial" w:cs="Arial"/>
          <w:b/>
          <w:bCs/>
          <w:sz w:val="22"/>
          <w:szCs w:val="22"/>
        </w:rPr>
        <w:t>c</w:t>
      </w:r>
      <w:r w:rsidRPr="00374C94">
        <w:rPr>
          <w:rFonts w:ascii="Arial" w:hAnsi="Arial" w:cs="Arial"/>
          <w:b/>
          <w:bCs/>
          <w:sz w:val="22"/>
          <w:szCs w:val="22"/>
        </w:rPr>
        <w:t xml:space="preserve">ompra </w:t>
      </w:r>
      <w:r w:rsidR="00374C94" w:rsidRPr="00374C94">
        <w:rPr>
          <w:rFonts w:ascii="Arial" w:hAnsi="Arial" w:cs="Arial"/>
          <w:b/>
          <w:bCs/>
          <w:sz w:val="22"/>
          <w:szCs w:val="22"/>
        </w:rPr>
        <w:t>e</w:t>
      </w:r>
      <w:r w:rsidRPr="00374C94">
        <w:rPr>
          <w:rFonts w:ascii="Arial" w:hAnsi="Arial" w:cs="Arial"/>
          <w:b/>
          <w:bCs/>
          <w:sz w:val="22"/>
          <w:szCs w:val="22"/>
        </w:rPr>
        <w:t>ficiente</w:t>
      </w:r>
    </w:p>
    <w:p w14:paraId="2116011E" w14:textId="77777777" w:rsidR="009D508B" w:rsidRPr="00B36019" w:rsidRDefault="009D508B" w:rsidP="009D508B">
      <w:pPr>
        <w:jc w:val="both"/>
        <w:rPr>
          <w:rFonts w:ascii="Arial" w:hAnsi="Arial" w:cs="Arial"/>
          <w:b/>
          <w:bCs/>
          <w:sz w:val="20"/>
          <w:szCs w:val="20"/>
          <w:highlight w:val="yellow"/>
        </w:rPr>
      </w:pPr>
    </w:p>
    <w:p w14:paraId="6435B01E" w14:textId="35A43888" w:rsidR="009D508B" w:rsidRPr="00B36019" w:rsidRDefault="009D508B" w:rsidP="4280CD52">
      <w:pPr>
        <w:jc w:val="both"/>
        <w:rPr>
          <w:rFonts w:ascii="Arial" w:hAnsi="Arial" w:cs="Arial"/>
          <w:sz w:val="20"/>
          <w:szCs w:val="20"/>
        </w:rPr>
      </w:pPr>
      <w:r w:rsidRPr="4280CD52">
        <w:rPr>
          <w:rFonts w:ascii="Arial" w:hAnsi="Arial" w:cs="Arial"/>
          <w:sz w:val="20"/>
          <w:szCs w:val="20"/>
        </w:rPr>
        <w:t xml:space="preserve">[…] se pueden extraer cuatro conclusiones relevantes para evaluar las figuras y reformas estatutarias de las sociedades comerciales, respecto de la experiencia: </w:t>
      </w:r>
    </w:p>
    <w:p w14:paraId="7AB24F07" w14:textId="77777777" w:rsidR="009D508B" w:rsidRPr="00B36019" w:rsidRDefault="009D508B" w:rsidP="4280CD52">
      <w:pPr>
        <w:jc w:val="both"/>
        <w:rPr>
          <w:rFonts w:ascii="Arial" w:hAnsi="Arial" w:cs="Arial"/>
          <w:sz w:val="20"/>
          <w:szCs w:val="20"/>
        </w:rPr>
      </w:pPr>
      <w:r w:rsidRPr="4280CD52">
        <w:rPr>
          <w:rFonts w:ascii="Arial" w:hAnsi="Arial" w:cs="Arial"/>
          <w:sz w:val="20"/>
          <w:szCs w:val="20"/>
        </w:rPr>
        <w:t>i) La experiencia es personal, esto es, se adquiere participando, directa o indirectamente, sin que sea posible no hacerlo y tener experiencia.</w:t>
      </w:r>
    </w:p>
    <w:p w14:paraId="258EC178" w14:textId="77777777" w:rsidR="009D508B" w:rsidRPr="00B36019" w:rsidRDefault="009D508B" w:rsidP="4280CD52">
      <w:pPr>
        <w:jc w:val="both"/>
        <w:rPr>
          <w:rFonts w:ascii="Arial" w:hAnsi="Arial" w:cs="Arial"/>
          <w:sz w:val="20"/>
          <w:szCs w:val="20"/>
        </w:rPr>
      </w:pPr>
      <w:r w:rsidRPr="4280CD52">
        <w:rPr>
          <w:rFonts w:ascii="Arial" w:hAnsi="Arial" w:cs="Arial"/>
          <w:sz w:val="20"/>
          <w:szCs w:val="20"/>
        </w:rPr>
        <w:t>ii) La experiencia se puede compartir,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p>
    <w:p w14:paraId="70A0F13B" w14:textId="77777777" w:rsidR="009D508B" w:rsidRPr="00B36019" w:rsidRDefault="009D508B" w:rsidP="4280CD52">
      <w:pPr>
        <w:jc w:val="both"/>
        <w:rPr>
          <w:rFonts w:ascii="Arial" w:hAnsi="Arial" w:cs="Arial"/>
          <w:sz w:val="20"/>
          <w:szCs w:val="20"/>
        </w:rPr>
      </w:pPr>
      <w:r w:rsidRPr="4280CD52">
        <w:rPr>
          <w:rFonts w:ascii="Arial" w:hAnsi="Arial" w:cs="Arial"/>
          <w:sz w:val="20"/>
          <w:szCs w:val="20"/>
        </w:rPr>
        <w:t>iii) La experiencia se puede transferir, y esto es diferente a compartir, lo que implica que la experiencia de una persona se traslada a otra, y esta última acredita la experiencia como propia, como sucede con algunas figuras y reformas estatutarias, que se explicarán con más detalle en el numeral 2.2 de este concepto.</w:t>
      </w:r>
    </w:p>
    <w:p w14:paraId="69536010" w14:textId="77777777" w:rsidR="009D508B" w:rsidRPr="00B36019" w:rsidRDefault="009D508B" w:rsidP="4280CD52">
      <w:pPr>
        <w:jc w:val="both"/>
        <w:rPr>
          <w:rFonts w:ascii="Arial" w:hAnsi="Arial" w:cs="Arial"/>
          <w:sz w:val="20"/>
          <w:szCs w:val="20"/>
        </w:rPr>
      </w:pPr>
      <w:r w:rsidRPr="4280CD52">
        <w:rPr>
          <w:rFonts w:ascii="Arial" w:hAnsi="Arial" w:cs="Arial"/>
          <w:sz w:val="20"/>
          <w:szCs w:val="20"/>
        </w:rPr>
        <w:t>iv) Cuando la persona que adquirió la experiencia desaparece o se liquida no es posible que comparta o transfiera su experiencia, porque al ser personal sigue la suerte de quien la adquirió.</w:t>
      </w:r>
    </w:p>
    <w:p w14:paraId="3E993AED" w14:textId="77777777" w:rsidR="009D508B" w:rsidRPr="00B36019" w:rsidRDefault="009D508B" w:rsidP="009D508B">
      <w:pPr>
        <w:jc w:val="both"/>
        <w:rPr>
          <w:rFonts w:ascii="Arial" w:hAnsi="Arial" w:cs="Arial"/>
          <w:b/>
          <w:bCs/>
          <w:sz w:val="20"/>
          <w:szCs w:val="20"/>
          <w:highlight w:val="yellow"/>
        </w:rPr>
      </w:pPr>
    </w:p>
    <w:p w14:paraId="17766C45" w14:textId="77777777" w:rsidR="009D508B" w:rsidRPr="00374C94" w:rsidRDefault="009D508B" w:rsidP="009D508B">
      <w:pPr>
        <w:jc w:val="both"/>
        <w:rPr>
          <w:rFonts w:ascii="Arial" w:hAnsi="Arial" w:cs="Arial"/>
          <w:b/>
          <w:bCs/>
          <w:sz w:val="22"/>
          <w:szCs w:val="22"/>
        </w:rPr>
      </w:pPr>
      <w:r w:rsidRPr="00374C94">
        <w:rPr>
          <w:rFonts w:ascii="Arial" w:hAnsi="Arial" w:cs="Arial"/>
          <w:b/>
          <w:bCs/>
          <w:sz w:val="22"/>
          <w:szCs w:val="22"/>
        </w:rPr>
        <w:t xml:space="preserve">EXPERIENCIA </w:t>
      </w:r>
      <w:r w:rsidRPr="00374C94">
        <w:rPr>
          <w:rFonts w:ascii="Arial" w:eastAsia="Calibri" w:hAnsi="Arial" w:cs="Arial"/>
          <w:b/>
          <w:sz w:val="22"/>
          <w:szCs w:val="22"/>
        </w:rPr>
        <w:t>– Transformación</w:t>
      </w:r>
    </w:p>
    <w:p w14:paraId="35244233" w14:textId="77777777" w:rsidR="009D508B" w:rsidRPr="00B36019" w:rsidRDefault="009D508B" w:rsidP="009D508B">
      <w:pPr>
        <w:widowControl w:val="0"/>
        <w:autoSpaceDE w:val="0"/>
        <w:autoSpaceDN w:val="0"/>
        <w:jc w:val="both"/>
        <w:rPr>
          <w:rFonts w:ascii="Arial" w:hAnsi="Arial" w:cs="Arial"/>
          <w:b/>
          <w:sz w:val="20"/>
          <w:szCs w:val="20"/>
          <w:highlight w:val="yellow"/>
          <w:lang w:val="es-MX"/>
        </w:rPr>
      </w:pPr>
    </w:p>
    <w:p w14:paraId="4B0C5BAB" w14:textId="77777777" w:rsidR="009D508B" w:rsidRPr="00B36019" w:rsidRDefault="009D508B" w:rsidP="009D508B">
      <w:pPr>
        <w:autoSpaceDE w:val="0"/>
        <w:autoSpaceDN w:val="0"/>
        <w:adjustRightInd w:val="0"/>
        <w:jc w:val="both"/>
        <w:rPr>
          <w:rFonts w:ascii="Arial" w:hAnsi="Arial" w:cs="Arial"/>
          <w:sz w:val="20"/>
          <w:szCs w:val="20"/>
        </w:rPr>
      </w:pPr>
      <w:r w:rsidRPr="00B36019">
        <w:rPr>
          <w:rFonts w:ascii="Arial" w:hAnsi="Arial" w:cs="Arial"/>
          <w:sz w:val="20"/>
          <w:szCs w:val="20"/>
        </w:rPr>
        <w:t xml:space="preserve">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«disuelve», y por ende tampoco se «liquida», porque, de acuerdo con el artículo 222 del Código de Comercio, para «liquidarse» necesita estar «disuelta». Solo cambia el tipo societario que había adoptado en su constitución, es decir, no sufre modificaciones o alteraciones, y por eso puede continuar adquiriendo experiencia y compartirla, pero no puede trasladarla, porque para ello tendría que «disolverse» o conformar un consorcio, como se verá en la fusión y en una de las modalidades de escisión.  </w:t>
      </w:r>
    </w:p>
    <w:p w14:paraId="3425915A" w14:textId="77777777" w:rsidR="009D508B" w:rsidRPr="00B36019" w:rsidRDefault="009D508B" w:rsidP="009D508B">
      <w:pPr>
        <w:autoSpaceDE w:val="0"/>
        <w:autoSpaceDN w:val="0"/>
        <w:adjustRightInd w:val="0"/>
        <w:rPr>
          <w:rFonts w:ascii="Arial" w:hAnsi="Arial" w:cs="Arial"/>
          <w:sz w:val="20"/>
          <w:szCs w:val="20"/>
        </w:rPr>
      </w:pPr>
    </w:p>
    <w:p w14:paraId="2046088F" w14:textId="77777777" w:rsidR="009D508B" w:rsidRPr="00374C94" w:rsidRDefault="009D508B" w:rsidP="009D508B">
      <w:pPr>
        <w:jc w:val="both"/>
        <w:rPr>
          <w:rFonts w:ascii="Arial" w:hAnsi="Arial" w:cs="Arial"/>
          <w:b/>
          <w:bCs/>
          <w:sz w:val="22"/>
          <w:szCs w:val="22"/>
        </w:rPr>
      </w:pPr>
      <w:r w:rsidRPr="00374C94">
        <w:rPr>
          <w:rFonts w:ascii="Arial" w:hAnsi="Arial" w:cs="Arial"/>
          <w:b/>
          <w:bCs/>
          <w:sz w:val="22"/>
          <w:szCs w:val="22"/>
        </w:rPr>
        <w:t xml:space="preserve">EXPERIENCIA </w:t>
      </w:r>
      <w:r w:rsidRPr="00374C94">
        <w:rPr>
          <w:rFonts w:ascii="Arial" w:eastAsia="Calibri" w:hAnsi="Arial" w:cs="Arial"/>
          <w:b/>
          <w:sz w:val="22"/>
          <w:szCs w:val="22"/>
        </w:rPr>
        <w:t>– Escisión</w:t>
      </w:r>
    </w:p>
    <w:p w14:paraId="39C307C7" w14:textId="77777777" w:rsidR="009D508B" w:rsidRPr="00B36019" w:rsidRDefault="009D508B" w:rsidP="009D508B">
      <w:pPr>
        <w:widowControl w:val="0"/>
        <w:autoSpaceDE w:val="0"/>
        <w:autoSpaceDN w:val="0"/>
        <w:jc w:val="both"/>
        <w:rPr>
          <w:rFonts w:ascii="Arial" w:hAnsi="Arial" w:cs="Arial"/>
          <w:b/>
          <w:sz w:val="20"/>
          <w:szCs w:val="20"/>
          <w:highlight w:val="yellow"/>
          <w:lang w:val="es-MX"/>
        </w:rPr>
      </w:pPr>
    </w:p>
    <w:p w14:paraId="5D3252DC" w14:textId="54C76CC6" w:rsidR="009D508B" w:rsidRPr="00B36019" w:rsidRDefault="009D508B" w:rsidP="009D508B">
      <w:pPr>
        <w:jc w:val="both"/>
        <w:rPr>
          <w:rFonts w:ascii="Arial" w:hAnsi="Arial" w:cs="Arial"/>
          <w:sz w:val="20"/>
          <w:szCs w:val="20"/>
        </w:rPr>
      </w:pPr>
      <w:r w:rsidRPr="4280CD52">
        <w:rPr>
          <w:rFonts w:ascii="Arial" w:hAnsi="Arial" w:cs="Arial"/>
          <w:sz w:val="20"/>
          <w:szCs w:val="20"/>
        </w:rPr>
        <w:t xml:space="preserve">Para la primera modalidad de escisión, teniendo en cuenta que la sociedad continúa sin alteraciones, puede compartir la experiencia a través de esquemas asociativos, pero no la transfiere porque para ello tendría que «disolverse» pero no «liquidarse», puesto que la «liquidación» implicaría que desaparece la persona y así su experiencia. Para explicarlo hay que volver a la definición de «disolución», donde la persona jurídica no desaparece y solo puede hacer trámites para «liquidarse». Sin embargo, hay una excepción a esa regla y es, precisamente, la de las figuras y reformas estatutarias que aquí se explican, particularmente la fusión, ya que por esa excepción la persona tiene continuidad en otra persona, y sigue siendo quien era, lo cual no es el caso de la escisión, ya que en la primera modalidad no existe «disolución», lo que significa que la persona continúa por sí misma y puede adquirir experiencia, pero no puede transferirla, porque le pertenece, al ser quien la adquirió. </w:t>
      </w:r>
    </w:p>
    <w:p w14:paraId="6EA1AE44" w14:textId="77777777" w:rsidR="009D508B" w:rsidRPr="00B36019" w:rsidRDefault="009D508B" w:rsidP="009D508B">
      <w:pPr>
        <w:jc w:val="both"/>
        <w:rPr>
          <w:rFonts w:ascii="Arial" w:hAnsi="Arial" w:cs="Arial"/>
          <w:sz w:val="20"/>
          <w:szCs w:val="20"/>
        </w:rPr>
      </w:pPr>
      <w:r w:rsidRPr="00B36019">
        <w:rPr>
          <w:rFonts w:ascii="Arial" w:hAnsi="Arial" w:cs="Arial"/>
          <w:sz w:val="20"/>
          <w:szCs w:val="20"/>
        </w:rPr>
        <w:t xml:space="preserve">Por otro lado, a pesar de que en la segunda modalidad existe «disolución», no hay transferencia de la experiencia, porque la persona jurídica fraccionada deja de ser quien es y desaparece, quedando dividida en varias sociedades nuevas o existentes que reciben su patrimonio, sin que sea posible determinar cuál de todas las sociedades que recibieron parte del patrimonio de la sociedad escindida tiene la experiencia. Tampoco es posible que todas las sociedades que recibieron el patrimonio acrediten la misma experiencia multiplicándola tantas veces sea necesario, porque la experiencia es de quien la adquirió y como esa persona jurídica no puede continuar en otra persona porque desapareció quedando fraccionada en 2 o más partes, esto no corresponde con la definición de </w:t>
      </w:r>
      <w:r w:rsidRPr="00B36019">
        <w:rPr>
          <w:rFonts w:ascii="Arial" w:hAnsi="Arial" w:cs="Arial"/>
          <w:sz w:val="20"/>
          <w:szCs w:val="20"/>
        </w:rPr>
        <w:lastRenderedPageBreak/>
        <w:t>experiencia personal ni de transferencia de experiencia, donde la persona jurídica sigue siendo quien es a través de otra, sin cambios como fraccionamientos que implican que la persona ya no sea quien era y desaparezca.</w:t>
      </w:r>
    </w:p>
    <w:p w14:paraId="4BA75991" w14:textId="77777777" w:rsidR="009D508B" w:rsidRPr="00B36019" w:rsidRDefault="009D508B" w:rsidP="009D508B">
      <w:pPr>
        <w:jc w:val="both"/>
        <w:rPr>
          <w:rFonts w:ascii="Arial" w:hAnsi="Arial" w:cs="Arial"/>
          <w:sz w:val="20"/>
          <w:szCs w:val="20"/>
        </w:rPr>
      </w:pPr>
    </w:p>
    <w:p w14:paraId="6E23FB0C" w14:textId="5F881267" w:rsidR="009D508B" w:rsidRPr="00374C94" w:rsidRDefault="009D508B" w:rsidP="00374C94">
      <w:pPr>
        <w:widowControl w:val="0"/>
        <w:autoSpaceDE w:val="0"/>
        <w:autoSpaceDN w:val="0"/>
        <w:ind w:right="102"/>
        <w:jc w:val="both"/>
        <w:rPr>
          <w:rFonts w:ascii="Arial" w:eastAsia="Arial" w:hAnsi="Arial" w:cs="Arial"/>
          <w:b/>
          <w:sz w:val="22"/>
          <w:szCs w:val="22"/>
          <w:lang w:val="es-ES"/>
        </w:rPr>
      </w:pPr>
      <w:r w:rsidRPr="00374C94">
        <w:rPr>
          <w:rFonts w:ascii="Arial" w:eastAsia="Arial" w:hAnsi="Arial" w:cs="Arial"/>
          <w:b/>
          <w:sz w:val="22"/>
          <w:szCs w:val="22"/>
          <w:lang w:val="es-ES"/>
        </w:rPr>
        <w:t xml:space="preserve">EXPERIENCIA – Fusión </w:t>
      </w:r>
      <w:r w:rsidR="004D7697">
        <w:rPr>
          <w:rFonts w:ascii="Arial" w:eastAsia="Arial" w:hAnsi="Arial" w:cs="Arial"/>
          <w:b/>
          <w:sz w:val="22"/>
          <w:szCs w:val="22"/>
          <w:lang w:val="es-ES"/>
        </w:rPr>
        <w:t xml:space="preserve">– </w:t>
      </w:r>
      <w:bookmarkStart w:id="3" w:name="_GoBack"/>
      <w:bookmarkEnd w:id="3"/>
      <w:r w:rsidRPr="00374C94">
        <w:rPr>
          <w:rFonts w:ascii="Arial" w:eastAsia="Arial" w:hAnsi="Arial" w:cs="Arial"/>
          <w:b/>
          <w:sz w:val="22"/>
          <w:szCs w:val="22"/>
          <w:lang w:val="es-ES"/>
        </w:rPr>
        <w:t xml:space="preserve">Fusión por absorción </w:t>
      </w:r>
    </w:p>
    <w:p w14:paraId="7562E05C" w14:textId="77777777" w:rsidR="009D508B" w:rsidRPr="00B36019" w:rsidRDefault="009D508B" w:rsidP="00374C94">
      <w:pPr>
        <w:widowControl w:val="0"/>
        <w:autoSpaceDE w:val="0"/>
        <w:autoSpaceDN w:val="0"/>
        <w:ind w:left="301" w:right="102"/>
        <w:jc w:val="both"/>
        <w:rPr>
          <w:rFonts w:ascii="Arial" w:eastAsia="Arial" w:hAnsi="Arial" w:cs="Arial"/>
          <w:b/>
          <w:sz w:val="20"/>
          <w:szCs w:val="20"/>
          <w:lang w:val="es-ES"/>
        </w:rPr>
      </w:pPr>
    </w:p>
    <w:p w14:paraId="36DD3AB4" w14:textId="79B4B68A" w:rsidR="009D508B" w:rsidRPr="00B36019" w:rsidRDefault="009D508B" w:rsidP="4280CD52">
      <w:pPr>
        <w:widowControl w:val="0"/>
        <w:autoSpaceDE w:val="0"/>
        <w:autoSpaceDN w:val="0"/>
        <w:jc w:val="both"/>
        <w:rPr>
          <w:rFonts w:ascii="Arial" w:eastAsia="Calibri" w:hAnsi="Arial" w:cs="Arial"/>
          <w:sz w:val="20"/>
          <w:szCs w:val="20"/>
          <w:lang w:val="es-ES"/>
        </w:rPr>
      </w:pPr>
      <w:r w:rsidRPr="4280CD52">
        <w:rPr>
          <w:rFonts w:ascii="Arial" w:eastAsia="Calibri" w:hAnsi="Arial" w:cs="Arial"/>
          <w:sz w:val="20"/>
          <w:szCs w:val="20"/>
        </w:rPr>
        <w:t>Para analizar la fusión y sus efectos respecto de la experiencia de la sociedad que se «disuelve» pero no se «liquida», es necesario reiterar la explicación dada respecto de la segunda modalidad de escisión, y es que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través de otra, a quien le transfiere su experiencia y todos sus derechos y obligaciones, de conformidad con el artículo 172 y siguientes del Código de Comercio.</w:t>
      </w:r>
    </w:p>
    <w:p w14:paraId="0B928614" w14:textId="67B5D208" w:rsidR="009D508B" w:rsidRPr="00B36019" w:rsidRDefault="009D508B" w:rsidP="00374C94">
      <w:pPr>
        <w:widowControl w:val="0"/>
        <w:autoSpaceDE w:val="0"/>
        <w:autoSpaceDN w:val="0"/>
        <w:ind w:right="102"/>
        <w:jc w:val="both"/>
        <w:rPr>
          <w:rFonts w:ascii="Arial" w:eastAsia="Arial" w:hAnsi="Arial" w:cs="Arial"/>
          <w:sz w:val="20"/>
          <w:szCs w:val="20"/>
          <w:lang w:val="es-ES"/>
        </w:rPr>
      </w:pPr>
      <w:r w:rsidRPr="4280CD52">
        <w:rPr>
          <w:rFonts w:ascii="Arial" w:eastAsia="Arial" w:hAnsi="Arial" w:cs="Arial"/>
          <w:sz w:val="20"/>
          <w:szCs w:val="20"/>
          <w:lang w:val="es-ES"/>
        </w:rPr>
        <w:t>[…]</w:t>
      </w:r>
    </w:p>
    <w:p w14:paraId="0F2E7460" w14:textId="77777777" w:rsidR="009D508B" w:rsidRPr="00B36019" w:rsidRDefault="009D508B" w:rsidP="00374C94">
      <w:pPr>
        <w:widowControl w:val="0"/>
        <w:autoSpaceDE w:val="0"/>
        <w:autoSpaceDN w:val="0"/>
        <w:ind w:right="102"/>
        <w:jc w:val="both"/>
        <w:rPr>
          <w:rFonts w:ascii="Arial" w:eastAsia="Arial" w:hAnsi="Arial" w:cs="Arial"/>
          <w:sz w:val="20"/>
          <w:szCs w:val="20"/>
          <w:lang w:val="es-ES"/>
        </w:rPr>
      </w:pPr>
      <w:r w:rsidRPr="00B36019">
        <w:rPr>
          <w:rFonts w:ascii="Arial" w:eastAsia="Arial" w:hAnsi="Arial" w:cs="Arial"/>
          <w:sz w:val="20"/>
          <w:szCs w:val="20"/>
          <w:lang w:val="es-ES"/>
        </w:rPr>
        <w:t>En consecuencia, en la fusión es posible que la sociedad absorbente tenga la experiencia de la sociedad absorbida, porque esta última continuó a través de la primera, y ello implica que transfirió su experiencia debido a que no se liquidó, es decir no desapareció, lo que haría imposible la transferencia de experiencia.</w:t>
      </w:r>
    </w:p>
    <w:p w14:paraId="043348D1" w14:textId="77777777" w:rsidR="009D508B" w:rsidRPr="00B36019" w:rsidRDefault="009D508B" w:rsidP="00374C94">
      <w:pPr>
        <w:jc w:val="both"/>
        <w:rPr>
          <w:rFonts w:ascii="Arial" w:hAnsi="Arial" w:cs="Arial"/>
          <w:noProof/>
          <w:color w:val="000000" w:themeColor="text1"/>
          <w:lang w:val="es-ES_tradnl"/>
        </w:rPr>
      </w:pPr>
    </w:p>
    <w:p w14:paraId="3E7D2768" w14:textId="77777777" w:rsidR="009D508B" w:rsidRPr="00B36019" w:rsidRDefault="009D508B" w:rsidP="00374C94">
      <w:pPr>
        <w:jc w:val="both"/>
        <w:rPr>
          <w:rFonts w:ascii="Arial" w:hAnsi="Arial" w:cs="Arial"/>
          <w:noProof/>
          <w:color w:val="000000" w:themeColor="text1"/>
          <w:lang w:val="es-ES_tradnl"/>
        </w:rPr>
      </w:pPr>
    </w:p>
    <w:p w14:paraId="625DA46F" w14:textId="77777777" w:rsidR="009D508B" w:rsidRPr="00B36019" w:rsidRDefault="009D508B" w:rsidP="00374C94">
      <w:pPr>
        <w:jc w:val="both"/>
        <w:rPr>
          <w:rFonts w:ascii="Arial" w:hAnsi="Arial" w:cs="Arial"/>
          <w:noProof/>
          <w:color w:val="000000" w:themeColor="text1"/>
          <w:lang w:val="es-ES_tradnl"/>
        </w:rPr>
      </w:pPr>
    </w:p>
    <w:p w14:paraId="3D7A267E" w14:textId="77777777" w:rsidR="009D508B" w:rsidRPr="00B36019" w:rsidRDefault="009D508B" w:rsidP="00374C94">
      <w:pPr>
        <w:jc w:val="both"/>
        <w:rPr>
          <w:rFonts w:ascii="Arial" w:hAnsi="Arial" w:cs="Arial"/>
          <w:noProof/>
          <w:color w:val="000000" w:themeColor="text1"/>
          <w:lang w:val="es-ES_tradnl"/>
        </w:rPr>
      </w:pPr>
    </w:p>
    <w:p w14:paraId="307D076A" w14:textId="77777777" w:rsidR="00F1148B" w:rsidRPr="00BF0E64" w:rsidRDefault="00F1148B" w:rsidP="00374C94">
      <w:pPr>
        <w:jc w:val="both"/>
        <w:rPr>
          <w:rFonts w:ascii="Arial" w:hAnsi="Arial" w:cs="Arial"/>
          <w:noProof/>
          <w:color w:val="000000" w:themeColor="text1"/>
          <w:sz w:val="22"/>
          <w:lang w:val="es-ES_tradnl"/>
        </w:rPr>
      </w:pPr>
    </w:p>
    <w:p w14:paraId="47922E9F" w14:textId="77777777" w:rsidR="00F1148B" w:rsidRDefault="00F1148B" w:rsidP="00F1148B">
      <w:pPr>
        <w:spacing w:line="276" w:lineRule="auto"/>
        <w:jc w:val="both"/>
        <w:rPr>
          <w:rFonts w:ascii="Arial" w:hAnsi="Arial" w:cs="Arial"/>
          <w:noProof/>
          <w:color w:val="000000" w:themeColor="text1"/>
          <w:sz w:val="22"/>
          <w:lang w:val="es-ES_tradnl"/>
        </w:rPr>
      </w:pPr>
    </w:p>
    <w:p w14:paraId="4E135DAE" w14:textId="77777777" w:rsidR="00F1148B" w:rsidRDefault="00F1148B" w:rsidP="00F1148B">
      <w:pPr>
        <w:spacing w:line="276" w:lineRule="auto"/>
        <w:jc w:val="both"/>
        <w:rPr>
          <w:rFonts w:ascii="Arial" w:hAnsi="Arial" w:cs="Arial"/>
          <w:noProof/>
          <w:color w:val="000000" w:themeColor="text1"/>
          <w:sz w:val="22"/>
          <w:lang w:val="es-ES_tradnl"/>
        </w:rPr>
      </w:pPr>
    </w:p>
    <w:p w14:paraId="57FDC6D5" w14:textId="77777777" w:rsidR="00F1148B" w:rsidRDefault="00F1148B" w:rsidP="00F1148B">
      <w:pPr>
        <w:spacing w:line="276" w:lineRule="auto"/>
        <w:jc w:val="both"/>
        <w:rPr>
          <w:rFonts w:ascii="Arial" w:hAnsi="Arial" w:cs="Arial"/>
          <w:noProof/>
          <w:color w:val="000000" w:themeColor="text1"/>
          <w:sz w:val="22"/>
          <w:lang w:val="es-ES_tradnl"/>
        </w:rPr>
      </w:pPr>
    </w:p>
    <w:p w14:paraId="3DC1C56D" w14:textId="77777777" w:rsidR="00F1148B" w:rsidRDefault="00F1148B" w:rsidP="00F1148B">
      <w:pPr>
        <w:spacing w:line="276" w:lineRule="auto"/>
        <w:jc w:val="both"/>
        <w:rPr>
          <w:rFonts w:ascii="Arial" w:hAnsi="Arial" w:cs="Arial"/>
          <w:noProof/>
          <w:color w:val="000000" w:themeColor="text1"/>
          <w:sz w:val="22"/>
          <w:lang w:val="es-ES_tradnl"/>
        </w:rPr>
      </w:pPr>
    </w:p>
    <w:p w14:paraId="4DBFBD97" w14:textId="77777777" w:rsidR="00F1148B" w:rsidRDefault="00F1148B" w:rsidP="00F1148B">
      <w:pPr>
        <w:spacing w:line="276" w:lineRule="auto"/>
        <w:jc w:val="both"/>
        <w:rPr>
          <w:rFonts w:ascii="Arial" w:hAnsi="Arial" w:cs="Arial"/>
          <w:noProof/>
          <w:color w:val="000000" w:themeColor="text1"/>
          <w:sz w:val="22"/>
          <w:lang w:val="es-ES_tradnl"/>
        </w:rPr>
      </w:pPr>
    </w:p>
    <w:p w14:paraId="4FD91F46" w14:textId="77777777" w:rsidR="00F1148B" w:rsidRDefault="00F1148B" w:rsidP="00F1148B">
      <w:pPr>
        <w:spacing w:line="276" w:lineRule="auto"/>
        <w:jc w:val="both"/>
        <w:rPr>
          <w:rFonts w:ascii="Arial" w:hAnsi="Arial" w:cs="Arial"/>
          <w:noProof/>
          <w:color w:val="000000" w:themeColor="text1"/>
          <w:sz w:val="22"/>
          <w:lang w:val="es-ES_tradnl"/>
        </w:rPr>
      </w:pPr>
    </w:p>
    <w:p w14:paraId="57919CF7" w14:textId="77777777" w:rsidR="00F1148B" w:rsidRDefault="00F1148B" w:rsidP="00F1148B">
      <w:pPr>
        <w:spacing w:line="276" w:lineRule="auto"/>
        <w:jc w:val="both"/>
        <w:rPr>
          <w:rFonts w:ascii="Arial" w:hAnsi="Arial" w:cs="Arial"/>
          <w:noProof/>
          <w:color w:val="000000" w:themeColor="text1"/>
          <w:sz w:val="22"/>
          <w:lang w:val="es-ES_tradnl"/>
        </w:rPr>
      </w:pPr>
    </w:p>
    <w:p w14:paraId="083F9616" w14:textId="77777777" w:rsidR="00F1148B" w:rsidRDefault="00F1148B" w:rsidP="00F1148B">
      <w:pPr>
        <w:spacing w:line="276" w:lineRule="auto"/>
        <w:jc w:val="both"/>
        <w:rPr>
          <w:rFonts w:ascii="Arial" w:hAnsi="Arial" w:cs="Arial"/>
          <w:noProof/>
          <w:color w:val="000000" w:themeColor="text1"/>
          <w:sz w:val="22"/>
          <w:lang w:val="es-ES_tradnl"/>
        </w:rPr>
      </w:pPr>
    </w:p>
    <w:p w14:paraId="0A6D821E" w14:textId="77777777" w:rsidR="00F1148B" w:rsidRDefault="00F1148B" w:rsidP="00F1148B">
      <w:pPr>
        <w:spacing w:line="276" w:lineRule="auto"/>
        <w:jc w:val="both"/>
        <w:rPr>
          <w:rFonts w:ascii="Arial" w:hAnsi="Arial" w:cs="Arial"/>
          <w:noProof/>
          <w:color w:val="000000" w:themeColor="text1"/>
          <w:sz w:val="22"/>
          <w:lang w:val="es-ES_tradnl"/>
        </w:rPr>
      </w:pPr>
    </w:p>
    <w:p w14:paraId="26256E40" w14:textId="77777777" w:rsidR="00F1148B" w:rsidRDefault="00F1148B" w:rsidP="00F1148B">
      <w:pPr>
        <w:spacing w:line="276" w:lineRule="auto"/>
        <w:jc w:val="both"/>
        <w:rPr>
          <w:rFonts w:ascii="Arial" w:hAnsi="Arial" w:cs="Arial"/>
          <w:noProof/>
          <w:color w:val="000000" w:themeColor="text1"/>
          <w:sz w:val="22"/>
          <w:lang w:val="es-ES_tradnl"/>
        </w:rPr>
      </w:pPr>
    </w:p>
    <w:p w14:paraId="05034D51" w14:textId="77777777" w:rsidR="00F1148B" w:rsidRDefault="00F1148B" w:rsidP="00F1148B">
      <w:pPr>
        <w:spacing w:line="276" w:lineRule="auto"/>
        <w:jc w:val="both"/>
        <w:rPr>
          <w:rFonts w:ascii="Arial" w:hAnsi="Arial" w:cs="Arial"/>
          <w:noProof/>
          <w:color w:val="000000" w:themeColor="text1"/>
          <w:sz w:val="22"/>
          <w:lang w:val="es-ES_tradnl"/>
        </w:rPr>
      </w:pPr>
    </w:p>
    <w:p w14:paraId="6AB9DB83" w14:textId="77777777" w:rsidR="00F1148B" w:rsidRDefault="00F1148B" w:rsidP="00F1148B">
      <w:pPr>
        <w:spacing w:line="276" w:lineRule="auto"/>
        <w:jc w:val="both"/>
        <w:rPr>
          <w:rFonts w:ascii="Arial" w:hAnsi="Arial" w:cs="Arial"/>
          <w:noProof/>
          <w:color w:val="000000" w:themeColor="text1"/>
          <w:sz w:val="22"/>
          <w:lang w:val="es-ES_tradnl"/>
        </w:rPr>
      </w:pPr>
    </w:p>
    <w:p w14:paraId="77272E8B" w14:textId="77777777" w:rsidR="00F1148B" w:rsidRDefault="00F1148B" w:rsidP="00F1148B">
      <w:pPr>
        <w:spacing w:line="276" w:lineRule="auto"/>
        <w:jc w:val="both"/>
        <w:rPr>
          <w:rFonts w:ascii="Arial" w:hAnsi="Arial" w:cs="Arial"/>
          <w:noProof/>
          <w:color w:val="000000" w:themeColor="text1"/>
          <w:sz w:val="22"/>
          <w:lang w:val="es-ES_tradnl"/>
        </w:rPr>
      </w:pPr>
    </w:p>
    <w:p w14:paraId="3531714C" w14:textId="77777777" w:rsidR="00F1148B" w:rsidRDefault="00F1148B" w:rsidP="00F1148B">
      <w:pPr>
        <w:spacing w:line="276" w:lineRule="auto"/>
        <w:jc w:val="both"/>
        <w:rPr>
          <w:rFonts w:ascii="Arial" w:hAnsi="Arial" w:cs="Arial"/>
          <w:noProof/>
          <w:color w:val="000000" w:themeColor="text1"/>
          <w:sz w:val="22"/>
          <w:lang w:val="es-ES_tradnl"/>
        </w:rPr>
      </w:pPr>
    </w:p>
    <w:p w14:paraId="44D4528A" w14:textId="77777777" w:rsidR="00F1148B" w:rsidRDefault="00F1148B" w:rsidP="00F1148B">
      <w:pPr>
        <w:spacing w:line="276" w:lineRule="auto"/>
        <w:jc w:val="both"/>
        <w:rPr>
          <w:rFonts w:ascii="Arial" w:hAnsi="Arial" w:cs="Arial"/>
          <w:noProof/>
          <w:color w:val="000000" w:themeColor="text1"/>
          <w:sz w:val="22"/>
          <w:lang w:val="es-ES_tradnl"/>
        </w:rPr>
      </w:pPr>
    </w:p>
    <w:p w14:paraId="206F617C" w14:textId="77777777" w:rsidR="00F1148B" w:rsidRDefault="00F1148B" w:rsidP="00F1148B">
      <w:pPr>
        <w:spacing w:line="276" w:lineRule="auto"/>
        <w:jc w:val="both"/>
        <w:rPr>
          <w:rFonts w:ascii="Arial" w:hAnsi="Arial" w:cs="Arial"/>
          <w:noProof/>
          <w:color w:val="000000" w:themeColor="text1"/>
          <w:sz w:val="22"/>
          <w:lang w:val="es-ES_tradnl"/>
        </w:rPr>
      </w:pPr>
    </w:p>
    <w:p w14:paraId="6BFB945B" w14:textId="77777777" w:rsidR="00F1148B" w:rsidRDefault="00F1148B" w:rsidP="00F1148B">
      <w:pPr>
        <w:spacing w:line="276" w:lineRule="auto"/>
        <w:jc w:val="both"/>
        <w:rPr>
          <w:rFonts w:ascii="Arial" w:hAnsi="Arial" w:cs="Arial"/>
          <w:noProof/>
          <w:color w:val="000000" w:themeColor="text1"/>
          <w:sz w:val="22"/>
          <w:lang w:val="es-ES_tradnl"/>
        </w:rPr>
      </w:pPr>
    </w:p>
    <w:p w14:paraId="2D775DBF" w14:textId="0DF1D2DE" w:rsidR="00F1148B" w:rsidRDefault="009D508B" w:rsidP="009D508B">
      <w:pPr>
        <w:spacing w:line="276" w:lineRule="auto"/>
        <w:jc w:val="right"/>
        <w:rPr>
          <w:rFonts w:ascii="Arial" w:hAnsi="Arial" w:cs="Arial"/>
          <w:noProof/>
          <w:color w:val="000000" w:themeColor="text1"/>
          <w:sz w:val="22"/>
          <w:lang w:val="es-ES_tradnl"/>
        </w:rPr>
      </w:pPr>
      <w:r w:rsidRPr="009D508B">
        <w:rPr>
          <w:rFonts w:ascii="Arial" w:hAnsi="Arial" w:cs="Arial"/>
          <w:noProof/>
          <w:color w:val="000000" w:themeColor="text1"/>
          <w:sz w:val="22"/>
          <w:lang w:eastAsia="es-CO"/>
        </w:rPr>
        <w:drawing>
          <wp:inline distT="0" distB="0" distL="0" distR="0" wp14:anchorId="0A5E8BC1" wp14:editId="4861D88E">
            <wp:extent cx="2563790" cy="635000"/>
            <wp:effectExtent l="0" t="0" r="825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3779" cy="637474"/>
                    </a:xfrm>
                    <a:prstGeom prst="rect">
                      <a:avLst/>
                    </a:prstGeom>
                    <a:noFill/>
                    <a:ln>
                      <a:noFill/>
                    </a:ln>
                  </pic:spPr>
                </pic:pic>
              </a:graphicData>
            </a:graphic>
          </wp:inline>
        </w:drawing>
      </w:r>
    </w:p>
    <w:p w14:paraId="0BF4BB89" w14:textId="29A511DA" w:rsidR="00F1148B" w:rsidRDefault="00F1148B" w:rsidP="00F1148B">
      <w:pPr>
        <w:spacing w:line="276" w:lineRule="auto"/>
        <w:jc w:val="both"/>
        <w:rPr>
          <w:rFonts w:ascii="Arial" w:hAnsi="Arial" w:cs="Arial"/>
          <w:noProof/>
          <w:color w:val="000000" w:themeColor="text1"/>
          <w:sz w:val="22"/>
          <w:lang w:val="es-ES_tradnl"/>
        </w:rPr>
      </w:pPr>
    </w:p>
    <w:p w14:paraId="3CAA957D" w14:textId="7735A636" w:rsidR="006D1DF5" w:rsidRPr="009D508B" w:rsidRDefault="006D1DF5" w:rsidP="00F1148B">
      <w:pPr>
        <w:spacing w:line="276" w:lineRule="auto"/>
        <w:jc w:val="both"/>
        <w:rPr>
          <w:rFonts w:ascii="Arial" w:hAnsi="Arial" w:cs="Arial"/>
          <w:noProof/>
          <w:color w:val="000000" w:themeColor="text1"/>
          <w:sz w:val="22"/>
          <w:lang w:val="es-ES_tradnl"/>
        </w:rPr>
      </w:pPr>
    </w:p>
    <w:p w14:paraId="43CA36B3" w14:textId="2D6FD65F" w:rsidR="009D508B" w:rsidRDefault="009D508B" w:rsidP="009D508B">
      <w:pPr>
        <w:autoSpaceDE w:val="0"/>
        <w:autoSpaceDN w:val="0"/>
        <w:adjustRightInd w:val="0"/>
        <w:jc w:val="right"/>
        <w:rPr>
          <w:rFonts w:ascii="Arial" w:eastAsia="Arial-BoldMT" w:hAnsi="Arial" w:cs="Arial"/>
          <w:b/>
          <w:bCs/>
          <w:color w:val="595959"/>
          <w:sz w:val="18"/>
          <w:szCs w:val="18"/>
          <w:lang w:eastAsia="en-US"/>
        </w:rPr>
      </w:pPr>
      <w:r w:rsidRPr="009D508B">
        <w:rPr>
          <w:rFonts w:ascii="Arial" w:eastAsia="Arial-BoldMT" w:hAnsi="Arial" w:cs="Arial"/>
          <w:b/>
          <w:bCs/>
          <w:color w:val="595959"/>
          <w:sz w:val="18"/>
          <w:szCs w:val="18"/>
          <w:lang w:eastAsia="en-US"/>
        </w:rPr>
        <w:t>CCE-DES-FM-17</w:t>
      </w:r>
    </w:p>
    <w:p w14:paraId="367FC331" w14:textId="77777777" w:rsidR="009D508B" w:rsidRPr="009D508B" w:rsidRDefault="009D508B" w:rsidP="009D508B">
      <w:pPr>
        <w:autoSpaceDE w:val="0"/>
        <w:autoSpaceDN w:val="0"/>
        <w:adjustRightInd w:val="0"/>
        <w:jc w:val="right"/>
        <w:rPr>
          <w:rFonts w:ascii="Arial" w:eastAsia="Arial-BoldMT" w:hAnsi="Arial" w:cs="Arial"/>
          <w:b/>
          <w:bCs/>
          <w:color w:val="595959"/>
          <w:sz w:val="18"/>
          <w:szCs w:val="18"/>
          <w:lang w:eastAsia="en-US"/>
        </w:rPr>
      </w:pPr>
    </w:p>
    <w:p w14:paraId="60366299" w14:textId="3FA14E8A" w:rsidR="006D1DF5" w:rsidRPr="009D508B" w:rsidRDefault="009D508B" w:rsidP="009D508B">
      <w:pPr>
        <w:spacing w:line="276" w:lineRule="auto"/>
        <w:jc w:val="both"/>
        <w:rPr>
          <w:rFonts w:ascii="Arial" w:hAnsi="Arial" w:cs="Arial"/>
          <w:noProof/>
          <w:color w:val="000000" w:themeColor="text1"/>
          <w:sz w:val="22"/>
          <w:lang w:val="es-ES_tradnl"/>
        </w:rPr>
      </w:pPr>
      <w:r w:rsidRPr="009D508B">
        <w:rPr>
          <w:rFonts w:ascii="Arial" w:eastAsia="ArialMT" w:hAnsi="Arial" w:cs="Arial"/>
          <w:color w:val="4E4D4D"/>
          <w:sz w:val="22"/>
          <w:szCs w:val="22"/>
          <w:lang w:eastAsia="en-US"/>
        </w:rPr>
        <w:t>Bogotá, 13 Julio 2021</w:t>
      </w:r>
    </w:p>
    <w:p w14:paraId="6C8A90E9" w14:textId="0624C3BF" w:rsidR="00F1148B" w:rsidRPr="009D508B" w:rsidRDefault="00F1148B" w:rsidP="009D508B">
      <w:pPr>
        <w:jc w:val="right"/>
      </w:pPr>
      <w:r>
        <w:fldChar w:fldCharType="begin"/>
      </w:r>
      <w:r w:rsidR="00702E81">
        <w:instrText xml:space="preserve"> INCLUDEPICTURE "C:\\var\\folders\\5l\\v1rdjm0x1x9416lmbj7_vjt40000gn\\T\\com.microsoft.Word\\WebArchiveCopyPasteTempFiles\\page1image1805856" \* MERGEFORMAT </w:instrText>
      </w:r>
      <w:r>
        <w:fldChar w:fldCharType="end"/>
      </w:r>
    </w:p>
    <w:p w14:paraId="1AE63A2D" w14:textId="1650928B" w:rsidR="00F1148B" w:rsidRPr="00BF0E64" w:rsidRDefault="00F1148B" w:rsidP="00F1148B">
      <w:pPr>
        <w:jc w:val="both"/>
        <w:rPr>
          <w:rFonts w:ascii="Arial" w:eastAsia="Calibri" w:hAnsi="Arial" w:cs="Arial"/>
          <w:color w:val="000000" w:themeColor="text1"/>
          <w:sz w:val="22"/>
          <w:lang w:val="es-ES_tradnl"/>
        </w:rPr>
      </w:pPr>
      <w:r w:rsidRPr="00BF0E64">
        <w:rPr>
          <w:rFonts w:ascii="Arial" w:eastAsia="Calibri" w:hAnsi="Arial" w:cs="Arial"/>
          <w:color w:val="000000" w:themeColor="text1"/>
          <w:sz w:val="22"/>
          <w:lang w:val="es-ES_tradnl"/>
        </w:rPr>
        <w:t>Señor</w:t>
      </w:r>
    </w:p>
    <w:p w14:paraId="0D5289D2" w14:textId="29F5A9FB" w:rsidR="00F1148B" w:rsidRPr="00BF0E64" w:rsidRDefault="004073DD" w:rsidP="00F1148B">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Anónimo</w:t>
      </w:r>
    </w:p>
    <w:p w14:paraId="265EEBCC" w14:textId="36A486D1" w:rsidR="00F1148B" w:rsidRPr="00BF0E64" w:rsidRDefault="004073DD" w:rsidP="00F1148B">
      <w:pPr>
        <w:jc w:val="both"/>
        <w:rPr>
          <w:rFonts w:ascii="Arial" w:eastAsia="Calibri" w:hAnsi="Arial" w:cs="Arial"/>
          <w:color w:val="000000" w:themeColor="text1"/>
          <w:sz w:val="22"/>
          <w:lang w:val="es-ES_tradnl"/>
        </w:rPr>
      </w:pPr>
      <w:r w:rsidRPr="004073DD">
        <w:rPr>
          <w:rFonts w:ascii="Arial" w:eastAsia="Calibri" w:hAnsi="Arial" w:cs="Arial"/>
          <w:color w:val="000000" w:themeColor="text1"/>
          <w:sz w:val="22"/>
          <w:lang w:val="es-ES_tradnl"/>
        </w:rPr>
        <w:t>jimmygarcia271@gmail.com</w:t>
      </w:r>
    </w:p>
    <w:p w14:paraId="2288B6F2" w14:textId="77777777" w:rsidR="00F1148B" w:rsidRPr="00BF0E64" w:rsidRDefault="00F1148B" w:rsidP="00F1148B">
      <w:pPr>
        <w:jc w:val="both"/>
        <w:rPr>
          <w:rFonts w:ascii="Arial" w:eastAsia="Calibri" w:hAnsi="Arial" w:cs="Arial"/>
          <w:color w:val="000000" w:themeColor="text1"/>
          <w:sz w:val="22"/>
          <w:lang w:val="es-ES_tradnl"/>
        </w:rPr>
      </w:pPr>
    </w:p>
    <w:p w14:paraId="71DF207A" w14:textId="75C51D4A" w:rsidR="00F1148B" w:rsidRPr="00BF0E64" w:rsidRDefault="00F1148B" w:rsidP="00F1148B">
      <w:pPr>
        <w:jc w:val="center"/>
        <w:rPr>
          <w:rFonts w:ascii="Arial" w:eastAsia="Calibri" w:hAnsi="Arial" w:cs="Arial"/>
          <w:b/>
          <w:bCs/>
          <w:color w:val="000000" w:themeColor="text1"/>
          <w:sz w:val="22"/>
          <w:lang w:val="es-ES_tradnl"/>
        </w:rPr>
      </w:pPr>
      <w:r w:rsidRPr="00BF0E64">
        <w:rPr>
          <w:rFonts w:ascii="Arial" w:eastAsia="Calibri" w:hAnsi="Arial" w:cs="Arial"/>
          <w:b/>
          <w:bCs/>
          <w:color w:val="000000" w:themeColor="text1"/>
          <w:sz w:val="22"/>
          <w:lang w:val="es-ES_tradnl"/>
        </w:rPr>
        <w:t xml:space="preserve">Concepto C ‒ </w:t>
      </w:r>
      <w:r>
        <w:rPr>
          <w:rFonts w:ascii="Arial" w:eastAsia="Calibri" w:hAnsi="Arial" w:cs="Arial"/>
          <w:b/>
          <w:bCs/>
          <w:color w:val="000000" w:themeColor="text1"/>
          <w:sz w:val="22"/>
          <w:lang w:val="es-ES_tradnl"/>
        </w:rPr>
        <w:t>342</w:t>
      </w:r>
      <w:r w:rsidRPr="00BF0E64">
        <w:rPr>
          <w:rFonts w:ascii="Arial" w:eastAsia="Calibri" w:hAnsi="Arial" w:cs="Arial"/>
          <w:b/>
          <w:bCs/>
          <w:color w:val="000000" w:themeColor="text1"/>
          <w:sz w:val="22"/>
          <w:lang w:val="es-ES_tradnl"/>
        </w:rPr>
        <w:t xml:space="preserve"> de 2021</w:t>
      </w:r>
    </w:p>
    <w:p w14:paraId="17EDDBDD" w14:textId="77777777" w:rsidR="00F1148B" w:rsidRPr="00BF0E64" w:rsidRDefault="00F1148B" w:rsidP="00F1148B">
      <w:pPr>
        <w:jc w:val="both"/>
        <w:rPr>
          <w:rFonts w:ascii="Arial" w:eastAsia="Calibri" w:hAnsi="Arial" w:cs="Arial"/>
          <w:color w:val="000000" w:themeColor="text1"/>
          <w:sz w:val="22"/>
          <w:lang w:val="es-ES_tradnl"/>
        </w:rPr>
      </w:pPr>
    </w:p>
    <w:p w14:paraId="1B18645C" w14:textId="77777777" w:rsidR="00F1148B" w:rsidRPr="00BF0E64" w:rsidRDefault="00F1148B" w:rsidP="00F1148B">
      <w:pPr>
        <w:jc w:val="both"/>
        <w:rPr>
          <w:rFonts w:ascii="Arial" w:eastAsia="Calibri" w:hAnsi="Arial" w:cs="Arial"/>
          <w:color w:val="000000" w:themeColor="text1"/>
          <w:sz w:val="22"/>
          <w:lang w:val="es-ES_tradnl"/>
        </w:rPr>
      </w:pPr>
    </w:p>
    <w:p w14:paraId="11CEE44F" w14:textId="77777777" w:rsidR="00F1148B" w:rsidRPr="00BF0E64" w:rsidRDefault="00F1148B" w:rsidP="00F1148B">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1148B" w:rsidRPr="00BF0E64" w14:paraId="0E32249D" w14:textId="77777777" w:rsidTr="008C75AF">
        <w:tc>
          <w:tcPr>
            <w:tcW w:w="2689" w:type="dxa"/>
          </w:tcPr>
          <w:p w14:paraId="491957BB" w14:textId="77777777" w:rsidR="00F1148B" w:rsidRPr="00BF0E64" w:rsidRDefault="00F1148B" w:rsidP="008C75AF">
            <w:pPr>
              <w:jc w:val="both"/>
              <w:rPr>
                <w:rFonts w:ascii="Arial" w:eastAsia="Calibri" w:hAnsi="Arial" w:cs="Arial"/>
                <w:color w:val="000000" w:themeColor="text1"/>
                <w:sz w:val="22"/>
                <w:lang w:val="es-ES_tradnl"/>
              </w:rPr>
            </w:pPr>
            <w:r w:rsidRPr="00BF0E64">
              <w:rPr>
                <w:rFonts w:ascii="Arial" w:eastAsia="Calibri" w:hAnsi="Arial" w:cs="Arial"/>
                <w:b/>
                <w:color w:val="000000" w:themeColor="text1"/>
                <w:sz w:val="22"/>
                <w:lang w:val="es-ES_tradnl"/>
              </w:rPr>
              <w:t>Temas:</w:t>
            </w:r>
            <w:r w:rsidRPr="00BF0E64">
              <w:rPr>
                <w:rFonts w:ascii="Arial" w:eastAsia="Calibri" w:hAnsi="Arial" w:cs="Arial"/>
                <w:color w:val="000000" w:themeColor="text1"/>
                <w:sz w:val="22"/>
                <w:lang w:val="es-ES_tradnl"/>
              </w:rPr>
              <w:t xml:space="preserve">                                      </w:t>
            </w:r>
          </w:p>
        </w:tc>
        <w:tc>
          <w:tcPr>
            <w:tcW w:w="6237" w:type="dxa"/>
          </w:tcPr>
          <w:p w14:paraId="6C478124" w14:textId="77777777" w:rsidR="00F1148B" w:rsidRPr="0038512F" w:rsidRDefault="00F1148B" w:rsidP="008C75AF">
            <w:pPr>
              <w:pStyle w:val="Sinespaciado"/>
              <w:jc w:val="both"/>
              <w:rPr>
                <w:rFonts w:ascii="Arial" w:hAnsi="Arial" w:cs="Arial"/>
                <w:bCs/>
                <w:sz w:val="22"/>
              </w:rPr>
            </w:pPr>
            <w:r w:rsidRPr="00DC5CAD">
              <w:rPr>
                <w:rFonts w:ascii="Arial" w:hAnsi="Arial" w:cs="Arial"/>
                <w:bCs/>
                <w:sz w:val="22"/>
              </w:rPr>
              <w:t>EXPERIENCIA – Concepto – Colombia Compra Eficiente / EXPERIENCIA – Transformación / EXPERIENCIA – Escisión / EXPERIENCIA – Fusión</w:t>
            </w:r>
            <w:r w:rsidRPr="00BF0E64">
              <w:rPr>
                <w:rFonts w:ascii="Arial" w:eastAsia="Arial" w:hAnsi="Arial" w:cs="Arial"/>
                <w:sz w:val="22"/>
                <w:lang w:val="es-ES_tradnl"/>
              </w:rPr>
              <w:t>.</w:t>
            </w:r>
          </w:p>
        </w:tc>
      </w:tr>
      <w:tr w:rsidR="00F1148B" w:rsidRPr="00BF0E64" w14:paraId="5F868D8F" w14:textId="77777777" w:rsidTr="008C75AF">
        <w:tc>
          <w:tcPr>
            <w:tcW w:w="2689" w:type="dxa"/>
          </w:tcPr>
          <w:p w14:paraId="34B3491E" w14:textId="77777777" w:rsidR="00F1148B" w:rsidRPr="00BF0E64" w:rsidRDefault="00F1148B" w:rsidP="008C75AF">
            <w:pPr>
              <w:spacing w:before="120"/>
              <w:jc w:val="both"/>
              <w:rPr>
                <w:rFonts w:ascii="Arial" w:eastAsia="Calibri" w:hAnsi="Arial" w:cs="Arial"/>
                <w:b/>
                <w:color w:val="000000" w:themeColor="text1"/>
                <w:sz w:val="22"/>
                <w:lang w:val="es-ES_tradnl"/>
              </w:rPr>
            </w:pPr>
            <w:r w:rsidRPr="00BF0E64">
              <w:rPr>
                <w:rFonts w:ascii="Arial" w:eastAsia="Calibri" w:hAnsi="Arial" w:cs="Arial"/>
                <w:b/>
                <w:color w:val="000000" w:themeColor="text1"/>
                <w:sz w:val="22"/>
                <w:lang w:val="es-ES_tradnl"/>
              </w:rPr>
              <w:t>Radicación:</w:t>
            </w:r>
            <w:r w:rsidRPr="00BF0E64">
              <w:rPr>
                <w:rFonts w:ascii="Arial" w:eastAsia="Calibri" w:hAnsi="Arial" w:cs="Arial"/>
                <w:color w:val="000000" w:themeColor="text1"/>
                <w:sz w:val="22"/>
                <w:lang w:val="es-ES_tradnl"/>
              </w:rPr>
              <w:t xml:space="preserve">                              </w:t>
            </w:r>
          </w:p>
        </w:tc>
        <w:tc>
          <w:tcPr>
            <w:tcW w:w="6237" w:type="dxa"/>
          </w:tcPr>
          <w:p w14:paraId="5D08D292" w14:textId="45468A8F" w:rsidR="00F1148B" w:rsidRPr="00BF0E64" w:rsidRDefault="00F1148B" w:rsidP="008C75AF">
            <w:pPr>
              <w:spacing w:before="120"/>
              <w:jc w:val="both"/>
              <w:rPr>
                <w:rFonts w:ascii="Arial" w:eastAsia="Calibri" w:hAnsi="Arial" w:cs="Arial"/>
                <w:color w:val="000000" w:themeColor="text1"/>
                <w:sz w:val="22"/>
                <w:lang w:val="es-ES_tradnl"/>
              </w:rPr>
            </w:pPr>
            <w:r w:rsidRPr="00BF0E64">
              <w:rPr>
                <w:rFonts w:ascii="Arial" w:eastAsia="Calibri" w:hAnsi="Arial" w:cs="Arial"/>
                <w:color w:val="000000" w:themeColor="text1"/>
                <w:sz w:val="22"/>
                <w:lang w:val="es-ES_tradnl"/>
              </w:rPr>
              <w:t xml:space="preserve">Respuesta a consulta </w:t>
            </w:r>
            <w:r w:rsidR="007369CF">
              <w:rPr>
                <w:rFonts w:ascii="Arial" w:eastAsia="Calibri" w:hAnsi="Arial" w:cs="Arial"/>
                <w:color w:val="000000" w:themeColor="text1"/>
                <w:sz w:val="22"/>
                <w:lang w:val="es-ES_tradnl"/>
              </w:rPr>
              <w:t xml:space="preserve">No. </w:t>
            </w:r>
            <w:r w:rsidR="007369CF" w:rsidRPr="007369CF">
              <w:rPr>
                <w:rFonts w:ascii="Arial" w:eastAsia="Calibri" w:hAnsi="Arial" w:cs="Arial"/>
                <w:color w:val="000000" w:themeColor="text1"/>
                <w:sz w:val="22"/>
              </w:rPr>
              <w:t> P20210531004743</w:t>
            </w:r>
          </w:p>
          <w:p w14:paraId="3683209A" w14:textId="77777777" w:rsidR="00F1148B" w:rsidRPr="00BF0E64" w:rsidRDefault="00F1148B" w:rsidP="008C75AF">
            <w:pPr>
              <w:spacing w:before="120"/>
              <w:jc w:val="both"/>
              <w:rPr>
                <w:rFonts w:ascii="Arial" w:eastAsia="Calibri" w:hAnsi="Arial" w:cs="Arial"/>
                <w:color w:val="000000" w:themeColor="text1"/>
                <w:sz w:val="22"/>
                <w:lang w:val="es-ES_tradnl"/>
              </w:rPr>
            </w:pPr>
            <w:r w:rsidRPr="00BF0E64">
              <w:rPr>
                <w:rFonts w:ascii="Arial" w:eastAsia="Calibri" w:hAnsi="Arial" w:cs="Arial"/>
                <w:color w:val="000000" w:themeColor="text1"/>
                <w:sz w:val="22"/>
                <w:lang w:val="es-ES_tradnl"/>
              </w:rPr>
              <w:t xml:space="preserve"> </w:t>
            </w:r>
          </w:p>
        </w:tc>
      </w:tr>
    </w:tbl>
    <w:p w14:paraId="47F18A14" w14:textId="60D4CC5A" w:rsidR="00F1148B" w:rsidRPr="00BF0E64" w:rsidRDefault="00F1148B" w:rsidP="009E3AFD">
      <w:pPr>
        <w:tabs>
          <w:tab w:val="left" w:pos="3828"/>
        </w:tabs>
        <w:jc w:val="both"/>
        <w:rPr>
          <w:rFonts w:ascii="Arial" w:eastAsia="Calibri" w:hAnsi="Arial" w:cs="Arial"/>
          <w:color w:val="000000" w:themeColor="text1"/>
          <w:sz w:val="22"/>
          <w:lang w:val="es-ES_tradnl"/>
        </w:rPr>
      </w:pPr>
      <w:r w:rsidRPr="00BF0E64">
        <w:rPr>
          <w:rFonts w:ascii="Arial" w:eastAsia="Calibri" w:hAnsi="Arial" w:cs="Arial"/>
          <w:color w:val="000000" w:themeColor="text1"/>
          <w:sz w:val="22"/>
          <w:lang w:val="es-ES_tradnl"/>
        </w:rPr>
        <w:t>Estimad</w:t>
      </w:r>
      <w:r w:rsidR="002723F2">
        <w:rPr>
          <w:rFonts w:ascii="Arial" w:eastAsia="Calibri" w:hAnsi="Arial" w:cs="Arial"/>
          <w:color w:val="000000" w:themeColor="text1"/>
          <w:sz w:val="22"/>
          <w:lang w:val="es-ES_tradnl"/>
        </w:rPr>
        <w:t>o peticionario</w:t>
      </w:r>
      <w:r w:rsidR="004073DD">
        <w:rPr>
          <w:rFonts w:ascii="Arial" w:eastAsia="Calibri" w:hAnsi="Arial" w:cs="Arial"/>
          <w:color w:val="000000" w:themeColor="text1"/>
          <w:sz w:val="22"/>
          <w:lang w:val="es-ES_tradnl"/>
        </w:rPr>
        <w:t>,</w:t>
      </w:r>
    </w:p>
    <w:p w14:paraId="184B0705" w14:textId="77777777" w:rsidR="00F1148B" w:rsidRPr="00BF0E64" w:rsidRDefault="00F1148B" w:rsidP="00F1148B">
      <w:pPr>
        <w:jc w:val="both"/>
        <w:rPr>
          <w:rFonts w:ascii="Arial" w:eastAsia="Calibri" w:hAnsi="Arial" w:cs="Arial"/>
          <w:color w:val="000000" w:themeColor="text1"/>
          <w:sz w:val="22"/>
          <w:lang w:val="es-ES_tradnl"/>
        </w:rPr>
      </w:pPr>
    </w:p>
    <w:p w14:paraId="115917EC" w14:textId="0C1A4197" w:rsidR="00F1148B" w:rsidRPr="00BF0E64" w:rsidRDefault="00F1148B" w:rsidP="00F1148B">
      <w:pPr>
        <w:spacing w:line="276" w:lineRule="auto"/>
        <w:jc w:val="both"/>
        <w:rPr>
          <w:rFonts w:ascii="Arial" w:eastAsia="Calibri" w:hAnsi="Arial" w:cs="Arial"/>
          <w:color w:val="000000" w:themeColor="text1"/>
          <w:sz w:val="22"/>
          <w:lang w:val="es-ES_tradnl"/>
        </w:rPr>
      </w:pPr>
      <w:r w:rsidRPr="00BF0E64">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4341C6">
        <w:rPr>
          <w:rFonts w:ascii="Arial" w:eastAsia="Calibri" w:hAnsi="Arial" w:cs="Arial"/>
          <w:color w:val="000000" w:themeColor="text1"/>
          <w:sz w:val="22"/>
          <w:lang w:val="es-ES_tradnl"/>
        </w:rPr>
        <w:t>31 de mayo de 2021.</w:t>
      </w:r>
    </w:p>
    <w:p w14:paraId="21F768B1" w14:textId="77777777" w:rsidR="00F1148B" w:rsidRPr="00BF0E64" w:rsidRDefault="00F1148B" w:rsidP="00F1148B">
      <w:pPr>
        <w:spacing w:line="276" w:lineRule="auto"/>
        <w:jc w:val="both"/>
        <w:rPr>
          <w:rFonts w:ascii="Arial" w:eastAsia="Calibri" w:hAnsi="Arial" w:cs="Arial"/>
          <w:b/>
          <w:color w:val="000000" w:themeColor="text1"/>
          <w:sz w:val="22"/>
          <w:lang w:val="es-ES_tradnl"/>
        </w:rPr>
      </w:pPr>
    </w:p>
    <w:p w14:paraId="2B780B5E" w14:textId="77777777" w:rsidR="00F1148B" w:rsidRPr="00BF0E64" w:rsidRDefault="00F1148B" w:rsidP="00F1148B">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BF0E64">
        <w:rPr>
          <w:rFonts w:ascii="Arial" w:eastAsia="Calibri" w:hAnsi="Arial" w:cs="Arial"/>
          <w:b/>
          <w:color w:val="000000" w:themeColor="text1"/>
          <w:sz w:val="22"/>
          <w:lang w:val="es-ES_tradnl"/>
        </w:rPr>
        <w:t xml:space="preserve">Problema planteado </w:t>
      </w:r>
    </w:p>
    <w:p w14:paraId="3758F069" w14:textId="77777777" w:rsidR="00F1148B" w:rsidRPr="00BF0E64" w:rsidRDefault="00F1148B" w:rsidP="00F1148B">
      <w:pPr>
        <w:tabs>
          <w:tab w:val="left" w:pos="426"/>
        </w:tabs>
        <w:spacing w:line="276" w:lineRule="auto"/>
        <w:jc w:val="both"/>
        <w:rPr>
          <w:rFonts w:ascii="Arial" w:eastAsia="Calibri" w:hAnsi="Arial" w:cs="Arial"/>
          <w:b/>
          <w:color w:val="000000" w:themeColor="text1"/>
          <w:sz w:val="22"/>
          <w:lang w:val="es-ES_tradnl"/>
        </w:rPr>
      </w:pPr>
    </w:p>
    <w:p w14:paraId="6A0BCF1F" w14:textId="5086C2EC" w:rsidR="00F1148B" w:rsidRPr="00BF0E64" w:rsidRDefault="00F1148B" w:rsidP="00F1148B">
      <w:pPr>
        <w:spacing w:line="276" w:lineRule="auto"/>
        <w:jc w:val="both"/>
        <w:rPr>
          <w:rFonts w:ascii="Arial" w:hAnsi="Arial" w:cs="Arial"/>
          <w:color w:val="000000" w:themeColor="text1"/>
          <w:sz w:val="22"/>
          <w:lang w:val="es-ES_tradnl"/>
        </w:rPr>
      </w:pPr>
      <w:r w:rsidRPr="00BF0E64">
        <w:rPr>
          <w:rFonts w:ascii="Arial" w:hAnsi="Arial" w:cs="Arial"/>
          <w:color w:val="000000" w:themeColor="text1"/>
          <w:sz w:val="22"/>
          <w:lang w:val="es-ES_tradnl"/>
        </w:rPr>
        <w:t xml:space="preserve">Usted formula la siguiente </w:t>
      </w:r>
      <w:r w:rsidR="0014233E">
        <w:rPr>
          <w:rFonts w:ascii="Arial" w:hAnsi="Arial" w:cs="Arial"/>
          <w:color w:val="000000" w:themeColor="text1"/>
          <w:sz w:val="22"/>
          <w:lang w:val="es-ES_tradnl"/>
        </w:rPr>
        <w:t>consulta</w:t>
      </w:r>
      <w:r w:rsidRPr="00BF0E64">
        <w:rPr>
          <w:rFonts w:ascii="Arial" w:hAnsi="Arial" w:cs="Arial"/>
          <w:color w:val="000000" w:themeColor="text1"/>
          <w:sz w:val="22"/>
          <w:lang w:val="es-ES_tradnl"/>
        </w:rPr>
        <w:t xml:space="preserve">: </w:t>
      </w:r>
    </w:p>
    <w:p w14:paraId="6215D670" w14:textId="77777777" w:rsidR="00F1148B" w:rsidRPr="00BF0E64" w:rsidRDefault="00F1148B" w:rsidP="004B7D0A">
      <w:pPr>
        <w:jc w:val="both"/>
        <w:rPr>
          <w:rFonts w:ascii="Arial" w:hAnsi="Arial" w:cs="Arial"/>
          <w:color w:val="000000" w:themeColor="text1"/>
          <w:sz w:val="22"/>
          <w:lang w:val="es-ES_tradnl"/>
        </w:rPr>
      </w:pPr>
      <w:bookmarkStart w:id="4" w:name="_Hlk74234093"/>
    </w:p>
    <w:p w14:paraId="5CDE37BA" w14:textId="65B03E88" w:rsidR="004341C6" w:rsidRDefault="004341C6" w:rsidP="00F0377D">
      <w:pPr>
        <w:ind w:left="709" w:right="709"/>
        <w:jc w:val="both"/>
        <w:rPr>
          <w:rFonts w:ascii="Arial" w:hAnsi="Arial" w:cs="Arial"/>
          <w:color w:val="000000" w:themeColor="text1"/>
          <w:sz w:val="21"/>
          <w:szCs w:val="21"/>
        </w:rPr>
      </w:pPr>
      <w:r w:rsidRPr="00BF0E64">
        <w:rPr>
          <w:rFonts w:ascii="Arial" w:hAnsi="Arial" w:cs="Arial"/>
          <w:color w:val="000000" w:themeColor="text1"/>
          <w:sz w:val="21"/>
          <w:szCs w:val="21"/>
          <w:lang w:val="es-ES_tradnl"/>
        </w:rPr>
        <w:t>«</w:t>
      </w:r>
      <w:r w:rsidR="00A6654C">
        <w:rPr>
          <w:rFonts w:ascii="Arial" w:hAnsi="Arial" w:cs="Arial"/>
          <w:color w:val="000000" w:themeColor="text1"/>
          <w:sz w:val="21"/>
          <w:szCs w:val="21"/>
          <w:lang w:val="es-ES_tradnl"/>
        </w:rPr>
        <w:t>[…]</w:t>
      </w:r>
      <w:r w:rsidRPr="00BF0E64">
        <w:rPr>
          <w:rFonts w:ascii="Arial" w:hAnsi="Arial" w:cs="Arial"/>
          <w:color w:val="000000" w:themeColor="text1"/>
          <w:sz w:val="21"/>
          <w:szCs w:val="21"/>
          <w:lang w:val="es-ES_tradnl"/>
        </w:rPr>
        <w:t>¿</w:t>
      </w:r>
      <w:r w:rsidRPr="004341C6">
        <w:rPr>
          <w:rFonts w:ascii="Arial" w:hAnsi="Arial" w:cs="Arial"/>
          <w:color w:val="000000" w:themeColor="text1"/>
          <w:sz w:val="21"/>
          <w:szCs w:val="21"/>
        </w:rPr>
        <w:t xml:space="preserve">puede en un proceso de fusión por absorción, adquirir la sociedad absorbente la experiencia para del Registro Único de Proponentes de la sociedad absorbida? </w:t>
      </w:r>
    </w:p>
    <w:p w14:paraId="3F1F90BA" w14:textId="77777777" w:rsidR="004341C6" w:rsidRDefault="004341C6" w:rsidP="00F0377D">
      <w:pPr>
        <w:ind w:left="709" w:right="709"/>
        <w:jc w:val="both"/>
        <w:rPr>
          <w:rFonts w:ascii="Arial" w:hAnsi="Arial" w:cs="Arial"/>
          <w:color w:val="000000" w:themeColor="text1"/>
          <w:sz w:val="21"/>
          <w:szCs w:val="21"/>
        </w:rPr>
      </w:pPr>
    </w:p>
    <w:p w14:paraId="0FCEBA43" w14:textId="5CF0AF2D" w:rsidR="004341C6" w:rsidRDefault="00F0377D" w:rsidP="00F0377D">
      <w:pPr>
        <w:ind w:left="709" w:right="709"/>
        <w:jc w:val="both"/>
        <w:rPr>
          <w:rFonts w:ascii="Arial" w:hAnsi="Arial" w:cs="Arial"/>
          <w:color w:val="000000" w:themeColor="text1"/>
          <w:sz w:val="21"/>
          <w:szCs w:val="21"/>
        </w:rPr>
      </w:pPr>
      <w:r w:rsidRPr="004341C6">
        <w:rPr>
          <w:rFonts w:ascii="Arial" w:hAnsi="Arial" w:cs="Arial"/>
          <w:color w:val="000000" w:themeColor="text1"/>
          <w:sz w:val="21"/>
          <w:szCs w:val="21"/>
        </w:rPr>
        <w:t xml:space="preserve"> La</w:t>
      </w:r>
      <w:r w:rsidR="004341C6" w:rsidRPr="004341C6">
        <w:rPr>
          <w:rFonts w:ascii="Arial" w:hAnsi="Arial" w:cs="Arial"/>
          <w:color w:val="000000" w:themeColor="text1"/>
          <w:sz w:val="21"/>
          <w:szCs w:val="21"/>
        </w:rPr>
        <w:t xml:space="preserve"> consulta se da, debido a que de una lectura del Decreto 1082 de 2015 en el artículo 2.2.1.1.1.5.3, cuando se habla de la experiencia, se plantean estas posibilidades: 1. Contratos celebrados por el interesado, 2. contratos celebrados en consorcios, uniones temporales.</w:t>
      </w:r>
    </w:p>
    <w:p w14:paraId="5F6D0273" w14:textId="77777777" w:rsidR="00F0377D" w:rsidRDefault="00F0377D" w:rsidP="00F0377D">
      <w:pPr>
        <w:ind w:left="709" w:right="709"/>
        <w:jc w:val="both"/>
        <w:rPr>
          <w:rFonts w:ascii="Arial" w:hAnsi="Arial" w:cs="Arial"/>
          <w:color w:val="000000" w:themeColor="text1"/>
          <w:sz w:val="21"/>
          <w:szCs w:val="21"/>
        </w:rPr>
      </w:pPr>
    </w:p>
    <w:p w14:paraId="3DB0F1A1" w14:textId="14C943CB" w:rsidR="00F1148B" w:rsidRPr="00F0377D" w:rsidRDefault="00F0377D" w:rsidP="00F0377D">
      <w:pPr>
        <w:ind w:left="709" w:right="709"/>
        <w:jc w:val="both"/>
        <w:rPr>
          <w:rFonts w:ascii="Arial" w:hAnsi="Arial" w:cs="Arial"/>
          <w:color w:val="000000" w:themeColor="text1"/>
          <w:sz w:val="21"/>
          <w:szCs w:val="21"/>
          <w:lang w:val="es-ES_tradnl"/>
        </w:rPr>
      </w:pPr>
      <w:r w:rsidRPr="004341C6">
        <w:rPr>
          <w:rFonts w:ascii="Arial" w:hAnsi="Arial" w:cs="Arial"/>
          <w:color w:val="000000" w:themeColor="text1"/>
          <w:sz w:val="21"/>
          <w:szCs w:val="21"/>
        </w:rPr>
        <w:t>Además</w:t>
      </w:r>
      <w:r w:rsidR="004341C6" w:rsidRPr="004341C6">
        <w:rPr>
          <w:rFonts w:ascii="Arial" w:hAnsi="Arial" w:cs="Arial"/>
          <w:color w:val="000000" w:themeColor="text1"/>
          <w:sz w:val="21"/>
          <w:szCs w:val="21"/>
        </w:rPr>
        <w:t>, se puede transferir experiencia de los socios a personas jurídicas con menos de tres años de constituidas</w:t>
      </w:r>
      <w:r w:rsidR="00F1148B" w:rsidRPr="00BF0E64">
        <w:rPr>
          <w:rFonts w:ascii="Arial" w:hAnsi="Arial" w:cs="Arial"/>
          <w:color w:val="000000" w:themeColor="text1"/>
          <w:sz w:val="21"/>
          <w:szCs w:val="21"/>
          <w:lang w:val="es-ES_tradnl"/>
        </w:rPr>
        <w:t>».</w:t>
      </w:r>
    </w:p>
    <w:bookmarkEnd w:id="4"/>
    <w:p w14:paraId="5516F7D8" w14:textId="77777777" w:rsidR="00F1148B" w:rsidRPr="00BF0E64" w:rsidRDefault="00F1148B" w:rsidP="00F1148B">
      <w:pPr>
        <w:spacing w:line="276" w:lineRule="auto"/>
        <w:jc w:val="both"/>
        <w:rPr>
          <w:rFonts w:ascii="Arial" w:hAnsi="Arial" w:cs="Arial"/>
          <w:color w:val="000000" w:themeColor="text1"/>
          <w:sz w:val="22"/>
          <w:lang w:val="es-ES_tradnl"/>
        </w:rPr>
      </w:pPr>
    </w:p>
    <w:p w14:paraId="6D2EEDC3" w14:textId="77777777" w:rsidR="00F1148B" w:rsidRPr="00BF0E64" w:rsidRDefault="00F1148B" w:rsidP="00F1148B">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ES_tradnl"/>
        </w:rPr>
      </w:pPr>
      <w:r w:rsidRPr="00BF0E64">
        <w:rPr>
          <w:rFonts w:ascii="Arial" w:eastAsia="Calibri" w:hAnsi="Arial" w:cs="Arial"/>
          <w:b/>
          <w:color w:val="000000" w:themeColor="text1"/>
          <w:sz w:val="22"/>
          <w:lang w:val="es-ES_tradnl"/>
        </w:rPr>
        <w:t>Consideraciones</w:t>
      </w:r>
    </w:p>
    <w:p w14:paraId="3C6438F1" w14:textId="77777777" w:rsidR="00F1148B" w:rsidRPr="00BF0E64" w:rsidRDefault="00F1148B" w:rsidP="00F1148B">
      <w:pPr>
        <w:spacing w:line="276" w:lineRule="auto"/>
        <w:jc w:val="both"/>
        <w:rPr>
          <w:rFonts w:ascii="Arial" w:eastAsia="Calibri" w:hAnsi="Arial" w:cs="Arial"/>
          <w:color w:val="000000" w:themeColor="text1"/>
          <w:sz w:val="22"/>
          <w:szCs w:val="22"/>
          <w:lang w:val="es-ES_tradnl"/>
        </w:rPr>
      </w:pPr>
    </w:p>
    <w:p w14:paraId="6BE94CFD" w14:textId="77777777" w:rsidR="00F1148B" w:rsidRDefault="00F1148B" w:rsidP="00F1148B">
      <w:pPr>
        <w:spacing w:line="276" w:lineRule="auto"/>
        <w:jc w:val="both"/>
        <w:rPr>
          <w:rFonts w:ascii="Arial" w:eastAsia="Calibri" w:hAnsi="Arial" w:cs="Arial"/>
          <w:sz w:val="22"/>
        </w:rPr>
      </w:pPr>
      <w:r>
        <w:rPr>
          <w:rFonts w:ascii="Arial" w:eastAsia="Calibri" w:hAnsi="Arial" w:cs="Arial"/>
          <w:sz w:val="22"/>
        </w:rPr>
        <w:t>Para emitir una respuesta, esta Subdirección analizará previamente los siguientes temas: i) el concepto de experiencia en la contratación pública y ii) los efectos de las figuras y reformas estatutarias sobre la experiencia de las sociedades comerciales en la contratación estatal.</w:t>
      </w:r>
    </w:p>
    <w:p w14:paraId="7C0B8F29" w14:textId="4DC013F2" w:rsidR="00702E81" w:rsidRPr="004B7D0A" w:rsidRDefault="00F1148B" w:rsidP="000D5AAA">
      <w:pPr>
        <w:spacing w:before="120" w:line="276" w:lineRule="auto"/>
        <w:ind w:firstLine="709"/>
        <w:jc w:val="both"/>
        <w:rPr>
          <w:rFonts w:ascii="Arial" w:eastAsia="Calibri" w:hAnsi="Arial" w:cs="Arial"/>
          <w:sz w:val="22"/>
          <w:szCs w:val="22"/>
        </w:rPr>
      </w:pPr>
      <w:r w:rsidRPr="000D5AAA">
        <w:rPr>
          <w:rFonts w:ascii="Arial" w:eastAsia="Calibri" w:hAnsi="Arial" w:cs="Arial"/>
          <w:sz w:val="22"/>
          <w:szCs w:val="22"/>
        </w:rPr>
        <w:lastRenderedPageBreak/>
        <w:t>La Agencia Nacional de Contratación Pública –</w:t>
      </w:r>
      <w:r w:rsidRPr="004B7D0A">
        <w:rPr>
          <w:rFonts w:ascii="Arial" w:eastAsia="Calibri" w:hAnsi="Arial" w:cs="Arial"/>
          <w:sz w:val="22"/>
          <w:szCs w:val="22"/>
        </w:rPr>
        <w:t xml:space="preserve"> Colombia Compra Eficiente</w:t>
      </w:r>
      <w:r w:rsidR="00702E81" w:rsidRPr="004B7D0A">
        <w:rPr>
          <w:rFonts w:ascii="Arial" w:eastAsia="Calibri" w:hAnsi="Arial" w:cs="Arial"/>
          <w:sz w:val="22"/>
          <w:szCs w:val="22"/>
        </w:rPr>
        <w:t xml:space="preserve"> </w:t>
      </w:r>
      <w:r w:rsidR="008B4B4F" w:rsidRPr="004B7D0A">
        <w:rPr>
          <w:rFonts w:ascii="Arial" w:eastAsia="Calibri" w:hAnsi="Arial" w:cs="Arial"/>
          <w:color w:val="000000" w:themeColor="text1"/>
          <w:sz w:val="22"/>
          <w:szCs w:val="22"/>
        </w:rPr>
        <w:t xml:space="preserve">se ha pronunciado sobre </w:t>
      </w:r>
      <w:r w:rsidR="008B4B4F" w:rsidRPr="004B7D0A">
        <w:rPr>
          <w:rFonts w:ascii="Arial" w:hAnsi="Arial" w:cs="Arial"/>
          <w:color w:val="000000" w:themeColor="text1"/>
          <w:sz w:val="22"/>
          <w:szCs w:val="22"/>
        </w:rPr>
        <w:t>el alcance del numeral 2.5. del artículo 2.2.1.1.1.5.2 del Decreto 1082 de 2015</w:t>
      </w:r>
      <w:r w:rsidR="008B4B4F" w:rsidRPr="004B7D0A">
        <w:rPr>
          <w:rFonts w:ascii="Arial" w:eastAsia="Calibri" w:hAnsi="Arial" w:cs="Arial"/>
          <w:color w:val="000000"/>
          <w:sz w:val="22"/>
          <w:szCs w:val="22"/>
          <w:lang w:val="es-MX"/>
        </w:rPr>
        <w:t xml:space="preserve">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C-008 del 15 de febrero de 2021, C-103 del 24 de marzo del 2021, C-140 del 9 de abril del 2021 y C-230 del 25 de mayo de 2021</w:t>
      </w:r>
      <w:r w:rsidR="00755891" w:rsidRPr="004B7D0A">
        <w:rPr>
          <w:rFonts w:ascii="Arial" w:eastAsia="Calibri" w:hAnsi="Arial" w:cs="Arial"/>
          <w:color w:val="000000"/>
          <w:sz w:val="22"/>
          <w:szCs w:val="22"/>
          <w:vertAlign w:val="superscript"/>
          <w:lang w:val="es-MX"/>
        </w:rPr>
        <w:footnoteReference w:id="1"/>
      </w:r>
      <w:r w:rsidR="00856D80" w:rsidRPr="004B7D0A">
        <w:rPr>
          <w:rFonts w:ascii="Arial" w:eastAsia="Calibri" w:hAnsi="Arial" w:cs="Arial"/>
          <w:sz w:val="22"/>
          <w:szCs w:val="22"/>
          <w:lang w:val="es-ES_tradnl"/>
        </w:rPr>
        <w:t xml:space="preserve">. </w:t>
      </w:r>
      <w:r w:rsidR="008D4AEB">
        <w:rPr>
          <w:rFonts w:ascii="Arial" w:eastAsia="Calibri" w:hAnsi="Arial" w:cs="Arial"/>
          <w:sz w:val="22"/>
          <w:szCs w:val="22"/>
          <w:lang w:val="es-ES_tradnl"/>
        </w:rPr>
        <w:t>De otra parte</w:t>
      </w:r>
      <w:r w:rsidR="00856D80" w:rsidRPr="004B7D0A">
        <w:rPr>
          <w:rFonts w:ascii="Arial" w:eastAsia="Calibri" w:hAnsi="Arial" w:cs="Arial"/>
          <w:sz w:val="22"/>
          <w:szCs w:val="22"/>
          <w:lang w:val="es-ES_tradnl"/>
        </w:rPr>
        <w:t>, en los conceptos</w:t>
      </w:r>
      <w:r w:rsidR="00702E81" w:rsidRPr="004B7D0A">
        <w:rPr>
          <w:rFonts w:ascii="Arial" w:eastAsia="Calibri" w:hAnsi="Arial" w:cs="Arial"/>
          <w:sz w:val="22"/>
          <w:szCs w:val="22"/>
          <w:lang w:val="es-ES_tradnl"/>
        </w:rPr>
        <w:t xml:space="preserve"> C-491 del 27 de julio de 2020, C-584 del 31 de agosto de 2020, C-002 del 9 de febrero de 2021 y C -115 del 29 de marzo de 2021 </w:t>
      </w:r>
      <w:r w:rsidRPr="009E3AFD">
        <w:rPr>
          <w:rFonts w:ascii="Arial" w:eastAsia="Calibri" w:hAnsi="Arial" w:cs="Arial"/>
          <w:sz w:val="22"/>
          <w:szCs w:val="22"/>
        </w:rPr>
        <w:t xml:space="preserve">se </w:t>
      </w:r>
      <w:r w:rsidR="00D025E0">
        <w:rPr>
          <w:rFonts w:ascii="Arial" w:eastAsia="Calibri" w:hAnsi="Arial" w:cs="Arial"/>
          <w:sz w:val="22"/>
          <w:szCs w:val="22"/>
        </w:rPr>
        <w:t>analizó</w:t>
      </w:r>
      <w:r w:rsidR="00D26B5F" w:rsidRPr="004B7D0A">
        <w:rPr>
          <w:rFonts w:ascii="Arial" w:eastAsia="Calibri" w:hAnsi="Arial" w:cs="Arial"/>
          <w:sz w:val="22"/>
          <w:szCs w:val="22"/>
        </w:rPr>
        <w:t xml:space="preserve"> </w:t>
      </w:r>
      <w:r w:rsidRPr="004B7D0A">
        <w:rPr>
          <w:rFonts w:ascii="Arial" w:eastAsia="Calibri" w:hAnsi="Arial" w:cs="Arial"/>
          <w:sz w:val="22"/>
          <w:szCs w:val="22"/>
        </w:rPr>
        <w:t xml:space="preserve">el tema objeto de esta consulta, </w:t>
      </w:r>
      <w:r w:rsidR="00BD5F81" w:rsidRPr="004B7D0A">
        <w:rPr>
          <w:rFonts w:ascii="Arial" w:eastAsia="Calibri" w:hAnsi="Arial" w:cs="Arial"/>
          <w:sz w:val="22"/>
          <w:szCs w:val="22"/>
        </w:rPr>
        <w:t xml:space="preserve">estudiándose la procedencia de la </w:t>
      </w:r>
      <w:r w:rsidRPr="004B7D0A">
        <w:rPr>
          <w:rFonts w:ascii="Arial" w:eastAsia="Calibri" w:hAnsi="Arial" w:cs="Arial"/>
          <w:sz w:val="22"/>
          <w:szCs w:val="22"/>
        </w:rPr>
        <w:t>transferencia de experiencia en la</w:t>
      </w:r>
      <w:r w:rsidR="00BD5F81" w:rsidRPr="004B7D0A">
        <w:rPr>
          <w:rFonts w:ascii="Arial" w:eastAsia="Calibri" w:hAnsi="Arial" w:cs="Arial"/>
          <w:sz w:val="22"/>
          <w:szCs w:val="22"/>
        </w:rPr>
        <w:t>s figuras de</w:t>
      </w:r>
      <w:r w:rsidRPr="004B7D0A">
        <w:rPr>
          <w:rFonts w:ascii="Arial" w:eastAsia="Calibri" w:hAnsi="Arial" w:cs="Arial"/>
          <w:sz w:val="22"/>
          <w:szCs w:val="22"/>
        </w:rPr>
        <w:t xml:space="preserve"> transformación</w:t>
      </w:r>
      <w:r w:rsidR="00BD5F81" w:rsidRPr="004B7D0A">
        <w:rPr>
          <w:rFonts w:ascii="Arial" w:eastAsia="Calibri" w:hAnsi="Arial" w:cs="Arial"/>
          <w:sz w:val="22"/>
          <w:szCs w:val="22"/>
        </w:rPr>
        <w:t xml:space="preserve">, </w:t>
      </w:r>
      <w:r w:rsidRPr="004B7D0A">
        <w:rPr>
          <w:rFonts w:ascii="Arial" w:eastAsia="Calibri" w:hAnsi="Arial" w:cs="Arial"/>
          <w:sz w:val="22"/>
          <w:szCs w:val="22"/>
        </w:rPr>
        <w:t>fusión</w:t>
      </w:r>
      <w:r w:rsidR="00BD5F81" w:rsidRPr="004B7D0A">
        <w:rPr>
          <w:rFonts w:ascii="Arial" w:eastAsia="Calibri" w:hAnsi="Arial" w:cs="Arial"/>
          <w:sz w:val="22"/>
          <w:szCs w:val="22"/>
        </w:rPr>
        <w:t xml:space="preserve"> y</w:t>
      </w:r>
      <w:r w:rsidRPr="004B7D0A">
        <w:rPr>
          <w:rFonts w:ascii="Arial" w:eastAsia="Calibri" w:hAnsi="Arial" w:cs="Arial"/>
          <w:sz w:val="22"/>
          <w:szCs w:val="22"/>
        </w:rPr>
        <w:t xml:space="preserve"> escisión. </w:t>
      </w:r>
      <w:r w:rsidR="00D025E0">
        <w:rPr>
          <w:rFonts w:ascii="Arial" w:eastAsia="Calibri" w:hAnsi="Arial" w:cs="Arial"/>
          <w:sz w:val="22"/>
          <w:szCs w:val="22"/>
        </w:rPr>
        <w:t xml:space="preserve">Las </w:t>
      </w:r>
      <w:r w:rsidRPr="004B7D0A">
        <w:rPr>
          <w:rFonts w:ascii="Arial" w:eastAsia="Calibri" w:hAnsi="Arial" w:cs="Arial"/>
          <w:sz w:val="22"/>
          <w:szCs w:val="22"/>
        </w:rPr>
        <w:t xml:space="preserve">tesis </w:t>
      </w:r>
      <w:r w:rsidR="00D025E0">
        <w:rPr>
          <w:rFonts w:ascii="Arial" w:eastAsia="Calibri" w:hAnsi="Arial" w:cs="Arial"/>
          <w:sz w:val="22"/>
          <w:szCs w:val="22"/>
        </w:rPr>
        <w:t xml:space="preserve">expuestas en estos conceptos </w:t>
      </w:r>
      <w:r w:rsidRPr="004B7D0A">
        <w:rPr>
          <w:rFonts w:ascii="Arial" w:eastAsia="Calibri" w:hAnsi="Arial" w:cs="Arial"/>
          <w:sz w:val="22"/>
          <w:szCs w:val="22"/>
        </w:rPr>
        <w:t>se reitera</w:t>
      </w:r>
      <w:r w:rsidR="00D025E0">
        <w:rPr>
          <w:rFonts w:ascii="Arial" w:eastAsia="Calibri" w:hAnsi="Arial" w:cs="Arial"/>
          <w:sz w:val="22"/>
          <w:szCs w:val="22"/>
        </w:rPr>
        <w:t>n</w:t>
      </w:r>
      <w:r w:rsidRPr="004B7D0A">
        <w:rPr>
          <w:rFonts w:ascii="Arial" w:eastAsia="Calibri" w:hAnsi="Arial" w:cs="Arial"/>
          <w:sz w:val="22"/>
          <w:szCs w:val="22"/>
        </w:rPr>
        <w:t xml:space="preserve"> a continuación.</w:t>
      </w:r>
    </w:p>
    <w:p w14:paraId="366F7A0A" w14:textId="77777777" w:rsidR="00F1148B" w:rsidRDefault="00F1148B" w:rsidP="00F1148B">
      <w:pPr>
        <w:spacing w:line="276" w:lineRule="auto"/>
        <w:jc w:val="both"/>
        <w:rPr>
          <w:rFonts w:ascii="Arial" w:hAnsi="Arial" w:cs="Arial"/>
          <w:b/>
          <w:bCs/>
          <w:sz w:val="22"/>
        </w:rPr>
      </w:pPr>
    </w:p>
    <w:p w14:paraId="6DA9A1E1" w14:textId="77777777" w:rsidR="00F1148B" w:rsidRPr="00DC5CAD" w:rsidRDefault="00F1148B" w:rsidP="00F1148B">
      <w:pPr>
        <w:spacing w:line="276" w:lineRule="auto"/>
        <w:jc w:val="both"/>
        <w:rPr>
          <w:rFonts w:ascii="Arial" w:eastAsia="Calibri" w:hAnsi="Arial" w:cs="Arial"/>
          <w:b/>
          <w:sz w:val="22"/>
        </w:rPr>
      </w:pPr>
      <w:r w:rsidRPr="00DC5CAD">
        <w:rPr>
          <w:rFonts w:ascii="Arial" w:eastAsia="Calibri" w:hAnsi="Arial" w:cs="Arial"/>
          <w:b/>
          <w:sz w:val="22"/>
        </w:rPr>
        <w:t>2.</w:t>
      </w:r>
      <w:r>
        <w:rPr>
          <w:rFonts w:ascii="Arial" w:eastAsia="Calibri" w:hAnsi="Arial" w:cs="Arial"/>
          <w:b/>
          <w:sz w:val="22"/>
        </w:rPr>
        <w:t>1.</w:t>
      </w:r>
      <w:r w:rsidRPr="00DC5CAD">
        <w:rPr>
          <w:rFonts w:ascii="Arial" w:eastAsia="Calibri" w:hAnsi="Arial" w:cs="Arial"/>
          <w:b/>
          <w:sz w:val="22"/>
        </w:rPr>
        <w:t xml:space="preserve"> </w:t>
      </w:r>
      <w:r>
        <w:rPr>
          <w:rFonts w:ascii="Arial" w:eastAsia="Calibri" w:hAnsi="Arial" w:cs="Arial"/>
          <w:b/>
          <w:sz w:val="22"/>
        </w:rPr>
        <w:t>A</w:t>
      </w:r>
      <w:r w:rsidRPr="00DC5CAD">
        <w:rPr>
          <w:rFonts w:ascii="Arial" w:eastAsia="Calibri" w:hAnsi="Arial" w:cs="Arial"/>
          <w:b/>
          <w:sz w:val="22"/>
        </w:rPr>
        <w:t xml:space="preserve">proximación general al concepto </w:t>
      </w:r>
      <w:r>
        <w:rPr>
          <w:rFonts w:ascii="Arial" w:eastAsia="Calibri" w:hAnsi="Arial" w:cs="Arial"/>
          <w:b/>
          <w:sz w:val="22"/>
        </w:rPr>
        <w:t>de e</w:t>
      </w:r>
      <w:r w:rsidRPr="00DC5CAD">
        <w:rPr>
          <w:rFonts w:ascii="Arial" w:eastAsia="Calibri" w:hAnsi="Arial" w:cs="Arial"/>
          <w:b/>
          <w:sz w:val="22"/>
        </w:rPr>
        <w:t>xperiencia en la contratación pública</w:t>
      </w:r>
    </w:p>
    <w:p w14:paraId="1FB4232F" w14:textId="77777777" w:rsidR="00F1148B" w:rsidRPr="00DC5CAD" w:rsidRDefault="00F1148B" w:rsidP="00F1148B">
      <w:pPr>
        <w:spacing w:line="276" w:lineRule="auto"/>
        <w:jc w:val="both"/>
        <w:rPr>
          <w:rFonts w:ascii="Arial" w:eastAsia="Calibri" w:hAnsi="Arial" w:cs="Arial"/>
          <w:b/>
          <w:sz w:val="22"/>
        </w:rPr>
      </w:pPr>
    </w:p>
    <w:p w14:paraId="5CB69205" w14:textId="77777777" w:rsidR="00F1148B" w:rsidRPr="00DC5CAD" w:rsidRDefault="00F1148B" w:rsidP="00F1148B">
      <w:pPr>
        <w:spacing w:line="276" w:lineRule="auto"/>
        <w:jc w:val="both"/>
        <w:rPr>
          <w:rFonts w:ascii="Arial" w:eastAsia="Calibri" w:hAnsi="Arial" w:cs="Arial"/>
          <w:sz w:val="22"/>
          <w:highlight w:val="yellow"/>
        </w:rPr>
      </w:pPr>
      <w:r w:rsidRPr="00DC5CAD">
        <w:rPr>
          <w:rFonts w:ascii="Arial" w:eastAsia="Calibri" w:hAnsi="Arial" w:cs="Arial"/>
          <w:sz w:val="22"/>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DC5CAD">
        <w:rPr>
          <w:rStyle w:val="Refdenotaalpie"/>
          <w:rFonts w:ascii="Arial" w:eastAsia="Calibri" w:hAnsi="Arial" w:cs="Arial"/>
          <w:sz w:val="22"/>
        </w:rPr>
        <w:footnoteReference w:id="2"/>
      </w:r>
      <w:r w:rsidRPr="00DC5CAD">
        <w:rPr>
          <w:rFonts w:ascii="Arial" w:eastAsia="Calibri" w:hAnsi="Arial" w:cs="Arial"/>
          <w:sz w:val="22"/>
        </w:rPr>
        <w:t xml:space="preserve">.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w:t>
      </w:r>
      <w:r w:rsidRPr="00DC5CAD">
        <w:rPr>
          <w:rFonts w:ascii="Arial" w:eastAsia="Calibri" w:hAnsi="Arial" w:cs="Arial"/>
          <w:sz w:val="22"/>
        </w:rPr>
        <w:lastRenderedPageBreak/>
        <w:t>componentes</w:t>
      </w:r>
      <w:r>
        <w:rPr>
          <w:rFonts w:ascii="Arial" w:eastAsia="Calibri" w:hAnsi="Arial" w:cs="Arial"/>
          <w:sz w:val="22"/>
        </w:rPr>
        <w:t>,</w:t>
      </w:r>
      <w:r w:rsidRPr="00DC5CAD">
        <w:rPr>
          <w:rFonts w:ascii="Arial" w:eastAsia="Calibri" w:hAnsi="Arial" w:cs="Arial"/>
          <w:sz w:val="22"/>
        </w:rPr>
        <w:t xml:space="preserve"> como la identificación de riesgos, </w:t>
      </w:r>
      <w:r>
        <w:rPr>
          <w:rFonts w:ascii="Arial" w:eastAsia="Calibri" w:hAnsi="Arial" w:cs="Arial"/>
          <w:sz w:val="22"/>
        </w:rPr>
        <w:t xml:space="preserve">así como </w:t>
      </w:r>
      <w:r w:rsidRPr="00DC5CAD">
        <w:rPr>
          <w:rFonts w:ascii="Arial" w:eastAsia="Calibri" w:hAnsi="Arial" w:cs="Arial"/>
          <w:sz w:val="22"/>
        </w:rPr>
        <w:t>el mercado y precio del bien, obra o servicio a contratar</w:t>
      </w:r>
      <w:r w:rsidRPr="00DC5CAD">
        <w:rPr>
          <w:rStyle w:val="Refdenotaalpie"/>
          <w:rFonts w:ascii="Arial" w:eastAsia="Calibri" w:hAnsi="Arial" w:cs="Arial"/>
          <w:sz w:val="22"/>
        </w:rPr>
        <w:footnoteReference w:id="3"/>
      </w:r>
      <w:r w:rsidRPr="00DC5CAD">
        <w:rPr>
          <w:rFonts w:ascii="Arial" w:eastAsia="Calibri" w:hAnsi="Arial" w:cs="Arial"/>
          <w:sz w:val="22"/>
        </w:rPr>
        <w:t>.</w:t>
      </w:r>
    </w:p>
    <w:p w14:paraId="630CC2C0" w14:textId="77777777" w:rsidR="00F1148B" w:rsidRPr="00DC5CAD" w:rsidRDefault="00F1148B" w:rsidP="00F1148B">
      <w:pPr>
        <w:spacing w:before="120" w:after="120" w:line="276" w:lineRule="auto"/>
        <w:ind w:firstLine="708"/>
        <w:jc w:val="both"/>
        <w:rPr>
          <w:rFonts w:ascii="Arial" w:eastAsia="Calibri" w:hAnsi="Arial" w:cs="Arial"/>
          <w:sz w:val="22"/>
        </w:rPr>
      </w:pPr>
      <w:r w:rsidRPr="00DC5CAD">
        <w:rPr>
          <w:rFonts w:ascii="Arial" w:eastAsia="Calibri" w:hAnsi="Arial" w:cs="Arial"/>
          <w:sz w:val="22"/>
        </w:rPr>
        <w:t xml:space="preserve">La experiencia que se deriva de los contratos que el proponente ha celebrado y ejecutado con diferentes contratantes, sin importar la naturaleza de estos, se verifica con el Registro Único de Proponentes </w:t>
      </w:r>
      <w:r>
        <w:rPr>
          <w:rFonts w:ascii="Arial" w:eastAsia="Calibri" w:hAnsi="Arial" w:cs="Arial"/>
          <w:sz w:val="22"/>
        </w:rPr>
        <w:t xml:space="preserve">– </w:t>
      </w:r>
      <w:r w:rsidRPr="00DC5CAD">
        <w:rPr>
          <w:rFonts w:ascii="Arial" w:eastAsia="Calibri" w:hAnsi="Arial" w:cs="Arial"/>
          <w:sz w:val="22"/>
        </w:rPr>
        <w:t>RUP</w:t>
      </w:r>
      <w:r w:rsidRPr="00DC5CAD">
        <w:rPr>
          <w:rStyle w:val="Refdenotaalpie"/>
          <w:rFonts w:ascii="Arial" w:eastAsia="Calibri" w:hAnsi="Arial" w:cs="Arial"/>
          <w:sz w:val="22"/>
        </w:rPr>
        <w:footnoteReference w:id="4"/>
      </w:r>
      <w:r w:rsidRPr="00DC5CAD">
        <w:rPr>
          <w:rFonts w:ascii="Arial" w:eastAsia="Calibri" w:hAnsi="Arial" w:cs="Arial"/>
          <w:sz w:val="22"/>
        </w:rPr>
        <w:t>, cuando este certificado sea exigible de acuerdo con la ley</w:t>
      </w:r>
      <w:r>
        <w:rPr>
          <w:rFonts w:ascii="Arial" w:eastAsia="Calibri" w:hAnsi="Arial" w:cs="Arial"/>
          <w:sz w:val="22"/>
        </w:rPr>
        <w:t>.</w:t>
      </w:r>
      <w:r w:rsidRPr="00DC5CAD">
        <w:rPr>
          <w:rFonts w:ascii="Arial" w:eastAsia="Calibri" w:hAnsi="Arial" w:cs="Arial"/>
          <w:sz w:val="22"/>
        </w:rPr>
        <w:t xml:space="preserve"> </w:t>
      </w:r>
      <w:r>
        <w:rPr>
          <w:rFonts w:ascii="Arial" w:eastAsia="Calibri" w:hAnsi="Arial" w:cs="Arial"/>
          <w:sz w:val="22"/>
        </w:rPr>
        <w:t>En el RUP</w:t>
      </w:r>
      <w:r w:rsidRPr="00DC5CAD">
        <w:rPr>
          <w:rFonts w:ascii="Arial" w:eastAsia="Calibri" w:hAnsi="Arial" w:cs="Arial"/>
          <w:sz w:val="22"/>
        </w:rPr>
        <w:t xml:space="preserve"> constan los requisitos habilitantes que se evalúan exclusivamente con este documento, que es su plena prueba, sin que la entidad o el proponente puedan solicitar o aportar otra documentación</w:t>
      </w:r>
      <w:r w:rsidRPr="00DC5CAD">
        <w:rPr>
          <w:rStyle w:val="Refdenotaalpie"/>
          <w:rFonts w:ascii="Arial" w:eastAsia="Calibri" w:hAnsi="Arial" w:cs="Arial"/>
          <w:sz w:val="22"/>
        </w:rPr>
        <w:footnoteReference w:id="5"/>
      </w:r>
      <w:r w:rsidRPr="00DC5CAD">
        <w:rPr>
          <w:rFonts w:ascii="Arial" w:eastAsia="Calibri" w:hAnsi="Arial" w:cs="Arial"/>
          <w:sz w:val="22"/>
        </w:rPr>
        <w:t>.</w:t>
      </w:r>
    </w:p>
    <w:p w14:paraId="7B982008" w14:textId="77777777" w:rsidR="00F1148B" w:rsidRDefault="00F1148B" w:rsidP="00F1148B">
      <w:pPr>
        <w:spacing w:line="276" w:lineRule="auto"/>
        <w:ind w:firstLine="708"/>
        <w:jc w:val="both"/>
        <w:rPr>
          <w:rFonts w:ascii="Arial" w:eastAsia="Calibri" w:hAnsi="Arial" w:cs="Arial"/>
          <w:sz w:val="22"/>
        </w:rPr>
      </w:pPr>
      <w:r w:rsidRPr="00DC5CAD">
        <w:rPr>
          <w:rFonts w:ascii="Arial" w:eastAsia="Calibri" w:hAnsi="Arial" w:cs="Arial"/>
          <w:sz w:val="22"/>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Pr>
          <w:rFonts w:ascii="Arial" w:eastAsia="Calibri" w:hAnsi="Arial" w:cs="Arial"/>
          <w:sz w:val="22"/>
        </w:rPr>
        <w:t xml:space="preserve">. Tales </w:t>
      </w:r>
      <w:r w:rsidRPr="00DC5CAD">
        <w:rPr>
          <w:rFonts w:ascii="Arial" w:eastAsia="Calibri" w:hAnsi="Arial" w:cs="Arial"/>
          <w:sz w:val="22"/>
        </w:rPr>
        <w:t>documentos deben codificarse con el clasificador de bienes y servicios en el tercer nivel</w:t>
      </w:r>
      <w:r w:rsidRPr="00DC5CAD">
        <w:rPr>
          <w:rStyle w:val="Refdenotaalpie"/>
          <w:rFonts w:ascii="Arial" w:eastAsia="Calibri" w:hAnsi="Arial" w:cs="Arial"/>
          <w:sz w:val="22"/>
        </w:rPr>
        <w:footnoteReference w:id="6"/>
      </w:r>
      <w:r w:rsidRPr="00DC5CAD">
        <w:rPr>
          <w:rFonts w:ascii="Arial" w:eastAsia="Calibri" w:hAnsi="Arial" w:cs="Arial"/>
          <w:sz w:val="22"/>
        </w:rPr>
        <w:t xml:space="preserve">. De esta manera, </w:t>
      </w:r>
      <w:r>
        <w:rPr>
          <w:rFonts w:ascii="Arial" w:eastAsia="Calibri" w:hAnsi="Arial" w:cs="Arial"/>
          <w:sz w:val="22"/>
        </w:rPr>
        <w:t>con el RUP se verifica</w:t>
      </w:r>
      <w:r w:rsidRPr="00DC5CAD">
        <w:rPr>
          <w:rFonts w:ascii="Arial" w:eastAsia="Calibri" w:hAnsi="Arial" w:cs="Arial"/>
          <w:sz w:val="22"/>
        </w:rPr>
        <w:t xml:space="preserve"> que el proponente tenga experiencia en la </w:t>
      </w:r>
      <w:r w:rsidRPr="00DC5CAD">
        <w:rPr>
          <w:rFonts w:ascii="Arial" w:eastAsia="Calibri" w:hAnsi="Arial" w:cs="Arial"/>
          <w:sz w:val="22"/>
        </w:rPr>
        <w:lastRenderedPageBreak/>
        <w:t>ejecución del objeto que pretende contratar la entidad,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de esta forma.</w:t>
      </w:r>
    </w:p>
    <w:p w14:paraId="1611BC68" w14:textId="77777777" w:rsidR="00F1148B" w:rsidRPr="00DC5CAD" w:rsidRDefault="00F1148B" w:rsidP="00F1148B">
      <w:pPr>
        <w:spacing w:before="120" w:line="276" w:lineRule="auto"/>
        <w:ind w:firstLine="709"/>
        <w:jc w:val="both"/>
        <w:rPr>
          <w:rFonts w:ascii="Arial" w:eastAsia="Calibri" w:hAnsi="Arial" w:cs="Arial"/>
          <w:sz w:val="22"/>
        </w:rPr>
      </w:pPr>
      <w:r w:rsidRPr="00DC5CAD">
        <w:rPr>
          <w:rFonts w:ascii="Arial" w:eastAsia="Calibri" w:hAnsi="Arial" w:cs="Arial"/>
          <w:sz w:val="22"/>
        </w:rPr>
        <w:t xml:space="preserve">La Agencia Nacional de Contratación Pública - Colombia Compra Eficiente puso a disposición de los interesados del Sistema de Compra Pública </w:t>
      </w:r>
      <w:r w:rsidRPr="004B0105">
        <w:rPr>
          <w:rFonts w:ascii="Arial" w:eastAsia="Calibri" w:hAnsi="Arial" w:cs="Arial"/>
          <w:sz w:val="22"/>
        </w:rPr>
        <w:t>el</w:t>
      </w:r>
      <w:r w:rsidRPr="004B7D0A">
        <w:rPr>
          <w:rFonts w:ascii="Arial" w:eastAsia="Calibri" w:hAnsi="Arial" w:cs="Arial"/>
          <w:i/>
          <w:iCs/>
          <w:sz w:val="22"/>
        </w:rPr>
        <w:t xml:space="preserve"> Manual para determinar y verificar requisitos habilitantes en los procesos de contratación</w:t>
      </w:r>
      <w:r>
        <w:rPr>
          <w:rFonts w:ascii="Arial" w:eastAsia="Calibri" w:hAnsi="Arial" w:cs="Arial"/>
          <w:sz w:val="22"/>
        </w:rPr>
        <w:t>.</w:t>
      </w:r>
      <w:r w:rsidRPr="00DC5CAD">
        <w:rPr>
          <w:rFonts w:ascii="Arial" w:eastAsia="Calibri" w:hAnsi="Arial" w:cs="Arial"/>
          <w:sz w:val="22"/>
        </w:rPr>
        <w:t xml:space="preserve"> </w:t>
      </w:r>
      <w:r>
        <w:rPr>
          <w:rFonts w:ascii="Arial" w:eastAsia="Calibri" w:hAnsi="Arial" w:cs="Arial"/>
          <w:sz w:val="22"/>
        </w:rPr>
        <w:t xml:space="preserve">En dicho Manual se </w:t>
      </w:r>
      <w:r w:rsidRPr="00DC5CAD">
        <w:rPr>
          <w:rFonts w:ascii="Arial" w:eastAsia="Calibri" w:hAnsi="Arial" w:cs="Arial"/>
          <w:sz w:val="22"/>
        </w:rPr>
        <w:t xml:space="preserve">establecen las definiciones de cada requisito habilitante y se dan lineamientos orientadores sobre lo que las entidades pueden hacer para </w:t>
      </w:r>
      <w:r>
        <w:rPr>
          <w:rFonts w:ascii="Arial" w:eastAsia="Calibri" w:hAnsi="Arial" w:cs="Arial"/>
          <w:sz w:val="22"/>
        </w:rPr>
        <w:t>configurarlos</w:t>
      </w:r>
      <w:r w:rsidRPr="00DC5CAD">
        <w:rPr>
          <w:rFonts w:ascii="Arial" w:eastAsia="Calibri" w:hAnsi="Arial" w:cs="Arial"/>
          <w:sz w:val="22"/>
        </w:rPr>
        <w:t xml:space="preserve">. Sobre el particular, para la experiencia, como requisito habilitante señalado en su consulta, el Manual se centra en una de sus cualidades y es que es personal, lo cual significa que quien tiene la experiencia </w:t>
      </w:r>
      <w:r>
        <w:rPr>
          <w:rFonts w:ascii="Arial" w:eastAsia="Calibri" w:hAnsi="Arial" w:cs="Arial"/>
          <w:sz w:val="22"/>
        </w:rPr>
        <w:t>lo hace en razón de</w:t>
      </w:r>
      <w:r w:rsidRPr="00DC5CAD">
        <w:rPr>
          <w:rFonts w:ascii="Arial" w:eastAsia="Calibri" w:hAnsi="Arial" w:cs="Arial"/>
          <w:sz w:val="22"/>
        </w:rPr>
        <w:t xml:space="preserve"> su participación, con anterioridad, en actividades que le permitieron conocer cómo ejecutar el objeto contractual</w:t>
      </w:r>
      <w:r>
        <w:rPr>
          <w:rFonts w:ascii="Arial" w:eastAsia="Calibri" w:hAnsi="Arial" w:cs="Arial"/>
          <w:sz w:val="22"/>
        </w:rPr>
        <w:t xml:space="preserve"> </w:t>
      </w:r>
      <w:r w:rsidRPr="00DC5CAD">
        <w:rPr>
          <w:rFonts w:ascii="Arial" w:eastAsia="Calibri" w:hAnsi="Arial" w:cs="Arial"/>
          <w:sz w:val="22"/>
        </w:rPr>
        <w:t>que la entidad pretende satisfacer ahora</w:t>
      </w:r>
      <w:r w:rsidRPr="00DC5CAD">
        <w:rPr>
          <w:rStyle w:val="Refdenotaalpie"/>
          <w:rFonts w:ascii="Arial" w:eastAsia="Calibri" w:hAnsi="Arial" w:cs="Arial"/>
          <w:sz w:val="22"/>
        </w:rPr>
        <w:footnoteReference w:id="7"/>
      </w:r>
      <w:r w:rsidRPr="00DC5CAD">
        <w:rPr>
          <w:rFonts w:ascii="Arial" w:eastAsia="Calibri" w:hAnsi="Arial" w:cs="Arial"/>
          <w:sz w:val="22"/>
        </w:rPr>
        <w:t>.</w:t>
      </w:r>
    </w:p>
    <w:p w14:paraId="4175B208" w14:textId="77777777" w:rsidR="00F1148B" w:rsidRPr="00DC5CAD" w:rsidRDefault="00F1148B" w:rsidP="00F1148B">
      <w:pPr>
        <w:spacing w:before="120" w:after="120" w:line="276" w:lineRule="auto"/>
        <w:ind w:firstLine="708"/>
        <w:jc w:val="both"/>
        <w:rPr>
          <w:rFonts w:ascii="Arial" w:eastAsia="Calibri" w:hAnsi="Arial" w:cs="Arial"/>
          <w:sz w:val="22"/>
        </w:rPr>
      </w:pPr>
      <w:r w:rsidRPr="00DC5CAD">
        <w:rPr>
          <w:rFonts w:ascii="Arial" w:eastAsia="Calibri" w:hAnsi="Arial" w:cs="Arial"/>
          <w:sz w:val="22"/>
        </w:rPr>
        <w:t>Lo anterior es determinante, porque no es posible tener experiencia si en la práctica no se ha</w:t>
      </w:r>
      <w:r>
        <w:rPr>
          <w:rFonts w:ascii="Arial" w:eastAsia="Calibri" w:hAnsi="Arial" w:cs="Arial"/>
          <w:sz w:val="22"/>
        </w:rPr>
        <w:t>n ejecutado actividades similares previas.</w:t>
      </w:r>
      <w:r w:rsidRPr="00DC5CAD">
        <w:rPr>
          <w:rFonts w:ascii="Arial" w:eastAsia="Calibri" w:hAnsi="Arial" w:cs="Arial"/>
          <w:sz w:val="22"/>
        </w:rPr>
        <w:t xml:space="preserve"> </w:t>
      </w:r>
      <w:r>
        <w:rPr>
          <w:rFonts w:ascii="Arial" w:eastAsia="Calibri" w:hAnsi="Arial" w:cs="Arial"/>
          <w:sz w:val="22"/>
        </w:rPr>
        <w:t>P</w:t>
      </w:r>
      <w:r w:rsidRPr="00DC5CAD">
        <w:rPr>
          <w:rFonts w:ascii="Arial" w:eastAsia="Calibri" w:hAnsi="Arial" w:cs="Arial"/>
          <w:sz w:val="22"/>
        </w:rPr>
        <w:t>recisamente</w:t>
      </w:r>
      <w:r>
        <w:rPr>
          <w:rFonts w:ascii="Arial" w:eastAsia="Calibri" w:hAnsi="Arial" w:cs="Arial"/>
          <w:sz w:val="22"/>
        </w:rPr>
        <w:t xml:space="preserve">, </w:t>
      </w:r>
      <w:r w:rsidRPr="00DC5CAD">
        <w:rPr>
          <w:rFonts w:ascii="Arial" w:eastAsia="Calibri" w:hAnsi="Arial" w:cs="Arial"/>
          <w:sz w:val="22"/>
        </w:rPr>
        <w:t xml:space="preserve">de la experiencia se deriva el conocimiento del proponente, y para la contratación pública es importante, ya que </w:t>
      </w:r>
      <w:r w:rsidRPr="00DC5CAD">
        <w:rPr>
          <w:rFonts w:ascii="Arial" w:eastAsia="Calibri" w:hAnsi="Arial" w:cs="Arial"/>
          <w:sz w:val="22"/>
        </w:rPr>
        <w:lastRenderedPageBreak/>
        <w:t xml:space="preserve">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w:t>
      </w:r>
      <w:r>
        <w:rPr>
          <w:rFonts w:ascii="Arial" w:eastAsia="Calibri" w:hAnsi="Arial" w:cs="Arial"/>
          <w:sz w:val="22"/>
        </w:rPr>
        <w:t>evento en el cual,</w:t>
      </w:r>
      <w:r w:rsidRPr="00DC5CAD">
        <w:rPr>
          <w:rFonts w:ascii="Arial" w:eastAsia="Calibri" w:hAnsi="Arial" w:cs="Arial"/>
          <w:sz w:val="22"/>
        </w:rPr>
        <w:t xml:space="preserve"> por tratarse de esquemas asociativos</w:t>
      </w:r>
      <w:r>
        <w:rPr>
          <w:rFonts w:ascii="Arial" w:eastAsia="Calibri" w:hAnsi="Arial" w:cs="Arial"/>
          <w:sz w:val="22"/>
        </w:rPr>
        <w:t>,</w:t>
      </w:r>
      <w:r w:rsidRPr="00DC5CAD">
        <w:rPr>
          <w:rFonts w:ascii="Arial" w:eastAsia="Calibri" w:hAnsi="Arial" w:cs="Arial"/>
          <w:sz w:val="22"/>
        </w:rPr>
        <w:t xml:space="preserve"> la experiencia es compartida. Por otra parte, la Agencia recomienda que la experiencia que se solicite sea proporcional y no igual al objeto que se va a contratar, ya que esto puede limitar la participación de los proveedores</w:t>
      </w:r>
      <w:r>
        <w:rPr>
          <w:rFonts w:ascii="Arial" w:eastAsia="Calibri" w:hAnsi="Arial" w:cs="Arial"/>
          <w:sz w:val="22"/>
        </w:rPr>
        <w:t>,</w:t>
      </w:r>
      <w:r w:rsidRPr="00DC5CAD">
        <w:rPr>
          <w:rFonts w:ascii="Arial" w:eastAsia="Calibri" w:hAnsi="Arial" w:cs="Arial"/>
          <w:sz w:val="22"/>
        </w:rPr>
        <w:t xml:space="preserve"> por no haber ejecutado un objeto igual pero sí similar, que puede funcionar para las exigencias de la entidad ayudando a que exista pluralidad de oferentes. </w:t>
      </w:r>
    </w:p>
    <w:p w14:paraId="5B3BA4FC" w14:textId="77777777" w:rsidR="00F1148B" w:rsidRPr="00DC5CAD" w:rsidRDefault="00F1148B" w:rsidP="00F1148B">
      <w:pPr>
        <w:spacing w:before="120" w:after="120" w:line="276" w:lineRule="auto"/>
        <w:ind w:firstLine="708"/>
        <w:jc w:val="both"/>
        <w:rPr>
          <w:rFonts w:ascii="Arial" w:eastAsia="Calibri" w:hAnsi="Arial" w:cs="Arial"/>
          <w:sz w:val="22"/>
        </w:rPr>
      </w:pPr>
      <w:r w:rsidRPr="00DC5CAD">
        <w:rPr>
          <w:rFonts w:ascii="Arial" w:eastAsia="Calibri" w:hAnsi="Arial" w:cs="Arial"/>
          <w:sz w:val="22"/>
        </w:rPr>
        <w:t>Finalmente, se pueden extraer cuatro conclusiones relevantes para evaluar</w:t>
      </w:r>
      <w:r>
        <w:rPr>
          <w:rFonts w:ascii="Arial" w:eastAsia="Calibri" w:hAnsi="Arial" w:cs="Arial"/>
          <w:sz w:val="22"/>
        </w:rPr>
        <w:t xml:space="preserve"> a continuación</w:t>
      </w:r>
      <w:r w:rsidRPr="00DC5CAD">
        <w:rPr>
          <w:rFonts w:ascii="Arial" w:eastAsia="Calibri" w:hAnsi="Arial" w:cs="Arial"/>
          <w:sz w:val="22"/>
        </w:rPr>
        <w:t xml:space="preserve"> las figuras y reformas estatutarias de las sociedades comerciales, respecto de la experiencia: </w:t>
      </w:r>
    </w:p>
    <w:p w14:paraId="1A354DB6" w14:textId="77777777" w:rsidR="00F1148B" w:rsidRPr="00DC5CAD" w:rsidRDefault="00F1148B" w:rsidP="00F1148B">
      <w:pPr>
        <w:spacing w:before="120" w:after="120" w:line="276" w:lineRule="auto"/>
        <w:ind w:firstLine="708"/>
        <w:jc w:val="both"/>
        <w:rPr>
          <w:rFonts w:ascii="Arial" w:eastAsia="Calibri" w:hAnsi="Arial" w:cs="Arial"/>
          <w:sz w:val="22"/>
        </w:rPr>
      </w:pPr>
      <w:r w:rsidRPr="00DC5CAD">
        <w:rPr>
          <w:rFonts w:ascii="Arial" w:eastAsia="Calibri" w:hAnsi="Arial" w:cs="Arial"/>
          <w:sz w:val="22"/>
        </w:rPr>
        <w:t>i) La experiencia es personal, esto es, se adquiere participando, directa o indirectamente, sin que sea posible no hacerlo y tener experiencia.</w:t>
      </w:r>
    </w:p>
    <w:p w14:paraId="09F303C1" w14:textId="77777777" w:rsidR="00F1148B" w:rsidRPr="00DC5CAD" w:rsidRDefault="00F1148B" w:rsidP="00F1148B">
      <w:pPr>
        <w:spacing w:before="120" w:after="120" w:line="276" w:lineRule="auto"/>
        <w:ind w:firstLine="708"/>
        <w:jc w:val="both"/>
        <w:rPr>
          <w:rFonts w:ascii="Arial" w:eastAsia="Calibri" w:hAnsi="Arial" w:cs="Arial"/>
          <w:sz w:val="22"/>
        </w:rPr>
      </w:pPr>
      <w:r w:rsidRPr="00DC5CAD">
        <w:rPr>
          <w:rFonts w:ascii="Arial" w:eastAsia="Calibri" w:hAnsi="Arial" w:cs="Arial"/>
          <w:sz w:val="22"/>
        </w:rPr>
        <w:t>ii) La experiencia se puede compartir,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r w:rsidRPr="00DC5CAD">
        <w:rPr>
          <w:rStyle w:val="Refdenotaalpie"/>
          <w:rFonts w:ascii="Arial" w:eastAsia="Calibri" w:hAnsi="Arial" w:cs="Arial"/>
          <w:sz w:val="22"/>
        </w:rPr>
        <w:footnoteReference w:id="8"/>
      </w:r>
      <w:r w:rsidRPr="00DC5CAD">
        <w:rPr>
          <w:rFonts w:ascii="Arial" w:eastAsia="Calibri" w:hAnsi="Arial" w:cs="Arial"/>
          <w:sz w:val="22"/>
        </w:rPr>
        <w:t>.</w:t>
      </w:r>
    </w:p>
    <w:p w14:paraId="4AE3C546" w14:textId="77777777" w:rsidR="00F1148B" w:rsidRPr="00DC5CAD" w:rsidRDefault="00F1148B" w:rsidP="00F1148B">
      <w:pPr>
        <w:spacing w:before="120" w:after="120" w:line="276" w:lineRule="auto"/>
        <w:ind w:firstLine="708"/>
        <w:jc w:val="both"/>
        <w:rPr>
          <w:rFonts w:ascii="Arial" w:eastAsia="Calibri" w:hAnsi="Arial" w:cs="Arial"/>
          <w:sz w:val="22"/>
        </w:rPr>
      </w:pPr>
      <w:r w:rsidRPr="00DC5CAD">
        <w:rPr>
          <w:rFonts w:ascii="Arial" w:eastAsia="Calibri" w:hAnsi="Arial" w:cs="Arial"/>
          <w:sz w:val="22"/>
        </w:rPr>
        <w:t>iii) La experiencia se puede transferir, y esto es diferente a compartir, lo que implica que la experiencia de una persona se traslada a otra, y esta última acredita la experiencia como propia, como sucede con algunas figuras y reformas estatutarias, que se explicarán con más detalle en el numeral 2.</w:t>
      </w:r>
      <w:r>
        <w:rPr>
          <w:rFonts w:ascii="Arial" w:eastAsia="Calibri" w:hAnsi="Arial" w:cs="Arial"/>
          <w:sz w:val="22"/>
        </w:rPr>
        <w:t>2.</w:t>
      </w:r>
      <w:r w:rsidRPr="00DC5CAD">
        <w:rPr>
          <w:rFonts w:ascii="Arial" w:eastAsia="Calibri" w:hAnsi="Arial" w:cs="Arial"/>
          <w:sz w:val="22"/>
        </w:rPr>
        <w:t xml:space="preserve"> de este concepto.</w:t>
      </w:r>
    </w:p>
    <w:p w14:paraId="1F13F72F" w14:textId="77777777" w:rsidR="00F1148B" w:rsidRPr="00DC5CAD" w:rsidRDefault="00F1148B" w:rsidP="00F1148B">
      <w:pPr>
        <w:spacing w:line="276" w:lineRule="auto"/>
        <w:ind w:firstLine="708"/>
        <w:jc w:val="both"/>
        <w:rPr>
          <w:rFonts w:ascii="Arial" w:eastAsia="Calibri" w:hAnsi="Arial" w:cs="Arial"/>
          <w:sz w:val="22"/>
        </w:rPr>
      </w:pPr>
      <w:r w:rsidRPr="00DC5CAD">
        <w:rPr>
          <w:rFonts w:ascii="Arial" w:eastAsia="Calibri" w:hAnsi="Arial" w:cs="Arial"/>
          <w:sz w:val="22"/>
        </w:rPr>
        <w:t>iv) Cuando la persona que adquirió la experiencia desaparece o se liquida no es posible que comparta o transfiera su experiencia, porque</w:t>
      </w:r>
      <w:r>
        <w:rPr>
          <w:rFonts w:ascii="Arial" w:eastAsia="Calibri" w:hAnsi="Arial" w:cs="Arial"/>
          <w:sz w:val="22"/>
        </w:rPr>
        <w:t>,</w:t>
      </w:r>
      <w:r w:rsidRPr="00DC5CAD">
        <w:rPr>
          <w:rFonts w:ascii="Arial" w:eastAsia="Calibri" w:hAnsi="Arial" w:cs="Arial"/>
          <w:sz w:val="22"/>
        </w:rPr>
        <w:t xml:space="preserve"> al ser personal</w:t>
      </w:r>
      <w:r>
        <w:rPr>
          <w:rFonts w:ascii="Arial" w:eastAsia="Calibri" w:hAnsi="Arial" w:cs="Arial"/>
          <w:sz w:val="22"/>
        </w:rPr>
        <w:t>,</w:t>
      </w:r>
      <w:r w:rsidRPr="00DC5CAD">
        <w:rPr>
          <w:rFonts w:ascii="Arial" w:eastAsia="Calibri" w:hAnsi="Arial" w:cs="Arial"/>
          <w:sz w:val="22"/>
        </w:rPr>
        <w:t xml:space="preserve"> sigue la suerte de quien la adquirió.</w:t>
      </w:r>
    </w:p>
    <w:p w14:paraId="4C282C4B" w14:textId="77777777" w:rsidR="00F1148B" w:rsidRDefault="00F1148B" w:rsidP="00F1148B">
      <w:pPr>
        <w:spacing w:before="120" w:after="120" w:line="276" w:lineRule="auto"/>
        <w:ind w:firstLine="708"/>
        <w:jc w:val="both"/>
        <w:rPr>
          <w:rFonts w:ascii="Arial" w:eastAsia="Calibri" w:hAnsi="Arial" w:cs="Arial"/>
          <w:sz w:val="22"/>
        </w:rPr>
      </w:pPr>
      <w:r w:rsidRPr="002634CA">
        <w:rPr>
          <w:rFonts w:ascii="Arial" w:eastAsia="Calibri" w:hAnsi="Arial" w:cs="Arial"/>
          <w:sz w:val="22"/>
        </w:rPr>
        <w:t>De lo anterior se sigue que, por regla general, en la actividad contractual regulada por el Estatuto General de Contratación de la Administración Pública la experiencia es personal e intransferible, salvo algunas excepciones.</w:t>
      </w:r>
      <w:r>
        <w:rPr>
          <w:rFonts w:ascii="Arial" w:eastAsia="Calibri" w:hAnsi="Arial" w:cs="Arial"/>
          <w:sz w:val="22"/>
        </w:rPr>
        <w:t xml:space="preserve"> </w:t>
      </w:r>
      <w:r w:rsidRPr="002634CA">
        <w:rPr>
          <w:rFonts w:ascii="Arial" w:eastAsia="Calibri" w:hAnsi="Arial" w:cs="Arial"/>
          <w:sz w:val="22"/>
        </w:rPr>
        <w:t xml:space="preserve">Una primera excepción a la regla anteriormente descrita se encuentra consagrada en el numeral 2.5. del artículo 2.2.1.1.1.5.2. del Decreto 1082 de 2015, con arreglo al cual si bien para la inscripción, renovación o actualización del Registro Único de Proponentes (RUP) la persona jurídica interesada debe presentar ante la cámara de comercio respectiva los certificados de los bienes, obras o servicios cuya experiencia requiere acreditar, </w:t>
      </w:r>
      <w:r>
        <w:rPr>
          <w:rFonts w:ascii="Arial" w:eastAsia="Calibri" w:hAnsi="Arial" w:cs="Arial"/>
          <w:sz w:val="22"/>
        </w:rPr>
        <w:t>«</w:t>
      </w:r>
      <w:r w:rsidRPr="002634CA">
        <w:rPr>
          <w:rFonts w:ascii="Arial" w:eastAsia="Calibri" w:hAnsi="Arial" w:cs="Arial"/>
          <w:sz w:val="22"/>
        </w:rPr>
        <w:t>Si la constitución del interesado es menor a tres (3) años, puede acreditar la experiencia de sus accionistas, socios o constituyentes</w:t>
      </w:r>
      <w:r>
        <w:rPr>
          <w:rFonts w:ascii="Arial" w:eastAsia="Calibri" w:hAnsi="Arial" w:cs="Arial"/>
          <w:sz w:val="22"/>
        </w:rPr>
        <w:t>»</w:t>
      </w:r>
      <w:r w:rsidRPr="002634CA">
        <w:rPr>
          <w:rFonts w:ascii="Arial" w:eastAsia="Calibri" w:hAnsi="Arial" w:cs="Arial"/>
          <w:sz w:val="22"/>
        </w:rPr>
        <w:t>.</w:t>
      </w:r>
    </w:p>
    <w:p w14:paraId="3C38054D" w14:textId="4A04A6A6" w:rsidR="00F1148B" w:rsidRDefault="00F1148B" w:rsidP="00F1148B">
      <w:pPr>
        <w:spacing w:before="120" w:line="276" w:lineRule="auto"/>
        <w:ind w:firstLine="709"/>
        <w:jc w:val="both"/>
        <w:rPr>
          <w:rFonts w:ascii="Arial" w:eastAsia="Calibri" w:hAnsi="Arial" w:cs="Arial"/>
          <w:sz w:val="22"/>
        </w:rPr>
      </w:pPr>
      <w:r w:rsidRPr="002634CA">
        <w:rPr>
          <w:rFonts w:ascii="Arial" w:eastAsia="Calibri" w:hAnsi="Arial" w:cs="Arial"/>
          <w:sz w:val="22"/>
        </w:rPr>
        <w:lastRenderedPageBreak/>
        <w:t xml:space="preserve">Como segunda excepción al carácter intransferible de la experiencia puede mencionarse el caso de algunas reformas estatutarias de las personas jurídicas o de reorganización empresarial, en las que la persona jurídica no se liquida y por lo tanto puede transferir su experiencia a la persona jurídica resultante. </w:t>
      </w:r>
      <w:r w:rsidR="002253C7">
        <w:rPr>
          <w:rFonts w:ascii="Arial" w:eastAsia="Calibri" w:hAnsi="Arial" w:cs="Arial"/>
          <w:sz w:val="22"/>
        </w:rPr>
        <w:t xml:space="preserve">Estas dos excepciones al carácter intransferible de la experiencia se </w:t>
      </w:r>
      <w:r w:rsidR="009946B5">
        <w:rPr>
          <w:rFonts w:ascii="Arial" w:eastAsia="Calibri" w:hAnsi="Arial" w:cs="Arial"/>
          <w:sz w:val="22"/>
        </w:rPr>
        <w:t>explicarán</w:t>
      </w:r>
      <w:r w:rsidR="002253C7">
        <w:rPr>
          <w:rFonts w:ascii="Arial" w:eastAsia="Calibri" w:hAnsi="Arial" w:cs="Arial"/>
          <w:sz w:val="22"/>
        </w:rPr>
        <w:t xml:space="preserve"> a continuación</w:t>
      </w:r>
    </w:p>
    <w:p w14:paraId="6FD9C2EB" w14:textId="77777777" w:rsidR="009946B5" w:rsidRDefault="009946B5" w:rsidP="004B7D0A">
      <w:pPr>
        <w:spacing w:line="276" w:lineRule="auto"/>
        <w:jc w:val="both"/>
        <w:rPr>
          <w:rFonts w:ascii="Arial" w:eastAsia="Calibri" w:hAnsi="Arial" w:cs="Arial"/>
          <w:b/>
          <w:bCs/>
          <w:sz w:val="22"/>
        </w:rPr>
      </w:pPr>
    </w:p>
    <w:p w14:paraId="13DEC95F" w14:textId="6D79AC74" w:rsidR="002253C7" w:rsidRPr="004B7D0A" w:rsidRDefault="002253C7" w:rsidP="004B7D0A">
      <w:pPr>
        <w:spacing w:line="276" w:lineRule="auto"/>
        <w:jc w:val="both"/>
        <w:rPr>
          <w:rFonts w:ascii="Arial" w:eastAsia="Calibri" w:hAnsi="Arial" w:cs="Arial"/>
          <w:b/>
          <w:bCs/>
          <w:sz w:val="22"/>
        </w:rPr>
      </w:pPr>
      <w:r w:rsidRPr="004B7D0A">
        <w:rPr>
          <w:rFonts w:ascii="Arial" w:eastAsia="Calibri" w:hAnsi="Arial" w:cs="Arial"/>
          <w:b/>
          <w:bCs/>
          <w:sz w:val="22"/>
        </w:rPr>
        <w:t xml:space="preserve">2.2. </w:t>
      </w:r>
      <w:r w:rsidR="009946B5" w:rsidRPr="004B7D0A">
        <w:rPr>
          <w:rFonts w:ascii="Arial" w:eastAsia="Calibri" w:hAnsi="Arial" w:cs="Arial"/>
          <w:b/>
          <w:bCs/>
          <w:sz w:val="22"/>
        </w:rPr>
        <w:t>La acreditación de la experiencia de los socios o constituyen por parte sociedades nuevas</w:t>
      </w:r>
    </w:p>
    <w:p w14:paraId="31390E68" w14:textId="77777777" w:rsidR="002253C7" w:rsidRDefault="002253C7" w:rsidP="004B7D0A">
      <w:pPr>
        <w:spacing w:line="276" w:lineRule="auto"/>
        <w:ind w:firstLine="709"/>
        <w:jc w:val="both"/>
        <w:rPr>
          <w:rFonts w:ascii="Arial" w:eastAsia="Calibri" w:hAnsi="Arial" w:cs="Arial"/>
          <w:sz w:val="22"/>
        </w:rPr>
      </w:pPr>
    </w:p>
    <w:p w14:paraId="5D457C48" w14:textId="77777777" w:rsidR="00C758CF" w:rsidRPr="00254E6E" w:rsidRDefault="00C758CF" w:rsidP="004B7D0A">
      <w:pPr>
        <w:spacing w:after="120" w:line="276" w:lineRule="auto"/>
        <w:jc w:val="both"/>
        <w:rPr>
          <w:rFonts w:ascii="Arial" w:hAnsi="Arial" w:cs="Arial"/>
          <w:sz w:val="22"/>
        </w:rPr>
      </w:pPr>
      <w:r w:rsidRPr="00254E6E">
        <w:rPr>
          <w:rFonts w:ascii="Arial" w:hAnsi="Arial" w:cs="Arial"/>
          <w:sz w:val="22"/>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4DBDBF94"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En relación con el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036B806A"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254E6E">
        <w:rPr>
          <w:rFonts w:ascii="Arial" w:hAnsi="Arial" w:cs="Arial"/>
          <w:sz w:val="22"/>
          <w:vertAlign w:val="superscript"/>
        </w:rPr>
        <w:footnoteReference w:id="9"/>
      </w:r>
      <w:r w:rsidRPr="00254E6E">
        <w:rPr>
          <w:rFonts w:ascii="Arial" w:hAnsi="Arial" w:cs="Arial"/>
          <w:sz w:val="22"/>
        </w:rPr>
        <w:t xml:space="preserve">.  </w:t>
      </w:r>
    </w:p>
    <w:p w14:paraId="4E2A0859"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t>El numeral 2.5</w:t>
      </w:r>
      <w:r w:rsidRPr="00254E6E">
        <w:rPr>
          <w:rFonts w:ascii="Arial" w:hAnsi="Arial" w:cs="Arial"/>
          <w:sz w:val="22"/>
          <w:vertAlign w:val="superscript"/>
        </w:rPr>
        <w:footnoteReference w:id="10"/>
      </w:r>
      <w:r w:rsidRPr="00254E6E">
        <w:rPr>
          <w:rFonts w:ascii="Arial" w:hAnsi="Arial" w:cs="Arial"/>
          <w:sz w:val="22"/>
        </w:rPr>
        <w:t xml:space="preserve"> del mismo artículo señala que la persona jurídica se registrará aportando los certificados de la experiencia en la provisión de los bienes, obras y servicios </w:t>
      </w:r>
      <w:r w:rsidRPr="00254E6E">
        <w:rPr>
          <w:rFonts w:ascii="Arial" w:hAnsi="Arial" w:cs="Arial"/>
          <w:sz w:val="22"/>
        </w:rPr>
        <w:lastRenderedPageBreak/>
        <w:t xml:space="preserve">que ofrecerá a las entidades estatales, los cuales deben ser expedidos por terceros que hayan recibido tales bienes, obras o servicios y deben corresponder a contratos ejecutados o copias de los contratos cuando el interesado no puede obtener tal certificado. </w:t>
      </w:r>
    </w:p>
    <w:p w14:paraId="3D8F0DC2"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340F93A2" w14:textId="77777777" w:rsidR="00C758CF" w:rsidRPr="00254E6E" w:rsidRDefault="00C758CF" w:rsidP="00C758CF">
      <w:pPr>
        <w:spacing w:after="120" w:line="276" w:lineRule="auto"/>
        <w:ind w:firstLine="709"/>
        <w:jc w:val="both"/>
        <w:rPr>
          <w:rFonts w:ascii="Arial" w:hAnsi="Arial" w:cs="Arial"/>
          <w:sz w:val="22"/>
        </w:rPr>
      </w:pPr>
      <w:bookmarkStart w:id="5" w:name="_Hlk67496603"/>
      <w:r w:rsidRPr="00254E6E">
        <w:rPr>
          <w:rFonts w:ascii="Arial" w:hAnsi="Arial" w:cs="Arial"/>
          <w:sz w:val="22"/>
        </w:rPr>
        <w:t xml:space="preserve">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549F849E"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bookmarkEnd w:id="5"/>
    <w:p w14:paraId="06AF8847"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Estos interrogantes han sido planteados a la Subdirección de Gestión Contractual y se han desarrollado, en torno a dos posiciones, que se plantean a continuación: </w:t>
      </w:r>
    </w:p>
    <w:p w14:paraId="170BCE55"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t xml:space="preserve">En el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3AF751BF"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lastRenderedPageBreak/>
        <w:t xml:space="preserve">i) La posición de Colombia Compra Eficiente respecto a la validez de la experiencia de los accionistas, socios o constituyentes, acreditada en el RUP por una sociedad nueva, cuando está ya superó los 3 años de constituida, ha variado. </w:t>
      </w:r>
    </w:p>
    <w:p w14:paraId="3D07CF13"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t xml:space="preserve">ii) El Decreto 1082 de 2015 establece que para la inscripción en el RUP de una persona jurídica, si su constitución es menor a 3 años, puede acreditar la experiencia de sus accionistas, socios o constituyentes. </w:t>
      </w:r>
    </w:p>
    <w:p w14:paraId="6F9FD8B4"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t xml:space="preserve">iii)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62495232"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t xml:space="preserve">iv)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31E33C14"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 correspondiente. </w:t>
      </w:r>
    </w:p>
    <w:p w14:paraId="7584A507"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t>La posición anterior, en relación con la posibilidad de que las sociedades nuevas puedan seguir acreditando la experiencia de sus socios, accionistas o constituyentes, incluso después de cumplidos 3 años de constitución de la persona jurídica, fue superada y se ratificó por esta Subdirección la tesis que ya había sido desarrollada en el concepto del 7 de febrero de 2018</w:t>
      </w:r>
      <w:r w:rsidRPr="00254E6E">
        <w:rPr>
          <w:rFonts w:ascii="Arial" w:hAnsi="Arial" w:cs="Arial"/>
          <w:sz w:val="22"/>
          <w:vertAlign w:val="superscript"/>
        </w:rPr>
        <w:footnoteReference w:id="11"/>
      </w:r>
      <w:r w:rsidRPr="00254E6E">
        <w:rPr>
          <w:rFonts w:ascii="Arial" w:hAnsi="Arial" w:cs="Arial"/>
          <w:sz w:val="22"/>
        </w:rPr>
        <w:t xml:space="preserve">, 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3 años desde la constitución de la sociedad, siempre que se renovara constantemente el RUP.  </w:t>
      </w:r>
    </w:p>
    <w:p w14:paraId="7CBBEE9B"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t xml:space="preserve">Teniendo en cuenta lo anterior, aunque la persona jurídica tenga más de tres años de constituida y haya registrado inicialmente la experiencia de sus socios en el RUP –pues su constitución era inferior a tres años–, cuando este sea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w:t>
      </w:r>
      <w:r w:rsidRPr="00254E6E">
        <w:rPr>
          <w:rFonts w:ascii="Arial" w:hAnsi="Arial" w:cs="Arial"/>
          <w:sz w:val="22"/>
        </w:rPr>
        <w:lastRenderedPageBreak/>
        <w:t xml:space="preserve">verificación documental de la información presentada al momento de inscribirse en el registro. </w:t>
      </w:r>
    </w:p>
    <w:p w14:paraId="50BDB442"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254E6E">
        <w:rPr>
          <w:rFonts w:ascii="Arial" w:hAnsi="Arial" w:cs="Arial"/>
          <w:sz w:val="22"/>
          <w:vertAlign w:val="superscript"/>
        </w:rPr>
        <w:footnoteReference w:id="12"/>
      </w:r>
      <w:r w:rsidRPr="00254E6E">
        <w:rPr>
          <w:rFonts w:ascii="Arial" w:hAnsi="Arial" w:cs="Arial"/>
          <w:sz w:val="22"/>
        </w:rPr>
        <w:t xml:space="preserve">. En la actualidad, las cámaras de comercio solo pueden eliminar la experiencia registrada en el RUP a solicitud del proponente. Por tanto, les corresponde a las personas jurídicas mantener su RUP actualizado y a las entidades estatales verificar este registro para efectos de evaluar la experiencia. </w:t>
      </w:r>
    </w:p>
    <w:p w14:paraId="18B91CDF" w14:textId="77777777" w:rsidR="00C758CF" w:rsidRDefault="00C758CF" w:rsidP="00C758CF">
      <w:pPr>
        <w:spacing w:line="276" w:lineRule="auto"/>
        <w:ind w:firstLine="709"/>
        <w:jc w:val="both"/>
        <w:rPr>
          <w:rFonts w:ascii="Arial" w:hAnsi="Arial" w:cs="Arial"/>
          <w:sz w:val="22"/>
        </w:rPr>
      </w:pPr>
      <w:r w:rsidRPr="00254E6E">
        <w:rPr>
          <w:rFonts w:ascii="Arial" w:hAnsi="Arial" w:cs="Arial"/>
          <w:sz w:val="22"/>
        </w:rPr>
        <w:t xml:space="preserve">En otras palabras, </w:t>
      </w:r>
      <w:bookmarkStart w:id="6" w:name="_Hlk67498604"/>
      <w:r w:rsidRPr="00254E6E">
        <w:rPr>
          <w:rFonts w:ascii="Arial" w:hAnsi="Arial" w:cs="Arial"/>
          <w:sz w:val="22"/>
        </w:rPr>
        <w:t xml:space="preserve">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bookmarkEnd w:id="6"/>
      <w:r w:rsidRPr="00254E6E">
        <w:rPr>
          <w:rFonts w:ascii="Arial" w:hAnsi="Arial" w:cs="Arial"/>
          <w:sz w:val="22"/>
        </w:rPr>
        <w:t xml:space="preserve">Lo anterior, tiene fundamento en la Circular Única de la Superintendencia de Industria y Comercio, cuyo numeral 4.2, sobre el procedimiento para llevar el registro único de proponentes, dispone lo siguiente:  </w:t>
      </w:r>
    </w:p>
    <w:p w14:paraId="10956923" w14:textId="77777777" w:rsidR="00C758CF" w:rsidRPr="00254E6E" w:rsidRDefault="00C758CF" w:rsidP="00C758CF">
      <w:pPr>
        <w:ind w:firstLine="709"/>
        <w:jc w:val="both"/>
        <w:rPr>
          <w:rFonts w:ascii="Arial" w:hAnsi="Arial" w:cs="Arial"/>
          <w:sz w:val="22"/>
        </w:rPr>
      </w:pPr>
    </w:p>
    <w:p w14:paraId="4EEF1A30" w14:textId="77777777" w:rsidR="00C758CF" w:rsidRPr="0009349F" w:rsidRDefault="00C758CF" w:rsidP="00C758CF">
      <w:pPr>
        <w:ind w:left="709" w:right="709"/>
        <w:jc w:val="both"/>
        <w:rPr>
          <w:rFonts w:ascii="Arial" w:hAnsi="Arial" w:cs="Arial"/>
          <w:sz w:val="21"/>
          <w:szCs w:val="21"/>
        </w:rPr>
      </w:pPr>
      <w:r w:rsidRPr="0009349F">
        <w:rPr>
          <w:rFonts w:ascii="Arial" w:hAnsi="Arial" w:cs="Arial"/>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45CC7F4D" w14:textId="77777777" w:rsidR="00C758CF" w:rsidRPr="00254E6E" w:rsidRDefault="00C758CF" w:rsidP="00C758CF">
      <w:pPr>
        <w:ind w:firstLine="709"/>
        <w:jc w:val="both"/>
        <w:rPr>
          <w:rFonts w:ascii="Arial" w:hAnsi="Arial" w:cs="Arial"/>
          <w:sz w:val="22"/>
        </w:rPr>
      </w:pPr>
    </w:p>
    <w:p w14:paraId="513C7AF9"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3 años de constituida la persona jurídica, para esta Subdirección sigue siendo válida, por lo que la entidad la debe </w:t>
      </w:r>
      <w:r w:rsidRPr="00254E6E">
        <w:rPr>
          <w:rFonts w:ascii="Arial" w:hAnsi="Arial" w:cs="Arial"/>
          <w:sz w:val="22"/>
        </w:rPr>
        <w:lastRenderedPageBreak/>
        <w:t xml:space="preserve">tener en cuenta. De esta forma se garantiza la pluralidad de oferentes en los procesos de contratación. </w:t>
      </w:r>
    </w:p>
    <w:p w14:paraId="18467FAC" w14:textId="77777777" w:rsidR="00C758CF" w:rsidRPr="00254E6E" w:rsidRDefault="00C758CF" w:rsidP="00C758CF">
      <w:pPr>
        <w:spacing w:after="120" w:line="276" w:lineRule="auto"/>
        <w:ind w:firstLine="709"/>
        <w:jc w:val="both"/>
        <w:rPr>
          <w:rFonts w:ascii="Arial" w:hAnsi="Arial" w:cs="Arial"/>
          <w:sz w:val="22"/>
        </w:rPr>
      </w:pPr>
      <w:r w:rsidRPr="00254E6E">
        <w:rPr>
          <w:rFonts w:ascii="Arial" w:hAnsi="Arial" w:cs="Arial"/>
          <w:sz w:val="22"/>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639C9B76" w14:textId="77777777" w:rsidR="00C758CF" w:rsidRDefault="00C758CF" w:rsidP="00C758CF">
      <w:pPr>
        <w:spacing w:line="276" w:lineRule="auto"/>
        <w:ind w:firstLine="709"/>
        <w:jc w:val="both"/>
        <w:rPr>
          <w:rFonts w:ascii="Arial" w:hAnsi="Arial" w:cs="Arial"/>
          <w:sz w:val="22"/>
        </w:rPr>
      </w:pPr>
      <w:r w:rsidRPr="00254E6E">
        <w:rPr>
          <w:rFonts w:ascii="Arial" w:hAnsi="Arial" w:cs="Arial"/>
          <w:sz w:val="22"/>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4C301C76" w14:textId="77777777" w:rsidR="00F1148B" w:rsidRDefault="00F1148B" w:rsidP="00F1148B">
      <w:pPr>
        <w:spacing w:line="276" w:lineRule="auto"/>
        <w:jc w:val="both"/>
        <w:rPr>
          <w:rFonts w:ascii="Arial" w:eastAsia="Calibri" w:hAnsi="Arial" w:cs="Arial"/>
          <w:b/>
          <w:sz w:val="22"/>
        </w:rPr>
      </w:pPr>
    </w:p>
    <w:p w14:paraId="6CC0AB43" w14:textId="7A3FC8B6" w:rsidR="00F1148B" w:rsidRPr="00DC5CAD" w:rsidRDefault="00F1148B" w:rsidP="00F1148B">
      <w:pPr>
        <w:spacing w:line="276" w:lineRule="auto"/>
        <w:jc w:val="both"/>
        <w:rPr>
          <w:rFonts w:ascii="Arial" w:eastAsia="Calibri" w:hAnsi="Arial" w:cs="Arial"/>
          <w:b/>
          <w:sz w:val="22"/>
        </w:rPr>
      </w:pPr>
      <w:r w:rsidRPr="00DC5CAD">
        <w:rPr>
          <w:rFonts w:ascii="Arial" w:eastAsia="Calibri" w:hAnsi="Arial" w:cs="Arial"/>
          <w:b/>
          <w:sz w:val="22"/>
        </w:rPr>
        <w:t>2.</w:t>
      </w:r>
      <w:r w:rsidR="00ED5E54">
        <w:rPr>
          <w:rFonts w:ascii="Arial" w:eastAsia="Calibri" w:hAnsi="Arial" w:cs="Arial"/>
          <w:b/>
          <w:sz w:val="22"/>
        </w:rPr>
        <w:t>3</w:t>
      </w:r>
      <w:r>
        <w:rPr>
          <w:rFonts w:ascii="Arial" w:eastAsia="Calibri" w:hAnsi="Arial" w:cs="Arial"/>
          <w:b/>
          <w:sz w:val="22"/>
        </w:rPr>
        <w:t xml:space="preserve">. </w:t>
      </w:r>
      <w:r w:rsidRPr="00DC5CAD">
        <w:rPr>
          <w:rFonts w:ascii="Arial" w:eastAsia="Calibri" w:hAnsi="Arial" w:cs="Arial"/>
          <w:b/>
          <w:sz w:val="22"/>
        </w:rPr>
        <w:t xml:space="preserve">Figuras </w:t>
      </w:r>
      <w:r w:rsidR="00FE01E4">
        <w:rPr>
          <w:rFonts w:ascii="Arial" w:eastAsia="Calibri" w:hAnsi="Arial" w:cs="Arial"/>
          <w:b/>
          <w:sz w:val="22"/>
        </w:rPr>
        <w:t>y</w:t>
      </w:r>
      <w:r w:rsidRPr="00DC5CAD">
        <w:rPr>
          <w:rFonts w:ascii="Arial" w:eastAsia="Calibri" w:hAnsi="Arial" w:cs="Arial"/>
          <w:b/>
          <w:sz w:val="22"/>
        </w:rPr>
        <w:t xml:space="preserve"> reformas estatutarias</w:t>
      </w:r>
      <w:r w:rsidR="00FE01E4">
        <w:rPr>
          <w:rFonts w:ascii="Arial" w:eastAsia="Calibri" w:hAnsi="Arial" w:cs="Arial"/>
          <w:b/>
          <w:sz w:val="22"/>
        </w:rPr>
        <w:t>, y</w:t>
      </w:r>
      <w:r w:rsidRPr="00DC5CAD">
        <w:rPr>
          <w:rFonts w:ascii="Arial" w:eastAsia="Calibri" w:hAnsi="Arial" w:cs="Arial"/>
          <w:b/>
          <w:sz w:val="22"/>
        </w:rPr>
        <w:t xml:space="preserve"> </w:t>
      </w:r>
      <w:r w:rsidR="00ED5E54">
        <w:rPr>
          <w:rFonts w:ascii="Arial" w:eastAsia="Calibri" w:hAnsi="Arial" w:cs="Arial"/>
          <w:b/>
          <w:sz w:val="22"/>
        </w:rPr>
        <w:t>su</w:t>
      </w:r>
      <w:r w:rsidR="00FE01E4">
        <w:rPr>
          <w:rFonts w:ascii="Arial" w:eastAsia="Calibri" w:hAnsi="Arial" w:cs="Arial"/>
          <w:b/>
          <w:sz w:val="22"/>
        </w:rPr>
        <w:t>s</w:t>
      </w:r>
      <w:r w:rsidR="00ED5E54">
        <w:rPr>
          <w:rFonts w:ascii="Arial" w:eastAsia="Calibri" w:hAnsi="Arial" w:cs="Arial"/>
          <w:b/>
          <w:sz w:val="22"/>
        </w:rPr>
        <w:t xml:space="preserve"> </w:t>
      </w:r>
      <w:r w:rsidRPr="00DC5CAD">
        <w:rPr>
          <w:rFonts w:ascii="Arial" w:eastAsia="Calibri" w:hAnsi="Arial" w:cs="Arial"/>
          <w:b/>
          <w:sz w:val="22"/>
        </w:rPr>
        <w:t>efectos sobre la experiencia de las sociedades comerciales</w:t>
      </w:r>
    </w:p>
    <w:p w14:paraId="367725B9" w14:textId="77777777" w:rsidR="00F1148B" w:rsidRPr="00DC5CAD" w:rsidRDefault="00F1148B" w:rsidP="00F1148B">
      <w:pPr>
        <w:spacing w:line="276" w:lineRule="auto"/>
        <w:jc w:val="both"/>
        <w:rPr>
          <w:rFonts w:ascii="Arial" w:eastAsia="Calibri" w:hAnsi="Arial" w:cs="Arial"/>
          <w:b/>
          <w:sz w:val="22"/>
        </w:rPr>
      </w:pPr>
    </w:p>
    <w:p w14:paraId="13EEF1C4" w14:textId="77777777" w:rsidR="00F1148B" w:rsidRPr="00DC5CAD" w:rsidRDefault="00F1148B" w:rsidP="00F1148B">
      <w:pPr>
        <w:spacing w:after="120" w:line="276" w:lineRule="auto"/>
        <w:jc w:val="both"/>
        <w:rPr>
          <w:rFonts w:ascii="Arial" w:eastAsia="Calibri" w:hAnsi="Arial" w:cs="Arial"/>
          <w:bCs/>
          <w:sz w:val="22"/>
        </w:rPr>
      </w:pPr>
      <w:r w:rsidRPr="00DC5CAD">
        <w:rPr>
          <w:rFonts w:ascii="Arial" w:eastAsia="Calibri" w:hAnsi="Arial" w:cs="Arial"/>
          <w:bCs/>
          <w:sz w:val="22"/>
        </w:rPr>
        <w:t xml:space="preserve">Antes de analizar las figuras y reformas estatutarias, es necesario aclarar dos conceptos respecto de las sociedades comerciales: i) «disolución» y ii) «liquidación», ya que se aplican a las figuras y reformas estatutarias, y tienen incidencia en la posibilidad de transferir o no la experiencia de una sociedad. </w:t>
      </w:r>
    </w:p>
    <w:p w14:paraId="50BDB196" w14:textId="77777777" w:rsidR="00F1148B" w:rsidRPr="00DC5CAD" w:rsidRDefault="00F1148B" w:rsidP="00F1148B">
      <w:pPr>
        <w:spacing w:line="276" w:lineRule="auto"/>
        <w:ind w:firstLine="708"/>
        <w:jc w:val="both"/>
        <w:rPr>
          <w:rFonts w:ascii="Arial" w:eastAsia="Calibri" w:hAnsi="Arial" w:cs="Arial"/>
          <w:bCs/>
          <w:sz w:val="22"/>
        </w:rPr>
      </w:pPr>
      <w:r w:rsidRPr="00DC5CAD">
        <w:rPr>
          <w:rFonts w:ascii="Arial" w:eastAsia="Calibri" w:hAnsi="Arial" w:cs="Arial"/>
          <w:bCs/>
          <w:sz w:val="22"/>
        </w:rPr>
        <w:t>En primer lugar, el Código de Comercio señala, como efecto de la «disolución», que la persona jurídica no desaparece</w:t>
      </w:r>
      <w:r>
        <w:rPr>
          <w:rFonts w:ascii="Arial" w:eastAsia="Calibri" w:hAnsi="Arial" w:cs="Arial"/>
          <w:bCs/>
          <w:sz w:val="22"/>
        </w:rPr>
        <w:t xml:space="preserve">, </w:t>
      </w:r>
      <w:r w:rsidRPr="00DC5CAD">
        <w:rPr>
          <w:rFonts w:ascii="Arial" w:eastAsia="Calibri" w:hAnsi="Arial" w:cs="Arial"/>
          <w:bCs/>
          <w:sz w:val="22"/>
        </w:rPr>
        <w:t>sino que conserva su capacidad jurídica, únicamente para «liquidarse» y para las operaciones o actos autorizados por la ley</w:t>
      </w:r>
      <w:r w:rsidRPr="00DC5CAD">
        <w:rPr>
          <w:rStyle w:val="Refdenotaalpie"/>
          <w:rFonts w:ascii="Arial" w:eastAsia="Calibri" w:hAnsi="Arial" w:cs="Arial"/>
          <w:bCs/>
          <w:sz w:val="22"/>
        </w:rPr>
        <w:footnoteReference w:id="13"/>
      </w:r>
      <w:r w:rsidRPr="00DC5CAD">
        <w:rPr>
          <w:rFonts w:ascii="Arial" w:eastAsia="Calibri" w:hAnsi="Arial" w:cs="Arial"/>
          <w:bCs/>
          <w:sz w:val="22"/>
        </w:rPr>
        <w:t>, como las figuras y reformas estatutarias que se verán a continuación. Con esto se anticipa que si la persona jurídica no desaparece, su experiencia se conserva y puede transferirse. Por el contrario, respecto de la «liquidación» de las sociedades comerciales, el Código de Comercio señala el procedimiento para realizar el inventario y distribución del patrimonio social, de lo cual se infiere que termina la persona jurídica</w:t>
      </w:r>
      <w:r w:rsidRPr="00DC5CAD">
        <w:rPr>
          <w:rStyle w:val="Refdenotaalpie"/>
          <w:rFonts w:ascii="Arial" w:eastAsia="Calibri" w:hAnsi="Arial" w:cs="Arial"/>
          <w:bCs/>
          <w:sz w:val="22"/>
        </w:rPr>
        <w:footnoteReference w:id="14"/>
      </w:r>
      <w:r w:rsidRPr="00DC5CAD">
        <w:rPr>
          <w:rFonts w:ascii="Arial" w:eastAsia="Calibri" w:hAnsi="Arial" w:cs="Arial"/>
          <w:bCs/>
          <w:sz w:val="22"/>
        </w:rPr>
        <w:t xml:space="preserve"> y la experiencia desaparece junto con la sociedad que la adquirió.</w:t>
      </w:r>
    </w:p>
    <w:p w14:paraId="1852A8FA" w14:textId="77777777" w:rsidR="00F1148B" w:rsidRPr="00DC5CAD" w:rsidRDefault="00F1148B" w:rsidP="00F1148B">
      <w:pPr>
        <w:spacing w:line="276" w:lineRule="auto"/>
        <w:jc w:val="both"/>
        <w:rPr>
          <w:rFonts w:ascii="Arial" w:eastAsia="Calibri" w:hAnsi="Arial" w:cs="Arial"/>
          <w:sz w:val="22"/>
        </w:rPr>
      </w:pPr>
    </w:p>
    <w:p w14:paraId="36293E5C" w14:textId="77777777" w:rsidR="00F1148B" w:rsidRPr="00DC5CAD" w:rsidRDefault="00F1148B" w:rsidP="00F1148B">
      <w:pPr>
        <w:spacing w:line="276" w:lineRule="auto"/>
        <w:jc w:val="both"/>
        <w:rPr>
          <w:rFonts w:ascii="Arial" w:eastAsia="Calibri" w:hAnsi="Arial" w:cs="Arial"/>
          <w:b/>
          <w:bCs/>
          <w:sz w:val="22"/>
        </w:rPr>
      </w:pPr>
      <w:r w:rsidRPr="00DC5CAD">
        <w:rPr>
          <w:rFonts w:ascii="Arial" w:eastAsia="Calibri" w:hAnsi="Arial" w:cs="Arial"/>
          <w:b/>
          <w:bCs/>
          <w:sz w:val="22"/>
        </w:rPr>
        <w:lastRenderedPageBreak/>
        <w:t>a) Transformación</w:t>
      </w:r>
    </w:p>
    <w:p w14:paraId="674A2A75" w14:textId="77777777" w:rsidR="00F1148B" w:rsidRPr="00DC5CAD" w:rsidRDefault="00F1148B" w:rsidP="00F1148B">
      <w:pPr>
        <w:spacing w:line="276" w:lineRule="auto"/>
        <w:jc w:val="both"/>
        <w:rPr>
          <w:rFonts w:ascii="Arial" w:eastAsia="Calibri" w:hAnsi="Arial" w:cs="Arial"/>
          <w:b/>
          <w:bCs/>
          <w:sz w:val="22"/>
        </w:rPr>
      </w:pPr>
    </w:p>
    <w:p w14:paraId="234BBEF2" w14:textId="77777777" w:rsidR="00F1148B" w:rsidRPr="00DC5CAD" w:rsidRDefault="00F1148B" w:rsidP="00F1148B">
      <w:pPr>
        <w:spacing w:after="120" w:line="276" w:lineRule="auto"/>
        <w:jc w:val="both"/>
        <w:rPr>
          <w:rFonts w:ascii="Arial" w:eastAsia="Calibri" w:hAnsi="Arial" w:cs="Arial"/>
          <w:sz w:val="22"/>
        </w:rPr>
      </w:pPr>
      <w:r w:rsidRPr="00DC5CAD">
        <w:rPr>
          <w:rFonts w:ascii="Arial" w:eastAsia="Calibri" w:hAnsi="Arial" w:cs="Arial"/>
          <w:sz w:val="22"/>
        </w:rPr>
        <w:t xml:space="preserve">Es una reforma a los estatutos de una sociedad comercial, en la cual se detalla la naturaleza jurídica, composición, estructura, capital, entre otros, con el propósito de transformar o cambiar la forma o tipo societario que adoptó, como sociedad anónima, limitada, en comandita, </w:t>
      </w:r>
      <w:r>
        <w:rPr>
          <w:rFonts w:ascii="Arial" w:eastAsia="Calibri" w:hAnsi="Arial" w:cs="Arial"/>
          <w:sz w:val="22"/>
        </w:rPr>
        <w:t>etc</w:t>
      </w:r>
      <w:r w:rsidRPr="00DC5CAD">
        <w:rPr>
          <w:rFonts w:ascii="Arial" w:eastAsia="Calibri" w:hAnsi="Arial" w:cs="Arial"/>
          <w:sz w:val="22"/>
        </w:rPr>
        <w:t xml:space="preserve">. Es decir, si una sociedad se crea como sociedad </w:t>
      </w:r>
      <w:r>
        <w:rPr>
          <w:rFonts w:ascii="Arial" w:eastAsia="Calibri" w:hAnsi="Arial" w:cs="Arial"/>
          <w:sz w:val="22"/>
        </w:rPr>
        <w:t xml:space="preserve">de responsabilidad </w:t>
      </w:r>
      <w:r w:rsidRPr="00DC5CAD">
        <w:rPr>
          <w:rFonts w:ascii="Arial" w:eastAsia="Calibri" w:hAnsi="Arial" w:cs="Arial"/>
          <w:sz w:val="22"/>
        </w:rPr>
        <w:t>limitada, y</w:t>
      </w:r>
      <w:r>
        <w:rPr>
          <w:rFonts w:ascii="Arial" w:eastAsia="Calibri" w:hAnsi="Arial" w:cs="Arial"/>
          <w:sz w:val="22"/>
        </w:rPr>
        <w:t>,</w:t>
      </w:r>
      <w:r w:rsidRPr="00DC5CAD">
        <w:rPr>
          <w:rFonts w:ascii="Arial" w:eastAsia="Calibri" w:hAnsi="Arial" w:cs="Arial"/>
          <w:sz w:val="22"/>
        </w:rPr>
        <w:t xml:space="preserve"> sin «disolverse»</w:t>
      </w:r>
      <w:r>
        <w:rPr>
          <w:rFonts w:ascii="Arial" w:eastAsia="Calibri" w:hAnsi="Arial" w:cs="Arial"/>
          <w:sz w:val="22"/>
        </w:rPr>
        <w:t>,</w:t>
      </w:r>
      <w:r w:rsidRPr="00DC5CAD">
        <w:rPr>
          <w:rFonts w:ascii="Arial" w:eastAsia="Calibri" w:hAnsi="Arial" w:cs="Arial"/>
          <w:sz w:val="22"/>
        </w:rPr>
        <w:t xml:space="preserve"> decide adoptar la figura de sociedad anónima, lo podrá hacer mediante una reforma estatutaria, sin que se interrumpa la continuidad de la sociedad comercial o persona jurídica</w:t>
      </w:r>
      <w:r w:rsidRPr="00DC5CAD">
        <w:rPr>
          <w:rStyle w:val="Refdenotaalpie"/>
          <w:rFonts w:ascii="Arial" w:eastAsia="Calibri" w:hAnsi="Arial" w:cs="Arial"/>
          <w:sz w:val="22"/>
        </w:rPr>
        <w:footnoteReference w:id="15"/>
      </w:r>
      <w:r w:rsidRPr="00DC5CAD">
        <w:rPr>
          <w:rFonts w:ascii="Arial" w:eastAsia="Calibri" w:hAnsi="Arial" w:cs="Arial"/>
          <w:sz w:val="22"/>
        </w:rPr>
        <w:t>. Es importante destacar que en esta reforma estatutaria solo participa la sociedad involucrada, y no existen otras sociedades que se relacionen o intervengan, lo cual diferencia la transformación de otras reformas o figuras.</w:t>
      </w:r>
    </w:p>
    <w:p w14:paraId="2BE907BB" w14:textId="77777777" w:rsidR="00F1148B" w:rsidRPr="00DC5CAD" w:rsidRDefault="00F1148B" w:rsidP="00F1148B">
      <w:pPr>
        <w:spacing w:line="276" w:lineRule="auto"/>
        <w:ind w:firstLine="708"/>
        <w:jc w:val="both"/>
        <w:rPr>
          <w:rFonts w:ascii="Arial" w:eastAsia="Calibri" w:hAnsi="Arial" w:cs="Arial"/>
          <w:sz w:val="22"/>
        </w:rPr>
      </w:pPr>
      <w:r w:rsidRPr="00DC5CAD">
        <w:rPr>
          <w:rFonts w:ascii="Arial" w:eastAsia="Calibri" w:hAnsi="Arial" w:cs="Arial"/>
          <w:sz w:val="22"/>
        </w:rPr>
        <w:t>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«disuelve», y por ende tampoco se «liquida», porque</w:t>
      </w:r>
      <w:r>
        <w:rPr>
          <w:rFonts w:ascii="Arial" w:eastAsia="Calibri" w:hAnsi="Arial" w:cs="Arial"/>
          <w:sz w:val="22"/>
        </w:rPr>
        <w:t>,</w:t>
      </w:r>
      <w:r w:rsidRPr="00DC5CAD">
        <w:rPr>
          <w:rFonts w:ascii="Arial" w:eastAsia="Calibri" w:hAnsi="Arial" w:cs="Arial"/>
          <w:sz w:val="22"/>
        </w:rPr>
        <w:t xml:space="preserve"> de acuerdo con el artículo 222 del Código de Comercio</w:t>
      </w:r>
      <w:r>
        <w:rPr>
          <w:rFonts w:ascii="Arial" w:eastAsia="Calibri" w:hAnsi="Arial" w:cs="Arial"/>
          <w:sz w:val="22"/>
        </w:rPr>
        <w:t>,</w:t>
      </w:r>
      <w:r w:rsidRPr="00DC5CAD">
        <w:rPr>
          <w:rFonts w:ascii="Arial" w:eastAsia="Calibri" w:hAnsi="Arial" w:cs="Arial"/>
          <w:sz w:val="22"/>
        </w:rPr>
        <w:t xml:space="preserve"> para «liquidarse» necesita estar «disuelta»; solo cambia el tipo societario que había adoptado en su constitución, es decir, no sufre modificaciones o alteraciones y por eso puede continuar adquiriendo experiencia y compartirla, pero no puede trasladarla</w:t>
      </w:r>
      <w:r>
        <w:rPr>
          <w:rFonts w:ascii="Arial" w:eastAsia="Calibri" w:hAnsi="Arial" w:cs="Arial"/>
          <w:sz w:val="22"/>
        </w:rPr>
        <w:t>,</w:t>
      </w:r>
      <w:r w:rsidRPr="00DC5CAD">
        <w:rPr>
          <w:rFonts w:ascii="Arial" w:eastAsia="Calibri" w:hAnsi="Arial" w:cs="Arial"/>
          <w:sz w:val="22"/>
        </w:rPr>
        <w:t xml:space="preserve"> porque para ello tendría que «disolverse» o conformar un consorcio, como se verá en la fusión y en una de las modalidades de escisión.  </w:t>
      </w:r>
    </w:p>
    <w:p w14:paraId="25DA6528" w14:textId="77777777" w:rsidR="00F1148B" w:rsidRPr="00DC5CAD" w:rsidRDefault="00F1148B" w:rsidP="00F1148B">
      <w:pPr>
        <w:spacing w:line="276" w:lineRule="auto"/>
        <w:jc w:val="both"/>
        <w:rPr>
          <w:rFonts w:ascii="Arial" w:eastAsia="Calibri" w:hAnsi="Arial" w:cs="Arial"/>
          <w:b/>
          <w:bCs/>
          <w:sz w:val="22"/>
        </w:rPr>
      </w:pPr>
    </w:p>
    <w:p w14:paraId="4667694D" w14:textId="77777777" w:rsidR="00F1148B" w:rsidRPr="00DC5CAD" w:rsidRDefault="00F1148B" w:rsidP="00F1148B">
      <w:pPr>
        <w:spacing w:line="276" w:lineRule="auto"/>
        <w:jc w:val="both"/>
        <w:rPr>
          <w:rFonts w:ascii="Arial" w:eastAsia="Calibri" w:hAnsi="Arial" w:cs="Arial"/>
          <w:b/>
          <w:bCs/>
          <w:sz w:val="22"/>
        </w:rPr>
      </w:pPr>
      <w:r w:rsidRPr="00DC5CAD">
        <w:rPr>
          <w:rFonts w:ascii="Arial" w:eastAsia="Calibri" w:hAnsi="Arial" w:cs="Arial"/>
          <w:b/>
          <w:bCs/>
          <w:sz w:val="22"/>
        </w:rPr>
        <w:t>b) Escisión</w:t>
      </w:r>
    </w:p>
    <w:p w14:paraId="083F8A8A" w14:textId="77777777" w:rsidR="00F1148B" w:rsidRPr="00DC5CAD" w:rsidRDefault="00F1148B" w:rsidP="00F1148B">
      <w:pPr>
        <w:spacing w:line="276" w:lineRule="auto"/>
        <w:jc w:val="both"/>
        <w:rPr>
          <w:rFonts w:ascii="Arial" w:eastAsia="Calibri" w:hAnsi="Arial" w:cs="Arial"/>
          <w:b/>
          <w:bCs/>
          <w:sz w:val="22"/>
        </w:rPr>
      </w:pPr>
    </w:p>
    <w:p w14:paraId="08B28243" w14:textId="77777777" w:rsidR="00F1148B" w:rsidRPr="00DC5CAD" w:rsidRDefault="00F1148B" w:rsidP="00F1148B">
      <w:pPr>
        <w:spacing w:after="120" w:line="276" w:lineRule="auto"/>
        <w:jc w:val="both"/>
        <w:rPr>
          <w:rFonts w:ascii="Arial" w:eastAsia="Calibri" w:hAnsi="Arial" w:cs="Arial"/>
          <w:sz w:val="22"/>
        </w:rPr>
      </w:pPr>
      <w:r w:rsidRPr="00DC5CAD">
        <w:rPr>
          <w:rFonts w:ascii="Arial" w:eastAsia="Calibri" w:hAnsi="Arial" w:cs="Arial"/>
          <w:sz w:val="22"/>
        </w:rPr>
        <w:t>Es una figura con dos modalidades reguladas por la Ley 222 de 1995. La primera se refiere a una sociedad que no se «disuelve» ni se «liquida», es decir, permanece sin modificaciones ni reformas, pero fracciona su patrimonio para transferir una o varias partes, a una o varias sociedades existentes o por crearse. En este caso, la escisión se refiere al patrimonio de la sociedad sin incluir ningún otro aspecto, lo cual significa que la sociedad continúa con un patrimonio reducido debido al fraccionamiento, pero no existe ninguna otra implicación para la persona jurídica</w:t>
      </w:r>
      <w:r>
        <w:rPr>
          <w:rFonts w:ascii="Arial" w:eastAsia="Calibri" w:hAnsi="Arial" w:cs="Arial"/>
          <w:sz w:val="22"/>
        </w:rPr>
        <w:t>,</w:t>
      </w:r>
      <w:r w:rsidRPr="00DC5CAD">
        <w:rPr>
          <w:rFonts w:ascii="Arial" w:eastAsia="Calibri" w:hAnsi="Arial" w:cs="Arial"/>
          <w:sz w:val="22"/>
        </w:rPr>
        <w:t xml:space="preserve"> como su desaparición por «disolverse» o «liquidarse», de acuerdo con lo mencionado sobre estos conceptos. En ese sentido, Colombia Compra Eficiente considera que las sociedades que reciben una parte del patrimonio de una sociedad que continúa existiendo, no reciben su experiencia, ya que no es posible que varias sociedades tengan la misma experiencia, duplicándola tantas veces se haya </w:t>
      </w:r>
      <w:r w:rsidRPr="00DC5CAD">
        <w:rPr>
          <w:rFonts w:ascii="Arial" w:eastAsia="Calibri" w:hAnsi="Arial" w:cs="Arial"/>
          <w:sz w:val="22"/>
        </w:rPr>
        <w:lastRenderedPageBreak/>
        <w:t>fraccionado el patrimonio</w:t>
      </w:r>
      <w:r>
        <w:rPr>
          <w:rFonts w:ascii="Arial" w:eastAsia="Calibri" w:hAnsi="Arial" w:cs="Arial"/>
          <w:sz w:val="22"/>
        </w:rPr>
        <w:t>,</w:t>
      </w:r>
      <w:r w:rsidRPr="00DC5CAD">
        <w:rPr>
          <w:rFonts w:ascii="Arial" w:eastAsia="Calibri" w:hAnsi="Arial" w:cs="Arial"/>
          <w:sz w:val="22"/>
        </w:rPr>
        <w:t xml:space="preserve"> porque la experiencia pertenece a quien la adquirió ejecutando los contratos a su cargo. </w:t>
      </w:r>
    </w:p>
    <w:p w14:paraId="433C0BAC" w14:textId="77777777" w:rsidR="00F1148B" w:rsidRPr="00DC5CAD" w:rsidRDefault="00F1148B" w:rsidP="00F1148B">
      <w:pPr>
        <w:spacing w:line="276" w:lineRule="auto"/>
        <w:ind w:firstLine="708"/>
        <w:jc w:val="both"/>
        <w:rPr>
          <w:rFonts w:ascii="Arial" w:eastAsia="Calibri" w:hAnsi="Arial" w:cs="Arial"/>
          <w:sz w:val="22"/>
        </w:rPr>
      </w:pPr>
      <w:r w:rsidRPr="00DC5CAD">
        <w:rPr>
          <w:rFonts w:ascii="Arial" w:eastAsia="Calibri" w:hAnsi="Arial" w:cs="Arial"/>
          <w:sz w:val="22"/>
        </w:rPr>
        <w:t>La segunda modalidad se trata de una sociedad que se «disuelve» sin «liquidarse», esto es, que implica una reforma social, lo cual no ocurre con la primera modalidad, y también existe fraccionamiento del patrimonio con el mismo fin</w:t>
      </w:r>
      <w:r w:rsidRPr="00DC5CAD">
        <w:rPr>
          <w:rStyle w:val="Refdenotaalpie"/>
          <w:rFonts w:ascii="Arial" w:eastAsia="Calibri" w:hAnsi="Arial" w:cs="Arial"/>
          <w:sz w:val="22"/>
        </w:rPr>
        <w:footnoteReference w:id="16"/>
      </w:r>
      <w:r w:rsidRPr="00DC5CAD">
        <w:rPr>
          <w:rFonts w:ascii="Arial" w:eastAsia="Calibri" w:hAnsi="Arial" w:cs="Arial"/>
          <w:sz w:val="22"/>
        </w:rPr>
        <w:t>. Como se observa, participa una sociedad y otra, u otras, que recib</w:t>
      </w:r>
      <w:r>
        <w:rPr>
          <w:rFonts w:ascii="Arial" w:eastAsia="Calibri" w:hAnsi="Arial" w:cs="Arial"/>
          <w:sz w:val="22"/>
        </w:rPr>
        <w:t>e</w:t>
      </w:r>
      <w:r w:rsidRPr="00DC5CAD">
        <w:rPr>
          <w:rFonts w:ascii="Arial" w:eastAsia="Calibri" w:hAnsi="Arial" w:cs="Arial"/>
          <w:sz w:val="22"/>
        </w:rPr>
        <w:t xml:space="preserve">n la transferencia del patrimonio en bloque. </w:t>
      </w:r>
    </w:p>
    <w:p w14:paraId="71989C53" w14:textId="77777777" w:rsidR="00F1148B" w:rsidRPr="00DC5CAD" w:rsidRDefault="00F1148B" w:rsidP="00F1148B">
      <w:pPr>
        <w:spacing w:before="120" w:after="120" w:line="276" w:lineRule="auto"/>
        <w:ind w:firstLine="708"/>
        <w:jc w:val="both"/>
        <w:rPr>
          <w:rFonts w:ascii="Arial" w:eastAsia="Calibri" w:hAnsi="Arial" w:cs="Arial"/>
          <w:sz w:val="22"/>
        </w:rPr>
      </w:pPr>
      <w:r w:rsidRPr="00DC5CAD">
        <w:rPr>
          <w:rFonts w:ascii="Arial" w:eastAsia="Calibri" w:hAnsi="Arial" w:cs="Arial"/>
          <w:sz w:val="22"/>
        </w:rPr>
        <w:t xml:space="preserve">Para la primera modalidad de escisión, teniendo en cuenta que la sociedad continúa sin alteraciones, </w:t>
      </w:r>
      <w:r>
        <w:rPr>
          <w:rFonts w:ascii="Arial" w:eastAsia="Calibri" w:hAnsi="Arial" w:cs="Arial"/>
          <w:sz w:val="22"/>
        </w:rPr>
        <w:t xml:space="preserve">esta </w:t>
      </w:r>
      <w:r w:rsidRPr="00DC5CAD">
        <w:rPr>
          <w:rFonts w:ascii="Arial" w:eastAsia="Calibri" w:hAnsi="Arial" w:cs="Arial"/>
          <w:sz w:val="22"/>
        </w:rPr>
        <w:t>puede compartir la experiencia a través de esquemas asociativos, pero no la transfiere</w:t>
      </w:r>
      <w:r>
        <w:rPr>
          <w:rFonts w:ascii="Arial" w:eastAsia="Calibri" w:hAnsi="Arial" w:cs="Arial"/>
          <w:sz w:val="22"/>
        </w:rPr>
        <w:t>,</w:t>
      </w:r>
      <w:r w:rsidRPr="00DC5CAD">
        <w:rPr>
          <w:rFonts w:ascii="Arial" w:eastAsia="Calibri" w:hAnsi="Arial" w:cs="Arial"/>
          <w:sz w:val="22"/>
        </w:rPr>
        <w:t xml:space="preserve"> porque para ello tendría que «disolverse» </w:t>
      </w:r>
      <w:r>
        <w:rPr>
          <w:rFonts w:ascii="Arial" w:eastAsia="Calibri" w:hAnsi="Arial" w:cs="Arial"/>
          <w:sz w:val="22"/>
        </w:rPr>
        <w:t>sin</w:t>
      </w:r>
      <w:r w:rsidRPr="00DC5CAD">
        <w:rPr>
          <w:rFonts w:ascii="Arial" w:eastAsia="Calibri" w:hAnsi="Arial" w:cs="Arial"/>
          <w:sz w:val="22"/>
        </w:rPr>
        <w:t xml:space="preserve"> «liquidarse», puesto que la «liquidación» implicaría que desaparece la persona y así su experiencia. Para explicarlo</w:t>
      </w:r>
      <w:r>
        <w:rPr>
          <w:rFonts w:ascii="Arial" w:eastAsia="Calibri" w:hAnsi="Arial" w:cs="Arial"/>
          <w:sz w:val="22"/>
        </w:rPr>
        <w:t>,</w:t>
      </w:r>
      <w:r w:rsidRPr="00DC5CAD">
        <w:rPr>
          <w:rFonts w:ascii="Arial" w:eastAsia="Calibri" w:hAnsi="Arial" w:cs="Arial"/>
          <w:sz w:val="22"/>
        </w:rPr>
        <w:t xml:space="preserve"> hay que volver a la definición de «disolución», donde la persona jurídica no desaparece y solo puede hacer trámites para «liquidarse»</w:t>
      </w:r>
      <w:r>
        <w:rPr>
          <w:rFonts w:ascii="Arial" w:eastAsia="Calibri" w:hAnsi="Arial" w:cs="Arial"/>
          <w:sz w:val="22"/>
        </w:rPr>
        <w:t>.</w:t>
      </w:r>
      <w:r w:rsidRPr="00DC5CAD">
        <w:rPr>
          <w:rFonts w:ascii="Arial" w:eastAsia="Calibri" w:hAnsi="Arial" w:cs="Arial"/>
          <w:sz w:val="22"/>
        </w:rPr>
        <w:t xml:space="preserve"> </w:t>
      </w:r>
      <w:r>
        <w:rPr>
          <w:rFonts w:ascii="Arial" w:eastAsia="Calibri" w:hAnsi="Arial" w:cs="Arial"/>
          <w:sz w:val="22"/>
        </w:rPr>
        <w:t>S</w:t>
      </w:r>
      <w:r w:rsidRPr="00DC5CAD">
        <w:rPr>
          <w:rFonts w:ascii="Arial" w:eastAsia="Calibri" w:hAnsi="Arial" w:cs="Arial"/>
          <w:sz w:val="22"/>
        </w:rPr>
        <w:t>in embargo</w:t>
      </w:r>
      <w:r>
        <w:rPr>
          <w:rFonts w:ascii="Arial" w:eastAsia="Calibri" w:hAnsi="Arial" w:cs="Arial"/>
          <w:sz w:val="22"/>
        </w:rPr>
        <w:t>,</w:t>
      </w:r>
      <w:r w:rsidRPr="00DC5CAD">
        <w:rPr>
          <w:rFonts w:ascii="Arial" w:eastAsia="Calibri" w:hAnsi="Arial" w:cs="Arial"/>
          <w:sz w:val="22"/>
        </w:rPr>
        <w:t xml:space="preserve"> hay una excepción a esa regla y es, precisamente, </w:t>
      </w:r>
      <w:r>
        <w:rPr>
          <w:rFonts w:ascii="Arial" w:eastAsia="Calibri" w:hAnsi="Arial" w:cs="Arial"/>
          <w:sz w:val="22"/>
        </w:rPr>
        <w:t xml:space="preserve">la de </w:t>
      </w:r>
      <w:r w:rsidRPr="00DC5CAD">
        <w:rPr>
          <w:rFonts w:ascii="Arial" w:eastAsia="Calibri" w:hAnsi="Arial" w:cs="Arial"/>
          <w:sz w:val="22"/>
        </w:rPr>
        <w:t>las figuras y reformas estatutarias que aquí se explican, particularmente la fusión, ya que por esa excepción la persona tiene continuidad en otra persona, y sigue siendo quien era, lo cual no es el caso de la escisión, ya que en la primera modalidad no existe «disolución»</w:t>
      </w:r>
      <w:r>
        <w:rPr>
          <w:rFonts w:ascii="Arial" w:eastAsia="Calibri" w:hAnsi="Arial" w:cs="Arial"/>
          <w:sz w:val="22"/>
        </w:rPr>
        <w:t xml:space="preserve">. Esto </w:t>
      </w:r>
      <w:r w:rsidRPr="00DC5CAD">
        <w:rPr>
          <w:rFonts w:ascii="Arial" w:eastAsia="Calibri" w:hAnsi="Arial" w:cs="Arial"/>
          <w:sz w:val="22"/>
        </w:rPr>
        <w:t>significa que la persona continúa por sí misma y puede adquirir experiencia</w:t>
      </w:r>
      <w:r>
        <w:rPr>
          <w:rFonts w:ascii="Arial" w:eastAsia="Calibri" w:hAnsi="Arial" w:cs="Arial"/>
          <w:sz w:val="22"/>
        </w:rPr>
        <w:t>,</w:t>
      </w:r>
      <w:r w:rsidRPr="00DC5CAD">
        <w:rPr>
          <w:rFonts w:ascii="Arial" w:eastAsia="Calibri" w:hAnsi="Arial" w:cs="Arial"/>
          <w:sz w:val="22"/>
        </w:rPr>
        <w:t xml:space="preserve"> pero no puede transferirla porque le pertenece</w:t>
      </w:r>
      <w:r>
        <w:rPr>
          <w:rFonts w:ascii="Arial" w:eastAsia="Calibri" w:hAnsi="Arial" w:cs="Arial"/>
          <w:sz w:val="22"/>
        </w:rPr>
        <w:t>,</w:t>
      </w:r>
      <w:r w:rsidRPr="00DC5CAD">
        <w:rPr>
          <w:rFonts w:ascii="Arial" w:eastAsia="Calibri" w:hAnsi="Arial" w:cs="Arial"/>
          <w:sz w:val="22"/>
        </w:rPr>
        <w:t xml:space="preserve"> al ser quien la adquirió. </w:t>
      </w:r>
    </w:p>
    <w:p w14:paraId="06B20A00" w14:textId="77777777" w:rsidR="00F1148B" w:rsidRPr="00DC5CAD" w:rsidRDefault="00F1148B" w:rsidP="00F1148B">
      <w:pPr>
        <w:spacing w:before="120" w:after="120" w:line="276" w:lineRule="auto"/>
        <w:ind w:firstLine="708"/>
        <w:jc w:val="both"/>
        <w:rPr>
          <w:rFonts w:ascii="Arial" w:eastAsia="Calibri" w:hAnsi="Arial" w:cs="Arial"/>
          <w:sz w:val="22"/>
        </w:rPr>
      </w:pPr>
      <w:r w:rsidRPr="00DC5CAD">
        <w:rPr>
          <w:rFonts w:ascii="Arial" w:eastAsia="Calibri" w:hAnsi="Arial" w:cs="Arial"/>
          <w:sz w:val="22"/>
        </w:rPr>
        <w:t>Por otro lado, a pesar de que en la segunda modalidad existe «disolución», no hay transferencia de la experiencia porque la persona jurídica fraccionada deja de ser qui</w:t>
      </w:r>
      <w:r>
        <w:rPr>
          <w:rFonts w:ascii="Arial" w:eastAsia="Calibri" w:hAnsi="Arial" w:cs="Arial"/>
          <w:sz w:val="22"/>
        </w:rPr>
        <w:t>e</w:t>
      </w:r>
      <w:r w:rsidRPr="00DC5CAD">
        <w:rPr>
          <w:rFonts w:ascii="Arial" w:eastAsia="Calibri" w:hAnsi="Arial" w:cs="Arial"/>
          <w:sz w:val="22"/>
        </w:rPr>
        <w:t>n es y desaparece, quedando dividida en varias sociedades nuevas o existentes que reciben su patrimonio, sin que sea posible determinar cuál de todas las sociedades que recibieron parte del patrimonio de la sociedad escindida tiene la experiencia</w:t>
      </w:r>
      <w:r>
        <w:rPr>
          <w:rFonts w:ascii="Arial" w:eastAsia="Calibri" w:hAnsi="Arial" w:cs="Arial"/>
          <w:sz w:val="22"/>
        </w:rPr>
        <w:t>.</w:t>
      </w:r>
      <w:r w:rsidRPr="00DC5CAD">
        <w:rPr>
          <w:rFonts w:ascii="Arial" w:eastAsia="Calibri" w:hAnsi="Arial" w:cs="Arial"/>
          <w:sz w:val="22"/>
        </w:rPr>
        <w:t xml:space="preserve"> </w:t>
      </w:r>
      <w:r>
        <w:rPr>
          <w:rFonts w:ascii="Arial" w:eastAsia="Calibri" w:hAnsi="Arial" w:cs="Arial"/>
          <w:sz w:val="22"/>
        </w:rPr>
        <w:t>T</w:t>
      </w:r>
      <w:r w:rsidRPr="00DC5CAD">
        <w:rPr>
          <w:rFonts w:ascii="Arial" w:eastAsia="Calibri" w:hAnsi="Arial" w:cs="Arial"/>
          <w:sz w:val="22"/>
        </w:rPr>
        <w:t>ampoco es posible que todas las sociedades que recibieron el patrimonio acrediten la misma experiencia multiplicándola tantas veces sea necesario, porque la experiencia es de quien la adquirió y como esa persona jurídica no puede continuar en otra persona</w:t>
      </w:r>
      <w:r>
        <w:rPr>
          <w:rFonts w:ascii="Arial" w:eastAsia="Calibri" w:hAnsi="Arial" w:cs="Arial"/>
          <w:sz w:val="22"/>
        </w:rPr>
        <w:t xml:space="preserve">, </w:t>
      </w:r>
      <w:r w:rsidRPr="00DC5CAD">
        <w:rPr>
          <w:rFonts w:ascii="Arial" w:eastAsia="Calibri" w:hAnsi="Arial" w:cs="Arial"/>
          <w:sz w:val="22"/>
        </w:rPr>
        <w:t>porque desapareció</w:t>
      </w:r>
      <w:r>
        <w:rPr>
          <w:rFonts w:ascii="Arial" w:eastAsia="Calibri" w:hAnsi="Arial" w:cs="Arial"/>
          <w:sz w:val="22"/>
        </w:rPr>
        <w:t>,</w:t>
      </w:r>
      <w:r w:rsidRPr="00DC5CAD">
        <w:rPr>
          <w:rFonts w:ascii="Arial" w:eastAsia="Calibri" w:hAnsi="Arial" w:cs="Arial"/>
          <w:sz w:val="22"/>
        </w:rPr>
        <w:t xml:space="preserve">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 </w:t>
      </w:r>
    </w:p>
    <w:p w14:paraId="77366090" w14:textId="77777777" w:rsidR="00F1148B" w:rsidRDefault="00F1148B" w:rsidP="00F1148B">
      <w:pPr>
        <w:spacing w:before="120" w:line="276" w:lineRule="auto"/>
        <w:ind w:firstLine="709"/>
        <w:jc w:val="both"/>
        <w:rPr>
          <w:rFonts w:ascii="Arial" w:eastAsia="Calibri" w:hAnsi="Arial" w:cs="Arial"/>
          <w:sz w:val="22"/>
        </w:rPr>
      </w:pPr>
      <w:r w:rsidRPr="00DC5CAD">
        <w:rPr>
          <w:rFonts w:ascii="Arial" w:eastAsia="Calibri" w:hAnsi="Arial" w:cs="Arial"/>
          <w:sz w:val="22"/>
        </w:rPr>
        <w:t>Pero en la fusión, como se verá, a pesar de que la sociedad est</w:t>
      </w:r>
      <w:r>
        <w:rPr>
          <w:rFonts w:ascii="Arial" w:eastAsia="Calibri" w:hAnsi="Arial" w:cs="Arial"/>
          <w:sz w:val="22"/>
        </w:rPr>
        <w:t>á</w:t>
      </w:r>
      <w:r w:rsidRPr="00DC5CAD">
        <w:rPr>
          <w:rFonts w:ascii="Arial" w:eastAsia="Calibri" w:hAnsi="Arial" w:cs="Arial"/>
          <w:sz w:val="22"/>
        </w:rPr>
        <w:t xml:space="preserve"> «disuelta» y debería «liquidarse», para desaparecer, la ley permite que no desaparezca y tenga </w:t>
      </w:r>
      <w:r w:rsidRPr="00DC5CAD">
        <w:rPr>
          <w:rFonts w:ascii="Arial" w:eastAsia="Calibri" w:hAnsi="Arial" w:cs="Arial"/>
          <w:sz w:val="22"/>
        </w:rPr>
        <w:lastRenderedPageBreak/>
        <w:t>continuidad convertida en otra sociedad, por lo que, por expresa disposición legal, la sociedad puede no «liquidarse»</w:t>
      </w:r>
      <w:r>
        <w:rPr>
          <w:rFonts w:ascii="Arial" w:eastAsia="Calibri" w:hAnsi="Arial" w:cs="Arial"/>
          <w:sz w:val="22"/>
        </w:rPr>
        <w:t>,</w:t>
      </w:r>
      <w:r w:rsidRPr="00DC5CAD">
        <w:rPr>
          <w:rFonts w:ascii="Arial" w:eastAsia="Calibri" w:hAnsi="Arial" w:cs="Arial"/>
          <w:sz w:val="22"/>
        </w:rPr>
        <w:t xml:space="preserve"> sino continuar a través de otra sociedad, porque así lo dispuso el legislador</w:t>
      </w:r>
      <w:r>
        <w:rPr>
          <w:rFonts w:ascii="Arial" w:eastAsia="Calibri" w:hAnsi="Arial" w:cs="Arial"/>
          <w:sz w:val="22"/>
        </w:rPr>
        <w:t>.</w:t>
      </w:r>
      <w:r w:rsidRPr="00DC5CAD">
        <w:rPr>
          <w:rFonts w:ascii="Arial" w:eastAsia="Calibri" w:hAnsi="Arial" w:cs="Arial"/>
          <w:sz w:val="22"/>
        </w:rPr>
        <w:t xml:space="preserve"> </w:t>
      </w:r>
      <w:r>
        <w:rPr>
          <w:rFonts w:ascii="Arial" w:eastAsia="Calibri" w:hAnsi="Arial" w:cs="Arial"/>
          <w:sz w:val="22"/>
        </w:rPr>
        <w:t>E</w:t>
      </w:r>
      <w:r w:rsidRPr="00DC5CAD">
        <w:rPr>
          <w:rFonts w:ascii="Arial" w:eastAsia="Calibri" w:hAnsi="Arial" w:cs="Arial"/>
          <w:sz w:val="22"/>
        </w:rPr>
        <w:t>sto implica que se traslada la experiencia y no se comparte, porque compartir implica que siga existiendo como una persona individualmente considerada, pero como continúa a través de otra</w:t>
      </w:r>
      <w:r>
        <w:rPr>
          <w:rFonts w:ascii="Arial" w:eastAsia="Calibri" w:hAnsi="Arial" w:cs="Arial"/>
          <w:sz w:val="22"/>
        </w:rPr>
        <w:t>,</w:t>
      </w:r>
      <w:r w:rsidRPr="00DC5CAD">
        <w:rPr>
          <w:rFonts w:ascii="Arial" w:eastAsia="Calibri" w:hAnsi="Arial" w:cs="Arial"/>
          <w:sz w:val="22"/>
        </w:rPr>
        <w:t xml:space="preserve"> lo que sucede es la transferencia de la experiencia.</w:t>
      </w:r>
    </w:p>
    <w:p w14:paraId="7C2367D9" w14:textId="77777777" w:rsidR="00F1148B" w:rsidRDefault="00F1148B" w:rsidP="00F1148B">
      <w:pPr>
        <w:spacing w:line="276" w:lineRule="auto"/>
        <w:jc w:val="both"/>
        <w:rPr>
          <w:rFonts w:ascii="Arial" w:eastAsia="Calibri" w:hAnsi="Arial" w:cs="Arial"/>
          <w:sz w:val="22"/>
        </w:rPr>
      </w:pPr>
    </w:p>
    <w:p w14:paraId="7553F3A1" w14:textId="77777777" w:rsidR="00F1148B" w:rsidRPr="00DC5CAD" w:rsidRDefault="00F1148B" w:rsidP="00F1148B">
      <w:pPr>
        <w:spacing w:line="276" w:lineRule="auto"/>
        <w:jc w:val="both"/>
        <w:rPr>
          <w:rFonts w:ascii="Arial" w:eastAsia="Calibri" w:hAnsi="Arial" w:cs="Arial"/>
          <w:b/>
          <w:bCs/>
          <w:sz w:val="22"/>
        </w:rPr>
      </w:pPr>
      <w:r w:rsidRPr="00DC5CAD">
        <w:rPr>
          <w:rFonts w:ascii="Arial" w:eastAsia="Calibri" w:hAnsi="Arial" w:cs="Arial"/>
          <w:b/>
          <w:bCs/>
          <w:sz w:val="22"/>
        </w:rPr>
        <w:t>c) Fusión</w:t>
      </w:r>
    </w:p>
    <w:p w14:paraId="30B654CF" w14:textId="77777777" w:rsidR="00F1148B" w:rsidRPr="00DC5CAD" w:rsidRDefault="00F1148B" w:rsidP="00F1148B">
      <w:pPr>
        <w:spacing w:line="276" w:lineRule="auto"/>
        <w:jc w:val="both"/>
        <w:rPr>
          <w:rFonts w:ascii="Arial" w:eastAsia="Calibri" w:hAnsi="Arial" w:cs="Arial"/>
          <w:b/>
          <w:bCs/>
          <w:sz w:val="22"/>
        </w:rPr>
      </w:pPr>
    </w:p>
    <w:p w14:paraId="5DE063A3" w14:textId="77777777" w:rsidR="00F1148B" w:rsidRPr="00DC5CAD" w:rsidRDefault="00F1148B" w:rsidP="00F1148B">
      <w:pPr>
        <w:spacing w:line="276" w:lineRule="auto"/>
        <w:jc w:val="both"/>
        <w:rPr>
          <w:rFonts w:ascii="Arial" w:eastAsia="Calibri" w:hAnsi="Arial" w:cs="Arial"/>
          <w:sz w:val="22"/>
        </w:rPr>
      </w:pPr>
      <w:r w:rsidRPr="00DC5CAD">
        <w:rPr>
          <w:rFonts w:ascii="Arial" w:eastAsia="Calibri" w:hAnsi="Arial" w:cs="Arial"/>
          <w:sz w:val="22"/>
        </w:rPr>
        <w:t>Es una figura con 4 tipologías: i) por absorción: una o más sociedades se «disuelven» sin «liquidarse» para ser absorbidas por otra existente; ii) por creación: una o más sociedades se «disuelven» sin «liquidarse» para ser absorbidas por otra nueva</w:t>
      </w:r>
      <w:r w:rsidRPr="00DC5CAD">
        <w:rPr>
          <w:rStyle w:val="Refdenotaalpie"/>
          <w:rFonts w:ascii="Arial" w:eastAsia="Calibri" w:hAnsi="Arial" w:cs="Arial"/>
          <w:sz w:val="22"/>
        </w:rPr>
        <w:footnoteReference w:id="17"/>
      </w:r>
      <w:r w:rsidRPr="00DC5CAD">
        <w:rPr>
          <w:rFonts w:ascii="Arial" w:eastAsia="Calibri" w:hAnsi="Arial" w:cs="Arial"/>
          <w:sz w:val="22"/>
        </w:rPr>
        <w:t>; iii) impropia: una sociedad se «disuelve» sin el propósito de realizar una fusión sino de «liquidarse», y antes de la liquidación se toma la decisión de crear una sociedad</w:t>
      </w:r>
      <w:r w:rsidRPr="00DC5CAD">
        <w:rPr>
          <w:rStyle w:val="Refdenotaalpie"/>
          <w:rFonts w:ascii="Arial" w:eastAsia="Calibri" w:hAnsi="Arial" w:cs="Arial"/>
          <w:sz w:val="22"/>
        </w:rPr>
        <w:footnoteReference w:id="18"/>
      </w:r>
      <w:r w:rsidRPr="00DC5CAD">
        <w:rPr>
          <w:rFonts w:ascii="Arial" w:eastAsia="Calibri" w:hAnsi="Arial" w:cs="Arial"/>
          <w:sz w:val="22"/>
        </w:rPr>
        <w:t xml:space="preserve">; iv) abreviada: </w:t>
      </w:r>
      <w:r>
        <w:rPr>
          <w:rFonts w:ascii="Arial" w:eastAsia="Calibri" w:hAnsi="Arial" w:cs="Arial"/>
          <w:sz w:val="22"/>
        </w:rPr>
        <w:t>s</w:t>
      </w:r>
      <w:r w:rsidRPr="00DC5CAD">
        <w:rPr>
          <w:rFonts w:ascii="Arial" w:eastAsia="Calibri" w:hAnsi="Arial" w:cs="Arial"/>
          <w:sz w:val="22"/>
        </w:rPr>
        <w:t>olo aplica cuando una Sociedad por Acciones Simplificada (S.A.S</w:t>
      </w:r>
      <w:r>
        <w:rPr>
          <w:rFonts w:ascii="Arial" w:eastAsia="Calibri" w:hAnsi="Arial" w:cs="Arial"/>
          <w:sz w:val="22"/>
        </w:rPr>
        <w:t>.</w:t>
      </w:r>
      <w:r w:rsidRPr="00DC5CAD">
        <w:rPr>
          <w:rFonts w:ascii="Arial" w:eastAsia="Calibri" w:hAnsi="Arial" w:cs="Arial"/>
          <w:sz w:val="22"/>
        </w:rPr>
        <w:t>) pertenece a otra sociedad en más del 90% de sus acciones, y es posible que esa sociedad controlante absorba a la S.A.S, es decir, que ocurra una fusión por absorción</w:t>
      </w:r>
      <w:r w:rsidRPr="00DC5CAD">
        <w:rPr>
          <w:rStyle w:val="Refdenotaalpie"/>
          <w:rFonts w:ascii="Arial" w:eastAsia="Calibri" w:hAnsi="Arial" w:cs="Arial"/>
          <w:sz w:val="22"/>
        </w:rPr>
        <w:footnoteReference w:id="19"/>
      </w:r>
      <w:r w:rsidRPr="00DC5CAD">
        <w:rPr>
          <w:rFonts w:ascii="Arial" w:eastAsia="Calibri" w:hAnsi="Arial" w:cs="Arial"/>
          <w:sz w:val="22"/>
        </w:rPr>
        <w:t>. La norma no se refi</w:t>
      </w:r>
      <w:r>
        <w:rPr>
          <w:rFonts w:ascii="Arial" w:eastAsia="Calibri" w:hAnsi="Arial" w:cs="Arial"/>
          <w:sz w:val="22"/>
        </w:rPr>
        <w:t>e</w:t>
      </w:r>
      <w:r w:rsidRPr="00DC5CAD">
        <w:rPr>
          <w:rFonts w:ascii="Arial" w:eastAsia="Calibri" w:hAnsi="Arial" w:cs="Arial"/>
          <w:sz w:val="22"/>
        </w:rPr>
        <w:t>re a la «disolución de la S.A.S», lo cual no implica que no exista fusión, sino que es abreviada porque no se requiere configurar el estado de «disolución» de la sociedad.</w:t>
      </w:r>
    </w:p>
    <w:p w14:paraId="045B4746" w14:textId="0A508188" w:rsidR="00F1148B" w:rsidRDefault="00F1148B" w:rsidP="00F1148B">
      <w:pPr>
        <w:spacing w:before="120" w:line="276" w:lineRule="auto"/>
        <w:ind w:firstLine="708"/>
        <w:jc w:val="both"/>
        <w:rPr>
          <w:rFonts w:ascii="Arial" w:eastAsia="Calibri" w:hAnsi="Arial" w:cs="Arial"/>
          <w:bCs/>
          <w:sz w:val="22"/>
        </w:rPr>
      </w:pPr>
      <w:r w:rsidRPr="00DC5CAD">
        <w:rPr>
          <w:rFonts w:ascii="Arial" w:eastAsia="Calibri" w:hAnsi="Arial" w:cs="Arial"/>
          <w:bCs/>
          <w:sz w:val="22"/>
        </w:rPr>
        <w:t xml:space="preserve">Para analizar la fusión y sus efectos respecto de la experiencia de la sociedad que se </w:t>
      </w:r>
      <w:r w:rsidRPr="00DC5CAD">
        <w:rPr>
          <w:rFonts w:ascii="Arial" w:eastAsia="Calibri" w:hAnsi="Arial" w:cs="Arial"/>
          <w:sz w:val="22"/>
        </w:rPr>
        <w:t>«</w:t>
      </w:r>
      <w:r w:rsidRPr="00DC5CAD">
        <w:rPr>
          <w:rFonts w:ascii="Arial" w:eastAsia="Calibri" w:hAnsi="Arial" w:cs="Arial"/>
          <w:bCs/>
          <w:sz w:val="22"/>
        </w:rPr>
        <w:t xml:space="preserve">disuelve» pero no se </w:t>
      </w:r>
      <w:r w:rsidRPr="00DC5CAD">
        <w:rPr>
          <w:rFonts w:ascii="Arial" w:eastAsia="Calibri" w:hAnsi="Arial" w:cs="Arial"/>
          <w:sz w:val="22"/>
        </w:rPr>
        <w:t>«</w:t>
      </w:r>
      <w:r w:rsidRPr="00DC5CAD">
        <w:rPr>
          <w:rFonts w:ascii="Arial" w:eastAsia="Calibri" w:hAnsi="Arial" w:cs="Arial"/>
          <w:bCs/>
          <w:sz w:val="22"/>
        </w:rPr>
        <w:t>liquida», es necesario reiterar la explicación dada respecto de la</w:t>
      </w:r>
      <w:r>
        <w:rPr>
          <w:rFonts w:ascii="Arial" w:eastAsia="Calibri" w:hAnsi="Arial" w:cs="Arial"/>
          <w:bCs/>
          <w:sz w:val="22"/>
        </w:rPr>
        <w:t xml:space="preserve"> </w:t>
      </w:r>
      <w:r w:rsidRPr="00DC5CAD">
        <w:rPr>
          <w:rFonts w:ascii="Arial" w:eastAsia="Calibri" w:hAnsi="Arial" w:cs="Arial"/>
          <w:bCs/>
          <w:sz w:val="22"/>
        </w:rPr>
        <w:t>segunda modalidad de escisión, y es que siempre que la sociedad no se liquide, es decir, que no desaparezca, la experiencia puede ser trasladada y no compartida</w:t>
      </w:r>
      <w:r>
        <w:rPr>
          <w:rFonts w:ascii="Arial" w:eastAsia="Calibri" w:hAnsi="Arial" w:cs="Arial"/>
          <w:bCs/>
          <w:sz w:val="22"/>
        </w:rPr>
        <w:t>.</w:t>
      </w:r>
      <w:r w:rsidRPr="00DC5CAD">
        <w:rPr>
          <w:rFonts w:ascii="Arial" w:eastAsia="Calibri" w:hAnsi="Arial" w:cs="Arial"/>
          <w:bCs/>
          <w:sz w:val="22"/>
        </w:rPr>
        <w:t xml:space="preserve"> </w:t>
      </w:r>
      <w:r>
        <w:rPr>
          <w:rFonts w:ascii="Arial" w:eastAsia="Calibri" w:hAnsi="Arial" w:cs="Arial"/>
          <w:bCs/>
          <w:sz w:val="22"/>
        </w:rPr>
        <w:t>Lo anterior, toda vez que</w:t>
      </w:r>
      <w:r w:rsidRPr="00DC5CAD">
        <w:rPr>
          <w:rFonts w:ascii="Arial" w:eastAsia="Calibri" w:hAnsi="Arial" w:cs="Arial"/>
          <w:bCs/>
          <w:sz w:val="22"/>
        </w:rPr>
        <w:t xml:space="preserve"> la trasferencia ocurre porque la persona jurídica continúa a través de otra, esto es, deja de ser quien </w:t>
      </w:r>
      <w:r w:rsidR="009226C7" w:rsidRPr="00DC5CAD">
        <w:rPr>
          <w:rFonts w:ascii="Arial" w:eastAsia="Calibri" w:hAnsi="Arial" w:cs="Arial"/>
          <w:bCs/>
          <w:sz w:val="22"/>
        </w:rPr>
        <w:t>es,</w:t>
      </w:r>
      <w:r w:rsidRPr="00DC5CAD">
        <w:rPr>
          <w:rFonts w:ascii="Arial" w:eastAsia="Calibri" w:hAnsi="Arial" w:cs="Arial"/>
          <w:bCs/>
          <w:sz w:val="22"/>
        </w:rPr>
        <w:t xml:space="preserve"> pero no desaparece porque otra sociedad se convierte en ella, ya sea </w:t>
      </w:r>
      <w:r w:rsidRPr="00DC5CAD">
        <w:rPr>
          <w:rFonts w:ascii="Arial" w:eastAsia="Calibri" w:hAnsi="Arial" w:cs="Arial"/>
          <w:bCs/>
          <w:sz w:val="22"/>
        </w:rPr>
        <w:lastRenderedPageBreak/>
        <w:t xml:space="preserve">una sociedad nueva cuando es fusión por creación, o una sociedad existente en la fusión por absorción. </w:t>
      </w:r>
      <w:r>
        <w:rPr>
          <w:rFonts w:ascii="Arial" w:eastAsia="Calibri" w:hAnsi="Arial" w:cs="Arial"/>
          <w:bCs/>
          <w:sz w:val="22"/>
        </w:rPr>
        <w:t>L</w:t>
      </w:r>
      <w:r w:rsidRPr="00DC5CAD">
        <w:rPr>
          <w:rFonts w:ascii="Arial" w:eastAsia="Calibri" w:hAnsi="Arial" w:cs="Arial"/>
          <w:bCs/>
          <w:sz w:val="22"/>
        </w:rPr>
        <w:t>a experiencia no se comparte, porque para esto la sociedad debería continuar individualmente considerada, pero en este evento continúa a través de otra, a quien le transfiere su experiencia y todos sus derechos y obligaciones, de conformidad con el artículo 172 y siguientes del Código de Comercio.</w:t>
      </w:r>
    </w:p>
    <w:p w14:paraId="6B93B1C1" w14:textId="61BCEE51" w:rsidR="0067180E" w:rsidRDefault="0067180E" w:rsidP="0067180E">
      <w:pPr>
        <w:spacing w:before="120" w:line="276" w:lineRule="auto"/>
        <w:ind w:firstLine="708"/>
        <w:jc w:val="both"/>
        <w:rPr>
          <w:rFonts w:ascii="Arial" w:eastAsia="Calibri" w:hAnsi="Arial" w:cs="Arial"/>
          <w:bCs/>
          <w:sz w:val="22"/>
        </w:rPr>
      </w:pPr>
      <w:r w:rsidRPr="00B10776">
        <w:rPr>
          <w:rFonts w:ascii="Arial" w:eastAsia="Calibri" w:hAnsi="Arial" w:cs="Arial"/>
          <w:bCs/>
          <w:sz w:val="22"/>
        </w:rPr>
        <w:t xml:space="preserve">La anterior conclusión es coherente con lo establecido en la </w:t>
      </w:r>
      <w:r w:rsidRPr="004B7D0A">
        <w:rPr>
          <w:rFonts w:ascii="Arial" w:eastAsia="Calibri" w:hAnsi="Arial" w:cs="Arial"/>
          <w:bCs/>
          <w:i/>
          <w:iCs/>
          <w:sz w:val="22"/>
        </w:rPr>
        <w:t>Guía de Asuntos Corporativos en los Procesos de Contratación,</w:t>
      </w:r>
      <w:r w:rsidRPr="00B10776">
        <w:rPr>
          <w:rFonts w:ascii="Arial" w:eastAsia="Calibri" w:hAnsi="Arial" w:cs="Arial"/>
          <w:bCs/>
          <w:sz w:val="22"/>
        </w:rPr>
        <w:t xml:space="preserve"> expedida por la Agencia Nacional de Contratación Pública - Colombia Compra Eficiente, pues en ella se dice que </w:t>
      </w:r>
      <w:r>
        <w:rPr>
          <w:rFonts w:ascii="Arial" w:eastAsia="Calibri" w:hAnsi="Arial" w:cs="Arial"/>
          <w:bCs/>
          <w:sz w:val="22"/>
        </w:rPr>
        <w:t>«</w:t>
      </w:r>
      <w:r w:rsidRPr="00B10776">
        <w:rPr>
          <w:rFonts w:ascii="Arial" w:eastAsia="Calibri" w:hAnsi="Arial" w:cs="Arial"/>
          <w:bCs/>
          <w:sz w:val="22"/>
        </w:rPr>
        <w:t>La experiencia de las personas jurídicas es de carácter personal y en principio es intransferible. Por lo tanto, no es posible trasladar la experiencia de un proponente a otro en eventos de escisión o liquidación de una persona jurídica, ni que la experiencia sea enajenada por una persona jurídica en favor de otra persona jurídica o natural</w:t>
      </w:r>
      <w:r>
        <w:rPr>
          <w:rFonts w:ascii="Arial" w:eastAsia="Calibri" w:hAnsi="Arial" w:cs="Arial"/>
          <w:bCs/>
          <w:sz w:val="22"/>
        </w:rPr>
        <w:t>»</w:t>
      </w:r>
      <w:r w:rsidRPr="00B10776">
        <w:rPr>
          <w:rFonts w:ascii="Arial" w:eastAsia="Calibri" w:hAnsi="Arial" w:cs="Arial"/>
          <w:bCs/>
          <w:sz w:val="22"/>
        </w:rPr>
        <w:t xml:space="preserve">. Obsérvese que la Guía no establece que la experiencia es </w:t>
      </w:r>
      <w:r>
        <w:rPr>
          <w:rFonts w:ascii="Arial" w:eastAsia="Calibri" w:hAnsi="Arial" w:cs="Arial"/>
          <w:bCs/>
          <w:sz w:val="22"/>
        </w:rPr>
        <w:t>«</w:t>
      </w:r>
      <w:r w:rsidRPr="00B10776">
        <w:rPr>
          <w:rFonts w:ascii="Arial" w:eastAsia="Calibri" w:hAnsi="Arial" w:cs="Arial"/>
          <w:bCs/>
          <w:sz w:val="22"/>
        </w:rPr>
        <w:t>siempre</w:t>
      </w:r>
      <w:r>
        <w:rPr>
          <w:rFonts w:ascii="Arial" w:eastAsia="Calibri" w:hAnsi="Arial" w:cs="Arial"/>
          <w:bCs/>
          <w:sz w:val="22"/>
        </w:rPr>
        <w:t>»</w:t>
      </w:r>
      <w:r w:rsidRPr="00B10776">
        <w:rPr>
          <w:rFonts w:ascii="Arial" w:eastAsia="Calibri" w:hAnsi="Arial" w:cs="Arial"/>
          <w:bCs/>
          <w:sz w:val="22"/>
        </w:rPr>
        <w:t xml:space="preserve"> intransferible, sino que sostiene que ello es así </w:t>
      </w:r>
      <w:r>
        <w:rPr>
          <w:rFonts w:ascii="Arial" w:eastAsia="Calibri" w:hAnsi="Arial" w:cs="Arial"/>
          <w:bCs/>
          <w:sz w:val="22"/>
        </w:rPr>
        <w:t>«</w:t>
      </w:r>
      <w:r w:rsidRPr="00B10776">
        <w:rPr>
          <w:rFonts w:ascii="Arial" w:eastAsia="Calibri" w:hAnsi="Arial" w:cs="Arial"/>
          <w:bCs/>
          <w:sz w:val="22"/>
        </w:rPr>
        <w:t>en principio</w:t>
      </w:r>
      <w:r>
        <w:rPr>
          <w:rFonts w:ascii="Arial" w:eastAsia="Calibri" w:hAnsi="Arial" w:cs="Arial"/>
          <w:bCs/>
          <w:sz w:val="22"/>
        </w:rPr>
        <w:t>»</w:t>
      </w:r>
      <w:r w:rsidRPr="00B10776">
        <w:rPr>
          <w:rFonts w:ascii="Arial" w:eastAsia="Calibri" w:hAnsi="Arial" w:cs="Arial"/>
          <w:bCs/>
          <w:sz w:val="22"/>
        </w:rPr>
        <w:t>. Además, precisa que no es posible transferir la experiencia en la escisión y en la liquidación, justamente porque esos casos la persona jurídica desaparece, lo que no sucede en la fusión. Es decir que en este supuesto sí es posible la transferencia de la experiencia de la sociedad fusionada a la resultante.</w:t>
      </w:r>
      <w:r w:rsidRPr="00DC5CAD">
        <w:rPr>
          <w:rFonts w:ascii="Arial" w:eastAsia="Calibri" w:hAnsi="Arial" w:cs="Arial"/>
          <w:bCs/>
          <w:sz w:val="22"/>
        </w:rPr>
        <w:t xml:space="preserve"> </w:t>
      </w:r>
    </w:p>
    <w:p w14:paraId="6A81E360" w14:textId="068D5FC0" w:rsidR="00B3181B" w:rsidRPr="004B7D0A" w:rsidRDefault="00B3181B" w:rsidP="004B7D0A">
      <w:pPr>
        <w:spacing w:before="120" w:line="276" w:lineRule="auto"/>
        <w:ind w:firstLine="708"/>
        <w:jc w:val="both"/>
        <w:rPr>
          <w:rFonts w:ascii="Arial" w:eastAsia="Calibri" w:hAnsi="Arial" w:cs="Arial"/>
          <w:bCs/>
          <w:sz w:val="22"/>
        </w:rPr>
      </w:pPr>
      <w:r w:rsidRPr="004B7D0A">
        <w:rPr>
          <w:rFonts w:ascii="Arial" w:eastAsia="Calibri" w:hAnsi="Arial" w:cs="Arial"/>
          <w:bCs/>
          <w:sz w:val="22"/>
        </w:rPr>
        <w:t>Esta postura en torno a la validez de la transferencia de experiencia de la sociedad absorbida a la absorbente es compartida por la Superintendencia de Sociedades. Dicha entidad en ejercicio de la función consultiva ha manifestado que esta figura es adecuada que la sociedad absorbida transfiera a la segunda sus atributos en lo relacionado con la experiencia</w:t>
      </w:r>
      <w:r>
        <w:rPr>
          <w:rStyle w:val="Refdenotaalpie"/>
          <w:rFonts w:ascii="Arial" w:eastAsia="Calibri" w:hAnsi="Arial" w:cs="Arial"/>
          <w:bCs/>
          <w:sz w:val="22"/>
        </w:rPr>
        <w:footnoteReference w:id="20"/>
      </w:r>
      <w:r w:rsidRPr="004B7D0A">
        <w:rPr>
          <w:rFonts w:ascii="Arial" w:eastAsia="Calibri" w:hAnsi="Arial" w:cs="Arial"/>
          <w:bCs/>
          <w:sz w:val="22"/>
        </w:rPr>
        <w:t xml:space="preserve">. </w:t>
      </w:r>
      <w:r w:rsidR="00035E9B">
        <w:rPr>
          <w:rFonts w:ascii="Arial" w:eastAsia="Calibri" w:hAnsi="Arial" w:cs="Arial"/>
          <w:bCs/>
          <w:sz w:val="22"/>
        </w:rPr>
        <w:t xml:space="preserve">Al respecto se ha </w:t>
      </w:r>
      <w:r w:rsidR="00B67278">
        <w:rPr>
          <w:rFonts w:ascii="Arial" w:eastAsia="Calibri" w:hAnsi="Arial" w:cs="Arial"/>
          <w:bCs/>
          <w:sz w:val="22"/>
        </w:rPr>
        <w:t>manifestado:</w:t>
      </w:r>
      <w:r w:rsidRPr="004B7D0A">
        <w:rPr>
          <w:rFonts w:ascii="Arial" w:eastAsia="Calibri" w:hAnsi="Arial" w:cs="Arial"/>
          <w:bCs/>
          <w:sz w:val="22"/>
        </w:rPr>
        <w:t xml:space="preserve"> </w:t>
      </w:r>
    </w:p>
    <w:p w14:paraId="139F70BA" w14:textId="77777777" w:rsidR="005D1421" w:rsidRPr="00BD6F1E" w:rsidRDefault="005D1421" w:rsidP="004B7D0A">
      <w:pPr>
        <w:ind w:left="709" w:right="709"/>
        <w:jc w:val="both"/>
        <w:rPr>
          <w:rFonts w:ascii="Arial" w:hAnsi="Arial" w:cs="Arial"/>
          <w:sz w:val="21"/>
          <w:szCs w:val="21"/>
        </w:rPr>
      </w:pPr>
    </w:p>
    <w:p w14:paraId="66B445BE" w14:textId="77777777" w:rsidR="005D1421" w:rsidRPr="00BD6F1E" w:rsidRDefault="005D1421" w:rsidP="004B7D0A">
      <w:pPr>
        <w:ind w:left="709" w:right="709"/>
        <w:jc w:val="both"/>
        <w:rPr>
          <w:rFonts w:ascii="Arial" w:hAnsi="Arial" w:cs="Arial"/>
          <w:sz w:val="21"/>
          <w:szCs w:val="21"/>
        </w:rPr>
      </w:pPr>
      <w:r w:rsidRPr="00BD6F1E">
        <w:rPr>
          <w:rFonts w:ascii="Arial" w:hAnsi="Arial" w:cs="Arial"/>
          <w:sz w:val="21"/>
          <w:szCs w:val="21"/>
        </w:rPr>
        <w:t>La fusión surge como el mecanismo pertinente para que los atributos de las compañías absorbidas, sean aprovechados por la compañía que las absorbe, entre éstos, la experiencia derivada de las obras cumplidas, bienes suministrados o servicios prestados durante la vigencia de la absorbida.  Por supuesto, frente a la normatividad alusiva a la contratación estatal, considera este despacho que resulta discrecional para la entidad estatal contratante coincidir, o no, con esta oficina en el sentido anotado y habilitar como proponente, para considerar su propuesta, a aquellos quienes, en virtud de su calidad de absorbentes, aprovechan todos los recursos que le fueron transmitidos por las absorbidas, incluidos intangibles como su experiencia, Know How, entre otros</w:t>
      </w:r>
    </w:p>
    <w:p w14:paraId="2CE47061" w14:textId="77777777" w:rsidR="005D1421" w:rsidRPr="00BD6F1E" w:rsidRDefault="005D1421" w:rsidP="004B7D0A">
      <w:pPr>
        <w:ind w:left="709" w:right="709"/>
        <w:jc w:val="both"/>
        <w:rPr>
          <w:rFonts w:ascii="Arial" w:hAnsi="Arial" w:cs="Arial"/>
          <w:sz w:val="21"/>
          <w:szCs w:val="21"/>
        </w:rPr>
      </w:pPr>
    </w:p>
    <w:p w14:paraId="52B7F15C" w14:textId="77777777" w:rsidR="005D1421" w:rsidRPr="00BD6F1E" w:rsidRDefault="005D1421" w:rsidP="004B7D0A">
      <w:pPr>
        <w:ind w:left="709" w:right="709"/>
        <w:jc w:val="both"/>
        <w:rPr>
          <w:rFonts w:ascii="Arial" w:hAnsi="Arial" w:cs="Arial"/>
          <w:sz w:val="21"/>
          <w:szCs w:val="21"/>
        </w:rPr>
      </w:pPr>
      <w:r w:rsidRPr="00BD6F1E">
        <w:rPr>
          <w:rFonts w:ascii="Arial" w:hAnsi="Arial" w:cs="Arial"/>
          <w:sz w:val="21"/>
          <w:szCs w:val="21"/>
        </w:rPr>
        <w:t>[</w:t>
      </w:r>
      <w:r>
        <w:rPr>
          <w:rFonts w:ascii="Arial" w:hAnsi="Arial" w:cs="Arial"/>
          <w:sz w:val="21"/>
          <w:szCs w:val="21"/>
        </w:rPr>
        <w:t>…</w:t>
      </w:r>
      <w:r w:rsidRPr="00BD6F1E">
        <w:rPr>
          <w:rFonts w:ascii="Arial" w:hAnsi="Arial" w:cs="Arial"/>
          <w:sz w:val="21"/>
          <w:szCs w:val="21"/>
        </w:rPr>
        <w:t>]</w:t>
      </w:r>
    </w:p>
    <w:p w14:paraId="75B33222" w14:textId="77777777" w:rsidR="005D1421" w:rsidRPr="00BD6F1E" w:rsidRDefault="005D1421" w:rsidP="004B7D0A">
      <w:pPr>
        <w:ind w:left="709" w:right="709"/>
        <w:jc w:val="both"/>
        <w:rPr>
          <w:rFonts w:ascii="Arial" w:hAnsi="Arial" w:cs="Arial"/>
          <w:sz w:val="21"/>
          <w:szCs w:val="21"/>
        </w:rPr>
      </w:pPr>
    </w:p>
    <w:p w14:paraId="769728C7" w14:textId="4A9A320D" w:rsidR="005D1421" w:rsidRDefault="005D1421" w:rsidP="00734679">
      <w:pPr>
        <w:ind w:left="709" w:right="709"/>
        <w:jc w:val="both"/>
        <w:rPr>
          <w:rFonts w:ascii="Arial" w:hAnsi="Arial" w:cs="Arial"/>
          <w:sz w:val="21"/>
          <w:szCs w:val="21"/>
        </w:rPr>
      </w:pPr>
      <w:r w:rsidRPr="00BD6F1E">
        <w:rPr>
          <w:rFonts w:ascii="Arial" w:hAnsi="Arial" w:cs="Arial"/>
          <w:sz w:val="21"/>
          <w:szCs w:val="21"/>
        </w:rPr>
        <w:t xml:space="preserve">En cuanto refiere a </w:t>
      </w:r>
      <w:r w:rsidRPr="004B7D0A">
        <w:rPr>
          <w:rFonts w:ascii="Arial" w:hAnsi="Arial" w:cs="Arial"/>
          <w:i/>
          <w:iCs/>
          <w:sz w:val="21"/>
          <w:szCs w:val="21"/>
          <w:u w:val="single"/>
        </w:rPr>
        <w:t xml:space="preserve">la certificación que sobre la experiencia de un proponente, expiden las cámaras de comercio a través del Registro Único de Proponentes que administran, esta oficina considera que la normativa a que se ha venido aludiendo no reguló, pero tampoco prohibió, otras situaciones de transferencia de experiencia como la que se presenta con la fusión, </w:t>
      </w:r>
      <w:r w:rsidRPr="00BD6F1E">
        <w:rPr>
          <w:rFonts w:ascii="Arial" w:hAnsi="Arial" w:cs="Arial"/>
          <w:sz w:val="21"/>
          <w:szCs w:val="21"/>
        </w:rPr>
        <w:t xml:space="preserve">por lo que la considera </w:t>
      </w:r>
      <w:r w:rsidRPr="00BD6F1E">
        <w:rPr>
          <w:rFonts w:ascii="Arial" w:hAnsi="Arial" w:cs="Arial"/>
          <w:sz w:val="21"/>
          <w:szCs w:val="21"/>
        </w:rPr>
        <w:lastRenderedPageBreak/>
        <w:t>válida para efecto de ser invocada por la absorbente, a través del certificado que le expida la cámara de comercio con base en la información depositada en el Registro Único de Proponentes, RUP</w:t>
      </w:r>
      <w:r w:rsidR="00894E22">
        <w:rPr>
          <w:rStyle w:val="Refdenotaalpie"/>
          <w:rFonts w:ascii="Arial" w:hAnsi="Arial" w:cs="Arial"/>
          <w:sz w:val="21"/>
          <w:szCs w:val="21"/>
        </w:rPr>
        <w:footnoteReference w:id="21"/>
      </w:r>
      <w:r w:rsidRPr="00BD6F1E">
        <w:rPr>
          <w:rFonts w:ascii="Arial" w:hAnsi="Arial" w:cs="Arial"/>
          <w:sz w:val="21"/>
          <w:szCs w:val="21"/>
        </w:rPr>
        <w:t xml:space="preserve">. </w:t>
      </w:r>
      <w:r w:rsidR="00553B4D">
        <w:rPr>
          <w:rFonts w:ascii="Arial" w:hAnsi="Arial" w:cs="Arial"/>
          <w:sz w:val="21"/>
          <w:szCs w:val="21"/>
        </w:rPr>
        <w:t>[Énfasis fuera de texto]</w:t>
      </w:r>
    </w:p>
    <w:p w14:paraId="187EF84A" w14:textId="77777777" w:rsidR="00FF1DB2" w:rsidRPr="00BD6F1E" w:rsidRDefault="00FF1DB2" w:rsidP="004B7D0A">
      <w:pPr>
        <w:ind w:left="709" w:right="709"/>
        <w:jc w:val="both"/>
        <w:rPr>
          <w:rFonts w:ascii="Arial" w:hAnsi="Arial" w:cs="Arial"/>
          <w:sz w:val="21"/>
          <w:szCs w:val="21"/>
        </w:rPr>
      </w:pPr>
    </w:p>
    <w:p w14:paraId="778B04CC" w14:textId="77777777" w:rsidR="00C16A9A" w:rsidRDefault="00581DC8" w:rsidP="004B7D0A">
      <w:pPr>
        <w:spacing w:line="276" w:lineRule="auto"/>
        <w:ind w:firstLine="708"/>
        <w:jc w:val="both"/>
        <w:rPr>
          <w:rFonts w:ascii="Arial" w:hAnsi="Arial" w:cs="Arial"/>
          <w:color w:val="000000"/>
          <w:sz w:val="22"/>
          <w:szCs w:val="22"/>
        </w:rPr>
      </w:pPr>
      <w:r w:rsidRPr="004B7D0A">
        <w:rPr>
          <w:rFonts w:ascii="Arial" w:eastAsia="Calibri" w:hAnsi="Arial" w:cs="Arial"/>
          <w:bCs/>
          <w:sz w:val="22"/>
          <w:szCs w:val="22"/>
        </w:rPr>
        <w:t xml:space="preserve">En efecto, el artículo </w:t>
      </w:r>
      <w:r w:rsidR="006C6D11" w:rsidRPr="004B7D0A">
        <w:rPr>
          <w:rFonts w:ascii="Arial" w:eastAsia="Calibri" w:hAnsi="Arial" w:cs="Arial"/>
          <w:bCs/>
          <w:sz w:val="22"/>
          <w:szCs w:val="22"/>
        </w:rPr>
        <w:t xml:space="preserve">2.2.1.1.1.5.3 del Decreto 1082 de 2015 hace referencia a que las </w:t>
      </w:r>
      <w:r w:rsidR="00663EA6">
        <w:rPr>
          <w:rFonts w:ascii="Arial" w:eastAsia="Calibri" w:hAnsi="Arial" w:cs="Arial"/>
          <w:bCs/>
          <w:sz w:val="22"/>
          <w:szCs w:val="22"/>
        </w:rPr>
        <w:t>c</w:t>
      </w:r>
      <w:r w:rsidR="00663EA6" w:rsidRPr="00663EA6">
        <w:rPr>
          <w:rFonts w:ascii="Arial" w:eastAsia="Calibri" w:hAnsi="Arial" w:cs="Arial"/>
          <w:bCs/>
          <w:sz w:val="22"/>
          <w:szCs w:val="22"/>
        </w:rPr>
        <w:t>ámaras</w:t>
      </w:r>
      <w:r w:rsidR="006C6D11" w:rsidRPr="004B7D0A">
        <w:rPr>
          <w:rFonts w:ascii="Arial" w:eastAsia="Calibri" w:hAnsi="Arial" w:cs="Arial"/>
          <w:bCs/>
          <w:sz w:val="22"/>
          <w:szCs w:val="22"/>
        </w:rPr>
        <w:t xml:space="preserve"> de </w:t>
      </w:r>
      <w:r w:rsidR="00663EA6">
        <w:rPr>
          <w:rFonts w:ascii="Arial" w:eastAsia="Calibri" w:hAnsi="Arial" w:cs="Arial"/>
          <w:bCs/>
          <w:sz w:val="22"/>
          <w:szCs w:val="22"/>
        </w:rPr>
        <w:t>c</w:t>
      </w:r>
      <w:r w:rsidR="006C6D11" w:rsidRPr="004B7D0A">
        <w:rPr>
          <w:rFonts w:ascii="Arial" w:eastAsia="Calibri" w:hAnsi="Arial" w:cs="Arial"/>
          <w:bCs/>
          <w:sz w:val="22"/>
          <w:szCs w:val="22"/>
        </w:rPr>
        <w:t>omercio deberán registrar la experiencia certificada con bas</w:t>
      </w:r>
      <w:r w:rsidR="00663EA6" w:rsidRPr="004B7D0A">
        <w:rPr>
          <w:rFonts w:ascii="Arial" w:eastAsia="Calibri" w:hAnsi="Arial" w:cs="Arial"/>
          <w:bCs/>
          <w:sz w:val="22"/>
          <w:szCs w:val="22"/>
        </w:rPr>
        <w:t>e</w:t>
      </w:r>
      <w:r w:rsidR="006C6D11" w:rsidRPr="004B7D0A">
        <w:rPr>
          <w:rFonts w:ascii="Arial" w:eastAsia="Calibri" w:hAnsi="Arial" w:cs="Arial"/>
          <w:bCs/>
          <w:sz w:val="22"/>
          <w:szCs w:val="22"/>
        </w:rPr>
        <w:t xml:space="preserve"> en los </w:t>
      </w:r>
      <w:r w:rsidR="002F6145" w:rsidRPr="004B7D0A">
        <w:rPr>
          <w:rFonts w:ascii="Arial" w:eastAsia="Calibri" w:hAnsi="Arial" w:cs="Arial"/>
          <w:bCs/>
          <w:sz w:val="22"/>
          <w:szCs w:val="22"/>
        </w:rPr>
        <w:t>«</w:t>
      </w:r>
      <w:r w:rsidRPr="004B7D0A">
        <w:rPr>
          <w:rFonts w:ascii="Arial" w:hAnsi="Arial" w:cs="Arial"/>
          <w:color w:val="000000"/>
          <w:sz w:val="22"/>
          <w:szCs w:val="22"/>
        </w:rPr>
        <w:t>Los contratos celebrados por el interesado</w:t>
      </w:r>
      <w:r w:rsidR="00663EA6" w:rsidRPr="004B7D0A">
        <w:rPr>
          <w:rFonts w:ascii="Arial" w:hAnsi="Arial" w:cs="Arial"/>
          <w:color w:val="000000"/>
          <w:sz w:val="22"/>
          <w:szCs w:val="22"/>
        </w:rPr>
        <w:t>»</w:t>
      </w:r>
      <w:r w:rsidRPr="004B7D0A">
        <w:rPr>
          <w:rFonts w:ascii="Arial" w:hAnsi="Arial" w:cs="Arial"/>
          <w:color w:val="000000"/>
          <w:sz w:val="22"/>
          <w:szCs w:val="22"/>
        </w:rPr>
        <w:t xml:space="preserve"> </w:t>
      </w:r>
      <w:r w:rsidR="00663EA6" w:rsidRPr="004B7D0A">
        <w:rPr>
          <w:rFonts w:ascii="Arial" w:hAnsi="Arial" w:cs="Arial"/>
          <w:color w:val="000000"/>
          <w:sz w:val="22"/>
          <w:szCs w:val="22"/>
        </w:rPr>
        <w:t>y</w:t>
      </w:r>
      <w:r w:rsidR="00A3568C">
        <w:rPr>
          <w:rFonts w:ascii="Arial" w:hAnsi="Arial" w:cs="Arial"/>
          <w:color w:val="000000"/>
          <w:sz w:val="22"/>
          <w:szCs w:val="22"/>
        </w:rPr>
        <w:t xml:space="preserve"> </w:t>
      </w:r>
      <w:r w:rsidR="00663EA6" w:rsidRPr="004B7D0A">
        <w:rPr>
          <w:rFonts w:ascii="Arial" w:hAnsi="Arial" w:cs="Arial"/>
          <w:color w:val="000000"/>
          <w:sz w:val="22"/>
          <w:szCs w:val="22"/>
        </w:rPr>
        <w:t>«Los contratos celebrados por consorcios, uniones temporales y sociedades en las cuales el interesado tenga o haya tenido participación»</w:t>
      </w:r>
      <w:r w:rsidR="00663EA6">
        <w:rPr>
          <w:rFonts w:ascii="Arial" w:hAnsi="Arial" w:cs="Arial"/>
          <w:color w:val="000000"/>
          <w:sz w:val="22"/>
          <w:szCs w:val="22"/>
        </w:rPr>
        <w:t xml:space="preserve">, sin hacer alusión </w:t>
      </w:r>
      <w:r w:rsidR="00DB6339">
        <w:rPr>
          <w:rFonts w:ascii="Arial" w:hAnsi="Arial" w:cs="Arial"/>
          <w:color w:val="000000"/>
          <w:sz w:val="22"/>
          <w:szCs w:val="22"/>
        </w:rPr>
        <w:t xml:space="preserve">a las diferentes </w:t>
      </w:r>
      <w:r w:rsidR="00A3568C">
        <w:rPr>
          <w:rFonts w:ascii="Arial" w:hAnsi="Arial" w:cs="Arial"/>
          <w:color w:val="000000"/>
          <w:sz w:val="22"/>
          <w:szCs w:val="22"/>
        </w:rPr>
        <w:t xml:space="preserve">reformas estatutarias que podrían amparar la transferencia de experiencia conforme a lo explicado </w:t>
      </w:r>
      <w:r w:rsidR="00A3568C" w:rsidRPr="004B7D0A">
        <w:rPr>
          <w:rFonts w:ascii="Arial" w:hAnsi="Arial" w:cs="Arial"/>
          <w:i/>
          <w:iCs/>
          <w:color w:val="000000"/>
          <w:sz w:val="22"/>
          <w:szCs w:val="22"/>
        </w:rPr>
        <w:t>supra</w:t>
      </w:r>
      <w:r w:rsidR="00BF29B0">
        <w:rPr>
          <w:rStyle w:val="Refdenotaalpie"/>
          <w:rFonts w:ascii="Arial" w:hAnsi="Arial" w:cs="Arial"/>
          <w:i/>
          <w:iCs/>
          <w:color w:val="000000"/>
          <w:sz w:val="22"/>
          <w:szCs w:val="22"/>
        </w:rPr>
        <w:footnoteReference w:id="22"/>
      </w:r>
      <w:r w:rsidR="00A3568C">
        <w:rPr>
          <w:rFonts w:ascii="Arial" w:hAnsi="Arial" w:cs="Arial"/>
          <w:color w:val="000000"/>
          <w:sz w:val="22"/>
          <w:szCs w:val="22"/>
        </w:rPr>
        <w:t>.</w:t>
      </w:r>
      <w:r w:rsidR="00C47A69">
        <w:rPr>
          <w:rFonts w:ascii="Arial" w:hAnsi="Arial" w:cs="Arial"/>
          <w:color w:val="000000"/>
          <w:sz w:val="22"/>
          <w:szCs w:val="22"/>
        </w:rPr>
        <w:t xml:space="preserve"> Caso contar</w:t>
      </w:r>
      <w:r w:rsidR="00432336">
        <w:rPr>
          <w:rFonts w:ascii="Arial" w:hAnsi="Arial" w:cs="Arial"/>
          <w:color w:val="000000"/>
          <w:sz w:val="22"/>
          <w:szCs w:val="22"/>
        </w:rPr>
        <w:t xml:space="preserve">io ocurre con la posibilidad de que </w:t>
      </w:r>
      <w:r w:rsidR="00C311D1">
        <w:rPr>
          <w:rFonts w:ascii="Arial" w:hAnsi="Arial" w:cs="Arial"/>
          <w:color w:val="000000"/>
          <w:sz w:val="22"/>
          <w:szCs w:val="22"/>
        </w:rPr>
        <w:t xml:space="preserve">una sociedad, durante los primeros </w:t>
      </w:r>
      <w:r w:rsidR="00432336">
        <w:rPr>
          <w:rFonts w:ascii="Arial" w:hAnsi="Arial" w:cs="Arial"/>
          <w:color w:val="000000"/>
          <w:sz w:val="22"/>
          <w:szCs w:val="22"/>
        </w:rPr>
        <w:t>tres</w:t>
      </w:r>
      <w:r w:rsidR="00C311D1">
        <w:rPr>
          <w:rFonts w:ascii="Arial" w:hAnsi="Arial" w:cs="Arial"/>
          <w:color w:val="000000"/>
          <w:sz w:val="22"/>
          <w:szCs w:val="22"/>
        </w:rPr>
        <w:t xml:space="preserve"> (3)</w:t>
      </w:r>
      <w:r w:rsidR="00432336">
        <w:rPr>
          <w:rFonts w:ascii="Arial" w:hAnsi="Arial" w:cs="Arial"/>
          <w:color w:val="000000"/>
          <w:sz w:val="22"/>
          <w:szCs w:val="22"/>
        </w:rPr>
        <w:t xml:space="preserve"> años de </w:t>
      </w:r>
      <w:r w:rsidR="00C311D1">
        <w:rPr>
          <w:rFonts w:ascii="Arial" w:hAnsi="Arial" w:cs="Arial"/>
          <w:color w:val="000000"/>
          <w:sz w:val="22"/>
          <w:szCs w:val="22"/>
        </w:rPr>
        <w:t xml:space="preserve">su </w:t>
      </w:r>
      <w:r w:rsidR="00432336">
        <w:rPr>
          <w:rFonts w:ascii="Arial" w:hAnsi="Arial" w:cs="Arial"/>
          <w:color w:val="000000"/>
          <w:sz w:val="22"/>
          <w:szCs w:val="22"/>
        </w:rPr>
        <w:t>constitució</w:t>
      </w:r>
      <w:r w:rsidR="00C311D1">
        <w:rPr>
          <w:rFonts w:ascii="Arial" w:hAnsi="Arial" w:cs="Arial"/>
          <w:color w:val="000000"/>
          <w:sz w:val="22"/>
          <w:szCs w:val="22"/>
        </w:rPr>
        <w:t xml:space="preserve">n–e incluso después– pueda acreditar como suya la experiencia </w:t>
      </w:r>
      <w:r w:rsidR="00856EAD">
        <w:rPr>
          <w:rFonts w:ascii="Arial" w:hAnsi="Arial" w:cs="Arial"/>
          <w:color w:val="000000"/>
          <w:sz w:val="22"/>
          <w:szCs w:val="22"/>
        </w:rPr>
        <w:t xml:space="preserve">de socios, supuesto regulado por el numeral 2.5 del artículo </w:t>
      </w:r>
      <w:r w:rsidR="00004A5C" w:rsidRPr="00004A5C">
        <w:rPr>
          <w:rFonts w:ascii="Arial" w:hAnsi="Arial" w:cs="Arial"/>
          <w:color w:val="000000"/>
          <w:sz w:val="22"/>
          <w:szCs w:val="22"/>
        </w:rPr>
        <w:t>2.2.1.1.1.5.2</w:t>
      </w:r>
      <w:r w:rsidR="00004A5C">
        <w:rPr>
          <w:rFonts w:ascii="Arial" w:hAnsi="Arial" w:cs="Arial"/>
          <w:color w:val="000000"/>
          <w:sz w:val="22"/>
          <w:szCs w:val="22"/>
        </w:rPr>
        <w:t xml:space="preserve"> del Decreto 1082 de 2015.</w:t>
      </w:r>
      <w:r w:rsidR="00CE63A2">
        <w:rPr>
          <w:rFonts w:ascii="Arial" w:hAnsi="Arial" w:cs="Arial"/>
          <w:color w:val="000000"/>
          <w:sz w:val="22"/>
          <w:szCs w:val="22"/>
        </w:rPr>
        <w:t xml:space="preserve"> </w:t>
      </w:r>
    </w:p>
    <w:p w14:paraId="65103AC4" w14:textId="4CFD8756" w:rsidR="00581DC8" w:rsidRPr="004B7D0A" w:rsidRDefault="00C03F8C" w:rsidP="0067180E">
      <w:pPr>
        <w:spacing w:before="120" w:line="276" w:lineRule="auto"/>
        <w:ind w:firstLine="708"/>
        <w:jc w:val="both"/>
        <w:rPr>
          <w:rFonts w:ascii="Arial" w:eastAsia="Calibri" w:hAnsi="Arial" w:cs="Arial"/>
          <w:bCs/>
          <w:sz w:val="22"/>
          <w:szCs w:val="22"/>
        </w:rPr>
      </w:pPr>
      <w:r>
        <w:rPr>
          <w:rFonts w:ascii="Arial" w:hAnsi="Arial" w:cs="Arial"/>
          <w:color w:val="000000"/>
          <w:sz w:val="22"/>
          <w:szCs w:val="22"/>
        </w:rPr>
        <w:t xml:space="preserve">En ese sentido, considerando que </w:t>
      </w:r>
      <w:r w:rsidR="00C16A9A">
        <w:rPr>
          <w:rFonts w:ascii="Arial" w:hAnsi="Arial" w:cs="Arial"/>
          <w:color w:val="000000"/>
          <w:sz w:val="22"/>
          <w:szCs w:val="22"/>
        </w:rPr>
        <w:t>el RUP es el documento que constituye plena prueba de la experiencia adquirida por el proponente, es necesario que la experiencia de la sociedad absorbida quedé incorporada en el RUP de la absorbente para que esta pueda acreditarla. Esto implica que la sociedad absorbente haya a</w:t>
      </w:r>
      <w:r w:rsidR="00871CD2">
        <w:rPr>
          <w:rFonts w:ascii="Arial" w:hAnsi="Arial" w:cs="Arial"/>
          <w:color w:val="000000"/>
          <w:sz w:val="22"/>
          <w:szCs w:val="22"/>
        </w:rPr>
        <w:t>delantado</w:t>
      </w:r>
      <w:r w:rsidR="00C16A9A">
        <w:rPr>
          <w:rFonts w:ascii="Arial" w:hAnsi="Arial" w:cs="Arial"/>
          <w:color w:val="000000"/>
          <w:sz w:val="22"/>
          <w:szCs w:val="22"/>
        </w:rPr>
        <w:t xml:space="preserve"> el respectivo trámite de </w:t>
      </w:r>
      <w:r w:rsidR="00871CD2">
        <w:rPr>
          <w:rFonts w:ascii="Arial" w:hAnsi="Arial" w:cs="Arial"/>
          <w:color w:val="000000"/>
          <w:sz w:val="22"/>
          <w:szCs w:val="22"/>
        </w:rPr>
        <w:t xml:space="preserve">actualización o renovación del RUP, en el marco del cual </w:t>
      </w:r>
      <w:r w:rsidR="00FF1DB2">
        <w:rPr>
          <w:rFonts w:ascii="Arial" w:hAnsi="Arial" w:cs="Arial"/>
          <w:color w:val="000000"/>
          <w:sz w:val="22"/>
          <w:szCs w:val="22"/>
        </w:rPr>
        <w:t xml:space="preserve">se haya consolidado la transferencia de experiencia. </w:t>
      </w:r>
    </w:p>
    <w:p w14:paraId="265A2338" w14:textId="77777777" w:rsidR="004F3553" w:rsidRPr="00BF0E64" w:rsidRDefault="004F3553" w:rsidP="00F1148B">
      <w:pPr>
        <w:tabs>
          <w:tab w:val="left" w:pos="0"/>
        </w:tabs>
        <w:jc w:val="both"/>
        <w:rPr>
          <w:rFonts w:ascii="Arial" w:eastAsia="Calibri" w:hAnsi="Arial" w:cs="Arial"/>
          <w:b/>
          <w:color w:val="000000" w:themeColor="text1"/>
          <w:sz w:val="22"/>
          <w:lang w:val="es-ES_tradnl"/>
        </w:rPr>
      </w:pPr>
    </w:p>
    <w:p w14:paraId="17A4EAD1" w14:textId="77777777" w:rsidR="00F1148B" w:rsidRPr="00BF0E64" w:rsidRDefault="00F1148B" w:rsidP="00F1148B">
      <w:pPr>
        <w:tabs>
          <w:tab w:val="left" w:pos="0"/>
        </w:tabs>
        <w:jc w:val="both"/>
        <w:rPr>
          <w:rFonts w:ascii="Arial" w:eastAsia="Calibri" w:hAnsi="Arial" w:cs="Arial"/>
          <w:b/>
          <w:color w:val="000000" w:themeColor="text1"/>
          <w:sz w:val="22"/>
          <w:lang w:val="es-ES_tradnl"/>
        </w:rPr>
      </w:pPr>
      <w:r w:rsidRPr="00BF0E64">
        <w:rPr>
          <w:rFonts w:ascii="Arial" w:eastAsia="Calibri" w:hAnsi="Arial" w:cs="Arial"/>
          <w:b/>
          <w:color w:val="000000" w:themeColor="text1"/>
          <w:sz w:val="22"/>
          <w:lang w:val="es-ES_tradnl"/>
        </w:rPr>
        <w:t>3. Respuesta</w:t>
      </w:r>
    </w:p>
    <w:p w14:paraId="2DA7D011" w14:textId="77777777" w:rsidR="00F0377D" w:rsidRPr="00BF0E64" w:rsidRDefault="00F0377D" w:rsidP="00F0377D">
      <w:pPr>
        <w:spacing w:line="276" w:lineRule="auto"/>
        <w:jc w:val="both"/>
        <w:rPr>
          <w:rFonts w:ascii="Arial" w:hAnsi="Arial" w:cs="Arial"/>
          <w:color w:val="000000" w:themeColor="text1"/>
          <w:sz w:val="22"/>
          <w:lang w:val="es-ES_tradnl"/>
        </w:rPr>
      </w:pPr>
    </w:p>
    <w:p w14:paraId="659A8A63" w14:textId="50D12C27" w:rsidR="00F0377D" w:rsidRPr="00F0377D" w:rsidRDefault="00F0377D">
      <w:pPr>
        <w:ind w:left="709" w:right="709"/>
        <w:jc w:val="both"/>
        <w:rPr>
          <w:rFonts w:ascii="Arial" w:hAnsi="Arial" w:cs="Arial"/>
          <w:color w:val="000000" w:themeColor="text1"/>
          <w:sz w:val="21"/>
          <w:szCs w:val="21"/>
          <w:lang w:val="es-ES_tradnl"/>
        </w:rPr>
      </w:pPr>
      <w:r w:rsidRPr="00BF0E64">
        <w:rPr>
          <w:rFonts w:ascii="Arial" w:hAnsi="Arial" w:cs="Arial"/>
          <w:color w:val="000000" w:themeColor="text1"/>
          <w:sz w:val="21"/>
          <w:szCs w:val="21"/>
          <w:lang w:val="es-ES_tradnl"/>
        </w:rPr>
        <w:t>«</w:t>
      </w:r>
      <w:r w:rsidR="004E65F0">
        <w:rPr>
          <w:rFonts w:ascii="Arial" w:hAnsi="Arial" w:cs="Arial"/>
          <w:color w:val="000000" w:themeColor="text1"/>
          <w:sz w:val="21"/>
          <w:szCs w:val="21"/>
          <w:lang w:val="es-ES_tradnl"/>
        </w:rPr>
        <w:t xml:space="preserve">[…] </w:t>
      </w:r>
      <w:r w:rsidRPr="00BF0E64">
        <w:rPr>
          <w:rFonts w:ascii="Arial" w:hAnsi="Arial" w:cs="Arial"/>
          <w:color w:val="000000" w:themeColor="text1"/>
          <w:sz w:val="21"/>
          <w:szCs w:val="21"/>
          <w:lang w:val="es-ES_tradnl"/>
        </w:rPr>
        <w:t>¿</w:t>
      </w:r>
      <w:r w:rsidRPr="004341C6">
        <w:rPr>
          <w:rFonts w:ascii="Arial" w:hAnsi="Arial" w:cs="Arial"/>
          <w:color w:val="000000" w:themeColor="text1"/>
          <w:sz w:val="21"/>
          <w:szCs w:val="21"/>
        </w:rPr>
        <w:t>puede en un proceso de fusión por absorción, adquirir la sociedad absorbente la experiencia para del Registro Único de Proponentes de la sociedad absorbida?</w:t>
      </w:r>
      <w:r w:rsidRPr="00BF0E64">
        <w:rPr>
          <w:rFonts w:ascii="Arial" w:hAnsi="Arial" w:cs="Arial"/>
          <w:color w:val="000000" w:themeColor="text1"/>
          <w:sz w:val="21"/>
          <w:szCs w:val="21"/>
          <w:lang w:val="es-ES_tradnl"/>
        </w:rPr>
        <w:t>».</w:t>
      </w:r>
    </w:p>
    <w:p w14:paraId="10819578" w14:textId="564FD52A" w:rsidR="00B90DFB" w:rsidRPr="004F3553" w:rsidRDefault="00B90DFB" w:rsidP="00F1148B">
      <w:pPr>
        <w:spacing w:line="276" w:lineRule="auto"/>
        <w:jc w:val="both"/>
        <w:rPr>
          <w:rFonts w:ascii="Arial" w:hAnsi="Arial" w:cs="Arial"/>
          <w:color w:val="000000" w:themeColor="text1"/>
          <w:sz w:val="22"/>
          <w:szCs w:val="22"/>
          <w:lang w:val="es-ES_tradnl"/>
        </w:rPr>
      </w:pPr>
    </w:p>
    <w:p w14:paraId="5A97923D" w14:textId="3950C902" w:rsidR="00E7074D" w:rsidRDefault="00424937" w:rsidP="004B7D0A">
      <w:pPr>
        <w:pStyle w:val="Textoindependiente"/>
        <w:spacing w:after="120" w:line="276" w:lineRule="auto"/>
        <w:ind w:right="102" w:firstLine="708"/>
        <w:jc w:val="both"/>
      </w:pPr>
      <w:r w:rsidRPr="004F3553">
        <w:t>Conforme a lo expuesto, e</w:t>
      </w:r>
      <w:r w:rsidR="00B90DFB" w:rsidRPr="004F3553">
        <w:t xml:space="preserve">n la fusión por absorción, una sociedad se </w:t>
      </w:r>
      <w:r w:rsidRPr="004F3553">
        <w:t>«</w:t>
      </w:r>
      <w:r w:rsidR="00B90DFB" w:rsidRPr="004F3553">
        <w:t>disuelve</w:t>
      </w:r>
      <w:r w:rsidRPr="004F3553">
        <w:t>»</w:t>
      </w:r>
      <w:r w:rsidR="00105EB2" w:rsidRPr="004F3553">
        <w:t xml:space="preserve"> pero no se </w:t>
      </w:r>
      <w:r w:rsidR="00105EB2" w:rsidRPr="004B7D0A">
        <w:rPr>
          <w:color w:val="000000"/>
        </w:rPr>
        <w:t>liquida</w:t>
      </w:r>
      <w:r w:rsidR="00DB276D" w:rsidRPr="004B7D0A">
        <w:rPr>
          <w:color w:val="000000"/>
        </w:rPr>
        <w:t>,</w:t>
      </w:r>
      <w:r w:rsidR="00105EB2" w:rsidRPr="004B7D0A">
        <w:rPr>
          <w:color w:val="000000"/>
        </w:rPr>
        <w:t xml:space="preserve"> para ser absorbidas por otra o para crear una nueva</w:t>
      </w:r>
      <w:r w:rsidR="00375BEF" w:rsidRPr="004B7D0A">
        <w:rPr>
          <w:color w:val="000000"/>
        </w:rPr>
        <w:t>.</w:t>
      </w:r>
      <w:r w:rsidR="004C606D" w:rsidRPr="004B7D0A">
        <w:rPr>
          <w:color w:val="000000"/>
        </w:rPr>
        <w:t xml:space="preserve"> </w:t>
      </w:r>
      <w:r w:rsidR="00553CCC" w:rsidRPr="004F3553">
        <w:t>En ese sentido, la socied</w:t>
      </w:r>
      <w:r w:rsidR="004C606D" w:rsidRPr="004F3553">
        <w:t>ad absorbida y la absorbente</w:t>
      </w:r>
      <w:r w:rsidR="00FC08DC" w:rsidRPr="004F3553">
        <w:t>, n</w:t>
      </w:r>
      <w:r w:rsidR="00B90DFB" w:rsidRPr="004F3553">
        <w:t>o coexisten</w:t>
      </w:r>
      <w:r w:rsidR="00FC08DC" w:rsidRPr="004F3553">
        <w:t xml:space="preserve"> una vez hecha la fusión, ni la absorción implica que la liquidación de la primera,</w:t>
      </w:r>
      <w:r w:rsidR="00B90DFB" w:rsidRPr="004F3553">
        <w:t xml:space="preserve"> sino que una persona continúa a través de la otra, ya que el legislador así lo dispuso.</w:t>
      </w:r>
      <w:r w:rsidR="00FC08DC" w:rsidRPr="004F3553">
        <w:t xml:space="preserve"> </w:t>
      </w:r>
    </w:p>
    <w:p w14:paraId="4FB18B6B" w14:textId="6B3C2EC9" w:rsidR="00B90DFB" w:rsidRDefault="00B90DFB" w:rsidP="00E7074D">
      <w:pPr>
        <w:pStyle w:val="Textoindependiente"/>
        <w:spacing w:after="120" w:line="276" w:lineRule="auto"/>
        <w:ind w:right="102" w:firstLine="708"/>
        <w:jc w:val="both"/>
      </w:pPr>
      <w:r w:rsidRPr="004F3553">
        <w:t>En consecuencia, en la fusión</w:t>
      </w:r>
      <w:r w:rsidR="00FC08DC" w:rsidRPr="004F3553">
        <w:t xml:space="preserve"> por absorción</w:t>
      </w:r>
      <w:r w:rsidRPr="004F3553">
        <w:t xml:space="preserve"> es posible que la sociedad absorbente </w:t>
      </w:r>
      <w:r w:rsidR="00E7074D">
        <w:t>ob</w:t>
      </w:r>
      <w:r w:rsidRPr="004F3553">
        <w:t xml:space="preserve">tenga la experiencia de la absorbida, porque esta última continuó a través de la primera, y ello implica que transfirió su experiencia debido a que no se liquidó, es decir no </w:t>
      </w:r>
      <w:r w:rsidRPr="004F3553">
        <w:lastRenderedPageBreak/>
        <w:t>desapareció, lo que haría imposible la transferencia de experiencia.</w:t>
      </w:r>
      <w:r w:rsidR="00F96F8E">
        <w:t xml:space="preserve"> </w:t>
      </w:r>
    </w:p>
    <w:p w14:paraId="463F2B66" w14:textId="6406D1D9" w:rsidR="00FF1DB2" w:rsidRPr="004F3553" w:rsidRDefault="00FF1DB2" w:rsidP="004B7D0A">
      <w:pPr>
        <w:pStyle w:val="Textoindependiente"/>
        <w:spacing w:after="120" w:line="276" w:lineRule="auto"/>
        <w:ind w:right="102" w:firstLine="708"/>
        <w:jc w:val="both"/>
      </w:pPr>
      <w:r>
        <w:t xml:space="preserve">En todo caso, para que la experiencia pueda ser acreditada por la sociedad absorbente, en especial en aquellos procesos donde es obligatorio el RUP, </w:t>
      </w:r>
      <w:r w:rsidR="00B67278">
        <w:t xml:space="preserve">es necesario que la experiencia de la sociedad absorbida conste en el RUP de la absorbente, para lo que esta deberá adelantar el respectivo tramite actualización o renovación. </w:t>
      </w:r>
    </w:p>
    <w:p w14:paraId="2149045D" w14:textId="77777777" w:rsidR="00F1148B" w:rsidRPr="00BF0E64" w:rsidRDefault="00F1148B" w:rsidP="00F1148B">
      <w:pPr>
        <w:ind w:right="709"/>
        <w:jc w:val="both"/>
        <w:rPr>
          <w:rFonts w:ascii="Arial" w:hAnsi="Arial" w:cs="Arial"/>
          <w:color w:val="000000" w:themeColor="text1"/>
          <w:sz w:val="21"/>
          <w:szCs w:val="21"/>
        </w:rPr>
      </w:pPr>
    </w:p>
    <w:p w14:paraId="09392FFE" w14:textId="77777777" w:rsidR="00F1148B" w:rsidRPr="00BF0E64" w:rsidRDefault="00F1148B" w:rsidP="00F1148B">
      <w:pPr>
        <w:spacing w:line="276" w:lineRule="auto"/>
        <w:jc w:val="both"/>
        <w:rPr>
          <w:rFonts w:ascii="Arial" w:hAnsi="Arial" w:cs="Arial"/>
          <w:color w:val="000000" w:themeColor="text1"/>
          <w:sz w:val="22"/>
          <w:lang w:val="es-ES_tradnl"/>
        </w:rPr>
      </w:pPr>
      <w:r w:rsidRPr="00BF0E64">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1F2CC55" w14:textId="77777777" w:rsidR="00F1148B" w:rsidRPr="00BF0E64" w:rsidRDefault="00F1148B" w:rsidP="00F1148B">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A95C767" w14:textId="556C2730" w:rsidR="00F1148B" w:rsidRPr="00BF0E64" w:rsidRDefault="00F1148B" w:rsidP="00F1148B">
      <w:pPr>
        <w:pStyle w:val="NormalWeb"/>
        <w:spacing w:before="0" w:beforeAutospacing="0" w:after="0" w:afterAutospacing="0" w:line="276" w:lineRule="auto"/>
        <w:jc w:val="both"/>
        <w:rPr>
          <w:rFonts w:ascii="Arial" w:hAnsi="Arial" w:cs="Arial"/>
          <w:color w:val="000000" w:themeColor="text1"/>
          <w:sz w:val="22"/>
          <w:szCs w:val="22"/>
          <w:lang w:val="es-ES_tradnl"/>
        </w:rPr>
      </w:pPr>
      <w:r w:rsidRPr="00BF0E64">
        <w:rPr>
          <w:rFonts w:ascii="Arial" w:hAnsi="Arial" w:cs="Arial"/>
          <w:color w:val="000000" w:themeColor="text1"/>
          <w:sz w:val="22"/>
          <w:szCs w:val="22"/>
          <w:lang w:val="es-ES_tradnl"/>
        </w:rPr>
        <w:t>Atentamente,</w:t>
      </w:r>
    </w:p>
    <w:p w14:paraId="27CB9E62" w14:textId="0597A562" w:rsidR="00F55495" w:rsidRDefault="00F55495" w:rsidP="009E3AFD">
      <w:pPr>
        <w:jc w:val="center"/>
        <w:rPr>
          <w:rFonts w:ascii="Arial" w:hAnsi="Arial" w:cs="Arial"/>
          <w:color w:val="000000" w:themeColor="text1"/>
          <w:sz w:val="18"/>
          <w:szCs w:val="20"/>
          <w:lang w:val="es-ES_tradnl" w:eastAsia="es-CO"/>
        </w:rPr>
      </w:pPr>
    </w:p>
    <w:p w14:paraId="1E8CD5B9" w14:textId="07349265" w:rsidR="009E3AFD" w:rsidRPr="009D508B" w:rsidRDefault="009D508B" w:rsidP="009D508B">
      <w:pPr>
        <w:jc w:val="center"/>
        <w:rPr>
          <w:noProof/>
        </w:rPr>
      </w:pPr>
      <w:r w:rsidRPr="00B36019">
        <w:rPr>
          <w:noProof/>
          <w:color w:val="000000"/>
          <w:lang w:eastAsia="es-CO"/>
        </w:rPr>
        <w:drawing>
          <wp:inline distT="0" distB="0" distL="0" distR="0" wp14:anchorId="7001E422" wp14:editId="1399D1F5">
            <wp:extent cx="2609850" cy="8572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609850" cy="857250"/>
                    </a:xfrm>
                    <a:prstGeom prst="rect">
                      <a:avLst/>
                    </a:prstGeom>
                  </pic:spPr>
                </pic:pic>
              </a:graphicData>
            </a:graphic>
          </wp:inline>
        </w:drawing>
      </w:r>
    </w:p>
    <w:p w14:paraId="5C86E3A8" w14:textId="3DD87AB9" w:rsidR="009E3AFD" w:rsidRDefault="009E3AFD" w:rsidP="009E3AFD">
      <w:pPr>
        <w:rPr>
          <w:rFonts w:ascii="Arial" w:hAnsi="Arial" w:cs="Arial"/>
          <w:color w:val="000000" w:themeColor="text1"/>
          <w:sz w:val="18"/>
          <w:szCs w:val="20"/>
          <w:lang w:val="es-ES_tradnl" w:eastAsia="es-CO"/>
        </w:rPr>
      </w:pPr>
    </w:p>
    <w:p w14:paraId="34E8EB1E" w14:textId="77777777" w:rsidR="009E3AFD" w:rsidRPr="00BF0E64" w:rsidRDefault="009E3AFD" w:rsidP="009E3AFD">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1148B" w:rsidRPr="00BF0E64" w14:paraId="64CBAEA2" w14:textId="77777777" w:rsidTr="008C75AF">
        <w:trPr>
          <w:trHeight w:val="315"/>
        </w:trPr>
        <w:tc>
          <w:tcPr>
            <w:tcW w:w="812" w:type="dxa"/>
            <w:vAlign w:val="center"/>
            <w:hideMark/>
          </w:tcPr>
          <w:p w14:paraId="5F2562C4" w14:textId="77777777" w:rsidR="00F1148B" w:rsidRPr="00BF0E64" w:rsidRDefault="00F1148B" w:rsidP="008C75AF">
            <w:pPr>
              <w:jc w:val="both"/>
              <w:rPr>
                <w:rFonts w:ascii="Arial" w:hAnsi="Arial" w:cs="Arial"/>
                <w:color w:val="000000" w:themeColor="text1"/>
                <w:sz w:val="16"/>
                <w:szCs w:val="16"/>
                <w:lang w:val="es-ES_tradnl" w:eastAsia="es-ES"/>
              </w:rPr>
            </w:pPr>
            <w:r w:rsidRPr="00BF0E64">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84AD3A4" w14:textId="7EDBC5C8" w:rsidR="00F1148B" w:rsidRPr="00BF0E64" w:rsidRDefault="004E65F0" w:rsidP="008C75A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Melissa Fernández Reinoso</w:t>
            </w:r>
          </w:p>
          <w:p w14:paraId="29A61DA3" w14:textId="503F9818" w:rsidR="00F1148B" w:rsidRPr="00BF0E64" w:rsidRDefault="004E65F0" w:rsidP="008C75A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Analista</w:t>
            </w:r>
            <w:r w:rsidRPr="00BF0E64">
              <w:rPr>
                <w:rFonts w:ascii="Arial" w:hAnsi="Arial" w:cs="Arial"/>
                <w:color w:val="000000" w:themeColor="text1"/>
                <w:sz w:val="16"/>
                <w:szCs w:val="16"/>
                <w:lang w:val="es-ES_tradnl" w:eastAsia="es-ES"/>
              </w:rPr>
              <w:t xml:space="preserve"> </w:t>
            </w:r>
            <w:r w:rsidR="0067180E">
              <w:rPr>
                <w:rFonts w:ascii="Arial" w:hAnsi="Arial" w:cs="Arial"/>
                <w:color w:val="000000" w:themeColor="text1"/>
                <w:sz w:val="16"/>
                <w:szCs w:val="16"/>
                <w:lang w:val="es-ES_tradnl" w:eastAsia="es-ES"/>
              </w:rPr>
              <w:t>T</w:t>
            </w:r>
            <w:r w:rsidR="005A5D29">
              <w:rPr>
                <w:rFonts w:ascii="Arial" w:hAnsi="Arial" w:cs="Arial"/>
                <w:color w:val="000000" w:themeColor="text1"/>
                <w:sz w:val="16"/>
                <w:szCs w:val="16"/>
                <w:lang w:val="es-ES_tradnl" w:eastAsia="es-ES"/>
              </w:rPr>
              <w:t>2</w:t>
            </w:r>
            <w:r w:rsidR="0067180E">
              <w:rPr>
                <w:rFonts w:ascii="Arial" w:hAnsi="Arial" w:cs="Arial"/>
                <w:color w:val="000000" w:themeColor="text1"/>
                <w:sz w:val="16"/>
                <w:szCs w:val="16"/>
                <w:lang w:val="es-ES_tradnl" w:eastAsia="es-ES"/>
              </w:rPr>
              <w:t>-2</w:t>
            </w:r>
            <w:r w:rsidR="005A5D29">
              <w:rPr>
                <w:rFonts w:ascii="Arial" w:hAnsi="Arial" w:cs="Arial"/>
                <w:color w:val="000000" w:themeColor="text1"/>
                <w:sz w:val="16"/>
                <w:szCs w:val="16"/>
                <w:lang w:val="es-ES_tradnl" w:eastAsia="es-ES"/>
              </w:rPr>
              <w:t xml:space="preserve"> </w:t>
            </w:r>
            <w:r w:rsidR="00F1148B" w:rsidRPr="00BF0E64">
              <w:rPr>
                <w:rFonts w:ascii="Arial" w:hAnsi="Arial" w:cs="Arial"/>
                <w:color w:val="000000" w:themeColor="text1"/>
                <w:sz w:val="16"/>
                <w:szCs w:val="16"/>
                <w:lang w:val="es-ES_tradnl" w:eastAsia="es-ES"/>
              </w:rPr>
              <w:t>de la Subdirección de Gestión Contractual</w:t>
            </w:r>
          </w:p>
        </w:tc>
      </w:tr>
      <w:tr w:rsidR="00F1148B" w:rsidRPr="00BF0E64" w14:paraId="37FA756D" w14:textId="77777777" w:rsidTr="008C75AF">
        <w:trPr>
          <w:trHeight w:val="330"/>
        </w:trPr>
        <w:tc>
          <w:tcPr>
            <w:tcW w:w="812" w:type="dxa"/>
            <w:vAlign w:val="center"/>
            <w:hideMark/>
          </w:tcPr>
          <w:p w14:paraId="74F7746F" w14:textId="77777777" w:rsidR="00F1148B" w:rsidRPr="00BF0E64" w:rsidRDefault="00F1148B" w:rsidP="008C75AF">
            <w:pPr>
              <w:jc w:val="both"/>
              <w:rPr>
                <w:rFonts w:ascii="Arial" w:hAnsi="Arial" w:cs="Arial"/>
                <w:color w:val="000000" w:themeColor="text1"/>
                <w:sz w:val="16"/>
                <w:szCs w:val="16"/>
                <w:lang w:val="es-ES_tradnl" w:eastAsia="es-ES"/>
              </w:rPr>
            </w:pPr>
            <w:r w:rsidRPr="00BF0E64">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43AC2A1" w14:textId="32BAB619" w:rsidR="00F1148B" w:rsidRPr="00BF0E64" w:rsidRDefault="003460F2" w:rsidP="008C75A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Alejandro Sarmiento Cantillo</w:t>
            </w:r>
          </w:p>
          <w:p w14:paraId="6D498183" w14:textId="3B1E2C7F" w:rsidR="00F1148B" w:rsidRPr="00BF0E64" w:rsidRDefault="003460F2" w:rsidP="008C75AF">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Gestor T1-11 de la </w:t>
            </w:r>
            <w:r w:rsidR="00F1148B" w:rsidRPr="00BF0E64">
              <w:rPr>
                <w:rFonts w:ascii="Arial" w:hAnsi="Arial" w:cs="Arial"/>
                <w:color w:val="000000" w:themeColor="text1"/>
                <w:sz w:val="16"/>
                <w:szCs w:val="16"/>
                <w:lang w:val="es-ES_tradnl" w:eastAsia="es-ES"/>
              </w:rPr>
              <w:t>Subdire</w:t>
            </w:r>
            <w:r w:rsidR="008F4C54">
              <w:rPr>
                <w:rFonts w:ascii="Arial" w:hAnsi="Arial" w:cs="Arial"/>
                <w:color w:val="000000" w:themeColor="text1"/>
                <w:sz w:val="16"/>
                <w:szCs w:val="16"/>
                <w:lang w:val="es-ES_tradnl" w:eastAsia="es-ES"/>
              </w:rPr>
              <w:t>cción de</w:t>
            </w:r>
            <w:r w:rsidR="00F1148B" w:rsidRPr="00BF0E64">
              <w:rPr>
                <w:rFonts w:ascii="Arial" w:hAnsi="Arial" w:cs="Arial"/>
                <w:color w:val="000000" w:themeColor="text1"/>
                <w:sz w:val="16"/>
                <w:szCs w:val="16"/>
                <w:lang w:val="es-ES_tradnl" w:eastAsia="es-ES"/>
              </w:rPr>
              <w:t xml:space="preserve"> Gestión Contractual</w:t>
            </w:r>
          </w:p>
        </w:tc>
      </w:tr>
      <w:tr w:rsidR="00F1148B" w:rsidRPr="00BF0E64" w14:paraId="2DC8F6C9" w14:textId="77777777" w:rsidTr="008C75AF">
        <w:trPr>
          <w:trHeight w:val="300"/>
        </w:trPr>
        <w:tc>
          <w:tcPr>
            <w:tcW w:w="812" w:type="dxa"/>
            <w:vAlign w:val="center"/>
            <w:hideMark/>
          </w:tcPr>
          <w:p w14:paraId="1E77B3BC" w14:textId="77777777" w:rsidR="00F1148B" w:rsidRPr="00BF0E64" w:rsidRDefault="00F1148B" w:rsidP="008C75AF">
            <w:pPr>
              <w:jc w:val="both"/>
              <w:rPr>
                <w:rFonts w:ascii="Arial" w:hAnsi="Arial" w:cs="Arial"/>
                <w:color w:val="000000" w:themeColor="text1"/>
                <w:sz w:val="16"/>
                <w:szCs w:val="16"/>
                <w:lang w:val="es-ES_tradnl" w:eastAsia="es-ES"/>
              </w:rPr>
            </w:pPr>
            <w:r w:rsidRPr="00BF0E64">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3704AB" w14:textId="77777777" w:rsidR="00F1148B" w:rsidRPr="00BF0E64" w:rsidRDefault="00F1148B" w:rsidP="008C75AF">
            <w:pPr>
              <w:jc w:val="both"/>
              <w:rPr>
                <w:rFonts w:ascii="Arial" w:hAnsi="Arial" w:cs="Arial"/>
                <w:color w:val="000000" w:themeColor="text1"/>
                <w:sz w:val="16"/>
                <w:szCs w:val="16"/>
                <w:lang w:val="es-ES_tradnl" w:eastAsia="es-ES"/>
              </w:rPr>
            </w:pPr>
            <w:r w:rsidRPr="00BF0E64">
              <w:rPr>
                <w:rFonts w:ascii="Arial" w:hAnsi="Arial" w:cs="Arial"/>
                <w:color w:val="000000" w:themeColor="text1"/>
                <w:sz w:val="16"/>
                <w:szCs w:val="16"/>
                <w:lang w:val="es-ES_tradnl" w:eastAsia="es-ES"/>
              </w:rPr>
              <w:t>Jorge Augusto Tirado Navarro</w:t>
            </w:r>
          </w:p>
          <w:p w14:paraId="66BAF800" w14:textId="77777777" w:rsidR="00F1148B" w:rsidRPr="00BF0E64" w:rsidRDefault="00F1148B" w:rsidP="008C75AF">
            <w:pPr>
              <w:jc w:val="both"/>
              <w:rPr>
                <w:rFonts w:ascii="Arial" w:hAnsi="Arial" w:cs="Arial"/>
                <w:color w:val="000000" w:themeColor="text1"/>
                <w:sz w:val="16"/>
                <w:szCs w:val="16"/>
                <w:lang w:val="es-ES_tradnl" w:eastAsia="es-ES"/>
              </w:rPr>
            </w:pPr>
            <w:r w:rsidRPr="00BF0E64">
              <w:rPr>
                <w:rFonts w:ascii="Arial" w:hAnsi="Arial" w:cs="Arial"/>
                <w:color w:val="000000" w:themeColor="text1"/>
                <w:sz w:val="16"/>
                <w:szCs w:val="16"/>
                <w:lang w:val="es-ES_tradnl" w:eastAsia="es-ES"/>
              </w:rPr>
              <w:t>Subdirector de Gestión Contractual</w:t>
            </w:r>
          </w:p>
        </w:tc>
      </w:tr>
    </w:tbl>
    <w:p w14:paraId="11B04E3F" w14:textId="364ACA58" w:rsidR="00F1148B" w:rsidRPr="00BF0E64" w:rsidRDefault="00F1148B" w:rsidP="00F1148B">
      <w:pPr>
        <w:jc w:val="both"/>
        <w:rPr>
          <w:rFonts w:ascii="Arial" w:hAnsi="Arial" w:cs="Arial"/>
          <w:lang w:val="es-ES_tradnl"/>
        </w:rPr>
      </w:pPr>
    </w:p>
    <w:p w14:paraId="11B66D43" w14:textId="1D8FDC1B" w:rsidR="00E1464D" w:rsidRPr="0069745C" w:rsidRDefault="00E1464D">
      <w:pPr>
        <w:rPr>
          <w:lang w:val="es-ES"/>
        </w:rPr>
      </w:pPr>
    </w:p>
    <w:sectPr w:rsidR="00E1464D" w:rsidRPr="0069745C" w:rsidSect="004B7D0A">
      <w:footerReference w:type="default" r:id="rId13"/>
      <w:pgSz w:w="12240" w:h="15840"/>
      <w:pgMar w:top="1701" w:right="1701" w:bottom="1418" w:left="1701" w:header="340"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05E78F" w14:textId="77777777" w:rsidR="00FB3D89" w:rsidRDefault="00FB3D89" w:rsidP="00F1148B">
      <w:r>
        <w:separator/>
      </w:r>
    </w:p>
  </w:endnote>
  <w:endnote w:type="continuationSeparator" w:id="0">
    <w:p w14:paraId="1D7C4D6B" w14:textId="77777777" w:rsidR="00FB3D89" w:rsidRDefault="00FB3D89" w:rsidP="00F11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MS Mincho"/>
    <w:panose1 w:val="00000000000000000000"/>
    <w:charset w:val="80"/>
    <w:family w:val="auto"/>
    <w:notTrueType/>
    <w:pitch w:val="default"/>
    <w:sig w:usb0="00000001" w:usb1="08070000" w:usb2="00000010" w:usb3="00000000" w:csb0="00020000"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1B017" w14:textId="77777777" w:rsidR="006A59DE" w:rsidRDefault="00FB3D89" w:rsidP="00322937">
    <w:pPr>
      <w:pStyle w:val="Sinespaciado"/>
      <w:jc w:val="right"/>
      <w:rPr>
        <w:rFonts w:ascii="Arial" w:hAnsi="Arial" w:cs="Arial"/>
        <w:sz w:val="18"/>
        <w:szCs w:val="18"/>
      </w:rPr>
    </w:pPr>
  </w:p>
  <w:p w14:paraId="793D4EB3" w14:textId="77777777" w:rsidR="006A59DE" w:rsidRPr="008217B7" w:rsidRDefault="001F3EB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D7697">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D7697">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40011BE5" w14:textId="04E7A2FF" w:rsidR="006A59DE" w:rsidRDefault="00FB3D89" w:rsidP="00322937">
    <w:pPr>
      <w:pStyle w:val="Piedepgina"/>
      <w:jc w:val="center"/>
      <w:rPr>
        <w:lang w:val="es-ES"/>
      </w:rPr>
    </w:pPr>
  </w:p>
  <w:p w14:paraId="0597E534" w14:textId="77777777" w:rsidR="006A59DE" w:rsidRDefault="00FB3D89" w:rsidP="007B0854">
    <w:pPr>
      <w:pStyle w:val="Piedepgina"/>
      <w:jc w:val="center"/>
      <w:rPr>
        <w:lang w:val="es-ES"/>
      </w:rPr>
    </w:pPr>
  </w:p>
  <w:p w14:paraId="2F40BA88" w14:textId="77777777" w:rsidR="006A59DE" w:rsidRPr="007B0854" w:rsidRDefault="00FB3D89" w:rsidP="007B0854">
    <w:pPr>
      <w:pStyle w:val="Piedepgina"/>
      <w:jc w:val="center"/>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4BF62F" w14:textId="77777777" w:rsidR="00FB3D89" w:rsidRDefault="00FB3D89" w:rsidP="00F1148B">
      <w:r>
        <w:separator/>
      </w:r>
    </w:p>
  </w:footnote>
  <w:footnote w:type="continuationSeparator" w:id="0">
    <w:p w14:paraId="31974DE3" w14:textId="77777777" w:rsidR="00FB3D89" w:rsidRDefault="00FB3D89" w:rsidP="00F1148B">
      <w:r>
        <w:continuationSeparator/>
      </w:r>
    </w:p>
  </w:footnote>
  <w:footnote w:id="1">
    <w:p w14:paraId="533F1D4F" w14:textId="77777777" w:rsidR="00755891" w:rsidRPr="00736105" w:rsidRDefault="00755891" w:rsidP="00755891">
      <w:pPr>
        <w:pStyle w:val="Car1"/>
        <w:ind w:firstLine="708"/>
        <w:jc w:val="both"/>
        <w:rPr>
          <w:rFonts w:ascii="Arial" w:hAnsi="Arial" w:cs="Arial"/>
          <w:sz w:val="19"/>
          <w:szCs w:val="19"/>
          <w:lang w:val="es-CO"/>
        </w:rPr>
      </w:pPr>
      <w:r w:rsidRPr="0009349F">
        <w:rPr>
          <w:rStyle w:val="Refdenotaalpie"/>
          <w:rFonts w:ascii="Arial" w:hAnsi="Arial" w:cs="Arial"/>
          <w:sz w:val="19"/>
          <w:szCs w:val="19"/>
        </w:rPr>
        <w:footnoteRef/>
      </w:r>
      <w:r w:rsidRPr="00736105">
        <w:rPr>
          <w:rFonts w:ascii="Arial" w:hAnsi="Arial" w:cs="Arial"/>
          <w:sz w:val="19"/>
          <w:szCs w:val="19"/>
        </w:rPr>
        <w:t xml:space="preserve"> De igual forma la Agencia de Nacional de Contratación Pública -Colombia Compra Eficiente- trato el tema objeto de estudio en conceptos del año 2019, identificados con los radicados </w:t>
      </w:r>
      <w:r w:rsidRPr="00736105">
        <w:rPr>
          <w:rFonts w:ascii="Arial" w:eastAsia="Calibri" w:hAnsi="Arial" w:cs="Arial"/>
          <w:sz w:val="19"/>
          <w:szCs w:val="19"/>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736105">
        <w:rPr>
          <w:rFonts w:ascii="Arial" w:hAnsi="Arial" w:cs="Arial"/>
          <w:sz w:val="19"/>
          <w:szCs w:val="19"/>
        </w:rPr>
        <w:t xml:space="preserve">4201913000006797 del 19 de noviembre de 2019, </w:t>
      </w:r>
      <w:r w:rsidRPr="00736105">
        <w:rPr>
          <w:rFonts w:ascii="Arial" w:eastAsia="Calibri" w:hAnsi="Arial" w:cs="Arial"/>
          <w:sz w:val="19"/>
          <w:szCs w:val="19"/>
        </w:rPr>
        <w:t xml:space="preserve">4201912000007182 del 3 de diciembre de 2019, 4201912000007512 del 16 de diciembre de 2019, 4201912000007607 del 9 de diciembre de 2019. </w:t>
      </w:r>
    </w:p>
    <w:p w14:paraId="375447B3" w14:textId="77777777" w:rsidR="00755891" w:rsidRPr="0009349F" w:rsidRDefault="00755891" w:rsidP="00755891">
      <w:pPr>
        <w:pStyle w:val="Car1"/>
        <w:rPr>
          <w:rFonts w:ascii="Arial" w:hAnsi="Arial" w:cs="Arial"/>
          <w:sz w:val="19"/>
          <w:szCs w:val="19"/>
          <w:lang w:val="es-CO"/>
        </w:rPr>
      </w:pPr>
    </w:p>
  </w:footnote>
  <w:footnote w:id="2">
    <w:p w14:paraId="1D00C04F" w14:textId="77777777" w:rsidR="00F1148B" w:rsidRPr="009C5188" w:rsidRDefault="00F1148B" w:rsidP="00F1148B">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0DE5BDC"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2D76D380" w14:textId="77777777" w:rsidR="00F1148B" w:rsidRPr="009C5188" w:rsidRDefault="00F1148B" w:rsidP="00F1148B">
      <w:pPr>
        <w:pStyle w:val="Textonotapie"/>
        <w:jc w:val="both"/>
        <w:rPr>
          <w:rFonts w:ascii="Arial" w:hAnsi="Arial" w:cs="Arial"/>
          <w:sz w:val="19"/>
          <w:szCs w:val="19"/>
          <w:lang w:val="es-ES"/>
        </w:rPr>
      </w:pPr>
    </w:p>
  </w:footnote>
  <w:footnote w:id="3">
    <w:p w14:paraId="429CA167" w14:textId="77777777" w:rsidR="00F1148B" w:rsidRPr="009C5188" w:rsidRDefault="00F1148B" w:rsidP="00F1148B">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0DE8C656" w14:textId="77777777" w:rsidR="00F1148B" w:rsidRPr="009C5188" w:rsidRDefault="00F1148B" w:rsidP="00F1148B">
      <w:pPr>
        <w:pStyle w:val="Textonotapie"/>
        <w:ind w:firstLine="708"/>
        <w:jc w:val="both"/>
        <w:rPr>
          <w:rFonts w:ascii="Arial" w:hAnsi="Arial" w:cs="Arial"/>
          <w:sz w:val="19"/>
          <w:szCs w:val="19"/>
          <w:lang w:val="es-ES"/>
        </w:rPr>
      </w:pPr>
    </w:p>
  </w:footnote>
  <w:footnote w:id="4">
    <w:p w14:paraId="360D8385" w14:textId="77777777" w:rsidR="00F1148B" w:rsidRPr="009C5188" w:rsidRDefault="00F1148B" w:rsidP="00F1148B">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3F7B5A96"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7A4EFB17"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w:t>
      </w:r>
    </w:p>
    <w:p w14:paraId="43038FF3" w14:textId="77777777" w:rsidR="00F1148B" w:rsidRPr="009C5188" w:rsidRDefault="00F1148B" w:rsidP="00F1148B">
      <w:pPr>
        <w:pStyle w:val="Textonotapie"/>
        <w:ind w:firstLine="708"/>
        <w:jc w:val="both"/>
        <w:rPr>
          <w:rFonts w:ascii="Arial" w:hAnsi="Arial" w:cs="Arial"/>
          <w:sz w:val="19"/>
          <w:szCs w:val="19"/>
          <w:lang w:val="es-ES"/>
        </w:rPr>
      </w:pPr>
    </w:p>
  </w:footnote>
  <w:footnote w:id="5">
    <w:p w14:paraId="7AB63B02" w14:textId="77777777" w:rsidR="00F1148B" w:rsidRPr="009C5188" w:rsidRDefault="00F1148B" w:rsidP="00F1148B">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C02C4D9"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w:t>
      </w:r>
    </w:p>
    <w:p w14:paraId="51467BE4"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80BC979"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173CF329" w14:textId="77777777" w:rsidR="00F1148B" w:rsidRPr="009C5188" w:rsidRDefault="00F1148B" w:rsidP="00F1148B">
      <w:pPr>
        <w:pStyle w:val="Textonotapie"/>
        <w:jc w:val="both"/>
        <w:rPr>
          <w:rFonts w:ascii="Arial" w:hAnsi="Arial" w:cs="Arial"/>
          <w:sz w:val="19"/>
          <w:szCs w:val="19"/>
          <w:lang w:val="es-ES"/>
        </w:rPr>
      </w:pPr>
    </w:p>
  </w:footnote>
  <w:footnote w:id="6">
    <w:p w14:paraId="18493B52" w14:textId="77777777" w:rsidR="00F1148B" w:rsidRPr="009C5188" w:rsidRDefault="00F1148B" w:rsidP="00F1148B">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C7580F2"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»1.    Si es una persona natural:</w:t>
      </w:r>
    </w:p>
    <w:p w14:paraId="52E09AAE"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»1.1. Bienes, obras y servicios que ofrecerá a las Entidades Estatales, identificados con el Clasificador de Bienes y Servicios en el tercer nivel.</w:t>
      </w:r>
    </w:p>
    <w:p w14:paraId="0D9AEC17"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0B5FF0E5" w14:textId="77777777" w:rsidR="00F1148B" w:rsidRPr="009C5188" w:rsidRDefault="00F1148B" w:rsidP="00F1148B">
      <w:pPr>
        <w:pStyle w:val="Textonotapie"/>
        <w:ind w:firstLine="708"/>
        <w:jc w:val="both"/>
        <w:rPr>
          <w:rFonts w:ascii="Arial" w:hAnsi="Arial" w:cs="Arial"/>
          <w:sz w:val="19"/>
          <w:szCs w:val="19"/>
          <w:lang w:val="es-ES"/>
        </w:rPr>
      </w:pPr>
    </w:p>
  </w:footnote>
  <w:footnote w:id="7">
    <w:p w14:paraId="7AA9400E" w14:textId="77777777" w:rsidR="00F1148B" w:rsidRPr="009C5188" w:rsidRDefault="00F1148B" w:rsidP="00F1148B">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4A0B4223"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2CF505AB"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w:t>
      </w:r>
    </w:p>
    <w:p w14:paraId="4EE73980"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1795CF2D"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6939A57F" w14:textId="77777777" w:rsidR="00F1148B" w:rsidRPr="00694D8E" w:rsidRDefault="00F1148B" w:rsidP="00F1148B">
      <w:pPr>
        <w:pStyle w:val="Textonotapie"/>
        <w:ind w:firstLine="708"/>
        <w:jc w:val="both"/>
        <w:rPr>
          <w:rFonts w:ascii="Arial" w:hAnsi="Arial" w:cs="Arial"/>
          <w:sz w:val="19"/>
          <w:szCs w:val="19"/>
        </w:rPr>
      </w:pPr>
      <w:r w:rsidRPr="009C5188">
        <w:rPr>
          <w:rFonts w:ascii="Arial" w:hAnsi="Arial" w:cs="Arial"/>
          <w:sz w:val="19"/>
          <w:szCs w:val="19"/>
        </w:rPr>
        <w:t>[...]».</w:t>
      </w:r>
    </w:p>
  </w:footnote>
  <w:footnote w:id="8">
    <w:p w14:paraId="638EE329" w14:textId="77777777" w:rsidR="00F1148B" w:rsidRPr="003513C4" w:rsidRDefault="00F1148B" w:rsidP="00F1148B">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Esta conclusión cambió respecto del concepto C – 002 del 20 de febrero de 2020, para adecuarla a un mejor entendimiento de las normas sobre la experiencia.</w:t>
      </w:r>
    </w:p>
    <w:p w14:paraId="7BAD768E" w14:textId="77777777" w:rsidR="00F1148B" w:rsidRPr="00384698" w:rsidRDefault="00F1148B" w:rsidP="00F1148B">
      <w:pPr>
        <w:pStyle w:val="Textonotapie"/>
        <w:ind w:firstLine="708"/>
        <w:jc w:val="both"/>
        <w:rPr>
          <w:lang w:val="es-CO"/>
        </w:rPr>
      </w:pPr>
    </w:p>
  </w:footnote>
  <w:footnote w:id="9">
    <w:p w14:paraId="0A04DDA1" w14:textId="77777777" w:rsidR="00C758CF" w:rsidRPr="00E63802" w:rsidRDefault="00C758CF" w:rsidP="00C758CF">
      <w:pPr>
        <w:pStyle w:val="Textonotapie"/>
        <w:ind w:firstLine="708"/>
        <w:jc w:val="both"/>
        <w:rPr>
          <w:rFonts w:ascii="Arial" w:hAnsi="Arial" w:cs="Arial"/>
          <w:sz w:val="19"/>
          <w:szCs w:val="19"/>
        </w:rPr>
      </w:pPr>
      <w:r w:rsidRPr="00E63802">
        <w:rPr>
          <w:rStyle w:val="Refdenotaalpie"/>
          <w:rFonts w:ascii="Arial" w:hAnsi="Arial" w:cs="Arial"/>
          <w:sz w:val="19"/>
          <w:szCs w:val="19"/>
        </w:rPr>
        <w:footnoteRef/>
      </w:r>
      <w:r w:rsidRPr="00E6380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7B72235" w14:textId="77777777" w:rsidR="00C758CF" w:rsidRPr="00E63802" w:rsidRDefault="00C758CF" w:rsidP="00C758CF">
      <w:pPr>
        <w:pStyle w:val="Textonotapie"/>
        <w:ind w:firstLine="708"/>
        <w:jc w:val="both"/>
        <w:rPr>
          <w:rFonts w:ascii="Arial" w:hAnsi="Arial" w:cs="Arial"/>
          <w:sz w:val="19"/>
          <w:szCs w:val="19"/>
        </w:rPr>
      </w:pPr>
      <w:r w:rsidRPr="00E63802">
        <w:rPr>
          <w:rFonts w:ascii="Arial" w:hAnsi="Arial" w:cs="Arial"/>
          <w:sz w:val="19"/>
          <w:szCs w:val="19"/>
        </w:rPr>
        <w:t>[…]</w:t>
      </w:r>
    </w:p>
    <w:p w14:paraId="47A83859" w14:textId="77777777" w:rsidR="00C758CF" w:rsidRPr="00E63802" w:rsidRDefault="00C758CF" w:rsidP="00C758CF">
      <w:pPr>
        <w:pStyle w:val="Textonotapie"/>
        <w:ind w:firstLine="708"/>
        <w:jc w:val="both"/>
        <w:rPr>
          <w:rFonts w:ascii="Arial" w:hAnsi="Arial" w:cs="Arial"/>
          <w:sz w:val="19"/>
          <w:szCs w:val="19"/>
        </w:rPr>
      </w:pPr>
      <w:r w:rsidRPr="00E63802">
        <w:rPr>
          <w:rFonts w:ascii="Arial" w:hAnsi="Arial" w:cs="Arial"/>
          <w:sz w:val="19"/>
          <w:szCs w:val="19"/>
          <w:shd w:val="clear" w:color="auto" w:fill="FFFFFF"/>
        </w:rPr>
        <w:t>»2.1.   Bienes, obras y servicios que ofrecerá a las Entidades Estatales, identificados con el Clasificador de Bienes y Servicios en el tercer nivel</w:t>
      </w:r>
      <w:r w:rsidRPr="00E63802">
        <w:rPr>
          <w:rFonts w:ascii="Arial" w:hAnsi="Arial" w:cs="Arial"/>
          <w:sz w:val="19"/>
          <w:szCs w:val="19"/>
        </w:rPr>
        <w:t>»</w:t>
      </w:r>
      <w:r w:rsidRPr="00E63802">
        <w:rPr>
          <w:rFonts w:ascii="Arial" w:hAnsi="Arial" w:cs="Arial"/>
          <w:sz w:val="19"/>
          <w:szCs w:val="19"/>
          <w:shd w:val="clear" w:color="auto" w:fill="FFFFFF"/>
        </w:rPr>
        <w:t>.</w:t>
      </w:r>
    </w:p>
    <w:p w14:paraId="1B869A28" w14:textId="77777777" w:rsidR="00C758CF" w:rsidRPr="00E63802" w:rsidRDefault="00C758CF" w:rsidP="00C758CF">
      <w:pPr>
        <w:pStyle w:val="Textonotapie"/>
        <w:ind w:firstLine="708"/>
        <w:jc w:val="both"/>
        <w:rPr>
          <w:rFonts w:ascii="Arial" w:hAnsi="Arial" w:cs="Arial"/>
          <w:sz w:val="19"/>
          <w:szCs w:val="19"/>
          <w:lang w:val="es-CO"/>
        </w:rPr>
      </w:pPr>
    </w:p>
  </w:footnote>
  <w:footnote w:id="10">
    <w:p w14:paraId="1BD5392F" w14:textId="6275ECAF" w:rsidR="00C758CF" w:rsidRPr="00E63802" w:rsidRDefault="00C758CF" w:rsidP="00C758CF">
      <w:pPr>
        <w:pStyle w:val="Textonotapie"/>
        <w:ind w:firstLine="708"/>
        <w:jc w:val="both"/>
        <w:rPr>
          <w:rFonts w:ascii="Arial" w:hAnsi="Arial" w:cs="Arial"/>
          <w:sz w:val="19"/>
          <w:szCs w:val="19"/>
        </w:rPr>
      </w:pPr>
      <w:r w:rsidRPr="00E63802">
        <w:rPr>
          <w:rStyle w:val="Refdenotaalpie"/>
          <w:rFonts w:ascii="Arial" w:hAnsi="Arial" w:cs="Arial"/>
          <w:sz w:val="19"/>
          <w:szCs w:val="19"/>
        </w:rPr>
        <w:footnoteRef/>
      </w:r>
      <w:r w:rsidRPr="00E63802">
        <w:rPr>
          <w:rFonts w:ascii="Arial" w:hAnsi="Arial" w:cs="Arial"/>
          <w:sz w:val="19"/>
          <w:szCs w:val="19"/>
        </w:rPr>
        <w:t xml:space="preserve">  «Artículo 2.2.1.1.1.5.2. […]</w:t>
      </w:r>
    </w:p>
    <w:p w14:paraId="5DFF751F" w14:textId="77777777" w:rsidR="00C758CF" w:rsidRPr="00E63802" w:rsidRDefault="00C758CF" w:rsidP="00C758CF">
      <w:pPr>
        <w:pStyle w:val="Textonotapie"/>
        <w:ind w:firstLine="708"/>
        <w:jc w:val="both"/>
        <w:rPr>
          <w:rFonts w:ascii="Arial" w:hAnsi="Arial" w:cs="Arial"/>
          <w:sz w:val="19"/>
          <w:szCs w:val="19"/>
          <w:lang w:val="es-CO"/>
        </w:rPr>
      </w:pPr>
      <w:r w:rsidRPr="00E63802">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E63802">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E63802">
        <w:rPr>
          <w:rFonts w:ascii="Arial" w:hAnsi="Arial" w:cs="Arial"/>
          <w:sz w:val="19"/>
          <w:szCs w:val="19"/>
        </w:rPr>
        <w:t>».</w:t>
      </w:r>
    </w:p>
  </w:footnote>
  <w:footnote w:id="11">
    <w:p w14:paraId="2C3D172E" w14:textId="77777777" w:rsidR="00C758CF" w:rsidRPr="00E63802" w:rsidRDefault="00C758CF" w:rsidP="00C758CF">
      <w:pPr>
        <w:pStyle w:val="Textonotapie"/>
        <w:ind w:left="708" w:firstLine="1"/>
        <w:rPr>
          <w:rFonts w:ascii="Arial" w:hAnsi="Arial" w:cs="Arial"/>
          <w:sz w:val="19"/>
          <w:szCs w:val="19"/>
        </w:rPr>
      </w:pPr>
      <w:r w:rsidRPr="0009349F">
        <w:rPr>
          <w:rStyle w:val="Refdenotaalpie"/>
          <w:rFonts w:ascii="Arial" w:hAnsi="Arial" w:cs="Arial"/>
          <w:sz w:val="19"/>
          <w:szCs w:val="19"/>
        </w:rPr>
        <w:footnoteRef/>
      </w:r>
      <w:r w:rsidRPr="0009349F">
        <w:rPr>
          <w:rFonts w:ascii="Arial" w:hAnsi="Arial" w:cs="Arial"/>
          <w:sz w:val="19"/>
          <w:szCs w:val="19"/>
        </w:rPr>
        <w:t xml:space="preserve"> </w:t>
      </w:r>
      <w:r w:rsidRPr="00E63802">
        <w:rPr>
          <w:rFonts w:ascii="Arial" w:hAnsi="Arial" w:cs="Arial"/>
          <w:sz w:val="19"/>
          <w:szCs w:val="19"/>
        </w:rPr>
        <w:t>Colombia Compra Eficiente. Concepto del 7 de febrero de 2018, Rad. 2201813000000954.</w:t>
      </w:r>
    </w:p>
    <w:p w14:paraId="3EAF0F49" w14:textId="77777777" w:rsidR="00C758CF" w:rsidRPr="0009349F" w:rsidRDefault="00C758CF" w:rsidP="00C758CF">
      <w:pPr>
        <w:pStyle w:val="Textonotapie"/>
        <w:ind w:left="708" w:firstLine="1"/>
        <w:rPr>
          <w:rFonts w:ascii="Arial" w:hAnsi="Arial" w:cs="Arial"/>
          <w:sz w:val="19"/>
          <w:szCs w:val="19"/>
        </w:rPr>
      </w:pPr>
    </w:p>
  </w:footnote>
  <w:footnote w:id="12">
    <w:p w14:paraId="5CEA399C" w14:textId="77777777" w:rsidR="00C758CF" w:rsidRPr="00E63802" w:rsidRDefault="00C758CF" w:rsidP="00C758CF">
      <w:pPr>
        <w:pStyle w:val="Textocomentario"/>
        <w:ind w:firstLine="708"/>
        <w:jc w:val="both"/>
        <w:rPr>
          <w:rFonts w:ascii="Arial" w:hAnsi="Arial" w:cs="Arial"/>
          <w:sz w:val="19"/>
          <w:szCs w:val="19"/>
          <w:lang w:val="es-CO"/>
        </w:rPr>
      </w:pPr>
      <w:r w:rsidRPr="00E63802">
        <w:rPr>
          <w:rStyle w:val="Refdenotaalpie"/>
          <w:rFonts w:ascii="Arial" w:hAnsi="Arial" w:cs="Arial"/>
          <w:sz w:val="19"/>
          <w:szCs w:val="19"/>
        </w:rPr>
        <w:footnoteRef/>
      </w:r>
      <w:r w:rsidRPr="00E63802">
        <w:rPr>
          <w:rFonts w:ascii="Arial" w:hAnsi="Arial" w:cs="Arial"/>
          <w:sz w:val="19"/>
          <w:szCs w:val="19"/>
        </w:rPr>
        <w:t xml:space="preserve"> 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 w:id="13">
    <w:p w14:paraId="48AA1D8C" w14:textId="77777777" w:rsidR="00F1148B" w:rsidRPr="009C5188" w:rsidRDefault="00F1148B" w:rsidP="00F1148B">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222. Efectos posteriores a la liquidación de la sociedad. Disuelta la sociedad se procederá de inmediato a su liquidación. En consecuencia, no podrá iniciar nuevas operaciones en desarrollo de su objeto y conservará su capacidad jurídica únicamente para los actos necesarios a la inmediata liquidación. Cualquier operación o acto ajeno a este fin, salvo los autorizados expresamente por la Ley, hará responsables frente a la sociedad, a los asociados y a terceros, en forma ilimitada y solidaria, al liquidador, y al revisor fiscal que no se hubiere opuesto.</w:t>
      </w:r>
    </w:p>
    <w:p w14:paraId="413C565B"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»El nombre de la sociedad disuelta deberá adicionarse siempre con la expresión ‘en liquidación’. Los encargados de realizarla responderán de los daños y perjuicios que se deriven por dicha omisión».</w:t>
      </w:r>
    </w:p>
    <w:p w14:paraId="42C9BA60" w14:textId="77777777" w:rsidR="00F1148B" w:rsidRPr="009C5188" w:rsidRDefault="00F1148B" w:rsidP="00F1148B">
      <w:pPr>
        <w:pStyle w:val="Textonotapie"/>
        <w:jc w:val="both"/>
        <w:rPr>
          <w:rFonts w:ascii="Arial" w:hAnsi="Arial" w:cs="Arial"/>
          <w:sz w:val="19"/>
          <w:szCs w:val="19"/>
          <w:lang w:val="es-CO"/>
        </w:rPr>
      </w:pPr>
    </w:p>
  </w:footnote>
  <w:footnote w:id="14">
    <w:p w14:paraId="4FFFBC22" w14:textId="77777777" w:rsidR="00F1148B" w:rsidRPr="009C5188" w:rsidRDefault="00F1148B" w:rsidP="00F1148B">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Ver artículos 225 y ss. del Código de Comercio.</w:t>
      </w:r>
    </w:p>
    <w:p w14:paraId="20E1343A" w14:textId="77777777" w:rsidR="00F1148B" w:rsidRPr="009C5188" w:rsidRDefault="00F1148B" w:rsidP="00F1148B">
      <w:pPr>
        <w:pStyle w:val="Textonotapie"/>
        <w:ind w:firstLine="708"/>
        <w:jc w:val="both"/>
        <w:rPr>
          <w:rFonts w:ascii="Arial" w:hAnsi="Arial" w:cs="Arial"/>
          <w:sz w:val="19"/>
          <w:szCs w:val="19"/>
          <w:lang w:val="es-CO"/>
        </w:rPr>
      </w:pPr>
      <w:r w:rsidRPr="009C5188">
        <w:rPr>
          <w:rFonts w:ascii="Arial" w:hAnsi="Arial" w:cs="Arial"/>
          <w:sz w:val="19"/>
          <w:szCs w:val="19"/>
        </w:rPr>
        <w:t xml:space="preserve"> </w:t>
      </w:r>
    </w:p>
  </w:footnote>
  <w:footnote w:id="15">
    <w:p w14:paraId="7A9D60AB" w14:textId="77777777" w:rsidR="00F1148B" w:rsidRPr="009C5188" w:rsidRDefault="00F1148B" w:rsidP="00F1148B">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167. Reforma de contrato social por transformación de sociedad. Una sociedad podrá, antes de su disolución, adoptar cualquiera otra de las formas de la sociedad comercial reguladas en este Código, mediante una reforma del contrato social.</w:t>
      </w:r>
    </w:p>
    <w:p w14:paraId="02928AE4"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»La transformación no producirá solución de continuidad en la existencia de la sociedad como persona jurídica, ni en sus actividades ni en su patrimonio».</w:t>
      </w:r>
    </w:p>
    <w:p w14:paraId="4AE70F97" w14:textId="77777777" w:rsidR="00F1148B" w:rsidRPr="009C5188" w:rsidRDefault="00F1148B" w:rsidP="00F1148B">
      <w:pPr>
        <w:pStyle w:val="Textonotapie"/>
        <w:ind w:firstLine="708"/>
        <w:jc w:val="both"/>
        <w:rPr>
          <w:rFonts w:ascii="Arial" w:hAnsi="Arial" w:cs="Arial"/>
          <w:sz w:val="19"/>
          <w:szCs w:val="19"/>
        </w:rPr>
      </w:pPr>
    </w:p>
  </w:footnote>
  <w:footnote w:id="16">
    <w:p w14:paraId="1D4DE7A1" w14:textId="77777777" w:rsidR="00F1148B" w:rsidRPr="009C5188" w:rsidRDefault="00F1148B" w:rsidP="00F1148B">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222 de 1995: «Artículo 3. Modalidades. Habrá escisión cuando:</w:t>
      </w:r>
    </w:p>
    <w:p w14:paraId="50BBD8D0"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»1. Una sociedad sin disolverse, transfiere en bloque una o varias partes de su patrimonio a una o más sociedades existentes o las destina a la creación de una o varias sociedades.</w:t>
      </w:r>
    </w:p>
    <w:p w14:paraId="51798EC9"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»2. Una sociedad se disuelve sin liquidarse, dividiendo su patrimonio en dos o más partes, que se transfieren a varias sociedades existentes o se destinan a la creación de nuevas sociedades.</w:t>
      </w:r>
    </w:p>
    <w:p w14:paraId="3F678C16"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»La sociedad o sociedades destinatarias de las transferencias resultantes de la escisión, se denominarán sociedades beneficiarias.</w:t>
      </w:r>
    </w:p>
    <w:p w14:paraId="02760462" w14:textId="77777777" w:rsidR="00F1148B" w:rsidRPr="009C5188" w:rsidRDefault="00F1148B" w:rsidP="00F1148B">
      <w:pPr>
        <w:pStyle w:val="Textonotapie"/>
        <w:ind w:firstLine="708"/>
        <w:jc w:val="both"/>
        <w:rPr>
          <w:rFonts w:ascii="Arial" w:hAnsi="Arial" w:cs="Arial"/>
          <w:sz w:val="19"/>
          <w:szCs w:val="19"/>
          <w:lang w:val="es-CO"/>
        </w:rPr>
      </w:pPr>
      <w:r w:rsidRPr="009C5188">
        <w:rPr>
          <w:rFonts w:ascii="Arial" w:hAnsi="Arial" w:cs="Arial"/>
          <w:sz w:val="19"/>
          <w:szCs w:val="19"/>
        </w:rPr>
        <w:t>»Los socios de la sociedad escindida participarán en el capital de las Sociedades beneficiarias en la misma proporción que tengan en aquélla, salvo que por unanimidad de las acciones, cuotas sociales o partes de interés representadas en la asamblea o junta de socios de la escindente, se apruebe una participación diferente».</w:t>
      </w:r>
    </w:p>
  </w:footnote>
  <w:footnote w:id="17">
    <w:p w14:paraId="0492D5A8" w14:textId="77777777" w:rsidR="00F1148B" w:rsidRPr="009C5188" w:rsidRDefault="00F1148B" w:rsidP="00F1148B">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172. Fusión de la sociedad-concepto. Habrá fusión cuando una o más sociedades se disuelvan, sin liquidarse, para ser absorbidas por otra o para crear una nueva.</w:t>
      </w:r>
    </w:p>
    <w:p w14:paraId="101B4E66"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»La absorbente o la nueva compañía adquirirá los derechos y obligaciones de la sociedad o sociedades disueltas al formalizarse el acuerdo de fusión».</w:t>
      </w:r>
    </w:p>
    <w:p w14:paraId="029B6AA7" w14:textId="77777777" w:rsidR="00F1148B" w:rsidRPr="009C5188" w:rsidRDefault="00F1148B" w:rsidP="00F1148B">
      <w:pPr>
        <w:pStyle w:val="Textonotapie"/>
        <w:jc w:val="both"/>
        <w:rPr>
          <w:rFonts w:ascii="Arial" w:hAnsi="Arial" w:cs="Arial"/>
          <w:sz w:val="19"/>
          <w:szCs w:val="19"/>
          <w:lang w:val="es-CO"/>
        </w:rPr>
      </w:pPr>
    </w:p>
  </w:footnote>
  <w:footnote w:id="18">
    <w:p w14:paraId="1F573777" w14:textId="77777777" w:rsidR="00F1148B" w:rsidRPr="009C5188" w:rsidRDefault="00F1148B" w:rsidP="00F1148B">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Código de Comercio: «Artículo 180. Formación de nueva sociedad que continua negocios de la disuelta.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p>
    <w:p w14:paraId="6FF78132" w14:textId="77777777" w:rsidR="00F1148B" w:rsidRPr="009C5188" w:rsidRDefault="00F1148B" w:rsidP="00F1148B">
      <w:pPr>
        <w:pStyle w:val="Textonotapie"/>
        <w:ind w:firstLine="708"/>
        <w:jc w:val="both"/>
        <w:rPr>
          <w:rFonts w:ascii="Arial" w:hAnsi="Arial" w:cs="Arial"/>
          <w:sz w:val="19"/>
          <w:szCs w:val="19"/>
          <w:lang w:val="es-CO"/>
        </w:rPr>
      </w:pPr>
    </w:p>
  </w:footnote>
  <w:footnote w:id="19">
    <w:p w14:paraId="052453C4" w14:textId="77777777" w:rsidR="00F1148B" w:rsidRPr="009C5188" w:rsidRDefault="00F1148B" w:rsidP="00F1148B">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1258 de 2008: «Artículo 33. Fusión abreviada. En aquellos casos en que una sociedad detente más del noventa (90%) de las acciones de una sociedad por acciones simplificada, aquella podrá absorber a esta, mediante determinación adoptada por los representantes legales o por las juntas directivas de las sociedades participantes en el proceso de fusión.</w:t>
      </w:r>
    </w:p>
    <w:p w14:paraId="5DAE33FC" w14:textId="77777777" w:rsidR="00F1148B" w:rsidRPr="009C5188" w:rsidRDefault="00F1148B" w:rsidP="00F1148B">
      <w:pPr>
        <w:pStyle w:val="Textonotapie"/>
        <w:ind w:firstLine="708"/>
        <w:jc w:val="both"/>
        <w:rPr>
          <w:rFonts w:ascii="Arial" w:hAnsi="Arial" w:cs="Arial"/>
          <w:sz w:val="19"/>
          <w:szCs w:val="19"/>
        </w:rPr>
      </w:pPr>
      <w:r w:rsidRPr="009C5188">
        <w:rPr>
          <w:rFonts w:ascii="Arial" w:hAnsi="Arial" w:cs="Arial"/>
          <w:sz w:val="19"/>
          <w:szCs w:val="19"/>
        </w:rPr>
        <w:t>»El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222 de 1995, así como a la acción de oposición judicial prevista en el artículo 175 del Código de Comercio.</w:t>
      </w:r>
    </w:p>
    <w:p w14:paraId="361FDCCD" w14:textId="7C03F390" w:rsidR="00F1148B" w:rsidRPr="009C5188" w:rsidRDefault="00F1148B" w:rsidP="00F1148B">
      <w:pPr>
        <w:pStyle w:val="Textonotapie"/>
        <w:ind w:firstLine="708"/>
        <w:jc w:val="both"/>
        <w:rPr>
          <w:rFonts w:ascii="Arial" w:hAnsi="Arial" w:cs="Arial"/>
          <w:sz w:val="19"/>
          <w:szCs w:val="19"/>
          <w:lang w:val="es-CO"/>
        </w:rPr>
      </w:pPr>
      <w:r w:rsidRPr="009C5188">
        <w:rPr>
          <w:rFonts w:ascii="Arial" w:hAnsi="Arial" w:cs="Arial"/>
          <w:sz w:val="19"/>
          <w:szCs w:val="19"/>
        </w:rPr>
        <w:t>»El texto del acuerdo de fusión abreviada tendrá que ser publicado en un diario de amplia circulación según lo establece la Ley 222 de 1995, dentro de ese mismo término habrá lugar a la oposición por parte de terceros interesados quienes podrán exigir garantías necesarias y/o suficientes».</w:t>
      </w:r>
    </w:p>
  </w:footnote>
  <w:footnote w:id="20">
    <w:p w14:paraId="01A94DDD" w14:textId="358DB905" w:rsidR="00B3181B" w:rsidRPr="005C751A" w:rsidRDefault="00B3181B" w:rsidP="00734679">
      <w:pPr>
        <w:pStyle w:val="Textonotapie"/>
        <w:ind w:firstLine="708"/>
        <w:jc w:val="both"/>
        <w:rPr>
          <w:rFonts w:ascii="Arial" w:hAnsi="Arial" w:cs="Arial"/>
          <w:sz w:val="19"/>
          <w:szCs w:val="19"/>
        </w:rPr>
      </w:pPr>
      <w:r w:rsidRPr="00B1595E">
        <w:rPr>
          <w:rStyle w:val="Refdenotaalpie"/>
          <w:rFonts w:ascii="Arial" w:hAnsi="Arial" w:cs="Arial"/>
          <w:sz w:val="19"/>
          <w:szCs w:val="19"/>
        </w:rPr>
        <w:footnoteRef/>
      </w:r>
      <w:r w:rsidRPr="00B1595E">
        <w:rPr>
          <w:rFonts w:ascii="Arial" w:hAnsi="Arial" w:cs="Arial"/>
          <w:sz w:val="19"/>
          <w:szCs w:val="19"/>
        </w:rPr>
        <w:t xml:space="preserve"> </w:t>
      </w:r>
      <w:r w:rsidR="00894E22" w:rsidRPr="00B1595E">
        <w:rPr>
          <w:rFonts w:ascii="Arial" w:hAnsi="Arial" w:cs="Arial"/>
          <w:sz w:val="19"/>
          <w:szCs w:val="19"/>
        </w:rPr>
        <w:t>Super</w:t>
      </w:r>
      <w:r w:rsidR="00D159E2" w:rsidRPr="00B1595E">
        <w:rPr>
          <w:rFonts w:ascii="Arial" w:hAnsi="Arial" w:cs="Arial"/>
          <w:sz w:val="19"/>
          <w:szCs w:val="19"/>
        </w:rPr>
        <w:t>inten</w:t>
      </w:r>
      <w:r w:rsidR="00734679" w:rsidRPr="00B1595E">
        <w:rPr>
          <w:rFonts w:ascii="Arial" w:hAnsi="Arial" w:cs="Arial"/>
          <w:sz w:val="19"/>
          <w:szCs w:val="19"/>
        </w:rPr>
        <w:t>den</w:t>
      </w:r>
      <w:r w:rsidR="00D159E2" w:rsidRPr="00B1595E">
        <w:rPr>
          <w:rFonts w:ascii="Arial" w:hAnsi="Arial" w:cs="Arial"/>
          <w:sz w:val="19"/>
          <w:szCs w:val="19"/>
        </w:rPr>
        <w:t>cia de Sociedades</w:t>
      </w:r>
      <w:r w:rsidR="00734679" w:rsidRPr="005C751A">
        <w:rPr>
          <w:rFonts w:ascii="Arial" w:hAnsi="Arial" w:cs="Arial"/>
          <w:sz w:val="19"/>
          <w:szCs w:val="19"/>
        </w:rPr>
        <w:t>.</w:t>
      </w:r>
      <w:r w:rsidR="00D159E2" w:rsidRPr="00B1595E">
        <w:rPr>
          <w:rFonts w:ascii="Arial" w:hAnsi="Arial" w:cs="Arial"/>
          <w:sz w:val="19"/>
          <w:szCs w:val="19"/>
        </w:rPr>
        <w:t xml:space="preserve"> </w:t>
      </w:r>
      <w:r w:rsidR="00734679" w:rsidRPr="005C751A">
        <w:rPr>
          <w:rFonts w:ascii="Arial" w:hAnsi="Arial" w:cs="Arial"/>
          <w:sz w:val="19"/>
          <w:szCs w:val="19"/>
        </w:rPr>
        <w:t>O</w:t>
      </w:r>
      <w:r w:rsidR="00D159E2" w:rsidRPr="00B1595E">
        <w:rPr>
          <w:rFonts w:ascii="Arial" w:hAnsi="Arial" w:cs="Arial"/>
          <w:sz w:val="19"/>
          <w:szCs w:val="19"/>
        </w:rPr>
        <w:t xml:space="preserve">ficios </w:t>
      </w:r>
      <w:r w:rsidR="00E73613" w:rsidRPr="00B1595E">
        <w:rPr>
          <w:rFonts w:ascii="Arial" w:hAnsi="Arial" w:cs="Arial"/>
          <w:sz w:val="19"/>
          <w:szCs w:val="19"/>
        </w:rPr>
        <w:t>220-072759 del 14 de mayo de 2014</w:t>
      </w:r>
      <w:r w:rsidR="00D159E2" w:rsidRPr="00B1595E">
        <w:rPr>
          <w:rFonts w:ascii="Arial" w:hAnsi="Arial" w:cs="Arial"/>
          <w:sz w:val="19"/>
          <w:szCs w:val="19"/>
        </w:rPr>
        <w:t xml:space="preserve">, </w:t>
      </w:r>
      <w:r w:rsidR="00E73613" w:rsidRPr="00B1595E">
        <w:rPr>
          <w:rFonts w:ascii="Arial" w:hAnsi="Arial" w:cs="Arial"/>
          <w:sz w:val="19"/>
          <w:szCs w:val="19"/>
        </w:rPr>
        <w:t>220-100613 del 14 de julio de 2015</w:t>
      </w:r>
      <w:r w:rsidR="00D159E2" w:rsidRPr="00B1595E">
        <w:rPr>
          <w:rFonts w:ascii="Arial" w:hAnsi="Arial" w:cs="Arial"/>
          <w:sz w:val="19"/>
          <w:szCs w:val="19"/>
        </w:rPr>
        <w:t xml:space="preserve">, </w:t>
      </w:r>
      <w:r w:rsidR="00E73613" w:rsidRPr="00B1595E">
        <w:rPr>
          <w:rFonts w:ascii="Arial" w:hAnsi="Arial" w:cs="Arial"/>
          <w:sz w:val="19"/>
          <w:szCs w:val="19"/>
        </w:rPr>
        <w:t>220-079814 del 31 de agosto de 2015</w:t>
      </w:r>
      <w:r w:rsidR="00734679" w:rsidRPr="00B1595E">
        <w:rPr>
          <w:rFonts w:ascii="Arial" w:hAnsi="Arial" w:cs="Arial"/>
          <w:sz w:val="19"/>
          <w:szCs w:val="19"/>
        </w:rPr>
        <w:t>,</w:t>
      </w:r>
      <w:r w:rsidR="00E73613" w:rsidRPr="00B1595E">
        <w:rPr>
          <w:rFonts w:ascii="Arial" w:hAnsi="Arial" w:cs="Arial"/>
          <w:sz w:val="19"/>
          <w:szCs w:val="19"/>
        </w:rPr>
        <w:t>220-142284 del 15 de julio de 2016</w:t>
      </w:r>
      <w:r w:rsidR="00734679" w:rsidRPr="00B1595E">
        <w:rPr>
          <w:rFonts w:ascii="Arial" w:hAnsi="Arial" w:cs="Arial"/>
          <w:sz w:val="19"/>
          <w:szCs w:val="19"/>
        </w:rPr>
        <w:t>,</w:t>
      </w:r>
      <w:r w:rsidR="00894E22" w:rsidRPr="00B1595E">
        <w:rPr>
          <w:rFonts w:ascii="Arial" w:hAnsi="Arial" w:cs="Arial"/>
          <w:sz w:val="19"/>
          <w:szCs w:val="19"/>
        </w:rPr>
        <w:t xml:space="preserve"> 095721 </w:t>
      </w:r>
      <w:r w:rsidR="00734679" w:rsidRPr="00B1595E">
        <w:rPr>
          <w:rFonts w:ascii="Arial" w:hAnsi="Arial" w:cs="Arial"/>
          <w:sz w:val="19"/>
          <w:szCs w:val="19"/>
        </w:rPr>
        <w:t>del</w:t>
      </w:r>
      <w:r w:rsidR="00894E22" w:rsidRPr="00B1595E">
        <w:rPr>
          <w:rFonts w:ascii="Arial" w:hAnsi="Arial" w:cs="Arial"/>
          <w:sz w:val="19"/>
          <w:szCs w:val="19"/>
        </w:rPr>
        <w:t xml:space="preserve"> 16 </w:t>
      </w:r>
      <w:r w:rsidR="00734679" w:rsidRPr="00B1595E">
        <w:rPr>
          <w:rFonts w:ascii="Arial" w:hAnsi="Arial" w:cs="Arial"/>
          <w:sz w:val="19"/>
          <w:szCs w:val="19"/>
        </w:rPr>
        <w:t>de junio de</w:t>
      </w:r>
      <w:r w:rsidR="00894E22" w:rsidRPr="00B1595E">
        <w:rPr>
          <w:rFonts w:ascii="Arial" w:hAnsi="Arial" w:cs="Arial"/>
          <w:sz w:val="19"/>
          <w:szCs w:val="19"/>
        </w:rPr>
        <w:t xml:space="preserve"> 202</w:t>
      </w:r>
      <w:r w:rsidR="005C751A" w:rsidRPr="005C751A">
        <w:rPr>
          <w:rFonts w:ascii="Arial" w:hAnsi="Arial" w:cs="Arial"/>
          <w:sz w:val="19"/>
          <w:szCs w:val="19"/>
        </w:rPr>
        <w:t>0.</w:t>
      </w:r>
    </w:p>
    <w:p w14:paraId="18FFCF42" w14:textId="77777777" w:rsidR="005C751A" w:rsidRPr="00B1595E" w:rsidRDefault="005C751A" w:rsidP="00B1595E">
      <w:pPr>
        <w:pStyle w:val="Textonotapie"/>
        <w:ind w:firstLine="708"/>
        <w:jc w:val="both"/>
        <w:rPr>
          <w:rFonts w:ascii="Arial" w:hAnsi="Arial" w:cs="Arial"/>
          <w:sz w:val="19"/>
          <w:szCs w:val="19"/>
          <w:lang w:val="es-CO"/>
        </w:rPr>
      </w:pPr>
    </w:p>
  </w:footnote>
  <w:footnote w:id="21">
    <w:p w14:paraId="172885EB" w14:textId="28BED3AC" w:rsidR="00894E22" w:rsidRPr="004B7D0A" w:rsidRDefault="00894E22" w:rsidP="004B7D0A">
      <w:pPr>
        <w:pStyle w:val="Textonotapie"/>
        <w:ind w:firstLine="708"/>
        <w:rPr>
          <w:lang w:val="es-CO"/>
        </w:rPr>
      </w:pPr>
      <w:r w:rsidRPr="004B7D0A">
        <w:rPr>
          <w:rStyle w:val="Refdenotaalpie"/>
          <w:rFonts w:ascii="Arial" w:hAnsi="Arial" w:cs="Arial"/>
          <w:sz w:val="19"/>
          <w:szCs w:val="19"/>
        </w:rPr>
        <w:footnoteRef/>
      </w:r>
      <w:r w:rsidR="005C751A" w:rsidRPr="004B7D0A">
        <w:rPr>
          <w:rFonts w:ascii="Arial" w:hAnsi="Arial" w:cs="Arial"/>
          <w:sz w:val="19"/>
          <w:szCs w:val="19"/>
        </w:rPr>
        <w:t xml:space="preserve"> </w:t>
      </w:r>
      <w:r w:rsidR="005C751A" w:rsidRPr="005C751A">
        <w:rPr>
          <w:rFonts w:ascii="Arial" w:hAnsi="Arial" w:cs="Arial"/>
          <w:sz w:val="19"/>
          <w:szCs w:val="19"/>
        </w:rPr>
        <w:t xml:space="preserve">Superintendencia de Sociedades. </w:t>
      </w:r>
      <w:r w:rsidR="005C751A" w:rsidRPr="004B7D0A">
        <w:rPr>
          <w:rFonts w:ascii="Arial" w:hAnsi="Arial" w:cs="Arial"/>
          <w:sz w:val="19"/>
          <w:szCs w:val="19"/>
        </w:rPr>
        <w:t>Oficio</w:t>
      </w:r>
      <w:r w:rsidRPr="004B7D0A">
        <w:rPr>
          <w:rFonts w:ascii="Arial" w:hAnsi="Arial" w:cs="Arial"/>
          <w:sz w:val="19"/>
          <w:szCs w:val="19"/>
        </w:rPr>
        <w:t xml:space="preserve"> 220- 063311 </w:t>
      </w:r>
      <w:r w:rsidR="005C751A" w:rsidRPr="004B7D0A">
        <w:rPr>
          <w:rFonts w:ascii="Arial" w:hAnsi="Arial" w:cs="Arial"/>
          <w:sz w:val="19"/>
          <w:szCs w:val="19"/>
        </w:rPr>
        <w:t xml:space="preserve">del 6 de abril de </w:t>
      </w:r>
      <w:r w:rsidRPr="004B7D0A">
        <w:rPr>
          <w:rFonts w:ascii="Arial" w:hAnsi="Arial" w:cs="Arial"/>
          <w:sz w:val="19"/>
          <w:szCs w:val="19"/>
        </w:rPr>
        <w:t>2020</w:t>
      </w:r>
      <w:r w:rsidR="005C751A" w:rsidRPr="004B7D0A">
        <w:rPr>
          <w:rFonts w:ascii="Arial" w:hAnsi="Arial" w:cs="Arial"/>
          <w:sz w:val="19"/>
          <w:szCs w:val="19"/>
        </w:rPr>
        <w:t>.</w:t>
      </w:r>
    </w:p>
  </w:footnote>
  <w:footnote w:id="22">
    <w:p w14:paraId="0DCB0187" w14:textId="77777777" w:rsidR="00BF29B0" w:rsidRPr="004B7D0A" w:rsidRDefault="00BF29B0" w:rsidP="004B7D0A">
      <w:pPr>
        <w:pStyle w:val="Textonotapie"/>
        <w:ind w:firstLine="708"/>
        <w:jc w:val="both"/>
        <w:rPr>
          <w:rFonts w:ascii="Arial" w:hAnsi="Arial" w:cs="Arial"/>
          <w:sz w:val="19"/>
          <w:szCs w:val="19"/>
          <w:lang w:val="es-CO"/>
        </w:rPr>
      </w:pPr>
      <w:r w:rsidRPr="004B7D0A">
        <w:rPr>
          <w:rStyle w:val="Refdenotaalpie"/>
          <w:rFonts w:ascii="Arial" w:hAnsi="Arial" w:cs="Arial"/>
          <w:sz w:val="19"/>
          <w:szCs w:val="19"/>
        </w:rPr>
        <w:footnoteRef/>
      </w:r>
      <w:r w:rsidRPr="004B7D0A">
        <w:rPr>
          <w:rFonts w:ascii="Arial" w:hAnsi="Arial" w:cs="Arial"/>
          <w:sz w:val="19"/>
          <w:szCs w:val="19"/>
        </w:rPr>
        <w:t xml:space="preserve"> </w:t>
      </w:r>
      <w:r w:rsidRPr="004B7D0A">
        <w:rPr>
          <w:rFonts w:ascii="Arial" w:hAnsi="Arial" w:cs="Arial"/>
          <w:sz w:val="19"/>
          <w:szCs w:val="19"/>
          <w:lang w:val="es-CO"/>
        </w:rPr>
        <w:t xml:space="preserve">Decreto 1082 de 2015: «Artículo 2.2.1.1.1.5.3. Requisitos habilitantes contenidos en el RUP. Las cámaras de comercio, con base en la información a la que hace referencia el artículo anterior, deben verificar y certificar los siguientes requisitos habilitantes: </w:t>
      </w:r>
    </w:p>
    <w:p w14:paraId="6F85CCF5" w14:textId="2ACA3252" w:rsidR="00BF29B0" w:rsidRPr="004B7D0A" w:rsidRDefault="00BF29B0" w:rsidP="004B7D0A">
      <w:pPr>
        <w:pStyle w:val="Textonotapie"/>
        <w:ind w:firstLine="708"/>
        <w:jc w:val="both"/>
        <w:rPr>
          <w:rFonts w:ascii="Arial" w:hAnsi="Arial" w:cs="Arial"/>
          <w:sz w:val="19"/>
          <w:szCs w:val="19"/>
          <w:lang w:val="es-CO"/>
        </w:rPr>
      </w:pPr>
      <w:r w:rsidRPr="004B7D0A">
        <w:rPr>
          <w:rFonts w:ascii="Arial" w:hAnsi="Arial" w:cs="Arial"/>
          <w:sz w:val="19"/>
          <w:szCs w:val="19"/>
          <w:lang w:val="es-CO"/>
        </w:rPr>
        <w:t xml:space="preserve">»1. Experiencia – Los contratos celebrados por el interesado para cada uno de los bienes, obras y servicios que ofrecerá a las Entidades Estatales, identificados con el Clasificador de Bienes y Servicios en el tercer nivel y su valor expresado en smmlv. </w:t>
      </w:r>
    </w:p>
    <w:p w14:paraId="564875CE" w14:textId="194674CD" w:rsidR="00BF29B0" w:rsidRPr="004B7D0A" w:rsidRDefault="00BF29B0" w:rsidP="004B7D0A">
      <w:pPr>
        <w:pStyle w:val="Textonotapie"/>
        <w:ind w:firstLine="708"/>
        <w:jc w:val="both"/>
        <w:rPr>
          <w:lang w:val="es-CO"/>
        </w:rPr>
      </w:pPr>
      <w:r w:rsidRPr="004B7D0A">
        <w:rPr>
          <w:rFonts w:ascii="Arial" w:hAnsi="Arial" w:cs="Arial"/>
          <w:sz w:val="19"/>
          <w:szCs w:val="19"/>
          <w:lang w:val="es-CO"/>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45C"/>
    <w:rsid w:val="00004A5C"/>
    <w:rsid w:val="00007A14"/>
    <w:rsid w:val="00035E9B"/>
    <w:rsid w:val="00061D34"/>
    <w:rsid w:val="00094136"/>
    <w:rsid w:val="000D5AAA"/>
    <w:rsid w:val="000E22A8"/>
    <w:rsid w:val="00105EB2"/>
    <w:rsid w:val="0014233E"/>
    <w:rsid w:val="001F3EB1"/>
    <w:rsid w:val="002253C7"/>
    <w:rsid w:val="002723F2"/>
    <w:rsid w:val="002F6145"/>
    <w:rsid w:val="00302415"/>
    <w:rsid w:val="003047AD"/>
    <w:rsid w:val="003460F2"/>
    <w:rsid w:val="00346D9C"/>
    <w:rsid w:val="00374C94"/>
    <w:rsid w:val="00375BEF"/>
    <w:rsid w:val="00376E08"/>
    <w:rsid w:val="004073DD"/>
    <w:rsid w:val="00424937"/>
    <w:rsid w:val="00432336"/>
    <w:rsid w:val="004341C6"/>
    <w:rsid w:val="0044637B"/>
    <w:rsid w:val="004B0105"/>
    <w:rsid w:val="004B7D0A"/>
    <w:rsid w:val="004C606D"/>
    <w:rsid w:val="004D7697"/>
    <w:rsid w:val="004E356E"/>
    <w:rsid w:val="004E65F0"/>
    <w:rsid w:val="004F3553"/>
    <w:rsid w:val="00553B4D"/>
    <w:rsid w:val="00553CCC"/>
    <w:rsid w:val="00573D70"/>
    <w:rsid w:val="00581DC8"/>
    <w:rsid w:val="005A5D29"/>
    <w:rsid w:val="005C751A"/>
    <w:rsid w:val="005D1421"/>
    <w:rsid w:val="005E074C"/>
    <w:rsid w:val="005E74B3"/>
    <w:rsid w:val="0064356C"/>
    <w:rsid w:val="00663EA6"/>
    <w:rsid w:val="0067180E"/>
    <w:rsid w:val="006911ED"/>
    <w:rsid w:val="0069745C"/>
    <w:rsid w:val="006C6D11"/>
    <w:rsid w:val="006D1DF5"/>
    <w:rsid w:val="00702E81"/>
    <w:rsid w:val="00734679"/>
    <w:rsid w:val="007369CF"/>
    <w:rsid w:val="00755891"/>
    <w:rsid w:val="007B53D0"/>
    <w:rsid w:val="00856D80"/>
    <w:rsid w:val="00856EAD"/>
    <w:rsid w:val="00871CD2"/>
    <w:rsid w:val="00894882"/>
    <w:rsid w:val="00894E22"/>
    <w:rsid w:val="008B4B4F"/>
    <w:rsid w:val="008C7E1D"/>
    <w:rsid w:val="008D4AEB"/>
    <w:rsid w:val="008E0699"/>
    <w:rsid w:val="008F4C54"/>
    <w:rsid w:val="009226C7"/>
    <w:rsid w:val="00950A6C"/>
    <w:rsid w:val="009946B5"/>
    <w:rsid w:val="009A3903"/>
    <w:rsid w:val="009D508B"/>
    <w:rsid w:val="009E3AFD"/>
    <w:rsid w:val="00A353D9"/>
    <w:rsid w:val="00A3568C"/>
    <w:rsid w:val="00A6654C"/>
    <w:rsid w:val="00B1595E"/>
    <w:rsid w:val="00B3181B"/>
    <w:rsid w:val="00B67278"/>
    <w:rsid w:val="00B90DFB"/>
    <w:rsid w:val="00B93D12"/>
    <w:rsid w:val="00BD5F81"/>
    <w:rsid w:val="00BF29B0"/>
    <w:rsid w:val="00C03F8C"/>
    <w:rsid w:val="00C11E23"/>
    <w:rsid w:val="00C16A9A"/>
    <w:rsid w:val="00C311D1"/>
    <w:rsid w:val="00C47A69"/>
    <w:rsid w:val="00C758CF"/>
    <w:rsid w:val="00CE4045"/>
    <w:rsid w:val="00CE63A2"/>
    <w:rsid w:val="00D025E0"/>
    <w:rsid w:val="00D159E2"/>
    <w:rsid w:val="00D26B5F"/>
    <w:rsid w:val="00DB276D"/>
    <w:rsid w:val="00DB6339"/>
    <w:rsid w:val="00E1464D"/>
    <w:rsid w:val="00E7074D"/>
    <w:rsid w:val="00E721C8"/>
    <w:rsid w:val="00E73613"/>
    <w:rsid w:val="00EA6134"/>
    <w:rsid w:val="00ED5E54"/>
    <w:rsid w:val="00F0377D"/>
    <w:rsid w:val="00F1148B"/>
    <w:rsid w:val="00F21DA0"/>
    <w:rsid w:val="00F55495"/>
    <w:rsid w:val="00F73D88"/>
    <w:rsid w:val="00F96F8E"/>
    <w:rsid w:val="00FB3D89"/>
    <w:rsid w:val="00FC08DC"/>
    <w:rsid w:val="00FC0BB0"/>
    <w:rsid w:val="00FE01E4"/>
    <w:rsid w:val="00FF1DB2"/>
    <w:rsid w:val="4280CD5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D25A5B"/>
  <w15:chartTrackingRefBased/>
  <w15:docId w15:val="{A277230E-CDCE-4620-BA44-AD0FCEEA4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148B"/>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F1148B"/>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F1148B"/>
    <w:rPr>
      <w:sz w:val="24"/>
      <w:lang w:val="es-MX"/>
    </w:rPr>
  </w:style>
  <w:style w:type="paragraph" w:styleId="Encabezado">
    <w:name w:val="header"/>
    <w:basedOn w:val="Normal"/>
    <w:link w:val="EncabezadoCar"/>
    <w:uiPriority w:val="99"/>
    <w:unhideWhenUsed/>
    <w:rsid w:val="00F1148B"/>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F1148B"/>
    <w:rPr>
      <w:sz w:val="24"/>
      <w:lang w:val="es-MX"/>
    </w:rPr>
  </w:style>
  <w:style w:type="table" w:styleId="Tablaconcuadrcula">
    <w:name w:val="Table Grid"/>
    <w:basedOn w:val="Tablanormal"/>
    <w:uiPriority w:val="59"/>
    <w:rsid w:val="00F114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F1148B"/>
    <w:pPr>
      <w:ind w:left="720"/>
      <w:contextualSpacing/>
    </w:pPr>
    <w:rPr>
      <w:rFonts w:asciiTheme="minorHAnsi" w:eastAsiaTheme="minorHAnsi" w:hAnsiTheme="minorHAnsi" w:cstheme="minorBidi"/>
      <w:szCs w:val="22"/>
      <w:lang w:val="es-MX" w:eastAsia="en-US"/>
    </w:rPr>
  </w:style>
  <w:style w:type="paragraph" w:styleId="NormalWeb">
    <w:name w:val="Normal (Web)"/>
    <w:basedOn w:val="Normal"/>
    <w:link w:val="NormalWebCar"/>
    <w:uiPriority w:val="99"/>
    <w:unhideWhenUsed/>
    <w:rsid w:val="00F1148B"/>
    <w:pPr>
      <w:spacing w:before="100" w:beforeAutospacing="1" w:after="100" w:afterAutospacing="1"/>
    </w:pPr>
    <w:rPr>
      <w:lang w:eastAsia="es-CO"/>
    </w:rPr>
  </w:style>
  <w:style w:type="paragraph" w:styleId="Sinespaciado">
    <w:name w:val="No Spacing"/>
    <w:aliases w:val="No Indent"/>
    <w:uiPriority w:val="3"/>
    <w:qFormat/>
    <w:rsid w:val="00F1148B"/>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1148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F1148B"/>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F1148B"/>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1148B"/>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F1148B"/>
    <w:rPr>
      <w:vertAlign w:val="superscript"/>
    </w:rPr>
  </w:style>
  <w:style w:type="paragraph" w:customStyle="1" w:styleId="Appelnotedebasde">
    <w:name w:val="Appel note de bas de..."/>
    <w:basedOn w:val="Normal"/>
    <w:link w:val="Refdenotaalpie"/>
    <w:uiPriority w:val="99"/>
    <w:rsid w:val="00F1148B"/>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F1148B"/>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7369CF"/>
    <w:pPr>
      <w:widowControl w:val="0"/>
      <w:autoSpaceDE w:val="0"/>
      <w:autoSpaceDN w:val="0"/>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rsid w:val="007369CF"/>
    <w:rPr>
      <w:rFonts w:ascii="Arial" w:eastAsia="Arial" w:hAnsi="Arial" w:cs="Arial"/>
      <w:lang w:val="es-ES"/>
    </w:rPr>
  </w:style>
  <w:style w:type="character" w:styleId="Hipervnculo">
    <w:name w:val="Hyperlink"/>
    <w:basedOn w:val="Fuentedeprrafopredeter"/>
    <w:uiPriority w:val="99"/>
    <w:unhideWhenUsed/>
    <w:rsid w:val="004073DD"/>
    <w:rPr>
      <w:color w:val="0563C1" w:themeColor="hyperlink"/>
      <w:u w:val="single"/>
    </w:rPr>
  </w:style>
  <w:style w:type="character" w:customStyle="1" w:styleId="UnresolvedMention">
    <w:name w:val="Unresolved Mention"/>
    <w:basedOn w:val="Fuentedeprrafopredeter"/>
    <w:uiPriority w:val="99"/>
    <w:semiHidden/>
    <w:unhideWhenUsed/>
    <w:rsid w:val="004073DD"/>
    <w:rPr>
      <w:color w:val="605E5C"/>
      <w:shd w:val="clear" w:color="auto" w:fill="E1DFDD"/>
    </w:rPr>
  </w:style>
  <w:style w:type="paragraph" w:customStyle="1" w:styleId="Car1">
    <w:name w:val="Car1"/>
    <w:basedOn w:val="Normal"/>
    <w:next w:val="Textonotapie"/>
    <w:uiPriority w:val="99"/>
    <w:unhideWhenUsed/>
    <w:qFormat/>
    <w:rsid w:val="008B4B4F"/>
    <w:rPr>
      <w:rFonts w:asciiTheme="minorHAnsi" w:eastAsiaTheme="minorHAnsi" w:hAnsiTheme="minorHAnsi" w:cstheme="minorBidi"/>
      <w:sz w:val="20"/>
      <w:szCs w:val="20"/>
      <w:lang w:val="es-MX" w:eastAsia="en-US"/>
    </w:rPr>
  </w:style>
  <w:style w:type="paragraph" w:styleId="Textocomentario">
    <w:name w:val="annotation text"/>
    <w:basedOn w:val="Normal"/>
    <w:link w:val="TextocomentarioCar"/>
    <w:uiPriority w:val="99"/>
    <w:unhideWhenUsed/>
    <w:rsid w:val="00C758CF"/>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C758CF"/>
    <w:rPr>
      <w:sz w:val="20"/>
      <w:szCs w:val="20"/>
      <w:lang w:val="es-MX"/>
    </w:rPr>
  </w:style>
  <w:style w:type="character" w:styleId="Refdecomentario">
    <w:name w:val="annotation reference"/>
    <w:basedOn w:val="Fuentedeprrafopredeter"/>
    <w:uiPriority w:val="99"/>
    <w:semiHidden/>
    <w:unhideWhenUsed/>
    <w:rsid w:val="006D1DF5"/>
    <w:rPr>
      <w:sz w:val="16"/>
      <w:szCs w:val="16"/>
    </w:rPr>
  </w:style>
  <w:style w:type="paragraph" w:styleId="Asuntodelcomentario">
    <w:name w:val="annotation subject"/>
    <w:basedOn w:val="Textocomentario"/>
    <w:next w:val="Textocomentario"/>
    <w:link w:val="AsuntodelcomentarioCar"/>
    <w:uiPriority w:val="99"/>
    <w:semiHidden/>
    <w:unhideWhenUsed/>
    <w:rsid w:val="006D1DF5"/>
    <w:rPr>
      <w:rFonts w:ascii="Times New Roman" w:eastAsia="Times New Roman" w:hAnsi="Times New Roman" w:cs="Times New Roman"/>
      <w:b/>
      <w:bCs/>
      <w:lang w:val="es-CO" w:eastAsia="es-ES_tradnl"/>
    </w:rPr>
  </w:style>
  <w:style w:type="character" w:customStyle="1" w:styleId="AsuntodelcomentarioCar">
    <w:name w:val="Asunto del comentario Car"/>
    <w:basedOn w:val="TextocomentarioCar"/>
    <w:link w:val="Asuntodelcomentario"/>
    <w:uiPriority w:val="99"/>
    <w:semiHidden/>
    <w:rsid w:val="006D1DF5"/>
    <w:rPr>
      <w:rFonts w:ascii="Times New Roman" w:eastAsia="Times New Roman" w:hAnsi="Times New Roman" w:cs="Times New Roman"/>
      <w:b/>
      <w:bCs/>
      <w:sz w:val="20"/>
      <w:szCs w:val="20"/>
      <w:lang w:val="es-MX"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071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C9F60-F86F-457C-A8BC-4C7D4675B99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B93E4B5-50FB-4096-858C-0474F7890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C96C80-D808-4E9B-8A92-62062902E839}">
  <ds:schemaRefs>
    <ds:schemaRef ds:uri="http://schemas.microsoft.com/sharepoint/v3/contenttype/forms"/>
  </ds:schemaRefs>
</ds:datastoreItem>
</file>

<file path=customXml/itemProps4.xml><?xml version="1.0" encoding="utf-8"?>
<ds:datastoreItem xmlns:ds="http://schemas.openxmlformats.org/officeDocument/2006/customXml" ds:itemID="{C6B070B2-24E2-4AF8-BAA8-6C4254C9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6447</Words>
  <Characters>35464</Characters>
  <Application>Microsoft Office Word</Application>
  <DocSecurity>0</DocSecurity>
  <Lines>295</Lines>
  <Paragraphs>83</Paragraphs>
  <ScaleCrop>false</ScaleCrop>
  <Company/>
  <LinksUpToDate>false</LinksUpToDate>
  <CharactersWithSpaces>41828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andres herrera fernandez</dc:creator>
  <cp:keywords/>
  <dc:description/>
  <cp:lastModifiedBy>Cuenta Microsoft</cp:lastModifiedBy>
  <cp:revision>5</cp:revision>
  <dcterms:created xsi:type="dcterms:W3CDTF">2021-07-16T01:38:00Z</dcterms:created>
  <dcterms:modified xsi:type="dcterms:W3CDTF">2021-07-30T19:53:00Z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