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36019" w:rsidR="00B36019" w:rsidP="00B36019" w:rsidRDefault="00B36019" w14:paraId="0A2C56F3" w14:textId="77777777">
      <w:pPr>
        <w:spacing w:after="0" w:line="240" w:lineRule="auto"/>
        <w:jc w:val="right"/>
        <w:rPr>
          <w:rFonts w:ascii="Arial" w:hAnsi="Arial" w:eastAsia="Calibri" w:cs="Arial"/>
          <w:b/>
          <w:color w:val="000000" w:themeColor="text1"/>
          <w:sz w:val="20"/>
          <w:szCs w:val="20"/>
          <w:lang w:val="es-ES_tradnl" w:eastAsia="es-ES_tradnl"/>
        </w:rPr>
      </w:pPr>
      <w:bookmarkStart w:name="_Hlk28946138" w:id="0"/>
      <w:bookmarkStart w:name="_Hlk29548183" w:id="1"/>
      <w:r w:rsidRPr="00B36019">
        <w:rPr>
          <w:rFonts w:ascii="Arial" w:hAnsi="Arial" w:eastAsia="Times New Roman" w:cs="Arial"/>
          <w:b/>
          <w:color w:val="000000" w:themeColor="text1"/>
          <w:sz w:val="16"/>
          <w:szCs w:val="16"/>
          <w:lang w:val="es-ES_tradnl" w:eastAsia="es-ES"/>
        </w:rPr>
        <w:t>CCE-DES-FM-17</w:t>
      </w:r>
      <w:bookmarkEnd w:id="0"/>
      <w:bookmarkEnd w:id="1"/>
    </w:p>
    <w:p w:rsidRPr="00B36019" w:rsidR="00B36019" w:rsidP="00B36019" w:rsidRDefault="00B36019" w14:paraId="62104FB0"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26CE019C" w14:textId="2D3B5D7D">
      <w:pPr>
        <w:spacing w:after="0" w:line="240" w:lineRule="auto"/>
        <w:jc w:val="both"/>
        <w:rPr>
          <w:rFonts w:ascii="Arial" w:hAnsi="Arial" w:eastAsia="Times New Roman" w:cs="Arial"/>
          <w:b/>
          <w:bCs/>
          <w:szCs w:val="24"/>
          <w:lang w:eastAsia="es-ES_tradnl"/>
        </w:rPr>
      </w:pPr>
      <w:r w:rsidRPr="00B36019">
        <w:rPr>
          <w:rFonts w:ascii="Arial" w:hAnsi="Arial" w:eastAsia="Times New Roman" w:cs="Arial"/>
          <w:b/>
          <w:bCs/>
          <w:szCs w:val="24"/>
          <w:lang w:eastAsia="es-ES_tradnl"/>
        </w:rPr>
        <w:t xml:space="preserve">EXPERIENCIA </w:t>
      </w:r>
      <w:bookmarkStart w:name="_Hlk39676694" w:id="2"/>
      <w:r w:rsidRPr="00B36019">
        <w:rPr>
          <w:rFonts w:ascii="Arial" w:hAnsi="Arial" w:eastAsia="Calibri" w:cs="Arial"/>
          <w:b/>
          <w:szCs w:val="24"/>
          <w:lang w:eastAsia="es-ES_tradnl"/>
        </w:rPr>
        <w:t>–</w:t>
      </w:r>
      <w:bookmarkEnd w:id="2"/>
      <w:r w:rsidRPr="00B36019">
        <w:rPr>
          <w:rFonts w:ascii="Arial" w:hAnsi="Arial" w:eastAsia="Calibri" w:cs="Arial"/>
          <w:b/>
          <w:szCs w:val="24"/>
          <w:lang w:eastAsia="es-ES_tradnl"/>
        </w:rPr>
        <w:t xml:space="preserve"> Concepto – </w:t>
      </w:r>
      <w:r w:rsidRPr="00B36019">
        <w:rPr>
          <w:rFonts w:ascii="Arial" w:hAnsi="Arial" w:eastAsia="Times New Roman" w:cs="Arial"/>
          <w:b/>
          <w:bCs/>
          <w:szCs w:val="24"/>
          <w:lang w:eastAsia="es-ES_tradnl"/>
        </w:rPr>
        <w:t xml:space="preserve">Colombia </w:t>
      </w:r>
      <w:r w:rsidR="00A4630B">
        <w:rPr>
          <w:rFonts w:ascii="Arial" w:hAnsi="Arial" w:eastAsia="Times New Roman" w:cs="Arial"/>
          <w:b/>
          <w:bCs/>
          <w:szCs w:val="24"/>
          <w:lang w:eastAsia="es-ES_tradnl"/>
        </w:rPr>
        <w:t>c</w:t>
      </w:r>
      <w:r w:rsidRPr="00B36019">
        <w:rPr>
          <w:rFonts w:ascii="Arial" w:hAnsi="Arial" w:eastAsia="Times New Roman" w:cs="Arial"/>
          <w:b/>
          <w:bCs/>
          <w:szCs w:val="24"/>
          <w:lang w:eastAsia="es-ES_tradnl"/>
        </w:rPr>
        <w:t xml:space="preserve">ompra </w:t>
      </w:r>
      <w:r w:rsidR="00A4630B">
        <w:rPr>
          <w:rFonts w:ascii="Arial" w:hAnsi="Arial" w:eastAsia="Times New Roman" w:cs="Arial"/>
          <w:b/>
          <w:bCs/>
          <w:szCs w:val="24"/>
          <w:lang w:eastAsia="es-ES_tradnl"/>
        </w:rPr>
        <w:t>e</w:t>
      </w:r>
      <w:r w:rsidRPr="00B36019">
        <w:rPr>
          <w:rFonts w:ascii="Arial" w:hAnsi="Arial" w:eastAsia="Times New Roman" w:cs="Arial"/>
          <w:b/>
          <w:bCs/>
          <w:szCs w:val="24"/>
          <w:lang w:eastAsia="es-ES_tradnl"/>
        </w:rPr>
        <w:t>ficiente</w:t>
      </w:r>
    </w:p>
    <w:p w:rsidRPr="00B36019" w:rsidR="00B36019" w:rsidP="00B36019" w:rsidRDefault="00B36019" w14:paraId="48207C03" w14:textId="77777777">
      <w:pPr>
        <w:spacing w:after="0" w:line="240" w:lineRule="auto"/>
        <w:jc w:val="both"/>
        <w:rPr>
          <w:rFonts w:ascii="Arial" w:hAnsi="Arial" w:eastAsia="Times New Roman" w:cs="Arial"/>
          <w:b/>
          <w:bCs/>
          <w:sz w:val="20"/>
          <w:szCs w:val="20"/>
          <w:highlight w:val="yellow"/>
          <w:lang w:eastAsia="es-ES_tradnl"/>
        </w:rPr>
      </w:pPr>
    </w:p>
    <w:p w:rsidRPr="00B36019" w:rsidR="00B36019" w:rsidP="20D3E34A" w:rsidRDefault="00B36019" w14:paraId="21425DBA" w14:textId="77777777" w14:noSpellErr="1">
      <w:pPr>
        <w:spacing w:after="0" w:afterAutospacing="off" w:line="240" w:lineRule="auto"/>
        <w:jc w:val="both"/>
        <w:rPr>
          <w:rFonts w:ascii="Arial" w:hAnsi="Arial" w:eastAsia="Times New Roman" w:cs="Arial"/>
          <w:sz w:val="20"/>
          <w:szCs w:val="20"/>
          <w:lang w:eastAsia="es-ES"/>
        </w:rPr>
      </w:pPr>
      <w:r w:rsidRPr="20D3E34A" w:rsidR="00B36019">
        <w:rPr>
          <w:rFonts w:ascii="Arial" w:hAnsi="Arial" w:eastAsia="Times New Roman" w:cs="Arial"/>
          <w:sz w:val="20"/>
          <w:szCs w:val="20"/>
          <w:lang w:eastAsia="es-ES"/>
        </w:rPr>
        <w:t xml:space="preserve">[…], se pueden extraer cuatro conclusiones relevantes para evaluar las figuras y reformas estatutarias de las sociedades comerciales, respecto de la experiencia: </w:t>
      </w:r>
    </w:p>
    <w:p w:rsidRPr="00B36019" w:rsidR="00B36019" w:rsidP="20D3E34A" w:rsidRDefault="00B36019" w14:paraId="0A126BDC" w14:textId="77777777" w14:noSpellErr="1">
      <w:pPr>
        <w:spacing w:after="0" w:afterAutospacing="off" w:line="240" w:lineRule="auto"/>
        <w:jc w:val="both"/>
        <w:rPr>
          <w:rFonts w:ascii="Arial" w:hAnsi="Arial" w:eastAsia="Times New Roman" w:cs="Arial"/>
          <w:sz w:val="20"/>
          <w:szCs w:val="20"/>
          <w:lang w:eastAsia="es-ES"/>
        </w:rPr>
      </w:pPr>
      <w:r w:rsidRPr="20D3E34A" w:rsidR="00B36019">
        <w:rPr>
          <w:rFonts w:ascii="Arial" w:hAnsi="Arial" w:eastAsia="Times New Roman" w:cs="Arial"/>
          <w:sz w:val="20"/>
          <w:szCs w:val="20"/>
          <w:lang w:eastAsia="es-ES"/>
        </w:rPr>
        <w:t>i) La experiencia es personal, esto es, se adquiere participando, directa o indirectamente, sin que sea posible no hacerlo y tener experiencia.</w:t>
      </w:r>
    </w:p>
    <w:p w:rsidRPr="00B36019" w:rsidR="00B36019" w:rsidP="20D3E34A" w:rsidRDefault="00B36019" w14:paraId="7FC08EBD" w14:textId="77777777">
      <w:pPr>
        <w:spacing w:after="0" w:afterAutospacing="off" w:line="240" w:lineRule="auto"/>
        <w:jc w:val="both"/>
        <w:rPr>
          <w:rFonts w:ascii="Arial" w:hAnsi="Arial" w:eastAsia="Times New Roman" w:cs="Arial"/>
          <w:sz w:val="20"/>
          <w:szCs w:val="20"/>
          <w:lang w:eastAsia="es-ES"/>
        </w:rPr>
      </w:pPr>
      <w:proofErr w:type="spellStart"/>
      <w:r w:rsidRPr="20D3E34A" w:rsidR="00B36019">
        <w:rPr>
          <w:rFonts w:ascii="Arial" w:hAnsi="Arial" w:eastAsia="Times New Roman" w:cs="Arial"/>
          <w:sz w:val="20"/>
          <w:szCs w:val="20"/>
          <w:lang w:eastAsia="es-ES"/>
        </w:rPr>
        <w:t>ii</w:t>
      </w:r>
      <w:proofErr w:type="spellEnd"/>
      <w:r w:rsidRPr="20D3E34A" w:rsidR="00B36019">
        <w:rPr>
          <w:rFonts w:ascii="Arial" w:hAnsi="Arial" w:eastAsia="Times New Roman" w:cs="Arial"/>
          <w:sz w:val="20"/>
          <w:szCs w:val="20"/>
          <w:lang w:eastAsia="es-ES"/>
        </w:rPr>
        <w:t xml:space="preserve">)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w:t>
      </w:r>
      <w:proofErr w:type="gramStart"/>
      <w:r w:rsidRPr="20D3E34A" w:rsidR="00B36019">
        <w:rPr>
          <w:rFonts w:ascii="Arial" w:hAnsi="Arial" w:eastAsia="Times New Roman" w:cs="Arial"/>
          <w:sz w:val="20"/>
          <w:szCs w:val="20"/>
          <w:lang w:eastAsia="es-ES"/>
        </w:rPr>
        <w:t>̶  que</w:t>
      </w:r>
      <w:proofErr w:type="gramEnd"/>
      <w:r w:rsidRPr="20D3E34A" w:rsidR="00B36019">
        <w:rPr>
          <w:rFonts w:ascii="Arial" w:hAnsi="Arial" w:eastAsia="Times New Roman" w:cs="Arial"/>
          <w:sz w:val="20"/>
          <w:szCs w:val="20"/>
          <w:lang w:eastAsia="es-ES"/>
        </w:rPr>
        <w:t xml:space="preserve"> se verificará en el documento privado de constitución.</w:t>
      </w:r>
    </w:p>
    <w:p w:rsidRPr="00B36019" w:rsidR="00B36019" w:rsidP="20D3E34A" w:rsidRDefault="00B36019" w14:paraId="1930F53A" w14:textId="77777777">
      <w:pPr>
        <w:spacing w:after="0" w:afterAutospacing="off" w:line="240" w:lineRule="auto"/>
        <w:jc w:val="both"/>
        <w:rPr>
          <w:rFonts w:ascii="Arial" w:hAnsi="Arial" w:eastAsia="Times New Roman" w:cs="Arial"/>
          <w:sz w:val="20"/>
          <w:szCs w:val="20"/>
          <w:lang w:eastAsia="es-ES"/>
        </w:rPr>
      </w:pPr>
      <w:proofErr w:type="spellStart"/>
      <w:r w:rsidRPr="20D3E34A" w:rsidR="00B36019">
        <w:rPr>
          <w:rFonts w:ascii="Arial" w:hAnsi="Arial" w:eastAsia="Times New Roman" w:cs="Arial"/>
          <w:sz w:val="20"/>
          <w:szCs w:val="20"/>
          <w:lang w:eastAsia="es-ES"/>
        </w:rPr>
        <w:t>iii</w:t>
      </w:r>
      <w:proofErr w:type="spellEnd"/>
      <w:r w:rsidRPr="20D3E34A" w:rsidR="00B36019">
        <w:rPr>
          <w:rFonts w:ascii="Arial" w:hAnsi="Arial" w:eastAsia="Times New Roman" w:cs="Arial"/>
          <w:sz w:val="20"/>
          <w:szCs w:val="20"/>
          <w:lang w:eastAsia="es-ES"/>
        </w:rPr>
        <w:t>)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rsidRPr="00B36019" w:rsidR="00B36019" w:rsidP="20D3E34A" w:rsidRDefault="00B36019" w14:paraId="063C829F" w14:textId="77777777">
      <w:pPr>
        <w:spacing w:after="0" w:afterAutospacing="off" w:line="240" w:lineRule="auto"/>
        <w:jc w:val="both"/>
        <w:rPr>
          <w:rFonts w:ascii="Arial" w:hAnsi="Arial" w:eastAsia="Times New Roman" w:cs="Arial"/>
          <w:sz w:val="20"/>
          <w:szCs w:val="20"/>
          <w:lang w:eastAsia="es-ES"/>
        </w:rPr>
      </w:pPr>
      <w:proofErr w:type="spellStart"/>
      <w:r w:rsidRPr="20D3E34A" w:rsidR="00B36019">
        <w:rPr>
          <w:rFonts w:ascii="Arial" w:hAnsi="Arial" w:eastAsia="Times New Roman" w:cs="Arial"/>
          <w:sz w:val="20"/>
          <w:szCs w:val="20"/>
          <w:lang w:eastAsia="es-ES"/>
        </w:rPr>
        <w:t>iv</w:t>
      </w:r>
      <w:proofErr w:type="spellEnd"/>
      <w:r w:rsidRPr="20D3E34A" w:rsidR="00B36019">
        <w:rPr>
          <w:rFonts w:ascii="Arial" w:hAnsi="Arial" w:eastAsia="Times New Roman" w:cs="Arial"/>
          <w:sz w:val="20"/>
          <w:szCs w:val="20"/>
          <w:lang w:eastAsia="es-ES"/>
        </w:rPr>
        <w:t>) Cuando la persona que adquirió la experiencia desaparece o se liquida no es posible que comparta o transfiera su experiencia, porque al ser personal sigue la suerte de quien la adquirió.</w:t>
      </w:r>
    </w:p>
    <w:p w:rsidRPr="00B36019" w:rsidR="00B36019" w:rsidP="20D3E34A" w:rsidRDefault="00B36019" w14:paraId="5A6BCB5A" w14:textId="77777777" w14:noSpellErr="1">
      <w:pPr>
        <w:spacing w:after="0" w:afterAutospacing="off" w:line="240" w:lineRule="auto"/>
        <w:jc w:val="both"/>
        <w:rPr>
          <w:rFonts w:ascii="Arial" w:hAnsi="Arial" w:eastAsia="Times New Roman" w:cs="Arial"/>
          <w:b w:val="1"/>
          <w:bCs w:val="1"/>
          <w:sz w:val="20"/>
          <w:szCs w:val="20"/>
          <w:highlight w:val="yellow"/>
          <w:lang w:eastAsia="es-ES"/>
        </w:rPr>
      </w:pPr>
    </w:p>
    <w:p w:rsidRPr="00B36019" w:rsidR="00B36019" w:rsidP="20D3E34A" w:rsidRDefault="00B36019" w14:paraId="7465215F" w14:textId="77777777" w14:noSpellErr="1">
      <w:pPr>
        <w:spacing w:after="0" w:afterAutospacing="off" w:line="240" w:lineRule="auto"/>
        <w:jc w:val="both"/>
        <w:rPr>
          <w:rFonts w:ascii="Arial" w:hAnsi="Arial" w:eastAsia="Times New Roman" w:cs="Arial"/>
          <w:b w:val="1"/>
          <w:bCs w:val="1"/>
          <w:lang w:eastAsia="es-ES"/>
        </w:rPr>
      </w:pPr>
      <w:r w:rsidRPr="20D3E34A" w:rsidR="00B36019">
        <w:rPr>
          <w:rFonts w:ascii="Arial" w:hAnsi="Arial" w:eastAsia="Times New Roman" w:cs="Arial"/>
          <w:b w:val="1"/>
          <w:bCs w:val="1"/>
          <w:lang w:eastAsia="es-ES"/>
        </w:rPr>
        <w:t xml:space="preserve">EXPERIENCIA </w:t>
      </w:r>
      <w:r w:rsidRPr="20D3E34A" w:rsidR="00B36019">
        <w:rPr>
          <w:rFonts w:ascii="Arial" w:hAnsi="Arial" w:eastAsia="Calibri" w:cs="Arial"/>
          <w:b w:val="1"/>
          <w:bCs w:val="1"/>
          <w:lang w:eastAsia="es-ES"/>
        </w:rPr>
        <w:t>– Transformación</w:t>
      </w:r>
    </w:p>
    <w:p w:rsidRPr="00B36019" w:rsidR="00B36019" w:rsidP="20D3E34A" w:rsidRDefault="00B36019" w14:paraId="66BE2601" w14:textId="77777777" w14:noSpellErr="1">
      <w:pPr>
        <w:widowControl w:val="0"/>
        <w:autoSpaceDE w:val="0"/>
        <w:autoSpaceDN w:val="0"/>
        <w:spacing w:after="0" w:afterAutospacing="off" w:line="240" w:lineRule="auto"/>
        <w:jc w:val="both"/>
        <w:rPr>
          <w:rFonts w:ascii="Arial" w:hAnsi="Arial" w:cs="Arial"/>
          <w:b w:val="1"/>
          <w:bCs w:val="1"/>
          <w:sz w:val="20"/>
          <w:szCs w:val="20"/>
          <w:highlight w:val="yellow"/>
          <w:lang w:val="es-MX"/>
        </w:rPr>
      </w:pPr>
    </w:p>
    <w:p w:rsidRPr="00B36019" w:rsidR="00B36019" w:rsidP="20D3E34A" w:rsidRDefault="00B36019" w14:paraId="27C4F52B" w14:textId="77777777" w14:noSpellErr="1">
      <w:pPr>
        <w:autoSpaceDE w:val="0"/>
        <w:autoSpaceDN w:val="0"/>
        <w:adjustRightInd w:val="0"/>
        <w:spacing w:after="0" w:afterAutospacing="off" w:line="240" w:lineRule="auto"/>
        <w:jc w:val="both"/>
        <w:rPr>
          <w:rFonts w:ascii="Arial" w:hAnsi="Arial" w:eastAsia="Times New Roman" w:cs="Arial"/>
          <w:sz w:val="20"/>
          <w:szCs w:val="20"/>
          <w:lang w:eastAsia="es-ES"/>
        </w:rPr>
      </w:pPr>
      <w:r w:rsidRPr="20D3E34A" w:rsidR="00B36019">
        <w:rPr>
          <w:rFonts w:ascii="Arial" w:hAnsi="Arial" w:eastAsia="Times New Roman" w:cs="Arial"/>
          <w:sz w:val="20"/>
          <w:szCs w:val="20"/>
          <w:lang w:eastAsia="es-ES"/>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rsidRPr="00B36019" w:rsidR="00B36019" w:rsidP="20D3E34A" w:rsidRDefault="00B36019" w14:paraId="49FE2F50" w14:textId="77777777" w14:noSpellErr="1">
      <w:pPr>
        <w:autoSpaceDE w:val="0"/>
        <w:autoSpaceDN w:val="0"/>
        <w:adjustRightInd w:val="0"/>
        <w:spacing w:after="0" w:afterAutospacing="off" w:line="240" w:lineRule="auto"/>
        <w:rPr>
          <w:rFonts w:ascii="Arial" w:hAnsi="Arial" w:eastAsia="Times New Roman" w:cs="Arial"/>
          <w:sz w:val="20"/>
          <w:szCs w:val="20"/>
          <w:lang w:eastAsia="es-ES"/>
        </w:rPr>
      </w:pPr>
    </w:p>
    <w:p w:rsidRPr="00B36019" w:rsidR="00B36019" w:rsidP="00B36019" w:rsidRDefault="00B36019" w14:paraId="3769EED9" w14:textId="77777777">
      <w:pPr>
        <w:spacing w:after="0" w:line="240" w:lineRule="auto"/>
        <w:jc w:val="both"/>
        <w:rPr>
          <w:rFonts w:ascii="Arial" w:hAnsi="Arial" w:eastAsia="Times New Roman" w:cs="Arial"/>
          <w:b/>
          <w:bCs/>
          <w:szCs w:val="24"/>
          <w:lang w:eastAsia="es-ES_tradnl"/>
        </w:rPr>
      </w:pPr>
      <w:r w:rsidRPr="00B36019">
        <w:rPr>
          <w:rFonts w:ascii="Arial" w:hAnsi="Arial" w:eastAsia="Times New Roman" w:cs="Arial"/>
          <w:b/>
          <w:bCs/>
          <w:szCs w:val="24"/>
          <w:lang w:eastAsia="es-ES_tradnl"/>
        </w:rPr>
        <w:t xml:space="preserve">EXPERIENCIA </w:t>
      </w:r>
      <w:r w:rsidRPr="00B36019">
        <w:rPr>
          <w:rFonts w:ascii="Arial" w:hAnsi="Arial" w:eastAsia="Calibri" w:cs="Arial"/>
          <w:b/>
          <w:szCs w:val="24"/>
          <w:lang w:eastAsia="es-ES_tradnl"/>
        </w:rPr>
        <w:t>– Escisión</w:t>
      </w:r>
    </w:p>
    <w:p w:rsidRPr="00B36019" w:rsidR="00B36019" w:rsidP="00B36019" w:rsidRDefault="00B36019" w14:paraId="75FCCC0D" w14:textId="77777777">
      <w:pPr>
        <w:widowControl w:val="0"/>
        <w:autoSpaceDE w:val="0"/>
        <w:autoSpaceDN w:val="0"/>
        <w:spacing w:after="0" w:line="240" w:lineRule="auto"/>
        <w:jc w:val="both"/>
        <w:rPr>
          <w:rFonts w:ascii="Arial" w:hAnsi="Arial" w:cs="Arial"/>
          <w:b/>
          <w:sz w:val="20"/>
          <w:szCs w:val="20"/>
          <w:highlight w:val="yellow"/>
          <w:lang w:val="es-MX"/>
        </w:rPr>
      </w:pPr>
    </w:p>
    <w:p w:rsidRPr="00B36019" w:rsidR="00B36019" w:rsidP="20D3E34A" w:rsidRDefault="00B36019" w14:paraId="210CF292" w14:textId="668E8484">
      <w:pPr>
        <w:spacing w:after="0" w:line="240" w:lineRule="auto"/>
        <w:jc w:val="both"/>
        <w:rPr>
          <w:rFonts w:ascii="Arial" w:hAnsi="Arial" w:eastAsia="Times New Roman" w:cs="Arial"/>
          <w:sz w:val="20"/>
          <w:szCs w:val="20"/>
          <w:lang w:eastAsia="es-ES"/>
        </w:rPr>
      </w:pPr>
      <w:r w:rsidRPr="20D3E34A" w:rsidR="00B36019">
        <w:rPr>
          <w:rFonts w:ascii="Arial" w:hAnsi="Arial" w:eastAsia="Times New Roman" w:cs="Arial"/>
          <w:sz w:val="20"/>
          <w:szCs w:val="20"/>
          <w:lang w:eastAsia="es-ES"/>
        </w:rPr>
        <w:t xml:space="preserve">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p>
    <w:p w:rsidRPr="00B36019" w:rsidR="00B36019" w:rsidP="00B36019" w:rsidRDefault="00B36019" w14:paraId="08C29B97" w14:textId="77777777">
      <w:pPr>
        <w:spacing w:after="0" w:line="240" w:lineRule="auto"/>
        <w:jc w:val="both"/>
        <w:rPr>
          <w:rFonts w:ascii="Arial" w:hAnsi="Arial" w:eastAsia="Times New Roman" w:cs="Arial"/>
          <w:sz w:val="20"/>
          <w:szCs w:val="20"/>
          <w:lang w:eastAsia="es-ES_tradnl"/>
        </w:rPr>
      </w:pPr>
      <w:r w:rsidRPr="00B36019">
        <w:rPr>
          <w:rFonts w:ascii="Arial" w:hAnsi="Arial" w:eastAsia="Times New Roman" w:cs="Arial"/>
          <w:sz w:val="20"/>
          <w:szCs w:val="20"/>
          <w:lang w:eastAsia="es-ES_tradn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w:t>
      </w:r>
      <w:r w:rsidRPr="00B36019">
        <w:rPr>
          <w:rFonts w:ascii="Arial" w:hAnsi="Arial" w:eastAsia="Times New Roman" w:cs="Arial"/>
          <w:sz w:val="20"/>
          <w:szCs w:val="20"/>
          <w:lang w:eastAsia="es-ES_tradnl"/>
        </w:rPr>
        <w:lastRenderedPageBreak/>
        <w:t>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rsidRPr="00B36019" w:rsidR="00B36019" w:rsidP="00B36019" w:rsidRDefault="00B36019" w14:paraId="2CD7AD73" w14:textId="77777777">
      <w:pPr>
        <w:spacing w:after="0" w:line="240" w:lineRule="auto"/>
        <w:jc w:val="both"/>
        <w:rPr>
          <w:rFonts w:ascii="Arial" w:hAnsi="Arial" w:eastAsia="Times New Roman" w:cs="Arial"/>
          <w:sz w:val="20"/>
          <w:szCs w:val="20"/>
          <w:lang w:eastAsia="es-ES_tradnl"/>
        </w:rPr>
      </w:pPr>
    </w:p>
    <w:p w:rsidRPr="00B36019" w:rsidR="00B36019" w:rsidP="00A4630B" w:rsidRDefault="00B36019" w14:paraId="6925D417" w14:textId="3DC68C1D">
      <w:pPr>
        <w:widowControl w:val="0"/>
        <w:autoSpaceDE w:val="0"/>
        <w:autoSpaceDN w:val="0"/>
        <w:spacing w:after="0" w:line="240" w:lineRule="auto"/>
        <w:ind w:right="102"/>
        <w:jc w:val="both"/>
        <w:rPr>
          <w:rFonts w:ascii="Arial" w:hAnsi="Arial" w:eastAsia="Arial" w:cs="Arial"/>
          <w:b/>
          <w:lang w:val="es-ES"/>
        </w:rPr>
      </w:pPr>
      <w:r w:rsidRPr="00B36019">
        <w:rPr>
          <w:rFonts w:ascii="Arial" w:hAnsi="Arial" w:eastAsia="Arial" w:cs="Arial"/>
          <w:b/>
          <w:lang w:val="es-ES"/>
        </w:rPr>
        <w:t>EXPERIENCIA – Fusión</w:t>
      </w:r>
      <w:r w:rsidR="00A4630B">
        <w:rPr>
          <w:rFonts w:ascii="Arial" w:hAnsi="Arial" w:eastAsia="Arial" w:cs="Arial"/>
          <w:b/>
          <w:lang w:val="es-ES"/>
        </w:rPr>
        <w:t xml:space="preserve"> – </w:t>
      </w:r>
      <w:r w:rsidRPr="00B36019">
        <w:rPr>
          <w:rFonts w:ascii="Arial" w:hAnsi="Arial" w:eastAsia="Arial" w:cs="Arial"/>
          <w:b/>
          <w:lang w:val="es-ES"/>
        </w:rPr>
        <w:t xml:space="preserve">Fusión por absorción </w:t>
      </w:r>
    </w:p>
    <w:p w:rsidRPr="00B36019" w:rsidR="00B36019" w:rsidP="00A4630B" w:rsidRDefault="00B36019" w14:paraId="6B4662D9" w14:textId="77777777">
      <w:pPr>
        <w:widowControl w:val="0"/>
        <w:autoSpaceDE w:val="0"/>
        <w:autoSpaceDN w:val="0"/>
        <w:spacing w:after="0" w:line="240" w:lineRule="auto"/>
        <w:ind w:left="301" w:right="102"/>
        <w:jc w:val="both"/>
        <w:rPr>
          <w:rFonts w:ascii="Arial" w:hAnsi="Arial" w:eastAsia="Arial" w:cs="Arial"/>
          <w:b/>
          <w:sz w:val="20"/>
          <w:szCs w:val="20"/>
          <w:lang w:val="es-ES"/>
        </w:rPr>
      </w:pPr>
    </w:p>
    <w:p w:rsidRPr="00B36019" w:rsidR="00B36019" w:rsidP="20D3E34A" w:rsidRDefault="00B36019" w14:paraId="0B096CFC" w14:textId="2ADECAE7">
      <w:pPr>
        <w:widowControl w:val="0"/>
        <w:autoSpaceDE w:val="0"/>
        <w:autoSpaceDN w:val="0"/>
        <w:spacing w:after="0" w:line="240" w:lineRule="auto"/>
        <w:ind/>
        <w:jc w:val="both"/>
        <w:rPr>
          <w:rFonts w:ascii="Arial" w:hAnsi="Arial" w:eastAsia="Calibri" w:cs="Arial"/>
          <w:sz w:val="20"/>
          <w:szCs w:val="20"/>
          <w:lang w:eastAsia="es-ES"/>
        </w:rPr>
      </w:pPr>
      <w:r w:rsidRPr="20D3E34A" w:rsidR="00B36019">
        <w:rPr>
          <w:rFonts w:ascii="Arial" w:hAnsi="Arial" w:eastAsia="Calibri" w:cs="Arial"/>
          <w:sz w:val="20"/>
          <w:szCs w:val="20"/>
          <w:lang w:eastAsia="es-ES"/>
        </w:rPr>
        <w:t xml:space="preserve">Para analizar la fusión y sus efectos respecto de la experiencia de la sociedad que se </w:t>
      </w:r>
      <w:r w:rsidRPr="20D3E34A" w:rsidR="00B36019">
        <w:rPr>
          <w:rFonts w:ascii="Arial" w:hAnsi="Arial" w:eastAsia="Calibri" w:cs="Arial"/>
          <w:sz w:val="20"/>
          <w:szCs w:val="20"/>
          <w:lang w:eastAsia="es-ES"/>
        </w:rPr>
        <w:t>«</w:t>
      </w:r>
      <w:r w:rsidRPr="20D3E34A" w:rsidR="00B36019">
        <w:rPr>
          <w:rFonts w:ascii="Arial" w:hAnsi="Arial" w:eastAsia="Calibri" w:cs="Arial"/>
          <w:sz w:val="20"/>
          <w:szCs w:val="20"/>
          <w:lang w:eastAsia="es-ES"/>
        </w:rPr>
        <w:t xml:space="preserve">disuelve» pero no se </w:t>
      </w:r>
      <w:r w:rsidRPr="20D3E34A" w:rsidR="00B36019">
        <w:rPr>
          <w:rFonts w:ascii="Arial" w:hAnsi="Arial" w:eastAsia="Calibri" w:cs="Arial"/>
          <w:sz w:val="20"/>
          <w:szCs w:val="20"/>
          <w:lang w:eastAsia="es-ES"/>
        </w:rPr>
        <w:t>«</w:t>
      </w:r>
      <w:r w:rsidRPr="20D3E34A" w:rsidR="00B36019">
        <w:rPr>
          <w:rFonts w:ascii="Arial" w:hAnsi="Arial" w:eastAsia="Calibri" w:cs="Arial"/>
          <w:sz w:val="20"/>
          <w:szCs w:val="20"/>
          <w:lang w:eastAsia="es-ES"/>
        </w:rPr>
        <w:t>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rsidRPr="00B36019" w:rsidR="00B36019" w:rsidP="00B36019" w:rsidRDefault="00B36019" w14:paraId="2EF7CA4A" w14:textId="3611BFD0">
      <w:pPr>
        <w:widowControl w:val="0"/>
        <w:autoSpaceDE w:val="0"/>
        <w:autoSpaceDN w:val="0"/>
        <w:spacing w:after="0" w:line="240" w:lineRule="auto"/>
        <w:ind w:right="102"/>
        <w:jc w:val="both"/>
        <w:rPr>
          <w:rFonts w:ascii="Arial" w:hAnsi="Arial" w:eastAsia="Arial" w:cs="Arial"/>
          <w:sz w:val="20"/>
          <w:szCs w:val="20"/>
          <w:lang w:val="es-ES"/>
        </w:rPr>
      </w:pPr>
      <w:r w:rsidRPr="20D3E34A" w:rsidR="00B36019">
        <w:rPr>
          <w:rFonts w:ascii="Arial" w:hAnsi="Arial" w:eastAsia="Arial" w:cs="Arial"/>
          <w:sz w:val="20"/>
          <w:szCs w:val="20"/>
          <w:lang w:val="es-ES"/>
        </w:rPr>
        <w:t>[…]</w:t>
      </w:r>
    </w:p>
    <w:p w:rsidRPr="00B36019" w:rsidR="00B36019" w:rsidP="00B36019" w:rsidRDefault="00B36019" w14:paraId="73184F33" w14:textId="77777777">
      <w:pPr>
        <w:widowControl w:val="0"/>
        <w:autoSpaceDE w:val="0"/>
        <w:autoSpaceDN w:val="0"/>
        <w:spacing w:after="0" w:line="240" w:lineRule="auto"/>
        <w:ind w:right="102"/>
        <w:jc w:val="both"/>
        <w:rPr>
          <w:rFonts w:ascii="Arial" w:hAnsi="Arial" w:eastAsia="Arial" w:cs="Arial"/>
          <w:sz w:val="20"/>
          <w:szCs w:val="20"/>
          <w:lang w:val="es-ES"/>
        </w:rPr>
      </w:pPr>
      <w:r w:rsidRPr="00B36019">
        <w:rPr>
          <w:rFonts w:ascii="Arial" w:hAnsi="Arial" w:eastAsia="Arial" w:cs="Arial"/>
          <w:sz w:val="20"/>
          <w:szCs w:val="20"/>
          <w:lang w:val="es-ES"/>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rsidRPr="00B36019" w:rsidR="00B36019" w:rsidP="00B36019" w:rsidRDefault="00B36019" w14:paraId="06A33AF6"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3F19A458"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5C2878E"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22D72648"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32E46DE0"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0057FC6D"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4A7B911A"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017A726F"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184C1F9"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6D124965"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7196881F"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36F104C6"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750EEFA"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6ECDEDC"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82E894B"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0C55E741"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56955665"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3A2039DB"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0158663F"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375730A4"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26F1CE6F"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258948E0" w14:textId="77777777">
      <w:pPr>
        <w:spacing w:after="0" w:line="276" w:lineRule="auto"/>
        <w:jc w:val="both"/>
        <w:rPr>
          <w:rFonts w:ascii="Arial" w:hAnsi="Arial" w:eastAsia="Times New Roman" w:cs="Arial"/>
          <w:noProof/>
          <w:color w:val="000000" w:themeColor="text1"/>
          <w:szCs w:val="24"/>
          <w:lang w:val="es-ES_tradnl" w:eastAsia="es-ES_tradnl"/>
        </w:rPr>
      </w:pPr>
    </w:p>
    <w:p w:rsidRPr="00B36019" w:rsidR="00B36019" w:rsidP="00B36019" w:rsidRDefault="00B36019" w14:paraId="1EBD76F8" w14:textId="77777777">
      <w:pPr>
        <w:spacing w:after="0" w:line="276" w:lineRule="auto"/>
        <w:jc w:val="right"/>
        <w:rPr>
          <w:rFonts w:ascii="Arial" w:hAnsi="Arial" w:eastAsia="Times New Roman" w:cs="Arial"/>
          <w:noProof/>
          <w:color w:val="000000" w:themeColor="text1"/>
          <w:szCs w:val="24"/>
          <w:lang w:val="es-ES_tradnl" w:eastAsia="es-ES_tradnl"/>
        </w:rPr>
      </w:pPr>
      <w:r w:rsidRPr="00B36019">
        <w:rPr>
          <w:rFonts w:ascii="Arial" w:hAnsi="Arial" w:eastAsia="Times New Roman" w:cs="Arial"/>
          <w:noProof/>
          <w:color w:val="000000" w:themeColor="text1"/>
          <w:szCs w:val="24"/>
          <w:lang w:val="es-ES_tradnl" w:eastAsia="es-ES_tradnl"/>
        </w:rPr>
        <w:lastRenderedPageBreak/>
        <w:drawing>
          <wp:inline distT="0" distB="0" distL="0" distR="0" wp14:anchorId="04048BBF" wp14:editId="1C26C5EB">
            <wp:extent cx="2533650" cy="59317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4822" cy="598129"/>
                    </a:xfrm>
                    <a:prstGeom prst="rect">
                      <a:avLst/>
                    </a:prstGeom>
                    <a:noFill/>
                    <a:ln>
                      <a:noFill/>
                    </a:ln>
                  </pic:spPr>
                </pic:pic>
              </a:graphicData>
            </a:graphic>
          </wp:inline>
        </w:drawing>
      </w:r>
    </w:p>
    <w:p w:rsidRPr="00B36019" w:rsidR="00480139" w:rsidP="00B36019" w:rsidRDefault="00480139" w14:paraId="69F98190" w14:textId="77777777">
      <w:pPr>
        <w:spacing w:after="0" w:line="276" w:lineRule="auto"/>
        <w:jc w:val="right"/>
        <w:rPr>
          <w:rFonts w:ascii="Arial" w:hAnsi="Arial" w:eastAsia="Times New Roman" w:cs="Arial"/>
          <w:noProof/>
          <w:color w:val="000000" w:themeColor="text1"/>
          <w:szCs w:val="24"/>
          <w:lang w:val="es-ES_tradnl" w:eastAsia="es-ES_tradnl"/>
        </w:rPr>
      </w:pPr>
    </w:p>
    <w:p w:rsidRPr="00480139" w:rsidR="00B36019" w:rsidP="00B36019" w:rsidRDefault="00B36019" w14:paraId="19D6F73C" w14:textId="23EC5F16">
      <w:pPr>
        <w:spacing w:after="0" w:line="276" w:lineRule="auto"/>
        <w:jc w:val="right"/>
        <w:rPr>
          <w:rFonts w:ascii="Arial" w:hAnsi="Arial" w:eastAsia="Times New Roman" w:cs="Arial"/>
          <w:b/>
          <w:bCs/>
          <w:noProof/>
          <w:color w:val="000000" w:themeColor="text1"/>
          <w:sz w:val="18"/>
          <w:szCs w:val="20"/>
          <w:lang w:eastAsia="es-ES_tradnl"/>
        </w:rPr>
      </w:pPr>
      <w:r w:rsidRPr="00480139">
        <w:rPr>
          <w:rFonts w:ascii="Arial" w:hAnsi="Arial" w:eastAsia="Times New Roman" w:cs="Arial"/>
          <w:b/>
          <w:bCs/>
          <w:noProof/>
          <w:color w:val="000000" w:themeColor="text1"/>
          <w:sz w:val="18"/>
          <w:szCs w:val="20"/>
          <w:lang w:eastAsia="es-ES_tradnl"/>
        </w:rPr>
        <w:t>CCE-DES-FM-17</w:t>
      </w:r>
    </w:p>
    <w:p w:rsidRPr="00B36019" w:rsidR="00480139" w:rsidP="00B36019" w:rsidRDefault="00480139" w14:paraId="3E088671" w14:textId="77777777">
      <w:pPr>
        <w:spacing w:after="0" w:line="276" w:lineRule="auto"/>
        <w:jc w:val="right"/>
        <w:rPr>
          <w:rFonts w:ascii="Arial" w:hAnsi="Arial" w:eastAsia="Times New Roman" w:cs="Arial"/>
          <w:b/>
          <w:bCs/>
          <w:noProof/>
          <w:color w:val="000000" w:themeColor="text1"/>
          <w:sz w:val="18"/>
          <w:szCs w:val="20"/>
          <w:lang w:eastAsia="es-ES_tradnl"/>
        </w:rPr>
      </w:pPr>
    </w:p>
    <w:p w:rsidRPr="00B36019" w:rsidR="00B36019" w:rsidP="00B36019" w:rsidRDefault="00B36019" w14:paraId="66D77590" w14:textId="77777777">
      <w:pPr>
        <w:spacing w:after="0" w:line="276" w:lineRule="auto"/>
        <w:jc w:val="both"/>
        <w:rPr>
          <w:rFonts w:ascii="Arial" w:hAnsi="Arial" w:eastAsia="Times New Roman" w:cs="Arial"/>
          <w:noProof/>
          <w:color w:val="000000" w:themeColor="text1"/>
          <w:szCs w:val="24"/>
          <w:lang w:val="es-ES_tradnl" w:eastAsia="es-ES_tradnl"/>
        </w:rPr>
      </w:pPr>
      <w:r w:rsidRPr="00B36019">
        <w:rPr>
          <w:rFonts w:ascii="Arial" w:hAnsi="Arial" w:eastAsia="Times New Roman" w:cs="Arial"/>
          <w:noProof/>
          <w:color w:val="000000" w:themeColor="text1"/>
          <w:szCs w:val="24"/>
          <w:lang w:eastAsia="es-ES_tradnl"/>
        </w:rPr>
        <w:t>Bogot</w:t>
      </w:r>
      <w:r w:rsidRPr="00B36019">
        <w:rPr>
          <w:rFonts w:hint="eastAsia" w:ascii="Arial" w:hAnsi="Arial" w:eastAsia="Times New Roman" w:cs="Arial"/>
          <w:noProof/>
          <w:color w:val="000000" w:themeColor="text1"/>
          <w:szCs w:val="24"/>
          <w:lang w:eastAsia="es-ES_tradnl"/>
        </w:rPr>
        <w:t>á</w:t>
      </w:r>
      <w:r w:rsidRPr="00B36019">
        <w:rPr>
          <w:rFonts w:ascii="Arial" w:hAnsi="Arial" w:eastAsia="Times New Roman" w:cs="Arial"/>
          <w:noProof/>
          <w:color w:val="000000" w:themeColor="text1"/>
          <w:szCs w:val="24"/>
          <w:lang w:eastAsia="es-ES_tradnl"/>
        </w:rPr>
        <w:t>, 13 Julio 2021</w:t>
      </w:r>
    </w:p>
    <w:p w:rsidRPr="00B36019" w:rsidR="00B36019" w:rsidP="00B36019" w:rsidRDefault="00B36019" w14:paraId="72C5FB10" w14:textId="77777777">
      <w:pPr>
        <w:spacing w:after="0" w:line="240" w:lineRule="auto"/>
        <w:jc w:val="right"/>
        <w:rPr>
          <w:rFonts w:ascii="Times New Roman" w:hAnsi="Times New Roman" w:eastAsia="Times New Roman" w:cs="Times New Roman"/>
          <w:sz w:val="24"/>
          <w:szCs w:val="24"/>
          <w:lang w:eastAsia="es-ES_tradnl"/>
        </w:rPr>
      </w:pPr>
    </w:p>
    <w:p w:rsidRPr="00B36019" w:rsidR="00B36019" w:rsidP="00B36019" w:rsidRDefault="00B36019" w14:paraId="303D8847" w14:textId="77777777">
      <w:pPr>
        <w:spacing w:after="0" w:line="240" w:lineRule="auto"/>
        <w:jc w:val="both"/>
        <w:rPr>
          <w:rFonts w:ascii="Arial" w:hAnsi="Arial" w:eastAsia="Times New Roman" w:cs="Arial"/>
          <w:b/>
          <w:color w:val="000000" w:themeColor="text1"/>
          <w:szCs w:val="24"/>
          <w:lang w:val="es-ES_tradnl" w:eastAsia="es-ES_tradnl"/>
        </w:rPr>
      </w:pPr>
    </w:p>
    <w:p w:rsidRPr="00B36019" w:rsidR="00B36019" w:rsidP="00B36019" w:rsidRDefault="00B36019" w14:paraId="43A1E22F" w14:textId="77777777">
      <w:pPr>
        <w:spacing w:after="0" w:line="240" w:lineRule="auto"/>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Señor</w:t>
      </w:r>
    </w:p>
    <w:p w:rsidRPr="00B36019" w:rsidR="00B36019" w:rsidP="00B36019" w:rsidRDefault="00B36019" w14:paraId="346F0F79" w14:textId="77777777">
      <w:pPr>
        <w:spacing w:after="0" w:line="240" w:lineRule="auto"/>
        <w:jc w:val="both"/>
        <w:rPr>
          <w:rFonts w:ascii="Arial" w:hAnsi="Arial" w:eastAsia="Calibri" w:cs="Arial"/>
          <w:b/>
          <w:bCs/>
          <w:color w:val="000000" w:themeColor="text1"/>
          <w:szCs w:val="24"/>
          <w:lang w:val="es-ES_tradnl" w:eastAsia="es-ES_tradnl"/>
        </w:rPr>
      </w:pPr>
      <w:r w:rsidRPr="00B36019">
        <w:rPr>
          <w:rFonts w:ascii="Arial" w:hAnsi="Arial" w:eastAsia="Calibri" w:cs="Arial"/>
          <w:b/>
          <w:bCs/>
          <w:color w:val="000000" w:themeColor="text1"/>
          <w:szCs w:val="24"/>
          <w:lang w:val="es-ES_tradnl" w:eastAsia="es-ES_tradnl"/>
        </w:rPr>
        <w:t>Esteban Posada Jaramillo</w:t>
      </w:r>
    </w:p>
    <w:p w:rsidRPr="00B36019" w:rsidR="00B36019" w:rsidP="00B36019" w:rsidRDefault="00B36019" w14:paraId="23B16C1A" w14:textId="77777777">
      <w:pPr>
        <w:spacing w:after="0" w:line="240" w:lineRule="auto"/>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Ciudad</w:t>
      </w:r>
    </w:p>
    <w:p w:rsidRPr="00B36019" w:rsidR="00B36019" w:rsidP="00B36019" w:rsidRDefault="00B36019" w14:paraId="688CDE6F" w14:textId="77777777">
      <w:pPr>
        <w:spacing w:after="0" w:line="240" w:lineRule="auto"/>
        <w:jc w:val="both"/>
        <w:rPr>
          <w:rFonts w:ascii="Arial" w:hAnsi="Arial" w:eastAsia="Calibri" w:cs="Arial"/>
          <w:color w:val="000000" w:themeColor="text1"/>
          <w:szCs w:val="24"/>
          <w:lang w:val="es-ES_tradnl" w:eastAsia="es-ES_tradnl"/>
        </w:rPr>
      </w:pPr>
    </w:p>
    <w:p w:rsidRPr="00B36019" w:rsidR="00B36019" w:rsidP="00B36019" w:rsidRDefault="00B36019" w14:paraId="7F3E42FA" w14:textId="77777777">
      <w:pPr>
        <w:spacing w:after="0" w:line="240" w:lineRule="auto"/>
        <w:jc w:val="center"/>
        <w:rPr>
          <w:rFonts w:ascii="Arial" w:hAnsi="Arial" w:eastAsia="Calibri" w:cs="Arial"/>
          <w:b/>
          <w:bCs/>
          <w:color w:val="000000" w:themeColor="text1"/>
          <w:szCs w:val="24"/>
          <w:lang w:val="es-ES_tradnl" w:eastAsia="es-ES_tradnl"/>
        </w:rPr>
      </w:pPr>
      <w:r w:rsidRPr="00B36019">
        <w:rPr>
          <w:rFonts w:ascii="Arial" w:hAnsi="Arial" w:eastAsia="Calibri" w:cs="Arial"/>
          <w:b/>
          <w:bCs/>
          <w:color w:val="000000" w:themeColor="text1"/>
          <w:szCs w:val="24"/>
          <w:lang w:val="es-ES_tradnl" w:eastAsia="es-ES_tradnl"/>
        </w:rPr>
        <w:t>Concepto C ‒ 343 de 2021</w:t>
      </w:r>
    </w:p>
    <w:p w:rsidRPr="00B36019" w:rsidR="00B36019" w:rsidP="00B36019" w:rsidRDefault="00B36019" w14:paraId="129C7E4A" w14:textId="77777777">
      <w:pPr>
        <w:spacing w:after="0" w:line="240" w:lineRule="auto"/>
        <w:jc w:val="both"/>
        <w:rPr>
          <w:rFonts w:ascii="Arial" w:hAnsi="Arial" w:eastAsia="Calibri" w:cs="Arial"/>
          <w:color w:val="000000" w:themeColor="text1"/>
          <w:szCs w:val="24"/>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36019" w:rsidR="00B36019" w:rsidTr="005369E5" w14:paraId="233D949C" w14:textId="77777777">
        <w:tc>
          <w:tcPr>
            <w:tcW w:w="2689" w:type="dxa"/>
          </w:tcPr>
          <w:p w:rsidRPr="00B36019" w:rsidR="00B36019" w:rsidP="00B36019" w:rsidRDefault="00B36019" w14:paraId="18A58DF7" w14:textId="77777777">
            <w:pPr>
              <w:jc w:val="both"/>
              <w:rPr>
                <w:rFonts w:ascii="Arial" w:hAnsi="Arial" w:eastAsia="Calibri" w:cs="Arial"/>
                <w:color w:val="000000" w:themeColor="text1"/>
                <w:szCs w:val="24"/>
                <w:lang w:val="es-ES_tradnl" w:eastAsia="es-ES_tradnl"/>
              </w:rPr>
            </w:pPr>
            <w:r w:rsidRPr="00B36019">
              <w:rPr>
                <w:rFonts w:ascii="Arial" w:hAnsi="Arial" w:eastAsia="Calibri" w:cs="Arial"/>
                <w:b/>
                <w:color w:val="000000" w:themeColor="text1"/>
                <w:szCs w:val="24"/>
                <w:lang w:val="es-ES_tradnl" w:eastAsia="es-ES_tradnl"/>
              </w:rPr>
              <w:t>Temas:</w:t>
            </w:r>
            <w:r w:rsidRPr="00B36019">
              <w:rPr>
                <w:rFonts w:ascii="Arial" w:hAnsi="Arial" w:eastAsia="Calibri" w:cs="Arial"/>
                <w:color w:val="000000" w:themeColor="text1"/>
                <w:szCs w:val="24"/>
                <w:lang w:val="es-ES_tradnl" w:eastAsia="es-ES_tradnl"/>
              </w:rPr>
              <w:t xml:space="preserve">                                      </w:t>
            </w:r>
          </w:p>
        </w:tc>
        <w:tc>
          <w:tcPr>
            <w:tcW w:w="6237" w:type="dxa"/>
          </w:tcPr>
          <w:p w:rsidRPr="00B36019" w:rsidR="00B36019" w:rsidP="00B36019" w:rsidRDefault="00B36019" w14:paraId="2243EF3C" w14:textId="77777777">
            <w:pPr>
              <w:jc w:val="both"/>
              <w:rPr>
                <w:rFonts w:ascii="Arial" w:hAnsi="Arial" w:cs="Arial"/>
                <w:bCs/>
                <w:lang w:val="es-MX"/>
              </w:rPr>
            </w:pPr>
            <w:r w:rsidRPr="00B36019">
              <w:rPr>
                <w:rFonts w:ascii="Arial" w:hAnsi="Arial" w:cs="Arial"/>
                <w:bCs/>
                <w:lang w:val="es-MX"/>
              </w:rPr>
              <w:t>EXPERIENCIA – Concepto – Colombia Compra Eficiente / EXPERIENCIA – Transformación / EXPERIENCIA – Escisión / EXPERIENCIA – Fusión</w:t>
            </w:r>
            <w:r w:rsidRPr="00B36019">
              <w:rPr>
                <w:rFonts w:ascii="Arial" w:hAnsi="Arial" w:eastAsia="Arial" w:cs="Arial"/>
                <w:lang w:val="es-ES_tradnl"/>
              </w:rPr>
              <w:t>.</w:t>
            </w:r>
          </w:p>
        </w:tc>
      </w:tr>
      <w:tr w:rsidRPr="00B36019" w:rsidR="00B36019" w:rsidTr="005369E5" w14:paraId="067CDC4B" w14:textId="77777777">
        <w:tc>
          <w:tcPr>
            <w:tcW w:w="2689" w:type="dxa"/>
          </w:tcPr>
          <w:p w:rsidRPr="00B36019" w:rsidR="00B36019" w:rsidP="00B36019" w:rsidRDefault="00B36019" w14:paraId="0C7AE6E9" w14:textId="77777777">
            <w:pPr>
              <w:spacing w:before="120"/>
              <w:jc w:val="both"/>
              <w:rPr>
                <w:rFonts w:ascii="Arial" w:hAnsi="Arial" w:eastAsia="Calibri" w:cs="Arial"/>
                <w:b/>
                <w:color w:val="000000" w:themeColor="text1"/>
                <w:szCs w:val="24"/>
                <w:lang w:val="es-ES_tradnl" w:eastAsia="es-ES_tradnl"/>
              </w:rPr>
            </w:pPr>
            <w:r w:rsidRPr="00B36019">
              <w:rPr>
                <w:rFonts w:ascii="Arial" w:hAnsi="Arial" w:eastAsia="Calibri" w:cs="Arial"/>
                <w:b/>
                <w:color w:val="000000" w:themeColor="text1"/>
                <w:szCs w:val="24"/>
                <w:lang w:val="es-ES_tradnl" w:eastAsia="es-ES_tradnl"/>
              </w:rPr>
              <w:t>Radicación:</w:t>
            </w:r>
            <w:r w:rsidRPr="00B36019">
              <w:rPr>
                <w:rFonts w:ascii="Arial" w:hAnsi="Arial" w:eastAsia="Calibri" w:cs="Arial"/>
                <w:color w:val="000000" w:themeColor="text1"/>
                <w:szCs w:val="24"/>
                <w:lang w:val="es-ES_tradnl" w:eastAsia="es-ES_tradnl"/>
              </w:rPr>
              <w:t xml:space="preserve">                              </w:t>
            </w:r>
          </w:p>
        </w:tc>
        <w:tc>
          <w:tcPr>
            <w:tcW w:w="6237" w:type="dxa"/>
          </w:tcPr>
          <w:p w:rsidRPr="00B36019" w:rsidR="00B36019" w:rsidP="00B36019" w:rsidRDefault="00B36019" w14:paraId="61F941FF" w14:textId="77777777">
            <w:pPr>
              <w:spacing w:before="120"/>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 xml:space="preserve">Respuesta a consulta No. </w:t>
            </w:r>
            <w:r w:rsidRPr="00B36019">
              <w:rPr>
                <w:rFonts w:ascii="Arial" w:hAnsi="Arial" w:eastAsia="Calibri" w:cs="Arial"/>
                <w:color w:val="000000" w:themeColor="text1"/>
                <w:szCs w:val="24"/>
                <w:lang w:eastAsia="es-ES_tradnl"/>
              </w:rPr>
              <w:t> P20210531004773</w:t>
            </w:r>
          </w:p>
          <w:p w:rsidRPr="00B36019" w:rsidR="00B36019" w:rsidP="00B36019" w:rsidRDefault="00B36019" w14:paraId="3265CD2C" w14:textId="77777777">
            <w:pPr>
              <w:spacing w:before="120"/>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 xml:space="preserve"> </w:t>
            </w:r>
          </w:p>
        </w:tc>
      </w:tr>
    </w:tbl>
    <w:p w:rsidRPr="00B36019" w:rsidR="00B36019" w:rsidP="00B36019" w:rsidRDefault="00B36019" w14:paraId="7F1BCB69" w14:textId="77777777">
      <w:pPr>
        <w:spacing w:after="0" w:line="240" w:lineRule="auto"/>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Estimado señor Posada:</w:t>
      </w:r>
    </w:p>
    <w:p w:rsidRPr="00B36019" w:rsidR="00B36019" w:rsidP="00B36019" w:rsidRDefault="00B36019" w14:paraId="685774C0" w14:textId="77777777">
      <w:pPr>
        <w:spacing w:after="0" w:line="240" w:lineRule="auto"/>
        <w:jc w:val="both"/>
        <w:rPr>
          <w:rFonts w:ascii="Arial" w:hAnsi="Arial" w:eastAsia="Calibri" w:cs="Arial"/>
          <w:color w:val="000000" w:themeColor="text1"/>
          <w:szCs w:val="24"/>
          <w:lang w:val="es-ES_tradnl" w:eastAsia="es-ES_tradnl"/>
        </w:rPr>
      </w:pPr>
    </w:p>
    <w:p w:rsidR="00B36019" w:rsidP="00B36019" w:rsidRDefault="00B36019" w14:paraId="34CA943F" w14:textId="58068E41">
      <w:pPr>
        <w:spacing w:after="0" w:line="276" w:lineRule="auto"/>
        <w:jc w:val="both"/>
        <w:rPr>
          <w:rFonts w:ascii="Arial" w:hAnsi="Arial" w:eastAsia="Calibri" w:cs="Arial"/>
          <w:color w:val="000000" w:themeColor="text1"/>
          <w:szCs w:val="24"/>
          <w:lang w:val="es-ES_tradnl" w:eastAsia="es-ES_tradnl"/>
        </w:rPr>
      </w:pPr>
      <w:r w:rsidRPr="00B36019">
        <w:rPr>
          <w:rFonts w:ascii="Arial" w:hAnsi="Arial" w:eastAsia="Calibri" w:cs="Arial"/>
          <w:color w:val="000000" w:themeColor="text1"/>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remitida por Confecámaras el 31 de mayo de 2021.</w:t>
      </w:r>
    </w:p>
    <w:p w:rsidRPr="00D31656" w:rsidR="00D31656" w:rsidP="00B36019" w:rsidRDefault="00D31656" w14:paraId="0E8C26DD" w14:textId="77777777">
      <w:pPr>
        <w:spacing w:after="0" w:line="276" w:lineRule="auto"/>
        <w:jc w:val="both"/>
        <w:rPr>
          <w:rFonts w:ascii="Arial" w:hAnsi="Arial" w:eastAsia="Calibri" w:cs="Arial"/>
          <w:color w:val="000000" w:themeColor="text1"/>
          <w:szCs w:val="24"/>
          <w:lang w:val="es-ES_tradnl" w:eastAsia="es-ES_tradnl"/>
        </w:rPr>
      </w:pPr>
    </w:p>
    <w:p w:rsidR="00B36019" w:rsidP="00D31656" w:rsidRDefault="00D31656" w14:paraId="2E08D8D5" w14:textId="0D7CFABB">
      <w:pPr>
        <w:tabs>
          <w:tab w:val="left" w:pos="426"/>
        </w:tabs>
        <w:spacing w:after="0" w:line="276" w:lineRule="auto"/>
        <w:jc w:val="both"/>
        <w:rPr>
          <w:rFonts w:ascii="Arial" w:hAnsi="Arial" w:eastAsia="Calibri" w:cs="Arial"/>
          <w:b/>
          <w:color w:val="000000" w:themeColor="text1"/>
          <w:szCs w:val="24"/>
          <w:lang w:val="es-ES_tradnl" w:eastAsia="es-ES_tradnl"/>
        </w:rPr>
      </w:pPr>
      <w:r>
        <w:rPr>
          <w:rFonts w:ascii="Arial" w:hAnsi="Arial" w:eastAsia="Calibri" w:cs="Arial"/>
          <w:b/>
          <w:color w:val="000000" w:themeColor="text1"/>
          <w:szCs w:val="24"/>
          <w:lang w:val="es-ES_tradnl" w:eastAsia="es-ES_tradnl"/>
        </w:rPr>
        <w:t>1.Problema Planteado</w:t>
      </w:r>
    </w:p>
    <w:p w:rsidRPr="00D31656" w:rsidR="00D31656" w:rsidP="00D31656" w:rsidRDefault="00D31656" w14:paraId="0EAB9767" w14:textId="77777777">
      <w:pPr>
        <w:tabs>
          <w:tab w:val="left" w:pos="426"/>
        </w:tabs>
        <w:spacing w:after="0" w:line="276" w:lineRule="auto"/>
        <w:jc w:val="both"/>
        <w:rPr>
          <w:rFonts w:ascii="Arial" w:hAnsi="Arial" w:eastAsia="Calibri" w:cs="Arial"/>
          <w:b/>
          <w:color w:val="000000" w:themeColor="text1"/>
          <w:szCs w:val="24"/>
          <w:lang w:val="es-ES_tradnl" w:eastAsia="es-ES_tradnl"/>
        </w:rPr>
      </w:pPr>
    </w:p>
    <w:p w:rsidRPr="00B36019" w:rsidR="00B36019" w:rsidP="00B36019" w:rsidRDefault="00B36019" w14:paraId="24732DC9" w14:textId="77777777">
      <w:pPr>
        <w:autoSpaceDE w:val="0"/>
        <w:autoSpaceDN w:val="0"/>
        <w:adjustRightInd w:val="0"/>
        <w:spacing w:after="0" w:line="276" w:lineRule="auto"/>
        <w:jc w:val="both"/>
        <w:rPr>
          <w:rFonts w:ascii="Arial" w:hAnsi="Arial" w:eastAsia="Calibri" w:cs="Arial"/>
          <w:szCs w:val="24"/>
          <w:lang w:val="es-ES_tradnl"/>
        </w:rPr>
      </w:pPr>
      <w:bookmarkStart w:name="_Hlk74234093" w:id="3"/>
      <w:r w:rsidRPr="00B36019">
        <w:rPr>
          <w:rFonts w:ascii="Arial" w:hAnsi="Arial" w:eastAsia="Calibri" w:cs="Arial"/>
          <w:szCs w:val="24"/>
        </w:rPr>
        <w:t xml:space="preserve">El peticionario realiza solicitud de </w:t>
      </w:r>
      <w:r w:rsidRPr="00B36019">
        <w:rPr>
          <w:rFonts w:ascii="Arial" w:hAnsi="Arial" w:eastAsia="Calibri" w:cs="Arial"/>
          <w:szCs w:val="24"/>
          <w:lang w:val="es-ES_tradnl"/>
        </w:rPr>
        <w:t>«alcance normativo» en relación con la postura de esta Agencia sobre la posibilidad de transferir experiencia en los casos de fusión de sociedades. Al respecto pregunta:</w:t>
      </w:r>
    </w:p>
    <w:p w:rsidRPr="00B36019" w:rsidR="00B36019" w:rsidP="00B36019" w:rsidRDefault="00B36019" w14:paraId="71B039A7" w14:textId="77777777">
      <w:pPr>
        <w:autoSpaceDE w:val="0"/>
        <w:autoSpaceDN w:val="0"/>
        <w:adjustRightInd w:val="0"/>
        <w:spacing w:after="0" w:line="276" w:lineRule="auto"/>
        <w:jc w:val="both"/>
        <w:rPr>
          <w:rFonts w:ascii="Arial" w:hAnsi="Arial" w:eastAsia="Calibri" w:cs="Arial"/>
          <w:szCs w:val="24"/>
          <w:lang w:val="es-ES_tradnl"/>
        </w:rPr>
      </w:pPr>
    </w:p>
    <w:p w:rsidRPr="00B36019" w:rsidR="00B36019" w:rsidP="00B36019" w:rsidRDefault="00B36019" w14:paraId="10A0C05F" w14:textId="77777777">
      <w:pPr>
        <w:autoSpaceDE w:val="0"/>
        <w:autoSpaceDN w:val="0"/>
        <w:adjustRightInd w:val="0"/>
        <w:spacing w:after="120" w:line="240" w:lineRule="auto"/>
        <w:ind w:left="709" w:right="758"/>
        <w:jc w:val="both"/>
        <w:rPr>
          <w:rFonts w:ascii="Arial" w:hAnsi="Arial" w:eastAsia="Calibri" w:cs="Arial"/>
          <w:color w:val="000000"/>
          <w:sz w:val="21"/>
          <w:szCs w:val="21"/>
        </w:rPr>
      </w:pPr>
      <w:r w:rsidRPr="00B36019">
        <w:rPr>
          <w:rFonts w:ascii="Arial" w:hAnsi="Arial" w:eastAsia="Calibri" w:cs="Arial"/>
          <w:color w:val="000000"/>
          <w:sz w:val="21"/>
          <w:szCs w:val="21"/>
          <w:lang w:val="es-ES_tradnl"/>
        </w:rPr>
        <w:t xml:space="preserve">«[…] i. </w:t>
      </w:r>
      <w:bookmarkStart w:name="_Hlk74647096" w:id="4"/>
      <w:r w:rsidRPr="00B36019">
        <w:rPr>
          <w:rFonts w:ascii="Arial" w:hAnsi="Arial" w:eastAsia="Calibri" w:cs="Arial"/>
          <w:color w:val="000000"/>
          <w:sz w:val="21"/>
          <w:szCs w:val="21"/>
        </w:rPr>
        <w:t xml:space="preserve">Se me aclare, si en el caso de la fusión de sociedades, la sociedad absorbente puede o no puede inscribir la experiencia de la sociedad absorbida como propia en el registro único de proponentes. </w:t>
      </w:r>
      <w:bookmarkEnd w:id="4"/>
    </w:p>
    <w:p w:rsidRPr="00B36019" w:rsidR="00B36019" w:rsidP="00B36019" w:rsidRDefault="00B36019" w14:paraId="0200A401" w14:textId="77777777">
      <w:pPr>
        <w:autoSpaceDE w:val="0"/>
        <w:autoSpaceDN w:val="0"/>
        <w:adjustRightInd w:val="0"/>
        <w:spacing w:before="120" w:after="120" w:line="240" w:lineRule="auto"/>
        <w:ind w:left="709" w:right="758"/>
        <w:jc w:val="both"/>
        <w:rPr>
          <w:rFonts w:ascii="Arial" w:hAnsi="Arial" w:eastAsia="Calibri" w:cs="Arial"/>
          <w:color w:val="000000"/>
          <w:sz w:val="21"/>
          <w:szCs w:val="21"/>
        </w:rPr>
      </w:pPr>
      <w:r w:rsidRPr="00B36019">
        <w:rPr>
          <w:rFonts w:ascii="Arial" w:hAnsi="Arial" w:cs="Arial"/>
          <w:color w:val="000000" w:themeColor="text1"/>
          <w:sz w:val="21"/>
          <w:szCs w:val="21"/>
          <w:lang w:val="es-ES_tradnl"/>
        </w:rPr>
        <w:t>»</w:t>
      </w:r>
      <w:proofErr w:type="spellStart"/>
      <w:r w:rsidRPr="00B36019">
        <w:rPr>
          <w:rFonts w:ascii="Arial" w:hAnsi="Arial" w:eastAsia="Calibri" w:cs="Arial"/>
          <w:color w:val="000000"/>
          <w:sz w:val="21"/>
          <w:szCs w:val="21"/>
        </w:rPr>
        <w:t>ii</w:t>
      </w:r>
      <w:proofErr w:type="spellEnd"/>
      <w:r w:rsidRPr="00B36019">
        <w:rPr>
          <w:rFonts w:ascii="Arial" w:hAnsi="Arial" w:eastAsia="Calibri" w:cs="Arial"/>
          <w:color w:val="000000"/>
          <w:sz w:val="21"/>
          <w:szCs w:val="21"/>
        </w:rPr>
        <w:t xml:space="preserve">. En caso de ser negativa la respuesta, se pide aclarar el motivo del por qué desconocen los conceptos de la misma Colombia Compra Eficiente. </w:t>
      </w:r>
    </w:p>
    <w:p w:rsidR="00B36019" w:rsidP="00B36019" w:rsidRDefault="00B36019" w14:paraId="6DA06346" w14:textId="5088BF18">
      <w:pPr>
        <w:autoSpaceDE w:val="0"/>
        <w:autoSpaceDN w:val="0"/>
        <w:adjustRightInd w:val="0"/>
        <w:spacing w:after="0" w:line="240" w:lineRule="auto"/>
        <w:ind w:left="709" w:right="758"/>
        <w:jc w:val="both"/>
        <w:rPr>
          <w:rFonts w:ascii="Arial" w:hAnsi="Arial" w:eastAsia="Calibri" w:cs="Arial"/>
          <w:color w:val="000000"/>
          <w:sz w:val="21"/>
          <w:szCs w:val="21"/>
        </w:rPr>
      </w:pPr>
      <w:r w:rsidRPr="00B36019">
        <w:rPr>
          <w:rFonts w:ascii="Arial" w:hAnsi="Arial" w:cs="Arial"/>
          <w:color w:val="000000" w:themeColor="text1"/>
          <w:sz w:val="21"/>
          <w:szCs w:val="21"/>
          <w:lang w:val="es-ES_tradnl"/>
        </w:rPr>
        <w:t>»</w:t>
      </w:r>
      <w:proofErr w:type="spellStart"/>
      <w:r w:rsidRPr="00B36019">
        <w:rPr>
          <w:rFonts w:ascii="Arial" w:hAnsi="Arial" w:eastAsia="Calibri" w:cs="Arial"/>
          <w:color w:val="000000"/>
          <w:sz w:val="21"/>
          <w:szCs w:val="21"/>
        </w:rPr>
        <w:t>iii</w:t>
      </w:r>
      <w:proofErr w:type="spellEnd"/>
      <w:r w:rsidRPr="00B36019">
        <w:rPr>
          <w:rFonts w:ascii="Arial" w:hAnsi="Arial" w:eastAsia="Calibri" w:cs="Arial"/>
          <w:color w:val="000000"/>
          <w:sz w:val="21"/>
          <w:szCs w:val="21"/>
        </w:rPr>
        <w:t>. Adicionalmente, si la experiencia es negativa, se pide entregar la información donde la Cámara de Comercio le haya preguntado a Confecámaras y Colombia Compra Eficiente el sustento de la negativa de transferir experiencia vía fusión pese a los conceptos de Colombia Compra Eficiente, concepto que cabe aclarar se supone que no son vinculantes, pero en Colombia ninguna entidad de carácter público desconoce el concepto de un ente regulador</w:t>
      </w:r>
      <w:r w:rsidRPr="00B36019">
        <w:rPr>
          <w:rFonts w:ascii="Arial" w:hAnsi="Arial" w:eastAsia="Calibri" w:cs="Arial"/>
          <w:sz w:val="21"/>
          <w:szCs w:val="21"/>
          <w:lang w:val="es-ES_tradnl"/>
        </w:rPr>
        <w:t>»</w:t>
      </w:r>
      <w:r w:rsidRPr="00B36019">
        <w:rPr>
          <w:rFonts w:ascii="Arial" w:hAnsi="Arial" w:eastAsia="Calibri" w:cs="Arial"/>
          <w:color w:val="000000"/>
          <w:sz w:val="21"/>
          <w:szCs w:val="21"/>
        </w:rPr>
        <w:t>.</w:t>
      </w:r>
    </w:p>
    <w:p w:rsidRPr="00B36019" w:rsidR="00480139" w:rsidP="00B36019" w:rsidRDefault="00480139" w14:paraId="2917D8C8" w14:textId="77777777">
      <w:pPr>
        <w:autoSpaceDE w:val="0"/>
        <w:autoSpaceDN w:val="0"/>
        <w:adjustRightInd w:val="0"/>
        <w:spacing w:after="0" w:line="240" w:lineRule="auto"/>
        <w:ind w:left="709" w:right="758"/>
        <w:jc w:val="both"/>
        <w:rPr>
          <w:rFonts w:ascii="Arial" w:hAnsi="Arial" w:eastAsia="Calibri" w:cs="Arial"/>
          <w:color w:val="000000"/>
          <w:sz w:val="21"/>
          <w:szCs w:val="21"/>
        </w:rPr>
      </w:pPr>
    </w:p>
    <w:p w:rsidRPr="00B36019" w:rsidR="00B36019" w:rsidP="00B36019" w:rsidRDefault="00B36019" w14:paraId="3D0D5504" w14:textId="77777777">
      <w:pPr>
        <w:autoSpaceDE w:val="0"/>
        <w:autoSpaceDN w:val="0"/>
        <w:adjustRightInd w:val="0"/>
        <w:spacing w:after="0" w:line="240" w:lineRule="auto"/>
        <w:ind w:left="709" w:right="758"/>
        <w:jc w:val="both"/>
        <w:rPr>
          <w:rFonts w:ascii="Arial" w:hAnsi="Arial" w:eastAsia="Calibri" w:cs="Arial"/>
          <w:color w:val="000000"/>
          <w:sz w:val="21"/>
          <w:szCs w:val="21"/>
        </w:rPr>
      </w:pPr>
    </w:p>
    <w:bookmarkEnd w:id="3"/>
    <w:p w:rsidRPr="00D31656" w:rsidR="00B36019" w:rsidP="00D31656" w:rsidRDefault="00D31656" w14:paraId="1EBEA482" w14:textId="1683921A">
      <w:pPr>
        <w:spacing w:after="0" w:line="276" w:lineRule="auto"/>
        <w:jc w:val="both"/>
        <w:rPr>
          <w:rFonts w:ascii="Arial" w:hAnsi="Arial" w:eastAsia="Calibri" w:cs="Arial"/>
          <w:b/>
          <w:bCs/>
          <w:color w:val="000000" w:themeColor="text1"/>
          <w:lang w:val="es-ES_tradnl" w:eastAsia="es-ES_tradnl"/>
        </w:rPr>
      </w:pPr>
      <w:r w:rsidRPr="00D31656">
        <w:rPr>
          <w:rFonts w:ascii="Arial" w:hAnsi="Arial" w:eastAsia="Calibri" w:cs="Arial"/>
          <w:b/>
          <w:bCs/>
          <w:color w:val="000000" w:themeColor="text1"/>
          <w:lang w:val="es-ES_tradnl" w:eastAsia="es-ES_tradnl"/>
        </w:rPr>
        <w:lastRenderedPageBreak/>
        <w:t>2.</w:t>
      </w:r>
      <w:r w:rsidR="00480139">
        <w:rPr>
          <w:rFonts w:ascii="Arial" w:hAnsi="Arial" w:eastAsia="Calibri" w:cs="Arial"/>
          <w:b/>
          <w:bCs/>
          <w:color w:val="000000" w:themeColor="text1"/>
          <w:lang w:val="es-ES_tradnl" w:eastAsia="es-ES_tradnl"/>
        </w:rPr>
        <w:t xml:space="preserve"> </w:t>
      </w:r>
      <w:r w:rsidRPr="00D31656">
        <w:rPr>
          <w:rFonts w:ascii="Arial" w:hAnsi="Arial" w:eastAsia="Calibri" w:cs="Arial"/>
          <w:b/>
          <w:bCs/>
          <w:color w:val="000000" w:themeColor="text1"/>
          <w:lang w:val="es-ES_tradnl" w:eastAsia="es-ES_tradnl"/>
        </w:rPr>
        <w:t>Consideraciones</w:t>
      </w:r>
    </w:p>
    <w:p w:rsidRPr="00D31656" w:rsidR="00D31656" w:rsidP="00D31656" w:rsidRDefault="00D31656" w14:paraId="2FB6399A" w14:textId="77777777">
      <w:pPr>
        <w:spacing w:after="0" w:line="276" w:lineRule="auto"/>
        <w:jc w:val="both"/>
        <w:rPr>
          <w:rFonts w:ascii="Arial" w:hAnsi="Arial" w:eastAsia="Calibri" w:cs="Arial"/>
          <w:color w:val="000000" w:themeColor="text1"/>
          <w:lang w:val="es-ES_tradnl" w:eastAsia="es-ES_tradnl"/>
        </w:rPr>
      </w:pPr>
    </w:p>
    <w:p w:rsidRPr="00B36019" w:rsidR="00B36019" w:rsidP="00B36019" w:rsidRDefault="00B36019" w14:paraId="12B9D9A2" w14:textId="77777777">
      <w:pPr>
        <w:spacing w:after="120" w:line="276" w:lineRule="auto"/>
        <w:jc w:val="both"/>
        <w:rPr>
          <w:rFonts w:ascii="Arial" w:hAnsi="Arial" w:eastAsia="Calibri" w:cs="Arial"/>
          <w:szCs w:val="24"/>
          <w:lang w:eastAsia="es-ES_tradnl"/>
        </w:rPr>
      </w:pPr>
      <w:r w:rsidRPr="00B36019">
        <w:rPr>
          <w:rFonts w:ascii="Arial" w:hAnsi="Arial" w:eastAsia="Calibri" w:cs="Arial"/>
          <w:szCs w:val="24"/>
          <w:lang w:eastAsia="es-ES_tradnl"/>
        </w:rPr>
        <w:t xml:space="preserve">Para emitir una respuesta, esta Subdirección analizará previamente los siguientes temas: i) el concepto de experiencia en la contratación pública y </w:t>
      </w:r>
      <w:proofErr w:type="spellStart"/>
      <w:r w:rsidRPr="00B36019">
        <w:rPr>
          <w:rFonts w:ascii="Arial" w:hAnsi="Arial" w:eastAsia="Calibri" w:cs="Arial"/>
          <w:szCs w:val="24"/>
          <w:lang w:eastAsia="es-ES_tradnl"/>
        </w:rPr>
        <w:t>ii</w:t>
      </w:r>
      <w:proofErr w:type="spellEnd"/>
      <w:r w:rsidRPr="00B36019">
        <w:rPr>
          <w:rFonts w:ascii="Arial" w:hAnsi="Arial" w:eastAsia="Calibri" w:cs="Arial"/>
          <w:szCs w:val="24"/>
          <w:lang w:eastAsia="es-ES_tradnl"/>
        </w:rPr>
        <w:t>) los efectos de las figuras y reformas estatutarias sobre la experiencia de las sociedades comerciales en la contratación estatal.</w:t>
      </w:r>
    </w:p>
    <w:p w:rsidRPr="00B36019" w:rsidR="00B36019" w:rsidP="00B36019" w:rsidRDefault="00B36019" w14:paraId="7EDEDD7C" w14:textId="77777777">
      <w:pPr>
        <w:spacing w:after="0" w:line="276" w:lineRule="auto"/>
        <w:ind w:firstLine="708"/>
        <w:jc w:val="both"/>
        <w:rPr>
          <w:rFonts w:ascii="Arial" w:hAnsi="Arial" w:eastAsia="Calibri" w:cs="Arial"/>
          <w:szCs w:val="24"/>
          <w:lang w:eastAsia="es-ES_tradnl"/>
        </w:rPr>
      </w:pPr>
      <w:r w:rsidRPr="00B36019">
        <w:rPr>
          <w:rFonts w:ascii="Arial" w:hAnsi="Arial" w:eastAsia="Calibri" w:cs="Arial"/>
          <w:lang w:eastAsia="es-ES_tradnl"/>
        </w:rPr>
        <w:t xml:space="preserve">La Agencia Nacional de Contratación Pública – Colombia Compra Eficiente </w:t>
      </w:r>
      <w:r w:rsidRPr="00B36019">
        <w:rPr>
          <w:rFonts w:ascii="Arial" w:hAnsi="Arial" w:eastAsia="Calibri" w:cs="Arial"/>
          <w:color w:val="000000" w:themeColor="text1"/>
          <w:lang w:eastAsia="es-ES_tradnl"/>
        </w:rPr>
        <w:t xml:space="preserve">se ha pronunciado se ha pronunciado sobre el tema objeto de la consulta </w:t>
      </w:r>
      <w:r w:rsidRPr="00B36019">
        <w:rPr>
          <w:rFonts w:ascii="Arial" w:hAnsi="Arial" w:eastAsia="Calibri" w:cs="Arial"/>
          <w:lang w:val="es-ES_tradnl" w:eastAsia="es-ES_tradnl"/>
        </w:rPr>
        <w:t xml:space="preserve">en los conceptos C-491 del 27 de julio de 2020, C-584 del 31 de agosto de 2020, C-002 del 9 de febrero de 2021 y C -115 del 29 de marzo de 2021, </w:t>
      </w:r>
      <w:r w:rsidRPr="00B36019">
        <w:rPr>
          <w:rFonts w:ascii="Arial" w:hAnsi="Arial" w:eastAsia="Calibri" w:cs="Arial"/>
          <w:lang w:eastAsia="es-ES_tradnl"/>
        </w:rPr>
        <w:t>en los que se estudió la procedencia de la transferencia de experiencia en las figuras de transformación, fusión y escisión. La tesis expuesta en estos conceptos se reitera a continuación.</w:t>
      </w:r>
    </w:p>
    <w:p w:rsidRPr="00B36019" w:rsidR="00B36019" w:rsidP="00B36019" w:rsidRDefault="00B36019" w14:paraId="46E3E2BF" w14:textId="77777777">
      <w:pPr>
        <w:spacing w:after="0" w:line="276" w:lineRule="auto"/>
        <w:jc w:val="both"/>
        <w:rPr>
          <w:rFonts w:ascii="Arial" w:hAnsi="Arial" w:eastAsia="Calibri" w:cs="Arial"/>
          <w:szCs w:val="24"/>
          <w:lang w:eastAsia="es-ES_tradnl"/>
        </w:rPr>
      </w:pPr>
    </w:p>
    <w:p w:rsidRPr="00B36019" w:rsidR="00B36019" w:rsidP="00B36019" w:rsidRDefault="00B36019" w14:paraId="2F7E873D" w14:textId="77777777">
      <w:pPr>
        <w:tabs>
          <w:tab w:val="left" w:pos="284"/>
        </w:tabs>
        <w:spacing w:after="0" w:line="276" w:lineRule="auto"/>
        <w:ind w:right="49"/>
        <w:jc w:val="both"/>
        <w:rPr>
          <w:rFonts w:ascii="Arial" w:hAnsi="Arial" w:eastAsia="Times New Roman" w:cs="Arial"/>
          <w:b/>
          <w:bCs/>
          <w:color w:val="000000" w:themeColor="text1"/>
          <w:lang w:eastAsia="es-ES_tradnl"/>
        </w:rPr>
      </w:pPr>
      <w:r w:rsidRPr="00B36019">
        <w:rPr>
          <w:rFonts w:ascii="Arial" w:hAnsi="Arial" w:eastAsia="Times New Roman" w:cs="Arial"/>
          <w:b/>
          <w:bCs/>
          <w:color w:val="000000" w:themeColor="text1"/>
          <w:lang w:eastAsia="es-ES_tradnl"/>
        </w:rPr>
        <w:t>2.1. Naturaleza jurídica de los conceptos emitidos por la Agencia Nacional de Contratación Pública – Colombia Compra Eficiente</w:t>
      </w:r>
    </w:p>
    <w:p w:rsidRPr="00B36019" w:rsidR="00B36019" w:rsidP="00B36019" w:rsidRDefault="00B36019" w14:paraId="2416FE70" w14:textId="77777777">
      <w:pPr>
        <w:tabs>
          <w:tab w:val="left" w:pos="284"/>
        </w:tabs>
        <w:spacing w:after="0" w:line="276" w:lineRule="auto"/>
        <w:ind w:right="709"/>
        <w:rPr>
          <w:rFonts w:ascii="Arial" w:hAnsi="Arial" w:eastAsia="Times New Roman" w:cs="Arial"/>
          <w:b/>
          <w:bCs/>
          <w:color w:val="000000" w:themeColor="text1"/>
          <w:lang w:eastAsia="es-ES_tradnl"/>
        </w:rPr>
      </w:pPr>
    </w:p>
    <w:p w:rsidRPr="00B36019" w:rsidR="00B36019" w:rsidP="00B36019" w:rsidRDefault="00B36019" w14:paraId="212BC8E9" w14:textId="77777777">
      <w:pPr>
        <w:spacing w:after="120" w:line="276" w:lineRule="auto"/>
        <w:jc w:val="both"/>
        <w:rPr>
          <w:rFonts w:ascii="Arial" w:hAnsi="Arial" w:eastAsia="Times New Roman" w:cs="Arial"/>
          <w:color w:val="000000"/>
          <w:shd w:val="clear" w:color="auto" w:fill="FFFFFF"/>
          <w:lang w:eastAsia="es-ES_tradnl"/>
        </w:rPr>
      </w:pPr>
      <w:r w:rsidRPr="00B36019">
        <w:rPr>
          <w:rFonts w:ascii="Arial" w:hAnsi="Arial" w:eastAsia="Times New Roman" w:cs="Arial"/>
          <w:color w:val="000000"/>
          <w:shd w:val="clear" w:color="auto" w:fill="FFFFFF"/>
          <w:lang w:eastAsia="es-ES_tradnl"/>
        </w:rPr>
        <w:t xml:space="preserve">En el presente aparte se retoman las consideraciones efectuadas en el Concepto </w:t>
      </w:r>
      <w:bookmarkStart w:name="_Hlk50719406" w:id="5"/>
      <w:r w:rsidRPr="00B36019">
        <w:rPr>
          <w:rFonts w:ascii="Arial" w:hAnsi="Arial" w:eastAsia="Times New Roman" w:cs="Arial"/>
          <w:color w:val="000000"/>
          <w:shd w:val="clear" w:color="auto" w:fill="FFFFFF"/>
          <w:lang w:eastAsia="es-ES_tradnl"/>
        </w:rPr>
        <w:t>C-418 del 27 de julio de 2020</w:t>
      </w:r>
      <w:bookmarkEnd w:id="5"/>
      <w:r w:rsidRPr="00B36019">
        <w:rPr>
          <w:rFonts w:ascii="Arial" w:hAnsi="Arial" w:eastAsia="Times New Roman" w:cs="Arial"/>
          <w:color w:val="000000"/>
          <w:shd w:val="clear" w:color="auto" w:fill="FFFFFF"/>
          <w:lang w:eastAsia="es-ES_tradnl"/>
        </w:rPr>
        <w:t xml:space="preserve">, en el cual se estudió la función de interpretación normativa atribuida a esta Agencia sobre las normas contractuales y, con base en ello, se aclarará la naturaleza de los conceptos expedidos por esta entidad. </w:t>
      </w:r>
    </w:p>
    <w:p w:rsidRPr="00B36019" w:rsidR="00B36019" w:rsidP="00B36019" w:rsidRDefault="00B36019" w14:paraId="27C74B4B" w14:textId="77777777">
      <w:pPr>
        <w:spacing w:after="120" w:line="276" w:lineRule="auto"/>
        <w:ind w:firstLine="708"/>
        <w:jc w:val="both"/>
        <w:rPr>
          <w:rFonts w:ascii="Arial" w:hAnsi="Arial" w:eastAsia="Calibri" w:cs="Arial"/>
          <w:lang w:val="es-ES" w:eastAsia="es-ES_tradnl"/>
        </w:rPr>
      </w:pPr>
      <w:r w:rsidRPr="00B36019">
        <w:rPr>
          <w:rFonts w:ascii="Arial" w:hAnsi="Arial" w:eastAsia="Calibri" w:cs="Arial"/>
          <w:lang w:val="es-ES" w:eastAsia="es-ES_tradnl"/>
        </w:rPr>
        <w:t>Al respecto, es necesario tener en cuenta que la competencia de la Agencia se encuentra circunscrita a la resolución de consultas y solicitudes relativas a la aplicación de normas de carácter general en materia de compras y contratación pública. En ese sentido, resolver consultas sobre casos particulares desborda las atribuciones asignadas por el legislador, que no concibió a la Agencia Nacional de Contratación Pública – Colombia Compra Eficiente como una autoridad con funciones dirigidas a la solución de problemas jurídicos particulares y concretos, especialmente, cuando el conocimiento de estos últimos corresponde a las autoridades judiciales y a los organismos de control.</w:t>
      </w:r>
      <w:r w:rsidRPr="00B36019">
        <w:rPr>
          <w:rFonts w:ascii="Arial" w:hAnsi="Arial" w:eastAsia="Calibri" w:cs="Arial"/>
          <w:bCs/>
          <w:lang w:eastAsia="es-ES_tradnl"/>
        </w:rPr>
        <w:t xml:space="preserve"> </w:t>
      </w:r>
    </w:p>
    <w:p w:rsidRPr="00B36019" w:rsidR="00B36019" w:rsidP="00B36019" w:rsidRDefault="00B36019" w14:paraId="23A03C03" w14:textId="77777777">
      <w:pPr>
        <w:spacing w:after="120" w:line="276" w:lineRule="auto"/>
        <w:ind w:firstLine="708"/>
        <w:jc w:val="both"/>
        <w:rPr>
          <w:rFonts w:ascii="Arial" w:hAnsi="Arial" w:eastAsia="Calibri" w:cs="Arial"/>
          <w:lang w:val="es-ES" w:eastAsia="es-ES_tradnl"/>
        </w:rPr>
      </w:pPr>
      <w:r w:rsidRPr="00B36019">
        <w:rPr>
          <w:rFonts w:ascii="Arial" w:hAnsi="Arial" w:eastAsia="Calibri" w:cs="Arial"/>
          <w:lang w:val="es-ES" w:eastAsia="es-ES_tradnl"/>
        </w:rPr>
        <w:t>De este modo, resulta evidente que la competencia de esta entidad esta provista de límites claros, con el objeto de evitar que la Agencia actúe como una instancia de validación de las actuaciones de las entidades sujetas a la Ley 80 de 1993 o de los demás participantes de la contratación pública</w:t>
      </w:r>
      <w:r w:rsidRPr="00B36019">
        <w:rPr>
          <w:rFonts w:ascii="Arial" w:hAnsi="Arial" w:eastAsia="Calibri" w:cs="Arial"/>
          <w:vertAlign w:val="superscript"/>
          <w:lang w:val="es-ES" w:eastAsia="es-ES_tradnl"/>
        </w:rPr>
        <w:footnoteReference w:id="1"/>
      </w:r>
      <w:r w:rsidRPr="00B36019">
        <w:rPr>
          <w:rFonts w:ascii="Arial" w:hAnsi="Arial" w:eastAsia="Calibri" w:cs="Arial"/>
          <w:lang w:val="es-ES" w:eastAsia="es-ES_tradnl"/>
        </w:rPr>
        <w:t xml:space="preserve">. Lo anterior, en la medida en que, para resolver una consulta de carácter particular, además de conocer un sinnúmero de detalles de la actuación administrativa, es necesario acceder al expediente y a los documentos del </w:t>
      </w:r>
      <w:r w:rsidRPr="00B36019">
        <w:rPr>
          <w:rFonts w:ascii="Arial" w:hAnsi="Arial" w:eastAsia="Calibri" w:cs="Arial"/>
          <w:lang w:val="es-ES" w:eastAsia="es-ES_tradnl"/>
        </w:rPr>
        <w:lastRenderedPageBreak/>
        <w:t>procedimiento contractual donde surge la inquietud; razón por la cual, al no ser un órgano judicial, ni una entidad de vigilancia, inspección o control en materia contractual, carece de la facultad para desempeñar estas funciones.</w:t>
      </w:r>
    </w:p>
    <w:p w:rsidRPr="00B36019" w:rsidR="00B36019" w:rsidP="00B36019" w:rsidRDefault="00B36019" w14:paraId="552B08AB" w14:textId="77777777">
      <w:pPr>
        <w:tabs>
          <w:tab w:val="left" w:pos="426"/>
        </w:tabs>
        <w:spacing w:after="0" w:line="276" w:lineRule="auto"/>
        <w:jc w:val="both"/>
        <w:rPr>
          <w:rFonts w:ascii="Arial" w:hAnsi="Arial" w:eastAsia="Calibri" w:cs="Arial"/>
          <w:bCs/>
          <w:lang w:val="es-ES" w:eastAsia="es-ES_tradnl"/>
        </w:rPr>
      </w:pPr>
      <w:r w:rsidRPr="00B36019">
        <w:rPr>
          <w:rFonts w:ascii="Arial" w:hAnsi="Arial" w:eastAsia="Calibri" w:cs="Arial"/>
          <w:bCs/>
          <w:lang w:eastAsia="es-ES_tradnl"/>
        </w:rPr>
        <w:tab/>
      </w:r>
      <w:r w:rsidRPr="00B36019">
        <w:rPr>
          <w:rFonts w:ascii="Arial" w:hAnsi="Arial" w:eastAsia="Calibri" w:cs="Arial"/>
          <w:bCs/>
          <w:lang w:eastAsia="es-ES_tradnl"/>
        </w:rPr>
        <w:tab/>
      </w:r>
      <w:r w:rsidRPr="00B36019">
        <w:rPr>
          <w:rFonts w:ascii="Arial" w:hAnsi="Arial" w:eastAsia="Calibri" w:cs="Arial"/>
          <w:bCs/>
          <w:lang w:eastAsia="es-ES_tradnl"/>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p>
    <w:p w:rsidRPr="00B36019" w:rsidR="00B36019" w:rsidP="00B36019" w:rsidRDefault="00B36019" w14:paraId="6EF87032" w14:textId="77777777">
      <w:pPr>
        <w:tabs>
          <w:tab w:val="left" w:pos="426"/>
        </w:tabs>
        <w:spacing w:after="0" w:line="276" w:lineRule="auto"/>
        <w:jc w:val="both"/>
        <w:rPr>
          <w:rFonts w:ascii="Arial" w:hAnsi="Arial" w:eastAsia="Calibri" w:cs="Arial"/>
          <w:bCs/>
          <w:lang w:eastAsia="es-ES_tradnl"/>
        </w:rPr>
      </w:pPr>
    </w:p>
    <w:p w:rsidRPr="00B36019" w:rsidR="00B36019" w:rsidP="00B36019" w:rsidRDefault="00B36019" w14:paraId="4BF51377" w14:textId="77777777">
      <w:pPr>
        <w:tabs>
          <w:tab w:val="left" w:pos="426"/>
        </w:tabs>
        <w:spacing w:after="0" w:line="240" w:lineRule="auto"/>
        <w:ind w:left="709" w:right="709"/>
        <w:jc w:val="both"/>
        <w:rPr>
          <w:rFonts w:ascii="Arial" w:hAnsi="Arial" w:eastAsia="Calibri" w:cs="Arial"/>
          <w:bCs/>
          <w:sz w:val="21"/>
          <w:szCs w:val="21"/>
          <w:lang w:eastAsia="es-ES_tradnl"/>
        </w:rPr>
      </w:pPr>
      <w:r w:rsidRPr="00B36019">
        <w:rPr>
          <w:rFonts w:ascii="Arial" w:hAnsi="Arial" w:eastAsia="Times New Roman" w:cs="Arial"/>
          <w:color w:val="000000"/>
          <w:sz w:val="21"/>
          <w:szCs w:val="21"/>
          <w:bdr w:val="none" w:color="auto" w:sz="0" w:space="0" w:frame="1"/>
          <w:lang w:val="es-ES" w:eastAsia="es-ES_tradnl"/>
        </w:rPr>
        <w:t>«</w:t>
      </w:r>
      <w:r w:rsidRPr="00B36019">
        <w:rPr>
          <w:rFonts w:ascii="Arial" w:hAnsi="Arial" w:eastAsia="Calibri" w:cs="Arial"/>
          <w:bCs/>
          <w:sz w:val="21"/>
          <w:szCs w:val="21"/>
          <w:lang w:eastAsia="es-ES_tradnl"/>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B36019">
        <w:rPr>
          <w:rFonts w:ascii="Arial" w:hAnsi="Arial" w:eastAsia="Times New Roman" w:cs="Arial"/>
          <w:color w:val="000000"/>
          <w:sz w:val="21"/>
          <w:szCs w:val="21"/>
          <w:bdr w:val="none" w:color="auto" w:sz="0" w:space="0" w:frame="1"/>
          <w:lang w:val="es-ES" w:eastAsia="es-ES_tradnl"/>
        </w:rPr>
        <w:t>»</w:t>
      </w:r>
      <w:r w:rsidRPr="00B36019">
        <w:rPr>
          <w:rFonts w:ascii="Arial" w:hAnsi="Arial" w:eastAsia="Calibri" w:cs="Arial"/>
          <w:bCs/>
          <w:sz w:val="21"/>
          <w:szCs w:val="21"/>
          <w:lang w:eastAsia="es-ES_tradnl"/>
        </w:rPr>
        <w:t xml:space="preserve">  </w:t>
      </w:r>
    </w:p>
    <w:p w:rsidRPr="00B36019" w:rsidR="00B36019" w:rsidP="00B36019" w:rsidRDefault="00B36019" w14:paraId="13F8AC40" w14:textId="77777777">
      <w:pPr>
        <w:tabs>
          <w:tab w:val="left" w:pos="426"/>
        </w:tabs>
        <w:spacing w:after="0" w:line="276" w:lineRule="auto"/>
        <w:jc w:val="both"/>
        <w:rPr>
          <w:rFonts w:ascii="Arial" w:hAnsi="Arial" w:eastAsia="Calibri" w:cs="Arial"/>
          <w:bCs/>
          <w:lang w:eastAsia="es-ES_tradnl"/>
        </w:rPr>
      </w:pPr>
    </w:p>
    <w:p w:rsidRPr="00B36019" w:rsidR="00B36019" w:rsidP="00B36019" w:rsidRDefault="00B36019" w14:paraId="45F4DBEE" w14:textId="77777777">
      <w:pPr>
        <w:spacing w:after="120" w:line="276" w:lineRule="auto"/>
        <w:ind w:firstLine="708"/>
        <w:jc w:val="both"/>
        <w:rPr>
          <w:rFonts w:ascii="Arial" w:hAnsi="Arial" w:eastAsia="Calibri" w:cs="Arial"/>
          <w:bCs/>
          <w:lang w:eastAsia="es-ES_tradnl"/>
        </w:rPr>
      </w:pPr>
      <w:r w:rsidRPr="00B36019">
        <w:rPr>
          <w:rFonts w:ascii="Arial" w:hAnsi="Arial" w:eastAsia="Calibri" w:cs="Arial"/>
          <w:bCs/>
          <w:lang w:eastAsia="es-ES_tradnl"/>
        </w:rPr>
        <w:t xml:space="preserve">La norma citada prevé que 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w:t>
      </w:r>
    </w:p>
    <w:p w:rsidRPr="00B36019" w:rsidR="00B36019" w:rsidP="00B36019" w:rsidRDefault="00B36019" w14:paraId="5DA61AA4" w14:textId="77777777">
      <w:pPr>
        <w:spacing w:after="120" w:line="276" w:lineRule="auto"/>
        <w:ind w:firstLine="708"/>
        <w:jc w:val="both"/>
        <w:rPr>
          <w:rFonts w:ascii="Arial" w:hAnsi="Arial" w:eastAsia="Calibri" w:cs="Arial"/>
          <w:bCs/>
          <w:lang w:eastAsia="es-ES_tradnl"/>
        </w:rPr>
      </w:pPr>
      <w:r w:rsidRPr="00B36019">
        <w:rPr>
          <w:rFonts w:ascii="Arial" w:hAnsi="Arial" w:eastAsia="Calibri" w:cs="Arial"/>
          <w:bCs/>
          <w:lang w:eastAsia="es-ES_tradnl"/>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 </w:t>
      </w:r>
    </w:p>
    <w:p w:rsidRPr="00B36019" w:rsidR="00B36019" w:rsidP="00B36019" w:rsidRDefault="00B36019" w14:paraId="4858F5F8" w14:textId="77777777">
      <w:pPr>
        <w:tabs>
          <w:tab w:val="left" w:pos="709"/>
        </w:tabs>
        <w:spacing w:before="120" w:after="0" w:line="276" w:lineRule="auto"/>
        <w:jc w:val="both"/>
        <w:rPr>
          <w:rFonts w:ascii="Arial" w:hAnsi="Arial" w:eastAsia="Calibri" w:cs="Arial"/>
          <w:bCs/>
          <w:lang w:val="es-ES_tradnl" w:eastAsia="es-ES_tradnl"/>
        </w:rPr>
      </w:pPr>
      <w:r w:rsidRPr="00B36019">
        <w:rPr>
          <w:rFonts w:ascii="Arial" w:hAnsi="Arial" w:eastAsia="Times New Roman" w:cs="Arial"/>
          <w:color w:val="000000"/>
          <w:shd w:val="clear" w:color="auto" w:fill="FFFFFF"/>
          <w:lang w:eastAsia="es-ES_tradnl"/>
        </w:rPr>
        <w:tab/>
      </w:r>
      <w:r w:rsidRPr="00B36019">
        <w:rPr>
          <w:rFonts w:ascii="Arial" w:hAnsi="Arial" w:eastAsia="Times New Roman" w:cs="Arial"/>
          <w:color w:val="000000"/>
          <w:shd w:val="clear" w:color="auto" w:fill="FFFFFF"/>
          <w:lang w:eastAsia="es-ES_tradnl"/>
        </w:rPr>
        <w:t xml:space="preserve">En concordancia con ello, en concepto reciente –C-176 del 19 de abril de 2021– se puso de presente como </w:t>
      </w:r>
      <w:r w:rsidRPr="00B36019">
        <w:rPr>
          <w:rFonts w:ascii="Arial" w:hAnsi="Arial" w:eastAsia="Calibri" w:cs="Arial"/>
          <w:bCs/>
          <w:lang w:val="es-ES_tradnl" w:eastAsia="es-ES_tradnl"/>
        </w:rPr>
        <w:t>esta posición es compartida por varias entidades públicas que ejercen la misma función. Por ejemplo, la Procuraduría General de la Nación aclaró que el concepto «[…] sólo constituye un criterio auxiliar de interpretación y que no tiene carácter vinculante de acuerdo con lo dispuesto en los artículos 230 de la Constitución Política, 5° de la Ley 153 de 1887 y 28 de la ley 1437 de 2011»</w:t>
      </w:r>
      <w:r w:rsidRPr="00B36019">
        <w:rPr>
          <w:rFonts w:ascii="Arial" w:hAnsi="Arial" w:eastAsia="Calibri" w:cs="Arial"/>
          <w:bCs/>
          <w:vertAlign w:val="superscript"/>
          <w:lang w:val="es-ES_tradnl" w:eastAsia="es-ES_tradnl"/>
        </w:rPr>
        <w:footnoteReference w:id="2"/>
      </w:r>
      <w:r w:rsidRPr="00B36019">
        <w:rPr>
          <w:rFonts w:ascii="Arial" w:hAnsi="Arial" w:eastAsia="Calibri" w:cs="Arial"/>
          <w:bCs/>
          <w:lang w:val="es-ES_tradnl" w:eastAsia="es-ES_tradnl"/>
        </w:rPr>
        <w:t>. Igualmente, en concepto del año 2017</w:t>
      </w:r>
      <w:r w:rsidRPr="00B36019">
        <w:rPr>
          <w:rFonts w:ascii="Arial" w:hAnsi="Arial" w:eastAsia="Calibri" w:cs="Arial"/>
          <w:bCs/>
          <w:vertAlign w:val="superscript"/>
          <w:lang w:val="es-ES_tradnl" w:eastAsia="es-ES_tradnl"/>
        </w:rPr>
        <w:footnoteReference w:id="3"/>
      </w:r>
      <w:r w:rsidRPr="00B36019">
        <w:rPr>
          <w:rFonts w:ascii="Arial" w:hAnsi="Arial" w:eastAsia="Calibri" w:cs="Arial"/>
          <w:bCs/>
          <w:lang w:val="es-ES_tradnl" w:eastAsia="es-ES_tradnl"/>
        </w:rPr>
        <w:t xml:space="preserve">, la Contraloría General de la República precisó que los «[…] conceptos emitidos por la Oficina Jurídica de la Contraloría General de la República, son orientaciones de carácter general que […] no son de obligatorio cumplimiento o ejecución, ni tienen el carácter de </w:t>
      </w:r>
      <w:r w:rsidRPr="00B36019">
        <w:rPr>
          <w:rFonts w:ascii="Arial" w:hAnsi="Arial" w:eastAsia="Calibri" w:cs="Arial"/>
          <w:bCs/>
          <w:lang w:val="es-ES_tradnl" w:eastAsia="es-ES_tradnl"/>
        </w:rPr>
        <w:lastRenderedPageBreak/>
        <w:t>fuente normativa y sólo pueden ser utilizados para facilitar la interpretación y aplicación de las normas jurídicas vigentes […]».</w:t>
      </w:r>
    </w:p>
    <w:p w:rsidRPr="00B36019" w:rsidR="00B36019" w:rsidP="00B36019" w:rsidRDefault="00B36019" w14:paraId="17E1169E" w14:textId="77777777">
      <w:pPr>
        <w:tabs>
          <w:tab w:val="left" w:pos="709"/>
        </w:tabs>
        <w:spacing w:before="120" w:after="0" w:line="276" w:lineRule="auto"/>
        <w:jc w:val="both"/>
        <w:rPr>
          <w:rFonts w:ascii="Arial" w:hAnsi="Arial" w:eastAsia="Calibri" w:cs="Arial"/>
          <w:bCs/>
          <w:lang w:val="es-ES_tradnl" w:eastAsia="es-ES_tradnl"/>
        </w:rPr>
      </w:pPr>
      <w:r w:rsidRPr="00B36019">
        <w:rPr>
          <w:rFonts w:ascii="Arial" w:hAnsi="Arial" w:eastAsia="Calibri" w:cs="Arial"/>
          <w:bCs/>
          <w:lang w:val="es-ES_tradnl" w:eastAsia="es-ES_tradnl"/>
        </w:rPr>
        <w:tab/>
      </w:r>
      <w:r w:rsidRPr="00B36019">
        <w:rPr>
          <w:rFonts w:ascii="Arial" w:hAnsi="Arial" w:eastAsia="Calibri" w:cs="Arial"/>
          <w:bCs/>
          <w:lang w:val="es-ES_tradnl" w:eastAsia="es-ES_tradnl"/>
        </w:rPr>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B36019">
        <w:rPr>
          <w:rFonts w:ascii="Arial" w:hAnsi="Arial" w:eastAsia="Calibri" w:cs="Arial"/>
          <w:bCs/>
          <w:i/>
          <w:iCs/>
          <w:lang w:val="es-ES_tradnl" w:eastAsia="es-ES_tradnl"/>
        </w:rPr>
        <w:t>única</w:t>
      </w:r>
      <w:r w:rsidRPr="00B36019">
        <w:rPr>
          <w:rFonts w:ascii="Arial" w:hAnsi="Arial" w:eastAsia="Calibri" w:cs="Arial"/>
          <w:bCs/>
          <w:lang w:val="es-ES_tradnl" w:eastAsia="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B36019">
        <w:rPr>
          <w:rFonts w:ascii="Arial" w:hAnsi="Arial" w:eastAsia="Calibri" w:cs="Arial"/>
          <w:bCs/>
          <w:vertAlign w:val="superscript"/>
          <w:lang w:val="es-ES_tradnl" w:eastAsia="es-ES_tradnl"/>
        </w:rPr>
        <w:footnoteReference w:id="4"/>
      </w:r>
      <w:r w:rsidRPr="00B36019">
        <w:rPr>
          <w:rFonts w:ascii="Arial" w:hAnsi="Arial" w:eastAsia="Calibri" w:cs="Arial"/>
          <w:bCs/>
          <w:lang w:val="es-ES_tradnl" w:eastAsia="es-ES_tradnl"/>
        </w:rPr>
        <w:t>.</w:t>
      </w:r>
    </w:p>
    <w:p w:rsidRPr="00B36019" w:rsidR="00B36019" w:rsidP="00B36019" w:rsidRDefault="00B36019" w14:paraId="312D77FA" w14:textId="77777777">
      <w:pPr>
        <w:tabs>
          <w:tab w:val="left" w:pos="709"/>
        </w:tabs>
        <w:spacing w:before="120" w:after="0" w:line="276" w:lineRule="auto"/>
        <w:ind w:firstLine="709"/>
        <w:jc w:val="both"/>
        <w:rPr>
          <w:rFonts w:ascii="Arial" w:hAnsi="Arial" w:eastAsia="Calibri" w:cs="Arial"/>
          <w:bCs/>
          <w:lang w:val="es-ES_tradnl" w:eastAsia="es-ES_tradnl"/>
        </w:rPr>
      </w:pPr>
      <w:r w:rsidRPr="00B36019">
        <w:rPr>
          <w:rFonts w:ascii="Arial" w:hAnsi="Arial" w:eastAsia="Calibri" w:cs="Arial"/>
          <w:bCs/>
          <w:lang w:val="es-ES_tradnl" w:eastAsia="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rsidRPr="00B36019" w:rsidR="00B36019" w:rsidP="00B36019" w:rsidRDefault="00B36019" w14:paraId="38607DB9" w14:textId="77777777">
      <w:pPr>
        <w:tabs>
          <w:tab w:val="left" w:pos="709"/>
        </w:tabs>
        <w:spacing w:before="120" w:after="0" w:line="276" w:lineRule="auto"/>
        <w:ind w:firstLine="709"/>
        <w:jc w:val="both"/>
        <w:rPr>
          <w:rFonts w:ascii="Arial" w:hAnsi="Arial" w:eastAsia="Calibri" w:cs="Arial"/>
          <w:bCs/>
          <w:lang w:val="es-ES_tradnl" w:eastAsia="es-ES_tradnl"/>
        </w:rPr>
      </w:pPr>
      <w:r w:rsidRPr="00B36019">
        <w:rPr>
          <w:rFonts w:ascii="Arial" w:hAnsi="Arial" w:eastAsia="Calibri" w:cs="Arial"/>
          <w:bCs/>
          <w:lang w:val="es-ES_tradnl" w:eastAsia="es-ES_tradnl"/>
        </w:rPr>
        <w:t xml:space="preserve">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rsidRPr="00B36019" w:rsidR="00B36019" w:rsidP="00B36019" w:rsidRDefault="00B36019" w14:paraId="68C3FC1E" w14:textId="77777777">
      <w:pPr>
        <w:spacing w:after="0" w:line="276" w:lineRule="auto"/>
        <w:jc w:val="both"/>
        <w:rPr>
          <w:rFonts w:ascii="Arial" w:hAnsi="Arial" w:eastAsia="Times New Roman" w:cs="Arial"/>
          <w:b/>
          <w:bCs/>
          <w:szCs w:val="24"/>
          <w:lang w:eastAsia="es-ES_tradnl"/>
        </w:rPr>
      </w:pPr>
    </w:p>
    <w:p w:rsidRPr="00B36019" w:rsidR="00B36019" w:rsidP="00B36019" w:rsidRDefault="00B36019" w14:paraId="41AC09E7" w14:textId="77777777">
      <w:pPr>
        <w:spacing w:after="0" w:line="276" w:lineRule="auto"/>
        <w:jc w:val="both"/>
        <w:rPr>
          <w:rFonts w:ascii="Arial" w:hAnsi="Arial" w:eastAsia="Calibri" w:cs="Arial"/>
          <w:b/>
          <w:szCs w:val="24"/>
          <w:lang w:eastAsia="es-ES_tradnl"/>
        </w:rPr>
      </w:pPr>
      <w:r w:rsidRPr="00B36019">
        <w:rPr>
          <w:rFonts w:ascii="Arial" w:hAnsi="Arial" w:eastAsia="Calibri" w:cs="Arial"/>
          <w:b/>
          <w:szCs w:val="24"/>
          <w:lang w:eastAsia="es-ES_tradnl"/>
        </w:rPr>
        <w:t>2.2. Aproximación general al concepto de experiencia en la contratación pública</w:t>
      </w:r>
    </w:p>
    <w:p w:rsidRPr="00B36019" w:rsidR="00B36019" w:rsidP="00B36019" w:rsidRDefault="00B36019" w14:paraId="0004B831" w14:textId="77777777">
      <w:pPr>
        <w:spacing w:after="0" w:line="276" w:lineRule="auto"/>
        <w:jc w:val="both"/>
        <w:rPr>
          <w:rFonts w:ascii="Arial" w:hAnsi="Arial" w:eastAsia="Calibri" w:cs="Arial"/>
          <w:b/>
          <w:szCs w:val="24"/>
          <w:lang w:eastAsia="es-ES_tradnl"/>
        </w:rPr>
      </w:pPr>
    </w:p>
    <w:p w:rsidRPr="00B36019" w:rsidR="00B36019" w:rsidP="00B36019" w:rsidRDefault="00B36019" w14:paraId="501AD809" w14:textId="77777777">
      <w:pPr>
        <w:spacing w:after="0" w:line="276" w:lineRule="auto"/>
        <w:jc w:val="both"/>
        <w:rPr>
          <w:rFonts w:ascii="Arial" w:hAnsi="Arial" w:eastAsia="Calibri" w:cs="Arial"/>
          <w:szCs w:val="24"/>
          <w:highlight w:val="yellow"/>
          <w:lang w:eastAsia="es-ES_tradnl"/>
        </w:rPr>
      </w:pPr>
      <w:r w:rsidRPr="00B36019">
        <w:rPr>
          <w:rFonts w:ascii="Arial" w:hAnsi="Arial" w:eastAsia="Calibri" w:cs="Arial"/>
          <w:szCs w:val="24"/>
          <w:lang w:eastAsia="es-ES_tradn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B36019">
        <w:rPr>
          <w:rFonts w:ascii="Arial" w:hAnsi="Arial" w:eastAsia="Calibri" w:cs="Arial"/>
          <w:szCs w:val="24"/>
          <w:vertAlign w:val="superscript"/>
          <w:lang w:eastAsia="es-ES_tradnl"/>
        </w:rPr>
        <w:footnoteReference w:id="5"/>
      </w:r>
      <w:r w:rsidRPr="00B36019">
        <w:rPr>
          <w:rFonts w:ascii="Arial" w:hAnsi="Arial" w:eastAsia="Calibri" w:cs="Arial"/>
          <w:szCs w:val="24"/>
          <w:lang w:eastAsia="es-ES_tradnl"/>
        </w:rPr>
        <w:t xml:space="preserve">. En ese </w:t>
      </w:r>
      <w:r w:rsidRPr="00B36019">
        <w:rPr>
          <w:rFonts w:ascii="Arial" w:hAnsi="Arial" w:eastAsia="Calibri" w:cs="Arial"/>
          <w:szCs w:val="24"/>
          <w:lang w:eastAsia="es-ES_tradnl"/>
        </w:rPr>
        <w:lastRenderedPageBreak/>
        <w:t>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B36019">
        <w:rPr>
          <w:rFonts w:ascii="Arial" w:hAnsi="Arial" w:eastAsia="Calibri" w:cs="Arial"/>
          <w:szCs w:val="24"/>
          <w:vertAlign w:val="superscript"/>
          <w:lang w:eastAsia="es-ES_tradnl"/>
        </w:rPr>
        <w:footnoteReference w:id="6"/>
      </w:r>
      <w:r w:rsidRPr="00B36019">
        <w:rPr>
          <w:rFonts w:ascii="Arial" w:hAnsi="Arial" w:eastAsia="Calibri" w:cs="Arial"/>
          <w:szCs w:val="24"/>
          <w:lang w:eastAsia="es-ES_tradnl"/>
        </w:rPr>
        <w:t>.</w:t>
      </w:r>
    </w:p>
    <w:p w:rsidRPr="00B36019" w:rsidR="00B36019" w:rsidP="00B36019" w:rsidRDefault="00B36019" w14:paraId="30DEBFDE"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La experiencia que se deriva de los contratos que el proponente ha celebrado y ejecutado con diferentes contratantes, sin importar la naturaleza de estos, se verifica con el Registro Único de Proponentes – RUP</w:t>
      </w:r>
      <w:r w:rsidRPr="00B36019">
        <w:rPr>
          <w:rFonts w:ascii="Arial" w:hAnsi="Arial" w:eastAsia="Calibri" w:cs="Arial"/>
          <w:szCs w:val="24"/>
          <w:vertAlign w:val="superscript"/>
          <w:lang w:eastAsia="es-ES_tradnl"/>
        </w:rPr>
        <w:footnoteReference w:id="7"/>
      </w:r>
      <w:r w:rsidRPr="00B36019">
        <w:rPr>
          <w:rFonts w:ascii="Arial" w:hAnsi="Arial" w:eastAsia="Calibri" w:cs="Arial"/>
          <w:szCs w:val="24"/>
          <w:lang w:eastAsia="es-ES_tradn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B36019">
        <w:rPr>
          <w:rFonts w:ascii="Arial" w:hAnsi="Arial" w:eastAsia="Calibri" w:cs="Arial"/>
          <w:szCs w:val="24"/>
          <w:vertAlign w:val="superscript"/>
          <w:lang w:eastAsia="es-ES_tradnl"/>
        </w:rPr>
        <w:footnoteReference w:id="8"/>
      </w:r>
      <w:r w:rsidRPr="00B36019">
        <w:rPr>
          <w:rFonts w:ascii="Arial" w:hAnsi="Arial" w:eastAsia="Calibri" w:cs="Arial"/>
          <w:szCs w:val="24"/>
          <w:lang w:eastAsia="es-ES_tradnl"/>
        </w:rPr>
        <w:t>.</w:t>
      </w:r>
    </w:p>
    <w:p w:rsidRPr="00B36019" w:rsidR="00B36019" w:rsidP="00B36019" w:rsidRDefault="00B36019" w14:paraId="6C736CE1" w14:textId="77777777">
      <w:pPr>
        <w:spacing w:after="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w:t>
      </w:r>
      <w:r w:rsidRPr="00B36019">
        <w:rPr>
          <w:rFonts w:ascii="Arial" w:hAnsi="Arial" w:eastAsia="Calibri" w:cs="Arial"/>
          <w:szCs w:val="24"/>
          <w:vertAlign w:val="superscript"/>
          <w:lang w:eastAsia="es-ES_tradnl"/>
        </w:rPr>
        <w:footnoteReference w:id="9"/>
      </w:r>
      <w:r w:rsidRPr="00B36019">
        <w:rPr>
          <w:rFonts w:ascii="Arial" w:hAnsi="Arial" w:eastAsia="Calibri" w:cs="Arial"/>
          <w:szCs w:val="24"/>
          <w:lang w:eastAsia="es-ES_tradnl"/>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rsidRPr="00B36019" w:rsidR="00B36019" w:rsidP="00B36019" w:rsidRDefault="00B36019" w14:paraId="2324EDA6" w14:textId="77777777">
      <w:pPr>
        <w:spacing w:before="120" w:after="0" w:line="276" w:lineRule="auto"/>
        <w:ind w:firstLine="709"/>
        <w:jc w:val="both"/>
        <w:rPr>
          <w:rFonts w:ascii="Arial" w:hAnsi="Arial" w:eastAsia="Calibri" w:cs="Arial"/>
          <w:szCs w:val="24"/>
          <w:lang w:eastAsia="es-ES_tradnl"/>
        </w:rPr>
      </w:pPr>
      <w:r w:rsidRPr="00B36019">
        <w:rPr>
          <w:rFonts w:ascii="Arial" w:hAnsi="Arial" w:eastAsia="Calibri" w:cs="Arial"/>
          <w:szCs w:val="24"/>
          <w:lang w:eastAsia="es-ES_tradnl"/>
        </w:rPr>
        <w:t xml:space="preserve">La Agencia Nacional de Contratación Pública - Colombia Compra Eficiente puso a disposición de los interesados del Sistema de Compra Pública el </w:t>
      </w:r>
      <w:r w:rsidRPr="00B36019">
        <w:rPr>
          <w:rFonts w:ascii="Arial" w:hAnsi="Arial" w:eastAsia="Calibri" w:cs="Arial"/>
          <w:i/>
          <w:iCs/>
          <w:szCs w:val="24"/>
          <w:lang w:eastAsia="es-ES_tradnl"/>
        </w:rPr>
        <w:t>Manual para determinar y verificar requisitos habilitantes en los procesos de contratación</w:t>
      </w:r>
      <w:r w:rsidRPr="00B36019">
        <w:rPr>
          <w:rFonts w:ascii="Arial" w:hAnsi="Arial" w:eastAsia="Calibri" w:cs="Arial"/>
          <w:szCs w:val="24"/>
          <w:lang w:eastAsia="es-ES_tradnl"/>
        </w:rPr>
        <w:t>. En dicho Manual se establecen las definiciones de cada requisito habilitante y se dan lineamientos orientadores sobre lo que las entidades pueden hacer para configurarlos. Sobre el particular, para la experiencia, como requisito habilitante señalado en su consulta, el Manual se centra en una de sus cualidades y es que es personal, lo cual significa que quien tiene la experiencia lo hace en razón de su participación, con anterioridad, en actividades que le permitieron conocer cómo ejecutar el objeto contractual que la entidad pretende satisfacer ahora</w:t>
      </w:r>
      <w:r w:rsidRPr="00B36019">
        <w:rPr>
          <w:rFonts w:ascii="Arial" w:hAnsi="Arial" w:eastAsia="Calibri" w:cs="Arial"/>
          <w:szCs w:val="24"/>
          <w:vertAlign w:val="superscript"/>
          <w:lang w:eastAsia="es-ES_tradnl"/>
        </w:rPr>
        <w:footnoteReference w:id="10"/>
      </w:r>
      <w:r w:rsidRPr="00B36019">
        <w:rPr>
          <w:rFonts w:ascii="Arial" w:hAnsi="Arial" w:eastAsia="Calibri" w:cs="Arial"/>
          <w:szCs w:val="24"/>
          <w:lang w:eastAsia="es-ES_tradnl"/>
        </w:rPr>
        <w:t>.</w:t>
      </w:r>
    </w:p>
    <w:p w:rsidRPr="00B36019" w:rsidR="00B36019" w:rsidP="00B36019" w:rsidRDefault="00B36019" w14:paraId="5ABDC129"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lastRenderedPageBreak/>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w:t>
      </w:r>
      <w:proofErr w:type="gramStart"/>
      <w:r w:rsidRPr="00B36019">
        <w:rPr>
          <w:rFonts w:ascii="Arial" w:hAnsi="Arial" w:eastAsia="Calibri" w:cs="Arial"/>
          <w:szCs w:val="24"/>
          <w:lang w:eastAsia="es-ES_tradnl"/>
        </w:rPr>
        <w:t>personal</w:t>
      </w:r>
      <w:proofErr w:type="gramEnd"/>
      <w:r w:rsidRPr="00B36019">
        <w:rPr>
          <w:rFonts w:ascii="Arial" w:hAnsi="Arial" w:eastAsia="Calibri" w:cs="Arial"/>
          <w:szCs w:val="24"/>
          <w:lang w:eastAsia="es-ES_tradnl"/>
        </w:rPr>
        <w:t xml:space="preserve">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rsidRPr="00B36019" w:rsidR="00B36019" w:rsidP="00B36019" w:rsidRDefault="00B36019" w14:paraId="3CA82327"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 xml:space="preserve">Finalmente, se pueden extraer cuatro conclusiones relevantes para evaluar a continuación las figuras y reformas estatutarias de las sociedades comerciales, respecto de la experiencia: </w:t>
      </w:r>
    </w:p>
    <w:p w:rsidRPr="00B36019" w:rsidR="00B36019" w:rsidP="00B36019" w:rsidRDefault="00B36019" w14:paraId="1959602B"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i) La experiencia es personal, esto es, se adquiere participando, directa o indirectamente, sin que sea posible no hacerlo y tener experiencia.</w:t>
      </w:r>
    </w:p>
    <w:p w:rsidRPr="00B36019" w:rsidR="00B36019" w:rsidP="00B36019" w:rsidRDefault="00B36019" w14:paraId="14CB12A9" w14:textId="77777777">
      <w:pPr>
        <w:spacing w:before="120" w:after="120" w:line="276" w:lineRule="auto"/>
        <w:ind w:firstLine="708"/>
        <w:jc w:val="both"/>
        <w:rPr>
          <w:rFonts w:ascii="Arial" w:hAnsi="Arial" w:eastAsia="Calibri" w:cs="Arial"/>
          <w:szCs w:val="24"/>
          <w:lang w:eastAsia="es-ES_tradnl"/>
        </w:rPr>
      </w:pPr>
      <w:proofErr w:type="spellStart"/>
      <w:r w:rsidRPr="00B36019">
        <w:rPr>
          <w:rFonts w:ascii="Arial" w:hAnsi="Arial" w:eastAsia="Calibri" w:cs="Arial"/>
          <w:szCs w:val="24"/>
          <w:lang w:eastAsia="es-ES_tradnl"/>
        </w:rPr>
        <w:t>ii</w:t>
      </w:r>
      <w:proofErr w:type="spellEnd"/>
      <w:r w:rsidRPr="00B36019">
        <w:rPr>
          <w:rFonts w:ascii="Arial" w:hAnsi="Arial" w:eastAsia="Calibri" w:cs="Arial"/>
          <w:szCs w:val="24"/>
          <w:lang w:eastAsia="es-ES_tradnl"/>
        </w:rPr>
        <w:t xml:space="preserve">)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w:t>
      </w:r>
      <w:proofErr w:type="gramStart"/>
      <w:r w:rsidRPr="00B36019">
        <w:rPr>
          <w:rFonts w:ascii="Arial" w:hAnsi="Arial" w:eastAsia="Calibri" w:cs="Arial"/>
          <w:szCs w:val="24"/>
          <w:lang w:eastAsia="es-ES_tradnl"/>
        </w:rPr>
        <w:t>̶  que</w:t>
      </w:r>
      <w:proofErr w:type="gramEnd"/>
      <w:r w:rsidRPr="00B36019">
        <w:rPr>
          <w:rFonts w:ascii="Arial" w:hAnsi="Arial" w:eastAsia="Calibri" w:cs="Arial"/>
          <w:szCs w:val="24"/>
          <w:lang w:eastAsia="es-ES_tradnl"/>
        </w:rPr>
        <w:t xml:space="preserve"> se verificará en el documento privado de constitución</w:t>
      </w:r>
      <w:r w:rsidRPr="00B36019">
        <w:rPr>
          <w:rFonts w:ascii="Arial" w:hAnsi="Arial" w:eastAsia="Calibri" w:cs="Arial"/>
          <w:szCs w:val="24"/>
          <w:vertAlign w:val="superscript"/>
          <w:lang w:eastAsia="es-ES_tradnl"/>
        </w:rPr>
        <w:footnoteReference w:id="11"/>
      </w:r>
      <w:r w:rsidRPr="00B36019">
        <w:rPr>
          <w:rFonts w:ascii="Arial" w:hAnsi="Arial" w:eastAsia="Calibri" w:cs="Arial"/>
          <w:szCs w:val="24"/>
          <w:lang w:eastAsia="es-ES_tradnl"/>
        </w:rPr>
        <w:t>.</w:t>
      </w:r>
    </w:p>
    <w:p w:rsidRPr="00B36019" w:rsidR="00B36019" w:rsidP="00B36019" w:rsidRDefault="00B36019" w14:paraId="4D97AA58" w14:textId="77777777">
      <w:pPr>
        <w:spacing w:before="120" w:after="120" w:line="276" w:lineRule="auto"/>
        <w:ind w:firstLine="708"/>
        <w:jc w:val="both"/>
        <w:rPr>
          <w:rFonts w:ascii="Arial" w:hAnsi="Arial" w:eastAsia="Calibri" w:cs="Arial"/>
          <w:szCs w:val="24"/>
          <w:lang w:eastAsia="es-ES_tradnl"/>
        </w:rPr>
      </w:pPr>
      <w:proofErr w:type="spellStart"/>
      <w:r w:rsidRPr="00B36019">
        <w:rPr>
          <w:rFonts w:ascii="Arial" w:hAnsi="Arial" w:eastAsia="Calibri" w:cs="Arial"/>
          <w:szCs w:val="24"/>
          <w:lang w:eastAsia="es-ES_tradnl"/>
        </w:rPr>
        <w:t>iii</w:t>
      </w:r>
      <w:proofErr w:type="spellEnd"/>
      <w:r w:rsidRPr="00B36019">
        <w:rPr>
          <w:rFonts w:ascii="Arial" w:hAnsi="Arial" w:eastAsia="Calibri" w:cs="Arial"/>
          <w:szCs w:val="24"/>
          <w:lang w:eastAsia="es-ES_tradnl"/>
        </w:rPr>
        <w:t>)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rsidRPr="00B36019" w:rsidR="00B36019" w:rsidP="00B36019" w:rsidRDefault="00B36019" w14:paraId="4E6EE0B6" w14:textId="77777777">
      <w:pPr>
        <w:spacing w:after="0" w:line="276" w:lineRule="auto"/>
        <w:ind w:firstLine="708"/>
        <w:jc w:val="both"/>
        <w:rPr>
          <w:rFonts w:ascii="Arial" w:hAnsi="Arial" w:eastAsia="Calibri" w:cs="Arial"/>
          <w:szCs w:val="24"/>
          <w:lang w:eastAsia="es-ES_tradnl"/>
        </w:rPr>
      </w:pPr>
      <w:proofErr w:type="spellStart"/>
      <w:r w:rsidRPr="00B36019">
        <w:rPr>
          <w:rFonts w:ascii="Arial" w:hAnsi="Arial" w:eastAsia="Calibri" w:cs="Arial"/>
          <w:szCs w:val="24"/>
          <w:lang w:eastAsia="es-ES_tradnl"/>
        </w:rPr>
        <w:lastRenderedPageBreak/>
        <w:t>iv</w:t>
      </w:r>
      <w:proofErr w:type="spellEnd"/>
      <w:r w:rsidRPr="00B36019">
        <w:rPr>
          <w:rFonts w:ascii="Arial" w:hAnsi="Arial" w:eastAsia="Calibri" w:cs="Arial"/>
          <w:szCs w:val="24"/>
          <w:lang w:eastAsia="es-ES_tradnl"/>
        </w:rPr>
        <w:t>) Cuando la persona que adquirió la experiencia desaparece o se liquida no es posible que comparta o transfiera su experiencia, porque, al ser personal, sigue la suerte de quien la adquirió.</w:t>
      </w:r>
    </w:p>
    <w:p w:rsidRPr="00B36019" w:rsidR="00B36019" w:rsidP="00B36019" w:rsidRDefault="00B36019" w14:paraId="0EAF91CB"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De lo anterior se sigue que, por regla general, en la actividad contractual regulada por el Estatuto General de Contratación de la Administración Pública la experiencia es personal e intransferible, salvo algunas excepciones. 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«Si la constitución del interesado es menor a tres (3) años, puede acreditar la experiencia de sus accionistas, socios o constituyentes».</w:t>
      </w:r>
    </w:p>
    <w:p w:rsidRPr="00B36019" w:rsidR="00B36019" w:rsidP="00B36019" w:rsidRDefault="00B36019" w14:paraId="0078CCE7" w14:textId="77777777">
      <w:pPr>
        <w:spacing w:before="120" w:after="0" w:line="276" w:lineRule="auto"/>
        <w:ind w:firstLine="709"/>
        <w:jc w:val="both"/>
        <w:rPr>
          <w:rFonts w:ascii="Arial" w:hAnsi="Arial" w:eastAsia="Calibri" w:cs="Arial"/>
          <w:szCs w:val="24"/>
          <w:lang w:eastAsia="es-ES_tradnl"/>
        </w:rPr>
      </w:pPr>
      <w:r w:rsidRPr="00B36019">
        <w:rPr>
          <w:rFonts w:ascii="Arial" w:hAnsi="Arial" w:eastAsia="Calibri" w:cs="Arial"/>
          <w:szCs w:val="24"/>
          <w:lang w:eastAsia="es-ES_tradnl"/>
        </w:rPr>
        <w:t>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En efecto, la Subdirección de Gestión Contractual, en el concepto C-002 del 20 de febrero de 2020, reiterado en los conceptos C-491 del 27 de julio de 2020 y C-584 del 31 de agosto de 2020,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«Los contratos celebrados por el interesado para cada uno de los bienes, obras y servicios que ofrecerá a las Entidades Estatales, identificados con el Clasificador de Bienes y Servicios en el tercer nivel y su valor expresado en SMMLV […]». En el concepto C-002, como se dijo, la Subdirección de Gestión Contractual modificó razonablemente dicho argumento, por considerar que de conformidad con la regulación aplicable y teniendo en cuenta los conceptos de «disolución» y «liquidación» del Código de Comercio, es viable la transferencia de experiencia en la transformación y en la fusión, pero no en la escisión, lo cual se ratifica ahora.</w:t>
      </w:r>
    </w:p>
    <w:p w:rsidRPr="00B36019" w:rsidR="00B36019" w:rsidP="00B36019" w:rsidRDefault="00B36019" w14:paraId="35595737" w14:textId="77777777">
      <w:pPr>
        <w:spacing w:after="0" w:line="276" w:lineRule="auto"/>
        <w:jc w:val="both"/>
        <w:rPr>
          <w:rFonts w:ascii="Arial" w:hAnsi="Arial" w:eastAsia="Calibri" w:cs="Arial"/>
          <w:b/>
          <w:szCs w:val="24"/>
          <w:lang w:eastAsia="es-ES_tradnl"/>
        </w:rPr>
      </w:pPr>
    </w:p>
    <w:p w:rsidRPr="00B36019" w:rsidR="00B36019" w:rsidP="00B36019" w:rsidRDefault="00B36019" w14:paraId="3F73B3A5" w14:textId="77777777">
      <w:pPr>
        <w:spacing w:after="0" w:line="276" w:lineRule="auto"/>
        <w:jc w:val="both"/>
        <w:rPr>
          <w:rFonts w:ascii="Arial" w:hAnsi="Arial" w:eastAsia="Calibri" w:cs="Arial"/>
          <w:b/>
          <w:szCs w:val="24"/>
          <w:lang w:eastAsia="es-ES_tradnl"/>
        </w:rPr>
      </w:pPr>
      <w:r w:rsidRPr="00B36019">
        <w:rPr>
          <w:rFonts w:ascii="Arial" w:hAnsi="Arial" w:eastAsia="Calibri" w:cs="Arial"/>
          <w:b/>
          <w:szCs w:val="24"/>
          <w:lang w:eastAsia="es-ES_tradnl"/>
        </w:rPr>
        <w:t>2.2. Figuras y reformas estatutarias, y efectos sobre la experiencia de las sociedades comerciales</w:t>
      </w:r>
    </w:p>
    <w:p w:rsidRPr="00B36019" w:rsidR="00B36019" w:rsidP="00B36019" w:rsidRDefault="00B36019" w14:paraId="54BF9E0A" w14:textId="77777777">
      <w:pPr>
        <w:spacing w:after="0" w:line="276" w:lineRule="auto"/>
        <w:jc w:val="both"/>
        <w:rPr>
          <w:rFonts w:ascii="Arial" w:hAnsi="Arial" w:eastAsia="Calibri" w:cs="Arial"/>
          <w:b/>
          <w:szCs w:val="24"/>
          <w:lang w:eastAsia="es-ES_tradnl"/>
        </w:rPr>
      </w:pPr>
    </w:p>
    <w:p w:rsidRPr="00B36019" w:rsidR="00B36019" w:rsidP="00B36019" w:rsidRDefault="00B36019" w14:paraId="561EC6BD" w14:textId="77777777">
      <w:pPr>
        <w:spacing w:after="120" w:line="276" w:lineRule="auto"/>
        <w:jc w:val="both"/>
        <w:rPr>
          <w:rFonts w:ascii="Arial" w:hAnsi="Arial" w:eastAsia="Calibri" w:cs="Arial"/>
          <w:bCs/>
          <w:szCs w:val="24"/>
          <w:lang w:eastAsia="es-ES_tradnl"/>
        </w:rPr>
      </w:pPr>
      <w:r w:rsidRPr="00B36019">
        <w:rPr>
          <w:rFonts w:ascii="Arial" w:hAnsi="Arial" w:eastAsia="Calibri" w:cs="Arial"/>
          <w:bCs/>
          <w:szCs w:val="24"/>
          <w:lang w:eastAsia="es-ES_tradnl"/>
        </w:rPr>
        <w:t xml:space="preserve">Antes de analizar las figuras y reformas estatutarias, es necesario aclarar dos conceptos respecto de las sociedades comerciales: i) «disolución» y </w:t>
      </w:r>
      <w:proofErr w:type="spellStart"/>
      <w:r w:rsidRPr="00B36019">
        <w:rPr>
          <w:rFonts w:ascii="Arial" w:hAnsi="Arial" w:eastAsia="Calibri" w:cs="Arial"/>
          <w:bCs/>
          <w:szCs w:val="24"/>
          <w:lang w:eastAsia="es-ES_tradnl"/>
        </w:rPr>
        <w:t>ii</w:t>
      </w:r>
      <w:proofErr w:type="spellEnd"/>
      <w:r w:rsidRPr="00B36019">
        <w:rPr>
          <w:rFonts w:ascii="Arial" w:hAnsi="Arial" w:eastAsia="Calibri" w:cs="Arial"/>
          <w:bCs/>
          <w:szCs w:val="24"/>
          <w:lang w:eastAsia="es-ES_tradnl"/>
        </w:rPr>
        <w:t xml:space="preserve">) «liquidación», ya que se aplican a las figuras y reformas estatutarias, y tienen incidencia en la posibilidad de transferir o no la experiencia de una sociedad. </w:t>
      </w:r>
    </w:p>
    <w:p w:rsidRPr="00B36019" w:rsidR="00B36019" w:rsidP="00B36019" w:rsidRDefault="00B36019" w14:paraId="75BB2A15" w14:textId="77777777">
      <w:pPr>
        <w:spacing w:after="0" w:line="276" w:lineRule="auto"/>
        <w:ind w:firstLine="708"/>
        <w:jc w:val="both"/>
        <w:rPr>
          <w:rFonts w:ascii="Arial" w:hAnsi="Arial" w:eastAsia="Calibri" w:cs="Arial"/>
          <w:bCs/>
          <w:szCs w:val="24"/>
          <w:lang w:eastAsia="es-ES_tradnl"/>
        </w:rPr>
      </w:pPr>
      <w:r w:rsidRPr="00B36019">
        <w:rPr>
          <w:rFonts w:ascii="Arial" w:hAnsi="Arial" w:eastAsia="Calibri" w:cs="Arial"/>
          <w:bCs/>
          <w:szCs w:val="24"/>
          <w:lang w:eastAsia="es-ES_tradnl"/>
        </w:rPr>
        <w:t xml:space="preserve">En primer lugar, el Código de Comercio señala, como efecto de la «disolución», que la persona jurídica no desaparece, sino que conserva su capacidad jurídica, únicamente </w:t>
      </w:r>
      <w:r w:rsidRPr="00B36019">
        <w:rPr>
          <w:rFonts w:ascii="Arial" w:hAnsi="Arial" w:eastAsia="Calibri" w:cs="Arial"/>
          <w:bCs/>
          <w:szCs w:val="24"/>
          <w:lang w:eastAsia="es-ES_tradnl"/>
        </w:rPr>
        <w:lastRenderedPageBreak/>
        <w:t>para «liquidarse» y para las operaciones o actos autorizados por la ley</w:t>
      </w:r>
      <w:r w:rsidRPr="00B36019">
        <w:rPr>
          <w:rFonts w:ascii="Arial" w:hAnsi="Arial" w:eastAsia="Calibri" w:cs="Arial"/>
          <w:bCs/>
          <w:szCs w:val="24"/>
          <w:vertAlign w:val="superscript"/>
          <w:lang w:eastAsia="es-ES_tradnl"/>
        </w:rPr>
        <w:footnoteReference w:id="12"/>
      </w:r>
      <w:r w:rsidRPr="00B36019">
        <w:rPr>
          <w:rFonts w:ascii="Arial" w:hAnsi="Arial" w:eastAsia="Calibri" w:cs="Arial"/>
          <w:bCs/>
          <w:szCs w:val="24"/>
          <w:lang w:eastAsia="es-ES_tradnl"/>
        </w:rPr>
        <w:t xml:space="preserve">, como las figuras y reformas estatutarias que se verán a continuación. Con esto se anticipa </w:t>
      </w:r>
      <w:proofErr w:type="gramStart"/>
      <w:r w:rsidRPr="00B36019">
        <w:rPr>
          <w:rFonts w:ascii="Arial" w:hAnsi="Arial" w:eastAsia="Calibri" w:cs="Arial"/>
          <w:bCs/>
          <w:szCs w:val="24"/>
          <w:lang w:eastAsia="es-ES_tradnl"/>
        </w:rPr>
        <w:t>que</w:t>
      </w:r>
      <w:proofErr w:type="gramEnd"/>
      <w:r w:rsidRPr="00B36019">
        <w:rPr>
          <w:rFonts w:ascii="Arial" w:hAnsi="Arial" w:eastAsia="Calibri" w:cs="Arial"/>
          <w:bCs/>
          <w:szCs w:val="24"/>
          <w:lang w:eastAsia="es-ES_tradnl"/>
        </w:rPr>
        <w:t xml:space="preserv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w:t>
      </w:r>
      <w:r w:rsidRPr="00B36019">
        <w:rPr>
          <w:rFonts w:ascii="Arial" w:hAnsi="Arial" w:eastAsia="Calibri" w:cs="Arial"/>
          <w:bCs/>
          <w:szCs w:val="24"/>
          <w:vertAlign w:val="superscript"/>
          <w:lang w:eastAsia="es-ES_tradnl"/>
        </w:rPr>
        <w:footnoteReference w:id="13"/>
      </w:r>
      <w:r w:rsidRPr="00B36019">
        <w:rPr>
          <w:rFonts w:ascii="Arial" w:hAnsi="Arial" w:eastAsia="Calibri" w:cs="Arial"/>
          <w:bCs/>
          <w:szCs w:val="24"/>
          <w:lang w:eastAsia="es-ES_tradnl"/>
        </w:rPr>
        <w:t xml:space="preserve"> y la experiencia desaparece junto con la sociedad que la adquirió.</w:t>
      </w:r>
    </w:p>
    <w:p w:rsidRPr="00B36019" w:rsidR="00B36019" w:rsidP="00B36019" w:rsidRDefault="00B36019" w14:paraId="284A5746" w14:textId="77777777">
      <w:pPr>
        <w:spacing w:after="0" w:line="276" w:lineRule="auto"/>
        <w:jc w:val="both"/>
        <w:rPr>
          <w:rFonts w:ascii="Arial" w:hAnsi="Arial" w:eastAsia="Calibri" w:cs="Arial"/>
          <w:szCs w:val="24"/>
          <w:lang w:eastAsia="es-ES_tradnl"/>
        </w:rPr>
      </w:pPr>
    </w:p>
    <w:p w:rsidRPr="00B36019" w:rsidR="00B36019" w:rsidP="00B36019" w:rsidRDefault="00B36019" w14:paraId="4702E4C8" w14:textId="77777777">
      <w:pPr>
        <w:spacing w:after="0" w:line="276" w:lineRule="auto"/>
        <w:jc w:val="both"/>
        <w:rPr>
          <w:rFonts w:ascii="Arial" w:hAnsi="Arial" w:eastAsia="Calibri" w:cs="Arial"/>
          <w:b/>
          <w:bCs/>
          <w:szCs w:val="24"/>
          <w:lang w:eastAsia="es-ES_tradnl"/>
        </w:rPr>
      </w:pPr>
      <w:r w:rsidRPr="00B36019">
        <w:rPr>
          <w:rFonts w:ascii="Arial" w:hAnsi="Arial" w:eastAsia="Calibri" w:cs="Arial"/>
          <w:b/>
          <w:bCs/>
          <w:szCs w:val="24"/>
          <w:lang w:eastAsia="es-ES_tradnl"/>
        </w:rPr>
        <w:t>a) Transformación</w:t>
      </w:r>
    </w:p>
    <w:p w:rsidRPr="00B36019" w:rsidR="00B36019" w:rsidP="00B36019" w:rsidRDefault="00B36019" w14:paraId="550FAA04" w14:textId="77777777">
      <w:pPr>
        <w:spacing w:after="0" w:line="276" w:lineRule="auto"/>
        <w:jc w:val="both"/>
        <w:rPr>
          <w:rFonts w:ascii="Arial" w:hAnsi="Arial" w:eastAsia="Calibri" w:cs="Arial"/>
          <w:b/>
          <w:bCs/>
          <w:szCs w:val="24"/>
          <w:lang w:eastAsia="es-ES_tradnl"/>
        </w:rPr>
      </w:pPr>
    </w:p>
    <w:p w:rsidRPr="00B36019" w:rsidR="00B36019" w:rsidP="00B36019" w:rsidRDefault="00B36019" w14:paraId="54FA41BB" w14:textId="77777777">
      <w:pPr>
        <w:spacing w:after="120" w:line="276" w:lineRule="auto"/>
        <w:jc w:val="both"/>
        <w:rPr>
          <w:rFonts w:ascii="Arial" w:hAnsi="Arial" w:eastAsia="Calibri" w:cs="Arial"/>
          <w:szCs w:val="24"/>
          <w:lang w:eastAsia="es-ES_tradnl"/>
        </w:rPr>
      </w:pPr>
      <w:r w:rsidRPr="00B36019">
        <w:rPr>
          <w:rFonts w:ascii="Arial" w:hAnsi="Arial" w:eastAsia="Calibri" w:cs="Arial"/>
          <w:szCs w:val="24"/>
          <w:lang w:eastAsia="es-ES_tradnl"/>
        </w:rPr>
        <w:t>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w:t>
      </w:r>
      <w:r w:rsidRPr="00B36019">
        <w:rPr>
          <w:rFonts w:ascii="Arial" w:hAnsi="Arial" w:eastAsia="Calibri" w:cs="Arial"/>
          <w:szCs w:val="24"/>
          <w:vertAlign w:val="superscript"/>
          <w:lang w:eastAsia="es-ES_tradnl"/>
        </w:rPr>
        <w:footnoteReference w:id="14"/>
      </w:r>
      <w:r w:rsidRPr="00B36019">
        <w:rPr>
          <w:rFonts w:ascii="Arial" w:hAnsi="Arial" w:eastAsia="Calibri" w:cs="Arial"/>
          <w:szCs w:val="24"/>
          <w:lang w:eastAsia="es-ES_tradnl"/>
        </w:rPr>
        <w:t>. Es importante destacar que en esta reforma estatutaria solo participa la sociedad involucrada, y no existen otras sociedades que se relacionen o intervengan, lo cual diferencia la transformación de otras reformas o figuras.</w:t>
      </w:r>
    </w:p>
    <w:p w:rsidRPr="00B36019" w:rsidR="00B36019" w:rsidP="00B36019" w:rsidRDefault="00B36019" w14:paraId="1FB87A74" w14:textId="77777777">
      <w:pPr>
        <w:spacing w:after="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w:t>
      </w:r>
      <w:r w:rsidRPr="00B36019">
        <w:rPr>
          <w:rFonts w:ascii="Arial" w:hAnsi="Arial" w:eastAsia="Calibri" w:cs="Arial"/>
          <w:szCs w:val="24"/>
          <w:lang w:eastAsia="es-ES_tradnl"/>
        </w:rPr>
        <w:lastRenderedPageBreak/>
        <w:t xml:space="preserve">y compartirla, pero no puede trasladarla, porque para ello tendría que «disolverse» o conformar un consorcio, como se verá en la fusión y en una de las modalidades de escisión.  </w:t>
      </w:r>
    </w:p>
    <w:p w:rsidRPr="00B36019" w:rsidR="00B36019" w:rsidP="00B36019" w:rsidRDefault="00B36019" w14:paraId="033E6D9D" w14:textId="77777777">
      <w:pPr>
        <w:spacing w:after="0" w:line="276" w:lineRule="auto"/>
        <w:jc w:val="both"/>
        <w:rPr>
          <w:rFonts w:ascii="Arial" w:hAnsi="Arial" w:eastAsia="Calibri" w:cs="Arial"/>
          <w:b/>
          <w:bCs/>
          <w:szCs w:val="24"/>
          <w:lang w:eastAsia="es-ES_tradnl"/>
        </w:rPr>
      </w:pPr>
    </w:p>
    <w:p w:rsidRPr="00B36019" w:rsidR="00B36019" w:rsidP="00B36019" w:rsidRDefault="00B36019" w14:paraId="0CFFDFBA" w14:textId="77777777">
      <w:pPr>
        <w:spacing w:after="0" w:line="276" w:lineRule="auto"/>
        <w:jc w:val="both"/>
        <w:rPr>
          <w:rFonts w:ascii="Arial" w:hAnsi="Arial" w:eastAsia="Calibri" w:cs="Arial"/>
          <w:b/>
          <w:bCs/>
          <w:szCs w:val="24"/>
          <w:lang w:eastAsia="es-ES_tradnl"/>
        </w:rPr>
      </w:pPr>
      <w:r w:rsidRPr="00B36019">
        <w:rPr>
          <w:rFonts w:ascii="Arial" w:hAnsi="Arial" w:eastAsia="Calibri" w:cs="Arial"/>
          <w:b/>
          <w:bCs/>
          <w:szCs w:val="24"/>
          <w:lang w:eastAsia="es-ES_tradnl"/>
        </w:rPr>
        <w:t>b) Escisión</w:t>
      </w:r>
    </w:p>
    <w:p w:rsidRPr="00B36019" w:rsidR="00B36019" w:rsidP="00B36019" w:rsidRDefault="00B36019" w14:paraId="4F36A52F" w14:textId="77777777">
      <w:pPr>
        <w:spacing w:after="0" w:line="276" w:lineRule="auto"/>
        <w:jc w:val="both"/>
        <w:rPr>
          <w:rFonts w:ascii="Arial" w:hAnsi="Arial" w:eastAsia="Calibri" w:cs="Arial"/>
          <w:b/>
          <w:bCs/>
          <w:szCs w:val="24"/>
          <w:lang w:eastAsia="es-ES_tradnl"/>
        </w:rPr>
      </w:pPr>
    </w:p>
    <w:p w:rsidRPr="00B36019" w:rsidR="00B36019" w:rsidP="00B36019" w:rsidRDefault="00B36019" w14:paraId="7E6BD8E6" w14:textId="77777777">
      <w:pPr>
        <w:spacing w:after="120" w:line="276" w:lineRule="auto"/>
        <w:jc w:val="both"/>
        <w:rPr>
          <w:rFonts w:ascii="Arial" w:hAnsi="Arial" w:eastAsia="Calibri" w:cs="Arial"/>
          <w:szCs w:val="24"/>
          <w:lang w:eastAsia="es-ES_tradnl"/>
        </w:rPr>
      </w:pPr>
      <w:r w:rsidRPr="00B36019">
        <w:rPr>
          <w:rFonts w:ascii="Arial" w:hAnsi="Arial" w:eastAsia="Calibri" w:cs="Arial"/>
          <w:szCs w:val="24"/>
          <w:lang w:eastAsia="es-ES_tradnl"/>
        </w:rPr>
        <w:t xml:space="preserve">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de acuerdo con lo mencionado sobre estos conceptos. En ese sentido, Colombia Compra Eficiente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rsidRPr="00B36019" w:rsidR="00B36019" w:rsidP="00B36019" w:rsidRDefault="00B36019" w14:paraId="0A6CE280" w14:textId="77777777">
      <w:pPr>
        <w:spacing w:after="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La segunda modalidad se trata de una sociedad que se «disuelve» sin «liquidarse», esto es, que implica una reforma social, lo cual no ocurre con la primera modalidad, y también existe fraccionamiento del patrimonio con el mismo fin</w:t>
      </w:r>
      <w:r w:rsidRPr="00B36019">
        <w:rPr>
          <w:rFonts w:ascii="Arial" w:hAnsi="Arial" w:eastAsia="Calibri" w:cs="Arial"/>
          <w:szCs w:val="24"/>
          <w:vertAlign w:val="superscript"/>
          <w:lang w:eastAsia="es-ES_tradnl"/>
        </w:rPr>
        <w:footnoteReference w:id="15"/>
      </w:r>
      <w:r w:rsidRPr="00B36019">
        <w:rPr>
          <w:rFonts w:ascii="Arial" w:hAnsi="Arial" w:eastAsia="Calibri" w:cs="Arial"/>
          <w:szCs w:val="24"/>
          <w:lang w:eastAsia="es-ES_tradnl"/>
        </w:rPr>
        <w:t xml:space="preserve">. Como se observa, participa una sociedad y otra, u otras, que reciben la transferencia del patrimonio en bloque. </w:t>
      </w:r>
    </w:p>
    <w:p w:rsidRPr="00B36019" w:rsidR="00B36019" w:rsidP="00B36019" w:rsidRDefault="00B36019" w14:paraId="0E39EE31"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Esto significa que la persona continúa por sí misma y </w:t>
      </w:r>
      <w:r w:rsidRPr="00B36019">
        <w:rPr>
          <w:rFonts w:ascii="Arial" w:hAnsi="Arial" w:eastAsia="Calibri" w:cs="Arial"/>
          <w:szCs w:val="24"/>
          <w:lang w:eastAsia="es-ES_tradnl"/>
        </w:rPr>
        <w:lastRenderedPageBreak/>
        <w:t xml:space="preserve">puede adquirir experiencia, pero no puede transferirla porque le pertenece, al ser quien la adquirió. </w:t>
      </w:r>
    </w:p>
    <w:p w:rsidRPr="00B36019" w:rsidR="00B36019" w:rsidP="00B36019" w:rsidRDefault="00B36019" w14:paraId="5F738F49" w14:textId="77777777">
      <w:pPr>
        <w:spacing w:before="120"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rsidRPr="00B36019" w:rsidR="00B36019" w:rsidP="00B36019" w:rsidRDefault="00B36019" w14:paraId="6F4CDA47" w14:textId="77777777">
      <w:pPr>
        <w:spacing w:before="120" w:after="0" w:line="276" w:lineRule="auto"/>
        <w:ind w:firstLine="709"/>
        <w:jc w:val="both"/>
        <w:rPr>
          <w:rFonts w:ascii="Arial" w:hAnsi="Arial" w:eastAsia="Calibri" w:cs="Arial"/>
          <w:szCs w:val="24"/>
          <w:lang w:eastAsia="es-ES_tradnl"/>
        </w:rPr>
      </w:pPr>
      <w:r w:rsidRPr="00B36019">
        <w:rPr>
          <w:rFonts w:ascii="Arial" w:hAnsi="Arial" w:eastAsia="Calibri" w:cs="Arial"/>
          <w:szCs w:val="24"/>
          <w:lang w:eastAsia="es-ES_tradnl"/>
        </w:rPr>
        <w:t>Pero en la fusión, como se verá, a pesar de que la sociedad está «disuelta» y debería «liquidarse», para desaparecer, la ley permite que no desaparezca y tenga continuidad convertida en otra sociedad, por lo que, por expresa disposición legal, la sociedad puede no «liquidarse»,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rsidRPr="00B36019" w:rsidR="00B36019" w:rsidP="00B36019" w:rsidRDefault="00B36019" w14:paraId="725ED22C" w14:textId="77777777">
      <w:pPr>
        <w:spacing w:after="0" w:line="276" w:lineRule="auto"/>
        <w:jc w:val="both"/>
        <w:rPr>
          <w:rFonts w:ascii="Arial" w:hAnsi="Arial" w:eastAsia="Calibri" w:cs="Arial"/>
          <w:szCs w:val="24"/>
          <w:lang w:eastAsia="es-ES_tradnl"/>
        </w:rPr>
      </w:pPr>
    </w:p>
    <w:p w:rsidRPr="00B36019" w:rsidR="00B36019" w:rsidP="00B36019" w:rsidRDefault="00B36019" w14:paraId="3AB1CFE8" w14:textId="77777777">
      <w:pPr>
        <w:spacing w:after="0" w:line="276" w:lineRule="auto"/>
        <w:jc w:val="both"/>
        <w:rPr>
          <w:rFonts w:ascii="Arial" w:hAnsi="Arial" w:eastAsia="Calibri" w:cs="Arial"/>
          <w:b/>
          <w:bCs/>
          <w:szCs w:val="24"/>
          <w:lang w:eastAsia="es-ES_tradnl"/>
        </w:rPr>
      </w:pPr>
      <w:r w:rsidRPr="00B36019">
        <w:rPr>
          <w:rFonts w:ascii="Arial" w:hAnsi="Arial" w:eastAsia="Calibri" w:cs="Arial"/>
          <w:b/>
          <w:bCs/>
          <w:szCs w:val="24"/>
          <w:lang w:eastAsia="es-ES_tradnl"/>
        </w:rPr>
        <w:t>c) Fusión</w:t>
      </w:r>
    </w:p>
    <w:p w:rsidRPr="00B36019" w:rsidR="00B36019" w:rsidP="00B36019" w:rsidRDefault="00B36019" w14:paraId="5281BCBD" w14:textId="77777777">
      <w:pPr>
        <w:spacing w:after="0" w:line="276" w:lineRule="auto"/>
        <w:jc w:val="both"/>
        <w:rPr>
          <w:rFonts w:ascii="Arial" w:hAnsi="Arial" w:eastAsia="Calibri" w:cs="Arial"/>
          <w:b/>
          <w:bCs/>
          <w:szCs w:val="24"/>
          <w:lang w:eastAsia="es-ES_tradnl"/>
        </w:rPr>
      </w:pPr>
    </w:p>
    <w:p w:rsidRPr="00B36019" w:rsidR="00B36019" w:rsidP="00B36019" w:rsidRDefault="00B36019" w14:paraId="5632871C" w14:textId="77777777">
      <w:pPr>
        <w:spacing w:after="0" w:line="276" w:lineRule="auto"/>
        <w:jc w:val="both"/>
        <w:rPr>
          <w:rFonts w:ascii="Arial" w:hAnsi="Arial" w:eastAsia="Calibri" w:cs="Arial"/>
          <w:szCs w:val="24"/>
          <w:lang w:eastAsia="es-ES_tradnl"/>
        </w:rPr>
      </w:pPr>
      <w:r w:rsidRPr="00B36019">
        <w:rPr>
          <w:rFonts w:ascii="Arial" w:hAnsi="Arial" w:eastAsia="Calibri" w:cs="Arial"/>
          <w:szCs w:val="24"/>
          <w:lang w:eastAsia="es-ES_tradnl"/>
        </w:rPr>
        <w:t xml:space="preserve">Es una figura con 4 tipologías: i) por absorción: una o más sociedades se «disuelven» sin «liquidarse» para ser absorbidas por otra existente; </w:t>
      </w:r>
      <w:proofErr w:type="spellStart"/>
      <w:r w:rsidRPr="00B36019">
        <w:rPr>
          <w:rFonts w:ascii="Arial" w:hAnsi="Arial" w:eastAsia="Calibri" w:cs="Arial"/>
          <w:szCs w:val="24"/>
          <w:lang w:eastAsia="es-ES_tradnl"/>
        </w:rPr>
        <w:t>ii</w:t>
      </w:r>
      <w:proofErr w:type="spellEnd"/>
      <w:r w:rsidRPr="00B36019">
        <w:rPr>
          <w:rFonts w:ascii="Arial" w:hAnsi="Arial" w:eastAsia="Calibri" w:cs="Arial"/>
          <w:szCs w:val="24"/>
          <w:lang w:eastAsia="es-ES_tradnl"/>
        </w:rPr>
        <w:t>) por creación: una o más sociedades se «disuelven» sin «liquidarse» para ser absorbidas por otra nueva</w:t>
      </w:r>
      <w:r w:rsidRPr="00B36019">
        <w:rPr>
          <w:rFonts w:ascii="Arial" w:hAnsi="Arial" w:eastAsia="Calibri" w:cs="Arial"/>
          <w:szCs w:val="24"/>
          <w:vertAlign w:val="superscript"/>
          <w:lang w:eastAsia="es-ES_tradnl"/>
        </w:rPr>
        <w:footnoteReference w:id="16"/>
      </w:r>
      <w:r w:rsidRPr="00B36019">
        <w:rPr>
          <w:rFonts w:ascii="Arial" w:hAnsi="Arial" w:eastAsia="Calibri" w:cs="Arial"/>
          <w:szCs w:val="24"/>
          <w:lang w:eastAsia="es-ES_tradnl"/>
        </w:rPr>
        <w:t xml:space="preserve">; </w:t>
      </w:r>
      <w:proofErr w:type="spellStart"/>
      <w:r w:rsidRPr="00B36019">
        <w:rPr>
          <w:rFonts w:ascii="Arial" w:hAnsi="Arial" w:eastAsia="Calibri" w:cs="Arial"/>
          <w:szCs w:val="24"/>
          <w:lang w:eastAsia="es-ES_tradnl"/>
        </w:rPr>
        <w:t>iii</w:t>
      </w:r>
      <w:proofErr w:type="spellEnd"/>
      <w:r w:rsidRPr="00B36019">
        <w:rPr>
          <w:rFonts w:ascii="Arial" w:hAnsi="Arial" w:eastAsia="Calibri" w:cs="Arial"/>
          <w:szCs w:val="24"/>
          <w:lang w:eastAsia="es-ES_tradnl"/>
        </w:rPr>
        <w:t>) impropia: una sociedad se «disuelve» sin el propósito de realizar una fusión sino de «liquidarse», y antes de la liquidación se toma la decisión de crear una sociedad</w:t>
      </w:r>
      <w:r w:rsidRPr="00B36019">
        <w:rPr>
          <w:rFonts w:ascii="Arial" w:hAnsi="Arial" w:eastAsia="Calibri" w:cs="Arial"/>
          <w:szCs w:val="24"/>
          <w:vertAlign w:val="superscript"/>
          <w:lang w:eastAsia="es-ES_tradnl"/>
        </w:rPr>
        <w:footnoteReference w:id="17"/>
      </w:r>
      <w:r w:rsidRPr="00B36019">
        <w:rPr>
          <w:rFonts w:ascii="Arial" w:hAnsi="Arial" w:eastAsia="Calibri" w:cs="Arial"/>
          <w:szCs w:val="24"/>
          <w:lang w:eastAsia="es-ES_tradnl"/>
        </w:rPr>
        <w:t xml:space="preserve">; </w:t>
      </w:r>
      <w:proofErr w:type="spellStart"/>
      <w:r w:rsidRPr="00B36019">
        <w:rPr>
          <w:rFonts w:ascii="Arial" w:hAnsi="Arial" w:eastAsia="Calibri" w:cs="Arial"/>
          <w:szCs w:val="24"/>
          <w:lang w:eastAsia="es-ES_tradnl"/>
        </w:rPr>
        <w:t>iv</w:t>
      </w:r>
      <w:proofErr w:type="spellEnd"/>
      <w:r w:rsidRPr="00B36019">
        <w:rPr>
          <w:rFonts w:ascii="Arial" w:hAnsi="Arial" w:eastAsia="Calibri" w:cs="Arial"/>
          <w:szCs w:val="24"/>
          <w:lang w:eastAsia="es-ES_tradnl"/>
        </w:rPr>
        <w:t>) abreviada: solo aplica cuando una Sociedad por Acciones Simplificada (S.A.S.) pertenece a otra sociedad en más del 90% de sus acciones, y es posible que esa sociedad controlante absorba a la S.A.S, es decir, que ocurra una fusión por absorción</w:t>
      </w:r>
      <w:r w:rsidRPr="00B36019">
        <w:rPr>
          <w:rFonts w:ascii="Arial" w:hAnsi="Arial" w:eastAsia="Calibri" w:cs="Arial"/>
          <w:szCs w:val="24"/>
          <w:vertAlign w:val="superscript"/>
          <w:lang w:eastAsia="es-ES_tradnl"/>
        </w:rPr>
        <w:footnoteReference w:id="18"/>
      </w:r>
      <w:r w:rsidRPr="00B36019">
        <w:rPr>
          <w:rFonts w:ascii="Arial" w:hAnsi="Arial" w:eastAsia="Calibri" w:cs="Arial"/>
          <w:szCs w:val="24"/>
          <w:lang w:eastAsia="es-ES_tradnl"/>
        </w:rPr>
        <w:t xml:space="preserve">. La norma no se refiere a la «disolución de la </w:t>
      </w:r>
      <w:r w:rsidRPr="00B36019">
        <w:rPr>
          <w:rFonts w:ascii="Arial" w:hAnsi="Arial" w:eastAsia="Calibri" w:cs="Arial"/>
          <w:szCs w:val="24"/>
          <w:lang w:eastAsia="es-ES_tradnl"/>
        </w:rPr>
        <w:lastRenderedPageBreak/>
        <w:t>S.A.S», lo cual no implica que no exista fusión, sino que es abreviada porque no se requiere configurar el estado de «disolución» de la sociedad.</w:t>
      </w:r>
    </w:p>
    <w:p w:rsidRPr="00B36019" w:rsidR="00B36019" w:rsidP="00B36019" w:rsidRDefault="00B36019" w14:paraId="6B761EF3" w14:textId="77777777">
      <w:pPr>
        <w:spacing w:before="120" w:after="0" w:line="276" w:lineRule="auto"/>
        <w:ind w:firstLine="708"/>
        <w:jc w:val="both"/>
        <w:rPr>
          <w:rFonts w:ascii="Arial" w:hAnsi="Arial" w:eastAsia="Calibri" w:cs="Arial"/>
          <w:bCs/>
          <w:szCs w:val="24"/>
          <w:lang w:eastAsia="es-ES_tradnl"/>
        </w:rPr>
      </w:pPr>
      <w:bookmarkStart w:name="_Hlk77271644" w:id="6"/>
      <w:r w:rsidRPr="00B36019">
        <w:rPr>
          <w:rFonts w:ascii="Arial" w:hAnsi="Arial" w:eastAsia="Calibri" w:cs="Arial"/>
          <w:bCs/>
          <w:szCs w:val="24"/>
          <w:lang w:eastAsia="es-ES_tradnl"/>
        </w:rPr>
        <w:t xml:space="preserve">Para analizar la fusión y sus efectos respecto de la experiencia de la sociedad que se </w:t>
      </w:r>
      <w:r w:rsidRPr="00B36019">
        <w:rPr>
          <w:rFonts w:ascii="Arial" w:hAnsi="Arial" w:eastAsia="Calibri" w:cs="Arial"/>
          <w:szCs w:val="24"/>
          <w:lang w:eastAsia="es-ES_tradnl"/>
        </w:rPr>
        <w:t>«</w:t>
      </w:r>
      <w:r w:rsidRPr="00B36019">
        <w:rPr>
          <w:rFonts w:ascii="Arial" w:hAnsi="Arial" w:eastAsia="Calibri" w:cs="Arial"/>
          <w:bCs/>
          <w:szCs w:val="24"/>
          <w:lang w:eastAsia="es-ES_tradnl"/>
        </w:rPr>
        <w:t xml:space="preserve">disuelve» pero no se </w:t>
      </w:r>
      <w:r w:rsidRPr="00B36019">
        <w:rPr>
          <w:rFonts w:ascii="Arial" w:hAnsi="Arial" w:eastAsia="Calibri" w:cs="Arial"/>
          <w:szCs w:val="24"/>
          <w:lang w:eastAsia="es-ES_tradnl"/>
        </w:rPr>
        <w:t>«</w:t>
      </w:r>
      <w:r w:rsidRPr="00B36019">
        <w:rPr>
          <w:rFonts w:ascii="Arial" w:hAnsi="Arial" w:eastAsia="Calibri" w:cs="Arial"/>
          <w:bCs/>
          <w:szCs w:val="24"/>
          <w:lang w:eastAsia="es-ES_tradnl"/>
        </w:rPr>
        <w:t>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bookmarkEnd w:id="6"/>
    <w:p w:rsidRPr="00B36019" w:rsidR="00B36019" w:rsidP="00B36019" w:rsidRDefault="00B36019" w14:paraId="2D8E520E" w14:textId="77777777">
      <w:pPr>
        <w:spacing w:before="120" w:after="0" w:line="276" w:lineRule="auto"/>
        <w:ind w:firstLine="708"/>
        <w:jc w:val="both"/>
        <w:rPr>
          <w:rFonts w:ascii="Arial" w:hAnsi="Arial" w:eastAsia="Calibri" w:cs="Arial"/>
          <w:bCs/>
          <w:szCs w:val="24"/>
          <w:lang w:eastAsia="es-ES_tradnl"/>
        </w:rPr>
      </w:pPr>
      <w:r w:rsidRPr="00B36019">
        <w:rPr>
          <w:rFonts w:ascii="Arial" w:hAnsi="Arial" w:eastAsia="Calibri" w:cs="Arial"/>
          <w:bCs/>
          <w:szCs w:val="24"/>
          <w:lang w:eastAsia="es-ES_tradnl"/>
        </w:rPr>
        <w:t xml:space="preserve">La anterior conclusión es coherente con lo establecido en la Guía de Asuntos Corporativos en los Procesos de Contratación, expedida por la Agencia Nacional de Contratación Pública - Colombia Compra Eficiente, pues en ella se dice que «La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 Obsérvese que la Guía no establece que la experiencia es «siempre» intransferible, sino que sostiene que ello es así «en principio». Además, precisa que no es posible transferir la experiencia en la escisión y en la liquidación, justamente porque esos casos la persona jurídica desaparece, lo que no sucede en la fusión. Es decir que en este supuesto sí es posible la transferencia de la experiencia de la sociedad fusionada a la resultante. </w:t>
      </w:r>
    </w:p>
    <w:p w:rsidRPr="00B36019" w:rsidR="00B36019" w:rsidP="00B36019" w:rsidRDefault="00B36019" w14:paraId="47EEADA4" w14:textId="77777777">
      <w:pPr>
        <w:spacing w:before="120" w:after="0" w:line="276" w:lineRule="auto"/>
        <w:ind w:firstLine="708"/>
        <w:jc w:val="both"/>
        <w:rPr>
          <w:rFonts w:ascii="Arial" w:hAnsi="Arial" w:eastAsia="Calibri" w:cs="Arial"/>
          <w:bCs/>
          <w:szCs w:val="24"/>
          <w:lang w:eastAsia="es-ES_tradnl"/>
        </w:rPr>
      </w:pPr>
      <w:r w:rsidRPr="00B36019">
        <w:rPr>
          <w:rFonts w:ascii="Arial" w:hAnsi="Arial" w:eastAsia="Calibri" w:cs="Arial"/>
          <w:bCs/>
          <w:szCs w:val="24"/>
          <w:lang w:eastAsia="es-ES_tradnl"/>
        </w:rPr>
        <w:t>Esta postura en torno a la validez de la transferencia de experiencia de la sociedad absorbida a la absorbente es compartida por la Superintendencia de Sociedades. Dicha entidad en ejercicio de la función consultiva ha manifestado que esta figura es adecuada que la sociedad absorbida transfiera a la segunda sus atributos en lo relacionado con la experiencia</w:t>
      </w:r>
      <w:r w:rsidRPr="00B36019">
        <w:rPr>
          <w:rFonts w:ascii="Arial" w:hAnsi="Arial" w:eastAsia="Calibri" w:cs="Arial"/>
          <w:bCs/>
          <w:szCs w:val="24"/>
          <w:vertAlign w:val="superscript"/>
          <w:lang w:eastAsia="es-ES_tradnl"/>
        </w:rPr>
        <w:footnoteReference w:id="19"/>
      </w:r>
      <w:r w:rsidRPr="00B36019">
        <w:rPr>
          <w:rFonts w:ascii="Arial" w:hAnsi="Arial" w:eastAsia="Calibri" w:cs="Arial"/>
          <w:bCs/>
          <w:szCs w:val="24"/>
          <w:lang w:eastAsia="es-ES_tradnl"/>
        </w:rPr>
        <w:t xml:space="preserve">. Al respecto se ha manifestado: </w:t>
      </w:r>
    </w:p>
    <w:p w:rsidRPr="00B36019" w:rsidR="00B36019" w:rsidP="00B36019" w:rsidRDefault="00B36019" w14:paraId="2A883C27" w14:textId="77777777">
      <w:pPr>
        <w:spacing w:after="0" w:line="240" w:lineRule="auto"/>
        <w:ind w:left="709" w:right="709"/>
        <w:jc w:val="both"/>
        <w:rPr>
          <w:rFonts w:ascii="Arial" w:hAnsi="Arial" w:eastAsia="Times New Roman" w:cs="Arial"/>
          <w:sz w:val="21"/>
          <w:szCs w:val="21"/>
          <w:lang w:eastAsia="es-ES_tradnl"/>
        </w:rPr>
      </w:pPr>
    </w:p>
    <w:p w:rsidRPr="00B36019" w:rsidR="00B36019" w:rsidP="00B36019" w:rsidRDefault="00B36019" w14:paraId="47787A43" w14:textId="77777777">
      <w:pPr>
        <w:spacing w:after="0" w:line="240" w:lineRule="auto"/>
        <w:ind w:left="709" w:right="709"/>
        <w:jc w:val="both"/>
        <w:rPr>
          <w:rFonts w:ascii="Arial" w:hAnsi="Arial" w:eastAsia="Times New Roman" w:cs="Arial"/>
          <w:sz w:val="21"/>
          <w:szCs w:val="21"/>
          <w:lang w:eastAsia="es-ES_tradnl"/>
        </w:rPr>
      </w:pPr>
      <w:r w:rsidRPr="00B36019">
        <w:rPr>
          <w:rFonts w:ascii="Arial" w:hAnsi="Arial" w:eastAsia="Times New Roman" w:cs="Arial"/>
          <w:sz w:val="21"/>
          <w:szCs w:val="21"/>
          <w:lang w:eastAsia="es-ES_tradnl"/>
        </w:rPr>
        <w:t xml:space="preserve">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w:t>
      </w:r>
      <w:proofErr w:type="spellStart"/>
      <w:r w:rsidRPr="00B36019">
        <w:rPr>
          <w:rFonts w:ascii="Arial" w:hAnsi="Arial" w:eastAsia="Times New Roman" w:cs="Arial"/>
          <w:sz w:val="21"/>
          <w:szCs w:val="21"/>
          <w:lang w:eastAsia="es-ES_tradnl"/>
        </w:rPr>
        <w:t>Know</w:t>
      </w:r>
      <w:proofErr w:type="spellEnd"/>
      <w:r w:rsidRPr="00B36019">
        <w:rPr>
          <w:rFonts w:ascii="Arial" w:hAnsi="Arial" w:eastAsia="Times New Roman" w:cs="Arial"/>
          <w:sz w:val="21"/>
          <w:szCs w:val="21"/>
          <w:lang w:eastAsia="es-ES_tradnl"/>
        </w:rPr>
        <w:t xml:space="preserve"> </w:t>
      </w:r>
      <w:proofErr w:type="spellStart"/>
      <w:r w:rsidRPr="00B36019">
        <w:rPr>
          <w:rFonts w:ascii="Arial" w:hAnsi="Arial" w:eastAsia="Times New Roman" w:cs="Arial"/>
          <w:sz w:val="21"/>
          <w:szCs w:val="21"/>
          <w:lang w:eastAsia="es-ES_tradnl"/>
        </w:rPr>
        <w:t>How</w:t>
      </w:r>
      <w:proofErr w:type="spellEnd"/>
      <w:r w:rsidRPr="00B36019">
        <w:rPr>
          <w:rFonts w:ascii="Arial" w:hAnsi="Arial" w:eastAsia="Times New Roman" w:cs="Arial"/>
          <w:sz w:val="21"/>
          <w:szCs w:val="21"/>
          <w:lang w:eastAsia="es-ES_tradnl"/>
        </w:rPr>
        <w:t>, entre otros</w:t>
      </w:r>
    </w:p>
    <w:p w:rsidRPr="00B36019" w:rsidR="00B36019" w:rsidP="00B36019" w:rsidRDefault="00B36019" w14:paraId="73F72ADD" w14:textId="77777777">
      <w:pPr>
        <w:spacing w:after="0" w:line="240" w:lineRule="auto"/>
        <w:ind w:left="709" w:right="709"/>
        <w:jc w:val="both"/>
        <w:rPr>
          <w:rFonts w:ascii="Arial" w:hAnsi="Arial" w:eastAsia="Times New Roman" w:cs="Arial"/>
          <w:sz w:val="21"/>
          <w:szCs w:val="21"/>
          <w:lang w:eastAsia="es-ES_tradnl"/>
        </w:rPr>
      </w:pPr>
    </w:p>
    <w:p w:rsidRPr="00B36019" w:rsidR="00B36019" w:rsidP="00B36019" w:rsidRDefault="00B36019" w14:paraId="6C3447E9" w14:textId="77777777">
      <w:pPr>
        <w:spacing w:after="0" w:line="240" w:lineRule="auto"/>
        <w:ind w:left="709" w:right="709"/>
        <w:jc w:val="both"/>
        <w:rPr>
          <w:rFonts w:ascii="Arial" w:hAnsi="Arial" w:eastAsia="Times New Roman" w:cs="Arial"/>
          <w:sz w:val="21"/>
          <w:szCs w:val="21"/>
          <w:lang w:eastAsia="es-ES_tradnl"/>
        </w:rPr>
      </w:pPr>
      <w:r w:rsidRPr="00B36019">
        <w:rPr>
          <w:rFonts w:ascii="Arial" w:hAnsi="Arial" w:eastAsia="Times New Roman" w:cs="Arial"/>
          <w:sz w:val="21"/>
          <w:szCs w:val="21"/>
          <w:lang w:eastAsia="es-ES_tradnl"/>
        </w:rPr>
        <w:t>[…]</w:t>
      </w:r>
    </w:p>
    <w:p w:rsidRPr="00B36019" w:rsidR="00B36019" w:rsidP="00B36019" w:rsidRDefault="00B36019" w14:paraId="2CB79794" w14:textId="77777777">
      <w:pPr>
        <w:spacing w:after="0" w:line="240" w:lineRule="auto"/>
        <w:ind w:left="709" w:right="709"/>
        <w:jc w:val="both"/>
        <w:rPr>
          <w:rFonts w:ascii="Arial" w:hAnsi="Arial" w:eastAsia="Times New Roman" w:cs="Arial"/>
          <w:sz w:val="21"/>
          <w:szCs w:val="21"/>
          <w:lang w:eastAsia="es-ES_tradnl"/>
        </w:rPr>
      </w:pPr>
    </w:p>
    <w:p w:rsidRPr="00B36019" w:rsidR="00B36019" w:rsidP="00B36019" w:rsidRDefault="00B36019" w14:paraId="1A3ECBD4" w14:textId="77777777">
      <w:pPr>
        <w:spacing w:after="0" w:line="240" w:lineRule="auto"/>
        <w:ind w:left="709" w:right="709"/>
        <w:jc w:val="both"/>
        <w:rPr>
          <w:rFonts w:ascii="Arial" w:hAnsi="Arial" w:eastAsia="Times New Roman" w:cs="Arial"/>
          <w:sz w:val="21"/>
          <w:szCs w:val="21"/>
          <w:lang w:eastAsia="es-ES_tradnl"/>
        </w:rPr>
      </w:pPr>
      <w:r w:rsidRPr="00B36019">
        <w:rPr>
          <w:rFonts w:ascii="Arial" w:hAnsi="Arial" w:eastAsia="Times New Roman" w:cs="Arial"/>
          <w:sz w:val="21"/>
          <w:szCs w:val="21"/>
          <w:lang w:eastAsia="es-ES_tradnl"/>
        </w:rPr>
        <w:t xml:space="preserve">En cuanto refiere a </w:t>
      </w:r>
      <w:r w:rsidRPr="00B36019">
        <w:rPr>
          <w:rFonts w:ascii="Arial" w:hAnsi="Arial" w:eastAsia="Times New Roman" w:cs="Arial"/>
          <w:i/>
          <w:iCs/>
          <w:sz w:val="21"/>
          <w:szCs w:val="21"/>
          <w:u w:val="single"/>
          <w:lang w:eastAsia="es-ES_tradnl"/>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B36019">
        <w:rPr>
          <w:rFonts w:ascii="Arial" w:hAnsi="Arial" w:eastAsia="Times New Roman" w:cs="Arial"/>
          <w:sz w:val="21"/>
          <w:szCs w:val="21"/>
          <w:lang w:eastAsia="es-ES_tradnl"/>
        </w:rPr>
        <w:t>por lo que la considera válida para efecto de ser invocada por la absorbente, a través del certificado que le expida la cámara de comercio con base en la información depositada en el Registro Único de Proponentes, RUP</w:t>
      </w:r>
      <w:r w:rsidRPr="00B36019">
        <w:rPr>
          <w:rFonts w:ascii="Arial" w:hAnsi="Arial" w:eastAsia="Times New Roman" w:cs="Arial"/>
          <w:sz w:val="21"/>
          <w:szCs w:val="21"/>
          <w:vertAlign w:val="superscript"/>
          <w:lang w:eastAsia="es-ES_tradnl"/>
        </w:rPr>
        <w:footnoteReference w:id="20"/>
      </w:r>
      <w:r w:rsidRPr="00B36019">
        <w:rPr>
          <w:rFonts w:ascii="Arial" w:hAnsi="Arial" w:eastAsia="Times New Roman" w:cs="Arial"/>
          <w:sz w:val="21"/>
          <w:szCs w:val="21"/>
          <w:lang w:eastAsia="es-ES_tradnl"/>
        </w:rPr>
        <w:t>. [Énfasis fuera de texto]</w:t>
      </w:r>
    </w:p>
    <w:p w:rsidRPr="00B36019" w:rsidR="00B36019" w:rsidP="00B36019" w:rsidRDefault="00B36019" w14:paraId="761E4D4B" w14:textId="77777777">
      <w:pPr>
        <w:spacing w:after="0" w:line="240" w:lineRule="auto"/>
        <w:ind w:left="709" w:right="709"/>
        <w:jc w:val="both"/>
        <w:rPr>
          <w:rFonts w:ascii="Arial" w:hAnsi="Arial" w:eastAsia="Times New Roman" w:cs="Arial"/>
          <w:sz w:val="21"/>
          <w:szCs w:val="21"/>
          <w:lang w:eastAsia="es-ES_tradnl"/>
        </w:rPr>
      </w:pPr>
    </w:p>
    <w:p w:rsidRPr="00B36019" w:rsidR="00B36019" w:rsidP="00B36019" w:rsidRDefault="00B36019" w14:paraId="038828D1" w14:textId="77777777">
      <w:pPr>
        <w:spacing w:after="0" w:line="276" w:lineRule="auto"/>
        <w:ind w:firstLine="708"/>
        <w:jc w:val="both"/>
        <w:rPr>
          <w:rFonts w:ascii="Arial" w:hAnsi="Arial" w:eastAsia="Times New Roman" w:cs="Arial"/>
          <w:color w:val="000000"/>
          <w:lang w:eastAsia="es-ES_tradnl"/>
        </w:rPr>
      </w:pPr>
      <w:r w:rsidRPr="00B36019">
        <w:rPr>
          <w:rFonts w:ascii="Arial" w:hAnsi="Arial" w:eastAsia="Calibri" w:cs="Arial"/>
          <w:bCs/>
          <w:lang w:eastAsia="es-ES_tradnl"/>
        </w:rPr>
        <w:t>En efecto, el artículo 2.2.1.1.1.5.3 del Decreto 1082 de 2015 hace referencia a que las cámaras de comercio deberán registrar la experiencia certificada con base en los «</w:t>
      </w:r>
      <w:r w:rsidRPr="00B36019">
        <w:rPr>
          <w:rFonts w:ascii="Arial" w:hAnsi="Arial" w:eastAsia="Times New Roman" w:cs="Arial"/>
          <w:color w:val="000000"/>
          <w:lang w:eastAsia="es-ES_tradnl"/>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B36019">
        <w:rPr>
          <w:rFonts w:ascii="Arial" w:hAnsi="Arial" w:eastAsia="Times New Roman" w:cs="Arial"/>
          <w:i/>
          <w:iCs/>
          <w:color w:val="000000"/>
          <w:lang w:eastAsia="es-ES_tradnl"/>
        </w:rPr>
        <w:t>supra</w:t>
      </w:r>
      <w:r w:rsidRPr="00B36019">
        <w:rPr>
          <w:rFonts w:ascii="Arial" w:hAnsi="Arial" w:eastAsia="Times New Roman" w:cs="Arial"/>
          <w:i/>
          <w:iCs/>
          <w:color w:val="000000"/>
          <w:vertAlign w:val="superscript"/>
          <w:lang w:eastAsia="es-ES_tradnl"/>
        </w:rPr>
        <w:footnoteReference w:id="21"/>
      </w:r>
      <w:r w:rsidRPr="00B36019">
        <w:rPr>
          <w:rFonts w:ascii="Arial" w:hAnsi="Arial" w:eastAsia="Times New Roman" w:cs="Arial"/>
          <w:color w:val="000000"/>
          <w:lang w:eastAsia="es-ES_tradnl"/>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rsidRPr="00B36019" w:rsidR="00B36019" w:rsidP="00B36019" w:rsidRDefault="00B36019" w14:paraId="19928310" w14:textId="77777777">
      <w:pPr>
        <w:spacing w:before="120" w:after="0" w:line="276" w:lineRule="auto"/>
        <w:ind w:firstLine="708"/>
        <w:jc w:val="both"/>
        <w:rPr>
          <w:rFonts w:ascii="Arial" w:hAnsi="Arial" w:eastAsia="Calibri" w:cs="Arial"/>
          <w:bCs/>
          <w:lang w:eastAsia="es-ES_tradnl"/>
        </w:rPr>
      </w:pPr>
      <w:r w:rsidRPr="00B36019">
        <w:rPr>
          <w:rFonts w:ascii="Arial" w:hAnsi="Arial" w:eastAsia="Times New Roman" w:cs="Arial"/>
          <w:color w:val="000000"/>
          <w:lang w:eastAsia="es-ES_tradnl"/>
        </w:rPr>
        <w:t xml:space="preserve">En ese sentido, considerando que el RUP es el documento que constituye plena prueba de la experiencia adquirida por el proponente, es necesario que la experiencia de la sociedad absorbida quedé incorporada en el RUP de la absorbente para que esta pueda acreditarla. Esto implica que la sociedad absorbente haya adelantado el respectivo trámite </w:t>
      </w:r>
      <w:r w:rsidRPr="00B36019">
        <w:rPr>
          <w:rFonts w:ascii="Arial" w:hAnsi="Arial" w:eastAsia="Times New Roman" w:cs="Arial"/>
          <w:color w:val="000000"/>
          <w:lang w:eastAsia="es-ES_tradnl"/>
        </w:rPr>
        <w:lastRenderedPageBreak/>
        <w:t xml:space="preserve">de actualización o renovación del RUP, en el marco del cual se haya consolidado la transferencia de experiencia. </w:t>
      </w:r>
    </w:p>
    <w:p w:rsidRPr="00B36019" w:rsidR="00B36019" w:rsidP="00B36019" w:rsidRDefault="00B36019" w14:paraId="24BACBF0" w14:textId="77777777">
      <w:pPr>
        <w:spacing w:before="120" w:after="0" w:line="276" w:lineRule="auto"/>
        <w:ind w:firstLine="708"/>
        <w:jc w:val="both"/>
        <w:rPr>
          <w:rFonts w:ascii="Arial" w:hAnsi="Arial" w:eastAsia="Calibri" w:cs="Arial"/>
          <w:bCs/>
          <w:szCs w:val="24"/>
          <w:lang w:eastAsia="es-ES_tradnl"/>
        </w:rPr>
      </w:pPr>
    </w:p>
    <w:p w:rsidRPr="00B36019" w:rsidR="00B36019" w:rsidP="00B36019" w:rsidRDefault="00B36019" w14:paraId="2D2E88D6" w14:textId="77777777">
      <w:pPr>
        <w:spacing w:before="120" w:after="0" w:line="276" w:lineRule="auto"/>
        <w:ind w:firstLine="708"/>
        <w:jc w:val="both"/>
        <w:rPr>
          <w:rFonts w:ascii="Arial" w:hAnsi="Arial" w:eastAsia="Calibri" w:cs="Arial"/>
          <w:bCs/>
          <w:szCs w:val="24"/>
          <w:lang w:eastAsia="es-ES_tradnl"/>
        </w:rPr>
      </w:pPr>
    </w:p>
    <w:p w:rsidRPr="00B36019" w:rsidR="00B36019" w:rsidP="00B36019" w:rsidRDefault="00B36019" w14:paraId="6D443AA1" w14:textId="77777777">
      <w:pPr>
        <w:tabs>
          <w:tab w:val="left" w:pos="0"/>
        </w:tabs>
        <w:spacing w:after="0" w:line="240" w:lineRule="auto"/>
        <w:jc w:val="both"/>
        <w:rPr>
          <w:rFonts w:ascii="Arial" w:hAnsi="Arial" w:eastAsia="Calibri" w:cs="Arial"/>
          <w:b/>
          <w:color w:val="000000" w:themeColor="text1"/>
          <w:szCs w:val="24"/>
          <w:lang w:val="es-ES_tradnl" w:eastAsia="es-ES_tradnl"/>
        </w:rPr>
      </w:pPr>
    </w:p>
    <w:p w:rsidRPr="00B36019" w:rsidR="00B36019" w:rsidP="00B36019" w:rsidRDefault="00B36019" w14:paraId="6D8A17DD" w14:textId="77777777">
      <w:pPr>
        <w:tabs>
          <w:tab w:val="left" w:pos="0"/>
        </w:tabs>
        <w:spacing w:after="0" w:line="240" w:lineRule="auto"/>
        <w:jc w:val="both"/>
        <w:rPr>
          <w:rFonts w:ascii="Arial" w:hAnsi="Arial" w:eastAsia="Calibri" w:cs="Arial"/>
          <w:b/>
          <w:color w:val="000000" w:themeColor="text1"/>
          <w:szCs w:val="24"/>
          <w:lang w:val="es-ES_tradnl" w:eastAsia="es-ES_tradnl"/>
        </w:rPr>
      </w:pPr>
      <w:r w:rsidRPr="00B36019">
        <w:rPr>
          <w:rFonts w:ascii="Arial" w:hAnsi="Arial" w:eastAsia="Calibri" w:cs="Arial"/>
          <w:b/>
          <w:color w:val="000000" w:themeColor="text1"/>
          <w:szCs w:val="24"/>
          <w:lang w:val="es-ES_tradnl" w:eastAsia="es-ES_tradnl"/>
        </w:rPr>
        <w:t>3. Respuesta</w:t>
      </w:r>
    </w:p>
    <w:p w:rsidRPr="00B36019" w:rsidR="00B36019" w:rsidP="00B36019" w:rsidRDefault="00B36019" w14:paraId="65C27058" w14:textId="77777777">
      <w:pPr>
        <w:tabs>
          <w:tab w:val="left" w:pos="0"/>
        </w:tabs>
        <w:spacing w:after="0" w:line="240" w:lineRule="auto"/>
        <w:jc w:val="both"/>
        <w:rPr>
          <w:rFonts w:ascii="Arial" w:hAnsi="Arial" w:eastAsia="Calibri" w:cs="Arial"/>
          <w:b/>
          <w:color w:val="000000" w:themeColor="text1"/>
          <w:szCs w:val="24"/>
          <w:lang w:val="es-ES_tradnl" w:eastAsia="es-ES_tradnl"/>
        </w:rPr>
      </w:pPr>
    </w:p>
    <w:p w:rsidRPr="00B36019" w:rsidR="00B36019" w:rsidP="00B36019" w:rsidRDefault="00B36019" w14:paraId="6F5CD1EF" w14:textId="77777777">
      <w:pPr>
        <w:spacing w:after="0" w:line="240" w:lineRule="auto"/>
        <w:ind w:left="709" w:right="709"/>
        <w:jc w:val="both"/>
        <w:rPr>
          <w:rFonts w:ascii="Arial" w:hAnsi="Arial" w:eastAsia="Times New Roman" w:cs="Arial"/>
          <w:color w:val="000000" w:themeColor="text1"/>
          <w:sz w:val="21"/>
          <w:szCs w:val="21"/>
          <w:lang w:eastAsia="es-ES_tradnl"/>
        </w:rPr>
      </w:pPr>
      <w:r w:rsidRPr="00B36019">
        <w:rPr>
          <w:rFonts w:ascii="Arial" w:hAnsi="Arial" w:eastAsia="Calibri" w:cs="Arial"/>
          <w:sz w:val="21"/>
          <w:szCs w:val="21"/>
          <w:lang w:val="es-ES_tradnl" w:eastAsia="es-ES_tradnl"/>
        </w:rPr>
        <w:t xml:space="preserve">i) </w:t>
      </w:r>
      <w:r w:rsidRPr="00B36019">
        <w:rPr>
          <w:rFonts w:ascii="Times New Roman" w:hAnsi="Times New Roman" w:eastAsia="Calibri" w:cs="Times New Roman"/>
          <w:sz w:val="21"/>
          <w:szCs w:val="21"/>
          <w:lang w:val="es-ES_tradnl" w:eastAsia="es-ES_tradnl"/>
        </w:rPr>
        <w:t>«</w:t>
      </w:r>
      <w:r w:rsidRPr="00B36019">
        <w:rPr>
          <w:rFonts w:ascii="Arial" w:hAnsi="Arial" w:eastAsia="Calibri" w:cs="Arial"/>
          <w:color w:val="000000" w:themeColor="text1"/>
          <w:sz w:val="21"/>
          <w:szCs w:val="21"/>
          <w:lang w:eastAsia="es-ES_tradnl"/>
        </w:rPr>
        <w:t>Se me aclare, si en el caso de la fusión de sociedades, la sociedad absorbente puede o no puede inscribir la experiencia de la sociedad absorbida como propia en el registro único de proponentes</w:t>
      </w:r>
      <w:bookmarkStart w:name="_Hlk74647441" w:id="7"/>
      <w:r w:rsidRPr="00B36019">
        <w:rPr>
          <w:rFonts w:ascii="Arial" w:hAnsi="Arial" w:eastAsia="Times New Roman" w:cs="Arial"/>
          <w:color w:val="000000" w:themeColor="text1"/>
          <w:sz w:val="21"/>
          <w:szCs w:val="21"/>
          <w:lang w:val="es-ES_tradnl" w:eastAsia="es-ES_tradnl"/>
        </w:rPr>
        <w:t>»</w:t>
      </w:r>
      <w:bookmarkEnd w:id="7"/>
      <w:r w:rsidRPr="00B36019">
        <w:rPr>
          <w:rFonts w:ascii="Arial" w:hAnsi="Arial" w:eastAsia="Calibri" w:cs="Arial"/>
          <w:color w:val="000000" w:themeColor="text1"/>
          <w:sz w:val="21"/>
          <w:szCs w:val="21"/>
          <w:lang w:eastAsia="es-ES_tradnl"/>
        </w:rPr>
        <w:t>.</w:t>
      </w:r>
    </w:p>
    <w:p w:rsidRPr="00B36019" w:rsidR="00B36019" w:rsidP="00B36019" w:rsidRDefault="00B36019" w14:paraId="56EEA23A" w14:textId="77777777">
      <w:pPr>
        <w:spacing w:after="0" w:line="276" w:lineRule="auto"/>
        <w:jc w:val="both"/>
        <w:rPr>
          <w:rFonts w:ascii="Arial" w:hAnsi="Arial" w:eastAsia="Times New Roman" w:cs="Arial"/>
          <w:color w:val="000000" w:themeColor="text1"/>
          <w:lang w:val="es-ES_tradnl" w:eastAsia="es-ES_tradnl"/>
        </w:rPr>
      </w:pPr>
    </w:p>
    <w:p w:rsidRPr="00B36019" w:rsidR="00B36019" w:rsidP="00B36019" w:rsidRDefault="00B36019" w14:paraId="1BD27432" w14:textId="77777777">
      <w:pPr>
        <w:widowControl w:val="0"/>
        <w:autoSpaceDE w:val="0"/>
        <w:autoSpaceDN w:val="0"/>
        <w:spacing w:after="120" w:line="276" w:lineRule="auto"/>
        <w:ind w:right="102" w:firstLine="708"/>
        <w:jc w:val="both"/>
        <w:rPr>
          <w:rFonts w:ascii="Arial" w:hAnsi="Arial" w:eastAsia="Arial" w:cs="Arial"/>
          <w:lang w:val="es-ES"/>
        </w:rPr>
      </w:pPr>
      <w:r w:rsidRPr="00B36019">
        <w:rPr>
          <w:rFonts w:ascii="Arial" w:hAnsi="Arial" w:eastAsia="Arial" w:cs="Arial"/>
          <w:lang w:val="es-ES"/>
        </w:rPr>
        <w:t xml:space="preserve">Conforme a lo expuesto, en la fusión por absorción, una sociedad se «disuelve» pero no se </w:t>
      </w:r>
      <w:r w:rsidRPr="00B36019">
        <w:rPr>
          <w:rFonts w:ascii="Arial" w:hAnsi="Arial" w:eastAsia="Arial" w:cs="Arial"/>
          <w:color w:val="000000"/>
          <w:lang w:val="es-ES"/>
        </w:rPr>
        <w:t xml:space="preserve">liquida, para ser absorbidas por otra o para crear una nueva. </w:t>
      </w:r>
      <w:r w:rsidRPr="00B36019">
        <w:rPr>
          <w:rFonts w:ascii="Arial" w:hAnsi="Arial" w:eastAsia="Arial" w:cs="Arial"/>
          <w:lang w:val="es-ES"/>
        </w:rPr>
        <w:t xml:space="preserve">En ese sentido, la sociedad absorbida y la absorbente, no coexisten una vez hecha la fusión, ni la absorción implica que la liquidación de la primera, sino que una persona continúa a través de la otra, ya que el legislador así lo dispuso. </w:t>
      </w:r>
    </w:p>
    <w:p w:rsidRPr="00B36019" w:rsidR="00B36019" w:rsidP="00B36019" w:rsidRDefault="00B36019" w14:paraId="73C075EE" w14:textId="77777777">
      <w:pPr>
        <w:widowControl w:val="0"/>
        <w:autoSpaceDE w:val="0"/>
        <w:autoSpaceDN w:val="0"/>
        <w:spacing w:after="120" w:line="276" w:lineRule="auto"/>
        <w:ind w:right="102" w:firstLine="708"/>
        <w:jc w:val="both"/>
        <w:rPr>
          <w:rFonts w:ascii="Arial" w:hAnsi="Arial" w:eastAsia="Arial" w:cs="Arial"/>
          <w:lang w:val="es-ES"/>
        </w:rPr>
      </w:pPr>
      <w:r w:rsidRPr="00B36019">
        <w:rPr>
          <w:rFonts w:ascii="Arial" w:hAnsi="Arial" w:eastAsia="Arial" w:cs="Arial"/>
          <w:lang w:val="es-ES"/>
        </w:rPr>
        <w:t xml:space="preserve">En consecuencia, en la fusión por absorción es posible que la sociedad absorbente obtenga la experiencia de la absorbida, porque esta última continuó a través de la primera, y ello implica que transfirió su experiencia debido a que no se liquidó, es decir no desapareció, lo que haría imposible la transferencia de experiencia. </w:t>
      </w:r>
    </w:p>
    <w:p w:rsidRPr="00B36019" w:rsidR="00B36019" w:rsidP="00B36019" w:rsidRDefault="00B36019" w14:paraId="39792E83" w14:textId="77777777">
      <w:pPr>
        <w:widowControl w:val="0"/>
        <w:autoSpaceDE w:val="0"/>
        <w:autoSpaceDN w:val="0"/>
        <w:spacing w:after="0" w:line="276" w:lineRule="auto"/>
        <w:ind w:right="102" w:firstLine="708"/>
        <w:jc w:val="both"/>
        <w:rPr>
          <w:rFonts w:ascii="Arial" w:hAnsi="Arial" w:eastAsia="Arial" w:cs="Arial"/>
          <w:lang w:val="es-ES"/>
        </w:rPr>
      </w:pPr>
      <w:r w:rsidRPr="00B36019">
        <w:rPr>
          <w:rFonts w:ascii="Arial" w:hAnsi="Arial" w:eastAsia="Arial" w:cs="Arial"/>
          <w:lang w:val="es-ES"/>
        </w:rPr>
        <w:t xml:space="preserve">En todo caso, para que la experiencia pueda ser acreditada por la sociedad absorbente, en especial en aquellos procesos donde es obligatorio el RUP, es necesario que la experiencia de la sociedad absorbida conste en el RUP de la absorbente, para lo que esta deberá adelantar el respectivo tramite actualización o renovación. </w:t>
      </w:r>
    </w:p>
    <w:p w:rsidRPr="00B36019" w:rsidR="00B36019" w:rsidP="00B36019" w:rsidRDefault="00B36019" w14:paraId="78FA2596" w14:textId="77777777">
      <w:pPr>
        <w:autoSpaceDE w:val="0"/>
        <w:autoSpaceDN w:val="0"/>
        <w:adjustRightInd w:val="0"/>
        <w:spacing w:after="0" w:line="240" w:lineRule="auto"/>
        <w:ind w:left="709" w:right="758"/>
        <w:jc w:val="both"/>
        <w:rPr>
          <w:rFonts w:ascii="Arial" w:hAnsi="Arial" w:cs="Arial"/>
          <w:color w:val="000000" w:themeColor="text1"/>
          <w:sz w:val="21"/>
          <w:szCs w:val="21"/>
          <w:lang w:val="es-ES_tradnl"/>
        </w:rPr>
      </w:pPr>
    </w:p>
    <w:p w:rsidRPr="00B36019" w:rsidR="00B36019" w:rsidP="00B36019" w:rsidRDefault="00B36019" w14:paraId="2F80EF11" w14:textId="77777777">
      <w:pPr>
        <w:autoSpaceDE w:val="0"/>
        <w:autoSpaceDN w:val="0"/>
        <w:adjustRightInd w:val="0"/>
        <w:spacing w:after="0" w:line="240" w:lineRule="auto"/>
        <w:ind w:left="709" w:right="758"/>
        <w:jc w:val="both"/>
        <w:rPr>
          <w:rFonts w:ascii="Arial" w:hAnsi="Arial" w:eastAsia="Calibri" w:cs="Arial"/>
          <w:sz w:val="21"/>
          <w:szCs w:val="21"/>
          <w:lang w:val="es-ES_tradnl"/>
        </w:rPr>
      </w:pPr>
      <w:proofErr w:type="spellStart"/>
      <w:r w:rsidRPr="00B36019">
        <w:rPr>
          <w:rFonts w:ascii="Arial" w:hAnsi="Arial" w:cs="Arial"/>
          <w:color w:val="000000" w:themeColor="text1"/>
          <w:sz w:val="21"/>
          <w:szCs w:val="21"/>
          <w:lang w:val="es-ES_tradnl"/>
        </w:rPr>
        <w:t>ii</w:t>
      </w:r>
      <w:proofErr w:type="spellEnd"/>
      <w:r w:rsidRPr="00B36019">
        <w:rPr>
          <w:rFonts w:ascii="Arial" w:hAnsi="Arial" w:cs="Arial"/>
          <w:color w:val="000000" w:themeColor="text1"/>
          <w:sz w:val="21"/>
          <w:szCs w:val="21"/>
          <w:lang w:val="es-ES_tradnl"/>
        </w:rPr>
        <w:t xml:space="preserve">). </w:t>
      </w:r>
      <w:r w:rsidRPr="00B36019">
        <w:rPr>
          <w:rFonts w:ascii="Arial" w:hAnsi="Arial" w:eastAsia="Calibri" w:cs="Arial"/>
          <w:color w:val="000000"/>
          <w:sz w:val="21"/>
          <w:szCs w:val="21"/>
        </w:rPr>
        <w:t>«En caso de ser negativa la respuesta, se pide aclarar el motivo del por qué desconocen los conceptos de la misma Colombia Compra Eficiente</w:t>
      </w:r>
      <w:r w:rsidRPr="00B36019">
        <w:rPr>
          <w:rFonts w:ascii="Arial" w:hAnsi="Arial" w:eastAsia="Calibri" w:cs="Arial"/>
          <w:sz w:val="21"/>
          <w:szCs w:val="21"/>
          <w:lang w:val="es-ES_tradnl"/>
        </w:rPr>
        <w:t>»</w:t>
      </w:r>
    </w:p>
    <w:p w:rsidRPr="00B36019" w:rsidR="00B36019" w:rsidP="00B36019" w:rsidRDefault="00B36019" w14:paraId="00603785" w14:textId="77777777">
      <w:pPr>
        <w:autoSpaceDE w:val="0"/>
        <w:autoSpaceDN w:val="0"/>
        <w:adjustRightInd w:val="0"/>
        <w:spacing w:before="120" w:after="0" w:line="240" w:lineRule="auto"/>
        <w:ind w:left="709" w:right="758"/>
        <w:jc w:val="both"/>
        <w:rPr>
          <w:rFonts w:ascii="Arial" w:hAnsi="Arial" w:eastAsia="Calibri" w:cs="Arial"/>
          <w:color w:val="000000"/>
          <w:sz w:val="21"/>
          <w:szCs w:val="21"/>
        </w:rPr>
      </w:pPr>
      <w:r w:rsidRPr="00B36019">
        <w:rPr>
          <w:rFonts w:ascii="Arial" w:hAnsi="Arial" w:eastAsia="Calibri" w:cs="Arial"/>
          <w:color w:val="000000"/>
          <w:sz w:val="21"/>
          <w:szCs w:val="21"/>
        </w:rPr>
        <w:t xml:space="preserve"> </w:t>
      </w:r>
    </w:p>
    <w:p w:rsidRPr="00B36019" w:rsidR="00B36019" w:rsidP="00B36019" w:rsidRDefault="00B36019" w14:paraId="063EA2B7" w14:textId="77777777">
      <w:pPr>
        <w:autoSpaceDE w:val="0"/>
        <w:autoSpaceDN w:val="0"/>
        <w:adjustRightInd w:val="0"/>
        <w:spacing w:after="0" w:line="240" w:lineRule="auto"/>
        <w:ind w:left="709" w:right="758"/>
        <w:jc w:val="both"/>
        <w:rPr>
          <w:rFonts w:ascii="Arial" w:hAnsi="Arial" w:eastAsia="Calibri" w:cs="Arial"/>
          <w:color w:val="000000"/>
          <w:sz w:val="21"/>
          <w:szCs w:val="21"/>
        </w:rPr>
      </w:pPr>
      <w:proofErr w:type="spellStart"/>
      <w:r w:rsidRPr="00B36019">
        <w:rPr>
          <w:rFonts w:ascii="Arial" w:hAnsi="Arial" w:eastAsia="Calibri" w:cs="Arial"/>
          <w:color w:val="000000"/>
          <w:sz w:val="21"/>
          <w:szCs w:val="21"/>
        </w:rPr>
        <w:t>iii</w:t>
      </w:r>
      <w:proofErr w:type="spellEnd"/>
      <w:r w:rsidRPr="00B36019">
        <w:rPr>
          <w:rFonts w:ascii="Arial" w:hAnsi="Arial" w:eastAsia="Calibri" w:cs="Arial"/>
          <w:color w:val="000000"/>
          <w:sz w:val="21"/>
          <w:szCs w:val="21"/>
        </w:rPr>
        <w:t xml:space="preserve">) </w:t>
      </w:r>
      <w:r w:rsidRPr="00B36019">
        <w:rPr>
          <w:rFonts w:ascii="Arial" w:hAnsi="Arial" w:eastAsia="Calibri" w:cs="Arial"/>
          <w:color w:val="000000"/>
          <w:sz w:val="21"/>
          <w:szCs w:val="21"/>
          <w:lang w:val="es-ES_tradnl"/>
        </w:rPr>
        <w:t>«</w:t>
      </w:r>
      <w:r w:rsidRPr="00B36019">
        <w:rPr>
          <w:rFonts w:ascii="Arial" w:hAnsi="Arial" w:eastAsia="Calibri" w:cs="Arial"/>
          <w:color w:val="000000"/>
          <w:sz w:val="21"/>
          <w:szCs w:val="21"/>
        </w:rPr>
        <w:t>Adicionalmente, si la experiencia es negativa, se pide entregar la información donde la Cámara de Comercio le haya preguntado a Confecámaras y Colombia Compra Eficiente el sustento de la negativa de transferir experiencia vía fusión pese a los conceptos de Colombia Compra Eficiente, concepto que cabe aclarar se supone que no son vinculantes, pero en Colombia ninguna entidad de carácter público desconoce el concepto de un ente regulador</w:t>
      </w:r>
      <w:r w:rsidRPr="00B36019">
        <w:rPr>
          <w:rFonts w:ascii="Arial" w:hAnsi="Arial" w:eastAsia="Calibri" w:cs="Arial"/>
          <w:sz w:val="21"/>
          <w:szCs w:val="21"/>
          <w:lang w:val="es-ES_tradnl"/>
        </w:rPr>
        <w:t>»</w:t>
      </w:r>
      <w:r w:rsidRPr="00B36019">
        <w:rPr>
          <w:rFonts w:ascii="Arial" w:hAnsi="Arial" w:eastAsia="Calibri" w:cs="Arial"/>
          <w:color w:val="000000"/>
          <w:sz w:val="21"/>
          <w:szCs w:val="21"/>
        </w:rPr>
        <w:t>.</w:t>
      </w:r>
    </w:p>
    <w:p w:rsidRPr="00B36019" w:rsidR="00B36019" w:rsidP="00B36019" w:rsidRDefault="00B36019" w14:paraId="2BF4FF34" w14:textId="77777777">
      <w:pPr>
        <w:autoSpaceDE w:val="0"/>
        <w:autoSpaceDN w:val="0"/>
        <w:adjustRightInd w:val="0"/>
        <w:spacing w:after="0" w:line="240" w:lineRule="auto"/>
        <w:ind w:left="709" w:right="758"/>
        <w:jc w:val="both"/>
        <w:rPr>
          <w:rFonts w:ascii="Arial" w:hAnsi="Arial" w:eastAsia="Calibri" w:cs="Arial"/>
          <w:color w:val="000000"/>
          <w:sz w:val="21"/>
          <w:szCs w:val="21"/>
        </w:rPr>
      </w:pPr>
    </w:p>
    <w:p w:rsidRPr="00B36019" w:rsidR="00B36019" w:rsidP="00B36019" w:rsidRDefault="00B36019" w14:paraId="70EF42FE" w14:textId="77777777">
      <w:pPr>
        <w:spacing w:after="120" w:line="276" w:lineRule="auto"/>
        <w:ind w:firstLine="708"/>
        <w:jc w:val="both"/>
        <w:rPr>
          <w:rFonts w:ascii="Arial" w:hAnsi="Arial" w:eastAsia="Calibri" w:cs="Arial"/>
          <w:szCs w:val="24"/>
          <w:lang w:eastAsia="es-ES_tradnl"/>
        </w:rPr>
      </w:pPr>
      <w:r w:rsidRPr="00B36019">
        <w:rPr>
          <w:rFonts w:ascii="Arial" w:hAnsi="Arial" w:eastAsia="Calibri" w:cs="Arial"/>
          <w:szCs w:val="24"/>
          <w:lang w:eastAsia="es-ES_tradnl"/>
        </w:rPr>
        <w:t xml:space="preserve">En atención a la competencia consultiva atribuida por el numeral 5 del artículo 3 y el numeral 8 del artículo 11 del Decreto Ley 4170 de 2011, la Agencia Nacional de Contratación Pública está facultada para atender solicitudes relacionadas con temas contractuales, pero solo para «absolver consultas sobre la aplicación de normas de carácter general». Los conceptos expedidos por esta Agencia contienen su posición hermenéutica respecto de la aplicación de las normas que se consultan, sin perjuicio de que existan otras interpretaciones plausibles de la aplicación de una disposición procedente respecto un caso concreto. Tales conceptos además se expiden de conformidad con lo dispuesto en el </w:t>
      </w:r>
      <w:r w:rsidRPr="00B36019">
        <w:rPr>
          <w:rFonts w:ascii="Arial" w:hAnsi="Arial" w:eastAsia="Calibri" w:cs="Arial"/>
          <w:szCs w:val="24"/>
          <w:lang w:eastAsia="es-ES_tradnl"/>
        </w:rPr>
        <w:lastRenderedPageBreak/>
        <w:t>artículo 28 de la Ley 1437 de 2011, modificada por la Ley 1755 de 2015, por lo que no tienen carácter vinculante.</w:t>
      </w:r>
    </w:p>
    <w:p w:rsidRPr="00B36019" w:rsidR="00B36019" w:rsidP="00B36019" w:rsidRDefault="00B36019" w14:paraId="25EA00C6" w14:textId="77777777">
      <w:pPr>
        <w:spacing w:after="0" w:line="276" w:lineRule="auto"/>
        <w:ind w:right="49"/>
        <w:jc w:val="both"/>
        <w:rPr>
          <w:rFonts w:ascii="Arial" w:hAnsi="Arial" w:eastAsia="Times New Roman" w:cs="Arial"/>
          <w:color w:val="000000" w:themeColor="text1"/>
          <w:lang w:eastAsia="es-ES_tradnl"/>
        </w:rPr>
      </w:pPr>
      <w:r w:rsidRPr="00B36019">
        <w:rPr>
          <w:rFonts w:ascii="Arial" w:hAnsi="Arial" w:eastAsia="Times New Roman" w:cs="Arial"/>
          <w:color w:val="000000" w:themeColor="text1"/>
          <w:lang w:eastAsia="es-ES_tradnl"/>
        </w:rPr>
        <w:tab/>
      </w:r>
      <w:r w:rsidRPr="00B36019">
        <w:rPr>
          <w:rFonts w:ascii="Arial" w:hAnsi="Arial" w:eastAsia="Times New Roman" w:cs="Arial"/>
          <w:color w:val="000000" w:themeColor="text1"/>
          <w:lang w:eastAsia="es-ES_tradnl"/>
        </w:rPr>
        <w:t>De acuerdo con esto, la postura expuesta en este concepto tiene sustento en las consideraciones hechas en torno a las normas que rigen la experiencia y la figura de la fusión por absorción, mas no en información o solicitudes que se hayan hecho relativas a que se permita o no que las sociedades absorbentes acrediten la experiencia de las absorbidas. En todo caso, se itera, la función de esta Agencia frente al tema es de carácter consultivo y se atiene a la resolución de las inquietudes planteadas por los peticionarios sobre la aplicación de normas de carácter general en materia de contratación estatal, sin que las interpretaciones o posturas hermenéuticas adoptadas resulten obligatorias para las entidades estatales o particulares.</w:t>
      </w:r>
    </w:p>
    <w:p w:rsidRPr="00B36019" w:rsidR="00B36019" w:rsidP="00B36019" w:rsidRDefault="00B36019" w14:paraId="1D2C7CC8" w14:textId="77777777">
      <w:pPr>
        <w:spacing w:after="0" w:line="240" w:lineRule="auto"/>
        <w:ind w:right="709"/>
        <w:jc w:val="both"/>
        <w:rPr>
          <w:rFonts w:ascii="Arial" w:hAnsi="Arial" w:eastAsia="Times New Roman" w:cs="Arial"/>
          <w:color w:val="000000" w:themeColor="text1"/>
          <w:sz w:val="21"/>
          <w:szCs w:val="21"/>
          <w:lang w:eastAsia="es-ES_tradnl"/>
        </w:rPr>
      </w:pPr>
    </w:p>
    <w:p w:rsidRPr="00B36019" w:rsidR="00B36019" w:rsidP="00B36019" w:rsidRDefault="00B36019" w14:paraId="4EBBB7C2" w14:textId="77777777">
      <w:pPr>
        <w:spacing w:after="0" w:line="276" w:lineRule="auto"/>
        <w:jc w:val="both"/>
        <w:rPr>
          <w:rFonts w:ascii="Arial" w:hAnsi="Arial" w:eastAsia="Times New Roman" w:cs="Arial"/>
          <w:color w:val="000000" w:themeColor="text1"/>
          <w:szCs w:val="24"/>
          <w:lang w:val="es-ES_tradnl" w:eastAsia="es-ES_tradnl"/>
        </w:rPr>
      </w:pPr>
      <w:r w:rsidRPr="00B36019">
        <w:rPr>
          <w:rFonts w:ascii="Arial" w:hAnsi="Arial" w:eastAsia="Times New Roman" w:cs="Arial"/>
          <w:color w:val="000000" w:themeColor="text1"/>
          <w:szCs w:val="24"/>
          <w:lang w:val="es-ES_tradnl" w:eastAsia="es-ES_tradnl"/>
        </w:rPr>
        <w:t>Este concepto tiene el alcance previsto en el artículo 28 del Código de Procedimiento Administrativo y de lo Contencioso Administrativo.</w:t>
      </w:r>
    </w:p>
    <w:p w:rsidRPr="00B36019" w:rsidR="00B36019" w:rsidP="00B36019" w:rsidRDefault="00B36019" w14:paraId="128562AC" w14:textId="77777777">
      <w:pPr>
        <w:spacing w:after="0" w:line="276" w:lineRule="auto"/>
        <w:jc w:val="both"/>
        <w:rPr>
          <w:rFonts w:ascii="Arial" w:hAnsi="Arial" w:eastAsia="Times New Roman" w:cs="Arial"/>
          <w:color w:val="000000" w:themeColor="text1"/>
          <w:lang w:val="es-ES_tradnl" w:eastAsia="es-CO"/>
        </w:rPr>
      </w:pPr>
    </w:p>
    <w:p w:rsidRPr="00B36019" w:rsidR="00B36019" w:rsidP="00B36019" w:rsidRDefault="00B36019" w14:paraId="2227281E" w14:textId="77777777">
      <w:pPr>
        <w:spacing w:after="0" w:line="276" w:lineRule="auto"/>
        <w:rPr>
          <w:rFonts w:ascii="Arial" w:hAnsi="Arial" w:eastAsia="Times New Roman" w:cs="Arial"/>
          <w:szCs w:val="20"/>
          <w:lang w:eastAsia="es-CO"/>
        </w:rPr>
      </w:pPr>
      <w:r w:rsidRPr="00B36019">
        <w:rPr>
          <w:rFonts w:ascii="Arial" w:hAnsi="Arial" w:eastAsia="Times New Roman" w:cs="Arial"/>
          <w:szCs w:val="20"/>
          <w:lang w:eastAsia="es-CO"/>
        </w:rPr>
        <w:t>Atentamente,</w:t>
      </w:r>
    </w:p>
    <w:p w:rsidRPr="00B36019" w:rsidR="00B36019" w:rsidP="00B36019" w:rsidRDefault="00B36019" w14:paraId="533AD340" w14:textId="77777777">
      <w:pPr>
        <w:spacing w:after="0" w:line="276" w:lineRule="auto"/>
        <w:rPr>
          <w:rFonts w:ascii="Arial" w:hAnsi="Arial" w:eastAsia="Times New Roman" w:cs="Arial"/>
          <w:szCs w:val="20"/>
          <w:lang w:eastAsia="es-CO"/>
        </w:rPr>
      </w:pPr>
    </w:p>
    <w:p w:rsidRPr="00B36019" w:rsidR="00B36019" w:rsidP="00B36019" w:rsidRDefault="00B36019" w14:paraId="12C71B9D" w14:textId="77777777">
      <w:pPr>
        <w:spacing w:after="0" w:line="276" w:lineRule="auto"/>
        <w:jc w:val="center"/>
        <w:rPr>
          <w:rFonts w:ascii="Arial" w:hAnsi="Arial" w:eastAsia="Times New Roman" w:cs="Arial"/>
          <w:szCs w:val="20"/>
          <w:lang w:eastAsia="es-CO"/>
        </w:rPr>
      </w:pPr>
      <w:r w:rsidRPr="00B36019">
        <w:rPr>
          <w:rFonts w:ascii="Times New Roman" w:hAnsi="Times New Roman" w:eastAsia="Times New Roman" w:cs="Times New Roman"/>
          <w:noProof/>
          <w:color w:val="000000"/>
          <w:sz w:val="24"/>
          <w:szCs w:val="24"/>
          <w:lang w:eastAsia="es-ES_tradnl"/>
        </w:rPr>
        <w:drawing>
          <wp:inline distT="0" distB="0" distL="0" distR="0" wp14:anchorId="50CF5100" wp14:editId="3C635F57">
            <wp:extent cx="2609850" cy="857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609850" cy="857250"/>
                    </a:xfrm>
                    <a:prstGeom prst="rect">
                      <a:avLst/>
                    </a:prstGeom>
                  </pic:spPr>
                </pic:pic>
              </a:graphicData>
            </a:graphic>
          </wp:inline>
        </w:drawing>
      </w:r>
    </w:p>
    <w:p w:rsidRPr="00B36019" w:rsidR="00B36019" w:rsidP="00B36019" w:rsidRDefault="00B36019" w14:paraId="7B7B15F2" w14:textId="77777777">
      <w:pPr>
        <w:spacing w:after="0" w:line="276" w:lineRule="auto"/>
        <w:rPr>
          <w:rFonts w:ascii="Arial" w:hAnsi="Arial" w:eastAsia="Times New Roman" w:cs="Arial"/>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36019" w:rsidR="00B36019" w:rsidTr="005369E5" w14:paraId="76C66EE6" w14:textId="77777777">
        <w:trPr>
          <w:trHeight w:val="315"/>
        </w:trPr>
        <w:tc>
          <w:tcPr>
            <w:tcW w:w="812" w:type="dxa"/>
            <w:vAlign w:val="center"/>
            <w:hideMark/>
          </w:tcPr>
          <w:p w:rsidRPr="00B36019" w:rsidR="00B36019" w:rsidP="00B36019" w:rsidRDefault="00B36019" w14:paraId="3C05E2CB"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Elaboró:</w:t>
            </w:r>
          </w:p>
        </w:tc>
        <w:tc>
          <w:tcPr>
            <w:tcW w:w="4413" w:type="dxa"/>
            <w:tcBorders>
              <w:top w:val="nil"/>
              <w:left w:val="nil"/>
              <w:bottom w:val="dotted" w:color="7F7F7F" w:themeColor="text1" w:themeTint="80" w:sz="4" w:space="0"/>
              <w:right w:val="nil"/>
            </w:tcBorders>
            <w:vAlign w:val="center"/>
            <w:hideMark/>
          </w:tcPr>
          <w:p w:rsidRPr="00B36019" w:rsidR="00B36019" w:rsidP="00B36019" w:rsidRDefault="00B36019" w14:paraId="48DA6594" w14:textId="77777777">
            <w:pPr>
              <w:rPr>
                <w:rFonts w:ascii="Arial" w:hAnsi="Arial" w:eastAsia="Times New Roman" w:cs="Arial"/>
                <w:sz w:val="14"/>
                <w:szCs w:val="14"/>
                <w:lang w:eastAsia="es-ES"/>
              </w:rPr>
            </w:pPr>
            <w:r w:rsidRPr="00B36019">
              <w:rPr>
                <w:rFonts w:ascii="Arial" w:hAnsi="Arial" w:eastAsia="Times New Roman" w:cs="Arial"/>
                <w:sz w:val="14"/>
                <w:szCs w:val="14"/>
                <w:lang w:eastAsia="es-ES"/>
              </w:rPr>
              <w:t>Melissa Fernández Reinoso.</w:t>
            </w:r>
          </w:p>
          <w:p w:rsidRPr="00B36019" w:rsidR="00B36019" w:rsidP="00B36019" w:rsidRDefault="00B36019" w14:paraId="7D77C4D1"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eastAsia="es-ES"/>
              </w:rPr>
              <w:t>Analista T2-2 de la Subdirección de Gestión Contractual</w:t>
            </w:r>
          </w:p>
        </w:tc>
      </w:tr>
      <w:tr w:rsidRPr="00B36019" w:rsidR="00B36019" w:rsidTr="005369E5" w14:paraId="4FCD0458" w14:textId="77777777">
        <w:trPr>
          <w:trHeight w:val="330"/>
        </w:trPr>
        <w:tc>
          <w:tcPr>
            <w:tcW w:w="812" w:type="dxa"/>
            <w:vAlign w:val="center"/>
            <w:hideMark/>
          </w:tcPr>
          <w:p w:rsidRPr="00B36019" w:rsidR="00B36019" w:rsidP="00B36019" w:rsidRDefault="00B36019" w14:paraId="359959D4"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36019" w:rsidR="00B36019" w:rsidP="00B36019" w:rsidRDefault="00B36019" w14:paraId="5717DF9F"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Alejandro Sarmiento Cantillo</w:t>
            </w:r>
          </w:p>
          <w:p w:rsidRPr="00B36019" w:rsidR="00B36019" w:rsidP="00B36019" w:rsidRDefault="00B36019" w14:paraId="49EACD26"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Gestor T1-11 de la Subdirección de Gestión Contractual</w:t>
            </w:r>
          </w:p>
        </w:tc>
      </w:tr>
      <w:tr w:rsidRPr="00B36019" w:rsidR="00B36019" w:rsidTr="005369E5" w14:paraId="08301EEF" w14:textId="77777777">
        <w:trPr>
          <w:trHeight w:val="300"/>
        </w:trPr>
        <w:tc>
          <w:tcPr>
            <w:tcW w:w="812" w:type="dxa"/>
            <w:vAlign w:val="center"/>
            <w:hideMark/>
          </w:tcPr>
          <w:p w:rsidRPr="00B36019" w:rsidR="00B36019" w:rsidP="00B36019" w:rsidRDefault="00B36019" w14:paraId="072C8022"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36019" w:rsidR="00B36019" w:rsidP="00B36019" w:rsidRDefault="00B36019" w14:paraId="513C5BDC"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Jorge Augusto Tirado Navarro</w:t>
            </w:r>
          </w:p>
          <w:p w:rsidRPr="00B36019" w:rsidR="00B36019" w:rsidP="00B36019" w:rsidRDefault="00B36019" w14:paraId="139CFA04" w14:textId="77777777">
            <w:pPr>
              <w:spacing w:line="276" w:lineRule="auto"/>
              <w:rPr>
                <w:rFonts w:ascii="Arial" w:hAnsi="Arial" w:eastAsia="Times New Roman" w:cs="Arial"/>
                <w:sz w:val="14"/>
                <w:szCs w:val="14"/>
                <w:lang w:val="es-ES" w:eastAsia="es-ES"/>
              </w:rPr>
            </w:pPr>
            <w:r w:rsidRPr="00B36019">
              <w:rPr>
                <w:rFonts w:ascii="Arial" w:hAnsi="Arial" w:eastAsia="Times New Roman" w:cs="Arial"/>
                <w:sz w:val="14"/>
                <w:szCs w:val="14"/>
                <w:lang w:val="es-ES" w:eastAsia="es-ES"/>
              </w:rPr>
              <w:t>Subdirector de Gestión Contractual ANCP - CCE</w:t>
            </w:r>
          </w:p>
        </w:tc>
      </w:tr>
    </w:tbl>
    <w:p w:rsidRPr="00B36019" w:rsidR="00B36019" w:rsidP="00B36019" w:rsidRDefault="00B36019" w14:paraId="391F6222" w14:textId="77777777">
      <w:pPr>
        <w:spacing w:after="0" w:line="240" w:lineRule="auto"/>
        <w:rPr>
          <w:rFonts w:ascii="Times New Roman" w:hAnsi="Times New Roman" w:eastAsia="Times New Roman" w:cs="Times New Roman"/>
          <w:sz w:val="24"/>
          <w:szCs w:val="24"/>
          <w:lang w:eastAsia="es-ES_tradnl"/>
        </w:rPr>
      </w:pPr>
    </w:p>
    <w:p w:rsidR="00B36019" w:rsidRDefault="00B36019" w14:paraId="7344E415" w14:textId="77777777"/>
    <w:sectPr w:rsidR="00B36019" w:rsidSect="00126820">
      <w:footerReference w:type="default" r:id="rId12"/>
      <w:pgSz w:w="12240" w:h="15840" w:orient="portrait"/>
      <w:pgMar w:top="170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13D5" w:rsidP="00B36019" w:rsidRDefault="004313D5" w14:paraId="50D627EC" w14:textId="77777777">
      <w:pPr>
        <w:spacing w:after="0" w:line="240" w:lineRule="auto"/>
      </w:pPr>
      <w:r>
        <w:separator/>
      </w:r>
    </w:p>
  </w:endnote>
  <w:endnote w:type="continuationSeparator" w:id="0">
    <w:p w:rsidR="004313D5" w:rsidP="00B36019" w:rsidRDefault="004313D5" w14:paraId="5335CB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59DE" w:rsidP="00322937" w:rsidRDefault="004313D5" w14:paraId="4A153D5C" w14:textId="77777777">
    <w:pPr>
      <w:pStyle w:val="Sinespaciado"/>
      <w:jc w:val="right"/>
      <w:rPr>
        <w:rFonts w:ascii="Arial" w:hAnsi="Arial" w:cs="Arial"/>
        <w:sz w:val="18"/>
        <w:szCs w:val="18"/>
      </w:rPr>
    </w:pPr>
  </w:p>
  <w:p w:rsidRPr="008217B7" w:rsidR="006A59DE" w:rsidP="00FE42ED" w:rsidRDefault="007557AC" w14:paraId="2BDFC9CA"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4313D5" w14:paraId="434D1C48" w14:textId="77777777">
    <w:pPr>
      <w:pStyle w:val="Piedepgina"/>
      <w:jc w:val="center"/>
      <w:rPr>
        <w:lang w:val="es-ES"/>
      </w:rPr>
    </w:pPr>
  </w:p>
  <w:p w:rsidR="006A59DE" w:rsidP="007B0854" w:rsidRDefault="004313D5" w14:paraId="0042BE17" w14:textId="77777777">
    <w:pPr>
      <w:pStyle w:val="Piedepgina"/>
      <w:jc w:val="center"/>
      <w:rPr>
        <w:lang w:val="es-ES"/>
      </w:rPr>
    </w:pPr>
  </w:p>
  <w:p w:rsidRPr="007B0854" w:rsidR="006A59DE" w:rsidP="007B0854" w:rsidRDefault="004313D5" w14:paraId="1B833A38"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13D5" w:rsidP="00B36019" w:rsidRDefault="004313D5" w14:paraId="16BA4E97" w14:textId="77777777">
      <w:pPr>
        <w:spacing w:after="0" w:line="240" w:lineRule="auto"/>
      </w:pPr>
      <w:r>
        <w:separator/>
      </w:r>
    </w:p>
  </w:footnote>
  <w:footnote w:type="continuationSeparator" w:id="0">
    <w:p w:rsidR="004313D5" w:rsidP="00B36019" w:rsidRDefault="004313D5" w14:paraId="4DF63183" w14:textId="77777777">
      <w:pPr>
        <w:spacing w:after="0" w:line="240" w:lineRule="auto"/>
      </w:pPr>
      <w:r>
        <w:continuationSeparator/>
      </w:r>
    </w:p>
  </w:footnote>
  <w:footnote w:id="1">
    <w:p w:rsidRPr="00C33A69" w:rsidR="00B36019" w:rsidP="00B36019" w:rsidRDefault="00B36019" w14:paraId="4B4D6D7D" w14:textId="77777777">
      <w:pPr>
        <w:pStyle w:val="Textonotapie"/>
        <w:ind w:firstLine="708"/>
        <w:jc w:val="both"/>
        <w:rPr>
          <w:rFonts w:ascii="Arial" w:hAnsi="Arial" w:cs="Arial"/>
          <w:sz w:val="19"/>
          <w:szCs w:val="19"/>
        </w:rPr>
      </w:pPr>
      <w:r w:rsidRPr="00C33A69">
        <w:rPr>
          <w:rStyle w:val="Refdenotaalpie"/>
          <w:rFonts w:ascii="Arial" w:hAnsi="Arial" w:cs="Arial"/>
          <w:sz w:val="19"/>
          <w:szCs w:val="19"/>
        </w:rPr>
        <w:footnoteRef/>
      </w:r>
      <w:r w:rsidRPr="00C33A69">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33A69">
        <w:rPr>
          <w:rFonts w:ascii="Arial" w:hAnsi="Arial" w:cs="Arial"/>
          <w:i/>
          <w:iCs/>
          <w:sz w:val="19"/>
          <w:szCs w:val="19"/>
        </w:rPr>
        <w:t xml:space="preserve">ibidem </w:t>
      </w:r>
      <w:r w:rsidRPr="00C33A69">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C33A69">
        <w:rPr>
          <w:rFonts w:ascii="Arial" w:hAnsi="Arial" w:cs="Arial"/>
          <w:sz w:val="19"/>
          <w:szCs w:val="19"/>
        </w:rPr>
        <w:t>bsolver</w:t>
      </w:r>
      <w:proofErr w:type="spellEnd"/>
      <w:r w:rsidRPr="00C33A69">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33A69">
        <w:rPr>
          <w:rFonts w:ascii="Arial" w:hAnsi="Arial" w:cs="Arial"/>
          <w:sz w:val="19"/>
          <w:szCs w:val="19"/>
        </w:rPr>
        <w:t>bsolver</w:t>
      </w:r>
      <w:proofErr w:type="spellEnd"/>
      <w:r w:rsidRPr="00C33A69">
        <w:rPr>
          <w:rFonts w:ascii="Arial" w:hAnsi="Arial" w:cs="Arial"/>
          <w:sz w:val="19"/>
          <w:szCs w:val="19"/>
        </w:rPr>
        <w:t xml:space="preserve"> consultas sobre la aplicación de normas de carácter general».</w:t>
      </w:r>
    </w:p>
  </w:footnote>
  <w:footnote w:id="2">
    <w:p w:rsidRPr="00C33A69" w:rsidR="00B36019" w:rsidP="00B36019" w:rsidRDefault="00B36019" w14:paraId="746E28ED" w14:textId="77777777">
      <w:pPr>
        <w:pStyle w:val="Textonotapie"/>
        <w:ind w:firstLine="709"/>
        <w:jc w:val="both"/>
        <w:rPr>
          <w:rFonts w:ascii="Arial" w:hAnsi="Arial" w:cs="Arial"/>
          <w:sz w:val="19"/>
          <w:szCs w:val="19"/>
        </w:rPr>
      </w:pPr>
      <w:r w:rsidRPr="00C33A69">
        <w:rPr>
          <w:rStyle w:val="Refdenotaalpie"/>
          <w:rFonts w:ascii="Arial" w:hAnsi="Arial" w:cs="Arial"/>
          <w:sz w:val="19"/>
          <w:szCs w:val="19"/>
        </w:rPr>
        <w:footnoteRef/>
      </w:r>
      <w:r w:rsidRPr="00C33A69">
        <w:rPr>
          <w:rFonts w:ascii="Arial" w:hAnsi="Arial" w:cs="Arial"/>
          <w:sz w:val="19"/>
          <w:szCs w:val="19"/>
        </w:rPr>
        <w:t xml:space="preserve"> Procuraduría General de la Nación. Concepto del 15 de octubre de 2014. Procuraduría </w:t>
      </w:r>
      <w:proofErr w:type="gramStart"/>
      <w:r w:rsidRPr="00C33A69">
        <w:rPr>
          <w:rFonts w:ascii="Arial" w:hAnsi="Arial" w:cs="Arial"/>
          <w:sz w:val="19"/>
          <w:szCs w:val="19"/>
        </w:rPr>
        <w:t>Delegada</w:t>
      </w:r>
      <w:proofErr w:type="gramEnd"/>
      <w:r w:rsidRPr="00C33A69">
        <w:rPr>
          <w:rFonts w:ascii="Arial" w:hAnsi="Arial" w:cs="Arial"/>
          <w:sz w:val="19"/>
          <w:szCs w:val="19"/>
        </w:rPr>
        <w:t xml:space="preserve"> para Asuntos Disciplinarios. Radicado PAD C-114-2014.</w:t>
      </w:r>
    </w:p>
    <w:p w:rsidRPr="00C33A69" w:rsidR="00B36019" w:rsidP="00B36019" w:rsidRDefault="00B36019" w14:paraId="4125081B" w14:textId="77777777">
      <w:pPr>
        <w:pStyle w:val="Textonotapie"/>
        <w:ind w:firstLine="709"/>
        <w:jc w:val="both"/>
        <w:rPr>
          <w:rFonts w:ascii="Arial" w:hAnsi="Arial" w:cs="Arial"/>
          <w:sz w:val="19"/>
          <w:szCs w:val="19"/>
        </w:rPr>
      </w:pPr>
    </w:p>
  </w:footnote>
  <w:footnote w:id="3">
    <w:p w:rsidRPr="00C33A69" w:rsidR="00B36019" w:rsidP="00B36019" w:rsidRDefault="00B36019" w14:paraId="44B4BEF6" w14:textId="77777777">
      <w:pPr>
        <w:pStyle w:val="Textonotapie"/>
        <w:ind w:firstLine="708"/>
        <w:rPr>
          <w:rFonts w:ascii="Arial" w:hAnsi="Arial" w:cs="Arial"/>
          <w:sz w:val="19"/>
          <w:szCs w:val="19"/>
        </w:rPr>
      </w:pPr>
      <w:r w:rsidRPr="00C33A69">
        <w:rPr>
          <w:rStyle w:val="Refdenotaalpie"/>
          <w:rFonts w:ascii="Arial" w:hAnsi="Arial" w:cs="Arial"/>
          <w:sz w:val="19"/>
          <w:szCs w:val="19"/>
        </w:rPr>
        <w:footnoteRef/>
      </w:r>
      <w:r w:rsidRPr="00C33A69">
        <w:rPr>
          <w:rFonts w:ascii="Arial" w:hAnsi="Arial" w:cs="Arial"/>
          <w:sz w:val="19"/>
          <w:szCs w:val="19"/>
        </w:rPr>
        <w:t xml:space="preserve"> Contraloría General de la República. Oficina Jurídica. Concepto 80112-OJ-008 2017.</w:t>
      </w:r>
    </w:p>
    <w:p w:rsidRPr="00C33A69" w:rsidR="00B36019" w:rsidP="00B36019" w:rsidRDefault="00B36019" w14:paraId="650EC453" w14:textId="77777777">
      <w:pPr>
        <w:pStyle w:val="Textonotapie"/>
        <w:ind w:firstLine="708"/>
        <w:rPr>
          <w:rFonts w:ascii="Arial" w:hAnsi="Arial" w:cs="Arial"/>
          <w:sz w:val="19"/>
          <w:szCs w:val="19"/>
        </w:rPr>
      </w:pPr>
    </w:p>
  </w:footnote>
  <w:footnote w:id="4">
    <w:p w:rsidR="00B36019" w:rsidP="00B36019" w:rsidRDefault="00B36019" w14:paraId="028E7FA5" w14:textId="77777777">
      <w:pPr>
        <w:pStyle w:val="Textonotapie"/>
        <w:ind w:firstLine="708"/>
        <w:jc w:val="both"/>
        <w:rPr>
          <w:rFonts w:ascii="Arial" w:hAnsi="Arial" w:cs="Arial"/>
          <w:sz w:val="19"/>
          <w:szCs w:val="19"/>
        </w:rPr>
      </w:pPr>
      <w:r w:rsidRPr="00C33A69">
        <w:rPr>
          <w:rStyle w:val="Refdenotaalpie"/>
          <w:rFonts w:ascii="Arial" w:hAnsi="Arial" w:cs="Arial"/>
          <w:sz w:val="19"/>
          <w:szCs w:val="19"/>
        </w:rPr>
        <w:footnoteRef/>
      </w:r>
      <w:r w:rsidRPr="00C33A69">
        <w:rPr>
          <w:rFonts w:ascii="Arial" w:hAnsi="Arial" w:cs="Arial"/>
          <w:sz w:val="19"/>
          <w:szCs w:val="19"/>
        </w:rPr>
        <w:t xml:space="preserve"> ARBOLEDA PERDONO, Enrique José. Comentarios al Nuevo Código de Procedimiento Administrativo y de lo Contencioso Administrativo (2ª ed.). Editorial Legis. Bogotá. 2012. p.59.</w:t>
      </w:r>
    </w:p>
    <w:p w:rsidRPr="008815AB" w:rsidR="00B36019" w:rsidP="00B36019" w:rsidRDefault="00B36019" w14:paraId="2FC3881A" w14:textId="77777777">
      <w:pPr>
        <w:pStyle w:val="Textonotapie"/>
        <w:ind w:firstLine="708"/>
        <w:jc w:val="both"/>
        <w:rPr>
          <w:sz w:val="19"/>
          <w:szCs w:val="19"/>
        </w:rPr>
      </w:pPr>
    </w:p>
  </w:footnote>
  <w:footnote w:id="5">
    <w:p w:rsidRPr="009C5188" w:rsidR="00B36019" w:rsidP="00B36019" w:rsidRDefault="00B36019" w14:paraId="7B4918E6"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9C5188" w:rsidR="00B36019" w:rsidP="00B36019" w:rsidRDefault="00B36019" w14:paraId="3E4D1D06" w14:textId="77777777">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9C5188" w:rsidR="00B36019" w:rsidP="00B36019" w:rsidRDefault="00B36019" w14:paraId="2F5F578E" w14:textId="77777777">
      <w:pPr>
        <w:pStyle w:val="Textonotapie"/>
        <w:jc w:val="both"/>
        <w:rPr>
          <w:rFonts w:ascii="Arial" w:hAnsi="Arial" w:cs="Arial"/>
          <w:sz w:val="19"/>
          <w:szCs w:val="19"/>
          <w:lang w:val="es-ES"/>
        </w:rPr>
      </w:pPr>
    </w:p>
  </w:footnote>
  <w:footnote w:id="6">
    <w:p w:rsidRPr="009C5188" w:rsidR="00B36019" w:rsidP="00B36019" w:rsidRDefault="00B36019" w14:paraId="77AEBD65"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9C5188" w:rsidR="00B36019" w:rsidP="00B36019" w:rsidRDefault="00B36019" w14:paraId="05A4D198" w14:textId="77777777">
      <w:pPr>
        <w:pStyle w:val="Textonotapie"/>
        <w:ind w:firstLine="708"/>
        <w:jc w:val="both"/>
        <w:rPr>
          <w:rFonts w:ascii="Arial" w:hAnsi="Arial" w:cs="Arial"/>
          <w:sz w:val="19"/>
          <w:szCs w:val="19"/>
          <w:lang w:val="es-ES"/>
        </w:rPr>
      </w:pPr>
    </w:p>
  </w:footnote>
  <w:footnote w:id="7">
    <w:p w:rsidRPr="009C5188" w:rsidR="00B36019" w:rsidP="00B36019" w:rsidRDefault="00B36019" w14:paraId="1F09581D"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9C5188" w:rsidR="00B36019" w:rsidP="00B36019" w:rsidRDefault="00B36019" w14:paraId="4486043C" w14:textId="77777777">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rsidRPr="009C5188" w:rsidR="00B36019" w:rsidP="00B36019" w:rsidRDefault="00B36019" w14:paraId="645D585F"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B36019" w:rsidP="00B36019" w:rsidRDefault="00B36019" w14:paraId="6C1427E6" w14:textId="77777777">
      <w:pPr>
        <w:pStyle w:val="Textonotapie"/>
        <w:ind w:firstLine="708"/>
        <w:jc w:val="both"/>
        <w:rPr>
          <w:rFonts w:ascii="Arial" w:hAnsi="Arial" w:cs="Arial"/>
          <w:sz w:val="19"/>
          <w:szCs w:val="19"/>
          <w:lang w:val="es-ES"/>
        </w:rPr>
      </w:pPr>
    </w:p>
  </w:footnote>
  <w:footnote w:id="8">
    <w:p w:rsidRPr="009C5188" w:rsidR="00B36019" w:rsidP="00B36019" w:rsidRDefault="00B36019" w14:paraId="5C4B9844"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9C5188" w:rsidR="00B36019" w:rsidP="00B36019" w:rsidRDefault="00B36019" w14:paraId="5B1D5054"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B36019" w:rsidP="00B36019" w:rsidRDefault="00B36019" w14:paraId="0E9F8860"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9C5188" w:rsidR="00B36019" w:rsidP="00B36019" w:rsidRDefault="00B36019" w14:paraId="193F86E5"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»No</w:t>
      </w:r>
      <w:proofErr w:type="gramEnd"/>
      <w:r w:rsidRPr="009C5188">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9C5188" w:rsidR="00B36019" w:rsidP="00B36019" w:rsidRDefault="00B36019" w14:paraId="3526C5A0" w14:textId="77777777">
      <w:pPr>
        <w:pStyle w:val="Textonotapie"/>
        <w:jc w:val="both"/>
        <w:rPr>
          <w:rFonts w:ascii="Arial" w:hAnsi="Arial" w:cs="Arial"/>
          <w:sz w:val="19"/>
          <w:szCs w:val="19"/>
          <w:lang w:val="es-ES"/>
        </w:rPr>
      </w:pPr>
    </w:p>
  </w:footnote>
  <w:footnote w:id="9">
    <w:p w:rsidRPr="009C5188" w:rsidR="00B36019" w:rsidP="00B36019" w:rsidRDefault="00B36019" w14:paraId="2B785B13"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9C5188" w:rsidR="00B36019" w:rsidP="00B36019" w:rsidRDefault="00B36019" w14:paraId="434ABA79" w14:textId="77777777">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rsidRPr="009C5188" w:rsidR="00B36019" w:rsidP="00B36019" w:rsidRDefault="00B36019" w14:paraId="24E0943E" w14:textId="77777777">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rsidRPr="009C5188" w:rsidR="00B36019" w:rsidP="00B36019" w:rsidRDefault="00B36019" w14:paraId="56A3D1A8" w14:textId="77777777">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9C5188" w:rsidR="00B36019" w:rsidP="00B36019" w:rsidRDefault="00B36019" w14:paraId="65AF10A4" w14:textId="77777777">
      <w:pPr>
        <w:pStyle w:val="Textonotapie"/>
        <w:ind w:firstLine="708"/>
        <w:jc w:val="both"/>
        <w:rPr>
          <w:rFonts w:ascii="Arial" w:hAnsi="Arial" w:cs="Arial"/>
          <w:sz w:val="19"/>
          <w:szCs w:val="19"/>
          <w:lang w:val="es-ES"/>
        </w:rPr>
      </w:pPr>
    </w:p>
  </w:footnote>
  <w:footnote w:id="10">
    <w:p w:rsidRPr="009C5188" w:rsidR="00B36019" w:rsidP="00B36019" w:rsidRDefault="00B36019" w14:paraId="081E5207"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rsidRPr="009C5188" w:rsidR="00B36019" w:rsidP="00B36019" w:rsidRDefault="00B36019" w14:paraId="0E3D7FFB"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rsidRPr="009C5188" w:rsidR="00B36019" w:rsidP="00B36019" w:rsidRDefault="00B36019" w14:paraId="686384D1"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B36019" w:rsidP="00B36019" w:rsidRDefault="00B36019" w14:paraId="4CEB2E73"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9C5188" w:rsidR="00B36019" w:rsidP="00B36019" w:rsidRDefault="00B36019" w14:paraId="7561DA86"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rsidRPr="00694D8E" w:rsidR="00B36019" w:rsidP="00B36019" w:rsidRDefault="00B36019" w14:paraId="46094456" w14:textId="77777777">
      <w:pPr>
        <w:pStyle w:val="Textonotapie"/>
        <w:ind w:firstLine="708"/>
        <w:jc w:val="both"/>
        <w:rPr>
          <w:rFonts w:ascii="Arial" w:hAnsi="Arial" w:cs="Arial"/>
          <w:sz w:val="19"/>
          <w:szCs w:val="19"/>
        </w:rPr>
      </w:pPr>
      <w:r w:rsidRPr="009C5188">
        <w:rPr>
          <w:rFonts w:ascii="Arial" w:hAnsi="Arial" w:cs="Arial"/>
          <w:sz w:val="19"/>
          <w:szCs w:val="19"/>
        </w:rPr>
        <w:t>[...]».</w:t>
      </w:r>
    </w:p>
  </w:footnote>
  <w:footnote w:id="11">
    <w:p w:rsidRPr="003513C4" w:rsidR="00B36019" w:rsidP="00B36019" w:rsidRDefault="00B36019" w14:paraId="6C8F623E" w14:textId="77777777">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rsidRPr="00384698" w:rsidR="00B36019" w:rsidP="00B36019" w:rsidRDefault="00B36019" w14:paraId="53B8DDE8" w14:textId="77777777">
      <w:pPr>
        <w:pStyle w:val="Textonotapie"/>
        <w:ind w:firstLine="708"/>
        <w:jc w:val="both"/>
        <w:rPr>
          <w:lang w:val="es-CO"/>
        </w:rPr>
      </w:pPr>
    </w:p>
  </w:footnote>
  <w:footnote w:id="12">
    <w:p w:rsidRPr="009C5188" w:rsidR="00B36019" w:rsidP="00B36019" w:rsidRDefault="00B36019" w14:paraId="7625F102"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rsidRPr="009C5188" w:rsidR="00B36019" w:rsidP="00B36019" w:rsidRDefault="00B36019" w14:paraId="289BD0DD"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nombre de la sociedad disuelta deberá adicionarse siempre con la expresión ‘en liquidación’. Los encargados de realizarla responderán de los daños y perjuicios que se deriven por dicha omisión».</w:t>
      </w:r>
    </w:p>
    <w:p w:rsidRPr="009C5188" w:rsidR="00B36019" w:rsidP="00B36019" w:rsidRDefault="00B36019" w14:paraId="7CA880ED" w14:textId="77777777">
      <w:pPr>
        <w:pStyle w:val="Textonotapie"/>
        <w:jc w:val="both"/>
        <w:rPr>
          <w:rFonts w:ascii="Arial" w:hAnsi="Arial" w:cs="Arial"/>
          <w:sz w:val="19"/>
          <w:szCs w:val="19"/>
          <w:lang w:val="es-CO"/>
        </w:rPr>
      </w:pPr>
    </w:p>
  </w:footnote>
  <w:footnote w:id="13">
    <w:p w:rsidRPr="009C5188" w:rsidR="00B36019" w:rsidP="00B36019" w:rsidRDefault="00B36019" w14:paraId="676711B6"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Comercio.</w:t>
      </w:r>
    </w:p>
    <w:p w:rsidRPr="009C5188" w:rsidR="00B36019" w:rsidP="00B36019" w:rsidRDefault="00B36019" w14:paraId="781F58A4" w14:textId="77777777">
      <w:pPr>
        <w:pStyle w:val="Textonotapie"/>
        <w:ind w:firstLine="708"/>
        <w:jc w:val="both"/>
        <w:rPr>
          <w:rFonts w:ascii="Arial" w:hAnsi="Arial" w:cs="Arial"/>
          <w:sz w:val="19"/>
          <w:szCs w:val="19"/>
          <w:lang w:val="es-CO"/>
        </w:rPr>
      </w:pPr>
      <w:r w:rsidRPr="009C5188">
        <w:rPr>
          <w:rFonts w:ascii="Arial" w:hAnsi="Arial" w:cs="Arial"/>
          <w:sz w:val="19"/>
          <w:szCs w:val="19"/>
        </w:rPr>
        <w:t xml:space="preserve"> </w:t>
      </w:r>
    </w:p>
  </w:footnote>
  <w:footnote w:id="14">
    <w:p w:rsidRPr="009C5188" w:rsidR="00B36019" w:rsidP="00B36019" w:rsidRDefault="00B36019" w14:paraId="65989080"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rsidRPr="009C5188" w:rsidR="00B36019" w:rsidP="00B36019" w:rsidRDefault="00B36019" w14:paraId="28EC6155"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transformación no producirá solución de continuidad en la existencia de la sociedad como persona jurídica, ni en sus actividades ni en su patrimonio».</w:t>
      </w:r>
    </w:p>
    <w:p w:rsidRPr="009C5188" w:rsidR="00B36019" w:rsidP="00B36019" w:rsidRDefault="00B36019" w14:paraId="0F5EC3C3" w14:textId="77777777">
      <w:pPr>
        <w:pStyle w:val="Textonotapie"/>
        <w:ind w:firstLine="708"/>
        <w:jc w:val="both"/>
        <w:rPr>
          <w:rFonts w:ascii="Arial" w:hAnsi="Arial" w:cs="Arial"/>
          <w:sz w:val="19"/>
          <w:szCs w:val="19"/>
        </w:rPr>
      </w:pPr>
    </w:p>
  </w:footnote>
  <w:footnote w:id="15">
    <w:p w:rsidRPr="009C5188" w:rsidR="00B36019" w:rsidP="00B36019" w:rsidRDefault="00B36019" w14:paraId="4188C710"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222 de 1995: «Artículo 3. Modalidades. Habrá escisión cuando:</w:t>
      </w:r>
    </w:p>
    <w:p w:rsidRPr="009C5188" w:rsidR="00B36019" w:rsidP="00B36019" w:rsidRDefault="00B36019" w14:paraId="374985A2" w14:textId="77777777">
      <w:pPr>
        <w:pStyle w:val="Textonotapie"/>
        <w:ind w:firstLine="708"/>
        <w:jc w:val="both"/>
        <w:rPr>
          <w:rFonts w:ascii="Arial" w:hAnsi="Arial" w:cs="Arial"/>
          <w:sz w:val="19"/>
          <w:szCs w:val="19"/>
        </w:rPr>
      </w:pPr>
      <w:r w:rsidRPr="009C5188">
        <w:rPr>
          <w:rFonts w:ascii="Arial" w:hAnsi="Arial" w:cs="Arial"/>
          <w:sz w:val="19"/>
          <w:szCs w:val="19"/>
        </w:rPr>
        <w:t>»1. Una sociedad sin disolverse, transfiere en bloque una o varias partes de su patrimonio a una o más sociedades existentes o las destina a la creación de una o varias sociedades.</w:t>
      </w:r>
    </w:p>
    <w:p w:rsidRPr="009C5188" w:rsidR="00B36019" w:rsidP="00B36019" w:rsidRDefault="00B36019" w14:paraId="1A986302" w14:textId="77777777">
      <w:pPr>
        <w:pStyle w:val="Textonotapie"/>
        <w:ind w:firstLine="708"/>
        <w:jc w:val="both"/>
        <w:rPr>
          <w:rFonts w:ascii="Arial" w:hAnsi="Arial" w:cs="Arial"/>
          <w:sz w:val="19"/>
          <w:szCs w:val="19"/>
        </w:rPr>
      </w:pPr>
      <w:r w:rsidRPr="009C5188">
        <w:rPr>
          <w:rFonts w:ascii="Arial" w:hAnsi="Arial" w:cs="Arial"/>
          <w:sz w:val="19"/>
          <w:szCs w:val="19"/>
        </w:rPr>
        <w:t>»2. Una sociedad se disuelve sin liquidarse, dividiendo su patrimonio en dos o más partes, que se transfieren a varias sociedades existentes o se destinan a la creación de nuevas sociedades.</w:t>
      </w:r>
    </w:p>
    <w:p w:rsidRPr="009C5188" w:rsidR="00B36019" w:rsidP="00B36019" w:rsidRDefault="00B36019" w14:paraId="631AFE52"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sociedad o sociedades destinatarias de las transferencias resultantes de la escisión, se denominarán sociedades beneficiarias.</w:t>
      </w:r>
    </w:p>
    <w:p w:rsidRPr="009C5188" w:rsidR="00B36019" w:rsidP="00B36019" w:rsidRDefault="00B36019" w14:paraId="1D9B6B47" w14:textId="77777777">
      <w:pPr>
        <w:pStyle w:val="Textonotapie"/>
        <w:ind w:firstLine="708"/>
        <w:jc w:val="both"/>
        <w:rPr>
          <w:rFonts w:ascii="Arial" w:hAnsi="Arial" w:cs="Arial"/>
          <w:sz w:val="19"/>
          <w:szCs w:val="19"/>
          <w:lang w:val="es-CO"/>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6">
    <w:p w:rsidRPr="009C5188" w:rsidR="00B36019" w:rsidP="00B36019" w:rsidRDefault="00B36019" w14:paraId="6E6F5450"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172. Fusión de la sociedad-concepto. Habrá fusión cuando una o más sociedades se disuelvan, sin liquidarse, para ser absorbidas por otra o para crear una nueva.</w:t>
      </w:r>
    </w:p>
    <w:p w:rsidRPr="009C5188" w:rsidR="00B36019" w:rsidP="00B36019" w:rsidRDefault="00B36019" w14:paraId="400272E1"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absorbente o la nueva compañía adquirirá los derechos y obligaciones de la sociedad o sociedades disueltas al formalizarse el acuerdo de fusión».</w:t>
      </w:r>
    </w:p>
    <w:p w:rsidRPr="009C5188" w:rsidR="00B36019" w:rsidP="00B36019" w:rsidRDefault="00B36019" w14:paraId="38FDF848" w14:textId="77777777">
      <w:pPr>
        <w:pStyle w:val="Textonotapie"/>
        <w:jc w:val="both"/>
        <w:rPr>
          <w:rFonts w:ascii="Arial" w:hAnsi="Arial" w:cs="Arial"/>
          <w:sz w:val="19"/>
          <w:szCs w:val="19"/>
          <w:lang w:val="es-CO"/>
        </w:rPr>
      </w:pPr>
    </w:p>
  </w:footnote>
  <w:footnote w:id="17">
    <w:p w:rsidRPr="009C5188" w:rsidR="00B36019" w:rsidP="00B36019" w:rsidRDefault="00B36019" w14:paraId="022AB422"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rsidRPr="009C5188" w:rsidR="00B36019" w:rsidP="00B36019" w:rsidRDefault="00B36019" w14:paraId="3B4D24E3" w14:textId="77777777">
      <w:pPr>
        <w:pStyle w:val="Textonotapie"/>
        <w:ind w:firstLine="708"/>
        <w:jc w:val="both"/>
        <w:rPr>
          <w:rFonts w:ascii="Arial" w:hAnsi="Arial" w:cs="Arial"/>
          <w:sz w:val="19"/>
          <w:szCs w:val="19"/>
          <w:lang w:val="es-CO"/>
        </w:rPr>
      </w:pPr>
    </w:p>
  </w:footnote>
  <w:footnote w:id="18">
    <w:p w:rsidRPr="009C5188" w:rsidR="00B36019" w:rsidP="00B36019" w:rsidRDefault="00B36019" w14:paraId="198CFC93"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rsidRPr="009C5188" w:rsidR="00B36019" w:rsidP="00B36019" w:rsidRDefault="00B36019" w14:paraId="50C2514B"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rsidRPr="009C5188" w:rsidR="00B36019" w:rsidP="00B36019" w:rsidRDefault="00B36019" w14:paraId="49B5856F" w14:textId="77777777">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rsidRPr="009C5188" w:rsidR="00B36019" w:rsidP="00B36019" w:rsidRDefault="00B36019" w14:paraId="53CCCF56" w14:textId="77777777">
      <w:pPr>
        <w:pStyle w:val="Textonotapie"/>
        <w:ind w:firstLine="708"/>
        <w:jc w:val="both"/>
        <w:rPr>
          <w:rFonts w:ascii="Arial" w:hAnsi="Arial" w:cs="Arial"/>
          <w:sz w:val="19"/>
          <w:szCs w:val="19"/>
          <w:lang w:val="es-CO"/>
        </w:rPr>
      </w:pPr>
    </w:p>
  </w:footnote>
  <w:footnote w:id="19">
    <w:p w:rsidRPr="005C751A" w:rsidR="00B36019" w:rsidP="00B36019" w:rsidRDefault="00B36019" w14:paraId="733AF22D" w14:textId="77777777">
      <w:pPr>
        <w:pStyle w:val="Textonotapie"/>
        <w:ind w:firstLine="708"/>
        <w:jc w:val="both"/>
        <w:rPr>
          <w:rFonts w:ascii="Arial" w:hAnsi="Arial" w:cs="Arial"/>
          <w:sz w:val="19"/>
          <w:szCs w:val="19"/>
        </w:rPr>
      </w:pPr>
      <w:r w:rsidRPr="0009349F">
        <w:rPr>
          <w:rStyle w:val="Refdenotaalpie"/>
          <w:rFonts w:ascii="Arial" w:hAnsi="Arial" w:cs="Arial"/>
          <w:sz w:val="19"/>
          <w:szCs w:val="19"/>
        </w:rPr>
        <w:footnoteRef/>
      </w:r>
      <w:r w:rsidRPr="0009349F">
        <w:rPr>
          <w:rFonts w:ascii="Arial" w:hAnsi="Arial" w:cs="Arial"/>
          <w:sz w:val="19"/>
          <w:szCs w:val="19"/>
        </w:rPr>
        <w:t xml:space="preserve"> Superintendencia de Sociedades</w:t>
      </w:r>
      <w:r w:rsidRPr="005C751A">
        <w:rPr>
          <w:rFonts w:ascii="Arial" w:hAnsi="Arial" w:cs="Arial"/>
          <w:sz w:val="19"/>
          <w:szCs w:val="19"/>
        </w:rPr>
        <w:t>.</w:t>
      </w:r>
      <w:r w:rsidRPr="0009349F">
        <w:rPr>
          <w:rFonts w:ascii="Arial" w:hAnsi="Arial" w:cs="Arial"/>
          <w:sz w:val="19"/>
          <w:szCs w:val="19"/>
        </w:rPr>
        <w:t xml:space="preserve"> </w:t>
      </w:r>
      <w:r w:rsidRPr="005C751A">
        <w:rPr>
          <w:rFonts w:ascii="Arial" w:hAnsi="Arial" w:cs="Arial"/>
          <w:sz w:val="19"/>
          <w:szCs w:val="19"/>
        </w:rPr>
        <w:t>O</w:t>
      </w:r>
      <w:r w:rsidRPr="0009349F">
        <w:rPr>
          <w:rFonts w:ascii="Arial" w:hAnsi="Arial" w:cs="Arial"/>
          <w:sz w:val="19"/>
          <w:szCs w:val="19"/>
        </w:rPr>
        <w:t>ficios 220-072759 del 14 de mayo de 2014, 220-100613 del 14 de julio de 2015, 220-079814 del 31 de agosto de 2015,220-142284 del 15 de julio de 2016, 095721 del 16 de junio de 202</w:t>
      </w:r>
      <w:r w:rsidRPr="005C751A">
        <w:rPr>
          <w:rFonts w:ascii="Arial" w:hAnsi="Arial" w:cs="Arial"/>
          <w:sz w:val="19"/>
          <w:szCs w:val="19"/>
        </w:rPr>
        <w:t>0.</w:t>
      </w:r>
    </w:p>
    <w:p w:rsidRPr="0009349F" w:rsidR="00B36019" w:rsidP="00B36019" w:rsidRDefault="00B36019" w14:paraId="3769A3AE" w14:textId="77777777">
      <w:pPr>
        <w:pStyle w:val="Textonotapie"/>
        <w:ind w:firstLine="708"/>
        <w:jc w:val="both"/>
        <w:rPr>
          <w:rFonts w:ascii="Arial" w:hAnsi="Arial" w:cs="Arial"/>
          <w:sz w:val="19"/>
          <w:szCs w:val="19"/>
          <w:lang w:val="es-CO"/>
        </w:rPr>
      </w:pPr>
    </w:p>
  </w:footnote>
  <w:footnote w:id="20">
    <w:p w:rsidRPr="0009349F" w:rsidR="00B36019" w:rsidP="00B36019" w:rsidRDefault="00B36019" w14:paraId="6AB92373" w14:textId="77777777">
      <w:pPr>
        <w:pStyle w:val="Textonotapie"/>
        <w:ind w:firstLine="708"/>
        <w:rPr>
          <w:lang w:val="es-CO"/>
        </w:rPr>
      </w:pPr>
      <w:r w:rsidRPr="0009349F">
        <w:rPr>
          <w:rStyle w:val="Refdenotaalpie"/>
          <w:rFonts w:ascii="Arial" w:hAnsi="Arial" w:cs="Arial"/>
          <w:sz w:val="19"/>
          <w:szCs w:val="19"/>
        </w:rPr>
        <w:footnoteRef/>
      </w:r>
      <w:r w:rsidRPr="0009349F">
        <w:rPr>
          <w:rFonts w:ascii="Arial" w:hAnsi="Arial" w:cs="Arial"/>
          <w:sz w:val="19"/>
          <w:szCs w:val="19"/>
        </w:rPr>
        <w:t xml:space="preserve"> </w:t>
      </w:r>
      <w:r w:rsidRPr="005C751A">
        <w:rPr>
          <w:rFonts w:ascii="Arial" w:hAnsi="Arial" w:cs="Arial"/>
          <w:sz w:val="19"/>
          <w:szCs w:val="19"/>
        </w:rPr>
        <w:t xml:space="preserve">Superintendencia de Sociedades. </w:t>
      </w:r>
      <w:r w:rsidRPr="0009349F">
        <w:rPr>
          <w:rFonts w:ascii="Arial" w:hAnsi="Arial" w:cs="Arial"/>
          <w:sz w:val="19"/>
          <w:szCs w:val="19"/>
        </w:rPr>
        <w:t>Oficio 220- 063311 del 6 de abril de 2020.</w:t>
      </w:r>
    </w:p>
  </w:footnote>
  <w:footnote w:id="21">
    <w:p w:rsidRPr="0009349F" w:rsidR="00B36019" w:rsidP="00B36019" w:rsidRDefault="00B36019" w14:paraId="5B91D96E" w14:textId="77777777">
      <w:pPr>
        <w:pStyle w:val="Textonotapie"/>
        <w:ind w:firstLine="708"/>
        <w:jc w:val="both"/>
        <w:rPr>
          <w:rFonts w:ascii="Arial" w:hAnsi="Arial" w:cs="Arial"/>
          <w:sz w:val="19"/>
          <w:szCs w:val="19"/>
          <w:lang w:val="es-CO"/>
        </w:rPr>
      </w:pPr>
      <w:r w:rsidRPr="0009349F">
        <w:rPr>
          <w:rStyle w:val="Refdenotaalpie"/>
          <w:rFonts w:ascii="Arial" w:hAnsi="Arial" w:cs="Arial"/>
          <w:sz w:val="19"/>
          <w:szCs w:val="19"/>
        </w:rPr>
        <w:footnoteRef/>
      </w:r>
      <w:r w:rsidRPr="0009349F">
        <w:rPr>
          <w:rFonts w:ascii="Arial" w:hAnsi="Arial" w:cs="Arial"/>
          <w:sz w:val="19"/>
          <w:szCs w:val="19"/>
        </w:rPr>
        <w:t xml:space="preserve"> </w:t>
      </w:r>
      <w:r w:rsidRPr="0009349F">
        <w:rPr>
          <w:rFonts w:ascii="Arial" w:hAnsi="Arial" w:cs="Arial"/>
          <w:sz w:val="19"/>
          <w:szCs w:val="19"/>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rsidRPr="0009349F" w:rsidR="00B36019" w:rsidP="00B36019" w:rsidRDefault="00B36019" w14:paraId="054F24F6" w14:textId="77777777">
      <w:pPr>
        <w:pStyle w:val="Textonotapie"/>
        <w:ind w:firstLine="708"/>
        <w:jc w:val="both"/>
        <w:rPr>
          <w:rFonts w:ascii="Arial" w:hAnsi="Arial" w:cs="Arial"/>
          <w:sz w:val="19"/>
          <w:szCs w:val="19"/>
          <w:lang w:val="es-CO"/>
        </w:rPr>
      </w:pPr>
      <w:r w:rsidRPr="0009349F">
        <w:rPr>
          <w:rFonts w:ascii="Arial" w:hAnsi="Arial" w:cs="Arial"/>
          <w:sz w:val="19"/>
          <w:szCs w:val="19"/>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09349F">
        <w:rPr>
          <w:rFonts w:ascii="Arial" w:hAnsi="Arial" w:cs="Arial"/>
          <w:sz w:val="19"/>
          <w:szCs w:val="19"/>
          <w:lang w:val="es-CO"/>
        </w:rPr>
        <w:t>smmlv</w:t>
      </w:r>
      <w:proofErr w:type="spellEnd"/>
      <w:r w:rsidRPr="0009349F">
        <w:rPr>
          <w:rFonts w:ascii="Arial" w:hAnsi="Arial" w:cs="Arial"/>
          <w:sz w:val="19"/>
          <w:szCs w:val="19"/>
          <w:lang w:val="es-CO"/>
        </w:rPr>
        <w:t xml:space="preserve">. </w:t>
      </w:r>
    </w:p>
    <w:p w:rsidRPr="0009349F" w:rsidR="00B36019" w:rsidP="00B36019" w:rsidRDefault="00B36019" w14:paraId="4849963B" w14:textId="77777777">
      <w:pPr>
        <w:pStyle w:val="Textonotapie"/>
        <w:ind w:firstLine="708"/>
        <w:jc w:val="both"/>
        <w:rPr>
          <w:lang w:val="es-CO"/>
        </w:rPr>
      </w:pPr>
      <w:proofErr w:type="gramStart"/>
      <w:r w:rsidRPr="0009349F">
        <w:rPr>
          <w:rFonts w:ascii="Arial" w:hAnsi="Arial" w:cs="Arial"/>
          <w:sz w:val="19"/>
          <w:szCs w:val="19"/>
          <w:lang w:val="es-CO"/>
        </w:rPr>
        <w:t>»Los</w:t>
      </w:r>
      <w:proofErr w:type="gramEnd"/>
      <w:r w:rsidRPr="0009349F">
        <w:rPr>
          <w:rFonts w:ascii="Arial" w:hAnsi="Arial" w:cs="Arial"/>
          <w:sz w:val="19"/>
          <w:szCs w:val="19"/>
          <w:lang w:val="es-CO"/>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09349F">
        <w:rPr>
          <w:rFonts w:ascii="Arial" w:hAnsi="Arial" w:cs="Arial"/>
          <w:sz w:val="19"/>
          <w:szCs w:val="19"/>
          <w:lang w:val="es-CO"/>
        </w:rPr>
        <w:t>smmlv</w:t>
      </w:r>
      <w:proofErr w:type="spellEnd"/>
      <w:r w:rsidRPr="0009349F">
        <w:rPr>
          <w:rFonts w:ascii="Arial" w:hAnsi="Arial" w:cs="Arial"/>
          <w:sz w:val="19"/>
          <w:szCs w:val="19"/>
          <w:lang w:val="es-C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9001EE7"/>
    <w:multiLevelType w:val="hybridMultilevel"/>
    <w:tmpl w:val="6EF666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A256F3"/>
    <w:multiLevelType w:val="hybridMultilevel"/>
    <w:tmpl w:val="573E65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019"/>
    <w:rsid w:val="004313D5"/>
    <w:rsid w:val="00480139"/>
    <w:rsid w:val="00534E1E"/>
    <w:rsid w:val="007557AC"/>
    <w:rsid w:val="00A02072"/>
    <w:rsid w:val="00A4630B"/>
    <w:rsid w:val="00B36019"/>
    <w:rsid w:val="00D31656"/>
    <w:rsid w:val="20D3E3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2BC9"/>
  <w15:chartTrackingRefBased/>
  <w15:docId w15:val="{5BC5B5A1-4905-41CE-8AE8-BF65C425F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semiHidden/>
    <w:unhideWhenUsed/>
    <w:rsid w:val="00B36019"/>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semiHidden/>
    <w:rsid w:val="00B36019"/>
  </w:style>
  <w:style w:type="paragraph" w:styleId="Sinespaciado">
    <w:name w:val="No Spacing"/>
    <w:uiPriority w:val="1"/>
    <w:qFormat/>
    <w:rsid w:val="00B36019"/>
    <w:pPr>
      <w:spacing w:after="0" w:line="240" w:lineRule="auto"/>
    </w:pPr>
  </w:style>
  <w:style w:type="table" w:styleId="Tablaconcuadrcula">
    <w:name w:val="Table Grid"/>
    <w:basedOn w:val="Tablanormal"/>
    <w:uiPriority w:val="59"/>
    <w:rsid w:val="00B360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601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36019"/>
    <w:pPr>
      <w:spacing w:after="0" w:line="240" w:lineRule="auto"/>
    </w:pPr>
    <w:rPr>
      <w:sz w:val="20"/>
      <w:szCs w:val="20"/>
      <w:lang w:val="es-MX"/>
    </w:rPr>
  </w:style>
  <w:style w:type="character" w:styleId="TextonotapieCar1" w:customStyle="1">
    <w:name w:val="Texto nota pie Car1"/>
    <w:basedOn w:val="Fuentedeprrafopredeter"/>
    <w:uiPriority w:val="99"/>
    <w:semiHidden/>
    <w:rsid w:val="00B3601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B36019"/>
    <w:rPr>
      <w:vertAlign w:val="superscript"/>
    </w:rPr>
  </w:style>
  <w:style w:type="paragraph" w:styleId="Appelnotedebasde" w:customStyle="1">
    <w:name w:val="Appel note de bas de..."/>
    <w:basedOn w:val="Normal"/>
    <w:link w:val="Refdenotaalpie"/>
    <w:uiPriority w:val="99"/>
    <w:rsid w:val="00B36019"/>
    <w:pPr>
      <w:spacing w:line="240" w:lineRule="exact"/>
    </w:pPr>
    <w:rPr>
      <w:vertAlign w:val="superscript"/>
    </w:rPr>
  </w:style>
  <w:style w:type="paragraph" w:styleId="Prrafodelista">
    <w:name w:val="List Paragraph"/>
    <w:basedOn w:val="Normal"/>
    <w:uiPriority w:val="34"/>
    <w:qFormat/>
    <w:rsid w:val="00D31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FAB317-E738-45C5-BBF7-6DEC15CF4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7408B3-AC90-4196-ADB0-E4BDD6F1ADE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DEDC8C6-52B8-4DD1-80CE-5C313731E25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Melissa Fernández Reinoso</dc:creator>
  <keywords/>
  <dc:description/>
  <lastModifiedBy>Nasly Yeana Mosquera Rivas</lastModifiedBy>
  <revision>5</revision>
  <dcterms:created xsi:type="dcterms:W3CDTF">2021-07-16T01:25:00.0000000Z</dcterms:created>
  <dcterms:modified xsi:type="dcterms:W3CDTF">2021-07-30T19:55:35.2447665Z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