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C70B0" w14:textId="77777777" w:rsidR="0089107D" w:rsidRPr="00B92AD4" w:rsidRDefault="0089107D" w:rsidP="0089107D">
      <w:pPr>
        <w:spacing w:after="0" w:line="240" w:lineRule="auto"/>
        <w:jc w:val="both"/>
        <w:rPr>
          <w:rFonts w:ascii="Verdana" w:eastAsia="Aptos" w:hAnsi="Verdana" w:cs="Times New Roman"/>
          <w:b/>
          <w:bCs/>
        </w:rPr>
      </w:pPr>
      <w:r w:rsidRPr="00B92AD4">
        <w:rPr>
          <w:rFonts w:ascii="Verdana" w:eastAsia="Aptos" w:hAnsi="Verdana" w:cs="Times New Roman"/>
          <w:b/>
          <w:bCs/>
        </w:rPr>
        <w:t>COMITÉ EVALUADOR – Facultad de creación – Entidad estatal – Decreto 1082 de 2015</w:t>
      </w:r>
    </w:p>
    <w:p w14:paraId="32EBEE33" w14:textId="77777777" w:rsidR="0089107D" w:rsidRPr="00B92AD4" w:rsidRDefault="0089107D" w:rsidP="0089107D">
      <w:pPr>
        <w:spacing w:after="0" w:line="240" w:lineRule="auto"/>
        <w:jc w:val="both"/>
        <w:rPr>
          <w:rFonts w:ascii="Verdana" w:eastAsia="Aptos" w:hAnsi="Verdana" w:cs="Times New Roman"/>
          <w:b/>
          <w:bCs/>
        </w:rPr>
      </w:pPr>
    </w:p>
    <w:p w14:paraId="201DE156" w14:textId="77777777" w:rsidR="0089107D" w:rsidRPr="00B92AD4" w:rsidRDefault="0089107D" w:rsidP="0089107D">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355A6CAC" w14:textId="77777777" w:rsidR="0089107D" w:rsidRPr="00B92AD4" w:rsidRDefault="0089107D" w:rsidP="0089107D">
      <w:pPr>
        <w:spacing w:after="0" w:line="240" w:lineRule="auto"/>
        <w:jc w:val="both"/>
        <w:rPr>
          <w:rFonts w:ascii="Verdana" w:eastAsia="Aptos" w:hAnsi="Verdana" w:cs="Times New Roman"/>
          <w:sz w:val="20"/>
          <w:szCs w:val="20"/>
        </w:rPr>
      </w:pPr>
    </w:p>
    <w:p w14:paraId="6907C073" w14:textId="77777777" w:rsidR="0089107D" w:rsidRPr="00B92AD4" w:rsidRDefault="0089107D" w:rsidP="0089107D">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[…]la norma mencionada permite que las Entidades Estatales sometidas al Estatuto General de Contratación de la Administración Pública, en adelante EGCAP, puedan constituir un comité evaluador de ofertas y de manifestaciones de interés.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w:t>
      </w:r>
    </w:p>
    <w:p w14:paraId="696EDDEE" w14:textId="77777777" w:rsidR="0089107D" w:rsidRPr="00B92AD4" w:rsidRDefault="0089107D" w:rsidP="0089107D">
      <w:pPr>
        <w:spacing w:after="0" w:line="240" w:lineRule="auto"/>
        <w:jc w:val="both"/>
        <w:rPr>
          <w:rFonts w:ascii="Verdana" w:eastAsia="Aptos" w:hAnsi="Verdana" w:cs="Times New Roman"/>
          <w:sz w:val="20"/>
          <w:szCs w:val="20"/>
        </w:rPr>
      </w:pPr>
    </w:p>
    <w:p w14:paraId="5D44F1B7" w14:textId="77777777" w:rsidR="0089107D" w:rsidRPr="00B92AD4" w:rsidRDefault="0089107D" w:rsidP="0089107D">
      <w:pPr>
        <w:spacing w:after="0" w:line="240" w:lineRule="auto"/>
        <w:jc w:val="both"/>
        <w:rPr>
          <w:rFonts w:ascii="Verdana" w:eastAsia="Aptos" w:hAnsi="Verdana" w:cs="Times New Roman"/>
          <w:b/>
          <w:bCs/>
        </w:rPr>
      </w:pPr>
      <w:r w:rsidRPr="00B92AD4">
        <w:rPr>
          <w:rFonts w:ascii="Verdana" w:eastAsia="Aptos" w:hAnsi="Verdana" w:cs="Times New Roman"/>
          <w:b/>
          <w:bCs/>
        </w:rPr>
        <w:t>COMITÉ EVALUADOR – Alcance – Facultad de la entidad – Determinación de funciones</w:t>
      </w:r>
    </w:p>
    <w:p w14:paraId="38F9D5CB" w14:textId="77777777" w:rsidR="0089107D" w:rsidRPr="00B92AD4" w:rsidRDefault="0089107D" w:rsidP="0089107D">
      <w:pPr>
        <w:spacing w:after="0" w:line="240" w:lineRule="auto"/>
        <w:jc w:val="both"/>
        <w:rPr>
          <w:rFonts w:ascii="Verdana" w:eastAsia="Aptos" w:hAnsi="Verdana" w:cs="Times New Roman"/>
          <w:b/>
          <w:bCs/>
        </w:rPr>
      </w:pPr>
    </w:p>
    <w:p w14:paraId="638B9E31" w14:textId="77777777" w:rsidR="0089107D" w:rsidRPr="00B92AD4" w:rsidRDefault="0089107D" w:rsidP="0089107D">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el artículo 2.2.1.1.2.2.3 del Decreto 1082 de 2015 mediante el cual se les otorga tal facultad, permite que las Entidades Estatales determinen ciertos elementos en relación con el comité de evaluación que decidan constituir. De esta forma, aspectos como el número de miembros, las calidades o profesiones de cada uno, las funciones o actividades que estos desarrollarán, la determinación de los procesos de selección en los cuales dicho comité se conformará, o la definición de factores como la cuantía u objeto contractual para la misma finalidad, entre otros, son aspectos que, en la medida que la norma guarde silencio, corresponderá a las Entidades establecer para cada proceso en sus respectivos manuales de contratación.</w:t>
      </w:r>
    </w:p>
    <w:p w14:paraId="7E40A8A5" w14:textId="77777777" w:rsidR="0089107D" w:rsidRPr="00B92AD4" w:rsidRDefault="0089107D" w:rsidP="0089107D">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w:t>
      </w:r>
    </w:p>
    <w:p w14:paraId="1192C2E5" w14:textId="77777777" w:rsidR="0089107D" w:rsidRPr="00B92AD4" w:rsidRDefault="0089107D" w:rsidP="0089107D">
      <w:pPr>
        <w:spacing w:after="0" w:line="240" w:lineRule="auto"/>
        <w:jc w:val="both"/>
        <w:rPr>
          <w:rFonts w:ascii="Verdana" w:eastAsia="Aptos" w:hAnsi="Verdana" w:cs="Times New Roman"/>
          <w:sz w:val="20"/>
          <w:szCs w:val="20"/>
        </w:rPr>
      </w:pPr>
      <w:r w:rsidRPr="00B92AD4">
        <w:rPr>
          <w:rFonts w:ascii="Verdana" w:eastAsia="Aptos" w:hAnsi="Verdana" w:cs="Times New Roman"/>
          <w:sz w:val="20"/>
          <w:szCs w:val="20"/>
        </w:rPr>
        <w:t>[…] es de menester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19F66BCD" w14:textId="64E1D86E" w:rsidR="0089107D" w:rsidRPr="00B92AD4" w:rsidRDefault="0089107D" w:rsidP="0089107D">
      <w:pPr>
        <w:spacing w:after="0" w:line="240" w:lineRule="auto"/>
        <w:rPr>
          <w:rFonts w:ascii="Verdana" w:eastAsia="Geomanist Light" w:hAnsi="Verdana" w:cs="Arial"/>
          <w:lang w:val="es-MX"/>
        </w:rPr>
      </w:pPr>
      <w:r w:rsidRPr="00B92AD4">
        <w:rPr>
          <w:rFonts w:ascii="Verdana" w:eastAsia="Geomanist Light" w:hAnsi="Verdana" w:cs="Arial"/>
          <w:lang w:val="es-MX"/>
        </w:rPr>
        <w:lastRenderedPageBreak/>
        <w:t>Bogotá D.C., </w:t>
      </w:r>
      <w:r w:rsidR="00F21426">
        <w:rPr>
          <w:rFonts w:ascii="Verdana" w:eastAsia="Geomanist Light" w:hAnsi="Verdana" w:cs="Arial"/>
          <w:lang w:val="es-MX"/>
        </w:rPr>
        <w:t>24 de abril de 2025</w:t>
      </w:r>
    </w:p>
    <w:p w14:paraId="1D9251B2" w14:textId="77777777" w:rsidR="0089107D" w:rsidRPr="00B92AD4" w:rsidRDefault="0089107D" w:rsidP="0089107D">
      <w:pPr>
        <w:spacing w:after="0" w:line="240" w:lineRule="auto"/>
        <w:jc w:val="both"/>
        <w:rPr>
          <w:rFonts w:ascii="Verdana" w:eastAsia="Calibri" w:hAnsi="Verdana" w:cs="Arial"/>
          <w:lang w:val="es-ES"/>
        </w:rPr>
      </w:pPr>
    </w:p>
    <w:p w14:paraId="1154D250" w14:textId="0337C787" w:rsidR="0089107D" w:rsidRPr="00B92AD4" w:rsidRDefault="00A941C4" w:rsidP="0089107D">
      <w:pPr>
        <w:spacing w:after="0" w:line="240" w:lineRule="auto"/>
        <w:jc w:val="right"/>
        <w:rPr>
          <w:rFonts w:ascii="Verdana" w:eastAsia="Calibri" w:hAnsi="Verdana" w:cs="Arial"/>
          <w:lang w:val="es-ES"/>
        </w:rPr>
      </w:pPr>
      <w:r w:rsidRPr="00A941C4">
        <w:rPr>
          <w:rFonts w:ascii="Verdana" w:eastAsia="Calibri" w:hAnsi="Verdana" w:cs="Arial"/>
          <w:lang w:val="es-ES"/>
        </w:rPr>
        <w:drawing>
          <wp:inline distT="0" distB="0" distL="0" distR="0" wp14:anchorId="0DEE2582" wp14:editId="04219B8A">
            <wp:extent cx="2429214" cy="685896"/>
            <wp:effectExtent l="0" t="0" r="0" b="0"/>
            <wp:docPr id="1325513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13225" name=""/>
                    <pic:cNvPicPr/>
                  </pic:nvPicPr>
                  <pic:blipFill>
                    <a:blip r:embed="rId10"/>
                    <a:stretch>
                      <a:fillRect/>
                    </a:stretch>
                  </pic:blipFill>
                  <pic:spPr>
                    <a:xfrm>
                      <a:off x="0" y="0"/>
                      <a:ext cx="2429214" cy="685896"/>
                    </a:xfrm>
                    <a:prstGeom prst="rect">
                      <a:avLst/>
                    </a:prstGeom>
                  </pic:spPr>
                </pic:pic>
              </a:graphicData>
            </a:graphic>
          </wp:inline>
        </w:drawing>
      </w:r>
    </w:p>
    <w:p w14:paraId="7E1506D3" w14:textId="77777777" w:rsidR="0089107D" w:rsidRPr="00B92AD4" w:rsidRDefault="0089107D" w:rsidP="0089107D">
      <w:pPr>
        <w:spacing w:after="0" w:line="240" w:lineRule="auto"/>
        <w:jc w:val="both"/>
        <w:rPr>
          <w:rFonts w:ascii="Verdana" w:eastAsia="Calibri" w:hAnsi="Verdana" w:cs="Arial"/>
          <w:lang w:val="es-ES" w:eastAsia="es-ES"/>
        </w:rPr>
      </w:pPr>
      <w:r w:rsidRPr="00B92AD4">
        <w:rPr>
          <w:rFonts w:ascii="Verdana" w:eastAsia="Calibri" w:hAnsi="Verdana" w:cs="Arial"/>
          <w:lang w:val="es-ES" w:eastAsia="es-ES"/>
        </w:rPr>
        <w:t>Señora</w:t>
      </w:r>
    </w:p>
    <w:p w14:paraId="07B3BC99" w14:textId="77777777" w:rsidR="0089107D" w:rsidRPr="00B92AD4" w:rsidRDefault="0089107D" w:rsidP="0089107D">
      <w:pPr>
        <w:spacing w:after="0" w:line="240" w:lineRule="auto"/>
        <w:rPr>
          <w:rFonts w:ascii="Verdana" w:eastAsia="Calibri" w:hAnsi="Verdana" w:cs="Arial"/>
          <w:b/>
          <w:bCs/>
          <w:lang w:val="es-ES" w:eastAsia="es-ES"/>
        </w:rPr>
      </w:pPr>
      <w:r w:rsidRPr="00B92AD4">
        <w:rPr>
          <w:rFonts w:ascii="Verdana" w:eastAsia="Calibri" w:hAnsi="Verdana" w:cs="Arial"/>
          <w:b/>
          <w:bCs/>
          <w:lang w:val="es-ES" w:eastAsia="es-ES"/>
        </w:rPr>
        <w:t xml:space="preserve">Lady Katerine </w:t>
      </w:r>
      <w:bookmarkStart w:id="0" w:name="_Hlk194308758"/>
      <w:r w:rsidRPr="00B92AD4">
        <w:rPr>
          <w:rFonts w:ascii="Verdana" w:eastAsia="Calibri" w:hAnsi="Verdana" w:cs="Arial"/>
          <w:b/>
          <w:bCs/>
          <w:lang w:val="es-ES" w:eastAsia="es-ES"/>
        </w:rPr>
        <w:t xml:space="preserve">Betancourt </w:t>
      </w:r>
      <w:bookmarkEnd w:id="0"/>
      <w:r w:rsidRPr="00B92AD4">
        <w:rPr>
          <w:rFonts w:ascii="Verdana" w:eastAsia="Calibri" w:hAnsi="Verdana" w:cs="Arial"/>
          <w:b/>
          <w:bCs/>
          <w:lang w:val="es-ES" w:eastAsia="es-ES"/>
        </w:rPr>
        <w:t>Albarracín</w:t>
      </w:r>
    </w:p>
    <w:p w14:paraId="1556FB72" w14:textId="77777777" w:rsidR="0089107D" w:rsidRPr="00B92AD4" w:rsidRDefault="0089107D" w:rsidP="0089107D">
      <w:pPr>
        <w:spacing w:after="0" w:line="240" w:lineRule="auto"/>
        <w:rPr>
          <w:rFonts w:ascii="Verdana" w:eastAsia="Aptos" w:hAnsi="Verdana" w:cs="Times New Roman"/>
        </w:rPr>
      </w:pPr>
      <w:hyperlink r:id="rId11" w:history="1">
        <w:r w:rsidRPr="00B92AD4">
          <w:rPr>
            <w:rFonts w:ascii="Verdana" w:eastAsia="Aptos" w:hAnsi="Verdana" w:cs="Times New Roman"/>
            <w:color w:val="0000FF"/>
            <w:u w:val="single"/>
          </w:rPr>
          <w:t>serviciosuniversal39@hotmail.com</w:t>
        </w:r>
      </w:hyperlink>
      <w:r w:rsidRPr="00B92AD4">
        <w:rPr>
          <w:rFonts w:ascii="Verdana" w:eastAsia="Aptos" w:hAnsi="Verdana" w:cs="Times New Roman"/>
        </w:rPr>
        <w:t xml:space="preserve"> </w:t>
      </w:r>
    </w:p>
    <w:p w14:paraId="44F9114A" w14:textId="77777777" w:rsidR="0089107D" w:rsidRPr="00B92AD4" w:rsidRDefault="0089107D" w:rsidP="0089107D">
      <w:pPr>
        <w:spacing w:after="0" w:line="240" w:lineRule="auto"/>
        <w:rPr>
          <w:rFonts w:ascii="Verdana" w:eastAsia="Calibri" w:hAnsi="Verdana" w:cs="Arial"/>
          <w:b/>
          <w:bCs/>
          <w:lang w:val="es-ES" w:eastAsia="es-ES"/>
        </w:rPr>
      </w:pPr>
      <w:r w:rsidRPr="00B92AD4">
        <w:rPr>
          <w:rFonts w:ascii="Verdana" w:eastAsia="Calibri" w:hAnsi="Verdana" w:cs="Arial"/>
          <w:lang w:val="es-ES" w:eastAsia="es-ES"/>
        </w:rPr>
        <w:t>La Dorada, Caldas</w:t>
      </w:r>
    </w:p>
    <w:p w14:paraId="22192BA9" w14:textId="77777777" w:rsidR="0089107D" w:rsidRPr="00B92AD4" w:rsidRDefault="0089107D" w:rsidP="0089107D">
      <w:pPr>
        <w:spacing w:after="0" w:line="240" w:lineRule="auto"/>
        <w:rPr>
          <w:rFonts w:ascii="Verdana" w:eastAsia="Calibri" w:hAnsi="Verdana" w:cs="Arial"/>
          <w:b/>
          <w:bCs/>
          <w:lang w:val="es-ES_tradnl" w:eastAsia="es-ES_tradnl"/>
        </w:rPr>
      </w:pPr>
    </w:p>
    <w:p w14:paraId="3AACBBD3" w14:textId="77777777" w:rsidR="0089107D" w:rsidRPr="00B92AD4" w:rsidRDefault="0089107D" w:rsidP="0089107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9107D" w:rsidRPr="00B92AD4" w14:paraId="4E477C5E" w14:textId="77777777" w:rsidTr="002918BC">
        <w:trPr>
          <w:trHeight w:val="884"/>
        </w:trPr>
        <w:tc>
          <w:tcPr>
            <w:tcW w:w="2689" w:type="dxa"/>
          </w:tcPr>
          <w:p w14:paraId="0FAE67CB" w14:textId="77777777" w:rsidR="0089107D" w:rsidRPr="00B92AD4" w:rsidRDefault="0089107D" w:rsidP="002918BC">
            <w:pPr>
              <w:jc w:val="both"/>
              <w:rPr>
                <w:rFonts w:ascii="Verdana" w:eastAsia="Calibri" w:hAnsi="Verdana" w:cs="Arial"/>
                <w:b/>
                <w:bCs/>
                <w:lang w:val="es-ES_tradnl" w:eastAsia="es-ES_tradnl"/>
              </w:rPr>
            </w:pPr>
          </w:p>
        </w:tc>
        <w:tc>
          <w:tcPr>
            <w:tcW w:w="6100" w:type="dxa"/>
          </w:tcPr>
          <w:p w14:paraId="30D09DEE" w14:textId="77777777" w:rsidR="0089107D" w:rsidRPr="00B92AD4" w:rsidRDefault="0089107D" w:rsidP="002918BC">
            <w:pPr>
              <w:jc w:val="both"/>
              <w:rPr>
                <w:rFonts w:ascii="Verdana" w:eastAsia="Calibri" w:hAnsi="Verdana" w:cs="Arial"/>
                <w:b/>
                <w:bCs/>
                <w:lang w:val="es-ES" w:eastAsia="es-ES"/>
              </w:rPr>
            </w:pPr>
            <w:r w:rsidRPr="00B92AD4">
              <w:rPr>
                <w:rFonts w:ascii="Verdana" w:eastAsia="Calibri" w:hAnsi="Verdana" w:cs="Arial"/>
                <w:b/>
                <w:bCs/>
                <w:lang w:val="es-ES" w:eastAsia="es-ES"/>
              </w:rPr>
              <w:t>Concepto C-343 de 2025</w:t>
            </w:r>
          </w:p>
        </w:tc>
      </w:tr>
      <w:tr w:rsidR="0089107D" w:rsidRPr="00B92AD4" w14:paraId="00BA842C" w14:textId="77777777" w:rsidTr="002918BC">
        <w:trPr>
          <w:trHeight w:val="884"/>
        </w:trPr>
        <w:tc>
          <w:tcPr>
            <w:tcW w:w="2689" w:type="dxa"/>
          </w:tcPr>
          <w:p w14:paraId="277AF1E0" w14:textId="77777777" w:rsidR="0089107D" w:rsidRPr="00B92AD4" w:rsidRDefault="0089107D" w:rsidP="002918BC">
            <w:pPr>
              <w:jc w:val="both"/>
              <w:rPr>
                <w:rFonts w:ascii="Verdana" w:eastAsia="Calibri" w:hAnsi="Verdana" w:cs="Arial"/>
                <w:lang w:val="es-ES_tradnl" w:eastAsia="es-ES_tradnl"/>
              </w:rPr>
            </w:pPr>
            <w:r w:rsidRPr="00B92AD4">
              <w:rPr>
                <w:rFonts w:ascii="Verdana" w:eastAsia="Calibri" w:hAnsi="Verdana" w:cs="Arial"/>
                <w:b/>
                <w:lang w:val="es-ES_tradnl" w:eastAsia="es-ES_tradnl"/>
              </w:rPr>
              <w:t>Temas:</w:t>
            </w:r>
            <w:r w:rsidRPr="00B92AD4">
              <w:rPr>
                <w:rFonts w:ascii="Verdana" w:eastAsia="Calibri" w:hAnsi="Verdana" w:cs="Arial"/>
                <w:lang w:val="es-ES_tradnl" w:eastAsia="es-ES_tradnl"/>
              </w:rPr>
              <w:t xml:space="preserve">                   </w:t>
            </w:r>
          </w:p>
        </w:tc>
        <w:tc>
          <w:tcPr>
            <w:tcW w:w="6100" w:type="dxa"/>
          </w:tcPr>
          <w:p w14:paraId="329DDC0B" w14:textId="08FA0D71" w:rsidR="0089107D" w:rsidRPr="00B92AD4" w:rsidRDefault="0089107D" w:rsidP="002918BC">
            <w:pPr>
              <w:spacing w:line="276" w:lineRule="auto"/>
              <w:jc w:val="both"/>
              <w:rPr>
                <w:rFonts w:ascii="Verdana" w:eastAsia="Calibri" w:hAnsi="Verdana" w:cs="Arial"/>
                <w:lang w:val="es-ES" w:eastAsia="es-ES"/>
              </w:rPr>
            </w:pPr>
            <w:r w:rsidRPr="2B0797BF">
              <w:rPr>
                <w:rFonts w:ascii="Verdana" w:eastAsia="Calibri" w:hAnsi="Verdana" w:cs="Arial"/>
                <w:lang w:val="es-ES" w:eastAsia="es-ES"/>
              </w:rPr>
              <w:t>COMITÉ EVALUADOR – Facultad de creación – Entidad estatal – Decreto 1082 de 2015 / COMIT</w:t>
            </w:r>
            <w:r w:rsidR="001E2BEF">
              <w:rPr>
                <w:rFonts w:ascii="Verdana" w:eastAsia="Calibri" w:hAnsi="Verdana" w:cs="Arial"/>
                <w:lang w:val="es-ES" w:eastAsia="es-ES"/>
              </w:rPr>
              <w:t>É</w:t>
            </w:r>
            <w:r w:rsidRPr="2B0797BF">
              <w:rPr>
                <w:rFonts w:ascii="Verdana" w:eastAsia="Calibri" w:hAnsi="Verdana" w:cs="Arial"/>
                <w:lang w:val="es-ES" w:eastAsia="es-ES"/>
              </w:rPr>
              <w:t xml:space="preserve"> EVALUADOR – Alcance – Facultad de la entidad – Determinación de funciones.</w:t>
            </w:r>
          </w:p>
          <w:p w14:paraId="6D0F5847" w14:textId="77777777" w:rsidR="0089107D" w:rsidRPr="00B92AD4" w:rsidRDefault="0089107D" w:rsidP="002918BC">
            <w:pPr>
              <w:spacing w:line="276" w:lineRule="auto"/>
              <w:jc w:val="both"/>
              <w:rPr>
                <w:rFonts w:ascii="Verdana" w:eastAsia="Calibri" w:hAnsi="Verdana" w:cs="Arial"/>
                <w:lang w:val="es-ES" w:eastAsia="es-ES"/>
              </w:rPr>
            </w:pPr>
          </w:p>
        </w:tc>
      </w:tr>
      <w:tr w:rsidR="0089107D" w:rsidRPr="00B92AD4" w14:paraId="0059547F" w14:textId="77777777" w:rsidTr="002918BC">
        <w:tc>
          <w:tcPr>
            <w:tcW w:w="2689" w:type="dxa"/>
          </w:tcPr>
          <w:p w14:paraId="0E6D4083" w14:textId="77777777" w:rsidR="0089107D" w:rsidRPr="00B92AD4" w:rsidRDefault="0089107D" w:rsidP="002918BC">
            <w:pPr>
              <w:jc w:val="both"/>
              <w:rPr>
                <w:rFonts w:ascii="Verdana" w:eastAsia="Calibri" w:hAnsi="Verdana" w:cs="Arial"/>
                <w:b/>
                <w:lang w:val="es-ES_tradnl" w:eastAsia="es-ES_tradnl"/>
              </w:rPr>
            </w:pPr>
            <w:r w:rsidRPr="00B92AD4">
              <w:rPr>
                <w:rFonts w:ascii="Verdana" w:eastAsia="Calibri" w:hAnsi="Verdana" w:cs="Arial"/>
                <w:b/>
                <w:lang w:val="es-ES_tradnl" w:eastAsia="es-ES_tradnl"/>
              </w:rPr>
              <w:t>Radicación:</w:t>
            </w:r>
            <w:r w:rsidRPr="00B92AD4">
              <w:rPr>
                <w:rFonts w:ascii="Verdana" w:eastAsia="Calibri" w:hAnsi="Verdana" w:cs="Arial"/>
                <w:lang w:val="es-ES_tradnl" w:eastAsia="es-ES_tradnl"/>
              </w:rPr>
              <w:t xml:space="preserve">               </w:t>
            </w:r>
          </w:p>
        </w:tc>
        <w:tc>
          <w:tcPr>
            <w:tcW w:w="6100" w:type="dxa"/>
          </w:tcPr>
          <w:p w14:paraId="1050A1BC" w14:textId="77777777" w:rsidR="0089107D" w:rsidRPr="00B92AD4" w:rsidRDefault="0089107D" w:rsidP="002918BC">
            <w:pPr>
              <w:jc w:val="both"/>
              <w:rPr>
                <w:rFonts w:ascii="Verdana" w:eastAsia="Calibri" w:hAnsi="Verdana" w:cs="Arial"/>
                <w:lang w:val="es-ES_tradnl" w:eastAsia="es-ES_tradnl"/>
              </w:rPr>
            </w:pPr>
            <w:r w:rsidRPr="00B92AD4">
              <w:rPr>
                <w:rFonts w:ascii="Verdana" w:eastAsia="Calibri" w:hAnsi="Verdana" w:cs="Arial"/>
                <w:lang w:val="es-ES_tradnl" w:eastAsia="es-ES_tradnl"/>
              </w:rPr>
              <w:t>Respuesta a consulta con radicado No.   P20250320002767</w:t>
            </w:r>
          </w:p>
        </w:tc>
      </w:tr>
    </w:tbl>
    <w:p w14:paraId="7E0B47E3" w14:textId="77777777" w:rsidR="0089107D" w:rsidRPr="00B92AD4" w:rsidRDefault="0089107D" w:rsidP="0089107D">
      <w:pPr>
        <w:spacing w:after="0" w:line="240" w:lineRule="auto"/>
        <w:jc w:val="both"/>
        <w:rPr>
          <w:rFonts w:ascii="Verdana" w:eastAsia="Calibri" w:hAnsi="Verdana" w:cs="Arial"/>
          <w:lang w:val="es-ES_tradnl" w:eastAsia="es-ES_tradnl"/>
        </w:rPr>
      </w:pPr>
    </w:p>
    <w:p w14:paraId="11D1DD6C" w14:textId="77777777" w:rsidR="0089107D" w:rsidRPr="00B92AD4" w:rsidRDefault="0089107D" w:rsidP="0089107D">
      <w:pPr>
        <w:spacing w:after="0" w:line="240" w:lineRule="auto"/>
        <w:jc w:val="both"/>
        <w:rPr>
          <w:rFonts w:ascii="Verdana" w:eastAsia="Calibri" w:hAnsi="Verdana" w:cs="Arial"/>
          <w:lang w:val="es-ES_tradnl" w:eastAsia="es-ES_tradnl"/>
        </w:rPr>
      </w:pPr>
    </w:p>
    <w:p w14:paraId="3B282B90" w14:textId="77777777" w:rsidR="0089107D" w:rsidRPr="00B92AD4" w:rsidRDefault="0089107D" w:rsidP="0089107D">
      <w:pPr>
        <w:spacing w:after="0" w:line="276" w:lineRule="auto"/>
        <w:jc w:val="both"/>
        <w:rPr>
          <w:rFonts w:ascii="Verdana" w:eastAsia="Calibri" w:hAnsi="Verdana" w:cs="Arial"/>
          <w:lang w:val="es-ES" w:eastAsia="es-ES"/>
        </w:rPr>
      </w:pPr>
      <w:r w:rsidRPr="00B92AD4">
        <w:rPr>
          <w:rFonts w:ascii="Verdana" w:eastAsia="Calibri" w:hAnsi="Verdana" w:cs="Arial"/>
          <w:lang w:val="es-ES" w:eastAsia="es-ES"/>
        </w:rPr>
        <w:t xml:space="preserve">Estimada señora Betancourt: </w:t>
      </w:r>
    </w:p>
    <w:p w14:paraId="0F1BF70D" w14:textId="77777777" w:rsidR="0089107D" w:rsidRPr="00B92AD4" w:rsidRDefault="0089107D" w:rsidP="0089107D">
      <w:pPr>
        <w:tabs>
          <w:tab w:val="left" w:pos="3768"/>
        </w:tabs>
        <w:spacing w:after="0" w:line="276" w:lineRule="auto"/>
        <w:jc w:val="both"/>
        <w:rPr>
          <w:rFonts w:ascii="Verdana" w:eastAsia="Calibri" w:hAnsi="Verdana" w:cs="Arial"/>
          <w:lang w:val="es-ES" w:eastAsia="es-ES"/>
        </w:rPr>
      </w:pPr>
    </w:p>
    <w:p w14:paraId="3EE168FE" w14:textId="77777777" w:rsidR="0089107D" w:rsidRPr="00B92AD4" w:rsidRDefault="0089107D" w:rsidP="0089107D">
      <w:pPr>
        <w:spacing w:after="0" w:line="276" w:lineRule="auto"/>
        <w:jc w:val="both"/>
        <w:rPr>
          <w:rFonts w:ascii="Verdana" w:eastAsia="Calibri" w:hAnsi="Verdana" w:cs="Arial"/>
          <w:lang w:val="es-ES" w:eastAsia="es-ES"/>
        </w:rPr>
      </w:pPr>
      <w:r w:rsidRPr="00B92AD4">
        <w:rPr>
          <w:rFonts w:ascii="Verdana" w:eastAsia="Calibri" w:hAnsi="Verdana" w:cs="Arial"/>
          <w:lang w:val="es-ES" w:eastAsia="es-ES"/>
        </w:rPr>
        <w:t>En ejercicio de la competencia otorgada por los artículos 3, numeral 5º, y 11, numeral 8º, del Decreto Ley 4170 de 2011,</w:t>
      </w:r>
      <w:r w:rsidRPr="00B92AD4">
        <w:rPr>
          <w:rFonts w:ascii="Verdana" w:eastAsia="Arial MT" w:hAnsi="Verdana" w:cs="Arial MT"/>
          <w:lang w:val="es-ES" w:eastAsia="es-ES"/>
        </w:rPr>
        <w:t xml:space="preserve"> </w:t>
      </w:r>
      <w:r w:rsidRPr="00B92AD4">
        <w:rPr>
          <w:rFonts w:ascii="Verdana" w:eastAsia="Aptos" w:hAnsi="Verdana" w:cs="Arial"/>
        </w:rPr>
        <w:t xml:space="preserve">así como lo establecido en el artículo 4 de la Resolución 1707 de 2018 expedida por esta Entidad, </w:t>
      </w:r>
      <w:r w:rsidRPr="00B92AD4">
        <w:rPr>
          <w:rFonts w:ascii="Verdana" w:eastAsia="Calibri" w:hAnsi="Verdana" w:cs="Arial"/>
          <w:lang w:val="es-ES" w:eastAsia="es-ES"/>
        </w:rPr>
        <w:t>la Agencia Nacional de Contratación Pública – Colombia Compra Eficiente– responde su solicitud de petición de fecha del 20 de marzo de 2025, en la que realiza la siguiente consulta:</w:t>
      </w:r>
      <w:r w:rsidRPr="00B92AD4">
        <w:rPr>
          <w:rFonts w:ascii="Verdana" w:eastAsia="Calibri" w:hAnsi="Verdana" w:cs="Arial"/>
          <w:lang w:val="es-MX"/>
        </w:rPr>
        <w:t>“un funcionario que es designado como evaluador económico en un proceso contractual puede hacer las funciones de evaluador técnico del mismo proceso simultáneamente”. [sic]</w:t>
      </w:r>
    </w:p>
    <w:p w14:paraId="6885A5BF" w14:textId="77777777" w:rsidR="0089107D" w:rsidRPr="00B92AD4" w:rsidRDefault="0089107D" w:rsidP="0089107D">
      <w:pPr>
        <w:tabs>
          <w:tab w:val="left" w:pos="142"/>
          <w:tab w:val="left" w:pos="284"/>
        </w:tabs>
        <w:spacing w:line="276" w:lineRule="auto"/>
        <w:contextualSpacing/>
        <w:jc w:val="both"/>
        <w:rPr>
          <w:rFonts w:ascii="Verdana" w:eastAsia="Century Gothic" w:hAnsi="Verdana" w:cs="Century Gothic"/>
          <w:b/>
          <w:bCs/>
          <w:lang w:val="es-ES"/>
        </w:rPr>
      </w:pPr>
    </w:p>
    <w:p w14:paraId="6A34898B" w14:textId="77777777" w:rsidR="0089107D" w:rsidRPr="00B92AD4" w:rsidRDefault="0089107D" w:rsidP="0089107D">
      <w:pPr>
        <w:spacing w:after="120" w:line="276" w:lineRule="auto"/>
        <w:ind w:firstLine="709"/>
        <w:jc w:val="both"/>
        <w:rPr>
          <w:rFonts w:ascii="Verdana" w:eastAsia="Calibri" w:hAnsi="Verdana" w:cs="Arial"/>
          <w:szCs w:val="24"/>
          <w:lang w:val="es-ES_tradnl" w:eastAsia="es-ES_tradnl"/>
        </w:rPr>
      </w:pPr>
      <w:r w:rsidRPr="00B92AD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B92AD4">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C8D8EAE" w14:textId="77777777" w:rsidR="0089107D" w:rsidRPr="00B92AD4" w:rsidRDefault="0089107D" w:rsidP="0089107D">
      <w:pPr>
        <w:spacing w:after="0" w:line="276" w:lineRule="auto"/>
        <w:ind w:firstLine="709"/>
        <w:jc w:val="both"/>
        <w:rPr>
          <w:rFonts w:ascii="Verdana" w:eastAsia="Calibri" w:hAnsi="Verdana" w:cs="Arial"/>
          <w:lang w:val="es-ES" w:eastAsia="es-ES"/>
        </w:rPr>
      </w:pPr>
      <w:r w:rsidRPr="00B92AD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DA7ACB5" w14:textId="77777777" w:rsidR="0089107D" w:rsidRPr="00B92AD4" w:rsidRDefault="0089107D" w:rsidP="0089107D">
      <w:pPr>
        <w:spacing w:after="0" w:line="276" w:lineRule="auto"/>
        <w:ind w:firstLine="709"/>
        <w:jc w:val="both"/>
        <w:rPr>
          <w:rFonts w:ascii="Verdana" w:eastAsia="Calibri" w:hAnsi="Verdana" w:cs="Arial"/>
          <w:lang w:val="es-ES" w:eastAsia="es-ES"/>
        </w:rPr>
      </w:pPr>
    </w:p>
    <w:p w14:paraId="04999391" w14:textId="77777777" w:rsidR="0089107D" w:rsidRPr="00B92AD4" w:rsidRDefault="0089107D" w:rsidP="0089107D">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92AD4">
        <w:rPr>
          <w:rFonts w:ascii="Verdana" w:eastAsia="Arial" w:hAnsi="Verdana" w:cs="Arial"/>
          <w:b/>
          <w:bCs/>
          <w:lang w:val="es-ES"/>
        </w:rPr>
        <w:t>1. Problema planteado:</w:t>
      </w:r>
    </w:p>
    <w:p w14:paraId="12BEE62A" w14:textId="77777777" w:rsidR="0089107D" w:rsidRPr="00B92AD4" w:rsidRDefault="0089107D" w:rsidP="0089107D">
      <w:pPr>
        <w:tabs>
          <w:tab w:val="left" w:pos="426"/>
        </w:tabs>
        <w:spacing w:after="0" w:line="276" w:lineRule="auto"/>
        <w:jc w:val="both"/>
        <w:rPr>
          <w:rFonts w:ascii="Verdana" w:eastAsia="Century Gothic" w:hAnsi="Verdana" w:cs="Century Gothic"/>
          <w:lang w:val="es-ES"/>
        </w:rPr>
      </w:pPr>
    </w:p>
    <w:p w14:paraId="40908D7C" w14:textId="77777777" w:rsidR="0089107D" w:rsidRPr="00B92AD4" w:rsidRDefault="0089107D" w:rsidP="0089107D">
      <w:pPr>
        <w:spacing w:after="0" w:line="276" w:lineRule="auto"/>
        <w:jc w:val="both"/>
        <w:rPr>
          <w:rFonts w:ascii="Verdana" w:eastAsia="Century Gothic" w:hAnsi="Verdana" w:cs="Century Gothic"/>
        </w:rPr>
      </w:pPr>
      <w:r w:rsidRPr="00B92AD4">
        <w:rPr>
          <w:rFonts w:ascii="Verdana" w:eastAsia="Century Gothic" w:hAnsi="Verdana" w:cs="Century Gothic"/>
        </w:rPr>
        <w:t xml:space="preserve">De acuerdo con el contenido de su solicitud, </w:t>
      </w:r>
      <w:bookmarkStart w:id="1" w:name="_Hlk171070029"/>
      <w:r w:rsidRPr="00B92AD4">
        <w:rPr>
          <w:rFonts w:ascii="Verdana" w:eastAsia="Century Gothic" w:hAnsi="Verdana" w:cs="Century Gothic"/>
        </w:rPr>
        <w:t>le informamos que la misma será resuelta desde el siguiente interrogante: ¿Los integrantes del comité evaluador creado por la Entidad Estatal, pueden desempeñar varias actividades en el marco de la evaluación de las ofertas?</w:t>
      </w:r>
    </w:p>
    <w:p w14:paraId="049098AE" w14:textId="77777777" w:rsidR="0089107D" w:rsidRPr="00B92AD4" w:rsidRDefault="0089107D" w:rsidP="0089107D">
      <w:pPr>
        <w:spacing w:after="0" w:line="276" w:lineRule="auto"/>
        <w:jc w:val="both"/>
        <w:rPr>
          <w:rFonts w:ascii="Verdana" w:eastAsia="Calibri" w:hAnsi="Verdana" w:cs="Arial"/>
          <w:lang w:val="es-ES"/>
        </w:rPr>
      </w:pPr>
    </w:p>
    <w:bookmarkEnd w:id="1"/>
    <w:p w14:paraId="3A3DFB64" w14:textId="77777777" w:rsidR="0089107D" w:rsidRPr="00B92AD4" w:rsidRDefault="0089107D" w:rsidP="0089107D">
      <w:pPr>
        <w:widowControl w:val="0"/>
        <w:autoSpaceDE w:val="0"/>
        <w:autoSpaceDN w:val="0"/>
        <w:spacing w:before="1" w:after="0" w:line="240" w:lineRule="auto"/>
        <w:jc w:val="both"/>
        <w:outlineLvl w:val="0"/>
        <w:rPr>
          <w:rFonts w:ascii="Verdana" w:eastAsia="Arial" w:hAnsi="Verdana" w:cs="Arial"/>
          <w:b/>
          <w:bCs/>
          <w:lang w:val="es-ES"/>
        </w:rPr>
      </w:pPr>
      <w:r w:rsidRPr="00B92AD4">
        <w:rPr>
          <w:rFonts w:ascii="Verdana" w:eastAsia="Arial" w:hAnsi="Verdana" w:cs="Arial"/>
          <w:b/>
          <w:bCs/>
          <w:lang w:val="es-ES"/>
        </w:rPr>
        <w:t>2. Respuesta:</w:t>
      </w:r>
    </w:p>
    <w:p w14:paraId="76E1FD4C" w14:textId="77777777" w:rsidR="0089107D" w:rsidRPr="00B92AD4" w:rsidRDefault="0089107D" w:rsidP="0089107D">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9107D" w:rsidRPr="00B92AD4" w14:paraId="58FDFA2C" w14:textId="77777777" w:rsidTr="002918BC">
        <w:tc>
          <w:tcPr>
            <w:tcW w:w="8828" w:type="dxa"/>
            <w:shd w:val="clear" w:color="auto" w:fill="auto"/>
          </w:tcPr>
          <w:p w14:paraId="56BF41DF" w14:textId="77777777" w:rsidR="0089107D" w:rsidRPr="00B92AD4" w:rsidRDefault="0089107D" w:rsidP="002918BC">
            <w:pPr>
              <w:spacing w:line="276" w:lineRule="auto"/>
              <w:jc w:val="both"/>
              <w:rPr>
                <w:rFonts w:ascii="Verdana" w:eastAsia="Calibri" w:hAnsi="Verdana" w:cs="Arial"/>
                <w:lang w:val="es-ES"/>
              </w:rPr>
            </w:pPr>
            <w:bookmarkStart w:id="2" w:name="_Hlk171067516"/>
            <w:r w:rsidRPr="00B92AD4">
              <w:rPr>
                <w:rFonts w:ascii="Verdana" w:eastAsia="Calibri" w:hAnsi="Verdana" w:cs="Arial"/>
                <w:lang w:val="es-ES"/>
              </w:rPr>
              <w:t xml:space="preserve">De manera preliminar, debe precisarse que las Entidades Estatales sometidas al Estatuto General de Contratación de la Administración Pública de acuerdo con lo señalado en el artículo 2.2.1.1.2.2.3 del Decreto 1082 de 2015, pueden constituir un comité evaluador de ofertas y de manifestaciones de interés para los procesos de licitación pública, selección abreviada y concurso de méritos, que podrá estar conformado bien sea por servidores públicos o particulares contratados para tal finalidad o por una combinación de ambos. </w:t>
            </w:r>
          </w:p>
          <w:p w14:paraId="024EEC32" w14:textId="77777777" w:rsidR="0089107D" w:rsidRPr="00B92AD4" w:rsidRDefault="0089107D" w:rsidP="002918BC">
            <w:pPr>
              <w:spacing w:line="276" w:lineRule="auto"/>
              <w:jc w:val="both"/>
              <w:rPr>
                <w:rFonts w:ascii="Verdana" w:eastAsia="Calibri" w:hAnsi="Verdana" w:cs="Arial"/>
                <w:lang w:val="es-ES"/>
              </w:rPr>
            </w:pPr>
          </w:p>
          <w:p w14:paraId="28C7E806" w14:textId="77777777" w:rsidR="0089107D" w:rsidRPr="00B92AD4" w:rsidRDefault="0089107D" w:rsidP="002918BC">
            <w:pPr>
              <w:spacing w:line="276" w:lineRule="auto"/>
              <w:jc w:val="both"/>
              <w:rPr>
                <w:rFonts w:ascii="Verdana" w:eastAsia="Calibri" w:hAnsi="Verdana" w:cs="Arial"/>
                <w:lang w:val="es-ES"/>
              </w:rPr>
            </w:pPr>
            <w:r w:rsidRPr="2B0797BF">
              <w:rPr>
                <w:rFonts w:ascii="Verdana" w:eastAsia="Calibri" w:hAnsi="Verdana" w:cs="Arial"/>
                <w:lang w:val="es-ES"/>
              </w:rPr>
              <w:t xml:space="preserve">En ese sentido, </w:t>
            </w:r>
            <w:bookmarkStart w:id="3" w:name="_Hlk194322763"/>
            <w:r w:rsidRPr="2B0797BF">
              <w:rPr>
                <w:rFonts w:ascii="Verdana" w:eastAsia="Calibri" w:hAnsi="Verdana" w:cs="Arial"/>
                <w:lang w:val="es-ES"/>
              </w:rPr>
              <w:t xml:space="preserve">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w:t>
            </w:r>
          </w:p>
          <w:p w14:paraId="181CE7F4" w14:textId="77777777" w:rsidR="0089107D" w:rsidRPr="00B92AD4" w:rsidRDefault="0089107D" w:rsidP="002918BC">
            <w:pPr>
              <w:spacing w:line="276" w:lineRule="auto"/>
              <w:jc w:val="both"/>
              <w:rPr>
                <w:rFonts w:ascii="Verdana" w:eastAsia="Calibri" w:hAnsi="Verdana" w:cs="Arial"/>
                <w:lang w:val="es-ES"/>
              </w:rPr>
            </w:pPr>
          </w:p>
          <w:p w14:paraId="27FB47D8" w14:textId="77777777" w:rsidR="0089107D" w:rsidRPr="00B92AD4" w:rsidRDefault="0089107D" w:rsidP="002918BC">
            <w:pPr>
              <w:spacing w:line="276" w:lineRule="auto"/>
              <w:jc w:val="both"/>
              <w:rPr>
                <w:rFonts w:ascii="Verdana" w:eastAsia="Calibri" w:hAnsi="Verdana" w:cs="Arial"/>
                <w:lang w:val="es-ES"/>
              </w:rPr>
            </w:pPr>
            <w:r w:rsidRPr="2B0797BF">
              <w:rPr>
                <w:rFonts w:ascii="Verdana" w:eastAsia="Calibri" w:hAnsi="Verdana" w:cs="Arial"/>
                <w:lang w:val="es-ES"/>
              </w:rPr>
              <w:t xml:space="preserve">Ahora bien, </w:t>
            </w:r>
            <w:bookmarkEnd w:id="3"/>
            <w:r w:rsidRPr="2B0797BF">
              <w:rPr>
                <w:rFonts w:ascii="Verdana" w:eastAsia="Calibri" w:hAnsi="Verdana" w:cs="Arial"/>
                <w:lang w:val="es-ES"/>
              </w:rPr>
              <w:t>es de menester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 observar la administración pública al momento de asignar las funciones o actividades a desempeñar por parte de los miembros de dichos comités, pues la norma en mención, no se refirió sobre este aspecto.</w:t>
            </w:r>
          </w:p>
          <w:p w14:paraId="6DFFF8E4" w14:textId="77777777" w:rsidR="0089107D" w:rsidRPr="00B92AD4" w:rsidRDefault="0089107D" w:rsidP="002918BC">
            <w:pPr>
              <w:spacing w:line="276" w:lineRule="auto"/>
              <w:jc w:val="both"/>
              <w:rPr>
                <w:rFonts w:ascii="Verdana" w:eastAsia="Calibri" w:hAnsi="Verdana" w:cs="Arial"/>
                <w:lang w:val="es-ES"/>
              </w:rPr>
            </w:pPr>
          </w:p>
          <w:p w14:paraId="0FFC315A" w14:textId="77777777" w:rsidR="0089107D" w:rsidRPr="00B92AD4" w:rsidRDefault="0089107D" w:rsidP="002918BC">
            <w:pPr>
              <w:spacing w:line="276" w:lineRule="auto"/>
              <w:jc w:val="both"/>
              <w:rPr>
                <w:rFonts w:ascii="Verdana" w:eastAsia="Calibri" w:hAnsi="Verdana" w:cs="Arial"/>
                <w:lang w:val="es-ES"/>
              </w:rPr>
            </w:pPr>
            <w:r w:rsidRPr="00B92AD4">
              <w:rPr>
                <w:rFonts w:ascii="Verdana" w:eastAsia="Calibri" w:hAnsi="Verdana" w:cs="Arial"/>
                <w:lang w:val="es-ES"/>
              </w:rPr>
              <w:t>Finalmente se precisa, que el análisis requerido para resolver problemas específicos en torno a las funciones o actividades que puedan desempeñar los integrantes del comité evaluador de las ofertas, debe realizarse por quienes tengan interés en ello, de acuerdo con el marco jurídico aplicable previamente explicado. Por lo anterior, previo concepto de sus asesores, la solución de situaciones particulares, corresponderá a los interesados de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2"/>
    </w:tbl>
    <w:p w14:paraId="227357D5" w14:textId="77777777" w:rsidR="0089107D" w:rsidRPr="00B92AD4" w:rsidRDefault="0089107D" w:rsidP="0089107D">
      <w:pPr>
        <w:widowControl w:val="0"/>
        <w:autoSpaceDE w:val="0"/>
        <w:autoSpaceDN w:val="0"/>
        <w:spacing w:before="1" w:after="0" w:line="240" w:lineRule="auto"/>
        <w:ind w:left="360" w:hanging="360"/>
        <w:outlineLvl w:val="0"/>
        <w:rPr>
          <w:rFonts w:ascii="Verdana" w:eastAsia="Arial" w:hAnsi="Verdana" w:cs="Arial"/>
          <w:b/>
          <w:bCs/>
          <w:lang w:val="es-ES"/>
        </w:rPr>
      </w:pPr>
    </w:p>
    <w:p w14:paraId="3DFD44CB" w14:textId="77777777" w:rsidR="0089107D" w:rsidRPr="00B92AD4" w:rsidRDefault="0089107D" w:rsidP="0089107D">
      <w:pPr>
        <w:widowControl w:val="0"/>
        <w:autoSpaceDE w:val="0"/>
        <w:autoSpaceDN w:val="0"/>
        <w:spacing w:before="1" w:after="0" w:line="240" w:lineRule="auto"/>
        <w:ind w:left="360" w:hanging="360"/>
        <w:outlineLvl w:val="0"/>
        <w:rPr>
          <w:rFonts w:ascii="Verdana" w:eastAsia="Arial" w:hAnsi="Verdana" w:cs="Arial"/>
          <w:b/>
          <w:bCs/>
          <w:lang w:val="es-ES"/>
        </w:rPr>
      </w:pPr>
      <w:r w:rsidRPr="00B92AD4">
        <w:rPr>
          <w:rFonts w:ascii="Verdana" w:eastAsia="Arial" w:hAnsi="Verdana" w:cs="Arial"/>
          <w:b/>
          <w:bCs/>
          <w:lang w:val="es-ES"/>
        </w:rPr>
        <w:t>3. Razones de la respuesta</w:t>
      </w:r>
    </w:p>
    <w:p w14:paraId="3845055A" w14:textId="77777777" w:rsidR="0089107D" w:rsidRPr="00B92AD4" w:rsidRDefault="0089107D" w:rsidP="0089107D">
      <w:pPr>
        <w:spacing w:after="0" w:line="276" w:lineRule="auto"/>
        <w:jc w:val="both"/>
        <w:rPr>
          <w:rFonts w:ascii="Verdana" w:eastAsia="Calibri" w:hAnsi="Verdana" w:cs="Arial"/>
          <w:lang w:val="es-ES"/>
        </w:rPr>
      </w:pPr>
    </w:p>
    <w:p w14:paraId="4AEB0CDC" w14:textId="77777777" w:rsidR="0089107D" w:rsidRPr="00B92AD4" w:rsidRDefault="0089107D" w:rsidP="0089107D">
      <w:pPr>
        <w:spacing w:after="0" w:line="276" w:lineRule="auto"/>
        <w:jc w:val="both"/>
        <w:rPr>
          <w:rFonts w:ascii="Verdana" w:eastAsia="Calibri" w:hAnsi="Verdana" w:cs="Arial"/>
          <w:lang w:val="es-ES"/>
        </w:rPr>
      </w:pPr>
      <w:r w:rsidRPr="00B92AD4">
        <w:rPr>
          <w:rFonts w:ascii="Verdana" w:eastAsia="Calibri" w:hAnsi="Verdana" w:cs="Arial"/>
          <w:lang w:val="es-ES"/>
        </w:rPr>
        <w:t xml:space="preserve">Las respuestas anteriores se sustentan en las siguientes consideraciones: </w:t>
      </w:r>
    </w:p>
    <w:p w14:paraId="3659327B" w14:textId="77777777" w:rsidR="0089107D" w:rsidRPr="00B92AD4" w:rsidRDefault="0089107D" w:rsidP="0089107D">
      <w:pPr>
        <w:spacing w:after="0" w:line="276" w:lineRule="auto"/>
        <w:contextualSpacing/>
        <w:jc w:val="both"/>
        <w:rPr>
          <w:rFonts w:ascii="Verdana" w:eastAsia="Calibri" w:hAnsi="Verdana" w:cs="Arial"/>
          <w:lang w:val="es-ES"/>
        </w:rPr>
      </w:pPr>
    </w:p>
    <w:p w14:paraId="16F27B5E" w14:textId="77777777" w:rsidR="0089107D" w:rsidRPr="00B92AD4" w:rsidRDefault="0089107D" w:rsidP="0089107D">
      <w:pPr>
        <w:numPr>
          <w:ilvl w:val="0"/>
          <w:numId w:val="3"/>
        </w:numPr>
        <w:spacing w:after="0" w:line="276" w:lineRule="auto"/>
        <w:contextualSpacing/>
        <w:jc w:val="both"/>
        <w:rPr>
          <w:rFonts w:ascii="Verdana" w:eastAsia="Calibri" w:hAnsi="Verdana" w:cs="Arial"/>
        </w:rPr>
      </w:pPr>
      <w:bookmarkStart w:id="4" w:name="_Hlk173311098"/>
      <w:r w:rsidRPr="00B92AD4">
        <w:rPr>
          <w:rFonts w:ascii="Verdana" w:eastAsia="Calibri" w:hAnsi="Verdana" w:cs="Arial"/>
        </w:rPr>
        <w:t xml:space="preserve">Teniendo en cuenta que la actividad contractual del Estado resulta ser un asunto complejo que implica la influencia de distintas disciplinas y especialidades, el ordenamiento normativo colombiano le ha otorgado a las Entidades Estatales la facultad de constituir los denominados comités evaluadores o comités de evaluación, como organismos encargados, en ciertos casos, de la evaluación de las ofertas presentadas en el marco de un Proceso de Contratación. En ese sentido, el artículo 2.2.1.1.2.2.3 del </w:t>
      </w:r>
      <w:r w:rsidRPr="00B92AD4">
        <w:rPr>
          <w:rFonts w:ascii="Verdana" w:eastAsia="Calibri" w:hAnsi="Verdana" w:cs="Arial"/>
        </w:rPr>
        <w:lastRenderedPageBreak/>
        <w:t>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6F738117" w14:textId="77777777" w:rsidR="0089107D" w:rsidRPr="00B92AD4" w:rsidRDefault="0089107D" w:rsidP="0089107D">
      <w:pPr>
        <w:spacing w:after="0" w:line="276" w:lineRule="auto"/>
        <w:ind w:left="720"/>
        <w:contextualSpacing/>
        <w:jc w:val="both"/>
        <w:rPr>
          <w:rFonts w:ascii="Verdana" w:eastAsia="Calibri" w:hAnsi="Verdana" w:cs="Arial"/>
        </w:rPr>
      </w:pPr>
    </w:p>
    <w:p w14:paraId="3D2C352F" w14:textId="77777777" w:rsidR="0089107D" w:rsidRPr="00B92AD4" w:rsidRDefault="0089107D" w:rsidP="0089107D">
      <w:pPr>
        <w:numPr>
          <w:ilvl w:val="0"/>
          <w:numId w:val="2"/>
        </w:numPr>
        <w:spacing w:after="0" w:line="276" w:lineRule="auto"/>
        <w:contextualSpacing/>
        <w:jc w:val="both"/>
        <w:rPr>
          <w:rFonts w:ascii="Verdana" w:eastAsia="Aptos" w:hAnsi="Verdana" w:cs="Arial"/>
          <w:shd w:val="clear" w:color="auto" w:fill="FFFFFF"/>
        </w:rPr>
      </w:pPr>
      <w:r w:rsidRPr="00B92AD4">
        <w:rPr>
          <w:rFonts w:ascii="Verdana" w:eastAsia="Aptos" w:hAnsi="Verdana" w:cs="Arial"/>
          <w:shd w:val="clear" w:color="auto" w:fill="FFFFFF"/>
        </w:rPr>
        <w:t>Como se observa, la norma mencionada permite que las Entidades Estatales sometidas al Estatuto General de Contratación de la Administración Pública, en adelante EGCAP, puedan constituir un comité evaluador de ofertas y de manifestaciones de interés</w:t>
      </w:r>
      <w:r w:rsidRPr="00B92AD4">
        <w:rPr>
          <w:rFonts w:ascii="Verdana" w:eastAsia="Aptos" w:hAnsi="Verdana" w:cs="Arial"/>
          <w:color w:val="000000"/>
          <w:vertAlign w:val="superscript"/>
          <w:lang w:val="es-ES_tradnl"/>
        </w:rPr>
        <w:footnoteReference w:id="1"/>
      </w:r>
      <w:r w:rsidRPr="00B92AD4">
        <w:rPr>
          <w:rFonts w:ascii="Verdana" w:eastAsia="Aptos" w:hAnsi="Verdana" w:cs="Arial"/>
          <w:color w:val="000000"/>
          <w:lang w:val="es-ES_tradnl"/>
        </w:rPr>
        <w:t>.</w:t>
      </w:r>
      <w:r w:rsidRPr="00B92AD4">
        <w:rPr>
          <w:rFonts w:ascii="Verdana" w:eastAsia="Aptos" w:hAnsi="Verdana" w:cs="Arial"/>
          <w:shd w:val="clear" w:color="auto" w:fill="FFFFFF"/>
        </w:rPr>
        <w:t xml:space="preserve">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64012038" w14:textId="77777777" w:rsidR="0089107D" w:rsidRPr="00B92AD4" w:rsidRDefault="0089107D" w:rsidP="0089107D">
      <w:pPr>
        <w:spacing w:after="0" w:line="276" w:lineRule="auto"/>
        <w:ind w:left="720"/>
        <w:contextualSpacing/>
        <w:jc w:val="both"/>
        <w:rPr>
          <w:rFonts w:ascii="Verdana" w:eastAsia="Aptos" w:hAnsi="Verdana" w:cs="Arial"/>
          <w:shd w:val="clear" w:color="auto" w:fill="FFFFFF"/>
        </w:rPr>
      </w:pPr>
    </w:p>
    <w:p w14:paraId="1A3DDD83" w14:textId="77777777" w:rsidR="0089107D" w:rsidRPr="00B92AD4" w:rsidRDefault="0089107D" w:rsidP="0089107D">
      <w:pPr>
        <w:numPr>
          <w:ilvl w:val="0"/>
          <w:numId w:val="2"/>
        </w:numPr>
        <w:spacing w:after="0" w:line="276" w:lineRule="auto"/>
        <w:contextualSpacing/>
        <w:jc w:val="both"/>
        <w:rPr>
          <w:rFonts w:ascii="Verdana" w:eastAsia="Calibri" w:hAnsi="Verdana" w:cs="Arial"/>
        </w:rPr>
      </w:pPr>
      <w:r w:rsidRPr="00B92AD4">
        <w:rPr>
          <w:rFonts w:ascii="Verdana" w:eastAsia="Aptos" w:hAnsi="Verdana" w:cs="Arial"/>
          <w:shd w:val="clear" w:color="auto" w:fill="FFFFFF"/>
        </w:rPr>
        <w:t xml:space="preserve">Ahora bien, es de menester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w:t>
      </w:r>
      <w:r w:rsidRPr="00B92AD4">
        <w:rPr>
          <w:rFonts w:ascii="Verdana" w:eastAsia="Aptos" w:hAnsi="Verdana" w:cs="Arial"/>
          <w:shd w:val="clear" w:color="auto" w:fill="FFFFFF"/>
        </w:rPr>
        <w:lastRenderedPageBreak/>
        <w:t>aspecto, por lo que le corresponderá a la Entidad, según la particularidad del asunto, determinarlo.</w:t>
      </w:r>
    </w:p>
    <w:p w14:paraId="5267A3E9" w14:textId="77777777" w:rsidR="0089107D" w:rsidRPr="00B92AD4" w:rsidRDefault="0089107D" w:rsidP="0089107D">
      <w:pPr>
        <w:spacing w:after="0" w:line="276" w:lineRule="auto"/>
        <w:ind w:left="720"/>
        <w:contextualSpacing/>
        <w:jc w:val="both"/>
        <w:rPr>
          <w:rFonts w:ascii="Verdana" w:eastAsia="Calibri" w:hAnsi="Verdana" w:cs="Arial"/>
        </w:rPr>
      </w:pPr>
    </w:p>
    <w:p w14:paraId="6D07F9C2" w14:textId="77777777" w:rsidR="0089107D" w:rsidRPr="00B92AD4" w:rsidRDefault="0089107D" w:rsidP="0089107D">
      <w:pPr>
        <w:numPr>
          <w:ilvl w:val="0"/>
          <w:numId w:val="2"/>
        </w:numPr>
        <w:spacing w:after="0" w:line="276" w:lineRule="auto"/>
        <w:contextualSpacing/>
        <w:jc w:val="both"/>
        <w:rPr>
          <w:rFonts w:ascii="Verdana" w:eastAsia="Calibri" w:hAnsi="Verdana" w:cs="Arial"/>
          <w:bCs/>
          <w:color w:val="000000"/>
        </w:rPr>
      </w:pPr>
      <w:r w:rsidRPr="00B92AD4">
        <w:rPr>
          <w:rFonts w:ascii="Verdana" w:eastAsia="Aptos" w:hAnsi="Verdana" w:cs="Arial"/>
          <w:shd w:val="clear" w:color="auto" w:fill="FFFFFF"/>
          <w:lang w:val="es-ES_tradnl"/>
        </w:rPr>
        <w:t>Sobre el particular, 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w:t>
      </w:r>
      <w:r w:rsidRPr="00B92AD4">
        <w:rPr>
          <w:rFonts w:ascii="Verdana" w:eastAsia="Aptos" w:hAnsi="Verdana" w:cs="Arial"/>
          <w:color w:val="000000"/>
          <w:vertAlign w:val="superscript"/>
          <w:lang w:val="es-ES_tradnl"/>
        </w:rPr>
        <w:footnoteReference w:id="2"/>
      </w:r>
      <w:r w:rsidRPr="00B92AD4">
        <w:rPr>
          <w:rFonts w:ascii="Verdana" w:eastAsia="Aptos" w:hAnsi="Verdana" w:cs="Arial"/>
          <w:color w:val="000000"/>
          <w:lang w:val="es-ES_tradnl"/>
        </w:rPr>
        <w:t>. La norma en cita dispone que “[…] se entiende por desconcentración la distribución adecuada del trabajo que realiza el jefe o representante legal de la entidad, sin que ello implique autonomía administrativa en su ejercicio […]”.</w:t>
      </w:r>
    </w:p>
    <w:p w14:paraId="660578B1" w14:textId="77777777" w:rsidR="0089107D" w:rsidRPr="00B92AD4" w:rsidRDefault="0089107D" w:rsidP="0089107D">
      <w:pPr>
        <w:ind w:left="720"/>
        <w:contextualSpacing/>
        <w:rPr>
          <w:rFonts w:ascii="Verdana" w:eastAsia="Calibri" w:hAnsi="Verdana" w:cs="Arial"/>
          <w:bCs/>
          <w:color w:val="000000"/>
        </w:rPr>
      </w:pPr>
    </w:p>
    <w:p w14:paraId="7AF409D2" w14:textId="77777777" w:rsidR="0089107D" w:rsidRPr="00B92AD4" w:rsidRDefault="0089107D" w:rsidP="0089107D">
      <w:pPr>
        <w:numPr>
          <w:ilvl w:val="0"/>
          <w:numId w:val="2"/>
        </w:numPr>
        <w:spacing w:after="0" w:line="276" w:lineRule="auto"/>
        <w:contextualSpacing/>
        <w:jc w:val="both"/>
        <w:rPr>
          <w:rFonts w:ascii="Verdana" w:eastAsia="Calibri" w:hAnsi="Verdana" w:cs="Arial"/>
          <w:bCs/>
          <w:color w:val="000000"/>
        </w:rPr>
      </w:pPr>
      <w:r w:rsidRPr="00B92AD4">
        <w:rPr>
          <w:rFonts w:ascii="Verdana" w:eastAsia="Calibri" w:hAnsi="Verdana" w:cs="Arial"/>
          <w:bCs/>
          <w:color w:val="000000"/>
        </w:rPr>
        <w:t>De esta manera, no puede perderse de vista que 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concepto o dictamen o informe, que deberá elaborarse y presentarse tanto al ordenador del gasto, como a los demás interesados en el Proceso de Contratación bajo las condiciones y plazos previamente definidos por la Entidad Estatal, a tevés del Sistema Electrónico para la Contratación Pública – SECOP.</w:t>
      </w:r>
    </w:p>
    <w:p w14:paraId="7F29B03A" w14:textId="77777777" w:rsidR="0089107D" w:rsidRPr="00B92AD4" w:rsidRDefault="0089107D" w:rsidP="0089107D">
      <w:pPr>
        <w:spacing w:after="0" w:line="276" w:lineRule="auto"/>
        <w:ind w:firstLine="709"/>
        <w:jc w:val="both"/>
        <w:rPr>
          <w:rFonts w:ascii="Verdana" w:eastAsia="Calibri" w:hAnsi="Verdana" w:cs="Arial"/>
          <w:bCs/>
          <w:color w:val="000000"/>
        </w:rPr>
      </w:pPr>
    </w:p>
    <w:p w14:paraId="7D5A937B" w14:textId="77777777" w:rsidR="0089107D" w:rsidRPr="00B92AD4" w:rsidRDefault="0089107D" w:rsidP="0089107D">
      <w:pPr>
        <w:numPr>
          <w:ilvl w:val="0"/>
          <w:numId w:val="3"/>
        </w:numPr>
        <w:spacing w:after="0" w:line="276" w:lineRule="auto"/>
        <w:contextualSpacing/>
        <w:jc w:val="both"/>
        <w:rPr>
          <w:rFonts w:ascii="Verdana" w:eastAsia="Calibri" w:hAnsi="Verdana" w:cs="Arial"/>
          <w:bCs/>
          <w:color w:val="000000"/>
        </w:rPr>
      </w:pPr>
      <w:r w:rsidRPr="00B92AD4">
        <w:rPr>
          <w:rFonts w:ascii="Verdana" w:eastAsia="Calibri" w:hAnsi="Verdana" w:cs="Arial"/>
          <w:bCs/>
          <w:color w:val="000000"/>
        </w:rPr>
        <w:t>Pese a que la función que desempeña el comité evaluador es importante en el proceso de selección del contratista, pues se convierte en una instancia valiosa para cumplir el principio de transparencia y el deber de selección objetiva, este sólo recomienda pues no decide ni adjudica, toda vez que estas facultades la ley las reserva al jefe o representante legal de la entidad y ordenador del gasto. En efecto, tal y como lo ha señalado la jurisprudencia del Consejo de Estado, el informe de evaluación constituye un acto de trámite, preparatorio y no definitivo, puesto que no contiene una decisión de fondo, función que corresponde únicamente al ordenador del gasto, razón por la cual no lo vincula</w:t>
      </w:r>
      <w:r w:rsidRPr="00B92AD4">
        <w:rPr>
          <w:rFonts w:ascii="Verdana" w:eastAsia="Aptos" w:hAnsi="Verdana" w:cs="Arial"/>
          <w:color w:val="000000"/>
          <w:vertAlign w:val="superscript"/>
          <w:lang w:val="es-ES_tradnl"/>
        </w:rPr>
        <w:footnoteReference w:id="3"/>
      </w:r>
      <w:r w:rsidRPr="00B92AD4">
        <w:rPr>
          <w:rFonts w:ascii="Verdana" w:eastAsia="Aptos" w:hAnsi="Verdana" w:cs="Arial"/>
          <w:color w:val="000000"/>
          <w:lang w:val="es-ES_tradnl"/>
        </w:rPr>
        <w:t>.</w:t>
      </w:r>
      <w:r w:rsidRPr="00B92AD4">
        <w:rPr>
          <w:rFonts w:ascii="Aptos" w:eastAsia="Aptos" w:hAnsi="Aptos" w:cs="Times New Roman"/>
        </w:rPr>
        <w:t xml:space="preserve"> </w:t>
      </w:r>
      <w:r w:rsidRPr="00B92AD4">
        <w:rPr>
          <w:rFonts w:ascii="Verdana" w:eastAsia="Aptos" w:hAnsi="Verdana" w:cs="Arial"/>
          <w:color w:val="000000"/>
          <w:lang w:val="es-ES_tradnl"/>
        </w:rPr>
        <w:t xml:space="preserve">Es así como el artículo </w:t>
      </w:r>
      <w:r w:rsidRPr="00B92AD4">
        <w:rPr>
          <w:rFonts w:ascii="Verdana" w:eastAsia="Aptos" w:hAnsi="Verdana" w:cs="Arial"/>
          <w:color w:val="000000"/>
          <w:lang w:val="es-ES_tradnl"/>
        </w:rPr>
        <w:lastRenderedPageBreak/>
        <w:t>2.2.1.1.2.2.3 del Decreto 1082 de 2015 permite que la Entidad Estatal a través del ordenador del gasto se separare del concepto emitido por el Comité Evaluador y no acoja sus recomendaciones, en cuyo caso deberá justificar completa y correctamente su decisión.</w:t>
      </w:r>
    </w:p>
    <w:p w14:paraId="16D8E3FA" w14:textId="77777777" w:rsidR="0089107D" w:rsidRPr="00B92AD4" w:rsidRDefault="0089107D" w:rsidP="0089107D">
      <w:pPr>
        <w:tabs>
          <w:tab w:val="left" w:pos="709"/>
          <w:tab w:val="left" w:pos="7686"/>
        </w:tabs>
        <w:spacing w:after="0" w:line="276" w:lineRule="auto"/>
        <w:ind w:left="720"/>
        <w:contextualSpacing/>
        <w:jc w:val="both"/>
        <w:rPr>
          <w:rFonts w:ascii="Verdana" w:eastAsia="Aptos" w:hAnsi="Verdana" w:cs="Arial"/>
          <w:shd w:val="clear" w:color="auto" w:fill="FFFFFF"/>
        </w:rPr>
      </w:pPr>
    </w:p>
    <w:bookmarkEnd w:id="4"/>
    <w:p w14:paraId="19AE9EE7" w14:textId="77777777" w:rsidR="0089107D" w:rsidRPr="00B92AD4" w:rsidRDefault="0089107D" w:rsidP="0089107D">
      <w:pPr>
        <w:numPr>
          <w:ilvl w:val="0"/>
          <w:numId w:val="2"/>
        </w:numPr>
        <w:spacing w:after="0" w:line="276" w:lineRule="auto"/>
        <w:contextualSpacing/>
        <w:jc w:val="both"/>
        <w:rPr>
          <w:rFonts w:ascii="Verdana" w:eastAsia="Verdana" w:hAnsi="Verdana" w:cs="Verdana"/>
        </w:rPr>
      </w:pPr>
      <w:r w:rsidRPr="00B92AD4">
        <w:rPr>
          <w:rFonts w:ascii="Verdana" w:eastAsia="Calibri" w:hAnsi="Verdana" w:cs="Arial"/>
        </w:rPr>
        <w:t>Finalmente</w:t>
      </w:r>
      <w:r w:rsidRPr="00B92AD4">
        <w:rPr>
          <w:rFonts w:ascii="Verdana" w:eastAsia="Aptos" w:hAnsi="Verdana" w:cs="Arial"/>
          <w:shd w:val="clear" w:color="auto" w:fill="FFFFFF"/>
        </w:rPr>
        <w:t xml:space="preserve"> debe advertirse que el análisis requerido para resolver problemas específicos en torno a la asignación de funciones o actividades a los miembros del comité evaluador, debe ser realizado por quienes tengan interés en ello. </w:t>
      </w:r>
      <w:r w:rsidRPr="00B92AD4">
        <w:rPr>
          <w:rFonts w:ascii="Verdana" w:eastAsia="Verdana" w:hAnsi="Verdana" w:cs="Verdana"/>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5B12B66B" w14:textId="77777777" w:rsidR="0089107D" w:rsidRPr="00B92AD4" w:rsidRDefault="0089107D" w:rsidP="0089107D">
      <w:pPr>
        <w:spacing w:after="0" w:line="276" w:lineRule="auto"/>
        <w:ind w:left="720"/>
        <w:contextualSpacing/>
        <w:jc w:val="both"/>
        <w:rPr>
          <w:rFonts w:ascii="Verdana" w:eastAsia="Aptos" w:hAnsi="Verdana" w:cs="Arial"/>
        </w:rPr>
      </w:pPr>
    </w:p>
    <w:p w14:paraId="77ED110B" w14:textId="77777777" w:rsidR="0089107D" w:rsidRPr="00B92AD4" w:rsidRDefault="0089107D" w:rsidP="0089107D">
      <w:pPr>
        <w:numPr>
          <w:ilvl w:val="0"/>
          <w:numId w:val="2"/>
        </w:numPr>
        <w:spacing w:after="0" w:line="276" w:lineRule="auto"/>
        <w:contextualSpacing/>
        <w:jc w:val="both"/>
        <w:rPr>
          <w:rFonts w:ascii="Verdana" w:eastAsia="Calibri" w:hAnsi="Verdana" w:cs="Arial"/>
        </w:rPr>
      </w:pPr>
      <w:r w:rsidRPr="00B92AD4">
        <w:rPr>
          <w:rFonts w:ascii="Verdana" w:eastAsia="Aptos" w:hAnsi="Verdana" w:cs="Arial"/>
          <w:shd w:val="clear" w:color="auto" w:fill="FFFFFF"/>
        </w:rPr>
        <w:t>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CB3BB98" w14:textId="77777777" w:rsidR="0089107D" w:rsidRPr="00B92AD4" w:rsidRDefault="0089107D" w:rsidP="0089107D">
      <w:pPr>
        <w:spacing w:before="120" w:after="120" w:line="276" w:lineRule="auto"/>
        <w:ind w:left="720"/>
        <w:contextualSpacing/>
        <w:jc w:val="both"/>
        <w:rPr>
          <w:rFonts w:ascii="Verdana" w:eastAsia="Calibri" w:hAnsi="Verdana" w:cs="Arial"/>
        </w:rPr>
      </w:pPr>
    </w:p>
    <w:p w14:paraId="7630A5EF" w14:textId="77777777" w:rsidR="0089107D" w:rsidRPr="00B92AD4" w:rsidRDefault="0089107D" w:rsidP="0089107D">
      <w:pPr>
        <w:widowControl w:val="0"/>
        <w:autoSpaceDE w:val="0"/>
        <w:autoSpaceDN w:val="0"/>
        <w:spacing w:before="1" w:after="0" w:line="240" w:lineRule="auto"/>
        <w:outlineLvl w:val="0"/>
        <w:rPr>
          <w:rFonts w:ascii="Verdana" w:eastAsia="Arial" w:hAnsi="Verdana" w:cs="Arial"/>
          <w:b/>
          <w:bCs/>
          <w:lang w:val="es-ES"/>
        </w:rPr>
      </w:pPr>
      <w:r w:rsidRPr="00B92AD4">
        <w:rPr>
          <w:rFonts w:ascii="Verdana" w:eastAsia="Arial" w:hAnsi="Verdana" w:cs="Arial"/>
          <w:b/>
          <w:bCs/>
          <w:lang w:val="es-ES"/>
        </w:rPr>
        <w:t>4.Referencias normativas, jurisprudenciales y otras fuentes:</w:t>
      </w:r>
    </w:p>
    <w:p w14:paraId="435ABB5C" w14:textId="77777777" w:rsidR="0089107D" w:rsidRPr="00B92AD4" w:rsidRDefault="0089107D" w:rsidP="0089107D">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9107D" w:rsidRPr="00B92AD4" w14:paraId="6855258C" w14:textId="77777777" w:rsidTr="002918BC">
        <w:trPr>
          <w:trHeight w:val="870"/>
        </w:trPr>
        <w:tc>
          <w:tcPr>
            <w:tcW w:w="8647" w:type="dxa"/>
          </w:tcPr>
          <w:p w14:paraId="0AD283E1" w14:textId="77777777" w:rsidR="0089107D" w:rsidRPr="00B92AD4" w:rsidRDefault="0089107D" w:rsidP="0089107D">
            <w:pPr>
              <w:widowControl w:val="0"/>
              <w:numPr>
                <w:ilvl w:val="0"/>
                <w:numId w:val="1"/>
              </w:numPr>
              <w:autoSpaceDE w:val="0"/>
              <w:autoSpaceDN w:val="0"/>
              <w:spacing w:line="276" w:lineRule="auto"/>
              <w:contextualSpacing/>
              <w:jc w:val="both"/>
              <w:rPr>
                <w:rFonts w:ascii="Verdana" w:eastAsia="Calibri" w:hAnsi="Verdana" w:cs="Arial"/>
                <w:lang w:val="es-ES"/>
              </w:rPr>
            </w:pPr>
            <w:r w:rsidRPr="00B92AD4">
              <w:rPr>
                <w:rFonts w:ascii="Verdana" w:eastAsia="Calibri" w:hAnsi="Verdana" w:cs="Arial"/>
                <w:lang w:val="es-ES"/>
              </w:rPr>
              <w:t>Decreto 1082 de 2015. Artículo 2.2.1.1.2.2.3.</w:t>
            </w:r>
          </w:p>
          <w:p w14:paraId="4919FED8" w14:textId="77777777" w:rsidR="0089107D" w:rsidRPr="00B92AD4" w:rsidRDefault="0089107D" w:rsidP="0089107D">
            <w:pPr>
              <w:widowControl w:val="0"/>
              <w:numPr>
                <w:ilvl w:val="0"/>
                <w:numId w:val="1"/>
              </w:numPr>
              <w:autoSpaceDE w:val="0"/>
              <w:autoSpaceDN w:val="0"/>
              <w:spacing w:line="276" w:lineRule="auto"/>
              <w:contextualSpacing/>
              <w:jc w:val="both"/>
              <w:rPr>
                <w:rFonts w:ascii="Verdana" w:eastAsia="Calibri" w:hAnsi="Verdana" w:cs="Arial"/>
                <w:lang w:val="es-ES"/>
              </w:rPr>
            </w:pPr>
            <w:r w:rsidRPr="00B92AD4">
              <w:rPr>
                <w:rFonts w:ascii="Verdana" w:eastAsia="Calibri" w:hAnsi="Verdana" w:cs="Arial"/>
                <w:lang w:val="es-ES"/>
              </w:rPr>
              <w:t>Ley 1150 de 2007. Artículo 21, parágrafo.</w:t>
            </w:r>
          </w:p>
          <w:p w14:paraId="05526F7A" w14:textId="77777777" w:rsidR="0089107D" w:rsidRPr="00B92AD4" w:rsidRDefault="0089107D" w:rsidP="0089107D">
            <w:pPr>
              <w:widowControl w:val="0"/>
              <w:numPr>
                <w:ilvl w:val="0"/>
                <w:numId w:val="1"/>
              </w:numPr>
              <w:autoSpaceDE w:val="0"/>
              <w:autoSpaceDN w:val="0"/>
              <w:spacing w:line="276" w:lineRule="auto"/>
              <w:contextualSpacing/>
              <w:jc w:val="both"/>
              <w:rPr>
                <w:rFonts w:ascii="Verdana" w:eastAsia="Aptos" w:hAnsi="Verdana" w:cs="Arial"/>
              </w:rPr>
            </w:pPr>
            <w:r w:rsidRPr="00B92AD4">
              <w:rPr>
                <w:rFonts w:ascii="Verdana" w:eastAsia="Calibri" w:hAnsi="Verdana" w:cs="Arial"/>
                <w:lang w:val="es-ES"/>
              </w:rPr>
              <w:t>Consejo de Estado. Sala de Consulta y Servicio Civil. Concepto del 6 de diciembre de 2007. Exp. 1871. C.P.: Luis Fernando Álvarez Jaramillo.</w:t>
            </w:r>
          </w:p>
          <w:p w14:paraId="468B47FA" w14:textId="77777777" w:rsidR="0089107D" w:rsidRPr="00B92AD4" w:rsidRDefault="0089107D" w:rsidP="0089107D">
            <w:pPr>
              <w:widowControl w:val="0"/>
              <w:numPr>
                <w:ilvl w:val="0"/>
                <w:numId w:val="1"/>
              </w:numPr>
              <w:autoSpaceDE w:val="0"/>
              <w:autoSpaceDN w:val="0"/>
              <w:spacing w:line="276" w:lineRule="auto"/>
              <w:contextualSpacing/>
              <w:jc w:val="both"/>
              <w:rPr>
                <w:rFonts w:ascii="Verdana" w:eastAsia="Aptos" w:hAnsi="Verdana" w:cs="Arial"/>
              </w:rPr>
            </w:pPr>
            <w:r w:rsidRPr="00B92AD4">
              <w:rPr>
                <w:rFonts w:ascii="Verdana" w:eastAsia="Aptos" w:hAnsi="Verdana" w:cs="Arial"/>
              </w:rPr>
              <w:lastRenderedPageBreak/>
              <w:t>Consejo de Estado. Sección Tercera. Sentencia de 1 de abril de 2016, Exp. 47145 C.P. Jaime Orlando Santofimio Gamboa.</w:t>
            </w:r>
          </w:p>
        </w:tc>
      </w:tr>
    </w:tbl>
    <w:p w14:paraId="258E62FF" w14:textId="77777777" w:rsidR="0089107D" w:rsidRPr="00B92AD4" w:rsidRDefault="0089107D" w:rsidP="0089107D">
      <w:pPr>
        <w:widowControl w:val="0"/>
        <w:autoSpaceDE w:val="0"/>
        <w:autoSpaceDN w:val="0"/>
        <w:spacing w:after="0" w:line="276" w:lineRule="auto"/>
        <w:jc w:val="both"/>
        <w:rPr>
          <w:rFonts w:ascii="Verdana" w:eastAsia="Aptos" w:hAnsi="Verdana" w:cs="Arial"/>
        </w:rPr>
      </w:pPr>
    </w:p>
    <w:p w14:paraId="6278A322" w14:textId="77777777" w:rsidR="0089107D" w:rsidRPr="00B92AD4" w:rsidRDefault="0089107D" w:rsidP="0089107D">
      <w:pPr>
        <w:widowControl w:val="0"/>
        <w:autoSpaceDE w:val="0"/>
        <w:autoSpaceDN w:val="0"/>
        <w:spacing w:before="1" w:after="0" w:line="240" w:lineRule="auto"/>
        <w:outlineLvl w:val="0"/>
        <w:rPr>
          <w:rFonts w:ascii="Verdana" w:eastAsia="Arial" w:hAnsi="Verdana" w:cs="Arial"/>
          <w:b/>
          <w:bCs/>
          <w:lang w:val="es-ES"/>
        </w:rPr>
      </w:pPr>
      <w:r w:rsidRPr="00B92AD4">
        <w:rPr>
          <w:rFonts w:ascii="Verdana" w:eastAsia="Arial" w:hAnsi="Verdana" w:cs="Arial"/>
          <w:b/>
          <w:bCs/>
          <w:lang w:val="es-ES"/>
        </w:rPr>
        <w:t>5. Doctrina de la Agencia Nacional de Contratación Pública:</w:t>
      </w:r>
    </w:p>
    <w:p w14:paraId="491728AA" w14:textId="77777777" w:rsidR="0089107D" w:rsidRPr="00B92AD4" w:rsidRDefault="0089107D" w:rsidP="0089107D">
      <w:pPr>
        <w:widowControl w:val="0"/>
        <w:autoSpaceDE w:val="0"/>
        <w:autoSpaceDN w:val="0"/>
        <w:spacing w:after="0" w:line="276" w:lineRule="auto"/>
        <w:jc w:val="both"/>
        <w:rPr>
          <w:rFonts w:ascii="Verdana" w:eastAsia="Aptos" w:hAnsi="Verdana" w:cs="Arial"/>
        </w:rPr>
      </w:pPr>
    </w:p>
    <w:p w14:paraId="187FEF61" w14:textId="77777777" w:rsidR="0089107D" w:rsidRPr="00B92AD4" w:rsidRDefault="0089107D" w:rsidP="0089107D">
      <w:pPr>
        <w:widowControl w:val="0"/>
        <w:autoSpaceDE w:val="0"/>
        <w:autoSpaceDN w:val="0"/>
        <w:spacing w:after="0" w:line="276" w:lineRule="auto"/>
        <w:jc w:val="both"/>
        <w:rPr>
          <w:rFonts w:ascii="Verdana" w:eastAsia="Aptos" w:hAnsi="Verdana" w:cs="Arial"/>
          <w:shd w:val="clear" w:color="auto" w:fill="FFFFFF"/>
          <w:lang w:val="es-ES"/>
        </w:rPr>
      </w:pPr>
      <w:r w:rsidRPr="00B92AD4">
        <w:rPr>
          <w:rFonts w:ascii="Verdana" w:eastAsia="Aptos" w:hAnsi="Verdana" w:cs="Arial"/>
          <w:shd w:val="clear" w:color="auto" w:fill="FFFFFF"/>
          <w:lang w:val="es-ES"/>
        </w:rPr>
        <w:t xml:space="preserve">Sobre </w:t>
      </w:r>
      <w:r w:rsidRPr="00B92AD4">
        <w:rPr>
          <w:rFonts w:ascii="Verdana" w:eastAsia="Aptos" w:hAnsi="Verdana" w:cs="Arial"/>
          <w:shd w:val="clear" w:color="auto" w:fill="FFFFFF"/>
        </w:rPr>
        <w:t>la facultad de las Entidades Estatales para crear comités de evaluación de las ofertas</w:t>
      </w:r>
      <w:r w:rsidRPr="00B92AD4">
        <w:rPr>
          <w:rFonts w:ascii="Verdana" w:eastAsia="Aptos" w:hAnsi="Verdana" w:cs="Arial"/>
          <w:shd w:val="clear" w:color="auto" w:fill="FFFFFF"/>
          <w:lang w:val="es-ES"/>
        </w:rPr>
        <w:t xml:space="preserve">, esta Subdirección se ha referido en los Conceptos </w:t>
      </w:r>
      <w:r w:rsidRPr="00B92AD4">
        <w:rPr>
          <w:rFonts w:ascii="Verdana" w:eastAsia="Calibri" w:hAnsi="Verdana" w:cs="Arial"/>
          <w:lang w:val="es-ES_tradnl" w:eastAsia="es-MX"/>
        </w:rPr>
        <w:t>C-128 del 3 de marzo de 2020, C-522 del 1 de octubre de 2021, C-063 de 17 de abril 2024, C-602 del 9 de octubre de 2024</w:t>
      </w:r>
      <w:r w:rsidRPr="00B92AD4">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B92AD4">
          <w:rPr>
            <w:rFonts w:ascii="Verdana" w:eastAsia="Aptos" w:hAnsi="Verdana" w:cs="Arial"/>
            <w:color w:val="467886"/>
            <w:u w:val="single"/>
            <w:shd w:val="clear" w:color="auto" w:fill="FFFFFF"/>
            <w:lang w:val="es-ES"/>
          </w:rPr>
          <w:t>https://relatoria.colombiacompra.gov.co/</w:t>
        </w:r>
      </w:hyperlink>
      <w:r w:rsidRPr="00B92AD4">
        <w:rPr>
          <w:rFonts w:ascii="Verdana" w:eastAsia="Aptos" w:hAnsi="Verdana" w:cs="Arial"/>
          <w:shd w:val="clear" w:color="auto" w:fill="FFFFFF"/>
          <w:lang w:val="es-ES"/>
        </w:rPr>
        <w:t xml:space="preserve">. </w:t>
      </w:r>
    </w:p>
    <w:p w14:paraId="7F0F2C1C" w14:textId="77777777" w:rsidR="0089107D" w:rsidRPr="00B92AD4" w:rsidRDefault="0089107D" w:rsidP="0089107D">
      <w:pPr>
        <w:widowControl w:val="0"/>
        <w:autoSpaceDE w:val="0"/>
        <w:autoSpaceDN w:val="0"/>
        <w:spacing w:after="0" w:line="276" w:lineRule="auto"/>
        <w:jc w:val="both"/>
        <w:rPr>
          <w:rFonts w:ascii="Verdana" w:eastAsia="Aptos" w:hAnsi="Verdana" w:cs="Arial"/>
          <w:shd w:val="clear" w:color="auto" w:fill="FFFFFF"/>
          <w:lang w:val="es-ES"/>
        </w:rPr>
      </w:pPr>
    </w:p>
    <w:p w14:paraId="041C2024" w14:textId="77777777" w:rsidR="0089107D" w:rsidRPr="00B92AD4" w:rsidRDefault="0089107D" w:rsidP="0089107D">
      <w:pPr>
        <w:spacing w:after="0" w:line="240" w:lineRule="auto"/>
        <w:jc w:val="both"/>
        <w:rPr>
          <w:rFonts w:ascii="Verdana" w:eastAsia="Times New Roman" w:hAnsi="Verdana" w:cs="Times New Roman"/>
          <w:color w:val="000000"/>
          <w:bdr w:val="none" w:sz="0" w:space="0" w:color="auto" w:frame="1"/>
          <w:lang w:eastAsia="es-CO"/>
        </w:rPr>
      </w:pPr>
      <w:r w:rsidRPr="00B92AD4">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 </w:t>
      </w:r>
    </w:p>
    <w:p w14:paraId="4609C332" w14:textId="77777777" w:rsidR="0089107D" w:rsidRPr="00B92AD4" w:rsidRDefault="0089107D" w:rsidP="0089107D">
      <w:pPr>
        <w:spacing w:after="0" w:line="240" w:lineRule="auto"/>
        <w:jc w:val="both"/>
        <w:rPr>
          <w:rFonts w:ascii="Verdana" w:eastAsia="Times New Roman" w:hAnsi="Verdana" w:cs="Times New Roman"/>
          <w:color w:val="000000"/>
          <w:bdr w:val="none" w:sz="0" w:space="0" w:color="auto" w:frame="1"/>
          <w:lang w:eastAsia="es-CO"/>
        </w:rPr>
      </w:pPr>
    </w:p>
    <w:p w14:paraId="7F921EE4" w14:textId="77777777" w:rsidR="0089107D" w:rsidRPr="00B92AD4" w:rsidRDefault="0089107D" w:rsidP="0089107D">
      <w:pPr>
        <w:numPr>
          <w:ilvl w:val="0"/>
          <w:numId w:val="4"/>
        </w:numPr>
        <w:spacing w:after="0" w:line="240" w:lineRule="auto"/>
        <w:jc w:val="both"/>
        <w:rPr>
          <w:rFonts w:ascii="Verdana" w:eastAsia="Times New Roman" w:hAnsi="Verdana" w:cs="Times New Roman"/>
          <w:color w:val="000000"/>
          <w:bdr w:val="none" w:sz="0" w:space="0" w:color="auto" w:frame="1"/>
          <w:lang w:eastAsia="es-CO"/>
        </w:rPr>
      </w:pPr>
      <w:r w:rsidRPr="00B92AD4">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3" w:tgtFrame="_blank" w:history="1">
        <w:r w:rsidRPr="00B92AD4">
          <w:rPr>
            <w:rFonts w:ascii="Verdana" w:eastAsia="Times New Roman" w:hAnsi="Verdana" w:cs="Times New Roman"/>
            <w:color w:val="0000FF"/>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B92AD4">
        <w:rPr>
          <w:rFonts w:ascii="Verdana" w:eastAsia="Times New Roman" w:hAnsi="Verdana" w:cs="Times New Roman"/>
          <w:color w:val="000000"/>
          <w:bdr w:val="none" w:sz="0" w:space="0" w:color="auto" w:frame="1"/>
          <w:lang w:eastAsia="es-CO"/>
        </w:rPr>
        <w:t> </w:t>
      </w:r>
    </w:p>
    <w:p w14:paraId="23B806D8" w14:textId="77777777" w:rsidR="0089107D" w:rsidRPr="00B92AD4" w:rsidRDefault="0089107D" w:rsidP="0089107D">
      <w:pPr>
        <w:numPr>
          <w:ilvl w:val="0"/>
          <w:numId w:val="5"/>
        </w:numPr>
        <w:spacing w:after="0" w:line="240" w:lineRule="auto"/>
        <w:jc w:val="both"/>
        <w:rPr>
          <w:rFonts w:ascii="Verdana" w:eastAsia="Times New Roman" w:hAnsi="Verdana" w:cs="Times New Roman"/>
          <w:color w:val="000000"/>
          <w:bdr w:val="none" w:sz="0" w:space="0" w:color="auto" w:frame="1"/>
          <w:lang w:eastAsia="es-CO"/>
        </w:rPr>
      </w:pPr>
      <w:r w:rsidRPr="00B92AD4">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B92AD4">
        <w:rPr>
          <w:rFonts w:ascii="Verdana" w:eastAsia="Times New Roman" w:hAnsi="Verdana" w:cs="Times New Roman"/>
          <w:color w:val="000000"/>
          <w:bdr w:val="none" w:sz="0" w:space="0" w:color="auto" w:frame="1"/>
          <w:lang w:eastAsia="es-CO"/>
        </w:rPr>
        <w:t> </w:t>
      </w:r>
      <w:hyperlink r:id="rId14" w:tgtFrame="_blank" w:history="1">
        <w:r w:rsidRPr="00B92AD4">
          <w:rPr>
            <w:rFonts w:ascii="Verdana" w:eastAsia="Times New Roman" w:hAnsi="Verdana" w:cs="Times New Roman"/>
            <w:color w:val="0000FF"/>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B92AD4">
        <w:rPr>
          <w:rFonts w:ascii="Verdana" w:eastAsia="Times New Roman" w:hAnsi="Verdana" w:cs="Times New Roman"/>
          <w:color w:val="000000"/>
          <w:bdr w:val="none" w:sz="0" w:space="0" w:color="auto" w:frame="1"/>
          <w:lang w:eastAsia="es-CO"/>
        </w:rPr>
        <w:t> </w:t>
      </w:r>
    </w:p>
    <w:p w14:paraId="65EB433D" w14:textId="77777777" w:rsidR="0089107D" w:rsidRPr="00B92AD4" w:rsidRDefault="0089107D" w:rsidP="0089107D">
      <w:pPr>
        <w:spacing w:after="0" w:line="240" w:lineRule="auto"/>
        <w:ind w:left="720"/>
        <w:jc w:val="both"/>
        <w:rPr>
          <w:rFonts w:ascii="Verdana" w:eastAsia="Times New Roman" w:hAnsi="Verdana" w:cs="Times New Roman"/>
          <w:color w:val="000000"/>
          <w:bdr w:val="none" w:sz="0" w:space="0" w:color="auto" w:frame="1"/>
          <w:lang w:eastAsia="es-CO"/>
        </w:rPr>
      </w:pPr>
    </w:p>
    <w:p w14:paraId="0D7F72E6" w14:textId="77777777" w:rsidR="0089107D" w:rsidRPr="00B92AD4" w:rsidRDefault="0089107D" w:rsidP="0089107D">
      <w:pPr>
        <w:spacing w:after="0" w:line="240" w:lineRule="auto"/>
        <w:jc w:val="both"/>
        <w:rPr>
          <w:rFonts w:ascii="Verdana" w:eastAsia="Times New Roman" w:hAnsi="Verdana" w:cs="Times New Roman"/>
          <w:color w:val="000000"/>
          <w:bdr w:val="none" w:sz="0" w:space="0" w:color="auto" w:frame="1"/>
          <w:lang w:eastAsia="es-CO"/>
        </w:rPr>
      </w:pPr>
      <w:r w:rsidRPr="00B92AD4">
        <w:rPr>
          <w:rFonts w:ascii="Verdana" w:eastAsia="Times New Roman" w:hAnsi="Verdana" w:cs="Times New Roman"/>
          <w:color w:val="000000"/>
          <w:bdr w:val="none" w:sz="0" w:space="0" w:color="auto" w:frame="1"/>
          <w:lang w:eastAsia="es-CO"/>
        </w:rPr>
        <w:t>También, le contamos que ya publicamos </w:t>
      </w:r>
      <w:r w:rsidRPr="00B92AD4">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B92AD4">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history="1">
        <w:r w:rsidRPr="00B92AD4">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r w:rsidRPr="00B92AD4">
        <w:rPr>
          <w:rFonts w:ascii="Verdana" w:eastAsia="Times New Roman" w:hAnsi="Verdana" w:cs="Times New Roman"/>
          <w:color w:val="000000"/>
          <w:bdr w:val="none" w:sz="0" w:space="0" w:color="auto" w:frame="1"/>
          <w:lang w:eastAsia="es-CO"/>
        </w:rPr>
        <w:t> </w:t>
      </w:r>
    </w:p>
    <w:p w14:paraId="6D679F12" w14:textId="77777777" w:rsidR="0089107D" w:rsidRPr="00B92AD4" w:rsidRDefault="0089107D" w:rsidP="0089107D">
      <w:pPr>
        <w:spacing w:after="0" w:line="240" w:lineRule="auto"/>
        <w:jc w:val="both"/>
        <w:rPr>
          <w:rFonts w:ascii="Verdana" w:eastAsia="Times New Roman" w:hAnsi="Verdana" w:cs="Times New Roman"/>
          <w:color w:val="000000"/>
          <w:bdr w:val="none" w:sz="0" w:space="0" w:color="auto" w:frame="1"/>
          <w:lang w:eastAsia="es-CO"/>
        </w:rPr>
      </w:pPr>
    </w:p>
    <w:p w14:paraId="3B4E5440" w14:textId="77777777" w:rsidR="0089107D" w:rsidRPr="00B92AD4" w:rsidRDefault="0089107D" w:rsidP="0089107D">
      <w:pPr>
        <w:spacing w:after="0" w:line="240" w:lineRule="auto"/>
        <w:jc w:val="both"/>
        <w:rPr>
          <w:rFonts w:ascii="Verdana" w:eastAsia="Times New Roman" w:hAnsi="Verdana" w:cs="Times New Roman"/>
          <w:color w:val="000000"/>
          <w:bdr w:val="none" w:sz="0" w:space="0" w:color="auto" w:frame="1"/>
          <w:lang w:eastAsia="es-CO"/>
        </w:rPr>
      </w:pPr>
      <w:r w:rsidRPr="00B92AD4">
        <w:rPr>
          <w:rFonts w:ascii="Verdana" w:eastAsia="Times New Roman" w:hAnsi="Verdana" w:cs="Times New Roman"/>
          <w:color w:val="000000"/>
          <w:bdr w:val="none" w:sz="0" w:space="0" w:color="auto" w:frame="1"/>
          <w:lang w:eastAsia="es-CO"/>
        </w:rPr>
        <w:lastRenderedPageBreak/>
        <w:t>Por último, lo invitamos a seguirnos en las redes sociales en las cuales se difunde información institucional:  </w:t>
      </w:r>
    </w:p>
    <w:p w14:paraId="4702E581" w14:textId="77777777" w:rsidR="0089107D" w:rsidRPr="00B92AD4" w:rsidRDefault="0089107D" w:rsidP="0089107D">
      <w:pPr>
        <w:spacing w:after="0" w:line="240" w:lineRule="auto"/>
        <w:jc w:val="both"/>
        <w:rPr>
          <w:rFonts w:ascii="Verdana" w:eastAsia="Aptos" w:hAnsi="Verdana" w:cs="Times New Roman"/>
        </w:rPr>
      </w:pPr>
    </w:p>
    <w:p w14:paraId="552B5FED" w14:textId="77777777" w:rsidR="0089107D" w:rsidRPr="00B92AD4" w:rsidRDefault="0089107D" w:rsidP="0089107D">
      <w:pPr>
        <w:spacing w:after="0" w:line="240" w:lineRule="auto"/>
        <w:jc w:val="both"/>
        <w:rPr>
          <w:rFonts w:ascii="Verdana" w:eastAsia="Aptos" w:hAnsi="Verdana" w:cs="Times New Roman"/>
        </w:rPr>
      </w:pPr>
      <w:r w:rsidRPr="00B92AD4">
        <w:rPr>
          <w:rFonts w:ascii="Verdana" w:eastAsia="Aptos" w:hAnsi="Verdana" w:cs="Times New Roman"/>
        </w:rPr>
        <w:t xml:space="preserve">Twitter: </w:t>
      </w:r>
      <w:r w:rsidRPr="00B92AD4">
        <w:rPr>
          <w:rFonts w:ascii="Verdana" w:eastAsia="Aptos" w:hAnsi="Verdana" w:cs="Arial"/>
          <w:color w:val="467886"/>
          <w:u w:val="single"/>
          <w:shd w:val="clear" w:color="auto" w:fill="FFFFFF"/>
          <w:lang w:val="es-ES"/>
        </w:rPr>
        <w:t>@colombiacompra</w:t>
      </w:r>
      <w:r w:rsidRPr="00B92AD4">
        <w:rPr>
          <w:rFonts w:ascii="Verdana" w:eastAsia="Aptos" w:hAnsi="Verdana" w:cs="Times New Roman"/>
          <w:color w:val="156082"/>
        </w:rPr>
        <w:t xml:space="preserve"> </w:t>
      </w:r>
    </w:p>
    <w:p w14:paraId="7C0BEDAC" w14:textId="77777777" w:rsidR="0089107D" w:rsidRPr="00B92AD4" w:rsidRDefault="0089107D" w:rsidP="0089107D">
      <w:pPr>
        <w:spacing w:after="0" w:line="240" w:lineRule="auto"/>
        <w:jc w:val="both"/>
        <w:rPr>
          <w:rFonts w:ascii="Verdana" w:eastAsia="Aptos" w:hAnsi="Verdana" w:cs="Times New Roman"/>
        </w:rPr>
      </w:pPr>
      <w:r w:rsidRPr="00B92AD4">
        <w:rPr>
          <w:rFonts w:ascii="Verdana" w:eastAsia="Aptos" w:hAnsi="Verdana" w:cs="Times New Roman"/>
        </w:rPr>
        <w:t xml:space="preserve">Facebook: </w:t>
      </w:r>
      <w:r w:rsidRPr="00B92AD4">
        <w:rPr>
          <w:rFonts w:ascii="Verdana" w:eastAsia="Aptos" w:hAnsi="Verdana" w:cs="Arial"/>
          <w:color w:val="467886"/>
          <w:u w:val="single"/>
          <w:shd w:val="clear" w:color="auto" w:fill="FFFFFF"/>
          <w:lang w:val="es-ES"/>
        </w:rPr>
        <w:t>ColombiaCompraEficiente</w:t>
      </w:r>
    </w:p>
    <w:p w14:paraId="70A9D2DF" w14:textId="77777777" w:rsidR="0089107D" w:rsidRPr="00B92AD4" w:rsidRDefault="0089107D" w:rsidP="0089107D">
      <w:pPr>
        <w:spacing w:after="0" w:line="240" w:lineRule="auto"/>
        <w:jc w:val="both"/>
        <w:rPr>
          <w:rFonts w:ascii="Verdana" w:eastAsia="Aptos" w:hAnsi="Verdana" w:cs="Times New Roman"/>
        </w:rPr>
      </w:pPr>
      <w:r w:rsidRPr="00B92AD4">
        <w:rPr>
          <w:rFonts w:ascii="Verdana" w:eastAsia="Aptos" w:hAnsi="Verdana" w:cs="Times New Roman"/>
        </w:rPr>
        <w:t xml:space="preserve">LinkedIn: </w:t>
      </w:r>
      <w:r w:rsidRPr="00B92AD4">
        <w:rPr>
          <w:rFonts w:ascii="Verdana" w:eastAsia="Aptos" w:hAnsi="Verdana" w:cs="Arial"/>
          <w:color w:val="467886"/>
          <w:u w:val="single"/>
          <w:shd w:val="clear" w:color="auto" w:fill="FFFFFF"/>
          <w:lang w:val="es-ES"/>
        </w:rPr>
        <w:t>Agencia Nacional de Contratación Pública - Colombia Compra Eficiente</w:t>
      </w:r>
      <w:r w:rsidRPr="00B92AD4">
        <w:rPr>
          <w:rFonts w:ascii="Verdana" w:eastAsia="Aptos" w:hAnsi="Verdana" w:cs="Times New Roman"/>
          <w:color w:val="156082"/>
        </w:rPr>
        <w:t xml:space="preserve"> </w:t>
      </w:r>
      <w:r w:rsidRPr="00B92AD4">
        <w:rPr>
          <w:rFonts w:ascii="Verdana" w:eastAsia="Aptos" w:hAnsi="Verdana" w:cs="Times New Roman"/>
        </w:rPr>
        <w:t xml:space="preserve">Instagram: </w:t>
      </w:r>
      <w:r w:rsidRPr="00B92AD4">
        <w:rPr>
          <w:rFonts w:ascii="Verdana" w:eastAsia="Aptos" w:hAnsi="Verdana" w:cs="Arial"/>
          <w:color w:val="467886"/>
          <w:u w:val="single"/>
          <w:shd w:val="clear" w:color="auto" w:fill="FFFFFF"/>
          <w:lang w:val="es-ES"/>
        </w:rPr>
        <w:t>@colombiacompraeficiente_cce</w:t>
      </w:r>
    </w:p>
    <w:p w14:paraId="3E0BAAB9" w14:textId="77777777" w:rsidR="0089107D" w:rsidRPr="00B92AD4" w:rsidRDefault="0089107D" w:rsidP="0089107D">
      <w:pPr>
        <w:widowControl w:val="0"/>
        <w:autoSpaceDE w:val="0"/>
        <w:autoSpaceDN w:val="0"/>
        <w:spacing w:after="0" w:line="276" w:lineRule="auto"/>
        <w:jc w:val="both"/>
        <w:rPr>
          <w:rFonts w:ascii="Verdana" w:eastAsia="Aptos" w:hAnsi="Verdana" w:cs="Arial"/>
        </w:rPr>
      </w:pPr>
    </w:p>
    <w:p w14:paraId="60A162D5" w14:textId="77777777" w:rsidR="0089107D" w:rsidRPr="00B92AD4" w:rsidRDefault="0089107D" w:rsidP="0089107D">
      <w:pPr>
        <w:widowControl w:val="0"/>
        <w:autoSpaceDE w:val="0"/>
        <w:autoSpaceDN w:val="0"/>
        <w:spacing w:after="0" w:line="276" w:lineRule="auto"/>
        <w:jc w:val="both"/>
        <w:rPr>
          <w:rFonts w:ascii="Verdana" w:eastAsia="Aptos" w:hAnsi="Verdana" w:cs="Arial"/>
          <w:lang w:val="es-ES_tradnl"/>
        </w:rPr>
      </w:pPr>
      <w:r w:rsidRPr="00B92AD4">
        <w:rPr>
          <w:rFonts w:ascii="Verdana" w:eastAsia="Aptos" w:hAnsi="Verdana" w:cs="Arial"/>
        </w:rPr>
        <w:t xml:space="preserve">Este concepto tiene el alcance previsto en el artículo 28 del Código de Procedimiento Administrativo y de lo Contencioso Administrativo </w:t>
      </w:r>
      <w:r w:rsidRPr="00B92AD4">
        <w:rPr>
          <w:rFonts w:ascii="Verdana" w:eastAsia="Aptos" w:hAnsi="Verdana" w:cs="Arial"/>
          <w:lang w:val="es-ES_tradnl"/>
        </w:rPr>
        <w:t>y las expresiones aquí utilizadas con mayúscula inicial deben ser entendidas con el significado que les otorga el artículo 2.2.1.1.1.3.1. del Decreto 1082 de 2015.</w:t>
      </w:r>
    </w:p>
    <w:p w14:paraId="2A59673D" w14:textId="77777777" w:rsidR="0089107D" w:rsidRPr="00B92AD4" w:rsidRDefault="0089107D" w:rsidP="0089107D">
      <w:pPr>
        <w:widowControl w:val="0"/>
        <w:autoSpaceDE w:val="0"/>
        <w:autoSpaceDN w:val="0"/>
        <w:spacing w:after="0" w:line="276" w:lineRule="auto"/>
        <w:jc w:val="both"/>
        <w:rPr>
          <w:rFonts w:ascii="Verdana" w:eastAsia="Aptos" w:hAnsi="Verdana" w:cs="Arial"/>
        </w:rPr>
      </w:pPr>
    </w:p>
    <w:p w14:paraId="42DA4B2E" w14:textId="77777777" w:rsidR="0089107D" w:rsidRPr="00B92AD4" w:rsidRDefault="0089107D" w:rsidP="0089107D">
      <w:pPr>
        <w:spacing w:after="0" w:line="240" w:lineRule="auto"/>
        <w:rPr>
          <w:rFonts w:ascii="Verdana" w:eastAsia="Aptos" w:hAnsi="Verdana" w:cs="Arial"/>
          <w:lang w:eastAsia="es-CO"/>
        </w:rPr>
      </w:pPr>
      <w:r w:rsidRPr="00B92AD4">
        <w:rPr>
          <w:rFonts w:ascii="Verdana" w:eastAsia="Times New Roman" w:hAnsi="Verdana" w:cs="Arial"/>
          <w:lang w:eastAsia="es-CO"/>
        </w:rPr>
        <w:t>Atentamente,</w:t>
      </w:r>
      <w:r w:rsidRPr="00B92AD4">
        <w:rPr>
          <w:rFonts w:ascii="Verdana" w:eastAsia="Aptos" w:hAnsi="Verdana" w:cs="Arial"/>
          <w:lang w:eastAsia="es-CO"/>
        </w:rPr>
        <w:t xml:space="preserve"> </w:t>
      </w:r>
    </w:p>
    <w:p w14:paraId="4B82EA25" w14:textId="7E7815AA" w:rsidR="0089107D" w:rsidRPr="00B92AD4" w:rsidRDefault="00361D06" w:rsidP="0089107D">
      <w:pPr>
        <w:spacing w:line="276" w:lineRule="auto"/>
        <w:jc w:val="center"/>
        <w:rPr>
          <w:rFonts w:ascii="Verdana" w:eastAsia="Aptos" w:hAnsi="Verdana" w:cs="Arial"/>
          <w:lang w:val="es-ES_tradnl" w:eastAsia="es-CO"/>
        </w:rPr>
      </w:pPr>
      <w:r w:rsidRPr="00361D06">
        <w:rPr>
          <w:rFonts w:ascii="Verdana" w:eastAsia="Aptos" w:hAnsi="Verdana" w:cs="Arial"/>
          <w:lang w:eastAsia="es-CO"/>
        </w:rPr>
        <w:drawing>
          <wp:inline distT="0" distB="0" distL="0" distR="0" wp14:anchorId="3CC21A51" wp14:editId="719C5D20">
            <wp:extent cx="3771900" cy="1400175"/>
            <wp:effectExtent l="0" t="0" r="0" b="9525"/>
            <wp:docPr id="79288852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361D06">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89107D" w:rsidRPr="00B92AD4" w14:paraId="75B4E4FB" w14:textId="77777777" w:rsidTr="002918BC">
        <w:trPr>
          <w:trHeight w:val="286"/>
        </w:trPr>
        <w:tc>
          <w:tcPr>
            <w:tcW w:w="901" w:type="dxa"/>
            <w:vAlign w:val="center"/>
            <w:hideMark/>
          </w:tcPr>
          <w:p w14:paraId="785D5D63"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0D497E6"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Nasly Yeana Mosquera Rivas</w:t>
            </w:r>
          </w:p>
          <w:p w14:paraId="66D432FC"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Analista T2–06 de la Subdirección de Gestión Contractual</w:t>
            </w:r>
          </w:p>
        </w:tc>
      </w:tr>
      <w:tr w:rsidR="0089107D" w:rsidRPr="00B92AD4" w14:paraId="0376A42C" w14:textId="77777777" w:rsidTr="002918BC">
        <w:trPr>
          <w:trHeight w:val="299"/>
        </w:trPr>
        <w:tc>
          <w:tcPr>
            <w:tcW w:w="901" w:type="dxa"/>
            <w:vAlign w:val="center"/>
          </w:tcPr>
          <w:p w14:paraId="37C15F8E"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07B937F"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Juan Carlos Gonzáles Vásquez</w:t>
            </w:r>
          </w:p>
          <w:p w14:paraId="6FD6187F"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Contratista de la Subdirección de Gestión Contractual</w:t>
            </w:r>
          </w:p>
        </w:tc>
      </w:tr>
      <w:tr w:rsidR="0089107D" w:rsidRPr="00B92AD4" w14:paraId="61201400" w14:textId="77777777" w:rsidTr="002918BC">
        <w:trPr>
          <w:trHeight w:val="272"/>
        </w:trPr>
        <w:tc>
          <w:tcPr>
            <w:tcW w:w="901" w:type="dxa"/>
            <w:vAlign w:val="center"/>
            <w:hideMark/>
          </w:tcPr>
          <w:p w14:paraId="7984CBFA"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6922529"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Carolina Quintero Gacharná</w:t>
            </w:r>
          </w:p>
          <w:p w14:paraId="5FA89319" w14:textId="77777777" w:rsidR="0089107D" w:rsidRPr="00B92AD4" w:rsidRDefault="0089107D" w:rsidP="002918BC">
            <w:pPr>
              <w:rPr>
                <w:rFonts w:ascii="Verdana" w:eastAsia="Aptos" w:hAnsi="Verdana" w:cs="Arial"/>
                <w:sz w:val="14"/>
                <w:szCs w:val="14"/>
                <w:lang w:eastAsia="es-ES"/>
              </w:rPr>
            </w:pPr>
            <w:r w:rsidRPr="00B92AD4">
              <w:rPr>
                <w:rFonts w:ascii="Verdana" w:eastAsia="Aptos" w:hAnsi="Verdana" w:cs="Arial"/>
                <w:sz w:val="14"/>
                <w:szCs w:val="14"/>
                <w:lang w:eastAsia="es-ES"/>
              </w:rPr>
              <w:t>Subdirectora de Gestión Contractual ANCP – CCE</w:t>
            </w:r>
          </w:p>
        </w:tc>
      </w:tr>
    </w:tbl>
    <w:p w14:paraId="26AC2FC0" w14:textId="77777777" w:rsidR="0089107D" w:rsidRPr="00B92AD4" w:rsidRDefault="0089107D" w:rsidP="0089107D">
      <w:pPr>
        <w:spacing w:after="0" w:line="240" w:lineRule="auto"/>
        <w:rPr>
          <w:rFonts w:ascii="Verdana" w:eastAsia="Times New Roman" w:hAnsi="Verdana" w:cs="Arial"/>
          <w:sz w:val="24"/>
          <w:szCs w:val="24"/>
          <w:lang w:eastAsia="es-ES"/>
        </w:rPr>
      </w:pPr>
    </w:p>
    <w:p w14:paraId="36B093DF" w14:textId="77777777" w:rsidR="0089107D" w:rsidRPr="00B92AD4" w:rsidRDefault="0089107D" w:rsidP="0089107D">
      <w:pPr>
        <w:rPr>
          <w:rFonts w:ascii="Verdana" w:eastAsia="Aptos" w:hAnsi="Verdana" w:cs="Times New Roman"/>
        </w:rPr>
      </w:pPr>
    </w:p>
    <w:p w14:paraId="2F25918D" w14:textId="77777777" w:rsidR="0089107D" w:rsidRPr="00B92AD4" w:rsidRDefault="0089107D" w:rsidP="0089107D">
      <w:pPr>
        <w:rPr>
          <w:rFonts w:ascii="Verdana" w:eastAsia="Aptos" w:hAnsi="Verdana" w:cs="Times New Roman"/>
        </w:rPr>
      </w:pPr>
    </w:p>
    <w:p w14:paraId="4F4DA943" w14:textId="77777777" w:rsidR="0089107D" w:rsidRPr="00B92AD4" w:rsidRDefault="0089107D" w:rsidP="0089107D">
      <w:pPr>
        <w:rPr>
          <w:rFonts w:ascii="Aptos" w:eastAsia="Aptos" w:hAnsi="Aptos" w:cs="Times New Roman"/>
        </w:rPr>
      </w:pPr>
    </w:p>
    <w:p w14:paraId="71633D6A" w14:textId="77777777" w:rsidR="0089107D" w:rsidRPr="00B92AD4" w:rsidRDefault="0089107D" w:rsidP="0089107D"/>
    <w:p w14:paraId="46D8FDD8" w14:textId="77777777" w:rsidR="008E5C2E" w:rsidRDefault="008E5C2E"/>
    <w:sectPr w:rsidR="008E5C2E" w:rsidSect="0089107D">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7E608" w14:textId="77777777" w:rsidR="00A931BE" w:rsidRDefault="00A931BE" w:rsidP="0089107D">
      <w:pPr>
        <w:spacing w:after="0" w:line="240" w:lineRule="auto"/>
      </w:pPr>
      <w:r>
        <w:separator/>
      </w:r>
    </w:p>
  </w:endnote>
  <w:endnote w:type="continuationSeparator" w:id="0">
    <w:p w14:paraId="2DED3973" w14:textId="77777777" w:rsidR="00A931BE" w:rsidRDefault="00A931BE" w:rsidP="00891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orbel"/>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Times New Roman">
    <w:altName w:val="Times New Roman"/>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17AC" w14:textId="77777777" w:rsidR="00000000" w:rsidRDefault="00000000">
    <w:pPr>
      <w:pStyle w:val="Piedepgina"/>
    </w:pPr>
  </w:p>
  <w:p w14:paraId="5B27FD92"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B92AD4">
      <w:rPr>
        <w:rFonts w:ascii="Verdana" w:eastAsia="Times New Roman" w:hAnsi="Verdana" w:cs="Times New Roman"/>
        <w:b/>
        <w:bCs/>
        <w:sz w:val="16"/>
        <w:szCs w:val="16"/>
        <w:lang w:val="es-ES"/>
      </w:rPr>
      <w:t xml:space="preserve">pág. </w:t>
    </w:r>
    <w:r w:rsidRPr="00B92AD4">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B92AD4">
      <w:rPr>
        <w:rFonts w:ascii="Verdana" w:eastAsia="Times New Roman" w:hAnsi="Verdana"/>
        <w:b/>
        <w:bCs/>
        <w:sz w:val="16"/>
        <w:szCs w:val="16"/>
      </w:rPr>
      <w:fldChar w:fldCharType="separate"/>
    </w:r>
    <w:r w:rsidRPr="00B92AD4">
      <w:rPr>
        <w:rFonts w:ascii="Verdana" w:eastAsia="Times New Roman" w:hAnsi="Verdana"/>
        <w:b/>
        <w:bCs/>
        <w:sz w:val="16"/>
        <w:szCs w:val="16"/>
      </w:rPr>
      <w:t>1</w:t>
    </w:r>
    <w:r w:rsidRPr="00B92AD4">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837ACF2"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AF290C2"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46A8624E"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3B2E" w14:textId="77777777" w:rsidR="00A931BE" w:rsidRDefault="00A931BE" w:rsidP="0089107D">
      <w:pPr>
        <w:spacing w:after="0" w:line="240" w:lineRule="auto"/>
      </w:pPr>
      <w:r>
        <w:separator/>
      </w:r>
    </w:p>
  </w:footnote>
  <w:footnote w:type="continuationSeparator" w:id="0">
    <w:p w14:paraId="4C6789F8" w14:textId="77777777" w:rsidR="00A931BE" w:rsidRDefault="00A931BE" w:rsidP="0089107D">
      <w:pPr>
        <w:spacing w:after="0" w:line="240" w:lineRule="auto"/>
      </w:pPr>
      <w:r>
        <w:continuationSeparator/>
      </w:r>
    </w:p>
  </w:footnote>
  <w:footnote w:id="1">
    <w:p w14:paraId="1169498A" w14:textId="77777777" w:rsidR="0089107D" w:rsidRPr="0090155F" w:rsidRDefault="0089107D" w:rsidP="0089107D">
      <w:pPr>
        <w:pStyle w:val="Textonotapie"/>
        <w:ind w:firstLine="709"/>
        <w:jc w:val="both"/>
        <w:rPr>
          <w:rFonts w:ascii="Verdana" w:hAnsi="Verdana" w:cs="Arial"/>
          <w:sz w:val="18"/>
          <w:szCs w:val="18"/>
          <w:lang w:val="es-ES"/>
        </w:rPr>
      </w:pPr>
      <w:r w:rsidRPr="0090155F">
        <w:rPr>
          <w:rStyle w:val="Refdenotaalpie"/>
          <w:rFonts w:ascii="Verdana" w:hAnsi="Verdana" w:cs="Arial"/>
          <w:sz w:val="18"/>
          <w:szCs w:val="18"/>
        </w:rPr>
        <w:footnoteRef/>
      </w:r>
      <w:r w:rsidRPr="0090155F">
        <w:rPr>
          <w:rFonts w:ascii="Verdana" w:hAnsi="Verdana" w:cs="Arial"/>
          <w:sz w:val="18"/>
          <w:szCs w:val="18"/>
        </w:rPr>
        <w:t xml:space="preserve"> </w:t>
      </w:r>
      <w:r w:rsidRPr="0090155F">
        <w:rPr>
          <w:rFonts w:ascii="Verdana" w:hAnsi="Verdana" w:cs="Arial"/>
          <w:sz w:val="18"/>
          <w:szCs w:val="18"/>
          <w:lang w:val="es-ES"/>
        </w:rPr>
        <w:t xml:space="preserve">Recuérdese que las denominadas «manifestaciones de interés» corresponden a la modalidad de selección de contratistas del Concurso de Méritos con Precalificación, regulado, entre otros, en los artículos 2.2.1.2.2.1.3.3. y siguientes del Decreto 1082 de 2015. </w:t>
      </w:r>
    </w:p>
    <w:p w14:paraId="0F36E437" w14:textId="77777777" w:rsidR="0089107D" w:rsidRPr="0090155F" w:rsidRDefault="0089107D" w:rsidP="0089107D">
      <w:pPr>
        <w:pStyle w:val="Textonotapie"/>
        <w:ind w:firstLine="709"/>
        <w:jc w:val="both"/>
        <w:rPr>
          <w:rFonts w:ascii="Verdana" w:hAnsi="Verdana" w:cs="Arial"/>
          <w:sz w:val="18"/>
          <w:szCs w:val="18"/>
          <w:lang w:val="es-ES"/>
        </w:rPr>
      </w:pPr>
    </w:p>
  </w:footnote>
  <w:footnote w:id="2">
    <w:p w14:paraId="47DDC47B" w14:textId="77777777" w:rsidR="0089107D" w:rsidRPr="00B92AD4" w:rsidRDefault="0089107D" w:rsidP="0089107D">
      <w:pPr>
        <w:pStyle w:val="Textonotapie"/>
        <w:ind w:firstLine="709"/>
        <w:jc w:val="both"/>
        <w:rPr>
          <w:rFonts w:ascii="Verdana" w:hAnsi="Verdana" w:cs="Arial"/>
          <w:color w:val="000000"/>
          <w:sz w:val="18"/>
          <w:szCs w:val="18"/>
          <w:lang w:val="es-ES"/>
        </w:rPr>
      </w:pPr>
      <w:r w:rsidRPr="00B92AD4">
        <w:rPr>
          <w:rStyle w:val="Refdenotaalpie"/>
          <w:rFonts w:ascii="Verdana" w:hAnsi="Verdana" w:cs="Arial"/>
          <w:color w:val="000000"/>
          <w:sz w:val="18"/>
          <w:szCs w:val="18"/>
        </w:rPr>
        <w:footnoteRef/>
      </w:r>
      <w:r w:rsidRPr="00B92AD4">
        <w:rPr>
          <w:rFonts w:ascii="Verdana" w:hAnsi="Verdana" w:cs="Arial"/>
          <w:color w:val="000000"/>
          <w:sz w:val="18"/>
          <w:szCs w:val="18"/>
        </w:rPr>
        <w:t xml:space="preserve"> </w:t>
      </w:r>
      <w:r w:rsidRPr="00B92AD4">
        <w:rPr>
          <w:rFonts w:ascii="Verdana" w:hAnsi="Verdana" w:cs="Arial"/>
          <w:color w:val="000000"/>
          <w:sz w:val="18"/>
          <w:szCs w:val="18"/>
          <w:lang w:val="es-ES"/>
        </w:rPr>
        <w:t>Consejo de Estado. Sala de Consulta y Servicio Civil. Concepto del 6 de diciembre de 2007. Exp. 1871. C.P.: Luis Fernando Álvarez Jaramillo.</w:t>
      </w:r>
    </w:p>
    <w:p w14:paraId="21C78CDC" w14:textId="77777777" w:rsidR="0089107D" w:rsidRPr="00B92AD4" w:rsidRDefault="0089107D" w:rsidP="0089107D">
      <w:pPr>
        <w:pStyle w:val="Textonotapie"/>
        <w:ind w:firstLine="709"/>
        <w:jc w:val="both"/>
        <w:rPr>
          <w:rFonts w:ascii="Verdana" w:hAnsi="Verdana" w:cs="Arial"/>
          <w:color w:val="000000"/>
          <w:sz w:val="18"/>
          <w:szCs w:val="18"/>
          <w:lang w:val="es-ES"/>
        </w:rPr>
      </w:pPr>
    </w:p>
  </w:footnote>
  <w:footnote w:id="3">
    <w:p w14:paraId="7F739628" w14:textId="77777777" w:rsidR="0089107D" w:rsidRPr="0090155F" w:rsidRDefault="0089107D" w:rsidP="0089107D">
      <w:pPr>
        <w:spacing w:line="240" w:lineRule="auto"/>
        <w:ind w:firstLine="709"/>
        <w:jc w:val="both"/>
        <w:rPr>
          <w:rFonts w:ascii="Verdana" w:eastAsia="Calibri,Times New Roman" w:hAnsi="Verdana" w:cs="Arial"/>
          <w:i/>
          <w:iCs/>
          <w:sz w:val="18"/>
          <w:szCs w:val="18"/>
          <w:lang w:val="es-ES"/>
        </w:rPr>
      </w:pPr>
      <w:r w:rsidRPr="0090155F">
        <w:rPr>
          <w:rStyle w:val="Refdenotaalpie"/>
          <w:rFonts w:ascii="Verdana" w:hAnsi="Verdana" w:cs="Arial"/>
          <w:sz w:val="18"/>
          <w:szCs w:val="18"/>
        </w:rPr>
        <w:footnoteRef/>
      </w:r>
      <w:r w:rsidRPr="0090155F">
        <w:rPr>
          <w:rFonts w:ascii="Verdana" w:hAnsi="Verdana" w:cs="Arial"/>
          <w:sz w:val="18"/>
          <w:szCs w:val="18"/>
        </w:rPr>
        <w:t xml:space="preserve"> </w:t>
      </w:r>
      <w:r w:rsidRPr="00B92AD4">
        <w:rPr>
          <w:rFonts w:ascii="Verdana" w:hAnsi="Verdana" w:cs="Arial"/>
          <w:color w:val="000000"/>
          <w:sz w:val="18"/>
          <w:szCs w:val="18"/>
          <w:lang w:val="es-ES_tradnl"/>
        </w:rPr>
        <w:t>“</w:t>
      </w:r>
      <w:r w:rsidRPr="0090155F">
        <w:rPr>
          <w:rFonts w:ascii="Verdana" w:eastAsia="Calibri,Times New Roman" w:hAnsi="Verdana" w:cs="Arial"/>
          <w:sz w:val="18"/>
          <w:szCs w:val="18"/>
          <w:lang w:val="es-E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Pr>
          <w:rFonts w:ascii="Verdana" w:eastAsia="Calibri,Times New Roman" w:hAnsi="Verdana" w:cs="Arial"/>
          <w:sz w:val="18"/>
          <w:szCs w:val="18"/>
          <w:lang w:val="es-ES"/>
        </w:rPr>
        <w:t>”.</w:t>
      </w:r>
      <w:r w:rsidRPr="00B92AD4">
        <w:rPr>
          <w:rFonts w:ascii="Verdana" w:hAnsi="Verdana" w:cs="Arial"/>
          <w:color w:val="000000"/>
          <w:sz w:val="18"/>
          <w:szCs w:val="18"/>
          <w:lang w:val="es-ES_tradnl"/>
        </w:rPr>
        <w:t xml:space="preserve"> (Consejo de Estado. Sección Tercera. Sentencia de 1 de abril de 2016, Exp. 47145 C.P.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6C41"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F5C2BC7" wp14:editId="0E085BC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1B54C63" wp14:editId="5340582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C9A680" w14:textId="77777777" w:rsidR="00000000" w:rsidRDefault="00000000">
    <w:pPr>
      <w:pStyle w:val="Encabezado"/>
    </w:pPr>
  </w:p>
  <w:p w14:paraId="0005286A" w14:textId="77777777" w:rsidR="00000000" w:rsidRDefault="00000000" w:rsidP="004A305D">
    <w:pPr>
      <w:spacing w:after="0"/>
      <w:rPr>
        <w:rFonts w:ascii="Verdana" w:hAnsi="Verdana"/>
        <w:b/>
        <w:bCs/>
      </w:rPr>
    </w:pPr>
  </w:p>
  <w:p w14:paraId="60EC088D" w14:textId="77777777" w:rsidR="00000000" w:rsidRPr="00DC39FC" w:rsidRDefault="00000000" w:rsidP="004A305D">
    <w:pPr>
      <w:spacing w:after="0"/>
      <w:rPr>
        <w:rFonts w:ascii="Verdana" w:hAnsi="Verdana"/>
        <w:b/>
        <w:bCs/>
      </w:rPr>
    </w:pPr>
    <w:r w:rsidRPr="00DC39FC">
      <w:rPr>
        <w:rFonts w:ascii="Verdana" w:hAnsi="Verdana"/>
        <w:b/>
        <w:bCs/>
      </w:rPr>
      <w:t>FORMATO PQRSD</w:t>
    </w:r>
  </w:p>
  <w:p w14:paraId="5A110335" w14:textId="77777777" w:rsidR="00000000" w:rsidRPr="004A305D" w:rsidRDefault="00000000" w:rsidP="00B01B1A">
    <w:pPr>
      <w:spacing w:after="0" w:line="120" w:lineRule="auto"/>
      <w:rPr>
        <w:rFonts w:ascii="Century Gothic" w:eastAsia="Geo" w:hAnsi="Century Gothic" w:cs="Geo"/>
        <w:sz w:val="16"/>
        <w:szCs w:val="16"/>
        <w:lang w:eastAsia="es-CO"/>
      </w:rPr>
    </w:pPr>
  </w:p>
  <w:p w14:paraId="59B4E4DD"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29B"/>
    <w:multiLevelType w:val="hybridMultilevel"/>
    <w:tmpl w:val="28E2E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8E5AE1"/>
    <w:multiLevelType w:val="hybridMultilevel"/>
    <w:tmpl w:val="98EAC2BA"/>
    <w:lvl w:ilvl="0" w:tplc="FFFFFFFF">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089576">
    <w:abstractNumId w:val="3"/>
  </w:num>
  <w:num w:numId="2" w16cid:durableId="1266187003">
    <w:abstractNumId w:val="2"/>
  </w:num>
  <w:num w:numId="3" w16cid:durableId="774180183">
    <w:abstractNumId w:val="0"/>
  </w:num>
  <w:num w:numId="4" w16cid:durableId="1518739868">
    <w:abstractNumId w:val="4"/>
  </w:num>
  <w:num w:numId="5" w16cid:durableId="333918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07D"/>
    <w:rsid w:val="001E2BEF"/>
    <w:rsid w:val="00361D06"/>
    <w:rsid w:val="005727E1"/>
    <w:rsid w:val="005818E2"/>
    <w:rsid w:val="0089107D"/>
    <w:rsid w:val="008E5C2E"/>
    <w:rsid w:val="00963712"/>
    <w:rsid w:val="00A931BE"/>
    <w:rsid w:val="00A941C4"/>
    <w:rsid w:val="00EA2B1F"/>
    <w:rsid w:val="00F2142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915B"/>
  <w15:chartTrackingRefBased/>
  <w15:docId w15:val="{DCE3AFDA-CF24-42EE-899A-32849AC2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07D"/>
    <w:rPr>
      <w:kern w:val="0"/>
      <w14:ligatures w14:val="none"/>
    </w:rPr>
  </w:style>
  <w:style w:type="paragraph" w:styleId="Ttulo1">
    <w:name w:val="heading 1"/>
    <w:basedOn w:val="Normal"/>
    <w:next w:val="Normal"/>
    <w:link w:val="Ttulo1Car"/>
    <w:uiPriority w:val="9"/>
    <w:qFormat/>
    <w:rsid w:val="00891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1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10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10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10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10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10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10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10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10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10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10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10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10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10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10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10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107D"/>
    <w:rPr>
      <w:rFonts w:eastAsiaTheme="majorEastAsia" w:cstheme="majorBidi"/>
      <w:color w:val="272727" w:themeColor="text1" w:themeTint="D8"/>
    </w:rPr>
  </w:style>
  <w:style w:type="paragraph" w:styleId="Ttulo">
    <w:name w:val="Title"/>
    <w:basedOn w:val="Normal"/>
    <w:next w:val="Normal"/>
    <w:link w:val="TtuloCar"/>
    <w:uiPriority w:val="10"/>
    <w:qFormat/>
    <w:rsid w:val="00891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10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10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10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107D"/>
    <w:pPr>
      <w:spacing w:before="160"/>
      <w:jc w:val="center"/>
    </w:pPr>
    <w:rPr>
      <w:i/>
      <w:iCs/>
      <w:color w:val="404040" w:themeColor="text1" w:themeTint="BF"/>
    </w:rPr>
  </w:style>
  <w:style w:type="character" w:customStyle="1" w:styleId="CitaCar">
    <w:name w:val="Cita Car"/>
    <w:basedOn w:val="Fuentedeprrafopredeter"/>
    <w:link w:val="Cita"/>
    <w:uiPriority w:val="29"/>
    <w:rsid w:val="0089107D"/>
    <w:rPr>
      <w:i/>
      <w:iCs/>
      <w:color w:val="404040" w:themeColor="text1" w:themeTint="BF"/>
    </w:rPr>
  </w:style>
  <w:style w:type="paragraph" w:styleId="Prrafodelista">
    <w:name w:val="List Paragraph"/>
    <w:basedOn w:val="Normal"/>
    <w:uiPriority w:val="34"/>
    <w:qFormat/>
    <w:rsid w:val="0089107D"/>
    <w:pPr>
      <w:ind w:left="720"/>
      <w:contextualSpacing/>
    </w:pPr>
  </w:style>
  <w:style w:type="character" w:styleId="nfasisintenso">
    <w:name w:val="Intense Emphasis"/>
    <w:basedOn w:val="Fuentedeprrafopredeter"/>
    <w:uiPriority w:val="21"/>
    <w:qFormat/>
    <w:rsid w:val="0089107D"/>
    <w:rPr>
      <w:i/>
      <w:iCs/>
      <w:color w:val="0F4761" w:themeColor="accent1" w:themeShade="BF"/>
    </w:rPr>
  </w:style>
  <w:style w:type="paragraph" w:styleId="Citadestacada">
    <w:name w:val="Intense Quote"/>
    <w:basedOn w:val="Normal"/>
    <w:next w:val="Normal"/>
    <w:link w:val="CitadestacadaCar"/>
    <w:uiPriority w:val="30"/>
    <w:qFormat/>
    <w:rsid w:val="00891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107D"/>
    <w:rPr>
      <w:i/>
      <w:iCs/>
      <w:color w:val="0F4761" w:themeColor="accent1" w:themeShade="BF"/>
    </w:rPr>
  </w:style>
  <w:style w:type="character" w:styleId="Referenciaintensa">
    <w:name w:val="Intense Reference"/>
    <w:basedOn w:val="Fuentedeprrafopredeter"/>
    <w:uiPriority w:val="32"/>
    <w:qFormat/>
    <w:rsid w:val="0089107D"/>
    <w:rPr>
      <w:b/>
      <w:bCs/>
      <w:smallCaps/>
      <w:color w:val="0F4761" w:themeColor="accent1" w:themeShade="BF"/>
      <w:spacing w:val="5"/>
    </w:rPr>
  </w:style>
  <w:style w:type="paragraph" w:styleId="Encabezado">
    <w:name w:val="header"/>
    <w:basedOn w:val="Normal"/>
    <w:link w:val="EncabezadoCar"/>
    <w:uiPriority w:val="99"/>
    <w:unhideWhenUsed/>
    <w:rsid w:val="008910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107D"/>
    <w:rPr>
      <w:kern w:val="0"/>
      <w14:ligatures w14:val="none"/>
    </w:rPr>
  </w:style>
  <w:style w:type="paragraph" w:styleId="Piedepgina">
    <w:name w:val="footer"/>
    <w:basedOn w:val="Normal"/>
    <w:link w:val="PiedepginaCar"/>
    <w:uiPriority w:val="99"/>
    <w:unhideWhenUsed/>
    <w:rsid w:val="008910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107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9107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89107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9107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9107D"/>
    <w:rPr>
      <w:vertAlign w:val="superscript"/>
    </w:rPr>
  </w:style>
  <w:style w:type="table" w:styleId="Tablaconcuadrcula">
    <w:name w:val="Table Grid"/>
    <w:basedOn w:val="Tablanormal"/>
    <w:uiPriority w:val="39"/>
    <w:qFormat/>
    <w:rsid w:val="008910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9107D"/>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8910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rviciosuniversal39@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C4FFA4-28A4-4DF5-8271-044D6E25B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6780E-45B9-42C9-9541-82911140ED9F}">
  <ds:schemaRefs>
    <ds:schemaRef ds:uri="http://schemas.microsoft.com/sharepoint/v3/contenttype/forms"/>
  </ds:schemaRefs>
</ds:datastoreItem>
</file>

<file path=customXml/itemProps3.xml><?xml version="1.0" encoding="utf-8"?>
<ds:datastoreItem xmlns:ds="http://schemas.openxmlformats.org/officeDocument/2006/customXml" ds:itemID="{381A14A3-6AB5-4D14-8F83-26A4C04587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3092</Words>
  <Characters>17007</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4</cp:revision>
  <dcterms:created xsi:type="dcterms:W3CDTF">2025-04-25T13:26:00Z</dcterms:created>
  <dcterms:modified xsi:type="dcterms:W3CDTF">2025-04-25T13:31:00Z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