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793A6" w14:textId="77777777" w:rsidR="00AB084C" w:rsidRPr="001A4E98" w:rsidRDefault="00AB084C" w:rsidP="001A4E98">
      <w:pPr>
        <w:spacing w:line="240" w:lineRule="auto"/>
        <w:jc w:val="both"/>
        <w:rPr>
          <w:rFonts w:ascii="Century Gothic" w:eastAsia="Arial" w:hAnsi="Century Gothic" w:cs="Arial"/>
          <w:b/>
          <w:bCs/>
          <w:color w:val="000000"/>
          <w:sz w:val="20"/>
          <w:szCs w:val="20"/>
          <w:lang w:val="es-MX" w:eastAsia="es-ES_tradnl"/>
        </w:rPr>
      </w:pPr>
      <w:bookmarkStart w:id="0" w:name="_Hlk29890381"/>
      <w:r w:rsidRPr="001A4E98">
        <w:rPr>
          <w:rFonts w:ascii="Century Gothic" w:eastAsia="Arial" w:hAnsi="Century Gothic" w:cs="Arial"/>
          <w:b/>
          <w:bCs/>
          <w:color w:val="000000"/>
          <w:sz w:val="20"/>
          <w:szCs w:val="20"/>
          <w:lang w:val="es-MX" w:eastAsia="es-ES_tradnl"/>
        </w:rPr>
        <w:t xml:space="preserve">PLIEGO DE CONDICIONES – Naturaleza </w:t>
      </w:r>
    </w:p>
    <w:p w14:paraId="46FFEB90" w14:textId="2D64242F" w:rsidR="00AB084C" w:rsidRPr="001A4E98" w:rsidRDefault="00AB084C" w:rsidP="001A4E98">
      <w:pPr>
        <w:spacing w:line="240" w:lineRule="auto"/>
        <w:jc w:val="both"/>
        <w:rPr>
          <w:rFonts w:ascii="Century Gothic" w:eastAsia="Arial" w:hAnsi="Century Gothic" w:cs="Arial"/>
          <w:b/>
          <w:bCs/>
          <w:color w:val="000000"/>
          <w:sz w:val="20"/>
          <w:szCs w:val="20"/>
          <w:lang w:val="es-MX" w:eastAsia="es-ES_tradnl"/>
        </w:rPr>
      </w:pPr>
      <w:r w:rsidRPr="001A4E98">
        <w:rPr>
          <w:rFonts w:ascii="Century Gothic" w:hAnsi="Century Gothic" w:cs="Arial"/>
          <w:color w:val="000000" w:themeColor="text1"/>
          <w:sz w:val="20"/>
          <w:szCs w:val="20"/>
        </w:rPr>
        <w:t>[E]</w:t>
      </w:r>
      <w:r w:rsidRPr="001A4E98">
        <w:rPr>
          <w:rFonts w:ascii="Century Gothic" w:hAnsi="Century Gothic"/>
          <w:sz w:val="20"/>
          <w:szCs w:val="20"/>
        </w:rPr>
        <w:t>l Consejo de Estado8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p>
    <w:p w14:paraId="0E5818C5" w14:textId="029CA914" w:rsidR="00AB084C" w:rsidRPr="001A4E98" w:rsidRDefault="00AB084C" w:rsidP="7278C889">
      <w:pPr>
        <w:spacing w:line="240" w:lineRule="auto"/>
        <w:jc w:val="both"/>
        <w:rPr>
          <w:rFonts w:ascii="Century Gothic" w:eastAsia="Arial" w:hAnsi="Century Gothic" w:cs="Arial"/>
          <w:b/>
          <w:bCs/>
          <w:color w:val="000000"/>
          <w:sz w:val="20"/>
          <w:szCs w:val="20"/>
          <w:lang w:val="es-MX" w:eastAsia="es-ES"/>
        </w:rPr>
      </w:pPr>
      <w:r w:rsidRPr="7278C889">
        <w:rPr>
          <w:rFonts w:ascii="Century Gothic" w:eastAsia="Arial" w:hAnsi="Century Gothic" w:cs="Arial"/>
          <w:b/>
          <w:bCs/>
          <w:color w:val="000000" w:themeColor="text1"/>
          <w:sz w:val="20"/>
          <w:szCs w:val="20"/>
          <w:lang w:val="es-MX" w:eastAsia="es-ES"/>
        </w:rPr>
        <w:t>PLIEGO DE CONDICIONES - Claridad y precisión en su contenido</w:t>
      </w:r>
      <w:r w:rsidR="01E6DEE6" w:rsidRPr="7278C889">
        <w:rPr>
          <w:rFonts w:ascii="Century Gothic" w:eastAsia="Arial" w:hAnsi="Century Gothic" w:cs="Arial"/>
          <w:b/>
          <w:bCs/>
          <w:color w:val="000000" w:themeColor="text1"/>
          <w:sz w:val="20"/>
          <w:szCs w:val="20"/>
          <w:lang w:val="es-MX" w:eastAsia="es-ES"/>
        </w:rPr>
        <w:t xml:space="preserve"> -</w:t>
      </w:r>
      <w:r w:rsidRPr="7278C889">
        <w:rPr>
          <w:rFonts w:ascii="Century Gothic" w:eastAsia="Arial" w:hAnsi="Century Gothic" w:cs="Arial"/>
          <w:b/>
          <w:bCs/>
          <w:color w:val="000000" w:themeColor="text1"/>
          <w:sz w:val="20"/>
          <w:szCs w:val="20"/>
          <w:lang w:val="es-MX" w:eastAsia="es-ES"/>
        </w:rPr>
        <w:t xml:space="preserve"> </w:t>
      </w:r>
      <w:r w:rsidR="596BD7BB" w:rsidRPr="7278C889">
        <w:rPr>
          <w:rFonts w:ascii="Century Gothic" w:eastAsia="Arial" w:hAnsi="Century Gothic" w:cs="Arial"/>
          <w:b/>
          <w:bCs/>
          <w:color w:val="000000" w:themeColor="text1"/>
          <w:sz w:val="20"/>
          <w:szCs w:val="20"/>
          <w:lang w:val="es-MX" w:eastAsia="es-ES"/>
        </w:rPr>
        <w:t>I</w:t>
      </w:r>
      <w:r w:rsidRPr="7278C889">
        <w:rPr>
          <w:rFonts w:ascii="Century Gothic" w:eastAsia="Arial" w:hAnsi="Century Gothic" w:cs="Arial"/>
          <w:b/>
          <w:bCs/>
          <w:color w:val="000000" w:themeColor="text1"/>
          <w:sz w:val="20"/>
          <w:szCs w:val="20"/>
          <w:lang w:val="es-MX" w:eastAsia="es-ES"/>
        </w:rPr>
        <w:t>nterpretación contra estipulante</w:t>
      </w:r>
    </w:p>
    <w:p w14:paraId="5CB080D9" w14:textId="77777777" w:rsidR="00BF6DE4" w:rsidRPr="001A4E98" w:rsidRDefault="00BF6DE4" w:rsidP="001A4E98">
      <w:pPr>
        <w:spacing w:line="240" w:lineRule="auto"/>
        <w:jc w:val="both"/>
        <w:rPr>
          <w:rFonts w:ascii="Century Gothic" w:hAnsi="Century Gothic"/>
          <w:sz w:val="20"/>
          <w:szCs w:val="20"/>
        </w:rPr>
      </w:pPr>
      <w:r w:rsidRPr="001A4E98">
        <w:rPr>
          <w:rFonts w:ascii="Century Gothic" w:hAnsi="Century Gothic" w:cs="Arial"/>
          <w:color w:val="000000" w:themeColor="text1"/>
          <w:sz w:val="20"/>
          <w:szCs w:val="20"/>
        </w:rPr>
        <w:t>[L]</w:t>
      </w:r>
      <w:r w:rsidRPr="001A4E98">
        <w:rPr>
          <w:rFonts w:ascii="Century Gothic" w:hAnsi="Century Gothic"/>
          <w:sz w:val="20"/>
          <w:szCs w:val="20"/>
        </w:rPr>
        <w:t xml:space="preserve">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1A4E98">
        <w:rPr>
          <w:rFonts w:ascii="Century Gothic" w:hAnsi="Century Gothic"/>
          <w:i/>
          <w:iCs/>
          <w:sz w:val="20"/>
          <w:szCs w:val="20"/>
        </w:rPr>
        <w:t>“con sujeción a los principios generales del derechos, a los de la función administrativa, a la finalidad del pliego y a la protección del interés general, de conformidad con lo previsto en el artículo 23 de la Ley 80 de 1993”.</w:t>
      </w:r>
      <w:r w:rsidRPr="001A4E98">
        <w:rPr>
          <w:rFonts w:ascii="Century Gothic" w:hAnsi="Century Gothic"/>
          <w:sz w:val="20"/>
          <w:szCs w:val="20"/>
        </w:rPr>
        <w:t xml:space="preserve"> </w:t>
      </w:r>
    </w:p>
    <w:p w14:paraId="4D340C70" w14:textId="66E93AA3" w:rsidR="00BF6DE4"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w:t>
      </w:r>
    </w:p>
    <w:p w14:paraId="67521055" w14:textId="681D841D" w:rsidR="00BF6DE4" w:rsidRPr="001A4E98" w:rsidRDefault="00BF6DE4" w:rsidP="001A4E98">
      <w:pPr>
        <w:spacing w:line="240" w:lineRule="auto"/>
        <w:jc w:val="both"/>
        <w:rPr>
          <w:rFonts w:ascii="Century Gothic" w:hAnsi="Century Gothic"/>
          <w:sz w:val="20"/>
          <w:szCs w:val="20"/>
        </w:rPr>
      </w:pPr>
      <w:r w:rsidRPr="001A4E98">
        <w:rPr>
          <w:rFonts w:ascii="Century Gothic" w:hAnsi="Century Gothic"/>
          <w:sz w:val="20"/>
          <w:szCs w:val="20"/>
        </w:rPr>
        <w:t xml:space="preserve">Sin perjuicio de lo anterior, la entidad, proponentes o contratista podrán acudir, en lo pertinente, a las reglas de interpretación objetivas y subjetivas conforme a los artículos 1618 a 1624 del Código Civil. </w:t>
      </w:r>
      <w:r w:rsidR="00AE34EB" w:rsidRPr="001A4E98">
        <w:rPr>
          <w:rFonts w:ascii="Century Gothic" w:hAnsi="Century Gothic"/>
          <w:sz w:val="20"/>
          <w:szCs w:val="20"/>
        </w:rPr>
        <w:t xml:space="preserve"> (…)las reglas subjetivas de interpretación se refieren a las siguientes: vi) el sentido en que una cláusula pueda producir algún efecto deberá preferirse a aquel en que no produzca efecto alguno (artículo 1620 </w:t>
      </w:r>
      <w:proofErr w:type="spellStart"/>
      <w:r w:rsidR="00AE34EB" w:rsidRPr="001A4E98">
        <w:rPr>
          <w:rFonts w:ascii="Century Gothic" w:hAnsi="Century Gothic"/>
          <w:sz w:val="20"/>
          <w:szCs w:val="20"/>
        </w:rPr>
        <w:t>ibídem</w:t>
      </w:r>
      <w:proofErr w:type="spellEnd"/>
      <w:r w:rsidR="00AE34EB" w:rsidRPr="001A4E98">
        <w:rPr>
          <w:rFonts w:ascii="Century Gothic" w:hAnsi="Century Gothic"/>
          <w:sz w:val="20"/>
          <w:szCs w:val="20"/>
        </w:rPr>
        <w:t xml:space="preserve">); vii) deberá estarse a la interpretación que mejor cuadre con la naturaleza del contrato (artículo 1621 </w:t>
      </w:r>
      <w:proofErr w:type="spellStart"/>
      <w:r w:rsidR="00AE34EB" w:rsidRPr="001A4E98">
        <w:rPr>
          <w:rFonts w:ascii="Century Gothic" w:hAnsi="Century Gothic"/>
          <w:sz w:val="20"/>
          <w:szCs w:val="20"/>
        </w:rPr>
        <w:t>ibídem</w:t>
      </w:r>
      <w:proofErr w:type="spellEnd"/>
      <w:r w:rsidR="00AE34EB" w:rsidRPr="001A4E98">
        <w:rPr>
          <w:rFonts w:ascii="Century Gothic" w:hAnsi="Century Gothic"/>
          <w:sz w:val="20"/>
          <w:szCs w:val="20"/>
        </w:rPr>
        <w:t xml:space="preserve">); viii) las cláusulas ambiguas se interpretan a favor del deudor (artículo 1624, inciso 1 </w:t>
      </w:r>
      <w:proofErr w:type="spellStart"/>
      <w:r w:rsidR="00AE34EB" w:rsidRPr="001A4E98">
        <w:rPr>
          <w:rFonts w:ascii="Century Gothic" w:hAnsi="Century Gothic"/>
          <w:sz w:val="20"/>
          <w:szCs w:val="20"/>
        </w:rPr>
        <w:t>ibídem</w:t>
      </w:r>
      <w:proofErr w:type="spellEnd"/>
      <w:r w:rsidR="00AE34EB" w:rsidRPr="001A4E98">
        <w:rPr>
          <w:rFonts w:ascii="Century Gothic" w:hAnsi="Century Gothic"/>
          <w:sz w:val="20"/>
          <w:szCs w:val="20"/>
        </w:rPr>
        <w:t xml:space="preserve">); y </w:t>
      </w:r>
      <w:proofErr w:type="spellStart"/>
      <w:r w:rsidR="00AE34EB" w:rsidRPr="001A4E98">
        <w:rPr>
          <w:rFonts w:ascii="Century Gothic" w:hAnsi="Century Gothic"/>
          <w:sz w:val="20"/>
          <w:szCs w:val="20"/>
        </w:rPr>
        <w:t>ix</w:t>
      </w:r>
      <w:proofErr w:type="spellEnd"/>
      <w:r w:rsidR="00AE34EB" w:rsidRPr="001A4E98">
        <w:rPr>
          <w:rFonts w:ascii="Century Gothic" w:hAnsi="Century Gothic"/>
          <w:sz w:val="20"/>
          <w:szCs w:val="20"/>
        </w:rPr>
        <w:t xml:space="preserve">) </w:t>
      </w:r>
      <w:r w:rsidR="00AE34EB" w:rsidRPr="001A4E98">
        <w:rPr>
          <w:rFonts w:ascii="Century Gothic" w:hAnsi="Century Gothic"/>
          <w:i/>
          <w:iCs/>
          <w:sz w:val="20"/>
          <w:szCs w:val="20"/>
        </w:rPr>
        <w:t xml:space="preserve">las cláusulas oscuras que hayan sido extendidas o dictadas por una parte se interpretarán contra ella si la ambigüedad proviene de una explicación que ésta ha debido dar (artículo 1624, inciso 2 </w:t>
      </w:r>
      <w:proofErr w:type="spellStart"/>
      <w:r w:rsidR="00AE34EB" w:rsidRPr="001A4E98">
        <w:rPr>
          <w:rFonts w:ascii="Century Gothic" w:hAnsi="Century Gothic"/>
          <w:i/>
          <w:iCs/>
          <w:sz w:val="20"/>
          <w:szCs w:val="20"/>
        </w:rPr>
        <w:t>ibídem</w:t>
      </w:r>
      <w:proofErr w:type="spellEnd"/>
      <w:r w:rsidR="00AE34EB" w:rsidRPr="001A4E98">
        <w:rPr>
          <w:rFonts w:ascii="Century Gothic" w:hAnsi="Century Gothic"/>
          <w:i/>
          <w:iCs/>
          <w:sz w:val="20"/>
          <w:szCs w:val="20"/>
        </w:rPr>
        <w:t>).</w:t>
      </w:r>
    </w:p>
    <w:p w14:paraId="5072CB17" w14:textId="786ABC6B"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w:t>
      </w:r>
    </w:p>
    <w:p w14:paraId="5FD673B8" w14:textId="435CDB02" w:rsidR="00AE34EB" w:rsidRPr="001A4E98" w:rsidRDefault="00AE34EB" w:rsidP="001A4E98">
      <w:pPr>
        <w:spacing w:line="240" w:lineRule="auto"/>
        <w:jc w:val="both"/>
        <w:rPr>
          <w:rFonts w:ascii="Century Gothic" w:eastAsia="Arial" w:hAnsi="Century Gothic" w:cs="Arial"/>
          <w:b/>
          <w:bCs/>
          <w:color w:val="000000"/>
          <w:sz w:val="20"/>
          <w:szCs w:val="20"/>
          <w:lang w:val="es-MX" w:eastAsia="es-ES_tradnl"/>
        </w:rPr>
      </w:pPr>
      <w:r w:rsidRPr="001A4E98">
        <w:rPr>
          <w:rFonts w:ascii="Century Gothic" w:hAnsi="Century Gothic"/>
          <w:sz w:val="20"/>
          <w:szCs w:val="20"/>
        </w:rPr>
        <w:t>Así las cosas, ante una contradicción entre la información contemplada en la información suministrada por la Entidad en el formulario de SECOP II o alguna de las respuestas a las observaciones presentadas en el curso del proceso y la información contenida en el respectivo pliego de condiciones, se analizará las circunstancias en concreto de cara a los principios de la contratación estatal, de manera que la entidad adoptará la decisión que más se ajuste a la finalidad del proceso de contratación teniendo en cuenta las pautas interpretativas expuestas previamente, resaltando que aquellas disposiciones o situaciones 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w:t>
      </w:r>
    </w:p>
    <w:p w14:paraId="612AD491" w14:textId="77777777" w:rsidR="00AB084C" w:rsidRPr="001A4E98" w:rsidRDefault="00AB084C" w:rsidP="001A4E98">
      <w:pPr>
        <w:spacing w:line="240" w:lineRule="auto"/>
        <w:jc w:val="both"/>
        <w:rPr>
          <w:rFonts w:ascii="Century Gothic" w:eastAsia="Calibri" w:hAnsi="Century Gothic" w:cs="Arial"/>
          <w:b/>
          <w:bCs/>
          <w:sz w:val="20"/>
          <w:szCs w:val="20"/>
        </w:rPr>
      </w:pPr>
      <w:r w:rsidRPr="001A4E98">
        <w:rPr>
          <w:rFonts w:ascii="Century Gothic" w:eastAsia="Calibri" w:hAnsi="Century Gothic" w:cs="Arial"/>
          <w:b/>
          <w:bCs/>
          <w:sz w:val="20"/>
          <w:szCs w:val="20"/>
        </w:rPr>
        <w:t>SECOP II – Pliego de condiciones electrónico</w:t>
      </w:r>
    </w:p>
    <w:p w14:paraId="0E0DAD3A" w14:textId="77777777"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cs="Arial"/>
          <w:color w:val="000000" w:themeColor="text1"/>
          <w:sz w:val="20"/>
          <w:szCs w:val="20"/>
        </w:rPr>
        <w:lastRenderedPageBreak/>
        <w:t>[L]</w:t>
      </w:r>
      <w:r w:rsidRPr="001A4E98">
        <w:rPr>
          <w:rFonts w:ascii="Century Gothic" w:hAnsi="Century Gothic"/>
          <w:sz w:val="20"/>
          <w:szCs w:val="20"/>
        </w:rPr>
        <w:t xml:space="preserve">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está compuesto por: i) formulario y ii) documentos anexos que cargue la entidad. Después de elegir la modalidad de selección en el SECOP II la entidad crea el expediente electrónico del procedimiento y habilita la creación del pliego borrador electrónico. Este pliego electrónico es un formulario con seis secciones: i) información general, ii) configuración, iii) cuestionario, </w:t>
      </w:r>
      <w:proofErr w:type="spellStart"/>
      <w:r w:rsidRPr="001A4E98">
        <w:rPr>
          <w:rFonts w:ascii="Century Gothic" w:hAnsi="Century Gothic"/>
          <w:sz w:val="20"/>
          <w:szCs w:val="20"/>
        </w:rPr>
        <w:t>iv</w:t>
      </w:r>
      <w:proofErr w:type="spellEnd"/>
      <w:r w:rsidRPr="001A4E98">
        <w:rPr>
          <w:rFonts w:ascii="Century Gothic" w:hAnsi="Century Gothic"/>
          <w:sz w:val="20"/>
          <w:szCs w:val="20"/>
        </w:rPr>
        <w:t>) evaluación, v) documentos del proceso y vi) documentos de la oferta.</w:t>
      </w:r>
    </w:p>
    <w:p w14:paraId="13BF818F" w14:textId="77777777"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Los formularios de los pliegos electrónicos incluyen la mayoría de los contenidos mínimos que debe contener un pliego de condiciones, con excepción de algunos temas como lo son 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088E7E31" w14:textId="42FC8B6F" w:rsidR="00AE34EB" w:rsidRPr="001A4E98" w:rsidRDefault="00AE34EB" w:rsidP="001A4E98">
      <w:pPr>
        <w:spacing w:line="240" w:lineRule="auto"/>
        <w:jc w:val="both"/>
        <w:rPr>
          <w:rFonts w:ascii="Century Gothic" w:eastAsia="Calibri" w:hAnsi="Century Gothic" w:cs="Arial"/>
          <w:b/>
          <w:bCs/>
          <w:sz w:val="20"/>
          <w:szCs w:val="20"/>
        </w:rPr>
      </w:pPr>
      <w:r w:rsidRPr="001A4E98">
        <w:rPr>
          <w:rFonts w:ascii="Century Gothic" w:hAnsi="Century Gothic"/>
          <w:sz w:val="20"/>
          <w:szCs w:val="20"/>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para que el proceso de contratación se realice a través de la plataforma SECOP II es necesario diligenciar dicho formulario en línea que debe contener los requisitos establecidos en el acto administrativo del pliego de condiciones, por lo tanto, esto no implica que las entidades no puedan adjuntar los documentos que sean necesarios y que complementen el pliego de condiciones electrónico en lo que el formulario no contemple su inclusión.</w:t>
      </w:r>
    </w:p>
    <w:p w14:paraId="3817ECF7" w14:textId="55E584F7" w:rsidR="00AB084C" w:rsidRPr="001A4E98" w:rsidRDefault="00AB084C" w:rsidP="001A4E98">
      <w:pPr>
        <w:spacing w:line="240" w:lineRule="auto"/>
        <w:jc w:val="both"/>
        <w:rPr>
          <w:rFonts w:ascii="Century Gothic" w:eastAsia="Arial" w:hAnsi="Century Gothic" w:cs="Arial"/>
          <w:b/>
          <w:bCs/>
          <w:color w:val="000000"/>
          <w:sz w:val="20"/>
          <w:szCs w:val="20"/>
          <w:lang w:val="es-MX" w:eastAsia="es-ES_tradnl"/>
        </w:rPr>
      </w:pPr>
      <w:r w:rsidRPr="001A4E98">
        <w:rPr>
          <w:rFonts w:ascii="Century Gothic" w:eastAsia="Arial" w:hAnsi="Century Gothic" w:cs="Arial"/>
          <w:b/>
          <w:bCs/>
          <w:color w:val="000000"/>
          <w:sz w:val="20"/>
          <w:szCs w:val="20"/>
          <w:lang w:val="es-MX" w:eastAsia="es-ES_tradnl"/>
        </w:rPr>
        <w:t>REVOCATORIA DIRECTA ACTO DE APERTURA – Selección objetiva</w:t>
      </w:r>
    </w:p>
    <w:p w14:paraId="6C000AE3" w14:textId="77777777"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 xml:space="preserve">Teniendo en cuenta lo expuesto, por parte de esta Agencia se advierte que previo a la expedición del acto administrativo de adjudicación, no se consolidan derechos a favor de los proponentes, toda vez que hasta ese momento solo existen “meras expectativas” y, en algunas circunstancias, expectativas legítimas a favor de algún participante; conceptos jurídicos que alinderan tanto la existencia y alcance de un eventual derecho o expectativa, y el punto límite de proyección del atributo de la revocatoria del acto administrativo. </w:t>
      </w:r>
    </w:p>
    <w:p w14:paraId="3E6249B2" w14:textId="77777777"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En ese orden de ideas, para la tesis primera y cuarta la naturaleza jurídica del acto de apertura es la de un acto administrativo general por lo que resulta posible revocarlo de manera unilateral. Se diferencian en que, para la primera, una vez se han presentado las ofertas y conforme avanza el proceso de elección, se irán consolidando “expectativas” jurídicas y económicas de los participantes; mientras que, para la tesis cuarta, previo a la expedición del acto administrativo de adjudicación, no se consolidan derechos a favor de los proponentes, toda vez que hasta ese momento solo existen meras expectativas que se consolidan una vez se selecciona la mejor oferta.</w:t>
      </w:r>
    </w:p>
    <w:p w14:paraId="74F0CFCA" w14:textId="77777777" w:rsidR="00AE34EB" w:rsidRPr="001A4E98" w:rsidRDefault="00AE34EB" w:rsidP="001A4E98">
      <w:pPr>
        <w:spacing w:line="240" w:lineRule="auto"/>
        <w:jc w:val="both"/>
        <w:rPr>
          <w:rFonts w:ascii="Century Gothic" w:hAnsi="Century Gothic"/>
          <w:sz w:val="20"/>
          <w:szCs w:val="20"/>
        </w:rPr>
      </w:pPr>
      <w:r w:rsidRPr="001A4E98">
        <w:rPr>
          <w:rFonts w:ascii="Century Gothic" w:hAnsi="Century Gothic"/>
          <w:sz w:val="20"/>
          <w:szCs w:val="20"/>
        </w:rPr>
        <w:t xml:space="preserve">Para la tesis segunda y tercera, una vez se presentan las propuestas en los procesos de selección, el acto de apertura se transforma en un acto administrativo de carácter particular, lo cual hace que adquiera el carácter de irrevocable. La diferencia está en que, para la tesis segunda, el acto se transforma en particular para todos los oferentes que presentaron propuesta en tiempo, razón por la cual se requiere de su aquiescencia para la revocatoria del acto de apertura; mientras que para la tesis tercera el acto de apertura se convierte en particular para el proponente que tenga la mejor oferta, razón por la cual se requiere de la aceptación de este último para poder proceder a la revocatoria del acto de apertura. </w:t>
      </w:r>
    </w:p>
    <w:p w14:paraId="25CC022B" w14:textId="2F06EF52" w:rsidR="00AB084C" w:rsidRPr="001A4E98" w:rsidRDefault="00AB084C" w:rsidP="001A4E98">
      <w:pPr>
        <w:spacing w:line="240" w:lineRule="auto"/>
        <w:jc w:val="both"/>
        <w:rPr>
          <w:rFonts w:ascii="Century Gothic" w:eastAsia="Calibri" w:hAnsi="Century Gothic" w:cs="Arial"/>
          <w:sz w:val="20"/>
          <w:szCs w:val="20"/>
        </w:rPr>
      </w:pPr>
      <w:r w:rsidRPr="001A4E98">
        <w:rPr>
          <w:rFonts w:ascii="Century Gothic" w:eastAsia="Calibri" w:hAnsi="Century Gothic" w:cs="Arial"/>
          <w:sz w:val="20"/>
          <w:szCs w:val="20"/>
        </w:rPr>
        <w:br w:type="page"/>
      </w:r>
    </w:p>
    <w:p w14:paraId="1B70DD5F" w14:textId="28858856" w:rsidR="008F68F0" w:rsidRPr="00443DEB" w:rsidRDefault="00AB084C" w:rsidP="00D10E43">
      <w:pPr>
        <w:rPr>
          <w:rFonts w:ascii="Century Gothic" w:eastAsia="Calibri" w:hAnsi="Century Gothic" w:cs="Arial"/>
        </w:rPr>
      </w:pPr>
      <w:r w:rsidRPr="00AB084C">
        <w:rPr>
          <w:rFonts w:ascii="Century Gothic" w:eastAsia="Calibri" w:hAnsi="Century Gothic" w:cs="Arial"/>
          <w:noProof/>
        </w:rPr>
        <w:drawing>
          <wp:anchor distT="0" distB="0" distL="114300" distR="114300" simplePos="0" relativeHeight="251658240" behindDoc="1" locked="0" layoutInCell="1" allowOverlap="1" wp14:anchorId="457F96D3" wp14:editId="3FC3566A">
            <wp:simplePos x="0" y="0"/>
            <wp:positionH relativeFrom="column">
              <wp:posOffset>3117215</wp:posOffset>
            </wp:positionH>
            <wp:positionV relativeFrom="paragraph">
              <wp:posOffset>-32385</wp:posOffset>
            </wp:positionV>
            <wp:extent cx="2578100" cy="730250"/>
            <wp:effectExtent l="0" t="0" r="0" b="0"/>
            <wp:wrapNone/>
            <wp:docPr id="6204499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49991" name=""/>
                    <pic:cNvPicPr/>
                  </pic:nvPicPr>
                  <pic:blipFill>
                    <a:blip r:embed="rId11">
                      <a:extLst>
                        <a:ext uri="{28A0092B-C50C-407E-A947-70E740481C1C}">
                          <a14:useLocalDpi xmlns:a14="http://schemas.microsoft.com/office/drawing/2010/main" val="0"/>
                        </a:ext>
                      </a:extLst>
                    </a:blip>
                    <a:stretch>
                      <a:fillRect/>
                    </a:stretch>
                  </pic:blipFill>
                  <pic:spPr>
                    <a:xfrm>
                      <a:off x="0" y="0"/>
                      <a:ext cx="2578100" cy="730250"/>
                    </a:xfrm>
                    <a:prstGeom prst="rect">
                      <a:avLst/>
                    </a:prstGeom>
                  </pic:spPr>
                </pic:pic>
              </a:graphicData>
            </a:graphic>
          </wp:anchor>
        </w:drawing>
      </w:r>
      <w:r w:rsidR="008F68F0" w:rsidRPr="00443DEB">
        <w:rPr>
          <w:rFonts w:ascii="Century Gothic" w:eastAsia="Calibri" w:hAnsi="Century Gothic" w:cs="Arial"/>
        </w:rPr>
        <w:t>Bogotá D.C.</w:t>
      </w:r>
      <w:r>
        <w:rPr>
          <w:rFonts w:ascii="Century Gothic" w:eastAsia="Calibri" w:hAnsi="Century Gothic" w:cs="Arial"/>
        </w:rPr>
        <w:t>, 25 de agosto de 2023</w:t>
      </w:r>
    </w:p>
    <w:p w14:paraId="03A0646D" w14:textId="77777777" w:rsidR="00552A02" w:rsidRPr="00443DEB" w:rsidRDefault="00552A02" w:rsidP="00552A02">
      <w:pPr>
        <w:spacing w:after="0"/>
        <w:rPr>
          <w:rFonts w:ascii="Century Gothic" w:eastAsia="Calibri" w:hAnsi="Century Gothic" w:cs="Arial"/>
        </w:rPr>
      </w:pPr>
    </w:p>
    <w:p w14:paraId="2453B02C" w14:textId="77777777" w:rsidR="001B1DAE" w:rsidRPr="00443DEB" w:rsidRDefault="001B1DAE" w:rsidP="00552A02">
      <w:pPr>
        <w:spacing w:after="0"/>
        <w:rPr>
          <w:rFonts w:ascii="Century Gothic" w:eastAsia="Calibri" w:hAnsi="Century Gothic" w:cs="Arial"/>
        </w:rPr>
      </w:pPr>
    </w:p>
    <w:p w14:paraId="1DA69161" w14:textId="55B88F06" w:rsidR="00D10E43" w:rsidRPr="00443DEB" w:rsidRDefault="00D10E43" w:rsidP="00552A02">
      <w:pPr>
        <w:spacing w:after="0"/>
        <w:rPr>
          <w:rFonts w:ascii="Century Gothic" w:eastAsia="Calibri" w:hAnsi="Century Gothic" w:cs="Arial"/>
        </w:rPr>
      </w:pPr>
      <w:r w:rsidRPr="00443DEB">
        <w:rPr>
          <w:rFonts w:ascii="Century Gothic" w:eastAsia="Calibri" w:hAnsi="Century Gothic" w:cs="Arial"/>
        </w:rPr>
        <w:t>Señor</w:t>
      </w:r>
    </w:p>
    <w:p w14:paraId="1A24000C" w14:textId="372B90C3" w:rsidR="00D10E43" w:rsidRPr="00450768" w:rsidRDefault="001E5E04" w:rsidP="00552A02">
      <w:pPr>
        <w:spacing w:after="0"/>
        <w:rPr>
          <w:rFonts w:ascii="Century Gothic" w:eastAsia="Calibri" w:hAnsi="Century Gothic" w:cs="Arial"/>
          <w:b/>
        </w:rPr>
      </w:pPr>
      <w:r w:rsidRPr="00450768">
        <w:rPr>
          <w:rFonts w:ascii="Century Gothic" w:eastAsia="Calibri" w:hAnsi="Century Gothic" w:cs="Arial"/>
          <w:b/>
        </w:rPr>
        <w:t>Diego Dorado</w:t>
      </w:r>
    </w:p>
    <w:p w14:paraId="72227C9C" w14:textId="4D087F84" w:rsidR="00D10E43" w:rsidRPr="00443DEB" w:rsidRDefault="00076B48" w:rsidP="00552A02">
      <w:pPr>
        <w:spacing w:after="0"/>
        <w:rPr>
          <w:rFonts w:ascii="Century Gothic" w:eastAsia="Calibri" w:hAnsi="Century Gothic" w:cs="Arial"/>
        </w:rPr>
      </w:pPr>
      <w:r w:rsidRPr="00443DEB">
        <w:rPr>
          <w:rFonts w:ascii="Century Gothic" w:eastAsia="Calibri" w:hAnsi="Century Gothic" w:cs="Arial"/>
        </w:rPr>
        <w:t>Arauca, Arauca</w:t>
      </w:r>
    </w:p>
    <w:p w14:paraId="30136BFA" w14:textId="77777777" w:rsidR="00D10E43" w:rsidRPr="00443DEB" w:rsidRDefault="00D10E43" w:rsidP="00D10E43">
      <w:pPr>
        <w:rPr>
          <w:rFonts w:ascii="Century Gothic" w:eastAsia="Calibri" w:hAnsi="Century Gothic" w:cs="Arial"/>
        </w:rPr>
      </w:pPr>
    </w:p>
    <w:p w14:paraId="742220AC" w14:textId="5DB1CEA7" w:rsidR="00D10E43" w:rsidRPr="00443DEB" w:rsidRDefault="00D10E43" w:rsidP="00D10E43">
      <w:pPr>
        <w:jc w:val="center"/>
        <w:rPr>
          <w:rFonts w:ascii="Century Gothic" w:eastAsia="Calibri" w:hAnsi="Century Gothic" w:cs="Arial"/>
          <w:b/>
        </w:rPr>
      </w:pPr>
      <w:r w:rsidRPr="00443DEB">
        <w:rPr>
          <w:rFonts w:ascii="Century Gothic" w:eastAsia="Calibri" w:hAnsi="Century Gothic" w:cs="Arial"/>
          <w:b/>
        </w:rPr>
        <w:t xml:space="preserve">Concepto C ─ </w:t>
      </w:r>
      <w:r w:rsidR="006F013F" w:rsidRPr="00443DEB">
        <w:rPr>
          <w:rFonts w:ascii="Century Gothic" w:eastAsia="Calibri" w:hAnsi="Century Gothic" w:cs="Arial"/>
          <w:b/>
        </w:rPr>
        <w:t>346</w:t>
      </w:r>
      <w:r w:rsidRPr="00443DEB">
        <w:rPr>
          <w:rFonts w:ascii="Century Gothic" w:eastAsia="Calibri" w:hAnsi="Century Gothic" w:cs="Arial"/>
          <w:b/>
        </w:rPr>
        <w:t xml:space="preserve"> de 202</w:t>
      </w:r>
      <w:r w:rsidR="006F013F" w:rsidRPr="00443DEB">
        <w:rPr>
          <w:rFonts w:ascii="Century Gothic" w:eastAsia="Calibri" w:hAnsi="Century Gothic" w:cs="Arial"/>
          <w:b/>
        </w:rPr>
        <w:t>3</w:t>
      </w:r>
    </w:p>
    <w:p w14:paraId="5C4C51EE" w14:textId="77777777" w:rsidR="00D10E43" w:rsidRPr="00443DEB" w:rsidRDefault="00D10E43" w:rsidP="00D10E43">
      <w:pPr>
        <w:rPr>
          <w:rFonts w:ascii="Century Gothic" w:eastAsia="Calibri" w:hAnsi="Century Gothic" w:cs="Aria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0E43" w:rsidRPr="00443DEB" w14:paraId="409A4B65" w14:textId="77777777" w:rsidTr="000A7F6A">
        <w:tc>
          <w:tcPr>
            <w:tcW w:w="2689" w:type="dxa"/>
            <w:hideMark/>
          </w:tcPr>
          <w:p w14:paraId="70C64916" w14:textId="39C8114E" w:rsidR="00D10E43" w:rsidRPr="00443DEB" w:rsidRDefault="00D10E43" w:rsidP="000A7F6A">
            <w:pPr>
              <w:rPr>
                <w:rFonts w:ascii="Century Gothic" w:eastAsia="Calibri" w:hAnsi="Century Gothic" w:cs="Arial"/>
              </w:rPr>
            </w:pPr>
            <w:r w:rsidRPr="00443DEB">
              <w:rPr>
                <w:rFonts w:ascii="Century Gothic" w:eastAsia="Calibri" w:hAnsi="Century Gothic" w:cs="Arial"/>
                <w:b/>
              </w:rPr>
              <w:t>Temas:</w:t>
            </w:r>
            <w:r w:rsidRPr="00443DEB">
              <w:rPr>
                <w:rFonts w:ascii="Century Gothic" w:eastAsia="Calibri" w:hAnsi="Century Gothic" w:cs="Arial"/>
              </w:rPr>
              <w:t xml:space="preserve">           </w:t>
            </w:r>
          </w:p>
        </w:tc>
        <w:tc>
          <w:tcPr>
            <w:tcW w:w="6237" w:type="dxa"/>
            <w:hideMark/>
          </w:tcPr>
          <w:p w14:paraId="01EEC8CF" w14:textId="57108218" w:rsidR="00D10E43" w:rsidRPr="00443DEB" w:rsidRDefault="007216E2" w:rsidP="007216E2">
            <w:pPr>
              <w:spacing w:line="276" w:lineRule="auto"/>
              <w:jc w:val="both"/>
              <w:rPr>
                <w:rFonts w:ascii="Century Gothic" w:eastAsia="Calibri" w:hAnsi="Century Gothic" w:cs="Arial"/>
                <w:highlight w:val="yellow"/>
              </w:rPr>
            </w:pPr>
            <w:r w:rsidRPr="00443DEB">
              <w:rPr>
                <w:rFonts w:ascii="Century Gothic" w:eastAsia="Arial" w:hAnsi="Century Gothic" w:cs="Arial"/>
                <w:color w:val="000000"/>
                <w:lang w:val="es-MX" w:eastAsia="es-ES_tradnl"/>
              </w:rPr>
              <w:t>PLIEGO DE CONDICIONES – Naturaleza – Claridad y precisión en su contenido – interpretación contra estipulante/</w:t>
            </w:r>
            <w:r w:rsidR="00D10E43" w:rsidRPr="00443DEB">
              <w:rPr>
                <w:rFonts w:ascii="Century Gothic" w:eastAsia="Calibri" w:hAnsi="Century Gothic" w:cs="Arial"/>
              </w:rPr>
              <w:t xml:space="preserve"> SECOP II – Pliego de condiciones electrónico</w:t>
            </w:r>
            <w:r w:rsidR="00544075" w:rsidRPr="00443DEB">
              <w:rPr>
                <w:rFonts w:ascii="Century Gothic" w:eastAsia="Calibri" w:hAnsi="Century Gothic" w:cs="Arial"/>
              </w:rPr>
              <w:t xml:space="preserve"> /</w:t>
            </w:r>
            <w:r w:rsidR="00544075" w:rsidRPr="00443DEB">
              <w:rPr>
                <w:rFonts w:ascii="Century Gothic" w:eastAsia="Arial" w:hAnsi="Century Gothic" w:cs="Arial"/>
                <w:color w:val="000000"/>
                <w:lang w:val="es-MX" w:eastAsia="es-ES_tradnl"/>
              </w:rPr>
              <w:t xml:space="preserve"> REVOCATORIA DIRECTA ACTO DE APERTURA –</w:t>
            </w:r>
            <w:r w:rsidR="003C7500">
              <w:rPr>
                <w:rFonts w:ascii="Century Gothic" w:eastAsia="Arial" w:hAnsi="Century Gothic" w:cs="Arial"/>
                <w:color w:val="000000"/>
                <w:lang w:val="es-MX" w:eastAsia="es-ES_tradnl"/>
              </w:rPr>
              <w:t xml:space="preserve"> </w:t>
            </w:r>
            <w:r w:rsidR="00544075" w:rsidRPr="00443DEB">
              <w:rPr>
                <w:rFonts w:ascii="Century Gothic" w:eastAsia="Arial" w:hAnsi="Century Gothic" w:cs="Arial"/>
                <w:color w:val="000000"/>
                <w:lang w:val="es-MX" w:eastAsia="es-ES_tradnl"/>
              </w:rPr>
              <w:t xml:space="preserve">Selección objetiva </w:t>
            </w:r>
          </w:p>
        </w:tc>
      </w:tr>
      <w:tr w:rsidR="00D10E43" w:rsidRPr="00443DEB" w14:paraId="5A18C5B0" w14:textId="77777777" w:rsidTr="000A7F6A">
        <w:tc>
          <w:tcPr>
            <w:tcW w:w="2689" w:type="dxa"/>
          </w:tcPr>
          <w:p w14:paraId="7A4B433F" w14:textId="77777777" w:rsidR="00D10E43" w:rsidRPr="00443DEB" w:rsidRDefault="00D10E43" w:rsidP="000A7F6A">
            <w:pPr>
              <w:rPr>
                <w:rFonts w:ascii="Century Gothic" w:eastAsia="Calibri" w:hAnsi="Century Gothic" w:cs="Arial"/>
                <w:b/>
              </w:rPr>
            </w:pPr>
            <w:r w:rsidRPr="00443DEB">
              <w:rPr>
                <w:rFonts w:ascii="Century Gothic" w:eastAsia="Calibri" w:hAnsi="Century Gothic" w:cs="Arial"/>
                <w:b/>
              </w:rPr>
              <w:t>Radicación:</w:t>
            </w:r>
            <w:r w:rsidRPr="00443DEB">
              <w:rPr>
                <w:rFonts w:ascii="Century Gothic" w:eastAsia="Calibri" w:hAnsi="Century Gothic" w:cs="Arial"/>
              </w:rPr>
              <w:t xml:space="preserve">                              </w:t>
            </w:r>
          </w:p>
        </w:tc>
        <w:tc>
          <w:tcPr>
            <w:tcW w:w="6237" w:type="dxa"/>
          </w:tcPr>
          <w:p w14:paraId="345FCBC3" w14:textId="5AB681CB" w:rsidR="00D10E43" w:rsidRPr="00443DEB" w:rsidRDefault="00D10E43" w:rsidP="000A7F6A">
            <w:pPr>
              <w:jc w:val="both"/>
              <w:rPr>
                <w:rFonts w:ascii="Century Gothic" w:eastAsia="Calibri" w:hAnsi="Century Gothic" w:cs="Arial"/>
              </w:rPr>
            </w:pPr>
            <w:r w:rsidRPr="00443DEB">
              <w:rPr>
                <w:rFonts w:ascii="Century Gothic" w:eastAsia="Calibri" w:hAnsi="Century Gothic" w:cs="Arial"/>
              </w:rPr>
              <w:t>Respuesta a consulta</w:t>
            </w:r>
            <w:r w:rsidR="00717FB4" w:rsidRPr="00443DEB">
              <w:rPr>
                <w:rFonts w:ascii="Century Gothic" w:eastAsia="Calibri" w:hAnsi="Century Gothic" w:cs="Arial"/>
              </w:rPr>
              <w:t xml:space="preserve"> No.</w:t>
            </w:r>
            <w:r w:rsidRPr="00443DEB">
              <w:rPr>
                <w:rFonts w:ascii="Century Gothic" w:eastAsia="Calibri" w:hAnsi="Century Gothic" w:cs="Arial"/>
              </w:rPr>
              <w:t xml:space="preserve"> </w:t>
            </w:r>
            <w:r w:rsidR="00717FB4" w:rsidRPr="00443DEB">
              <w:rPr>
                <w:rFonts w:ascii="Century Gothic" w:eastAsia="Calibri" w:hAnsi="Century Gothic" w:cs="Arial"/>
              </w:rPr>
              <w:t>P20230711013130</w:t>
            </w:r>
          </w:p>
        </w:tc>
      </w:tr>
    </w:tbl>
    <w:p w14:paraId="0364E694" w14:textId="77777777" w:rsidR="00D10E43" w:rsidRPr="00443DEB" w:rsidRDefault="00D10E43" w:rsidP="00D10E43">
      <w:pPr>
        <w:jc w:val="both"/>
        <w:rPr>
          <w:rFonts w:ascii="Century Gothic" w:eastAsia="Calibri" w:hAnsi="Century Gothic" w:cs="Arial"/>
        </w:rPr>
      </w:pPr>
    </w:p>
    <w:p w14:paraId="50EE75FC" w14:textId="05EB9EB5" w:rsidR="00D10E43" w:rsidRPr="00443DEB" w:rsidRDefault="00D10E43" w:rsidP="00D10E43">
      <w:pPr>
        <w:rPr>
          <w:rFonts w:ascii="Century Gothic" w:eastAsia="Calibri" w:hAnsi="Century Gothic" w:cs="Arial"/>
        </w:rPr>
      </w:pPr>
      <w:r w:rsidRPr="00443DEB">
        <w:rPr>
          <w:rFonts w:ascii="Century Gothic" w:eastAsia="Calibri" w:hAnsi="Century Gothic" w:cs="Arial"/>
        </w:rPr>
        <w:t xml:space="preserve">Estimado señor </w:t>
      </w:r>
      <w:r w:rsidR="00717FB4" w:rsidRPr="00443DEB">
        <w:rPr>
          <w:rFonts w:ascii="Century Gothic" w:eastAsia="Calibri" w:hAnsi="Century Gothic" w:cs="Arial"/>
        </w:rPr>
        <w:t>Dorado</w:t>
      </w:r>
      <w:r w:rsidRPr="00443DEB">
        <w:rPr>
          <w:rFonts w:ascii="Century Gothic" w:eastAsia="Calibri" w:hAnsi="Century Gothic" w:cs="Arial"/>
        </w:rPr>
        <w:t>,</w:t>
      </w:r>
    </w:p>
    <w:p w14:paraId="2BA79647" w14:textId="77777777" w:rsidR="006A5C9A" w:rsidRPr="00443DEB" w:rsidRDefault="006A5C9A" w:rsidP="00D10E43">
      <w:pPr>
        <w:spacing w:line="276" w:lineRule="auto"/>
        <w:ind w:right="49"/>
        <w:jc w:val="both"/>
        <w:rPr>
          <w:rFonts w:ascii="Century Gothic" w:eastAsia="Calibri" w:hAnsi="Century Gothic" w:cs="Arial"/>
        </w:rPr>
      </w:pPr>
    </w:p>
    <w:p w14:paraId="632DE4B6" w14:textId="22979122" w:rsidR="00D10E43" w:rsidRDefault="00776027" w:rsidP="00D10E43">
      <w:pPr>
        <w:spacing w:line="276" w:lineRule="auto"/>
        <w:ind w:right="49"/>
        <w:jc w:val="both"/>
        <w:rPr>
          <w:rFonts w:ascii="Century Gothic" w:eastAsia="Calibri" w:hAnsi="Century Gothic" w:cs="Arial"/>
        </w:rPr>
      </w:pPr>
      <w:r w:rsidRPr="00443DEB">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D10E43" w:rsidRPr="00443DEB">
        <w:rPr>
          <w:rFonts w:ascii="Century Gothic" w:eastAsia="Calibri" w:hAnsi="Century Gothic" w:cs="Arial"/>
        </w:rPr>
        <w:t>1</w:t>
      </w:r>
      <w:r w:rsidR="0067086C" w:rsidRPr="00443DEB">
        <w:rPr>
          <w:rFonts w:ascii="Century Gothic" w:eastAsia="Calibri" w:hAnsi="Century Gothic" w:cs="Arial"/>
        </w:rPr>
        <w:t>1</w:t>
      </w:r>
      <w:r w:rsidR="00D10E43" w:rsidRPr="00443DEB">
        <w:rPr>
          <w:rFonts w:ascii="Century Gothic" w:eastAsia="Calibri" w:hAnsi="Century Gothic" w:cs="Arial"/>
        </w:rPr>
        <w:t xml:space="preserve"> de</w:t>
      </w:r>
      <w:r w:rsidR="001E340E" w:rsidRPr="00443DEB">
        <w:rPr>
          <w:rFonts w:ascii="Century Gothic" w:eastAsia="Calibri" w:hAnsi="Century Gothic" w:cs="Arial"/>
        </w:rPr>
        <w:t xml:space="preserve"> juli</w:t>
      </w:r>
      <w:r w:rsidR="00D10E43" w:rsidRPr="00443DEB">
        <w:rPr>
          <w:rFonts w:ascii="Century Gothic" w:eastAsia="Calibri" w:hAnsi="Century Gothic" w:cs="Arial"/>
        </w:rPr>
        <w:t>o de 202</w:t>
      </w:r>
      <w:r w:rsidR="001E340E" w:rsidRPr="00443DEB">
        <w:rPr>
          <w:rFonts w:ascii="Century Gothic" w:eastAsia="Calibri" w:hAnsi="Century Gothic" w:cs="Arial"/>
        </w:rPr>
        <w:t>3</w:t>
      </w:r>
      <w:r w:rsidRPr="00443DEB">
        <w:rPr>
          <w:rFonts w:ascii="Century Gothic" w:eastAsia="Calibri" w:hAnsi="Century Gothic" w:cs="Arial"/>
        </w:rPr>
        <w:t>.</w:t>
      </w:r>
    </w:p>
    <w:p w14:paraId="059C4D6E" w14:textId="77777777" w:rsidR="003C7500" w:rsidRPr="00443DEB" w:rsidRDefault="003C7500" w:rsidP="00D10E43">
      <w:pPr>
        <w:spacing w:line="276" w:lineRule="auto"/>
        <w:ind w:right="49"/>
        <w:jc w:val="both"/>
        <w:rPr>
          <w:rFonts w:ascii="Century Gothic" w:eastAsia="Calibri" w:hAnsi="Century Gothic" w:cs="Arial"/>
        </w:rPr>
      </w:pPr>
    </w:p>
    <w:p w14:paraId="4D0AC986" w14:textId="573CF2DD" w:rsidR="00D10E43" w:rsidRPr="00443DEB" w:rsidRDefault="00D10E43" w:rsidP="00D10E43">
      <w:pPr>
        <w:pStyle w:val="Prrafodelista"/>
        <w:tabs>
          <w:tab w:val="left" w:pos="284"/>
        </w:tabs>
        <w:spacing w:line="276" w:lineRule="auto"/>
        <w:ind w:left="0"/>
        <w:jc w:val="both"/>
        <w:rPr>
          <w:rFonts w:ascii="Century Gothic" w:eastAsia="Calibri" w:hAnsi="Century Gothic" w:cs="Arial"/>
          <w:b/>
        </w:rPr>
      </w:pPr>
      <w:r w:rsidRPr="00443DEB">
        <w:rPr>
          <w:rFonts w:ascii="Century Gothic" w:eastAsia="Calibri" w:hAnsi="Century Gothic" w:cs="Arial"/>
          <w:b/>
        </w:rPr>
        <w:t xml:space="preserve">1. Problemas planteados </w:t>
      </w:r>
    </w:p>
    <w:p w14:paraId="771C9EC2" w14:textId="42F53B81" w:rsidR="00BE082A" w:rsidRPr="00443DEB" w:rsidRDefault="00BE082A" w:rsidP="00D10E43">
      <w:pPr>
        <w:tabs>
          <w:tab w:val="left" w:pos="426"/>
        </w:tabs>
        <w:spacing w:line="276" w:lineRule="auto"/>
        <w:jc w:val="both"/>
        <w:rPr>
          <w:rFonts w:ascii="Century Gothic" w:eastAsia="Calibri" w:hAnsi="Century Gothic" w:cs="Arial"/>
        </w:rPr>
      </w:pPr>
      <w:r w:rsidRPr="00443DEB">
        <w:rPr>
          <w:rFonts w:ascii="Century Gothic" w:eastAsia="Calibri" w:hAnsi="Century Gothic" w:cs="Arial"/>
        </w:rPr>
        <w:t>En la consulta previamente</w:t>
      </w:r>
      <w:r w:rsidR="0075367A" w:rsidRPr="00443DEB">
        <w:rPr>
          <w:rFonts w:ascii="Century Gothic" w:eastAsia="Calibri" w:hAnsi="Century Gothic" w:cs="Arial"/>
        </w:rPr>
        <w:t xml:space="preserve"> identificada</w:t>
      </w:r>
      <w:r w:rsidRPr="00443DEB">
        <w:rPr>
          <w:rFonts w:ascii="Century Gothic" w:eastAsia="Calibri" w:hAnsi="Century Gothic" w:cs="Arial"/>
        </w:rPr>
        <w:t xml:space="preserve"> Usted solicita resolver los siguientes interrogantes, todos los cuales guardan relación con </w:t>
      </w:r>
      <w:r w:rsidR="004267AE" w:rsidRPr="00443DEB">
        <w:rPr>
          <w:rFonts w:ascii="Century Gothic" w:eastAsia="Calibri" w:hAnsi="Century Gothic" w:cs="Arial"/>
        </w:rPr>
        <w:t>los argumentos expuestos en el concepto C-295 de 2020 emitido por esta Agencia</w:t>
      </w:r>
      <w:r w:rsidRPr="00443DEB">
        <w:rPr>
          <w:rFonts w:ascii="Century Gothic" w:eastAsia="Calibri" w:hAnsi="Century Gothic" w:cs="Arial"/>
        </w:rPr>
        <w:t>. En particular, se formulan los siguientes interrogantes, junto con el siguiente contexto fáctico:</w:t>
      </w:r>
    </w:p>
    <w:p w14:paraId="709CA476" w14:textId="679F0735" w:rsidR="00D10E43" w:rsidRDefault="00B94F2C" w:rsidP="008F159A">
      <w:pPr>
        <w:tabs>
          <w:tab w:val="left" w:pos="426"/>
        </w:tabs>
        <w:spacing w:line="240" w:lineRule="auto"/>
        <w:ind w:left="709" w:right="709"/>
        <w:jc w:val="both"/>
        <w:rPr>
          <w:rFonts w:ascii="Century Gothic" w:eastAsia="Calibri" w:hAnsi="Century Gothic" w:cs="Arial"/>
          <w:sz w:val="21"/>
          <w:szCs w:val="21"/>
        </w:rPr>
      </w:pPr>
      <w:r w:rsidRPr="00443DEB">
        <w:rPr>
          <w:rFonts w:ascii="Century Gothic" w:eastAsia="Calibri" w:hAnsi="Century Gothic" w:cs="Arial"/>
          <w:sz w:val="21"/>
          <w:szCs w:val="21"/>
        </w:rPr>
        <w:t xml:space="preserve">“que sucede si UNA ENTIDAD PUBLICA en el SECOP 2 , crea y publica el pliego de condiciones electrónico que sabemos </w:t>
      </w:r>
      <w:proofErr w:type="spellStart"/>
      <w:r w:rsidRPr="00443DEB">
        <w:rPr>
          <w:rFonts w:ascii="Century Gothic" w:eastAsia="Calibri" w:hAnsi="Century Gothic" w:cs="Arial"/>
          <w:sz w:val="21"/>
          <w:szCs w:val="21"/>
        </w:rPr>
        <w:t>esta</w:t>
      </w:r>
      <w:proofErr w:type="spellEnd"/>
      <w:r w:rsidRPr="00443DEB">
        <w:rPr>
          <w:rFonts w:ascii="Century Gothic" w:eastAsia="Calibri" w:hAnsi="Century Gothic" w:cs="Arial"/>
          <w:sz w:val="21"/>
          <w:szCs w:val="21"/>
        </w:rPr>
        <w:t xml:space="preserve"> conformado por el cuestionario donde están las exigencias, y si en dichas exigencias no aparecen</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el numeral o condición para cargar por los oferentes los documentos para cumplir</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capacidad residual, ¿Los oferentes que por error de la entidad no carguen los</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documentos para calcular la capacidad residual se les debe permitir subsanar?, o ¿se</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debe revocar el proceso si antes del cierre para entrega de propuestas no se corrige el</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error por parte de la Entidad que no habilito el numeral para cargar los documentos que</w:t>
      </w:r>
      <w:r w:rsidR="00AA5058" w:rsidRPr="00443DEB">
        <w:rPr>
          <w:rFonts w:ascii="Century Gothic" w:eastAsia="Calibri" w:hAnsi="Century Gothic" w:cs="Arial"/>
          <w:sz w:val="21"/>
          <w:szCs w:val="21"/>
        </w:rPr>
        <w:t xml:space="preserve"> </w:t>
      </w:r>
      <w:r w:rsidRPr="00443DEB">
        <w:rPr>
          <w:rFonts w:ascii="Century Gothic" w:eastAsia="Calibri" w:hAnsi="Century Gothic" w:cs="Arial"/>
          <w:sz w:val="21"/>
          <w:szCs w:val="21"/>
        </w:rPr>
        <w:t>acreditan la capacidad residual?</w:t>
      </w:r>
      <w:r w:rsidR="008F159A" w:rsidRPr="00443DEB">
        <w:rPr>
          <w:rFonts w:ascii="Century Gothic" w:eastAsia="Calibri" w:hAnsi="Century Gothic" w:cs="Arial"/>
          <w:sz w:val="21"/>
          <w:szCs w:val="21"/>
        </w:rPr>
        <w:t>” (Sic).</w:t>
      </w:r>
    </w:p>
    <w:p w14:paraId="768404D4" w14:textId="77777777" w:rsidR="00E926CA" w:rsidRPr="00443DEB" w:rsidRDefault="00E926CA" w:rsidP="008F159A">
      <w:pPr>
        <w:tabs>
          <w:tab w:val="left" w:pos="426"/>
        </w:tabs>
        <w:spacing w:line="240" w:lineRule="auto"/>
        <w:ind w:left="709" w:right="709"/>
        <w:jc w:val="both"/>
        <w:rPr>
          <w:rFonts w:ascii="Century Gothic" w:eastAsia="Calibri" w:hAnsi="Century Gothic" w:cs="Arial"/>
          <w:sz w:val="21"/>
          <w:szCs w:val="21"/>
        </w:rPr>
      </w:pPr>
    </w:p>
    <w:p w14:paraId="445E246D" w14:textId="77777777" w:rsidR="00D10E43" w:rsidRPr="00443DEB" w:rsidRDefault="00D10E43" w:rsidP="00D10E43">
      <w:pPr>
        <w:tabs>
          <w:tab w:val="left" w:pos="426"/>
        </w:tabs>
        <w:spacing w:line="276" w:lineRule="auto"/>
        <w:jc w:val="both"/>
        <w:rPr>
          <w:rFonts w:ascii="Century Gothic" w:eastAsia="Calibri" w:hAnsi="Century Gothic" w:cs="Arial"/>
          <w:b/>
        </w:rPr>
      </w:pPr>
      <w:bookmarkStart w:id="1" w:name="_Hlk38500171"/>
      <w:r w:rsidRPr="00443DEB">
        <w:rPr>
          <w:rFonts w:ascii="Century Gothic" w:eastAsia="Calibri" w:hAnsi="Century Gothic" w:cs="Arial"/>
          <w:b/>
        </w:rPr>
        <w:t>2. Consideraciones</w:t>
      </w:r>
    </w:p>
    <w:p w14:paraId="534CC631" w14:textId="77777777" w:rsidR="00222D1A" w:rsidRPr="00443DEB" w:rsidRDefault="00222D1A" w:rsidP="00222D1A">
      <w:pPr>
        <w:shd w:val="clear" w:color="auto" w:fill="FFFFFF" w:themeFill="background1"/>
        <w:spacing w:line="276" w:lineRule="auto"/>
        <w:jc w:val="both"/>
        <w:rPr>
          <w:rFonts w:ascii="Century Gothic" w:eastAsia="Calibri" w:hAnsi="Century Gothic" w:cs="Arial"/>
          <w:color w:val="000000" w:themeColor="text1"/>
        </w:rPr>
      </w:pPr>
      <w:r w:rsidRPr="00443DEB">
        <w:rPr>
          <w:rFonts w:ascii="Century Gothic" w:eastAsia="Calibri" w:hAnsi="Century Gothic"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435C1945" w14:textId="77777777" w:rsidR="00222D1A" w:rsidRPr="00443DEB" w:rsidRDefault="00222D1A" w:rsidP="00222D1A">
      <w:pPr>
        <w:shd w:val="clear" w:color="auto" w:fill="FFFFFF" w:themeFill="background1"/>
        <w:spacing w:line="276" w:lineRule="auto"/>
        <w:ind w:firstLine="708"/>
        <w:jc w:val="both"/>
        <w:rPr>
          <w:rFonts w:ascii="Century Gothic" w:eastAsia="Calibri" w:hAnsi="Century Gothic" w:cs="Arial"/>
          <w:color w:val="000000" w:themeColor="text1"/>
        </w:rPr>
      </w:pPr>
      <w:r w:rsidRPr="00443DEB">
        <w:rPr>
          <w:rFonts w:ascii="Century Gothic" w:eastAsia="Calibri" w:hAnsi="Century Gothic"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74BC82CE" w14:textId="4BCBCDF3" w:rsidR="00D10E43" w:rsidRPr="00443DEB" w:rsidRDefault="00222D1A" w:rsidP="00D10E43">
      <w:pPr>
        <w:spacing w:line="276" w:lineRule="auto"/>
        <w:jc w:val="both"/>
        <w:rPr>
          <w:rFonts w:ascii="Century Gothic" w:eastAsia="Calibri" w:hAnsi="Century Gothic" w:cs="Arial"/>
        </w:rPr>
      </w:pPr>
      <w:r w:rsidRPr="00443DEB">
        <w:rPr>
          <w:rFonts w:ascii="Century Gothic" w:eastAsia="Calibri" w:hAnsi="Century Gothic" w:cs="Arial"/>
          <w:color w:val="000000" w:themeColor="text1"/>
        </w:rPr>
        <w:tab/>
        <w:t>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w:t>
      </w:r>
      <w:r w:rsidRPr="00443DEB">
        <w:rPr>
          <w:rFonts w:ascii="Century Gothic" w:eastAsia="Calibri" w:hAnsi="Century Gothic" w:cs="Arial"/>
          <w:color w:val="000000" w:themeColor="text1"/>
          <w:lang w:val="es-ES"/>
        </w:rPr>
        <w:t xml:space="preserve"> los siguientes temas</w:t>
      </w:r>
      <w:r w:rsidRPr="00443DEB">
        <w:rPr>
          <w:rFonts w:ascii="Century Gothic" w:hAnsi="Century Gothic" w:cs="Arial"/>
          <w:color w:val="000000" w:themeColor="text1"/>
          <w:lang w:val="es-ES"/>
        </w:rPr>
        <w:t>:</w:t>
      </w:r>
      <w:r w:rsidR="00A70439" w:rsidRPr="00443DEB">
        <w:rPr>
          <w:rFonts w:ascii="Century Gothic" w:hAnsi="Century Gothic" w:cs="Arial"/>
          <w:color w:val="000000" w:themeColor="text1"/>
          <w:lang w:val="es-ES"/>
        </w:rPr>
        <w:t xml:space="preserve"> </w:t>
      </w:r>
      <w:r w:rsidR="00A16797" w:rsidRPr="00443DEB">
        <w:rPr>
          <w:rFonts w:ascii="Century Gothic" w:hAnsi="Century Gothic" w:cs="Arial"/>
          <w:color w:val="000000" w:themeColor="text1"/>
          <w:lang w:val="es-ES"/>
        </w:rPr>
        <w:t xml:space="preserve">i) </w:t>
      </w:r>
      <w:r w:rsidR="00A07866" w:rsidRPr="00443DEB">
        <w:rPr>
          <w:rFonts w:ascii="Century Gothic" w:hAnsi="Century Gothic" w:cs="Arial"/>
          <w:color w:val="000000" w:themeColor="text1"/>
          <w:lang w:val="es-ES"/>
        </w:rPr>
        <w:t>n</w:t>
      </w:r>
      <w:r w:rsidR="007F632F" w:rsidRPr="00443DEB">
        <w:rPr>
          <w:rFonts w:ascii="Century Gothic" w:hAnsi="Century Gothic" w:cs="Arial"/>
          <w:color w:val="000000" w:themeColor="text1"/>
          <w:lang w:val="es-ES"/>
        </w:rPr>
        <w:t>aturaleza del pliego de condiciones e interpretación de su contenido</w:t>
      </w:r>
      <w:r w:rsidR="00A07866" w:rsidRPr="00443DEB">
        <w:rPr>
          <w:rFonts w:ascii="Century Gothic" w:hAnsi="Century Gothic" w:cs="Arial"/>
          <w:color w:val="000000" w:themeColor="text1"/>
          <w:lang w:val="es-ES"/>
        </w:rPr>
        <w:t xml:space="preserve">; ii) </w:t>
      </w:r>
      <w:r w:rsidR="00D10E43" w:rsidRPr="00443DEB">
        <w:rPr>
          <w:rFonts w:ascii="Century Gothic" w:eastAsia="Calibri" w:hAnsi="Century Gothic" w:cs="Arial"/>
        </w:rPr>
        <w:t>pliegos de condiciones electrónicos en el SECOP II</w:t>
      </w:r>
      <w:bookmarkEnd w:id="1"/>
      <w:r w:rsidR="004A1DB0" w:rsidRPr="00443DEB">
        <w:rPr>
          <w:rFonts w:ascii="Century Gothic" w:eastAsia="Calibri" w:hAnsi="Century Gothic" w:cs="Arial"/>
        </w:rPr>
        <w:t>; y, iii)</w:t>
      </w:r>
      <w:r w:rsidR="00810C91" w:rsidRPr="00443DEB">
        <w:rPr>
          <w:rFonts w:ascii="Century Gothic" w:eastAsia="Calibri" w:hAnsi="Century Gothic" w:cs="Arial"/>
        </w:rPr>
        <w:t xml:space="preserve"> revocatoria directa del acto de apertura.</w:t>
      </w:r>
    </w:p>
    <w:p w14:paraId="6988CF18" w14:textId="5CA62985" w:rsidR="00A07866" w:rsidRDefault="00BA7A9D" w:rsidP="00BA7A9D">
      <w:pPr>
        <w:spacing w:line="276" w:lineRule="auto"/>
        <w:ind w:firstLine="708"/>
        <w:jc w:val="both"/>
        <w:rPr>
          <w:rFonts w:ascii="Century Gothic" w:eastAsia="Calibri" w:hAnsi="Century Gothic" w:cs="Arial"/>
        </w:rPr>
      </w:pPr>
      <w:r w:rsidRPr="00443DEB">
        <w:rPr>
          <w:rFonts w:ascii="Century Gothic" w:eastAsia="Calibri" w:hAnsi="Century Gothic" w:cs="Arial"/>
        </w:rPr>
        <w:t xml:space="preserve">La Agencia Nacional de Contratación Pública – Colombia Compra Eficiente en los conceptos </w:t>
      </w:r>
      <w:r w:rsidR="0073101B" w:rsidRPr="00443DEB">
        <w:rPr>
          <w:rFonts w:ascii="Century Gothic" w:eastAsia="Calibri" w:hAnsi="Century Gothic" w:cs="Arial"/>
        </w:rPr>
        <w:t xml:space="preserve">C-295 de </w:t>
      </w:r>
      <w:r w:rsidR="00A00A72" w:rsidRPr="00443DEB">
        <w:rPr>
          <w:rFonts w:ascii="Century Gothic" w:eastAsia="Calibri" w:hAnsi="Century Gothic" w:cs="Arial"/>
        </w:rPr>
        <w:t xml:space="preserve">30 de abril de 2020, </w:t>
      </w:r>
      <w:r w:rsidRPr="00443DEB">
        <w:rPr>
          <w:rFonts w:ascii="Century Gothic" w:eastAsia="Calibri" w:hAnsi="Century Gothic" w:cs="Arial"/>
        </w:rPr>
        <w:t>C-306 del 4 de junio de 2020</w:t>
      </w:r>
      <w:r w:rsidR="0073101B" w:rsidRPr="00443DEB">
        <w:rPr>
          <w:rFonts w:ascii="Century Gothic" w:eastAsia="Calibri" w:hAnsi="Century Gothic" w:cs="Arial"/>
        </w:rPr>
        <w:t>,</w:t>
      </w:r>
      <w:r w:rsidRPr="00443DEB">
        <w:rPr>
          <w:rFonts w:ascii="Century Gothic" w:eastAsia="Calibri" w:hAnsi="Century Gothic" w:cs="Arial"/>
        </w:rPr>
        <w:t xml:space="preserve"> C-303 del 15 de junio de 2021</w:t>
      </w:r>
      <w:r w:rsidR="00A00A72" w:rsidRPr="00443DEB">
        <w:rPr>
          <w:rFonts w:ascii="Century Gothic" w:eastAsia="Calibri" w:hAnsi="Century Gothic" w:cs="Arial"/>
        </w:rPr>
        <w:t>,</w:t>
      </w:r>
      <w:r w:rsidRPr="00443DEB">
        <w:rPr>
          <w:rFonts w:ascii="Century Gothic" w:eastAsia="Calibri" w:hAnsi="Century Gothic" w:cs="Arial"/>
        </w:rPr>
        <w:t xml:space="preserve"> C-030 de</w:t>
      </w:r>
      <w:r w:rsidR="00D7041D">
        <w:rPr>
          <w:rFonts w:ascii="Century Gothic" w:eastAsia="Calibri" w:hAnsi="Century Gothic" w:cs="Arial"/>
        </w:rPr>
        <w:t xml:space="preserve"> 25 de febrero de</w:t>
      </w:r>
      <w:r w:rsidRPr="00443DEB">
        <w:rPr>
          <w:rFonts w:ascii="Century Gothic" w:eastAsia="Calibri" w:hAnsi="Century Gothic" w:cs="Arial"/>
        </w:rPr>
        <w:t xml:space="preserve"> </w:t>
      </w:r>
      <w:r w:rsidR="00A00A72" w:rsidRPr="00443DEB">
        <w:rPr>
          <w:rFonts w:ascii="Century Gothic" w:eastAsia="Calibri" w:hAnsi="Century Gothic" w:cs="Arial"/>
        </w:rPr>
        <w:t>2</w:t>
      </w:r>
      <w:r w:rsidRPr="00443DEB">
        <w:rPr>
          <w:rFonts w:ascii="Century Gothic" w:eastAsia="Calibri" w:hAnsi="Century Gothic" w:cs="Arial"/>
        </w:rPr>
        <w:t>022</w:t>
      </w:r>
      <w:r w:rsidR="00BA6DB2" w:rsidRPr="00443DEB">
        <w:rPr>
          <w:rFonts w:ascii="Century Gothic" w:eastAsia="Calibri" w:hAnsi="Century Gothic" w:cs="Arial"/>
        </w:rPr>
        <w:t xml:space="preserve"> y</w:t>
      </w:r>
      <w:r w:rsidR="00A00A72" w:rsidRPr="00443DEB">
        <w:rPr>
          <w:rFonts w:ascii="Century Gothic" w:eastAsia="Calibri" w:hAnsi="Century Gothic" w:cs="Arial"/>
        </w:rPr>
        <w:t xml:space="preserve"> C-</w:t>
      </w:r>
      <w:r w:rsidR="00C349BB" w:rsidRPr="00443DEB">
        <w:rPr>
          <w:rFonts w:ascii="Century Gothic" w:eastAsia="Calibri" w:hAnsi="Century Gothic" w:cs="Arial"/>
        </w:rPr>
        <w:t>693 de 24 de octubre de 2022,</w:t>
      </w:r>
      <w:r w:rsidRPr="00443DEB">
        <w:rPr>
          <w:rFonts w:ascii="Century Gothic" w:eastAsia="Calibri" w:hAnsi="Century Gothic" w:cs="Arial"/>
        </w:rPr>
        <w:t xml:space="preserve"> se pronunció sobre el tratamiento que debe dársele a los documentos electrónicos y manuscritos cuando la información contenida en estos es diferente. De otra parte, en el </w:t>
      </w:r>
      <w:r w:rsidR="001C294A">
        <w:rPr>
          <w:rFonts w:ascii="Century Gothic" w:eastAsia="Calibri" w:hAnsi="Century Gothic" w:cs="Arial"/>
        </w:rPr>
        <w:t>c</w:t>
      </w:r>
      <w:r w:rsidRPr="00443DEB">
        <w:rPr>
          <w:rFonts w:ascii="Century Gothic" w:eastAsia="Calibri" w:hAnsi="Century Gothic" w:cs="Arial"/>
        </w:rPr>
        <w:t>oncepto C – 524 de</w:t>
      </w:r>
      <w:r w:rsidR="006A4470">
        <w:rPr>
          <w:rFonts w:ascii="Century Gothic" w:eastAsia="Calibri" w:hAnsi="Century Gothic" w:cs="Arial"/>
        </w:rPr>
        <w:t xml:space="preserve"> 18 de agosto de</w:t>
      </w:r>
      <w:r w:rsidRPr="00443DEB">
        <w:rPr>
          <w:rFonts w:ascii="Century Gothic" w:eastAsia="Calibri" w:hAnsi="Century Gothic" w:cs="Arial"/>
        </w:rPr>
        <w:t xml:space="preserve"> 2020 </w:t>
      </w:r>
      <w:r w:rsidR="00E8428F">
        <w:rPr>
          <w:rFonts w:ascii="Century Gothic" w:eastAsia="Calibri" w:hAnsi="Century Gothic" w:cs="Arial"/>
        </w:rPr>
        <w:t>y C-633 d</w:t>
      </w:r>
      <w:r w:rsidR="00DB5A85">
        <w:rPr>
          <w:rFonts w:ascii="Century Gothic" w:eastAsia="Calibri" w:hAnsi="Century Gothic" w:cs="Arial"/>
        </w:rPr>
        <w:t xml:space="preserve">e 25 de octubre de 2022 </w:t>
      </w:r>
      <w:r w:rsidRPr="00443DEB">
        <w:rPr>
          <w:rFonts w:ascii="Century Gothic" w:eastAsia="Calibri" w:hAnsi="Century Gothic" w:cs="Arial"/>
        </w:rPr>
        <w:t>se pronunci</w:t>
      </w:r>
      <w:r w:rsidR="000A5DAA">
        <w:rPr>
          <w:rFonts w:ascii="Century Gothic" w:eastAsia="Calibri" w:hAnsi="Century Gothic" w:cs="Arial"/>
        </w:rPr>
        <w:t>ó</w:t>
      </w:r>
      <w:r w:rsidRPr="00443DEB">
        <w:rPr>
          <w:rFonts w:ascii="Century Gothic" w:eastAsia="Calibri" w:hAnsi="Century Gothic" w:cs="Arial"/>
        </w:rPr>
        <w:t xml:space="preserve"> acerca de la revocatoria directa de los actos administrativos de carácter particular</w:t>
      </w:r>
      <w:r w:rsidR="009002EC">
        <w:rPr>
          <w:rStyle w:val="Refdenotaalpie"/>
          <w:rFonts w:ascii="Century Gothic" w:eastAsia="Calibri" w:hAnsi="Century Gothic" w:cs="Arial"/>
        </w:rPr>
        <w:footnoteReference w:id="1"/>
      </w:r>
      <w:r w:rsidRPr="00443DEB">
        <w:rPr>
          <w:rFonts w:ascii="Century Gothic" w:eastAsia="Calibri" w:hAnsi="Century Gothic" w:cs="Arial"/>
        </w:rPr>
        <w:t>. La tesis y argumentos expuestos en dicho concepto se reiteran a continuación y se complementan en lo pertinente.</w:t>
      </w:r>
    </w:p>
    <w:p w14:paraId="566F1D4E" w14:textId="77777777" w:rsidR="001C294A" w:rsidRPr="00443DEB" w:rsidRDefault="001C294A" w:rsidP="00BA7A9D">
      <w:pPr>
        <w:spacing w:line="276" w:lineRule="auto"/>
        <w:ind w:firstLine="708"/>
        <w:jc w:val="both"/>
        <w:rPr>
          <w:rFonts w:ascii="Century Gothic" w:eastAsia="Calibri" w:hAnsi="Century Gothic" w:cs="Arial"/>
        </w:rPr>
      </w:pPr>
    </w:p>
    <w:p w14:paraId="0AC1F17B" w14:textId="4816FC9A" w:rsidR="00D10E43" w:rsidRPr="00443DEB" w:rsidRDefault="00080CCB" w:rsidP="00D10E43">
      <w:pPr>
        <w:spacing w:line="276" w:lineRule="auto"/>
        <w:jc w:val="both"/>
        <w:rPr>
          <w:rFonts w:ascii="Century Gothic" w:eastAsia="Calibri" w:hAnsi="Century Gothic" w:cs="Arial"/>
          <w:b/>
          <w:sz w:val="20"/>
          <w:szCs w:val="20"/>
        </w:rPr>
      </w:pPr>
      <w:r w:rsidRPr="00443DEB">
        <w:rPr>
          <w:rFonts w:ascii="Century Gothic" w:eastAsia="Calibri" w:hAnsi="Century Gothic" w:cs="Arial"/>
          <w:b/>
          <w:sz w:val="20"/>
          <w:szCs w:val="20"/>
        </w:rPr>
        <w:t xml:space="preserve">2.1. </w:t>
      </w:r>
      <w:r w:rsidR="000C5FA0" w:rsidRPr="00443DEB">
        <w:rPr>
          <w:rFonts w:ascii="Century Gothic" w:hAnsi="Century Gothic" w:cs="Arial"/>
          <w:b/>
          <w:bCs/>
          <w:color w:val="000000" w:themeColor="text1"/>
          <w:lang w:val="es-ES"/>
        </w:rPr>
        <w:t>Naturaleza del pliego de condiciones e interpretación de su contenido</w:t>
      </w:r>
    </w:p>
    <w:p w14:paraId="7F0425D3" w14:textId="77777777" w:rsidR="00080CCB" w:rsidRPr="00443DEB" w:rsidRDefault="00080CCB" w:rsidP="00080CCB">
      <w:pPr>
        <w:spacing w:line="276" w:lineRule="auto"/>
        <w:jc w:val="both"/>
        <w:rPr>
          <w:rFonts w:ascii="Century Gothic" w:eastAsia="Calibri" w:hAnsi="Century Gothic" w:cs="Arial"/>
          <w:color w:val="000000" w:themeColor="text1"/>
        </w:rPr>
      </w:pPr>
      <w:bookmarkStart w:id="2" w:name="_Hlk117498166"/>
      <w:r w:rsidRPr="00443DEB">
        <w:rPr>
          <w:rFonts w:ascii="Century Gothic" w:eastAsia="Calibri" w:hAnsi="Century Gothic" w:cs="Arial"/>
          <w:color w:val="000000" w:themeColor="text1"/>
        </w:rPr>
        <w:t>La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fin de procurar un equilibrio y el cumplimiento de sus principios, entre otros objetivos.</w:t>
      </w:r>
    </w:p>
    <w:p w14:paraId="5D2C0151" w14:textId="77777777" w:rsidR="00080CCB" w:rsidRPr="00443DEB" w:rsidRDefault="00080CCB" w:rsidP="00080CCB">
      <w:pPr>
        <w:spacing w:before="120" w:line="276" w:lineRule="auto"/>
        <w:ind w:firstLine="708"/>
        <w:jc w:val="both"/>
        <w:rPr>
          <w:rFonts w:ascii="Century Gothic" w:eastAsia="Calibri" w:hAnsi="Century Gothic" w:cs="Arial"/>
          <w:color w:val="000000" w:themeColor="text1"/>
        </w:rPr>
      </w:pPr>
      <w:r w:rsidRPr="00443DEB">
        <w:rPr>
          <w:rFonts w:ascii="Century Gothic" w:eastAsia="Calibri" w:hAnsi="Century Gothic"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bookmarkEnd w:id="2"/>
      <w:r w:rsidRPr="00443DEB">
        <w:rPr>
          <w:rStyle w:val="Refdenotaalpie"/>
          <w:rFonts w:ascii="Century Gothic" w:eastAsia="Calibri" w:hAnsi="Century Gothic" w:cs="Arial"/>
          <w:color w:val="000000" w:themeColor="text1"/>
        </w:rPr>
        <w:footnoteReference w:id="2"/>
      </w:r>
      <w:r w:rsidRPr="00443DEB">
        <w:rPr>
          <w:rFonts w:ascii="Century Gothic" w:eastAsia="Calibri" w:hAnsi="Century Gothic" w:cs="Arial"/>
          <w:color w:val="000000" w:themeColor="text1"/>
        </w:rPr>
        <w:t>. La Ley 80 de 1993, en el artículo 24, regula el principio de transparencia, sobre el cual se indican reglas para el contenido del pliego de condiciones:</w:t>
      </w:r>
    </w:p>
    <w:p w14:paraId="0F2D4FE9" w14:textId="5FCEE3C4" w:rsidR="00080CCB" w:rsidRPr="00443DEB" w:rsidRDefault="00EA1F1D" w:rsidP="00717307">
      <w:pPr>
        <w:spacing w:line="240" w:lineRule="auto"/>
        <w:ind w:left="709"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00080CCB" w:rsidRPr="00443DEB">
        <w:rPr>
          <w:rFonts w:ascii="Century Gothic" w:hAnsi="Century Gothic" w:cs="Arial"/>
          <w:color w:val="000000" w:themeColor="text1"/>
          <w:sz w:val="21"/>
          <w:szCs w:val="21"/>
        </w:rPr>
        <w:t>[...]</w:t>
      </w:r>
    </w:p>
    <w:p w14:paraId="585F456E" w14:textId="77777777" w:rsidR="00080CCB" w:rsidRPr="00443DEB" w:rsidRDefault="00080CCB" w:rsidP="00717307">
      <w:pPr>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5o. En los pliegos de condiciones:</w:t>
      </w:r>
    </w:p>
    <w:p w14:paraId="05C79A46" w14:textId="77777777" w:rsidR="00080CCB" w:rsidRPr="00443DEB" w:rsidRDefault="00080CCB" w:rsidP="00717307">
      <w:pPr>
        <w:pStyle w:val="Prrafodelista"/>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a) Se indicarán los requisitos objetivos necesarios para participar en el correspondiente proceso de selección.</w:t>
      </w:r>
    </w:p>
    <w:p w14:paraId="3125C472" w14:textId="77777777" w:rsidR="00080CCB" w:rsidRPr="00443DEB" w:rsidRDefault="00080CCB" w:rsidP="00717307">
      <w:pPr>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b) Se definirán reglas objetivas, justas, claras y completas que permitan la confección de ofrecimientos de la misma índole, aseguren una escogencia objetiva y eviten la declaratoria de desierta de la licitación.</w:t>
      </w:r>
    </w:p>
    <w:p w14:paraId="10EE0D4D" w14:textId="77777777" w:rsidR="00080CCB" w:rsidRPr="00443DEB" w:rsidRDefault="00080CCB" w:rsidP="00717307">
      <w:pPr>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w:t>
      </w:r>
    </w:p>
    <w:p w14:paraId="4CBD05F2" w14:textId="77777777" w:rsidR="00080CCB" w:rsidRPr="00443DEB" w:rsidRDefault="00080CCB" w:rsidP="00717307">
      <w:pPr>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d) No se incluirán condiciones y exigencias de imposible cumplimiento, ni exenciones de la responsabilidad derivada de los datos, informes y documentos que se suministren.</w:t>
      </w:r>
    </w:p>
    <w:p w14:paraId="05D9C099" w14:textId="0C466A82" w:rsidR="00080CCB" w:rsidRPr="00443DEB" w:rsidRDefault="00080CCB" w:rsidP="00717307">
      <w:pPr>
        <w:spacing w:line="240" w:lineRule="auto"/>
        <w:ind w:left="709" w:right="709"/>
        <w:jc w:val="both"/>
        <w:rPr>
          <w:rFonts w:ascii="Century Gothic" w:hAnsi="Century Gothic" w:cs="Arial"/>
          <w:color w:val="000000" w:themeColor="text1"/>
          <w:sz w:val="21"/>
          <w:szCs w:val="21"/>
        </w:rPr>
      </w:pPr>
      <w:r w:rsidRPr="00443DEB">
        <w:rPr>
          <w:rFonts w:ascii="Century Gothic" w:hAnsi="Century Gothic" w:cs="Arial"/>
          <w:color w:val="000000" w:themeColor="text1"/>
          <w:sz w:val="21"/>
          <w:szCs w:val="21"/>
        </w:rPr>
        <w:t xml:space="preserve">e) Se definirán reglas que no induzcan a error a los proponentes y contratistas y que impidan la formulación de ofrecimientos de extensión ilimitada o que dependan de la voluntad exclusiva de la </w:t>
      </w:r>
      <w:r w:rsidR="00717307" w:rsidRPr="00443DEB">
        <w:rPr>
          <w:rFonts w:ascii="Century Gothic" w:hAnsi="Century Gothic" w:cs="Arial"/>
          <w:color w:val="000000" w:themeColor="text1"/>
          <w:sz w:val="21"/>
          <w:szCs w:val="21"/>
        </w:rPr>
        <w:t>entidad. [...]</w:t>
      </w:r>
      <w:r w:rsidR="00334514">
        <w:rPr>
          <w:rFonts w:ascii="Century Gothic" w:hAnsi="Century Gothic" w:cs="Arial"/>
          <w:color w:val="000000" w:themeColor="text1"/>
          <w:sz w:val="21"/>
          <w:szCs w:val="21"/>
        </w:rPr>
        <w:t>”</w:t>
      </w:r>
    </w:p>
    <w:p w14:paraId="5AE93644" w14:textId="209339DB" w:rsidR="00080CCB" w:rsidRPr="00443DEB" w:rsidRDefault="00080CCB" w:rsidP="00080CCB">
      <w:pPr>
        <w:spacing w:line="276" w:lineRule="auto"/>
        <w:ind w:firstLine="708"/>
        <w:jc w:val="both"/>
        <w:rPr>
          <w:rFonts w:ascii="Century Gothic" w:hAnsi="Century Gothic" w:cs="Arial"/>
          <w:color w:val="000000" w:themeColor="text1"/>
          <w:sz w:val="20"/>
          <w:szCs w:val="20"/>
        </w:rPr>
      </w:pPr>
      <w:r w:rsidRPr="00443DEB">
        <w:rPr>
          <w:rFonts w:ascii="Century Gothic" w:eastAsia="Calibri" w:hAnsi="Century Gothic"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443DEB">
        <w:rPr>
          <w:rStyle w:val="Refdenotaalpie"/>
          <w:rFonts w:ascii="Century Gothic" w:eastAsia="Calibri" w:hAnsi="Century Gothic" w:cs="Arial"/>
          <w:color w:val="000000" w:themeColor="text1"/>
        </w:rPr>
        <w:footnoteReference w:id="3"/>
      </w:r>
      <w:r w:rsidRPr="00443DEB">
        <w:rPr>
          <w:rFonts w:ascii="Century Gothic" w:eastAsia="Calibri" w:hAnsi="Century Gothic" w:cs="Arial"/>
          <w:color w:val="000000" w:themeColor="text1"/>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r w:rsidR="00951CD9">
        <w:rPr>
          <w:rFonts w:ascii="Century Gothic" w:eastAsia="Calibri" w:hAnsi="Century Gothic" w:cs="Arial"/>
          <w:color w:val="000000" w:themeColor="text1"/>
        </w:rPr>
        <w:t xml:space="preserve"> de la siguiente forma:</w:t>
      </w:r>
    </w:p>
    <w:p w14:paraId="3A4E1C1F" w14:textId="53183C13" w:rsidR="00080CCB" w:rsidRPr="00443DEB" w:rsidRDefault="00951CD9" w:rsidP="00951CD9">
      <w:pPr>
        <w:spacing w:line="240" w:lineRule="auto"/>
        <w:ind w:left="709"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00080CCB" w:rsidRPr="00443DEB">
        <w:rPr>
          <w:rFonts w:ascii="Century Gothic" w:hAnsi="Century Gothic" w:cs="Arial"/>
          <w:color w:val="000000" w:themeColor="text1"/>
          <w:sz w:val="21"/>
          <w:szCs w:val="21"/>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00080CCB" w:rsidRPr="00443DEB">
        <w:rPr>
          <w:rStyle w:val="Refdenotaalpie"/>
          <w:rFonts w:ascii="Century Gothic" w:hAnsi="Century Gothic" w:cs="Arial"/>
          <w:color w:val="000000" w:themeColor="text1"/>
          <w:sz w:val="21"/>
          <w:szCs w:val="21"/>
        </w:rPr>
        <w:footnoteReference w:id="4"/>
      </w:r>
      <w:r w:rsidR="00080CCB" w:rsidRPr="00443DEB">
        <w:rPr>
          <w:rFonts w:ascii="Century Gothic" w:hAnsi="Century Gothic" w:cs="Arial"/>
          <w:color w:val="000000" w:themeColor="text1"/>
          <w:sz w:val="21"/>
          <w:szCs w:val="21"/>
        </w:rPr>
        <w:t>.</w:t>
      </w:r>
      <w:r>
        <w:rPr>
          <w:rFonts w:ascii="Century Gothic" w:hAnsi="Century Gothic" w:cs="Arial"/>
          <w:color w:val="000000" w:themeColor="text1"/>
          <w:sz w:val="21"/>
          <w:szCs w:val="21"/>
        </w:rPr>
        <w:t>”</w:t>
      </w:r>
    </w:p>
    <w:p w14:paraId="5BEA5CC9" w14:textId="77777777" w:rsidR="00080CCB" w:rsidRPr="00443DEB" w:rsidRDefault="00080CCB" w:rsidP="00080CCB">
      <w:pPr>
        <w:spacing w:after="120" w:line="276" w:lineRule="auto"/>
        <w:ind w:firstLine="709"/>
        <w:jc w:val="both"/>
        <w:rPr>
          <w:rFonts w:ascii="Century Gothic" w:eastAsia="Calibri" w:hAnsi="Century Gothic" w:cs="Arial"/>
          <w:color w:val="000000" w:themeColor="text1"/>
        </w:rPr>
      </w:pPr>
      <w:r w:rsidRPr="00443DEB">
        <w:rPr>
          <w:rFonts w:ascii="Century Gothic" w:eastAsia="Calibri" w:hAnsi="Century Gothic"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443DEB">
        <w:rPr>
          <w:rStyle w:val="Refdenotaalpie"/>
          <w:rFonts w:ascii="Century Gothic" w:eastAsia="Calibri" w:hAnsi="Century Gothic" w:cs="Arial"/>
          <w:color w:val="000000" w:themeColor="text1"/>
        </w:rPr>
        <w:footnoteReference w:id="5"/>
      </w:r>
      <w:r w:rsidRPr="00443DEB">
        <w:rPr>
          <w:rFonts w:ascii="Century Gothic" w:eastAsia="Calibri" w:hAnsi="Century Gothic"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ii) modalidad y criterios de selección, iii) valoración económica del bien, obra o servicio, </w:t>
      </w:r>
      <w:proofErr w:type="spellStart"/>
      <w:r w:rsidRPr="00443DEB">
        <w:rPr>
          <w:rFonts w:ascii="Century Gothic" w:eastAsia="Calibri" w:hAnsi="Century Gothic" w:cs="Arial"/>
          <w:color w:val="000000" w:themeColor="text1"/>
        </w:rPr>
        <w:t>iv</w:t>
      </w:r>
      <w:proofErr w:type="spellEnd"/>
      <w:r w:rsidRPr="00443DEB">
        <w:rPr>
          <w:rFonts w:ascii="Century Gothic" w:eastAsia="Calibri" w:hAnsi="Century Gothic" w:cs="Arial"/>
          <w:color w:val="000000" w:themeColor="text1"/>
        </w:rPr>
        <w:t>) reglas de la presentación y manejo de las ofertas, v) riesgos y garantías, entre otros aspectos del contrato</w:t>
      </w:r>
      <w:r w:rsidRPr="00443DEB">
        <w:rPr>
          <w:rStyle w:val="Refdenotaalpie"/>
          <w:rFonts w:ascii="Century Gothic" w:eastAsia="Calibri" w:hAnsi="Century Gothic" w:cs="Arial"/>
          <w:color w:val="000000" w:themeColor="text1"/>
        </w:rPr>
        <w:footnoteReference w:id="6"/>
      </w:r>
      <w:r w:rsidRPr="00443DEB">
        <w:rPr>
          <w:rFonts w:ascii="Century Gothic" w:eastAsia="Calibri" w:hAnsi="Century Gothic" w:cs="Arial"/>
          <w:color w:val="000000" w:themeColor="text1"/>
        </w:rPr>
        <w:t>.</w:t>
      </w:r>
    </w:p>
    <w:p w14:paraId="48F668FB" w14:textId="46263A61" w:rsidR="00080CCB" w:rsidRPr="00443DEB" w:rsidRDefault="00080CCB" w:rsidP="00080CCB">
      <w:pPr>
        <w:spacing w:line="276" w:lineRule="auto"/>
        <w:ind w:firstLine="709"/>
        <w:jc w:val="both"/>
        <w:rPr>
          <w:rFonts w:ascii="Century Gothic" w:hAnsi="Century Gothic" w:cs="Arial"/>
        </w:rPr>
      </w:pPr>
      <w:r w:rsidRPr="00443DEB">
        <w:rPr>
          <w:rFonts w:ascii="Century Gothic" w:hAnsi="Century Gothic" w:cs="Arial"/>
        </w:rPr>
        <w:t>Conforme a lo anterior,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etapa selección, a las que deberán sujetarse la administración y l</w:t>
      </w:r>
      <w:r w:rsidR="00310E98">
        <w:rPr>
          <w:rFonts w:ascii="Century Gothic" w:hAnsi="Century Gothic" w:cs="Arial"/>
        </w:rPr>
        <w:t>o</w:t>
      </w:r>
      <w:r w:rsidRPr="00443DEB">
        <w:rPr>
          <w:rFonts w:ascii="Century Gothic" w:hAnsi="Century Gothic" w:cs="Arial"/>
        </w:rPr>
        <w:t>s oferentes a efectos de lograr una selección objetiva</w:t>
      </w:r>
      <w:r w:rsidRPr="00443DEB">
        <w:rPr>
          <w:rStyle w:val="Refdenotaalpie"/>
          <w:rFonts w:ascii="Century Gothic" w:hAnsi="Century Gothic" w:cs="Arial"/>
        </w:rPr>
        <w:footnoteReference w:id="7"/>
      </w:r>
      <w:r w:rsidRPr="00443DEB">
        <w:rPr>
          <w:rFonts w:ascii="Century Gothic" w:hAnsi="Century Gothic" w:cs="Arial"/>
        </w:rPr>
        <w:t>.</w:t>
      </w:r>
    </w:p>
    <w:p w14:paraId="3026367B" w14:textId="3645DEAB" w:rsidR="00080CCB" w:rsidRPr="00CB5519" w:rsidRDefault="00CB5519" w:rsidP="00080CCB">
      <w:pPr>
        <w:spacing w:line="276" w:lineRule="auto"/>
        <w:jc w:val="both"/>
        <w:rPr>
          <w:rFonts w:ascii="Century Gothic" w:eastAsia="Calibri" w:hAnsi="Century Gothic" w:cs="Arial"/>
          <w:lang w:val="es-ES"/>
        </w:rPr>
      </w:pPr>
      <w:r>
        <w:rPr>
          <w:rFonts w:ascii="Century Gothic" w:eastAsia="Calibri" w:hAnsi="Century Gothic" w:cs="Arial"/>
          <w:b/>
          <w:bCs/>
          <w:lang w:val="es-ES"/>
        </w:rPr>
        <w:tab/>
      </w:r>
      <w:r>
        <w:rPr>
          <w:rFonts w:ascii="Century Gothic" w:eastAsia="Calibri" w:hAnsi="Century Gothic" w:cs="Arial"/>
          <w:lang w:val="es-ES"/>
        </w:rPr>
        <w:t xml:space="preserve">En ese orden de ideas, </w:t>
      </w:r>
      <w:r w:rsidR="000B12B4">
        <w:rPr>
          <w:rFonts w:ascii="Century Gothic" w:eastAsia="Calibri" w:hAnsi="Century Gothic" w:cs="Arial"/>
          <w:lang w:val="es-ES"/>
        </w:rPr>
        <w:t>el Consejo de Estado</w:t>
      </w:r>
      <w:r w:rsidR="00070A66">
        <w:rPr>
          <w:rStyle w:val="Refdenotaalpie"/>
          <w:rFonts w:ascii="Century Gothic" w:eastAsia="Calibri" w:hAnsi="Century Gothic" w:cs="Arial"/>
          <w:lang w:val="es-ES"/>
        </w:rPr>
        <w:footnoteReference w:id="8"/>
      </w:r>
      <w:r w:rsidR="00030222">
        <w:rPr>
          <w:rFonts w:ascii="Century Gothic" w:eastAsia="Calibri" w:hAnsi="Century Gothic" w:cs="Arial"/>
          <w:lang w:val="es-ES"/>
        </w:rPr>
        <w:t xml:space="preserve"> ha reiterado que el </w:t>
      </w:r>
      <w:r>
        <w:rPr>
          <w:rFonts w:ascii="Century Gothic" w:eastAsia="Calibri" w:hAnsi="Century Gothic" w:cs="Arial"/>
          <w:lang w:val="es-ES"/>
        </w:rPr>
        <w:t xml:space="preserve">pliego de condiciones ostenta una doble naturaleza jurídica, </w:t>
      </w:r>
      <w:r w:rsidR="000B12B4">
        <w:rPr>
          <w:rFonts w:ascii="Century Gothic" w:eastAsia="Calibri" w:hAnsi="Century Gothic" w:cs="Arial"/>
          <w:lang w:val="es-ES"/>
        </w:rPr>
        <w:t>pues,</w:t>
      </w:r>
      <w:r>
        <w:rPr>
          <w:rFonts w:ascii="Century Gothic" w:eastAsia="Calibri" w:hAnsi="Century Gothic" w:cs="Arial"/>
          <w:lang w:val="es-ES"/>
        </w:rPr>
        <w:t xml:space="preserve"> por un lado, </w:t>
      </w:r>
      <w:r w:rsidR="00EF1282">
        <w:rPr>
          <w:rFonts w:ascii="Century Gothic" w:eastAsia="Calibri" w:hAnsi="Century Gothic" w:cs="Arial"/>
          <w:lang w:val="es-ES"/>
        </w:rPr>
        <w:t xml:space="preserve">antes de la </w:t>
      </w:r>
      <w:r w:rsidR="00030222">
        <w:rPr>
          <w:rFonts w:ascii="Century Gothic" w:eastAsia="Calibri" w:hAnsi="Century Gothic" w:cs="Arial"/>
          <w:lang w:val="es-ES"/>
        </w:rPr>
        <w:t>celebración del</w:t>
      </w:r>
      <w:r w:rsidR="00EF1282">
        <w:rPr>
          <w:rFonts w:ascii="Century Gothic" w:eastAsia="Calibri" w:hAnsi="Century Gothic" w:cs="Arial"/>
          <w:lang w:val="es-ES"/>
        </w:rPr>
        <w:t xml:space="preserve"> contrato y de la expedición del acto administrativo de adjudicación se considera como un acto </w:t>
      </w:r>
      <w:r w:rsidR="00030222">
        <w:rPr>
          <w:rFonts w:ascii="Century Gothic" w:eastAsia="Calibri" w:hAnsi="Century Gothic" w:cs="Arial"/>
          <w:lang w:val="es-ES"/>
        </w:rPr>
        <w:t>administrativo</w:t>
      </w:r>
      <w:r w:rsidR="00EF1282">
        <w:rPr>
          <w:rFonts w:ascii="Century Gothic" w:eastAsia="Calibri" w:hAnsi="Century Gothic" w:cs="Arial"/>
          <w:lang w:val="es-ES"/>
        </w:rPr>
        <w:t xml:space="preserve"> de carácter general que rige el desarrollo del proceso de selección</w:t>
      </w:r>
      <w:r w:rsidR="00030222">
        <w:rPr>
          <w:rFonts w:ascii="Century Gothic" w:eastAsia="Calibri" w:hAnsi="Century Gothic" w:cs="Arial"/>
          <w:lang w:val="es-ES"/>
        </w:rPr>
        <w:t>, sin embargo</w:t>
      </w:r>
      <w:r w:rsidR="00EF1282">
        <w:rPr>
          <w:rFonts w:ascii="Century Gothic" w:eastAsia="Calibri" w:hAnsi="Century Gothic" w:cs="Arial"/>
          <w:lang w:val="es-ES"/>
        </w:rPr>
        <w:t xml:space="preserve">, una vez </w:t>
      </w:r>
      <w:r w:rsidR="00070A66">
        <w:rPr>
          <w:rFonts w:ascii="Century Gothic" w:eastAsia="Calibri" w:hAnsi="Century Gothic" w:cs="Arial"/>
          <w:lang w:val="es-ES"/>
        </w:rPr>
        <w:t xml:space="preserve">se </w:t>
      </w:r>
      <w:r w:rsidR="00EF1282">
        <w:rPr>
          <w:rFonts w:ascii="Century Gothic" w:eastAsia="Calibri" w:hAnsi="Century Gothic" w:cs="Arial"/>
          <w:lang w:val="es-ES"/>
        </w:rPr>
        <w:t>celebr</w:t>
      </w:r>
      <w:r w:rsidR="00070A66">
        <w:rPr>
          <w:rFonts w:ascii="Century Gothic" w:eastAsia="Calibri" w:hAnsi="Century Gothic" w:cs="Arial"/>
          <w:lang w:val="es-ES"/>
        </w:rPr>
        <w:t>e</w:t>
      </w:r>
      <w:r w:rsidR="00EF1282">
        <w:rPr>
          <w:rFonts w:ascii="Century Gothic" w:eastAsia="Calibri" w:hAnsi="Century Gothic" w:cs="Arial"/>
          <w:lang w:val="es-ES"/>
        </w:rPr>
        <w:t xml:space="preserve"> el contrato</w:t>
      </w:r>
      <w:r w:rsidR="00B20985">
        <w:rPr>
          <w:rFonts w:ascii="Century Gothic" w:eastAsia="Calibri" w:hAnsi="Century Gothic" w:cs="Arial"/>
          <w:lang w:val="es-ES"/>
        </w:rPr>
        <w:t xml:space="preserve">, el pliego de </w:t>
      </w:r>
      <w:r w:rsidR="00070A66">
        <w:rPr>
          <w:rFonts w:ascii="Century Gothic" w:eastAsia="Calibri" w:hAnsi="Century Gothic" w:cs="Arial"/>
          <w:lang w:val="es-ES"/>
        </w:rPr>
        <w:t>condiciones</w:t>
      </w:r>
      <w:r w:rsidR="00B20985">
        <w:rPr>
          <w:rFonts w:ascii="Century Gothic" w:eastAsia="Calibri" w:hAnsi="Century Gothic" w:cs="Arial"/>
          <w:lang w:val="es-ES"/>
        </w:rPr>
        <w:t xml:space="preserve"> pasa hacer parte del marco jurídico de la relación contractual determinando el contenido y el alcance del negocio jurídico </w:t>
      </w:r>
    </w:p>
    <w:p w14:paraId="4C001CAD" w14:textId="68DE2A2B" w:rsidR="00D155A3" w:rsidRDefault="00CB3574" w:rsidP="00D479B3">
      <w:pPr>
        <w:spacing w:line="276" w:lineRule="auto"/>
        <w:ind w:firstLine="708"/>
        <w:jc w:val="both"/>
        <w:rPr>
          <w:rFonts w:ascii="Century Gothic" w:eastAsia="Batang" w:hAnsi="Century Gothic" w:cs="Arial"/>
          <w:lang w:val="es-MX"/>
        </w:rPr>
      </w:pPr>
      <w:r>
        <w:rPr>
          <w:rFonts w:ascii="Century Gothic" w:eastAsia="Batang" w:hAnsi="Century Gothic" w:cs="Arial"/>
          <w:lang w:val="es-MX"/>
        </w:rPr>
        <w:t xml:space="preserve">Ahora bien, </w:t>
      </w:r>
      <w:r w:rsidR="008C6FA9">
        <w:rPr>
          <w:rFonts w:ascii="Century Gothic" w:eastAsia="Batang" w:hAnsi="Century Gothic" w:cs="Arial"/>
          <w:lang w:val="es-MX"/>
        </w:rPr>
        <w:t xml:space="preserve">de acuerdo con la jurisprudencia de la </w:t>
      </w:r>
      <w:r w:rsidR="00DA112C">
        <w:rPr>
          <w:rFonts w:ascii="Century Gothic" w:eastAsia="Batang" w:hAnsi="Century Gothic" w:cs="Arial"/>
          <w:lang w:val="es-MX"/>
        </w:rPr>
        <w:t>Sección Tercera del Consejo de estado, las reglas de los pliegos de condiciones deben prevalecer sobre los demás documentos del contrato</w:t>
      </w:r>
      <w:r w:rsidR="00EE7B75">
        <w:rPr>
          <w:rFonts w:ascii="Century Gothic" w:eastAsia="Batang" w:hAnsi="Century Gothic" w:cs="Arial"/>
          <w:lang w:val="es-MX"/>
        </w:rPr>
        <w:t xml:space="preserve"> e incluso sobre la minuta, la cual se limita a formalizar el acuerdo de voluntades</w:t>
      </w:r>
      <w:r w:rsidR="00BD09EA">
        <w:rPr>
          <w:rFonts w:ascii="Century Gothic" w:eastAsia="Batang" w:hAnsi="Century Gothic" w:cs="Arial"/>
          <w:lang w:val="es-MX"/>
        </w:rPr>
        <w:t>, por lo tanto,</w:t>
      </w:r>
      <w:r w:rsidR="00E726B3">
        <w:rPr>
          <w:rFonts w:ascii="Century Gothic" w:eastAsia="Batang" w:hAnsi="Century Gothic" w:cs="Arial"/>
          <w:lang w:val="es-MX"/>
        </w:rPr>
        <w:t xml:space="preserve"> ha reiterado que</w:t>
      </w:r>
      <w:r w:rsidR="00BD09EA">
        <w:rPr>
          <w:rFonts w:ascii="Century Gothic" w:eastAsia="Batang" w:hAnsi="Century Gothic" w:cs="Arial"/>
          <w:lang w:val="es-MX"/>
        </w:rPr>
        <w:t xml:space="preserve"> las reglas contenidas en los pliegos de condiciones que adolecen de vacíos o contradicciones deben de </w:t>
      </w:r>
      <w:r w:rsidR="00E726B3">
        <w:rPr>
          <w:rFonts w:ascii="Century Gothic" w:eastAsia="Batang" w:hAnsi="Century Gothic" w:cs="Arial"/>
          <w:lang w:val="es-MX"/>
        </w:rPr>
        <w:t xml:space="preserve">interpretarse </w:t>
      </w:r>
      <w:r w:rsidR="00E726B3" w:rsidRPr="00D4633F">
        <w:rPr>
          <w:rFonts w:ascii="Century Gothic" w:eastAsia="Batang" w:hAnsi="Century Gothic" w:cs="Arial"/>
          <w:i/>
          <w:iCs/>
          <w:lang w:val="es-MX"/>
        </w:rPr>
        <w:t>“con sujeción a los principios generales del derechos, a los de la función administrativa</w:t>
      </w:r>
      <w:r w:rsidR="00D4633F" w:rsidRPr="00D4633F">
        <w:rPr>
          <w:rFonts w:ascii="Century Gothic" w:eastAsia="Batang" w:hAnsi="Century Gothic" w:cs="Arial"/>
          <w:i/>
          <w:iCs/>
          <w:lang w:val="es-MX"/>
        </w:rPr>
        <w:t xml:space="preserve">, a la finalidad del pliego y a </w:t>
      </w:r>
      <w:r w:rsidR="005A21D2" w:rsidRPr="00D4633F">
        <w:rPr>
          <w:rFonts w:ascii="Century Gothic" w:eastAsia="Batang" w:hAnsi="Century Gothic" w:cs="Arial"/>
          <w:i/>
          <w:iCs/>
          <w:lang w:val="es-MX"/>
        </w:rPr>
        <w:t>la</w:t>
      </w:r>
      <w:r w:rsidR="00D4633F" w:rsidRPr="00D4633F">
        <w:rPr>
          <w:rFonts w:ascii="Century Gothic" w:eastAsia="Batang" w:hAnsi="Century Gothic" w:cs="Arial"/>
          <w:i/>
          <w:iCs/>
          <w:lang w:val="es-MX"/>
        </w:rPr>
        <w:t xml:space="preserve"> protección del interés general, de conformidad con lo previsto en el artículo 23 de la Ley 80 de 1993”</w:t>
      </w:r>
      <w:r w:rsidR="00D4633F">
        <w:rPr>
          <w:rFonts w:ascii="Century Gothic" w:eastAsia="Batang" w:hAnsi="Century Gothic" w:cs="Arial"/>
          <w:i/>
          <w:iCs/>
          <w:lang w:val="es-MX"/>
        </w:rPr>
        <w:t>.</w:t>
      </w:r>
      <w:r w:rsidR="00D4633F">
        <w:rPr>
          <w:rStyle w:val="Refdenotaalpie"/>
          <w:rFonts w:ascii="Century Gothic" w:eastAsia="Batang" w:hAnsi="Century Gothic" w:cs="Arial"/>
          <w:i/>
          <w:iCs/>
          <w:lang w:val="es-MX"/>
        </w:rPr>
        <w:footnoteReference w:id="9"/>
      </w:r>
    </w:p>
    <w:p w14:paraId="1D9BD633" w14:textId="4E6C02AD" w:rsidR="00D479B3" w:rsidRPr="00443DEB" w:rsidRDefault="00D479B3" w:rsidP="00D479B3">
      <w:pPr>
        <w:spacing w:line="276" w:lineRule="auto"/>
        <w:ind w:firstLine="708"/>
        <w:jc w:val="both"/>
        <w:rPr>
          <w:rFonts w:ascii="Century Gothic" w:eastAsia="Batang" w:hAnsi="Century Gothic" w:cs="Arial"/>
        </w:rPr>
      </w:pPr>
      <w:r w:rsidRPr="00443DEB">
        <w:rPr>
          <w:rFonts w:ascii="Century Gothic" w:eastAsia="Batang" w:hAnsi="Century Gothic" w:cs="Arial"/>
          <w:lang w:val="es-MX"/>
        </w:rPr>
        <w:t xml:space="preserve">De acuerdo con </w:t>
      </w:r>
      <w:r w:rsidR="005A21D2">
        <w:rPr>
          <w:rFonts w:ascii="Century Gothic" w:eastAsia="Batang" w:hAnsi="Century Gothic" w:cs="Arial"/>
          <w:lang w:val="es-MX"/>
        </w:rPr>
        <w:t>lo an</w:t>
      </w:r>
      <w:r w:rsidR="00302834">
        <w:rPr>
          <w:rFonts w:ascii="Century Gothic" w:eastAsia="Batang" w:hAnsi="Century Gothic" w:cs="Arial"/>
          <w:lang w:val="es-MX"/>
        </w:rPr>
        <w:t>terior</w:t>
      </w:r>
      <w:r w:rsidRPr="00443DEB">
        <w:rPr>
          <w:rFonts w:ascii="Century Gothic" w:eastAsia="Batang" w:hAnsi="Century Gothic" w:cs="Arial"/>
          <w:lang w:val="es-MX"/>
        </w:rPr>
        <w:t xml:space="preserve">, es posible establecer, por ejemplo, que </w:t>
      </w:r>
      <w:r w:rsidRPr="00443DEB">
        <w:rPr>
          <w:rFonts w:ascii="Century Gothic" w:eastAsia="Batang" w:hAnsi="Century Gothic" w:cs="Arial"/>
        </w:rPr>
        <w:t xml:space="preserve">en caso de contradicción entre el contenido establecido en </w:t>
      </w:r>
      <w:r w:rsidR="009849B3">
        <w:rPr>
          <w:rFonts w:ascii="Century Gothic" w:eastAsia="Batang" w:hAnsi="Century Gothic" w:cs="Arial"/>
        </w:rPr>
        <w:t xml:space="preserve">el pliego de condiciones </w:t>
      </w:r>
      <w:r w:rsidRPr="00443DEB">
        <w:rPr>
          <w:rFonts w:ascii="Century Gothic" w:eastAsia="Batang" w:hAnsi="Century Gothic" w:cs="Arial"/>
        </w:rPr>
        <w:t xml:space="preserve">y el incluido por la entidad, proponentes o contratista en los </w:t>
      </w:r>
      <w:r w:rsidR="001E1F0A">
        <w:rPr>
          <w:rFonts w:ascii="Century Gothic" w:eastAsia="Batang" w:hAnsi="Century Gothic" w:cs="Arial"/>
        </w:rPr>
        <w:t xml:space="preserve">demás </w:t>
      </w:r>
      <w:r w:rsidRPr="00443DEB">
        <w:rPr>
          <w:rFonts w:ascii="Century Gothic" w:eastAsia="Batang" w:hAnsi="Century Gothic" w:cs="Arial"/>
        </w:rPr>
        <w:t>documentos del proceso</w:t>
      </w:r>
      <w:r w:rsidR="001E1F0A">
        <w:rPr>
          <w:rFonts w:ascii="Century Gothic" w:eastAsia="Batang" w:hAnsi="Century Gothic" w:cs="Arial"/>
        </w:rPr>
        <w:t xml:space="preserve"> de contratación</w:t>
      </w:r>
      <w:r w:rsidRPr="00443DEB">
        <w:rPr>
          <w:rFonts w:ascii="Century Gothic" w:eastAsia="Batang" w:hAnsi="Century Gothic" w:cs="Arial"/>
        </w:rPr>
        <w:t>, primará lo señalado en</w:t>
      </w:r>
      <w:r w:rsidR="001E1F0A">
        <w:rPr>
          <w:rFonts w:ascii="Century Gothic" w:eastAsia="Batang" w:hAnsi="Century Gothic" w:cs="Arial"/>
        </w:rPr>
        <w:t xml:space="preserve"> el pliego de condiciones</w:t>
      </w:r>
      <w:r w:rsidRPr="00443DEB">
        <w:rPr>
          <w:rFonts w:ascii="Century Gothic" w:eastAsia="Batang" w:hAnsi="Century Gothic" w:cs="Arial"/>
        </w:rPr>
        <w:t xml:space="preserve">. </w:t>
      </w:r>
    </w:p>
    <w:p w14:paraId="319B4B25" w14:textId="77777777" w:rsidR="004552F4" w:rsidRDefault="00F76E9A" w:rsidP="00D479B3">
      <w:pPr>
        <w:spacing w:line="276" w:lineRule="auto"/>
        <w:ind w:firstLine="708"/>
        <w:jc w:val="both"/>
        <w:rPr>
          <w:rFonts w:ascii="Century Gothic" w:eastAsia="Batang" w:hAnsi="Century Gothic" w:cs="Arial"/>
        </w:rPr>
      </w:pPr>
      <w:r>
        <w:rPr>
          <w:rFonts w:ascii="Century Gothic" w:eastAsia="Batang" w:hAnsi="Century Gothic" w:cs="Arial"/>
        </w:rPr>
        <w:t xml:space="preserve">Sin perjuicio de lo anterior, </w:t>
      </w:r>
      <w:r w:rsidRPr="00443DEB">
        <w:rPr>
          <w:rFonts w:ascii="Century Gothic" w:eastAsia="Batang" w:hAnsi="Century Gothic" w:cs="Arial"/>
        </w:rPr>
        <w:t xml:space="preserve">la entidad, proponentes o contratista </w:t>
      </w:r>
      <w:r w:rsidR="00D479B3" w:rsidRPr="00443DEB">
        <w:rPr>
          <w:rFonts w:ascii="Century Gothic" w:eastAsia="Batang" w:hAnsi="Century Gothic" w:cs="Arial"/>
        </w:rPr>
        <w:t>podrá</w:t>
      </w:r>
      <w:r>
        <w:rPr>
          <w:rFonts w:ascii="Century Gothic" w:eastAsia="Batang" w:hAnsi="Century Gothic" w:cs="Arial"/>
        </w:rPr>
        <w:t>n</w:t>
      </w:r>
      <w:r w:rsidR="00D479B3" w:rsidRPr="00443DEB">
        <w:rPr>
          <w:rFonts w:ascii="Century Gothic" w:eastAsia="Batang" w:hAnsi="Century Gothic" w:cs="Arial"/>
        </w:rPr>
        <w:t xml:space="preserve"> acudir, en lo pertinente, a las reglas de interpretación </w:t>
      </w:r>
      <w:r w:rsidR="00D479B3" w:rsidRPr="00443DEB">
        <w:rPr>
          <w:rFonts w:ascii="Century Gothic" w:eastAsia="Batang" w:hAnsi="Century Gothic" w:cs="Arial"/>
          <w:lang w:val="es-MX"/>
        </w:rPr>
        <w:t>objetivas y subjetivas</w:t>
      </w:r>
      <w:r w:rsidR="00D479B3" w:rsidRPr="00443DEB">
        <w:rPr>
          <w:rFonts w:ascii="Century Gothic" w:eastAsia="Batang" w:hAnsi="Century Gothic" w:cs="Arial"/>
          <w:vertAlign w:val="superscript"/>
          <w:lang w:val="es-MX"/>
        </w:rPr>
        <w:footnoteReference w:id="10"/>
      </w:r>
      <w:r w:rsidR="00D479B3" w:rsidRPr="00443DEB">
        <w:rPr>
          <w:rFonts w:ascii="Century Gothic" w:eastAsia="Batang" w:hAnsi="Century Gothic" w:cs="Arial"/>
          <w:lang w:val="es-MX"/>
        </w:rPr>
        <w:t xml:space="preserve"> conforme a los artículos 1618 a 1624 del Código Civil. Las primeras son las siguientes: i) una vez conocida la intención de los contratantes ha de estarse más a ella que a lo literal de las palabras (artículo 1618 del Código Civil); ii) </w:t>
      </w:r>
      <w:r w:rsidR="00D479B3" w:rsidRPr="00443DEB">
        <w:rPr>
          <w:rFonts w:ascii="Century Gothic" w:eastAsia="Batang" w:hAnsi="Century Gothic"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00D479B3" w:rsidRPr="00443DEB">
        <w:rPr>
          <w:rFonts w:ascii="Century Gothic" w:eastAsia="Batang" w:hAnsi="Century Gothic" w:cs="Arial"/>
          <w:i/>
          <w:iCs/>
        </w:rPr>
        <w:t>ibídem</w:t>
      </w:r>
      <w:bookmarkStart w:id="3" w:name="_Hlk96265254"/>
      <w:proofErr w:type="spellEnd"/>
      <w:r w:rsidR="00D479B3" w:rsidRPr="00443DEB">
        <w:rPr>
          <w:rFonts w:ascii="Century Gothic" w:eastAsia="Batang" w:hAnsi="Century Gothic" w:cs="Arial"/>
        </w:rPr>
        <w:t xml:space="preserve">); iii) las cláusulas deben interpretarse unas por otras, dándole a cada una el sentido que más convenga al contrato en su totalidad (artículo 1622, inciso 1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 xml:space="preserve">); </w:t>
      </w:r>
      <w:proofErr w:type="spellStart"/>
      <w:r w:rsidR="00D479B3" w:rsidRPr="00443DEB">
        <w:rPr>
          <w:rFonts w:ascii="Century Gothic" w:eastAsia="Batang" w:hAnsi="Century Gothic" w:cs="Arial"/>
        </w:rPr>
        <w:t>iv</w:t>
      </w:r>
      <w:proofErr w:type="spellEnd"/>
      <w:r w:rsidR="00D479B3" w:rsidRPr="00443DEB">
        <w:rPr>
          <w:rFonts w:ascii="Century Gothic" w:eastAsia="Batang" w:hAnsi="Century Gothic" w:cs="Arial"/>
        </w:rPr>
        <w:t xml:space="preserve">) si en un contrato se expresa un caso para explicar la obligación se entiende que esa mención no es restrictiva sino ejemplificativa (artículo 1623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 xml:space="preserve">); y v) se entiende que las expresiones generales contenidas en el negocio únicamente se aplican a la materia sobre la que se ha contratado (artículo 1619, inciso 2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 xml:space="preserve">). </w:t>
      </w:r>
    </w:p>
    <w:p w14:paraId="7E7534DF" w14:textId="55BC4236" w:rsidR="00D479B3" w:rsidRPr="00443DEB" w:rsidRDefault="004552F4" w:rsidP="00D479B3">
      <w:pPr>
        <w:spacing w:line="276" w:lineRule="auto"/>
        <w:ind w:firstLine="708"/>
        <w:jc w:val="both"/>
        <w:rPr>
          <w:rFonts w:ascii="Century Gothic" w:eastAsia="Batang" w:hAnsi="Century Gothic" w:cs="Arial"/>
          <w:lang w:val="es-MX"/>
        </w:rPr>
      </w:pPr>
      <w:r>
        <w:rPr>
          <w:rFonts w:ascii="Century Gothic" w:eastAsia="Batang" w:hAnsi="Century Gothic" w:cs="Arial"/>
        </w:rPr>
        <w:t>Por su parte, l</w:t>
      </w:r>
      <w:r w:rsidR="00D479B3" w:rsidRPr="00443DEB">
        <w:rPr>
          <w:rFonts w:ascii="Century Gothic" w:eastAsia="Batang" w:hAnsi="Century Gothic" w:cs="Arial"/>
        </w:rPr>
        <w:t xml:space="preserve">as </w:t>
      </w:r>
      <w:r w:rsidR="00643AE0">
        <w:rPr>
          <w:rFonts w:ascii="Century Gothic" w:eastAsia="Batang" w:hAnsi="Century Gothic" w:cs="Arial"/>
        </w:rPr>
        <w:t>reglas subjetivas de interpretación se refieren a las siguientes</w:t>
      </w:r>
      <w:r w:rsidR="00D479B3" w:rsidRPr="00443DEB">
        <w:rPr>
          <w:rFonts w:ascii="Century Gothic" w:eastAsia="Batang" w:hAnsi="Century Gothic" w:cs="Arial"/>
        </w:rPr>
        <w:t xml:space="preserve">: vi) </w:t>
      </w:r>
      <w:r w:rsidR="00D479B3" w:rsidRPr="00443DEB">
        <w:rPr>
          <w:rFonts w:ascii="Century Gothic" w:eastAsia="Batang" w:hAnsi="Century Gothic" w:cs="Arial"/>
          <w:lang w:val="es-MX"/>
        </w:rPr>
        <w:t xml:space="preserve">el sentido en que una cláusula pueda producir algún efecto deberá preferirse a aquel en que no produzca efecto alguno </w:t>
      </w:r>
      <w:r w:rsidR="00D479B3" w:rsidRPr="00443DEB">
        <w:rPr>
          <w:rFonts w:ascii="Century Gothic" w:eastAsia="Batang" w:hAnsi="Century Gothic" w:cs="Arial"/>
        </w:rPr>
        <w:t xml:space="preserve">(artículo 1620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 vii)</w:t>
      </w:r>
      <w:r w:rsidR="00D479B3" w:rsidRPr="00443DEB">
        <w:rPr>
          <w:rFonts w:ascii="Century Gothic" w:eastAsia="Batang" w:hAnsi="Century Gothic" w:cs="Arial"/>
          <w:lang w:val="es-MX"/>
        </w:rPr>
        <w:t xml:space="preserve"> deberá estarse a la interpretación que mejor cuadre con la naturaleza del contrato </w:t>
      </w:r>
      <w:r w:rsidR="00D479B3" w:rsidRPr="00443DEB">
        <w:rPr>
          <w:rFonts w:ascii="Century Gothic" w:eastAsia="Batang" w:hAnsi="Century Gothic" w:cs="Arial"/>
        </w:rPr>
        <w:t xml:space="preserve">(artículo 1621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w:t>
      </w:r>
      <w:r w:rsidR="00D479B3" w:rsidRPr="00443DEB">
        <w:rPr>
          <w:rFonts w:ascii="Century Gothic" w:eastAsia="Batang" w:hAnsi="Century Gothic" w:cs="Arial"/>
          <w:lang w:val="es-MX"/>
        </w:rPr>
        <w:t xml:space="preserve">; </w:t>
      </w:r>
      <w:r w:rsidR="00D479B3" w:rsidRPr="00242004">
        <w:rPr>
          <w:rFonts w:ascii="Century Gothic" w:eastAsia="Batang" w:hAnsi="Century Gothic" w:cs="Arial"/>
          <w:lang w:val="es-MX"/>
        </w:rPr>
        <w:t xml:space="preserve">viii) las cláusulas ambiguas se interpretan a favor del deudor </w:t>
      </w:r>
      <w:r w:rsidR="00D479B3" w:rsidRPr="00242004">
        <w:rPr>
          <w:rFonts w:ascii="Century Gothic" w:eastAsia="Batang" w:hAnsi="Century Gothic" w:cs="Arial"/>
        </w:rPr>
        <w:t xml:space="preserve">(artículo 1624, inciso 1 </w:t>
      </w:r>
      <w:proofErr w:type="spellStart"/>
      <w:r w:rsidR="00D479B3" w:rsidRPr="00242004">
        <w:rPr>
          <w:rFonts w:ascii="Century Gothic" w:eastAsia="Batang" w:hAnsi="Century Gothic" w:cs="Arial"/>
        </w:rPr>
        <w:t>ibídem</w:t>
      </w:r>
      <w:proofErr w:type="spellEnd"/>
      <w:r w:rsidR="00D479B3" w:rsidRPr="00443DEB">
        <w:rPr>
          <w:rFonts w:ascii="Century Gothic" w:eastAsia="Batang" w:hAnsi="Century Gothic" w:cs="Arial"/>
        </w:rPr>
        <w:t xml:space="preserve">); y </w:t>
      </w:r>
      <w:proofErr w:type="spellStart"/>
      <w:r w:rsidR="00D479B3" w:rsidRPr="00443DEB">
        <w:rPr>
          <w:rFonts w:ascii="Century Gothic" w:eastAsia="Batang" w:hAnsi="Century Gothic" w:cs="Arial"/>
        </w:rPr>
        <w:t>ix</w:t>
      </w:r>
      <w:proofErr w:type="spellEnd"/>
      <w:r w:rsidR="00D479B3" w:rsidRPr="00242004">
        <w:rPr>
          <w:rFonts w:ascii="Century Gothic" w:eastAsia="Batang" w:hAnsi="Century Gothic" w:cs="Arial"/>
          <w:i/>
          <w:iCs/>
        </w:rPr>
        <w:t>)</w:t>
      </w:r>
      <w:r w:rsidR="00D479B3" w:rsidRPr="00242004">
        <w:rPr>
          <w:rFonts w:ascii="Century Gothic" w:eastAsia="Batang" w:hAnsi="Century Gothic" w:cs="Arial"/>
          <w:i/>
          <w:iCs/>
          <w:lang w:val="es-MX"/>
        </w:rPr>
        <w:t xml:space="preserve"> las cláusulas oscuras que hayan sido extendidas o dictadas por una parte se interpretarán contra ella si la ambigüedad proviene de una explicación que ésta ha debido dar</w:t>
      </w:r>
      <w:r w:rsidR="00D479B3" w:rsidRPr="00443DEB">
        <w:rPr>
          <w:rFonts w:ascii="Century Gothic" w:eastAsia="Batang" w:hAnsi="Century Gothic" w:cs="Arial"/>
          <w:lang w:val="es-MX"/>
        </w:rPr>
        <w:t xml:space="preserve"> </w:t>
      </w:r>
      <w:r w:rsidR="00D479B3" w:rsidRPr="00443DEB">
        <w:rPr>
          <w:rFonts w:ascii="Century Gothic" w:eastAsia="Batang" w:hAnsi="Century Gothic" w:cs="Arial"/>
        </w:rPr>
        <w:t xml:space="preserve">(artículo 1624, inciso 2 </w:t>
      </w:r>
      <w:proofErr w:type="spellStart"/>
      <w:r w:rsidR="00D479B3" w:rsidRPr="00443DEB">
        <w:rPr>
          <w:rFonts w:ascii="Century Gothic" w:eastAsia="Batang" w:hAnsi="Century Gothic" w:cs="Arial"/>
          <w:i/>
          <w:iCs/>
        </w:rPr>
        <w:t>ibídem</w:t>
      </w:r>
      <w:proofErr w:type="spellEnd"/>
      <w:r w:rsidR="00D479B3" w:rsidRPr="00443DEB">
        <w:rPr>
          <w:rFonts w:ascii="Century Gothic" w:eastAsia="Batang" w:hAnsi="Century Gothic" w:cs="Arial"/>
        </w:rPr>
        <w:t>)</w:t>
      </w:r>
      <w:r w:rsidR="00D479B3" w:rsidRPr="00443DEB">
        <w:rPr>
          <w:rFonts w:ascii="Century Gothic" w:eastAsia="Batang" w:hAnsi="Century Gothic" w:cs="Arial"/>
          <w:lang w:val="es-MX"/>
        </w:rPr>
        <w:t xml:space="preserve">. </w:t>
      </w:r>
      <w:bookmarkEnd w:id="3"/>
    </w:p>
    <w:p w14:paraId="717A40C0" w14:textId="77777777" w:rsidR="00D479B3" w:rsidRPr="00443DEB" w:rsidRDefault="00D479B3" w:rsidP="00D479B3">
      <w:pPr>
        <w:spacing w:line="276" w:lineRule="auto"/>
        <w:ind w:firstLine="708"/>
        <w:jc w:val="both"/>
        <w:rPr>
          <w:rFonts w:ascii="Century Gothic" w:eastAsia="Batang" w:hAnsi="Century Gothic" w:cs="Arial"/>
          <w:lang w:val="es-MX"/>
        </w:rPr>
      </w:pPr>
    </w:p>
    <w:p w14:paraId="7A12FBC2" w14:textId="77777777" w:rsidR="00D479B3" w:rsidRPr="00443DEB" w:rsidRDefault="00D479B3" w:rsidP="00D479B3">
      <w:pPr>
        <w:spacing w:line="276" w:lineRule="auto"/>
        <w:ind w:firstLine="708"/>
        <w:jc w:val="both"/>
        <w:rPr>
          <w:rFonts w:ascii="Century Gothic" w:eastAsia="Batang" w:hAnsi="Century Gothic" w:cs="Arial"/>
          <w:lang w:val="es-MX"/>
        </w:rPr>
      </w:pPr>
      <w:r w:rsidRPr="00443DEB">
        <w:rPr>
          <w:rFonts w:ascii="Century Gothic" w:eastAsia="Batang" w:hAnsi="Century Gothic" w:cs="Arial"/>
        </w:rPr>
        <w:t xml:space="preserve">Sin embargo, </w:t>
      </w:r>
      <w:bookmarkStart w:id="4" w:name="_Hlk96265891"/>
      <w:r w:rsidRPr="00443DEB">
        <w:rPr>
          <w:rFonts w:ascii="Century Gothic" w:eastAsia="Batang" w:hAnsi="Century Gothic"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443DEB">
        <w:rPr>
          <w:rFonts w:ascii="Century Gothic" w:eastAsia="Batang" w:hAnsi="Century Gothic"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443DEB">
        <w:rPr>
          <w:rFonts w:ascii="Century Gothic" w:eastAsia="Batang" w:hAnsi="Century Gothic" w:cs="Arial"/>
          <w:i/>
          <w:iCs/>
          <w:lang w:val="es-MX"/>
        </w:rPr>
        <w:t xml:space="preserve">ex ante </w:t>
      </w:r>
      <w:r w:rsidRPr="00443DEB">
        <w:rPr>
          <w:rFonts w:ascii="Century Gothic" w:eastAsia="Batang" w:hAnsi="Century Gothic" w:cs="Arial"/>
          <w:lang w:val="es-MX"/>
        </w:rPr>
        <w:t>la validez o prevalencia jurídica de los documentos contractuales, pues estos deben valorarse integralmente, de acuerdo con las reglas anteriormente expuestas</w:t>
      </w:r>
      <w:bookmarkEnd w:id="4"/>
      <w:r w:rsidRPr="00443DEB">
        <w:rPr>
          <w:rFonts w:ascii="Century Gothic" w:eastAsia="Batang" w:hAnsi="Century Gothic" w:cs="Arial"/>
          <w:lang w:val="es-MX"/>
        </w:rPr>
        <w:t xml:space="preserve"> </w:t>
      </w:r>
      <w:r w:rsidRPr="00443DEB">
        <w:rPr>
          <w:rFonts w:ascii="Century Gothic" w:eastAsia="Calibri" w:hAnsi="Century Gothic" w:cs="Arial"/>
          <w:lang w:val="es-MX"/>
        </w:rPr>
        <w:t>y atendiendo a las circunstancias adicionales de cada proceso</w:t>
      </w:r>
      <w:r w:rsidRPr="00443DEB">
        <w:rPr>
          <w:rFonts w:ascii="Century Gothic" w:eastAsia="Batang" w:hAnsi="Century Gothic" w:cs="Arial"/>
          <w:vertAlign w:val="superscript"/>
          <w:lang w:val="es-MX"/>
        </w:rPr>
        <w:footnoteReference w:id="11"/>
      </w:r>
      <w:r w:rsidRPr="00443DEB">
        <w:rPr>
          <w:rFonts w:ascii="Century Gothic" w:eastAsia="Batang" w:hAnsi="Century Gothic" w:cs="Arial"/>
          <w:lang w:val="es-MX"/>
        </w:rPr>
        <w:t>.</w:t>
      </w:r>
    </w:p>
    <w:p w14:paraId="63F55F0A" w14:textId="470655CD" w:rsidR="00CD0CEF" w:rsidRPr="00443DEB" w:rsidRDefault="00D479B3" w:rsidP="006C293D">
      <w:pPr>
        <w:spacing w:line="276" w:lineRule="auto"/>
        <w:ind w:firstLine="708"/>
        <w:jc w:val="both"/>
        <w:rPr>
          <w:rFonts w:ascii="Century Gothic" w:eastAsia="Calibri" w:hAnsi="Century Gothic" w:cs="Arial"/>
          <w:b/>
          <w:bCs/>
          <w:lang w:val="es-ES"/>
        </w:rPr>
      </w:pPr>
      <w:r w:rsidRPr="00443DEB">
        <w:rPr>
          <w:rFonts w:ascii="Century Gothic" w:eastAsia="Calibri" w:hAnsi="Century Gothic" w:cs="Arial"/>
          <w:lang w:val="es-MX"/>
        </w:rPr>
        <w:t>Así las cosas, ante una contradicción entre la información contemplada en</w:t>
      </w:r>
      <w:r w:rsidRPr="00443DEB">
        <w:rPr>
          <w:rFonts w:ascii="Century Gothic" w:eastAsia="Calibri" w:hAnsi="Century Gothic" w:cs="Arial"/>
          <w:color w:val="000000"/>
          <w:lang w:val="es-ES" w:bidi="es-ES"/>
        </w:rPr>
        <w:t xml:space="preserve"> </w:t>
      </w:r>
      <w:r w:rsidRPr="00443DEB">
        <w:rPr>
          <w:rFonts w:ascii="Century Gothic" w:eastAsia="Calibri" w:hAnsi="Century Gothic" w:cs="Arial"/>
          <w:color w:val="000000"/>
          <w:lang w:val="es-MX"/>
        </w:rPr>
        <w:t xml:space="preserve">la información suministrada por la Entidad </w:t>
      </w:r>
      <w:r w:rsidR="000F7D55">
        <w:rPr>
          <w:rFonts w:ascii="Century Gothic" w:eastAsia="Calibri" w:hAnsi="Century Gothic" w:cs="Arial"/>
          <w:color w:val="000000"/>
          <w:lang w:val="es-MX"/>
        </w:rPr>
        <w:t xml:space="preserve">en el formulario de SECOP II </w:t>
      </w:r>
      <w:r w:rsidRPr="00443DEB">
        <w:rPr>
          <w:rFonts w:ascii="Century Gothic" w:eastAsia="Calibri" w:hAnsi="Century Gothic" w:cs="Arial"/>
          <w:color w:val="000000"/>
          <w:lang w:val="es-MX"/>
        </w:rPr>
        <w:t xml:space="preserve">o alguna de las respuestas a las observaciones presentadas en el curso del proceso </w:t>
      </w:r>
      <w:r w:rsidRPr="00443DEB">
        <w:rPr>
          <w:rFonts w:ascii="Century Gothic" w:eastAsia="Calibri" w:hAnsi="Century Gothic" w:cs="Arial"/>
          <w:lang w:val="es-MX"/>
        </w:rPr>
        <w:t xml:space="preserve">y la información contenida en el </w:t>
      </w:r>
      <w:r w:rsidR="000F7D55">
        <w:rPr>
          <w:rFonts w:ascii="Century Gothic" w:eastAsia="Calibri" w:hAnsi="Century Gothic" w:cs="Arial"/>
          <w:lang w:val="es-MX"/>
        </w:rPr>
        <w:t>respectivo pliego de condiciones</w:t>
      </w:r>
      <w:r w:rsidRPr="00443DEB">
        <w:rPr>
          <w:rFonts w:ascii="Century Gothic" w:eastAsia="Calibri" w:hAnsi="Century Gothic" w:cs="Arial"/>
          <w:lang w:val="es-MX"/>
        </w:rPr>
        <w:t xml:space="preserve">, se analizará las circunstancias en concreto de cara a los principios de la contratación estatal, de manera que la entidad adoptará la decisión que más se ajuste a la finalidad del proceso de contratación teniendo en cuenta las pautas interpretativas </w:t>
      </w:r>
      <w:r w:rsidR="006C293D">
        <w:rPr>
          <w:rFonts w:ascii="Century Gothic" w:eastAsia="Calibri" w:hAnsi="Century Gothic" w:cs="Arial"/>
          <w:lang w:val="es-MX"/>
        </w:rPr>
        <w:t>expuestas previamente</w:t>
      </w:r>
      <w:r w:rsidR="00D35126">
        <w:rPr>
          <w:rFonts w:ascii="Century Gothic" w:eastAsia="Calibri" w:hAnsi="Century Gothic" w:cs="Arial"/>
          <w:lang w:val="es-MX"/>
        </w:rPr>
        <w:t xml:space="preserve">, resaltando que aquellas disposiciones o situaciones </w:t>
      </w:r>
      <w:r w:rsidR="00D35126" w:rsidRPr="00D35126">
        <w:rPr>
          <w:rFonts w:ascii="Century Gothic" w:eastAsia="Batang" w:hAnsi="Century Gothic" w:cs="Arial"/>
        </w:rPr>
        <w:t xml:space="preserve">oscuras que hayan sido extendidas o dictadas por una parte se interpretarán contra ella si la ambigüedad proviene de una explicación que ésta ha debido dar </w:t>
      </w:r>
      <w:r w:rsidR="00513CC1">
        <w:rPr>
          <w:rFonts w:ascii="Century Gothic" w:eastAsia="Batang" w:hAnsi="Century Gothic" w:cs="Arial"/>
        </w:rPr>
        <w:t xml:space="preserve">de conformidad con el </w:t>
      </w:r>
      <w:r w:rsidR="00D35126" w:rsidRPr="00D35126">
        <w:rPr>
          <w:rFonts w:ascii="Century Gothic" w:eastAsia="Batang" w:hAnsi="Century Gothic" w:cs="Arial"/>
        </w:rPr>
        <w:t>artículo 1624</w:t>
      </w:r>
      <w:r w:rsidR="00513CC1">
        <w:rPr>
          <w:rFonts w:ascii="Century Gothic" w:eastAsia="Batang" w:hAnsi="Century Gothic" w:cs="Arial"/>
        </w:rPr>
        <w:t xml:space="preserve"> del Código Civil</w:t>
      </w:r>
      <w:r w:rsidR="007B25A6">
        <w:rPr>
          <w:rFonts w:ascii="Century Gothic" w:eastAsia="Batang" w:hAnsi="Century Gothic" w:cs="Arial"/>
        </w:rPr>
        <w:t xml:space="preserve">, en ese sentido, dichas contradicciones </w:t>
      </w:r>
      <w:r w:rsidR="00BF6F41">
        <w:rPr>
          <w:rFonts w:ascii="Century Gothic" w:eastAsia="Batang" w:hAnsi="Century Gothic" w:cs="Arial"/>
        </w:rPr>
        <w:t>o ambigüedades no pueden afectar a los proponentes o contratistas en el ejercicio de sus derechos.</w:t>
      </w:r>
      <w:r w:rsidR="00513CC1">
        <w:rPr>
          <w:rFonts w:ascii="Century Gothic" w:eastAsia="Batang" w:hAnsi="Century Gothic" w:cs="Arial"/>
        </w:rPr>
        <w:t xml:space="preserve"> </w:t>
      </w:r>
    </w:p>
    <w:p w14:paraId="4504E998" w14:textId="14340B12" w:rsidR="00080CCB" w:rsidRPr="00443DEB" w:rsidRDefault="00E51532" w:rsidP="00080CCB">
      <w:pPr>
        <w:pStyle w:val="xmsonospacing"/>
        <w:spacing w:before="0" w:beforeAutospacing="0" w:after="0" w:afterAutospacing="0" w:line="276" w:lineRule="auto"/>
        <w:jc w:val="both"/>
        <w:rPr>
          <w:rFonts w:ascii="Century Gothic" w:hAnsi="Century Gothic" w:cs="Arial"/>
          <w:b/>
          <w:bCs/>
          <w:color w:val="000000"/>
          <w:sz w:val="22"/>
          <w:szCs w:val="22"/>
          <w:bdr w:val="none" w:sz="0" w:space="0" w:color="auto" w:frame="1"/>
          <w:shd w:val="clear" w:color="auto" w:fill="FFFFFF"/>
        </w:rPr>
      </w:pPr>
      <w:r w:rsidRPr="00443DEB">
        <w:rPr>
          <w:rFonts w:ascii="Century Gothic" w:eastAsia="Calibri" w:hAnsi="Century Gothic" w:cs="Arial"/>
          <w:b/>
          <w:bCs/>
          <w:sz w:val="22"/>
          <w:lang w:val="es-ES"/>
        </w:rPr>
        <w:t xml:space="preserve">2.2. </w:t>
      </w:r>
      <w:r w:rsidR="00080CCB" w:rsidRPr="00443DEB">
        <w:rPr>
          <w:rFonts w:ascii="Century Gothic" w:eastAsia="Calibri" w:hAnsi="Century Gothic" w:cs="Arial"/>
          <w:b/>
          <w:bCs/>
          <w:sz w:val="22"/>
          <w:lang w:val="es-ES"/>
        </w:rPr>
        <w:t xml:space="preserve"> </w:t>
      </w:r>
      <w:r w:rsidRPr="00443DEB">
        <w:rPr>
          <w:rFonts w:ascii="Century Gothic" w:eastAsia="Calibri" w:hAnsi="Century Gothic" w:cs="Arial"/>
          <w:b/>
          <w:bCs/>
          <w:sz w:val="22"/>
        </w:rPr>
        <w:t>Pliegos de condiciones electrónicos en el SECOP II</w:t>
      </w:r>
    </w:p>
    <w:p w14:paraId="68824F0C" w14:textId="77777777" w:rsidR="00080CCB" w:rsidRPr="00443DEB" w:rsidRDefault="00080CCB" w:rsidP="00080CCB">
      <w:pPr>
        <w:pStyle w:val="xmsonospacing"/>
        <w:spacing w:before="0" w:beforeAutospacing="0" w:after="0" w:afterAutospacing="0"/>
        <w:jc w:val="both"/>
        <w:rPr>
          <w:rFonts w:ascii="Century Gothic" w:hAnsi="Century Gothic" w:cs="Arial"/>
          <w:b/>
          <w:bCs/>
          <w:color w:val="000000"/>
          <w:sz w:val="22"/>
          <w:szCs w:val="22"/>
          <w:bdr w:val="none" w:sz="0" w:space="0" w:color="auto" w:frame="1"/>
          <w:shd w:val="clear" w:color="auto" w:fill="FFFFFF"/>
        </w:rPr>
      </w:pPr>
    </w:p>
    <w:p w14:paraId="7625998F" w14:textId="7374A9E2" w:rsidR="0018114D" w:rsidRDefault="00080CCB" w:rsidP="0018114D">
      <w:pPr>
        <w:pStyle w:val="xmsonospacing"/>
        <w:spacing w:before="0" w:beforeAutospacing="0" w:after="240" w:afterAutospacing="0" w:line="276" w:lineRule="auto"/>
        <w:jc w:val="both"/>
        <w:rPr>
          <w:rFonts w:ascii="Century Gothic" w:hAnsi="Century Gothic" w:cs="Arial"/>
          <w:color w:val="000000"/>
          <w:sz w:val="22"/>
          <w:szCs w:val="22"/>
          <w:bdr w:val="none" w:sz="0" w:space="0" w:color="auto" w:frame="1"/>
          <w:shd w:val="clear" w:color="auto" w:fill="FFFFFF"/>
        </w:rPr>
      </w:pPr>
      <w:r w:rsidRPr="00443DEB">
        <w:rPr>
          <w:rFonts w:ascii="Century Gothic" w:hAnsi="Century Gothic" w:cs="Arial"/>
          <w:color w:val="000000"/>
          <w:sz w:val="22"/>
          <w:szCs w:val="22"/>
          <w:bdr w:val="none" w:sz="0" w:space="0" w:color="auto" w:frame="1"/>
          <w:shd w:val="clear" w:color="auto" w:fill="FFFFFF"/>
        </w:rPr>
        <w:t xml:space="preserve">Tradicionalmente, el pliego de condiciones es un documento escrito en medio físico o digital, que, como los demás documentos del proceso de contratación, se expide y luego se publica en el </w:t>
      </w:r>
      <w:r w:rsidR="003C497B">
        <w:rPr>
          <w:rFonts w:ascii="Century Gothic" w:hAnsi="Century Gothic" w:cs="Arial"/>
          <w:color w:val="000000"/>
          <w:sz w:val="22"/>
          <w:szCs w:val="22"/>
          <w:bdr w:val="none" w:sz="0" w:space="0" w:color="auto" w:frame="1"/>
          <w:shd w:val="clear" w:color="auto" w:fill="FFFFFF"/>
        </w:rPr>
        <w:t xml:space="preserve">Sistema de Compra Pública </w:t>
      </w:r>
      <w:r w:rsidR="0018114D">
        <w:rPr>
          <w:rFonts w:ascii="Century Gothic" w:hAnsi="Century Gothic" w:cs="Arial"/>
          <w:color w:val="000000"/>
          <w:sz w:val="22"/>
          <w:szCs w:val="22"/>
          <w:bdr w:val="none" w:sz="0" w:space="0" w:color="auto" w:frame="1"/>
          <w:shd w:val="clear" w:color="auto" w:fill="FFFFFF"/>
        </w:rPr>
        <w:t xml:space="preserve">– </w:t>
      </w:r>
      <w:r w:rsidRPr="00443DEB">
        <w:rPr>
          <w:rFonts w:ascii="Century Gothic" w:hAnsi="Century Gothic" w:cs="Arial"/>
          <w:color w:val="000000"/>
          <w:sz w:val="22"/>
          <w:szCs w:val="22"/>
          <w:bdr w:val="none" w:sz="0" w:space="0" w:color="auto" w:frame="1"/>
          <w:shd w:val="clear" w:color="auto" w:fill="FFFFFF"/>
        </w:rPr>
        <w:t>SECOP</w:t>
      </w:r>
      <w:r w:rsidR="00AF4FE4">
        <w:rPr>
          <w:rFonts w:ascii="Century Gothic" w:hAnsi="Century Gothic" w:cs="Arial"/>
          <w:color w:val="000000"/>
          <w:sz w:val="22"/>
          <w:szCs w:val="22"/>
          <w:bdr w:val="none" w:sz="0" w:space="0" w:color="auto" w:frame="1"/>
          <w:shd w:val="clear" w:color="auto" w:fill="FFFFFF"/>
        </w:rPr>
        <w:t xml:space="preserve"> I</w:t>
      </w:r>
      <w:r w:rsidR="0018114D">
        <w:rPr>
          <w:rFonts w:ascii="Century Gothic" w:hAnsi="Century Gothic" w:cs="Arial"/>
          <w:color w:val="000000"/>
          <w:sz w:val="22"/>
          <w:szCs w:val="22"/>
          <w:bdr w:val="none" w:sz="0" w:space="0" w:color="auto" w:frame="1"/>
          <w:shd w:val="clear" w:color="auto" w:fill="FFFFFF"/>
        </w:rPr>
        <w:t>,</w:t>
      </w:r>
      <w:r w:rsidRPr="00443DEB">
        <w:rPr>
          <w:rFonts w:ascii="Century Gothic" w:hAnsi="Century Gothic" w:cs="Arial"/>
          <w:color w:val="000000"/>
          <w:sz w:val="22"/>
          <w:szCs w:val="22"/>
          <w:bdr w:val="none" w:sz="0" w:space="0" w:color="auto" w:frame="1"/>
          <w:shd w:val="clear" w:color="auto" w:fill="FFFFFF"/>
        </w:rPr>
        <w:t xml:space="preserve"> en el término dispuesto en el artículo 2.2.1.1.1.7.1 del Decreto 1082 de 2015</w:t>
      </w:r>
      <w:r w:rsidRPr="00443DEB">
        <w:rPr>
          <w:rStyle w:val="Refdenotaalpie"/>
          <w:rFonts w:ascii="Century Gothic" w:hAnsi="Century Gothic" w:cs="Arial"/>
          <w:color w:val="000000"/>
          <w:sz w:val="22"/>
          <w:szCs w:val="22"/>
          <w:bdr w:val="none" w:sz="0" w:space="0" w:color="auto" w:frame="1"/>
          <w:shd w:val="clear" w:color="auto" w:fill="FFFFFF"/>
        </w:rPr>
        <w:footnoteReference w:id="12"/>
      </w:r>
      <w:r w:rsidRPr="00443DEB">
        <w:rPr>
          <w:rFonts w:ascii="Century Gothic" w:hAnsi="Century Gothic" w:cs="Arial"/>
          <w:color w:val="000000"/>
          <w:sz w:val="22"/>
          <w:szCs w:val="22"/>
          <w:bdr w:val="none" w:sz="0" w:space="0" w:color="auto" w:frame="1"/>
          <w:shd w:val="clear" w:color="auto" w:fill="FFFFFF"/>
        </w:rPr>
        <w:t>. De esta manera, el pliego de condiciones se produce por fuera de la plataforma y luego se car</w:t>
      </w:r>
      <w:r w:rsidR="0018114D">
        <w:rPr>
          <w:rFonts w:ascii="Century Gothic" w:hAnsi="Century Gothic" w:cs="Arial"/>
          <w:color w:val="000000"/>
          <w:sz w:val="22"/>
          <w:szCs w:val="22"/>
          <w:bdr w:val="none" w:sz="0" w:space="0" w:color="auto" w:frame="1"/>
          <w:shd w:val="clear" w:color="auto" w:fill="FFFFFF"/>
        </w:rPr>
        <w:t>g</w:t>
      </w:r>
      <w:r w:rsidRPr="00443DEB">
        <w:rPr>
          <w:rFonts w:ascii="Century Gothic" w:hAnsi="Century Gothic" w:cs="Arial"/>
          <w:color w:val="000000"/>
          <w:sz w:val="22"/>
          <w:szCs w:val="22"/>
          <w:bdr w:val="none" w:sz="0" w:space="0" w:color="auto" w:frame="1"/>
          <w:shd w:val="clear" w:color="auto" w:fill="FFFFFF"/>
        </w:rPr>
        <w:t xml:space="preserve">a para efectos de su publicidad. </w:t>
      </w:r>
    </w:p>
    <w:p w14:paraId="2596EA3A" w14:textId="3328805E" w:rsidR="00080CCB" w:rsidRPr="0018114D" w:rsidRDefault="00080CCB" w:rsidP="0018114D">
      <w:pPr>
        <w:pStyle w:val="xmsonospacing"/>
        <w:spacing w:before="0" w:beforeAutospacing="0" w:after="240" w:afterAutospacing="0" w:line="276" w:lineRule="auto"/>
        <w:ind w:firstLine="708"/>
        <w:jc w:val="both"/>
        <w:rPr>
          <w:rFonts w:ascii="Century Gothic" w:hAnsi="Century Gothic" w:cs="Arial"/>
          <w:color w:val="000000"/>
          <w:sz w:val="22"/>
          <w:szCs w:val="22"/>
          <w:bdr w:val="none" w:sz="0" w:space="0" w:color="auto" w:frame="1"/>
          <w:shd w:val="clear" w:color="auto" w:fill="FFFFFF"/>
        </w:rPr>
      </w:pPr>
      <w:r w:rsidRPr="00443DEB">
        <w:rPr>
          <w:rFonts w:ascii="Century Gothic" w:hAnsi="Century Gothic" w:cs="Arial"/>
          <w:color w:val="000000"/>
          <w:sz w:val="22"/>
          <w:szCs w:val="22"/>
          <w:bdr w:val="none" w:sz="0" w:space="0" w:color="auto" w:frame="1"/>
          <w:shd w:val="clear" w:color="auto" w:fill="FFFFFF"/>
        </w:rPr>
        <w:t xml:space="preserve">Lo anterior a diferencia de </w:t>
      </w:r>
      <w:bookmarkStart w:id="5" w:name="_Hlk117498261"/>
      <w:r w:rsidRPr="00443DEB">
        <w:rPr>
          <w:rFonts w:ascii="Century Gothic" w:hAnsi="Century Gothic" w:cs="Arial"/>
          <w:color w:val="000000"/>
          <w:sz w:val="22"/>
          <w:szCs w:val="22"/>
          <w:bdr w:val="none" w:sz="0" w:space="0" w:color="auto" w:frame="1"/>
          <w:shd w:val="clear" w:color="auto" w:fill="FFFFFF"/>
        </w:rPr>
        <w:t xml:space="preserve">los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w:t>
      </w:r>
      <w:r w:rsidRPr="00443DEB">
        <w:rPr>
          <w:rFonts w:ascii="Century Gothic" w:eastAsia="Calibri" w:hAnsi="Century Gothic" w:cs="Arial"/>
          <w:sz w:val="22"/>
          <w:lang w:val="es-ES"/>
        </w:rPr>
        <w:t>está compuesto por: i) formulario y ii) documentos anexos que cargue la entidad. Después de elegir la modalidad de selección</w:t>
      </w:r>
      <w:r w:rsidR="00A87B24">
        <w:rPr>
          <w:rFonts w:ascii="Century Gothic" w:eastAsia="Calibri" w:hAnsi="Century Gothic" w:cs="Arial"/>
          <w:sz w:val="22"/>
          <w:lang w:val="es-ES"/>
        </w:rPr>
        <w:t xml:space="preserve"> en</w:t>
      </w:r>
      <w:r w:rsidRPr="00443DEB">
        <w:rPr>
          <w:rFonts w:ascii="Century Gothic" w:eastAsia="Calibri" w:hAnsi="Century Gothic" w:cs="Arial"/>
          <w:sz w:val="22"/>
          <w:lang w:val="es-ES"/>
        </w:rPr>
        <w:t xml:space="preserve"> el SECOP II la entidad crea el expediente electrónico del procedimiento y habilita la creación del pliego </w:t>
      </w:r>
      <w:r w:rsidR="00F81C63" w:rsidRPr="00443DEB">
        <w:rPr>
          <w:rFonts w:ascii="Century Gothic" w:eastAsia="Calibri" w:hAnsi="Century Gothic" w:cs="Arial"/>
          <w:sz w:val="22"/>
          <w:lang w:val="es-ES"/>
        </w:rPr>
        <w:t>borrador</w:t>
      </w:r>
      <w:r w:rsidRPr="00443DEB">
        <w:rPr>
          <w:rFonts w:ascii="Century Gothic" w:eastAsia="Calibri" w:hAnsi="Century Gothic" w:cs="Arial"/>
          <w:sz w:val="22"/>
          <w:lang w:val="es-ES"/>
        </w:rPr>
        <w:t xml:space="preserve"> electrónico. Este pliego electrónico es un formulario con seis secciones: i) información general, ii) configuración, iii) cuestionario, </w:t>
      </w:r>
      <w:proofErr w:type="spellStart"/>
      <w:r w:rsidRPr="00443DEB">
        <w:rPr>
          <w:rFonts w:ascii="Century Gothic" w:eastAsia="Calibri" w:hAnsi="Century Gothic" w:cs="Arial"/>
          <w:sz w:val="22"/>
          <w:lang w:val="es-ES"/>
        </w:rPr>
        <w:t>iv</w:t>
      </w:r>
      <w:proofErr w:type="spellEnd"/>
      <w:r w:rsidRPr="00443DEB">
        <w:rPr>
          <w:rFonts w:ascii="Century Gothic" w:eastAsia="Calibri" w:hAnsi="Century Gothic" w:cs="Arial"/>
          <w:sz w:val="22"/>
          <w:lang w:val="es-ES"/>
        </w:rPr>
        <w:t>) evaluación, v) documentos del proceso y vi) documentos de la oferta.</w:t>
      </w:r>
    </w:p>
    <w:bookmarkEnd w:id="5"/>
    <w:p w14:paraId="29A47E3A" w14:textId="013C439B" w:rsidR="00080CCB" w:rsidRPr="00443DEB" w:rsidRDefault="00080CCB" w:rsidP="00080CCB">
      <w:pPr>
        <w:spacing w:before="120" w:after="120" w:line="276" w:lineRule="auto"/>
        <w:ind w:firstLine="709"/>
        <w:jc w:val="both"/>
        <w:rPr>
          <w:rFonts w:ascii="Century Gothic" w:eastAsia="Calibri" w:hAnsi="Century Gothic" w:cs="Arial"/>
          <w:lang w:val="es-ES"/>
        </w:rPr>
      </w:pPr>
      <w:r w:rsidRPr="00443DEB">
        <w:rPr>
          <w:rFonts w:ascii="Century Gothic" w:eastAsia="Calibri" w:hAnsi="Century Gothic" w:cs="Arial"/>
          <w:lang w:val="es-ES"/>
        </w:rPr>
        <w:t xml:space="preserve">Los formularios de los pliegos electrónicos incluyen la mayoría de los contenidos mínimos que debe contener un pliego de condiciones, con excepción </w:t>
      </w:r>
      <w:r w:rsidR="00276441">
        <w:rPr>
          <w:rFonts w:ascii="Century Gothic" w:eastAsia="Calibri" w:hAnsi="Century Gothic" w:cs="Arial"/>
          <w:lang w:val="es-ES"/>
        </w:rPr>
        <w:t>de algunos temas como lo son el</w:t>
      </w:r>
      <w:r w:rsidRPr="00443DEB">
        <w:rPr>
          <w:rFonts w:ascii="Century Gothic" w:eastAsia="Calibri" w:hAnsi="Century Gothic" w:cs="Arial"/>
          <w:lang w:val="es-ES"/>
        </w:rPr>
        <w:t xml:space="preserve">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268B31AB" w14:textId="58EDFD88" w:rsidR="00080CCB" w:rsidRPr="00443DEB" w:rsidRDefault="00080CCB" w:rsidP="00E8265D">
      <w:pPr>
        <w:spacing w:line="276" w:lineRule="auto"/>
        <w:ind w:firstLine="709"/>
        <w:jc w:val="both"/>
        <w:rPr>
          <w:rFonts w:ascii="Century Gothic" w:eastAsia="Calibri" w:hAnsi="Century Gothic" w:cs="Arial"/>
          <w:lang w:val="es-ES"/>
        </w:rPr>
      </w:pPr>
      <w:r w:rsidRPr="00443DEB">
        <w:rPr>
          <w:rFonts w:ascii="Century Gothic" w:eastAsia="Calibri" w:hAnsi="Century Gothic" w:cs="Arial"/>
          <w:lang w:val="es-ES"/>
        </w:rPr>
        <w:t xml:space="preserve">En consecuencia, por el funcionamiento de la plataforma no es posible que exista un pliego de condiciones físico y que no se diligencie el formulario dispuesto en la plataforma, ya que sin esto el SECOP II no habilita el botón </w:t>
      </w:r>
      <w:r w:rsidR="007422B1">
        <w:rPr>
          <w:rFonts w:ascii="Century Gothic" w:eastAsia="Calibri" w:hAnsi="Century Gothic" w:cs="Arial"/>
          <w:lang w:val="es-ES"/>
        </w:rPr>
        <w:t>“</w:t>
      </w:r>
      <w:r w:rsidRPr="00443DEB">
        <w:rPr>
          <w:rFonts w:ascii="Century Gothic" w:eastAsia="Calibri" w:hAnsi="Century Gothic" w:cs="Arial"/>
          <w:lang w:val="es-ES"/>
        </w:rPr>
        <w:t>ir a publicar</w:t>
      </w:r>
      <w:r w:rsidR="007422B1">
        <w:rPr>
          <w:rFonts w:ascii="Century Gothic" w:eastAsia="Calibri" w:hAnsi="Century Gothic" w:cs="Arial"/>
          <w:lang w:val="es-ES"/>
        </w:rPr>
        <w:t>”</w:t>
      </w:r>
      <w:r w:rsidRPr="00443DEB">
        <w:rPr>
          <w:rFonts w:ascii="Century Gothic" w:eastAsia="Calibri" w:hAnsi="Century Gothic" w:cs="Arial"/>
          <w:lang w:val="es-ES"/>
        </w:rPr>
        <w:t xml:space="preserve">, con el cual se crea formalmente el procedimiento y los interesados pueden conocerlo para presentar observaciones y su oferta. Esto significa que </w:t>
      </w:r>
      <w:r w:rsidR="001C46F4">
        <w:rPr>
          <w:rFonts w:ascii="Century Gothic" w:eastAsia="Calibri" w:hAnsi="Century Gothic" w:cs="Arial"/>
          <w:lang w:val="es-ES"/>
        </w:rPr>
        <w:t xml:space="preserve">para que el proceso de contratación se realice a </w:t>
      </w:r>
      <w:r w:rsidR="0091498F">
        <w:rPr>
          <w:rFonts w:ascii="Century Gothic" w:eastAsia="Calibri" w:hAnsi="Century Gothic" w:cs="Arial"/>
          <w:lang w:val="es-ES"/>
        </w:rPr>
        <w:t>través</w:t>
      </w:r>
      <w:r w:rsidR="001C46F4">
        <w:rPr>
          <w:rFonts w:ascii="Century Gothic" w:eastAsia="Calibri" w:hAnsi="Century Gothic" w:cs="Arial"/>
          <w:lang w:val="es-ES"/>
        </w:rPr>
        <w:t xml:space="preserve"> de</w:t>
      </w:r>
      <w:r w:rsidRPr="00443DEB">
        <w:rPr>
          <w:rFonts w:ascii="Century Gothic" w:eastAsia="Calibri" w:hAnsi="Century Gothic" w:cs="Arial"/>
          <w:lang w:val="es-ES"/>
        </w:rPr>
        <w:t xml:space="preserve"> la plataforma </w:t>
      </w:r>
      <w:r w:rsidR="0091498F">
        <w:rPr>
          <w:rFonts w:ascii="Century Gothic" w:eastAsia="Calibri" w:hAnsi="Century Gothic" w:cs="Arial"/>
          <w:lang w:val="es-ES"/>
        </w:rPr>
        <w:t xml:space="preserve">SECOP II </w:t>
      </w:r>
      <w:r w:rsidR="001C46F4">
        <w:rPr>
          <w:rFonts w:ascii="Century Gothic" w:eastAsia="Calibri" w:hAnsi="Century Gothic" w:cs="Arial"/>
          <w:lang w:val="es-ES"/>
        </w:rPr>
        <w:t xml:space="preserve">es necesario diligenciar dicho formulario </w:t>
      </w:r>
      <w:r w:rsidRPr="00443DEB">
        <w:rPr>
          <w:rFonts w:ascii="Century Gothic" w:eastAsia="Calibri" w:hAnsi="Century Gothic" w:cs="Arial"/>
          <w:lang w:val="es-ES"/>
        </w:rPr>
        <w:t>en línea</w:t>
      </w:r>
      <w:r w:rsidR="00E8265D">
        <w:rPr>
          <w:rFonts w:ascii="Century Gothic" w:eastAsia="Calibri" w:hAnsi="Century Gothic" w:cs="Arial"/>
          <w:lang w:val="es-ES"/>
        </w:rPr>
        <w:t xml:space="preserve"> que debe contener los requisitos establecidos en el acto administrativo del pliego de condiciones, por lo tanto, </w:t>
      </w:r>
      <w:r w:rsidRPr="00443DEB">
        <w:rPr>
          <w:rFonts w:ascii="Century Gothic" w:eastAsia="Calibri" w:hAnsi="Century Gothic" w:cs="Arial"/>
          <w:lang w:val="es-ES"/>
        </w:rPr>
        <w:t>esto no implica que las entidades no puedan adjuntar los documentos que sean necesarios y que complementen el pliego de condiciones electrónico</w:t>
      </w:r>
      <w:r w:rsidR="0091498F">
        <w:rPr>
          <w:rFonts w:ascii="Century Gothic" w:eastAsia="Calibri" w:hAnsi="Century Gothic" w:cs="Arial"/>
          <w:lang w:val="es-ES"/>
        </w:rPr>
        <w:t xml:space="preserve"> en lo que el formulario no contemple</w:t>
      </w:r>
      <w:r w:rsidR="00BE0360">
        <w:rPr>
          <w:rFonts w:ascii="Century Gothic" w:eastAsia="Calibri" w:hAnsi="Century Gothic" w:cs="Arial"/>
          <w:lang w:val="es-ES"/>
        </w:rPr>
        <w:t xml:space="preserve"> su inclusión</w:t>
      </w:r>
      <w:r w:rsidRPr="00443DEB">
        <w:rPr>
          <w:rFonts w:ascii="Century Gothic" w:eastAsia="Calibri" w:hAnsi="Century Gothic" w:cs="Arial"/>
          <w:lang w:val="es-ES"/>
        </w:rPr>
        <w:t>.</w:t>
      </w:r>
    </w:p>
    <w:p w14:paraId="06303506" w14:textId="72E7BE31" w:rsidR="002D0D16" w:rsidRDefault="00BE0360" w:rsidP="002D0D16">
      <w:pPr>
        <w:spacing w:line="276" w:lineRule="auto"/>
        <w:ind w:firstLine="709"/>
        <w:jc w:val="both"/>
        <w:rPr>
          <w:rFonts w:ascii="Century Gothic" w:eastAsia="Calibri" w:hAnsi="Century Gothic" w:cs="Arial"/>
          <w:lang w:val="es-ES"/>
        </w:rPr>
      </w:pPr>
      <w:r>
        <w:rPr>
          <w:rFonts w:ascii="Century Gothic" w:eastAsia="Calibri" w:hAnsi="Century Gothic" w:cs="Arial"/>
          <w:lang w:val="es-ES"/>
        </w:rPr>
        <w:t>En ese contexto, s</w:t>
      </w:r>
      <w:r w:rsidR="00D10E43" w:rsidRPr="00443DEB">
        <w:rPr>
          <w:rFonts w:ascii="Century Gothic" w:eastAsia="Calibri" w:hAnsi="Century Gothic" w:cs="Arial"/>
          <w:lang w:val="es-ES"/>
        </w:rPr>
        <w:t xml:space="preserve">e observa que su pregunta hace referencia </w:t>
      </w:r>
      <w:r w:rsidR="002C663D">
        <w:rPr>
          <w:rFonts w:ascii="Century Gothic" w:eastAsia="Calibri" w:hAnsi="Century Gothic" w:cs="Arial"/>
          <w:lang w:val="es-ES"/>
        </w:rPr>
        <w:t xml:space="preserve">a </w:t>
      </w:r>
      <w:r w:rsidR="00D10E43" w:rsidRPr="00443DEB">
        <w:rPr>
          <w:rFonts w:ascii="Century Gothic" w:eastAsia="Calibri" w:hAnsi="Century Gothic" w:cs="Arial"/>
        </w:rPr>
        <w:t xml:space="preserve">la posibilidad de que una entidad </w:t>
      </w:r>
      <w:r w:rsidR="00877855">
        <w:rPr>
          <w:rFonts w:ascii="Century Gothic" w:eastAsia="Calibri" w:hAnsi="Century Gothic" w:cs="Arial"/>
        </w:rPr>
        <w:t>omita</w:t>
      </w:r>
      <w:r w:rsidR="00B06EFD">
        <w:rPr>
          <w:rFonts w:ascii="Century Gothic" w:eastAsia="Calibri" w:hAnsi="Century Gothic" w:cs="Arial"/>
        </w:rPr>
        <w:t xml:space="preserve"> solicitar</w:t>
      </w:r>
      <w:r w:rsidR="00877855">
        <w:rPr>
          <w:rFonts w:ascii="Century Gothic" w:eastAsia="Calibri" w:hAnsi="Century Gothic" w:cs="Arial"/>
        </w:rPr>
        <w:t xml:space="preserve"> la presentación de </w:t>
      </w:r>
      <w:r w:rsidR="00D10E43" w:rsidRPr="00443DEB">
        <w:rPr>
          <w:rFonts w:ascii="Century Gothic" w:eastAsia="Calibri" w:hAnsi="Century Gothic" w:cs="Arial"/>
        </w:rPr>
        <w:t xml:space="preserve">documentos en </w:t>
      </w:r>
      <w:r w:rsidR="00877855">
        <w:rPr>
          <w:rFonts w:ascii="Century Gothic" w:eastAsia="Calibri" w:hAnsi="Century Gothic" w:cs="Arial"/>
        </w:rPr>
        <w:t xml:space="preserve">el </w:t>
      </w:r>
      <w:r w:rsidR="00561301">
        <w:rPr>
          <w:rFonts w:ascii="Century Gothic" w:eastAsia="Calibri" w:hAnsi="Century Gothic" w:cs="Arial"/>
        </w:rPr>
        <w:t xml:space="preserve">formulario </w:t>
      </w:r>
      <w:r w:rsidR="00877855">
        <w:rPr>
          <w:rFonts w:ascii="Century Gothic" w:eastAsia="Calibri" w:hAnsi="Century Gothic" w:cs="Arial"/>
        </w:rPr>
        <w:t>del pliego electrónico</w:t>
      </w:r>
      <w:r w:rsidR="00D10E43" w:rsidRPr="00443DEB">
        <w:rPr>
          <w:rFonts w:ascii="Century Gothic" w:eastAsia="Calibri" w:hAnsi="Century Gothic" w:cs="Arial"/>
        </w:rPr>
        <w:t xml:space="preserve">, que sean diferentes a los señalados en el pliego de condiciones y los </w:t>
      </w:r>
      <w:r w:rsidR="00877855">
        <w:rPr>
          <w:rFonts w:ascii="Century Gothic" w:eastAsia="Calibri" w:hAnsi="Century Gothic" w:cs="Arial"/>
        </w:rPr>
        <w:t xml:space="preserve">demás </w:t>
      </w:r>
      <w:r w:rsidR="00D10E43" w:rsidRPr="00443DEB">
        <w:rPr>
          <w:rFonts w:ascii="Century Gothic" w:eastAsia="Calibri" w:hAnsi="Century Gothic" w:cs="Arial"/>
        </w:rPr>
        <w:t xml:space="preserve">documentos establecidos en el SECOP II, </w:t>
      </w:r>
      <w:r w:rsidR="000E186E">
        <w:rPr>
          <w:rFonts w:ascii="Century Gothic" w:eastAsia="Calibri" w:hAnsi="Century Gothic" w:cs="Arial"/>
        </w:rPr>
        <w:t>configurándose una contradicción o falta de claridad sobre la presentación de algún requisito habilitant</w:t>
      </w:r>
      <w:r w:rsidR="00D467C9">
        <w:rPr>
          <w:rFonts w:ascii="Century Gothic" w:eastAsia="Calibri" w:hAnsi="Century Gothic" w:cs="Arial"/>
        </w:rPr>
        <w:t>e</w:t>
      </w:r>
      <w:r w:rsidR="00D0693B">
        <w:rPr>
          <w:rFonts w:ascii="Century Gothic" w:eastAsia="Calibri" w:hAnsi="Century Gothic" w:cs="Arial"/>
        </w:rPr>
        <w:t>, como lo es el de capacidad residual,</w:t>
      </w:r>
      <w:r w:rsidR="00813A50">
        <w:rPr>
          <w:rFonts w:ascii="Century Gothic" w:eastAsia="Calibri" w:hAnsi="Century Gothic" w:cs="Arial"/>
        </w:rPr>
        <w:t xml:space="preserve"> por parte de los proponentes</w:t>
      </w:r>
      <w:r w:rsidR="00815459">
        <w:rPr>
          <w:rFonts w:ascii="Century Gothic" w:eastAsia="Calibri" w:hAnsi="Century Gothic" w:cs="Arial"/>
        </w:rPr>
        <w:t>.</w:t>
      </w:r>
    </w:p>
    <w:p w14:paraId="104157C8" w14:textId="10605D84" w:rsidR="00842227" w:rsidRDefault="002D0D16" w:rsidP="002D0D16">
      <w:pPr>
        <w:spacing w:line="276" w:lineRule="auto"/>
        <w:ind w:firstLine="709"/>
        <w:jc w:val="both"/>
        <w:rPr>
          <w:rFonts w:ascii="Century Gothic" w:eastAsia="Calibri" w:hAnsi="Century Gothic" w:cs="Arial"/>
        </w:rPr>
      </w:pPr>
      <w:r>
        <w:rPr>
          <w:rFonts w:ascii="Century Gothic" w:eastAsia="Calibri" w:hAnsi="Century Gothic" w:cs="Arial"/>
          <w:lang w:val="es-ES"/>
        </w:rPr>
        <w:t xml:space="preserve">Al respecto, como bien se expuso en su consulta, esta Agencia en concepto </w:t>
      </w:r>
      <w:r w:rsidR="007C1865" w:rsidRPr="00443DEB">
        <w:rPr>
          <w:rFonts w:ascii="Century Gothic" w:eastAsia="Calibri" w:hAnsi="Century Gothic" w:cs="Arial"/>
        </w:rPr>
        <w:t xml:space="preserve">C-295 de 30 de abril de </w:t>
      </w:r>
      <w:r w:rsidR="00842227" w:rsidRPr="00443DEB">
        <w:rPr>
          <w:rFonts w:ascii="Century Gothic" w:eastAsia="Calibri" w:hAnsi="Century Gothic" w:cs="Arial"/>
        </w:rPr>
        <w:t>2020</w:t>
      </w:r>
      <w:r w:rsidR="00842227">
        <w:rPr>
          <w:rFonts w:ascii="Century Gothic" w:eastAsia="Calibri" w:hAnsi="Century Gothic" w:cs="Arial"/>
        </w:rPr>
        <w:t>, afirmó</w:t>
      </w:r>
      <w:r w:rsidR="007C1865">
        <w:rPr>
          <w:rFonts w:ascii="Century Gothic" w:eastAsia="Calibri" w:hAnsi="Century Gothic" w:cs="Arial"/>
        </w:rPr>
        <w:t xml:space="preserve"> que</w:t>
      </w:r>
      <w:r w:rsidR="00842227">
        <w:rPr>
          <w:rFonts w:ascii="Century Gothic" w:eastAsia="Calibri" w:hAnsi="Century Gothic" w:cs="Arial"/>
        </w:rPr>
        <w:t>:</w:t>
      </w:r>
    </w:p>
    <w:p w14:paraId="0BB2D70A" w14:textId="044411E3" w:rsidR="00D10E43" w:rsidRPr="000E5426" w:rsidRDefault="00842227" w:rsidP="000E5426">
      <w:pPr>
        <w:spacing w:line="240" w:lineRule="auto"/>
        <w:ind w:left="709" w:right="709"/>
        <w:jc w:val="both"/>
        <w:rPr>
          <w:rFonts w:ascii="Century Gothic" w:eastAsia="Calibri" w:hAnsi="Century Gothic" w:cs="Arial"/>
          <w:sz w:val="21"/>
          <w:szCs w:val="21"/>
          <w:lang w:val="es-ES"/>
        </w:rPr>
      </w:pPr>
      <w:r w:rsidRPr="000E5426">
        <w:rPr>
          <w:rFonts w:ascii="Century Gothic" w:eastAsia="Calibri" w:hAnsi="Century Gothic" w:cs="Arial"/>
          <w:sz w:val="21"/>
          <w:szCs w:val="21"/>
        </w:rPr>
        <w:t>“</w:t>
      </w:r>
      <w:r w:rsidR="00D10E43" w:rsidRPr="000E5426">
        <w:rPr>
          <w:rFonts w:ascii="Century Gothic" w:eastAsia="Calibri" w:hAnsi="Century Gothic" w:cs="Arial"/>
          <w:sz w:val="21"/>
          <w:szCs w:val="21"/>
          <w:lang w:val="es-ES"/>
        </w:rPr>
        <w:t>por el funcionamiento de la plataforma, no es posible que exista diferencia entre los documentos exigidos en el pliego de condiciones electrónico, y los señalados en el cuestionario de la oferta, ya que en el SECOP II hacen parte del mismo documento electrónico, por lo que los documentos requeridos en el cuestionario para la presentación de la oferta son los exigidos en el pliego de condiciones, ya que el cuestionario es parte del pliego de condiciones electrónico que es ley para las partes y los proponentes están en la obligación de cumplirlo.</w:t>
      </w:r>
    </w:p>
    <w:p w14:paraId="66F0566C" w14:textId="681B1715" w:rsidR="00D10E43" w:rsidRPr="000E5426" w:rsidRDefault="00D10E43" w:rsidP="000E5426">
      <w:pPr>
        <w:spacing w:after="120" w:line="240" w:lineRule="auto"/>
        <w:ind w:left="709" w:right="709" w:firstLine="709"/>
        <w:jc w:val="both"/>
        <w:rPr>
          <w:rFonts w:ascii="Century Gothic" w:eastAsia="Calibri" w:hAnsi="Century Gothic" w:cs="Arial"/>
          <w:sz w:val="21"/>
          <w:szCs w:val="21"/>
        </w:rPr>
      </w:pPr>
      <w:bookmarkStart w:id="6" w:name="_Hlk143791487"/>
      <w:r w:rsidRPr="000E5426">
        <w:rPr>
          <w:rFonts w:ascii="Century Gothic" w:eastAsia="Calibri" w:hAnsi="Century Gothic" w:cs="Arial"/>
          <w:sz w:val="21"/>
          <w:szCs w:val="21"/>
          <w:lang w:val="es-ES"/>
        </w:rPr>
        <w:t xml:space="preserve">Adicionalmente, sobre la posibilidad de que la entidad rechace una oferta por no presentar los documentos solicitados en el cuestionario, esto es, en el pliego de condiciones electrónico, ya que de acuerdo con lo anterior son un mismo documento, se </w:t>
      </w:r>
      <w:bookmarkEnd w:id="6"/>
      <w:r w:rsidRPr="000E5426">
        <w:rPr>
          <w:rFonts w:ascii="Century Gothic" w:eastAsia="Calibri" w:hAnsi="Century Gothic" w:cs="Arial"/>
          <w:sz w:val="21"/>
          <w:szCs w:val="21"/>
          <w:lang w:val="es-ES"/>
        </w:rPr>
        <w:t xml:space="preserve">debe tener en cuenta que </w:t>
      </w:r>
      <w:r w:rsidRPr="000E5426">
        <w:rPr>
          <w:rFonts w:ascii="Century Gothic" w:eastAsia="Arial" w:hAnsi="Century Gothic" w:cs="Arial"/>
          <w:sz w:val="21"/>
          <w:szCs w:val="21"/>
          <w:lang w:val="es-ES" w:eastAsia="es-ES" w:bidi="es-ES"/>
        </w:rPr>
        <w:t xml:space="preserve">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w:t>
      </w:r>
      <w:r w:rsidRPr="000E5426">
        <w:rPr>
          <w:rFonts w:ascii="Century Gothic" w:eastAsia="Calibri" w:hAnsi="Century Gothic" w:cs="Arial"/>
          <w:sz w:val="21"/>
          <w:szCs w:val="21"/>
          <w:lang w:val="es-ES"/>
        </w:rPr>
        <w:t>requisitos</w:t>
      </w:r>
      <w:r w:rsidRPr="000E5426">
        <w:rPr>
          <w:rFonts w:ascii="Century Gothic" w:eastAsia="Arial" w:hAnsi="Century Gothic" w:cs="Arial"/>
          <w:sz w:val="21"/>
          <w:szCs w:val="21"/>
          <w:lang w:val="es-ES" w:eastAsia="es-ES" w:bidi="es-ES"/>
        </w:rPr>
        <w:t xml:space="preserve"> que inciden en la asignación de puntaje</w:t>
      </w:r>
      <w:r w:rsidRPr="000E5426">
        <w:rPr>
          <w:rFonts w:ascii="Century Gothic" w:eastAsia="Calibri" w:hAnsi="Century Gothic" w:cs="Arial"/>
          <w:sz w:val="21"/>
          <w:szCs w:val="21"/>
          <w:vertAlign w:val="superscript"/>
        </w:rPr>
        <w:footnoteReference w:id="13"/>
      </w:r>
      <w:r w:rsidRPr="000E5426">
        <w:rPr>
          <w:rFonts w:ascii="Century Gothic" w:eastAsia="Calibri" w:hAnsi="Century Gothic" w:cs="Arial"/>
          <w:sz w:val="21"/>
          <w:szCs w:val="21"/>
        </w:rPr>
        <w:t>.</w:t>
      </w:r>
      <w:r w:rsidR="000E5426" w:rsidRPr="000E5426">
        <w:rPr>
          <w:rFonts w:ascii="Century Gothic" w:eastAsia="Calibri" w:hAnsi="Century Gothic" w:cs="Arial"/>
          <w:sz w:val="21"/>
          <w:szCs w:val="21"/>
        </w:rPr>
        <w:t>”</w:t>
      </w:r>
    </w:p>
    <w:p w14:paraId="6EFEE055" w14:textId="59E02269" w:rsidR="00D90EF2" w:rsidRDefault="00D10E43" w:rsidP="00D90EF2">
      <w:pPr>
        <w:pStyle w:val="Textoindependiente"/>
        <w:spacing w:line="276" w:lineRule="auto"/>
        <w:ind w:firstLine="708"/>
        <w:jc w:val="both"/>
        <w:rPr>
          <w:rFonts w:ascii="Century Gothic" w:hAnsi="Century Gothic"/>
        </w:rPr>
      </w:pPr>
      <w:r w:rsidRPr="00443DEB">
        <w:rPr>
          <w:rFonts w:ascii="Century Gothic" w:eastAsia="Calibri" w:hAnsi="Century Gothic"/>
        </w:rPr>
        <w:t xml:space="preserve">En ese sentido, </w:t>
      </w:r>
      <w:r w:rsidR="00EE5BA9">
        <w:rPr>
          <w:rFonts w:ascii="Century Gothic" w:eastAsia="Calibri" w:hAnsi="Century Gothic"/>
        </w:rPr>
        <w:t xml:space="preserve">a criterio de esta Agencia, y teniendo en cuenta el criterio interpretativo según el cual  </w:t>
      </w:r>
      <w:r w:rsidR="00EE5BA9">
        <w:rPr>
          <w:rFonts w:ascii="Century Gothic" w:eastAsia="Calibri" w:hAnsi="Century Gothic"/>
          <w:lang w:val="es-MX"/>
        </w:rPr>
        <w:t xml:space="preserve">aquellas disposiciones o situaciones </w:t>
      </w:r>
      <w:r w:rsidR="00EE5BA9" w:rsidRPr="00D35126">
        <w:rPr>
          <w:rFonts w:ascii="Century Gothic" w:eastAsia="Batang" w:hAnsi="Century Gothic"/>
        </w:rPr>
        <w:t>oscuras que hayan sido extendidas o dictadas por una parte se interpretarán contra ella</w:t>
      </w:r>
      <w:r w:rsidR="00407DEB">
        <w:rPr>
          <w:rFonts w:ascii="Century Gothic" w:eastAsia="Batang" w:hAnsi="Century Gothic"/>
        </w:rPr>
        <w:t xml:space="preserve">, de conformidad con el </w:t>
      </w:r>
      <w:r w:rsidR="00407DEB" w:rsidRPr="00D35126">
        <w:rPr>
          <w:rFonts w:ascii="Century Gothic" w:eastAsia="Batang" w:hAnsi="Century Gothic"/>
        </w:rPr>
        <w:t>artículo 1624</w:t>
      </w:r>
      <w:r w:rsidR="00407DEB">
        <w:rPr>
          <w:rFonts w:ascii="Century Gothic" w:eastAsia="Batang" w:hAnsi="Century Gothic"/>
        </w:rPr>
        <w:t xml:space="preserve"> del Código Civil, más </w:t>
      </w:r>
      <w:r w:rsidR="00A13CF8">
        <w:rPr>
          <w:rFonts w:ascii="Century Gothic" w:eastAsia="Batang" w:hAnsi="Century Gothic"/>
        </w:rPr>
        <w:t xml:space="preserve">aún </w:t>
      </w:r>
      <w:r w:rsidR="00407DEB">
        <w:rPr>
          <w:rFonts w:ascii="Century Gothic" w:eastAsia="Batang" w:hAnsi="Century Gothic"/>
        </w:rPr>
        <w:t xml:space="preserve">cuando la Entidad Estatal es la que </w:t>
      </w:r>
      <w:r w:rsidR="00BB1CF6">
        <w:rPr>
          <w:rFonts w:ascii="Century Gothic" w:eastAsia="Batang" w:hAnsi="Century Gothic"/>
        </w:rPr>
        <w:t xml:space="preserve">carga y emite el respectivo pliego de condiciones electrónico, y dicha </w:t>
      </w:r>
      <w:r w:rsidR="00EE5BA9" w:rsidRPr="00D35126">
        <w:rPr>
          <w:rFonts w:ascii="Century Gothic" w:eastAsia="Batang" w:hAnsi="Century Gothic"/>
        </w:rPr>
        <w:t>ambigüedad proviene de una explicación que ésta ha debido dar</w:t>
      </w:r>
      <w:r w:rsidR="00D93720">
        <w:rPr>
          <w:rFonts w:ascii="Century Gothic" w:eastAsia="Batang" w:hAnsi="Century Gothic"/>
        </w:rPr>
        <w:t xml:space="preserve"> ya sea en una respuesta a observaciones o en una adenda al pliego de condiciones electrónico</w:t>
      </w:r>
      <w:r w:rsidR="00EE5BA9">
        <w:rPr>
          <w:rFonts w:ascii="Century Gothic" w:eastAsia="Batang" w:hAnsi="Century Gothic"/>
        </w:rPr>
        <w:t>, dicha</w:t>
      </w:r>
      <w:r w:rsidR="001B6615">
        <w:rPr>
          <w:rFonts w:ascii="Century Gothic" w:eastAsia="Batang" w:hAnsi="Century Gothic"/>
        </w:rPr>
        <w:t xml:space="preserve"> omisión en el formulario del SECOP II</w:t>
      </w:r>
      <w:r w:rsidR="00EC489E">
        <w:rPr>
          <w:rFonts w:ascii="Century Gothic" w:eastAsia="Batang" w:hAnsi="Century Gothic"/>
        </w:rPr>
        <w:t xml:space="preserve"> de</w:t>
      </w:r>
      <w:r w:rsidR="001B6615">
        <w:rPr>
          <w:rFonts w:ascii="Century Gothic" w:eastAsia="Batang" w:hAnsi="Century Gothic"/>
        </w:rPr>
        <w:t xml:space="preserve"> la presentación de un requisito habilitante, como lo es la capacidad residual, </w:t>
      </w:r>
      <w:r w:rsidR="00EC489E">
        <w:rPr>
          <w:rFonts w:ascii="Century Gothic" w:eastAsia="Batang" w:hAnsi="Century Gothic"/>
        </w:rPr>
        <w:t xml:space="preserve">implica que la Entidad Estatal </w:t>
      </w:r>
      <w:r w:rsidR="00EE5BA9">
        <w:rPr>
          <w:rFonts w:ascii="Century Gothic" w:eastAsia="Batang" w:hAnsi="Century Gothic"/>
        </w:rPr>
        <w:t xml:space="preserve">no </w:t>
      </w:r>
      <w:r w:rsidR="001B6615">
        <w:rPr>
          <w:rFonts w:ascii="Century Gothic" w:eastAsia="Batang" w:hAnsi="Century Gothic"/>
        </w:rPr>
        <w:t>puede</w:t>
      </w:r>
      <w:r w:rsidR="00EE5BA9">
        <w:rPr>
          <w:rFonts w:ascii="Century Gothic" w:eastAsia="Batang" w:hAnsi="Century Gothic"/>
        </w:rPr>
        <w:t xml:space="preserve"> afectar </w:t>
      </w:r>
      <w:r w:rsidR="00EC489E">
        <w:rPr>
          <w:rFonts w:ascii="Century Gothic" w:eastAsia="Batang" w:hAnsi="Century Gothic"/>
        </w:rPr>
        <w:t>la participación de</w:t>
      </w:r>
      <w:r w:rsidR="00EE5BA9">
        <w:rPr>
          <w:rFonts w:ascii="Century Gothic" w:eastAsia="Batang" w:hAnsi="Century Gothic"/>
        </w:rPr>
        <w:t xml:space="preserve"> los proponentes </w:t>
      </w:r>
      <w:r w:rsidR="00EC489E">
        <w:rPr>
          <w:rFonts w:ascii="Century Gothic" w:eastAsia="Batang" w:hAnsi="Century Gothic"/>
        </w:rPr>
        <w:t>en el proceso de selección</w:t>
      </w:r>
      <w:r w:rsidR="001B6615">
        <w:rPr>
          <w:rFonts w:ascii="Century Gothic" w:eastAsia="Batang" w:hAnsi="Century Gothic"/>
        </w:rPr>
        <w:t>,</w:t>
      </w:r>
      <w:r w:rsidR="00EC489E">
        <w:rPr>
          <w:rFonts w:ascii="Century Gothic" w:eastAsia="Batang" w:hAnsi="Century Gothic"/>
        </w:rPr>
        <w:t xml:space="preserve"> y</w:t>
      </w:r>
      <w:r w:rsidR="001B6615">
        <w:rPr>
          <w:rFonts w:ascii="Century Gothic" w:eastAsia="Batang" w:hAnsi="Century Gothic"/>
        </w:rPr>
        <w:t xml:space="preserve"> por lo tant</w:t>
      </w:r>
      <w:r w:rsidR="00EC489E">
        <w:rPr>
          <w:rFonts w:ascii="Century Gothic" w:eastAsia="Batang" w:hAnsi="Century Gothic"/>
        </w:rPr>
        <w:t>o,</w:t>
      </w:r>
      <w:r w:rsidR="001B6615">
        <w:rPr>
          <w:rFonts w:ascii="Century Gothic" w:eastAsia="Batang" w:hAnsi="Century Gothic"/>
        </w:rPr>
        <w:t xml:space="preserve"> la e</w:t>
      </w:r>
      <w:r w:rsidRPr="00443DEB">
        <w:rPr>
          <w:rFonts w:ascii="Century Gothic" w:eastAsia="Calibri" w:hAnsi="Century Gothic"/>
        </w:rPr>
        <w:t xml:space="preserve">ntidad </w:t>
      </w:r>
      <w:r w:rsidR="00D93720">
        <w:rPr>
          <w:rFonts w:ascii="Century Gothic" w:eastAsia="Calibri" w:hAnsi="Century Gothic"/>
        </w:rPr>
        <w:t>teniendo en cuenta la etapa en la que se encuentre el proceso de selección</w:t>
      </w:r>
      <w:r w:rsidR="00EC489E">
        <w:rPr>
          <w:rFonts w:ascii="Century Gothic" w:eastAsia="Calibri" w:hAnsi="Century Gothic"/>
        </w:rPr>
        <w:t xml:space="preserve">, podrá </w:t>
      </w:r>
      <w:r w:rsidR="003C425E">
        <w:rPr>
          <w:rFonts w:ascii="Century Gothic" w:eastAsia="Calibri" w:hAnsi="Century Gothic"/>
        </w:rPr>
        <w:t xml:space="preserve">determinar si es necesario revocar el acto administrativo de apertura del proceso de selección o </w:t>
      </w:r>
      <w:r w:rsidR="00233F97">
        <w:rPr>
          <w:rFonts w:ascii="Century Gothic" w:eastAsia="Calibri" w:hAnsi="Century Gothic"/>
        </w:rPr>
        <w:t>modificar el cronograma del pliego de condiciones para la presentación de dicho</w:t>
      </w:r>
      <w:r w:rsidR="00A04B7E">
        <w:rPr>
          <w:rFonts w:ascii="Century Gothic" w:eastAsia="Calibri" w:hAnsi="Century Gothic"/>
        </w:rPr>
        <w:t>s</w:t>
      </w:r>
      <w:r w:rsidR="00233F97">
        <w:rPr>
          <w:rFonts w:ascii="Century Gothic" w:eastAsia="Calibri" w:hAnsi="Century Gothic"/>
        </w:rPr>
        <w:t xml:space="preserve"> documentos</w:t>
      </w:r>
      <w:r w:rsidR="00CB4BC4">
        <w:rPr>
          <w:rFonts w:ascii="Century Gothic" w:eastAsia="Calibri" w:hAnsi="Century Gothic"/>
        </w:rPr>
        <w:t xml:space="preserve">, respetándoles además su derecho a la subsanación </w:t>
      </w:r>
      <w:r w:rsidR="0082066F">
        <w:rPr>
          <w:rFonts w:ascii="Century Gothic" w:eastAsia="Calibri" w:hAnsi="Century Gothic"/>
        </w:rPr>
        <w:t xml:space="preserve">a los proponentes </w:t>
      </w:r>
      <w:r w:rsidRPr="00443DEB">
        <w:rPr>
          <w:rFonts w:ascii="Century Gothic" w:eastAsia="Calibri" w:hAnsi="Century Gothic"/>
        </w:rPr>
        <w:t xml:space="preserve">de acuerdo con </w:t>
      </w:r>
      <w:r w:rsidRPr="00443DEB">
        <w:rPr>
          <w:rFonts w:ascii="Century Gothic" w:hAnsi="Century Gothic"/>
        </w:rPr>
        <w:t>el artículo 5 de la Ley 1882 de 2018, que modificó el parágrafo 1 del artículo 5 de la Ley 1150 de 2007</w:t>
      </w:r>
      <w:r w:rsidR="00E46F44">
        <w:rPr>
          <w:rFonts w:ascii="Century Gothic" w:hAnsi="Century Gothic"/>
        </w:rPr>
        <w:t>.</w:t>
      </w:r>
    </w:p>
    <w:p w14:paraId="34719D58" w14:textId="77777777" w:rsidR="00D90EF2" w:rsidRDefault="00D90EF2" w:rsidP="00D90EF2">
      <w:pPr>
        <w:pStyle w:val="Textoindependiente"/>
        <w:spacing w:line="276" w:lineRule="auto"/>
        <w:jc w:val="both"/>
        <w:rPr>
          <w:rFonts w:ascii="Century Gothic" w:hAnsi="Century Gothic"/>
        </w:rPr>
      </w:pPr>
    </w:p>
    <w:p w14:paraId="2CD001E0" w14:textId="03B925EC" w:rsidR="000C7911" w:rsidRPr="00D90EF2" w:rsidRDefault="000C7911" w:rsidP="002F5537">
      <w:pPr>
        <w:pStyle w:val="Textoindependiente"/>
        <w:spacing w:after="240" w:line="276" w:lineRule="auto"/>
        <w:jc w:val="both"/>
        <w:rPr>
          <w:rFonts w:ascii="Century Gothic" w:eastAsia="Calibri" w:hAnsi="Century Gothic"/>
        </w:rPr>
      </w:pPr>
      <w:r w:rsidRPr="00443DEB">
        <w:rPr>
          <w:rFonts w:ascii="Century Gothic" w:eastAsia="Calibri" w:hAnsi="Century Gothic"/>
          <w:b/>
          <w:bCs/>
          <w:color w:val="000000"/>
          <w:lang w:val="es-MX" w:eastAsia="en-US"/>
        </w:rPr>
        <w:t>2.</w:t>
      </w:r>
      <w:r w:rsidR="00D90EF2">
        <w:rPr>
          <w:rFonts w:ascii="Century Gothic" w:eastAsia="Calibri" w:hAnsi="Century Gothic"/>
          <w:b/>
          <w:bCs/>
          <w:color w:val="000000"/>
          <w:lang w:val="es-MX" w:eastAsia="en-US"/>
        </w:rPr>
        <w:t>3.</w:t>
      </w:r>
      <w:r w:rsidRPr="00443DEB">
        <w:rPr>
          <w:rFonts w:ascii="Century Gothic" w:eastAsia="Calibri" w:hAnsi="Century Gothic"/>
          <w:b/>
          <w:bCs/>
          <w:color w:val="000000"/>
          <w:lang w:val="es-MX" w:eastAsia="en-US"/>
        </w:rPr>
        <w:t xml:space="preserve"> Revocatoria Directa</w:t>
      </w:r>
      <w:r w:rsidR="00D90EF2">
        <w:rPr>
          <w:rFonts w:ascii="Century Gothic" w:eastAsia="Calibri" w:hAnsi="Century Gothic"/>
          <w:b/>
          <w:bCs/>
          <w:color w:val="000000"/>
          <w:lang w:val="es-MX" w:eastAsia="en-US"/>
        </w:rPr>
        <w:t xml:space="preserve"> del a</w:t>
      </w:r>
      <w:r w:rsidRPr="00443DEB">
        <w:rPr>
          <w:rFonts w:ascii="Century Gothic" w:eastAsia="Calibri" w:hAnsi="Century Gothic"/>
          <w:b/>
          <w:bCs/>
          <w:color w:val="000000"/>
          <w:lang w:val="es-MX" w:eastAsia="en-US"/>
        </w:rPr>
        <w:t xml:space="preserve">cto de </w:t>
      </w:r>
      <w:r w:rsidR="00D90EF2">
        <w:rPr>
          <w:rFonts w:ascii="Century Gothic" w:eastAsia="Calibri" w:hAnsi="Century Gothic"/>
          <w:b/>
          <w:bCs/>
          <w:color w:val="000000"/>
          <w:lang w:val="es-MX" w:eastAsia="en-US"/>
        </w:rPr>
        <w:t>a</w:t>
      </w:r>
      <w:r w:rsidRPr="00443DEB">
        <w:rPr>
          <w:rFonts w:ascii="Century Gothic" w:eastAsia="Calibri" w:hAnsi="Century Gothic"/>
          <w:b/>
          <w:bCs/>
          <w:color w:val="000000"/>
          <w:lang w:val="es-MX" w:eastAsia="en-US"/>
        </w:rPr>
        <w:t>pertura</w:t>
      </w:r>
      <w:r w:rsidR="00D90EF2">
        <w:rPr>
          <w:rFonts w:ascii="Century Gothic" w:eastAsia="Calibri" w:hAnsi="Century Gothic"/>
          <w:b/>
          <w:bCs/>
          <w:color w:val="000000"/>
          <w:lang w:val="es-MX" w:eastAsia="en-US"/>
        </w:rPr>
        <w:t xml:space="preserve"> del proceso de selección</w:t>
      </w:r>
    </w:p>
    <w:p w14:paraId="69E78BA9" w14:textId="4E4F1520" w:rsidR="000C7911" w:rsidRPr="00443DEB" w:rsidRDefault="000C7911" w:rsidP="0047034A">
      <w:pPr>
        <w:suppressAutoHyphens/>
        <w:spacing w:after="240" w:line="276" w:lineRule="auto"/>
        <w:jc w:val="both"/>
        <w:textDirection w:val="btLr"/>
        <w:textAlignment w:val="top"/>
        <w:rPr>
          <w:rFonts w:ascii="Century Gothic" w:hAnsi="Century Gothic" w:cs="Arial"/>
          <w:lang w:eastAsia="es-CO"/>
        </w:rPr>
      </w:pPr>
      <w:r w:rsidRPr="00443DEB">
        <w:rPr>
          <w:rFonts w:ascii="Century Gothic" w:hAnsi="Century Gothic" w:cs="Arial"/>
          <w:lang w:eastAsia="es-CO"/>
        </w:rPr>
        <w:t xml:space="preserve">El acto administrativo de apertura del proceso de </w:t>
      </w:r>
      <w:r w:rsidR="0003422E">
        <w:rPr>
          <w:rFonts w:ascii="Century Gothic" w:hAnsi="Century Gothic" w:cs="Arial"/>
          <w:lang w:eastAsia="es-CO"/>
        </w:rPr>
        <w:t xml:space="preserve">contratación estatal </w:t>
      </w:r>
      <w:r w:rsidRPr="00443DEB">
        <w:rPr>
          <w:rFonts w:ascii="Century Gothic" w:hAnsi="Century Gothic" w:cs="Arial"/>
          <w:lang w:eastAsia="es-CO"/>
        </w:rPr>
        <w:t xml:space="preserve">agota sus efectos con la adjudicación o la declaratoria de desierta del proceso, según lo previsto en el Estatuto General de Contratación. Sin embargo, este último cuerpo normativo guardó silencio respecto a la posibilidad de revocarlo. Teniendo en cuenta lo anterior, los Decretos Reglamentarios 066 de 2008, 2474 de 2008 y 734 de 2012 habían previsto la posibilidad de que las </w:t>
      </w:r>
      <w:r w:rsidR="00CB1CBF" w:rsidRPr="00443DEB">
        <w:rPr>
          <w:rFonts w:ascii="Century Gothic" w:hAnsi="Century Gothic" w:cs="Arial"/>
          <w:lang w:eastAsia="es-CO"/>
        </w:rPr>
        <w:t>Entidades revocaran</w:t>
      </w:r>
      <w:r w:rsidRPr="00443DEB">
        <w:rPr>
          <w:rFonts w:ascii="Century Gothic" w:hAnsi="Century Gothic" w:cs="Arial"/>
          <w:lang w:eastAsia="es-CO"/>
        </w:rPr>
        <w:t xml:space="preserve"> el acto administrativo de apertura bajo la condición de que se verificara alguna de las causales contempladas en el artículo 69 del Código Contencioso Administrativo.</w:t>
      </w:r>
    </w:p>
    <w:p w14:paraId="70946563" w14:textId="7FBF2BA5" w:rsidR="000C7911" w:rsidRPr="00443DEB" w:rsidRDefault="000C7911" w:rsidP="001A7712">
      <w:pPr>
        <w:suppressAutoHyphens/>
        <w:spacing w:line="276" w:lineRule="auto"/>
        <w:ind w:firstLine="708"/>
        <w:jc w:val="both"/>
        <w:textDirection w:val="btLr"/>
        <w:textAlignment w:val="top"/>
        <w:rPr>
          <w:rFonts w:ascii="Century Gothic" w:hAnsi="Century Gothic" w:cs="Arial"/>
          <w:color w:val="000000"/>
        </w:rPr>
      </w:pPr>
      <w:r w:rsidRPr="00443DEB">
        <w:rPr>
          <w:rFonts w:ascii="Century Gothic" w:hAnsi="Century Gothic" w:cs="Arial"/>
          <w:lang w:eastAsia="es-CO"/>
        </w:rPr>
        <w:t xml:space="preserve">Posteriormente con la expedición del Decreto 1510 de 2013, que derogó el </w:t>
      </w:r>
      <w:r w:rsidR="005A14B3">
        <w:rPr>
          <w:rFonts w:ascii="Century Gothic" w:hAnsi="Century Gothic" w:cs="Arial"/>
          <w:lang w:eastAsia="es-CO"/>
        </w:rPr>
        <w:t>D</w:t>
      </w:r>
      <w:r w:rsidRPr="00443DEB">
        <w:rPr>
          <w:rFonts w:ascii="Century Gothic" w:hAnsi="Century Gothic" w:cs="Arial"/>
          <w:lang w:eastAsia="es-CO"/>
        </w:rPr>
        <w:t xml:space="preserve">ecreto 734 de 2012 y actualmente se encuentra compilado en el Decreto 1082 de 2015, </w:t>
      </w:r>
      <w:r w:rsidRPr="00443DEB">
        <w:rPr>
          <w:rFonts w:ascii="Century Gothic" w:hAnsi="Century Gothic" w:cs="Arial"/>
          <w:color w:val="000000"/>
        </w:rPr>
        <w:t xml:space="preserve">no se reguló la revocatoria del acto de apertura, quedando el tema en estado de incertidumbre. </w:t>
      </w:r>
    </w:p>
    <w:p w14:paraId="5D874B1B" w14:textId="5F26688F" w:rsidR="00521C8B" w:rsidRDefault="0047034A" w:rsidP="0047034A">
      <w:pPr>
        <w:suppressAutoHyphens/>
        <w:spacing w:line="276" w:lineRule="auto"/>
        <w:ind w:firstLine="708"/>
        <w:jc w:val="both"/>
        <w:textDirection w:val="btLr"/>
        <w:textAlignment w:val="top"/>
        <w:outlineLvl w:val="0"/>
        <w:rPr>
          <w:rFonts w:ascii="Century Gothic" w:hAnsi="Century Gothic" w:cs="Arial"/>
          <w:color w:val="000000"/>
        </w:rPr>
      </w:pPr>
      <w:r>
        <w:rPr>
          <w:rFonts w:ascii="Century Gothic" w:hAnsi="Century Gothic" w:cs="Arial"/>
          <w:color w:val="000000"/>
        </w:rPr>
        <w:t>En ese contexto</w:t>
      </w:r>
      <w:r w:rsidR="000C7911" w:rsidRPr="00443DEB">
        <w:rPr>
          <w:rFonts w:ascii="Century Gothic" w:hAnsi="Century Gothic" w:cs="Arial"/>
          <w:color w:val="000000"/>
        </w:rPr>
        <w:t>, la jurisprudencia de la Sección Tercera del Consejo de Estado ha distinguido 2 momentos para efectos de examinar la posibilidad de revocar de manera unilateral el acto de apertura:</w:t>
      </w:r>
      <w:r w:rsidR="0082066F">
        <w:rPr>
          <w:rFonts w:ascii="Century Gothic" w:hAnsi="Century Gothic" w:cs="Arial"/>
          <w:color w:val="000000"/>
        </w:rPr>
        <w:t xml:space="preserve"> (i) e</w:t>
      </w:r>
      <w:r w:rsidR="000C7911" w:rsidRPr="00443DEB">
        <w:rPr>
          <w:rFonts w:ascii="Century Gothic" w:hAnsi="Century Gothic" w:cs="Arial"/>
          <w:color w:val="000000"/>
        </w:rPr>
        <w:t xml:space="preserve">l primer momento es antes de que se presenten ofertas, en el cual hay unanimidad de criterio respecto a la posibilidad de revocarlo unilateralmente, </w:t>
      </w:r>
      <w:r w:rsidR="000C7911" w:rsidRPr="00443DEB">
        <w:rPr>
          <w:rFonts w:ascii="Century Gothic" w:hAnsi="Century Gothic" w:cs="Arial"/>
          <w:color w:val="000000"/>
          <w:lang w:eastAsia="es-CO"/>
        </w:rPr>
        <w:t>porque no se ha configurado ninguna situación particular</w:t>
      </w:r>
      <w:r w:rsidR="0082066F">
        <w:rPr>
          <w:rFonts w:ascii="Century Gothic" w:hAnsi="Century Gothic" w:cs="Arial"/>
          <w:color w:val="000000"/>
        </w:rPr>
        <w:t>; y, ii) e</w:t>
      </w:r>
      <w:r w:rsidR="000C7911" w:rsidRPr="00443DEB">
        <w:rPr>
          <w:rFonts w:ascii="Century Gothic" w:hAnsi="Century Gothic" w:cs="Arial"/>
          <w:color w:val="000000"/>
        </w:rPr>
        <w:t>l segundo momento es cuando se presentan las ofertas en el proceso de selección, caso en el cual la jurisprudencia ha planteado 4 tesis, que resuelven el siguiente problema jurídico</w:t>
      </w:r>
      <w:r w:rsidR="00521C8B">
        <w:rPr>
          <w:rFonts w:ascii="Century Gothic" w:hAnsi="Century Gothic" w:cs="Arial"/>
          <w:color w:val="000000"/>
        </w:rPr>
        <w:t>.</w:t>
      </w:r>
    </w:p>
    <w:p w14:paraId="3D24350A" w14:textId="2ABC1875" w:rsidR="000C7911" w:rsidRPr="00443DEB" w:rsidRDefault="00521C8B" w:rsidP="0047034A">
      <w:pPr>
        <w:suppressAutoHyphens/>
        <w:spacing w:line="276" w:lineRule="auto"/>
        <w:ind w:firstLine="708"/>
        <w:jc w:val="both"/>
        <w:textDirection w:val="btLr"/>
        <w:textAlignment w:val="top"/>
        <w:outlineLvl w:val="0"/>
        <w:rPr>
          <w:rFonts w:ascii="Century Gothic" w:hAnsi="Century Gothic" w:cs="Arial"/>
        </w:rPr>
      </w:pPr>
      <w:r>
        <w:rPr>
          <w:rFonts w:ascii="Century Gothic" w:hAnsi="Century Gothic" w:cs="Arial"/>
          <w:color w:val="000000"/>
        </w:rPr>
        <w:t>La primera tesis dispone que a</w:t>
      </w:r>
      <w:r w:rsidR="000C7911" w:rsidRPr="00443DEB">
        <w:rPr>
          <w:rFonts w:ascii="Century Gothic" w:hAnsi="Century Gothic" w:cs="Arial"/>
          <w:color w:val="000000"/>
        </w:rPr>
        <w:t xml:space="preserve">ntes de adjudicar un proceso de contratación, es revocable de manera unilateral el acto de apertura, siempre </w:t>
      </w:r>
      <w:r w:rsidR="000C7911" w:rsidRPr="00443DEB">
        <w:rPr>
          <w:rFonts w:ascii="Century Gothic" w:hAnsi="Century Gothic" w:cs="Arial"/>
        </w:rPr>
        <w:t>que concurra alguna causal prevista en el C</w:t>
      </w:r>
      <w:r w:rsidR="00B67855">
        <w:rPr>
          <w:rFonts w:ascii="Century Gothic" w:hAnsi="Century Gothic" w:cs="Arial"/>
        </w:rPr>
        <w:t>PA</w:t>
      </w:r>
      <w:r w:rsidR="000C7911" w:rsidRPr="00443DEB">
        <w:rPr>
          <w:rFonts w:ascii="Century Gothic" w:hAnsi="Century Gothic" w:cs="Arial"/>
        </w:rPr>
        <w:t>CA</w:t>
      </w:r>
      <w:r w:rsidR="000C7911" w:rsidRPr="00443DEB">
        <w:rPr>
          <w:rFonts w:ascii="Century Gothic" w:hAnsi="Century Gothic" w:cs="Arial"/>
          <w:color w:val="000000"/>
        </w:rPr>
        <w:t>.</w:t>
      </w:r>
      <w:r w:rsidR="00B67855">
        <w:rPr>
          <w:rFonts w:ascii="Century Gothic" w:hAnsi="Century Gothic" w:cs="Arial"/>
          <w:color w:val="000000"/>
        </w:rPr>
        <w:t xml:space="preserve"> </w:t>
      </w:r>
      <w:r w:rsidR="000C7911" w:rsidRPr="00443DEB">
        <w:rPr>
          <w:rFonts w:ascii="Century Gothic" w:eastAsia="Arial" w:hAnsi="Century Gothic" w:cs="Arial"/>
        </w:rPr>
        <w:t xml:space="preserve">Lo anterior en atención a que, ante la falta de una norma que regule aspectos como la </w:t>
      </w:r>
      <w:r w:rsidR="000C7911" w:rsidRPr="00443DEB">
        <w:rPr>
          <w:rFonts w:ascii="Century Gothic" w:eastAsia="Arial" w:hAnsi="Century Gothic" w:cs="Arial"/>
          <w:lang w:val="es-ES"/>
        </w:rPr>
        <w:t xml:space="preserve">revocabilidad de los actos administrativos expedidos durante la etapa precontractual, contractual o </w:t>
      </w:r>
      <w:proofErr w:type="spellStart"/>
      <w:r w:rsidR="000C7911" w:rsidRPr="00443DEB">
        <w:rPr>
          <w:rFonts w:ascii="Century Gothic" w:eastAsia="Arial" w:hAnsi="Century Gothic" w:cs="Arial"/>
          <w:lang w:val="es-ES"/>
        </w:rPr>
        <w:t>pos-contractual</w:t>
      </w:r>
      <w:proofErr w:type="spellEnd"/>
      <w:r w:rsidR="000C7911" w:rsidRPr="00443DEB">
        <w:rPr>
          <w:rFonts w:ascii="Century Gothic" w:eastAsia="Arial" w:hAnsi="Century Gothic" w:cs="Arial"/>
        </w:rPr>
        <w:t xml:space="preserve"> -salvo el acto administrativo de adjudicación que sí tiene una norma expresa que determina su irrevocabilidad-, resulta aplicable el régimen general previsto en el C</w:t>
      </w:r>
      <w:r w:rsidR="00B012DB">
        <w:rPr>
          <w:rFonts w:ascii="Century Gothic" w:eastAsia="Arial" w:hAnsi="Century Gothic" w:cs="Arial"/>
        </w:rPr>
        <w:t>PA</w:t>
      </w:r>
      <w:r w:rsidR="000C7911" w:rsidRPr="00443DEB">
        <w:rPr>
          <w:rFonts w:ascii="Century Gothic" w:eastAsia="Arial" w:hAnsi="Century Gothic" w:cs="Arial"/>
        </w:rPr>
        <w:t xml:space="preserve">CA, por remisión expresa del artículo </w:t>
      </w:r>
      <w:r w:rsidR="000C7911" w:rsidRPr="00443DEB">
        <w:rPr>
          <w:rFonts w:ascii="Century Gothic" w:hAnsi="Century Gothic" w:cs="Arial"/>
          <w:lang w:eastAsia="es-CO"/>
        </w:rPr>
        <w:t xml:space="preserve">77 de la Ley 80 de 1993, el cual señala que: </w:t>
      </w:r>
      <w:r w:rsidR="000C7911" w:rsidRPr="00443DEB">
        <w:rPr>
          <w:rFonts w:ascii="Century Gothic" w:hAnsi="Century Gothic" w:cs="Arial"/>
          <w:i/>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r w:rsidR="000C7911" w:rsidRPr="00443DEB">
        <w:rPr>
          <w:rStyle w:val="Refdenotaalpie"/>
          <w:rFonts w:ascii="Century Gothic" w:hAnsi="Century Gothic" w:cs="Arial"/>
          <w:i/>
        </w:rPr>
        <w:footnoteReference w:id="14"/>
      </w:r>
      <w:r w:rsidR="000C7911" w:rsidRPr="00443DEB">
        <w:rPr>
          <w:rFonts w:ascii="Century Gothic" w:hAnsi="Century Gothic" w:cs="Arial"/>
          <w:i/>
        </w:rPr>
        <w:t>.</w:t>
      </w:r>
      <w:r w:rsidR="000C7911" w:rsidRPr="00443DEB">
        <w:rPr>
          <w:rFonts w:ascii="Century Gothic" w:hAnsi="Century Gothic" w:cs="Arial"/>
        </w:rPr>
        <w:t xml:space="preserve"> </w:t>
      </w:r>
    </w:p>
    <w:p w14:paraId="57C0C9A3" w14:textId="77777777" w:rsidR="000C7911" w:rsidRPr="00443DEB" w:rsidRDefault="000C7911" w:rsidP="0047034A">
      <w:pPr>
        <w:suppressAutoHyphens/>
        <w:spacing w:line="276" w:lineRule="auto"/>
        <w:ind w:firstLine="708"/>
        <w:jc w:val="both"/>
        <w:textDirection w:val="btLr"/>
        <w:textAlignment w:val="top"/>
        <w:outlineLvl w:val="0"/>
        <w:rPr>
          <w:rFonts w:ascii="Century Gothic" w:hAnsi="Century Gothic" w:cs="Arial"/>
        </w:rPr>
      </w:pPr>
      <w:r w:rsidRPr="00443DEB">
        <w:rPr>
          <w:rFonts w:ascii="Century Gothic" w:hAnsi="Century Gothic" w:cs="Arial"/>
          <w:color w:val="000000"/>
        </w:rPr>
        <w:t>Sin embargo, en la medida en que esté más avanzado el proceso de selección se irán consolidando</w:t>
      </w:r>
      <w:r w:rsidRPr="00443DEB">
        <w:rPr>
          <w:rFonts w:ascii="Century Gothic" w:hAnsi="Century Gothic" w:cs="Arial"/>
          <w:b/>
          <w:bCs/>
          <w:color w:val="000000"/>
        </w:rPr>
        <w:t xml:space="preserve"> </w:t>
      </w:r>
      <w:r w:rsidRPr="00443DEB">
        <w:rPr>
          <w:rFonts w:ascii="Century Gothic" w:hAnsi="Century Gothic" w:cs="Arial"/>
        </w:rPr>
        <w:t>“expectativas” jurídicas y económicas de los participantes, y en esa misma medida se incrementan los riesgos de causar daños ciertos y personales, que en caso de proferirse una revocatoria, podrán ser objeto de indemnización por parte de la administración, siempre y cuando exista prueba de su configuración. Sin embargo, esta situación no afecta la validez del acto administrativo.</w:t>
      </w:r>
    </w:p>
    <w:p w14:paraId="24CEB8ED" w14:textId="5A65D567" w:rsidR="000C7911" w:rsidRPr="00443DEB" w:rsidRDefault="005871D7" w:rsidP="0047034A">
      <w:pPr>
        <w:suppressAutoHyphens/>
        <w:spacing w:line="276" w:lineRule="auto"/>
        <w:ind w:firstLine="708"/>
        <w:jc w:val="both"/>
        <w:textDirection w:val="btLr"/>
        <w:textAlignment w:val="top"/>
        <w:outlineLvl w:val="0"/>
        <w:rPr>
          <w:rFonts w:ascii="Century Gothic" w:hAnsi="Century Gothic" w:cs="Arial"/>
          <w:color w:val="000000"/>
          <w:lang w:eastAsia="es-CO"/>
        </w:rPr>
      </w:pPr>
      <w:r>
        <w:rPr>
          <w:rFonts w:ascii="Century Gothic" w:hAnsi="Century Gothic" w:cs="Arial"/>
          <w:color w:val="000000"/>
        </w:rPr>
        <w:t xml:space="preserve">La segunda </w:t>
      </w:r>
      <w:r w:rsidR="00AE2380">
        <w:rPr>
          <w:rFonts w:ascii="Century Gothic" w:hAnsi="Century Gothic" w:cs="Arial"/>
          <w:color w:val="000000"/>
        </w:rPr>
        <w:t>tesis plantea</w:t>
      </w:r>
      <w:r>
        <w:rPr>
          <w:rFonts w:ascii="Century Gothic" w:hAnsi="Century Gothic" w:cs="Arial"/>
          <w:color w:val="000000"/>
        </w:rPr>
        <w:t xml:space="preserve"> que n</w:t>
      </w:r>
      <w:r w:rsidR="000C7911" w:rsidRPr="00443DEB">
        <w:rPr>
          <w:rFonts w:ascii="Century Gothic" w:hAnsi="Century Gothic" w:cs="Arial"/>
          <w:color w:val="000000"/>
        </w:rPr>
        <w:t xml:space="preserve">o es posible revocar unilateralmente el acto de apertura, por cuanto la administración </w:t>
      </w:r>
      <w:r w:rsidR="000C7911" w:rsidRPr="00443DEB">
        <w:rPr>
          <w:rFonts w:ascii="Century Gothic" w:eastAsia="Arial" w:hAnsi="Century Gothic" w:cs="Arial"/>
          <w:bCs/>
        </w:rPr>
        <w:t>debe iniciar la actuación de que trata el artículo</w:t>
      </w:r>
      <w:r w:rsidR="00AE2380">
        <w:rPr>
          <w:rFonts w:ascii="Century Gothic" w:eastAsia="Arial" w:hAnsi="Century Gothic" w:cs="Arial"/>
          <w:bCs/>
        </w:rPr>
        <w:t xml:space="preserve"> 97</w:t>
      </w:r>
      <w:r w:rsidR="000C7911" w:rsidRPr="00443DEB">
        <w:rPr>
          <w:rFonts w:ascii="Century Gothic" w:eastAsia="Arial" w:hAnsi="Century Gothic" w:cs="Arial"/>
          <w:bCs/>
        </w:rPr>
        <w:t xml:space="preserve"> del C</w:t>
      </w:r>
      <w:r w:rsidR="00AE2380">
        <w:rPr>
          <w:rFonts w:ascii="Century Gothic" w:eastAsia="Arial" w:hAnsi="Century Gothic" w:cs="Arial"/>
          <w:bCs/>
        </w:rPr>
        <w:t>PACA</w:t>
      </w:r>
      <w:r w:rsidR="00EE7458">
        <w:rPr>
          <w:rFonts w:ascii="Century Gothic" w:eastAsia="Arial" w:hAnsi="Century Gothic" w:cs="Arial"/>
          <w:bCs/>
        </w:rPr>
        <w:t>,</w:t>
      </w:r>
      <w:r w:rsidR="000C7911" w:rsidRPr="00443DEB">
        <w:rPr>
          <w:rFonts w:ascii="Century Gothic" w:eastAsia="Arial" w:hAnsi="Century Gothic" w:cs="Arial"/>
          <w:bCs/>
        </w:rPr>
        <w:t xml:space="preserve"> y solicitar el consentimiento de quien o quienes hayan presentado ofertas dentro del plazo previsto en los pliegos de condiciones.</w:t>
      </w:r>
      <w:r w:rsidR="00AE2380">
        <w:rPr>
          <w:rFonts w:ascii="Century Gothic" w:eastAsia="Arial" w:hAnsi="Century Gothic" w:cs="Arial"/>
          <w:bCs/>
        </w:rPr>
        <w:t xml:space="preserve"> </w:t>
      </w:r>
      <w:r w:rsidR="000C7911" w:rsidRPr="00443DEB">
        <w:rPr>
          <w:rFonts w:ascii="Century Gothic" w:hAnsi="Century Gothic" w:cs="Arial"/>
          <w:color w:val="000000"/>
          <w:lang w:eastAsia="es-CO"/>
        </w:rPr>
        <w:t>Lo anterior por cuanto una vez los interesados presentan sus respectivas ofertas, se genera la legítima expectativa de que su propuesta sea considerada y, en ese momento, la oferta pública de la administración, contenida en el acto de apertura del proceso de selección, se particulariza y se convierte en irrevocable.</w:t>
      </w:r>
    </w:p>
    <w:p w14:paraId="73D13FB6" w14:textId="3D6A2354" w:rsidR="000C7911" w:rsidRPr="00443DEB" w:rsidRDefault="000C7911" w:rsidP="0047034A">
      <w:pPr>
        <w:suppressAutoHyphens/>
        <w:spacing w:line="276" w:lineRule="auto"/>
        <w:ind w:firstLine="708"/>
        <w:jc w:val="both"/>
        <w:textDirection w:val="btLr"/>
        <w:textAlignment w:val="top"/>
        <w:outlineLvl w:val="0"/>
        <w:rPr>
          <w:rFonts w:ascii="Century Gothic" w:hAnsi="Century Gothic" w:cs="Arial"/>
          <w:color w:val="000000"/>
          <w:lang w:eastAsia="es-CO"/>
        </w:rPr>
      </w:pPr>
      <w:r w:rsidRPr="00443DEB">
        <w:rPr>
          <w:rFonts w:ascii="Century Gothic" w:hAnsi="Century Gothic" w:cs="Arial"/>
          <w:color w:val="000000"/>
          <w:lang w:eastAsia="es-CO"/>
        </w:rPr>
        <w:t xml:space="preserve">De no contarse con tal consentimiento y si se produce la revocatoria, el acto surge viciado de nulidad por expedición irregular, a menos que se presente el supuesto previsto en la parte final del inciso </w:t>
      </w:r>
      <w:r w:rsidR="006B28AA">
        <w:rPr>
          <w:rFonts w:ascii="Century Gothic" w:hAnsi="Century Gothic" w:cs="Arial"/>
          <w:color w:val="000000"/>
          <w:lang w:eastAsia="es-CO"/>
        </w:rPr>
        <w:t xml:space="preserve">tercero </w:t>
      </w:r>
      <w:r w:rsidRPr="00443DEB">
        <w:rPr>
          <w:rFonts w:ascii="Century Gothic" w:hAnsi="Century Gothic" w:cs="Arial"/>
          <w:color w:val="000000"/>
          <w:lang w:eastAsia="es-CO"/>
        </w:rPr>
        <w:t xml:space="preserve">del artículo </w:t>
      </w:r>
      <w:r w:rsidR="006B28AA">
        <w:rPr>
          <w:rFonts w:ascii="Century Gothic" w:hAnsi="Century Gothic" w:cs="Arial"/>
          <w:color w:val="000000"/>
          <w:lang w:eastAsia="es-CO"/>
        </w:rPr>
        <w:t>97</w:t>
      </w:r>
      <w:r w:rsidRPr="00443DEB">
        <w:rPr>
          <w:rFonts w:ascii="Century Gothic" w:hAnsi="Century Gothic" w:cs="Arial"/>
          <w:color w:val="000000"/>
          <w:lang w:eastAsia="es-CO"/>
        </w:rPr>
        <w:t xml:space="preserve"> del C</w:t>
      </w:r>
      <w:r w:rsidR="006B28AA">
        <w:rPr>
          <w:rFonts w:ascii="Century Gothic" w:hAnsi="Century Gothic" w:cs="Arial"/>
          <w:color w:val="000000"/>
          <w:lang w:eastAsia="es-CO"/>
        </w:rPr>
        <w:t>PACA</w:t>
      </w:r>
      <w:r w:rsidRPr="00443DEB">
        <w:rPr>
          <w:rFonts w:ascii="Century Gothic" w:hAnsi="Century Gothic" w:cs="Arial"/>
          <w:color w:val="000000"/>
          <w:lang w:eastAsia="es-CO"/>
        </w:rPr>
        <w:t xml:space="preserve"> (que el acto haya ocurrido “por medios ilegales”), caso en el cual la administración puede revocarlo directamente, en cualquier estado del proceso de selección (hasta antes de la adjudicación o de la declaratoria de desierto), sin que entonces requiera el consentimiento expreso de los participantes</w:t>
      </w:r>
      <w:r w:rsidRPr="00443DEB">
        <w:rPr>
          <w:rStyle w:val="Refdenotaalpie"/>
          <w:rFonts w:ascii="Century Gothic" w:hAnsi="Century Gothic" w:cs="Arial"/>
          <w:color w:val="000000"/>
          <w:lang w:eastAsia="es-CO"/>
        </w:rPr>
        <w:footnoteReference w:id="15"/>
      </w:r>
      <w:r w:rsidRPr="00443DEB">
        <w:rPr>
          <w:rFonts w:ascii="Century Gothic" w:hAnsi="Century Gothic" w:cs="Arial"/>
          <w:color w:val="000000"/>
          <w:lang w:eastAsia="es-CO"/>
        </w:rPr>
        <w:t>.</w:t>
      </w:r>
    </w:p>
    <w:p w14:paraId="316CF901" w14:textId="0D184ADA" w:rsidR="000C7911" w:rsidRPr="00443DEB" w:rsidRDefault="002311DC" w:rsidP="0047034A">
      <w:pPr>
        <w:spacing w:line="276" w:lineRule="auto"/>
        <w:ind w:firstLine="708"/>
        <w:jc w:val="both"/>
        <w:rPr>
          <w:rFonts w:ascii="Century Gothic" w:hAnsi="Century Gothic" w:cs="Arial"/>
          <w:bCs/>
          <w:color w:val="000000"/>
        </w:rPr>
      </w:pPr>
      <w:r>
        <w:rPr>
          <w:rFonts w:ascii="Century Gothic" w:hAnsi="Century Gothic" w:cs="Arial"/>
          <w:iCs/>
        </w:rPr>
        <w:t xml:space="preserve">Por su parte, la tercera tesis plantea que una </w:t>
      </w:r>
      <w:r w:rsidR="000C7911" w:rsidRPr="00443DEB">
        <w:rPr>
          <w:rFonts w:ascii="Century Gothic" w:eastAsia="Arial" w:hAnsi="Century Gothic" w:cs="Arial"/>
          <w:bCs/>
          <w:iCs/>
          <w:lang w:val="es-ES"/>
        </w:rPr>
        <w:t>vez se han recibido las propuestas, el acto de apertura no puede ser objeto de revocatoria directa en forma unilateral por parte de la Administración, sin el consentimiento expreso del mejor proponente, toda vez que este tiene en su haber la posición jurídica que se deriva de las reglas de la propia convocatoria</w:t>
      </w:r>
      <w:r w:rsidR="00E34336">
        <w:rPr>
          <w:rFonts w:ascii="Century Gothic" w:eastAsia="Arial" w:hAnsi="Century Gothic" w:cs="Arial"/>
          <w:bCs/>
          <w:iCs/>
          <w:lang w:val="es-ES"/>
        </w:rPr>
        <w:t>,</w:t>
      </w:r>
      <w:r w:rsidR="000C7911" w:rsidRPr="00443DEB">
        <w:rPr>
          <w:rFonts w:ascii="Century Gothic" w:eastAsia="Arial" w:hAnsi="Century Gothic" w:cs="Arial"/>
          <w:bCs/>
          <w:iCs/>
          <w:lang w:val="es-ES"/>
        </w:rPr>
        <w:t xml:space="preserve"> que no es otra que la de la oferta mercantil aceptada</w:t>
      </w:r>
      <w:r w:rsidR="003F3AB8">
        <w:rPr>
          <w:rFonts w:ascii="Century Gothic" w:eastAsia="Arial" w:hAnsi="Century Gothic" w:cs="Arial"/>
          <w:bCs/>
          <w:iCs/>
          <w:lang w:val="es-ES"/>
        </w:rPr>
        <w:t xml:space="preserve">, </w:t>
      </w:r>
      <w:r w:rsidR="000C7911" w:rsidRPr="00443DEB">
        <w:rPr>
          <w:rFonts w:ascii="Century Gothic" w:eastAsia="Arial" w:hAnsi="Century Gothic" w:cs="Arial"/>
          <w:bCs/>
          <w:iCs/>
          <w:lang w:val="es-ES"/>
        </w:rPr>
        <w:t>la cual se concreta en el derecho a suscribir el contrato estatal.</w:t>
      </w:r>
      <w:r w:rsidR="003F3AB8">
        <w:rPr>
          <w:rFonts w:ascii="Century Gothic" w:eastAsia="Arial" w:hAnsi="Century Gothic" w:cs="Arial"/>
          <w:bCs/>
          <w:iCs/>
          <w:lang w:val="es-ES"/>
        </w:rPr>
        <w:t xml:space="preserve"> </w:t>
      </w:r>
      <w:r w:rsidR="000C7911" w:rsidRPr="00443DEB">
        <w:rPr>
          <w:rFonts w:ascii="Century Gothic" w:eastAsia="Arial" w:hAnsi="Century Gothic" w:cs="Arial"/>
          <w:bCs/>
          <w:lang w:val="es-ES"/>
        </w:rPr>
        <w:t xml:space="preserve">Lo anterior por cuanto </w:t>
      </w:r>
      <w:r w:rsidR="000C7911" w:rsidRPr="00443DEB">
        <w:rPr>
          <w:rFonts w:ascii="Century Gothic" w:hAnsi="Century Gothic" w:cs="Arial"/>
          <w:bCs/>
          <w:color w:val="000000"/>
        </w:rPr>
        <w:t>desde el momento en que la Administración recibe las ofertas de los proponentes y se cierra la presentación de propuestas, el pliego de condiciones -que en principio era un acto de carácter general- se convierte en un acto de alcance particular, del cual se genera dos derechos, uno para los proponentes de ser evaluados y otro para aquel que tenga la mejor propuesta el cual consiste en ser seleccionado y a ejecutar el contrato estatal que le debe ser adjudicado</w:t>
      </w:r>
      <w:r w:rsidR="000C7911" w:rsidRPr="00443DEB">
        <w:rPr>
          <w:rStyle w:val="Refdenotaalpie"/>
          <w:rFonts w:ascii="Century Gothic" w:hAnsi="Century Gothic" w:cs="Arial"/>
          <w:bCs/>
          <w:color w:val="000000"/>
        </w:rPr>
        <w:footnoteReference w:id="16"/>
      </w:r>
      <w:r w:rsidR="000C7911" w:rsidRPr="00443DEB">
        <w:rPr>
          <w:rFonts w:ascii="Century Gothic" w:hAnsi="Century Gothic" w:cs="Arial"/>
          <w:bCs/>
          <w:color w:val="000000"/>
        </w:rPr>
        <w:t>.</w:t>
      </w:r>
    </w:p>
    <w:p w14:paraId="65CD8216" w14:textId="7FBDF009" w:rsidR="000C7911" w:rsidRPr="00443DEB" w:rsidRDefault="00FF4E31" w:rsidP="0047034A">
      <w:pPr>
        <w:spacing w:line="276" w:lineRule="auto"/>
        <w:ind w:firstLine="708"/>
        <w:jc w:val="both"/>
        <w:rPr>
          <w:rFonts w:ascii="Century Gothic" w:eastAsia="Arial" w:hAnsi="Century Gothic" w:cs="Arial"/>
        </w:rPr>
      </w:pPr>
      <w:r>
        <w:rPr>
          <w:rFonts w:ascii="Century Gothic" w:hAnsi="Century Gothic" w:cs="Arial"/>
          <w:bCs/>
          <w:color w:val="000000"/>
        </w:rPr>
        <w:t>Finalmente, la cuarta tesis dispone que s</w:t>
      </w:r>
      <w:r w:rsidR="000C7911" w:rsidRPr="00443DEB">
        <w:rPr>
          <w:rFonts w:ascii="Century Gothic" w:eastAsia="Arial" w:hAnsi="Century Gothic" w:cs="Arial"/>
        </w:rPr>
        <w:t>e puede revocar unilateralmente el acto de apertura del proceso de selección, si se advierte la configuración de alguna de las causales y demás requisitos que dan paso a su procedencia, toda vez que al ser un acto administrativo de carácter general se torna evidente que la Administración no está condicionada a obtener el consentimiento previo y expreso de los proponentes o del mejor proponente para revocarlo; además,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7F2A2E84" w14:textId="3B659313" w:rsidR="000C7911" w:rsidRPr="00443DEB" w:rsidRDefault="003C69C4" w:rsidP="001A7712">
      <w:pPr>
        <w:spacing w:line="276" w:lineRule="auto"/>
        <w:ind w:firstLine="360"/>
        <w:jc w:val="both"/>
        <w:rPr>
          <w:rFonts w:ascii="Century Gothic" w:eastAsia="Arial" w:hAnsi="Century Gothic" w:cs="Arial"/>
        </w:rPr>
      </w:pPr>
      <w:r>
        <w:rPr>
          <w:rFonts w:ascii="Century Gothic" w:eastAsia="Arial" w:hAnsi="Century Gothic" w:cs="Arial"/>
        </w:rPr>
        <w:t xml:space="preserve">Teniendo en cuenta </w:t>
      </w:r>
      <w:r w:rsidR="0047034A">
        <w:rPr>
          <w:rFonts w:ascii="Century Gothic" w:eastAsia="Arial" w:hAnsi="Century Gothic" w:cs="Arial"/>
        </w:rPr>
        <w:t>l</w:t>
      </w:r>
      <w:r w:rsidR="00F474AA">
        <w:rPr>
          <w:rFonts w:ascii="Century Gothic" w:eastAsia="Arial" w:hAnsi="Century Gothic" w:cs="Arial"/>
        </w:rPr>
        <w:t>o</w:t>
      </w:r>
      <w:r w:rsidR="0047034A">
        <w:rPr>
          <w:rFonts w:ascii="Century Gothic" w:eastAsia="Arial" w:hAnsi="Century Gothic" w:cs="Arial"/>
        </w:rPr>
        <w:t xml:space="preserve"> </w:t>
      </w:r>
      <w:r w:rsidR="00F474AA">
        <w:rPr>
          <w:rFonts w:ascii="Century Gothic" w:eastAsia="Arial" w:hAnsi="Century Gothic" w:cs="Arial"/>
        </w:rPr>
        <w:t>expuesto</w:t>
      </w:r>
      <w:r>
        <w:rPr>
          <w:rFonts w:ascii="Century Gothic" w:eastAsia="Arial" w:hAnsi="Century Gothic" w:cs="Arial"/>
        </w:rPr>
        <w:t xml:space="preserve">, por parte de esta Agencia se </w:t>
      </w:r>
      <w:r w:rsidR="000C7911" w:rsidRPr="00443DEB">
        <w:rPr>
          <w:rFonts w:ascii="Century Gothic" w:eastAsia="Arial" w:hAnsi="Century Gothic" w:cs="Arial"/>
        </w:rPr>
        <w:t>advierte que previo a la expedición del acto administrativo de adjudicación, no se consolidan derechos a favor de los proponentes, toda vez que hasta ese momento solo existen “</w:t>
      </w:r>
      <w:r w:rsidR="000C7911" w:rsidRPr="00443DEB">
        <w:rPr>
          <w:rFonts w:ascii="Century Gothic" w:eastAsia="Arial" w:hAnsi="Century Gothic" w:cs="Arial"/>
          <w:i/>
          <w:iCs/>
        </w:rPr>
        <w:t>meras expectativas”</w:t>
      </w:r>
      <w:r w:rsidR="000C7911" w:rsidRPr="00443DEB">
        <w:rPr>
          <w:rFonts w:ascii="Century Gothic" w:eastAsia="Arial" w:hAnsi="Century Gothic" w:cs="Arial"/>
        </w:rPr>
        <w:t xml:space="preserve"> y, en algunas circunstancias, </w:t>
      </w:r>
      <w:r w:rsidR="000C7911" w:rsidRPr="00443DEB">
        <w:rPr>
          <w:rFonts w:ascii="Century Gothic" w:eastAsia="Arial" w:hAnsi="Century Gothic" w:cs="Arial"/>
          <w:i/>
          <w:iCs/>
        </w:rPr>
        <w:t>expectativas legítimas</w:t>
      </w:r>
      <w:r w:rsidR="000C7911" w:rsidRPr="00443DEB">
        <w:rPr>
          <w:rFonts w:ascii="Century Gothic" w:eastAsia="Arial" w:hAnsi="Century Gothic" w:cs="Arial"/>
        </w:rPr>
        <w:t xml:space="preserve"> a favor de algún participante; conceptos jurídicos que alinderan tanto la existencia y alcance de un eventual derecho o expectativa, y el punto límite de proyección del atributo de la revocatoria del acto administrativo</w:t>
      </w:r>
      <w:r w:rsidR="000C7911" w:rsidRPr="00443DEB">
        <w:rPr>
          <w:rStyle w:val="Refdenotaalpie"/>
          <w:rFonts w:ascii="Century Gothic" w:eastAsia="Arial" w:hAnsi="Century Gothic" w:cs="Arial"/>
        </w:rPr>
        <w:footnoteReference w:id="17"/>
      </w:r>
      <w:r w:rsidR="000C7911" w:rsidRPr="00443DEB">
        <w:rPr>
          <w:rFonts w:ascii="Century Gothic" w:eastAsia="Arial" w:hAnsi="Century Gothic" w:cs="Arial"/>
        </w:rPr>
        <w:t>.</w:t>
      </w:r>
    </w:p>
    <w:p w14:paraId="20DC806C" w14:textId="40E33573" w:rsidR="000C7911" w:rsidRPr="00443DEB" w:rsidRDefault="001951C0" w:rsidP="001951C0">
      <w:pPr>
        <w:suppressAutoHyphens/>
        <w:spacing w:line="276" w:lineRule="auto"/>
        <w:ind w:firstLine="708"/>
        <w:jc w:val="both"/>
        <w:textDirection w:val="btLr"/>
        <w:textAlignment w:val="top"/>
        <w:outlineLvl w:val="0"/>
        <w:rPr>
          <w:rFonts w:ascii="Century Gothic" w:hAnsi="Century Gothic" w:cs="Arial"/>
          <w:shd w:val="clear" w:color="auto" w:fill="FFFFFF"/>
        </w:rPr>
      </w:pPr>
      <w:r>
        <w:rPr>
          <w:rFonts w:ascii="Century Gothic" w:hAnsi="Century Gothic" w:cs="Arial"/>
          <w:shd w:val="clear" w:color="auto" w:fill="FFFFFF"/>
        </w:rPr>
        <w:t>En ese orden de ideas, p</w:t>
      </w:r>
      <w:r w:rsidR="000C7911" w:rsidRPr="00443DEB">
        <w:rPr>
          <w:rFonts w:ascii="Century Gothic" w:hAnsi="Century Gothic" w:cs="Arial"/>
          <w:shd w:val="clear" w:color="auto" w:fill="FFFFFF"/>
        </w:rPr>
        <w:t xml:space="preserve">ara la tesis </w:t>
      </w:r>
      <w:r w:rsidR="005860AA">
        <w:rPr>
          <w:rFonts w:ascii="Century Gothic" w:hAnsi="Century Gothic" w:cs="Arial"/>
          <w:shd w:val="clear" w:color="auto" w:fill="FFFFFF"/>
        </w:rPr>
        <w:t>primera</w:t>
      </w:r>
      <w:r w:rsidR="000C7911" w:rsidRPr="00443DEB">
        <w:rPr>
          <w:rFonts w:ascii="Century Gothic" w:hAnsi="Century Gothic" w:cs="Arial"/>
          <w:shd w:val="clear" w:color="auto" w:fill="FFFFFF"/>
        </w:rPr>
        <w:t xml:space="preserve"> y </w:t>
      </w:r>
      <w:r w:rsidR="005860AA">
        <w:rPr>
          <w:rFonts w:ascii="Century Gothic" w:hAnsi="Century Gothic" w:cs="Arial"/>
          <w:shd w:val="clear" w:color="auto" w:fill="FFFFFF"/>
        </w:rPr>
        <w:t>cuarta</w:t>
      </w:r>
      <w:r w:rsidR="000C7911" w:rsidRPr="00443DEB">
        <w:rPr>
          <w:rFonts w:ascii="Century Gothic" w:hAnsi="Century Gothic" w:cs="Arial"/>
          <w:shd w:val="clear" w:color="auto" w:fill="FFFFFF"/>
        </w:rPr>
        <w:t xml:space="preserve"> la naturaleza jurídica del acto de apertura es la de un acto administrativo general por lo que resulta posible revocarlo de manera unilateral. Se diferencian en que, para la primera, una vez se han presentado las ofertas y conforme avanza el proceso de elección, se irán consolidando</w:t>
      </w:r>
      <w:r w:rsidR="000C7911" w:rsidRPr="00443DEB">
        <w:rPr>
          <w:rFonts w:ascii="Century Gothic" w:hAnsi="Century Gothic" w:cs="Arial"/>
          <w:color w:val="000000"/>
        </w:rPr>
        <w:t xml:space="preserve"> </w:t>
      </w:r>
      <w:r w:rsidR="000C7911" w:rsidRPr="00443DEB">
        <w:rPr>
          <w:rFonts w:ascii="Century Gothic" w:hAnsi="Century Gothic" w:cs="Arial"/>
        </w:rPr>
        <w:t xml:space="preserve">“expectativas” jurídicas y económicas de los participantes; mientras </w:t>
      </w:r>
      <w:r w:rsidR="005860AA" w:rsidRPr="00443DEB">
        <w:rPr>
          <w:rFonts w:ascii="Century Gothic" w:hAnsi="Century Gothic" w:cs="Arial"/>
        </w:rPr>
        <w:t>que,</w:t>
      </w:r>
      <w:r w:rsidR="000C7911" w:rsidRPr="00443DEB">
        <w:rPr>
          <w:rFonts w:ascii="Century Gothic" w:hAnsi="Century Gothic" w:cs="Arial"/>
        </w:rPr>
        <w:t xml:space="preserve"> para la tesis </w:t>
      </w:r>
      <w:r w:rsidR="005860AA">
        <w:rPr>
          <w:rFonts w:ascii="Century Gothic" w:hAnsi="Century Gothic" w:cs="Arial"/>
        </w:rPr>
        <w:t>cuarta</w:t>
      </w:r>
      <w:r w:rsidR="000C7911" w:rsidRPr="00443DEB">
        <w:rPr>
          <w:rFonts w:ascii="Century Gothic" w:hAnsi="Century Gothic" w:cs="Arial"/>
        </w:rPr>
        <w:t xml:space="preserve">, </w:t>
      </w:r>
      <w:r w:rsidR="000C7911" w:rsidRPr="00443DEB">
        <w:rPr>
          <w:rFonts w:ascii="Century Gothic" w:eastAsia="Arial" w:hAnsi="Century Gothic" w:cs="Arial"/>
        </w:rPr>
        <w:t>previo a la expedición del acto administrativo de adjudicación, no se consolidan derechos a favor de los proponentes, toda vez que hasta ese momento solo existen meras expectativas que se consolidan una vez se selecciona la mejor oferta.</w:t>
      </w:r>
    </w:p>
    <w:p w14:paraId="588D325D" w14:textId="678372BF" w:rsidR="000C7911" w:rsidRPr="00443DEB" w:rsidRDefault="000C7911" w:rsidP="005860AA">
      <w:pPr>
        <w:suppressAutoHyphens/>
        <w:spacing w:line="276" w:lineRule="auto"/>
        <w:ind w:firstLine="708"/>
        <w:jc w:val="both"/>
        <w:textDirection w:val="btLr"/>
        <w:textAlignment w:val="top"/>
        <w:outlineLvl w:val="0"/>
        <w:rPr>
          <w:rFonts w:ascii="Century Gothic" w:hAnsi="Century Gothic" w:cs="Arial"/>
          <w:shd w:val="clear" w:color="auto" w:fill="FFFFFF"/>
        </w:rPr>
      </w:pPr>
      <w:r w:rsidRPr="00443DEB">
        <w:rPr>
          <w:rFonts w:ascii="Century Gothic" w:hAnsi="Century Gothic" w:cs="Arial"/>
          <w:shd w:val="clear" w:color="auto" w:fill="FFFFFF"/>
        </w:rPr>
        <w:t xml:space="preserve">Para la tesis </w:t>
      </w:r>
      <w:r w:rsidR="005860AA">
        <w:rPr>
          <w:rFonts w:ascii="Century Gothic" w:hAnsi="Century Gothic" w:cs="Arial"/>
          <w:shd w:val="clear" w:color="auto" w:fill="FFFFFF"/>
        </w:rPr>
        <w:t>segunda</w:t>
      </w:r>
      <w:r w:rsidRPr="00443DEB">
        <w:rPr>
          <w:rFonts w:ascii="Century Gothic" w:hAnsi="Century Gothic" w:cs="Arial"/>
          <w:shd w:val="clear" w:color="auto" w:fill="FFFFFF"/>
        </w:rPr>
        <w:t xml:space="preserve"> y </w:t>
      </w:r>
      <w:r w:rsidR="005860AA">
        <w:rPr>
          <w:rFonts w:ascii="Century Gothic" w:hAnsi="Century Gothic" w:cs="Arial"/>
          <w:shd w:val="clear" w:color="auto" w:fill="FFFFFF"/>
        </w:rPr>
        <w:t>tercera</w:t>
      </w:r>
      <w:r w:rsidRPr="00443DEB">
        <w:rPr>
          <w:rFonts w:ascii="Century Gothic" w:hAnsi="Century Gothic" w:cs="Arial"/>
          <w:shd w:val="clear" w:color="auto" w:fill="FFFFFF"/>
        </w:rPr>
        <w:t xml:space="preserve">, una vez se presentan las propuestas en los procesos de selección, el acto de apertura se transforma en un acto administrativo de carácter particular, lo cual hace que adquiera el carácter de irrevocable. La diferencia está en </w:t>
      </w:r>
      <w:r w:rsidR="00C52DC1" w:rsidRPr="00443DEB">
        <w:rPr>
          <w:rFonts w:ascii="Century Gothic" w:hAnsi="Century Gothic" w:cs="Arial"/>
          <w:shd w:val="clear" w:color="auto" w:fill="FFFFFF"/>
        </w:rPr>
        <w:t>que,</w:t>
      </w:r>
      <w:r w:rsidRPr="00443DEB">
        <w:rPr>
          <w:rFonts w:ascii="Century Gothic" w:hAnsi="Century Gothic" w:cs="Arial"/>
          <w:shd w:val="clear" w:color="auto" w:fill="FFFFFF"/>
        </w:rPr>
        <w:t xml:space="preserve"> para la tesis </w:t>
      </w:r>
      <w:r w:rsidR="005860AA">
        <w:rPr>
          <w:rFonts w:ascii="Century Gothic" w:hAnsi="Century Gothic" w:cs="Arial"/>
          <w:shd w:val="clear" w:color="auto" w:fill="FFFFFF"/>
        </w:rPr>
        <w:t>segunda</w:t>
      </w:r>
      <w:r w:rsidRPr="00443DEB">
        <w:rPr>
          <w:rFonts w:ascii="Century Gothic" w:hAnsi="Century Gothic" w:cs="Arial"/>
          <w:shd w:val="clear" w:color="auto" w:fill="FFFFFF"/>
        </w:rPr>
        <w:t xml:space="preserve">, el acto se transforma en particular para todos los oferentes que presentaron propuesta en tiempo, razón por la cual se requiere de su aquiescencia para la revocatoria del acto de apertura; mientras que para la tesis </w:t>
      </w:r>
      <w:r w:rsidR="00C52DC1">
        <w:rPr>
          <w:rFonts w:ascii="Century Gothic" w:hAnsi="Century Gothic" w:cs="Arial"/>
          <w:shd w:val="clear" w:color="auto" w:fill="FFFFFF"/>
        </w:rPr>
        <w:t>tercera</w:t>
      </w:r>
      <w:r w:rsidRPr="00443DEB">
        <w:rPr>
          <w:rFonts w:ascii="Century Gothic" w:hAnsi="Century Gothic" w:cs="Arial"/>
          <w:shd w:val="clear" w:color="auto" w:fill="FFFFFF"/>
        </w:rPr>
        <w:t xml:space="preserve"> el acto de apertura se convierte en particular para el proponente que tenga la mejor oferta, razón por la cual se requiere de la aceptación de este último para poder proceder a la revocatoria del acto de apertura.</w:t>
      </w:r>
    </w:p>
    <w:p w14:paraId="7FD27A6C" w14:textId="04A26473" w:rsidR="000C7911" w:rsidRPr="00443DEB" w:rsidRDefault="000C7911" w:rsidP="00C52DC1">
      <w:pPr>
        <w:spacing w:line="276" w:lineRule="auto"/>
        <w:ind w:firstLine="708"/>
        <w:jc w:val="both"/>
        <w:rPr>
          <w:rFonts w:ascii="Century Gothic" w:hAnsi="Century Gothic" w:cs="Arial"/>
          <w:shd w:val="clear" w:color="auto" w:fill="FFFFFF"/>
        </w:rPr>
      </w:pPr>
      <w:r w:rsidRPr="00443DEB">
        <w:rPr>
          <w:rFonts w:ascii="Century Gothic" w:hAnsi="Century Gothic" w:cs="Arial"/>
          <w:shd w:val="clear" w:color="auto" w:fill="FFFFFF"/>
        </w:rPr>
        <w:t xml:space="preserve">En criterio </w:t>
      </w:r>
      <w:r w:rsidR="00C52DC1">
        <w:rPr>
          <w:rFonts w:ascii="Century Gothic" w:hAnsi="Century Gothic" w:cs="Arial"/>
          <w:shd w:val="clear" w:color="auto" w:fill="FFFFFF"/>
        </w:rPr>
        <w:t xml:space="preserve">adoptado por </w:t>
      </w:r>
      <w:r w:rsidRPr="00443DEB">
        <w:rPr>
          <w:rFonts w:ascii="Century Gothic" w:hAnsi="Century Gothic" w:cs="Arial"/>
          <w:shd w:val="clear" w:color="auto" w:fill="FFFFFF"/>
        </w:rPr>
        <w:t>esta Subdirección</w:t>
      </w:r>
      <w:r w:rsidR="00C52DC1">
        <w:rPr>
          <w:rFonts w:ascii="Century Gothic" w:hAnsi="Century Gothic" w:cs="Arial"/>
          <w:shd w:val="clear" w:color="auto" w:fill="FFFFFF"/>
        </w:rPr>
        <w:t xml:space="preserve"> en concepto </w:t>
      </w:r>
      <w:r w:rsidR="00C52DC1">
        <w:rPr>
          <w:rFonts w:ascii="Century Gothic" w:eastAsia="Calibri" w:hAnsi="Century Gothic" w:cs="Arial"/>
        </w:rPr>
        <w:t>C-633 de 25 de octubre de 2022</w:t>
      </w:r>
      <w:r w:rsidRPr="00443DEB">
        <w:rPr>
          <w:rFonts w:ascii="Century Gothic" w:hAnsi="Century Gothic" w:cs="Arial"/>
          <w:shd w:val="clear" w:color="auto" w:fill="FFFFFF"/>
        </w:rPr>
        <w:t xml:space="preserve">, la interpretación que mejor se ajusta al cumplimiento de los fines de la contratación estatal es la tesis </w:t>
      </w:r>
      <w:r w:rsidR="00987B00">
        <w:rPr>
          <w:rFonts w:ascii="Century Gothic" w:hAnsi="Century Gothic" w:cs="Arial"/>
          <w:shd w:val="clear" w:color="auto" w:fill="FFFFFF"/>
        </w:rPr>
        <w:t>cuarta</w:t>
      </w:r>
      <w:r w:rsidRPr="00443DEB">
        <w:rPr>
          <w:rFonts w:ascii="Century Gothic" w:hAnsi="Century Gothic" w:cs="Arial"/>
          <w:shd w:val="clear" w:color="auto" w:fill="FFFFFF"/>
        </w:rPr>
        <w:t>, en tanto que la presentación de las propuestas e incluso la publicación del informe de evaluación no muta ni transforma el carácter general que ostenta el acto de apertura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lo tanto,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11E581EA" w14:textId="77777777" w:rsidR="000C7911" w:rsidRPr="00443DEB" w:rsidRDefault="000C7911" w:rsidP="00987B00">
      <w:pPr>
        <w:spacing w:line="276" w:lineRule="auto"/>
        <w:ind w:firstLine="708"/>
        <w:jc w:val="both"/>
        <w:rPr>
          <w:rFonts w:ascii="Century Gothic" w:hAnsi="Century Gothic" w:cs="Arial"/>
          <w:shd w:val="clear" w:color="auto" w:fill="FFFFFF"/>
        </w:rPr>
      </w:pPr>
      <w:r w:rsidRPr="00443DEB">
        <w:rPr>
          <w:rFonts w:ascii="Century Gothic" w:hAnsi="Century Gothic" w:cs="Arial"/>
          <w:shd w:val="clear" w:color="auto" w:fill="FFFFFF"/>
        </w:rPr>
        <w:t>En ese orden de ideas las Entidades Estatales no están condicionadas a obtener el consentimiento previo y expreso de los proponentes o del mejor proponente para revocar el acto administrativo de apertura 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 de conformidad con los requisitos dispuestos en el artículo 97 del CPACA, haciendo prevalecer el imperio de la ley, el interés público y la protección de los derechos.</w:t>
      </w:r>
    </w:p>
    <w:p w14:paraId="08141CAC" w14:textId="12251ED0" w:rsidR="000C7911" w:rsidRPr="00473009" w:rsidRDefault="000C7911" w:rsidP="000C7911">
      <w:pPr>
        <w:spacing w:line="276" w:lineRule="auto"/>
        <w:jc w:val="both"/>
        <w:rPr>
          <w:rFonts w:ascii="Century Gothic" w:hAnsi="Century Gothic" w:cs="Arial"/>
          <w:b/>
          <w:bCs/>
        </w:rPr>
      </w:pPr>
      <w:r w:rsidRPr="00473009">
        <w:rPr>
          <w:rFonts w:ascii="Century Gothic" w:hAnsi="Century Gothic" w:cs="Arial"/>
          <w:b/>
          <w:bCs/>
        </w:rPr>
        <w:t>3. Respuesta</w:t>
      </w:r>
    </w:p>
    <w:p w14:paraId="0EED112A" w14:textId="77777777" w:rsidR="000C7911" w:rsidRPr="00443DEB" w:rsidRDefault="000C7911" w:rsidP="000C7911">
      <w:pPr>
        <w:tabs>
          <w:tab w:val="left" w:pos="426"/>
        </w:tabs>
        <w:spacing w:line="240" w:lineRule="auto"/>
        <w:ind w:left="709" w:right="709"/>
        <w:jc w:val="both"/>
        <w:rPr>
          <w:rFonts w:ascii="Century Gothic" w:eastAsia="Calibri" w:hAnsi="Century Gothic" w:cs="Arial"/>
          <w:sz w:val="21"/>
          <w:szCs w:val="21"/>
        </w:rPr>
      </w:pPr>
      <w:r w:rsidRPr="00443DEB">
        <w:rPr>
          <w:rFonts w:ascii="Century Gothic" w:eastAsia="Calibri" w:hAnsi="Century Gothic" w:cs="Arial"/>
          <w:sz w:val="21"/>
          <w:szCs w:val="21"/>
        </w:rPr>
        <w:t xml:space="preserve">“que sucede si UNA ENTIDAD PUBLICA en el SECOP 2 , crea y publica el pliego de condiciones electrónico que sabemos </w:t>
      </w:r>
      <w:proofErr w:type="spellStart"/>
      <w:r w:rsidRPr="00443DEB">
        <w:rPr>
          <w:rFonts w:ascii="Century Gothic" w:eastAsia="Calibri" w:hAnsi="Century Gothic" w:cs="Arial"/>
          <w:sz w:val="21"/>
          <w:szCs w:val="21"/>
        </w:rPr>
        <w:t>esta</w:t>
      </w:r>
      <w:proofErr w:type="spellEnd"/>
      <w:r w:rsidRPr="00443DEB">
        <w:rPr>
          <w:rFonts w:ascii="Century Gothic" w:eastAsia="Calibri" w:hAnsi="Century Gothic" w:cs="Arial"/>
          <w:sz w:val="21"/>
          <w:szCs w:val="21"/>
        </w:rPr>
        <w:t xml:space="preserve"> conformado por el cuestionario donde están las exigencias, y si en dichas exigencias no aparecen el numeral o condición para cargar por los oferentes los documentos para cumplir capacidad residual, ¿Los oferentes que por error de la entidad no carguen los documentos para calcular la capacidad residual se les debe permitir subsanar?, o ¿se debe revocar el proceso si antes del cierre para entrega de propuestas no se corrige el error por parte de la Entidad que no habilito el numeral para cargar los documentos que acreditan la capacidad residual?” (Sic).</w:t>
      </w:r>
    </w:p>
    <w:p w14:paraId="5AEFFC41" w14:textId="26690CBE" w:rsidR="0039591C" w:rsidRDefault="00473009" w:rsidP="00473009">
      <w:pPr>
        <w:pStyle w:val="Textoindependiente"/>
        <w:spacing w:line="276" w:lineRule="auto"/>
        <w:jc w:val="both"/>
        <w:rPr>
          <w:rFonts w:ascii="Century Gothic" w:hAnsi="Century Gothic"/>
        </w:rPr>
      </w:pPr>
      <w:r>
        <w:rPr>
          <w:rFonts w:ascii="Century Gothic" w:eastAsia="Calibri" w:hAnsi="Century Gothic"/>
        </w:rPr>
        <w:t>De conformidad con lo expuesto en el presente concepto</w:t>
      </w:r>
      <w:r w:rsidR="00845F48">
        <w:rPr>
          <w:rFonts w:ascii="Century Gothic" w:eastAsia="Calibri" w:hAnsi="Century Gothic"/>
        </w:rPr>
        <w:t>, a criterio de esta Agencia</w:t>
      </w:r>
      <w:r w:rsidR="00AB556F">
        <w:rPr>
          <w:rFonts w:ascii="Century Gothic" w:eastAsia="Calibri" w:hAnsi="Century Gothic"/>
        </w:rPr>
        <w:t>,</w:t>
      </w:r>
      <w:r w:rsidR="00845F48">
        <w:rPr>
          <w:rFonts w:ascii="Century Gothic" w:eastAsia="Calibri" w:hAnsi="Century Gothic"/>
        </w:rPr>
        <w:t xml:space="preserve"> el formulario </w:t>
      </w:r>
      <w:r w:rsidR="00763913">
        <w:rPr>
          <w:rFonts w:ascii="Century Gothic" w:eastAsia="Calibri" w:hAnsi="Century Gothic"/>
        </w:rPr>
        <w:t xml:space="preserve">o requisitos de presentación de oferta </w:t>
      </w:r>
      <w:r w:rsidR="00AB556F">
        <w:rPr>
          <w:rFonts w:ascii="Century Gothic" w:eastAsia="Calibri" w:hAnsi="Century Gothic"/>
        </w:rPr>
        <w:t>del</w:t>
      </w:r>
      <w:r w:rsidR="00845F48" w:rsidRPr="00845F48">
        <w:rPr>
          <w:rFonts w:ascii="Century Gothic" w:eastAsia="Calibri" w:hAnsi="Century Gothic"/>
        </w:rPr>
        <w:t xml:space="preserve"> pliego de condiciones electrónico</w:t>
      </w:r>
      <w:r w:rsidR="00763913">
        <w:rPr>
          <w:rFonts w:ascii="Century Gothic" w:eastAsia="Calibri" w:hAnsi="Century Gothic"/>
        </w:rPr>
        <w:t xml:space="preserve"> en el SECOP II y el pliego de condiciones </w:t>
      </w:r>
      <w:r w:rsidR="00845F48" w:rsidRPr="00845F48">
        <w:rPr>
          <w:rFonts w:ascii="Century Gothic" w:eastAsia="Calibri" w:hAnsi="Century Gothic"/>
        </w:rPr>
        <w:t>son un mismo documento,</w:t>
      </w:r>
      <w:r w:rsidR="00E657D9">
        <w:rPr>
          <w:rFonts w:ascii="Century Gothic" w:eastAsia="Calibri" w:hAnsi="Century Gothic"/>
        </w:rPr>
        <w:t xml:space="preserve"> por lo tanto, en aplicación del </w:t>
      </w:r>
      <w:r w:rsidR="0039591C">
        <w:rPr>
          <w:rFonts w:ascii="Century Gothic" w:eastAsia="Calibri" w:hAnsi="Century Gothic"/>
        </w:rPr>
        <w:t xml:space="preserve">criterio interpretativo según el cual  </w:t>
      </w:r>
      <w:r w:rsidR="0039591C">
        <w:rPr>
          <w:rFonts w:ascii="Century Gothic" w:eastAsia="Calibri" w:hAnsi="Century Gothic"/>
          <w:lang w:val="es-MX"/>
        </w:rPr>
        <w:t xml:space="preserve">aquellas disposiciones o situaciones </w:t>
      </w:r>
      <w:r w:rsidR="0039591C" w:rsidRPr="00D35126">
        <w:rPr>
          <w:rFonts w:ascii="Century Gothic" w:eastAsia="Batang" w:hAnsi="Century Gothic"/>
        </w:rPr>
        <w:t>oscuras que hayan sido extendidas o dictadas por una parte se interpretarán contra ella</w:t>
      </w:r>
      <w:r w:rsidR="00A44459">
        <w:rPr>
          <w:rFonts w:ascii="Century Gothic" w:eastAsia="Batang" w:hAnsi="Century Gothic"/>
        </w:rPr>
        <w:t xml:space="preserve"> -</w:t>
      </w:r>
      <w:r w:rsidR="0039591C" w:rsidRPr="00D35126">
        <w:rPr>
          <w:rFonts w:ascii="Century Gothic" w:eastAsia="Batang" w:hAnsi="Century Gothic"/>
        </w:rPr>
        <w:t>artículo 1624</w:t>
      </w:r>
      <w:r w:rsidR="0039591C">
        <w:rPr>
          <w:rFonts w:ascii="Century Gothic" w:eastAsia="Batang" w:hAnsi="Century Gothic"/>
        </w:rPr>
        <w:t xml:space="preserve"> del Código Civil</w:t>
      </w:r>
      <w:r w:rsidR="00A44459">
        <w:rPr>
          <w:rFonts w:ascii="Century Gothic" w:eastAsia="Batang" w:hAnsi="Century Gothic"/>
        </w:rPr>
        <w:t>-,</w:t>
      </w:r>
      <w:r w:rsidR="00A71675">
        <w:rPr>
          <w:rFonts w:ascii="Century Gothic" w:eastAsia="Batang" w:hAnsi="Century Gothic"/>
        </w:rPr>
        <w:t xml:space="preserve"> </w:t>
      </w:r>
      <w:r w:rsidR="00A44459">
        <w:rPr>
          <w:rFonts w:ascii="Century Gothic" w:eastAsia="Batang" w:hAnsi="Century Gothic"/>
        </w:rPr>
        <w:t xml:space="preserve">si </w:t>
      </w:r>
      <w:r w:rsidR="00A71675">
        <w:rPr>
          <w:rFonts w:ascii="Century Gothic" w:eastAsia="Batang" w:hAnsi="Century Gothic"/>
        </w:rPr>
        <w:t>la Entidad Estatal al momento de crear o diligenciar el formulario</w:t>
      </w:r>
      <w:r w:rsidR="00C05B71">
        <w:rPr>
          <w:rFonts w:ascii="Century Gothic" w:eastAsia="Batang" w:hAnsi="Century Gothic"/>
        </w:rPr>
        <w:t xml:space="preserve"> en el SECOP </w:t>
      </w:r>
      <w:r w:rsidR="00DC1879">
        <w:rPr>
          <w:rFonts w:ascii="Century Gothic" w:eastAsia="Batang" w:hAnsi="Century Gothic"/>
        </w:rPr>
        <w:t>II</w:t>
      </w:r>
      <w:r w:rsidR="00A44459">
        <w:rPr>
          <w:rFonts w:ascii="Century Gothic" w:eastAsia="Batang" w:hAnsi="Century Gothic"/>
        </w:rPr>
        <w:t xml:space="preserve"> </w:t>
      </w:r>
      <w:r w:rsidR="00A71675">
        <w:rPr>
          <w:rFonts w:ascii="Century Gothic" w:eastAsia="Batang" w:hAnsi="Century Gothic"/>
        </w:rPr>
        <w:t>crea una</w:t>
      </w:r>
      <w:r w:rsidR="0039591C">
        <w:rPr>
          <w:rFonts w:ascii="Century Gothic" w:eastAsia="Batang" w:hAnsi="Century Gothic"/>
        </w:rPr>
        <w:t xml:space="preserve"> </w:t>
      </w:r>
      <w:r w:rsidR="0039591C" w:rsidRPr="00D35126">
        <w:rPr>
          <w:rFonts w:ascii="Century Gothic" w:eastAsia="Batang" w:hAnsi="Century Gothic"/>
        </w:rPr>
        <w:t>ambigüedad</w:t>
      </w:r>
      <w:r w:rsidR="005D3060">
        <w:rPr>
          <w:rFonts w:ascii="Century Gothic" w:eastAsia="Batang" w:hAnsi="Century Gothic"/>
        </w:rPr>
        <w:t xml:space="preserve"> sobre la cual debió dar una respectiva ex</w:t>
      </w:r>
      <w:r w:rsidR="0039591C" w:rsidRPr="00D35126">
        <w:rPr>
          <w:rFonts w:ascii="Century Gothic" w:eastAsia="Batang" w:hAnsi="Century Gothic"/>
        </w:rPr>
        <w:t>plicación</w:t>
      </w:r>
      <w:r w:rsidR="00F810BE">
        <w:rPr>
          <w:rFonts w:ascii="Century Gothic" w:eastAsia="Batang" w:hAnsi="Century Gothic"/>
        </w:rPr>
        <w:t xml:space="preserve"> a los proponentes</w:t>
      </w:r>
      <w:r w:rsidR="005D3060">
        <w:rPr>
          <w:rFonts w:ascii="Century Gothic" w:eastAsia="Batang" w:hAnsi="Century Gothic"/>
        </w:rPr>
        <w:t xml:space="preserve">, </w:t>
      </w:r>
      <w:r w:rsidR="0039591C">
        <w:rPr>
          <w:rFonts w:ascii="Century Gothic" w:eastAsia="Batang" w:hAnsi="Century Gothic"/>
        </w:rPr>
        <w:t xml:space="preserve">ya sea en una respuesta a observaciones o en una adenda al pliego de condiciones, dicha omisión </w:t>
      </w:r>
      <w:r w:rsidR="00DE3215">
        <w:rPr>
          <w:rFonts w:ascii="Century Gothic" w:eastAsia="Batang" w:hAnsi="Century Gothic"/>
        </w:rPr>
        <w:t xml:space="preserve">en </w:t>
      </w:r>
      <w:r w:rsidR="0039591C">
        <w:rPr>
          <w:rFonts w:ascii="Century Gothic" w:eastAsia="Batang" w:hAnsi="Century Gothic"/>
        </w:rPr>
        <w:t>la presentación de un requisito habilitante, como lo es la capacidad residual, implica que la Entidad Estatal no puede afectar la participación de los proponentes en el proceso de selección, y por lo tanto, la e</w:t>
      </w:r>
      <w:r w:rsidR="0039591C" w:rsidRPr="00443DEB">
        <w:rPr>
          <w:rFonts w:ascii="Century Gothic" w:eastAsia="Calibri" w:hAnsi="Century Gothic"/>
        </w:rPr>
        <w:t xml:space="preserve">ntidad </w:t>
      </w:r>
      <w:r w:rsidR="0039591C">
        <w:rPr>
          <w:rFonts w:ascii="Century Gothic" w:eastAsia="Calibri" w:hAnsi="Century Gothic"/>
        </w:rPr>
        <w:t xml:space="preserve">teniendo en cuenta la etapa en la que se encuentre el proceso de selección, podrá determinar si es necesario revocar el acto administrativo de apertura del proceso de selección o modificar el pliego de condiciones para la presentación </w:t>
      </w:r>
      <w:r w:rsidR="00793C86">
        <w:rPr>
          <w:rFonts w:ascii="Century Gothic" w:eastAsia="Calibri" w:hAnsi="Century Gothic"/>
        </w:rPr>
        <w:t>de los</w:t>
      </w:r>
      <w:r w:rsidR="0039591C">
        <w:rPr>
          <w:rFonts w:ascii="Century Gothic" w:eastAsia="Calibri" w:hAnsi="Century Gothic"/>
        </w:rPr>
        <w:t xml:space="preserve"> documento</w:t>
      </w:r>
      <w:r w:rsidR="00793C86">
        <w:rPr>
          <w:rFonts w:ascii="Century Gothic" w:eastAsia="Calibri" w:hAnsi="Century Gothic"/>
        </w:rPr>
        <w:t>s por parte de los proponentes para que acrediten dicho requisito</w:t>
      </w:r>
      <w:r w:rsidR="0039591C">
        <w:rPr>
          <w:rFonts w:ascii="Century Gothic" w:eastAsia="Calibri" w:hAnsi="Century Gothic"/>
        </w:rPr>
        <w:t>, respetándoles además</w:t>
      </w:r>
      <w:r w:rsidR="00793C86">
        <w:rPr>
          <w:rFonts w:ascii="Century Gothic" w:eastAsia="Calibri" w:hAnsi="Century Gothic"/>
        </w:rPr>
        <w:t xml:space="preserve">, </w:t>
      </w:r>
      <w:r w:rsidR="0039591C">
        <w:rPr>
          <w:rFonts w:ascii="Century Gothic" w:eastAsia="Calibri" w:hAnsi="Century Gothic"/>
        </w:rPr>
        <w:t>su derecho a la subsanación</w:t>
      </w:r>
      <w:r w:rsidR="00E657D9">
        <w:rPr>
          <w:rFonts w:ascii="Century Gothic" w:eastAsia="Calibri" w:hAnsi="Century Gothic"/>
        </w:rPr>
        <w:t xml:space="preserve">, </w:t>
      </w:r>
      <w:r w:rsidR="0039591C" w:rsidRPr="00443DEB">
        <w:rPr>
          <w:rFonts w:ascii="Century Gothic" w:eastAsia="Calibri" w:hAnsi="Century Gothic"/>
        </w:rPr>
        <w:t xml:space="preserve">de acuerdo con </w:t>
      </w:r>
      <w:r w:rsidR="0039591C" w:rsidRPr="00443DEB">
        <w:rPr>
          <w:rFonts w:ascii="Century Gothic" w:hAnsi="Century Gothic"/>
        </w:rPr>
        <w:t>el artículo 5 de la Ley 1882 de 2018, que modificó el parágrafo 1 del artículo 5 de la Ley 1150 de 2007</w:t>
      </w:r>
      <w:r w:rsidR="0039591C">
        <w:rPr>
          <w:rFonts w:ascii="Century Gothic" w:hAnsi="Century Gothic"/>
        </w:rPr>
        <w:t>.</w:t>
      </w:r>
    </w:p>
    <w:p w14:paraId="55E03BC9" w14:textId="77777777" w:rsidR="006F5C25" w:rsidRDefault="006F5C25" w:rsidP="00473009">
      <w:pPr>
        <w:pStyle w:val="Textoindependiente"/>
        <w:spacing w:line="276" w:lineRule="auto"/>
        <w:jc w:val="both"/>
        <w:rPr>
          <w:rFonts w:ascii="Century Gothic" w:hAnsi="Century Gothic"/>
        </w:rPr>
      </w:pPr>
    </w:p>
    <w:p w14:paraId="65E0C3D0" w14:textId="5DE0645E" w:rsidR="001601DD" w:rsidRPr="00443DEB" w:rsidRDefault="001601DD" w:rsidP="00E82834">
      <w:pPr>
        <w:shd w:val="clear" w:color="auto" w:fill="FFFFFF" w:themeFill="background1"/>
        <w:spacing w:after="0" w:line="276" w:lineRule="auto"/>
        <w:jc w:val="both"/>
        <w:textAlignment w:val="baseline"/>
        <w:rPr>
          <w:rFonts w:ascii="Century Gothic" w:hAnsi="Century Gothic" w:cs="Arial"/>
          <w:color w:val="000000" w:themeColor="text1"/>
          <w:lang w:eastAsia="es-MX"/>
        </w:rPr>
      </w:pPr>
      <w:r w:rsidRPr="00443DEB">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AC4F187" w14:textId="77777777" w:rsidR="001601DD" w:rsidRPr="00443DEB" w:rsidRDefault="001601DD" w:rsidP="001601DD">
      <w:pPr>
        <w:spacing w:after="0" w:line="276" w:lineRule="auto"/>
        <w:contextualSpacing/>
        <w:jc w:val="both"/>
        <w:textAlignment w:val="baseline"/>
        <w:rPr>
          <w:rFonts w:ascii="Century Gothic" w:hAnsi="Century Gothic" w:cs="Arial"/>
          <w:lang w:val="es-ES"/>
        </w:rPr>
      </w:pPr>
    </w:p>
    <w:p w14:paraId="7072C89E" w14:textId="77777777" w:rsidR="001601DD" w:rsidRPr="00443DEB" w:rsidRDefault="001601DD" w:rsidP="001601DD">
      <w:pPr>
        <w:spacing w:after="0" w:line="276" w:lineRule="auto"/>
        <w:contextualSpacing/>
        <w:jc w:val="both"/>
        <w:textAlignment w:val="baseline"/>
        <w:rPr>
          <w:rFonts w:ascii="Century Gothic" w:eastAsia="Times New Roman" w:hAnsi="Century Gothic" w:cs="Arial"/>
          <w:lang w:eastAsia="es-CO"/>
        </w:rPr>
      </w:pPr>
      <w:r w:rsidRPr="7278C889">
        <w:rPr>
          <w:rFonts w:ascii="Century Gothic" w:hAnsi="Century Gothic" w:cs="Arial"/>
          <w:lang w:val="es-ES"/>
        </w:rPr>
        <w:t>Atentamente</w:t>
      </w:r>
      <w:r w:rsidRPr="7278C889">
        <w:rPr>
          <w:rFonts w:ascii="Century Gothic" w:eastAsia="Times New Roman" w:hAnsi="Century Gothic" w:cs="Arial"/>
          <w:lang w:val="es-MX" w:eastAsia="es-CO"/>
        </w:rPr>
        <w:t>,</w:t>
      </w:r>
      <w:r w:rsidRPr="7278C889">
        <w:rPr>
          <w:rFonts w:ascii="Century Gothic" w:eastAsia="Times New Roman" w:hAnsi="Century Gothic" w:cs="Arial"/>
          <w:lang w:eastAsia="es-CO"/>
        </w:rPr>
        <w:t> </w:t>
      </w:r>
    </w:p>
    <w:p w14:paraId="7E8749E9" w14:textId="476915D1" w:rsidR="001601DD" w:rsidRPr="00443DEB" w:rsidRDefault="2FAFB76D" w:rsidP="7278C889">
      <w:pPr>
        <w:spacing w:after="0" w:line="276" w:lineRule="auto"/>
        <w:jc w:val="center"/>
        <w:textAlignment w:val="baseline"/>
      </w:pPr>
      <w:r>
        <w:rPr>
          <w:noProof/>
        </w:rPr>
        <w:drawing>
          <wp:inline distT="0" distB="0" distL="0" distR="0" wp14:anchorId="738C2CBC" wp14:editId="20661B42">
            <wp:extent cx="2771775" cy="1066800"/>
            <wp:effectExtent l="0" t="0" r="0" b="0"/>
            <wp:docPr id="517959701" name="Imagen 51795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771775" cy="1066800"/>
                    </a:xfrm>
                    <a:prstGeom prst="rect">
                      <a:avLst/>
                    </a:prstGeom>
                  </pic:spPr>
                </pic:pic>
              </a:graphicData>
            </a:graphic>
          </wp:inline>
        </w:drawing>
      </w:r>
    </w:p>
    <w:p w14:paraId="272B5ADE" w14:textId="77777777" w:rsidR="001601DD" w:rsidRPr="00443DEB" w:rsidRDefault="001601DD" w:rsidP="001601DD">
      <w:pPr>
        <w:spacing w:after="0" w:line="276" w:lineRule="auto"/>
        <w:jc w:val="both"/>
        <w:textAlignment w:val="baseline"/>
        <w:rPr>
          <w:rFonts w:ascii="Century Gothic" w:eastAsia="Times New Roman" w:hAnsi="Century Gothic" w:cs="Arial"/>
          <w:sz w:val="16"/>
          <w:szCs w:val="16"/>
          <w:lang w:eastAsia="es-CO"/>
        </w:rPr>
      </w:pPr>
      <w:r w:rsidRPr="00443DEB">
        <w:rPr>
          <w:rFonts w:ascii="Century Gothic" w:eastAsia="Times New Roman" w:hAnsi="Century Gothic" w:cs="Arial"/>
          <w:sz w:val="16"/>
          <w:szCs w:val="16"/>
          <w:lang w:eastAsia="es-CO"/>
        </w:rPr>
        <w:t> </w:t>
      </w:r>
    </w:p>
    <w:tbl>
      <w:tblPr>
        <w:tblW w:w="7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6287"/>
      </w:tblGrid>
      <w:tr w:rsidR="001601DD" w:rsidRPr="00443DEB" w14:paraId="17CBAEBF" w14:textId="77777777" w:rsidTr="000A7F6A">
        <w:trPr>
          <w:trHeight w:val="441"/>
        </w:trPr>
        <w:tc>
          <w:tcPr>
            <w:tcW w:w="1122" w:type="dxa"/>
            <w:tcBorders>
              <w:top w:val="nil"/>
              <w:left w:val="nil"/>
              <w:bottom w:val="nil"/>
              <w:right w:val="nil"/>
            </w:tcBorders>
            <w:vAlign w:val="center"/>
            <w:hideMark/>
          </w:tcPr>
          <w:p w14:paraId="4549CDCA" w14:textId="77777777" w:rsidR="001601DD" w:rsidRPr="00443DEB" w:rsidRDefault="001601DD" w:rsidP="000A7F6A">
            <w:pPr>
              <w:spacing w:after="0" w:line="276" w:lineRule="auto"/>
              <w:jc w:val="both"/>
              <w:textAlignment w:val="baseline"/>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val="es-MX" w:eastAsia="es-CO"/>
              </w:rPr>
              <w:t>Elaboró:</w:t>
            </w:r>
            <w:r w:rsidRPr="00443DEB">
              <w:rPr>
                <w:rFonts w:ascii="Century Gothic" w:eastAsia="Times New Roman" w:hAnsi="Century Gothic" w:cs="Arial"/>
                <w:sz w:val="18"/>
                <w:szCs w:val="18"/>
                <w:lang w:eastAsia="es-CO"/>
              </w:rPr>
              <w:t> </w:t>
            </w:r>
          </w:p>
        </w:tc>
        <w:tc>
          <w:tcPr>
            <w:tcW w:w="6287" w:type="dxa"/>
            <w:tcBorders>
              <w:top w:val="nil"/>
              <w:left w:val="nil"/>
              <w:bottom w:val="dotted" w:sz="6" w:space="0" w:color="7F7F7F"/>
              <w:right w:val="nil"/>
            </w:tcBorders>
            <w:vAlign w:val="center"/>
            <w:hideMark/>
          </w:tcPr>
          <w:p w14:paraId="3B68A1BD" w14:textId="77777777" w:rsidR="001601DD" w:rsidRPr="00443DEB" w:rsidRDefault="001601DD" w:rsidP="000A7F6A">
            <w:pPr>
              <w:spacing w:after="0" w:line="240" w:lineRule="auto"/>
              <w:jc w:val="both"/>
              <w:textAlignment w:val="baseline"/>
              <w:rPr>
                <w:rFonts w:ascii="Century Gothic" w:eastAsia="Times New Roman" w:hAnsi="Century Gothic" w:cs="Arial"/>
                <w:sz w:val="18"/>
                <w:szCs w:val="18"/>
                <w:lang w:val="es-MX" w:eastAsia="es-CO"/>
              </w:rPr>
            </w:pPr>
            <w:proofErr w:type="spellStart"/>
            <w:r w:rsidRPr="00443DEB">
              <w:rPr>
                <w:rFonts w:ascii="Century Gothic" w:eastAsia="Times New Roman" w:hAnsi="Century Gothic" w:cs="Arial"/>
                <w:sz w:val="18"/>
                <w:szCs w:val="18"/>
                <w:lang w:val="es-MX" w:eastAsia="es-CO"/>
              </w:rPr>
              <w:t>Any</w:t>
            </w:r>
            <w:proofErr w:type="spellEnd"/>
            <w:r w:rsidRPr="00443DEB">
              <w:rPr>
                <w:rFonts w:ascii="Century Gothic" w:eastAsia="Times New Roman" w:hAnsi="Century Gothic" w:cs="Arial"/>
                <w:sz w:val="18"/>
                <w:szCs w:val="18"/>
                <w:lang w:val="es-MX" w:eastAsia="es-CO"/>
              </w:rPr>
              <w:t xml:space="preserve"> Alejandra Tovar Castillo</w:t>
            </w:r>
          </w:p>
          <w:p w14:paraId="3811A3F5" w14:textId="77777777" w:rsidR="001601DD" w:rsidRPr="00443DEB" w:rsidRDefault="001601DD" w:rsidP="000A7F6A">
            <w:pPr>
              <w:spacing w:after="0" w:line="240" w:lineRule="auto"/>
              <w:jc w:val="both"/>
              <w:textAlignment w:val="baseline"/>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val="es-MX" w:eastAsia="es-CO"/>
              </w:rPr>
              <w:t xml:space="preserve">Contratista </w:t>
            </w:r>
            <w:r w:rsidRPr="00443DEB">
              <w:rPr>
                <w:rFonts w:ascii="Century Gothic" w:eastAsia="Times New Roman" w:hAnsi="Century Gothic" w:cs="Arial"/>
                <w:sz w:val="18"/>
                <w:szCs w:val="18"/>
                <w:lang w:eastAsia="es-CO"/>
              </w:rPr>
              <w:t>Subdirección de Gestión Contractual</w:t>
            </w:r>
          </w:p>
        </w:tc>
      </w:tr>
      <w:tr w:rsidR="001601DD" w:rsidRPr="00443DEB" w14:paraId="05A64940" w14:textId="77777777" w:rsidTr="000A7F6A">
        <w:trPr>
          <w:trHeight w:val="441"/>
        </w:trPr>
        <w:tc>
          <w:tcPr>
            <w:tcW w:w="1122" w:type="dxa"/>
            <w:tcBorders>
              <w:top w:val="nil"/>
              <w:left w:val="nil"/>
              <w:bottom w:val="nil"/>
              <w:right w:val="nil"/>
            </w:tcBorders>
            <w:vAlign w:val="center"/>
            <w:hideMark/>
          </w:tcPr>
          <w:p w14:paraId="7BFB8676" w14:textId="77777777" w:rsidR="001601DD" w:rsidRPr="00443DEB" w:rsidRDefault="001601DD" w:rsidP="000A7F6A">
            <w:pPr>
              <w:spacing w:after="0" w:line="276" w:lineRule="auto"/>
              <w:jc w:val="both"/>
              <w:textAlignment w:val="baseline"/>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val="es-MX" w:eastAsia="es-CO"/>
              </w:rPr>
              <w:t>Revisó:</w:t>
            </w:r>
            <w:r w:rsidRPr="00443DEB">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7B625C18" w14:textId="77777777" w:rsidR="001601DD" w:rsidRPr="00443DEB" w:rsidRDefault="001601DD" w:rsidP="000A7F6A">
            <w:pPr>
              <w:spacing w:after="0" w:line="276" w:lineRule="auto"/>
              <w:rPr>
                <w:rFonts w:ascii="Century Gothic" w:eastAsia="Times New Roman" w:hAnsi="Century Gothic" w:cs="Arial"/>
                <w:sz w:val="18"/>
                <w:szCs w:val="18"/>
                <w:lang w:eastAsia="es-ES"/>
              </w:rPr>
            </w:pPr>
            <w:r w:rsidRPr="00443DEB">
              <w:rPr>
                <w:rFonts w:ascii="Century Gothic" w:eastAsia="Times New Roman" w:hAnsi="Century Gothic" w:cs="Arial"/>
                <w:sz w:val="18"/>
                <w:szCs w:val="18"/>
                <w:lang w:eastAsia="es-ES"/>
              </w:rPr>
              <w:t>Ximena Ríos López</w:t>
            </w:r>
          </w:p>
          <w:p w14:paraId="0773EF0C" w14:textId="77777777" w:rsidR="001601DD" w:rsidRPr="00443DEB" w:rsidRDefault="001601DD" w:rsidP="000A7F6A">
            <w:pPr>
              <w:spacing w:after="0" w:line="276" w:lineRule="auto"/>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eastAsia="es-ES"/>
              </w:rPr>
              <w:t>Gestor código T1 grado 11 de la Subdirección de Gestión Contractual</w:t>
            </w:r>
          </w:p>
        </w:tc>
      </w:tr>
      <w:tr w:rsidR="001601DD" w:rsidRPr="00443DEB" w14:paraId="2DC65A2E" w14:textId="77777777" w:rsidTr="000A7F6A">
        <w:trPr>
          <w:trHeight w:val="420"/>
        </w:trPr>
        <w:tc>
          <w:tcPr>
            <w:tcW w:w="1122" w:type="dxa"/>
            <w:tcBorders>
              <w:top w:val="nil"/>
              <w:left w:val="nil"/>
              <w:bottom w:val="nil"/>
              <w:right w:val="nil"/>
            </w:tcBorders>
            <w:vAlign w:val="center"/>
            <w:hideMark/>
          </w:tcPr>
          <w:p w14:paraId="5754BDF7" w14:textId="77777777" w:rsidR="001601DD" w:rsidRPr="00443DEB" w:rsidRDefault="001601DD" w:rsidP="000A7F6A">
            <w:pPr>
              <w:spacing w:after="0" w:line="276" w:lineRule="auto"/>
              <w:jc w:val="both"/>
              <w:textAlignment w:val="baseline"/>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val="es-MX" w:eastAsia="es-CO"/>
              </w:rPr>
              <w:t>Aprobó:</w:t>
            </w:r>
            <w:r w:rsidRPr="00443DEB">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908A2E4" w14:textId="77777777" w:rsidR="001601DD" w:rsidRPr="00443DEB" w:rsidRDefault="001601DD" w:rsidP="000A7F6A">
            <w:pPr>
              <w:spacing w:after="0" w:line="240" w:lineRule="auto"/>
              <w:jc w:val="both"/>
              <w:textAlignment w:val="baseline"/>
              <w:rPr>
                <w:rFonts w:ascii="Century Gothic" w:eastAsia="Times New Roman" w:hAnsi="Century Gothic" w:cs="Arial"/>
                <w:sz w:val="18"/>
                <w:szCs w:val="18"/>
                <w:lang w:val="es-ES_tradnl" w:eastAsia="es-CO"/>
              </w:rPr>
            </w:pPr>
            <w:r w:rsidRPr="00443DEB">
              <w:rPr>
                <w:rFonts w:ascii="Century Gothic" w:eastAsia="Times New Roman" w:hAnsi="Century Gothic" w:cs="Arial"/>
                <w:sz w:val="18"/>
                <w:szCs w:val="18"/>
                <w:lang w:val="es-ES_tradnl" w:eastAsia="es-CO"/>
              </w:rPr>
              <w:t>Nohelia del Carmen Zawady Palacio</w:t>
            </w:r>
          </w:p>
          <w:p w14:paraId="0B5DEFD4" w14:textId="77777777" w:rsidR="001601DD" w:rsidRPr="00443DEB" w:rsidRDefault="001601DD" w:rsidP="000A7F6A">
            <w:pPr>
              <w:spacing w:after="0" w:line="240" w:lineRule="auto"/>
              <w:jc w:val="both"/>
              <w:textAlignment w:val="baseline"/>
              <w:rPr>
                <w:rFonts w:ascii="Century Gothic" w:eastAsia="Times New Roman" w:hAnsi="Century Gothic" w:cs="Arial"/>
                <w:sz w:val="18"/>
                <w:szCs w:val="18"/>
                <w:lang w:eastAsia="es-CO"/>
              </w:rPr>
            </w:pPr>
            <w:r w:rsidRPr="00443DEB">
              <w:rPr>
                <w:rFonts w:ascii="Century Gothic" w:eastAsia="Times New Roman" w:hAnsi="Century Gothic" w:cs="Arial"/>
                <w:sz w:val="18"/>
                <w:szCs w:val="18"/>
                <w:lang w:val="es-ES_tradnl" w:eastAsia="es-CO"/>
              </w:rPr>
              <w:t>Subdirectora de Gestión Contractual ANCP-CCE</w:t>
            </w:r>
          </w:p>
        </w:tc>
      </w:tr>
    </w:tbl>
    <w:p w14:paraId="5BBFB053" w14:textId="77777777" w:rsidR="00D10E43" w:rsidRPr="00443DEB" w:rsidRDefault="00D10E43" w:rsidP="00D10E43">
      <w:pPr>
        <w:jc w:val="both"/>
        <w:rPr>
          <w:rFonts w:ascii="Century Gothic" w:eastAsia="Calibri" w:hAnsi="Century Gothic" w:cs="Arial"/>
        </w:rPr>
      </w:pPr>
    </w:p>
    <w:p w14:paraId="63DC4035" w14:textId="77777777" w:rsidR="00D10E43" w:rsidRPr="00443DEB" w:rsidRDefault="00D10E43" w:rsidP="00D10E43">
      <w:pPr>
        <w:rPr>
          <w:rFonts w:ascii="Century Gothic" w:hAnsi="Century Gothic"/>
        </w:rPr>
      </w:pPr>
    </w:p>
    <w:bookmarkEnd w:id="0"/>
    <w:p w14:paraId="13982C37" w14:textId="77777777" w:rsidR="00D10E43" w:rsidRPr="00443DEB" w:rsidRDefault="00D10E43" w:rsidP="00D10E43">
      <w:pPr>
        <w:rPr>
          <w:rFonts w:ascii="Century Gothic" w:hAnsi="Century Gothic"/>
        </w:rPr>
      </w:pPr>
    </w:p>
    <w:p w14:paraId="4FE4F03A" w14:textId="77777777" w:rsidR="00D10E43" w:rsidRPr="00443DEB" w:rsidRDefault="00D10E43" w:rsidP="00D10E43">
      <w:pPr>
        <w:rPr>
          <w:rFonts w:ascii="Century Gothic" w:hAnsi="Century Gothic"/>
        </w:rPr>
      </w:pPr>
    </w:p>
    <w:p w14:paraId="0F293BF4" w14:textId="6E3CA41D" w:rsidR="00127233" w:rsidRPr="00443DEB" w:rsidRDefault="00127233" w:rsidP="00D10E43">
      <w:pPr>
        <w:rPr>
          <w:rFonts w:ascii="Century Gothic" w:hAnsi="Century Gothic"/>
        </w:rPr>
      </w:pPr>
    </w:p>
    <w:sectPr w:rsidR="00127233" w:rsidRPr="00443DEB"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56A45" w14:textId="77777777" w:rsidR="00F2584B" w:rsidRDefault="00F2584B" w:rsidP="004A1847">
      <w:pPr>
        <w:spacing w:after="0" w:line="240" w:lineRule="auto"/>
      </w:pPr>
      <w:r>
        <w:separator/>
      </w:r>
    </w:p>
  </w:endnote>
  <w:endnote w:type="continuationSeparator" w:id="0">
    <w:p w14:paraId="559DA277" w14:textId="77777777" w:rsidR="00F2584B" w:rsidRDefault="00F2584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09410" w14:textId="77777777" w:rsidR="00F2584B" w:rsidRDefault="00F2584B" w:rsidP="004A1847">
      <w:pPr>
        <w:spacing w:after="0" w:line="240" w:lineRule="auto"/>
      </w:pPr>
      <w:r>
        <w:separator/>
      </w:r>
    </w:p>
  </w:footnote>
  <w:footnote w:type="continuationSeparator" w:id="0">
    <w:p w14:paraId="7AA6E63B" w14:textId="77777777" w:rsidR="00F2584B" w:rsidRDefault="00F2584B" w:rsidP="004A1847">
      <w:pPr>
        <w:spacing w:after="0" w:line="240" w:lineRule="auto"/>
      </w:pPr>
      <w:r>
        <w:continuationSeparator/>
      </w:r>
    </w:p>
  </w:footnote>
  <w:footnote w:id="1">
    <w:p w14:paraId="0A8E55AA" w14:textId="77777777" w:rsidR="009002EC" w:rsidRPr="005A21D2" w:rsidRDefault="009002EC" w:rsidP="005A21D2">
      <w:pPr>
        <w:pStyle w:val="Textonotapie"/>
        <w:ind w:firstLine="687"/>
        <w:jc w:val="both"/>
        <w:rPr>
          <w:rFonts w:ascii="Century Gothic" w:hAnsi="Century Gothic"/>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w:t>
      </w:r>
      <w:r w:rsidRPr="005A21D2">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5A21D2">
          <w:rPr>
            <w:rStyle w:val="Hipervnculo"/>
            <w:rFonts w:ascii="Century Gothic" w:hAnsi="Century Gothic" w:cs="Arial"/>
            <w:sz w:val="18"/>
            <w:szCs w:val="18"/>
          </w:rPr>
          <w:t>https://relatoria.colombiacompra.gov.co/busqueda/conceptos</w:t>
        </w:r>
      </w:hyperlink>
    </w:p>
    <w:p w14:paraId="6EDEC9CC" w14:textId="11790026" w:rsidR="009002EC" w:rsidRPr="005A21D2" w:rsidRDefault="009002EC" w:rsidP="005A21D2">
      <w:pPr>
        <w:pStyle w:val="Textonotapie"/>
        <w:jc w:val="both"/>
        <w:rPr>
          <w:rFonts w:ascii="Century Gothic" w:hAnsi="Century Gothic"/>
          <w:sz w:val="18"/>
          <w:szCs w:val="18"/>
        </w:rPr>
      </w:pPr>
    </w:p>
  </w:footnote>
  <w:footnote w:id="2">
    <w:p w14:paraId="596B3E97" w14:textId="4A0D6373"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Style w:val="Refdenotaalpie"/>
          <w:rFonts w:ascii="Century Gothic" w:hAnsi="Century Gothic" w:cs="Arial"/>
          <w:color w:val="000000" w:themeColor="text1"/>
          <w:sz w:val="18"/>
          <w:szCs w:val="18"/>
        </w:rPr>
        <w:footnoteRef/>
      </w:r>
      <w:r w:rsidRPr="005A21D2">
        <w:rPr>
          <w:rFonts w:ascii="Century Gothic" w:hAnsi="Century Gothic" w:cs="Arial"/>
          <w:color w:val="000000" w:themeColor="text1"/>
          <w:sz w:val="18"/>
          <w:szCs w:val="18"/>
        </w:rPr>
        <w:t xml:space="preserve"> </w:t>
      </w:r>
      <w:r w:rsidR="004A2129" w:rsidRPr="005A21D2">
        <w:rPr>
          <w:rFonts w:ascii="Century Gothic" w:hAnsi="Century Gothic" w:cs="Arial"/>
          <w:color w:val="000000" w:themeColor="text1"/>
          <w:sz w:val="18"/>
          <w:szCs w:val="18"/>
        </w:rPr>
        <w:t>DECRETO 1082 DE 2015</w:t>
      </w:r>
      <w:r w:rsidRPr="005A21D2">
        <w:rPr>
          <w:rFonts w:ascii="Century Gothic" w:hAnsi="Century Gothic" w:cs="Arial"/>
          <w:color w:val="000000" w:themeColor="text1"/>
          <w:sz w:val="18"/>
          <w:szCs w:val="18"/>
        </w:rPr>
        <w:t xml:space="preserve">: </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24D0A97" w14:textId="52DC8A46"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w:t>
      </w:r>
    </w:p>
    <w:p w14:paraId="609BED43" w14:textId="71B1743F"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848C0D9" w14:textId="4F511F32" w:rsidR="00080CCB" w:rsidRPr="005A21D2" w:rsidRDefault="00080CCB" w:rsidP="005A21D2">
      <w:pPr>
        <w:pStyle w:val="Textonotapie"/>
        <w:ind w:firstLine="708"/>
        <w:jc w:val="both"/>
        <w:rPr>
          <w:rFonts w:ascii="Century Gothic" w:hAnsi="Century Gothic" w:cs="Arial"/>
          <w:color w:val="000000" w:themeColor="text1"/>
          <w:sz w:val="18"/>
          <w:szCs w:val="18"/>
          <w:lang w:val="es-ES"/>
        </w:rPr>
      </w:pPr>
      <w:r w:rsidRPr="005A21D2">
        <w:rPr>
          <w:rFonts w:ascii="Century Gothic" w:hAnsi="Century Gothic" w:cs="Arial"/>
          <w:color w:val="000000" w:themeColor="text1"/>
          <w:sz w:val="18"/>
          <w:szCs w:val="18"/>
        </w:rPr>
        <w:t>[...]</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w:t>
      </w:r>
    </w:p>
  </w:footnote>
  <w:footnote w:id="3">
    <w:p w14:paraId="494FCDE1" w14:textId="44B76C33" w:rsidR="00080CCB" w:rsidRPr="005A21D2" w:rsidRDefault="00080CCB" w:rsidP="005A21D2">
      <w:pPr>
        <w:pStyle w:val="Textonotapie"/>
        <w:ind w:firstLine="708"/>
        <w:jc w:val="both"/>
        <w:rPr>
          <w:rFonts w:ascii="Century Gothic" w:hAnsi="Century Gothic" w:cs="Arial"/>
          <w:color w:val="000000" w:themeColor="text1"/>
          <w:sz w:val="18"/>
          <w:szCs w:val="18"/>
          <w:lang w:val="es-ES"/>
        </w:rPr>
      </w:pPr>
      <w:r w:rsidRPr="005A21D2">
        <w:rPr>
          <w:rStyle w:val="Refdenotaalpie"/>
          <w:rFonts w:ascii="Century Gothic" w:hAnsi="Century Gothic" w:cs="Arial"/>
          <w:color w:val="000000" w:themeColor="text1"/>
          <w:sz w:val="18"/>
          <w:szCs w:val="18"/>
        </w:rPr>
        <w:footnoteRef/>
      </w:r>
      <w:r w:rsidRPr="005A21D2">
        <w:rPr>
          <w:rFonts w:ascii="Century Gothic" w:hAnsi="Century Gothic" w:cs="Arial"/>
          <w:color w:val="000000" w:themeColor="text1"/>
          <w:sz w:val="18"/>
          <w:szCs w:val="18"/>
        </w:rPr>
        <w:t xml:space="preserve"> CORTE CONSTITUCIONAL. Sentencia C-128 de 2003. M.P. Álvaro Tafur Galvis: </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w:t>
      </w:r>
    </w:p>
  </w:footnote>
  <w:footnote w:id="4">
    <w:p w14:paraId="1599FC45" w14:textId="77777777" w:rsidR="00080CCB" w:rsidRPr="005A21D2" w:rsidRDefault="00080CCB" w:rsidP="005A21D2">
      <w:pPr>
        <w:pStyle w:val="Textonotapie"/>
        <w:ind w:firstLine="708"/>
        <w:jc w:val="both"/>
        <w:rPr>
          <w:rFonts w:ascii="Century Gothic" w:hAnsi="Century Gothic" w:cs="Arial"/>
          <w:color w:val="000000" w:themeColor="text1"/>
          <w:sz w:val="18"/>
          <w:szCs w:val="18"/>
          <w:lang w:val="es-ES"/>
        </w:rPr>
      </w:pPr>
      <w:r w:rsidRPr="005A21D2">
        <w:rPr>
          <w:rStyle w:val="Refdenotaalpie"/>
          <w:rFonts w:ascii="Century Gothic" w:hAnsi="Century Gothic" w:cs="Arial"/>
          <w:color w:val="000000" w:themeColor="text1"/>
          <w:sz w:val="18"/>
          <w:szCs w:val="18"/>
        </w:rPr>
        <w:footnoteRef/>
      </w:r>
      <w:r w:rsidRPr="005A21D2">
        <w:rPr>
          <w:rFonts w:ascii="Century Gothic" w:hAnsi="Century Gothic" w:cs="Arial"/>
          <w:color w:val="000000" w:themeColor="text1"/>
          <w:sz w:val="18"/>
          <w:szCs w:val="18"/>
        </w:rPr>
        <w:t xml:space="preserve"> CONSEJO DE ESTADO. Sección Tercera. Sentencia del 11 de noviembre de 2009. Exp. 17.366. C.P. Mauricio Fajardo Gomez.</w:t>
      </w:r>
    </w:p>
  </w:footnote>
  <w:footnote w:id="5">
    <w:p w14:paraId="4F6F9A23" w14:textId="77777777" w:rsidR="00080CCB" w:rsidRPr="005A21D2" w:rsidRDefault="00080CCB" w:rsidP="005A21D2">
      <w:pPr>
        <w:pStyle w:val="Textonotapie"/>
        <w:ind w:firstLine="708"/>
        <w:jc w:val="both"/>
        <w:rPr>
          <w:rFonts w:ascii="Century Gothic" w:hAnsi="Century Gothic" w:cs="Arial"/>
          <w:color w:val="000000" w:themeColor="text1"/>
          <w:sz w:val="18"/>
          <w:szCs w:val="18"/>
        </w:rPr>
      </w:pPr>
    </w:p>
    <w:p w14:paraId="07791DF7" w14:textId="47E49230"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Style w:val="Refdenotaalpie"/>
          <w:rFonts w:ascii="Century Gothic" w:hAnsi="Century Gothic" w:cs="Arial"/>
          <w:color w:val="000000" w:themeColor="text1"/>
          <w:sz w:val="18"/>
          <w:szCs w:val="18"/>
        </w:rPr>
        <w:footnoteRef/>
      </w:r>
      <w:r w:rsidRPr="005A21D2">
        <w:rPr>
          <w:rFonts w:ascii="Century Gothic" w:hAnsi="Century Gothic" w:cs="Arial"/>
          <w:color w:val="000000" w:themeColor="text1"/>
          <w:sz w:val="18"/>
          <w:szCs w:val="18"/>
        </w:rPr>
        <w:t xml:space="preserve"> CONSEJO DE ESTADO. Sección Tercera. Sentencia del 24 de julio de 2013. Exp. 25.642. C.P. Enrique Gil Botero: </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w:t>
      </w:r>
    </w:p>
    <w:p w14:paraId="4C7F39C3" w14:textId="77777777" w:rsidR="00080CCB" w:rsidRPr="005A21D2" w:rsidRDefault="00080CCB" w:rsidP="005A21D2">
      <w:pPr>
        <w:pStyle w:val="Textonotapie"/>
        <w:ind w:firstLine="708"/>
        <w:jc w:val="both"/>
        <w:rPr>
          <w:rFonts w:ascii="Century Gothic" w:hAnsi="Century Gothic" w:cs="Arial"/>
          <w:color w:val="000000" w:themeColor="text1"/>
          <w:sz w:val="18"/>
          <w:szCs w:val="18"/>
          <w:lang w:val="es-ES"/>
        </w:rPr>
      </w:pPr>
    </w:p>
  </w:footnote>
  <w:footnote w:id="6">
    <w:p w14:paraId="47D7CE0C" w14:textId="4D7C9595"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Style w:val="Refdenotaalpie"/>
          <w:rFonts w:ascii="Century Gothic" w:hAnsi="Century Gothic" w:cs="Arial"/>
          <w:color w:val="000000" w:themeColor="text1"/>
          <w:sz w:val="18"/>
          <w:szCs w:val="18"/>
        </w:rPr>
        <w:footnoteRef/>
      </w:r>
      <w:r w:rsidRPr="005A21D2">
        <w:rPr>
          <w:rFonts w:ascii="Century Gothic" w:hAnsi="Century Gothic" w:cs="Arial"/>
          <w:color w:val="000000" w:themeColor="text1"/>
          <w:sz w:val="18"/>
          <w:szCs w:val="18"/>
        </w:rPr>
        <w:t xml:space="preserve"> </w:t>
      </w:r>
      <w:r w:rsidR="004A2129" w:rsidRPr="005A21D2">
        <w:rPr>
          <w:rFonts w:ascii="Century Gothic" w:hAnsi="Century Gothic" w:cs="Arial"/>
          <w:color w:val="000000" w:themeColor="text1"/>
          <w:sz w:val="18"/>
          <w:szCs w:val="18"/>
        </w:rPr>
        <w:t xml:space="preserve">DECRETO 1082 DE 2015: </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Artículo 2.2.1.1.2.1.3. Pliegos de condiciones. Los pliegos de condiciones deben contener por lo menos la siguiente información:</w:t>
      </w:r>
    </w:p>
    <w:p w14:paraId="3D0884E4" w14:textId="74FF796D" w:rsidR="00080CCB" w:rsidRPr="005A21D2" w:rsidRDefault="007422B1"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w:t>
      </w:r>
      <w:r w:rsidR="00080CCB" w:rsidRPr="005A21D2">
        <w:rPr>
          <w:rFonts w:ascii="Century Gothic" w:hAnsi="Century Gothic" w:cs="Arial"/>
          <w:color w:val="000000" w:themeColor="text1"/>
          <w:sz w:val="18"/>
          <w:szCs w:val="18"/>
        </w:rPr>
        <w:t>1. La descripción técnica, detallada y completa del bien o servicio objeto del contrato, identificado con el cuarto nivel del Clasificador de Bienes y Servicios, de ser posible o de lo contrario con el tercer nivel del mismo.</w:t>
      </w:r>
    </w:p>
    <w:p w14:paraId="0ADEF333" w14:textId="105EA262"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2. La modalidad del proceso de selección y su justificación.</w:t>
      </w:r>
    </w:p>
    <w:p w14:paraId="2624B33C" w14:textId="1988440C"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3. Los criterios de selección, incluyendo los factores de desempate y los incentivos cuando a ello haya lugar.</w:t>
      </w:r>
    </w:p>
    <w:p w14:paraId="68FCD81D" w14:textId="1BA74DEA"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4. Las condiciones de costo y/o calidad que la Entidad Estatal debe tener en cuenta para la selección objetiva, de acuerdo con la modalidad de selección del contratista.</w:t>
      </w:r>
    </w:p>
    <w:p w14:paraId="46FBD023" w14:textId="72185EB0"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5. Las reglas aplicables a la presentación de las ofertas, su evaluación y a la adjudicación del contrato.</w:t>
      </w:r>
    </w:p>
    <w:p w14:paraId="456CB55E" w14:textId="2BF57775"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6. Las causas que dan lugar a rechazar una oferta.</w:t>
      </w:r>
    </w:p>
    <w:p w14:paraId="7676AB24" w14:textId="02F47E2D"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7. El valor del contrato, el plazo, el cronograma de pagos y la determinación de si debe haber lugar a la entrega de anticipo, y si hubiere, indicar su valor, el cual debe tener en cuenta los rendimientos que este pueda generar.</w:t>
      </w:r>
    </w:p>
    <w:p w14:paraId="419075AB" w14:textId="78994070"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8. Los Riesgos asociados al contrato, la forma de mitigarlos y la asignación del Riesgo entre las partes contratantes.</w:t>
      </w:r>
    </w:p>
    <w:p w14:paraId="5DFF090C" w14:textId="2A49FC75"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9. Las garantías exigidas en el Proceso de Contratación y sus condiciones.</w:t>
      </w:r>
    </w:p>
    <w:p w14:paraId="1C0AE8BA" w14:textId="7366D0F8"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10. La mención de si la Entidad Estatal y el contrato objeto de los pliegos de condiciones están cubiertos por un Acuerdo Comercial.</w:t>
      </w:r>
    </w:p>
    <w:p w14:paraId="698EF977" w14:textId="4A6BAA56"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11. Los términos, condiciones y minuta del contrato.</w:t>
      </w:r>
    </w:p>
    <w:p w14:paraId="2D053887" w14:textId="1F7282FB"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12. Los términos de la supervisión y/o de la interventoría del contrato.</w:t>
      </w:r>
    </w:p>
    <w:p w14:paraId="3C5654E8" w14:textId="07179394"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13. El plazo dentro del cual la Entidad Estatal puede expedir Adendas.</w:t>
      </w:r>
    </w:p>
    <w:p w14:paraId="57041528" w14:textId="4C81698E" w:rsidR="00080CCB" w:rsidRPr="005A21D2" w:rsidRDefault="00080CCB" w:rsidP="005A21D2">
      <w:pPr>
        <w:pStyle w:val="Textonotapie"/>
        <w:ind w:firstLine="708"/>
        <w:jc w:val="both"/>
        <w:rPr>
          <w:rFonts w:ascii="Century Gothic" w:hAnsi="Century Gothic" w:cs="Arial"/>
          <w:color w:val="000000" w:themeColor="text1"/>
          <w:sz w:val="18"/>
          <w:szCs w:val="18"/>
        </w:rPr>
      </w:pPr>
      <w:r w:rsidRPr="005A21D2">
        <w:rPr>
          <w:rFonts w:ascii="Century Gothic" w:hAnsi="Century Gothic" w:cs="Arial"/>
          <w:color w:val="000000" w:themeColor="text1"/>
          <w:sz w:val="18"/>
          <w:szCs w:val="18"/>
        </w:rPr>
        <w:t>14. El Cronograma</w:t>
      </w:r>
      <w:r w:rsidR="007422B1" w:rsidRPr="005A21D2">
        <w:rPr>
          <w:rFonts w:ascii="Century Gothic" w:hAnsi="Century Gothic" w:cs="Arial"/>
          <w:color w:val="000000" w:themeColor="text1"/>
          <w:sz w:val="18"/>
          <w:szCs w:val="18"/>
        </w:rPr>
        <w:t>”</w:t>
      </w:r>
      <w:r w:rsidRPr="005A21D2">
        <w:rPr>
          <w:rFonts w:ascii="Century Gothic" w:hAnsi="Century Gothic" w:cs="Arial"/>
          <w:color w:val="000000" w:themeColor="text1"/>
          <w:sz w:val="18"/>
          <w:szCs w:val="18"/>
        </w:rPr>
        <w:t>.</w:t>
      </w:r>
    </w:p>
    <w:p w14:paraId="52AC874E" w14:textId="77777777" w:rsidR="00080CCB" w:rsidRPr="005A21D2" w:rsidRDefault="00080CCB" w:rsidP="005A21D2">
      <w:pPr>
        <w:pStyle w:val="Textonotapie"/>
        <w:jc w:val="both"/>
        <w:rPr>
          <w:rFonts w:ascii="Century Gothic" w:hAnsi="Century Gothic" w:cs="Arial"/>
          <w:color w:val="000000" w:themeColor="text1"/>
          <w:sz w:val="18"/>
          <w:szCs w:val="18"/>
        </w:rPr>
      </w:pPr>
    </w:p>
  </w:footnote>
  <w:footnote w:id="7">
    <w:p w14:paraId="3FCFAB21" w14:textId="77777777" w:rsidR="00080CCB" w:rsidRDefault="00080CCB" w:rsidP="005A21D2">
      <w:pPr>
        <w:pStyle w:val="Textonotapie"/>
        <w:ind w:firstLine="708"/>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GONZÁLEZ LÓPEZ, Edgar</w:t>
      </w:r>
      <w:r w:rsidRPr="005A21D2">
        <w:rPr>
          <w:rFonts w:ascii="Century Gothic" w:hAnsi="Century Gothic" w:cs="Arial"/>
          <w:i/>
          <w:iCs/>
          <w:sz w:val="18"/>
          <w:szCs w:val="18"/>
        </w:rPr>
        <w:t xml:space="preserve">. </w:t>
      </w:r>
      <w:r w:rsidRPr="005A21D2">
        <w:rPr>
          <w:rFonts w:ascii="Century Gothic" w:hAnsi="Century Gothic" w:cs="Arial"/>
          <w:sz w:val="18"/>
          <w:szCs w:val="18"/>
        </w:rPr>
        <w:t xml:space="preserve">El pliego de condiciones en la contratación. La reforma consagrada en la Ley 1150 de 2007 y sus decretos reglamentarios. Universidad Externado de Colombia. Primera edición, 2010, pp. 64.  </w:t>
      </w:r>
    </w:p>
    <w:p w14:paraId="3170D0EB" w14:textId="77777777" w:rsidR="005A21D2" w:rsidRPr="005A21D2" w:rsidRDefault="005A21D2" w:rsidP="005A21D2">
      <w:pPr>
        <w:pStyle w:val="Textonotapie"/>
        <w:ind w:firstLine="708"/>
        <w:jc w:val="both"/>
        <w:rPr>
          <w:rFonts w:ascii="Century Gothic" w:hAnsi="Century Gothic" w:cs="Arial"/>
          <w:sz w:val="18"/>
          <w:szCs w:val="18"/>
        </w:rPr>
      </w:pPr>
    </w:p>
  </w:footnote>
  <w:footnote w:id="8">
    <w:p w14:paraId="317C2488" w14:textId="7225A934" w:rsidR="00070A66" w:rsidRPr="005A21D2" w:rsidRDefault="00070A66" w:rsidP="005A21D2">
      <w:pPr>
        <w:pStyle w:val="Textonotapie"/>
        <w:ind w:firstLine="708"/>
        <w:jc w:val="both"/>
        <w:rPr>
          <w:rFonts w:ascii="Century Gothic" w:hAnsi="Century Gothic"/>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w:t>
      </w:r>
      <w:r w:rsidR="004A2129" w:rsidRPr="005A21D2">
        <w:rPr>
          <w:rFonts w:ascii="Century Gothic" w:hAnsi="Century Gothic"/>
          <w:sz w:val="18"/>
          <w:szCs w:val="18"/>
        </w:rPr>
        <w:t xml:space="preserve">CONSEJO DE ESTADO, </w:t>
      </w:r>
      <w:r w:rsidR="003D63E6" w:rsidRPr="005A21D2">
        <w:rPr>
          <w:rFonts w:ascii="Century Gothic" w:hAnsi="Century Gothic"/>
          <w:sz w:val="18"/>
          <w:szCs w:val="18"/>
        </w:rPr>
        <w:t>Sala de lo Contencioso Administrativo</w:t>
      </w:r>
      <w:r w:rsidR="008E025D" w:rsidRPr="005A21D2">
        <w:rPr>
          <w:rFonts w:ascii="Century Gothic" w:hAnsi="Century Gothic"/>
          <w:sz w:val="18"/>
          <w:szCs w:val="18"/>
        </w:rPr>
        <w:t>, Sección Tercera, sentencia</w:t>
      </w:r>
      <w:r w:rsidR="00887353" w:rsidRPr="005A21D2">
        <w:rPr>
          <w:rFonts w:ascii="Century Gothic" w:hAnsi="Century Gothic"/>
          <w:sz w:val="18"/>
          <w:szCs w:val="18"/>
        </w:rPr>
        <w:t>s</w:t>
      </w:r>
      <w:r w:rsidR="008E025D" w:rsidRPr="005A21D2">
        <w:rPr>
          <w:rFonts w:ascii="Century Gothic" w:hAnsi="Century Gothic"/>
          <w:sz w:val="18"/>
          <w:szCs w:val="18"/>
        </w:rPr>
        <w:t xml:space="preserve"> de</w:t>
      </w:r>
      <w:r w:rsidR="00887353" w:rsidRPr="005A21D2">
        <w:rPr>
          <w:rFonts w:ascii="Century Gothic" w:hAnsi="Century Gothic"/>
          <w:sz w:val="18"/>
          <w:szCs w:val="18"/>
        </w:rPr>
        <w:t>l</w:t>
      </w:r>
      <w:r w:rsidR="008E025D" w:rsidRPr="005A21D2">
        <w:rPr>
          <w:rFonts w:ascii="Century Gothic" w:hAnsi="Century Gothic"/>
          <w:sz w:val="18"/>
          <w:szCs w:val="18"/>
        </w:rPr>
        <w:t xml:space="preserve"> 1 de junio de 2022</w:t>
      </w:r>
      <w:r w:rsidR="0004079C" w:rsidRPr="005A21D2">
        <w:rPr>
          <w:rFonts w:ascii="Century Gothic" w:hAnsi="Century Gothic"/>
          <w:sz w:val="18"/>
          <w:szCs w:val="18"/>
        </w:rPr>
        <w:t xml:space="preserve">, radicado 60248; </w:t>
      </w:r>
      <w:r w:rsidR="00887353" w:rsidRPr="005A21D2">
        <w:rPr>
          <w:rFonts w:ascii="Century Gothic" w:hAnsi="Century Gothic"/>
          <w:sz w:val="18"/>
          <w:szCs w:val="18"/>
        </w:rPr>
        <w:t>29 de julio de 2015, radicado 40660; y, del 26 de abril de 2006</w:t>
      </w:r>
      <w:r w:rsidR="002D0B44" w:rsidRPr="005A21D2">
        <w:rPr>
          <w:rFonts w:ascii="Century Gothic" w:hAnsi="Century Gothic"/>
          <w:sz w:val="18"/>
          <w:szCs w:val="18"/>
        </w:rPr>
        <w:t>, radicado 16041.</w:t>
      </w:r>
    </w:p>
  </w:footnote>
  <w:footnote w:id="9">
    <w:p w14:paraId="6464B4FD" w14:textId="3A505FEF" w:rsidR="00D4633F" w:rsidRDefault="00D4633F" w:rsidP="00744EE1">
      <w:pPr>
        <w:pStyle w:val="Textonotapie"/>
        <w:ind w:firstLine="708"/>
        <w:jc w:val="both"/>
        <w:rPr>
          <w:rFonts w:ascii="Century Gothic" w:hAnsi="Century Gothic"/>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CONSEJO DE ESTADO, Sala de lo Contencioso Administrativo, </w:t>
      </w:r>
      <w:r w:rsidR="00D17D15" w:rsidRPr="005A21D2">
        <w:rPr>
          <w:rFonts w:ascii="Century Gothic" w:hAnsi="Century Gothic"/>
          <w:sz w:val="18"/>
          <w:szCs w:val="18"/>
        </w:rPr>
        <w:t>Sección Tercera, sentencias del 1 de junio de 2022, radicado 60248 y del 2 de julio de 2021</w:t>
      </w:r>
      <w:r w:rsidR="005A21D2" w:rsidRPr="005A21D2">
        <w:rPr>
          <w:rFonts w:ascii="Century Gothic" w:hAnsi="Century Gothic"/>
          <w:sz w:val="18"/>
          <w:szCs w:val="18"/>
        </w:rPr>
        <w:t>, radicado 51910.</w:t>
      </w:r>
    </w:p>
    <w:p w14:paraId="136D8C9D" w14:textId="77777777" w:rsidR="00744EE1" w:rsidRPr="005A21D2" w:rsidRDefault="00744EE1" w:rsidP="00744EE1">
      <w:pPr>
        <w:pStyle w:val="Textonotapie"/>
        <w:ind w:firstLine="708"/>
        <w:jc w:val="both"/>
        <w:rPr>
          <w:rFonts w:ascii="Century Gothic" w:hAnsi="Century Gothic"/>
          <w:sz w:val="18"/>
          <w:szCs w:val="18"/>
        </w:rPr>
      </w:pPr>
    </w:p>
  </w:footnote>
  <w:footnote w:id="10">
    <w:p w14:paraId="6CC94430" w14:textId="77777777" w:rsidR="00D479B3" w:rsidRPr="005A21D2" w:rsidRDefault="00D479B3" w:rsidP="005A21D2">
      <w:pPr>
        <w:pStyle w:val="Textonotapie"/>
        <w:ind w:firstLine="708"/>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SANTOFIMIO GAMBÓA, Jaime Orlando. Compendio de Derecho Administrativo. Editorial Universidad Externado de Colombia. Págs. 672-673. Bogotá, 2017.</w:t>
      </w:r>
    </w:p>
    <w:p w14:paraId="0049E259" w14:textId="77777777" w:rsidR="00D479B3" w:rsidRPr="005A21D2" w:rsidRDefault="00D479B3" w:rsidP="005A21D2">
      <w:pPr>
        <w:pStyle w:val="Textonotapie"/>
        <w:ind w:firstLine="708"/>
        <w:jc w:val="both"/>
        <w:rPr>
          <w:rFonts w:ascii="Century Gothic" w:hAnsi="Century Gothic" w:cs="Arial"/>
          <w:sz w:val="18"/>
          <w:szCs w:val="18"/>
        </w:rPr>
      </w:pPr>
    </w:p>
  </w:footnote>
  <w:footnote w:id="11">
    <w:p w14:paraId="2D7D1C04" w14:textId="77777777" w:rsidR="00D479B3" w:rsidRPr="005A21D2" w:rsidRDefault="00D479B3" w:rsidP="005A21D2">
      <w:pPr>
        <w:pStyle w:val="Textonotapie"/>
        <w:ind w:firstLine="708"/>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Concepto Colombia Compra Eficiente </w:t>
      </w:r>
      <w:r w:rsidRPr="005A21D2">
        <w:rPr>
          <w:rFonts w:ascii="Century Gothic" w:hAnsi="Century Gothic" w:cs="Arial"/>
          <w:bCs/>
          <w:color w:val="000000"/>
          <w:sz w:val="18"/>
          <w:szCs w:val="18"/>
          <w:lang w:val="es-ES"/>
        </w:rPr>
        <w:t>C-030 de 022</w:t>
      </w:r>
    </w:p>
    <w:p w14:paraId="33A89B53" w14:textId="77777777" w:rsidR="00D479B3" w:rsidRPr="005A21D2" w:rsidRDefault="00D479B3" w:rsidP="005A21D2">
      <w:pPr>
        <w:pStyle w:val="Textonotapie"/>
        <w:ind w:firstLine="708"/>
        <w:jc w:val="both"/>
        <w:rPr>
          <w:rFonts w:ascii="Century Gothic" w:hAnsi="Century Gothic" w:cs="Arial"/>
          <w:sz w:val="18"/>
          <w:szCs w:val="18"/>
        </w:rPr>
      </w:pPr>
    </w:p>
  </w:footnote>
  <w:footnote w:id="12">
    <w:p w14:paraId="1CE4EB21" w14:textId="45ECE8BB" w:rsidR="00080CCB" w:rsidRPr="005A21D2" w:rsidRDefault="00080CCB" w:rsidP="005A21D2">
      <w:pPr>
        <w:pStyle w:val="Textonotapie"/>
        <w:spacing w:after="120"/>
        <w:ind w:firstLine="709"/>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Decreto 1082 de 2015: </w:t>
      </w:r>
      <w:r w:rsidR="007422B1" w:rsidRPr="005A21D2">
        <w:rPr>
          <w:rFonts w:ascii="Century Gothic" w:hAnsi="Century Gothic" w:cs="Arial"/>
          <w:sz w:val="18"/>
          <w:szCs w:val="18"/>
        </w:rPr>
        <w:t>“</w:t>
      </w:r>
      <w:r w:rsidRPr="005A21D2">
        <w:rPr>
          <w:rFonts w:ascii="Century Gothic" w:hAnsi="Century Gothic" w:cs="Arial"/>
          <w:sz w:val="18"/>
          <w:szCs w:val="18"/>
        </w:rPr>
        <w:t xml:space="preserve">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151D182C" w14:textId="0912BBE5" w:rsidR="00080CCB" w:rsidRPr="005A21D2" w:rsidRDefault="007422B1" w:rsidP="005A21D2">
      <w:pPr>
        <w:pStyle w:val="Textonotapie"/>
        <w:ind w:firstLine="708"/>
        <w:jc w:val="both"/>
        <w:rPr>
          <w:rFonts w:ascii="Century Gothic" w:hAnsi="Century Gothic" w:cs="Arial"/>
          <w:sz w:val="18"/>
          <w:szCs w:val="18"/>
        </w:rPr>
      </w:pPr>
      <w:r w:rsidRPr="005A21D2">
        <w:rPr>
          <w:rFonts w:ascii="Century Gothic" w:hAnsi="Century Gothic" w:cs="Arial"/>
          <w:sz w:val="18"/>
          <w:szCs w:val="18"/>
        </w:rPr>
        <w:t>“</w:t>
      </w:r>
      <w:r w:rsidR="00080CCB" w:rsidRPr="005A21D2">
        <w:rPr>
          <w:rFonts w:ascii="Century Gothic" w:hAnsi="Century Gothic" w:cs="Arial"/>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r w:rsidRPr="005A21D2">
        <w:rPr>
          <w:rFonts w:ascii="Century Gothic" w:hAnsi="Century Gothic" w:cs="Arial"/>
          <w:sz w:val="18"/>
          <w:szCs w:val="18"/>
        </w:rPr>
        <w:t>”</w:t>
      </w:r>
      <w:r w:rsidR="00080CCB" w:rsidRPr="005A21D2">
        <w:rPr>
          <w:rFonts w:ascii="Century Gothic" w:hAnsi="Century Gothic" w:cs="Arial"/>
          <w:sz w:val="18"/>
          <w:szCs w:val="18"/>
        </w:rPr>
        <w:t xml:space="preserve">.  </w:t>
      </w:r>
    </w:p>
  </w:footnote>
  <w:footnote w:id="13">
    <w:p w14:paraId="694C48EE" w14:textId="571529AD" w:rsidR="00D10E43" w:rsidRPr="005A21D2" w:rsidRDefault="00D10E43" w:rsidP="005A21D2">
      <w:pPr>
        <w:pStyle w:val="Textonotapie"/>
        <w:ind w:firstLine="708"/>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Ley 1150 de 2007, artículo 5, parágrafo 1: </w:t>
      </w:r>
      <w:r w:rsidR="007422B1" w:rsidRPr="005A21D2">
        <w:rPr>
          <w:rFonts w:ascii="Century Gothic" w:hAnsi="Century Gothic" w:cs="Arial"/>
          <w:sz w:val="18"/>
          <w:szCs w:val="18"/>
          <w:lang w:val="es-CO"/>
        </w:rPr>
        <w:t>“</w:t>
      </w:r>
      <w:r w:rsidRPr="005A21D2">
        <w:rPr>
          <w:rFonts w:ascii="Century Gothic" w:hAnsi="Century Gothic" w:cs="Arial"/>
          <w:sz w:val="18"/>
          <w:szCs w:val="18"/>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2E96B418" w14:textId="0C30F9FA" w:rsidR="00D10E43" w:rsidRPr="005A21D2" w:rsidRDefault="007422B1" w:rsidP="005A21D2">
      <w:pPr>
        <w:pStyle w:val="Textonotapie"/>
        <w:ind w:firstLine="708"/>
        <w:jc w:val="both"/>
        <w:rPr>
          <w:rFonts w:ascii="Century Gothic" w:hAnsi="Century Gothic" w:cs="Arial"/>
          <w:sz w:val="18"/>
          <w:szCs w:val="18"/>
        </w:rPr>
      </w:pPr>
      <w:r w:rsidRPr="005A21D2">
        <w:rPr>
          <w:rFonts w:ascii="Century Gothic" w:hAnsi="Century Gothic" w:cs="Arial"/>
          <w:sz w:val="18"/>
          <w:szCs w:val="18"/>
        </w:rPr>
        <w:t>“</w:t>
      </w:r>
      <w:r w:rsidR="00D10E43" w:rsidRPr="005A21D2">
        <w:rPr>
          <w:rFonts w:ascii="Century Gothic" w:hAnsi="Century Gothic" w:cs="Arial"/>
          <w:sz w:val="18"/>
          <w:szCs w:val="18"/>
        </w:rPr>
        <w:t>Durante el término otorgado para subsanar las ofertas, los proponentes no podrán acreditar circunstancias ocurridas con posterioridad al cierre del proceso</w:t>
      </w:r>
      <w:r w:rsidRPr="005A21D2">
        <w:rPr>
          <w:rFonts w:ascii="Century Gothic" w:hAnsi="Century Gothic" w:cs="Arial"/>
          <w:sz w:val="18"/>
          <w:szCs w:val="18"/>
        </w:rPr>
        <w:t>”</w:t>
      </w:r>
      <w:r w:rsidR="00D10E43" w:rsidRPr="005A21D2">
        <w:rPr>
          <w:rFonts w:ascii="Century Gothic" w:hAnsi="Century Gothic" w:cs="Arial"/>
          <w:sz w:val="18"/>
          <w:szCs w:val="18"/>
        </w:rPr>
        <w:t>.</w:t>
      </w:r>
    </w:p>
    <w:p w14:paraId="6687CA31" w14:textId="77777777" w:rsidR="00D10E43" w:rsidRPr="005A21D2" w:rsidRDefault="00D10E43" w:rsidP="005A21D2">
      <w:pPr>
        <w:pStyle w:val="Textonotapie"/>
        <w:ind w:firstLine="708"/>
        <w:jc w:val="both"/>
        <w:rPr>
          <w:rFonts w:ascii="Century Gothic" w:hAnsi="Century Gothic" w:cs="Arial"/>
          <w:sz w:val="18"/>
          <w:szCs w:val="18"/>
          <w:lang w:val="es-CO"/>
        </w:rPr>
      </w:pPr>
    </w:p>
  </w:footnote>
  <w:footnote w:id="14">
    <w:p w14:paraId="38A78BCB" w14:textId="77777777" w:rsidR="000C7911" w:rsidRPr="005A21D2" w:rsidRDefault="000C7911" w:rsidP="0093541B">
      <w:pPr>
        <w:pStyle w:val="Textonotapie"/>
        <w:ind w:firstLine="708"/>
        <w:jc w:val="both"/>
        <w:rPr>
          <w:rFonts w:ascii="Century Gothic" w:hAnsi="Century Gothic"/>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w:t>
      </w:r>
      <w:r w:rsidRPr="005A21D2">
        <w:rPr>
          <w:rFonts w:ascii="Century Gothic" w:hAnsi="Century Gothic" w:cs="Arial"/>
          <w:sz w:val="18"/>
          <w:szCs w:val="18"/>
          <w:lang w:val="es-ES_tradnl"/>
        </w:rPr>
        <w:t xml:space="preserve">Consejo de Estado, Sala de lo Contencioso Administrativo, Sección Tercera, Subsección C, sentencia del 26 de marzo de 2014, radicación </w:t>
      </w:r>
      <w:r w:rsidRPr="005A21D2">
        <w:rPr>
          <w:rFonts w:ascii="Century Gothic" w:hAnsi="Century Gothic" w:cs="Arial"/>
          <w:iCs/>
          <w:sz w:val="18"/>
          <w:szCs w:val="18"/>
        </w:rPr>
        <w:t>05001-23-31-000-1998-01503-01 (25.750).</w:t>
      </w:r>
    </w:p>
  </w:footnote>
  <w:footnote w:id="15">
    <w:p w14:paraId="0EAAAA10" w14:textId="77777777" w:rsidR="000C7911" w:rsidRPr="005A21D2" w:rsidRDefault="000C7911" w:rsidP="0093541B">
      <w:pPr>
        <w:ind w:firstLine="708"/>
        <w:jc w:val="both"/>
        <w:rPr>
          <w:rFonts w:ascii="Century Gothic" w:hAnsi="Century Gothic" w:cs="Arial"/>
          <w:iCs/>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w:t>
      </w:r>
      <w:r w:rsidRPr="005A21D2">
        <w:rPr>
          <w:rFonts w:ascii="Century Gothic" w:hAnsi="Century Gothic" w:cs="Arial"/>
          <w:sz w:val="18"/>
          <w:szCs w:val="18"/>
        </w:rPr>
        <w:t xml:space="preserve">Consejo de Estado, Sala de lo Contencioso Administrativo, Sección Tercera, Subsección A, sentencia del 26 de noviembre de 2014, radicación </w:t>
      </w:r>
      <w:r w:rsidRPr="005A21D2">
        <w:rPr>
          <w:rFonts w:ascii="Century Gothic" w:hAnsi="Century Gothic" w:cs="Arial"/>
          <w:bCs/>
          <w:sz w:val="18"/>
          <w:szCs w:val="18"/>
        </w:rPr>
        <w:t>760012331000199801093 01 (31.297).</w:t>
      </w:r>
    </w:p>
  </w:footnote>
  <w:footnote w:id="16">
    <w:p w14:paraId="444AEDF2" w14:textId="77777777" w:rsidR="000C7911" w:rsidRPr="005A21D2" w:rsidRDefault="000C7911" w:rsidP="0093541B">
      <w:pPr>
        <w:pStyle w:val="Textonotapie"/>
        <w:ind w:firstLine="708"/>
        <w:jc w:val="both"/>
        <w:rPr>
          <w:rFonts w:ascii="Century Gothic" w:hAnsi="Century Gothic"/>
          <w:sz w:val="18"/>
          <w:szCs w:val="18"/>
        </w:rPr>
      </w:pPr>
      <w:r w:rsidRPr="005A21D2">
        <w:rPr>
          <w:rStyle w:val="Refdenotaalpie"/>
          <w:rFonts w:ascii="Century Gothic" w:hAnsi="Century Gothic"/>
          <w:sz w:val="18"/>
          <w:szCs w:val="18"/>
        </w:rPr>
        <w:footnoteRef/>
      </w:r>
      <w:r w:rsidRPr="005A21D2">
        <w:rPr>
          <w:rFonts w:ascii="Century Gothic" w:hAnsi="Century Gothic"/>
          <w:sz w:val="18"/>
          <w:szCs w:val="18"/>
        </w:rPr>
        <w:t xml:space="preserve"> </w:t>
      </w:r>
      <w:r w:rsidRPr="005A21D2">
        <w:rPr>
          <w:rFonts w:ascii="Century Gothic" w:hAnsi="Century Gothic" w:cs="Arial"/>
          <w:sz w:val="18"/>
          <w:szCs w:val="18"/>
          <w:lang w:val="es-ES_tradnl"/>
        </w:rPr>
        <w:t xml:space="preserve">Consejo de Estado, Sala de lo Contencioso Administrativo, Sección Tercera, Subsección A, sentencia del 27 de abril de 2016, radicación </w:t>
      </w:r>
      <w:r w:rsidRPr="005A21D2">
        <w:rPr>
          <w:rFonts w:ascii="Century Gothic" w:hAnsi="Century Gothic" w:cs="Arial"/>
          <w:sz w:val="18"/>
          <w:szCs w:val="18"/>
        </w:rPr>
        <w:t>2500-23-26-000-2007-00664-01(46818),</w:t>
      </w:r>
    </w:p>
  </w:footnote>
  <w:footnote w:id="17">
    <w:p w14:paraId="0997375B" w14:textId="77777777" w:rsidR="000C7911" w:rsidRPr="005A21D2" w:rsidRDefault="000C7911" w:rsidP="0093541B">
      <w:pPr>
        <w:pStyle w:val="Textonotapie"/>
        <w:ind w:firstLine="708"/>
        <w:jc w:val="both"/>
        <w:rPr>
          <w:rFonts w:ascii="Century Gothic" w:hAnsi="Century Gothic" w:cs="Arial"/>
          <w:sz w:val="18"/>
          <w:szCs w:val="18"/>
        </w:rPr>
      </w:pPr>
      <w:r w:rsidRPr="005A21D2">
        <w:rPr>
          <w:rStyle w:val="Refdenotaalpie"/>
          <w:rFonts w:ascii="Century Gothic" w:hAnsi="Century Gothic" w:cs="Arial"/>
          <w:sz w:val="18"/>
          <w:szCs w:val="18"/>
        </w:rPr>
        <w:footnoteRef/>
      </w:r>
      <w:r w:rsidRPr="005A21D2">
        <w:rPr>
          <w:rFonts w:ascii="Century Gothic" w:hAnsi="Century Gothic" w:cs="Arial"/>
          <w:sz w:val="18"/>
          <w:szCs w:val="18"/>
        </w:rPr>
        <w:t xml:space="preserve"> </w:t>
      </w:r>
      <w:r w:rsidRPr="005A21D2">
        <w:rPr>
          <w:rFonts w:ascii="Century Gothic" w:eastAsia="Times New Roman" w:hAnsi="Century Gothic" w:cs="Arial"/>
          <w:color w:val="000000"/>
          <w:sz w:val="18"/>
          <w:szCs w:val="18"/>
        </w:rPr>
        <w:t>Consejo de Estado, Sala de lo Contencioso Administrativo, Sección Tercera, Subsección A, en sentencia del 2 de julio de 2021 de Exp. 58372.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0C128675"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9584D70"/>
    <w:multiLevelType w:val="hybridMultilevel"/>
    <w:tmpl w:val="A8FC7D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E8731F6"/>
    <w:multiLevelType w:val="hybridMultilevel"/>
    <w:tmpl w:val="8528DC66"/>
    <w:lvl w:ilvl="0" w:tplc="0C0A0001">
      <w:start w:val="1"/>
      <w:numFmt w:val="bullet"/>
      <w:lvlText w:val=""/>
      <w:lvlJc w:val="left"/>
      <w:pPr>
        <w:ind w:left="1485" w:hanging="360"/>
      </w:pPr>
      <w:rPr>
        <w:rFonts w:ascii="Symbol" w:hAnsi="Symbol"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num w:numId="1" w16cid:durableId="658116237">
    <w:abstractNumId w:val="2"/>
  </w:num>
  <w:num w:numId="2" w16cid:durableId="1998679036">
    <w:abstractNumId w:val="0"/>
  </w:num>
  <w:num w:numId="3" w16cid:durableId="1715040265">
    <w:abstractNumId w:val="1"/>
  </w:num>
  <w:num w:numId="4" w16cid:durableId="1947425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4487441">
    <w:abstractNumId w:val="0"/>
  </w:num>
  <w:num w:numId="6" w16cid:durableId="813837977">
    <w:abstractNumId w:val="4"/>
  </w:num>
  <w:num w:numId="7" w16cid:durableId="281155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0222"/>
    <w:rsid w:val="0003422E"/>
    <w:rsid w:val="0004079C"/>
    <w:rsid w:val="00070A66"/>
    <w:rsid w:val="00076B48"/>
    <w:rsid w:val="00080CCB"/>
    <w:rsid w:val="000A5DAA"/>
    <w:rsid w:val="000A683E"/>
    <w:rsid w:val="000B12B4"/>
    <w:rsid w:val="000B19B9"/>
    <w:rsid w:val="000C5FA0"/>
    <w:rsid w:val="000C7911"/>
    <w:rsid w:val="000D0334"/>
    <w:rsid w:val="000E186E"/>
    <w:rsid w:val="000E5426"/>
    <w:rsid w:val="000E7008"/>
    <w:rsid w:val="000F6486"/>
    <w:rsid w:val="000F7D55"/>
    <w:rsid w:val="00125105"/>
    <w:rsid w:val="00127233"/>
    <w:rsid w:val="00136CF2"/>
    <w:rsid w:val="00152823"/>
    <w:rsid w:val="00157F6D"/>
    <w:rsid w:val="001601DD"/>
    <w:rsid w:val="0018114D"/>
    <w:rsid w:val="001951C0"/>
    <w:rsid w:val="001A4E98"/>
    <w:rsid w:val="001A7712"/>
    <w:rsid w:val="001B1284"/>
    <w:rsid w:val="001B1DAE"/>
    <w:rsid w:val="001B606D"/>
    <w:rsid w:val="001B6615"/>
    <w:rsid w:val="001C294A"/>
    <w:rsid w:val="001C46F4"/>
    <w:rsid w:val="001C6F64"/>
    <w:rsid w:val="001D524C"/>
    <w:rsid w:val="001E1F0A"/>
    <w:rsid w:val="001E340E"/>
    <w:rsid w:val="001E4177"/>
    <w:rsid w:val="001E5E04"/>
    <w:rsid w:val="001F6146"/>
    <w:rsid w:val="00222D1A"/>
    <w:rsid w:val="002311DC"/>
    <w:rsid w:val="00233F97"/>
    <w:rsid w:val="00242004"/>
    <w:rsid w:val="00276441"/>
    <w:rsid w:val="002951A0"/>
    <w:rsid w:val="002962BC"/>
    <w:rsid w:val="002A093D"/>
    <w:rsid w:val="002A49AC"/>
    <w:rsid w:val="002A64FD"/>
    <w:rsid w:val="002B17A7"/>
    <w:rsid w:val="002C663D"/>
    <w:rsid w:val="002C7A84"/>
    <w:rsid w:val="002D0B44"/>
    <w:rsid w:val="002D0D16"/>
    <w:rsid w:val="002D567A"/>
    <w:rsid w:val="002F5537"/>
    <w:rsid w:val="00302834"/>
    <w:rsid w:val="00310E98"/>
    <w:rsid w:val="003110BA"/>
    <w:rsid w:val="00334514"/>
    <w:rsid w:val="003448F4"/>
    <w:rsid w:val="003877BE"/>
    <w:rsid w:val="003952C0"/>
    <w:rsid w:val="0039591C"/>
    <w:rsid w:val="003A4E05"/>
    <w:rsid w:val="003A779E"/>
    <w:rsid w:val="003C425E"/>
    <w:rsid w:val="003C497B"/>
    <w:rsid w:val="003C69C4"/>
    <w:rsid w:val="003C7500"/>
    <w:rsid w:val="003D0F4D"/>
    <w:rsid w:val="003D63E6"/>
    <w:rsid w:val="003E0029"/>
    <w:rsid w:val="003E0499"/>
    <w:rsid w:val="003F3941"/>
    <w:rsid w:val="003F3AB8"/>
    <w:rsid w:val="00400548"/>
    <w:rsid w:val="00407DEB"/>
    <w:rsid w:val="004267AE"/>
    <w:rsid w:val="00443DEB"/>
    <w:rsid w:val="00450768"/>
    <w:rsid w:val="004552F4"/>
    <w:rsid w:val="0045792C"/>
    <w:rsid w:val="0047034A"/>
    <w:rsid w:val="00470D57"/>
    <w:rsid w:val="00473009"/>
    <w:rsid w:val="004A1847"/>
    <w:rsid w:val="004A1DB0"/>
    <w:rsid w:val="004A2129"/>
    <w:rsid w:val="004A305D"/>
    <w:rsid w:val="004A73C6"/>
    <w:rsid w:val="004F21C4"/>
    <w:rsid w:val="004F685F"/>
    <w:rsid w:val="004F7CDC"/>
    <w:rsid w:val="00513CC1"/>
    <w:rsid w:val="00521C8B"/>
    <w:rsid w:val="00524C10"/>
    <w:rsid w:val="00533E8F"/>
    <w:rsid w:val="00544075"/>
    <w:rsid w:val="00552A02"/>
    <w:rsid w:val="005566E8"/>
    <w:rsid w:val="00561301"/>
    <w:rsid w:val="00574867"/>
    <w:rsid w:val="00576B60"/>
    <w:rsid w:val="005860AA"/>
    <w:rsid w:val="005871D7"/>
    <w:rsid w:val="00592A5B"/>
    <w:rsid w:val="005A14B3"/>
    <w:rsid w:val="005A21D2"/>
    <w:rsid w:val="005B5D8B"/>
    <w:rsid w:val="005C5CDC"/>
    <w:rsid w:val="005D3060"/>
    <w:rsid w:val="005D476C"/>
    <w:rsid w:val="006219F8"/>
    <w:rsid w:val="00643AE0"/>
    <w:rsid w:val="00646E40"/>
    <w:rsid w:val="00665D70"/>
    <w:rsid w:val="0067086C"/>
    <w:rsid w:val="00671943"/>
    <w:rsid w:val="00682258"/>
    <w:rsid w:val="006A0412"/>
    <w:rsid w:val="006A4470"/>
    <w:rsid w:val="006A5C9A"/>
    <w:rsid w:val="006A71C3"/>
    <w:rsid w:val="006B28AA"/>
    <w:rsid w:val="006B452F"/>
    <w:rsid w:val="006B7EA8"/>
    <w:rsid w:val="006C293D"/>
    <w:rsid w:val="006F013F"/>
    <w:rsid w:val="006F5C25"/>
    <w:rsid w:val="00706C16"/>
    <w:rsid w:val="00712D18"/>
    <w:rsid w:val="00717307"/>
    <w:rsid w:val="00717FB4"/>
    <w:rsid w:val="007216E2"/>
    <w:rsid w:val="0073101B"/>
    <w:rsid w:val="007422B1"/>
    <w:rsid w:val="00744EE1"/>
    <w:rsid w:val="0075367A"/>
    <w:rsid w:val="00756841"/>
    <w:rsid w:val="00763913"/>
    <w:rsid w:val="007649AB"/>
    <w:rsid w:val="00776027"/>
    <w:rsid w:val="007833AC"/>
    <w:rsid w:val="00793C86"/>
    <w:rsid w:val="007B25A6"/>
    <w:rsid w:val="007B7171"/>
    <w:rsid w:val="007C1865"/>
    <w:rsid w:val="007C3DC2"/>
    <w:rsid w:val="007E5497"/>
    <w:rsid w:val="007F632F"/>
    <w:rsid w:val="008061C7"/>
    <w:rsid w:val="00806F5F"/>
    <w:rsid w:val="00810C91"/>
    <w:rsid w:val="00813A50"/>
    <w:rsid w:val="00815459"/>
    <w:rsid w:val="00820278"/>
    <w:rsid w:val="0082066F"/>
    <w:rsid w:val="00842227"/>
    <w:rsid w:val="00845F48"/>
    <w:rsid w:val="00877855"/>
    <w:rsid w:val="008811A5"/>
    <w:rsid w:val="008843B6"/>
    <w:rsid w:val="00887353"/>
    <w:rsid w:val="00891928"/>
    <w:rsid w:val="008A446D"/>
    <w:rsid w:val="008C6FA9"/>
    <w:rsid w:val="008E025D"/>
    <w:rsid w:val="008F0EA7"/>
    <w:rsid w:val="008F159A"/>
    <w:rsid w:val="008F2D39"/>
    <w:rsid w:val="008F68F0"/>
    <w:rsid w:val="009002EC"/>
    <w:rsid w:val="0091498F"/>
    <w:rsid w:val="00923959"/>
    <w:rsid w:val="00923EEF"/>
    <w:rsid w:val="0093541B"/>
    <w:rsid w:val="00935E40"/>
    <w:rsid w:val="009419F9"/>
    <w:rsid w:val="00951CD9"/>
    <w:rsid w:val="00961B09"/>
    <w:rsid w:val="009620F6"/>
    <w:rsid w:val="00965334"/>
    <w:rsid w:val="0097093E"/>
    <w:rsid w:val="009849B3"/>
    <w:rsid w:val="00987B00"/>
    <w:rsid w:val="009C71FA"/>
    <w:rsid w:val="009C72E7"/>
    <w:rsid w:val="009C7DFF"/>
    <w:rsid w:val="00A00A72"/>
    <w:rsid w:val="00A04B7E"/>
    <w:rsid w:val="00A07866"/>
    <w:rsid w:val="00A13CF8"/>
    <w:rsid w:val="00A16797"/>
    <w:rsid w:val="00A17F13"/>
    <w:rsid w:val="00A20739"/>
    <w:rsid w:val="00A21FC5"/>
    <w:rsid w:val="00A25826"/>
    <w:rsid w:val="00A33C78"/>
    <w:rsid w:val="00A44459"/>
    <w:rsid w:val="00A70439"/>
    <w:rsid w:val="00A71675"/>
    <w:rsid w:val="00A87B24"/>
    <w:rsid w:val="00AA5058"/>
    <w:rsid w:val="00AB084C"/>
    <w:rsid w:val="00AB0ADB"/>
    <w:rsid w:val="00AB556F"/>
    <w:rsid w:val="00AC55AB"/>
    <w:rsid w:val="00AE2380"/>
    <w:rsid w:val="00AE34EB"/>
    <w:rsid w:val="00AE3D6E"/>
    <w:rsid w:val="00AE6B6C"/>
    <w:rsid w:val="00AF4FE4"/>
    <w:rsid w:val="00B012DB"/>
    <w:rsid w:val="00B06EFD"/>
    <w:rsid w:val="00B20985"/>
    <w:rsid w:val="00B67855"/>
    <w:rsid w:val="00B72CD3"/>
    <w:rsid w:val="00B72FFF"/>
    <w:rsid w:val="00B94F2C"/>
    <w:rsid w:val="00BA6DB2"/>
    <w:rsid w:val="00BA7A9D"/>
    <w:rsid w:val="00BB1CF6"/>
    <w:rsid w:val="00BD09EA"/>
    <w:rsid w:val="00BD2E7A"/>
    <w:rsid w:val="00BD7F72"/>
    <w:rsid w:val="00BE0360"/>
    <w:rsid w:val="00BE082A"/>
    <w:rsid w:val="00BF6DE4"/>
    <w:rsid w:val="00BF6F41"/>
    <w:rsid w:val="00C04FB3"/>
    <w:rsid w:val="00C05B71"/>
    <w:rsid w:val="00C330EB"/>
    <w:rsid w:val="00C349BB"/>
    <w:rsid w:val="00C52DC1"/>
    <w:rsid w:val="00C754BE"/>
    <w:rsid w:val="00CA2549"/>
    <w:rsid w:val="00CB1580"/>
    <w:rsid w:val="00CB1CBF"/>
    <w:rsid w:val="00CB3574"/>
    <w:rsid w:val="00CB4BC4"/>
    <w:rsid w:val="00CB5519"/>
    <w:rsid w:val="00CB6357"/>
    <w:rsid w:val="00CC1B26"/>
    <w:rsid w:val="00CD0CEF"/>
    <w:rsid w:val="00CF1883"/>
    <w:rsid w:val="00CF681A"/>
    <w:rsid w:val="00D0693B"/>
    <w:rsid w:val="00D10E43"/>
    <w:rsid w:val="00D155A3"/>
    <w:rsid w:val="00D17D15"/>
    <w:rsid w:val="00D35126"/>
    <w:rsid w:val="00D423A2"/>
    <w:rsid w:val="00D4633F"/>
    <w:rsid w:val="00D467C9"/>
    <w:rsid w:val="00D479B3"/>
    <w:rsid w:val="00D53E23"/>
    <w:rsid w:val="00D63AC2"/>
    <w:rsid w:val="00D7041D"/>
    <w:rsid w:val="00D73179"/>
    <w:rsid w:val="00D7383B"/>
    <w:rsid w:val="00D90EF2"/>
    <w:rsid w:val="00D93720"/>
    <w:rsid w:val="00DA0171"/>
    <w:rsid w:val="00DA112C"/>
    <w:rsid w:val="00DA231B"/>
    <w:rsid w:val="00DB5A85"/>
    <w:rsid w:val="00DC1879"/>
    <w:rsid w:val="00DE3215"/>
    <w:rsid w:val="00E16408"/>
    <w:rsid w:val="00E20894"/>
    <w:rsid w:val="00E245AB"/>
    <w:rsid w:val="00E34336"/>
    <w:rsid w:val="00E46F44"/>
    <w:rsid w:val="00E50AFE"/>
    <w:rsid w:val="00E51532"/>
    <w:rsid w:val="00E657D9"/>
    <w:rsid w:val="00E71A20"/>
    <w:rsid w:val="00E726B3"/>
    <w:rsid w:val="00E771DC"/>
    <w:rsid w:val="00E8265D"/>
    <w:rsid w:val="00E82834"/>
    <w:rsid w:val="00E8428F"/>
    <w:rsid w:val="00E8772A"/>
    <w:rsid w:val="00E90F6B"/>
    <w:rsid w:val="00E926CA"/>
    <w:rsid w:val="00E92C27"/>
    <w:rsid w:val="00EA0E3D"/>
    <w:rsid w:val="00EA1F1D"/>
    <w:rsid w:val="00EC489E"/>
    <w:rsid w:val="00EE1AA8"/>
    <w:rsid w:val="00EE5BA9"/>
    <w:rsid w:val="00EE7458"/>
    <w:rsid w:val="00EE7B75"/>
    <w:rsid w:val="00EF1282"/>
    <w:rsid w:val="00F204AB"/>
    <w:rsid w:val="00F2584B"/>
    <w:rsid w:val="00F31EDC"/>
    <w:rsid w:val="00F3719A"/>
    <w:rsid w:val="00F474AA"/>
    <w:rsid w:val="00F5664F"/>
    <w:rsid w:val="00F613A2"/>
    <w:rsid w:val="00F714FA"/>
    <w:rsid w:val="00F76AFC"/>
    <w:rsid w:val="00F76E9A"/>
    <w:rsid w:val="00F810BE"/>
    <w:rsid w:val="00F81C63"/>
    <w:rsid w:val="00F86CCF"/>
    <w:rsid w:val="00F9626A"/>
    <w:rsid w:val="00FA7423"/>
    <w:rsid w:val="00FB5DD1"/>
    <w:rsid w:val="00FC2B5D"/>
    <w:rsid w:val="00FD1E4E"/>
    <w:rsid w:val="00FF1449"/>
    <w:rsid w:val="00FF4E31"/>
    <w:rsid w:val="01E6DEE6"/>
    <w:rsid w:val="2FAFB76D"/>
    <w:rsid w:val="596BD7BB"/>
    <w:rsid w:val="687B05C8"/>
    <w:rsid w:val="6C113A55"/>
    <w:rsid w:val="7278C889"/>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0E43"/>
    <w:rPr>
      <w:rFonts w:ascii="Geomanist Light" w:hAnsi="Geomanist Light"/>
      <w:lang w:val="es-ES"/>
    </w:rPr>
  </w:style>
  <w:style w:type="paragraph" w:styleId="Textoindependiente">
    <w:name w:val="Body Text"/>
    <w:basedOn w:val="Normal"/>
    <w:link w:val="TextoindependienteCar"/>
    <w:uiPriority w:val="1"/>
    <w:unhideWhenUsed/>
    <w:qFormat/>
    <w:rsid w:val="00D10E43"/>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D10E43"/>
    <w:rPr>
      <w:rFonts w:ascii="Arial" w:eastAsia="Arial" w:hAnsi="Arial" w:cs="Arial"/>
      <w:lang w:val="es-ES" w:eastAsia="es-ES" w:bidi="es-ES"/>
    </w:rPr>
  </w:style>
  <w:style w:type="paragraph" w:customStyle="1" w:styleId="Appelnotedebasde">
    <w:name w:val="Appel note de bas de..."/>
    <w:basedOn w:val="Normal"/>
    <w:link w:val="Refdenotaalpie"/>
    <w:rsid w:val="00080CCB"/>
    <w:pPr>
      <w:spacing w:line="240" w:lineRule="exact"/>
    </w:pPr>
    <w:rPr>
      <w:vertAlign w:val="superscript"/>
    </w:rPr>
  </w:style>
  <w:style w:type="paragraph" w:customStyle="1" w:styleId="xmsonospacing">
    <w:name w:val="x_msonospacing"/>
    <w:basedOn w:val="Normal"/>
    <w:rsid w:val="00080CCB"/>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D5858AD-6D65-45AB-B201-200B90BB6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D30244-1251-410C-8FC1-8FD751768180}">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6062</Words>
  <Characters>33343</Characters>
  <Application>Microsoft Office Word</Application>
  <DocSecurity>0</DocSecurity>
  <Lines>277</Lines>
  <Paragraphs>78</Paragraphs>
  <ScaleCrop>false</ScaleCrop>
  <Company/>
  <LinksUpToDate>false</LinksUpToDate>
  <CharactersWithSpaces>39327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2024-01-03T20:39:00Z</dcterms:created>
  <dcterms:modified xsi:type="dcterms:W3CDTF">2024-01-03T20:39:00Z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