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281F1B" w14:textId="77777777" w:rsidR="0091408C" w:rsidRDefault="0091408C" w:rsidP="0091408C">
      <w:pPr>
        <w:spacing w:after="0" w:line="240" w:lineRule="auto"/>
        <w:jc w:val="right"/>
        <w:rPr>
          <w:rFonts w:ascii="Arial" w:eastAsia="Calibri" w:hAnsi="Arial" w:cs="Arial"/>
          <w:b/>
          <w:szCs w:val="24"/>
          <w:lang w:val="es-ES_tradnl" w:eastAsia="es-ES_tradnl"/>
        </w:rPr>
      </w:pPr>
      <w:r w:rsidRPr="00BF0EE2">
        <w:rPr>
          <w:rFonts w:ascii="Arial" w:hAnsi="Arial" w:cs="Arial"/>
          <w:b/>
          <w:sz w:val="16"/>
          <w:szCs w:val="16"/>
          <w:lang w:eastAsia="es-ES"/>
        </w:rPr>
        <w:t>CCE-DES-FM-17</w:t>
      </w:r>
    </w:p>
    <w:p w14:paraId="213E3174" w14:textId="77777777" w:rsidR="0091408C" w:rsidRDefault="0091408C" w:rsidP="0091408C">
      <w:pPr>
        <w:spacing w:after="0" w:line="240" w:lineRule="auto"/>
        <w:jc w:val="both"/>
        <w:rPr>
          <w:rFonts w:ascii="Arial" w:eastAsia="Calibri" w:hAnsi="Arial" w:cs="Arial"/>
          <w:b/>
          <w:szCs w:val="24"/>
          <w:lang w:val="es-ES_tradnl" w:eastAsia="es-ES_tradnl"/>
        </w:rPr>
      </w:pPr>
    </w:p>
    <w:p w14:paraId="69FBFAD1" w14:textId="3DC8B27C" w:rsidR="0091408C" w:rsidRPr="0090344C" w:rsidRDefault="0091408C" w:rsidP="004776DF">
      <w:pPr>
        <w:spacing w:after="0" w:line="240" w:lineRule="auto"/>
        <w:jc w:val="both"/>
        <w:rPr>
          <w:rFonts w:ascii="Arial" w:eastAsia="Calibri" w:hAnsi="Arial" w:cs="Arial"/>
          <w:b/>
          <w:szCs w:val="24"/>
          <w:lang w:val="es-ES_tradnl" w:eastAsia="es-ES_tradnl"/>
        </w:rPr>
      </w:pPr>
      <w:r w:rsidRPr="0090344C">
        <w:rPr>
          <w:rFonts w:ascii="Arial" w:eastAsia="Calibri" w:hAnsi="Arial" w:cs="Arial"/>
          <w:b/>
          <w:szCs w:val="24"/>
          <w:lang w:val="es-ES_tradnl" w:eastAsia="es-ES_tradnl"/>
        </w:rPr>
        <w:t xml:space="preserve">DOCUMENTOS TIPO </w:t>
      </w:r>
      <w:r w:rsidRPr="0090344C">
        <w:rPr>
          <w:rFonts w:ascii="Arial" w:eastAsia="Calibri" w:hAnsi="Arial" w:cs="Arial"/>
          <w:b/>
          <w:color w:val="000000"/>
          <w:szCs w:val="24"/>
          <w:lang w:val="es-ES_tradnl" w:eastAsia="es-ES_tradnl"/>
        </w:rPr>
        <w:t>–</w:t>
      </w:r>
      <w:r w:rsidRPr="0090344C">
        <w:rPr>
          <w:rFonts w:ascii="Arial" w:eastAsia="Calibri" w:hAnsi="Arial" w:cs="Arial"/>
          <w:b/>
          <w:szCs w:val="24"/>
          <w:lang w:val="es-ES_tradnl" w:eastAsia="es-ES_tradnl"/>
        </w:rPr>
        <w:t xml:space="preserve"> Fundamento normativo </w:t>
      </w:r>
      <w:r w:rsidRPr="0090344C">
        <w:rPr>
          <w:rFonts w:ascii="Arial" w:eastAsia="Calibri" w:hAnsi="Arial" w:cs="Arial"/>
          <w:b/>
          <w:color w:val="000000"/>
          <w:szCs w:val="24"/>
          <w:lang w:val="es-ES_tradnl" w:eastAsia="es-ES_tradnl"/>
        </w:rPr>
        <w:t xml:space="preserve">– </w:t>
      </w:r>
      <w:r w:rsidRPr="0090344C">
        <w:rPr>
          <w:rFonts w:ascii="Arial" w:eastAsia="Calibri" w:hAnsi="Arial" w:cs="Arial"/>
          <w:b/>
          <w:szCs w:val="24"/>
          <w:lang w:val="es-ES_tradnl" w:eastAsia="es-ES_tradnl"/>
        </w:rPr>
        <w:t>Ley 2022 de 2020</w:t>
      </w:r>
      <w:r w:rsidR="00AB090F">
        <w:rPr>
          <w:rFonts w:ascii="Arial" w:eastAsia="Calibri" w:hAnsi="Arial" w:cs="Arial"/>
          <w:b/>
          <w:szCs w:val="24"/>
          <w:lang w:val="es-ES_tradnl" w:eastAsia="es-ES_tradnl"/>
        </w:rPr>
        <w:t xml:space="preserve"> </w:t>
      </w:r>
    </w:p>
    <w:p w14:paraId="02D20F4D" w14:textId="77777777" w:rsidR="0091408C" w:rsidRPr="0090344C" w:rsidRDefault="0091408C" w:rsidP="004776DF">
      <w:pPr>
        <w:spacing w:after="0" w:line="240" w:lineRule="auto"/>
        <w:jc w:val="both"/>
        <w:rPr>
          <w:rFonts w:ascii="Arial" w:eastAsia="Calibri" w:hAnsi="Arial" w:cs="Arial"/>
          <w:b/>
          <w:szCs w:val="24"/>
          <w:lang w:val="es-ES_tradnl" w:eastAsia="es-ES_tradnl"/>
        </w:rPr>
      </w:pPr>
    </w:p>
    <w:p w14:paraId="724FD613" w14:textId="47502DB6" w:rsidR="004776DF" w:rsidRPr="004776DF" w:rsidRDefault="004776DF" w:rsidP="004776DF">
      <w:pPr>
        <w:spacing w:after="0" w:line="240" w:lineRule="auto"/>
        <w:jc w:val="both"/>
        <w:rPr>
          <w:rFonts w:ascii="Arial" w:eastAsia="Calibri" w:hAnsi="Arial" w:cs="Arial"/>
          <w:sz w:val="20"/>
          <w:szCs w:val="20"/>
          <w:lang w:val="es-ES_tradnl" w:eastAsia="es-ES"/>
        </w:rPr>
      </w:pPr>
      <w:r w:rsidRPr="004776DF">
        <w:rPr>
          <w:rFonts w:ascii="Arial" w:eastAsia="Calibri" w:hAnsi="Arial" w:cs="Arial"/>
          <w:sz w:val="20"/>
          <w:szCs w:val="20"/>
          <w:lang w:val="es-ES_tradnl" w:eastAsia="es-ES"/>
        </w:rPr>
        <w:t xml:space="preserve">[…] con posterioridad a la expedición de los anteriores documentos tipo, se expidió la Ley 2022 de 2020, norma que modificó el contenido del parágrafo 7 del artículo 2 de la Ley 1150 de 2007, que había sido adicionado por la Ley 1882 de 2018. Con esta modificación, si bien se mantuvo el mandato de aplicación obligatoria de los documentos tipo por parte de las entidades sometidas al Estatuto General de Contratación de la Administración Pública, se atribuyó a la </w:t>
      </w:r>
      <w:r w:rsidRPr="004776DF">
        <w:rPr>
          <w:rFonts w:ascii="Arial" w:eastAsia="Calibri" w:hAnsi="Arial" w:cs="Arial"/>
          <w:sz w:val="20"/>
          <w:szCs w:val="20"/>
          <w:lang w:val="es-ES_tradnl"/>
        </w:rPr>
        <w:t xml:space="preserve">Agencia Nacional de Contratación Pública – Colombia Compra Eficiente la competencia para su expedición. </w:t>
      </w:r>
      <w:r w:rsidRPr="004776DF">
        <w:rPr>
          <w:rFonts w:ascii="Arial" w:eastAsia="Calibri" w:hAnsi="Arial" w:cs="Arial"/>
          <w:sz w:val="20"/>
          <w:szCs w:val="20"/>
          <w:lang w:val="es-ES_tradnl" w:eastAsia="es-ES"/>
        </w:rPr>
        <w:t xml:space="preserve">En este marco, con la finalidad de realizar un desarrollo armónico y ajustado a la ley que otorga esta competencia, esta Agencia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0AA74A30" w14:textId="77777777" w:rsidR="0091408C" w:rsidRDefault="0091408C" w:rsidP="0091408C">
      <w:pPr>
        <w:spacing w:after="0" w:line="240" w:lineRule="auto"/>
        <w:jc w:val="both"/>
        <w:rPr>
          <w:rFonts w:ascii="Arial" w:eastAsia="Arial" w:hAnsi="Arial" w:cs="Arial"/>
          <w:b/>
          <w:bCs/>
          <w:color w:val="000000"/>
          <w:lang w:val="es-ES_tradnl"/>
        </w:rPr>
      </w:pPr>
    </w:p>
    <w:p w14:paraId="4ED5B6E1" w14:textId="77777777" w:rsidR="0091408C" w:rsidRPr="002A6E3A" w:rsidRDefault="0091408C" w:rsidP="0091408C">
      <w:pPr>
        <w:tabs>
          <w:tab w:val="left" w:pos="-142"/>
        </w:tabs>
        <w:autoSpaceDE w:val="0"/>
        <w:autoSpaceDN w:val="0"/>
        <w:adjustRightInd w:val="0"/>
        <w:spacing w:after="0" w:line="240" w:lineRule="auto"/>
        <w:jc w:val="both"/>
        <w:rPr>
          <w:rFonts w:ascii="Arial" w:eastAsia="Calibri" w:hAnsi="Arial" w:cs="Arial"/>
          <w:b/>
          <w:bCs/>
          <w:lang w:val="es-ES_tradnl" w:eastAsia="es-ES"/>
        </w:rPr>
      </w:pPr>
      <w:r w:rsidRPr="002A6E3A">
        <w:rPr>
          <w:rFonts w:ascii="Arial" w:eastAsia="Calibri" w:hAnsi="Arial" w:cs="Arial"/>
          <w:b/>
          <w:bCs/>
          <w:lang w:val="es-ES_tradnl" w:eastAsia="es-ES"/>
        </w:rPr>
        <w:t xml:space="preserve">DOCUMENTOS TIPO </w:t>
      </w:r>
      <w:bookmarkStart w:id="0" w:name="_Hlk39666823"/>
      <w:r w:rsidRPr="002A6E3A">
        <w:rPr>
          <w:rFonts w:ascii="Arial" w:eastAsia="Calibri" w:hAnsi="Arial" w:cs="Arial"/>
          <w:b/>
          <w:lang w:val="x-none" w:eastAsia="es-ES"/>
        </w:rPr>
        <w:t>–</w:t>
      </w:r>
      <w:bookmarkEnd w:id="0"/>
      <w:r w:rsidRPr="002A6E3A">
        <w:rPr>
          <w:rFonts w:ascii="Arial" w:eastAsia="Calibri" w:hAnsi="Arial" w:cs="Arial"/>
          <w:b/>
          <w:bCs/>
          <w:lang w:val="es-ES_tradnl" w:eastAsia="es-ES"/>
        </w:rPr>
        <w:t xml:space="preserve"> Inalterabilidad </w:t>
      </w:r>
    </w:p>
    <w:p w14:paraId="77D5AC5A" w14:textId="77777777" w:rsidR="0091408C" w:rsidRPr="002A6E3A" w:rsidRDefault="0091408C" w:rsidP="0091408C">
      <w:pPr>
        <w:spacing w:after="0" w:line="240" w:lineRule="auto"/>
        <w:jc w:val="both"/>
        <w:rPr>
          <w:rFonts w:ascii="Arial" w:eastAsia="Calibri" w:hAnsi="Arial" w:cs="Arial"/>
          <w:b/>
          <w:bCs/>
          <w:sz w:val="20"/>
          <w:szCs w:val="20"/>
          <w:lang w:val="es-ES_tradnl"/>
        </w:rPr>
      </w:pPr>
    </w:p>
    <w:p w14:paraId="374F70B8" w14:textId="241F7363" w:rsidR="00286846" w:rsidRPr="00286846" w:rsidRDefault="00286846" w:rsidP="00286846">
      <w:pPr>
        <w:spacing w:after="0" w:line="240" w:lineRule="auto"/>
        <w:jc w:val="both"/>
        <w:rPr>
          <w:rFonts w:ascii="Arial" w:eastAsia="Calibri" w:hAnsi="Arial" w:cs="Arial"/>
          <w:color w:val="000000"/>
          <w:sz w:val="20"/>
          <w:szCs w:val="20"/>
          <w:lang w:val="es-ES_tradnl"/>
        </w:rPr>
      </w:pPr>
      <w:r w:rsidRPr="00286846">
        <w:rPr>
          <w:rFonts w:ascii="Arial" w:eastAsia="Calibri" w:hAnsi="Arial" w:cs="Arial"/>
          <w:color w:val="000000"/>
          <w:sz w:val="20"/>
          <w:szCs w:val="20"/>
          <w:lang w:val="es-ES_tradnl"/>
        </w:rPr>
        <w:t xml:space="preserve">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286846">
        <w:rPr>
          <w:rFonts w:ascii="Arial" w:eastAsia="Calibri" w:hAnsi="Arial" w:cs="Arial"/>
          <w:i/>
          <w:iCs/>
          <w:color w:val="000000"/>
          <w:sz w:val="20"/>
          <w:szCs w:val="20"/>
          <w:lang w:val="es-ES_tradnl"/>
        </w:rPr>
        <w:t>Documentos del Proceso</w:t>
      </w:r>
      <w:r w:rsidRPr="00286846">
        <w:rPr>
          <w:rFonts w:ascii="Arial" w:eastAsia="Calibri" w:hAnsi="Arial" w:cs="Arial"/>
          <w:color w:val="000000"/>
          <w:sz w:val="20"/>
          <w:szCs w:val="20"/>
          <w:lang w:val="es-ES_tradn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por lo que no pueden variarse los requisitos fijados en ellos. Por lo tanto, las entidades estatales, al realizar sus procedimientos de selección, solo podrán modificarlos en los aspectos en que los documentos tipo lo permitan.</w:t>
      </w:r>
    </w:p>
    <w:p w14:paraId="7976F7ED" w14:textId="09E420EC" w:rsidR="00C80BF8" w:rsidRDefault="00C80BF8" w:rsidP="0091408C">
      <w:pPr>
        <w:spacing w:after="0" w:line="276" w:lineRule="auto"/>
        <w:jc w:val="both"/>
        <w:rPr>
          <w:rFonts w:ascii="Arial" w:eastAsia="Calibri" w:hAnsi="Arial" w:cs="Arial"/>
          <w:color w:val="000000"/>
          <w:sz w:val="20"/>
          <w:szCs w:val="20"/>
          <w:lang w:val="es-ES_tradnl"/>
        </w:rPr>
      </w:pPr>
    </w:p>
    <w:p w14:paraId="25F83385" w14:textId="2A4D9E70" w:rsidR="00BD08B5" w:rsidRPr="00583AED" w:rsidRDefault="00BD08B5" w:rsidP="00BD08B5">
      <w:pPr>
        <w:spacing w:after="0"/>
        <w:jc w:val="both"/>
        <w:rPr>
          <w:rFonts w:ascii="Arial" w:hAnsi="Arial" w:cs="Arial"/>
          <w:b/>
          <w:bCs/>
        </w:rPr>
      </w:pPr>
      <w:r w:rsidRPr="00583AED">
        <w:rPr>
          <w:rFonts w:ascii="Arial" w:hAnsi="Arial" w:cs="Arial"/>
          <w:b/>
          <w:bCs/>
        </w:rPr>
        <w:t>DOCUMENTOS TIPO – Decreto 1860 de 2021</w:t>
      </w:r>
      <w:r w:rsidR="00E070A1">
        <w:rPr>
          <w:rFonts w:ascii="Arial" w:hAnsi="Arial" w:cs="Arial"/>
          <w:b/>
          <w:bCs/>
        </w:rPr>
        <w:t xml:space="preserve"> –</w:t>
      </w:r>
      <w:r w:rsidRPr="00583AED">
        <w:rPr>
          <w:rFonts w:ascii="Arial" w:hAnsi="Arial" w:cs="Arial"/>
          <w:b/>
          <w:bCs/>
        </w:rPr>
        <w:t xml:space="preserve"> Criterios diferenciales – </w:t>
      </w:r>
      <w:proofErr w:type="spellStart"/>
      <w:r w:rsidRPr="00583AED">
        <w:rPr>
          <w:rFonts w:ascii="Arial" w:hAnsi="Arial" w:cs="Arial"/>
          <w:b/>
          <w:bCs/>
        </w:rPr>
        <w:t>Mipymes</w:t>
      </w:r>
      <w:proofErr w:type="spellEnd"/>
    </w:p>
    <w:p w14:paraId="3DDD3468" w14:textId="77777777" w:rsidR="00BD08B5" w:rsidRPr="00FD6DFE" w:rsidRDefault="00BD08B5" w:rsidP="00BD08B5">
      <w:pPr>
        <w:spacing w:after="0"/>
        <w:jc w:val="both"/>
        <w:rPr>
          <w:rFonts w:ascii="Arial" w:hAnsi="Arial" w:cs="Arial"/>
        </w:rPr>
      </w:pPr>
    </w:p>
    <w:p w14:paraId="783F816D" w14:textId="77777777" w:rsidR="0060251D" w:rsidRPr="0060251D" w:rsidRDefault="0060251D" w:rsidP="0060251D">
      <w:pPr>
        <w:spacing w:after="120" w:line="240" w:lineRule="auto"/>
        <w:jc w:val="both"/>
        <w:rPr>
          <w:rFonts w:ascii="Arial" w:eastAsia="Arial" w:hAnsi="Arial" w:cs="Arial"/>
          <w:sz w:val="20"/>
          <w:szCs w:val="20"/>
          <w:lang w:eastAsia="es-MX"/>
        </w:rPr>
      </w:pPr>
      <w:r w:rsidRPr="0060251D">
        <w:rPr>
          <w:rFonts w:ascii="Arial" w:eastAsia="Times New Roman" w:hAnsi="Arial" w:cs="Arial"/>
          <w:color w:val="000000" w:themeColor="text1"/>
          <w:sz w:val="20"/>
          <w:szCs w:val="20"/>
          <w:lang w:eastAsia="es-MX"/>
        </w:rPr>
        <w:t xml:space="preserve">El artículo 3 del Decreto 1860 de 2021, que adicionó </w:t>
      </w:r>
      <w:r w:rsidRPr="0060251D">
        <w:rPr>
          <w:rFonts w:ascii="Arial" w:eastAsia="Times New Roman" w:hAnsi="Arial" w:cs="Arial"/>
          <w:bCs/>
          <w:color w:val="000000" w:themeColor="text1"/>
          <w:sz w:val="20"/>
          <w:szCs w:val="20"/>
          <w:lang w:eastAsia="es-MX"/>
        </w:rPr>
        <w:t xml:space="preserve">el artículo 2.2.1.2.4.2.18 al </w:t>
      </w:r>
      <w:r w:rsidRPr="0060251D">
        <w:rPr>
          <w:rFonts w:ascii="Arial" w:eastAsia="Times New Roman" w:hAnsi="Arial" w:cs="Arial"/>
          <w:sz w:val="20"/>
          <w:szCs w:val="20"/>
          <w:lang w:eastAsia="es-MX"/>
        </w:rPr>
        <w:t xml:space="preserve">Decreto 1082 de 2015 regula los criterios diferenciales para Mipyme en el sistema de compras públicas. Conforme a esta norma las entidades estatales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Mipyme domiciliadas en Colombia. </w:t>
      </w:r>
    </w:p>
    <w:p w14:paraId="375530A1" w14:textId="183989BF" w:rsidR="0060251D" w:rsidRPr="0060251D" w:rsidRDefault="0060251D" w:rsidP="0060251D">
      <w:pPr>
        <w:spacing w:after="120" w:line="240" w:lineRule="auto"/>
        <w:jc w:val="both"/>
        <w:rPr>
          <w:rFonts w:ascii="Arial" w:eastAsia="Times New Roman" w:hAnsi="Arial" w:cs="Arial"/>
          <w:color w:val="000000" w:themeColor="text1"/>
          <w:sz w:val="20"/>
          <w:szCs w:val="20"/>
          <w:lang w:eastAsia="es-MX"/>
        </w:rPr>
      </w:pPr>
      <w:r w:rsidRPr="0060251D">
        <w:rPr>
          <w:rFonts w:ascii="Arial" w:eastAsia="Times New Roman" w:hAnsi="Arial" w:cs="Arial"/>
          <w:sz w:val="20"/>
          <w:szCs w:val="20"/>
          <w:lang w:eastAsia="es-MX"/>
        </w:rPr>
        <w:t xml:space="preserve">Estos criterios en favor de las Mipyme buscan reducir las asimetrías entre estas y las grandes empresas para vincularse como proveedoras al mercado de compras públicas y, en consecuencia, promover y facilitar la participación en los procedimientos de selección competitivos de las Mipyme domiciliadas en Colombia. Para estos efectos, el artículo 2.2.1.2.4.2.18 del Decreto 1082 de 2015 estableció que, según los resultados del análisis del sector, en función de los criterios de clasificación empresarial, los documentos del proceso deberán incorporar </w:t>
      </w:r>
      <w:r w:rsidRPr="0060251D">
        <w:rPr>
          <w:rFonts w:ascii="Arial" w:eastAsia="Times New Roman" w:hAnsi="Arial" w:cs="Arial"/>
          <w:color w:val="000000" w:themeColor="text1"/>
          <w:sz w:val="20"/>
          <w:szCs w:val="20"/>
          <w:lang w:eastAsia="es-MX"/>
        </w:rPr>
        <w:t xml:space="preserve">requisitos habilitantes diferenciales relacionados con alguno o algunos de los siguientes aspectos: i) tiempo de experiencia, </w:t>
      </w:r>
      <w:proofErr w:type="spellStart"/>
      <w:r w:rsidRPr="0060251D">
        <w:rPr>
          <w:rFonts w:ascii="Arial" w:eastAsia="Times New Roman" w:hAnsi="Arial" w:cs="Arial"/>
          <w:color w:val="000000" w:themeColor="text1"/>
          <w:sz w:val="20"/>
          <w:szCs w:val="20"/>
          <w:lang w:eastAsia="es-MX"/>
        </w:rPr>
        <w:t>ii</w:t>
      </w:r>
      <w:proofErr w:type="spellEnd"/>
      <w:r w:rsidRPr="0060251D">
        <w:rPr>
          <w:rFonts w:ascii="Arial" w:eastAsia="Times New Roman" w:hAnsi="Arial" w:cs="Arial"/>
          <w:color w:val="000000" w:themeColor="text1"/>
          <w:sz w:val="20"/>
          <w:szCs w:val="20"/>
          <w:lang w:eastAsia="es-MX"/>
        </w:rPr>
        <w:t xml:space="preserve">) número de contratos para la acreditación de la experiencia, </w:t>
      </w:r>
      <w:proofErr w:type="spellStart"/>
      <w:r w:rsidRPr="0060251D">
        <w:rPr>
          <w:rFonts w:ascii="Arial" w:eastAsia="Times New Roman" w:hAnsi="Arial" w:cs="Arial"/>
          <w:color w:val="000000" w:themeColor="text1"/>
          <w:sz w:val="20"/>
          <w:szCs w:val="20"/>
          <w:lang w:eastAsia="es-MX"/>
        </w:rPr>
        <w:t>iii</w:t>
      </w:r>
      <w:proofErr w:type="spellEnd"/>
      <w:r w:rsidRPr="0060251D">
        <w:rPr>
          <w:rFonts w:ascii="Arial" w:eastAsia="Times New Roman" w:hAnsi="Arial" w:cs="Arial"/>
          <w:color w:val="000000" w:themeColor="text1"/>
          <w:sz w:val="20"/>
          <w:szCs w:val="20"/>
          <w:lang w:eastAsia="es-MX"/>
        </w:rPr>
        <w:t xml:space="preserve">) índices de capacidad financiera, </w:t>
      </w:r>
      <w:proofErr w:type="spellStart"/>
      <w:r w:rsidRPr="0060251D">
        <w:rPr>
          <w:rFonts w:ascii="Arial" w:eastAsia="Times New Roman" w:hAnsi="Arial" w:cs="Arial"/>
          <w:color w:val="000000" w:themeColor="text1"/>
          <w:sz w:val="20"/>
          <w:szCs w:val="20"/>
          <w:lang w:eastAsia="es-MX"/>
        </w:rPr>
        <w:t>iv</w:t>
      </w:r>
      <w:proofErr w:type="spellEnd"/>
      <w:r w:rsidRPr="0060251D">
        <w:rPr>
          <w:rFonts w:ascii="Arial" w:eastAsia="Times New Roman" w:hAnsi="Arial" w:cs="Arial"/>
          <w:color w:val="000000" w:themeColor="text1"/>
          <w:sz w:val="20"/>
          <w:szCs w:val="20"/>
          <w:lang w:eastAsia="es-MX"/>
        </w:rPr>
        <w:t xml:space="preserve">) índices de capacidad organizacional y v) valor de la garantía de seriedad de la oferta. </w:t>
      </w:r>
    </w:p>
    <w:p w14:paraId="5A37580B" w14:textId="77777777" w:rsidR="0060251D" w:rsidRPr="0060251D" w:rsidRDefault="0060251D" w:rsidP="0060251D">
      <w:pPr>
        <w:spacing w:after="0" w:line="240" w:lineRule="auto"/>
        <w:jc w:val="both"/>
        <w:rPr>
          <w:rFonts w:ascii="Arial" w:eastAsia="Times New Roman" w:hAnsi="Arial" w:cs="Arial"/>
          <w:sz w:val="20"/>
          <w:szCs w:val="20"/>
          <w:lang w:eastAsia="es-MX"/>
        </w:rPr>
      </w:pPr>
      <w:r w:rsidRPr="0060251D">
        <w:rPr>
          <w:rFonts w:ascii="Arial" w:eastAsia="Times New Roman" w:hAnsi="Arial" w:cs="Arial"/>
          <w:color w:val="000000" w:themeColor="text1"/>
          <w:sz w:val="20"/>
          <w:szCs w:val="20"/>
          <w:lang w:eastAsia="es-MX"/>
        </w:rPr>
        <w:t xml:space="preserve">Lo anterior significa que para la determinación de los criterios diferenciales para Mipyme, las entidades podrán escoger uno o algunos de estos requisitos habilitantes, los cuales deberán fijarse respetando las condiciones habilitantes requeridas para el cumplimiento adecuado del contrato. En tal sentido, se establecerán condiciones más exigentes respecto a alguno o algunos de los criterios </w:t>
      </w:r>
      <w:r w:rsidRPr="0060251D">
        <w:rPr>
          <w:rFonts w:ascii="Arial" w:eastAsia="Times New Roman" w:hAnsi="Arial" w:cs="Arial"/>
          <w:color w:val="000000" w:themeColor="text1"/>
          <w:sz w:val="20"/>
          <w:szCs w:val="20"/>
          <w:lang w:eastAsia="es-MX"/>
        </w:rPr>
        <w:lastRenderedPageBreak/>
        <w:t xml:space="preserve">de participación antes enunciados frente a los demás proponentes que concurran al procedimiento de selección que no sean Mipyme. </w:t>
      </w:r>
    </w:p>
    <w:p w14:paraId="278EAFA0" w14:textId="77777777" w:rsidR="00BD08B5" w:rsidRDefault="00BD08B5" w:rsidP="0060251D">
      <w:pPr>
        <w:spacing w:after="0" w:line="240" w:lineRule="auto"/>
        <w:jc w:val="both"/>
        <w:rPr>
          <w:rFonts w:ascii="Arial" w:hAnsi="Arial" w:cs="Arial"/>
        </w:rPr>
      </w:pPr>
    </w:p>
    <w:p w14:paraId="27F44F97" w14:textId="7EC3FF75" w:rsidR="00BD08B5" w:rsidRPr="00583AED" w:rsidRDefault="00BD08B5" w:rsidP="005B759B">
      <w:pPr>
        <w:spacing w:after="0" w:line="240" w:lineRule="auto"/>
        <w:jc w:val="both"/>
        <w:rPr>
          <w:rFonts w:ascii="Arial" w:hAnsi="Arial" w:cs="Arial"/>
          <w:b/>
          <w:bCs/>
        </w:rPr>
      </w:pPr>
      <w:r w:rsidRPr="00583AED">
        <w:rPr>
          <w:rFonts w:ascii="Arial" w:hAnsi="Arial" w:cs="Arial"/>
          <w:b/>
          <w:bCs/>
        </w:rPr>
        <w:t>DOCUMENTOS TIPO – Decreto 1860 de 2021</w:t>
      </w:r>
      <w:r w:rsidR="00E070A1">
        <w:rPr>
          <w:rFonts w:ascii="Arial" w:hAnsi="Arial" w:cs="Arial"/>
          <w:b/>
          <w:bCs/>
        </w:rPr>
        <w:t xml:space="preserve"> –</w:t>
      </w:r>
      <w:r w:rsidRPr="00583AED">
        <w:rPr>
          <w:rFonts w:ascii="Arial" w:hAnsi="Arial" w:cs="Arial"/>
          <w:b/>
          <w:bCs/>
        </w:rPr>
        <w:t xml:space="preserve"> Criterios diferenciales – Empresas y emprendimientos de mujeres</w:t>
      </w:r>
    </w:p>
    <w:p w14:paraId="629E0BC0" w14:textId="77777777" w:rsidR="00BD08B5" w:rsidRDefault="00BD08B5" w:rsidP="005B759B">
      <w:pPr>
        <w:spacing w:after="0" w:line="240" w:lineRule="auto"/>
        <w:jc w:val="both"/>
        <w:rPr>
          <w:rFonts w:ascii="Arial" w:hAnsi="Arial" w:cs="Arial"/>
        </w:rPr>
      </w:pPr>
    </w:p>
    <w:p w14:paraId="23C5A063" w14:textId="77777777" w:rsidR="0060251D" w:rsidRPr="0060251D" w:rsidRDefault="00BD08B5" w:rsidP="0060251D">
      <w:pPr>
        <w:spacing w:after="120" w:line="240" w:lineRule="auto"/>
        <w:jc w:val="both"/>
        <w:rPr>
          <w:rFonts w:ascii="Arial" w:eastAsia="Arial" w:hAnsi="Arial" w:cs="Arial"/>
          <w:sz w:val="20"/>
          <w:szCs w:val="20"/>
          <w:lang w:eastAsia="es-MX"/>
        </w:rPr>
      </w:pPr>
      <w:r w:rsidRPr="00BD08B5">
        <w:rPr>
          <w:rFonts w:ascii="Arial" w:eastAsia="Arial" w:hAnsi="Arial" w:cs="Arial"/>
          <w:sz w:val="20"/>
          <w:szCs w:val="20"/>
          <w:lang w:eastAsia="es-MX"/>
        </w:rPr>
        <w:t xml:space="preserve">[…] </w:t>
      </w:r>
      <w:r w:rsidR="0060251D" w:rsidRPr="0060251D">
        <w:rPr>
          <w:rFonts w:ascii="Arial" w:eastAsia="Arial" w:hAnsi="Arial" w:cs="Arial"/>
          <w:sz w:val="20"/>
          <w:szCs w:val="20"/>
          <w:lang w:eastAsia="es-MX"/>
        </w:rPr>
        <w:t xml:space="preserve">los criterios diferenciales en favor de emprendimientos y empresas de mujeres incluidos en el Decreto 1860 de 2021 únicamente se aplicarán a los proponentes que acrediten alguna de las condiciones señaladas en el artículo 2.2.1.2.4.2.14 del Decreto 1082 de 2015. </w:t>
      </w:r>
    </w:p>
    <w:p w14:paraId="02A3443A" w14:textId="6FA6AB29" w:rsidR="00BD08B5" w:rsidRPr="00BD08B5" w:rsidRDefault="0060251D" w:rsidP="0060251D">
      <w:pPr>
        <w:spacing w:after="0" w:line="240" w:lineRule="auto"/>
        <w:jc w:val="both"/>
        <w:rPr>
          <w:rFonts w:ascii="Arial" w:eastAsia="Times New Roman" w:hAnsi="Arial" w:cs="Arial"/>
          <w:sz w:val="20"/>
          <w:szCs w:val="20"/>
          <w:lang w:eastAsia="es-MX"/>
        </w:rPr>
      </w:pPr>
      <w:r w:rsidRPr="0060251D">
        <w:rPr>
          <w:rFonts w:ascii="Arial" w:eastAsia="Arial" w:hAnsi="Arial" w:cs="Arial"/>
          <w:sz w:val="20"/>
          <w:szCs w:val="20"/>
          <w:lang w:eastAsia="es-MX"/>
        </w:rPr>
        <w:t>Por otro lado, el artículo 3 del Decreto 1860 de 2021 adicionó el artículo 2.2.1.2.4.2.15  al Decreto 1082 de 2015 que estableció unas reglas objetivas que garantizan una aplicación uniforme de los criterios diferenciales a favor de empresas y emprendimientos de mujeres. De esta forma, se dispuso de criterios diferenciales que incluyen tanto las condiciones habilitantes como los puntajes adicionales que aplican a los procesos de licitación pública, selección abreviada de menor cuantía y concurso de méritos, excluyendo las demás modalidades de selección del artículo 2 de la Ley 1150 de 2007, esto es, a la mínima cuantía y a la contratación directa.</w:t>
      </w:r>
    </w:p>
    <w:p w14:paraId="4C7D20F0" w14:textId="77777777" w:rsidR="00BD08B5" w:rsidRPr="006B6658" w:rsidRDefault="00BD08B5" w:rsidP="0060251D">
      <w:pPr>
        <w:spacing w:after="0" w:line="276" w:lineRule="auto"/>
        <w:jc w:val="both"/>
        <w:rPr>
          <w:rFonts w:ascii="Arial" w:eastAsia="Times New Roman" w:hAnsi="Arial" w:cs="Arial"/>
          <w:szCs w:val="24"/>
          <w:lang w:eastAsia="es-MX"/>
        </w:rPr>
      </w:pPr>
    </w:p>
    <w:p w14:paraId="7765760C" w14:textId="402C245D" w:rsidR="00BD08B5" w:rsidRPr="00583AED" w:rsidRDefault="00BD08B5" w:rsidP="00BD08B5">
      <w:pPr>
        <w:spacing w:after="0"/>
        <w:jc w:val="both"/>
        <w:rPr>
          <w:rFonts w:ascii="Arial" w:hAnsi="Arial" w:cs="Arial"/>
          <w:b/>
          <w:bCs/>
        </w:rPr>
      </w:pPr>
      <w:r w:rsidRPr="00583AED">
        <w:rPr>
          <w:rFonts w:ascii="Arial" w:hAnsi="Arial" w:cs="Arial"/>
          <w:b/>
          <w:bCs/>
        </w:rPr>
        <w:t>DOCUMENTOS TIPO – Decreto 1860 de 2021</w:t>
      </w:r>
      <w:r>
        <w:rPr>
          <w:rFonts w:ascii="Arial" w:hAnsi="Arial" w:cs="Arial"/>
          <w:b/>
          <w:bCs/>
        </w:rPr>
        <w:t xml:space="preserve"> </w:t>
      </w:r>
      <w:r w:rsidR="00E070A1">
        <w:rPr>
          <w:rFonts w:ascii="Arial" w:hAnsi="Arial" w:cs="Arial"/>
          <w:b/>
          <w:bCs/>
        </w:rPr>
        <w:t>–</w:t>
      </w:r>
      <w:r>
        <w:rPr>
          <w:rFonts w:ascii="Arial" w:hAnsi="Arial" w:cs="Arial"/>
          <w:b/>
          <w:bCs/>
        </w:rPr>
        <w:t xml:space="preserve"> </w:t>
      </w:r>
      <w:r w:rsidRPr="00B6788D">
        <w:rPr>
          <w:rFonts w:ascii="Arial" w:hAnsi="Arial" w:cs="Arial"/>
          <w:b/>
          <w:bCs/>
        </w:rPr>
        <w:t>Vigencia</w:t>
      </w:r>
    </w:p>
    <w:p w14:paraId="0A6E998E" w14:textId="77777777" w:rsidR="00BD08B5" w:rsidRDefault="00BD08B5" w:rsidP="00BD08B5">
      <w:pPr>
        <w:spacing w:after="0"/>
        <w:jc w:val="both"/>
        <w:rPr>
          <w:rFonts w:ascii="Arial" w:hAnsi="Arial" w:cs="Arial"/>
        </w:rPr>
      </w:pPr>
    </w:p>
    <w:p w14:paraId="1A38FEAE" w14:textId="0872B194" w:rsidR="002A6040" w:rsidRPr="002A6040" w:rsidRDefault="002A6040" w:rsidP="002A6040">
      <w:pPr>
        <w:spacing w:after="120" w:line="240" w:lineRule="auto"/>
        <w:jc w:val="both"/>
        <w:rPr>
          <w:rFonts w:ascii="Arial" w:eastAsia="Arial" w:hAnsi="Arial" w:cs="Arial"/>
          <w:sz w:val="20"/>
          <w:szCs w:val="20"/>
          <w:lang w:val="es-ES" w:eastAsia="es-CO"/>
        </w:rPr>
      </w:pPr>
      <w:r w:rsidRPr="002A6040">
        <w:rPr>
          <w:rFonts w:ascii="Arial" w:eastAsia="Times New Roman" w:hAnsi="Arial" w:cs="Arial"/>
          <w:sz w:val="20"/>
          <w:szCs w:val="20"/>
          <w:lang w:eastAsia="es-MX"/>
        </w:rPr>
        <w:t>Para aplicar las disposiciones contenidas en el Decreto 1860 de 2021, el artículo 8 de dicho decreto estableció el momento a partir del cual sus disposiciones surtirían efectos.</w:t>
      </w:r>
      <w:r w:rsidRPr="002A6040">
        <w:rPr>
          <w:rFonts w:ascii="Arial" w:eastAsia="Calibri" w:hAnsi="Arial" w:cs="Arial"/>
          <w:sz w:val="20"/>
          <w:szCs w:val="20"/>
        </w:rPr>
        <w:t xml:space="preserve"> De esta forma, se estableció que estas </w:t>
      </w:r>
      <w:r w:rsidRPr="002A6040">
        <w:rPr>
          <w:rFonts w:ascii="Arial" w:eastAsia="Arial" w:hAnsi="Arial" w:cs="Arial"/>
          <w:sz w:val="20"/>
          <w:szCs w:val="20"/>
          <w:lang w:val="es-ES" w:eastAsia="es-CO"/>
        </w:rPr>
        <w:t xml:space="preserve">aplicarán a los procesos de selección cuya invitación, aviso de convocatoria o documento equivalente –según corresponda–, se publique después de los tres (3) meses de su expedición. </w:t>
      </w:r>
    </w:p>
    <w:p w14:paraId="178F293D" w14:textId="77777777" w:rsidR="002A6040" w:rsidRPr="002A6040" w:rsidRDefault="002A6040" w:rsidP="002A6040">
      <w:pPr>
        <w:autoSpaceDE w:val="0"/>
        <w:autoSpaceDN w:val="0"/>
        <w:adjustRightInd w:val="0"/>
        <w:spacing w:after="120" w:line="240" w:lineRule="auto"/>
        <w:jc w:val="both"/>
        <w:rPr>
          <w:rFonts w:ascii="Arial" w:eastAsia="Arial" w:hAnsi="Arial" w:cs="Arial"/>
          <w:sz w:val="20"/>
          <w:szCs w:val="20"/>
          <w:lang w:eastAsia="es-MX"/>
        </w:rPr>
      </w:pPr>
      <w:r w:rsidRPr="002A6040">
        <w:rPr>
          <w:rFonts w:ascii="Arial" w:eastAsia="Arial" w:hAnsi="Arial" w:cs="Arial"/>
          <w:sz w:val="20"/>
          <w:szCs w:val="20"/>
          <w:lang w:val="es-ES" w:eastAsia="es-CO"/>
        </w:rPr>
        <w:t xml:space="preserve">No obstante, en relación con los procesos de contratación que se rijan por los Documentos Tipo, en el parágrafo del artículo se dispuso que las disposiciones contenidas en el Decreto no se aplicarían a dichos procesos hasta que la Agencia Nacional de Contratación Pública − Colombia Compra Eficiente incorpore en estos documentos las modificaciones pertinentes. Para el efecto, se señaló que la Agencia tendría un plazo de seis (6) meses contados a partir de la expedición del reglamento para adecuar los documentos tipo a las disposiciones del Decreto. En este sentido, hasta que la adecuación no ocurra se continuarán aplicando los instrumentos y </w:t>
      </w:r>
      <w:r w:rsidRPr="002A6040">
        <w:rPr>
          <w:rFonts w:ascii="Arial" w:eastAsia="Arial" w:hAnsi="Arial" w:cs="Arial"/>
          <w:sz w:val="20"/>
          <w:szCs w:val="20"/>
          <w:lang w:eastAsia="es-MX"/>
        </w:rPr>
        <w:t>las normas vigentes anteriores a la expedición del reglamento, conforme a la regulación contenida en los Documentos Tipo vigentes.</w:t>
      </w:r>
    </w:p>
    <w:p w14:paraId="6A2DBC55" w14:textId="77777777" w:rsidR="002A6040" w:rsidRPr="002A6040" w:rsidRDefault="002A6040" w:rsidP="002A6040">
      <w:pPr>
        <w:spacing w:after="120" w:line="240" w:lineRule="auto"/>
        <w:jc w:val="both"/>
        <w:rPr>
          <w:rFonts w:ascii="Arial" w:eastAsia="Arial" w:hAnsi="Arial" w:cs="Arial"/>
          <w:sz w:val="20"/>
          <w:szCs w:val="20"/>
          <w:lang w:val="es-ES" w:eastAsia="es-CO"/>
        </w:rPr>
      </w:pPr>
      <w:r w:rsidRPr="002A6040">
        <w:rPr>
          <w:rFonts w:ascii="Arial" w:eastAsia="Arial" w:hAnsi="Arial" w:cs="Arial"/>
          <w:sz w:val="20"/>
          <w:szCs w:val="20"/>
          <w:lang w:val="es-ES" w:eastAsia="es-CO"/>
        </w:rPr>
        <w:t xml:space="preserve">Sin perjuicio de lo anterior, el segundo inciso del parágrafo señala una regla distinta en relación con la entrada en vigencia del artículo 5 del reglamento, en relación con los procesos regidos por documentos tipo. De esta forma se previó que este entrará a regir en aquellos procesos en los que </w:t>
      </w:r>
      <w:r w:rsidRPr="002A6040">
        <w:rPr>
          <w:rFonts w:ascii="Arial" w:hAnsi="Arial" w:cs="Arial"/>
          <w:sz w:val="20"/>
          <w:szCs w:val="20"/>
        </w:rPr>
        <w:t xml:space="preserve">la publicación del aviso de convocatoria o </w:t>
      </w:r>
      <w:r w:rsidRPr="002A6040">
        <w:rPr>
          <w:rFonts w:ascii="Arial" w:eastAsia="Arial" w:hAnsi="Arial" w:cs="Arial"/>
          <w:sz w:val="20"/>
          <w:szCs w:val="20"/>
          <w:lang w:val="es-ES" w:eastAsia="es-CO"/>
        </w:rPr>
        <w:t>la invitación −según corresponda−, se realice a los tres (3) meses de la expedición del Decreto.</w:t>
      </w:r>
    </w:p>
    <w:p w14:paraId="0FCFBDBA" w14:textId="77777777" w:rsidR="00BD08B5" w:rsidRDefault="00BD08B5" w:rsidP="0091408C">
      <w:pPr>
        <w:spacing w:after="0" w:line="276" w:lineRule="auto"/>
        <w:jc w:val="both"/>
        <w:rPr>
          <w:rFonts w:ascii="Arial" w:eastAsia="Calibri" w:hAnsi="Arial" w:cs="Arial"/>
          <w:color w:val="000000"/>
          <w:sz w:val="20"/>
          <w:szCs w:val="20"/>
          <w:lang w:val="es-ES_tradnl"/>
        </w:rPr>
      </w:pPr>
    </w:p>
    <w:p w14:paraId="279826D0" w14:textId="77777777" w:rsidR="00C80BF8" w:rsidRDefault="00C80BF8" w:rsidP="0091408C">
      <w:pPr>
        <w:spacing w:after="0" w:line="276" w:lineRule="auto"/>
        <w:jc w:val="both"/>
        <w:rPr>
          <w:rFonts w:ascii="Arial" w:eastAsia="Calibri" w:hAnsi="Arial" w:cs="Arial"/>
          <w:color w:val="000000"/>
          <w:sz w:val="20"/>
          <w:szCs w:val="20"/>
          <w:lang w:val="es-ES_tradnl"/>
        </w:rPr>
      </w:pPr>
    </w:p>
    <w:p w14:paraId="4450EB23" w14:textId="77777777" w:rsidR="00C80BF8" w:rsidRDefault="00C80BF8" w:rsidP="0091408C">
      <w:pPr>
        <w:spacing w:after="0" w:line="276" w:lineRule="auto"/>
        <w:jc w:val="both"/>
        <w:rPr>
          <w:rFonts w:ascii="Arial" w:eastAsia="Calibri" w:hAnsi="Arial" w:cs="Arial"/>
          <w:color w:val="000000"/>
          <w:sz w:val="20"/>
          <w:szCs w:val="20"/>
          <w:lang w:val="es-ES_tradnl"/>
        </w:rPr>
      </w:pPr>
    </w:p>
    <w:p w14:paraId="56DEEDA9" w14:textId="77777777" w:rsidR="00C80BF8" w:rsidRDefault="00C80BF8" w:rsidP="0091408C">
      <w:pPr>
        <w:spacing w:after="0" w:line="276" w:lineRule="auto"/>
        <w:jc w:val="both"/>
        <w:rPr>
          <w:rFonts w:ascii="Arial" w:eastAsia="Calibri" w:hAnsi="Arial" w:cs="Arial"/>
          <w:color w:val="000000"/>
          <w:sz w:val="20"/>
          <w:szCs w:val="20"/>
          <w:lang w:val="es-ES_tradnl"/>
        </w:rPr>
      </w:pPr>
    </w:p>
    <w:p w14:paraId="42945B96" w14:textId="77777777" w:rsidR="00C80BF8" w:rsidRDefault="00C80BF8" w:rsidP="0091408C">
      <w:pPr>
        <w:spacing w:after="0" w:line="276" w:lineRule="auto"/>
        <w:jc w:val="both"/>
        <w:rPr>
          <w:rFonts w:ascii="Arial" w:eastAsia="Calibri" w:hAnsi="Arial" w:cs="Arial"/>
          <w:color w:val="000000"/>
          <w:sz w:val="20"/>
          <w:szCs w:val="20"/>
          <w:lang w:val="es-ES_tradnl"/>
        </w:rPr>
      </w:pPr>
    </w:p>
    <w:p w14:paraId="672B8FE5" w14:textId="77777777" w:rsidR="00C80BF8" w:rsidRDefault="00C80BF8" w:rsidP="0091408C">
      <w:pPr>
        <w:spacing w:after="0" w:line="276" w:lineRule="auto"/>
        <w:jc w:val="both"/>
        <w:rPr>
          <w:rFonts w:ascii="Arial" w:eastAsia="Calibri" w:hAnsi="Arial" w:cs="Arial"/>
          <w:color w:val="000000"/>
          <w:sz w:val="20"/>
          <w:szCs w:val="20"/>
          <w:lang w:val="es-ES_tradnl"/>
        </w:rPr>
      </w:pPr>
    </w:p>
    <w:p w14:paraId="59B1840A" w14:textId="77777777" w:rsidR="00C80BF8" w:rsidRDefault="00C80BF8" w:rsidP="0091408C">
      <w:pPr>
        <w:spacing w:after="0" w:line="276" w:lineRule="auto"/>
        <w:jc w:val="both"/>
        <w:rPr>
          <w:rFonts w:ascii="Arial" w:eastAsia="Calibri" w:hAnsi="Arial" w:cs="Arial"/>
          <w:color w:val="000000"/>
          <w:sz w:val="20"/>
          <w:szCs w:val="20"/>
          <w:lang w:val="es-ES_tradnl"/>
        </w:rPr>
      </w:pPr>
    </w:p>
    <w:p w14:paraId="073D6E2F" w14:textId="77777777" w:rsidR="00C80BF8" w:rsidRDefault="00C80BF8" w:rsidP="0091408C">
      <w:pPr>
        <w:spacing w:after="0" w:line="276" w:lineRule="auto"/>
        <w:jc w:val="both"/>
        <w:rPr>
          <w:rFonts w:ascii="Arial" w:eastAsia="Calibri" w:hAnsi="Arial" w:cs="Arial"/>
          <w:color w:val="000000"/>
          <w:sz w:val="20"/>
          <w:szCs w:val="20"/>
          <w:lang w:val="es-ES_tradnl"/>
        </w:rPr>
      </w:pPr>
    </w:p>
    <w:p w14:paraId="6D02F485" w14:textId="0A234C94" w:rsidR="0091408C" w:rsidRDefault="0091408C" w:rsidP="0091408C">
      <w:pPr>
        <w:spacing w:after="0" w:line="276" w:lineRule="auto"/>
        <w:jc w:val="both"/>
        <w:rPr>
          <w:rFonts w:ascii="Arial" w:eastAsia="Calibri" w:hAnsi="Arial" w:cs="Arial"/>
          <w:color w:val="000000"/>
          <w:lang w:eastAsia="es-ES_tradnl"/>
        </w:rPr>
      </w:pPr>
      <w:r w:rsidRPr="00300E95">
        <w:rPr>
          <w:rFonts w:ascii="Arial" w:eastAsia="Calibri" w:hAnsi="Arial" w:cs="Arial"/>
          <w:lang w:val="es-MX"/>
        </w:rPr>
        <w:tab/>
      </w:r>
    </w:p>
    <w:p w14:paraId="256B75E6" w14:textId="77777777" w:rsidR="0091408C" w:rsidRDefault="0091408C" w:rsidP="0091408C">
      <w:pPr>
        <w:spacing w:after="0" w:line="276" w:lineRule="auto"/>
        <w:jc w:val="both"/>
        <w:rPr>
          <w:rFonts w:ascii="Arial" w:eastAsia="Calibri" w:hAnsi="Arial" w:cs="Arial"/>
          <w:color w:val="000000"/>
          <w:lang w:eastAsia="es-ES_tradnl"/>
        </w:rPr>
      </w:pPr>
    </w:p>
    <w:p w14:paraId="2696BB78" w14:textId="77777777" w:rsidR="0091408C" w:rsidRDefault="0091408C" w:rsidP="0091408C">
      <w:pPr>
        <w:spacing w:after="0" w:line="276" w:lineRule="auto"/>
        <w:jc w:val="both"/>
        <w:rPr>
          <w:rFonts w:ascii="Arial" w:eastAsia="Calibri" w:hAnsi="Arial" w:cs="Arial"/>
          <w:color w:val="000000"/>
          <w:lang w:eastAsia="es-ES_tradnl"/>
        </w:rPr>
      </w:pPr>
    </w:p>
    <w:p w14:paraId="7FA2A5EF" w14:textId="77777777" w:rsidR="0091408C" w:rsidRDefault="0091408C" w:rsidP="0091408C">
      <w:pPr>
        <w:spacing w:after="0" w:line="276" w:lineRule="auto"/>
        <w:jc w:val="both"/>
        <w:rPr>
          <w:rFonts w:ascii="Arial" w:eastAsia="Calibri" w:hAnsi="Arial" w:cs="Arial"/>
          <w:color w:val="000000"/>
          <w:lang w:eastAsia="es-ES_tradnl"/>
        </w:rPr>
      </w:pPr>
    </w:p>
    <w:p w14:paraId="1DC4BCA2" w14:textId="62D6F6BD" w:rsidR="0091408C" w:rsidRDefault="009533C0" w:rsidP="009533C0">
      <w:pPr>
        <w:spacing w:after="0" w:line="276" w:lineRule="auto"/>
        <w:jc w:val="right"/>
        <w:rPr>
          <w:rFonts w:ascii="Arial" w:eastAsia="Calibri" w:hAnsi="Arial" w:cs="Arial"/>
          <w:color w:val="000000"/>
          <w:lang w:eastAsia="es-ES_tradnl"/>
        </w:rPr>
      </w:pPr>
      <w:r>
        <w:rPr>
          <w:noProof/>
        </w:rPr>
        <w:drawing>
          <wp:inline distT="0" distB="0" distL="0" distR="0" wp14:anchorId="6BC4924A" wp14:editId="49136C54">
            <wp:extent cx="2592681" cy="739471"/>
            <wp:effectExtent l="0" t="0" r="0" b="3810"/>
            <wp:docPr id="1" name="Imagen 1"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10;&#10;Descripción generada automáticamente"/>
                    <pic:cNvPicPr/>
                  </pic:nvPicPr>
                  <pic:blipFill rotWithShape="1">
                    <a:blip r:embed="rId11"/>
                    <a:srcRect l="55691" t="40575" r="13008" b="45141"/>
                    <a:stretch/>
                  </pic:blipFill>
                  <pic:spPr bwMode="auto">
                    <a:xfrm>
                      <a:off x="0" y="0"/>
                      <a:ext cx="2614569" cy="745714"/>
                    </a:xfrm>
                    <a:prstGeom prst="rect">
                      <a:avLst/>
                    </a:prstGeom>
                    <a:ln>
                      <a:noFill/>
                    </a:ln>
                    <a:extLst>
                      <a:ext uri="{53640926-AAD7-44D8-BBD7-CCE9431645EC}">
                        <a14:shadowObscured xmlns:a14="http://schemas.microsoft.com/office/drawing/2010/main"/>
                      </a:ext>
                    </a:extLst>
                  </pic:spPr>
                </pic:pic>
              </a:graphicData>
            </a:graphic>
          </wp:inline>
        </w:drawing>
      </w:r>
    </w:p>
    <w:p w14:paraId="1F85619A" w14:textId="77777777" w:rsidR="0091408C" w:rsidRDefault="0091408C" w:rsidP="0091408C">
      <w:pPr>
        <w:spacing w:after="0" w:line="276" w:lineRule="auto"/>
        <w:jc w:val="both"/>
        <w:rPr>
          <w:rFonts w:ascii="Arial" w:eastAsia="Calibri" w:hAnsi="Arial" w:cs="Arial"/>
          <w:color w:val="000000"/>
          <w:lang w:eastAsia="es-ES_tradnl"/>
        </w:rPr>
      </w:pPr>
    </w:p>
    <w:p w14:paraId="5AFE271D" w14:textId="77777777" w:rsidR="0091408C" w:rsidRDefault="0091408C" w:rsidP="0091408C">
      <w:pPr>
        <w:spacing w:after="0" w:line="276" w:lineRule="auto"/>
        <w:jc w:val="both"/>
        <w:rPr>
          <w:rFonts w:ascii="Arial" w:eastAsia="Calibri" w:hAnsi="Arial" w:cs="Arial"/>
          <w:color w:val="000000"/>
          <w:lang w:eastAsia="es-ES_tradnl"/>
        </w:rPr>
      </w:pPr>
    </w:p>
    <w:p w14:paraId="632F5907" w14:textId="1FDDE0FA" w:rsidR="0091408C" w:rsidRDefault="00F85B41" w:rsidP="0091408C">
      <w:pPr>
        <w:spacing w:after="0" w:line="276" w:lineRule="auto"/>
        <w:jc w:val="both"/>
        <w:rPr>
          <w:rFonts w:ascii="Arial" w:eastAsia="Calibri" w:hAnsi="Arial" w:cs="Arial"/>
          <w:color w:val="000000"/>
          <w:lang w:eastAsia="es-ES_tradnl"/>
        </w:rPr>
      </w:pPr>
      <w:r>
        <w:t xml:space="preserve">Bogotá, 09 </w:t>
      </w:r>
      <w:proofErr w:type="gramStart"/>
      <w:r>
        <w:t>Junio</w:t>
      </w:r>
      <w:proofErr w:type="gramEnd"/>
      <w:r>
        <w:t xml:space="preserve"> 2022</w:t>
      </w:r>
    </w:p>
    <w:p w14:paraId="6CFA6B07" w14:textId="77777777" w:rsidR="00E070A1" w:rsidRDefault="00E070A1" w:rsidP="0091408C">
      <w:pPr>
        <w:spacing w:after="0" w:line="240" w:lineRule="auto"/>
        <w:rPr>
          <w:rFonts w:ascii="Arial" w:eastAsia="Times New Roman" w:hAnsi="Arial" w:cs="Arial"/>
          <w:lang w:val="es-ES" w:eastAsia="es-ES"/>
        </w:rPr>
      </w:pPr>
    </w:p>
    <w:p w14:paraId="5BC4A26B" w14:textId="77777777" w:rsidR="0091408C" w:rsidRDefault="0091408C" w:rsidP="0091408C">
      <w:pPr>
        <w:spacing w:after="0" w:line="240" w:lineRule="auto"/>
        <w:rPr>
          <w:rFonts w:ascii="Arial" w:eastAsia="Calibri" w:hAnsi="Arial" w:cs="Arial"/>
          <w:lang w:val="es-MX"/>
        </w:rPr>
      </w:pPr>
    </w:p>
    <w:p w14:paraId="084F032E" w14:textId="77777777" w:rsidR="00DD268A" w:rsidRPr="00DD268A" w:rsidRDefault="0091408C" w:rsidP="00DD268A">
      <w:pPr>
        <w:spacing w:after="0" w:line="276" w:lineRule="auto"/>
        <w:rPr>
          <w:rFonts w:ascii="Arial" w:eastAsia="Calibri" w:hAnsi="Arial" w:cs="Arial"/>
          <w:bCs/>
          <w:lang w:val="es-ES"/>
        </w:rPr>
      </w:pPr>
      <w:bookmarkStart w:id="1" w:name="_Hlk105684525"/>
      <w:r w:rsidRPr="00DD268A">
        <w:rPr>
          <w:rFonts w:ascii="Arial" w:eastAsia="Calibri" w:hAnsi="Arial" w:cs="Arial"/>
          <w:lang w:val="es-MX"/>
        </w:rPr>
        <w:t>Señor</w:t>
      </w:r>
    </w:p>
    <w:p w14:paraId="2F4B064A" w14:textId="0D59F4DB" w:rsidR="00DD268A" w:rsidRPr="00DD268A" w:rsidRDefault="00DD268A" w:rsidP="00DD268A">
      <w:pPr>
        <w:spacing w:after="0" w:line="276" w:lineRule="auto"/>
        <w:rPr>
          <w:rFonts w:ascii="Arial" w:hAnsi="Arial" w:cs="Arial"/>
          <w:b/>
          <w:bCs/>
        </w:rPr>
      </w:pPr>
      <w:r w:rsidRPr="00DD268A">
        <w:rPr>
          <w:rFonts w:ascii="Arial" w:hAnsi="Arial" w:cs="Arial"/>
          <w:b/>
          <w:bCs/>
        </w:rPr>
        <w:t>Juan David Peláez Henao</w:t>
      </w:r>
    </w:p>
    <w:p w14:paraId="5F9348B5" w14:textId="4ECD49AC" w:rsidR="0091408C" w:rsidRPr="00DD268A" w:rsidRDefault="00DD268A" w:rsidP="00DD268A">
      <w:pPr>
        <w:spacing w:after="0" w:line="276" w:lineRule="auto"/>
        <w:rPr>
          <w:rFonts w:ascii="Arial" w:eastAsia="Calibri" w:hAnsi="Arial" w:cs="Arial"/>
          <w:b/>
          <w:lang w:val="es-ES"/>
        </w:rPr>
      </w:pPr>
      <w:r w:rsidRPr="00DD268A">
        <w:rPr>
          <w:rFonts w:ascii="Arial" w:hAnsi="Arial" w:cs="Arial"/>
        </w:rPr>
        <w:t xml:space="preserve">Pereira, Risaralda </w:t>
      </w:r>
      <w:r w:rsidR="0091408C" w:rsidRPr="00DD268A">
        <w:rPr>
          <w:rFonts w:ascii="Arial" w:eastAsia="Calibri" w:hAnsi="Arial" w:cs="Arial"/>
          <w:bCs/>
          <w:lang w:val="es-ES"/>
        </w:rPr>
        <w:t xml:space="preserve"> </w:t>
      </w:r>
    </w:p>
    <w:p w14:paraId="305920C5" w14:textId="77777777" w:rsidR="0091408C" w:rsidRPr="00B749D1" w:rsidRDefault="0091408C" w:rsidP="0091408C">
      <w:pPr>
        <w:spacing w:after="0" w:line="240" w:lineRule="auto"/>
        <w:rPr>
          <w:rFonts w:ascii="Arial" w:eastAsia="Calibri" w:hAnsi="Arial" w:cs="Arial"/>
          <w:b/>
          <w:lang w:val="es-ES"/>
        </w:rPr>
      </w:pPr>
    </w:p>
    <w:p w14:paraId="664AF750" w14:textId="77777777" w:rsidR="0091408C" w:rsidRPr="00B749D1" w:rsidRDefault="0091408C" w:rsidP="0091408C">
      <w:pPr>
        <w:spacing w:after="0" w:line="240" w:lineRule="auto"/>
        <w:rPr>
          <w:rFonts w:ascii="Arial" w:eastAsia="Calibri" w:hAnsi="Arial" w:cs="Arial"/>
          <w:highlight w:val="magenta"/>
          <w:lang w:val="es-MX"/>
        </w:rPr>
      </w:pPr>
    </w:p>
    <w:p w14:paraId="64FE986B" w14:textId="17B3685D" w:rsidR="0091408C" w:rsidRPr="00B749D1" w:rsidRDefault="0091408C" w:rsidP="0091408C">
      <w:pPr>
        <w:spacing w:after="0" w:line="240" w:lineRule="auto"/>
        <w:ind w:left="2124" w:firstLine="570"/>
        <w:rPr>
          <w:rFonts w:ascii="Arial" w:eastAsia="Calibri" w:hAnsi="Arial" w:cs="Arial"/>
          <w:b/>
          <w:lang w:val="es-MX"/>
        </w:rPr>
      </w:pPr>
      <w:r w:rsidRPr="00B749D1">
        <w:rPr>
          <w:rFonts w:ascii="Arial" w:eastAsia="Calibri" w:hAnsi="Arial" w:cs="Arial"/>
          <w:b/>
          <w:lang w:val="es-MX"/>
        </w:rPr>
        <w:t>Concepto C</w:t>
      </w:r>
      <w:r>
        <w:rPr>
          <w:rFonts w:ascii="Arial" w:eastAsia="Calibri" w:hAnsi="Arial" w:cs="Arial"/>
          <w:b/>
          <w:lang w:val="es-MX"/>
        </w:rPr>
        <w:t xml:space="preserve"> </w:t>
      </w:r>
      <w:r w:rsidRPr="00B749D1">
        <w:rPr>
          <w:rFonts w:ascii="Arial" w:eastAsia="Calibri" w:hAnsi="Arial" w:cs="Arial"/>
          <w:b/>
          <w:lang w:val="es-MX"/>
        </w:rPr>
        <w:t>–</w:t>
      </w:r>
      <w:r>
        <w:rPr>
          <w:rFonts w:ascii="Arial" w:eastAsia="Calibri" w:hAnsi="Arial" w:cs="Arial"/>
          <w:b/>
          <w:lang w:val="es-MX"/>
        </w:rPr>
        <w:t xml:space="preserve"> </w:t>
      </w:r>
      <w:r w:rsidR="000A6A6F">
        <w:rPr>
          <w:rFonts w:ascii="Arial" w:eastAsia="Calibri" w:hAnsi="Arial" w:cs="Arial"/>
          <w:b/>
          <w:lang w:val="es-MX"/>
        </w:rPr>
        <w:t>347</w:t>
      </w:r>
      <w:r w:rsidRPr="00B749D1">
        <w:rPr>
          <w:rFonts w:ascii="Arial" w:eastAsia="Calibri" w:hAnsi="Arial" w:cs="Arial"/>
          <w:b/>
          <w:lang w:val="es-MX"/>
        </w:rPr>
        <w:t xml:space="preserve"> de 202</w:t>
      </w:r>
      <w:r>
        <w:rPr>
          <w:rFonts w:ascii="Arial" w:eastAsia="Calibri" w:hAnsi="Arial" w:cs="Arial"/>
          <w:b/>
          <w:lang w:val="es-MX"/>
        </w:rPr>
        <w:t>2</w:t>
      </w:r>
    </w:p>
    <w:p w14:paraId="162A3157" w14:textId="77777777" w:rsidR="0091408C" w:rsidRPr="00B749D1" w:rsidRDefault="0091408C" w:rsidP="0091408C">
      <w:pPr>
        <w:spacing w:after="0" w:line="240" w:lineRule="auto"/>
        <w:rPr>
          <w:rFonts w:ascii="Arial" w:eastAsia="Calibri" w:hAnsi="Arial" w:cs="Arial"/>
          <w:highlight w:val="magenta"/>
          <w:lang w:val="es-MX"/>
        </w:rPr>
      </w:pPr>
    </w:p>
    <w:tbl>
      <w:tblPr>
        <w:tblStyle w:val="Tablaconcuadrcula2"/>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91408C" w:rsidRPr="00B749D1" w14:paraId="29F882DF" w14:textId="77777777" w:rsidTr="009C3874">
        <w:trPr>
          <w:trHeight w:val="866"/>
        </w:trPr>
        <w:tc>
          <w:tcPr>
            <w:tcW w:w="2689" w:type="dxa"/>
            <w:hideMark/>
          </w:tcPr>
          <w:p w14:paraId="6BB3A2BB" w14:textId="77777777" w:rsidR="0091408C" w:rsidRPr="00B749D1" w:rsidRDefault="0091408C" w:rsidP="009C3874">
            <w:pPr>
              <w:rPr>
                <w:rFonts w:ascii="Arial" w:eastAsia="Calibri" w:hAnsi="Arial" w:cs="Arial"/>
                <w:lang w:val="es-MX"/>
              </w:rPr>
            </w:pPr>
            <w:r w:rsidRPr="00B749D1">
              <w:rPr>
                <w:rFonts w:ascii="Arial" w:eastAsia="Calibri" w:hAnsi="Arial" w:cs="Arial"/>
                <w:b/>
                <w:lang w:val="es-MX"/>
              </w:rPr>
              <w:t>Temas:</w:t>
            </w:r>
            <w:r w:rsidRPr="00B749D1">
              <w:rPr>
                <w:rFonts w:ascii="Arial" w:eastAsia="Calibri" w:hAnsi="Arial" w:cs="Arial"/>
                <w:lang w:val="es-MX"/>
              </w:rPr>
              <w:t xml:space="preserve">  </w:t>
            </w:r>
          </w:p>
          <w:p w14:paraId="6576CEC0" w14:textId="77777777" w:rsidR="0091408C" w:rsidRPr="00B749D1" w:rsidRDefault="0091408C" w:rsidP="009C3874">
            <w:pPr>
              <w:rPr>
                <w:rFonts w:ascii="Arial" w:eastAsia="Calibri" w:hAnsi="Arial" w:cs="Arial"/>
                <w:highlight w:val="magenta"/>
                <w:lang w:val="es-MX"/>
              </w:rPr>
            </w:pPr>
            <w:r w:rsidRPr="00B749D1">
              <w:rPr>
                <w:rFonts w:ascii="Arial" w:eastAsia="Calibri" w:hAnsi="Arial" w:cs="Arial"/>
                <w:highlight w:val="magenta"/>
                <w:lang w:val="es-MX"/>
              </w:rPr>
              <w:t xml:space="preserve"> </w:t>
            </w:r>
          </w:p>
        </w:tc>
        <w:tc>
          <w:tcPr>
            <w:tcW w:w="6237" w:type="dxa"/>
            <w:hideMark/>
          </w:tcPr>
          <w:p w14:paraId="6C06BDE3" w14:textId="466E3428" w:rsidR="00FF6949" w:rsidRPr="00FF6949" w:rsidRDefault="0091408C" w:rsidP="00FF6949">
            <w:pPr>
              <w:jc w:val="both"/>
              <w:rPr>
                <w:rFonts w:ascii="Arial" w:hAnsi="Arial" w:cs="Arial"/>
                <w:bCs/>
              </w:rPr>
            </w:pPr>
            <w:r w:rsidRPr="00FF6949">
              <w:rPr>
                <w:rFonts w:ascii="Arial" w:eastAsia="Calibri" w:hAnsi="Arial" w:cs="Arial"/>
                <w:bCs/>
                <w:szCs w:val="24"/>
                <w:lang w:val="es-ES_tradnl" w:eastAsia="es-ES_tradnl"/>
              </w:rPr>
              <w:t xml:space="preserve">DOCUMENTOS TIPO </w:t>
            </w:r>
            <w:r w:rsidRPr="00FF6949">
              <w:rPr>
                <w:rFonts w:ascii="Arial" w:eastAsia="Calibri" w:hAnsi="Arial" w:cs="Arial"/>
                <w:bCs/>
                <w:color w:val="000000"/>
                <w:szCs w:val="24"/>
                <w:lang w:val="es-ES_tradnl" w:eastAsia="es-ES_tradnl"/>
              </w:rPr>
              <w:t>–</w:t>
            </w:r>
            <w:r w:rsidRPr="00FF6949">
              <w:rPr>
                <w:rFonts w:ascii="Arial" w:eastAsia="Calibri" w:hAnsi="Arial" w:cs="Arial"/>
                <w:bCs/>
                <w:szCs w:val="24"/>
                <w:lang w:val="es-ES_tradnl" w:eastAsia="es-ES_tradnl"/>
              </w:rPr>
              <w:t xml:space="preserve"> Fundamento normativo </w:t>
            </w:r>
            <w:r w:rsidRPr="00FF6949">
              <w:rPr>
                <w:rFonts w:ascii="Arial" w:eastAsia="Calibri" w:hAnsi="Arial" w:cs="Arial"/>
                <w:bCs/>
                <w:color w:val="000000"/>
                <w:szCs w:val="24"/>
                <w:lang w:val="es-ES_tradnl" w:eastAsia="es-ES_tradnl"/>
              </w:rPr>
              <w:t xml:space="preserve">– </w:t>
            </w:r>
            <w:r w:rsidRPr="00FF6949">
              <w:rPr>
                <w:rFonts w:ascii="Arial" w:eastAsia="Calibri" w:hAnsi="Arial" w:cs="Arial"/>
                <w:bCs/>
                <w:szCs w:val="24"/>
                <w:lang w:val="es-ES_tradnl" w:eastAsia="es-ES_tradnl"/>
              </w:rPr>
              <w:t xml:space="preserve">Ley 2022 de 2020 / </w:t>
            </w:r>
            <w:r w:rsidRPr="00FF6949">
              <w:rPr>
                <w:rFonts w:ascii="Arial" w:eastAsia="Calibri" w:hAnsi="Arial" w:cs="Arial"/>
                <w:bCs/>
                <w:lang w:val="es-ES_tradnl" w:eastAsia="es-ES"/>
              </w:rPr>
              <w:t xml:space="preserve">DOCUMENTOS TIPO </w:t>
            </w:r>
            <w:r w:rsidRPr="00FF6949">
              <w:rPr>
                <w:rFonts w:ascii="Arial" w:eastAsia="Calibri" w:hAnsi="Arial" w:cs="Arial"/>
                <w:bCs/>
                <w:lang w:val="x-none" w:eastAsia="es-ES"/>
              </w:rPr>
              <w:t>–</w:t>
            </w:r>
            <w:r w:rsidRPr="00FF6949">
              <w:rPr>
                <w:rFonts w:ascii="Arial" w:eastAsia="Calibri" w:hAnsi="Arial" w:cs="Arial"/>
                <w:bCs/>
                <w:lang w:val="es-ES_tradnl" w:eastAsia="es-ES"/>
              </w:rPr>
              <w:t xml:space="preserve"> Inalterabilidad / </w:t>
            </w:r>
            <w:r w:rsidR="00FF6949" w:rsidRPr="00FF6949">
              <w:rPr>
                <w:rFonts w:ascii="Arial" w:hAnsi="Arial" w:cs="Arial"/>
                <w:bCs/>
              </w:rPr>
              <w:t>DOCUMENTOS TIPO – Decreto 1860 de 2021</w:t>
            </w:r>
            <w:r w:rsidR="00E070A1">
              <w:rPr>
                <w:rFonts w:ascii="Arial" w:hAnsi="Arial" w:cs="Arial"/>
                <w:bCs/>
              </w:rPr>
              <w:t xml:space="preserve"> –</w:t>
            </w:r>
            <w:r w:rsidR="00FF6949" w:rsidRPr="00FF6949">
              <w:rPr>
                <w:rFonts w:ascii="Arial" w:hAnsi="Arial" w:cs="Arial"/>
                <w:bCs/>
              </w:rPr>
              <w:t xml:space="preserve"> Criterios diferenciales – </w:t>
            </w:r>
            <w:proofErr w:type="spellStart"/>
            <w:r w:rsidR="00FF6949" w:rsidRPr="00FF6949">
              <w:rPr>
                <w:rFonts w:ascii="Arial" w:hAnsi="Arial" w:cs="Arial"/>
                <w:bCs/>
              </w:rPr>
              <w:t>Mipymes</w:t>
            </w:r>
            <w:proofErr w:type="spellEnd"/>
            <w:r w:rsidR="00FF6949" w:rsidRPr="00FF6949">
              <w:rPr>
                <w:rFonts w:ascii="Arial" w:hAnsi="Arial" w:cs="Arial"/>
                <w:bCs/>
              </w:rPr>
              <w:t xml:space="preserve"> / DOCUMENTOS TIPO – Decreto 1860 de 2021</w:t>
            </w:r>
            <w:r w:rsidR="00E070A1">
              <w:rPr>
                <w:rFonts w:ascii="Arial" w:hAnsi="Arial" w:cs="Arial"/>
                <w:bCs/>
              </w:rPr>
              <w:t xml:space="preserve"> –</w:t>
            </w:r>
            <w:r w:rsidR="00FF6949" w:rsidRPr="00FF6949">
              <w:rPr>
                <w:rFonts w:ascii="Arial" w:hAnsi="Arial" w:cs="Arial"/>
                <w:bCs/>
              </w:rPr>
              <w:t xml:space="preserve"> Criterios diferenciales – Empresas y emprendimientos de mujeres / DOCUMENTOS TIPO – Decreto 1860 de 2021 </w:t>
            </w:r>
            <w:r w:rsidR="00E070A1">
              <w:rPr>
                <w:rFonts w:ascii="Arial" w:hAnsi="Arial" w:cs="Arial"/>
                <w:bCs/>
              </w:rPr>
              <w:t>–</w:t>
            </w:r>
            <w:r w:rsidR="00FF6949" w:rsidRPr="00FF6949">
              <w:rPr>
                <w:rFonts w:ascii="Arial" w:hAnsi="Arial" w:cs="Arial"/>
                <w:bCs/>
              </w:rPr>
              <w:t xml:space="preserve"> Vigencia </w:t>
            </w:r>
          </w:p>
          <w:p w14:paraId="3CF44897" w14:textId="77777777" w:rsidR="0091408C" w:rsidRPr="00FF6949" w:rsidRDefault="0091408C" w:rsidP="009C3874">
            <w:pPr>
              <w:jc w:val="both"/>
              <w:rPr>
                <w:rFonts w:ascii="Arial" w:eastAsia="Calibri" w:hAnsi="Arial" w:cs="Arial"/>
                <w:b/>
                <w:lang w:val="es-ES_tradnl" w:eastAsia="es-ES"/>
              </w:rPr>
            </w:pPr>
          </w:p>
        </w:tc>
        <w:tc>
          <w:tcPr>
            <w:tcW w:w="6237" w:type="dxa"/>
          </w:tcPr>
          <w:p w14:paraId="0291AF23" w14:textId="77777777" w:rsidR="0091408C" w:rsidRPr="00B749D1" w:rsidRDefault="0091408C" w:rsidP="009C3874">
            <w:pPr>
              <w:spacing w:after="120" w:line="276" w:lineRule="auto"/>
              <w:jc w:val="both"/>
              <w:rPr>
                <w:rFonts w:ascii="Arial" w:eastAsia="Calibri" w:hAnsi="Arial" w:cs="Arial"/>
                <w:lang w:val="es-MX" w:eastAsia="es-ES"/>
              </w:rPr>
            </w:pPr>
          </w:p>
        </w:tc>
      </w:tr>
      <w:tr w:rsidR="0091408C" w:rsidRPr="00B749D1" w14:paraId="2966AAB3" w14:textId="77777777" w:rsidTr="009C3874">
        <w:tc>
          <w:tcPr>
            <w:tcW w:w="2689" w:type="dxa"/>
          </w:tcPr>
          <w:p w14:paraId="3DC15E7C" w14:textId="77777777" w:rsidR="0091408C" w:rsidRPr="00B749D1" w:rsidRDefault="0091408C" w:rsidP="009C3874">
            <w:pPr>
              <w:rPr>
                <w:rFonts w:ascii="Arial" w:eastAsia="Calibri" w:hAnsi="Arial" w:cs="Arial"/>
                <w:b/>
                <w:lang w:val="es-MX"/>
              </w:rPr>
            </w:pPr>
            <w:r w:rsidRPr="00B749D1">
              <w:rPr>
                <w:rFonts w:ascii="Arial" w:eastAsia="Calibri" w:hAnsi="Arial" w:cs="Arial"/>
                <w:b/>
                <w:lang w:val="es-MX"/>
              </w:rPr>
              <w:t>Radicación:</w:t>
            </w:r>
            <w:r w:rsidRPr="00B749D1">
              <w:rPr>
                <w:rFonts w:ascii="Arial" w:eastAsia="Calibri" w:hAnsi="Arial" w:cs="Arial"/>
                <w:lang w:val="es-MX"/>
              </w:rPr>
              <w:t xml:space="preserve"> </w:t>
            </w:r>
          </w:p>
        </w:tc>
        <w:tc>
          <w:tcPr>
            <w:tcW w:w="6237" w:type="dxa"/>
          </w:tcPr>
          <w:p w14:paraId="3E5291BD" w14:textId="3C343F99" w:rsidR="0091408C" w:rsidRPr="00B749D1" w:rsidRDefault="0091408C" w:rsidP="009C3874">
            <w:pPr>
              <w:jc w:val="both"/>
              <w:rPr>
                <w:rFonts w:ascii="Arial" w:eastAsia="Calibri" w:hAnsi="Arial" w:cs="Arial"/>
                <w:lang w:val="es-MX"/>
              </w:rPr>
            </w:pPr>
            <w:r w:rsidRPr="00B749D1">
              <w:rPr>
                <w:rFonts w:ascii="Arial" w:eastAsia="Calibri" w:hAnsi="Arial" w:cs="Arial"/>
                <w:lang w:val="es-MX"/>
              </w:rPr>
              <w:t xml:space="preserve">Respuesta a la consulta </w:t>
            </w:r>
            <w:r w:rsidR="00DD268A" w:rsidRPr="00DD268A">
              <w:rPr>
                <w:rFonts w:ascii="Arial" w:eastAsia="Calibri" w:hAnsi="Arial" w:cs="Arial"/>
                <w:lang w:val="es-MX"/>
              </w:rPr>
              <w:t>P20220427004129</w:t>
            </w:r>
          </w:p>
        </w:tc>
        <w:tc>
          <w:tcPr>
            <w:tcW w:w="6237" w:type="dxa"/>
          </w:tcPr>
          <w:p w14:paraId="00ADDF93" w14:textId="77777777" w:rsidR="0091408C" w:rsidRPr="00B749D1" w:rsidRDefault="0091408C" w:rsidP="009C3874">
            <w:pPr>
              <w:jc w:val="both"/>
              <w:rPr>
                <w:rFonts w:ascii="Arial" w:eastAsia="Calibri" w:hAnsi="Arial" w:cs="Arial"/>
                <w:lang w:val="es-MX"/>
              </w:rPr>
            </w:pPr>
          </w:p>
        </w:tc>
      </w:tr>
    </w:tbl>
    <w:p w14:paraId="62AF5384" w14:textId="77777777" w:rsidR="0091408C" w:rsidRDefault="0091408C" w:rsidP="0091408C">
      <w:pPr>
        <w:spacing w:after="0" w:line="276" w:lineRule="auto"/>
        <w:rPr>
          <w:rFonts w:ascii="Arial" w:eastAsia="Calibri" w:hAnsi="Arial" w:cs="Arial"/>
          <w:lang w:val="es-MX"/>
        </w:rPr>
      </w:pPr>
    </w:p>
    <w:p w14:paraId="7B23E706" w14:textId="77777777" w:rsidR="0091408C" w:rsidRPr="00B749D1" w:rsidRDefault="0091408C" w:rsidP="0091408C">
      <w:pPr>
        <w:spacing w:after="0" w:line="276" w:lineRule="auto"/>
        <w:rPr>
          <w:rFonts w:ascii="Arial" w:eastAsia="Calibri" w:hAnsi="Arial" w:cs="Arial"/>
          <w:lang w:val="es-MX"/>
        </w:rPr>
      </w:pPr>
    </w:p>
    <w:p w14:paraId="2B62C146" w14:textId="6F2410B0" w:rsidR="0091408C" w:rsidRPr="00B749D1" w:rsidRDefault="0091408C" w:rsidP="0091408C">
      <w:pPr>
        <w:spacing w:after="0" w:line="276" w:lineRule="auto"/>
        <w:rPr>
          <w:rFonts w:ascii="Arial" w:eastAsia="Calibri" w:hAnsi="Arial" w:cs="Arial"/>
          <w:lang w:val="es-MX"/>
        </w:rPr>
      </w:pPr>
      <w:r w:rsidRPr="00B749D1">
        <w:rPr>
          <w:rFonts w:ascii="Arial" w:eastAsia="Calibri" w:hAnsi="Arial" w:cs="Arial"/>
          <w:lang w:val="es-MX"/>
        </w:rPr>
        <w:t>Estimad</w:t>
      </w:r>
      <w:r w:rsidR="00E070A1">
        <w:rPr>
          <w:rFonts w:ascii="Arial" w:eastAsia="Calibri" w:hAnsi="Arial" w:cs="Arial"/>
          <w:lang w:val="es-MX"/>
        </w:rPr>
        <w:t>o</w:t>
      </w:r>
      <w:r w:rsidRPr="00B749D1">
        <w:rPr>
          <w:rFonts w:ascii="Arial" w:eastAsia="Calibri" w:hAnsi="Arial" w:cs="Arial"/>
          <w:lang w:val="es-MX"/>
        </w:rPr>
        <w:t xml:space="preserve"> señor</w:t>
      </w:r>
      <w:r>
        <w:rPr>
          <w:rFonts w:ascii="Arial" w:eastAsia="Calibri" w:hAnsi="Arial" w:cs="Arial"/>
          <w:lang w:val="es-MX"/>
        </w:rPr>
        <w:t xml:space="preserve"> </w:t>
      </w:r>
      <w:r w:rsidR="00E070A1">
        <w:rPr>
          <w:rFonts w:ascii="Arial" w:hAnsi="Arial" w:cs="Arial"/>
        </w:rPr>
        <w:t>Peláez</w:t>
      </w:r>
      <w:r w:rsidRPr="00932CDB">
        <w:rPr>
          <w:rFonts w:ascii="Arial" w:eastAsia="Calibri" w:hAnsi="Arial" w:cs="Arial"/>
          <w:lang w:val="es-ES"/>
        </w:rPr>
        <w:t>:</w:t>
      </w:r>
    </w:p>
    <w:p w14:paraId="069D6A15" w14:textId="77777777" w:rsidR="0091408C" w:rsidRPr="00B749D1" w:rsidRDefault="0091408C" w:rsidP="0091408C">
      <w:pPr>
        <w:spacing w:after="0" w:line="276" w:lineRule="auto"/>
        <w:rPr>
          <w:rFonts w:ascii="Arial" w:eastAsia="Calibri" w:hAnsi="Arial" w:cs="Arial"/>
          <w:lang w:val="es-MX"/>
        </w:rPr>
      </w:pPr>
    </w:p>
    <w:p w14:paraId="5FFB5E53" w14:textId="12CA3193" w:rsidR="0091408C" w:rsidRPr="00B749D1" w:rsidRDefault="0091408C" w:rsidP="0091408C">
      <w:pPr>
        <w:spacing w:after="0" w:line="276" w:lineRule="auto"/>
        <w:jc w:val="both"/>
        <w:rPr>
          <w:rFonts w:ascii="Arial" w:eastAsia="Calibri" w:hAnsi="Arial" w:cs="Arial"/>
          <w:lang w:val="es-MX"/>
        </w:rPr>
      </w:pPr>
      <w:r w:rsidRPr="00B749D1">
        <w:rPr>
          <w:rFonts w:ascii="Arial" w:eastAsia="Calibri" w:hAnsi="Arial" w:cs="Arial"/>
          <w:lang w:val="es-MX"/>
        </w:rPr>
        <w:t xml:space="preserve">En ejercicio de la competencia otorgada por el numeral 8 del artículo 11 y el numeral 5 del artículo 3 del Decreto Ley 4170 de 2011, la Agencia Nacional de Contratación Pública – Colombia Compra Eficiente responde la consulta del </w:t>
      </w:r>
      <w:r>
        <w:rPr>
          <w:rFonts w:ascii="Arial" w:eastAsia="Calibri" w:hAnsi="Arial" w:cs="Arial"/>
          <w:lang w:val="es-MX"/>
        </w:rPr>
        <w:t>2</w:t>
      </w:r>
      <w:r w:rsidR="000A6A6F">
        <w:rPr>
          <w:rFonts w:ascii="Arial" w:eastAsia="Calibri" w:hAnsi="Arial" w:cs="Arial"/>
          <w:lang w:val="es-MX"/>
        </w:rPr>
        <w:t>7</w:t>
      </w:r>
      <w:r w:rsidRPr="00B749D1">
        <w:rPr>
          <w:rFonts w:ascii="Arial" w:eastAsia="Calibri" w:hAnsi="Arial" w:cs="Arial"/>
          <w:lang w:val="es-MX"/>
        </w:rPr>
        <w:t xml:space="preserve"> de </w:t>
      </w:r>
      <w:r w:rsidR="000A6A6F">
        <w:rPr>
          <w:rFonts w:ascii="Arial" w:eastAsia="Calibri" w:hAnsi="Arial" w:cs="Arial"/>
          <w:lang w:val="es-MX"/>
        </w:rPr>
        <w:t>abril</w:t>
      </w:r>
      <w:r w:rsidRPr="00B749D1">
        <w:rPr>
          <w:rFonts w:ascii="Arial" w:eastAsia="Calibri" w:hAnsi="Arial" w:cs="Arial"/>
          <w:lang w:val="es-MX"/>
        </w:rPr>
        <w:t xml:space="preserve"> de 202</w:t>
      </w:r>
      <w:r w:rsidR="000A6A6F">
        <w:rPr>
          <w:rFonts w:ascii="Arial" w:eastAsia="Calibri" w:hAnsi="Arial" w:cs="Arial"/>
          <w:lang w:val="es-MX"/>
        </w:rPr>
        <w:t>2</w:t>
      </w:r>
      <w:r w:rsidRPr="00B749D1">
        <w:rPr>
          <w:rFonts w:ascii="Arial" w:eastAsia="Calibri" w:hAnsi="Arial" w:cs="Arial"/>
          <w:lang w:val="es-MX"/>
        </w:rPr>
        <w:t>.</w:t>
      </w:r>
    </w:p>
    <w:p w14:paraId="495E86EB" w14:textId="77777777" w:rsidR="0091408C" w:rsidRPr="00B749D1" w:rsidRDefault="0091408C" w:rsidP="0091408C">
      <w:pPr>
        <w:spacing w:after="0" w:line="276" w:lineRule="auto"/>
        <w:jc w:val="both"/>
        <w:rPr>
          <w:rFonts w:ascii="Arial" w:eastAsia="Calibri" w:hAnsi="Arial" w:cs="Arial"/>
          <w:highlight w:val="magenta"/>
          <w:lang w:val="es-MX"/>
        </w:rPr>
      </w:pPr>
    </w:p>
    <w:p w14:paraId="4A6ACD5F" w14:textId="77777777" w:rsidR="0091408C" w:rsidRPr="00B749D1" w:rsidRDefault="0091408C" w:rsidP="0091408C">
      <w:pPr>
        <w:tabs>
          <w:tab w:val="left" w:pos="284"/>
        </w:tabs>
        <w:spacing w:after="0" w:line="276" w:lineRule="auto"/>
        <w:contextualSpacing/>
        <w:jc w:val="both"/>
        <w:rPr>
          <w:rFonts w:ascii="Arial" w:eastAsia="Calibri" w:hAnsi="Arial" w:cs="Arial"/>
          <w:b/>
          <w:lang w:val="es-MX"/>
        </w:rPr>
      </w:pPr>
      <w:r w:rsidRPr="00B749D1">
        <w:rPr>
          <w:rFonts w:ascii="Arial" w:eastAsia="Calibri" w:hAnsi="Arial" w:cs="Arial"/>
          <w:b/>
          <w:lang w:val="es-MX"/>
        </w:rPr>
        <w:t>1. Problema planteado</w:t>
      </w:r>
    </w:p>
    <w:p w14:paraId="7E5593D8" w14:textId="77777777" w:rsidR="0091408C" w:rsidRPr="00932CDB" w:rsidRDefault="0091408C" w:rsidP="0091408C">
      <w:pPr>
        <w:spacing w:after="0" w:line="276" w:lineRule="auto"/>
        <w:ind w:right="709"/>
        <w:rPr>
          <w:rFonts w:ascii="Arial" w:hAnsi="Arial" w:cs="Arial"/>
        </w:rPr>
      </w:pPr>
    </w:p>
    <w:p w14:paraId="3415B99C" w14:textId="2C3584CD" w:rsidR="0091408C" w:rsidRPr="004D7ADD" w:rsidRDefault="000A6A6F" w:rsidP="004D7ADD">
      <w:pPr>
        <w:spacing w:after="0" w:line="276" w:lineRule="auto"/>
        <w:jc w:val="both"/>
        <w:rPr>
          <w:rFonts w:ascii="Arial" w:hAnsi="Arial" w:cs="Arial"/>
        </w:rPr>
      </w:pPr>
      <w:r w:rsidRPr="004D7ADD">
        <w:rPr>
          <w:rFonts w:ascii="Arial" w:hAnsi="Arial" w:cs="Arial"/>
        </w:rPr>
        <w:t xml:space="preserve">En su petición usted menciona que «[…] </w:t>
      </w:r>
      <w:r w:rsidR="004D7ADD">
        <w:rPr>
          <w:rFonts w:ascii="Arial" w:hAnsi="Arial" w:cs="Arial"/>
        </w:rPr>
        <w:t>l</w:t>
      </w:r>
      <w:r w:rsidRPr="004D7ADD">
        <w:rPr>
          <w:rFonts w:ascii="Arial" w:hAnsi="Arial" w:cs="Arial"/>
        </w:rPr>
        <w:t>os documentos tipo tienen un carácter de inalterables en consonancia el artículo 1 de la Ley 2022 de 2020, según el cual "serán de obligatorio cumplimiento en la actividad contractual de todas las entidades sometidas al Estatuto General de Contratación de la Administración Pública"», con base en ello, u</w:t>
      </w:r>
      <w:r w:rsidR="0091408C" w:rsidRPr="004D7ADD">
        <w:rPr>
          <w:rFonts w:ascii="Arial" w:hAnsi="Arial" w:cs="Arial"/>
        </w:rPr>
        <w:t>sted realiza la</w:t>
      </w:r>
      <w:r w:rsidRPr="004D7ADD">
        <w:rPr>
          <w:rFonts w:ascii="Arial" w:hAnsi="Arial" w:cs="Arial"/>
        </w:rPr>
        <w:t>s</w:t>
      </w:r>
      <w:r w:rsidR="0091408C" w:rsidRPr="004D7ADD">
        <w:rPr>
          <w:rFonts w:ascii="Arial" w:hAnsi="Arial" w:cs="Arial"/>
        </w:rPr>
        <w:t xml:space="preserve"> siguiente</w:t>
      </w:r>
      <w:r w:rsidRPr="004D7ADD">
        <w:rPr>
          <w:rFonts w:ascii="Arial" w:hAnsi="Arial" w:cs="Arial"/>
        </w:rPr>
        <w:t>s</w:t>
      </w:r>
      <w:r w:rsidR="0091408C" w:rsidRPr="004D7ADD">
        <w:rPr>
          <w:rFonts w:ascii="Arial" w:hAnsi="Arial" w:cs="Arial"/>
        </w:rPr>
        <w:t xml:space="preserve"> pregunta</w:t>
      </w:r>
      <w:r w:rsidRPr="004D7ADD">
        <w:rPr>
          <w:rFonts w:ascii="Arial" w:hAnsi="Arial" w:cs="Arial"/>
        </w:rPr>
        <w:t>s</w:t>
      </w:r>
      <w:r w:rsidR="0091408C" w:rsidRPr="004D7ADD">
        <w:rPr>
          <w:rFonts w:ascii="Arial" w:hAnsi="Arial" w:cs="Arial"/>
        </w:rPr>
        <w:t xml:space="preserve">: </w:t>
      </w:r>
    </w:p>
    <w:p w14:paraId="5C54D03B" w14:textId="3CC55641" w:rsidR="000A6A6F" w:rsidRDefault="000A6A6F" w:rsidP="0091408C">
      <w:pPr>
        <w:spacing w:after="0" w:line="276" w:lineRule="auto"/>
        <w:jc w:val="both"/>
        <w:rPr>
          <w:rFonts w:ascii="Arial" w:hAnsi="Arial" w:cs="Arial"/>
        </w:rPr>
      </w:pPr>
    </w:p>
    <w:p w14:paraId="5AE8DA17" w14:textId="4FF54185" w:rsidR="000A6A6F" w:rsidRPr="000A6A6F" w:rsidRDefault="000A6A6F" w:rsidP="000A6A6F">
      <w:pPr>
        <w:spacing w:after="120" w:line="240" w:lineRule="auto"/>
        <w:ind w:left="709" w:right="709"/>
        <w:jc w:val="both"/>
        <w:rPr>
          <w:rFonts w:ascii="Arial" w:hAnsi="Arial" w:cs="Arial"/>
          <w:sz w:val="21"/>
          <w:szCs w:val="21"/>
        </w:rPr>
      </w:pPr>
      <w:r>
        <w:rPr>
          <w:rFonts w:ascii="Arial" w:hAnsi="Arial" w:cs="Arial"/>
          <w:sz w:val="21"/>
          <w:szCs w:val="21"/>
        </w:rPr>
        <w:t xml:space="preserve">i). </w:t>
      </w:r>
      <w:r w:rsidRPr="000A6A6F">
        <w:rPr>
          <w:rFonts w:ascii="Arial" w:hAnsi="Arial" w:cs="Arial"/>
          <w:sz w:val="21"/>
          <w:szCs w:val="21"/>
        </w:rPr>
        <w:t xml:space="preserve">«[¿]como (sic) deben proceder las entidades frente a los criterios diferenciales dispuestos en la Ley 2069 de 2021 reglamentados por el Decreto 1860 de 2021 en aquellos procesos donde apliquen documentos tipo? </w:t>
      </w:r>
    </w:p>
    <w:p w14:paraId="636DCC17" w14:textId="65F796BD" w:rsidR="000A6A6F" w:rsidRPr="000A6A6F" w:rsidRDefault="000A6A6F" w:rsidP="000A6A6F">
      <w:pPr>
        <w:spacing w:after="120" w:line="240" w:lineRule="auto"/>
        <w:ind w:left="709" w:right="709"/>
        <w:jc w:val="both"/>
        <w:rPr>
          <w:rFonts w:ascii="Arial" w:hAnsi="Arial" w:cs="Arial"/>
          <w:sz w:val="21"/>
          <w:szCs w:val="21"/>
        </w:rPr>
      </w:pPr>
      <w:proofErr w:type="spellStart"/>
      <w:r>
        <w:rPr>
          <w:rFonts w:ascii="Arial" w:hAnsi="Arial" w:cs="Arial"/>
          <w:sz w:val="21"/>
          <w:szCs w:val="21"/>
        </w:rPr>
        <w:lastRenderedPageBreak/>
        <w:t>ii</w:t>
      </w:r>
      <w:proofErr w:type="spellEnd"/>
      <w:r>
        <w:rPr>
          <w:rFonts w:ascii="Arial" w:hAnsi="Arial" w:cs="Arial"/>
          <w:sz w:val="21"/>
          <w:szCs w:val="21"/>
        </w:rPr>
        <w:t xml:space="preserve">) </w:t>
      </w:r>
      <w:r w:rsidRPr="000A6A6F">
        <w:rPr>
          <w:rFonts w:ascii="Arial" w:hAnsi="Arial" w:cs="Arial"/>
          <w:sz w:val="21"/>
          <w:szCs w:val="21"/>
        </w:rPr>
        <w:t xml:space="preserve">¿debe esperar a que CCE haga las modificaciones de los documentos tipo en relación a la aplicación de dichos criterios? </w:t>
      </w:r>
    </w:p>
    <w:p w14:paraId="798ADEE4" w14:textId="679CA4F4" w:rsidR="000A6A6F" w:rsidRPr="000A6A6F" w:rsidRDefault="000A6A6F" w:rsidP="004D7ADD">
      <w:pPr>
        <w:spacing w:after="0" w:line="240" w:lineRule="auto"/>
        <w:ind w:left="709" w:right="709"/>
        <w:jc w:val="both"/>
        <w:rPr>
          <w:rFonts w:ascii="Arial" w:eastAsia="Calibri" w:hAnsi="Arial" w:cs="Arial"/>
          <w:b/>
          <w:sz w:val="21"/>
          <w:szCs w:val="21"/>
        </w:rPr>
      </w:pPr>
      <w:proofErr w:type="spellStart"/>
      <w:r>
        <w:rPr>
          <w:rFonts w:ascii="Arial" w:hAnsi="Arial" w:cs="Arial"/>
          <w:sz w:val="21"/>
          <w:szCs w:val="21"/>
        </w:rPr>
        <w:t>iii</w:t>
      </w:r>
      <w:proofErr w:type="spellEnd"/>
      <w:r>
        <w:rPr>
          <w:rFonts w:ascii="Arial" w:hAnsi="Arial" w:cs="Arial"/>
          <w:sz w:val="21"/>
          <w:szCs w:val="21"/>
        </w:rPr>
        <w:t xml:space="preserve">) </w:t>
      </w:r>
      <w:r w:rsidRPr="000A6A6F">
        <w:rPr>
          <w:rFonts w:ascii="Arial" w:hAnsi="Arial" w:cs="Arial"/>
          <w:sz w:val="21"/>
          <w:szCs w:val="21"/>
        </w:rPr>
        <w:t xml:space="preserve">¿lo debe hacer la entidad desde la </w:t>
      </w:r>
      <w:proofErr w:type="gramStart"/>
      <w:r w:rsidRPr="000A6A6F">
        <w:rPr>
          <w:rFonts w:ascii="Arial" w:hAnsi="Arial" w:cs="Arial"/>
          <w:sz w:val="21"/>
          <w:szCs w:val="21"/>
        </w:rPr>
        <w:t>entrada en vigencia</w:t>
      </w:r>
      <w:proofErr w:type="gramEnd"/>
      <w:r w:rsidRPr="000A6A6F">
        <w:rPr>
          <w:rFonts w:ascii="Arial" w:hAnsi="Arial" w:cs="Arial"/>
          <w:sz w:val="21"/>
          <w:szCs w:val="21"/>
        </w:rPr>
        <w:t xml:space="preserve"> del Decreto 1860 de 2021</w:t>
      </w:r>
      <w:r>
        <w:rPr>
          <w:rFonts w:ascii="Arial" w:hAnsi="Arial" w:cs="Arial"/>
          <w:sz w:val="21"/>
          <w:szCs w:val="21"/>
        </w:rPr>
        <w:t>»</w:t>
      </w:r>
    </w:p>
    <w:p w14:paraId="407E5E21" w14:textId="77777777" w:rsidR="0091408C" w:rsidRPr="00B749D1" w:rsidRDefault="0091408C" w:rsidP="004D7ADD">
      <w:pPr>
        <w:tabs>
          <w:tab w:val="left" w:pos="426"/>
        </w:tabs>
        <w:spacing w:after="0" w:line="276" w:lineRule="auto"/>
        <w:ind w:left="1069" w:right="709"/>
        <w:contextualSpacing/>
        <w:rPr>
          <w:rFonts w:ascii="Arial" w:eastAsia="Calibri" w:hAnsi="Arial" w:cs="Arial"/>
          <w:sz w:val="21"/>
          <w:szCs w:val="21"/>
          <w:lang w:val="es-MX"/>
        </w:rPr>
      </w:pPr>
    </w:p>
    <w:p w14:paraId="4AEDE444" w14:textId="77777777" w:rsidR="0091408C" w:rsidRDefault="0091408C" w:rsidP="004D7ADD">
      <w:pPr>
        <w:tabs>
          <w:tab w:val="left" w:pos="426"/>
        </w:tabs>
        <w:spacing w:after="0" w:line="276" w:lineRule="auto"/>
        <w:jc w:val="both"/>
        <w:rPr>
          <w:rFonts w:ascii="Arial" w:eastAsia="Calibri" w:hAnsi="Arial" w:cs="Arial"/>
          <w:b/>
          <w:lang w:val="es-MX"/>
        </w:rPr>
      </w:pPr>
      <w:r w:rsidRPr="00B749D1">
        <w:rPr>
          <w:rFonts w:ascii="Arial" w:eastAsia="Calibri" w:hAnsi="Arial" w:cs="Arial"/>
          <w:b/>
          <w:lang w:val="es-MX"/>
        </w:rPr>
        <w:t xml:space="preserve">2. Consideraciones </w:t>
      </w:r>
    </w:p>
    <w:p w14:paraId="235ADB19" w14:textId="77777777" w:rsidR="0091408C" w:rsidRPr="00B749D1" w:rsidRDefault="0091408C" w:rsidP="0091408C">
      <w:pPr>
        <w:tabs>
          <w:tab w:val="left" w:pos="426"/>
        </w:tabs>
        <w:spacing w:after="0" w:line="276" w:lineRule="auto"/>
        <w:jc w:val="both"/>
        <w:rPr>
          <w:rFonts w:ascii="Arial" w:eastAsia="Calibri" w:hAnsi="Arial" w:cs="Arial"/>
          <w:b/>
          <w:lang w:val="es-MX"/>
        </w:rPr>
      </w:pPr>
    </w:p>
    <w:p w14:paraId="1E87E00B" w14:textId="240CCABA" w:rsidR="0091408C" w:rsidRPr="00B749D1" w:rsidRDefault="0091408C" w:rsidP="004D7ADD">
      <w:pPr>
        <w:spacing w:after="0" w:line="276" w:lineRule="auto"/>
        <w:jc w:val="both"/>
        <w:rPr>
          <w:rFonts w:ascii="Arial" w:eastAsia="Calibri" w:hAnsi="Arial" w:cs="Arial"/>
          <w:color w:val="000000"/>
          <w:lang w:val="es-ES_tradnl"/>
        </w:rPr>
      </w:pPr>
      <w:r>
        <w:rPr>
          <w:rFonts w:ascii="Arial" w:eastAsia="Calibri" w:hAnsi="Arial" w:cs="Arial"/>
          <w:color w:val="000000" w:themeColor="text1"/>
        </w:rPr>
        <w:t xml:space="preserve">La </w:t>
      </w:r>
      <w:r w:rsidRPr="000D6838">
        <w:rPr>
          <w:rFonts w:ascii="Arial" w:eastAsia="Calibri" w:hAnsi="Arial" w:cs="Arial"/>
          <w:color w:val="000000" w:themeColor="text1"/>
        </w:rPr>
        <w:t>Agencia Nacional de Contratación Pública − Colombia Compra Eficiente</w:t>
      </w:r>
      <w:r>
        <w:rPr>
          <w:rFonts w:ascii="Arial" w:eastAsia="Calibri" w:hAnsi="Arial" w:cs="Arial"/>
          <w:color w:val="000000" w:themeColor="text1"/>
        </w:rPr>
        <w:t xml:space="preserve"> se pronunció sobre los pliegos de condiciones en la contratación estatal, así como su inalterabilidad y sus excepciones, entre otros,</w:t>
      </w:r>
      <w:r w:rsidRPr="000D6838">
        <w:rPr>
          <w:rFonts w:ascii="Arial" w:eastAsia="Calibri" w:hAnsi="Arial" w:cs="Arial"/>
          <w:color w:val="000000" w:themeColor="text1"/>
        </w:rPr>
        <w:t xml:space="preserve"> </w:t>
      </w:r>
      <w:r w:rsidRPr="001D24BE">
        <w:rPr>
          <w:rFonts w:ascii="Arial" w:eastAsia="Calibri" w:hAnsi="Arial" w:cs="Arial"/>
        </w:rPr>
        <w:t>e</w:t>
      </w:r>
      <w:r w:rsidRPr="001D24BE">
        <w:rPr>
          <w:rFonts w:ascii="Arial" w:hAnsi="Arial" w:cs="Arial"/>
        </w:rPr>
        <w:t>n los conceptos C–144 de 2 de marzo de 2020, C-174 del 16 de marzo de 2020, C-129 del 24 de marzo de 2020, C-193 del 6 de abril de 2020, C–189 del 8 de abril de 2020, C-009 del 27 de abril de 2020, C-289 del 26 de mayo de 2020, C-384 del 4 de junio de 2020, C-328 del 30 de junio de 2020, C-397 del 30 de junio de 2020</w:t>
      </w:r>
      <w:r>
        <w:rPr>
          <w:rFonts w:ascii="Arial" w:hAnsi="Arial" w:cs="Arial"/>
        </w:rPr>
        <w:t xml:space="preserve">, </w:t>
      </w:r>
      <w:r w:rsidRPr="001D24BE">
        <w:rPr>
          <w:rFonts w:ascii="Arial" w:hAnsi="Arial" w:cs="Arial"/>
        </w:rPr>
        <w:t xml:space="preserve">C-327 del 10 de julio de 2020, </w:t>
      </w:r>
      <w:r>
        <w:rPr>
          <w:rFonts w:ascii="Arial" w:hAnsi="Arial" w:cs="Arial"/>
        </w:rPr>
        <w:t>C-332 del 26 de mayo de 2020, C-354 del 4 de junio de 2020, C-387 del 23 de junio de 2020, C-379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w:t>
      </w:r>
      <w:bookmarkStart w:id="2" w:name="_Hlk75872808"/>
      <w:r w:rsidRPr="00897A5F">
        <w:rPr>
          <w:rFonts w:ascii="Arial" w:hAnsi="Arial" w:cs="Arial"/>
        </w:rPr>
        <w:t xml:space="preserve">, </w:t>
      </w:r>
      <w:r>
        <w:rPr>
          <w:rFonts w:ascii="Arial" w:eastAsia="Arial" w:hAnsi="Arial" w:cs="Arial"/>
          <w:lang w:val="es-ES_tradnl"/>
        </w:rPr>
        <w:t>C-031 del 1 de febrero de 2021,</w:t>
      </w:r>
      <w:r>
        <w:rPr>
          <w:rFonts w:ascii="Arial" w:hAnsi="Arial" w:cs="Arial"/>
        </w:rPr>
        <w:t xml:space="preserve"> </w:t>
      </w:r>
      <w:r w:rsidRPr="00897A5F">
        <w:rPr>
          <w:rFonts w:ascii="Arial" w:hAnsi="Arial" w:cs="Arial"/>
        </w:rPr>
        <w:t>C-027 del 1</w:t>
      </w:r>
      <w:r>
        <w:rPr>
          <w:rFonts w:ascii="Arial" w:hAnsi="Arial" w:cs="Arial"/>
        </w:rPr>
        <w:t xml:space="preserve"> </w:t>
      </w:r>
      <w:r w:rsidRPr="00897A5F">
        <w:rPr>
          <w:rFonts w:ascii="Arial" w:hAnsi="Arial" w:cs="Arial"/>
        </w:rPr>
        <w:t>de marzo de 2021</w:t>
      </w:r>
      <w:r>
        <w:rPr>
          <w:rFonts w:ascii="Arial" w:hAnsi="Arial" w:cs="Arial"/>
        </w:rPr>
        <w:t>,</w:t>
      </w:r>
      <w:r w:rsidRPr="00897A5F">
        <w:rPr>
          <w:rFonts w:ascii="Arial" w:hAnsi="Arial" w:cs="Arial"/>
        </w:rPr>
        <w:t xml:space="preserve"> </w:t>
      </w:r>
      <w:r>
        <w:rPr>
          <w:rFonts w:ascii="Arial" w:hAnsi="Arial" w:cs="Arial"/>
        </w:rPr>
        <w:t xml:space="preserve">C-064 del 8 de marzo 2021, C-157 del 13 de abril de 2021, </w:t>
      </w:r>
      <w:r w:rsidRPr="00897A5F">
        <w:rPr>
          <w:rFonts w:ascii="Arial" w:hAnsi="Arial" w:cs="Arial"/>
        </w:rPr>
        <w:t>C-204 del 6 de mayo de 2021</w:t>
      </w:r>
      <w:bookmarkEnd w:id="2"/>
      <w:r>
        <w:rPr>
          <w:rFonts w:ascii="Arial" w:hAnsi="Arial" w:cs="Arial"/>
        </w:rPr>
        <w:t xml:space="preserve">, C-215 del 12 de mayo de 2021, C-263, C-268 del 3 de junio de 2021, C-287, C-304 del 28 de junio de 2021, C-361 del 2 de agosto de 2021, C-425 del 19 de agosto, C-471 del 30 de agosto de 2021, C-511 del 22 de septiembre de 2021, C-531 del 27 de septiembre de 2021, C-624 del 8 de noviembre de 2021, C-643 del 17 de noviembre </w:t>
      </w:r>
      <w:r w:rsidR="00BD2FB8">
        <w:rPr>
          <w:rFonts w:ascii="Arial" w:hAnsi="Arial" w:cs="Arial"/>
        </w:rPr>
        <w:t xml:space="preserve">de 2021, </w:t>
      </w:r>
      <w:r w:rsidR="00BD2FB8" w:rsidRPr="008F216D">
        <w:rPr>
          <w:rFonts w:ascii="Arial" w:eastAsia="Calibri" w:hAnsi="Arial" w:cs="Arial"/>
          <w:lang w:val="es-ES_tradnl" w:eastAsia="es-ES_tradnl"/>
        </w:rPr>
        <w:t>C-706 del 17 de enero de 2022, C-066 del 28 de enero de 2022, C-705 del 5 de enero de 2022, C-753 del 6 de febrero de 2022, C-011 del 18 de febrero de 2022, C-033 del 4 de marzo de 2022, C-060 del 10 de marzo de 2022, C-086 del 15 de marzo de 2022, C-130 del 22 de marzo de 2022</w:t>
      </w:r>
      <w:r w:rsidR="00953B44">
        <w:rPr>
          <w:rFonts w:ascii="Arial" w:eastAsia="Calibri" w:hAnsi="Arial" w:cs="Arial"/>
          <w:lang w:val="es-ES_tradnl" w:eastAsia="es-ES_tradnl"/>
        </w:rPr>
        <w:t xml:space="preserve"> y </w:t>
      </w:r>
      <w:r w:rsidR="00BD2FB8" w:rsidRPr="008F216D">
        <w:rPr>
          <w:rFonts w:ascii="Arial" w:eastAsia="Calibri" w:hAnsi="Arial" w:cs="Arial"/>
          <w:lang w:val="es-ES_tradnl" w:eastAsia="es-ES_tradnl"/>
        </w:rPr>
        <w:t>C-110 del 23 de marzo de 2022</w:t>
      </w:r>
      <w:r w:rsidR="00953B44">
        <w:rPr>
          <w:rFonts w:ascii="Arial" w:eastAsia="Calibri" w:hAnsi="Arial" w:cs="Arial"/>
          <w:lang w:val="es-ES_tradnl" w:eastAsia="es-ES_tradnl"/>
        </w:rPr>
        <w:t>.</w:t>
      </w:r>
      <w:r w:rsidR="00BD2FB8" w:rsidRPr="008F216D">
        <w:rPr>
          <w:rFonts w:ascii="Arial" w:eastAsia="Calibri" w:hAnsi="Arial" w:cs="Arial"/>
          <w:lang w:val="es-ES_tradnl" w:eastAsia="es-ES_tradnl"/>
        </w:rPr>
        <w:t xml:space="preserve"> </w:t>
      </w:r>
      <w:r w:rsidRPr="00B749D1">
        <w:rPr>
          <w:rFonts w:ascii="Arial" w:eastAsia="Calibri" w:hAnsi="Arial" w:cs="Arial"/>
          <w:color w:val="000000"/>
          <w:lang w:val="es-ES_tradnl"/>
        </w:rPr>
        <w:t>En lo pertinente, las tesis expuestas en los conceptos mencionados se reiteran a continuación:</w:t>
      </w:r>
    </w:p>
    <w:p w14:paraId="5DAAC310" w14:textId="77777777" w:rsidR="0091408C" w:rsidRDefault="0091408C" w:rsidP="00953B44">
      <w:pPr>
        <w:spacing w:after="0" w:line="276" w:lineRule="auto"/>
        <w:jc w:val="both"/>
        <w:rPr>
          <w:rFonts w:ascii="Arial" w:eastAsia="Arial" w:hAnsi="Arial" w:cs="Arial"/>
          <w:b/>
          <w:bCs/>
          <w:color w:val="000000"/>
          <w:lang w:val="es-ES_tradnl"/>
        </w:rPr>
      </w:pPr>
    </w:p>
    <w:p w14:paraId="7B0A1812" w14:textId="77777777" w:rsidR="0091408C" w:rsidRPr="004F0480" w:rsidRDefault="0091408C" w:rsidP="0091408C">
      <w:pPr>
        <w:spacing w:after="0" w:line="276" w:lineRule="auto"/>
        <w:jc w:val="both"/>
        <w:rPr>
          <w:rFonts w:ascii="Arial" w:eastAsia="Arial" w:hAnsi="Arial" w:cs="Arial"/>
          <w:b/>
          <w:bCs/>
          <w:color w:val="000000"/>
          <w:lang w:val="es-ES_tradnl"/>
        </w:rPr>
      </w:pPr>
      <w:r w:rsidRPr="004F0480">
        <w:rPr>
          <w:rFonts w:ascii="Arial" w:eastAsia="Arial" w:hAnsi="Arial" w:cs="Arial"/>
          <w:b/>
          <w:bCs/>
          <w:color w:val="000000"/>
          <w:lang w:val="es-ES_tradnl"/>
        </w:rPr>
        <w:t xml:space="preserve">2.1. Fundamento normativo de los documentos tipo </w:t>
      </w:r>
    </w:p>
    <w:p w14:paraId="4D4A73E2" w14:textId="77777777" w:rsidR="0091408C" w:rsidRPr="004F0480" w:rsidRDefault="0091408C" w:rsidP="0091408C">
      <w:pPr>
        <w:spacing w:after="0" w:line="240" w:lineRule="auto"/>
        <w:jc w:val="both"/>
        <w:rPr>
          <w:rFonts w:ascii="Arial" w:eastAsia="Calibri" w:hAnsi="Arial" w:cs="Arial"/>
          <w:color w:val="000000"/>
          <w:lang w:val="es-ES_tradnl"/>
        </w:rPr>
      </w:pPr>
    </w:p>
    <w:p w14:paraId="6056D803" w14:textId="77777777" w:rsidR="009A573B" w:rsidRPr="009A573B" w:rsidRDefault="009A573B" w:rsidP="009A573B">
      <w:pPr>
        <w:spacing w:after="120" w:line="276" w:lineRule="auto"/>
        <w:jc w:val="both"/>
        <w:rPr>
          <w:rFonts w:ascii="Arial" w:eastAsia="Calibri" w:hAnsi="Arial" w:cs="Arial"/>
          <w:szCs w:val="24"/>
          <w:lang w:val="es-ES_tradnl" w:eastAsia="es-ES_tradnl"/>
        </w:rPr>
      </w:pPr>
      <w:r w:rsidRPr="009A573B">
        <w:rPr>
          <w:rFonts w:ascii="Arial" w:eastAsia="Calibri" w:hAnsi="Arial" w:cs="Arial"/>
          <w:szCs w:val="24"/>
          <w:lang w:val="es-ES_tradnl" w:eastAsia="es-ES_tradnl"/>
        </w:rPr>
        <w:lastRenderedPageBreak/>
        <w:t>La adopción de los documentos tipo obligatorios en el ordenamiento jurídico colombiano se incluyó por primera vez en el parágrafo 3 del artículo 2 de la Ley 1150 de 2007</w:t>
      </w:r>
      <w:r w:rsidRPr="009A573B">
        <w:rPr>
          <w:rFonts w:ascii="Arial" w:eastAsia="Calibri" w:hAnsi="Arial" w:cs="Arial"/>
          <w:szCs w:val="24"/>
          <w:vertAlign w:val="superscript"/>
          <w:lang w:val="es-ES_tradnl" w:eastAsia="es-ES_tradnl"/>
        </w:rPr>
        <w:footnoteReference w:id="2"/>
      </w:r>
      <w:r w:rsidRPr="009A573B">
        <w:rPr>
          <w:rFonts w:ascii="Arial" w:eastAsia="Calibri" w:hAnsi="Arial" w:cs="Arial"/>
          <w:szCs w:val="24"/>
          <w:lang w:val="es-ES_tradnl" w:eastAsia="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7EA9CE5E" w14:textId="77777777" w:rsidR="009A573B" w:rsidRPr="009A573B" w:rsidRDefault="009A573B" w:rsidP="009A573B">
      <w:pPr>
        <w:spacing w:after="0" w:line="276" w:lineRule="auto"/>
        <w:ind w:firstLine="708"/>
        <w:jc w:val="both"/>
        <w:rPr>
          <w:rFonts w:ascii="Arial" w:eastAsia="Calibri" w:hAnsi="Arial" w:cs="Arial"/>
          <w:szCs w:val="24"/>
          <w:lang w:val="es-ES_tradnl" w:eastAsia="es-ES_tradnl"/>
        </w:rPr>
      </w:pPr>
      <w:r w:rsidRPr="009A573B">
        <w:rPr>
          <w:rFonts w:ascii="Arial" w:eastAsia="Calibri" w:hAnsi="Arial" w:cs="Arial"/>
          <w:szCs w:val="24"/>
          <w:lang w:val="es-ES_tradnl" w:eastAsia="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Debe señalarse que en virtud de la Ley 1882 de 2018 se expidieron varios documentos tipo para el sector de infraestructura de transporte y, por tanto, es importante explicar el proceso previsto en dicho cuerpo normativo. </w:t>
      </w:r>
    </w:p>
    <w:p w14:paraId="535EDFD6" w14:textId="77777777" w:rsidR="009A573B" w:rsidRPr="009A573B" w:rsidRDefault="009A573B" w:rsidP="009A573B">
      <w:pPr>
        <w:spacing w:before="120" w:after="120" w:line="276" w:lineRule="auto"/>
        <w:ind w:firstLine="708"/>
        <w:jc w:val="both"/>
        <w:rPr>
          <w:rFonts w:ascii="Arial" w:eastAsia="Calibri" w:hAnsi="Arial" w:cs="Arial"/>
          <w:szCs w:val="24"/>
          <w:lang w:val="es-ES_tradnl" w:eastAsia="es-ES_tradnl"/>
        </w:rPr>
      </w:pPr>
      <w:r w:rsidRPr="009A573B">
        <w:rPr>
          <w:rFonts w:ascii="Arial" w:eastAsia="Calibri" w:hAnsi="Arial" w:cs="Arial"/>
          <w:szCs w:val="24"/>
          <w:lang w:val="es-ES_tradnl" w:eastAsia="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9A573B">
        <w:rPr>
          <w:rFonts w:ascii="Arial" w:eastAsia="Calibri" w:hAnsi="Arial" w:cs="Arial"/>
          <w:szCs w:val="24"/>
          <w:vertAlign w:val="superscript"/>
          <w:lang w:val="es-ES_tradnl" w:eastAsia="es-ES_tradnl"/>
        </w:rPr>
        <w:footnoteReference w:id="3"/>
      </w:r>
      <w:r w:rsidRPr="009A573B">
        <w:rPr>
          <w:rFonts w:ascii="Arial" w:eastAsia="Calibri" w:hAnsi="Arial" w:cs="Arial"/>
          <w:szCs w:val="24"/>
          <w:lang w:val="es-ES_tradnl" w:eastAsia="es-ES_tradnl"/>
        </w:rPr>
        <w:t>.</w:t>
      </w:r>
    </w:p>
    <w:p w14:paraId="79BDFFF6" w14:textId="77777777" w:rsidR="009A573B" w:rsidRPr="009A573B" w:rsidRDefault="009A573B" w:rsidP="009A573B">
      <w:pPr>
        <w:spacing w:before="120" w:after="120" w:line="276" w:lineRule="auto"/>
        <w:jc w:val="both"/>
        <w:rPr>
          <w:rFonts w:ascii="Arial" w:eastAsia="Calibri" w:hAnsi="Arial" w:cs="Arial"/>
          <w:szCs w:val="24"/>
          <w:lang w:val="es-ES_tradnl" w:eastAsia="es-ES_tradnl"/>
        </w:rPr>
      </w:pPr>
      <w:r w:rsidRPr="009A573B">
        <w:rPr>
          <w:rFonts w:ascii="Arial" w:eastAsia="Calibri" w:hAnsi="Arial" w:cs="Arial"/>
          <w:szCs w:val="24"/>
          <w:lang w:val="es-ES_tradnl" w:eastAsia="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w:t>
      </w:r>
      <w:r w:rsidRPr="009A573B">
        <w:rPr>
          <w:rFonts w:ascii="Arial" w:eastAsia="Calibri" w:hAnsi="Arial" w:cs="Arial"/>
          <w:szCs w:val="24"/>
          <w:lang w:val="es-ES_tradnl" w:eastAsia="es-ES_tradnl"/>
        </w:rPr>
        <w:lastRenderedPageBreak/>
        <w:t xml:space="preserve">gobierno para adoptar los documentos tipo cuando lo considerara necesario en relación con otros contratos o procesos de selección. </w:t>
      </w:r>
    </w:p>
    <w:p w14:paraId="09117DCD" w14:textId="77777777" w:rsidR="009A573B" w:rsidRPr="009A573B" w:rsidRDefault="009A573B" w:rsidP="009A573B">
      <w:pPr>
        <w:spacing w:before="120" w:after="120" w:line="276" w:lineRule="auto"/>
        <w:jc w:val="both"/>
        <w:rPr>
          <w:rFonts w:ascii="Arial" w:eastAsia="Calibri" w:hAnsi="Arial" w:cs="Arial"/>
          <w:szCs w:val="24"/>
          <w:lang w:val="es-ES_tradnl" w:eastAsia="es-ES_tradnl"/>
        </w:rPr>
      </w:pPr>
      <w:r w:rsidRPr="009A573B">
        <w:rPr>
          <w:rFonts w:ascii="Arial" w:eastAsia="Calibri" w:hAnsi="Arial" w:cs="Arial"/>
          <w:szCs w:val="24"/>
          <w:lang w:val="es-ES_tradnl" w:eastAsia="es-ES_tradnl"/>
        </w:rPr>
        <w:tab/>
        <w:t xml:space="preserve">De la norma descrita se concluía lo siguiente: i) la adopción de los documentos tipo estaba en cabeza del gobierno nacional. </w:t>
      </w:r>
      <w:proofErr w:type="spellStart"/>
      <w:r w:rsidRPr="009A573B">
        <w:rPr>
          <w:rFonts w:ascii="Arial" w:eastAsia="Calibri" w:hAnsi="Arial" w:cs="Arial"/>
          <w:szCs w:val="24"/>
          <w:lang w:val="es-ES_tradnl" w:eastAsia="es-ES_tradnl"/>
        </w:rPr>
        <w:t>ii</w:t>
      </w:r>
      <w:proofErr w:type="spellEnd"/>
      <w:r w:rsidRPr="009A573B">
        <w:rPr>
          <w:rFonts w:ascii="Arial" w:eastAsia="Calibri" w:hAnsi="Arial" w:cs="Arial"/>
          <w:szCs w:val="24"/>
          <w:lang w:val="es-ES_tradnl" w:eastAsia="es-ES_tradnl"/>
        </w:rPr>
        <w:t xml:space="preserve">) Estos debían relacionarse con procesos de obras públicas, interventoría para las obras públicas, interventoría para consultoría de estudios y diseños y, finalmente, consultoría en ingeniería para obras. </w:t>
      </w:r>
      <w:proofErr w:type="spellStart"/>
      <w:r w:rsidRPr="009A573B">
        <w:rPr>
          <w:rFonts w:ascii="Arial" w:eastAsia="Calibri" w:hAnsi="Arial" w:cs="Arial"/>
          <w:szCs w:val="24"/>
          <w:lang w:val="es-ES_tradnl" w:eastAsia="es-ES_tradnl"/>
        </w:rPr>
        <w:t>iii</w:t>
      </w:r>
      <w:proofErr w:type="spellEnd"/>
      <w:r w:rsidRPr="009A573B">
        <w:rPr>
          <w:rFonts w:ascii="Arial" w:eastAsia="Calibri" w:hAnsi="Arial" w:cs="Arial"/>
          <w:szCs w:val="24"/>
          <w:lang w:val="es-ES_tradnl" w:eastAsia="es-ES_tradnl"/>
        </w:rPr>
        <w:t xml:space="preserve">) Eran de obligatorio cumplimiento por parte de todas las entidades sometidas al Estatuto General de Contratación de la Administración Pública. </w:t>
      </w:r>
      <w:proofErr w:type="spellStart"/>
      <w:r w:rsidRPr="009A573B">
        <w:rPr>
          <w:rFonts w:ascii="Arial" w:eastAsia="Calibri" w:hAnsi="Arial" w:cs="Arial"/>
          <w:szCs w:val="24"/>
          <w:lang w:val="es-ES_tradnl" w:eastAsia="es-ES_tradnl"/>
        </w:rPr>
        <w:t>iv</w:t>
      </w:r>
      <w:proofErr w:type="spellEnd"/>
      <w:r w:rsidRPr="009A573B">
        <w:rPr>
          <w:rFonts w:ascii="Arial" w:eastAsia="Calibri" w:hAnsi="Arial" w:cs="Arial"/>
          <w:szCs w:val="24"/>
          <w:lang w:val="es-ES_tradnl" w:eastAsia="es-ES_tradnl"/>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p w14:paraId="7F13D7A4" w14:textId="77777777" w:rsidR="009A573B" w:rsidRPr="009A573B" w:rsidRDefault="009A573B" w:rsidP="009A573B">
      <w:pPr>
        <w:spacing w:before="120" w:after="120" w:line="276" w:lineRule="auto"/>
        <w:jc w:val="both"/>
        <w:rPr>
          <w:rFonts w:ascii="Arial" w:eastAsia="Calibri" w:hAnsi="Arial" w:cs="Arial"/>
          <w:szCs w:val="24"/>
          <w:lang w:val="es-ES_tradnl" w:eastAsia="es-ES_tradnl"/>
        </w:rPr>
      </w:pPr>
      <w:r w:rsidRPr="009A573B">
        <w:rPr>
          <w:rFonts w:ascii="Arial" w:eastAsia="Calibri" w:hAnsi="Arial" w:cs="Arial"/>
          <w:szCs w:val="24"/>
          <w:lang w:val="es-ES_tradnl" w:eastAsia="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3" w:name="_Hlk48665985"/>
      <w:r w:rsidRPr="009A573B">
        <w:rPr>
          <w:rFonts w:ascii="Arial" w:eastAsia="Calibri" w:hAnsi="Arial" w:cs="Arial"/>
          <w:szCs w:val="24"/>
          <w:lang w:val="es-ES_tradnl" w:eastAsia="es-ES_tradnl"/>
        </w:rPr>
        <w:t>y los criterios de escogencia, elementos propios del procedimiento de selección del contratista, materia en la que existe reserva de ley y que no se encuentra atribuida a la regulación de las entidades territoriales</w:t>
      </w:r>
      <w:bookmarkEnd w:id="3"/>
      <w:r w:rsidRPr="009A573B">
        <w:rPr>
          <w:rFonts w:ascii="Arial" w:eastAsia="Calibri" w:hAnsi="Arial" w:cs="Arial"/>
          <w:szCs w:val="24"/>
          <w:lang w:val="es-ES_tradnl" w:eastAsia="es-ES_tradnl"/>
        </w:rPr>
        <w:t>. De igual manera, se establece que esta autonomía se garantiza con la identificación autónoma de sus necesidades y la configuración de los elementos del contrato</w:t>
      </w:r>
      <w:r w:rsidRPr="009A573B">
        <w:rPr>
          <w:rFonts w:ascii="Arial" w:eastAsia="Calibri" w:hAnsi="Arial" w:cs="Arial"/>
          <w:szCs w:val="24"/>
          <w:vertAlign w:val="superscript"/>
          <w:lang w:val="es-ES_tradnl" w:eastAsia="es-ES_tradnl"/>
        </w:rPr>
        <w:footnoteReference w:id="4"/>
      </w:r>
      <w:r w:rsidRPr="009A573B">
        <w:rPr>
          <w:rFonts w:ascii="Arial" w:eastAsia="Calibri" w:hAnsi="Arial" w:cs="Arial"/>
          <w:szCs w:val="24"/>
          <w:lang w:val="es-ES_tradnl" w:eastAsia="es-ES_tradnl"/>
        </w:rPr>
        <w:t>.</w:t>
      </w:r>
    </w:p>
    <w:p w14:paraId="3744BB4B" w14:textId="77777777" w:rsidR="009A573B" w:rsidRPr="009A573B" w:rsidRDefault="009A573B" w:rsidP="009A573B">
      <w:pPr>
        <w:spacing w:before="120" w:after="120" w:line="276" w:lineRule="auto"/>
        <w:jc w:val="both"/>
        <w:rPr>
          <w:rFonts w:ascii="Arial" w:eastAsia="Calibri" w:hAnsi="Arial" w:cs="Arial"/>
          <w:szCs w:val="24"/>
          <w:lang w:val="es-ES_tradnl" w:eastAsia="es-ES_tradnl"/>
        </w:rPr>
      </w:pPr>
      <w:r w:rsidRPr="009A573B">
        <w:rPr>
          <w:rFonts w:ascii="Arial" w:eastAsia="Calibri" w:hAnsi="Arial" w:cs="Arial"/>
          <w:szCs w:val="24"/>
          <w:lang w:val="es-ES_tradnl" w:eastAsia="es-ES_tradnl"/>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62D20AE1" w14:textId="77777777" w:rsidR="009A573B" w:rsidRPr="009A573B" w:rsidRDefault="009A573B" w:rsidP="009A573B">
      <w:pPr>
        <w:spacing w:before="120" w:after="120" w:line="276" w:lineRule="auto"/>
        <w:jc w:val="both"/>
        <w:rPr>
          <w:rFonts w:ascii="Arial" w:eastAsia="Calibri" w:hAnsi="Arial" w:cs="Arial"/>
          <w:lang w:val="es-ES_tradnl"/>
        </w:rPr>
      </w:pPr>
      <w:r w:rsidRPr="009A573B">
        <w:rPr>
          <w:rFonts w:ascii="Arial" w:eastAsia="Calibri" w:hAnsi="Arial" w:cs="Arial"/>
          <w:lang w:val="es-ES_tradnl" w:eastAsia="es-ES_tradnl"/>
        </w:rPr>
        <w:tab/>
      </w:r>
      <w:r w:rsidRPr="009A573B">
        <w:rPr>
          <w:rFonts w:ascii="Arial" w:eastAsia="Calibri" w:hAnsi="Arial" w:cs="Arial"/>
          <w:lang w:val="es-ES_tradnl"/>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w:t>
      </w:r>
      <w:r w:rsidRPr="009A573B">
        <w:rPr>
          <w:rFonts w:ascii="Arial" w:eastAsia="Calibri" w:hAnsi="Arial" w:cs="Arial"/>
          <w:lang w:val="es-ES_tradnl"/>
        </w:rPr>
        <w:lastRenderedPageBreak/>
        <w:t xml:space="preserve">de 2007, inició la implementación gradual de documentos tipo mediante el Decreto 342 del 5 de marzo de 2019, relacionado con los documentos tipo para los procesos de selección de licitación de obra pública de infraestructura de transporte. Luego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w:t>
      </w:r>
    </w:p>
    <w:p w14:paraId="2EF84363" w14:textId="77777777" w:rsidR="009A573B" w:rsidRPr="009A573B" w:rsidRDefault="009A573B" w:rsidP="009A573B">
      <w:pPr>
        <w:spacing w:before="120" w:after="120" w:line="276" w:lineRule="auto"/>
        <w:ind w:firstLine="708"/>
        <w:jc w:val="both"/>
        <w:rPr>
          <w:rFonts w:ascii="Arial" w:eastAsia="Calibri" w:hAnsi="Arial" w:cs="Arial"/>
          <w:lang w:val="es-ES_tradnl" w:eastAsia="es-ES_tradnl"/>
        </w:rPr>
      </w:pPr>
      <w:r w:rsidRPr="009A573B">
        <w:rPr>
          <w:rFonts w:ascii="Arial" w:eastAsia="Calibri" w:hAnsi="Arial" w:cs="Arial"/>
          <w:lang w:val="es-ES_tradnl"/>
        </w:rPr>
        <w:t>Finalmente, se profirió el Decreto 594 del 25 de abril de 2020, frente a los documentos tipo para los contratos de obra pública</w:t>
      </w:r>
      <w:r w:rsidRPr="009A573B" w:rsidDel="00A434AB">
        <w:rPr>
          <w:rFonts w:ascii="Arial" w:eastAsia="Calibri" w:hAnsi="Arial" w:cs="Arial"/>
          <w:lang w:val="es-ES_tradnl"/>
        </w:rPr>
        <w:t xml:space="preserve"> </w:t>
      </w:r>
      <w:r w:rsidRPr="009A573B">
        <w:rPr>
          <w:rFonts w:ascii="Arial" w:eastAsia="Calibri" w:hAnsi="Arial" w:cs="Arial"/>
          <w:lang w:val="es-ES_tradnl"/>
        </w:rPr>
        <w:t xml:space="preserve">de infraestructura de transporte que se surtieran por la modalidad de mínima cuantía. Estos documentos fueron implementados y desarrollados por la Agencia Nacional de Contratación Pública </w:t>
      </w:r>
      <w:bookmarkStart w:id="4" w:name="_Hlk37841850"/>
      <w:r w:rsidRPr="009A573B">
        <w:rPr>
          <w:rFonts w:ascii="Arial" w:eastAsia="Calibri" w:hAnsi="Arial" w:cs="Arial"/>
          <w:lang w:val="es-ES_tradnl"/>
        </w:rPr>
        <w:t xml:space="preserve">– Colombia Compra Eficiente, </w:t>
      </w:r>
      <w:bookmarkEnd w:id="4"/>
      <w:r w:rsidRPr="009A573B">
        <w:rPr>
          <w:rFonts w:ascii="Arial" w:eastAsia="Calibri" w:hAnsi="Arial" w:cs="Arial"/>
          <w:lang w:val="es-ES_tradnl"/>
        </w:rPr>
        <w:t>por medio de la Resolución 1798 de 1 de abril de 2019 –derogada por la Resolución 045 del 14 de febrero de 2020–, la Resolución 044 del 14 de febrero de 2020 y la Resolución 094 del 21 de mayo de 2020.</w:t>
      </w:r>
    </w:p>
    <w:p w14:paraId="053E0B27" w14:textId="77777777" w:rsidR="009A573B" w:rsidRPr="009A573B" w:rsidRDefault="009A573B" w:rsidP="009A573B">
      <w:pPr>
        <w:spacing w:before="120" w:after="0" w:line="276" w:lineRule="auto"/>
        <w:ind w:firstLine="709"/>
        <w:jc w:val="both"/>
        <w:rPr>
          <w:rFonts w:ascii="Arial" w:eastAsia="Calibri" w:hAnsi="Arial" w:cs="Arial"/>
          <w:lang w:val="es-ES_tradnl" w:eastAsia="es-ES"/>
        </w:rPr>
      </w:pPr>
      <w:r w:rsidRPr="009A573B">
        <w:rPr>
          <w:rFonts w:ascii="Arial" w:eastAsia="Calibri" w:hAnsi="Arial" w:cs="Arial"/>
          <w:lang w:val="es-ES_tradnl" w:eastAsia="es-ES"/>
        </w:rPr>
        <w:t>Con posterioridad a la expedición de los anteriores documentos tipo, se expidió la Ley 2022 de 2020, norma que modificó el contenido del parágrafo 7 del artículo 2 de la Ley 1150 de 2007, que había sido adicionado por la Ley 1882 de 2018</w:t>
      </w:r>
      <w:r w:rsidRPr="009A573B">
        <w:rPr>
          <w:rFonts w:ascii="Arial" w:eastAsia="Calibri" w:hAnsi="Arial" w:cs="Arial"/>
          <w:vertAlign w:val="superscript"/>
          <w:lang w:val="es-ES_tradnl" w:eastAsia="es-ES"/>
        </w:rPr>
        <w:footnoteReference w:id="5"/>
      </w:r>
      <w:r w:rsidRPr="009A573B">
        <w:rPr>
          <w:rFonts w:ascii="Arial" w:eastAsia="Calibri" w:hAnsi="Arial" w:cs="Arial"/>
          <w:lang w:val="es-ES_tradnl" w:eastAsia="es-ES"/>
        </w:rPr>
        <w:t xml:space="preserve">. Con esta modificación, si bien se mantuvo el mandato de aplicación obligatoria de los documentos tipo por parte de las entidades sometidas al Estatuto General de Contratación de la Administración Pública, se atribuyó a la </w:t>
      </w:r>
      <w:r w:rsidRPr="009A573B">
        <w:rPr>
          <w:rFonts w:ascii="Arial" w:eastAsia="Calibri" w:hAnsi="Arial" w:cs="Arial"/>
          <w:lang w:val="es-ES_tradnl"/>
        </w:rPr>
        <w:t xml:space="preserve">Agencia Nacional de Contratación Pública – Colombia Compra Eficiente la competencia para su expedición. </w:t>
      </w:r>
      <w:r w:rsidRPr="009A573B">
        <w:rPr>
          <w:rFonts w:ascii="Arial" w:eastAsia="Calibri" w:hAnsi="Arial" w:cs="Arial"/>
          <w:lang w:val="es-ES_tradnl" w:eastAsia="es-ES"/>
        </w:rPr>
        <w:t xml:space="preserve">En este marco, con la finalidad de realizar un desarrollo armónico y ajustado a la ley que otorga esta competencia, esta Agencia expidió la Resolución 160 del 15 de septiembre de 2020 «Por la cual se adopta el procedimiento </w:t>
      </w:r>
      <w:r w:rsidRPr="009A573B">
        <w:rPr>
          <w:rFonts w:ascii="Arial" w:eastAsia="Calibri" w:hAnsi="Arial" w:cs="Arial"/>
          <w:lang w:val="es-ES_tradnl" w:eastAsia="es-ES"/>
        </w:rPr>
        <w:lastRenderedPageBreak/>
        <w:t xml:space="preserve">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383E9702" w14:textId="77777777" w:rsidR="009A573B" w:rsidRPr="009A573B" w:rsidRDefault="009A573B" w:rsidP="009A573B">
      <w:pPr>
        <w:spacing w:before="120" w:after="0" w:line="276" w:lineRule="auto"/>
        <w:ind w:firstLine="709"/>
        <w:jc w:val="both"/>
        <w:rPr>
          <w:rFonts w:ascii="Arial" w:eastAsia="Calibri" w:hAnsi="Arial" w:cs="Arial"/>
          <w:lang w:val="es-ES_tradnl" w:eastAsia="es-ES"/>
        </w:rPr>
      </w:pPr>
      <w:r w:rsidRPr="009A573B">
        <w:rPr>
          <w:rFonts w:ascii="Arial" w:eastAsia="Calibri" w:hAnsi="Arial" w:cs="Arial"/>
          <w:lang w:val="es-ES_tradnl" w:eastAsia="es-ES"/>
        </w:rPr>
        <w:t xml:space="preserve">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w:t>
      </w:r>
      <w:proofErr w:type="gramStart"/>
      <w:r w:rsidRPr="009A573B">
        <w:rPr>
          <w:rFonts w:ascii="Arial" w:eastAsia="Calibri" w:hAnsi="Arial" w:cs="Arial"/>
          <w:lang w:val="es-ES_tradnl" w:eastAsia="es-ES"/>
        </w:rPr>
        <w:t>entró en vigencia</w:t>
      </w:r>
      <w:proofErr w:type="gramEnd"/>
      <w:r w:rsidRPr="009A573B">
        <w:rPr>
          <w:rFonts w:ascii="Arial" w:eastAsia="Calibri" w:hAnsi="Arial" w:cs="Arial"/>
          <w:lang w:val="es-ES_tradnl" w:eastAsia="es-ES"/>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5433F846" w14:textId="77777777" w:rsidR="009A573B" w:rsidRPr="009A573B" w:rsidRDefault="009A573B" w:rsidP="009A573B">
      <w:pPr>
        <w:spacing w:before="120" w:after="0" w:line="276" w:lineRule="auto"/>
        <w:ind w:firstLine="709"/>
        <w:jc w:val="both"/>
        <w:rPr>
          <w:rFonts w:ascii="Arial" w:eastAsia="Times New Roman" w:hAnsi="Arial" w:cs="Arial"/>
          <w:lang w:val="es-ES_tradnl" w:eastAsia="es-ES"/>
        </w:rPr>
      </w:pPr>
      <w:r w:rsidRPr="009A573B">
        <w:rPr>
          <w:rFonts w:ascii="Arial" w:eastAsia="Calibri" w:hAnsi="Arial" w:cs="Arial"/>
          <w:lang w:val="es-ES_tradnl" w:eastAsia="es-ES"/>
        </w:rPr>
        <w:t xml:space="preserve">A los actos administrativos mencionados se suman: i) la Resolución 193 de 14 de julio de 2021, </w:t>
      </w:r>
      <w:r w:rsidRPr="009A573B">
        <w:rPr>
          <w:rFonts w:ascii="Arial" w:eastAsia="Times New Roman" w:hAnsi="Arial" w:cs="Arial"/>
          <w:lang w:val="es-ES_tradnl" w:eastAsia="es-ES"/>
        </w:rPr>
        <w:t xml:space="preserve">«Por la cual se adoptan los documentos tipo para los procesos de selección de concurso de méritos, para contratar la consultoría de estudios de ingeniería de infraestructura de transporte», </w:t>
      </w:r>
      <w:proofErr w:type="spellStart"/>
      <w:r w:rsidRPr="009A573B">
        <w:rPr>
          <w:rFonts w:ascii="Arial" w:eastAsia="Times New Roman" w:hAnsi="Arial" w:cs="Arial"/>
          <w:lang w:val="es-ES_tradnl" w:eastAsia="es-ES"/>
        </w:rPr>
        <w:t>ii</w:t>
      </w:r>
      <w:proofErr w:type="spellEnd"/>
      <w:r w:rsidRPr="009A573B">
        <w:rPr>
          <w:rFonts w:ascii="Arial" w:eastAsia="Times New Roman" w:hAnsi="Arial" w:cs="Arial"/>
          <w:lang w:val="es-ES_tradnl" w:eastAsia="es-ES"/>
        </w:rPr>
        <w:t>)</w:t>
      </w:r>
      <w:r w:rsidRPr="009A573B">
        <w:rPr>
          <w:rFonts w:ascii="Arial" w:eastAsia="Calibri" w:hAnsi="Arial" w:cs="Arial"/>
          <w:lang w:val="es-ES_tradnl" w:eastAsia="es-ES"/>
        </w:rPr>
        <w:t xml:space="preserve"> la Resolución 219 de 2021,</w:t>
      </w:r>
      <w:r w:rsidRPr="009A573B">
        <w:rPr>
          <w:rFonts w:ascii="Arial" w:eastAsia="Times New Roman" w:hAnsi="Arial" w:cs="Arial"/>
          <w:lang w:val="es-ES_tradnl" w:eastAsia="es-ES"/>
        </w:rPr>
        <w:t xml:space="preserve"> «Por la cual se adoptan los documentos tipo para los procesos de licitación de obra pública de infraestructura social», </w:t>
      </w:r>
      <w:proofErr w:type="spellStart"/>
      <w:r w:rsidRPr="009A573B">
        <w:rPr>
          <w:rFonts w:ascii="Arial" w:eastAsia="Times New Roman" w:hAnsi="Arial" w:cs="Arial"/>
          <w:lang w:val="es-ES_tradnl" w:eastAsia="es-ES"/>
        </w:rPr>
        <w:t>iii</w:t>
      </w:r>
      <w:proofErr w:type="spellEnd"/>
      <w:r w:rsidRPr="009A573B">
        <w:rPr>
          <w:rFonts w:ascii="Arial" w:eastAsia="Times New Roman" w:hAnsi="Arial" w:cs="Arial"/>
          <w:lang w:val="es-ES_tradnl" w:eastAsia="es-ES"/>
        </w:rPr>
        <w:t xml:space="preserve">) la Resolución 220 del 6 de agosto de 2021, «Por la cual se adoptan los documentos tipo complementarios para los procesos de licitación de obra pública de infraestructura social relacionados con el sector educativo», </w:t>
      </w:r>
      <w:proofErr w:type="spellStart"/>
      <w:r w:rsidRPr="009A573B">
        <w:rPr>
          <w:rFonts w:ascii="Arial" w:eastAsia="Times New Roman" w:hAnsi="Arial" w:cs="Arial"/>
          <w:lang w:val="es-ES_tradnl" w:eastAsia="es-ES"/>
        </w:rPr>
        <w:t>iv</w:t>
      </w:r>
      <w:proofErr w:type="spellEnd"/>
      <w:r w:rsidRPr="009A573B">
        <w:rPr>
          <w:rFonts w:ascii="Arial" w:eastAsia="Times New Roman" w:hAnsi="Arial" w:cs="Arial"/>
          <w:lang w:val="es-ES_tradnl" w:eastAsia="es-ES"/>
        </w:rPr>
        <w:t xml:space="preserve">) la Resolución 392 del 18 de noviembre de 2021, «Por la cual se adoptan los documentos tipo complementarios para los procesos de licitación de obra pública de infraestructura social relacionados con el sector salud», y v) la Resolución 454 del 16 de diciembre de 2021, «Por la cual se adoptan los documentos tipo complementarios para los procesos de licitación de obra pública de infraestructura social relacionados con el sector cultura, recreación y deporte». </w:t>
      </w:r>
    </w:p>
    <w:p w14:paraId="68C87962" w14:textId="77777777" w:rsidR="009A573B" w:rsidRPr="009A573B" w:rsidRDefault="009A573B" w:rsidP="009A573B">
      <w:pPr>
        <w:spacing w:before="120" w:after="0" w:line="276" w:lineRule="auto"/>
        <w:ind w:firstLine="708"/>
        <w:jc w:val="both"/>
        <w:rPr>
          <w:rFonts w:ascii="Arial" w:eastAsia="Calibri" w:hAnsi="Arial" w:cs="Arial"/>
          <w:color w:val="000000"/>
          <w:lang w:val="es-ES_tradnl" w:eastAsia="es-ES"/>
        </w:rPr>
      </w:pPr>
      <w:r w:rsidRPr="009A573B">
        <w:rPr>
          <w:rFonts w:ascii="Arial" w:eastAsia="Calibri" w:hAnsi="Arial" w:cs="Arial"/>
          <w:color w:val="000000"/>
          <w:lang w:val="es-ES_tradnl" w:eastAsia="es-ES"/>
        </w:rPr>
        <w:t xml:space="preserve">Las resoluciones señaladas </w:t>
      </w:r>
      <w:r w:rsidRPr="009A573B">
        <w:rPr>
          <w:rFonts w:ascii="Arial" w:eastAsia="Times New Roman" w:hAnsi="Arial" w:cs="Arial"/>
          <w:color w:val="000000"/>
          <w:bdr w:val="none" w:sz="0" w:space="0" w:color="auto" w:frame="1"/>
          <w:lang w:eastAsia="es-MX"/>
        </w:rPr>
        <w:t>reiteran el alcance de la obligatoriedad de los documentos tipo en la materia</w:t>
      </w:r>
      <w:r w:rsidRPr="009A573B">
        <w:rPr>
          <w:rFonts w:ascii="Arial" w:eastAsia="Calibri" w:hAnsi="Arial" w:cs="Arial"/>
          <w:color w:val="000000"/>
          <w:lang w:val="es-ES_tradnl" w:eastAsia="es-ES"/>
        </w:rPr>
        <w:t xml:space="preserve"> y establecen parámetros obligatorios para las entidades estatales cuya contratación se rija por el Estatuto General de Contratación de la Administración Pública, siempre que las actividades que se contraten estén incluidas en la «Matriz – Experiencia», de acuerdo con el documento tipo a aplicar. Así, para determinar el ámbito de aplicación de los documentos tipo debe acudirse a la «Matriz – Experiencia», en la que se contemplan las clases de obra aplicables al sector, sean de infraestructura de transporte, agua potable y saneamiento básico o infraestructura social.</w:t>
      </w:r>
    </w:p>
    <w:p w14:paraId="6DE58A47" w14:textId="77777777" w:rsidR="009A573B" w:rsidRPr="009A573B" w:rsidRDefault="009A573B" w:rsidP="009A573B">
      <w:pPr>
        <w:spacing w:before="120" w:after="0" w:line="276" w:lineRule="auto"/>
        <w:ind w:firstLine="709"/>
        <w:jc w:val="both"/>
        <w:rPr>
          <w:rFonts w:ascii="Arial" w:eastAsia="Calibri" w:hAnsi="Arial" w:cs="Arial"/>
          <w:color w:val="000000"/>
          <w:lang w:val="es-ES" w:eastAsia="es-ES"/>
        </w:rPr>
      </w:pPr>
      <w:r w:rsidRPr="009A573B">
        <w:rPr>
          <w:rFonts w:ascii="Arial" w:eastAsia="Calibri" w:hAnsi="Arial" w:cs="Arial"/>
          <w:color w:val="000000"/>
          <w:lang w:val="es-ES" w:eastAsia="es-ES"/>
        </w:rPr>
        <w:t xml:space="preserve">En síntesis, hasta el momento se han expedido los siguientes documentos tipo que son obligatorios para todas las entidades sometidas al Estatuto General de Contratación de la Administración Pública: </w:t>
      </w:r>
    </w:p>
    <w:p w14:paraId="19F6B24B" w14:textId="77777777" w:rsidR="009A573B" w:rsidRPr="009A573B" w:rsidRDefault="009A573B" w:rsidP="009A573B">
      <w:pPr>
        <w:spacing w:before="120" w:after="0" w:line="276" w:lineRule="auto"/>
        <w:ind w:firstLine="709"/>
        <w:jc w:val="both"/>
        <w:rPr>
          <w:rFonts w:ascii="Arial" w:eastAsia="Calibri" w:hAnsi="Arial" w:cs="Arial"/>
          <w:color w:val="000000"/>
          <w:lang w:val="es-ES" w:eastAsia="es-ES"/>
        </w:rPr>
      </w:pPr>
      <w:r w:rsidRPr="009A573B">
        <w:rPr>
          <w:rFonts w:ascii="Arial" w:eastAsia="Calibri" w:hAnsi="Arial" w:cs="Arial"/>
          <w:color w:val="000000"/>
          <w:lang w:val="es-ES" w:eastAsia="es-ES"/>
        </w:rPr>
        <w:lastRenderedPageBreak/>
        <w:t xml:space="preserve">i) Documentos tipo para licitación de obra pública de infraestructura de transporte –versión 1–, obligatorios para los procesos cuyo aviso de convocatoria se haya publicado desde el 1 de abril de 2019. </w:t>
      </w:r>
    </w:p>
    <w:p w14:paraId="28229B53" w14:textId="77777777" w:rsidR="009A573B" w:rsidRPr="009A573B" w:rsidRDefault="009A573B" w:rsidP="009A573B">
      <w:pPr>
        <w:spacing w:before="120" w:after="0" w:line="276" w:lineRule="auto"/>
        <w:ind w:firstLine="709"/>
        <w:jc w:val="both"/>
        <w:rPr>
          <w:rFonts w:ascii="Arial" w:eastAsia="Calibri" w:hAnsi="Arial" w:cs="Arial"/>
          <w:color w:val="000000"/>
          <w:lang w:val="es-ES" w:eastAsia="es-ES"/>
        </w:rPr>
      </w:pPr>
      <w:proofErr w:type="spellStart"/>
      <w:r w:rsidRPr="009A573B">
        <w:rPr>
          <w:rFonts w:ascii="Arial" w:eastAsia="Calibri" w:hAnsi="Arial" w:cs="Arial"/>
          <w:color w:val="000000"/>
          <w:lang w:val="es-ES" w:eastAsia="es-ES"/>
        </w:rPr>
        <w:t>ii</w:t>
      </w:r>
      <w:proofErr w:type="spellEnd"/>
      <w:r w:rsidRPr="009A573B">
        <w:rPr>
          <w:rFonts w:ascii="Arial" w:eastAsia="Calibri" w:hAnsi="Arial" w:cs="Arial"/>
          <w:color w:val="000000"/>
          <w:lang w:val="es-ES" w:eastAsia="es-ES"/>
        </w:rPr>
        <w:t>) Documentos tipo para licitación de obra pública de infraestructura de transporte –versión 2–, obligatorios para los procesos cuyo aviso de convocatoria se haya publicado desde el 10 de marzo de 2020.</w:t>
      </w:r>
    </w:p>
    <w:p w14:paraId="52AD7BD8" w14:textId="77777777" w:rsidR="009A573B" w:rsidRPr="009A573B" w:rsidRDefault="009A573B" w:rsidP="009A573B">
      <w:pPr>
        <w:spacing w:before="120" w:after="0" w:line="276" w:lineRule="auto"/>
        <w:ind w:firstLine="709"/>
        <w:jc w:val="both"/>
        <w:rPr>
          <w:rFonts w:ascii="Arial" w:eastAsia="Calibri" w:hAnsi="Arial" w:cs="Arial"/>
          <w:color w:val="000000"/>
          <w:lang w:val="es-ES" w:eastAsia="es-ES"/>
        </w:rPr>
      </w:pPr>
      <w:proofErr w:type="spellStart"/>
      <w:r w:rsidRPr="009A573B">
        <w:rPr>
          <w:rFonts w:ascii="Arial" w:eastAsia="Calibri" w:hAnsi="Arial" w:cs="Arial"/>
          <w:color w:val="000000"/>
          <w:lang w:val="es-ES" w:eastAsia="es-ES"/>
        </w:rPr>
        <w:t>iii</w:t>
      </w:r>
      <w:proofErr w:type="spellEnd"/>
      <w:r w:rsidRPr="009A573B">
        <w:rPr>
          <w:rFonts w:ascii="Arial" w:eastAsia="Calibri" w:hAnsi="Arial" w:cs="Arial"/>
          <w:color w:val="000000"/>
          <w:lang w:val="es-ES" w:eastAsia="es-ES"/>
        </w:rPr>
        <w:t>) Documentos tipo para licitación de obra pública de infraestructura de transporte –versión 3–, obligatorios para los procesos cuyo aviso de convocatoria se haya publicado desde el 1 de enero de 2021.</w:t>
      </w:r>
    </w:p>
    <w:p w14:paraId="6474EC40" w14:textId="77777777" w:rsidR="009A573B" w:rsidRPr="009A573B" w:rsidRDefault="009A573B" w:rsidP="009A573B">
      <w:pPr>
        <w:spacing w:before="120" w:after="0" w:line="276" w:lineRule="auto"/>
        <w:ind w:firstLine="709"/>
        <w:jc w:val="both"/>
        <w:rPr>
          <w:rFonts w:ascii="Arial" w:eastAsia="Calibri" w:hAnsi="Arial" w:cs="Arial"/>
          <w:color w:val="000000"/>
          <w:lang w:val="es-ES" w:eastAsia="es-ES"/>
        </w:rPr>
      </w:pPr>
      <w:proofErr w:type="spellStart"/>
      <w:r w:rsidRPr="009A573B">
        <w:rPr>
          <w:rFonts w:ascii="Arial" w:eastAsia="Calibri" w:hAnsi="Arial" w:cs="Arial"/>
          <w:color w:val="000000"/>
          <w:lang w:val="es-ES" w:eastAsia="es-ES"/>
        </w:rPr>
        <w:t>iv</w:t>
      </w:r>
      <w:proofErr w:type="spellEnd"/>
      <w:r w:rsidRPr="009A573B">
        <w:rPr>
          <w:rFonts w:ascii="Arial" w:eastAsia="Calibri" w:hAnsi="Arial" w:cs="Arial"/>
          <w:color w:val="000000"/>
          <w:lang w:val="es-ES" w:eastAsia="es-ES"/>
        </w:rPr>
        <w:t>) Documentos tipo para procesos de selección abreviada de menor cuantía de infraestructura de transporte –versión 1–, obligatorios para los procesos cuyo aviso de convocatoria se haya publicado desde el 17 de febrero de 2020.</w:t>
      </w:r>
    </w:p>
    <w:p w14:paraId="74984AD5" w14:textId="77777777" w:rsidR="009A573B" w:rsidRPr="009A573B" w:rsidRDefault="009A573B" w:rsidP="009A573B">
      <w:pPr>
        <w:spacing w:before="120" w:after="0" w:line="276" w:lineRule="auto"/>
        <w:ind w:firstLine="709"/>
        <w:jc w:val="both"/>
        <w:rPr>
          <w:rFonts w:ascii="Arial" w:eastAsia="Calibri" w:hAnsi="Arial" w:cs="Arial"/>
          <w:color w:val="000000"/>
          <w:lang w:val="es-ES" w:eastAsia="es-ES"/>
        </w:rPr>
      </w:pPr>
      <w:r w:rsidRPr="009A573B">
        <w:rPr>
          <w:rFonts w:ascii="Arial" w:eastAsia="Calibri" w:hAnsi="Arial" w:cs="Arial"/>
          <w:color w:val="000000"/>
          <w:lang w:val="es-ES"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117BC9B0" w14:textId="77777777" w:rsidR="009A573B" w:rsidRPr="009A573B" w:rsidRDefault="009A573B" w:rsidP="009A573B">
      <w:pPr>
        <w:spacing w:before="120" w:after="0" w:line="276" w:lineRule="auto"/>
        <w:ind w:firstLine="709"/>
        <w:jc w:val="both"/>
        <w:rPr>
          <w:rFonts w:ascii="Arial" w:eastAsia="Calibri" w:hAnsi="Arial" w:cs="Arial"/>
          <w:color w:val="000000"/>
          <w:lang w:val="es-ES" w:eastAsia="es-ES"/>
        </w:rPr>
      </w:pPr>
      <w:r w:rsidRPr="009A573B">
        <w:rPr>
          <w:rFonts w:ascii="Arial" w:eastAsia="Calibri" w:hAnsi="Arial" w:cs="Arial"/>
          <w:color w:val="000000"/>
          <w:lang w:val="es-ES" w:eastAsia="es-ES"/>
        </w:rPr>
        <w:t>vi) Documentos tipo para procesos de mínima cuantía de infraestructura de transporte, obligatorios para los procesos cuya invitación pública se haya publicado a partir del 10 de junio de 2020.</w:t>
      </w:r>
    </w:p>
    <w:p w14:paraId="54F5259A" w14:textId="77777777" w:rsidR="009A573B" w:rsidRPr="009A573B" w:rsidRDefault="009A573B" w:rsidP="009A573B">
      <w:pPr>
        <w:spacing w:before="120" w:after="0" w:line="276" w:lineRule="auto"/>
        <w:ind w:firstLine="709"/>
        <w:jc w:val="both"/>
        <w:rPr>
          <w:rFonts w:ascii="Arial" w:eastAsia="Calibri" w:hAnsi="Arial" w:cs="Arial"/>
          <w:color w:val="000000"/>
          <w:lang w:val="es-ES" w:eastAsia="es-ES"/>
        </w:rPr>
      </w:pPr>
      <w:proofErr w:type="spellStart"/>
      <w:r w:rsidRPr="009A573B">
        <w:rPr>
          <w:rFonts w:ascii="Arial" w:eastAsia="Calibri" w:hAnsi="Arial" w:cs="Arial"/>
          <w:color w:val="000000"/>
          <w:lang w:val="es-ES" w:eastAsia="es-ES"/>
        </w:rPr>
        <w:t>vii</w:t>
      </w:r>
      <w:proofErr w:type="spellEnd"/>
      <w:r w:rsidRPr="009A573B">
        <w:rPr>
          <w:rFonts w:ascii="Arial" w:eastAsia="Calibri" w:hAnsi="Arial" w:cs="Arial"/>
          <w:color w:val="000000"/>
          <w:lang w:val="es-ES" w:eastAsia="es-ES"/>
        </w:rPr>
        <w:t>) Documentos tipo para procesos de concurso de méritos para contratar la interventoría de obras públicas de infraestructura de transporte, obligatorios para los procesos cuyo aviso de convocatoria se haya publicado desde el 1 de enero de 2021.</w:t>
      </w:r>
    </w:p>
    <w:p w14:paraId="5BB0556B" w14:textId="77777777" w:rsidR="009A573B" w:rsidRPr="009A573B" w:rsidRDefault="009A573B" w:rsidP="009A573B">
      <w:pPr>
        <w:spacing w:before="120" w:after="0" w:line="276" w:lineRule="auto"/>
        <w:ind w:firstLine="709"/>
        <w:jc w:val="both"/>
        <w:rPr>
          <w:rFonts w:ascii="Arial" w:eastAsia="Calibri" w:hAnsi="Arial" w:cs="Arial"/>
          <w:color w:val="000000"/>
          <w:lang w:val="es-ES" w:eastAsia="es-ES"/>
        </w:rPr>
      </w:pPr>
      <w:proofErr w:type="spellStart"/>
      <w:r w:rsidRPr="009A573B">
        <w:rPr>
          <w:rFonts w:ascii="Arial" w:eastAsia="Calibri" w:hAnsi="Arial" w:cs="Arial"/>
          <w:color w:val="000000"/>
          <w:lang w:val="es-ES" w:eastAsia="es-ES"/>
        </w:rPr>
        <w:t>viii</w:t>
      </w:r>
      <w:proofErr w:type="spellEnd"/>
      <w:r w:rsidRPr="009A573B">
        <w:rPr>
          <w:rFonts w:ascii="Arial" w:eastAsia="Calibri" w:hAnsi="Arial" w:cs="Arial"/>
          <w:color w:val="000000"/>
          <w:lang w:val="es-ES" w:eastAsia="es-ES"/>
        </w:rPr>
        <w:t>) Documentos tipo para procesos de licitación pública para obras de infraestructura de agua potable y saneamiento básico, obligatorios para los procesos cuyo aviso de convocatoria se haya publicado desde el 11 de diciembre de 2020.</w:t>
      </w:r>
    </w:p>
    <w:p w14:paraId="16C9C6DC" w14:textId="77777777" w:rsidR="009A573B" w:rsidRPr="009A573B" w:rsidRDefault="009A573B" w:rsidP="009A573B">
      <w:pPr>
        <w:spacing w:before="120" w:after="0" w:line="276" w:lineRule="auto"/>
        <w:ind w:firstLine="709"/>
        <w:jc w:val="both"/>
        <w:rPr>
          <w:rFonts w:ascii="Arial" w:eastAsia="Calibri" w:hAnsi="Arial" w:cs="Arial"/>
          <w:color w:val="000000"/>
          <w:lang w:val="es-ES" w:eastAsia="es-ES"/>
        </w:rPr>
      </w:pPr>
      <w:proofErr w:type="spellStart"/>
      <w:r w:rsidRPr="009A573B">
        <w:rPr>
          <w:rFonts w:ascii="Arial" w:eastAsia="Calibri" w:hAnsi="Arial" w:cs="Arial"/>
          <w:color w:val="000000"/>
          <w:lang w:val="es-ES" w:eastAsia="es-ES"/>
        </w:rPr>
        <w:t>ix</w:t>
      </w:r>
      <w:proofErr w:type="spellEnd"/>
      <w:r w:rsidRPr="009A573B">
        <w:rPr>
          <w:rFonts w:ascii="Arial" w:eastAsia="Calibri" w:hAnsi="Arial" w:cs="Arial"/>
          <w:color w:val="000000"/>
          <w:lang w:val="es-ES" w:eastAsia="es-ES"/>
        </w:rPr>
        <w:t>)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55DEA95B" w14:textId="77777777" w:rsidR="009A573B" w:rsidRPr="009A573B" w:rsidRDefault="009A573B" w:rsidP="009A573B">
      <w:pPr>
        <w:spacing w:before="120" w:after="0" w:line="276" w:lineRule="auto"/>
        <w:ind w:firstLine="709"/>
        <w:jc w:val="both"/>
        <w:rPr>
          <w:rFonts w:ascii="Arial" w:eastAsia="Calibri" w:hAnsi="Arial" w:cs="Arial"/>
          <w:color w:val="000000"/>
          <w:lang w:val="es-ES" w:eastAsia="es-ES"/>
        </w:rPr>
      </w:pPr>
      <w:r w:rsidRPr="009A573B">
        <w:rPr>
          <w:rFonts w:ascii="Arial" w:eastAsia="Calibri" w:hAnsi="Arial" w:cs="Arial"/>
          <w:color w:val="000000"/>
          <w:lang w:val="es-ES" w:eastAsia="es-ES"/>
        </w:rPr>
        <w:t>x) Documentos tipo para procesos de gestión catastral con enfoque multipropósito que se celebren a través de contratos interadministrativos, a partir del 1 de febrero de 2021.</w:t>
      </w:r>
    </w:p>
    <w:p w14:paraId="5A13F42E" w14:textId="77777777" w:rsidR="009A573B" w:rsidRPr="009A573B" w:rsidRDefault="009A573B" w:rsidP="009A573B">
      <w:pPr>
        <w:spacing w:before="120" w:after="120" w:line="276" w:lineRule="auto"/>
        <w:ind w:firstLine="709"/>
        <w:jc w:val="both"/>
        <w:rPr>
          <w:rFonts w:ascii="Arial" w:eastAsia="Calibri" w:hAnsi="Arial" w:cs="Arial"/>
          <w:color w:val="000000"/>
          <w:lang w:val="es-ES" w:eastAsia="es-ES"/>
        </w:rPr>
      </w:pPr>
      <w:r w:rsidRPr="009A573B">
        <w:rPr>
          <w:rFonts w:ascii="Arial" w:eastAsia="Calibri" w:hAnsi="Arial" w:cs="Arial"/>
          <w:color w:val="000000"/>
          <w:lang w:val="es-ES" w:eastAsia="es-ES"/>
        </w:rPr>
        <w:t>xi) Documentos tipo para procesos de selección de concurso de méritos, para contratar la consultoría de estudios de ingeniería de infraestructura de transporte, para los procesos cuyo aviso de convocatoria se haya publicado desde 9 de agosto de 2021</w:t>
      </w:r>
    </w:p>
    <w:p w14:paraId="4A8B66AC" w14:textId="77777777" w:rsidR="009A573B" w:rsidRPr="009A573B" w:rsidRDefault="009A573B" w:rsidP="009A573B">
      <w:pPr>
        <w:spacing w:after="120" w:line="276" w:lineRule="auto"/>
        <w:ind w:firstLine="708"/>
        <w:jc w:val="both"/>
        <w:rPr>
          <w:rFonts w:ascii="Arial" w:eastAsia="Calibri" w:hAnsi="Arial" w:cs="Arial"/>
          <w:lang w:val="es-ES_tradnl" w:eastAsia="es-ES_tradnl"/>
        </w:rPr>
      </w:pPr>
      <w:proofErr w:type="spellStart"/>
      <w:r w:rsidRPr="009A573B">
        <w:rPr>
          <w:rFonts w:ascii="Arial" w:eastAsia="Calibri" w:hAnsi="Arial" w:cs="Arial"/>
          <w:color w:val="000000"/>
          <w:lang w:val="es-ES" w:eastAsia="es-ES"/>
        </w:rPr>
        <w:t>xii</w:t>
      </w:r>
      <w:proofErr w:type="spellEnd"/>
      <w:r w:rsidRPr="009A573B">
        <w:rPr>
          <w:rFonts w:ascii="Arial" w:eastAsia="Calibri" w:hAnsi="Arial" w:cs="Arial"/>
          <w:color w:val="000000"/>
          <w:lang w:val="es-ES" w:eastAsia="es-ES"/>
        </w:rPr>
        <w:t xml:space="preserve">) Documentos tipo para procesos de licitación de obra pública de infraestructura social, que </w:t>
      </w:r>
      <w:r w:rsidRPr="009A573B">
        <w:rPr>
          <w:rFonts w:ascii="Arial" w:eastAsia="Times New Roman" w:hAnsi="Arial" w:cs="Arial"/>
          <w:lang w:val="es-ES_tradnl" w:eastAsia="es-ES_tradnl"/>
        </w:rPr>
        <w:t>entrarán a regir de acuerdo con los términos establecidos en el artículo 6 de la Resolución 219 de 2021 −modificado por el artículo 1 de la Resolución 336 del 2 de noviembre de 2021−</w:t>
      </w:r>
      <w:r w:rsidRPr="009A573B">
        <w:rPr>
          <w:rFonts w:ascii="Arial" w:eastAsia="Calibri" w:hAnsi="Arial" w:cs="Arial"/>
          <w:lang w:val="es-ES_tradnl" w:eastAsia="es-ES_tradnl"/>
        </w:rPr>
        <w:t>.</w:t>
      </w:r>
    </w:p>
    <w:p w14:paraId="60EEA5C8" w14:textId="77777777" w:rsidR="009A573B" w:rsidRPr="009A573B" w:rsidRDefault="009A573B" w:rsidP="009A573B">
      <w:pPr>
        <w:spacing w:after="120" w:line="276" w:lineRule="auto"/>
        <w:ind w:firstLine="708"/>
        <w:jc w:val="both"/>
        <w:rPr>
          <w:rFonts w:ascii="Arial" w:eastAsia="Calibri" w:hAnsi="Arial" w:cs="Arial"/>
          <w:lang w:val="es-ES_tradnl" w:eastAsia="es-ES_tradnl"/>
        </w:rPr>
      </w:pPr>
      <w:proofErr w:type="spellStart"/>
      <w:r w:rsidRPr="009A573B">
        <w:rPr>
          <w:rFonts w:ascii="Arial" w:eastAsia="Calibri" w:hAnsi="Arial" w:cs="Arial"/>
          <w:color w:val="000000"/>
          <w:lang w:val="es-ES" w:eastAsia="es-ES"/>
        </w:rPr>
        <w:lastRenderedPageBreak/>
        <w:t>xiii</w:t>
      </w:r>
      <w:proofErr w:type="spellEnd"/>
      <w:r w:rsidRPr="009A573B">
        <w:rPr>
          <w:rFonts w:ascii="Arial" w:eastAsia="Calibri" w:hAnsi="Arial" w:cs="Arial"/>
          <w:color w:val="000000"/>
          <w:lang w:val="es-ES" w:eastAsia="es-ES"/>
        </w:rPr>
        <w:t xml:space="preserve">) Documentos tipo complementarios para los procesos de licitación de obra pública de infraestructura social relacionados con el sector educativo, que </w:t>
      </w:r>
      <w:r w:rsidRPr="009A573B">
        <w:rPr>
          <w:rFonts w:ascii="Arial" w:eastAsia="Times New Roman" w:hAnsi="Arial" w:cs="Arial"/>
          <w:lang w:val="es-ES_tradnl" w:eastAsia="es-ES_tradnl"/>
        </w:rPr>
        <w:t>entrarán a regir de acuerdo con los términos establecidos en el artículo 6 de la Resolución 219 de 2021 −modificado por el artículo 1 de la Resolución 336 del 2 de noviembre de 2021−.</w:t>
      </w:r>
    </w:p>
    <w:p w14:paraId="3E5AC691" w14:textId="77777777" w:rsidR="009A573B" w:rsidRPr="009A573B" w:rsidRDefault="009A573B" w:rsidP="009A573B">
      <w:pPr>
        <w:spacing w:after="120" w:line="276" w:lineRule="auto"/>
        <w:ind w:firstLine="708"/>
        <w:jc w:val="both"/>
        <w:rPr>
          <w:rFonts w:ascii="Arial" w:eastAsia="Calibri" w:hAnsi="Arial" w:cs="Arial"/>
          <w:lang w:val="es-ES_tradnl" w:eastAsia="es-ES_tradnl"/>
        </w:rPr>
      </w:pPr>
      <w:proofErr w:type="spellStart"/>
      <w:r w:rsidRPr="009A573B">
        <w:rPr>
          <w:rFonts w:ascii="Arial" w:eastAsia="Calibri" w:hAnsi="Arial" w:cs="Arial"/>
          <w:color w:val="000000"/>
          <w:lang w:val="es-ES" w:eastAsia="es-ES"/>
        </w:rPr>
        <w:t>xiv</w:t>
      </w:r>
      <w:proofErr w:type="spellEnd"/>
      <w:r w:rsidRPr="009A573B">
        <w:rPr>
          <w:rFonts w:ascii="Arial" w:eastAsia="Calibri" w:hAnsi="Arial" w:cs="Arial"/>
          <w:color w:val="000000"/>
          <w:lang w:val="es-ES" w:eastAsia="es-ES"/>
        </w:rPr>
        <w:t xml:space="preserve">) Documentos tipo complementarios para los procesos de licitación de obra pública de infraestructura social relacionados con el sector salud, que entrarán a regir </w:t>
      </w:r>
      <w:r w:rsidRPr="009A573B">
        <w:rPr>
          <w:rFonts w:ascii="Arial" w:eastAsia="Times New Roman" w:hAnsi="Arial" w:cs="Arial"/>
          <w:lang w:val="es-ES_tradnl" w:eastAsia="es-ES_tradnl"/>
        </w:rPr>
        <w:t>de acuerdo con los términos establecidos en el artículo 6 de la Resolución 219 de 2021 −modificado por el artículo 1 de la Resolución 336 del 2 de noviembre de 2021− y en el artículo 4 de la Resolución 392 de 18 de noviembre de 2021</w:t>
      </w:r>
      <w:r w:rsidRPr="009A573B">
        <w:rPr>
          <w:rFonts w:ascii="Arial" w:eastAsia="Calibri" w:hAnsi="Arial" w:cs="Arial"/>
          <w:lang w:val="es-ES_tradnl" w:eastAsia="es-ES_tradnl"/>
        </w:rPr>
        <w:t>.</w:t>
      </w:r>
    </w:p>
    <w:p w14:paraId="3B808B82" w14:textId="77777777" w:rsidR="009A573B" w:rsidRPr="009A573B" w:rsidRDefault="009A573B" w:rsidP="009A573B">
      <w:pPr>
        <w:spacing w:after="120" w:line="276" w:lineRule="auto"/>
        <w:ind w:firstLine="708"/>
        <w:jc w:val="both"/>
        <w:rPr>
          <w:rFonts w:ascii="Arial" w:eastAsia="Calibri" w:hAnsi="Arial" w:cs="Arial"/>
          <w:lang w:val="es-ES_tradnl" w:eastAsia="es-ES_tradnl"/>
        </w:rPr>
      </w:pPr>
      <w:proofErr w:type="spellStart"/>
      <w:r w:rsidRPr="009A573B">
        <w:rPr>
          <w:rFonts w:ascii="Arial" w:eastAsia="Calibri" w:hAnsi="Arial" w:cs="Arial"/>
          <w:lang w:val="es-ES_tradnl" w:eastAsia="es-ES_tradnl"/>
        </w:rPr>
        <w:t>xv</w:t>
      </w:r>
      <w:proofErr w:type="spellEnd"/>
      <w:r w:rsidRPr="009A573B">
        <w:rPr>
          <w:rFonts w:ascii="Arial" w:eastAsia="Calibri" w:hAnsi="Arial" w:cs="Arial"/>
          <w:lang w:val="es-ES_tradnl" w:eastAsia="es-ES_tradnl"/>
        </w:rPr>
        <w:t xml:space="preserve">) </w:t>
      </w:r>
      <w:r w:rsidRPr="009A573B">
        <w:rPr>
          <w:rFonts w:ascii="Arial" w:eastAsia="Calibri" w:hAnsi="Arial" w:cs="Arial"/>
          <w:color w:val="000000"/>
          <w:lang w:val="es-ES" w:eastAsia="es-ES"/>
        </w:rPr>
        <w:t>Documentos tipo complementarios para los procesos de licitación de obra pública de infraestructura social relacionados con el sector cultura, recreación y deporte</w:t>
      </w:r>
      <w:r w:rsidRPr="009A573B">
        <w:rPr>
          <w:rFonts w:ascii="Arial" w:eastAsia="Calibri" w:hAnsi="Arial" w:cs="Arial"/>
          <w:lang w:val="es-ES_tradnl" w:eastAsia="es-ES_tradnl"/>
        </w:rPr>
        <w:t xml:space="preserve">, </w:t>
      </w:r>
      <w:r w:rsidRPr="009A573B">
        <w:rPr>
          <w:rFonts w:ascii="Arial" w:eastAsia="Calibri" w:hAnsi="Arial" w:cs="Arial"/>
          <w:color w:val="000000"/>
          <w:lang w:val="es-ES" w:eastAsia="es-ES"/>
        </w:rPr>
        <w:t xml:space="preserve">que entrarán a regir </w:t>
      </w:r>
      <w:r w:rsidRPr="009A573B">
        <w:rPr>
          <w:rFonts w:ascii="Arial" w:eastAsia="Times New Roman" w:hAnsi="Arial" w:cs="Arial"/>
          <w:lang w:val="es-ES_tradnl" w:eastAsia="es-ES_tradnl"/>
        </w:rPr>
        <w:t>de acuerdo con los términos establecidos en el artículo 4 de la Resolución 454 de 2021</w:t>
      </w:r>
    </w:p>
    <w:p w14:paraId="376F1C5B" w14:textId="5F8D7996" w:rsidR="00953B44" w:rsidRDefault="00953B44" w:rsidP="00F30205">
      <w:pPr>
        <w:shd w:val="clear" w:color="auto" w:fill="FFFFFF"/>
        <w:spacing w:after="0" w:line="276" w:lineRule="auto"/>
        <w:ind w:firstLine="709"/>
        <w:jc w:val="both"/>
        <w:textAlignment w:val="baseline"/>
        <w:rPr>
          <w:rFonts w:ascii="Arial" w:hAnsi="Arial" w:cs="Arial"/>
        </w:rPr>
      </w:pPr>
      <w:r w:rsidRPr="00352354">
        <w:rPr>
          <w:rFonts w:ascii="Arial" w:eastAsia="Calibri" w:hAnsi="Arial" w:cs="Arial"/>
        </w:rPr>
        <w:t xml:space="preserve">De acuerdo con lo expuesto, </w:t>
      </w:r>
      <w:r w:rsidRPr="00352354">
        <w:rPr>
          <w:rFonts w:ascii="Arial" w:eastAsia="Calibri" w:hAnsi="Arial" w:cs="Arial"/>
          <w:color w:val="000000"/>
          <w:bdr w:val="none" w:sz="0" w:space="0" w:color="auto" w:frame="1"/>
        </w:rPr>
        <w:t>los documentos tipo adoptados son obligatorios para las entidades estatales cuyos contratos se rijan por el Estatuto General de la Contratación de la Administración Pública, que adelanten procesos de contratación mediante la modalidad que establecen los documentos tipo para cada sector y teniendo en cuenta el ámbito de aplicación determinado en la Matriz de Experiencia de cada documento tipo.</w:t>
      </w:r>
    </w:p>
    <w:p w14:paraId="0F9C1C85" w14:textId="77777777" w:rsidR="0091408C" w:rsidRDefault="0091408C" w:rsidP="00F30205">
      <w:pPr>
        <w:shd w:val="clear" w:color="auto" w:fill="FFFFFF"/>
        <w:spacing w:after="0" w:line="276" w:lineRule="auto"/>
        <w:ind w:firstLine="709"/>
        <w:jc w:val="both"/>
        <w:textAlignment w:val="baseline"/>
        <w:rPr>
          <w:rFonts w:ascii="Arial" w:eastAsia="Calibri" w:hAnsi="Arial" w:cs="Arial"/>
          <w:color w:val="000000"/>
          <w:bdr w:val="none" w:sz="0" w:space="0" w:color="auto" w:frame="1"/>
        </w:rPr>
      </w:pPr>
    </w:p>
    <w:p w14:paraId="6DFC9B74" w14:textId="77777777" w:rsidR="00BE40E0" w:rsidRPr="009C0CE5" w:rsidRDefault="00BE40E0" w:rsidP="00BE40E0">
      <w:pPr>
        <w:spacing w:after="0" w:line="276" w:lineRule="auto"/>
        <w:jc w:val="both"/>
        <w:rPr>
          <w:rFonts w:ascii="Arial" w:eastAsia="Arial" w:hAnsi="Arial" w:cs="Arial"/>
          <w:b/>
          <w:bCs/>
          <w:color w:val="000000"/>
          <w:szCs w:val="24"/>
          <w:lang w:val="es-ES_tradnl" w:eastAsia="es-ES_tradnl"/>
        </w:rPr>
      </w:pPr>
      <w:r w:rsidRPr="009C0CE5">
        <w:rPr>
          <w:rFonts w:ascii="Arial" w:eastAsia="Arial" w:hAnsi="Arial" w:cs="Arial"/>
          <w:b/>
          <w:bCs/>
          <w:color w:val="000000"/>
          <w:szCs w:val="24"/>
          <w:lang w:val="es-ES_tradnl" w:eastAsia="es-ES_tradnl"/>
        </w:rPr>
        <w:t>2.2. Alcance de la regla de la inalterabilidad de los documentos tipo</w:t>
      </w:r>
    </w:p>
    <w:p w14:paraId="33691F15" w14:textId="77777777" w:rsidR="0091408C" w:rsidRPr="00882484" w:rsidRDefault="0091408C" w:rsidP="0091408C">
      <w:pPr>
        <w:spacing w:after="0" w:line="276" w:lineRule="auto"/>
        <w:jc w:val="both"/>
        <w:rPr>
          <w:rFonts w:ascii="Arial" w:eastAsia="Calibri" w:hAnsi="Arial" w:cs="Arial"/>
          <w:b/>
          <w:bCs/>
          <w:color w:val="000000"/>
          <w:szCs w:val="24"/>
          <w:lang w:eastAsia="en-GB"/>
        </w:rPr>
      </w:pPr>
    </w:p>
    <w:p w14:paraId="62DA49A9" w14:textId="77777777" w:rsidR="0091408C" w:rsidRPr="00882484" w:rsidRDefault="0091408C" w:rsidP="00962E50">
      <w:pPr>
        <w:spacing w:after="0" w:line="276" w:lineRule="auto"/>
        <w:jc w:val="both"/>
        <w:rPr>
          <w:rFonts w:ascii="Arial" w:eastAsia="Calibri" w:hAnsi="Arial" w:cs="Arial"/>
          <w:color w:val="000000"/>
          <w:lang w:val="es-ES_tradnl"/>
        </w:rPr>
      </w:pPr>
      <w:r w:rsidRPr="00882484">
        <w:rPr>
          <w:rFonts w:ascii="Arial" w:eastAsia="Calibri" w:hAnsi="Arial" w:cs="Arial"/>
          <w:color w:val="000000"/>
          <w:lang w:val="es-ES_tradnl"/>
        </w:rPr>
        <w:t>Todas las resoluciones expedidas por la Agencia Nacional de Contratación Pública – Colombia Compra Eficiente, mediante las cuales se han adoptado los documentos tipo, consagran la regla de la inalterabilidad</w:t>
      </w:r>
      <w:r w:rsidRPr="00882484">
        <w:rPr>
          <w:rFonts w:ascii="Arial" w:eastAsia="Calibri" w:hAnsi="Arial" w:cs="Arial"/>
          <w:color w:val="000000"/>
          <w:vertAlign w:val="superscript"/>
          <w:lang w:val="es-ES_tradnl"/>
        </w:rPr>
        <w:footnoteReference w:id="6"/>
      </w:r>
      <w:r w:rsidRPr="00882484">
        <w:rPr>
          <w:rFonts w:ascii="Arial" w:eastAsia="Calibri" w:hAnsi="Arial" w:cs="Arial"/>
          <w:color w:val="000000"/>
          <w:lang w:val="es-ES_tradnl"/>
        </w:rPr>
        <w:t xml:space="preserve">. Esta prohibición consiste en que </w:t>
      </w:r>
      <w:bookmarkStart w:id="5" w:name="_Hlk79403115"/>
      <w:r w:rsidRPr="00882484">
        <w:rPr>
          <w:rFonts w:ascii="Arial" w:eastAsia="Calibri" w:hAnsi="Arial" w:cs="Arial"/>
          <w:color w:val="000000"/>
          <w:lang w:val="es-ES_tradnl"/>
        </w:rPr>
        <w:t xml:space="preserve">las entidades estatales no pueden incluir o modificar en los </w:t>
      </w:r>
      <w:r w:rsidRPr="00882484">
        <w:rPr>
          <w:rFonts w:ascii="Arial" w:eastAsia="Calibri" w:hAnsi="Arial" w:cs="Arial"/>
          <w:i/>
          <w:iCs/>
          <w:color w:val="000000"/>
          <w:lang w:val="es-ES_tradnl"/>
        </w:rPr>
        <w:t>Documentos del Proceso</w:t>
      </w:r>
      <w:r w:rsidRPr="00882484">
        <w:rPr>
          <w:rFonts w:ascii="Arial" w:eastAsia="Calibri" w:hAnsi="Arial" w:cs="Arial"/>
          <w:color w:val="000000"/>
          <w:lang w:val="es-ES_tradnl"/>
        </w:rPr>
        <w:t xml:space="preserve"> las condiciones habilitantes, los factores técnicos y económicos de escogencia y los sistemas de ponderación distintos a los señalados en los documentos tipo</w:t>
      </w:r>
      <w:bookmarkEnd w:id="5"/>
      <w:r w:rsidRPr="00882484">
        <w:rPr>
          <w:rFonts w:ascii="Arial" w:eastAsia="Calibri" w:hAnsi="Arial" w:cs="Arial"/>
          <w:color w:val="000000"/>
          <w:lang w:val="es-ES_tradnl"/>
        </w:rPr>
        <w:t>. En consecuencia, las condiciones establecidas en los documentos tipo son de obligatorio cumplimiento para las entidades sometidas al Estatuto General de Contratación de la Administración Pública que adelanten procesos que deban regirse por su contenido, por lo que no pueden variarse los requisitos fijados en ellos. Por lo tanto, las entidades estatales, al realizar sus procedimientos de selección, solo podrán modificarlos en los aspectos en que los documentos tipo lo permitan.</w:t>
      </w:r>
    </w:p>
    <w:p w14:paraId="18CDA0DD" w14:textId="77777777" w:rsidR="00C80BF8" w:rsidRPr="009C0CE5" w:rsidRDefault="00C80BF8" w:rsidP="00C80BF8">
      <w:pPr>
        <w:spacing w:before="120" w:after="120" w:line="276" w:lineRule="auto"/>
        <w:ind w:firstLine="709"/>
        <w:jc w:val="both"/>
        <w:rPr>
          <w:rFonts w:ascii="Arial" w:eastAsia="Times New Roman" w:hAnsi="Arial" w:cs="Arial"/>
          <w:shd w:val="clear" w:color="auto" w:fill="FFFFFF"/>
          <w:lang w:val="es-ES_tradnl" w:eastAsia="es-ES_tradnl"/>
        </w:rPr>
      </w:pPr>
      <w:r w:rsidRPr="009C0CE5">
        <w:rPr>
          <w:rFonts w:ascii="Arial" w:eastAsia="Times New Roman" w:hAnsi="Arial" w:cs="Arial"/>
          <w:shd w:val="clear" w:color="auto" w:fill="FFFFFF"/>
          <w:lang w:val="es-ES_tradnl" w:eastAsia="es-ES_tradnl"/>
        </w:rPr>
        <w:t xml:space="preserve">El fundamento legal vigente de la regla de la </w:t>
      </w:r>
      <w:r w:rsidRPr="009C0CE5">
        <w:rPr>
          <w:rFonts w:ascii="Arial" w:eastAsia="Times New Roman" w:hAnsi="Arial" w:cs="Arial"/>
          <w:szCs w:val="24"/>
          <w:shd w:val="clear" w:color="auto" w:fill="FFFFFF"/>
          <w:lang w:val="es-ES_tradnl" w:eastAsia="es-ES_tradnl"/>
        </w:rPr>
        <w:t xml:space="preserve">inalterabilidad </w:t>
      </w:r>
      <w:r w:rsidRPr="009C0CE5">
        <w:rPr>
          <w:rFonts w:ascii="Arial" w:eastAsia="Times New Roman" w:hAnsi="Arial" w:cs="Arial"/>
          <w:shd w:val="clear" w:color="auto" w:fill="FFFFFF"/>
          <w:lang w:val="es-ES_tradnl" w:eastAsia="es-ES_tradnl"/>
        </w:rPr>
        <w:t>se encuentra en el artículo 1 de la Ley 2022 de 2020, según el cual «</w:t>
      </w:r>
      <w:r w:rsidRPr="009C0CE5">
        <w:rPr>
          <w:rFonts w:ascii="Arial" w:eastAsia="Times New Roman" w:hAnsi="Arial" w:cs="Arial"/>
          <w:lang w:val="es-ES_tradnl" w:eastAsia="es-ES_tradnl"/>
        </w:rPr>
        <w:t xml:space="preserve">[…] </w:t>
      </w:r>
      <w:r w:rsidRPr="009C0CE5">
        <w:rPr>
          <w:rFonts w:ascii="Arial" w:eastAsia="Times New Roman" w:hAnsi="Arial" w:cs="Arial"/>
          <w:shd w:val="clear" w:color="auto" w:fill="FFFFFF"/>
          <w:lang w:val="es-ES_tradnl" w:eastAsia="es-ES_tradnl"/>
        </w:rPr>
        <w:t>serán de obligatorio cumplimiento en la actividad contractual de todas las entidades sometidas al Estatuto General de Contratación de la Administración Pública»</w:t>
      </w:r>
      <w:r>
        <w:rPr>
          <w:rFonts w:ascii="Arial" w:eastAsia="Times New Roman" w:hAnsi="Arial" w:cs="Arial"/>
          <w:shd w:val="clear" w:color="auto" w:fill="FFFFFF"/>
          <w:lang w:val="es-ES_tradnl" w:eastAsia="es-ES_tradnl"/>
        </w:rPr>
        <w:t>, el cual tenía como antecedente normativo</w:t>
      </w:r>
      <w:r w:rsidRPr="009C0CE5">
        <w:rPr>
          <w:rFonts w:ascii="Arial" w:eastAsia="Times New Roman" w:hAnsi="Arial" w:cs="Arial"/>
          <w:shd w:val="clear" w:color="auto" w:fill="FFFFFF"/>
          <w:lang w:val="es-ES_tradnl" w:eastAsia="es-ES_tradnl"/>
        </w:rPr>
        <w:t xml:space="preserve"> el </w:t>
      </w:r>
      <w:r w:rsidRPr="009C0CE5">
        <w:rPr>
          <w:rFonts w:ascii="Arial" w:eastAsia="Times New Roman" w:hAnsi="Arial" w:cs="Arial"/>
          <w:shd w:val="clear" w:color="auto" w:fill="FFFFFF"/>
          <w:lang w:val="es-ES_tradnl" w:eastAsia="es-ES_tradnl"/>
        </w:rPr>
        <w:lastRenderedPageBreak/>
        <w:t>artículo 4 de la Ley 1882 de 2018. Incluso por vía reglamentaria también quedó consignado en su momento el carácter inmodificable de los pliegos tipo en el artículo 1 de los Decretos 342 de 2019 y 594 de 2020, que adicionaron, respectivamente, los artículos 2.2.1.2.6.1.4. y 2.2.1.2.6.3.4 al Decreto 1082 de 2015.</w:t>
      </w:r>
    </w:p>
    <w:p w14:paraId="23A0ED58" w14:textId="7EBB175E" w:rsidR="00C80BF8" w:rsidRDefault="00C80BF8" w:rsidP="00C80BF8">
      <w:pPr>
        <w:spacing w:after="0" w:line="276" w:lineRule="auto"/>
        <w:ind w:firstLine="709"/>
        <w:jc w:val="both"/>
        <w:rPr>
          <w:rFonts w:ascii="Arial" w:eastAsia="Times New Roman" w:hAnsi="Arial" w:cs="Arial"/>
          <w:shd w:val="clear" w:color="auto" w:fill="FFFFFF"/>
          <w:lang w:val="es-ES_tradnl" w:eastAsia="es-ES_tradnl"/>
        </w:rPr>
      </w:pPr>
      <w:r>
        <w:rPr>
          <w:rFonts w:ascii="Arial" w:eastAsia="Times New Roman" w:hAnsi="Arial" w:cs="Arial"/>
          <w:shd w:val="clear" w:color="auto" w:fill="FFFFFF"/>
          <w:lang w:val="es-ES_tradnl" w:eastAsia="es-ES_tradnl"/>
        </w:rPr>
        <w:t>Por tanto</w:t>
      </w:r>
      <w:r w:rsidRPr="00FE46D7">
        <w:rPr>
          <w:rFonts w:ascii="Arial" w:eastAsia="Times New Roman" w:hAnsi="Arial" w:cs="Arial"/>
          <w:shd w:val="clear" w:color="auto" w:fill="FFFFFF"/>
          <w:lang w:val="es-ES_tradnl" w:eastAsia="es-ES_tradnl"/>
        </w:rPr>
        <w:t xml:space="preserve">, no cabe duda de que está vigente la regla de la inalterabilidad de los documentos tipo. Lo anterior por cuanto las diferentes disposiciones normativas que se han expedido han ratificado dicha regla, como ha sucedido con el artículo 1 de la Ley 2022 de 2020 y con las resoluciones que ha expedido la Agencia Nacional de Contratación Pública – Colombia Compra Eficiente cuando </w:t>
      </w:r>
      <w:r>
        <w:rPr>
          <w:rFonts w:ascii="Arial" w:eastAsia="Times New Roman" w:hAnsi="Arial" w:cs="Arial"/>
          <w:shd w:val="clear" w:color="auto" w:fill="FFFFFF"/>
          <w:lang w:val="es-ES_tradnl" w:eastAsia="es-ES_tradnl"/>
        </w:rPr>
        <w:t>prescribe</w:t>
      </w:r>
      <w:r w:rsidRPr="00FE46D7">
        <w:rPr>
          <w:rFonts w:ascii="Arial" w:eastAsia="Times New Roman" w:hAnsi="Arial" w:cs="Arial"/>
          <w:shd w:val="clear" w:color="auto" w:fill="FFFFFF"/>
          <w:lang w:val="es-ES_tradnl" w:eastAsia="es-ES_tradnl"/>
        </w:rPr>
        <w:t xml:space="preserve"> que «[…] </w:t>
      </w:r>
      <w:r w:rsidRPr="00FE46D7">
        <w:rPr>
          <w:rFonts w:ascii="Arial" w:hAnsi="Arial" w:cs="Arial"/>
        </w:rPr>
        <w:t>las entidades estatales al adelantar sus procedimientos de selección solo podrán modificarlos en los aspectos en que los documentos tipo lo permitan</w:t>
      </w:r>
      <w:r w:rsidRPr="00FE46D7">
        <w:rPr>
          <w:rFonts w:ascii="Arial" w:eastAsia="Times New Roman" w:hAnsi="Arial" w:cs="Arial"/>
          <w:shd w:val="clear" w:color="auto" w:fill="FFFFFF"/>
          <w:lang w:val="es-ES_tradnl" w:eastAsia="es-ES_tradnl"/>
        </w:rPr>
        <w:t xml:space="preserve">». </w:t>
      </w:r>
      <w:r>
        <w:rPr>
          <w:rFonts w:ascii="Arial" w:eastAsia="Times New Roman" w:hAnsi="Arial" w:cs="Arial"/>
          <w:shd w:val="clear" w:color="auto" w:fill="FFFFFF"/>
          <w:lang w:val="es-ES_tradnl" w:eastAsia="es-ES_tradnl"/>
        </w:rPr>
        <w:t>Por tanto, frente a los documentos tipo rige la regla de la inalterabilidad, explicada anteriormente.</w:t>
      </w:r>
    </w:p>
    <w:p w14:paraId="6C5C6A41" w14:textId="77777777" w:rsidR="00C80BF8" w:rsidRPr="004F0480" w:rsidRDefault="00C80BF8" w:rsidP="004D7ADD">
      <w:pPr>
        <w:shd w:val="clear" w:color="auto" w:fill="FFFFFF"/>
        <w:spacing w:after="0" w:line="276" w:lineRule="auto"/>
        <w:jc w:val="both"/>
        <w:textAlignment w:val="baseline"/>
        <w:rPr>
          <w:rFonts w:ascii="Arial" w:eastAsia="Calibri" w:hAnsi="Arial" w:cs="Arial"/>
        </w:rPr>
      </w:pPr>
    </w:p>
    <w:p w14:paraId="65FCDA8C" w14:textId="48CE5E10" w:rsidR="00727F2C" w:rsidRPr="00727F2C" w:rsidRDefault="00727F2C" w:rsidP="00727F2C">
      <w:pPr>
        <w:spacing w:after="0"/>
        <w:jc w:val="both"/>
        <w:rPr>
          <w:rFonts w:ascii="Arial" w:hAnsi="Arial" w:cs="Arial"/>
          <w:b/>
          <w:bCs/>
          <w:lang w:val="es-ES" w:eastAsia="es-CO"/>
        </w:rPr>
      </w:pPr>
      <w:r w:rsidRPr="00727F2C">
        <w:rPr>
          <w:rFonts w:ascii="Arial" w:hAnsi="Arial" w:cs="Arial"/>
          <w:b/>
          <w:bCs/>
          <w:lang w:val="es-ES" w:eastAsia="es-CO"/>
        </w:rPr>
        <w:t xml:space="preserve">2.3.  </w:t>
      </w:r>
      <w:r w:rsidRPr="00727F2C">
        <w:rPr>
          <w:rFonts w:ascii="Arial" w:hAnsi="Arial" w:cs="Arial"/>
          <w:b/>
          <w:bCs/>
          <w:lang w:eastAsia="es-CO"/>
        </w:rPr>
        <w:t>La expedición del Decreto 1860 de 2021</w:t>
      </w:r>
      <w:r w:rsidRPr="00727F2C">
        <w:rPr>
          <w:rFonts w:ascii="Arial" w:eastAsia="Arial" w:hAnsi="Arial" w:cs="Arial"/>
          <w:b/>
          <w:bCs/>
          <w:lang w:val="es-ES" w:eastAsia="es-MX"/>
        </w:rPr>
        <w:t xml:space="preserve"> </w:t>
      </w:r>
      <w:r w:rsidRPr="00727F2C">
        <w:rPr>
          <w:rFonts w:ascii="Arial" w:hAnsi="Arial" w:cs="Arial"/>
          <w:b/>
          <w:bCs/>
          <w:lang w:eastAsia="es-CO"/>
        </w:rPr>
        <w:t>que incorpora una reglamentación detallada de los artículos 31</w:t>
      </w:r>
      <w:r w:rsidR="005A1BFB">
        <w:rPr>
          <w:rFonts w:ascii="Arial" w:hAnsi="Arial" w:cs="Arial"/>
          <w:b/>
          <w:bCs/>
          <w:lang w:eastAsia="es-CO"/>
        </w:rPr>
        <w:t xml:space="preserve"> y </w:t>
      </w:r>
      <w:r w:rsidRPr="00727F2C">
        <w:rPr>
          <w:rFonts w:ascii="Arial" w:hAnsi="Arial" w:cs="Arial"/>
          <w:b/>
          <w:bCs/>
          <w:lang w:eastAsia="es-CO"/>
        </w:rPr>
        <w:t>32</w:t>
      </w:r>
      <w:r w:rsidR="005A1BFB">
        <w:rPr>
          <w:rFonts w:ascii="Arial" w:hAnsi="Arial" w:cs="Arial"/>
          <w:b/>
          <w:bCs/>
          <w:lang w:eastAsia="es-CO"/>
        </w:rPr>
        <w:t xml:space="preserve"> de la </w:t>
      </w:r>
      <w:r w:rsidRPr="00727F2C">
        <w:rPr>
          <w:rFonts w:ascii="Arial" w:hAnsi="Arial" w:cs="Arial"/>
          <w:b/>
          <w:bCs/>
          <w:lang w:eastAsia="es-CO"/>
        </w:rPr>
        <w:t>Ley 2069 de 2020</w:t>
      </w:r>
    </w:p>
    <w:p w14:paraId="3059245F" w14:textId="77777777" w:rsidR="00727F2C" w:rsidRPr="00727F2C" w:rsidRDefault="00727F2C" w:rsidP="00727F2C">
      <w:pPr>
        <w:spacing w:after="0" w:line="276" w:lineRule="auto"/>
        <w:ind w:right="51"/>
        <w:jc w:val="both"/>
        <w:rPr>
          <w:rFonts w:ascii="Arial" w:eastAsia="Arial" w:hAnsi="Arial" w:cs="Arial"/>
          <w:color w:val="000000" w:themeColor="text1"/>
          <w:lang w:val="es-ES" w:eastAsia="es-CO"/>
        </w:rPr>
      </w:pPr>
    </w:p>
    <w:p w14:paraId="66D51F7C" w14:textId="1584265F" w:rsidR="00727F2C" w:rsidRPr="00727F2C" w:rsidRDefault="00727F2C" w:rsidP="0039602E">
      <w:pPr>
        <w:spacing w:after="120" w:line="276" w:lineRule="auto"/>
        <w:jc w:val="both"/>
        <w:rPr>
          <w:rFonts w:ascii="Arial" w:eastAsia="Arial" w:hAnsi="Arial" w:cs="Arial"/>
          <w:bCs/>
          <w:szCs w:val="24"/>
          <w:lang w:val="es-ES" w:eastAsia="es-CO"/>
        </w:rPr>
      </w:pPr>
      <w:r w:rsidRPr="00727F2C">
        <w:rPr>
          <w:rFonts w:ascii="Arial" w:eastAsia="Arial" w:hAnsi="Arial" w:cs="Arial"/>
          <w:szCs w:val="24"/>
          <w:lang w:val="es-ES" w:eastAsia="es-CO"/>
        </w:rPr>
        <w:t>El Congreso de la República</w:t>
      </w:r>
      <w:r w:rsidRPr="00727F2C">
        <w:rPr>
          <w:rFonts w:ascii="Arial" w:eastAsia="Arial" w:hAnsi="Arial" w:cs="Arial"/>
          <w:szCs w:val="24"/>
          <w:lang w:eastAsia="es-MX"/>
        </w:rPr>
        <w:t xml:space="preserve"> </w:t>
      </w:r>
      <w:r w:rsidRPr="00727F2C">
        <w:rPr>
          <w:rFonts w:ascii="Arial" w:eastAsia="Arial" w:hAnsi="Arial" w:cs="Arial"/>
          <w:szCs w:val="24"/>
          <w:lang w:val="es-ES" w:eastAsia="es-CO"/>
        </w:rPr>
        <w:t>expidió la Ley 2069 d</w:t>
      </w:r>
      <w:r w:rsidRPr="00727F2C">
        <w:rPr>
          <w:rFonts w:ascii="Arial" w:eastAsia="Arial" w:hAnsi="Arial" w:cs="Arial"/>
          <w:szCs w:val="24"/>
          <w:lang w:eastAsia="es-CO"/>
        </w:rPr>
        <w:t>el 31 de diciembre de 2020,</w:t>
      </w:r>
      <w:r w:rsidRPr="00727F2C">
        <w:rPr>
          <w:rFonts w:ascii="Arial" w:eastAsia="Arial" w:hAnsi="Arial" w:cs="Arial"/>
          <w:szCs w:val="24"/>
          <w:lang w:val="es-ES" w:eastAsia="es-CO"/>
        </w:rPr>
        <w:t xml:space="preserve"> </w:t>
      </w:r>
      <w:r w:rsidR="00353669">
        <w:rPr>
          <w:rFonts w:ascii="Arial" w:eastAsia="Arial" w:hAnsi="Arial" w:cs="Arial"/>
          <w:szCs w:val="24"/>
          <w:lang w:val="es-ES" w:eastAsia="es-CO"/>
        </w:rPr>
        <w:t>«</w:t>
      </w:r>
      <w:r w:rsidRPr="00727F2C">
        <w:rPr>
          <w:rFonts w:ascii="Arial" w:eastAsia="Arial" w:hAnsi="Arial" w:cs="Arial"/>
          <w:szCs w:val="24"/>
          <w:lang w:val="es-ES" w:eastAsia="es-CO"/>
        </w:rPr>
        <w:t>Por medio de la cual se impulsa el emprendimiento en Colombia</w:t>
      </w:r>
      <w:r w:rsidR="00353669">
        <w:rPr>
          <w:rFonts w:ascii="Arial" w:eastAsia="Arial" w:hAnsi="Arial" w:cs="Arial"/>
          <w:szCs w:val="24"/>
          <w:lang w:val="es-ES" w:eastAsia="es-CO"/>
        </w:rPr>
        <w:t>»</w:t>
      </w:r>
      <w:r w:rsidRPr="00727F2C">
        <w:rPr>
          <w:rFonts w:ascii="Arial" w:eastAsia="Arial" w:hAnsi="Arial" w:cs="Arial"/>
          <w:szCs w:val="24"/>
          <w:lang w:val="es-ES" w:eastAsia="es-CO"/>
        </w:rPr>
        <w:t xml:space="preserve">, </w:t>
      </w:r>
      <w:r w:rsidR="00EA2C90">
        <w:rPr>
          <w:rFonts w:ascii="Arial" w:eastAsia="Arial" w:hAnsi="Arial" w:cs="Arial"/>
          <w:szCs w:val="24"/>
          <w:lang w:val="es-ES" w:eastAsia="es-CO"/>
        </w:rPr>
        <w:t xml:space="preserve">en esta se </w:t>
      </w:r>
      <w:r w:rsidRPr="00727F2C">
        <w:rPr>
          <w:rFonts w:ascii="Arial" w:eastAsia="Arial" w:hAnsi="Arial" w:cs="Arial"/>
          <w:szCs w:val="24"/>
          <w:lang w:val="es-ES" w:eastAsia="es-CO"/>
        </w:rPr>
        <w:t xml:space="preserve">establece un marco regulatorio que propicia el emprendimiento, el crecimiento, la consolidación y la sostenibilidad de las empresas, con el fin de aumentar el bienestar social y generar equidad. Concretamente, </w:t>
      </w:r>
      <w:r w:rsidRPr="00727F2C">
        <w:rPr>
          <w:rFonts w:ascii="Arial" w:eastAsia="Arial" w:hAnsi="Arial" w:cs="Arial"/>
          <w:bCs/>
          <w:szCs w:val="24"/>
          <w:lang w:val="es-ES" w:eastAsia="es-CO"/>
        </w:rPr>
        <w:t xml:space="preserve">el «Capítulo III- Compras públicas» de la Ley 2069 de 2020 </w:t>
      </w:r>
      <w:r w:rsidRPr="00727F2C">
        <w:rPr>
          <w:rFonts w:ascii="Arial" w:eastAsia="Times New Roman" w:hAnsi="Arial" w:cs="Arial"/>
          <w:szCs w:val="24"/>
          <w:lang w:eastAsia="es-MX"/>
        </w:rPr>
        <w:t>–artículos 3</w:t>
      </w:r>
      <w:r w:rsidR="00AB3EA0">
        <w:rPr>
          <w:rFonts w:ascii="Arial" w:eastAsia="Times New Roman" w:hAnsi="Arial" w:cs="Arial"/>
          <w:szCs w:val="24"/>
          <w:lang w:eastAsia="es-MX"/>
        </w:rPr>
        <w:t>1 y 32</w:t>
      </w:r>
      <w:r w:rsidR="003B4639">
        <w:rPr>
          <w:rFonts w:ascii="Arial" w:eastAsia="Times New Roman" w:hAnsi="Arial" w:cs="Arial"/>
          <w:szCs w:val="24"/>
          <w:lang w:eastAsia="es-MX"/>
        </w:rPr>
        <w:t>−</w:t>
      </w:r>
      <w:r w:rsidR="00AB3EA0">
        <w:rPr>
          <w:rFonts w:ascii="Arial" w:eastAsia="Times New Roman" w:hAnsi="Arial" w:cs="Arial"/>
          <w:szCs w:val="24"/>
          <w:lang w:eastAsia="es-MX"/>
        </w:rPr>
        <w:t xml:space="preserve"> </w:t>
      </w:r>
      <w:r w:rsidRPr="00727F2C">
        <w:rPr>
          <w:rFonts w:ascii="Arial" w:eastAsia="Times New Roman" w:hAnsi="Arial" w:cs="Arial"/>
          <w:szCs w:val="24"/>
          <w:lang w:eastAsia="es-MX"/>
        </w:rPr>
        <w:t>contiene</w:t>
      </w:r>
      <w:r w:rsidR="00666AF1">
        <w:rPr>
          <w:rFonts w:ascii="Arial" w:eastAsia="Times New Roman" w:hAnsi="Arial" w:cs="Arial"/>
          <w:szCs w:val="24"/>
          <w:lang w:eastAsia="es-MX"/>
        </w:rPr>
        <w:t>n</w:t>
      </w:r>
      <w:r w:rsidRPr="00727F2C">
        <w:rPr>
          <w:rFonts w:ascii="Arial" w:eastAsia="Times New Roman" w:hAnsi="Arial" w:cs="Arial"/>
          <w:szCs w:val="24"/>
          <w:lang w:eastAsia="es-MX"/>
        </w:rPr>
        <w:t xml:space="preserve"> normas que modifican</w:t>
      </w:r>
      <w:r w:rsidRPr="00727F2C">
        <w:rPr>
          <w:rFonts w:ascii="Arial" w:eastAsia="Times New Roman" w:hAnsi="Arial" w:cs="Arial"/>
          <w:spacing w:val="1"/>
          <w:szCs w:val="24"/>
          <w:lang w:eastAsia="es-MX"/>
        </w:rPr>
        <w:t xml:space="preserve"> </w:t>
      </w:r>
      <w:r w:rsidRPr="00727F2C">
        <w:rPr>
          <w:rFonts w:ascii="Arial" w:eastAsia="Times New Roman" w:hAnsi="Arial" w:cs="Arial"/>
          <w:szCs w:val="24"/>
          <w:lang w:eastAsia="es-MX"/>
        </w:rPr>
        <w:t>algunos</w:t>
      </w:r>
      <w:r w:rsidRPr="00727F2C">
        <w:rPr>
          <w:rFonts w:ascii="Arial" w:eastAsia="Times New Roman" w:hAnsi="Arial" w:cs="Arial"/>
          <w:spacing w:val="1"/>
          <w:szCs w:val="24"/>
          <w:lang w:eastAsia="es-MX"/>
        </w:rPr>
        <w:t xml:space="preserve"> </w:t>
      </w:r>
      <w:r w:rsidRPr="00727F2C">
        <w:rPr>
          <w:rFonts w:ascii="Arial" w:eastAsia="Times New Roman" w:hAnsi="Arial" w:cs="Arial"/>
          <w:szCs w:val="24"/>
          <w:lang w:eastAsia="es-MX"/>
        </w:rPr>
        <w:t>aspectos</w:t>
      </w:r>
      <w:r w:rsidRPr="00727F2C">
        <w:rPr>
          <w:rFonts w:ascii="Arial" w:eastAsia="Times New Roman" w:hAnsi="Arial" w:cs="Arial"/>
          <w:spacing w:val="1"/>
          <w:szCs w:val="24"/>
          <w:lang w:eastAsia="es-MX"/>
        </w:rPr>
        <w:t xml:space="preserve"> </w:t>
      </w:r>
      <w:r w:rsidRPr="00727F2C">
        <w:rPr>
          <w:rFonts w:ascii="Arial" w:eastAsia="Times New Roman" w:hAnsi="Arial" w:cs="Arial"/>
          <w:szCs w:val="24"/>
          <w:lang w:eastAsia="es-MX"/>
        </w:rPr>
        <w:t>de</w:t>
      </w:r>
      <w:r w:rsidRPr="00727F2C">
        <w:rPr>
          <w:rFonts w:ascii="Arial" w:eastAsia="Times New Roman" w:hAnsi="Arial" w:cs="Arial"/>
          <w:spacing w:val="1"/>
          <w:szCs w:val="24"/>
          <w:lang w:eastAsia="es-MX"/>
        </w:rPr>
        <w:t xml:space="preserve"> </w:t>
      </w:r>
      <w:r w:rsidRPr="00727F2C">
        <w:rPr>
          <w:rFonts w:ascii="Arial" w:eastAsia="Times New Roman" w:hAnsi="Arial" w:cs="Arial"/>
          <w:szCs w:val="24"/>
          <w:lang w:eastAsia="es-MX"/>
        </w:rPr>
        <w:t>la</w:t>
      </w:r>
      <w:r w:rsidRPr="00727F2C">
        <w:rPr>
          <w:rFonts w:ascii="Arial" w:eastAsia="Times New Roman" w:hAnsi="Arial" w:cs="Arial"/>
          <w:spacing w:val="1"/>
          <w:szCs w:val="24"/>
          <w:lang w:eastAsia="es-MX"/>
        </w:rPr>
        <w:t xml:space="preserve"> </w:t>
      </w:r>
      <w:r w:rsidRPr="00727F2C">
        <w:rPr>
          <w:rFonts w:ascii="Arial" w:eastAsia="Times New Roman" w:hAnsi="Arial" w:cs="Arial"/>
          <w:szCs w:val="24"/>
          <w:lang w:eastAsia="es-MX"/>
        </w:rPr>
        <w:t>contratación</w:t>
      </w:r>
      <w:r w:rsidRPr="00727F2C">
        <w:rPr>
          <w:rFonts w:ascii="Arial" w:eastAsia="Times New Roman" w:hAnsi="Arial" w:cs="Arial"/>
          <w:spacing w:val="1"/>
          <w:szCs w:val="24"/>
          <w:lang w:eastAsia="es-MX"/>
        </w:rPr>
        <w:t xml:space="preserve"> </w:t>
      </w:r>
      <w:r w:rsidRPr="00727F2C">
        <w:rPr>
          <w:rFonts w:ascii="Arial" w:eastAsia="Times New Roman" w:hAnsi="Arial" w:cs="Arial"/>
          <w:szCs w:val="24"/>
          <w:lang w:eastAsia="es-MX"/>
        </w:rPr>
        <w:t>estatal</w:t>
      </w:r>
      <w:r w:rsidRPr="00727F2C">
        <w:rPr>
          <w:rFonts w:ascii="Arial" w:eastAsia="Times New Roman" w:hAnsi="Arial" w:cs="Arial"/>
          <w:spacing w:val="1"/>
          <w:szCs w:val="24"/>
          <w:lang w:eastAsia="es-MX"/>
        </w:rPr>
        <w:t xml:space="preserve"> </w:t>
      </w:r>
      <w:r w:rsidRPr="00727F2C">
        <w:rPr>
          <w:rFonts w:ascii="Arial" w:eastAsia="Times New Roman" w:hAnsi="Arial" w:cs="Arial"/>
          <w:szCs w:val="24"/>
          <w:lang w:eastAsia="es-MX"/>
        </w:rPr>
        <w:t>para</w:t>
      </w:r>
      <w:r w:rsidRPr="00727F2C">
        <w:rPr>
          <w:rFonts w:ascii="Arial" w:eastAsia="Times New Roman" w:hAnsi="Arial" w:cs="Arial"/>
          <w:spacing w:val="1"/>
          <w:szCs w:val="24"/>
          <w:lang w:eastAsia="es-MX"/>
        </w:rPr>
        <w:t xml:space="preserve"> </w:t>
      </w:r>
      <w:r w:rsidRPr="00727F2C">
        <w:rPr>
          <w:rFonts w:ascii="Arial" w:eastAsia="Times New Roman" w:hAnsi="Arial" w:cs="Arial"/>
          <w:szCs w:val="24"/>
          <w:lang w:eastAsia="es-MX"/>
        </w:rPr>
        <w:t>promover</w:t>
      </w:r>
      <w:r w:rsidRPr="00727F2C">
        <w:rPr>
          <w:rFonts w:ascii="Arial" w:eastAsia="Times New Roman" w:hAnsi="Arial" w:cs="Arial"/>
          <w:spacing w:val="1"/>
          <w:szCs w:val="24"/>
          <w:lang w:eastAsia="es-MX"/>
        </w:rPr>
        <w:t xml:space="preserve"> </w:t>
      </w:r>
      <w:r w:rsidRPr="00727F2C">
        <w:rPr>
          <w:rFonts w:ascii="Arial" w:eastAsia="Times New Roman" w:hAnsi="Arial" w:cs="Arial"/>
          <w:szCs w:val="24"/>
          <w:lang w:eastAsia="es-MX"/>
        </w:rPr>
        <w:t>el</w:t>
      </w:r>
      <w:r w:rsidRPr="00727F2C">
        <w:rPr>
          <w:rFonts w:ascii="Arial" w:eastAsia="Times New Roman" w:hAnsi="Arial" w:cs="Arial"/>
          <w:spacing w:val="1"/>
          <w:szCs w:val="24"/>
          <w:lang w:eastAsia="es-MX"/>
        </w:rPr>
        <w:t xml:space="preserve"> </w:t>
      </w:r>
      <w:r w:rsidRPr="00727F2C">
        <w:rPr>
          <w:rFonts w:ascii="Arial" w:eastAsia="Times New Roman" w:hAnsi="Arial" w:cs="Arial"/>
          <w:szCs w:val="24"/>
          <w:lang w:eastAsia="es-MX"/>
        </w:rPr>
        <w:t>emprendimiento,</w:t>
      </w:r>
      <w:r w:rsidR="00CC3DD3">
        <w:rPr>
          <w:rFonts w:ascii="Arial" w:eastAsia="Times New Roman" w:hAnsi="Arial" w:cs="Arial"/>
          <w:szCs w:val="24"/>
          <w:lang w:eastAsia="es-MX"/>
        </w:rPr>
        <w:t xml:space="preserve"> </w:t>
      </w:r>
      <w:r w:rsidR="00666AF1">
        <w:rPr>
          <w:rFonts w:ascii="Arial" w:eastAsia="Times New Roman" w:hAnsi="Arial" w:cs="Arial"/>
          <w:szCs w:val="24"/>
          <w:lang w:eastAsia="es-MX"/>
        </w:rPr>
        <w:t>en su orden disponen de</w:t>
      </w:r>
      <w:r w:rsidRPr="00727F2C">
        <w:rPr>
          <w:rFonts w:ascii="Arial" w:eastAsia="Times New Roman" w:hAnsi="Arial" w:cs="Arial"/>
          <w:szCs w:val="24"/>
          <w:lang w:eastAsia="es-MX"/>
        </w:rPr>
        <w:t>:</w:t>
      </w:r>
      <w:r w:rsidRPr="00727F2C">
        <w:rPr>
          <w:rFonts w:ascii="Arial" w:eastAsia="Arial" w:hAnsi="Arial" w:cs="Arial"/>
          <w:bCs/>
          <w:szCs w:val="24"/>
          <w:lang w:eastAsia="es-CO"/>
        </w:rPr>
        <w:t xml:space="preserve"> i) criterios diferenciales para las Mipyme en el sistema de compras públicas</w:t>
      </w:r>
      <w:r w:rsidR="00CC3DD3">
        <w:rPr>
          <w:rFonts w:ascii="Arial" w:eastAsia="Arial" w:hAnsi="Arial" w:cs="Arial"/>
          <w:bCs/>
          <w:szCs w:val="24"/>
          <w:lang w:eastAsia="es-CO"/>
        </w:rPr>
        <w:t xml:space="preserve"> y</w:t>
      </w:r>
      <w:r w:rsidRPr="00727F2C">
        <w:rPr>
          <w:rFonts w:ascii="Arial" w:eastAsia="Arial" w:hAnsi="Arial" w:cs="Arial"/>
          <w:bCs/>
          <w:szCs w:val="24"/>
          <w:lang w:eastAsia="es-CO"/>
        </w:rPr>
        <w:t xml:space="preserve"> </w:t>
      </w:r>
      <w:proofErr w:type="spellStart"/>
      <w:r w:rsidRPr="00727F2C">
        <w:rPr>
          <w:rFonts w:ascii="Arial" w:eastAsia="Arial" w:hAnsi="Arial" w:cs="Arial"/>
          <w:bCs/>
          <w:szCs w:val="24"/>
          <w:lang w:eastAsia="es-CO"/>
        </w:rPr>
        <w:t>ii</w:t>
      </w:r>
      <w:proofErr w:type="spellEnd"/>
      <w:r w:rsidRPr="00727F2C">
        <w:rPr>
          <w:rFonts w:ascii="Arial" w:eastAsia="Arial" w:hAnsi="Arial" w:cs="Arial"/>
          <w:bCs/>
          <w:szCs w:val="24"/>
          <w:lang w:eastAsia="es-CO"/>
        </w:rPr>
        <w:t>) criterios diferenciales para los emprendimientos y empresas de mujeres en el sistema de compras públicas</w:t>
      </w:r>
      <w:r w:rsidR="00CC3DD3">
        <w:rPr>
          <w:rFonts w:ascii="Arial" w:eastAsia="Arial" w:hAnsi="Arial" w:cs="Arial"/>
          <w:bCs/>
          <w:szCs w:val="24"/>
          <w:lang w:eastAsia="es-CO"/>
        </w:rPr>
        <w:t xml:space="preserve">. </w:t>
      </w:r>
    </w:p>
    <w:p w14:paraId="58BB4564" w14:textId="0F9D6F42" w:rsidR="00727F2C" w:rsidRPr="00727F2C" w:rsidRDefault="00727F2C" w:rsidP="006B6658">
      <w:pPr>
        <w:spacing w:after="120" w:line="276" w:lineRule="auto"/>
        <w:ind w:firstLine="708"/>
        <w:jc w:val="both"/>
        <w:rPr>
          <w:rFonts w:ascii="Arial" w:eastAsia="Arial" w:hAnsi="Arial" w:cs="Arial"/>
          <w:szCs w:val="24"/>
          <w:lang w:eastAsia="es-CO"/>
        </w:rPr>
      </w:pPr>
      <w:r w:rsidRPr="00727F2C">
        <w:rPr>
          <w:rFonts w:ascii="Arial" w:eastAsia="Arial" w:hAnsi="Arial" w:cs="Arial"/>
          <w:szCs w:val="24"/>
          <w:lang w:val="es-ES" w:eastAsia="es-CO"/>
        </w:rPr>
        <w:t>De esta forma, el artículo 31 de la Ley 2069 de 2020</w:t>
      </w:r>
      <w:r w:rsidRPr="00727F2C">
        <w:rPr>
          <w:rFonts w:ascii="Arial" w:eastAsia="Arial" w:hAnsi="Arial" w:cs="Arial"/>
          <w:szCs w:val="24"/>
          <w:lang w:eastAsia="es-CO"/>
        </w:rPr>
        <w:t xml:space="preserve"> </w:t>
      </w:r>
      <w:r w:rsidRPr="00727F2C">
        <w:rPr>
          <w:rFonts w:ascii="Arial" w:eastAsia="Arial" w:hAnsi="Arial" w:cs="Arial"/>
          <w:bCs/>
          <w:szCs w:val="24"/>
          <w:lang w:val="es-MX" w:eastAsia="es-CO"/>
        </w:rPr>
        <w:t xml:space="preserve">introduce criterios diferenciales para el acceso de las Mipyme al sistema de compras y contratación pública. Para estos efectos, el inciso primero dispone que «Las Entidades Estatales de acuerdo con el análisis de Sector </w:t>
      </w:r>
      <w:bookmarkStart w:id="6" w:name="_Hlk63767562"/>
      <w:r w:rsidRPr="00727F2C">
        <w:rPr>
          <w:rFonts w:ascii="Arial" w:eastAsia="Arial" w:hAnsi="Arial" w:cs="Arial"/>
          <w:bCs/>
          <w:szCs w:val="24"/>
          <w:lang w:val="es-MX" w:eastAsia="es-CO"/>
        </w:rPr>
        <w:t>podrán incluir, en los Documentos del Proceso, requisitos diferenciales y puntajes adicionales</w:t>
      </w:r>
      <w:bookmarkEnd w:id="6"/>
      <w:r w:rsidRPr="00727F2C">
        <w:rPr>
          <w:rFonts w:ascii="Arial" w:eastAsia="Arial" w:hAnsi="Arial" w:cs="Arial"/>
          <w:bCs/>
          <w:szCs w:val="24"/>
          <w:lang w:val="es-MX" w:eastAsia="es-CO"/>
        </w:rPr>
        <w:t xml:space="preserve">, en función del tamaño empresarial para la promoción del acceso de las MIPYMES al mercado de Compras Públicas». Esto significa que, la aplicación de los criterios diferenciales, los cuales incluyen tanto los requisitos diferenciales como los puntajes adicionales, depende de las conclusiones del estudio del sector. Esta norma </w:t>
      </w:r>
      <w:r w:rsidRPr="00727F2C">
        <w:rPr>
          <w:rFonts w:ascii="Arial" w:eastAsia="Arial" w:hAnsi="Arial" w:cs="Arial"/>
          <w:szCs w:val="24"/>
          <w:lang w:eastAsia="es-CO"/>
        </w:rPr>
        <w:t>dispone que el Gobierno Nacional reglamentará la definición de los criterios diferenciales</w:t>
      </w:r>
      <w:r w:rsidRPr="00727F2C">
        <w:rPr>
          <w:rFonts w:ascii="Arial" w:eastAsia="Arial" w:hAnsi="Arial" w:cs="Arial"/>
          <w:szCs w:val="24"/>
          <w:lang w:val="es-ES" w:eastAsia="es-CO"/>
        </w:rPr>
        <w:t xml:space="preserve"> para promover y facilitar el acceso de las Mipyme al mercado de compras públicas</w:t>
      </w:r>
      <w:r w:rsidRPr="00727F2C">
        <w:rPr>
          <w:rFonts w:ascii="Arial" w:eastAsia="Arial" w:hAnsi="Arial" w:cs="Arial"/>
          <w:szCs w:val="24"/>
          <w:lang w:eastAsia="es-CO"/>
        </w:rPr>
        <w:t xml:space="preserve">, estableciendo reglas objetivas para su implementación, las cuales priorizarán la contratación de producción nacional, sin perjuicio de los compromisos comerciales adquiridos con otros Estados. </w:t>
      </w:r>
    </w:p>
    <w:p w14:paraId="7F8C1BAB" w14:textId="69A7F660" w:rsidR="00727F2C" w:rsidRPr="00727F2C" w:rsidRDefault="00AB4248" w:rsidP="006B6658">
      <w:pPr>
        <w:spacing w:after="120" w:line="276" w:lineRule="auto"/>
        <w:ind w:firstLine="708"/>
        <w:jc w:val="both"/>
        <w:rPr>
          <w:rFonts w:ascii="Arial" w:eastAsia="Arial" w:hAnsi="Arial" w:cs="Arial"/>
          <w:bCs/>
          <w:szCs w:val="24"/>
          <w:lang w:val="es-MX" w:eastAsia="es-CO"/>
        </w:rPr>
      </w:pPr>
      <w:r>
        <w:rPr>
          <w:rFonts w:ascii="Arial" w:eastAsia="Arial" w:hAnsi="Arial" w:cs="Arial"/>
          <w:szCs w:val="24"/>
          <w:lang w:eastAsia="es-CO"/>
        </w:rPr>
        <w:t>Por su parte, e</w:t>
      </w:r>
      <w:r w:rsidR="00727F2C" w:rsidRPr="00727F2C">
        <w:rPr>
          <w:rFonts w:ascii="Arial" w:eastAsia="Arial" w:hAnsi="Arial" w:cs="Arial"/>
          <w:szCs w:val="24"/>
          <w:lang w:eastAsia="es-CO"/>
        </w:rPr>
        <w:t xml:space="preserve">l artículo 32, de manera análoga a los dispuesto en el artículo anterior, </w:t>
      </w:r>
      <w:r w:rsidR="00727F2C" w:rsidRPr="00727F2C">
        <w:rPr>
          <w:rFonts w:ascii="Arial" w:eastAsia="Times New Roman" w:hAnsi="Arial" w:cs="Arial"/>
          <w:szCs w:val="24"/>
          <w:lang w:eastAsia="es-MX"/>
        </w:rPr>
        <w:t xml:space="preserve">regula criterios diferenciales para los </w:t>
      </w:r>
      <w:r w:rsidR="009A573B">
        <w:rPr>
          <w:rFonts w:ascii="Arial" w:eastAsia="Times New Roman" w:hAnsi="Arial" w:cs="Arial"/>
          <w:szCs w:val="24"/>
          <w:lang w:eastAsia="es-MX"/>
        </w:rPr>
        <w:t>«</w:t>
      </w:r>
      <w:r w:rsidR="00727F2C" w:rsidRPr="00727F2C">
        <w:rPr>
          <w:rFonts w:ascii="Arial" w:eastAsia="Times New Roman" w:hAnsi="Arial" w:cs="Arial"/>
          <w:szCs w:val="24"/>
          <w:lang w:eastAsia="es-MX"/>
        </w:rPr>
        <w:t>emprendimientos y empresas de mujeres</w:t>
      </w:r>
      <w:r w:rsidR="009A573B">
        <w:rPr>
          <w:rFonts w:ascii="Arial" w:eastAsia="Times New Roman" w:hAnsi="Arial" w:cs="Arial"/>
          <w:szCs w:val="24"/>
          <w:lang w:eastAsia="es-MX"/>
        </w:rPr>
        <w:t>»</w:t>
      </w:r>
      <w:r w:rsidR="00727F2C" w:rsidRPr="00727F2C">
        <w:rPr>
          <w:rFonts w:ascii="Arial" w:eastAsia="Times New Roman" w:hAnsi="Arial" w:cs="Arial"/>
          <w:szCs w:val="24"/>
          <w:lang w:eastAsia="es-MX"/>
        </w:rPr>
        <w:t xml:space="preserve"> en el sistema de compras y contratación pública y establece la necesidad de reglamentación de </w:t>
      </w:r>
      <w:r w:rsidR="00727F2C" w:rsidRPr="00727F2C">
        <w:rPr>
          <w:rFonts w:ascii="Arial" w:eastAsia="Times New Roman" w:hAnsi="Arial" w:cs="Arial"/>
          <w:szCs w:val="24"/>
          <w:lang w:eastAsia="es-MX"/>
        </w:rPr>
        <w:lastRenderedPageBreak/>
        <w:t xml:space="preserve">la definición de </w:t>
      </w:r>
      <w:r w:rsidR="009A573B">
        <w:rPr>
          <w:rFonts w:ascii="Arial" w:eastAsia="Times New Roman" w:hAnsi="Arial" w:cs="Arial"/>
          <w:szCs w:val="24"/>
          <w:lang w:eastAsia="es-MX"/>
        </w:rPr>
        <w:t>«</w:t>
      </w:r>
      <w:r w:rsidR="00727F2C" w:rsidRPr="00727F2C">
        <w:rPr>
          <w:rFonts w:ascii="Arial" w:eastAsia="Times New Roman" w:hAnsi="Arial" w:cs="Arial"/>
          <w:szCs w:val="24"/>
          <w:lang w:eastAsia="es-MX"/>
        </w:rPr>
        <w:t>emprendimientos y empresas de mujeres</w:t>
      </w:r>
      <w:r w:rsidR="009A573B">
        <w:rPr>
          <w:rFonts w:ascii="Arial" w:eastAsia="Times New Roman" w:hAnsi="Arial" w:cs="Arial"/>
          <w:szCs w:val="24"/>
          <w:lang w:eastAsia="es-MX"/>
        </w:rPr>
        <w:t>»</w:t>
      </w:r>
      <w:r w:rsidR="00727F2C" w:rsidRPr="00727F2C">
        <w:rPr>
          <w:rFonts w:ascii="Arial" w:eastAsia="Times New Roman" w:hAnsi="Arial" w:cs="Arial"/>
          <w:szCs w:val="24"/>
          <w:lang w:eastAsia="es-MX"/>
        </w:rPr>
        <w:t xml:space="preserve"> por parte del Gobierno Nacional</w:t>
      </w:r>
      <w:r w:rsidR="00727F2C" w:rsidRPr="00727F2C">
        <w:rPr>
          <w:rFonts w:ascii="Arial" w:eastAsia="Arial" w:hAnsi="Arial" w:cs="Arial"/>
          <w:bCs/>
          <w:szCs w:val="24"/>
          <w:lang w:val="es-MX" w:eastAsia="es-CO"/>
        </w:rPr>
        <w:t>. Estos criterios diferenciales –que incluyen tanto los requisitos diferenciales como los puntajes adicionales– aplican a los procesos de licitación pública, selección abreviada de menor cuantía y concurso de méritos, excluyendo las demás modalidades de selección del artículo 2 de la Ley 1150 de 2007</w:t>
      </w:r>
      <w:r w:rsidR="00B8022F">
        <w:rPr>
          <w:rFonts w:ascii="Arial" w:eastAsia="Arial" w:hAnsi="Arial" w:cs="Arial"/>
          <w:bCs/>
          <w:szCs w:val="24"/>
          <w:lang w:val="es-MX" w:eastAsia="es-CO"/>
        </w:rPr>
        <w:t xml:space="preserve"> −</w:t>
      </w:r>
      <w:r w:rsidR="00727F2C" w:rsidRPr="00727F2C">
        <w:rPr>
          <w:rFonts w:ascii="Arial" w:eastAsia="Arial" w:hAnsi="Arial" w:cs="Arial"/>
          <w:bCs/>
          <w:szCs w:val="24"/>
          <w:lang w:val="es-MX" w:eastAsia="es-CO"/>
        </w:rPr>
        <w:t>esto es a los procesos de mínima cuantía y a la contratación directa</w:t>
      </w:r>
      <w:r w:rsidR="00B8022F">
        <w:rPr>
          <w:rFonts w:ascii="Arial" w:eastAsia="Arial" w:hAnsi="Arial" w:cs="Arial"/>
          <w:bCs/>
          <w:szCs w:val="24"/>
          <w:lang w:val="es-MX" w:eastAsia="es-CO"/>
        </w:rPr>
        <w:t>−</w:t>
      </w:r>
      <w:r w:rsidR="00727F2C" w:rsidRPr="00727F2C">
        <w:rPr>
          <w:rFonts w:ascii="Arial" w:eastAsia="Arial" w:hAnsi="Arial" w:cs="Arial"/>
          <w:bCs/>
          <w:szCs w:val="24"/>
          <w:lang w:val="es-MX" w:eastAsia="es-CO"/>
        </w:rPr>
        <w:t xml:space="preserve">. La norma en comento también se extiende a todos los procedimientos competitivos previstos en el manual de las Entidades excluidas de la Ley 80 de 1993.  </w:t>
      </w:r>
    </w:p>
    <w:p w14:paraId="6B0E74B6" w14:textId="77777777" w:rsidR="00727F2C" w:rsidRPr="00727F2C" w:rsidRDefault="00727F2C" w:rsidP="006B6658">
      <w:pPr>
        <w:spacing w:after="120" w:line="276" w:lineRule="auto"/>
        <w:ind w:firstLine="708"/>
        <w:jc w:val="both"/>
        <w:rPr>
          <w:rFonts w:ascii="Arial" w:eastAsia="Arial" w:hAnsi="Arial" w:cs="Arial"/>
          <w:szCs w:val="24"/>
          <w:lang w:val="es-ES" w:eastAsia="es-CO"/>
        </w:rPr>
      </w:pPr>
      <w:r w:rsidRPr="00727F2C">
        <w:rPr>
          <w:rFonts w:ascii="Arial" w:eastAsia="Arial" w:hAnsi="Arial" w:cs="Arial"/>
          <w:szCs w:val="24"/>
          <w:lang w:val="es-ES" w:eastAsia="es-CO"/>
        </w:rPr>
        <w:t xml:space="preserve">En todo caso, es conveniente resaltar que, de igual forma a como se previó para los criterios diferenciales de Mipyme, estos criterios se crearon con el propósito de incentivar los emprendimientos y empresas de mujeres en el sistema de compras públicas, sin perjuicio de los compromisos adquiridos por Colombia en los acuerdos comerciales en vigor. </w:t>
      </w:r>
    </w:p>
    <w:p w14:paraId="1EFE814A" w14:textId="28B840C0" w:rsidR="00727F2C" w:rsidRPr="00727F2C" w:rsidRDefault="00727F2C" w:rsidP="00727F2C">
      <w:pPr>
        <w:spacing w:after="120" w:line="276" w:lineRule="auto"/>
        <w:jc w:val="both"/>
        <w:rPr>
          <w:rFonts w:ascii="Arial" w:eastAsia="Arial" w:hAnsi="Arial" w:cs="Arial"/>
          <w:szCs w:val="24"/>
          <w:lang w:eastAsia="es-CO"/>
        </w:rPr>
      </w:pPr>
      <w:r>
        <w:rPr>
          <w:rFonts w:ascii="Arial" w:eastAsia="Arial" w:hAnsi="Arial" w:cs="Arial"/>
          <w:szCs w:val="24"/>
          <w:lang w:val="es-ES" w:eastAsia="es-CO"/>
        </w:rPr>
        <w:tab/>
      </w:r>
      <w:r w:rsidRPr="00727F2C">
        <w:rPr>
          <w:rFonts w:ascii="Arial" w:eastAsia="Arial" w:hAnsi="Arial" w:cs="Arial"/>
          <w:szCs w:val="24"/>
          <w:lang w:val="es-ES" w:eastAsia="es-CO"/>
        </w:rPr>
        <w:t>Con fundamento en lo anterior, el Gobierno Nacional expidió el Decreto 1860 de 2021 que</w:t>
      </w:r>
      <w:r w:rsidRPr="00727F2C">
        <w:rPr>
          <w:rFonts w:ascii="Arial" w:eastAsia="Arial" w:hAnsi="Arial" w:cs="Arial"/>
          <w:szCs w:val="24"/>
          <w:lang w:eastAsia="es-CO"/>
        </w:rPr>
        <w:t xml:space="preserve"> modificó el Decreto 1082 de 2015, Único Reglamentario del Sector Administrativo de Planeación Nacional, incorporando una regulación detallada de las normas anteriormente citadas para la efectiva aplicación de la Ley 2069 de 2020 en el sistema de compras y contratación pública, </w:t>
      </w:r>
      <w:r w:rsidRPr="00727F2C">
        <w:rPr>
          <w:rFonts w:ascii="Arial" w:eastAsia="Times New Roman" w:hAnsi="Arial" w:cs="Arial"/>
          <w:szCs w:val="24"/>
          <w:lang w:eastAsia="es-MX"/>
        </w:rPr>
        <w:t>además de incluir algunas disposiciones adicionales para la reglamentación efectiva de la citada Ley</w:t>
      </w:r>
      <w:r w:rsidRPr="00727F2C">
        <w:rPr>
          <w:rFonts w:ascii="Arial" w:eastAsia="Times New Roman" w:hAnsi="Arial" w:cs="Arial"/>
          <w:szCs w:val="24"/>
          <w:vertAlign w:val="superscript"/>
          <w:lang w:eastAsia="es-MX"/>
        </w:rPr>
        <w:footnoteReference w:id="7"/>
      </w:r>
      <w:r w:rsidRPr="00727F2C">
        <w:rPr>
          <w:rFonts w:ascii="Arial" w:eastAsia="Times New Roman" w:hAnsi="Arial" w:cs="Arial"/>
          <w:szCs w:val="24"/>
          <w:lang w:eastAsia="es-MX"/>
        </w:rPr>
        <w:t>.</w:t>
      </w:r>
      <w:r w:rsidRPr="00727F2C">
        <w:rPr>
          <w:rFonts w:ascii="Arial" w:eastAsia="Arial" w:hAnsi="Arial" w:cs="Arial"/>
          <w:szCs w:val="24"/>
          <w:lang w:eastAsia="es-CO"/>
        </w:rPr>
        <w:t xml:space="preserve"> </w:t>
      </w:r>
    </w:p>
    <w:p w14:paraId="753B610C" w14:textId="41F05662" w:rsidR="00727F2C" w:rsidRPr="00727F2C" w:rsidRDefault="00727F2C" w:rsidP="006B6658">
      <w:pPr>
        <w:spacing w:after="120" w:line="276" w:lineRule="auto"/>
        <w:ind w:firstLine="708"/>
        <w:jc w:val="both"/>
        <w:rPr>
          <w:rFonts w:ascii="Arial" w:eastAsia="Arial" w:hAnsi="Arial" w:cs="Arial"/>
          <w:bCs/>
          <w:szCs w:val="24"/>
          <w:lang w:val="es-ES" w:eastAsia="es-CO"/>
        </w:rPr>
      </w:pPr>
      <w:r w:rsidRPr="00727F2C">
        <w:rPr>
          <w:rFonts w:ascii="Arial" w:eastAsia="Arial" w:hAnsi="Arial" w:cs="Arial"/>
          <w:szCs w:val="24"/>
          <w:lang w:val="es-ES" w:eastAsia="es-CO"/>
        </w:rPr>
        <w:t xml:space="preserve">De esta manera, el artículo 3 del Decreto 1860 de 2021, adicionó </w:t>
      </w:r>
      <w:r w:rsidRPr="00727F2C">
        <w:rPr>
          <w:rFonts w:ascii="Arial" w:eastAsia="Arial" w:hAnsi="Arial" w:cs="Arial"/>
          <w:bCs/>
          <w:szCs w:val="24"/>
          <w:lang w:val="es-ES" w:eastAsia="es-CO"/>
        </w:rPr>
        <w:t xml:space="preserve">los artículos </w:t>
      </w:r>
      <w:r w:rsidRPr="00727F2C">
        <w:rPr>
          <w:rFonts w:ascii="Arial" w:eastAsia="Arial" w:hAnsi="Arial" w:cs="Arial"/>
          <w:bCs/>
          <w:szCs w:val="24"/>
          <w:lang w:eastAsia="es-CO"/>
        </w:rPr>
        <w:t>2.2.1.2.4.2.14, 2.2.1.2.4.2.15</w:t>
      </w:r>
      <w:r w:rsidR="00C04EA4">
        <w:rPr>
          <w:rFonts w:ascii="Arial" w:eastAsia="Arial" w:hAnsi="Arial" w:cs="Arial"/>
          <w:bCs/>
          <w:szCs w:val="24"/>
          <w:lang w:val="es-ES" w:eastAsia="es-CO"/>
        </w:rPr>
        <w:t xml:space="preserve"> </w:t>
      </w:r>
      <w:r w:rsidRPr="00727F2C">
        <w:rPr>
          <w:rFonts w:ascii="Arial" w:eastAsia="Arial" w:hAnsi="Arial" w:cs="Arial"/>
          <w:szCs w:val="24"/>
          <w:lang w:eastAsia="es-CO"/>
        </w:rPr>
        <w:t>y</w:t>
      </w:r>
      <w:r w:rsidRPr="00727F2C">
        <w:rPr>
          <w:rFonts w:ascii="Arial" w:eastAsia="Arial" w:hAnsi="Arial" w:cs="Arial"/>
          <w:b/>
          <w:bCs/>
          <w:szCs w:val="24"/>
          <w:lang w:eastAsia="es-CO"/>
        </w:rPr>
        <w:t xml:space="preserve"> </w:t>
      </w:r>
      <w:r w:rsidRPr="00727F2C">
        <w:rPr>
          <w:rFonts w:ascii="Arial" w:eastAsia="Arial" w:hAnsi="Arial" w:cs="Arial"/>
          <w:szCs w:val="24"/>
          <w:lang w:eastAsia="es-CO"/>
        </w:rPr>
        <w:t>2.2.1.2.4.2.18</w:t>
      </w:r>
      <w:r w:rsidRPr="00727F2C">
        <w:rPr>
          <w:rFonts w:ascii="Arial" w:eastAsia="Arial" w:hAnsi="Arial" w:cs="Arial"/>
          <w:b/>
          <w:bCs/>
          <w:szCs w:val="24"/>
          <w:lang w:eastAsia="es-CO"/>
        </w:rPr>
        <w:t xml:space="preserve"> </w:t>
      </w:r>
      <w:r w:rsidRPr="00727F2C">
        <w:rPr>
          <w:rFonts w:ascii="Arial" w:eastAsia="Arial" w:hAnsi="Arial" w:cs="Arial"/>
          <w:bCs/>
          <w:szCs w:val="24"/>
          <w:lang w:val="es-ES" w:eastAsia="es-CO"/>
        </w:rPr>
        <w:t xml:space="preserve">al Decreto 1082 de 2015 </w:t>
      </w:r>
      <w:r w:rsidR="009A573B">
        <w:rPr>
          <w:rFonts w:ascii="Arial" w:eastAsia="Arial" w:hAnsi="Arial" w:cs="Arial"/>
          <w:bCs/>
          <w:szCs w:val="24"/>
          <w:lang w:val="es-ES" w:eastAsia="es-CO"/>
        </w:rPr>
        <w:t>reglamentando</w:t>
      </w:r>
      <w:r w:rsidRPr="00727F2C">
        <w:rPr>
          <w:rFonts w:ascii="Arial" w:eastAsia="Arial" w:hAnsi="Arial" w:cs="Arial"/>
          <w:bCs/>
          <w:szCs w:val="24"/>
          <w:lang w:val="es-ES" w:eastAsia="es-CO"/>
        </w:rPr>
        <w:t xml:space="preserve">, en su orden, los siguientes aspectos: </w:t>
      </w:r>
      <w:r w:rsidRPr="00727F2C">
        <w:rPr>
          <w:rFonts w:ascii="Arial" w:eastAsia="Arial" w:hAnsi="Arial" w:cs="Arial"/>
          <w:szCs w:val="24"/>
          <w:lang w:val="es-ES" w:eastAsia="es-CO"/>
        </w:rPr>
        <w:t xml:space="preserve">i) </w:t>
      </w:r>
      <w:r w:rsidRPr="00727F2C">
        <w:rPr>
          <w:rFonts w:ascii="Arial" w:eastAsia="Arial" w:hAnsi="Arial" w:cs="Arial"/>
          <w:bCs/>
          <w:szCs w:val="24"/>
          <w:lang w:val="es-ES" w:eastAsia="es-CO"/>
        </w:rPr>
        <w:t xml:space="preserve">la definición de </w:t>
      </w:r>
      <w:r w:rsidR="009A573B">
        <w:rPr>
          <w:rFonts w:ascii="Arial" w:eastAsia="Arial" w:hAnsi="Arial" w:cs="Arial"/>
          <w:bCs/>
          <w:i/>
          <w:iCs/>
          <w:szCs w:val="24"/>
          <w:lang w:val="es-ES" w:eastAsia="es-CO"/>
        </w:rPr>
        <w:t>«</w:t>
      </w:r>
      <w:r w:rsidRPr="00727F2C">
        <w:rPr>
          <w:rFonts w:ascii="Arial" w:eastAsia="Arial" w:hAnsi="Arial" w:cs="Arial"/>
          <w:bCs/>
          <w:i/>
          <w:iCs/>
          <w:szCs w:val="24"/>
          <w:lang w:val="es-ES" w:eastAsia="es-CO"/>
        </w:rPr>
        <w:t>emprendimientos y empresas de mujeres</w:t>
      </w:r>
      <w:r w:rsidR="009A573B">
        <w:rPr>
          <w:rFonts w:ascii="Arial" w:eastAsia="Arial" w:hAnsi="Arial" w:cs="Arial"/>
          <w:bCs/>
          <w:i/>
          <w:iCs/>
          <w:szCs w:val="24"/>
          <w:lang w:val="es-ES" w:eastAsia="es-CO"/>
        </w:rPr>
        <w:t>»</w:t>
      </w:r>
      <w:r w:rsidRPr="00727F2C">
        <w:rPr>
          <w:rFonts w:ascii="Arial" w:eastAsia="Arial" w:hAnsi="Arial" w:cs="Arial"/>
          <w:bCs/>
          <w:szCs w:val="24"/>
          <w:lang w:val="es-ES" w:eastAsia="es-CO"/>
        </w:rPr>
        <w:t xml:space="preserve"> en el sistema de compras y contratación pública y la forma de acreditación en cada caso, </w:t>
      </w:r>
      <w:proofErr w:type="spellStart"/>
      <w:r w:rsidRPr="00727F2C">
        <w:rPr>
          <w:rFonts w:ascii="Arial" w:eastAsia="Arial" w:hAnsi="Arial" w:cs="Arial"/>
          <w:bCs/>
          <w:szCs w:val="24"/>
          <w:lang w:val="es-ES" w:eastAsia="es-CO"/>
        </w:rPr>
        <w:t>ii</w:t>
      </w:r>
      <w:proofErr w:type="spellEnd"/>
      <w:r w:rsidRPr="00727F2C">
        <w:rPr>
          <w:rFonts w:ascii="Arial" w:eastAsia="Arial" w:hAnsi="Arial" w:cs="Arial"/>
          <w:bCs/>
          <w:szCs w:val="24"/>
          <w:lang w:val="es-ES" w:eastAsia="es-CO"/>
        </w:rPr>
        <w:t xml:space="preserve">) los criterios diferenciales en favor de estos </w:t>
      </w:r>
      <w:r w:rsidR="009A573B">
        <w:rPr>
          <w:rFonts w:ascii="Arial" w:eastAsia="Arial" w:hAnsi="Arial" w:cs="Arial"/>
          <w:bCs/>
          <w:i/>
          <w:iCs/>
          <w:szCs w:val="24"/>
          <w:lang w:val="es-ES" w:eastAsia="es-CO"/>
        </w:rPr>
        <w:t>«</w:t>
      </w:r>
      <w:r w:rsidRPr="00727F2C">
        <w:rPr>
          <w:rFonts w:ascii="Arial" w:eastAsia="Arial" w:hAnsi="Arial" w:cs="Arial"/>
          <w:bCs/>
          <w:i/>
          <w:iCs/>
          <w:szCs w:val="24"/>
          <w:lang w:val="es-ES" w:eastAsia="es-CO"/>
        </w:rPr>
        <w:t>emprendimientos y empresas de mujeres</w:t>
      </w:r>
      <w:r w:rsidR="009A573B">
        <w:rPr>
          <w:rFonts w:ascii="Arial" w:eastAsia="Arial" w:hAnsi="Arial" w:cs="Arial"/>
          <w:bCs/>
          <w:i/>
          <w:iCs/>
          <w:szCs w:val="24"/>
          <w:lang w:val="es-ES" w:eastAsia="es-CO"/>
        </w:rPr>
        <w:t>»</w:t>
      </w:r>
      <w:r w:rsidRPr="00727F2C">
        <w:rPr>
          <w:rFonts w:ascii="Arial" w:eastAsia="Arial" w:hAnsi="Arial" w:cs="Arial"/>
          <w:bCs/>
          <w:szCs w:val="24"/>
          <w:lang w:val="es-ES" w:eastAsia="es-CO"/>
        </w:rPr>
        <w:t xml:space="preserve"> </w:t>
      </w:r>
      <w:r w:rsidR="00DC5D9E">
        <w:rPr>
          <w:rFonts w:ascii="Arial" w:eastAsia="Arial" w:hAnsi="Arial" w:cs="Arial"/>
          <w:bCs/>
          <w:szCs w:val="24"/>
          <w:lang w:val="es-ES" w:eastAsia="es-CO"/>
        </w:rPr>
        <w:t xml:space="preserve">y </w:t>
      </w:r>
      <w:proofErr w:type="spellStart"/>
      <w:r w:rsidR="003579A9" w:rsidRPr="006B6658">
        <w:rPr>
          <w:rFonts w:ascii="Arial" w:eastAsia="Arial" w:hAnsi="Arial" w:cs="Arial"/>
          <w:bCs/>
          <w:szCs w:val="24"/>
          <w:lang w:val="es-ES" w:eastAsia="es-CO"/>
        </w:rPr>
        <w:t>i</w:t>
      </w:r>
      <w:r w:rsidR="0052577F">
        <w:rPr>
          <w:rFonts w:ascii="Arial" w:eastAsia="Arial" w:hAnsi="Arial" w:cs="Arial"/>
          <w:bCs/>
          <w:szCs w:val="24"/>
          <w:lang w:val="es-ES" w:eastAsia="es-CO"/>
        </w:rPr>
        <w:t>i</w:t>
      </w:r>
      <w:r w:rsidR="003579A9" w:rsidRPr="006B6658">
        <w:rPr>
          <w:rFonts w:ascii="Arial" w:eastAsia="Arial" w:hAnsi="Arial" w:cs="Arial"/>
          <w:bCs/>
          <w:szCs w:val="24"/>
          <w:lang w:val="es-ES" w:eastAsia="es-CO"/>
        </w:rPr>
        <w:t>i</w:t>
      </w:r>
      <w:proofErr w:type="spellEnd"/>
      <w:r w:rsidRPr="003579A9">
        <w:rPr>
          <w:rFonts w:ascii="Arial" w:eastAsia="Arial" w:hAnsi="Arial" w:cs="Arial"/>
          <w:bCs/>
          <w:szCs w:val="24"/>
          <w:lang w:val="es-ES" w:eastAsia="es-CO"/>
        </w:rPr>
        <w:t>) los criterios diferenciales en favor de las Mipyme domiciliadas en Colombia.</w:t>
      </w:r>
      <w:r w:rsidRPr="00727F2C">
        <w:rPr>
          <w:rFonts w:ascii="Arial" w:eastAsia="Arial" w:hAnsi="Arial" w:cs="Arial"/>
          <w:bCs/>
          <w:szCs w:val="24"/>
          <w:lang w:val="es-ES" w:eastAsia="es-CO"/>
        </w:rPr>
        <w:t xml:space="preserve"> </w:t>
      </w:r>
    </w:p>
    <w:p w14:paraId="487F2566" w14:textId="0A0F3ECC" w:rsidR="00727F2C" w:rsidRPr="006B6658" w:rsidRDefault="00727F2C" w:rsidP="006B6658">
      <w:pPr>
        <w:spacing w:after="0" w:line="276" w:lineRule="auto"/>
        <w:jc w:val="both"/>
        <w:rPr>
          <w:rFonts w:ascii="Arial" w:eastAsia="Times New Roman" w:hAnsi="Arial" w:cs="Arial"/>
          <w:lang w:eastAsia="es-MX"/>
        </w:rPr>
      </w:pPr>
      <w:r>
        <w:rPr>
          <w:rFonts w:ascii="Arial" w:eastAsia="Arial" w:hAnsi="Arial" w:cs="Arial"/>
          <w:szCs w:val="24"/>
          <w:lang w:val="es-ES" w:eastAsia="es-CO"/>
        </w:rPr>
        <w:tab/>
      </w:r>
      <w:r w:rsidRPr="006B6658">
        <w:rPr>
          <w:rFonts w:ascii="Arial" w:eastAsia="Times New Roman" w:hAnsi="Arial" w:cs="Arial"/>
          <w:lang w:eastAsia="es-MX"/>
        </w:rPr>
        <w:t xml:space="preserve">Así las cosas, en </w:t>
      </w:r>
      <w:r w:rsidR="00C73649">
        <w:rPr>
          <w:rFonts w:ascii="Arial" w:eastAsia="Times New Roman" w:hAnsi="Arial" w:cs="Arial"/>
          <w:lang w:eastAsia="es-MX"/>
        </w:rPr>
        <w:t>los</w:t>
      </w:r>
      <w:r w:rsidRPr="006B6658">
        <w:rPr>
          <w:rFonts w:ascii="Arial" w:eastAsia="Times New Roman" w:hAnsi="Arial" w:cs="Arial"/>
          <w:lang w:eastAsia="es-MX"/>
        </w:rPr>
        <w:t xml:space="preserve"> </w:t>
      </w:r>
      <w:r w:rsidR="007E7A5E">
        <w:rPr>
          <w:rFonts w:ascii="Arial" w:eastAsia="Times New Roman" w:hAnsi="Arial" w:cs="Arial"/>
          <w:lang w:eastAsia="es-MX"/>
        </w:rPr>
        <w:t xml:space="preserve">siguiente </w:t>
      </w:r>
      <w:r w:rsidRPr="006B6658">
        <w:rPr>
          <w:rFonts w:ascii="Arial" w:eastAsia="Times New Roman" w:hAnsi="Arial" w:cs="Arial"/>
          <w:lang w:eastAsia="es-MX"/>
        </w:rPr>
        <w:t>numeral</w:t>
      </w:r>
      <w:r w:rsidR="00C73649">
        <w:rPr>
          <w:rFonts w:ascii="Arial" w:eastAsia="Times New Roman" w:hAnsi="Arial" w:cs="Arial"/>
          <w:lang w:eastAsia="es-MX"/>
        </w:rPr>
        <w:t>es</w:t>
      </w:r>
      <w:r w:rsidRPr="006B6658">
        <w:rPr>
          <w:rFonts w:ascii="Arial" w:eastAsia="Times New Roman" w:hAnsi="Arial" w:cs="Arial"/>
          <w:lang w:eastAsia="es-MX"/>
        </w:rPr>
        <w:t xml:space="preserve"> se explicará</w:t>
      </w:r>
      <w:r w:rsidR="004D1A32">
        <w:rPr>
          <w:rFonts w:ascii="Arial" w:eastAsia="Times New Roman" w:hAnsi="Arial" w:cs="Arial"/>
          <w:lang w:eastAsia="es-MX"/>
        </w:rPr>
        <w:t>,</w:t>
      </w:r>
      <w:r w:rsidRPr="006B6658">
        <w:rPr>
          <w:rFonts w:ascii="Arial" w:eastAsia="Times New Roman" w:hAnsi="Arial" w:cs="Arial"/>
          <w:lang w:eastAsia="es-MX"/>
        </w:rPr>
        <w:t xml:space="preserve"> </w:t>
      </w:r>
      <w:r w:rsidR="005B668E">
        <w:rPr>
          <w:rFonts w:ascii="Arial" w:eastAsia="Times New Roman" w:hAnsi="Arial" w:cs="Arial"/>
          <w:lang w:eastAsia="es-MX"/>
        </w:rPr>
        <w:t xml:space="preserve">por una parte, </w:t>
      </w:r>
      <w:r w:rsidRPr="006B6658">
        <w:rPr>
          <w:rFonts w:ascii="Arial" w:eastAsia="Times New Roman" w:hAnsi="Arial" w:cs="Arial"/>
          <w:lang w:eastAsia="es-MX"/>
        </w:rPr>
        <w:t>la reglamentación del Decreto 1860 de 2021</w:t>
      </w:r>
      <w:r w:rsidR="007E7A5E">
        <w:rPr>
          <w:rFonts w:ascii="Arial" w:eastAsia="Times New Roman" w:hAnsi="Arial" w:cs="Arial"/>
          <w:lang w:eastAsia="es-MX"/>
        </w:rPr>
        <w:t xml:space="preserve"> en relación con los siguientes aspectos: </w:t>
      </w:r>
      <w:r w:rsidRPr="006B6658">
        <w:rPr>
          <w:rFonts w:ascii="Arial" w:eastAsia="Times New Roman" w:hAnsi="Arial" w:cs="Arial"/>
          <w:lang w:eastAsia="es-MX"/>
        </w:rPr>
        <w:t>i) la regulación de los criterios diferenciales en favor de las Mipyme nacionales</w:t>
      </w:r>
      <w:r w:rsidR="005E2C20">
        <w:rPr>
          <w:rFonts w:ascii="Arial" w:eastAsia="Times New Roman" w:hAnsi="Arial" w:cs="Arial"/>
          <w:lang w:eastAsia="es-MX"/>
        </w:rPr>
        <w:t xml:space="preserve"> y </w:t>
      </w:r>
      <w:proofErr w:type="spellStart"/>
      <w:r w:rsidRPr="006B6658">
        <w:rPr>
          <w:rFonts w:ascii="Arial" w:eastAsia="Times New Roman" w:hAnsi="Arial" w:cs="Arial"/>
          <w:lang w:eastAsia="es-MX"/>
        </w:rPr>
        <w:t>ii</w:t>
      </w:r>
      <w:proofErr w:type="spellEnd"/>
      <w:r w:rsidRPr="006B6658">
        <w:rPr>
          <w:rFonts w:ascii="Arial" w:eastAsia="Times New Roman" w:hAnsi="Arial" w:cs="Arial"/>
          <w:lang w:eastAsia="es-MX"/>
        </w:rPr>
        <w:t>) la regulación de los criterios diferenciales en favor de los emprendimientos y empresas de mujeres</w:t>
      </w:r>
      <w:r w:rsidR="005E2C20">
        <w:rPr>
          <w:rFonts w:ascii="Arial" w:eastAsia="Times New Roman" w:hAnsi="Arial" w:cs="Arial"/>
          <w:lang w:eastAsia="es-MX"/>
        </w:rPr>
        <w:t>.</w:t>
      </w:r>
      <w:r w:rsidR="005B668E">
        <w:rPr>
          <w:rFonts w:ascii="Arial" w:eastAsia="Times New Roman" w:hAnsi="Arial" w:cs="Arial"/>
          <w:lang w:eastAsia="es-MX"/>
        </w:rPr>
        <w:t xml:space="preserve"> </w:t>
      </w:r>
      <w:r w:rsidR="005B668E" w:rsidRPr="002F1A35">
        <w:rPr>
          <w:rFonts w:ascii="Arial" w:eastAsia="Times New Roman" w:hAnsi="Arial" w:cs="Arial"/>
          <w:lang w:eastAsia="es-MX"/>
        </w:rPr>
        <w:t>Por otra parte</w:t>
      </w:r>
      <w:r w:rsidR="005E2C20" w:rsidRPr="002F1A35">
        <w:rPr>
          <w:rFonts w:ascii="Arial" w:eastAsia="Times New Roman" w:hAnsi="Arial" w:cs="Arial"/>
          <w:lang w:eastAsia="es-MX"/>
        </w:rPr>
        <w:t xml:space="preserve">, </w:t>
      </w:r>
      <w:r w:rsidR="004B3326" w:rsidRPr="002F1A35">
        <w:rPr>
          <w:rFonts w:ascii="Arial" w:eastAsia="Times New Roman" w:hAnsi="Arial" w:cs="Arial"/>
          <w:lang w:eastAsia="es-MX"/>
        </w:rPr>
        <w:t xml:space="preserve">se hará referencia a la </w:t>
      </w:r>
      <w:proofErr w:type="gramStart"/>
      <w:r w:rsidR="002F1A35" w:rsidRPr="002F1A35">
        <w:rPr>
          <w:rFonts w:ascii="Arial" w:eastAsia="Times New Roman" w:hAnsi="Arial" w:cs="Arial"/>
          <w:lang w:eastAsia="es-MX"/>
        </w:rPr>
        <w:t xml:space="preserve">entrada en </w:t>
      </w:r>
      <w:r w:rsidR="004B3326" w:rsidRPr="002F1A35">
        <w:rPr>
          <w:rFonts w:ascii="Arial" w:eastAsia="Times New Roman" w:hAnsi="Arial" w:cs="Arial"/>
          <w:lang w:eastAsia="es-MX"/>
        </w:rPr>
        <w:t>vigencia</w:t>
      </w:r>
      <w:proofErr w:type="gramEnd"/>
      <w:r w:rsidR="004B3326" w:rsidRPr="002F1A35">
        <w:rPr>
          <w:rFonts w:ascii="Arial" w:eastAsia="Times New Roman" w:hAnsi="Arial" w:cs="Arial"/>
          <w:lang w:eastAsia="es-MX"/>
        </w:rPr>
        <w:t xml:space="preserve"> del Decreto </w:t>
      </w:r>
      <w:r w:rsidR="00D17D3D" w:rsidRPr="002F1A35">
        <w:rPr>
          <w:rFonts w:ascii="Arial" w:eastAsia="Times New Roman" w:hAnsi="Arial" w:cs="Arial"/>
          <w:lang w:eastAsia="es-MX"/>
        </w:rPr>
        <w:t>1860 de 2021</w:t>
      </w:r>
      <w:r w:rsidR="002F1A35" w:rsidRPr="002F1A35">
        <w:rPr>
          <w:rFonts w:ascii="Arial" w:eastAsia="Times New Roman" w:hAnsi="Arial" w:cs="Arial"/>
          <w:lang w:eastAsia="es-MX"/>
        </w:rPr>
        <w:t>.</w:t>
      </w:r>
      <w:r w:rsidR="002F1A35">
        <w:rPr>
          <w:rFonts w:ascii="Arial" w:eastAsia="Times New Roman" w:hAnsi="Arial" w:cs="Arial"/>
          <w:lang w:eastAsia="es-MX"/>
        </w:rPr>
        <w:t xml:space="preserve"> </w:t>
      </w:r>
    </w:p>
    <w:p w14:paraId="50CA873B" w14:textId="77777777" w:rsidR="00727F2C" w:rsidRPr="00727F2C" w:rsidRDefault="00727F2C" w:rsidP="00727F2C">
      <w:pPr>
        <w:spacing w:after="0" w:line="240" w:lineRule="auto"/>
        <w:jc w:val="both"/>
        <w:rPr>
          <w:rFonts w:ascii="Geomanist Light" w:eastAsia="Arial" w:hAnsi="Geomanist Light" w:cs="Times New Roman"/>
          <w:szCs w:val="24"/>
          <w:lang w:eastAsia="es-MX"/>
        </w:rPr>
      </w:pPr>
    </w:p>
    <w:p w14:paraId="04B2BFB9" w14:textId="3C2EC485" w:rsidR="00727F2C" w:rsidRPr="005B759B" w:rsidRDefault="004D1A32" w:rsidP="005B759B">
      <w:pPr>
        <w:spacing w:after="0" w:line="276" w:lineRule="auto"/>
        <w:jc w:val="both"/>
        <w:rPr>
          <w:rFonts w:ascii="Arial" w:hAnsi="Arial" w:cs="Arial"/>
          <w:b/>
          <w:bCs/>
          <w:lang w:val="es-ES"/>
        </w:rPr>
      </w:pPr>
      <w:r>
        <w:rPr>
          <w:rFonts w:ascii="Arial" w:hAnsi="Arial" w:cs="Arial"/>
          <w:b/>
          <w:bCs/>
          <w:lang w:val="es-ES"/>
        </w:rPr>
        <w:t>2.3.1</w:t>
      </w:r>
      <w:r w:rsidR="008946D2">
        <w:rPr>
          <w:rFonts w:ascii="Arial" w:hAnsi="Arial" w:cs="Arial"/>
          <w:b/>
          <w:bCs/>
          <w:lang w:val="es-ES"/>
        </w:rPr>
        <w:t xml:space="preserve">. </w:t>
      </w:r>
      <w:r>
        <w:rPr>
          <w:rFonts w:ascii="Arial" w:hAnsi="Arial" w:cs="Arial"/>
          <w:b/>
          <w:bCs/>
          <w:lang w:val="es-ES"/>
        </w:rPr>
        <w:t xml:space="preserve"> </w:t>
      </w:r>
      <w:r w:rsidR="00DF3A41">
        <w:rPr>
          <w:rFonts w:ascii="Arial" w:hAnsi="Arial" w:cs="Arial"/>
          <w:b/>
          <w:bCs/>
          <w:lang w:val="es-ES"/>
        </w:rPr>
        <w:t>R</w:t>
      </w:r>
      <w:r w:rsidR="00727F2C" w:rsidRPr="005B759B">
        <w:rPr>
          <w:rFonts w:ascii="Arial" w:hAnsi="Arial" w:cs="Arial"/>
          <w:b/>
          <w:bCs/>
          <w:lang w:val="es-ES"/>
        </w:rPr>
        <w:t>egulación de los criterios diferenciales en favor de las Mipyme nacionales</w:t>
      </w:r>
      <w:r w:rsidR="005A1BFB" w:rsidRPr="005B759B">
        <w:rPr>
          <w:rFonts w:ascii="Arial" w:hAnsi="Arial" w:cs="Arial"/>
          <w:b/>
          <w:bCs/>
          <w:lang w:val="es-ES"/>
        </w:rPr>
        <w:t xml:space="preserve"> en el Decreto 1860 de 2021</w:t>
      </w:r>
    </w:p>
    <w:p w14:paraId="787B3908" w14:textId="77777777" w:rsidR="00045177" w:rsidRDefault="00045177" w:rsidP="00045177">
      <w:pPr>
        <w:spacing w:after="0" w:line="276" w:lineRule="auto"/>
        <w:jc w:val="both"/>
        <w:rPr>
          <w:rFonts w:ascii="Arial" w:eastAsia="Times New Roman" w:hAnsi="Arial" w:cs="Arial"/>
          <w:color w:val="000000" w:themeColor="text1"/>
          <w:lang w:eastAsia="es-MX"/>
        </w:rPr>
      </w:pPr>
    </w:p>
    <w:p w14:paraId="5871D527" w14:textId="62BCBEE2" w:rsidR="00727F2C" w:rsidRPr="006B6658" w:rsidRDefault="00727F2C" w:rsidP="006B6658">
      <w:pPr>
        <w:spacing w:after="120" w:line="276" w:lineRule="auto"/>
        <w:jc w:val="both"/>
        <w:rPr>
          <w:rFonts w:ascii="Arial" w:eastAsia="Arial" w:hAnsi="Arial" w:cs="Arial"/>
          <w:lang w:eastAsia="es-MX"/>
        </w:rPr>
      </w:pPr>
      <w:r w:rsidRPr="006B6658">
        <w:rPr>
          <w:rFonts w:ascii="Arial" w:eastAsia="Times New Roman" w:hAnsi="Arial" w:cs="Arial"/>
          <w:color w:val="000000" w:themeColor="text1"/>
          <w:lang w:eastAsia="es-MX"/>
        </w:rPr>
        <w:lastRenderedPageBreak/>
        <w:t xml:space="preserve">El artículo 3 del Decreto 1860 de 2021, que adicionó </w:t>
      </w:r>
      <w:r w:rsidRPr="006B6658">
        <w:rPr>
          <w:rFonts w:ascii="Arial" w:eastAsia="Times New Roman" w:hAnsi="Arial" w:cs="Arial"/>
          <w:bCs/>
          <w:color w:val="000000" w:themeColor="text1"/>
          <w:lang w:eastAsia="es-MX"/>
        </w:rPr>
        <w:t xml:space="preserve">el artículo 2.2.1.2.4.2.18 al </w:t>
      </w:r>
      <w:r w:rsidRPr="006B6658">
        <w:rPr>
          <w:rFonts w:ascii="Arial" w:eastAsia="Times New Roman" w:hAnsi="Arial" w:cs="Arial"/>
          <w:lang w:eastAsia="es-MX"/>
        </w:rPr>
        <w:t xml:space="preserve">Decreto 1082 de 2015 regula los criterios diferenciales para Mipyme en el sistema de compras públicas. Conforme a esta norma las entidades estatales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Mipyme domiciliadas en Colombia. </w:t>
      </w:r>
    </w:p>
    <w:p w14:paraId="1E29A249" w14:textId="207D88CC" w:rsidR="002D4B2C" w:rsidRDefault="00045177">
      <w:pPr>
        <w:spacing w:after="120" w:line="276" w:lineRule="auto"/>
        <w:jc w:val="both"/>
        <w:rPr>
          <w:rFonts w:ascii="Arial" w:eastAsia="Times New Roman" w:hAnsi="Arial" w:cs="Arial"/>
          <w:color w:val="000000" w:themeColor="text1"/>
          <w:lang w:eastAsia="es-MX"/>
        </w:rPr>
      </w:pPr>
      <w:r>
        <w:rPr>
          <w:rFonts w:ascii="Arial" w:eastAsia="Arial" w:hAnsi="Arial" w:cs="Arial"/>
          <w:lang w:eastAsia="es-MX"/>
        </w:rPr>
        <w:tab/>
      </w:r>
      <w:r w:rsidR="00727F2C" w:rsidRPr="006B6658">
        <w:rPr>
          <w:rFonts w:ascii="Arial" w:eastAsia="Times New Roman" w:hAnsi="Arial" w:cs="Arial"/>
          <w:lang w:eastAsia="es-MX"/>
        </w:rPr>
        <w:t xml:space="preserve">Estos criterios en favor de las Mipyme buscan reducir las asimetrías entre estas y las grandes empresas para vincularse como proveedoras al mercado de compras públicas y, en consecuencia, promover y facilitar la participación en los procedimientos de selección competitivos de las Mipyme domiciliadas en Colombia. Para estos efectos, el artículo </w:t>
      </w:r>
      <w:r w:rsidR="00727F2C" w:rsidRPr="005B759B">
        <w:rPr>
          <w:rFonts w:ascii="Arial" w:eastAsia="Times New Roman" w:hAnsi="Arial" w:cs="Arial"/>
          <w:lang w:eastAsia="es-MX"/>
        </w:rPr>
        <w:t xml:space="preserve">2.2.1.2.4.2.18 del </w:t>
      </w:r>
      <w:r w:rsidR="00727F2C" w:rsidRPr="006B6658">
        <w:rPr>
          <w:rFonts w:ascii="Arial" w:eastAsia="Times New Roman" w:hAnsi="Arial" w:cs="Arial"/>
          <w:lang w:eastAsia="es-MX"/>
        </w:rPr>
        <w:t xml:space="preserve">Decreto 1082 de 2015 estableció que, </w:t>
      </w:r>
      <w:r w:rsidR="008946D2" w:rsidRPr="005B759B">
        <w:rPr>
          <w:rFonts w:ascii="Arial" w:eastAsia="Times New Roman" w:hAnsi="Arial" w:cs="Arial"/>
          <w:lang w:eastAsia="es-MX"/>
        </w:rPr>
        <w:t xml:space="preserve">según los resultados del análisis del sector, </w:t>
      </w:r>
      <w:r w:rsidR="00727F2C" w:rsidRPr="006B6658">
        <w:rPr>
          <w:rFonts w:ascii="Arial" w:eastAsia="Times New Roman" w:hAnsi="Arial" w:cs="Arial"/>
          <w:lang w:eastAsia="es-MX"/>
        </w:rPr>
        <w:t xml:space="preserve">en función de los criterios de clasificación empresarial, los documentos del proceso deberán incorporar </w:t>
      </w:r>
      <w:r w:rsidR="00727F2C" w:rsidRPr="006B6658">
        <w:rPr>
          <w:rFonts w:ascii="Arial" w:eastAsia="Times New Roman" w:hAnsi="Arial" w:cs="Arial"/>
          <w:color w:val="000000" w:themeColor="text1"/>
          <w:lang w:eastAsia="es-MX"/>
        </w:rPr>
        <w:t xml:space="preserve">requisitos habilitantes diferenciales relacionados con alguno o algunos de los siguientes aspectos: i) tiempo de experiencia, </w:t>
      </w:r>
      <w:proofErr w:type="spellStart"/>
      <w:r w:rsidR="00727F2C" w:rsidRPr="006B6658">
        <w:rPr>
          <w:rFonts w:ascii="Arial" w:eastAsia="Times New Roman" w:hAnsi="Arial" w:cs="Arial"/>
          <w:color w:val="000000" w:themeColor="text1"/>
          <w:lang w:eastAsia="es-MX"/>
        </w:rPr>
        <w:t>ii</w:t>
      </w:r>
      <w:proofErr w:type="spellEnd"/>
      <w:r w:rsidR="00727F2C" w:rsidRPr="006B6658">
        <w:rPr>
          <w:rFonts w:ascii="Arial" w:eastAsia="Times New Roman" w:hAnsi="Arial" w:cs="Arial"/>
          <w:color w:val="000000" w:themeColor="text1"/>
          <w:lang w:eastAsia="es-MX"/>
        </w:rPr>
        <w:t xml:space="preserve">) número de contratos para la acreditación de la experiencia, </w:t>
      </w:r>
      <w:proofErr w:type="spellStart"/>
      <w:r w:rsidR="00727F2C" w:rsidRPr="006B6658">
        <w:rPr>
          <w:rFonts w:ascii="Arial" w:eastAsia="Times New Roman" w:hAnsi="Arial" w:cs="Arial"/>
          <w:color w:val="000000" w:themeColor="text1"/>
          <w:lang w:eastAsia="es-MX"/>
        </w:rPr>
        <w:t>iii</w:t>
      </w:r>
      <w:proofErr w:type="spellEnd"/>
      <w:r w:rsidR="00727F2C" w:rsidRPr="006B6658">
        <w:rPr>
          <w:rFonts w:ascii="Arial" w:eastAsia="Times New Roman" w:hAnsi="Arial" w:cs="Arial"/>
          <w:color w:val="000000" w:themeColor="text1"/>
          <w:lang w:eastAsia="es-MX"/>
        </w:rPr>
        <w:t xml:space="preserve">) índices de capacidad financiera, </w:t>
      </w:r>
      <w:proofErr w:type="spellStart"/>
      <w:r w:rsidR="00727F2C" w:rsidRPr="006B6658">
        <w:rPr>
          <w:rFonts w:ascii="Arial" w:eastAsia="Times New Roman" w:hAnsi="Arial" w:cs="Arial"/>
          <w:color w:val="000000" w:themeColor="text1"/>
          <w:lang w:eastAsia="es-MX"/>
        </w:rPr>
        <w:t>iv</w:t>
      </w:r>
      <w:proofErr w:type="spellEnd"/>
      <w:r w:rsidR="00727F2C" w:rsidRPr="006B6658">
        <w:rPr>
          <w:rFonts w:ascii="Arial" w:eastAsia="Times New Roman" w:hAnsi="Arial" w:cs="Arial"/>
          <w:color w:val="000000" w:themeColor="text1"/>
          <w:lang w:eastAsia="es-MX"/>
        </w:rPr>
        <w:t xml:space="preserve">) índices de capacidad organizacional y v) valor de la garantía de seriedad de la oferta. </w:t>
      </w:r>
    </w:p>
    <w:p w14:paraId="1E2A024C" w14:textId="37094586" w:rsidR="00727F2C" w:rsidRPr="006B6658" w:rsidRDefault="00F51CFF" w:rsidP="002D4B2C">
      <w:pPr>
        <w:spacing w:after="120" w:line="276" w:lineRule="auto"/>
        <w:ind w:firstLine="708"/>
        <w:jc w:val="both"/>
        <w:rPr>
          <w:rFonts w:ascii="Arial" w:eastAsia="Times New Roman" w:hAnsi="Arial" w:cs="Arial"/>
          <w:lang w:eastAsia="es-MX"/>
        </w:rPr>
      </w:pPr>
      <w:r>
        <w:rPr>
          <w:rFonts w:ascii="Arial" w:eastAsia="Times New Roman" w:hAnsi="Arial" w:cs="Arial"/>
          <w:color w:val="000000" w:themeColor="text1"/>
          <w:lang w:eastAsia="es-MX"/>
        </w:rPr>
        <w:t xml:space="preserve">Lo anterior </w:t>
      </w:r>
      <w:r w:rsidR="00727F2C" w:rsidRPr="006B6658">
        <w:rPr>
          <w:rFonts w:ascii="Arial" w:eastAsia="Times New Roman" w:hAnsi="Arial" w:cs="Arial"/>
          <w:color w:val="000000" w:themeColor="text1"/>
          <w:lang w:eastAsia="es-MX"/>
        </w:rPr>
        <w:t xml:space="preserve">significa que para la determinación de los criterios diferenciales para Mipyme, las entidades podrán escoger uno o algunos de estos requisitos habilitantes, los cuales deberán fijarse respetando las condiciones habilitantes requeridas para el cumplimiento adecuado del contrato. En tal sentido, se establecerán condiciones más exigentes respecto a alguno o algunos de los criterios de participación antes enunciados frente a los demás proponentes que concurran al procedimiento de selección que no sean Mipyme. </w:t>
      </w:r>
    </w:p>
    <w:p w14:paraId="390BAF82" w14:textId="3C6A30E6" w:rsidR="00727F2C" w:rsidRPr="006B6658" w:rsidRDefault="00727F2C" w:rsidP="006B6658">
      <w:pPr>
        <w:spacing w:after="120" w:line="276" w:lineRule="auto"/>
        <w:ind w:firstLine="708"/>
        <w:jc w:val="both"/>
        <w:rPr>
          <w:rFonts w:ascii="Arial" w:eastAsia="Times New Roman" w:hAnsi="Arial" w:cs="Arial"/>
          <w:color w:val="000000" w:themeColor="text1"/>
          <w:lang w:eastAsia="es-MX"/>
        </w:rPr>
      </w:pPr>
      <w:r w:rsidRPr="006B6658">
        <w:rPr>
          <w:rFonts w:ascii="Arial" w:eastAsia="Times New Roman" w:hAnsi="Arial" w:cs="Arial"/>
          <w:lang w:eastAsia="es-MX"/>
        </w:rPr>
        <w:t xml:space="preserve">Asimismo, el decreto dispone que, con excepción de los procedimientos de selección abreviada por subasta inversa y de mínima cuantía, las entidades sometidas al Estatuto General de Contratación de la Administración Pública, teniendo en cuenta los criterios de clasificación empresarial, podrán establecer puntajes adicionales que en ningún caso podrán superar el cero punto veinticinco por ciento (0.25%) del valor total de los puntos establecidos en los pliegos de condiciones o documentos equivalentes. Como se observa, se estableció un porcentaje techo para el respectivo puntaje adicional, lo que significa que las entidades pueden otorgar el puntaje máximo de hasta el cero punto veinticinco por ciento (0.25%) del valor total de los puntos establecidos o un puntaje menor. </w:t>
      </w:r>
      <w:r w:rsidRPr="006B6658">
        <w:rPr>
          <w:rFonts w:ascii="Arial" w:eastAsia="Times New Roman" w:hAnsi="Arial" w:cs="Arial"/>
          <w:color w:val="000000" w:themeColor="text1"/>
          <w:lang w:eastAsia="es-MX"/>
        </w:rPr>
        <w:t xml:space="preserve">Esto con el objeto de que la aplicación del incentivo no vaya en desmedro de la escogencia de la oferta más favorable para la entidad, conforme el deber de selección objetiva exige, </w:t>
      </w:r>
      <w:r w:rsidR="00AF060A">
        <w:rPr>
          <w:rFonts w:ascii="Arial" w:eastAsia="Times New Roman" w:hAnsi="Arial" w:cs="Arial"/>
          <w:color w:val="000000" w:themeColor="text1"/>
          <w:lang w:eastAsia="es-MX"/>
        </w:rPr>
        <w:t>por</w:t>
      </w:r>
      <w:r w:rsidR="00AF060A" w:rsidRPr="006B6658">
        <w:rPr>
          <w:rFonts w:ascii="Arial" w:eastAsia="Times New Roman" w:hAnsi="Arial" w:cs="Arial"/>
          <w:color w:val="000000" w:themeColor="text1"/>
          <w:lang w:eastAsia="es-MX"/>
        </w:rPr>
        <w:t xml:space="preserve"> </w:t>
      </w:r>
      <w:r w:rsidRPr="006B6658">
        <w:rPr>
          <w:rFonts w:ascii="Arial" w:eastAsia="Times New Roman" w:hAnsi="Arial" w:cs="Arial"/>
          <w:color w:val="000000" w:themeColor="text1"/>
          <w:lang w:eastAsia="es-MX"/>
        </w:rPr>
        <w:t xml:space="preserve">lo que </w:t>
      </w:r>
      <w:r w:rsidR="008946D2">
        <w:rPr>
          <w:rFonts w:ascii="Arial" w:eastAsia="Times New Roman" w:hAnsi="Arial" w:cs="Arial"/>
          <w:color w:val="000000" w:themeColor="text1"/>
          <w:lang w:eastAsia="es-MX"/>
        </w:rPr>
        <w:t xml:space="preserve">el reglamento estimó como </w:t>
      </w:r>
      <w:r w:rsidRPr="006B6658">
        <w:rPr>
          <w:rFonts w:ascii="Arial" w:eastAsia="Times New Roman" w:hAnsi="Arial" w:cs="Arial"/>
          <w:color w:val="000000" w:themeColor="text1"/>
          <w:lang w:eastAsia="es-MX"/>
        </w:rPr>
        <w:t xml:space="preserve">adecuado el porcentaje señalado. </w:t>
      </w:r>
    </w:p>
    <w:p w14:paraId="0C3D427F" w14:textId="43E8505C" w:rsidR="00727F2C" w:rsidRDefault="00727F2C" w:rsidP="00B63656">
      <w:pPr>
        <w:spacing w:after="0" w:line="276" w:lineRule="auto"/>
        <w:ind w:firstLine="708"/>
        <w:jc w:val="both"/>
        <w:rPr>
          <w:rFonts w:ascii="Arial" w:eastAsia="Times New Roman" w:hAnsi="Arial" w:cs="Arial"/>
          <w:color w:val="000000" w:themeColor="text1"/>
          <w:lang w:eastAsia="es-MX"/>
        </w:rPr>
      </w:pPr>
      <w:r w:rsidRPr="006B6658">
        <w:rPr>
          <w:rFonts w:ascii="Arial" w:eastAsia="Times New Roman" w:hAnsi="Arial" w:cs="Arial"/>
          <w:lang w:eastAsia="es-MX"/>
        </w:rPr>
        <w:t>En lo relativo a la aplicación de los criterios diferenciales y puntajes adicionales para proponentes plurales solo se aplicarán si por lo menos uno de los integrantes acredita la calidad de Mipyme y tiene una participación igual o superior al diez por ciento (10%) en el consorcio o en la unión temporal.</w:t>
      </w:r>
      <w:r w:rsidR="007E0E03">
        <w:rPr>
          <w:rFonts w:ascii="Arial" w:eastAsia="Times New Roman" w:hAnsi="Arial" w:cs="Arial"/>
          <w:lang w:eastAsia="es-MX"/>
        </w:rPr>
        <w:t xml:space="preserve"> Así mismo, </w:t>
      </w:r>
      <w:r w:rsidRPr="006B6658">
        <w:rPr>
          <w:rFonts w:ascii="Arial" w:eastAsia="Times New Roman" w:hAnsi="Arial" w:cs="Arial"/>
          <w:lang w:eastAsia="es-MX"/>
        </w:rPr>
        <w:t xml:space="preserve">de conformidad con el parágrafo 3 del artículo </w:t>
      </w:r>
      <w:r w:rsidRPr="006B6658">
        <w:rPr>
          <w:rFonts w:ascii="Arial" w:eastAsia="Times New Roman" w:hAnsi="Arial" w:cs="Arial"/>
          <w:bCs/>
          <w:lang w:eastAsia="es-MX"/>
        </w:rPr>
        <w:t xml:space="preserve">2.2.1.2.4.2.18 del </w:t>
      </w:r>
      <w:r w:rsidRPr="006B6658">
        <w:rPr>
          <w:rFonts w:ascii="Arial" w:eastAsia="Times New Roman" w:hAnsi="Arial" w:cs="Arial"/>
          <w:lang w:eastAsia="es-MX"/>
        </w:rPr>
        <w:t xml:space="preserve">Decreto 1082 de 2015 los criterios diferenciales y puntajes adicionales en </w:t>
      </w:r>
      <w:r w:rsidRPr="006B6658">
        <w:rPr>
          <w:rFonts w:ascii="Arial" w:eastAsia="Times New Roman" w:hAnsi="Arial" w:cs="Arial"/>
          <w:lang w:eastAsia="es-MX"/>
        </w:rPr>
        <w:lastRenderedPageBreak/>
        <w:t>favor de las micro, pequeñas y medianas empresas no</w:t>
      </w:r>
      <w:r w:rsidRPr="006B6658">
        <w:rPr>
          <w:rFonts w:ascii="Arial" w:eastAsia="Times New Roman" w:hAnsi="Arial" w:cs="Arial"/>
          <w:color w:val="000000" w:themeColor="text1"/>
          <w:lang w:eastAsia="es-MX"/>
        </w:rPr>
        <w:t xml:space="preserve"> se aplicarán cuando se limiten las convocatorias a Mipyme en los términos de los artículos 2.2.1.2.4.2.2 y 2.2.1.2.4.2.3 de este Decreto. </w:t>
      </w:r>
    </w:p>
    <w:p w14:paraId="58208A74" w14:textId="77777777" w:rsidR="00B63656" w:rsidRPr="006B6658" w:rsidRDefault="00B63656" w:rsidP="006B6658">
      <w:pPr>
        <w:spacing w:after="0" w:line="276" w:lineRule="auto"/>
        <w:ind w:firstLine="708"/>
        <w:jc w:val="both"/>
        <w:rPr>
          <w:rFonts w:ascii="Arial" w:eastAsia="Times New Roman" w:hAnsi="Arial" w:cs="Arial"/>
          <w:color w:val="000000" w:themeColor="text1"/>
          <w:lang w:eastAsia="es-MX"/>
        </w:rPr>
      </w:pPr>
    </w:p>
    <w:p w14:paraId="73E07627" w14:textId="498B8F37" w:rsidR="00727F2C" w:rsidRPr="005B759B" w:rsidRDefault="008946D2" w:rsidP="005B759B">
      <w:pPr>
        <w:spacing w:after="0"/>
        <w:jc w:val="both"/>
        <w:rPr>
          <w:rFonts w:ascii="Arial" w:hAnsi="Arial" w:cs="Arial"/>
          <w:b/>
          <w:lang w:val="es-ES"/>
        </w:rPr>
      </w:pPr>
      <w:r>
        <w:rPr>
          <w:rFonts w:ascii="Arial" w:hAnsi="Arial" w:cs="Arial"/>
          <w:b/>
          <w:lang w:val="es-ES"/>
        </w:rPr>
        <w:t xml:space="preserve">2.3.2. </w:t>
      </w:r>
      <w:r w:rsidR="00727F2C" w:rsidRPr="005B759B">
        <w:rPr>
          <w:rFonts w:ascii="Arial" w:hAnsi="Arial" w:cs="Arial"/>
          <w:b/>
          <w:lang w:val="es-ES"/>
        </w:rPr>
        <w:t>La regulación de los criterios diferenciales en favor de los emprendimientos y empresas de mujeres</w:t>
      </w:r>
      <w:r w:rsidR="007E0E03" w:rsidRPr="005B759B">
        <w:rPr>
          <w:rFonts w:ascii="Arial" w:hAnsi="Arial" w:cs="Arial"/>
          <w:b/>
          <w:lang w:val="es-ES"/>
        </w:rPr>
        <w:t xml:space="preserve"> en el Decreto 1860 de 2021</w:t>
      </w:r>
    </w:p>
    <w:p w14:paraId="42150303" w14:textId="77777777" w:rsidR="002A0888" w:rsidRPr="00727F2C" w:rsidRDefault="002A0888" w:rsidP="006B6658">
      <w:pPr>
        <w:spacing w:after="0" w:line="240" w:lineRule="auto"/>
        <w:jc w:val="both"/>
        <w:rPr>
          <w:rFonts w:ascii="Geomanist Light" w:eastAsia="Calibri" w:hAnsi="Geomanist Light" w:cs="Calibri"/>
          <w:b/>
          <w:color w:val="002060"/>
          <w:sz w:val="24"/>
          <w:lang w:val="es-ES" w:eastAsia="es-CO"/>
        </w:rPr>
      </w:pPr>
    </w:p>
    <w:p w14:paraId="466E9B9F" w14:textId="1AAF35D7" w:rsidR="00727F2C" w:rsidRPr="006B6658" w:rsidRDefault="00727F2C" w:rsidP="005B759B">
      <w:pPr>
        <w:spacing w:after="120" w:line="276" w:lineRule="auto"/>
        <w:jc w:val="both"/>
        <w:rPr>
          <w:rFonts w:ascii="Arial" w:eastAsia="Arial" w:hAnsi="Arial" w:cs="Arial"/>
          <w:szCs w:val="24"/>
          <w:lang w:eastAsia="es-MX"/>
        </w:rPr>
      </w:pPr>
      <w:bookmarkStart w:id="7" w:name="_Hlk99965062"/>
      <w:r w:rsidRPr="006B6658">
        <w:rPr>
          <w:rFonts w:ascii="Arial" w:eastAsia="Times New Roman" w:hAnsi="Arial" w:cs="Arial"/>
          <w:szCs w:val="24"/>
          <w:lang w:eastAsia="es-MX"/>
        </w:rPr>
        <w:t xml:space="preserve">Como primer presupuesto para la regulación de los criterios diferenciales </w:t>
      </w:r>
      <w:r w:rsidR="008946D2">
        <w:rPr>
          <w:rFonts w:ascii="Arial" w:eastAsia="Times New Roman" w:hAnsi="Arial" w:cs="Arial"/>
          <w:szCs w:val="24"/>
          <w:lang w:eastAsia="es-MX"/>
        </w:rPr>
        <w:t>en</w:t>
      </w:r>
      <w:r w:rsidRPr="006B6658">
        <w:rPr>
          <w:rFonts w:ascii="Arial" w:eastAsia="Times New Roman" w:hAnsi="Arial" w:cs="Arial"/>
          <w:szCs w:val="24"/>
          <w:lang w:eastAsia="es-MX"/>
        </w:rPr>
        <w:t xml:space="preserve"> favor de los </w:t>
      </w:r>
      <w:r w:rsidRPr="006B6658">
        <w:rPr>
          <w:rFonts w:ascii="Arial" w:eastAsia="Times New Roman" w:hAnsi="Arial" w:cs="Arial"/>
          <w:color w:val="000000" w:themeColor="text1"/>
          <w:szCs w:val="24"/>
          <w:lang w:eastAsia="es-MX"/>
        </w:rPr>
        <w:t>emprendimientos y empresas de mujeres, el artículo el 3 del Decreto 1860 de 2021, que adicionó el artículo 2.2.1.2.4.2.14</w:t>
      </w:r>
      <w:r w:rsidR="00AC33AF">
        <w:rPr>
          <w:rStyle w:val="Refdenotaalpie"/>
          <w:rFonts w:ascii="Arial" w:eastAsia="Times New Roman" w:hAnsi="Arial" w:cs="Arial"/>
          <w:color w:val="000000" w:themeColor="text1"/>
          <w:szCs w:val="24"/>
          <w:lang w:eastAsia="es-MX"/>
        </w:rPr>
        <w:footnoteReference w:id="8"/>
      </w:r>
      <w:r w:rsidRPr="006B6658">
        <w:rPr>
          <w:rFonts w:ascii="Arial" w:eastAsia="Times New Roman" w:hAnsi="Arial" w:cs="Arial"/>
          <w:color w:val="000000" w:themeColor="text1"/>
          <w:szCs w:val="24"/>
          <w:lang w:eastAsia="es-MX"/>
        </w:rPr>
        <w:t xml:space="preserve"> a</w:t>
      </w:r>
      <w:bookmarkStart w:id="8" w:name="_Hlk95815294"/>
      <w:r w:rsidRPr="006B6658">
        <w:rPr>
          <w:rFonts w:ascii="Arial" w:eastAsia="Times New Roman" w:hAnsi="Arial" w:cs="Arial"/>
          <w:color w:val="000000" w:themeColor="text1"/>
          <w:szCs w:val="24"/>
          <w:lang w:eastAsia="es-MX"/>
        </w:rPr>
        <w:t xml:space="preserve">l </w:t>
      </w:r>
      <w:r w:rsidRPr="006B6658">
        <w:rPr>
          <w:rFonts w:ascii="Arial" w:eastAsia="Times New Roman" w:hAnsi="Arial" w:cs="Arial"/>
          <w:szCs w:val="24"/>
          <w:lang w:eastAsia="es-MX"/>
        </w:rPr>
        <w:t>Decreto 1082 de 2015</w:t>
      </w:r>
      <w:bookmarkEnd w:id="8"/>
      <w:r w:rsidRPr="006B6658">
        <w:rPr>
          <w:rFonts w:ascii="Arial" w:eastAsia="Times New Roman" w:hAnsi="Arial" w:cs="Arial"/>
          <w:szCs w:val="24"/>
          <w:lang w:eastAsia="es-MX"/>
        </w:rPr>
        <w:t xml:space="preserve">, </w:t>
      </w:r>
      <w:r w:rsidRPr="006B6658">
        <w:rPr>
          <w:rFonts w:ascii="Arial" w:eastAsia="Times New Roman" w:hAnsi="Arial" w:cs="Arial"/>
          <w:color w:val="000000" w:themeColor="text1"/>
          <w:szCs w:val="24"/>
          <w:lang w:eastAsia="es-MX"/>
        </w:rPr>
        <w:t xml:space="preserve">incorpora la definición de emprendimientos y empresas de mujeres para que puedan aplicarse los criterios </w:t>
      </w:r>
      <w:r w:rsidRPr="006B6658">
        <w:rPr>
          <w:rFonts w:ascii="Arial" w:eastAsia="Times New Roman" w:hAnsi="Arial" w:cs="Arial"/>
          <w:color w:val="000000" w:themeColor="text1"/>
          <w:szCs w:val="24"/>
          <w:lang w:eastAsia="es-MX"/>
        </w:rPr>
        <w:lastRenderedPageBreak/>
        <w:t xml:space="preserve">diferenciales. </w:t>
      </w:r>
      <w:r w:rsidRPr="006B6658">
        <w:rPr>
          <w:rFonts w:ascii="Arial" w:eastAsia="Arial" w:hAnsi="Arial" w:cs="Arial"/>
          <w:szCs w:val="24"/>
          <w:lang w:eastAsia="es-MX"/>
        </w:rPr>
        <w:t xml:space="preserve">De esta manera, los criterios diferenciales en favor de emprendimientos y empresas de mujeres incluidos en el Decreto 1860 de 2021 únicamente se aplicarán a los proponentes que acrediten alguna de las condiciones señaladas en el artículo 2.2.1.2.4.2.14 del Decreto 1082 de 2015. </w:t>
      </w:r>
    </w:p>
    <w:p w14:paraId="4629837B" w14:textId="4EB12683" w:rsidR="00727F2C" w:rsidRPr="006B6658" w:rsidRDefault="00727F2C" w:rsidP="006B6658">
      <w:pPr>
        <w:spacing w:after="120" w:line="276" w:lineRule="auto"/>
        <w:ind w:firstLine="708"/>
        <w:jc w:val="both"/>
        <w:rPr>
          <w:rFonts w:ascii="Arial" w:eastAsia="Times New Roman" w:hAnsi="Arial" w:cs="Arial"/>
          <w:szCs w:val="24"/>
          <w:lang w:eastAsia="es-MX"/>
        </w:rPr>
      </w:pPr>
      <w:r w:rsidRPr="006B6658">
        <w:rPr>
          <w:rFonts w:ascii="Arial" w:eastAsia="Times New Roman" w:hAnsi="Arial" w:cs="Arial"/>
          <w:color w:val="000000" w:themeColor="text1"/>
          <w:szCs w:val="24"/>
          <w:lang w:eastAsia="es-MX"/>
        </w:rPr>
        <w:t xml:space="preserve">Por otro lado, el artículo 3 del Decreto 1860 de 2021 adicionó </w:t>
      </w:r>
      <w:r w:rsidRPr="006B6658">
        <w:rPr>
          <w:rFonts w:ascii="Arial" w:eastAsia="Times New Roman" w:hAnsi="Arial" w:cs="Arial"/>
          <w:bCs/>
          <w:color w:val="000000" w:themeColor="text1"/>
          <w:szCs w:val="24"/>
          <w:lang w:eastAsia="es-MX"/>
        </w:rPr>
        <w:t>el artículo 2.2.1.2.4.2.15</w:t>
      </w:r>
      <w:r w:rsidR="002C0E7F">
        <w:rPr>
          <w:rStyle w:val="Refdenotaalpie"/>
          <w:rFonts w:ascii="Arial" w:eastAsia="Times New Roman" w:hAnsi="Arial" w:cs="Arial"/>
          <w:bCs/>
          <w:color w:val="000000" w:themeColor="text1"/>
          <w:szCs w:val="24"/>
          <w:lang w:eastAsia="es-MX"/>
        </w:rPr>
        <w:footnoteReference w:id="9"/>
      </w:r>
      <w:r w:rsidRPr="006B6658">
        <w:rPr>
          <w:rFonts w:ascii="Arial" w:eastAsia="Times New Roman" w:hAnsi="Arial" w:cs="Arial"/>
          <w:bCs/>
          <w:color w:val="000000" w:themeColor="text1"/>
          <w:szCs w:val="24"/>
          <w:lang w:eastAsia="es-MX"/>
        </w:rPr>
        <w:t xml:space="preserve"> al </w:t>
      </w:r>
      <w:r w:rsidRPr="006B6658">
        <w:rPr>
          <w:rFonts w:ascii="Arial" w:eastAsia="Times New Roman" w:hAnsi="Arial" w:cs="Arial"/>
          <w:szCs w:val="24"/>
          <w:lang w:eastAsia="es-MX"/>
        </w:rPr>
        <w:t xml:space="preserve">Decreto 1082 de 2015 que estableció </w:t>
      </w:r>
      <w:r w:rsidRPr="006B6658">
        <w:rPr>
          <w:rFonts w:ascii="Arial" w:eastAsia="Times New Roman" w:hAnsi="Arial" w:cs="Arial"/>
          <w:color w:val="000000" w:themeColor="text1"/>
          <w:szCs w:val="24"/>
          <w:lang w:eastAsia="es-MX"/>
        </w:rPr>
        <w:t xml:space="preserve">unas reglas objetivas que garantizan una aplicación uniforme de los criterios diferenciales a favor de empresas y emprendimientos de mujeres. </w:t>
      </w:r>
      <w:r w:rsidR="00621D69">
        <w:rPr>
          <w:rFonts w:ascii="Arial" w:eastAsia="Times New Roman" w:hAnsi="Arial" w:cs="Arial"/>
          <w:szCs w:val="24"/>
          <w:lang w:eastAsia="es-MX"/>
        </w:rPr>
        <w:t>De esta forma</w:t>
      </w:r>
      <w:r w:rsidR="0003218C">
        <w:rPr>
          <w:rFonts w:ascii="Arial" w:eastAsia="Times New Roman" w:hAnsi="Arial" w:cs="Arial"/>
          <w:szCs w:val="24"/>
          <w:lang w:eastAsia="es-MX"/>
        </w:rPr>
        <w:t>,</w:t>
      </w:r>
      <w:r w:rsidR="00621D69">
        <w:rPr>
          <w:rFonts w:ascii="Arial" w:eastAsia="Times New Roman" w:hAnsi="Arial" w:cs="Arial"/>
          <w:szCs w:val="24"/>
          <w:lang w:eastAsia="es-MX"/>
        </w:rPr>
        <w:t xml:space="preserve"> se dispuso </w:t>
      </w:r>
      <w:r w:rsidR="004E1FF8">
        <w:rPr>
          <w:rFonts w:ascii="Arial" w:eastAsia="Times New Roman" w:hAnsi="Arial" w:cs="Arial"/>
          <w:szCs w:val="24"/>
          <w:lang w:eastAsia="es-MX"/>
        </w:rPr>
        <w:t>de</w:t>
      </w:r>
      <w:r w:rsidRPr="006B6658">
        <w:rPr>
          <w:rFonts w:ascii="Arial" w:eastAsia="Times New Roman" w:hAnsi="Arial" w:cs="Arial"/>
          <w:szCs w:val="24"/>
          <w:lang w:eastAsia="es-MX"/>
        </w:rPr>
        <w:t xml:space="preserve"> criterios diferenciales que incluyen tanto las condiciones habilitantes como los puntajes adicionales </w:t>
      </w:r>
      <w:r w:rsidR="004E1FF8">
        <w:rPr>
          <w:rFonts w:ascii="Arial" w:eastAsia="Times New Roman" w:hAnsi="Arial" w:cs="Arial"/>
          <w:szCs w:val="24"/>
          <w:lang w:eastAsia="es-MX"/>
        </w:rPr>
        <w:t xml:space="preserve">que </w:t>
      </w:r>
      <w:r w:rsidRPr="006B6658">
        <w:rPr>
          <w:rFonts w:ascii="Arial" w:eastAsia="Times New Roman" w:hAnsi="Arial" w:cs="Arial"/>
          <w:szCs w:val="24"/>
          <w:lang w:eastAsia="es-MX"/>
        </w:rPr>
        <w:t xml:space="preserve">aplican a los procesos de licitación pública, selección abreviada de menor cuantía y concurso de méritos, excluyendo las demás modalidades de selección del artículo 2 de la Ley 1150 de 2007, esto es, a la mínima cuantía y a la contratación directa. </w:t>
      </w:r>
    </w:p>
    <w:p w14:paraId="0BB166D5" w14:textId="4737A9F6" w:rsidR="006118D6" w:rsidRDefault="00727F2C" w:rsidP="008A4D60">
      <w:pPr>
        <w:spacing w:after="120" w:line="276" w:lineRule="auto"/>
        <w:ind w:firstLine="708"/>
        <w:jc w:val="both"/>
        <w:rPr>
          <w:rFonts w:ascii="Arial" w:eastAsia="Times New Roman" w:hAnsi="Arial" w:cs="Arial"/>
          <w:szCs w:val="24"/>
          <w:lang w:eastAsia="es-MX"/>
        </w:rPr>
      </w:pPr>
      <w:r w:rsidRPr="006B6658">
        <w:rPr>
          <w:rFonts w:ascii="Arial" w:eastAsia="Times New Roman" w:hAnsi="Arial" w:cs="Arial"/>
          <w:szCs w:val="24"/>
          <w:lang w:eastAsia="es-MX"/>
        </w:rPr>
        <w:t xml:space="preserve">En este sentido, de manera análoga a lo dispuesto en la regulación de los criterios diferenciales para Mipyme, se determinó que en los documentos del proceso </w:t>
      </w:r>
      <w:r w:rsidR="00AF060A">
        <w:rPr>
          <w:rFonts w:ascii="Arial" w:eastAsia="Times New Roman" w:hAnsi="Arial" w:cs="Arial"/>
          <w:szCs w:val="24"/>
          <w:lang w:eastAsia="es-MX"/>
        </w:rPr>
        <w:t xml:space="preserve">se </w:t>
      </w:r>
      <w:r w:rsidRPr="006B6658">
        <w:rPr>
          <w:rFonts w:ascii="Arial" w:eastAsia="Times New Roman" w:hAnsi="Arial" w:cs="Arial"/>
          <w:szCs w:val="24"/>
          <w:lang w:eastAsia="es-MX"/>
        </w:rPr>
        <w:t xml:space="preserve">deben incorporar requisitos habilitantes diferenciales para los emprendimientos y empresas de </w:t>
      </w:r>
      <w:r w:rsidRPr="006B6658">
        <w:rPr>
          <w:rFonts w:ascii="Arial" w:eastAsia="Times New Roman" w:hAnsi="Arial" w:cs="Arial"/>
          <w:szCs w:val="24"/>
          <w:lang w:eastAsia="es-MX"/>
        </w:rPr>
        <w:lastRenderedPageBreak/>
        <w:t xml:space="preserve">mujeres relacionados con alguno o algunos de los siguientes aspectos: i) tiempo de experiencia, </w:t>
      </w:r>
      <w:proofErr w:type="spellStart"/>
      <w:r w:rsidRPr="006B6658">
        <w:rPr>
          <w:rFonts w:ascii="Arial" w:eastAsia="Times New Roman" w:hAnsi="Arial" w:cs="Arial"/>
          <w:szCs w:val="24"/>
          <w:lang w:eastAsia="es-MX"/>
        </w:rPr>
        <w:t>ii</w:t>
      </w:r>
      <w:proofErr w:type="spellEnd"/>
      <w:r w:rsidRPr="006B6658">
        <w:rPr>
          <w:rFonts w:ascii="Arial" w:eastAsia="Times New Roman" w:hAnsi="Arial" w:cs="Arial"/>
          <w:szCs w:val="24"/>
          <w:lang w:eastAsia="es-MX"/>
        </w:rPr>
        <w:t xml:space="preserve">) número de contratos para la acreditación de la experiencia, </w:t>
      </w:r>
      <w:proofErr w:type="spellStart"/>
      <w:r w:rsidRPr="006B6658">
        <w:rPr>
          <w:rFonts w:ascii="Arial" w:eastAsia="Times New Roman" w:hAnsi="Arial" w:cs="Arial"/>
          <w:szCs w:val="24"/>
          <w:lang w:eastAsia="es-MX"/>
        </w:rPr>
        <w:t>iii</w:t>
      </w:r>
      <w:proofErr w:type="spellEnd"/>
      <w:r w:rsidRPr="006B6658">
        <w:rPr>
          <w:rFonts w:ascii="Arial" w:eastAsia="Times New Roman" w:hAnsi="Arial" w:cs="Arial"/>
          <w:szCs w:val="24"/>
          <w:lang w:eastAsia="es-MX"/>
        </w:rPr>
        <w:t xml:space="preserve">) índices de capacidad financiera, </w:t>
      </w:r>
      <w:proofErr w:type="spellStart"/>
      <w:r w:rsidRPr="006B6658">
        <w:rPr>
          <w:rFonts w:ascii="Arial" w:eastAsia="Times New Roman" w:hAnsi="Arial" w:cs="Arial"/>
          <w:szCs w:val="24"/>
          <w:lang w:eastAsia="es-MX"/>
        </w:rPr>
        <w:t>iv</w:t>
      </w:r>
      <w:proofErr w:type="spellEnd"/>
      <w:r w:rsidRPr="006B6658">
        <w:rPr>
          <w:rFonts w:ascii="Arial" w:eastAsia="Times New Roman" w:hAnsi="Arial" w:cs="Arial"/>
          <w:szCs w:val="24"/>
          <w:lang w:eastAsia="es-MX"/>
        </w:rPr>
        <w:t xml:space="preserve">) índices de capacidad organizacional y v) valor de la garantía de seriedad de la oferta. </w:t>
      </w:r>
      <w:bookmarkEnd w:id="7"/>
    </w:p>
    <w:p w14:paraId="41A5E43E" w14:textId="4990EC5F" w:rsidR="00727F2C" w:rsidRPr="006B6658" w:rsidRDefault="00727F2C" w:rsidP="006B6658">
      <w:pPr>
        <w:spacing w:after="120" w:line="276" w:lineRule="auto"/>
        <w:ind w:firstLine="708"/>
        <w:jc w:val="both"/>
        <w:rPr>
          <w:rFonts w:ascii="Arial" w:eastAsia="Times New Roman" w:hAnsi="Arial" w:cs="Arial"/>
          <w:color w:val="000000" w:themeColor="text1"/>
          <w:szCs w:val="24"/>
          <w:lang w:eastAsia="es-MX"/>
        </w:rPr>
      </w:pPr>
      <w:r w:rsidRPr="006B6658">
        <w:rPr>
          <w:rFonts w:ascii="Arial" w:eastAsia="Times New Roman" w:hAnsi="Arial" w:cs="Arial"/>
          <w:szCs w:val="24"/>
          <w:lang w:eastAsia="es-MX"/>
        </w:rPr>
        <w:t xml:space="preserve">Igualmente, el decreto dispone que, con excepción de los procedimientos de selección donde el menor precio ofrecido sea el único factor de evaluación, las entidades otorgarán un puntaje adicional hasta el cero punto veinticinco por ciento (0.25%) del valor total de los puntos establecidos en los pliegos de condiciones o documentos equivalentes, a los proponentes que acrediten alguno de los supuestos señalados en el artículo </w:t>
      </w:r>
      <w:r w:rsidRPr="006B6658">
        <w:rPr>
          <w:rFonts w:ascii="Arial" w:eastAsia="Arial" w:hAnsi="Arial" w:cs="Arial"/>
          <w:szCs w:val="24"/>
          <w:lang w:eastAsia="es-MX"/>
        </w:rPr>
        <w:t>2.2.1.2.4.2.14 del Decreto 1082 de 2015</w:t>
      </w:r>
      <w:r w:rsidRPr="006B6658">
        <w:rPr>
          <w:rFonts w:ascii="Arial" w:eastAsia="Times New Roman" w:hAnsi="Arial" w:cs="Arial"/>
          <w:szCs w:val="24"/>
          <w:lang w:eastAsia="es-MX"/>
        </w:rPr>
        <w:t xml:space="preserve">. </w:t>
      </w:r>
    </w:p>
    <w:p w14:paraId="5D650A32" w14:textId="5E953FED" w:rsidR="00727F2C" w:rsidRPr="006B6658" w:rsidRDefault="00727F2C" w:rsidP="006B6658">
      <w:pPr>
        <w:spacing w:after="120" w:line="276" w:lineRule="auto"/>
        <w:ind w:firstLine="708"/>
        <w:jc w:val="both"/>
        <w:rPr>
          <w:rFonts w:ascii="Arial" w:eastAsia="Times New Roman" w:hAnsi="Arial" w:cs="Arial"/>
          <w:color w:val="000000" w:themeColor="text1"/>
          <w:szCs w:val="24"/>
          <w:lang w:eastAsia="es-MX"/>
        </w:rPr>
      </w:pPr>
      <w:r w:rsidRPr="006B6658">
        <w:rPr>
          <w:rFonts w:ascii="Arial" w:eastAsia="Times New Roman" w:hAnsi="Arial" w:cs="Arial"/>
          <w:szCs w:val="24"/>
          <w:lang w:eastAsia="es-MX"/>
        </w:rPr>
        <w:t xml:space="preserve">En lo relativo a la aplicación de los criterios y puntajes diferenciales para proponentes plurales en los que participen empresas y emprendimientos de mujeres, el decreto </w:t>
      </w:r>
      <w:r w:rsidR="00AF060A">
        <w:rPr>
          <w:rFonts w:ascii="Arial" w:eastAsia="Times New Roman" w:hAnsi="Arial" w:cs="Arial"/>
          <w:szCs w:val="24"/>
          <w:lang w:eastAsia="es-MX"/>
        </w:rPr>
        <w:t xml:space="preserve">señala </w:t>
      </w:r>
      <w:r w:rsidRPr="006B6658">
        <w:rPr>
          <w:rFonts w:ascii="Arial" w:eastAsia="Times New Roman" w:hAnsi="Arial" w:cs="Arial"/>
          <w:szCs w:val="24"/>
          <w:lang w:eastAsia="es-MX"/>
        </w:rPr>
        <w:t>que los requisitos y criterios diferenciales solo se aplicarán cuando por lo menos uno de los integrantes acredit</w:t>
      </w:r>
      <w:r w:rsidR="002A57B9">
        <w:rPr>
          <w:rFonts w:ascii="Arial" w:eastAsia="Times New Roman" w:hAnsi="Arial" w:cs="Arial"/>
          <w:szCs w:val="24"/>
          <w:lang w:eastAsia="es-MX"/>
        </w:rPr>
        <w:t>e</w:t>
      </w:r>
      <w:r w:rsidRPr="006B6658">
        <w:rPr>
          <w:rFonts w:ascii="Arial" w:eastAsia="Times New Roman" w:hAnsi="Arial" w:cs="Arial"/>
          <w:szCs w:val="24"/>
          <w:lang w:eastAsia="es-MX"/>
        </w:rPr>
        <w:t xml:space="preserve"> </w:t>
      </w:r>
      <w:r w:rsidR="002A57B9">
        <w:rPr>
          <w:rFonts w:ascii="Arial" w:eastAsia="Times New Roman" w:hAnsi="Arial" w:cs="Arial"/>
          <w:szCs w:val="24"/>
          <w:lang w:eastAsia="es-MX"/>
        </w:rPr>
        <w:t>dicha condición</w:t>
      </w:r>
      <w:r w:rsidRPr="006B6658">
        <w:rPr>
          <w:rFonts w:ascii="Arial" w:eastAsia="Times New Roman" w:hAnsi="Arial" w:cs="Arial"/>
          <w:szCs w:val="24"/>
          <w:lang w:eastAsia="es-MX"/>
        </w:rPr>
        <w:t xml:space="preserve"> y </w:t>
      </w:r>
      <w:r w:rsidR="002A57B9">
        <w:rPr>
          <w:rFonts w:ascii="Arial" w:eastAsia="Times New Roman" w:hAnsi="Arial" w:cs="Arial"/>
          <w:szCs w:val="24"/>
          <w:lang w:eastAsia="es-MX"/>
        </w:rPr>
        <w:t>tenga</w:t>
      </w:r>
      <w:r w:rsidR="002A57B9" w:rsidRPr="006B6658">
        <w:rPr>
          <w:rFonts w:ascii="Arial" w:eastAsia="Times New Roman" w:hAnsi="Arial" w:cs="Arial"/>
          <w:szCs w:val="24"/>
          <w:lang w:eastAsia="es-MX"/>
        </w:rPr>
        <w:t xml:space="preserve"> </w:t>
      </w:r>
      <w:r w:rsidRPr="006B6658">
        <w:rPr>
          <w:rFonts w:ascii="Arial" w:eastAsia="Times New Roman" w:hAnsi="Arial" w:cs="Arial"/>
          <w:szCs w:val="24"/>
          <w:lang w:eastAsia="es-MX"/>
        </w:rPr>
        <w:t>una participación de al menos el diez por ciento (10%) en la estructura plural. De esta manera, los emprendimientos y empresas de mujeres se verán beneficiados de los referidos in</w:t>
      </w:r>
      <w:r w:rsidRPr="006B6658">
        <w:rPr>
          <w:rFonts w:ascii="Arial" w:eastAsia="Times New Roman" w:hAnsi="Arial" w:cs="Arial"/>
          <w:color w:val="000000" w:themeColor="text1"/>
          <w:szCs w:val="24"/>
          <w:lang w:eastAsia="es-MX"/>
        </w:rPr>
        <w:t xml:space="preserve">centivos por la presentación de ofertas </w:t>
      </w:r>
      <w:r w:rsidR="002A57B9">
        <w:rPr>
          <w:rFonts w:ascii="Arial" w:eastAsia="Times New Roman" w:hAnsi="Arial" w:cs="Arial"/>
          <w:color w:val="000000" w:themeColor="text1"/>
          <w:szCs w:val="24"/>
          <w:lang w:eastAsia="es-MX"/>
        </w:rPr>
        <w:t>mediante</w:t>
      </w:r>
      <w:r w:rsidRPr="006B6658">
        <w:rPr>
          <w:rFonts w:ascii="Arial" w:eastAsia="Times New Roman" w:hAnsi="Arial" w:cs="Arial"/>
          <w:color w:val="000000" w:themeColor="text1"/>
          <w:szCs w:val="24"/>
          <w:lang w:eastAsia="es-MX"/>
        </w:rPr>
        <w:t xml:space="preserve"> proponentes plurales, en los que pueden asociarse con otras empresas o proponentes que fortalezcan sus capacidades y experiencia.</w:t>
      </w:r>
    </w:p>
    <w:p w14:paraId="132EA9E9" w14:textId="15EFBB73" w:rsidR="00727F2C" w:rsidRPr="006B6658" w:rsidRDefault="00727F2C" w:rsidP="006B6658">
      <w:pPr>
        <w:spacing w:after="120" w:line="276" w:lineRule="auto"/>
        <w:ind w:firstLine="708"/>
        <w:jc w:val="both"/>
        <w:rPr>
          <w:rFonts w:ascii="Arial" w:eastAsia="Times New Roman" w:hAnsi="Arial" w:cs="Arial"/>
          <w:szCs w:val="24"/>
          <w:lang w:val="es-ES" w:eastAsia="es-MX"/>
        </w:rPr>
      </w:pPr>
      <w:r w:rsidRPr="006B6658">
        <w:rPr>
          <w:rFonts w:ascii="Arial" w:eastAsia="Times New Roman" w:hAnsi="Arial" w:cs="Arial"/>
          <w:szCs w:val="24"/>
          <w:lang w:eastAsia="es-MX"/>
        </w:rPr>
        <w:t>Según la norma en comento</w:t>
      </w:r>
      <w:r w:rsidR="002A57B9">
        <w:rPr>
          <w:rFonts w:ascii="Arial" w:eastAsia="Times New Roman" w:hAnsi="Arial" w:cs="Arial"/>
          <w:szCs w:val="24"/>
          <w:lang w:eastAsia="es-MX"/>
        </w:rPr>
        <w:t>,</w:t>
      </w:r>
      <w:r w:rsidRPr="006B6658">
        <w:rPr>
          <w:rFonts w:ascii="Arial" w:eastAsia="Times New Roman" w:hAnsi="Arial" w:cs="Arial"/>
          <w:szCs w:val="24"/>
          <w:lang w:eastAsia="es-MX"/>
        </w:rPr>
        <w:t xml:space="preserve"> 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 </w:t>
      </w:r>
    </w:p>
    <w:p w14:paraId="27C07C59" w14:textId="77777777" w:rsidR="00727F2C" w:rsidRPr="006B6658" w:rsidRDefault="00727F2C" w:rsidP="006B6658">
      <w:pPr>
        <w:spacing w:after="0" w:line="276" w:lineRule="auto"/>
        <w:ind w:firstLine="708"/>
        <w:jc w:val="both"/>
        <w:rPr>
          <w:rFonts w:ascii="Arial" w:eastAsia="Times New Roman" w:hAnsi="Arial" w:cs="Arial"/>
          <w:szCs w:val="24"/>
          <w:lang w:eastAsia="es-MX"/>
        </w:rPr>
      </w:pPr>
      <w:r w:rsidRPr="006B6658">
        <w:rPr>
          <w:rFonts w:ascii="Arial" w:eastAsia="Times New Roman" w:hAnsi="Arial" w:cs="Arial"/>
          <w:szCs w:val="24"/>
          <w:lang w:eastAsia="es-MX"/>
        </w:rPr>
        <w:t xml:space="preserve">Finalmente, el </w:t>
      </w:r>
      <w:r w:rsidRPr="006B6658">
        <w:rPr>
          <w:rFonts w:ascii="Arial" w:eastAsia="Times New Roman" w:hAnsi="Arial" w:cs="Arial"/>
          <w:bCs/>
          <w:szCs w:val="24"/>
          <w:lang w:eastAsia="es-MX"/>
        </w:rPr>
        <w:t xml:space="preserve">artículo 2.2.1.2.4.2.15 del </w:t>
      </w:r>
      <w:r w:rsidRPr="006B6658">
        <w:rPr>
          <w:rFonts w:ascii="Arial" w:eastAsia="Times New Roman" w:hAnsi="Arial" w:cs="Arial"/>
          <w:szCs w:val="24"/>
          <w:lang w:eastAsia="es-MX"/>
        </w:rPr>
        <w:t xml:space="preserve">Decreto 1082 de 2015 señala que los incentivos contractuales para las empresas y emprendimientos de mujeres no excluyen la aplicación de los criterios diferenciales para Mipyme en el sistema de compras públicas. Esto significa que los criterios diferenciales que favorezcan a los proponentes que acrediten la calidad de emprendimiento y empresas de mujeres se acumulan con los criterios diferenciales establecidos en favor de aquellos que también ostentan la calidad de Mipyme. </w:t>
      </w:r>
    </w:p>
    <w:p w14:paraId="1164705C" w14:textId="7E2A1F04" w:rsidR="00C35601" w:rsidRDefault="002D3A38" w:rsidP="005B554F">
      <w:pPr>
        <w:spacing w:after="0" w:line="276" w:lineRule="auto"/>
        <w:jc w:val="both"/>
        <w:rPr>
          <w:rFonts w:ascii="Arial" w:eastAsia="Times New Roman" w:hAnsi="Arial" w:cs="Arial"/>
          <w:szCs w:val="24"/>
          <w:lang w:eastAsia="es-MX"/>
        </w:rPr>
      </w:pPr>
      <w:r>
        <w:rPr>
          <w:rFonts w:ascii="Arial" w:eastAsia="Times New Roman" w:hAnsi="Arial" w:cs="Arial"/>
          <w:szCs w:val="24"/>
          <w:lang w:eastAsia="es-MX"/>
        </w:rPr>
        <w:tab/>
      </w:r>
    </w:p>
    <w:p w14:paraId="67968727" w14:textId="79C7229D" w:rsidR="00C35601" w:rsidRPr="005B759B" w:rsidRDefault="002A57B9" w:rsidP="005B759B">
      <w:pPr>
        <w:spacing w:after="0" w:line="276" w:lineRule="auto"/>
        <w:jc w:val="both"/>
        <w:rPr>
          <w:rFonts w:ascii="Arial" w:eastAsia="Times New Roman" w:hAnsi="Arial" w:cs="Arial"/>
          <w:b/>
          <w:bCs/>
          <w:lang w:eastAsia="es-MX"/>
        </w:rPr>
      </w:pPr>
      <w:r>
        <w:rPr>
          <w:rFonts w:ascii="Arial" w:hAnsi="Arial" w:cs="Arial"/>
          <w:b/>
          <w:bCs/>
        </w:rPr>
        <w:t xml:space="preserve">2.3.3. </w:t>
      </w:r>
      <w:r w:rsidR="00C35601" w:rsidRPr="005B759B">
        <w:rPr>
          <w:rFonts w:ascii="Arial" w:hAnsi="Arial" w:cs="Arial"/>
          <w:b/>
          <w:bCs/>
        </w:rPr>
        <w:t>Vigencia del Decreto 1860 de 2021</w:t>
      </w:r>
    </w:p>
    <w:p w14:paraId="072BA231" w14:textId="41B720C2" w:rsidR="00C35601" w:rsidRDefault="00C35601" w:rsidP="005B554F">
      <w:pPr>
        <w:spacing w:after="0" w:line="276" w:lineRule="auto"/>
        <w:jc w:val="both"/>
        <w:rPr>
          <w:rFonts w:ascii="Arial" w:eastAsia="Times New Roman" w:hAnsi="Arial" w:cs="Arial"/>
          <w:szCs w:val="24"/>
          <w:lang w:eastAsia="es-MX"/>
        </w:rPr>
      </w:pPr>
    </w:p>
    <w:p w14:paraId="7CA3F946" w14:textId="1FE25439" w:rsidR="00074245" w:rsidRDefault="00B3701B" w:rsidP="005B759B">
      <w:pPr>
        <w:spacing w:after="120" w:line="276" w:lineRule="auto"/>
        <w:jc w:val="both"/>
        <w:rPr>
          <w:rFonts w:ascii="Arial" w:eastAsia="Arial" w:hAnsi="Arial" w:cs="Arial"/>
          <w:lang w:val="es-ES" w:eastAsia="es-CO"/>
        </w:rPr>
      </w:pPr>
      <w:bookmarkStart w:id="9" w:name="_Hlk105683807"/>
      <w:r>
        <w:rPr>
          <w:rFonts w:ascii="Arial" w:eastAsia="Times New Roman" w:hAnsi="Arial" w:cs="Arial"/>
          <w:szCs w:val="24"/>
          <w:lang w:eastAsia="es-MX"/>
        </w:rPr>
        <w:t xml:space="preserve">Para </w:t>
      </w:r>
      <w:r w:rsidR="00B5550F">
        <w:rPr>
          <w:rFonts w:ascii="Arial" w:eastAsia="Times New Roman" w:hAnsi="Arial" w:cs="Arial"/>
          <w:szCs w:val="24"/>
          <w:lang w:eastAsia="es-MX"/>
        </w:rPr>
        <w:t>aplicar las</w:t>
      </w:r>
      <w:r>
        <w:rPr>
          <w:rFonts w:ascii="Arial" w:eastAsia="Times New Roman" w:hAnsi="Arial" w:cs="Arial"/>
          <w:szCs w:val="24"/>
          <w:lang w:eastAsia="es-MX"/>
        </w:rPr>
        <w:t xml:space="preserve"> disposiciones contenidas en el Decreto 1860 de 2021, </w:t>
      </w:r>
      <w:r w:rsidR="00BB1E3E">
        <w:rPr>
          <w:rFonts w:ascii="Arial" w:eastAsia="Times New Roman" w:hAnsi="Arial" w:cs="Arial"/>
          <w:szCs w:val="24"/>
          <w:lang w:eastAsia="es-MX"/>
        </w:rPr>
        <w:t>el</w:t>
      </w:r>
      <w:r>
        <w:rPr>
          <w:rFonts w:ascii="Arial" w:eastAsia="Times New Roman" w:hAnsi="Arial" w:cs="Arial"/>
          <w:szCs w:val="24"/>
          <w:lang w:eastAsia="es-MX"/>
        </w:rPr>
        <w:t xml:space="preserve"> artículo 8</w:t>
      </w:r>
      <w:r w:rsidR="00817806">
        <w:rPr>
          <w:rStyle w:val="Refdenotaalpie"/>
          <w:rFonts w:ascii="Arial" w:eastAsia="Times New Roman" w:hAnsi="Arial" w:cs="Arial"/>
          <w:szCs w:val="24"/>
          <w:lang w:eastAsia="es-MX"/>
        </w:rPr>
        <w:footnoteReference w:id="10"/>
      </w:r>
      <w:r>
        <w:rPr>
          <w:rFonts w:ascii="Arial" w:eastAsia="Times New Roman" w:hAnsi="Arial" w:cs="Arial"/>
          <w:szCs w:val="24"/>
          <w:lang w:eastAsia="es-MX"/>
        </w:rPr>
        <w:t xml:space="preserve"> </w:t>
      </w:r>
      <w:r w:rsidR="00BB1E3E">
        <w:rPr>
          <w:rFonts w:ascii="Arial" w:eastAsia="Times New Roman" w:hAnsi="Arial" w:cs="Arial"/>
          <w:szCs w:val="24"/>
          <w:lang w:eastAsia="es-MX"/>
        </w:rPr>
        <w:t>de</w:t>
      </w:r>
      <w:r w:rsidR="00B5550F">
        <w:rPr>
          <w:rFonts w:ascii="Arial" w:eastAsia="Times New Roman" w:hAnsi="Arial" w:cs="Arial"/>
          <w:szCs w:val="24"/>
          <w:lang w:eastAsia="es-MX"/>
        </w:rPr>
        <w:t xml:space="preserve"> dicho decreto estableció </w:t>
      </w:r>
      <w:r w:rsidR="00D144F6">
        <w:rPr>
          <w:rFonts w:ascii="Arial" w:eastAsia="Times New Roman" w:hAnsi="Arial" w:cs="Arial"/>
          <w:szCs w:val="24"/>
          <w:lang w:eastAsia="es-MX"/>
        </w:rPr>
        <w:t xml:space="preserve">el momento a partir del cual sus disposiciones </w:t>
      </w:r>
      <w:r w:rsidR="00B5550F">
        <w:rPr>
          <w:rFonts w:ascii="Arial" w:eastAsia="Times New Roman" w:hAnsi="Arial" w:cs="Arial"/>
          <w:szCs w:val="24"/>
          <w:lang w:eastAsia="es-MX"/>
        </w:rPr>
        <w:t xml:space="preserve">surtirían </w:t>
      </w:r>
      <w:r w:rsidR="00D144F6">
        <w:rPr>
          <w:rFonts w:ascii="Arial" w:eastAsia="Times New Roman" w:hAnsi="Arial" w:cs="Arial"/>
          <w:szCs w:val="24"/>
          <w:lang w:eastAsia="es-MX"/>
        </w:rPr>
        <w:t>efecto</w:t>
      </w:r>
      <w:r w:rsidR="00AB657D">
        <w:rPr>
          <w:rFonts w:ascii="Arial" w:eastAsia="Times New Roman" w:hAnsi="Arial" w:cs="Arial"/>
          <w:szCs w:val="24"/>
          <w:lang w:eastAsia="es-MX"/>
        </w:rPr>
        <w:t>s</w:t>
      </w:r>
      <w:r w:rsidR="00D144F6">
        <w:rPr>
          <w:rFonts w:ascii="Arial" w:eastAsia="Times New Roman" w:hAnsi="Arial" w:cs="Arial"/>
          <w:szCs w:val="24"/>
          <w:lang w:eastAsia="es-MX"/>
        </w:rPr>
        <w:t>.</w:t>
      </w:r>
      <w:r w:rsidR="00D144F6">
        <w:rPr>
          <w:rFonts w:ascii="Arial" w:eastAsia="Calibri" w:hAnsi="Arial" w:cs="Arial"/>
        </w:rPr>
        <w:t xml:space="preserve"> De esta </w:t>
      </w:r>
      <w:r w:rsidR="00D144F6">
        <w:rPr>
          <w:rFonts w:ascii="Arial" w:eastAsia="Calibri" w:hAnsi="Arial" w:cs="Arial"/>
        </w:rPr>
        <w:lastRenderedPageBreak/>
        <w:t xml:space="preserve">forma, se </w:t>
      </w:r>
      <w:r w:rsidR="00AB657D">
        <w:rPr>
          <w:rFonts w:ascii="Arial" w:eastAsia="Calibri" w:hAnsi="Arial" w:cs="Arial"/>
        </w:rPr>
        <w:t xml:space="preserve">estableció </w:t>
      </w:r>
      <w:r w:rsidR="00D144F6">
        <w:rPr>
          <w:rFonts w:ascii="Arial" w:eastAsia="Calibri" w:hAnsi="Arial" w:cs="Arial"/>
        </w:rPr>
        <w:t>que estas</w:t>
      </w:r>
      <w:r w:rsidR="00FB46F8">
        <w:rPr>
          <w:rFonts w:ascii="Arial" w:eastAsia="Calibri" w:hAnsi="Arial" w:cs="Arial"/>
        </w:rPr>
        <w:t xml:space="preserve"> </w:t>
      </w:r>
      <w:r w:rsidR="00C35601">
        <w:rPr>
          <w:rFonts w:ascii="Arial" w:eastAsia="Arial" w:hAnsi="Arial" w:cs="Arial"/>
          <w:lang w:val="es-ES" w:eastAsia="es-CO"/>
        </w:rPr>
        <w:t>aplicar</w:t>
      </w:r>
      <w:r w:rsidR="00B5550F">
        <w:rPr>
          <w:rFonts w:ascii="Arial" w:eastAsia="Arial" w:hAnsi="Arial" w:cs="Arial"/>
          <w:lang w:val="es-ES" w:eastAsia="es-CO"/>
        </w:rPr>
        <w:t>á</w:t>
      </w:r>
      <w:r w:rsidR="00C35601">
        <w:rPr>
          <w:rFonts w:ascii="Arial" w:eastAsia="Arial" w:hAnsi="Arial" w:cs="Arial"/>
          <w:lang w:val="es-ES" w:eastAsia="es-CO"/>
        </w:rPr>
        <w:t xml:space="preserve">n a los procesos de selección cuya invitación, aviso de convocatoria o documento equivalente </w:t>
      </w:r>
      <w:r w:rsidR="00B5550F">
        <w:rPr>
          <w:rFonts w:ascii="Arial" w:eastAsia="Arial" w:hAnsi="Arial" w:cs="Arial"/>
          <w:lang w:val="es-ES" w:eastAsia="es-CO"/>
        </w:rPr>
        <w:t>–</w:t>
      </w:r>
      <w:r w:rsidR="00C35601">
        <w:rPr>
          <w:rFonts w:ascii="Arial" w:eastAsia="Arial" w:hAnsi="Arial" w:cs="Arial"/>
          <w:lang w:val="es-ES" w:eastAsia="es-CO"/>
        </w:rPr>
        <w:t>según corresponda</w:t>
      </w:r>
      <w:r w:rsidR="00B5550F">
        <w:rPr>
          <w:rFonts w:ascii="Arial" w:eastAsia="Arial" w:hAnsi="Arial" w:cs="Arial"/>
          <w:lang w:val="es-ES" w:eastAsia="es-CO"/>
        </w:rPr>
        <w:t>–</w:t>
      </w:r>
      <w:r w:rsidR="00C35601">
        <w:rPr>
          <w:rFonts w:ascii="Arial" w:eastAsia="Arial" w:hAnsi="Arial" w:cs="Arial"/>
          <w:lang w:val="es-ES" w:eastAsia="es-CO"/>
        </w:rPr>
        <w:t xml:space="preserve">, se publique después de los tres (3) meses de su expedición. </w:t>
      </w:r>
    </w:p>
    <w:p w14:paraId="68E9E883" w14:textId="10CF5131" w:rsidR="00C35601" w:rsidRDefault="00C35601" w:rsidP="009F4122">
      <w:pPr>
        <w:autoSpaceDE w:val="0"/>
        <w:autoSpaceDN w:val="0"/>
        <w:adjustRightInd w:val="0"/>
        <w:spacing w:after="120" w:line="276" w:lineRule="auto"/>
        <w:ind w:firstLine="708"/>
        <w:jc w:val="both"/>
        <w:rPr>
          <w:rFonts w:ascii="Arial" w:eastAsia="Arial" w:hAnsi="Arial" w:cs="Arial"/>
          <w:lang w:eastAsia="es-MX"/>
        </w:rPr>
      </w:pPr>
      <w:r>
        <w:rPr>
          <w:rFonts w:ascii="Arial" w:eastAsia="Arial" w:hAnsi="Arial" w:cs="Arial"/>
          <w:lang w:val="es-ES" w:eastAsia="es-CO"/>
        </w:rPr>
        <w:t xml:space="preserve">No obstante, en relación con </w:t>
      </w:r>
      <w:r w:rsidRPr="008D1D26">
        <w:rPr>
          <w:rFonts w:ascii="Arial" w:eastAsia="Arial" w:hAnsi="Arial" w:cs="Arial"/>
          <w:lang w:val="es-ES" w:eastAsia="es-CO"/>
        </w:rPr>
        <w:t xml:space="preserve">los procesos de contratación que se </w:t>
      </w:r>
      <w:r>
        <w:rPr>
          <w:rFonts w:ascii="Arial" w:eastAsia="Arial" w:hAnsi="Arial" w:cs="Arial"/>
          <w:lang w:val="es-ES" w:eastAsia="es-CO"/>
        </w:rPr>
        <w:t xml:space="preserve">rijan </w:t>
      </w:r>
      <w:r w:rsidR="00B5550F">
        <w:rPr>
          <w:rFonts w:ascii="Arial" w:eastAsia="Arial" w:hAnsi="Arial" w:cs="Arial"/>
          <w:lang w:val="es-ES" w:eastAsia="es-CO"/>
        </w:rPr>
        <w:t xml:space="preserve">por </w:t>
      </w:r>
      <w:r>
        <w:rPr>
          <w:rFonts w:ascii="Arial" w:eastAsia="Arial" w:hAnsi="Arial" w:cs="Arial"/>
          <w:lang w:val="es-ES" w:eastAsia="es-CO"/>
        </w:rPr>
        <w:t xml:space="preserve">los </w:t>
      </w:r>
      <w:r w:rsidRPr="008D1D26">
        <w:rPr>
          <w:rFonts w:ascii="Arial" w:eastAsia="Arial" w:hAnsi="Arial" w:cs="Arial"/>
          <w:lang w:val="es-ES" w:eastAsia="es-CO"/>
        </w:rPr>
        <w:t xml:space="preserve">Documentos </w:t>
      </w:r>
      <w:r w:rsidR="00B5550F">
        <w:rPr>
          <w:rFonts w:ascii="Arial" w:eastAsia="Arial" w:hAnsi="Arial" w:cs="Arial"/>
          <w:lang w:val="es-ES" w:eastAsia="es-CO"/>
        </w:rPr>
        <w:t>T</w:t>
      </w:r>
      <w:r w:rsidRPr="008D1D26">
        <w:rPr>
          <w:rFonts w:ascii="Arial" w:eastAsia="Arial" w:hAnsi="Arial" w:cs="Arial"/>
          <w:lang w:val="es-ES" w:eastAsia="es-CO"/>
        </w:rPr>
        <w:t>ipo</w:t>
      </w:r>
      <w:r>
        <w:rPr>
          <w:rFonts w:ascii="Arial" w:eastAsia="Arial" w:hAnsi="Arial" w:cs="Arial"/>
          <w:lang w:val="es-ES" w:eastAsia="es-CO"/>
        </w:rPr>
        <w:t xml:space="preserve">, en el parágrafo </w:t>
      </w:r>
      <w:r w:rsidR="008D2536">
        <w:rPr>
          <w:rFonts w:ascii="Arial" w:eastAsia="Arial" w:hAnsi="Arial" w:cs="Arial"/>
          <w:lang w:val="es-ES" w:eastAsia="es-CO"/>
        </w:rPr>
        <w:t xml:space="preserve">del artículo </w:t>
      </w:r>
      <w:r>
        <w:rPr>
          <w:rFonts w:ascii="Arial" w:eastAsia="Arial" w:hAnsi="Arial" w:cs="Arial"/>
          <w:lang w:val="es-ES" w:eastAsia="es-CO"/>
        </w:rPr>
        <w:t xml:space="preserve">se dispuso que </w:t>
      </w:r>
      <w:r w:rsidRPr="008D1D26">
        <w:rPr>
          <w:rFonts w:ascii="Arial" w:eastAsia="Arial" w:hAnsi="Arial" w:cs="Arial"/>
          <w:lang w:val="es-ES" w:eastAsia="es-CO"/>
        </w:rPr>
        <w:t>las disposiciones contenidas en el</w:t>
      </w:r>
      <w:r>
        <w:rPr>
          <w:rFonts w:ascii="Arial" w:eastAsia="Arial" w:hAnsi="Arial" w:cs="Arial"/>
          <w:lang w:val="es-ES" w:eastAsia="es-CO"/>
        </w:rPr>
        <w:t xml:space="preserve"> Decreto</w:t>
      </w:r>
      <w:r w:rsidRPr="008D1D26">
        <w:rPr>
          <w:rFonts w:ascii="Arial" w:eastAsia="Arial" w:hAnsi="Arial" w:cs="Arial"/>
          <w:lang w:val="es-ES" w:eastAsia="es-CO"/>
        </w:rPr>
        <w:t xml:space="preserve"> no se aplicar</w:t>
      </w:r>
      <w:r w:rsidR="00B5550F">
        <w:rPr>
          <w:rFonts w:ascii="Arial" w:eastAsia="Arial" w:hAnsi="Arial" w:cs="Arial"/>
          <w:lang w:val="es-ES" w:eastAsia="es-CO"/>
        </w:rPr>
        <w:t>í</w:t>
      </w:r>
      <w:r w:rsidRPr="008D1D26">
        <w:rPr>
          <w:rFonts w:ascii="Arial" w:eastAsia="Arial" w:hAnsi="Arial" w:cs="Arial"/>
          <w:lang w:val="es-ES" w:eastAsia="es-CO"/>
        </w:rPr>
        <w:t xml:space="preserve">an a </w:t>
      </w:r>
      <w:r w:rsidR="00B5550F">
        <w:rPr>
          <w:rFonts w:ascii="Arial" w:eastAsia="Arial" w:hAnsi="Arial" w:cs="Arial"/>
          <w:lang w:val="es-ES" w:eastAsia="es-CO"/>
        </w:rPr>
        <w:t>dichos</w:t>
      </w:r>
      <w:r w:rsidR="00B5550F" w:rsidRPr="008D1D26">
        <w:rPr>
          <w:rFonts w:ascii="Arial" w:eastAsia="Arial" w:hAnsi="Arial" w:cs="Arial"/>
          <w:lang w:val="es-ES" w:eastAsia="es-CO"/>
        </w:rPr>
        <w:t xml:space="preserve"> </w:t>
      </w:r>
      <w:r w:rsidRPr="008D1D26">
        <w:rPr>
          <w:rFonts w:ascii="Arial" w:eastAsia="Arial" w:hAnsi="Arial" w:cs="Arial"/>
          <w:lang w:val="es-ES" w:eastAsia="es-CO"/>
        </w:rPr>
        <w:t xml:space="preserve">procesos hasta que </w:t>
      </w:r>
      <w:r>
        <w:rPr>
          <w:rFonts w:ascii="Arial" w:eastAsia="Arial" w:hAnsi="Arial" w:cs="Arial"/>
          <w:lang w:val="es-ES" w:eastAsia="es-CO"/>
        </w:rPr>
        <w:t xml:space="preserve">la </w:t>
      </w:r>
      <w:r w:rsidRPr="008D1D26">
        <w:rPr>
          <w:rFonts w:ascii="Arial" w:eastAsia="Arial" w:hAnsi="Arial" w:cs="Arial"/>
          <w:lang w:val="es-ES" w:eastAsia="es-CO"/>
        </w:rPr>
        <w:t>Agencia</w:t>
      </w:r>
      <w:r>
        <w:rPr>
          <w:rFonts w:ascii="Arial" w:eastAsia="Arial" w:hAnsi="Arial" w:cs="Arial"/>
          <w:lang w:val="es-ES" w:eastAsia="es-CO"/>
        </w:rPr>
        <w:t xml:space="preserve"> Nacional de Contratación Pública − Colombia Compra Eficiente</w:t>
      </w:r>
      <w:r w:rsidRPr="008D1D26">
        <w:rPr>
          <w:rFonts w:ascii="Arial" w:eastAsia="Arial" w:hAnsi="Arial" w:cs="Arial"/>
          <w:lang w:val="es-ES" w:eastAsia="es-CO"/>
        </w:rPr>
        <w:t xml:space="preserve"> incorpore</w:t>
      </w:r>
      <w:r>
        <w:rPr>
          <w:rFonts w:ascii="Arial" w:eastAsia="Arial" w:hAnsi="Arial" w:cs="Arial"/>
          <w:lang w:val="es-ES" w:eastAsia="es-CO"/>
        </w:rPr>
        <w:t xml:space="preserve"> en</w:t>
      </w:r>
      <w:r w:rsidR="008B1C52">
        <w:rPr>
          <w:rFonts w:ascii="Arial" w:eastAsia="Arial" w:hAnsi="Arial" w:cs="Arial"/>
          <w:lang w:val="es-ES" w:eastAsia="es-CO"/>
        </w:rPr>
        <w:t xml:space="preserve"> estos documentos</w:t>
      </w:r>
      <w:r>
        <w:rPr>
          <w:rFonts w:ascii="Arial" w:eastAsia="Arial" w:hAnsi="Arial" w:cs="Arial"/>
          <w:lang w:val="es-ES" w:eastAsia="es-CO"/>
        </w:rPr>
        <w:t xml:space="preserve"> </w:t>
      </w:r>
      <w:r w:rsidRPr="008D1D26">
        <w:rPr>
          <w:rFonts w:ascii="Arial" w:eastAsia="Arial" w:hAnsi="Arial" w:cs="Arial"/>
          <w:lang w:val="es-ES" w:eastAsia="es-CO"/>
        </w:rPr>
        <w:t>las modificaciones pertinentes</w:t>
      </w:r>
      <w:r>
        <w:rPr>
          <w:rFonts w:ascii="Arial" w:eastAsia="Arial" w:hAnsi="Arial" w:cs="Arial"/>
          <w:lang w:val="es-ES" w:eastAsia="es-CO"/>
        </w:rPr>
        <w:t xml:space="preserve">. Para el efecto, </w:t>
      </w:r>
      <w:r w:rsidR="005C2ABD">
        <w:rPr>
          <w:rFonts w:ascii="Arial" w:eastAsia="Arial" w:hAnsi="Arial" w:cs="Arial"/>
          <w:lang w:val="es-ES" w:eastAsia="es-CO"/>
        </w:rPr>
        <w:t xml:space="preserve">se </w:t>
      </w:r>
      <w:r>
        <w:rPr>
          <w:rFonts w:ascii="Arial" w:eastAsia="Arial" w:hAnsi="Arial" w:cs="Arial"/>
          <w:lang w:val="es-ES" w:eastAsia="es-CO"/>
        </w:rPr>
        <w:t>señaló que la Agencia tendr</w:t>
      </w:r>
      <w:r w:rsidR="00AB657D">
        <w:rPr>
          <w:rFonts w:ascii="Arial" w:eastAsia="Arial" w:hAnsi="Arial" w:cs="Arial"/>
          <w:lang w:val="es-ES" w:eastAsia="es-CO"/>
        </w:rPr>
        <w:t>ía</w:t>
      </w:r>
      <w:r>
        <w:rPr>
          <w:rFonts w:ascii="Arial" w:eastAsia="Arial" w:hAnsi="Arial" w:cs="Arial"/>
          <w:lang w:val="es-ES" w:eastAsia="es-CO"/>
        </w:rPr>
        <w:t xml:space="preserve"> un plazo de seis (6) meses contados a partir de la expedición del reglamento para adecuar los documentos tipo a las disposiciones</w:t>
      </w:r>
      <w:r w:rsidR="0001532B">
        <w:rPr>
          <w:rFonts w:ascii="Arial" w:eastAsia="Arial" w:hAnsi="Arial" w:cs="Arial"/>
          <w:lang w:val="es-ES" w:eastAsia="es-CO"/>
        </w:rPr>
        <w:t xml:space="preserve"> de</w:t>
      </w:r>
      <w:r w:rsidR="000F6D97">
        <w:rPr>
          <w:rFonts w:ascii="Arial" w:eastAsia="Arial" w:hAnsi="Arial" w:cs="Arial"/>
          <w:lang w:val="es-ES" w:eastAsia="es-CO"/>
        </w:rPr>
        <w:t>l Decreto</w:t>
      </w:r>
      <w:r w:rsidRPr="008D1D26">
        <w:rPr>
          <w:rFonts w:ascii="Arial" w:eastAsia="Arial" w:hAnsi="Arial" w:cs="Arial"/>
          <w:lang w:val="es-ES" w:eastAsia="es-CO"/>
        </w:rPr>
        <w:t>.</w:t>
      </w:r>
      <w:r>
        <w:rPr>
          <w:rFonts w:ascii="Arial" w:eastAsia="Arial" w:hAnsi="Arial" w:cs="Arial"/>
          <w:lang w:val="es-ES" w:eastAsia="es-CO"/>
        </w:rPr>
        <w:t xml:space="preserve"> En este sentido, hasta que la adecuación no ocurra</w:t>
      </w:r>
      <w:r w:rsidRPr="008D1D26">
        <w:rPr>
          <w:rFonts w:ascii="Arial" w:eastAsia="Arial" w:hAnsi="Arial" w:cs="Arial"/>
          <w:lang w:val="es-ES" w:eastAsia="es-CO"/>
        </w:rPr>
        <w:t xml:space="preserve"> se continuarán aplicando los instrumentos y </w:t>
      </w:r>
      <w:r w:rsidRPr="008D1D26">
        <w:rPr>
          <w:rFonts w:ascii="Arial" w:eastAsia="Arial" w:hAnsi="Arial" w:cs="Arial"/>
          <w:lang w:eastAsia="es-MX"/>
        </w:rPr>
        <w:t>las normas vigentes anteriores a la expedición del</w:t>
      </w:r>
      <w:r w:rsidR="00580532">
        <w:rPr>
          <w:rFonts w:ascii="Arial" w:eastAsia="Arial" w:hAnsi="Arial" w:cs="Arial"/>
          <w:lang w:eastAsia="es-MX"/>
        </w:rPr>
        <w:t xml:space="preserve"> reglamento</w:t>
      </w:r>
      <w:r w:rsidR="00B5550F">
        <w:rPr>
          <w:rFonts w:ascii="Arial" w:eastAsia="Arial" w:hAnsi="Arial" w:cs="Arial"/>
          <w:lang w:eastAsia="es-MX"/>
        </w:rPr>
        <w:t>, conforme a la regulación contenida en los Documentos Tipo vigentes.</w:t>
      </w:r>
    </w:p>
    <w:p w14:paraId="7089E2F9" w14:textId="1B8F4DBA" w:rsidR="00C35601" w:rsidRDefault="00C35601" w:rsidP="009F4122">
      <w:pPr>
        <w:spacing w:after="120" w:line="276" w:lineRule="auto"/>
        <w:ind w:firstLine="708"/>
        <w:jc w:val="both"/>
        <w:rPr>
          <w:rFonts w:ascii="Arial" w:eastAsia="Arial" w:hAnsi="Arial" w:cs="Arial"/>
          <w:lang w:val="es-ES" w:eastAsia="es-CO"/>
        </w:rPr>
      </w:pPr>
      <w:r w:rsidRPr="00B31310">
        <w:rPr>
          <w:rFonts w:ascii="Arial" w:eastAsia="Arial" w:hAnsi="Arial" w:cs="Arial"/>
          <w:lang w:val="es-ES" w:eastAsia="es-CO"/>
        </w:rPr>
        <w:t xml:space="preserve">Sin perjuicio de lo anterior, el segundo inciso del parágrafo señala una regla distinta en relación con la </w:t>
      </w:r>
      <w:proofErr w:type="gramStart"/>
      <w:r w:rsidRPr="00B31310">
        <w:rPr>
          <w:rFonts w:ascii="Arial" w:eastAsia="Arial" w:hAnsi="Arial" w:cs="Arial"/>
          <w:lang w:val="es-ES" w:eastAsia="es-CO"/>
        </w:rPr>
        <w:t>entrada en vigencia</w:t>
      </w:r>
      <w:proofErr w:type="gramEnd"/>
      <w:r w:rsidRPr="00B31310">
        <w:rPr>
          <w:rFonts w:ascii="Arial" w:eastAsia="Arial" w:hAnsi="Arial" w:cs="Arial"/>
          <w:lang w:val="es-ES" w:eastAsia="es-CO"/>
        </w:rPr>
        <w:t xml:space="preserve"> del artículo 5 del reglamento</w:t>
      </w:r>
      <w:r w:rsidR="007B6C81">
        <w:rPr>
          <w:rFonts w:ascii="Arial" w:eastAsia="Arial" w:hAnsi="Arial" w:cs="Arial"/>
          <w:lang w:val="es-ES" w:eastAsia="es-CO"/>
        </w:rPr>
        <w:t>, en relación con los procesos regidos por documentos tipo</w:t>
      </w:r>
      <w:r w:rsidRPr="00B31310">
        <w:rPr>
          <w:rFonts w:ascii="Arial" w:eastAsia="Arial" w:hAnsi="Arial" w:cs="Arial"/>
          <w:lang w:val="es-ES" w:eastAsia="es-CO"/>
        </w:rPr>
        <w:t xml:space="preserve">. </w:t>
      </w:r>
      <w:r w:rsidR="00074CBD">
        <w:rPr>
          <w:rFonts w:ascii="Arial" w:eastAsia="Arial" w:hAnsi="Arial" w:cs="Arial"/>
          <w:lang w:val="es-ES" w:eastAsia="es-CO"/>
        </w:rPr>
        <w:t xml:space="preserve">De esta forma </w:t>
      </w:r>
      <w:r w:rsidR="00553D2C">
        <w:rPr>
          <w:rFonts w:ascii="Arial" w:eastAsia="Arial" w:hAnsi="Arial" w:cs="Arial"/>
          <w:lang w:val="es-ES" w:eastAsia="es-CO"/>
        </w:rPr>
        <w:t xml:space="preserve">se </w:t>
      </w:r>
      <w:r w:rsidR="00BD589F">
        <w:rPr>
          <w:rFonts w:ascii="Arial" w:eastAsia="Arial" w:hAnsi="Arial" w:cs="Arial"/>
          <w:lang w:val="es-ES" w:eastAsia="es-CO"/>
        </w:rPr>
        <w:t xml:space="preserve">previó </w:t>
      </w:r>
      <w:r w:rsidR="00553D2C">
        <w:rPr>
          <w:rFonts w:ascii="Arial" w:eastAsia="Arial" w:hAnsi="Arial" w:cs="Arial"/>
          <w:lang w:val="es-ES" w:eastAsia="es-CO"/>
        </w:rPr>
        <w:t xml:space="preserve">que </w:t>
      </w:r>
      <w:r w:rsidR="00074CBD">
        <w:rPr>
          <w:rFonts w:ascii="Arial" w:eastAsia="Arial" w:hAnsi="Arial" w:cs="Arial"/>
          <w:lang w:val="es-ES" w:eastAsia="es-CO"/>
        </w:rPr>
        <w:t>est</w:t>
      </w:r>
      <w:r w:rsidR="00553D2C">
        <w:rPr>
          <w:rFonts w:ascii="Arial" w:eastAsia="Arial" w:hAnsi="Arial" w:cs="Arial"/>
          <w:lang w:val="es-ES" w:eastAsia="es-CO"/>
        </w:rPr>
        <w:t>e</w:t>
      </w:r>
      <w:r w:rsidR="00074CBD">
        <w:rPr>
          <w:rFonts w:ascii="Arial" w:eastAsia="Arial" w:hAnsi="Arial" w:cs="Arial"/>
          <w:lang w:val="es-ES" w:eastAsia="es-CO"/>
        </w:rPr>
        <w:t xml:space="preserve"> entrará a regir </w:t>
      </w:r>
      <w:r w:rsidRPr="002C1B8D">
        <w:rPr>
          <w:rFonts w:ascii="Arial" w:eastAsia="Arial" w:hAnsi="Arial" w:cs="Arial"/>
          <w:lang w:val="es-ES" w:eastAsia="es-CO"/>
        </w:rPr>
        <w:t xml:space="preserve">en aquellos </w:t>
      </w:r>
      <w:r w:rsidR="007B6C81">
        <w:rPr>
          <w:rFonts w:ascii="Arial" w:eastAsia="Arial" w:hAnsi="Arial" w:cs="Arial"/>
          <w:lang w:val="es-ES" w:eastAsia="es-CO"/>
        </w:rPr>
        <w:t>procesos</w:t>
      </w:r>
      <w:r w:rsidR="007B6C81" w:rsidRPr="002C1B8D">
        <w:rPr>
          <w:rFonts w:ascii="Arial" w:eastAsia="Arial" w:hAnsi="Arial" w:cs="Arial"/>
          <w:lang w:val="es-ES" w:eastAsia="es-CO"/>
        </w:rPr>
        <w:t xml:space="preserve"> </w:t>
      </w:r>
      <w:r w:rsidRPr="002C1B8D">
        <w:rPr>
          <w:rFonts w:ascii="Arial" w:eastAsia="Arial" w:hAnsi="Arial" w:cs="Arial"/>
          <w:lang w:val="es-ES" w:eastAsia="es-CO"/>
        </w:rPr>
        <w:t xml:space="preserve">en los que </w:t>
      </w:r>
      <w:r w:rsidRPr="002C1B8D">
        <w:rPr>
          <w:rFonts w:ascii="Arial" w:hAnsi="Arial" w:cs="Arial"/>
        </w:rPr>
        <w:t>la</w:t>
      </w:r>
      <w:r w:rsidRPr="00B31310">
        <w:rPr>
          <w:rFonts w:ascii="Arial" w:hAnsi="Arial" w:cs="Arial"/>
        </w:rPr>
        <w:t xml:space="preserve"> publicación del aviso de convocatoria o </w:t>
      </w:r>
      <w:r w:rsidRPr="00B31310">
        <w:rPr>
          <w:rFonts w:ascii="Arial" w:eastAsia="Arial" w:hAnsi="Arial" w:cs="Arial"/>
          <w:lang w:val="es-ES" w:eastAsia="es-CO"/>
        </w:rPr>
        <w:t>la invitación −según corresponda−, se realice a los tres (3) meses de la expedición del</w:t>
      </w:r>
      <w:r w:rsidR="00216A5F">
        <w:rPr>
          <w:rFonts w:ascii="Arial" w:eastAsia="Arial" w:hAnsi="Arial" w:cs="Arial"/>
          <w:lang w:val="es-ES" w:eastAsia="es-CO"/>
        </w:rPr>
        <w:t xml:space="preserve"> Decreto</w:t>
      </w:r>
      <w:r w:rsidRPr="00B31310">
        <w:rPr>
          <w:rFonts w:ascii="Arial" w:eastAsia="Arial" w:hAnsi="Arial" w:cs="Arial"/>
          <w:lang w:val="es-ES" w:eastAsia="es-CO"/>
        </w:rPr>
        <w:t>.</w:t>
      </w:r>
    </w:p>
    <w:p w14:paraId="4681F5F7" w14:textId="63A593D6" w:rsidR="005E55B7" w:rsidRDefault="005E55B7" w:rsidP="003C1225">
      <w:pPr>
        <w:spacing w:after="120" w:line="276" w:lineRule="auto"/>
        <w:ind w:firstLine="708"/>
        <w:jc w:val="both"/>
        <w:rPr>
          <w:rFonts w:ascii="Arial" w:eastAsia="Times New Roman" w:hAnsi="Arial" w:cs="Arial"/>
          <w:color w:val="000000" w:themeColor="text1"/>
          <w:lang w:eastAsia="es-MX"/>
        </w:rPr>
      </w:pPr>
      <w:r>
        <w:rPr>
          <w:rFonts w:ascii="Arial" w:eastAsia="Times New Roman" w:hAnsi="Arial" w:cs="Arial"/>
          <w:color w:val="000000" w:themeColor="text1"/>
          <w:lang w:eastAsia="es-MX"/>
        </w:rPr>
        <w:t>Conforme con</w:t>
      </w:r>
      <w:r w:rsidR="00216A5F">
        <w:rPr>
          <w:rFonts w:ascii="Arial" w:eastAsia="Times New Roman" w:hAnsi="Arial" w:cs="Arial"/>
          <w:color w:val="000000" w:themeColor="text1"/>
          <w:lang w:eastAsia="es-MX"/>
        </w:rPr>
        <w:t xml:space="preserve"> el contenido del parágrafo</w:t>
      </w:r>
      <w:r>
        <w:rPr>
          <w:rFonts w:ascii="Arial" w:eastAsia="Times New Roman" w:hAnsi="Arial" w:cs="Arial"/>
          <w:color w:val="000000" w:themeColor="text1"/>
          <w:lang w:eastAsia="es-MX"/>
        </w:rPr>
        <w:t xml:space="preserve">, la </w:t>
      </w:r>
      <w:proofErr w:type="gramStart"/>
      <w:r>
        <w:rPr>
          <w:rFonts w:ascii="Arial" w:eastAsia="Times New Roman" w:hAnsi="Arial" w:cs="Arial"/>
          <w:color w:val="000000" w:themeColor="text1"/>
          <w:lang w:eastAsia="es-MX"/>
        </w:rPr>
        <w:t>entrada en vigencia</w:t>
      </w:r>
      <w:proofErr w:type="gramEnd"/>
      <w:r>
        <w:rPr>
          <w:rFonts w:ascii="Arial" w:eastAsia="Times New Roman" w:hAnsi="Arial" w:cs="Arial"/>
          <w:color w:val="000000" w:themeColor="text1"/>
          <w:lang w:eastAsia="es-MX"/>
        </w:rPr>
        <w:t xml:space="preserve"> del Decreto 1860 de 2021, </w:t>
      </w:r>
      <w:r w:rsidR="00FE1809">
        <w:rPr>
          <w:rFonts w:ascii="Arial" w:eastAsia="Times New Roman" w:hAnsi="Arial" w:cs="Arial"/>
          <w:color w:val="000000" w:themeColor="text1"/>
          <w:lang w:eastAsia="es-MX"/>
        </w:rPr>
        <w:t xml:space="preserve">en relación con los </w:t>
      </w:r>
      <w:r w:rsidR="000A3A9A">
        <w:rPr>
          <w:rFonts w:ascii="Arial" w:eastAsia="Times New Roman" w:hAnsi="Arial" w:cs="Arial"/>
          <w:color w:val="000000" w:themeColor="text1"/>
          <w:lang w:eastAsia="es-MX"/>
        </w:rPr>
        <w:t xml:space="preserve">procesos contractuales regidos </w:t>
      </w:r>
      <w:r w:rsidR="00FE1809">
        <w:rPr>
          <w:rFonts w:ascii="Arial" w:eastAsia="Times New Roman" w:hAnsi="Arial" w:cs="Arial"/>
          <w:color w:val="000000" w:themeColor="text1"/>
          <w:lang w:eastAsia="es-MX"/>
        </w:rPr>
        <w:t>documentos tipo</w:t>
      </w:r>
      <w:r w:rsidR="00AB657D">
        <w:rPr>
          <w:rFonts w:ascii="Arial" w:eastAsia="Times New Roman" w:hAnsi="Arial" w:cs="Arial"/>
          <w:color w:val="000000" w:themeColor="text1"/>
          <w:lang w:eastAsia="es-MX"/>
        </w:rPr>
        <w:t>,</w:t>
      </w:r>
      <w:r w:rsidR="001521F9">
        <w:rPr>
          <w:rFonts w:ascii="Arial" w:eastAsia="Times New Roman" w:hAnsi="Arial" w:cs="Arial"/>
          <w:color w:val="000000" w:themeColor="text1"/>
          <w:lang w:eastAsia="es-MX"/>
        </w:rPr>
        <w:t xml:space="preserve"> </w:t>
      </w:r>
      <w:r>
        <w:rPr>
          <w:rFonts w:ascii="Arial" w:eastAsia="Times New Roman" w:hAnsi="Arial" w:cs="Arial"/>
          <w:color w:val="000000" w:themeColor="text1"/>
          <w:lang w:eastAsia="es-MX"/>
        </w:rPr>
        <w:t xml:space="preserve">dependerá </w:t>
      </w:r>
      <w:r w:rsidR="001521F9">
        <w:rPr>
          <w:rFonts w:ascii="Arial" w:eastAsia="Times New Roman" w:hAnsi="Arial" w:cs="Arial"/>
          <w:color w:val="000000" w:themeColor="text1"/>
          <w:lang w:eastAsia="es-MX"/>
        </w:rPr>
        <w:t xml:space="preserve">de </w:t>
      </w:r>
      <w:r>
        <w:rPr>
          <w:rFonts w:ascii="Arial" w:eastAsia="Times New Roman" w:hAnsi="Arial" w:cs="Arial"/>
          <w:color w:val="000000" w:themeColor="text1"/>
          <w:lang w:eastAsia="es-MX"/>
        </w:rPr>
        <w:t>si se trata del artículo 5 del Decreto o de cualquier otro. De esta forma, en el primer</w:t>
      </w:r>
      <w:r w:rsidR="00C7165F">
        <w:rPr>
          <w:rFonts w:ascii="Arial" w:eastAsia="Times New Roman" w:hAnsi="Arial" w:cs="Arial"/>
          <w:color w:val="000000" w:themeColor="text1"/>
          <w:lang w:eastAsia="es-MX"/>
        </w:rPr>
        <w:t xml:space="preserve"> supuesto</w:t>
      </w:r>
      <w:r>
        <w:rPr>
          <w:rFonts w:ascii="Arial" w:eastAsia="Times New Roman" w:hAnsi="Arial" w:cs="Arial"/>
          <w:color w:val="000000" w:themeColor="text1"/>
          <w:lang w:eastAsia="es-MX"/>
        </w:rPr>
        <w:t xml:space="preserve">, </w:t>
      </w:r>
      <w:r>
        <w:rPr>
          <w:rFonts w:ascii="Arial" w:eastAsia="Arial" w:hAnsi="Arial" w:cs="Arial"/>
          <w:lang w:val="es-ES" w:eastAsia="es-CO"/>
        </w:rPr>
        <w:t>t</w:t>
      </w:r>
      <w:r w:rsidRPr="00B31310">
        <w:rPr>
          <w:rFonts w:ascii="Arial" w:eastAsia="Arial" w:hAnsi="Arial" w:cs="Arial"/>
          <w:lang w:val="es-ES" w:eastAsia="es-CO"/>
        </w:rPr>
        <w:t xml:space="preserve">eniendo en cuenta que el Decreto fue expedido el 24 de diciembre de 2021, las disposiciones contenidas en el artículo 5 </w:t>
      </w:r>
      <w:r w:rsidR="002C1B8D">
        <w:rPr>
          <w:rFonts w:ascii="Arial" w:eastAsia="Arial" w:hAnsi="Arial" w:cs="Arial"/>
          <w:lang w:val="es-ES" w:eastAsia="es-CO"/>
        </w:rPr>
        <w:t xml:space="preserve">relacionadas con la limitación a </w:t>
      </w:r>
      <w:proofErr w:type="spellStart"/>
      <w:r w:rsidR="002C1B8D">
        <w:rPr>
          <w:rFonts w:ascii="Arial" w:eastAsia="Arial" w:hAnsi="Arial" w:cs="Arial"/>
          <w:lang w:val="es-ES" w:eastAsia="es-CO"/>
        </w:rPr>
        <w:t>Mipymes</w:t>
      </w:r>
      <w:proofErr w:type="spellEnd"/>
      <w:r w:rsidR="0009384A">
        <w:rPr>
          <w:rFonts w:ascii="Arial" w:eastAsia="Arial" w:hAnsi="Arial" w:cs="Arial"/>
          <w:lang w:val="es-ES" w:eastAsia="es-CO"/>
        </w:rPr>
        <w:t xml:space="preserve">, </w:t>
      </w:r>
      <w:r w:rsidRPr="00B31310">
        <w:rPr>
          <w:rFonts w:ascii="Arial" w:eastAsia="Arial" w:hAnsi="Arial" w:cs="Arial"/>
          <w:lang w:val="es-ES" w:eastAsia="es-CO"/>
        </w:rPr>
        <w:t xml:space="preserve">son obligatorias desde </w:t>
      </w:r>
      <w:r w:rsidRPr="00B31310">
        <w:rPr>
          <w:rFonts w:ascii="Arial" w:hAnsi="Arial" w:cs="Arial"/>
        </w:rPr>
        <w:t>el 24 de marzo de 2022</w:t>
      </w:r>
      <w:r>
        <w:rPr>
          <w:rFonts w:ascii="Arial" w:hAnsi="Arial" w:cs="Arial"/>
        </w:rPr>
        <w:t>.</w:t>
      </w:r>
      <w:r>
        <w:rPr>
          <w:rFonts w:ascii="Arial" w:eastAsia="Times New Roman" w:hAnsi="Arial" w:cs="Arial"/>
          <w:color w:val="000000" w:themeColor="text1"/>
          <w:lang w:eastAsia="es-MX"/>
        </w:rPr>
        <w:t xml:space="preserve"> No obstante, si se trata de los otros artículos del Decreto, su </w:t>
      </w:r>
      <w:proofErr w:type="gramStart"/>
      <w:r>
        <w:rPr>
          <w:rFonts w:ascii="Arial" w:eastAsia="Times New Roman" w:hAnsi="Arial" w:cs="Arial"/>
          <w:color w:val="000000" w:themeColor="text1"/>
          <w:lang w:eastAsia="es-MX"/>
        </w:rPr>
        <w:t>entrada en vigencia</w:t>
      </w:r>
      <w:proofErr w:type="gramEnd"/>
      <w:r>
        <w:rPr>
          <w:rFonts w:ascii="Arial" w:eastAsia="Times New Roman" w:hAnsi="Arial" w:cs="Arial"/>
          <w:color w:val="000000" w:themeColor="text1"/>
          <w:lang w:eastAsia="es-MX"/>
        </w:rPr>
        <w:t xml:space="preserve"> está condicionada a </w:t>
      </w:r>
      <w:r w:rsidR="001E0871">
        <w:rPr>
          <w:rFonts w:ascii="Arial" w:eastAsia="Times New Roman" w:hAnsi="Arial" w:cs="Arial"/>
          <w:color w:val="000000" w:themeColor="text1"/>
          <w:lang w:eastAsia="es-MX"/>
        </w:rPr>
        <w:t xml:space="preserve">la modificación de </w:t>
      </w:r>
      <w:r>
        <w:rPr>
          <w:rFonts w:ascii="Arial" w:eastAsia="Times New Roman" w:hAnsi="Arial" w:cs="Arial"/>
          <w:color w:val="000000" w:themeColor="text1"/>
          <w:lang w:eastAsia="es-MX"/>
        </w:rPr>
        <w:t>los documentos tipo por parte de la Agencia</w:t>
      </w:r>
      <w:r w:rsidR="001E0871">
        <w:rPr>
          <w:rFonts w:ascii="Arial" w:eastAsia="Times New Roman" w:hAnsi="Arial" w:cs="Arial"/>
          <w:color w:val="000000" w:themeColor="text1"/>
          <w:lang w:eastAsia="es-MX"/>
        </w:rPr>
        <w:t xml:space="preserve"> Nacional de Contratación Pública – Colombia Compra Eficiente</w:t>
      </w:r>
      <w:r>
        <w:rPr>
          <w:rFonts w:ascii="Arial" w:eastAsia="Times New Roman" w:hAnsi="Arial" w:cs="Arial"/>
          <w:color w:val="000000" w:themeColor="text1"/>
          <w:lang w:eastAsia="es-MX"/>
        </w:rPr>
        <w:t>.</w:t>
      </w:r>
    </w:p>
    <w:p w14:paraId="651D6D8B" w14:textId="72B6ECEB" w:rsidR="00034460" w:rsidRPr="00D93BCE" w:rsidRDefault="005E55B7" w:rsidP="005B759B">
      <w:pPr>
        <w:spacing w:after="120"/>
        <w:ind w:firstLine="709"/>
        <w:jc w:val="both"/>
        <w:rPr>
          <w:rFonts w:ascii="Arial" w:eastAsia="Arial" w:hAnsi="Arial" w:cs="Arial"/>
          <w:szCs w:val="24"/>
          <w:lang w:val="es-ES" w:eastAsia="es-CO"/>
        </w:rPr>
      </w:pPr>
      <w:r>
        <w:rPr>
          <w:rFonts w:ascii="Arial" w:eastAsia="Times New Roman" w:hAnsi="Arial" w:cs="Arial"/>
          <w:color w:val="000000" w:themeColor="text1"/>
          <w:lang w:eastAsia="es-MX"/>
        </w:rPr>
        <w:t xml:space="preserve">Este último supuesto, es el caso del </w:t>
      </w:r>
      <w:r w:rsidRPr="00322504">
        <w:rPr>
          <w:rFonts w:ascii="Arial" w:eastAsia="Times New Roman" w:hAnsi="Arial" w:cs="Arial"/>
          <w:color w:val="000000" w:themeColor="text1"/>
          <w:lang w:eastAsia="es-MX"/>
        </w:rPr>
        <w:t xml:space="preserve">artículo 3 del Decreto 1860 de 2021, que adicionó </w:t>
      </w:r>
      <w:r w:rsidRPr="00322504">
        <w:rPr>
          <w:rFonts w:ascii="Arial" w:eastAsia="Times New Roman" w:hAnsi="Arial" w:cs="Arial"/>
          <w:bCs/>
          <w:color w:val="000000" w:themeColor="text1"/>
          <w:lang w:eastAsia="es-MX"/>
        </w:rPr>
        <w:t xml:space="preserve">el artículo </w:t>
      </w:r>
      <w:r w:rsidRPr="00322504">
        <w:rPr>
          <w:rFonts w:ascii="Arial" w:eastAsia="Times New Roman" w:hAnsi="Arial" w:cs="Arial"/>
          <w:bCs/>
          <w:color w:val="000000" w:themeColor="text1"/>
          <w:szCs w:val="24"/>
          <w:lang w:eastAsia="es-MX"/>
        </w:rPr>
        <w:t>2.2.1.2.4.2.15</w:t>
      </w:r>
      <w:r w:rsidRPr="00E10E70">
        <w:rPr>
          <w:rFonts w:ascii="Arial" w:eastAsia="Times New Roman" w:hAnsi="Arial" w:cs="Arial"/>
          <w:bCs/>
          <w:color w:val="000000" w:themeColor="text1"/>
          <w:szCs w:val="24"/>
          <w:lang w:eastAsia="es-MX"/>
        </w:rPr>
        <w:t xml:space="preserve"> y </w:t>
      </w:r>
      <w:r w:rsidRPr="00322504">
        <w:rPr>
          <w:rFonts w:ascii="Arial" w:eastAsia="Times New Roman" w:hAnsi="Arial" w:cs="Arial"/>
          <w:bCs/>
          <w:color w:val="000000" w:themeColor="text1"/>
          <w:lang w:eastAsia="es-MX"/>
        </w:rPr>
        <w:t xml:space="preserve">2.2.1.2.4.2.18 al </w:t>
      </w:r>
      <w:r w:rsidRPr="00322504">
        <w:rPr>
          <w:rFonts w:ascii="Arial" w:eastAsia="Times New Roman" w:hAnsi="Arial" w:cs="Arial"/>
          <w:lang w:eastAsia="es-MX"/>
        </w:rPr>
        <w:t>Decreto 1082 de 2015</w:t>
      </w:r>
      <w:r w:rsidRPr="00E10E70">
        <w:rPr>
          <w:rFonts w:ascii="Arial" w:eastAsia="Times New Roman" w:hAnsi="Arial" w:cs="Arial"/>
          <w:lang w:eastAsia="es-MX"/>
        </w:rPr>
        <w:t xml:space="preserve">, en los que se establecen </w:t>
      </w:r>
      <w:r w:rsidR="006857D1">
        <w:rPr>
          <w:rFonts w:ascii="Arial" w:eastAsia="Times New Roman" w:hAnsi="Arial" w:cs="Arial"/>
          <w:lang w:eastAsia="es-MX"/>
        </w:rPr>
        <w:t>−</w:t>
      </w:r>
      <w:r w:rsidRPr="00E10E70">
        <w:rPr>
          <w:rFonts w:ascii="Arial" w:eastAsia="Times New Roman" w:hAnsi="Arial" w:cs="Arial"/>
          <w:lang w:eastAsia="es-MX"/>
        </w:rPr>
        <w:t>respectivamente</w:t>
      </w:r>
      <w:r w:rsidR="006857D1">
        <w:rPr>
          <w:rFonts w:ascii="Arial" w:eastAsia="Times New Roman" w:hAnsi="Arial" w:cs="Arial"/>
          <w:lang w:eastAsia="es-MX"/>
        </w:rPr>
        <w:t>−</w:t>
      </w:r>
      <w:r w:rsidRPr="00E10E70">
        <w:rPr>
          <w:rFonts w:ascii="Arial" w:eastAsia="Times New Roman" w:hAnsi="Arial" w:cs="Arial"/>
          <w:lang w:eastAsia="es-MX"/>
        </w:rPr>
        <w:t xml:space="preserve"> </w:t>
      </w:r>
      <w:r w:rsidRPr="00322504">
        <w:rPr>
          <w:rFonts w:ascii="Arial" w:eastAsia="Times New Roman" w:hAnsi="Arial" w:cs="Arial"/>
          <w:color w:val="000000" w:themeColor="text1"/>
          <w:szCs w:val="24"/>
          <w:lang w:eastAsia="es-MX"/>
        </w:rPr>
        <w:t xml:space="preserve">criterios diferenciales a favor de empresas y </w:t>
      </w:r>
      <w:r w:rsidRPr="00E10E70">
        <w:rPr>
          <w:rFonts w:ascii="Arial" w:eastAsia="Times New Roman" w:hAnsi="Arial" w:cs="Arial"/>
          <w:color w:val="000000" w:themeColor="text1"/>
          <w:szCs w:val="24"/>
          <w:lang w:eastAsia="es-MX"/>
        </w:rPr>
        <w:t>e</w:t>
      </w:r>
      <w:r w:rsidRPr="00322504">
        <w:rPr>
          <w:rFonts w:ascii="Arial" w:eastAsia="Times New Roman" w:hAnsi="Arial" w:cs="Arial"/>
          <w:color w:val="000000" w:themeColor="text1"/>
          <w:szCs w:val="24"/>
          <w:lang w:eastAsia="es-MX"/>
        </w:rPr>
        <w:t>mprendimientos de mujere</w:t>
      </w:r>
      <w:r w:rsidRPr="00E10E70">
        <w:rPr>
          <w:rFonts w:ascii="Arial" w:eastAsia="Times New Roman" w:hAnsi="Arial" w:cs="Arial"/>
          <w:color w:val="000000" w:themeColor="text1"/>
          <w:szCs w:val="24"/>
          <w:lang w:eastAsia="es-MX"/>
        </w:rPr>
        <w:t xml:space="preserve">s y </w:t>
      </w:r>
      <w:r w:rsidRPr="00322504">
        <w:rPr>
          <w:rFonts w:ascii="Arial" w:eastAsia="Times New Roman" w:hAnsi="Arial" w:cs="Arial"/>
          <w:lang w:eastAsia="es-MX"/>
        </w:rPr>
        <w:t xml:space="preserve">criterios diferenciales para Mipyme en el sistema de </w:t>
      </w:r>
      <w:r w:rsidRPr="00322504">
        <w:rPr>
          <w:rFonts w:ascii="Arial" w:eastAsia="Times New Roman" w:hAnsi="Arial" w:cs="Arial"/>
          <w:lang w:eastAsia="es-MX"/>
        </w:rPr>
        <w:lastRenderedPageBreak/>
        <w:t>compras públicas</w:t>
      </w:r>
      <w:r>
        <w:rPr>
          <w:rFonts w:ascii="Arial" w:eastAsia="Times New Roman" w:hAnsi="Arial" w:cs="Arial"/>
          <w:lang w:eastAsia="es-MX"/>
        </w:rPr>
        <w:t xml:space="preserve">. De esta forma, su </w:t>
      </w:r>
      <w:proofErr w:type="gramStart"/>
      <w:r>
        <w:rPr>
          <w:rFonts w:ascii="Arial" w:eastAsia="Times New Roman" w:hAnsi="Arial" w:cs="Arial"/>
          <w:lang w:eastAsia="es-MX"/>
        </w:rPr>
        <w:t>entrada en vigencia</w:t>
      </w:r>
      <w:proofErr w:type="gramEnd"/>
      <w:r>
        <w:rPr>
          <w:rFonts w:ascii="Arial" w:eastAsia="Times New Roman" w:hAnsi="Arial" w:cs="Arial"/>
          <w:lang w:eastAsia="es-MX"/>
        </w:rPr>
        <w:t xml:space="preserve"> está supeditada a que la Agencia realice su incorporación en los </w:t>
      </w:r>
      <w:r w:rsidRPr="00E10E70">
        <w:rPr>
          <w:rFonts w:ascii="Arial" w:eastAsia="Arial" w:hAnsi="Arial" w:cs="Arial"/>
          <w:lang w:val="es-ES" w:eastAsia="es-CO"/>
        </w:rPr>
        <w:t>documentos tipo</w:t>
      </w:r>
      <w:r w:rsidR="00F63D5F">
        <w:rPr>
          <w:rFonts w:ascii="Arial" w:hAnsi="Arial" w:cs="Arial"/>
        </w:rPr>
        <w:t>.</w:t>
      </w:r>
    </w:p>
    <w:p w14:paraId="51B8C20F" w14:textId="41A8CD67" w:rsidR="00C35601" w:rsidRDefault="00C35601" w:rsidP="006B6658">
      <w:pPr>
        <w:spacing w:after="0" w:line="276" w:lineRule="auto"/>
        <w:ind w:firstLine="709"/>
        <w:jc w:val="both"/>
        <w:rPr>
          <w:rFonts w:ascii="Arial" w:eastAsia="Calibri" w:hAnsi="Arial" w:cs="Arial"/>
          <w:lang w:val="es-MX"/>
        </w:rPr>
      </w:pPr>
      <w:r>
        <w:rPr>
          <w:rFonts w:ascii="Arial" w:eastAsia="Times New Roman" w:hAnsi="Arial" w:cs="Arial"/>
          <w:lang w:eastAsia="es-CO"/>
        </w:rPr>
        <w:t xml:space="preserve">Sin perjuicio de lo anterior, es pertinente </w:t>
      </w:r>
      <w:r w:rsidR="004E24DF">
        <w:rPr>
          <w:rFonts w:ascii="Arial" w:eastAsia="Times New Roman" w:hAnsi="Arial" w:cs="Arial"/>
          <w:lang w:eastAsia="es-CO"/>
        </w:rPr>
        <w:t>señalar q</w:t>
      </w:r>
      <w:r>
        <w:rPr>
          <w:rFonts w:ascii="Arial" w:eastAsia="Times New Roman" w:hAnsi="Arial" w:cs="Arial"/>
          <w:lang w:eastAsia="es-CO"/>
        </w:rPr>
        <w:t xml:space="preserve">ue actualmente esta Agencia se encuentra trabajando </w:t>
      </w:r>
      <w:r>
        <w:rPr>
          <w:rFonts w:ascii="Arial" w:eastAsia="Calibri" w:hAnsi="Arial" w:cs="Arial"/>
          <w:lang w:val="es-MX"/>
        </w:rPr>
        <w:t xml:space="preserve">en </w:t>
      </w:r>
      <w:r w:rsidRPr="00F018AB">
        <w:rPr>
          <w:rFonts w:ascii="Arial" w:eastAsia="Calibri" w:hAnsi="Arial" w:cs="Arial"/>
          <w:lang w:val="es-MX"/>
        </w:rPr>
        <w:t>una modificación transversal a los documentos tipo</w:t>
      </w:r>
      <w:r w:rsidR="00EB626D">
        <w:rPr>
          <w:rFonts w:ascii="Arial" w:eastAsia="Calibri" w:hAnsi="Arial" w:cs="Arial"/>
          <w:lang w:val="es-MX"/>
        </w:rPr>
        <w:t xml:space="preserve"> señalados</w:t>
      </w:r>
      <w:r w:rsidRPr="00F018AB">
        <w:rPr>
          <w:rFonts w:ascii="Arial" w:eastAsia="Calibri" w:hAnsi="Arial" w:cs="Arial"/>
          <w:lang w:val="es-MX"/>
        </w:rPr>
        <w:t xml:space="preserve">, con ocasión </w:t>
      </w:r>
      <w:r>
        <w:rPr>
          <w:rFonts w:ascii="Arial" w:eastAsia="Calibri" w:hAnsi="Arial" w:cs="Arial"/>
          <w:lang w:val="es-MX"/>
        </w:rPr>
        <w:t xml:space="preserve">a </w:t>
      </w:r>
      <w:r w:rsidRPr="00F018AB">
        <w:rPr>
          <w:rFonts w:ascii="Arial" w:eastAsia="Calibri" w:hAnsi="Arial" w:cs="Arial"/>
          <w:lang w:val="es-MX"/>
        </w:rPr>
        <w:t>la reglamentación contenida en el Decreto 1860 de 2021</w:t>
      </w:r>
      <w:r w:rsidR="00E74C09">
        <w:rPr>
          <w:rStyle w:val="Refdenotaalpie"/>
          <w:rFonts w:ascii="Arial" w:eastAsia="Calibri" w:hAnsi="Arial" w:cs="Arial"/>
          <w:lang w:val="es-MX"/>
        </w:rPr>
        <w:footnoteReference w:id="11"/>
      </w:r>
      <w:r>
        <w:rPr>
          <w:rFonts w:ascii="Arial" w:eastAsia="Calibri" w:hAnsi="Arial" w:cs="Arial"/>
          <w:lang w:val="es-MX"/>
        </w:rPr>
        <w:t>. De esta forma, una vez expedida la Resolución que adopte lo modificación, esta será obligatoria, en los términos que allí se establezcan.</w:t>
      </w:r>
    </w:p>
    <w:bookmarkEnd w:id="9"/>
    <w:p w14:paraId="5A410BCD" w14:textId="77777777" w:rsidR="0091408C" w:rsidRPr="00300E95" w:rsidRDefault="0091408C" w:rsidP="00EB626D">
      <w:pPr>
        <w:spacing w:after="0" w:line="276" w:lineRule="auto"/>
        <w:jc w:val="both"/>
        <w:rPr>
          <w:rFonts w:ascii="Arial" w:eastAsia="Times New Roman" w:hAnsi="Arial" w:cs="Arial"/>
          <w:color w:val="000000"/>
          <w:szCs w:val="24"/>
          <w:lang w:eastAsia="es-ES_tradnl"/>
        </w:rPr>
      </w:pPr>
    </w:p>
    <w:p w14:paraId="0C6EA4AF" w14:textId="77777777" w:rsidR="0091408C" w:rsidRDefault="0091408C" w:rsidP="007E7A5E">
      <w:pPr>
        <w:spacing w:after="0" w:line="276" w:lineRule="auto"/>
        <w:jc w:val="both"/>
        <w:rPr>
          <w:rFonts w:ascii="Arial" w:eastAsia="Calibri" w:hAnsi="Arial" w:cs="Arial"/>
          <w:b/>
        </w:rPr>
      </w:pPr>
      <w:r w:rsidRPr="0014392D">
        <w:rPr>
          <w:rFonts w:ascii="Arial" w:eastAsia="Calibri" w:hAnsi="Arial" w:cs="Arial"/>
          <w:b/>
        </w:rPr>
        <w:t>3. Respuesta</w:t>
      </w:r>
      <w:r>
        <w:rPr>
          <w:rFonts w:ascii="Arial" w:eastAsia="Calibri" w:hAnsi="Arial" w:cs="Arial"/>
          <w:b/>
        </w:rPr>
        <w:t xml:space="preserve"> </w:t>
      </w:r>
    </w:p>
    <w:p w14:paraId="0BB08A45" w14:textId="77777777" w:rsidR="0091408C" w:rsidRDefault="0091408C" w:rsidP="007E7A5E">
      <w:pPr>
        <w:spacing w:after="0" w:line="276" w:lineRule="auto"/>
        <w:ind w:left="709" w:right="709"/>
        <w:jc w:val="center"/>
        <w:rPr>
          <w:rFonts w:ascii="Arial" w:hAnsi="Arial" w:cs="Arial"/>
          <w:sz w:val="21"/>
          <w:szCs w:val="21"/>
        </w:rPr>
      </w:pPr>
    </w:p>
    <w:p w14:paraId="74F60742" w14:textId="56DEDB5D" w:rsidR="007E7A5E" w:rsidRPr="000A6A6F" w:rsidRDefault="007E7A5E" w:rsidP="007E7A5E">
      <w:pPr>
        <w:spacing w:after="120" w:line="240" w:lineRule="auto"/>
        <w:ind w:left="709" w:right="709"/>
        <w:jc w:val="both"/>
        <w:rPr>
          <w:rFonts w:ascii="Arial" w:hAnsi="Arial" w:cs="Arial"/>
          <w:sz w:val="21"/>
          <w:szCs w:val="21"/>
        </w:rPr>
      </w:pPr>
      <w:r>
        <w:rPr>
          <w:rFonts w:ascii="Arial" w:hAnsi="Arial" w:cs="Arial"/>
          <w:sz w:val="21"/>
          <w:szCs w:val="21"/>
        </w:rPr>
        <w:t xml:space="preserve">i). </w:t>
      </w:r>
      <w:r w:rsidRPr="000A6A6F">
        <w:rPr>
          <w:rFonts w:ascii="Arial" w:hAnsi="Arial" w:cs="Arial"/>
          <w:sz w:val="21"/>
          <w:szCs w:val="21"/>
        </w:rPr>
        <w:t>«[¿]</w:t>
      </w:r>
      <w:r w:rsidR="00BF76DD">
        <w:rPr>
          <w:rFonts w:ascii="Arial" w:hAnsi="Arial" w:cs="Arial"/>
          <w:sz w:val="21"/>
          <w:szCs w:val="21"/>
        </w:rPr>
        <w:t xml:space="preserve"> </w:t>
      </w:r>
      <w:r w:rsidRPr="000A6A6F">
        <w:rPr>
          <w:rFonts w:ascii="Arial" w:hAnsi="Arial" w:cs="Arial"/>
          <w:sz w:val="21"/>
          <w:szCs w:val="21"/>
        </w:rPr>
        <w:t xml:space="preserve">como (sic) deben proceder las entidades frente a los criterios diferenciales dispuestos en la Ley 2069 de 2021 reglamentados por el Decreto 1860 de 2021 en aquellos procesos donde apliquen documentos tipo? </w:t>
      </w:r>
    </w:p>
    <w:p w14:paraId="1D816345" w14:textId="77777777" w:rsidR="007E7A5E" w:rsidRPr="000A6A6F" w:rsidRDefault="007E7A5E" w:rsidP="007E7A5E">
      <w:pPr>
        <w:spacing w:after="120" w:line="240" w:lineRule="auto"/>
        <w:ind w:left="709" w:right="709"/>
        <w:jc w:val="both"/>
        <w:rPr>
          <w:rFonts w:ascii="Arial" w:hAnsi="Arial" w:cs="Arial"/>
          <w:sz w:val="21"/>
          <w:szCs w:val="21"/>
        </w:rPr>
      </w:pPr>
      <w:proofErr w:type="spellStart"/>
      <w:r>
        <w:rPr>
          <w:rFonts w:ascii="Arial" w:hAnsi="Arial" w:cs="Arial"/>
          <w:sz w:val="21"/>
          <w:szCs w:val="21"/>
        </w:rPr>
        <w:t>ii</w:t>
      </w:r>
      <w:proofErr w:type="spellEnd"/>
      <w:r>
        <w:rPr>
          <w:rFonts w:ascii="Arial" w:hAnsi="Arial" w:cs="Arial"/>
          <w:sz w:val="21"/>
          <w:szCs w:val="21"/>
        </w:rPr>
        <w:t xml:space="preserve">) </w:t>
      </w:r>
      <w:r w:rsidRPr="000A6A6F">
        <w:rPr>
          <w:rFonts w:ascii="Arial" w:hAnsi="Arial" w:cs="Arial"/>
          <w:sz w:val="21"/>
          <w:szCs w:val="21"/>
        </w:rPr>
        <w:t xml:space="preserve">¿debe esperar a que CCE haga las modificaciones de los documentos tipo </w:t>
      </w:r>
      <w:proofErr w:type="gramStart"/>
      <w:r w:rsidRPr="000A6A6F">
        <w:rPr>
          <w:rFonts w:ascii="Arial" w:hAnsi="Arial" w:cs="Arial"/>
          <w:sz w:val="21"/>
          <w:szCs w:val="21"/>
        </w:rPr>
        <w:t>en relación a</w:t>
      </w:r>
      <w:proofErr w:type="gramEnd"/>
      <w:r w:rsidRPr="000A6A6F">
        <w:rPr>
          <w:rFonts w:ascii="Arial" w:hAnsi="Arial" w:cs="Arial"/>
          <w:sz w:val="21"/>
          <w:szCs w:val="21"/>
        </w:rPr>
        <w:t xml:space="preserve"> la aplicación de dichos criterios? </w:t>
      </w:r>
    </w:p>
    <w:p w14:paraId="07C9FDF3" w14:textId="77777777" w:rsidR="007E7A5E" w:rsidRPr="000A6A6F" w:rsidRDefault="007E7A5E" w:rsidP="007E7A5E">
      <w:pPr>
        <w:spacing w:after="0" w:line="240" w:lineRule="auto"/>
        <w:ind w:left="709" w:right="709"/>
        <w:jc w:val="both"/>
        <w:rPr>
          <w:rFonts w:ascii="Arial" w:eastAsia="Calibri" w:hAnsi="Arial" w:cs="Arial"/>
          <w:b/>
          <w:sz w:val="21"/>
          <w:szCs w:val="21"/>
        </w:rPr>
      </w:pPr>
      <w:proofErr w:type="spellStart"/>
      <w:r>
        <w:rPr>
          <w:rFonts w:ascii="Arial" w:hAnsi="Arial" w:cs="Arial"/>
          <w:sz w:val="21"/>
          <w:szCs w:val="21"/>
        </w:rPr>
        <w:t>iii</w:t>
      </w:r>
      <w:proofErr w:type="spellEnd"/>
      <w:r>
        <w:rPr>
          <w:rFonts w:ascii="Arial" w:hAnsi="Arial" w:cs="Arial"/>
          <w:sz w:val="21"/>
          <w:szCs w:val="21"/>
        </w:rPr>
        <w:t xml:space="preserve">) </w:t>
      </w:r>
      <w:r w:rsidRPr="000A6A6F">
        <w:rPr>
          <w:rFonts w:ascii="Arial" w:hAnsi="Arial" w:cs="Arial"/>
          <w:sz w:val="21"/>
          <w:szCs w:val="21"/>
        </w:rPr>
        <w:t xml:space="preserve">¿lo debe hacer la entidad desde la </w:t>
      </w:r>
      <w:proofErr w:type="gramStart"/>
      <w:r w:rsidRPr="000A6A6F">
        <w:rPr>
          <w:rFonts w:ascii="Arial" w:hAnsi="Arial" w:cs="Arial"/>
          <w:sz w:val="21"/>
          <w:szCs w:val="21"/>
        </w:rPr>
        <w:t>entrada en vigencia</w:t>
      </w:r>
      <w:proofErr w:type="gramEnd"/>
      <w:r w:rsidRPr="000A6A6F">
        <w:rPr>
          <w:rFonts w:ascii="Arial" w:hAnsi="Arial" w:cs="Arial"/>
          <w:sz w:val="21"/>
          <w:szCs w:val="21"/>
        </w:rPr>
        <w:t xml:space="preserve"> del Decreto 1860 de 2021</w:t>
      </w:r>
      <w:r>
        <w:rPr>
          <w:rFonts w:ascii="Arial" w:hAnsi="Arial" w:cs="Arial"/>
          <w:sz w:val="21"/>
          <w:szCs w:val="21"/>
        </w:rPr>
        <w:t>»</w:t>
      </w:r>
    </w:p>
    <w:p w14:paraId="1E66E975" w14:textId="3E21FB8A" w:rsidR="0091408C" w:rsidRDefault="0091408C" w:rsidP="007E7A5E">
      <w:pPr>
        <w:spacing w:after="0"/>
      </w:pPr>
    </w:p>
    <w:p w14:paraId="38BBB6D3" w14:textId="19703875" w:rsidR="00E25D79" w:rsidRDefault="00E25D79" w:rsidP="00BE4139">
      <w:pPr>
        <w:spacing w:after="120" w:line="276" w:lineRule="auto"/>
        <w:jc w:val="both"/>
        <w:rPr>
          <w:rFonts w:ascii="Arial" w:hAnsi="Arial" w:cs="Arial"/>
        </w:rPr>
      </w:pPr>
      <w:r w:rsidRPr="00BE4139">
        <w:rPr>
          <w:rFonts w:ascii="Arial" w:hAnsi="Arial" w:cs="Arial"/>
        </w:rPr>
        <w:t xml:space="preserve">Teniendo en cuenta </w:t>
      </w:r>
      <w:r>
        <w:rPr>
          <w:rFonts w:ascii="Arial" w:hAnsi="Arial" w:cs="Arial"/>
        </w:rPr>
        <w:t xml:space="preserve">que las tres </w:t>
      </w:r>
      <w:r w:rsidR="00E21D90">
        <w:rPr>
          <w:rFonts w:ascii="Arial" w:hAnsi="Arial" w:cs="Arial"/>
        </w:rPr>
        <w:t xml:space="preserve">(3) </w:t>
      </w:r>
      <w:r>
        <w:rPr>
          <w:rFonts w:ascii="Arial" w:hAnsi="Arial" w:cs="Arial"/>
        </w:rPr>
        <w:t xml:space="preserve">preguntas </w:t>
      </w:r>
      <w:r w:rsidR="00A675F9">
        <w:rPr>
          <w:rFonts w:ascii="Arial" w:hAnsi="Arial" w:cs="Arial"/>
        </w:rPr>
        <w:t xml:space="preserve">de su solicitud se relacionan con la </w:t>
      </w:r>
      <w:proofErr w:type="gramStart"/>
      <w:r w:rsidR="00A675F9">
        <w:rPr>
          <w:rFonts w:ascii="Arial" w:hAnsi="Arial" w:cs="Arial"/>
        </w:rPr>
        <w:t>entrada en vigencia</w:t>
      </w:r>
      <w:proofErr w:type="gramEnd"/>
      <w:r w:rsidR="00A675F9">
        <w:rPr>
          <w:rFonts w:ascii="Arial" w:hAnsi="Arial" w:cs="Arial"/>
        </w:rPr>
        <w:t xml:space="preserve"> de los criterios diferenciales dispuestos </w:t>
      </w:r>
      <w:r w:rsidR="00E21D90">
        <w:rPr>
          <w:rFonts w:ascii="Arial" w:hAnsi="Arial" w:cs="Arial"/>
        </w:rPr>
        <w:t xml:space="preserve">la Ley 2069 de 2021 y reglamentados por el Gobierno Nacional </w:t>
      </w:r>
      <w:r w:rsidR="00A675F9">
        <w:rPr>
          <w:rFonts w:ascii="Arial" w:hAnsi="Arial" w:cs="Arial"/>
        </w:rPr>
        <w:t xml:space="preserve">en el Decreto </w:t>
      </w:r>
      <w:r w:rsidR="00E21D90">
        <w:rPr>
          <w:rFonts w:ascii="Arial" w:hAnsi="Arial" w:cs="Arial"/>
        </w:rPr>
        <w:t xml:space="preserve">1860 de 2021, </w:t>
      </w:r>
      <w:r w:rsidR="00880C3D">
        <w:rPr>
          <w:rFonts w:ascii="Arial" w:hAnsi="Arial" w:cs="Arial"/>
        </w:rPr>
        <w:t xml:space="preserve">en los procesos regidos por los documentos tipo, </w:t>
      </w:r>
      <w:r w:rsidR="00E21D90">
        <w:rPr>
          <w:rFonts w:ascii="Arial" w:hAnsi="Arial" w:cs="Arial"/>
        </w:rPr>
        <w:t>estas se responderán de forma conjunta en los siguientes términos:</w:t>
      </w:r>
    </w:p>
    <w:p w14:paraId="3E7287FE" w14:textId="77777777" w:rsidR="00AB657D" w:rsidRDefault="000D2EC6" w:rsidP="00AB657D">
      <w:pPr>
        <w:spacing w:after="120" w:line="276" w:lineRule="auto"/>
        <w:jc w:val="both"/>
        <w:rPr>
          <w:rFonts w:ascii="Arial" w:eastAsia="Arial" w:hAnsi="Arial" w:cs="Arial"/>
          <w:lang w:val="es-ES" w:eastAsia="es-CO"/>
        </w:rPr>
      </w:pPr>
      <w:r>
        <w:rPr>
          <w:rFonts w:ascii="Arial" w:eastAsia="Arial" w:hAnsi="Arial" w:cs="Arial"/>
          <w:szCs w:val="24"/>
          <w:lang w:val="es-ES" w:eastAsia="es-CO"/>
        </w:rPr>
        <w:tab/>
      </w:r>
      <w:r w:rsidR="00AB657D">
        <w:rPr>
          <w:rFonts w:ascii="Arial" w:eastAsia="Times New Roman" w:hAnsi="Arial" w:cs="Arial"/>
          <w:szCs w:val="24"/>
          <w:lang w:eastAsia="es-MX"/>
        </w:rPr>
        <w:t>Para aplicar las disposiciones contenidas en el Decreto 1860 de 2021, el artículo 8</w:t>
      </w:r>
      <w:r w:rsidR="00AB657D">
        <w:rPr>
          <w:rStyle w:val="Refdenotaalpie"/>
          <w:rFonts w:ascii="Arial" w:eastAsia="Times New Roman" w:hAnsi="Arial" w:cs="Arial"/>
          <w:szCs w:val="24"/>
          <w:lang w:eastAsia="es-MX"/>
        </w:rPr>
        <w:footnoteReference w:id="12"/>
      </w:r>
      <w:r w:rsidR="00AB657D">
        <w:rPr>
          <w:rFonts w:ascii="Arial" w:eastAsia="Times New Roman" w:hAnsi="Arial" w:cs="Arial"/>
          <w:szCs w:val="24"/>
          <w:lang w:eastAsia="es-MX"/>
        </w:rPr>
        <w:t xml:space="preserve"> de dicho decreto estableció el momento a partir del cual sus disposiciones surtirían efectos.</w:t>
      </w:r>
      <w:r w:rsidR="00AB657D">
        <w:rPr>
          <w:rFonts w:ascii="Arial" w:eastAsia="Calibri" w:hAnsi="Arial" w:cs="Arial"/>
        </w:rPr>
        <w:t xml:space="preserve"> De esta forma, se estableció que estas </w:t>
      </w:r>
      <w:r w:rsidR="00AB657D">
        <w:rPr>
          <w:rFonts w:ascii="Arial" w:eastAsia="Arial" w:hAnsi="Arial" w:cs="Arial"/>
          <w:lang w:val="es-ES" w:eastAsia="es-CO"/>
        </w:rPr>
        <w:t xml:space="preserve">aplicarán a los procesos de selección cuya </w:t>
      </w:r>
      <w:r w:rsidR="00AB657D">
        <w:rPr>
          <w:rFonts w:ascii="Arial" w:eastAsia="Arial" w:hAnsi="Arial" w:cs="Arial"/>
          <w:lang w:val="es-ES" w:eastAsia="es-CO"/>
        </w:rPr>
        <w:lastRenderedPageBreak/>
        <w:t xml:space="preserve">invitación, aviso de convocatoria o documento equivalente –según corresponda–, se publique después de los tres (3) meses de su expedición. </w:t>
      </w:r>
    </w:p>
    <w:p w14:paraId="4AD7DF28" w14:textId="77777777" w:rsidR="00AB657D" w:rsidRDefault="00AB657D" w:rsidP="00AB657D">
      <w:pPr>
        <w:autoSpaceDE w:val="0"/>
        <w:autoSpaceDN w:val="0"/>
        <w:adjustRightInd w:val="0"/>
        <w:spacing w:after="120" w:line="276" w:lineRule="auto"/>
        <w:ind w:firstLine="708"/>
        <w:jc w:val="both"/>
        <w:rPr>
          <w:rFonts w:ascii="Arial" w:eastAsia="Arial" w:hAnsi="Arial" w:cs="Arial"/>
          <w:lang w:eastAsia="es-MX"/>
        </w:rPr>
      </w:pPr>
      <w:r>
        <w:rPr>
          <w:rFonts w:ascii="Arial" w:eastAsia="Arial" w:hAnsi="Arial" w:cs="Arial"/>
          <w:lang w:val="es-ES" w:eastAsia="es-CO"/>
        </w:rPr>
        <w:t xml:space="preserve">No obstante, en relación con </w:t>
      </w:r>
      <w:r w:rsidRPr="008D1D26">
        <w:rPr>
          <w:rFonts w:ascii="Arial" w:eastAsia="Arial" w:hAnsi="Arial" w:cs="Arial"/>
          <w:lang w:val="es-ES" w:eastAsia="es-CO"/>
        </w:rPr>
        <w:t xml:space="preserve">los procesos de contratación que se </w:t>
      </w:r>
      <w:r>
        <w:rPr>
          <w:rFonts w:ascii="Arial" w:eastAsia="Arial" w:hAnsi="Arial" w:cs="Arial"/>
          <w:lang w:val="es-ES" w:eastAsia="es-CO"/>
        </w:rPr>
        <w:t xml:space="preserve">rijan por los </w:t>
      </w:r>
      <w:r w:rsidRPr="008D1D26">
        <w:rPr>
          <w:rFonts w:ascii="Arial" w:eastAsia="Arial" w:hAnsi="Arial" w:cs="Arial"/>
          <w:lang w:val="es-ES" w:eastAsia="es-CO"/>
        </w:rPr>
        <w:t xml:space="preserve">Documentos </w:t>
      </w:r>
      <w:r>
        <w:rPr>
          <w:rFonts w:ascii="Arial" w:eastAsia="Arial" w:hAnsi="Arial" w:cs="Arial"/>
          <w:lang w:val="es-ES" w:eastAsia="es-CO"/>
        </w:rPr>
        <w:t>T</w:t>
      </w:r>
      <w:r w:rsidRPr="008D1D26">
        <w:rPr>
          <w:rFonts w:ascii="Arial" w:eastAsia="Arial" w:hAnsi="Arial" w:cs="Arial"/>
          <w:lang w:val="es-ES" w:eastAsia="es-CO"/>
        </w:rPr>
        <w:t>ipo</w:t>
      </w:r>
      <w:r>
        <w:rPr>
          <w:rFonts w:ascii="Arial" w:eastAsia="Arial" w:hAnsi="Arial" w:cs="Arial"/>
          <w:lang w:val="es-ES" w:eastAsia="es-CO"/>
        </w:rPr>
        <w:t xml:space="preserve">, en el parágrafo del artículo se dispuso que </w:t>
      </w:r>
      <w:r w:rsidRPr="008D1D26">
        <w:rPr>
          <w:rFonts w:ascii="Arial" w:eastAsia="Arial" w:hAnsi="Arial" w:cs="Arial"/>
          <w:lang w:val="es-ES" w:eastAsia="es-CO"/>
        </w:rPr>
        <w:t>las disposiciones contenidas en el</w:t>
      </w:r>
      <w:r>
        <w:rPr>
          <w:rFonts w:ascii="Arial" w:eastAsia="Arial" w:hAnsi="Arial" w:cs="Arial"/>
          <w:lang w:val="es-ES" w:eastAsia="es-CO"/>
        </w:rPr>
        <w:t xml:space="preserve"> Decreto</w:t>
      </w:r>
      <w:r w:rsidRPr="008D1D26">
        <w:rPr>
          <w:rFonts w:ascii="Arial" w:eastAsia="Arial" w:hAnsi="Arial" w:cs="Arial"/>
          <w:lang w:val="es-ES" w:eastAsia="es-CO"/>
        </w:rPr>
        <w:t xml:space="preserve"> no se aplicar</w:t>
      </w:r>
      <w:r>
        <w:rPr>
          <w:rFonts w:ascii="Arial" w:eastAsia="Arial" w:hAnsi="Arial" w:cs="Arial"/>
          <w:lang w:val="es-ES" w:eastAsia="es-CO"/>
        </w:rPr>
        <w:t>í</w:t>
      </w:r>
      <w:r w:rsidRPr="008D1D26">
        <w:rPr>
          <w:rFonts w:ascii="Arial" w:eastAsia="Arial" w:hAnsi="Arial" w:cs="Arial"/>
          <w:lang w:val="es-ES" w:eastAsia="es-CO"/>
        </w:rPr>
        <w:t xml:space="preserve">an a </w:t>
      </w:r>
      <w:r>
        <w:rPr>
          <w:rFonts w:ascii="Arial" w:eastAsia="Arial" w:hAnsi="Arial" w:cs="Arial"/>
          <w:lang w:val="es-ES" w:eastAsia="es-CO"/>
        </w:rPr>
        <w:t>dichos</w:t>
      </w:r>
      <w:r w:rsidRPr="008D1D26">
        <w:rPr>
          <w:rFonts w:ascii="Arial" w:eastAsia="Arial" w:hAnsi="Arial" w:cs="Arial"/>
          <w:lang w:val="es-ES" w:eastAsia="es-CO"/>
        </w:rPr>
        <w:t xml:space="preserve"> procesos hasta que </w:t>
      </w:r>
      <w:r>
        <w:rPr>
          <w:rFonts w:ascii="Arial" w:eastAsia="Arial" w:hAnsi="Arial" w:cs="Arial"/>
          <w:lang w:val="es-ES" w:eastAsia="es-CO"/>
        </w:rPr>
        <w:t xml:space="preserve">la </w:t>
      </w:r>
      <w:r w:rsidRPr="008D1D26">
        <w:rPr>
          <w:rFonts w:ascii="Arial" w:eastAsia="Arial" w:hAnsi="Arial" w:cs="Arial"/>
          <w:lang w:val="es-ES" w:eastAsia="es-CO"/>
        </w:rPr>
        <w:t>Agencia</w:t>
      </w:r>
      <w:r>
        <w:rPr>
          <w:rFonts w:ascii="Arial" w:eastAsia="Arial" w:hAnsi="Arial" w:cs="Arial"/>
          <w:lang w:val="es-ES" w:eastAsia="es-CO"/>
        </w:rPr>
        <w:t xml:space="preserve"> Nacional de Contratación Pública − Colombia Compra Eficiente</w:t>
      </w:r>
      <w:r w:rsidRPr="008D1D26">
        <w:rPr>
          <w:rFonts w:ascii="Arial" w:eastAsia="Arial" w:hAnsi="Arial" w:cs="Arial"/>
          <w:lang w:val="es-ES" w:eastAsia="es-CO"/>
        </w:rPr>
        <w:t xml:space="preserve"> incorpore</w:t>
      </w:r>
      <w:r>
        <w:rPr>
          <w:rFonts w:ascii="Arial" w:eastAsia="Arial" w:hAnsi="Arial" w:cs="Arial"/>
          <w:lang w:val="es-ES" w:eastAsia="es-CO"/>
        </w:rPr>
        <w:t xml:space="preserve"> en estos documentos </w:t>
      </w:r>
      <w:r w:rsidRPr="008D1D26">
        <w:rPr>
          <w:rFonts w:ascii="Arial" w:eastAsia="Arial" w:hAnsi="Arial" w:cs="Arial"/>
          <w:lang w:val="es-ES" w:eastAsia="es-CO"/>
        </w:rPr>
        <w:t>las modificaciones pertinentes</w:t>
      </w:r>
      <w:r>
        <w:rPr>
          <w:rFonts w:ascii="Arial" w:eastAsia="Arial" w:hAnsi="Arial" w:cs="Arial"/>
          <w:lang w:val="es-ES" w:eastAsia="es-CO"/>
        </w:rPr>
        <w:t>. Para el efecto, se señaló que la Agencia tendría un plazo de seis (6) meses contados a partir de la expedición del reglamento para adecuar los documentos tipo a las disposiciones del Decreto</w:t>
      </w:r>
      <w:r w:rsidRPr="008D1D26">
        <w:rPr>
          <w:rFonts w:ascii="Arial" w:eastAsia="Arial" w:hAnsi="Arial" w:cs="Arial"/>
          <w:lang w:val="es-ES" w:eastAsia="es-CO"/>
        </w:rPr>
        <w:t>.</w:t>
      </w:r>
      <w:r>
        <w:rPr>
          <w:rFonts w:ascii="Arial" w:eastAsia="Arial" w:hAnsi="Arial" w:cs="Arial"/>
          <w:lang w:val="es-ES" w:eastAsia="es-CO"/>
        </w:rPr>
        <w:t xml:space="preserve"> En este sentido, hasta que la adecuación no ocurra</w:t>
      </w:r>
      <w:r w:rsidRPr="008D1D26">
        <w:rPr>
          <w:rFonts w:ascii="Arial" w:eastAsia="Arial" w:hAnsi="Arial" w:cs="Arial"/>
          <w:lang w:val="es-ES" w:eastAsia="es-CO"/>
        </w:rPr>
        <w:t xml:space="preserve"> se continuarán aplicando los instrumentos y </w:t>
      </w:r>
      <w:r w:rsidRPr="008D1D26">
        <w:rPr>
          <w:rFonts w:ascii="Arial" w:eastAsia="Arial" w:hAnsi="Arial" w:cs="Arial"/>
          <w:lang w:eastAsia="es-MX"/>
        </w:rPr>
        <w:t>las normas vigentes anteriores a la expedición del</w:t>
      </w:r>
      <w:r>
        <w:rPr>
          <w:rFonts w:ascii="Arial" w:eastAsia="Arial" w:hAnsi="Arial" w:cs="Arial"/>
          <w:lang w:eastAsia="es-MX"/>
        </w:rPr>
        <w:t xml:space="preserve"> reglamento, conforme a la regulación contenida en los Documentos Tipo vigentes.</w:t>
      </w:r>
    </w:p>
    <w:p w14:paraId="5698F119" w14:textId="77777777" w:rsidR="00AB657D" w:rsidRDefault="00AB657D" w:rsidP="00AB657D">
      <w:pPr>
        <w:spacing w:after="120" w:line="276" w:lineRule="auto"/>
        <w:ind w:firstLine="708"/>
        <w:jc w:val="both"/>
        <w:rPr>
          <w:rFonts w:ascii="Arial" w:eastAsia="Arial" w:hAnsi="Arial" w:cs="Arial"/>
          <w:lang w:val="es-ES" w:eastAsia="es-CO"/>
        </w:rPr>
      </w:pPr>
      <w:r w:rsidRPr="00B31310">
        <w:rPr>
          <w:rFonts w:ascii="Arial" w:eastAsia="Arial" w:hAnsi="Arial" w:cs="Arial"/>
          <w:lang w:val="es-ES" w:eastAsia="es-CO"/>
        </w:rPr>
        <w:t xml:space="preserve">Sin perjuicio de lo anterior, el segundo inciso del parágrafo señala una regla distinta en relación con la </w:t>
      </w:r>
      <w:proofErr w:type="gramStart"/>
      <w:r w:rsidRPr="00B31310">
        <w:rPr>
          <w:rFonts w:ascii="Arial" w:eastAsia="Arial" w:hAnsi="Arial" w:cs="Arial"/>
          <w:lang w:val="es-ES" w:eastAsia="es-CO"/>
        </w:rPr>
        <w:t>entrada en vigencia</w:t>
      </w:r>
      <w:proofErr w:type="gramEnd"/>
      <w:r w:rsidRPr="00B31310">
        <w:rPr>
          <w:rFonts w:ascii="Arial" w:eastAsia="Arial" w:hAnsi="Arial" w:cs="Arial"/>
          <w:lang w:val="es-ES" w:eastAsia="es-CO"/>
        </w:rPr>
        <w:t xml:space="preserve"> del artículo 5 del reglamento</w:t>
      </w:r>
      <w:r>
        <w:rPr>
          <w:rFonts w:ascii="Arial" w:eastAsia="Arial" w:hAnsi="Arial" w:cs="Arial"/>
          <w:lang w:val="es-ES" w:eastAsia="es-CO"/>
        </w:rPr>
        <w:t>, en relación con los procesos regidos por documentos tipo</w:t>
      </w:r>
      <w:r w:rsidRPr="00B31310">
        <w:rPr>
          <w:rFonts w:ascii="Arial" w:eastAsia="Arial" w:hAnsi="Arial" w:cs="Arial"/>
          <w:lang w:val="es-ES" w:eastAsia="es-CO"/>
        </w:rPr>
        <w:t xml:space="preserve">. </w:t>
      </w:r>
      <w:r>
        <w:rPr>
          <w:rFonts w:ascii="Arial" w:eastAsia="Arial" w:hAnsi="Arial" w:cs="Arial"/>
          <w:lang w:val="es-ES" w:eastAsia="es-CO"/>
        </w:rPr>
        <w:t xml:space="preserve">De esta forma se previó que este entrará a regir </w:t>
      </w:r>
      <w:r w:rsidRPr="002C1B8D">
        <w:rPr>
          <w:rFonts w:ascii="Arial" w:eastAsia="Arial" w:hAnsi="Arial" w:cs="Arial"/>
          <w:lang w:val="es-ES" w:eastAsia="es-CO"/>
        </w:rPr>
        <w:t xml:space="preserve">en aquellos </w:t>
      </w:r>
      <w:r>
        <w:rPr>
          <w:rFonts w:ascii="Arial" w:eastAsia="Arial" w:hAnsi="Arial" w:cs="Arial"/>
          <w:lang w:val="es-ES" w:eastAsia="es-CO"/>
        </w:rPr>
        <w:t>procesos</w:t>
      </w:r>
      <w:r w:rsidRPr="002C1B8D">
        <w:rPr>
          <w:rFonts w:ascii="Arial" w:eastAsia="Arial" w:hAnsi="Arial" w:cs="Arial"/>
          <w:lang w:val="es-ES" w:eastAsia="es-CO"/>
        </w:rPr>
        <w:t xml:space="preserve"> en los que </w:t>
      </w:r>
      <w:r w:rsidRPr="002C1B8D">
        <w:rPr>
          <w:rFonts w:ascii="Arial" w:hAnsi="Arial" w:cs="Arial"/>
        </w:rPr>
        <w:t>la</w:t>
      </w:r>
      <w:r w:rsidRPr="00B31310">
        <w:rPr>
          <w:rFonts w:ascii="Arial" w:hAnsi="Arial" w:cs="Arial"/>
        </w:rPr>
        <w:t xml:space="preserve"> publicación del aviso de convocatoria o </w:t>
      </w:r>
      <w:r w:rsidRPr="00B31310">
        <w:rPr>
          <w:rFonts w:ascii="Arial" w:eastAsia="Arial" w:hAnsi="Arial" w:cs="Arial"/>
          <w:lang w:val="es-ES" w:eastAsia="es-CO"/>
        </w:rPr>
        <w:t>la invitación −según corresponda−, se realice a los tres (3) meses de la expedición del</w:t>
      </w:r>
      <w:r>
        <w:rPr>
          <w:rFonts w:ascii="Arial" w:eastAsia="Arial" w:hAnsi="Arial" w:cs="Arial"/>
          <w:lang w:val="es-ES" w:eastAsia="es-CO"/>
        </w:rPr>
        <w:t xml:space="preserve"> Decreto</w:t>
      </w:r>
      <w:r w:rsidRPr="00B31310">
        <w:rPr>
          <w:rFonts w:ascii="Arial" w:eastAsia="Arial" w:hAnsi="Arial" w:cs="Arial"/>
          <w:lang w:val="es-ES" w:eastAsia="es-CO"/>
        </w:rPr>
        <w:t>.</w:t>
      </w:r>
    </w:p>
    <w:p w14:paraId="446637AE" w14:textId="77777777" w:rsidR="00AB657D" w:rsidRDefault="00AB657D" w:rsidP="00AB657D">
      <w:pPr>
        <w:spacing w:after="120" w:line="276" w:lineRule="auto"/>
        <w:ind w:firstLine="708"/>
        <w:jc w:val="both"/>
        <w:rPr>
          <w:rFonts w:ascii="Arial" w:eastAsia="Times New Roman" w:hAnsi="Arial" w:cs="Arial"/>
          <w:color w:val="000000" w:themeColor="text1"/>
          <w:lang w:eastAsia="es-MX"/>
        </w:rPr>
      </w:pPr>
      <w:r>
        <w:rPr>
          <w:rFonts w:ascii="Arial" w:eastAsia="Times New Roman" w:hAnsi="Arial" w:cs="Arial"/>
          <w:color w:val="000000" w:themeColor="text1"/>
          <w:lang w:eastAsia="es-MX"/>
        </w:rPr>
        <w:t xml:space="preserve">Conforme con el contenido del parágrafo, la </w:t>
      </w:r>
      <w:proofErr w:type="gramStart"/>
      <w:r>
        <w:rPr>
          <w:rFonts w:ascii="Arial" w:eastAsia="Times New Roman" w:hAnsi="Arial" w:cs="Arial"/>
          <w:color w:val="000000" w:themeColor="text1"/>
          <w:lang w:eastAsia="es-MX"/>
        </w:rPr>
        <w:t>entrada en vigencia</w:t>
      </w:r>
      <w:proofErr w:type="gramEnd"/>
      <w:r>
        <w:rPr>
          <w:rFonts w:ascii="Arial" w:eastAsia="Times New Roman" w:hAnsi="Arial" w:cs="Arial"/>
          <w:color w:val="000000" w:themeColor="text1"/>
          <w:lang w:eastAsia="es-MX"/>
        </w:rPr>
        <w:t xml:space="preserve"> del Decreto 1860 de 2021, en relación con los procesos contractuales regidos documentos tipo, dependerá de si se trata del artículo 5 del Decreto o de cualquier otro. De esta forma, en el primer supuesto, </w:t>
      </w:r>
      <w:r>
        <w:rPr>
          <w:rFonts w:ascii="Arial" w:eastAsia="Arial" w:hAnsi="Arial" w:cs="Arial"/>
          <w:lang w:val="es-ES" w:eastAsia="es-CO"/>
        </w:rPr>
        <w:t>t</w:t>
      </w:r>
      <w:r w:rsidRPr="00B31310">
        <w:rPr>
          <w:rFonts w:ascii="Arial" w:eastAsia="Arial" w:hAnsi="Arial" w:cs="Arial"/>
          <w:lang w:val="es-ES" w:eastAsia="es-CO"/>
        </w:rPr>
        <w:t xml:space="preserve">eniendo en cuenta que el Decreto fue expedido el 24 de diciembre de 2021, las disposiciones contenidas en el artículo 5 </w:t>
      </w:r>
      <w:r>
        <w:rPr>
          <w:rFonts w:ascii="Arial" w:eastAsia="Arial" w:hAnsi="Arial" w:cs="Arial"/>
          <w:lang w:val="es-ES" w:eastAsia="es-CO"/>
        </w:rPr>
        <w:t xml:space="preserve">relacionadas con la limitación a </w:t>
      </w:r>
      <w:proofErr w:type="spellStart"/>
      <w:r>
        <w:rPr>
          <w:rFonts w:ascii="Arial" w:eastAsia="Arial" w:hAnsi="Arial" w:cs="Arial"/>
          <w:lang w:val="es-ES" w:eastAsia="es-CO"/>
        </w:rPr>
        <w:t>Mipymes</w:t>
      </w:r>
      <w:proofErr w:type="spellEnd"/>
      <w:r>
        <w:rPr>
          <w:rFonts w:ascii="Arial" w:eastAsia="Arial" w:hAnsi="Arial" w:cs="Arial"/>
          <w:lang w:val="es-ES" w:eastAsia="es-CO"/>
        </w:rPr>
        <w:t xml:space="preserve">, </w:t>
      </w:r>
      <w:r w:rsidRPr="00B31310">
        <w:rPr>
          <w:rFonts w:ascii="Arial" w:eastAsia="Arial" w:hAnsi="Arial" w:cs="Arial"/>
          <w:lang w:val="es-ES" w:eastAsia="es-CO"/>
        </w:rPr>
        <w:t xml:space="preserve">son obligatorias desde </w:t>
      </w:r>
      <w:r w:rsidRPr="00B31310">
        <w:rPr>
          <w:rFonts w:ascii="Arial" w:hAnsi="Arial" w:cs="Arial"/>
        </w:rPr>
        <w:t>el 24 de marzo de 2022</w:t>
      </w:r>
      <w:r>
        <w:rPr>
          <w:rFonts w:ascii="Arial" w:hAnsi="Arial" w:cs="Arial"/>
        </w:rPr>
        <w:t>.</w:t>
      </w:r>
      <w:r>
        <w:rPr>
          <w:rFonts w:ascii="Arial" w:eastAsia="Times New Roman" w:hAnsi="Arial" w:cs="Arial"/>
          <w:color w:val="000000" w:themeColor="text1"/>
          <w:lang w:eastAsia="es-MX"/>
        </w:rPr>
        <w:t xml:space="preserve"> No obstante, si se trata de los otros artículos del Decreto, su </w:t>
      </w:r>
      <w:proofErr w:type="gramStart"/>
      <w:r>
        <w:rPr>
          <w:rFonts w:ascii="Arial" w:eastAsia="Times New Roman" w:hAnsi="Arial" w:cs="Arial"/>
          <w:color w:val="000000" w:themeColor="text1"/>
          <w:lang w:eastAsia="es-MX"/>
        </w:rPr>
        <w:t>entrada en vigencia</w:t>
      </w:r>
      <w:proofErr w:type="gramEnd"/>
      <w:r>
        <w:rPr>
          <w:rFonts w:ascii="Arial" w:eastAsia="Times New Roman" w:hAnsi="Arial" w:cs="Arial"/>
          <w:color w:val="000000" w:themeColor="text1"/>
          <w:lang w:eastAsia="es-MX"/>
        </w:rPr>
        <w:t xml:space="preserve"> está condicionada a la modificación de los documentos tipo por parte de la Agencia Nacional de Contratación Pública – Colombia Compra Eficiente.</w:t>
      </w:r>
    </w:p>
    <w:p w14:paraId="2072E1C2" w14:textId="77777777" w:rsidR="00AB657D" w:rsidRPr="00D93BCE" w:rsidRDefault="00AB657D" w:rsidP="00AB657D">
      <w:pPr>
        <w:spacing w:after="120"/>
        <w:ind w:firstLine="709"/>
        <w:jc w:val="both"/>
        <w:rPr>
          <w:rFonts w:ascii="Arial" w:eastAsia="Arial" w:hAnsi="Arial" w:cs="Arial"/>
          <w:szCs w:val="24"/>
          <w:lang w:val="es-ES" w:eastAsia="es-CO"/>
        </w:rPr>
      </w:pPr>
      <w:r>
        <w:rPr>
          <w:rFonts w:ascii="Arial" w:eastAsia="Times New Roman" w:hAnsi="Arial" w:cs="Arial"/>
          <w:color w:val="000000" w:themeColor="text1"/>
          <w:lang w:eastAsia="es-MX"/>
        </w:rPr>
        <w:t xml:space="preserve">Este último supuesto, es el caso del </w:t>
      </w:r>
      <w:r w:rsidRPr="00322504">
        <w:rPr>
          <w:rFonts w:ascii="Arial" w:eastAsia="Times New Roman" w:hAnsi="Arial" w:cs="Arial"/>
          <w:color w:val="000000" w:themeColor="text1"/>
          <w:lang w:eastAsia="es-MX"/>
        </w:rPr>
        <w:t xml:space="preserve">artículo 3 del Decreto 1860 de 2021, que adicionó </w:t>
      </w:r>
      <w:r w:rsidRPr="00322504">
        <w:rPr>
          <w:rFonts w:ascii="Arial" w:eastAsia="Times New Roman" w:hAnsi="Arial" w:cs="Arial"/>
          <w:bCs/>
          <w:color w:val="000000" w:themeColor="text1"/>
          <w:lang w:eastAsia="es-MX"/>
        </w:rPr>
        <w:t xml:space="preserve">el artículo </w:t>
      </w:r>
      <w:r w:rsidRPr="00322504">
        <w:rPr>
          <w:rFonts w:ascii="Arial" w:eastAsia="Times New Roman" w:hAnsi="Arial" w:cs="Arial"/>
          <w:bCs/>
          <w:color w:val="000000" w:themeColor="text1"/>
          <w:szCs w:val="24"/>
          <w:lang w:eastAsia="es-MX"/>
        </w:rPr>
        <w:t>2.2.1.2.4.2.15</w:t>
      </w:r>
      <w:r w:rsidRPr="00E10E70">
        <w:rPr>
          <w:rFonts w:ascii="Arial" w:eastAsia="Times New Roman" w:hAnsi="Arial" w:cs="Arial"/>
          <w:bCs/>
          <w:color w:val="000000" w:themeColor="text1"/>
          <w:szCs w:val="24"/>
          <w:lang w:eastAsia="es-MX"/>
        </w:rPr>
        <w:t xml:space="preserve"> y </w:t>
      </w:r>
      <w:r w:rsidRPr="00322504">
        <w:rPr>
          <w:rFonts w:ascii="Arial" w:eastAsia="Times New Roman" w:hAnsi="Arial" w:cs="Arial"/>
          <w:bCs/>
          <w:color w:val="000000" w:themeColor="text1"/>
          <w:lang w:eastAsia="es-MX"/>
        </w:rPr>
        <w:t xml:space="preserve">2.2.1.2.4.2.18 al </w:t>
      </w:r>
      <w:r w:rsidRPr="00322504">
        <w:rPr>
          <w:rFonts w:ascii="Arial" w:eastAsia="Times New Roman" w:hAnsi="Arial" w:cs="Arial"/>
          <w:lang w:eastAsia="es-MX"/>
        </w:rPr>
        <w:t>Decreto 1082 de 2015</w:t>
      </w:r>
      <w:r w:rsidRPr="00E10E70">
        <w:rPr>
          <w:rFonts w:ascii="Arial" w:eastAsia="Times New Roman" w:hAnsi="Arial" w:cs="Arial"/>
          <w:lang w:eastAsia="es-MX"/>
        </w:rPr>
        <w:t xml:space="preserve">, en los que se establecen </w:t>
      </w:r>
      <w:r>
        <w:rPr>
          <w:rFonts w:ascii="Arial" w:eastAsia="Times New Roman" w:hAnsi="Arial" w:cs="Arial"/>
          <w:lang w:eastAsia="es-MX"/>
        </w:rPr>
        <w:t>−</w:t>
      </w:r>
      <w:r w:rsidRPr="00E10E70">
        <w:rPr>
          <w:rFonts w:ascii="Arial" w:eastAsia="Times New Roman" w:hAnsi="Arial" w:cs="Arial"/>
          <w:lang w:eastAsia="es-MX"/>
        </w:rPr>
        <w:t>respectivamente</w:t>
      </w:r>
      <w:r>
        <w:rPr>
          <w:rFonts w:ascii="Arial" w:eastAsia="Times New Roman" w:hAnsi="Arial" w:cs="Arial"/>
          <w:lang w:eastAsia="es-MX"/>
        </w:rPr>
        <w:t>−</w:t>
      </w:r>
      <w:r w:rsidRPr="00E10E70">
        <w:rPr>
          <w:rFonts w:ascii="Arial" w:eastAsia="Times New Roman" w:hAnsi="Arial" w:cs="Arial"/>
          <w:lang w:eastAsia="es-MX"/>
        </w:rPr>
        <w:t xml:space="preserve"> </w:t>
      </w:r>
      <w:r w:rsidRPr="00322504">
        <w:rPr>
          <w:rFonts w:ascii="Arial" w:eastAsia="Times New Roman" w:hAnsi="Arial" w:cs="Arial"/>
          <w:color w:val="000000" w:themeColor="text1"/>
          <w:szCs w:val="24"/>
          <w:lang w:eastAsia="es-MX"/>
        </w:rPr>
        <w:t xml:space="preserve">criterios diferenciales a favor de empresas y </w:t>
      </w:r>
      <w:r w:rsidRPr="00E10E70">
        <w:rPr>
          <w:rFonts w:ascii="Arial" w:eastAsia="Times New Roman" w:hAnsi="Arial" w:cs="Arial"/>
          <w:color w:val="000000" w:themeColor="text1"/>
          <w:szCs w:val="24"/>
          <w:lang w:eastAsia="es-MX"/>
        </w:rPr>
        <w:t>e</w:t>
      </w:r>
      <w:r w:rsidRPr="00322504">
        <w:rPr>
          <w:rFonts w:ascii="Arial" w:eastAsia="Times New Roman" w:hAnsi="Arial" w:cs="Arial"/>
          <w:color w:val="000000" w:themeColor="text1"/>
          <w:szCs w:val="24"/>
          <w:lang w:eastAsia="es-MX"/>
        </w:rPr>
        <w:t>mprendimientos de mujere</w:t>
      </w:r>
      <w:r w:rsidRPr="00E10E70">
        <w:rPr>
          <w:rFonts w:ascii="Arial" w:eastAsia="Times New Roman" w:hAnsi="Arial" w:cs="Arial"/>
          <w:color w:val="000000" w:themeColor="text1"/>
          <w:szCs w:val="24"/>
          <w:lang w:eastAsia="es-MX"/>
        </w:rPr>
        <w:t xml:space="preserve">s y </w:t>
      </w:r>
      <w:r w:rsidRPr="00322504">
        <w:rPr>
          <w:rFonts w:ascii="Arial" w:eastAsia="Times New Roman" w:hAnsi="Arial" w:cs="Arial"/>
          <w:lang w:eastAsia="es-MX"/>
        </w:rPr>
        <w:t>criterios diferenciales para Mipyme en el sistema de compras públicas</w:t>
      </w:r>
      <w:r>
        <w:rPr>
          <w:rFonts w:ascii="Arial" w:eastAsia="Times New Roman" w:hAnsi="Arial" w:cs="Arial"/>
          <w:lang w:eastAsia="es-MX"/>
        </w:rPr>
        <w:t xml:space="preserve">. De esta forma, su </w:t>
      </w:r>
      <w:proofErr w:type="gramStart"/>
      <w:r>
        <w:rPr>
          <w:rFonts w:ascii="Arial" w:eastAsia="Times New Roman" w:hAnsi="Arial" w:cs="Arial"/>
          <w:lang w:eastAsia="es-MX"/>
        </w:rPr>
        <w:t>entrada en vigencia</w:t>
      </w:r>
      <w:proofErr w:type="gramEnd"/>
      <w:r>
        <w:rPr>
          <w:rFonts w:ascii="Arial" w:eastAsia="Times New Roman" w:hAnsi="Arial" w:cs="Arial"/>
          <w:lang w:eastAsia="es-MX"/>
        </w:rPr>
        <w:t xml:space="preserve"> está supeditada a que la Agencia realice su incorporación en los </w:t>
      </w:r>
      <w:r w:rsidRPr="00E10E70">
        <w:rPr>
          <w:rFonts w:ascii="Arial" w:eastAsia="Arial" w:hAnsi="Arial" w:cs="Arial"/>
          <w:lang w:val="es-ES" w:eastAsia="es-CO"/>
        </w:rPr>
        <w:t>documentos tipo</w:t>
      </w:r>
      <w:r>
        <w:rPr>
          <w:rFonts w:ascii="Arial" w:hAnsi="Arial" w:cs="Arial"/>
        </w:rPr>
        <w:t>.</w:t>
      </w:r>
    </w:p>
    <w:p w14:paraId="724B9741" w14:textId="77777777" w:rsidR="00AB657D" w:rsidRDefault="00AB657D" w:rsidP="00AB657D">
      <w:pPr>
        <w:spacing w:after="0" w:line="276" w:lineRule="auto"/>
        <w:ind w:firstLine="709"/>
        <w:jc w:val="both"/>
        <w:rPr>
          <w:rFonts w:ascii="Arial" w:eastAsia="Calibri" w:hAnsi="Arial" w:cs="Arial"/>
          <w:lang w:val="es-MX"/>
        </w:rPr>
      </w:pPr>
      <w:r>
        <w:rPr>
          <w:rFonts w:ascii="Arial" w:eastAsia="Times New Roman" w:hAnsi="Arial" w:cs="Arial"/>
          <w:lang w:eastAsia="es-CO"/>
        </w:rPr>
        <w:t xml:space="preserve">Sin perjuicio de lo anterior, es pertinente señalar que actualmente esta Agencia se encuentra trabajando </w:t>
      </w:r>
      <w:r>
        <w:rPr>
          <w:rFonts w:ascii="Arial" w:eastAsia="Calibri" w:hAnsi="Arial" w:cs="Arial"/>
          <w:lang w:val="es-MX"/>
        </w:rPr>
        <w:t xml:space="preserve">en </w:t>
      </w:r>
      <w:r w:rsidRPr="00F018AB">
        <w:rPr>
          <w:rFonts w:ascii="Arial" w:eastAsia="Calibri" w:hAnsi="Arial" w:cs="Arial"/>
          <w:lang w:val="es-MX"/>
        </w:rPr>
        <w:t>una modificación transversal a los documentos tipo</w:t>
      </w:r>
      <w:r>
        <w:rPr>
          <w:rFonts w:ascii="Arial" w:eastAsia="Calibri" w:hAnsi="Arial" w:cs="Arial"/>
          <w:lang w:val="es-MX"/>
        </w:rPr>
        <w:t xml:space="preserve"> señalados</w:t>
      </w:r>
      <w:r w:rsidRPr="00F018AB">
        <w:rPr>
          <w:rFonts w:ascii="Arial" w:eastAsia="Calibri" w:hAnsi="Arial" w:cs="Arial"/>
          <w:lang w:val="es-MX"/>
        </w:rPr>
        <w:t xml:space="preserve">, con ocasión </w:t>
      </w:r>
      <w:r>
        <w:rPr>
          <w:rFonts w:ascii="Arial" w:eastAsia="Calibri" w:hAnsi="Arial" w:cs="Arial"/>
          <w:lang w:val="es-MX"/>
        </w:rPr>
        <w:t xml:space="preserve">a </w:t>
      </w:r>
      <w:r w:rsidRPr="00F018AB">
        <w:rPr>
          <w:rFonts w:ascii="Arial" w:eastAsia="Calibri" w:hAnsi="Arial" w:cs="Arial"/>
          <w:lang w:val="es-MX"/>
        </w:rPr>
        <w:t>la reglamentación contenida en el Decreto 1860 de 2021</w:t>
      </w:r>
      <w:r>
        <w:rPr>
          <w:rStyle w:val="Refdenotaalpie"/>
          <w:rFonts w:ascii="Arial" w:eastAsia="Calibri" w:hAnsi="Arial" w:cs="Arial"/>
          <w:lang w:val="es-MX"/>
        </w:rPr>
        <w:footnoteReference w:id="13"/>
      </w:r>
      <w:r>
        <w:rPr>
          <w:rFonts w:ascii="Arial" w:eastAsia="Calibri" w:hAnsi="Arial" w:cs="Arial"/>
          <w:lang w:val="es-MX"/>
        </w:rPr>
        <w:t>. De esta forma, una vez expedida la Resolución que adopte lo modificación, esta será obligatoria, en los términos que allí se establezcan.</w:t>
      </w:r>
    </w:p>
    <w:p w14:paraId="7415D102" w14:textId="77777777" w:rsidR="000D2EC6" w:rsidRPr="00BE4139" w:rsidRDefault="000D2EC6" w:rsidP="007E7A5E">
      <w:pPr>
        <w:spacing w:after="0"/>
        <w:rPr>
          <w:rFonts w:ascii="Arial" w:hAnsi="Arial" w:cs="Arial"/>
        </w:rPr>
      </w:pPr>
    </w:p>
    <w:p w14:paraId="6D16ED0A" w14:textId="77777777" w:rsidR="0091408C" w:rsidRPr="00B749D1" w:rsidRDefault="0091408C" w:rsidP="007E7A5E">
      <w:pPr>
        <w:spacing w:after="0" w:line="276" w:lineRule="auto"/>
        <w:jc w:val="both"/>
        <w:rPr>
          <w:rFonts w:ascii="Arial" w:eastAsia="Calibri" w:hAnsi="Arial" w:cs="Arial"/>
          <w:color w:val="000000"/>
          <w:lang w:val="es-ES_tradnl"/>
        </w:rPr>
      </w:pPr>
      <w:r w:rsidRPr="00B749D1">
        <w:rPr>
          <w:rFonts w:ascii="Arial" w:eastAsia="Calibri" w:hAnsi="Arial" w:cs="Arial"/>
          <w:color w:val="000000"/>
          <w:lang w:val="es-ES_tradnl"/>
        </w:rPr>
        <w:lastRenderedPageBreak/>
        <w:t>Este concepto tiene el alcance previsto en el artículo 28 del Código de Procedimiento Administrativo y de lo Contencioso Administrativo.</w:t>
      </w:r>
    </w:p>
    <w:p w14:paraId="7D72196B" w14:textId="77777777" w:rsidR="0091408C" w:rsidRPr="00B749D1" w:rsidRDefault="0091408C" w:rsidP="0091408C">
      <w:pPr>
        <w:spacing w:after="0" w:line="276" w:lineRule="auto"/>
        <w:jc w:val="both"/>
        <w:rPr>
          <w:rFonts w:ascii="Arial" w:eastAsia="Times New Roman" w:hAnsi="Arial" w:cs="Arial"/>
          <w:color w:val="000000"/>
          <w:lang w:val="es-ES_tradnl" w:eastAsia="es-CO"/>
        </w:rPr>
      </w:pPr>
    </w:p>
    <w:p w14:paraId="1D460905" w14:textId="77777777" w:rsidR="0091408C" w:rsidRPr="00B749D1" w:rsidRDefault="0091408C" w:rsidP="0091408C">
      <w:pPr>
        <w:spacing w:after="0" w:line="276" w:lineRule="auto"/>
        <w:jc w:val="both"/>
        <w:rPr>
          <w:rFonts w:ascii="Arial" w:eastAsia="Times New Roman" w:hAnsi="Arial" w:cs="Arial"/>
          <w:color w:val="000000"/>
          <w:lang w:val="es-ES_tradnl" w:eastAsia="es-CO"/>
        </w:rPr>
      </w:pPr>
      <w:r w:rsidRPr="00B749D1">
        <w:rPr>
          <w:rFonts w:ascii="Arial" w:eastAsia="Times New Roman" w:hAnsi="Arial" w:cs="Arial"/>
          <w:color w:val="000000"/>
          <w:lang w:val="es-ES_tradnl" w:eastAsia="es-CO"/>
        </w:rPr>
        <w:t>Atentamente,</w:t>
      </w:r>
    </w:p>
    <w:p w14:paraId="22D4D511" w14:textId="52048D72" w:rsidR="0091408C" w:rsidRPr="00B749D1" w:rsidRDefault="00CF232A" w:rsidP="0091408C">
      <w:pPr>
        <w:spacing w:after="0" w:line="276" w:lineRule="auto"/>
        <w:jc w:val="center"/>
        <w:rPr>
          <w:rFonts w:ascii="Arial" w:eastAsia="Times New Roman" w:hAnsi="Arial" w:cs="Arial"/>
          <w:color w:val="000000"/>
          <w:lang w:val="es-ES_tradnl" w:eastAsia="es-CO"/>
        </w:rPr>
      </w:pPr>
      <w:r>
        <w:rPr>
          <w:noProof/>
        </w:rPr>
        <w:drawing>
          <wp:inline distT="0" distB="0" distL="0" distR="0" wp14:anchorId="13B32961" wp14:editId="5B473558">
            <wp:extent cx="2247182" cy="983411"/>
            <wp:effectExtent l="0" t="0" r="1270" b="7620"/>
            <wp:docPr id="2" name="Imagen 2"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12"/>
                    <a:stretch>
                      <a:fillRect/>
                    </a:stretch>
                  </pic:blipFill>
                  <pic:spPr>
                    <a:xfrm>
                      <a:off x="0" y="0"/>
                      <a:ext cx="2262203" cy="989984"/>
                    </a:xfrm>
                    <a:prstGeom prst="rect">
                      <a:avLst/>
                    </a:prstGeom>
                  </pic:spPr>
                </pic:pic>
              </a:graphicData>
            </a:graphic>
          </wp:inline>
        </w:drawing>
      </w:r>
    </w:p>
    <w:p w14:paraId="59FEB541" w14:textId="77777777" w:rsidR="0091408C" w:rsidRPr="00B749D1" w:rsidRDefault="0091408C" w:rsidP="0091408C">
      <w:pPr>
        <w:spacing w:after="0" w:line="240" w:lineRule="auto"/>
        <w:rPr>
          <w:rFonts w:ascii="Arial" w:eastAsia="Calibri" w:hAnsi="Arial" w:cs="Arial"/>
          <w:color w:val="000000"/>
          <w:sz w:val="18"/>
          <w:szCs w:val="20"/>
          <w:lang w:val="es-ES_tradnl" w:eastAsia="es-CO"/>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1408C" w:rsidRPr="00B749D1" w14:paraId="3B000283" w14:textId="77777777" w:rsidTr="009C3874">
        <w:trPr>
          <w:trHeight w:val="315"/>
        </w:trPr>
        <w:tc>
          <w:tcPr>
            <w:tcW w:w="812" w:type="dxa"/>
            <w:vAlign w:val="center"/>
            <w:hideMark/>
          </w:tcPr>
          <w:p w14:paraId="1B7C74C7" w14:textId="77777777" w:rsidR="0091408C" w:rsidRPr="00B749D1" w:rsidRDefault="0091408C" w:rsidP="009C3874">
            <w:pPr>
              <w:rPr>
                <w:rFonts w:ascii="Arial" w:eastAsia="Calibri" w:hAnsi="Arial" w:cs="Arial"/>
                <w:sz w:val="16"/>
                <w:szCs w:val="16"/>
                <w:lang w:val="es-ES_tradnl" w:eastAsia="es-ES"/>
              </w:rPr>
            </w:pPr>
            <w:r w:rsidRPr="00B749D1">
              <w:rPr>
                <w:rFonts w:ascii="Arial" w:eastAsia="Calibri" w:hAnsi="Arial" w:cs="Arial"/>
                <w:sz w:val="16"/>
                <w:szCs w:val="16"/>
                <w:lang w:val="es-ES_tradnl" w:eastAsia="es-ES"/>
              </w:rPr>
              <w:t>Elaboró:</w:t>
            </w:r>
          </w:p>
        </w:tc>
        <w:tc>
          <w:tcPr>
            <w:tcW w:w="4413" w:type="dxa"/>
            <w:tcBorders>
              <w:top w:val="nil"/>
              <w:left w:val="nil"/>
              <w:bottom w:val="dotted" w:sz="4" w:space="0" w:color="7F7F7F"/>
              <w:right w:val="nil"/>
            </w:tcBorders>
            <w:vAlign w:val="center"/>
            <w:hideMark/>
          </w:tcPr>
          <w:p w14:paraId="1098BAEE" w14:textId="77777777" w:rsidR="0091408C" w:rsidRPr="00B749D1" w:rsidRDefault="0091408C" w:rsidP="009C3874">
            <w:pPr>
              <w:rPr>
                <w:rFonts w:ascii="Arial" w:eastAsia="Calibri" w:hAnsi="Arial" w:cs="Arial"/>
                <w:sz w:val="16"/>
                <w:szCs w:val="16"/>
                <w:lang w:val="es-ES_tradnl" w:eastAsia="es-ES"/>
              </w:rPr>
            </w:pPr>
            <w:r w:rsidRPr="00B749D1">
              <w:rPr>
                <w:rFonts w:ascii="Arial" w:eastAsia="Calibri" w:hAnsi="Arial" w:cs="Arial"/>
                <w:sz w:val="16"/>
                <w:szCs w:val="16"/>
                <w:lang w:val="es-ES_tradnl" w:eastAsia="es-ES"/>
              </w:rPr>
              <w:t>Carlos Mario Castrillón Endo</w:t>
            </w:r>
          </w:p>
          <w:p w14:paraId="4E47FE9F" w14:textId="77777777" w:rsidR="0091408C" w:rsidRPr="00B749D1" w:rsidRDefault="0091408C" w:rsidP="009C3874">
            <w:pPr>
              <w:rPr>
                <w:rFonts w:ascii="Arial" w:eastAsia="Calibri" w:hAnsi="Arial" w:cs="Arial"/>
                <w:sz w:val="16"/>
                <w:szCs w:val="16"/>
                <w:lang w:val="es-ES_tradnl" w:eastAsia="es-ES"/>
              </w:rPr>
            </w:pPr>
            <w:r w:rsidRPr="00B749D1">
              <w:rPr>
                <w:rFonts w:ascii="Arial" w:eastAsia="Calibri" w:hAnsi="Arial" w:cs="Arial"/>
                <w:sz w:val="16"/>
                <w:szCs w:val="16"/>
                <w:lang w:val="es-ES_tradnl" w:eastAsia="es-ES"/>
              </w:rPr>
              <w:t>Contratista de la Subdirección de Gestión Contractual</w:t>
            </w:r>
          </w:p>
        </w:tc>
      </w:tr>
      <w:tr w:rsidR="0091408C" w:rsidRPr="00B749D1" w14:paraId="1D948FDB" w14:textId="77777777" w:rsidTr="009C3874">
        <w:trPr>
          <w:trHeight w:val="330"/>
        </w:trPr>
        <w:tc>
          <w:tcPr>
            <w:tcW w:w="812" w:type="dxa"/>
            <w:vAlign w:val="center"/>
            <w:hideMark/>
          </w:tcPr>
          <w:p w14:paraId="0A6D32E3" w14:textId="77777777" w:rsidR="0091408C" w:rsidRPr="00B749D1" w:rsidRDefault="0091408C" w:rsidP="009C3874">
            <w:pPr>
              <w:rPr>
                <w:rFonts w:ascii="Arial" w:eastAsia="Calibri" w:hAnsi="Arial" w:cs="Arial"/>
                <w:sz w:val="16"/>
                <w:szCs w:val="16"/>
                <w:lang w:val="es-ES_tradnl" w:eastAsia="es-ES"/>
              </w:rPr>
            </w:pPr>
            <w:r w:rsidRPr="00B749D1">
              <w:rPr>
                <w:rFonts w:ascii="Arial" w:eastAsia="Calibri" w:hAnsi="Arial" w:cs="Arial"/>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07A77FE4" w14:textId="7876C5E3" w:rsidR="0091408C" w:rsidRDefault="0091408C" w:rsidP="009C3874">
            <w:pPr>
              <w:rPr>
                <w:rFonts w:ascii="Arial" w:eastAsia="Calibri" w:hAnsi="Arial" w:cs="Arial"/>
                <w:sz w:val="16"/>
                <w:szCs w:val="16"/>
                <w:lang w:val="es-ES_tradnl" w:eastAsia="es-ES"/>
              </w:rPr>
            </w:pPr>
            <w:r>
              <w:rPr>
                <w:rFonts w:ascii="Arial" w:eastAsia="Calibri" w:hAnsi="Arial" w:cs="Arial"/>
                <w:sz w:val="16"/>
                <w:szCs w:val="16"/>
                <w:lang w:val="es-ES_tradnl" w:eastAsia="es-ES"/>
              </w:rPr>
              <w:t xml:space="preserve">Sebastián Ramírez Grisales </w:t>
            </w:r>
          </w:p>
          <w:p w14:paraId="03BDA5F6" w14:textId="5F16DECF" w:rsidR="0091408C" w:rsidRPr="00B749D1" w:rsidRDefault="00BF76DD" w:rsidP="009C3874">
            <w:pPr>
              <w:rPr>
                <w:rFonts w:ascii="Arial" w:eastAsia="Calibri" w:hAnsi="Arial" w:cs="Arial"/>
                <w:sz w:val="16"/>
                <w:szCs w:val="16"/>
                <w:lang w:val="es-ES_tradnl" w:eastAsia="es-ES"/>
              </w:rPr>
            </w:pPr>
            <w:r>
              <w:rPr>
                <w:rFonts w:ascii="Arial" w:hAnsi="Arial" w:cs="Arial"/>
                <w:color w:val="000000" w:themeColor="text1"/>
                <w:sz w:val="16"/>
                <w:szCs w:val="16"/>
                <w:lang w:val="es-ES_tradnl" w:eastAsia="es-ES"/>
              </w:rPr>
              <w:t>Contratista</w:t>
            </w:r>
            <w:r w:rsidR="0091408C" w:rsidRPr="00827918">
              <w:rPr>
                <w:rFonts w:ascii="Arial" w:hAnsi="Arial" w:cs="Arial"/>
                <w:color w:val="000000" w:themeColor="text1"/>
                <w:sz w:val="16"/>
                <w:szCs w:val="16"/>
                <w:lang w:val="es-ES_tradnl" w:eastAsia="es-ES"/>
              </w:rPr>
              <w:t xml:space="preserve"> de la Subdirección de Gestión Contractual  </w:t>
            </w:r>
          </w:p>
        </w:tc>
      </w:tr>
      <w:tr w:rsidR="0091408C" w:rsidRPr="00B749D1" w14:paraId="454D8A0B" w14:textId="77777777" w:rsidTr="009C3874">
        <w:trPr>
          <w:trHeight w:val="300"/>
        </w:trPr>
        <w:tc>
          <w:tcPr>
            <w:tcW w:w="812" w:type="dxa"/>
            <w:vAlign w:val="center"/>
            <w:hideMark/>
          </w:tcPr>
          <w:p w14:paraId="675F94F4" w14:textId="77777777" w:rsidR="0091408C" w:rsidRPr="00B749D1" w:rsidRDefault="0091408C" w:rsidP="009C3874">
            <w:pPr>
              <w:rPr>
                <w:rFonts w:ascii="Arial" w:eastAsia="Calibri" w:hAnsi="Arial" w:cs="Arial"/>
                <w:sz w:val="16"/>
                <w:szCs w:val="16"/>
                <w:lang w:val="es-ES_tradnl" w:eastAsia="es-ES"/>
              </w:rPr>
            </w:pPr>
            <w:r w:rsidRPr="00B749D1">
              <w:rPr>
                <w:rFonts w:ascii="Arial" w:eastAsia="Calibri" w:hAnsi="Arial" w:cs="Arial"/>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58E25105" w14:textId="77777777" w:rsidR="0091408C" w:rsidRPr="00B749D1" w:rsidRDefault="0091408C" w:rsidP="009C3874">
            <w:pPr>
              <w:rPr>
                <w:rFonts w:ascii="Arial" w:eastAsia="Calibri" w:hAnsi="Arial" w:cs="Arial"/>
                <w:sz w:val="16"/>
                <w:szCs w:val="16"/>
                <w:lang w:val="pt-BR" w:eastAsia="es-ES"/>
              </w:rPr>
            </w:pPr>
            <w:r w:rsidRPr="00B749D1">
              <w:rPr>
                <w:rFonts w:ascii="Arial" w:eastAsia="Calibri" w:hAnsi="Arial" w:cs="Arial"/>
                <w:sz w:val="16"/>
                <w:szCs w:val="16"/>
                <w:lang w:val="pt-BR" w:eastAsia="es-ES"/>
              </w:rPr>
              <w:t>Jorge Augusto Tirado Navarro</w:t>
            </w:r>
          </w:p>
          <w:p w14:paraId="7D4B1ABC" w14:textId="77777777" w:rsidR="0091408C" w:rsidRPr="00B749D1" w:rsidRDefault="0091408C" w:rsidP="009C3874">
            <w:pPr>
              <w:rPr>
                <w:rFonts w:ascii="Arial" w:eastAsia="Calibri" w:hAnsi="Arial" w:cs="Arial"/>
                <w:sz w:val="16"/>
                <w:szCs w:val="16"/>
                <w:lang w:val="pt-BR" w:eastAsia="es-ES"/>
              </w:rPr>
            </w:pPr>
            <w:proofErr w:type="spellStart"/>
            <w:r w:rsidRPr="00B749D1">
              <w:rPr>
                <w:rFonts w:ascii="Arial" w:eastAsia="Calibri" w:hAnsi="Arial" w:cs="Arial"/>
                <w:sz w:val="16"/>
                <w:szCs w:val="16"/>
                <w:lang w:val="pt-BR" w:eastAsia="es-ES"/>
              </w:rPr>
              <w:t>Subdirector</w:t>
            </w:r>
            <w:proofErr w:type="spellEnd"/>
            <w:r w:rsidRPr="00B749D1">
              <w:rPr>
                <w:rFonts w:ascii="Arial" w:eastAsia="Calibri" w:hAnsi="Arial" w:cs="Arial"/>
                <w:sz w:val="16"/>
                <w:szCs w:val="16"/>
                <w:lang w:val="pt-BR" w:eastAsia="es-ES"/>
              </w:rPr>
              <w:t xml:space="preserve"> de Gestión </w:t>
            </w:r>
            <w:proofErr w:type="spellStart"/>
            <w:r w:rsidRPr="00B749D1">
              <w:rPr>
                <w:rFonts w:ascii="Arial" w:eastAsia="Calibri" w:hAnsi="Arial" w:cs="Arial"/>
                <w:sz w:val="16"/>
                <w:szCs w:val="16"/>
                <w:lang w:val="pt-BR" w:eastAsia="es-ES"/>
              </w:rPr>
              <w:t>Contractual</w:t>
            </w:r>
            <w:proofErr w:type="spellEnd"/>
            <w:r>
              <w:rPr>
                <w:rFonts w:ascii="Arial" w:eastAsia="Calibri" w:hAnsi="Arial" w:cs="Arial"/>
                <w:sz w:val="16"/>
                <w:szCs w:val="16"/>
                <w:lang w:val="pt-BR" w:eastAsia="es-ES"/>
              </w:rPr>
              <w:t xml:space="preserve"> ANCP – CCE</w:t>
            </w:r>
          </w:p>
        </w:tc>
      </w:tr>
    </w:tbl>
    <w:p w14:paraId="4AB5A9A1" w14:textId="77777777" w:rsidR="0091408C" w:rsidRPr="00B749D1" w:rsidRDefault="0091408C" w:rsidP="0091408C">
      <w:pPr>
        <w:spacing w:after="0" w:line="240" w:lineRule="auto"/>
        <w:rPr>
          <w:rFonts w:ascii="Arial" w:eastAsia="Calibri" w:hAnsi="Arial" w:cs="Arial"/>
          <w:sz w:val="16"/>
          <w:szCs w:val="16"/>
          <w:lang w:val="pt-BR" w:eastAsia="es-ES"/>
        </w:rPr>
      </w:pPr>
    </w:p>
    <w:p w14:paraId="363952F7" w14:textId="77777777" w:rsidR="0091408C" w:rsidRDefault="0091408C" w:rsidP="0091408C"/>
    <w:bookmarkEnd w:id="1"/>
    <w:p w14:paraId="025E64B7" w14:textId="77777777" w:rsidR="00FB347B" w:rsidRDefault="00FB347B"/>
    <w:sectPr w:rsidR="00FB347B">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7EC6E" w14:textId="77777777" w:rsidR="00CA759F" w:rsidRDefault="00CA759F" w:rsidP="0091408C">
      <w:pPr>
        <w:spacing w:after="0" w:line="240" w:lineRule="auto"/>
      </w:pPr>
      <w:r>
        <w:separator/>
      </w:r>
    </w:p>
  </w:endnote>
  <w:endnote w:type="continuationSeparator" w:id="0">
    <w:p w14:paraId="6BADB331" w14:textId="77777777" w:rsidR="00CA759F" w:rsidRDefault="00CA759F" w:rsidP="0091408C">
      <w:pPr>
        <w:spacing w:after="0" w:line="240" w:lineRule="auto"/>
      </w:pPr>
      <w:r>
        <w:continuationSeparator/>
      </w:r>
    </w:p>
  </w:endnote>
  <w:endnote w:type="continuationNotice" w:id="1">
    <w:p w14:paraId="4A1DF126" w14:textId="77777777" w:rsidR="00CA759F" w:rsidRDefault="00CA75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Bold">
    <w:panose1 w:val="02000503000000020004"/>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10E8C" w14:textId="77777777" w:rsidR="009C3874" w:rsidRPr="008217B7" w:rsidRDefault="00113131" w:rsidP="009C3874">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27</w:t>
    </w:r>
    <w:r w:rsidRPr="00084B97">
      <w:rPr>
        <w:rFonts w:ascii="Arial" w:hAnsi="Arial" w:cs="Arial"/>
        <w:b/>
        <w:bCs/>
        <w:color w:val="7F7F7F" w:themeColor="text1" w:themeTint="80"/>
        <w:sz w:val="16"/>
        <w:szCs w:val="16"/>
      </w:rPr>
      <w:fldChar w:fldCharType="end"/>
    </w:r>
  </w:p>
  <w:p w14:paraId="2467E2C2" w14:textId="77777777" w:rsidR="009C3874" w:rsidRDefault="00113131" w:rsidP="009C3874">
    <w:pPr>
      <w:pStyle w:val="Piedepgina"/>
      <w:jc w:val="center"/>
      <w:rPr>
        <w:lang w:val="es-ES"/>
      </w:rPr>
    </w:pPr>
    <w:r>
      <w:rPr>
        <w:noProof/>
        <w:lang w:val="en-US"/>
      </w:rPr>
      <w:drawing>
        <wp:inline distT="0" distB="0" distL="0" distR="0" wp14:anchorId="603DFCA3" wp14:editId="4511D35B">
          <wp:extent cx="3700130" cy="519139"/>
          <wp:effectExtent l="0" t="0" r="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4072F468" w14:textId="77777777" w:rsidR="009C3874" w:rsidRDefault="009C3874" w:rsidP="009C387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78FCF5" w14:textId="77777777" w:rsidR="00CA759F" w:rsidRDefault="00CA759F" w:rsidP="0091408C">
      <w:pPr>
        <w:spacing w:after="0" w:line="240" w:lineRule="auto"/>
      </w:pPr>
      <w:r>
        <w:separator/>
      </w:r>
    </w:p>
  </w:footnote>
  <w:footnote w:type="continuationSeparator" w:id="0">
    <w:p w14:paraId="2942770B" w14:textId="77777777" w:rsidR="00CA759F" w:rsidRDefault="00CA759F" w:rsidP="0091408C">
      <w:pPr>
        <w:spacing w:after="0" w:line="240" w:lineRule="auto"/>
      </w:pPr>
      <w:r>
        <w:continuationSeparator/>
      </w:r>
    </w:p>
  </w:footnote>
  <w:footnote w:type="continuationNotice" w:id="1">
    <w:p w14:paraId="527E61A5" w14:textId="77777777" w:rsidR="00CA759F" w:rsidRDefault="00CA759F">
      <w:pPr>
        <w:spacing w:after="0" w:line="240" w:lineRule="auto"/>
      </w:pPr>
    </w:p>
  </w:footnote>
  <w:footnote w:id="2">
    <w:p w14:paraId="4D74C41B" w14:textId="77777777" w:rsidR="009A573B" w:rsidRPr="00E74C09" w:rsidRDefault="009A573B" w:rsidP="00E74C09">
      <w:pPr>
        <w:pStyle w:val="Textonotapie"/>
        <w:ind w:firstLine="709"/>
        <w:jc w:val="both"/>
        <w:rPr>
          <w:rFonts w:ascii="Arial" w:hAnsi="Arial" w:cs="Arial"/>
          <w:sz w:val="19"/>
          <w:szCs w:val="19"/>
          <w:lang w:val="es-CO"/>
        </w:rPr>
      </w:pPr>
      <w:r w:rsidRPr="00E74C09">
        <w:rPr>
          <w:rStyle w:val="Refdenotaalpie"/>
          <w:rFonts w:ascii="Arial" w:hAnsi="Arial" w:cs="Arial"/>
          <w:sz w:val="19"/>
          <w:szCs w:val="19"/>
        </w:rPr>
        <w:footnoteRef/>
      </w:r>
      <w:r w:rsidRPr="00E74C09">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3">
    <w:p w14:paraId="13941D66" w14:textId="77777777" w:rsidR="009A573B" w:rsidRPr="00E74C09" w:rsidRDefault="009A573B" w:rsidP="00E74C09">
      <w:pPr>
        <w:pStyle w:val="Textonotapie"/>
        <w:ind w:firstLine="709"/>
        <w:jc w:val="both"/>
        <w:rPr>
          <w:rFonts w:ascii="Arial" w:hAnsi="Arial" w:cs="Arial"/>
          <w:sz w:val="19"/>
          <w:szCs w:val="19"/>
        </w:rPr>
      </w:pPr>
      <w:r w:rsidRPr="00E74C09">
        <w:rPr>
          <w:rStyle w:val="Refdenotaalpie"/>
          <w:rFonts w:ascii="Arial" w:hAnsi="Arial" w:cs="Arial"/>
          <w:sz w:val="19"/>
          <w:szCs w:val="19"/>
        </w:rPr>
        <w:footnoteRef/>
      </w:r>
      <w:r w:rsidRPr="00E74C09">
        <w:rPr>
          <w:rFonts w:ascii="Arial" w:hAnsi="Arial" w:cs="Arial"/>
          <w:sz w:val="19"/>
          <w:szCs w:val="19"/>
        </w:rPr>
        <w:t xml:space="preserve"> </w:t>
      </w:r>
      <w:r w:rsidRPr="00E74C09">
        <w:rPr>
          <w:rFonts w:ascii="Arial" w:hAnsi="Arial" w:cs="Arial"/>
          <w:sz w:val="19"/>
          <w:szCs w:val="19"/>
          <w:lang w:val="es-CO"/>
        </w:rPr>
        <w:t xml:space="preserve">Ley 1882 de 2018: «Artículo 4. </w:t>
      </w:r>
      <w:r w:rsidRPr="00E74C09">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34388083" w14:textId="77777777" w:rsidR="009A573B" w:rsidRPr="00E74C09" w:rsidRDefault="009A573B" w:rsidP="00E74C09">
      <w:pPr>
        <w:pStyle w:val="Textonotapie"/>
        <w:ind w:firstLine="709"/>
        <w:jc w:val="both"/>
        <w:rPr>
          <w:rFonts w:ascii="Arial" w:hAnsi="Arial" w:cs="Arial"/>
          <w:sz w:val="19"/>
          <w:szCs w:val="19"/>
          <w:lang w:val="es-CO"/>
        </w:rPr>
      </w:pPr>
      <w:r w:rsidRPr="00E74C09">
        <w:rPr>
          <w:rFonts w:ascii="Arial" w:hAnsi="Arial" w:cs="Arial"/>
          <w:sz w:val="19"/>
          <w:szCs w:val="19"/>
          <w:lang w:val="es-CO"/>
        </w:rPr>
        <w:t>»La facultad de adoptar documentos tipo la tendrá el Gobierno nacional, cuando lo considere necesario, en relación con otros contratos o procesos de selección.</w:t>
      </w:r>
    </w:p>
    <w:p w14:paraId="76A6ECBD" w14:textId="77777777" w:rsidR="009A573B" w:rsidRPr="00E74C09" w:rsidRDefault="009A573B" w:rsidP="00E74C09">
      <w:pPr>
        <w:pStyle w:val="Textonotapie"/>
        <w:ind w:firstLine="709"/>
        <w:jc w:val="both"/>
        <w:rPr>
          <w:rFonts w:ascii="Arial" w:hAnsi="Arial" w:cs="Arial"/>
          <w:sz w:val="19"/>
          <w:szCs w:val="19"/>
          <w:lang w:val="es-CO"/>
        </w:rPr>
      </w:pPr>
      <w:r w:rsidRPr="00E74C09">
        <w:rPr>
          <w:rFonts w:ascii="Arial" w:hAnsi="Arial" w:cs="Arial"/>
          <w:sz w:val="19"/>
          <w:szCs w:val="19"/>
          <w:lang w:val="es-CO"/>
        </w:rPr>
        <w:t>»Los pliegos tipo se adoptarán por categorías de acuerdo con la cuantía de la contratación, según la reglamentación que expida el Gobierno nacional».</w:t>
      </w:r>
    </w:p>
  </w:footnote>
  <w:footnote w:id="4">
    <w:p w14:paraId="7CD515FA" w14:textId="77777777" w:rsidR="009A573B" w:rsidRPr="00E74C09" w:rsidRDefault="009A573B" w:rsidP="00E74C09">
      <w:pPr>
        <w:pStyle w:val="Textonotapie"/>
        <w:ind w:firstLine="709"/>
        <w:jc w:val="both"/>
        <w:rPr>
          <w:rFonts w:ascii="Arial" w:hAnsi="Arial" w:cs="Arial"/>
          <w:sz w:val="19"/>
          <w:szCs w:val="19"/>
        </w:rPr>
      </w:pPr>
      <w:r w:rsidRPr="00E74C09">
        <w:rPr>
          <w:rStyle w:val="Refdenotaalpie"/>
          <w:rFonts w:ascii="Arial" w:hAnsi="Arial" w:cs="Arial"/>
          <w:sz w:val="19"/>
          <w:szCs w:val="19"/>
        </w:rPr>
        <w:footnoteRef/>
      </w:r>
      <w:r w:rsidRPr="00E74C09">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15B919D3" w14:textId="77777777" w:rsidR="009A573B" w:rsidRPr="00E74C09" w:rsidRDefault="009A573B" w:rsidP="00E74C09">
      <w:pPr>
        <w:pStyle w:val="Textonotapie"/>
        <w:ind w:firstLine="709"/>
        <w:jc w:val="both"/>
        <w:rPr>
          <w:rFonts w:ascii="Arial" w:hAnsi="Arial" w:cs="Arial"/>
          <w:sz w:val="19"/>
          <w:szCs w:val="19"/>
        </w:rPr>
      </w:pPr>
    </w:p>
  </w:footnote>
  <w:footnote w:id="5">
    <w:p w14:paraId="79206CD2" w14:textId="77777777" w:rsidR="009A573B" w:rsidRPr="00E74C09" w:rsidRDefault="009A573B" w:rsidP="00E74C09">
      <w:pPr>
        <w:pStyle w:val="NormalWeb"/>
        <w:spacing w:before="0" w:beforeAutospacing="0" w:after="0" w:afterAutospacing="0"/>
        <w:ind w:firstLine="708"/>
        <w:jc w:val="both"/>
        <w:rPr>
          <w:rFonts w:ascii="Arial" w:hAnsi="Arial" w:cs="Arial"/>
          <w:color w:val="000000"/>
          <w:sz w:val="19"/>
          <w:szCs w:val="19"/>
        </w:rPr>
      </w:pPr>
      <w:r w:rsidRPr="00E74C09">
        <w:rPr>
          <w:rStyle w:val="Refdenotaalpie"/>
          <w:rFonts w:ascii="Arial" w:hAnsi="Arial" w:cs="Arial"/>
          <w:sz w:val="19"/>
          <w:szCs w:val="19"/>
        </w:rPr>
        <w:footnoteRef/>
      </w:r>
      <w:r w:rsidRPr="00E74C09">
        <w:rPr>
          <w:rFonts w:ascii="Arial" w:hAnsi="Arial" w:cs="Arial"/>
          <w:sz w:val="19"/>
          <w:szCs w:val="19"/>
        </w:rPr>
        <w:t xml:space="preserve"> Ley 2022 de 2020: «</w:t>
      </w:r>
      <w:r w:rsidRPr="00E74C09">
        <w:rPr>
          <w:rStyle w:val="Textoennegrita"/>
          <w:rFonts w:ascii="Arial" w:hAnsi="Arial" w:cs="Arial"/>
          <w:color w:val="000000"/>
          <w:sz w:val="19"/>
          <w:szCs w:val="19"/>
        </w:rPr>
        <w:t>Artículo 1º.</w:t>
      </w:r>
      <w:r w:rsidRPr="00E74C09">
        <w:rPr>
          <w:rFonts w:ascii="Arial" w:hAnsi="Arial" w:cs="Arial"/>
          <w:color w:val="000000"/>
          <w:sz w:val="19"/>
          <w:szCs w:val="19"/>
        </w:rPr>
        <w:t> Modifíquese el artículo 4º de la Ley 1882 de 2018, el cual quedará así: </w:t>
      </w:r>
    </w:p>
    <w:p w14:paraId="6BFBA4D4" w14:textId="77777777" w:rsidR="009A573B" w:rsidRPr="00E74C09" w:rsidRDefault="009A573B" w:rsidP="00E74C09">
      <w:pPr>
        <w:pStyle w:val="NormalWeb"/>
        <w:spacing w:before="0" w:beforeAutospacing="0" w:after="0" w:afterAutospacing="0"/>
        <w:ind w:firstLine="708"/>
        <w:jc w:val="both"/>
        <w:rPr>
          <w:rFonts w:ascii="Arial" w:hAnsi="Arial" w:cs="Arial"/>
          <w:color w:val="000000"/>
          <w:sz w:val="19"/>
          <w:szCs w:val="19"/>
        </w:rPr>
      </w:pPr>
      <w:r w:rsidRPr="00E74C09">
        <w:rPr>
          <w:rStyle w:val="Textoennegrita"/>
          <w:rFonts w:ascii="Arial" w:hAnsi="Arial" w:cs="Arial"/>
          <w:color w:val="000000"/>
          <w:sz w:val="19"/>
          <w:szCs w:val="19"/>
        </w:rPr>
        <w:t>»Artículo 4º.</w:t>
      </w:r>
      <w:r w:rsidRPr="00E74C09">
        <w:rPr>
          <w:rFonts w:ascii="Arial" w:hAnsi="Arial" w:cs="Arial"/>
          <w:color w:val="000000"/>
          <w:sz w:val="19"/>
          <w:szCs w:val="19"/>
        </w:rPr>
        <w:t> Adiciónese el siguiente parágrafo al artículo 2º de la Ley 1150 de 2007. </w:t>
      </w:r>
    </w:p>
    <w:p w14:paraId="2FEF52A0" w14:textId="77777777" w:rsidR="009A573B" w:rsidRPr="00E74C09" w:rsidRDefault="009A573B" w:rsidP="00E74C09">
      <w:pPr>
        <w:pStyle w:val="NormalWeb"/>
        <w:spacing w:before="0" w:beforeAutospacing="0" w:after="0" w:afterAutospacing="0"/>
        <w:ind w:firstLine="708"/>
        <w:jc w:val="both"/>
        <w:rPr>
          <w:rFonts w:ascii="Arial" w:hAnsi="Arial" w:cs="Arial"/>
          <w:color w:val="000000"/>
          <w:sz w:val="19"/>
          <w:szCs w:val="19"/>
        </w:rPr>
      </w:pPr>
      <w:r w:rsidRPr="00E74C09">
        <w:rPr>
          <w:rStyle w:val="Textoennegrita"/>
          <w:rFonts w:ascii="Arial" w:hAnsi="Arial" w:cs="Arial"/>
          <w:color w:val="000000"/>
          <w:sz w:val="19"/>
          <w:szCs w:val="19"/>
        </w:rPr>
        <w:t>»Parágrafo 7º.</w:t>
      </w:r>
      <w:r w:rsidRPr="00E74C09">
        <w:rPr>
          <w:rFonts w:ascii="Arial" w:hAnsi="Arial" w:cs="Arial"/>
          <w:color w:val="000000"/>
          <w:sz w:val="19"/>
          <w:szCs w:val="19"/>
        </w:rPr>
        <w:t>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0B41967A" w14:textId="77777777" w:rsidR="009A573B" w:rsidRPr="00E74C09" w:rsidRDefault="009A573B" w:rsidP="00E74C09">
      <w:pPr>
        <w:pStyle w:val="NormalWeb"/>
        <w:spacing w:before="0" w:beforeAutospacing="0" w:after="0" w:afterAutospacing="0"/>
        <w:ind w:firstLine="708"/>
        <w:jc w:val="both"/>
        <w:rPr>
          <w:rFonts w:ascii="Arial" w:hAnsi="Arial" w:cs="Arial"/>
          <w:color w:val="000000"/>
          <w:sz w:val="19"/>
          <w:szCs w:val="19"/>
        </w:rPr>
      </w:pPr>
      <w:r w:rsidRPr="00E74C09">
        <w:rPr>
          <w:rFonts w:ascii="Arial" w:hAnsi="Arial" w:cs="Arial"/>
          <w:color w:val="000000"/>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6E366B55" w14:textId="77777777" w:rsidR="009A573B" w:rsidRPr="00E74C09" w:rsidRDefault="009A573B" w:rsidP="00E74C09">
      <w:pPr>
        <w:pStyle w:val="NormalWeb"/>
        <w:spacing w:before="0" w:beforeAutospacing="0" w:after="0" w:afterAutospacing="0"/>
        <w:ind w:firstLine="708"/>
        <w:jc w:val="both"/>
        <w:rPr>
          <w:rFonts w:ascii="Arial" w:hAnsi="Arial" w:cs="Arial"/>
          <w:color w:val="000000"/>
          <w:sz w:val="19"/>
          <w:szCs w:val="19"/>
        </w:rPr>
      </w:pPr>
      <w:r w:rsidRPr="00E74C09">
        <w:rPr>
          <w:rFonts w:ascii="Arial" w:hAnsi="Arial" w:cs="Arial"/>
          <w:color w:val="000000"/>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38C091BE" w14:textId="77777777" w:rsidR="009A573B" w:rsidRPr="00E74C09" w:rsidRDefault="009A573B" w:rsidP="00E74C09">
      <w:pPr>
        <w:pStyle w:val="NormalWeb"/>
        <w:spacing w:before="0" w:beforeAutospacing="0" w:after="0" w:afterAutospacing="0"/>
        <w:ind w:firstLine="708"/>
        <w:jc w:val="both"/>
        <w:rPr>
          <w:rFonts w:ascii="Arial" w:hAnsi="Arial" w:cs="Arial"/>
          <w:color w:val="000000"/>
          <w:sz w:val="19"/>
          <w:szCs w:val="19"/>
        </w:rPr>
      </w:pPr>
      <w:r w:rsidRPr="00E74C09">
        <w:rPr>
          <w:rFonts w:ascii="Arial" w:hAnsi="Arial" w:cs="Arial"/>
          <w:color w:val="000000"/>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4EA3F539" w14:textId="77777777" w:rsidR="009A573B" w:rsidRPr="00E74C09" w:rsidRDefault="009A573B" w:rsidP="00E74C09">
      <w:pPr>
        <w:pStyle w:val="NormalWeb"/>
        <w:spacing w:before="0" w:beforeAutospacing="0" w:after="0" w:afterAutospacing="0"/>
        <w:ind w:firstLine="708"/>
        <w:jc w:val="both"/>
        <w:rPr>
          <w:rFonts w:ascii="Arial" w:hAnsi="Arial" w:cs="Arial"/>
          <w:sz w:val="19"/>
          <w:szCs w:val="19"/>
        </w:rPr>
      </w:pPr>
      <w:r w:rsidRPr="00E74C09">
        <w:rPr>
          <w:rFonts w:ascii="Arial" w:hAnsi="Arial" w:cs="Arial"/>
          <w:color w:val="000000"/>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6">
    <w:p w14:paraId="0BDE84B1" w14:textId="356DDACD" w:rsidR="0091408C" w:rsidRPr="00E74C09" w:rsidRDefault="0091408C" w:rsidP="005B759B">
      <w:pPr>
        <w:pStyle w:val="Textonotapie"/>
        <w:ind w:firstLine="709"/>
        <w:jc w:val="both"/>
        <w:rPr>
          <w:rFonts w:ascii="Arial" w:hAnsi="Arial" w:cs="Arial"/>
          <w:sz w:val="19"/>
          <w:szCs w:val="19"/>
          <w:lang w:val="es-ES"/>
        </w:rPr>
      </w:pPr>
      <w:r w:rsidRPr="00E74C09">
        <w:rPr>
          <w:rStyle w:val="Refdenotaalpie"/>
          <w:rFonts w:ascii="Arial" w:hAnsi="Arial" w:cs="Arial"/>
          <w:sz w:val="19"/>
          <w:szCs w:val="19"/>
        </w:rPr>
        <w:footnoteRef/>
      </w:r>
      <w:r w:rsidRPr="00E74C09">
        <w:rPr>
          <w:rFonts w:ascii="Arial" w:hAnsi="Arial" w:cs="Arial"/>
          <w:sz w:val="19"/>
          <w:szCs w:val="19"/>
        </w:rPr>
        <w:t xml:space="preserve"> </w:t>
      </w:r>
      <w:r w:rsidRPr="00E74C09">
        <w:rPr>
          <w:rFonts w:ascii="Arial" w:hAnsi="Arial" w:cs="Arial"/>
          <w:sz w:val="19"/>
          <w:szCs w:val="19"/>
          <w:lang w:val="es-ES"/>
        </w:rPr>
        <w:t>En cuanto a las resoluciones vigentes, dicha regla se observa en el artículo 3 de las Resoluciones 240, 241, 248, 249, 256, 269 de 2020 y 193, 219, 220, 392 y 454 del 2021, así como en el artículo 2 de la Resolución 094 de 2020.</w:t>
      </w:r>
    </w:p>
  </w:footnote>
  <w:footnote w:id="7">
    <w:p w14:paraId="19A392FD" w14:textId="2C62663E" w:rsidR="00727F2C" w:rsidRPr="00E74C09" w:rsidRDefault="00727F2C" w:rsidP="005B759B">
      <w:pPr>
        <w:pStyle w:val="Textonotapie"/>
        <w:ind w:firstLine="709"/>
        <w:jc w:val="both"/>
        <w:rPr>
          <w:rFonts w:ascii="Arial" w:hAnsi="Arial" w:cs="Arial"/>
          <w:sz w:val="19"/>
          <w:szCs w:val="19"/>
        </w:rPr>
      </w:pPr>
      <w:r w:rsidRPr="00E74C09">
        <w:rPr>
          <w:rStyle w:val="Refdenotaalpie"/>
          <w:rFonts w:ascii="Arial" w:hAnsi="Arial" w:cs="Arial"/>
          <w:sz w:val="19"/>
          <w:szCs w:val="19"/>
        </w:rPr>
        <w:footnoteRef/>
      </w:r>
      <w:r w:rsidRPr="00E74C09">
        <w:rPr>
          <w:rFonts w:ascii="Arial" w:hAnsi="Arial" w:cs="Arial"/>
          <w:sz w:val="19"/>
          <w:szCs w:val="19"/>
        </w:rPr>
        <w:t xml:space="preserve"> Es importante mencionar que este Decreto en el artículo 2 reglamentó el procedimiento de la mínima cuantía, incluyendo disposiciones particulares que se refieren a la contratación con Mipyme. Con base en estas disposiciones</w:t>
      </w:r>
      <w:r w:rsidR="004D1A32" w:rsidRPr="00E74C09">
        <w:rPr>
          <w:rFonts w:ascii="Arial" w:hAnsi="Arial" w:cs="Arial"/>
          <w:sz w:val="19"/>
          <w:szCs w:val="19"/>
        </w:rPr>
        <w:t>,</w:t>
      </w:r>
      <w:r w:rsidRPr="00E74C09">
        <w:rPr>
          <w:rFonts w:ascii="Arial" w:hAnsi="Arial" w:cs="Arial"/>
          <w:sz w:val="19"/>
          <w:szCs w:val="19"/>
        </w:rPr>
        <w:t xml:space="preserve"> la Agencia Nacional de Contratación Pública – Colombia Compra Eficiente expidió la Resolución 146 de 2022 </w:t>
      </w:r>
      <w:r w:rsidR="004D1A32" w:rsidRPr="00E74C09">
        <w:rPr>
          <w:rFonts w:ascii="Arial" w:hAnsi="Arial" w:cs="Arial"/>
          <w:sz w:val="19"/>
          <w:szCs w:val="19"/>
        </w:rPr>
        <w:t>«</w:t>
      </w:r>
      <w:r w:rsidRPr="00E74C09">
        <w:rPr>
          <w:rFonts w:ascii="Arial" w:hAnsi="Arial" w:cs="Arial"/>
          <w:sz w:val="19"/>
          <w:szCs w:val="19"/>
        </w:rPr>
        <w:t>Por lo cual fue modifica los documentos tipo para proyectos de obra pública de infraestructura de transporte adelantados bajo la modalidad de mínima cuantía</w:t>
      </w:r>
      <w:r w:rsidR="004D1A32" w:rsidRPr="00E74C09">
        <w:rPr>
          <w:rFonts w:ascii="Arial" w:hAnsi="Arial" w:cs="Arial"/>
          <w:sz w:val="19"/>
          <w:szCs w:val="19"/>
        </w:rPr>
        <w:t>»</w:t>
      </w:r>
      <w:r w:rsidRPr="00E74C09">
        <w:rPr>
          <w:rFonts w:ascii="Arial" w:hAnsi="Arial" w:cs="Arial"/>
          <w:sz w:val="19"/>
          <w:szCs w:val="19"/>
        </w:rPr>
        <w:t xml:space="preserve">. En el siguiente link puede verificar la mencionada resolución: </w:t>
      </w:r>
      <w:hyperlink r:id="rId1" w:history="1">
        <w:r w:rsidRPr="00E74C09">
          <w:rPr>
            <w:rFonts w:ascii="Arial" w:hAnsi="Arial" w:cs="Arial"/>
            <w:sz w:val="19"/>
            <w:szCs w:val="19"/>
          </w:rPr>
          <w:t>https://www.colombiacompra.gov.co/content/08-modificacion-los-documentos-tipo-para-los-procesos-de-obra-publica-de-infraestructura-de</w:t>
        </w:r>
      </w:hyperlink>
      <w:r w:rsidRPr="00E74C09">
        <w:rPr>
          <w:rFonts w:ascii="Arial" w:hAnsi="Arial" w:cs="Arial"/>
          <w:sz w:val="19"/>
          <w:szCs w:val="19"/>
        </w:rPr>
        <w:t xml:space="preserve"> </w:t>
      </w:r>
    </w:p>
  </w:footnote>
  <w:footnote w:id="8">
    <w:p w14:paraId="6EB01E8F" w14:textId="1220CF46" w:rsidR="009206AE" w:rsidRPr="00E74C09" w:rsidRDefault="00AC33AF" w:rsidP="005B759B">
      <w:pPr>
        <w:pStyle w:val="NormalWeb"/>
        <w:shd w:val="clear" w:color="auto" w:fill="FFFFFF"/>
        <w:spacing w:before="0" w:beforeAutospacing="0" w:after="0" w:afterAutospacing="0"/>
        <w:ind w:firstLine="708"/>
        <w:jc w:val="both"/>
        <w:rPr>
          <w:rFonts w:ascii="Arial" w:hAnsi="Arial" w:cs="Arial"/>
          <w:color w:val="auto"/>
          <w:sz w:val="19"/>
          <w:szCs w:val="19"/>
        </w:rPr>
      </w:pPr>
      <w:r w:rsidRPr="00E74C09">
        <w:rPr>
          <w:rStyle w:val="Refdenotaalpie"/>
          <w:rFonts w:ascii="Arial" w:hAnsi="Arial" w:cs="Arial"/>
          <w:color w:val="auto"/>
          <w:sz w:val="19"/>
          <w:szCs w:val="19"/>
        </w:rPr>
        <w:footnoteRef/>
      </w:r>
      <w:r w:rsidRPr="00E74C09">
        <w:rPr>
          <w:rFonts w:ascii="Arial" w:hAnsi="Arial" w:cs="Arial"/>
          <w:color w:val="auto"/>
          <w:sz w:val="19"/>
          <w:szCs w:val="19"/>
        </w:rPr>
        <w:t xml:space="preserve"> </w:t>
      </w:r>
      <w:r w:rsidR="004F485B" w:rsidRPr="00E74C09">
        <w:rPr>
          <w:rFonts w:ascii="Arial" w:hAnsi="Arial" w:cs="Arial"/>
          <w:color w:val="auto"/>
          <w:sz w:val="19"/>
          <w:szCs w:val="19"/>
        </w:rPr>
        <w:t>«</w:t>
      </w:r>
      <w:r w:rsidR="009206AE" w:rsidRPr="00E74C09">
        <w:rPr>
          <w:rFonts w:ascii="Arial" w:hAnsi="Arial" w:cs="Arial"/>
          <w:color w:val="auto"/>
          <w:sz w:val="19"/>
          <w:szCs w:val="19"/>
        </w:rPr>
        <w:t>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w:t>
      </w:r>
    </w:p>
    <w:p w14:paraId="60C6CB66" w14:textId="56DF9227" w:rsidR="009206AE" w:rsidRPr="00E74C09" w:rsidRDefault="004F485B" w:rsidP="005B759B">
      <w:pPr>
        <w:shd w:val="clear" w:color="auto" w:fill="FFFFFF"/>
        <w:spacing w:after="0" w:line="240" w:lineRule="auto"/>
        <w:ind w:firstLine="708"/>
        <w:jc w:val="both"/>
        <w:rPr>
          <w:rFonts w:ascii="Arial" w:eastAsia="Times New Roman" w:hAnsi="Arial" w:cs="Arial"/>
          <w:sz w:val="19"/>
          <w:szCs w:val="19"/>
          <w:lang w:eastAsia="es-CO"/>
        </w:rPr>
      </w:pPr>
      <w:r w:rsidRPr="00E74C09">
        <w:rPr>
          <w:rFonts w:ascii="Arial" w:eastAsia="Times New Roman" w:hAnsi="Arial" w:cs="Arial"/>
          <w:sz w:val="19"/>
          <w:szCs w:val="19"/>
          <w:lang w:eastAsia="es-CO"/>
        </w:rPr>
        <w:t>»</w:t>
      </w:r>
      <w:r w:rsidR="009206AE" w:rsidRPr="00E74C09">
        <w:rPr>
          <w:rFonts w:ascii="Arial" w:eastAsia="Times New Roman" w:hAnsi="Arial" w:cs="Arial"/>
          <w:sz w:val="19"/>
          <w:szCs w:val="19"/>
          <w:lang w:eastAsia="es-CO"/>
        </w:rPr>
        <w:t>1.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5A3933E4" w14:textId="58C09677" w:rsidR="009206AE" w:rsidRPr="00E74C09" w:rsidRDefault="004F485B" w:rsidP="005B759B">
      <w:pPr>
        <w:shd w:val="clear" w:color="auto" w:fill="FFFFFF"/>
        <w:spacing w:after="0" w:line="240" w:lineRule="auto"/>
        <w:ind w:firstLine="708"/>
        <w:jc w:val="both"/>
        <w:rPr>
          <w:rFonts w:ascii="Arial" w:eastAsia="Times New Roman" w:hAnsi="Arial" w:cs="Arial"/>
          <w:sz w:val="19"/>
          <w:szCs w:val="19"/>
          <w:lang w:eastAsia="es-CO"/>
        </w:rPr>
      </w:pPr>
      <w:r w:rsidRPr="00E74C09">
        <w:rPr>
          <w:rFonts w:ascii="Arial" w:eastAsia="Times New Roman" w:hAnsi="Arial" w:cs="Arial"/>
          <w:sz w:val="19"/>
          <w:szCs w:val="19"/>
          <w:lang w:eastAsia="es-CO"/>
        </w:rPr>
        <w:t>»</w:t>
      </w:r>
      <w:r w:rsidR="009206AE" w:rsidRPr="00E74C09">
        <w:rPr>
          <w:rFonts w:ascii="Arial" w:eastAsia="Times New Roman" w:hAnsi="Arial" w:cs="Arial"/>
          <w:sz w:val="19"/>
          <w:szCs w:val="19"/>
          <w:lang w:eastAsia="es-CO"/>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170F1204" w14:textId="0B08F3EE" w:rsidR="009206AE" w:rsidRPr="00E74C09" w:rsidRDefault="00022E1B" w:rsidP="005B759B">
      <w:pPr>
        <w:shd w:val="clear" w:color="auto" w:fill="FFFFFF"/>
        <w:spacing w:after="0" w:line="240" w:lineRule="auto"/>
        <w:ind w:firstLine="708"/>
        <w:jc w:val="both"/>
        <w:rPr>
          <w:rFonts w:ascii="Arial" w:eastAsia="Times New Roman" w:hAnsi="Arial" w:cs="Arial"/>
          <w:sz w:val="19"/>
          <w:szCs w:val="19"/>
          <w:lang w:eastAsia="es-CO"/>
        </w:rPr>
      </w:pPr>
      <w:r w:rsidRPr="00E74C09">
        <w:rPr>
          <w:rFonts w:ascii="Arial" w:eastAsia="Times New Roman" w:hAnsi="Arial" w:cs="Arial"/>
          <w:sz w:val="19"/>
          <w:szCs w:val="19"/>
          <w:lang w:eastAsia="es-CO"/>
        </w:rPr>
        <w:t>»</w:t>
      </w:r>
      <w:r w:rsidR="009206AE" w:rsidRPr="00E74C09">
        <w:rPr>
          <w:rFonts w:ascii="Arial" w:eastAsia="Times New Roman" w:hAnsi="Arial" w:cs="Arial"/>
          <w:sz w:val="19"/>
          <w:szCs w:val="19"/>
          <w:lang w:eastAsia="es-CO"/>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13D91E34" w14:textId="55CA303C" w:rsidR="009206AE" w:rsidRPr="00E74C09" w:rsidRDefault="00022E1B" w:rsidP="005B759B">
      <w:pPr>
        <w:shd w:val="clear" w:color="auto" w:fill="FFFFFF"/>
        <w:spacing w:after="0" w:line="240" w:lineRule="auto"/>
        <w:ind w:firstLine="708"/>
        <w:jc w:val="both"/>
        <w:rPr>
          <w:rFonts w:ascii="Arial" w:eastAsia="Times New Roman" w:hAnsi="Arial" w:cs="Arial"/>
          <w:sz w:val="19"/>
          <w:szCs w:val="19"/>
          <w:lang w:eastAsia="es-CO"/>
        </w:rPr>
      </w:pPr>
      <w:r w:rsidRPr="00E74C09">
        <w:rPr>
          <w:rFonts w:ascii="Arial" w:eastAsia="Times New Roman" w:hAnsi="Arial" w:cs="Arial"/>
          <w:sz w:val="19"/>
          <w:szCs w:val="19"/>
          <w:lang w:eastAsia="es-CO"/>
        </w:rPr>
        <w:t>»</w:t>
      </w:r>
      <w:r w:rsidR="009206AE" w:rsidRPr="00E74C09">
        <w:rPr>
          <w:rFonts w:ascii="Arial" w:eastAsia="Times New Roman" w:hAnsi="Arial" w:cs="Arial"/>
          <w:sz w:val="19"/>
          <w:szCs w:val="19"/>
          <w:lang w:eastAsia="es-CO"/>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3DA30A0C" w14:textId="68A134A3" w:rsidR="009206AE" w:rsidRPr="00E74C09" w:rsidRDefault="00022E1B" w:rsidP="005B759B">
      <w:pPr>
        <w:shd w:val="clear" w:color="auto" w:fill="FFFFFF"/>
        <w:spacing w:after="0" w:line="240" w:lineRule="auto"/>
        <w:ind w:firstLine="708"/>
        <w:jc w:val="both"/>
        <w:rPr>
          <w:rFonts w:ascii="Arial" w:eastAsia="Times New Roman" w:hAnsi="Arial" w:cs="Arial"/>
          <w:sz w:val="19"/>
          <w:szCs w:val="19"/>
          <w:lang w:eastAsia="es-CO"/>
        </w:rPr>
      </w:pPr>
      <w:r w:rsidRPr="00E74C09">
        <w:rPr>
          <w:rFonts w:ascii="Arial" w:eastAsia="Times New Roman" w:hAnsi="Arial" w:cs="Arial"/>
          <w:sz w:val="19"/>
          <w:szCs w:val="19"/>
          <w:lang w:eastAsia="es-CO"/>
        </w:rPr>
        <w:t>»</w:t>
      </w:r>
      <w:r w:rsidR="009206AE" w:rsidRPr="00E74C09">
        <w:rPr>
          <w:rFonts w:ascii="Arial" w:eastAsia="Times New Roman" w:hAnsi="Arial" w:cs="Arial"/>
          <w:sz w:val="19"/>
          <w:szCs w:val="19"/>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54502B21" w14:textId="58BE5E1C" w:rsidR="009206AE" w:rsidRPr="00E74C09" w:rsidRDefault="00022E1B" w:rsidP="005B759B">
      <w:pPr>
        <w:shd w:val="clear" w:color="auto" w:fill="FFFFFF"/>
        <w:spacing w:after="0" w:line="240" w:lineRule="auto"/>
        <w:ind w:firstLine="708"/>
        <w:jc w:val="both"/>
        <w:rPr>
          <w:rFonts w:ascii="Arial" w:eastAsia="Times New Roman" w:hAnsi="Arial" w:cs="Arial"/>
          <w:sz w:val="19"/>
          <w:szCs w:val="19"/>
          <w:lang w:eastAsia="es-CO"/>
        </w:rPr>
      </w:pPr>
      <w:r w:rsidRPr="00E74C09">
        <w:rPr>
          <w:rFonts w:ascii="Arial" w:eastAsia="Times New Roman" w:hAnsi="Arial" w:cs="Arial"/>
          <w:sz w:val="19"/>
          <w:szCs w:val="19"/>
          <w:lang w:eastAsia="es-CO"/>
        </w:rPr>
        <w:t>»</w:t>
      </w:r>
      <w:r w:rsidR="009206AE" w:rsidRPr="00E74C09">
        <w:rPr>
          <w:rFonts w:ascii="Arial" w:eastAsia="Times New Roman" w:hAnsi="Arial" w:cs="Arial"/>
          <w:sz w:val="19"/>
          <w:szCs w:val="19"/>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10A92853" w14:textId="1203928D" w:rsidR="009206AE" w:rsidRPr="00E74C09" w:rsidRDefault="00022E1B" w:rsidP="005B759B">
      <w:pPr>
        <w:shd w:val="clear" w:color="auto" w:fill="FFFFFF"/>
        <w:spacing w:after="0" w:line="240" w:lineRule="auto"/>
        <w:ind w:firstLine="708"/>
        <w:jc w:val="both"/>
        <w:rPr>
          <w:rFonts w:ascii="Arial" w:eastAsia="Times New Roman" w:hAnsi="Arial" w:cs="Arial"/>
          <w:sz w:val="19"/>
          <w:szCs w:val="19"/>
          <w:lang w:eastAsia="es-CO"/>
        </w:rPr>
      </w:pPr>
      <w:r w:rsidRPr="00E74C09">
        <w:rPr>
          <w:rFonts w:ascii="Arial" w:eastAsia="Times New Roman" w:hAnsi="Arial" w:cs="Arial"/>
          <w:sz w:val="19"/>
          <w:szCs w:val="19"/>
          <w:lang w:eastAsia="es-CO"/>
        </w:rPr>
        <w:t>»</w:t>
      </w:r>
      <w:r w:rsidR="009206AE" w:rsidRPr="00E74C09">
        <w:rPr>
          <w:rFonts w:ascii="Arial" w:eastAsia="Times New Roman" w:hAnsi="Arial" w:cs="Arial"/>
          <w:sz w:val="19"/>
          <w:szCs w:val="19"/>
          <w:lang w:eastAsia="es-CO"/>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45BF6DA3" w14:textId="4C64C589" w:rsidR="00AC33AF" w:rsidRPr="00E74C09" w:rsidRDefault="00022E1B" w:rsidP="005B759B">
      <w:pPr>
        <w:shd w:val="clear" w:color="auto" w:fill="FFFFFF"/>
        <w:spacing w:after="0" w:line="240" w:lineRule="auto"/>
        <w:ind w:firstLine="708"/>
        <w:jc w:val="both"/>
        <w:rPr>
          <w:rFonts w:ascii="Arial" w:hAnsi="Arial" w:cs="Arial"/>
          <w:sz w:val="19"/>
          <w:szCs w:val="19"/>
        </w:rPr>
      </w:pPr>
      <w:r w:rsidRPr="00E74C09">
        <w:rPr>
          <w:rFonts w:ascii="Arial" w:eastAsia="Times New Roman" w:hAnsi="Arial" w:cs="Arial"/>
          <w:sz w:val="19"/>
          <w:szCs w:val="19"/>
          <w:lang w:eastAsia="es-CO"/>
        </w:rPr>
        <w:t>»</w:t>
      </w:r>
      <w:r w:rsidR="009206AE" w:rsidRPr="00E74C09">
        <w:rPr>
          <w:rFonts w:ascii="Arial" w:eastAsia="Times New Roman" w:hAnsi="Arial" w:cs="Arial"/>
          <w:sz w:val="19"/>
          <w:szCs w:val="19"/>
          <w:lang w:eastAsia="es-CO"/>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w:t>
      </w:r>
      <w:r w:rsidRPr="00E74C09">
        <w:rPr>
          <w:rFonts w:ascii="Arial" w:eastAsia="Times New Roman" w:hAnsi="Arial" w:cs="Arial"/>
          <w:sz w:val="19"/>
          <w:szCs w:val="19"/>
          <w:lang w:eastAsia="es-CO"/>
        </w:rPr>
        <w:t>»</w:t>
      </w:r>
      <w:r w:rsidR="009206AE" w:rsidRPr="00E74C09">
        <w:rPr>
          <w:rFonts w:ascii="Arial" w:eastAsia="Times New Roman" w:hAnsi="Arial" w:cs="Arial"/>
          <w:sz w:val="19"/>
          <w:szCs w:val="19"/>
          <w:lang w:eastAsia="es-CO"/>
        </w:rPr>
        <w:t>.</w:t>
      </w:r>
    </w:p>
  </w:footnote>
  <w:footnote w:id="9">
    <w:p w14:paraId="560B20CE" w14:textId="55F92600" w:rsidR="002C0E7F" w:rsidRPr="00E74C09" w:rsidRDefault="002C0E7F" w:rsidP="005B759B">
      <w:pPr>
        <w:spacing w:after="0" w:line="240" w:lineRule="auto"/>
        <w:ind w:firstLine="708"/>
        <w:jc w:val="both"/>
        <w:rPr>
          <w:rFonts w:ascii="Arial" w:eastAsia="Arial" w:hAnsi="Arial" w:cs="Arial"/>
          <w:sz w:val="19"/>
          <w:szCs w:val="19"/>
          <w:lang w:val="es-ES" w:eastAsia="es-CO"/>
        </w:rPr>
      </w:pPr>
      <w:r w:rsidRPr="00E74C09">
        <w:rPr>
          <w:rStyle w:val="Refdenotaalpie"/>
          <w:rFonts w:ascii="Arial" w:hAnsi="Arial" w:cs="Arial"/>
          <w:sz w:val="19"/>
          <w:szCs w:val="19"/>
        </w:rPr>
        <w:footnoteRef/>
      </w:r>
      <w:r w:rsidRPr="00E74C09">
        <w:rPr>
          <w:rFonts w:ascii="Arial" w:hAnsi="Arial" w:cs="Arial"/>
          <w:sz w:val="19"/>
          <w:szCs w:val="19"/>
        </w:rPr>
        <w:t xml:space="preserve"> </w:t>
      </w:r>
      <w:r w:rsidR="0003218C" w:rsidRPr="00E74C09">
        <w:rPr>
          <w:rFonts w:ascii="Arial" w:eastAsia="Arial" w:hAnsi="Arial" w:cs="Arial"/>
          <w:sz w:val="19"/>
          <w:szCs w:val="19"/>
          <w:lang w:eastAsia="es-CO"/>
        </w:rPr>
        <w:t>«</w:t>
      </w:r>
      <w:r w:rsidRPr="00E74C09">
        <w:rPr>
          <w:rFonts w:ascii="Arial" w:eastAsia="Arial" w:hAnsi="Arial" w:cs="Arial"/>
          <w:sz w:val="19"/>
          <w:szCs w:val="19"/>
          <w:lang w:eastAsia="es-CO"/>
        </w:rPr>
        <w:t>Artículo 2.2.1.2.4.2.15. Criterios diferenciales para emprendimientos y empresas de mujeres en el sistema de compras públicas</w:t>
      </w:r>
      <w:r w:rsidRPr="00E74C09">
        <w:rPr>
          <w:rFonts w:ascii="Arial" w:eastAsia="Arial" w:hAnsi="Arial" w:cs="Arial"/>
          <w:i/>
          <w:iCs/>
          <w:sz w:val="19"/>
          <w:szCs w:val="19"/>
          <w:lang w:eastAsia="es-CO"/>
        </w:rPr>
        <w:t xml:space="preserve">. </w:t>
      </w:r>
      <w:r w:rsidRPr="00E74C09">
        <w:rPr>
          <w:rFonts w:ascii="Arial" w:eastAsia="Arial" w:hAnsi="Arial" w:cs="Arial"/>
          <w:sz w:val="19"/>
          <w:szCs w:val="19"/>
          <w:lang w:val="es-ES" w:eastAsia="es-CO"/>
        </w:rPr>
        <w:t xml:space="preserve">En los procesos de licitación pública, selección abreviada de menor cuantía y concurso de méritos, así como en los procesos competitivos que adelanten las Entidades Estatales no sometidas al Estatuto General de Contratación de la Administración Pública, las Entidades incluirán condiciones habilitantes para incentivar los emprendimientos y empresas de mujeres con domicilio en el territorio nacional. Para el efecto, los Documentos del Proceso deberán incorporar requisitos habilitantes diferenciales relacionados con alguno o algunos de los siguientes aspectos: </w:t>
      </w:r>
    </w:p>
    <w:p w14:paraId="03F6686A" w14:textId="58E4DA29" w:rsidR="002C0E7F" w:rsidRPr="00E74C09" w:rsidRDefault="0003218C" w:rsidP="005B759B">
      <w:pPr>
        <w:spacing w:after="0" w:line="240" w:lineRule="auto"/>
        <w:ind w:firstLine="708"/>
        <w:jc w:val="both"/>
        <w:rPr>
          <w:rFonts w:ascii="Arial" w:eastAsia="Arial" w:hAnsi="Arial" w:cs="Arial"/>
          <w:sz w:val="19"/>
          <w:szCs w:val="19"/>
          <w:lang w:val="es-ES" w:eastAsia="es-CO"/>
        </w:rPr>
      </w:pPr>
      <w:r w:rsidRPr="00E74C09">
        <w:rPr>
          <w:rFonts w:ascii="Arial" w:eastAsia="Arial" w:hAnsi="Arial" w:cs="Arial"/>
          <w:sz w:val="19"/>
          <w:szCs w:val="19"/>
          <w:lang w:val="es-ES" w:eastAsia="es-CO"/>
        </w:rPr>
        <w:t>»</w:t>
      </w:r>
      <w:r w:rsidR="002C0E7F" w:rsidRPr="00E74C09">
        <w:rPr>
          <w:rFonts w:ascii="Arial" w:eastAsia="Arial" w:hAnsi="Arial" w:cs="Arial"/>
          <w:sz w:val="19"/>
          <w:szCs w:val="19"/>
          <w:lang w:val="es-ES" w:eastAsia="es-CO"/>
        </w:rPr>
        <w:t xml:space="preserve">1. Tiempo de experiencia. </w:t>
      </w:r>
    </w:p>
    <w:p w14:paraId="1F105B5D" w14:textId="75D03AD3" w:rsidR="002C0E7F" w:rsidRPr="00E74C09" w:rsidRDefault="0003218C" w:rsidP="005B759B">
      <w:pPr>
        <w:spacing w:after="0" w:line="240" w:lineRule="auto"/>
        <w:ind w:firstLine="708"/>
        <w:jc w:val="both"/>
        <w:rPr>
          <w:rFonts w:ascii="Arial" w:eastAsia="Arial" w:hAnsi="Arial" w:cs="Arial"/>
          <w:sz w:val="19"/>
          <w:szCs w:val="19"/>
          <w:lang w:val="es-ES" w:eastAsia="es-CO"/>
        </w:rPr>
      </w:pPr>
      <w:r w:rsidRPr="00E74C09">
        <w:rPr>
          <w:rFonts w:ascii="Arial" w:eastAsia="Arial" w:hAnsi="Arial" w:cs="Arial"/>
          <w:sz w:val="19"/>
          <w:szCs w:val="19"/>
          <w:lang w:val="es-ES" w:eastAsia="es-CO"/>
        </w:rPr>
        <w:t>»</w:t>
      </w:r>
      <w:r w:rsidR="002C0E7F" w:rsidRPr="00E74C09">
        <w:rPr>
          <w:rFonts w:ascii="Arial" w:eastAsia="Arial" w:hAnsi="Arial" w:cs="Arial"/>
          <w:sz w:val="19"/>
          <w:szCs w:val="19"/>
          <w:lang w:val="es-ES" w:eastAsia="es-CO"/>
        </w:rPr>
        <w:t xml:space="preserve">2. Número de contratos para la acreditación de la experiencia. </w:t>
      </w:r>
    </w:p>
    <w:p w14:paraId="518DC2BF" w14:textId="670DD9B6" w:rsidR="002C0E7F" w:rsidRPr="00E74C09" w:rsidRDefault="0003218C" w:rsidP="005B759B">
      <w:pPr>
        <w:spacing w:after="0" w:line="240" w:lineRule="auto"/>
        <w:ind w:firstLine="708"/>
        <w:jc w:val="both"/>
        <w:rPr>
          <w:rFonts w:ascii="Arial" w:eastAsia="Arial" w:hAnsi="Arial" w:cs="Arial"/>
          <w:sz w:val="19"/>
          <w:szCs w:val="19"/>
          <w:lang w:val="es-ES" w:eastAsia="es-CO"/>
        </w:rPr>
      </w:pPr>
      <w:r w:rsidRPr="00E74C09">
        <w:rPr>
          <w:rFonts w:ascii="Arial" w:eastAsia="Arial" w:hAnsi="Arial" w:cs="Arial"/>
          <w:sz w:val="19"/>
          <w:szCs w:val="19"/>
          <w:lang w:val="es-ES" w:eastAsia="es-CO"/>
        </w:rPr>
        <w:t>»</w:t>
      </w:r>
      <w:r w:rsidR="002C0E7F" w:rsidRPr="00E74C09">
        <w:rPr>
          <w:rFonts w:ascii="Arial" w:eastAsia="Arial" w:hAnsi="Arial" w:cs="Arial"/>
          <w:sz w:val="19"/>
          <w:szCs w:val="19"/>
          <w:lang w:val="es-ES" w:eastAsia="es-CO"/>
        </w:rPr>
        <w:t xml:space="preserve">3. Índices de capacidad financiera. </w:t>
      </w:r>
    </w:p>
    <w:p w14:paraId="4674E98F" w14:textId="325E63C4" w:rsidR="002C0E7F" w:rsidRPr="00E74C09" w:rsidRDefault="0003218C" w:rsidP="005B759B">
      <w:pPr>
        <w:spacing w:after="0" w:line="240" w:lineRule="auto"/>
        <w:ind w:firstLine="708"/>
        <w:jc w:val="both"/>
        <w:rPr>
          <w:rFonts w:ascii="Arial" w:eastAsia="Arial" w:hAnsi="Arial" w:cs="Arial"/>
          <w:sz w:val="19"/>
          <w:szCs w:val="19"/>
          <w:lang w:val="es-ES" w:eastAsia="es-CO"/>
        </w:rPr>
      </w:pPr>
      <w:r w:rsidRPr="00E74C09">
        <w:rPr>
          <w:rFonts w:ascii="Arial" w:eastAsia="Arial" w:hAnsi="Arial" w:cs="Arial"/>
          <w:sz w:val="19"/>
          <w:szCs w:val="19"/>
          <w:lang w:val="es-ES" w:eastAsia="es-CO"/>
        </w:rPr>
        <w:t>»</w:t>
      </w:r>
      <w:r w:rsidR="002C0E7F" w:rsidRPr="00E74C09">
        <w:rPr>
          <w:rFonts w:ascii="Arial" w:eastAsia="Arial" w:hAnsi="Arial" w:cs="Arial"/>
          <w:sz w:val="19"/>
          <w:szCs w:val="19"/>
          <w:lang w:val="es-ES" w:eastAsia="es-CO"/>
        </w:rPr>
        <w:t xml:space="preserve">4. Índices de capacidad organizacional. </w:t>
      </w:r>
    </w:p>
    <w:p w14:paraId="0E30FA6E" w14:textId="44B6431E" w:rsidR="002C0E7F" w:rsidRPr="00E74C09" w:rsidRDefault="0003218C" w:rsidP="005B759B">
      <w:pPr>
        <w:spacing w:after="0" w:line="240" w:lineRule="auto"/>
        <w:ind w:firstLine="708"/>
        <w:jc w:val="both"/>
        <w:rPr>
          <w:rFonts w:ascii="Arial" w:eastAsia="Arial" w:hAnsi="Arial" w:cs="Arial"/>
          <w:sz w:val="19"/>
          <w:szCs w:val="19"/>
          <w:lang w:val="es-ES" w:eastAsia="es-CO"/>
        </w:rPr>
      </w:pPr>
      <w:r w:rsidRPr="00E74C09">
        <w:rPr>
          <w:rFonts w:ascii="Arial" w:eastAsia="Arial" w:hAnsi="Arial" w:cs="Arial"/>
          <w:sz w:val="19"/>
          <w:szCs w:val="19"/>
          <w:lang w:val="es-ES" w:eastAsia="es-CO"/>
        </w:rPr>
        <w:t>»</w:t>
      </w:r>
      <w:r w:rsidR="002C0E7F" w:rsidRPr="00E74C09">
        <w:rPr>
          <w:rFonts w:ascii="Arial" w:eastAsia="Arial" w:hAnsi="Arial" w:cs="Arial"/>
          <w:sz w:val="19"/>
          <w:szCs w:val="19"/>
          <w:lang w:val="es-ES" w:eastAsia="es-CO"/>
        </w:rPr>
        <w:t>5. Valor de la garantía de seriedad de la oferta.</w:t>
      </w:r>
    </w:p>
    <w:p w14:paraId="0803FB85" w14:textId="578A74DF" w:rsidR="002C0E7F" w:rsidRPr="00E74C09" w:rsidRDefault="00414626" w:rsidP="005B759B">
      <w:pPr>
        <w:spacing w:after="0" w:line="240" w:lineRule="auto"/>
        <w:ind w:firstLine="708"/>
        <w:jc w:val="both"/>
        <w:rPr>
          <w:rFonts w:ascii="Arial" w:eastAsia="Arial" w:hAnsi="Arial" w:cs="Arial"/>
          <w:sz w:val="19"/>
          <w:szCs w:val="19"/>
          <w:lang w:eastAsia="es-CO"/>
        </w:rPr>
      </w:pPr>
      <w:r w:rsidRPr="00E74C09">
        <w:rPr>
          <w:rFonts w:ascii="Arial" w:eastAsia="Arial" w:hAnsi="Arial" w:cs="Arial"/>
          <w:sz w:val="19"/>
          <w:szCs w:val="19"/>
          <w:lang w:eastAsia="es-CO"/>
        </w:rPr>
        <w:t>»</w:t>
      </w:r>
      <w:r w:rsidR="002C0E7F" w:rsidRPr="00E74C09">
        <w:rPr>
          <w:rFonts w:ascii="Arial" w:eastAsia="Arial" w:hAnsi="Arial" w:cs="Arial"/>
          <w:sz w:val="19"/>
          <w:szCs w:val="19"/>
          <w:lang w:eastAsia="es-CO"/>
        </w:rPr>
        <w:t>Los requisitos mencionados deberán fijarse respetando las condiciones habilitantes requeridas para el cumplimiento adecuado del contrato, teniendo en cuenta el alcance de las obligaciones. En desarrollo de lo anterior, con la finalidad de beneficiar a las empresas y emprendimientos de mujeres, se establecerán condiciones más exigentes respecto a alguno o algunos de los criterios de participación antes enunciados frente a los demás proponentes que concurran al procedimiento de selección que no sean empresas o emprendimientos de mujeres.</w:t>
      </w:r>
    </w:p>
    <w:p w14:paraId="1BD4E194" w14:textId="1C3AF0E7" w:rsidR="002C0E7F" w:rsidRPr="00E74C09" w:rsidRDefault="00414626" w:rsidP="005B759B">
      <w:pPr>
        <w:spacing w:after="0" w:line="240" w:lineRule="auto"/>
        <w:ind w:firstLine="708"/>
        <w:jc w:val="both"/>
        <w:rPr>
          <w:rFonts w:ascii="Arial" w:eastAsia="Arial" w:hAnsi="Arial" w:cs="Arial"/>
          <w:sz w:val="19"/>
          <w:szCs w:val="19"/>
          <w:lang w:val="es-ES" w:eastAsia="es-CO"/>
        </w:rPr>
      </w:pPr>
      <w:r w:rsidRPr="00E74C09">
        <w:rPr>
          <w:rFonts w:ascii="Arial" w:eastAsia="Arial" w:hAnsi="Arial" w:cs="Arial"/>
          <w:sz w:val="19"/>
          <w:szCs w:val="19"/>
          <w:lang w:val="es-ES" w:eastAsia="es-CO"/>
        </w:rPr>
        <w:t>»</w:t>
      </w:r>
      <w:r w:rsidR="002C0E7F" w:rsidRPr="00E74C09">
        <w:rPr>
          <w:rFonts w:ascii="Arial" w:eastAsia="Arial" w:hAnsi="Arial" w:cs="Arial"/>
          <w:sz w:val="19"/>
          <w:szCs w:val="19"/>
          <w:lang w:val="es-ES" w:eastAsia="es-CO"/>
        </w:rPr>
        <w:t>De manera que no se ponga en riesgo el cumplimiento adecuado del objeto contractual, con excepción de los procedimientos donde el menor precio ofrecido sea el único factor de evaluación, las Entidades también otorgarán un puntaje adicional de hasta el cero punto veinticinco por ciento (0.25%) del valor total de los puntos establecidos en los pliegos de condiciones o documentos equivalentes, a los proponentes que acrediten alguno de los supuestos del artículo 2.2.1.2.4.2.14 del presente Decreto.</w:t>
      </w:r>
    </w:p>
    <w:p w14:paraId="50DEB073" w14:textId="04305760" w:rsidR="002C0E7F" w:rsidRPr="00E74C09" w:rsidRDefault="00414626" w:rsidP="005B759B">
      <w:pPr>
        <w:spacing w:after="0" w:line="240" w:lineRule="auto"/>
        <w:ind w:firstLine="708"/>
        <w:jc w:val="both"/>
        <w:rPr>
          <w:rFonts w:ascii="Arial" w:eastAsia="Times New Roman" w:hAnsi="Arial" w:cs="Arial"/>
          <w:sz w:val="19"/>
          <w:szCs w:val="19"/>
          <w:lang w:eastAsia="es-MX"/>
        </w:rPr>
      </w:pPr>
      <w:r w:rsidRPr="00E74C09">
        <w:rPr>
          <w:rFonts w:ascii="Arial" w:eastAsia="Times New Roman" w:hAnsi="Arial" w:cs="Arial"/>
          <w:sz w:val="19"/>
          <w:szCs w:val="19"/>
          <w:lang w:eastAsia="es-MX"/>
        </w:rPr>
        <w:t>»</w:t>
      </w:r>
      <w:r w:rsidR="002C0E7F" w:rsidRPr="00E74C09">
        <w:rPr>
          <w:rFonts w:ascii="Arial" w:eastAsia="Times New Roman" w:hAnsi="Arial" w:cs="Arial"/>
          <w:sz w:val="19"/>
          <w:szCs w:val="19"/>
          <w:lang w:eastAsia="es-MX"/>
        </w:rPr>
        <w:t>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w:t>
      </w:r>
    </w:p>
    <w:p w14:paraId="0A2402C6" w14:textId="0FEBC188" w:rsidR="002C0E7F" w:rsidRPr="00E74C09" w:rsidRDefault="00414626" w:rsidP="005B759B">
      <w:pPr>
        <w:spacing w:after="0" w:line="240" w:lineRule="auto"/>
        <w:ind w:firstLine="708"/>
        <w:jc w:val="both"/>
        <w:rPr>
          <w:rFonts w:ascii="Arial" w:eastAsia="Arial" w:hAnsi="Arial" w:cs="Arial"/>
          <w:sz w:val="19"/>
          <w:szCs w:val="19"/>
          <w:lang w:val="es-ES" w:eastAsia="es-CO"/>
        </w:rPr>
      </w:pPr>
      <w:r w:rsidRPr="00E74C09">
        <w:rPr>
          <w:rFonts w:ascii="Arial" w:eastAsia="Arial" w:hAnsi="Arial" w:cs="Arial"/>
          <w:sz w:val="19"/>
          <w:szCs w:val="19"/>
          <w:lang w:val="es-ES" w:eastAsia="es-CO"/>
        </w:rPr>
        <w:t>»</w:t>
      </w:r>
      <w:r w:rsidR="002C0E7F" w:rsidRPr="00E74C09">
        <w:rPr>
          <w:rFonts w:ascii="Arial" w:eastAsia="Arial" w:hAnsi="Arial" w:cs="Arial"/>
          <w:sz w:val="19"/>
          <w:szCs w:val="19"/>
          <w:lang w:val="es-ES" w:eastAsia="es-CO"/>
        </w:rPr>
        <w:t>Parágrafo 1. Tratándose de proponentes plurales, los criterios diferenciales y los puntajes adicionales solo se aplicarán si por lo menos uno de los integrantes acredita que es emprendimiento y empresa de mujeres bajo los criterios dispuestos en el artículo precedente y que tiene una participación igual o superior al diez por ciento (10%) en el consorcio o la unión temporal.</w:t>
      </w:r>
    </w:p>
    <w:p w14:paraId="228B14FD" w14:textId="60D30F35" w:rsidR="002C0E7F" w:rsidRPr="00E74C09" w:rsidRDefault="005C1C24" w:rsidP="005B759B">
      <w:pPr>
        <w:spacing w:after="0" w:line="240" w:lineRule="auto"/>
        <w:ind w:firstLine="708"/>
        <w:jc w:val="both"/>
        <w:rPr>
          <w:rFonts w:ascii="Arial" w:eastAsia="Arial" w:hAnsi="Arial" w:cs="Arial"/>
          <w:sz w:val="19"/>
          <w:szCs w:val="19"/>
          <w:lang w:val="es-ES" w:eastAsia="es-CO"/>
        </w:rPr>
      </w:pPr>
      <w:r w:rsidRPr="00E74C09">
        <w:rPr>
          <w:rFonts w:ascii="Arial" w:eastAsia="Arial" w:hAnsi="Arial" w:cs="Arial"/>
          <w:sz w:val="19"/>
          <w:szCs w:val="19"/>
          <w:lang w:val="es-ES" w:eastAsia="es-CO"/>
        </w:rPr>
        <w:t>»</w:t>
      </w:r>
      <w:r w:rsidR="002C0E7F" w:rsidRPr="00E74C09">
        <w:rPr>
          <w:rFonts w:ascii="Arial" w:eastAsia="Arial" w:hAnsi="Arial" w:cs="Arial"/>
          <w:sz w:val="19"/>
          <w:szCs w:val="19"/>
          <w:lang w:val="es-ES" w:eastAsia="es-CO"/>
        </w:rPr>
        <w:t>Parágrafo 2. Los incentivos contractuales para las empresas y emprendimientos de mujeres no excluyen la aplicación de los criterios diferenciales para Mipyme en el sistema de compras públicas</w:t>
      </w:r>
      <w:r w:rsidRPr="00E74C09">
        <w:rPr>
          <w:rFonts w:ascii="Arial" w:eastAsia="Arial" w:hAnsi="Arial" w:cs="Arial"/>
          <w:sz w:val="19"/>
          <w:szCs w:val="19"/>
          <w:lang w:val="es-ES" w:eastAsia="es-CO"/>
        </w:rPr>
        <w:t>»</w:t>
      </w:r>
      <w:r w:rsidR="002C0E7F" w:rsidRPr="00E74C09">
        <w:rPr>
          <w:rFonts w:ascii="Arial" w:eastAsia="Arial" w:hAnsi="Arial" w:cs="Arial"/>
          <w:sz w:val="19"/>
          <w:szCs w:val="19"/>
          <w:lang w:val="es-ES" w:eastAsia="es-CO"/>
        </w:rPr>
        <w:t xml:space="preserve">. </w:t>
      </w:r>
    </w:p>
    <w:p w14:paraId="042FE429" w14:textId="4CB0E415" w:rsidR="002C0E7F" w:rsidRPr="00E74C09" w:rsidRDefault="002C0E7F" w:rsidP="005B759B">
      <w:pPr>
        <w:pStyle w:val="Textonotapie"/>
        <w:jc w:val="both"/>
        <w:rPr>
          <w:rFonts w:ascii="Arial" w:hAnsi="Arial" w:cs="Arial"/>
          <w:sz w:val="19"/>
          <w:szCs w:val="19"/>
          <w:lang w:val="es-CO"/>
        </w:rPr>
      </w:pPr>
    </w:p>
  </w:footnote>
  <w:footnote w:id="10">
    <w:p w14:paraId="71E21532" w14:textId="29B6E6F9" w:rsidR="00817806" w:rsidRPr="00E74C09" w:rsidRDefault="00817806" w:rsidP="005B759B">
      <w:pPr>
        <w:pStyle w:val="NormalWeb"/>
        <w:shd w:val="clear" w:color="auto" w:fill="FFFFFF"/>
        <w:spacing w:before="0" w:beforeAutospacing="0" w:after="0" w:afterAutospacing="0"/>
        <w:ind w:firstLine="708"/>
        <w:jc w:val="both"/>
        <w:rPr>
          <w:rFonts w:ascii="Arial" w:hAnsi="Arial" w:cs="Arial"/>
          <w:color w:val="auto"/>
          <w:sz w:val="19"/>
          <w:szCs w:val="19"/>
        </w:rPr>
      </w:pPr>
      <w:r w:rsidRPr="005B759B">
        <w:rPr>
          <w:rStyle w:val="Refdenotaalpie"/>
          <w:rFonts w:ascii="Arial" w:hAnsi="Arial" w:cs="Arial"/>
          <w:sz w:val="19"/>
          <w:szCs w:val="19"/>
        </w:rPr>
        <w:footnoteRef/>
      </w:r>
      <w:r w:rsidRPr="005B759B">
        <w:rPr>
          <w:rFonts w:ascii="Arial" w:hAnsi="Arial" w:cs="Arial"/>
          <w:sz w:val="19"/>
          <w:szCs w:val="19"/>
        </w:rPr>
        <w:t xml:space="preserve"> «</w:t>
      </w:r>
      <w:r w:rsidRPr="00E74C09">
        <w:rPr>
          <w:rFonts w:ascii="Arial" w:hAnsi="Arial" w:cs="Arial"/>
          <w:color w:val="auto"/>
          <w:sz w:val="19"/>
          <w:szCs w:val="19"/>
        </w:rPr>
        <w:t>ARTÍCULO </w:t>
      </w:r>
      <w:bookmarkStart w:id="10" w:name="8"/>
      <w:r w:rsidRPr="00E74C09">
        <w:rPr>
          <w:rFonts w:ascii="Arial" w:hAnsi="Arial" w:cs="Arial"/>
          <w:color w:val="auto"/>
          <w:sz w:val="19"/>
          <w:szCs w:val="19"/>
        </w:rPr>
        <w:t> </w:t>
      </w:r>
      <w:bookmarkEnd w:id="10"/>
      <w:r w:rsidRPr="00E74C09">
        <w:rPr>
          <w:rFonts w:ascii="Arial" w:hAnsi="Arial" w:cs="Arial"/>
          <w:color w:val="auto"/>
          <w:sz w:val="19"/>
          <w:szCs w:val="19"/>
        </w:rPr>
        <w:t>8. Vigencia y derogatorias</w:t>
      </w:r>
      <w:r w:rsidRPr="00E74C09">
        <w:rPr>
          <w:rFonts w:ascii="Arial" w:hAnsi="Arial" w:cs="Arial"/>
          <w:b/>
          <w:bCs/>
          <w:color w:val="auto"/>
          <w:sz w:val="19"/>
          <w:szCs w:val="19"/>
        </w:rPr>
        <w:t>.</w:t>
      </w:r>
      <w:r w:rsidRPr="00E74C09">
        <w:rPr>
          <w:rFonts w:ascii="Arial" w:hAnsi="Arial" w:cs="Arial"/>
          <w:color w:val="auto"/>
          <w:sz w:val="19"/>
          <w:szCs w:val="19"/>
        </w:rPr>
        <w:t>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2" w:anchor="2.2.1.2.1.5.1" w:history="1">
        <w:r w:rsidRPr="00E74C09">
          <w:rPr>
            <w:rStyle w:val="Hipervnculo"/>
            <w:rFonts w:ascii="Arial" w:hAnsi="Arial" w:cs="Arial"/>
            <w:color w:val="auto"/>
            <w:sz w:val="19"/>
            <w:szCs w:val="19"/>
            <w:u w:val="none"/>
          </w:rPr>
          <w:t>5 </w:t>
        </w:r>
      </w:hyperlink>
      <w:r w:rsidRPr="00E74C09">
        <w:rPr>
          <w:rFonts w:ascii="Arial" w:hAnsi="Arial" w:cs="Arial"/>
          <w:color w:val="auto"/>
          <w:sz w:val="19"/>
          <w:szCs w:val="19"/>
        </w:rPr>
        <w:t>de la Sección 1 del Capítulo 2 del Título 1 de la Parte 2 del Libro 2, así como los artículos </w:t>
      </w:r>
      <w:hyperlink r:id="rId3" w:anchor="2.2.1.2.4.2.2" w:history="1">
        <w:r w:rsidRPr="00E74C09">
          <w:rPr>
            <w:rStyle w:val="Hipervnculo"/>
            <w:rFonts w:ascii="Arial" w:hAnsi="Arial" w:cs="Arial"/>
            <w:color w:val="auto"/>
            <w:sz w:val="19"/>
            <w:szCs w:val="19"/>
            <w:u w:val="none"/>
          </w:rPr>
          <w:t>2.2.1.2.4.2.2</w:t>
        </w:r>
      </w:hyperlink>
      <w:r w:rsidRPr="00E74C09">
        <w:rPr>
          <w:rFonts w:ascii="Arial" w:hAnsi="Arial" w:cs="Arial"/>
          <w:color w:val="auto"/>
          <w:sz w:val="19"/>
          <w:szCs w:val="19"/>
        </w:rPr>
        <w:t>., </w:t>
      </w:r>
      <w:hyperlink r:id="rId4" w:anchor="2.2.1.2.4.2.3" w:history="1">
        <w:r w:rsidRPr="00E74C09">
          <w:rPr>
            <w:rStyle w:val="Hipervnculo"/>
            <w:rFonts w:ascii="Arial" w:hAnsi="Arial" w:cs="Arial"/>
            <w:color w:val="auto"/>
            <w:sz w:val="19"/>
            <w:szCs w:val="19"/>
            <w:u w:val="none"/>
          </w:rPr>
          <w:t>2.2.1.2.4.2.3</w:t>
        </w:r>
      </w:hyperlink>
      <w:r w:rsidRPr="00E74C09">
        <w:rPr>
          <w:rFonts w:ascii="Arial" w:hAnsi="Arial" w:cs="Arial"/>
          <w:color w:val="auto"/>
          <w:sz w:val="19"/>
          <w:szCs w:val="19"/>
        </w:rPr>
        <w:t>., </w:t>
      </w:r>
      <w:hyperlink r:id="rId5" w:anchor="2.2.1.2.4.2.4" w:history="1">
        <w:r w:rsidRPr="00E74C09">
          <w:rPr>
            <w:rStyle w:val="Hipervnculo"/>
            <w:rFonts w:ascii="Arial" w:hAnsi="Arial" w:cs="Arial"/>
            <w:color w:val="auto"/>
            <w:sz w:val="19"/>
            <w:szCs w:val="19"/>
            <w:u w:val="none"/>
          </w:rPr>
          <w:t>2.2.1.2.4.2.4</w:t>
        </w:r>
      </w:hyperlink>
      <w:r w:rsidRPr="00E74C09">
        <w:rPr>
          <w:rFonts w:ascii="Arial" w:hAnsi="Arial" w:cs="Arial"/>
          <w:color w:val="auto"/>
          <w:sz w:val="19"/>
          <w:szCs w:val="19"/>
        </w:rPr>
        <w:t>., </w:t>
      </w:r>
      <w:hyperlink r:id="rId6" w:anchor="2.2.1.2.1.2.2" w:history="1">
        <w:r w:rsidRPr="00E74C09">
          <w:rPr>
            <w:rStyle w:val="Hipervnculo"/>
            <w:rFonts w:ascii="Arial" w:hAnsi="Arial" w:cs="Arial"/>
            <w:color w:val="auto"/>
            <w:sz w:val="19"/>
            <w:szCs w:val="19"/>
            <w:u w:val="none"/>
          </w:rPr>
          <w:t>2.2.1.2.1.2.2</w:t>
        </w:r>
      </w:hyperlink>
      <w:r w:rsidRPr="00E74C09">
        <w:rPr>
          <w:rFonts w:ascii="Arial" w:hAnsi="Arial" w:cs="Arial"/>
          <w:color w:val="auto"/>
          <w:sz w:val="19"/>
          <w:szCs w:val="19"/>
        </w:rPr>
        <w:t>. y </w:t>
      </w:r>
      <w:hyperlink r:id="rId7" w:anchor="2.2.1.2.4.2.8" w:history="1">
        <w:r w:rsidRPr="00E74C09">
          <w:rPr>
            <w:rStyle w:val="Hipervnculo"/>
            <w:rFonts w:ascii="Arial" w:hAnsi="Arial" w:cs="Arial"/>
            <w:color w:val="auto"/>
            <w:sz w:val="19"/>
            <w:szCs w:val="19"/>
            <w:u w:val="none"/>
          </w:rPr>
          <w:t>2.2.1.2.4.2.8</w:t>
        </w:r>
      </w:hyperlink>
      <w:r w:rsidRPr="00E74C09">
        <w:rPr>
          <w:rFonts w:ascii="Arial" w:hAnsi="Arial" w:cs="Arial"/>
          <w:color w:val="auto"/>
          <w:sz w:val="19"/>
          <w:szCs w:val="19"/>
        </w:rPr>
        <w:t>.; adiciona los artículos </w:t>
      </w:r>
      <w:hyperlink r:id="rId8" w:anchor="2.2.1.2.4.2.14" w:history="1">
        <w:r w:rsidRPr="00E74C09">
          <w:rPr>
            <w:rStyle w:val="Hipervnculo"/>
            <w:rFonts w:ascii="Arial" w:hAnsi="Arial" w:cs="Arial"/>
            <w:color w:val="auto"/>
            <w:sz w:val="19"/>
            <w:szCs w:val="19"/>
            <w:u w:val="none"/>
          </w:rPr>
          <w:t>2.2.1.2.4.2.14</w:t>
        </w:r>
      </w:hyperlink>
      <w:r w:rsidRPr="00E74C09">
        <w:rPr>
          <w:rFonts w:ascii="Arial" w:hAnsi="Arial" w:cs="Arial"/>
          <w:color w:val="auto"/>
          <w:sz w:val="19"/>
          <w:szCs w:val="19"/>
        </w:rPr>
        <w:t>., </w:t>
      </w:r>
      <w:hyperlink r:id="rId9" w:anchor="2.2.1.2.4.2.15" w:history="1">
        <w:r w:rsidRPr="00E74C09">
          <w:rPr>
            <w:rStyle w:val="Hipervnculo"/>
            <w:rFonts w:ascii="Arial" w:hAnsi="Arial" w:cs="Arial"/>
            <w:color w:val="auto"/>
            <w:sz w:val="19"/>
            <w:szCs w:val="19"/>
            <w:u w:val="none"/>
          </w:rPr>
          <w:t>2.2.1.2.4.2.15</w:t>
        </w:r>
      </w:hyperlink>
      <w:r w:rsidRPr="00E74C09">
        <w:rPr>
          <w:rFonts w:ascii="Arial" w:hAnsi="Arial" w:cs="Arial"/>
          <w:color w:val="auto"/>
          <w:sz w:val="19"/>
          <w:szCs w:val="19"/>
        </w:rPr>
        <w:t>., </w:t>
      </w:r>
      <w:hyperlink r:id="rId10" w:anchor="2.2.1.2.4.2.16" w:history="1">
        <w:r w:rsidRPr="00E74C09">
          <w:rPr>
            <w:rStyle w:val="Hipervnculo"/>
            <w:rFonts w:ascii="Arial" w:hAnsi="Arial" w:cs="Arial"/>
            <w:color w:val="auto"/>
            <w:sz w:val="19"/>
            <w:szCs w:val="19"/>
            <w:u w:val="none"/>
          </w:rPr>
          <w:t>2.2.1.2.4.2.16</w:t>
        </w:r>
      </w:hyperlink>
      <w:r w:rsidRPr="00E74C09">
        <w:rPr>
          <w:rFonts w:ascii="Arial" w:hAnsi="Arial" w:cs="Arial"/>
          <w:color w:val="auto"/>
          <w:sz w:val="19"/>
          <w:szCs w:val="19"/>
        </w:rPr>
        <w:t>., </w:t>
      </w:r>
      <w:hyperlink r:id="rId11" w:anchor="2.2.1.2.4.2.17" w:history="1">
        <w:r w:rsidRPr="00E74C09">
          <w:rPr>
            <w:rStyle w:val="Hipervnculo"/>
            <w:rFonts w:ascii="Arial" w:hAnsi="Arial" w:cs="Arial"/>
            <w:color w:val="auto"/>
            <w:sz w:val="19"/>
            <w:szCs w:val="19"/>
            <w:u w:val="none"/>
          </w:rPr>
          <w:t>2.2.1.2.4.2.17</w:t>
        </w:r>
      </w:hyperlink>
      <w:r w:rsidRPr="00E74C09">
        <w:rPr>
          <w:rFonts w:ascii="Arial" w:hAnsi="Arial" w:cs="Arial"/>
          <w:color w:val="auto"/>
          <w:sz w:val="19"/>
          <w:szCs w:val="19"/>
        </w:rPr>
        <w:t>. y </w:t>
      </w:r>
      <w:hyperlink r:id="rId12" w:anchor="2.2.1.2.4.2.18" w:history="1">
        <w:r w:rsidRPr="00E74C09">
          <w:rPr>
            <w:rStyle w:val="Hipervnculo"/>
            <w:rFonts w:ascii="Arial" w:hAnsi="Arial" w:cs="Arial"/>
            <w:color w:val="auto"/>
            <w:sz w:val="19"/>
            <w:szCs w:val="19"/>
            <w:u w:val="none"/>
          </w:rPr>
          <w:t>2.2.1.2.4.2.18</w:t>
        </w:r>
      </w:hyperlink>
      <w:r w:rsidRPr="00E74C09">
        <w:rPr>
          <w:rFonts w:ascii="Arial" w:hAnsi="Arial" w:cs="Arial"/>
          <w:color w:val="auto"/>
          <w:sz w:val="19"/>
          <w:szCs w:val="19"/>
        </w:rPr>
        <w:t>.; adiciona un </w:t>
      </w:r>
      <w:hyperlink r:id="rId13" w:anchor="2.2.1.2.3.1.9.p" w:history="1">
        <w:r w:rsidRPr="00E74C09">
          <w:rPr>
            <w:rStyle w:val="Hipervnculo"/>
            <w:rFonts w:ascii="Arial" w:hAnsi="Arial" w:cs="Arial"/>
            <w:color w:val="auto"/>
            <w:sz w:val="19"/>
            <w:szCs w:val="19"/>
            <w:u w:val="none"/>
          </w:rPr>
          <w:t>parágrafo </w:t>
        </w:r>
      </w:hyperlink>
      <w:r w:rsidRPr="00E74C09">
        <w:rPr>
          <w:rFonts w:ascii="Arial" w:hAnsi="Arial" w:cs="Arial"/>
          <w:color w:val="auto"/>
          <w:sz w:val="19"/>
          <w:szCs w:val="19"/>
        </w:rPr>
        <w:t>al artículo </w:t>
      </w:r>
      <w:hyperlink r:id="rId14" w:anchor="2.2.1.2.3.1.9" w:history="1">
        <w:r w:rsidRPr="00E74C09">
          <w:rPr>
            <w:rStyle w:val="Hipervnculo"/>
            <w:rFonts w:ascii="Arial" w:hAnsi="Arial" w:cs="Arial"/>
            <w:color w:val="auto"/>
            <w:sz w:val="19"/>
            <w:szCs w:val="19"/>
            <w:u w:val="none"/>
          </w:rPr>
          <w:t>2.2.1.2.3.1.9</w:t>
        </w:r>
      </w:hyperlink>
      <w:r w:rsidRPr="00E74C09">
        <w:rPr>
          <w:rFonts w:ascii="Arial" w:hAnsi="Arial" w:cs="Arial"/>
          <w:color w:val="auto"/>
          <w:sz w:val="19"/>
          <w:szCs w:val="19"/>
        </w:rPr>
        <w:t>; y deroga el artículo </w:t>
      </w:r>
      <w:hyperlink r:id="rId15" w:anchor="2.2.1.1.2.2.9" w:history="1">
        <w:r w:rsidRPr="00E74C09">
          <w:rPr>
            <w:rStyle w:val="Hipervnculo"/>
            <w:rFonts w:ascii="Arial" w:hAnsi="Arial" w:cs="Arial"/>
            <w:color w:val="auto"/>
            <w:sz w:val="19"/>
            <w:szCs w:val="19"/>
            <w:u w:val="none"/>
          </w:rPr>
          <w:t>2.2.1.1.2.2.9</w:t>
        </w:r>
      </w:hyperlink>
      <w:r w:rsidRPr="00E74C09">
        <w:rPr>
          <w:rFonts w:ascii="Arial" w:hAnsi="Arial" w:cs="Arial"/>
          <w:color w:val="auto"/>
          <w:sz w:val="19"/>
          <w:szCs w:val="19"/>
        </w:rPr>
        <w:t>. del Decreto 1082 de 2015, Único Reglamentario del Sector Administrativo de Planeación Nacional.</w:t>
      </w:r>
    </w:p>
    <w:p w14:paraId="789529BA" w14:textId="68C7B60C" w:rsidR="00817806" w:rsidRPr="00E74C09" w:rsidRDefault="00817806" w:rsidP="005B759B">
      <w:pPr>
        <w:pStyle w:val="NormalWeb"/>
        <w:shd w:val="clear" w:color="auto" w:fill="FFFFFF"/>
        <w:spacing w:before="0" w:beforeAutospacing="0" w:after="0" w:afterAutospacing="0"/>
        <w:ind w:firstLine="708"/>
        <w:jc w:val="both"/>
        <w:rPr>
          <w:rFonts w:ascii="Arial" w:hAnsi="Arial" w:cs="Arial"/>
          <w:color w:val="auto"/>
          <w:sz w:val="19"/>
          <w:szCs w:val="19"/>
        </w:rPr>
      </w:pPr>
      <w:r w:rsidRPr="00E74C09">
        <w:rPr>
          <w:rFonts w:ascii="Arial" w:hAnsi="Arial" w:cs="Arial"/>
          <w:color w:val="auto"/>
          <w:sz w:val="19"/>
          <w:szCs w:val="19"/>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6B8E681F" w14:textId="5233A0CC" w:rsidR="00817806" w:rsidRPr="00E74C09" w:rsidRDefault="00817806" w:rsidP="005B759B">
      <w:pPr>
        <w:pStyle w:val="NormalWeb"/>
        <w:shd w:val="clear" w:color="auto" w:fill="FFFFFF"/>
        <w:spacing w:before="0" w:beforeAutospacing="0" w:after="0" w:afterAutospacing="0"/>
        <w:ind w:firstLine="708"/>
        <w:jc w:val="both"/>
        <w:rPr>
          <w:rFonts w:ascii="Arial" w:hAnsi="Arial" w:cs="Arial"/>
          <w:color w:val="auto"/>
          <w:sz w:val="19"/>
          <w:szCs w:val="19"/>
        </w:rPr>
      </w:pPr>
      <w:r w:rsidRPr="00E74C09">
        <w:rPr>
          <w:rFonts w:ascii="Arial" w:hAnsi="Arial" w:cs="Arial"/>
          <w:color w:val="auto"/>
          <w:sz w:val="19"/>
          <w:szCs w:val="19"/>
        </w:rPr>
        <w:t> «La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p w14:paraId="2ECA18AF" w14:textId="513D6AFE" w:rsidR="00817806" w:rsidRPr="005B759B" w:rsidRDefault="00817806" w:rsidP="005B759B">
      <w:pPr>
        <w:pStyle w:val="Textonotapie"/>
        <w:jc w:val="both"/>
        <w:rPr>
          <w:rFonts w:ascii="Arial" w:hAnsi="Arial" w:cs="Arial"/>
          <w:sz w:val="19"/>
          <w:szCs w:val="19"/>
          <w:lang w:val="es-CO"/>
        </w:rPr>
      </w:pPr>
    </w:p>
  </w:footnote>
  <w:footnote w:id="11">
    <w:p w14:paraId="03DCC841" w14:textId="2E3CC07A" w:rsidR="00E74C09" w:rsidRPr="005B759B" w:rsidRDefault="00E74C09" w:rsidP="005B759B">
      <w:pPr>
        <w:pStyle w:val="Textonotapie"/>
        <w:ind w:firstLine="708"/>
        <w:jc w:val="both"/>
        <w:rPr>
          <w:rFonts w:ascii="Arial" w:hAnsi="Arial" w:cs="Arial"/>
          <w:sz w:val="19"/>
          <w:szCs w:val="19"/>
          <w:lang w:val="es-CO"/>
        </w:rPr>
      </w:pPr>
      <w:r w:rsidRPr="005B759B">
        <w:rPr>
          <w:rStyle w:val="Refdenotaalpie"/>
          <w:rFonts w:ascii="Arial" w:hAnsi="Arial" w:cs="Arial"/>
          <w:sz w:val="19"/>
          <w:szCs w:val="19"/>
        </w:rPr>
        <w:footnoteRef/>
      </w:r>
      <w:r w:rsidRPr="005B759B">
        <w:rPr>
          <w:rFonts w:ascii="Arial" w:hAnsi="Arial" w:cs="Arial"/>
          <w:sz w:val="19"/>
          <w:szCs w:val="19"/>
        </w:rPr>
        <w:t xml:space="preserve"> La versión preliminar de esta modificación puede consultarse en el siguiente enlace: </w:t>
      </w:r>
      <w:hyperlink r:id="rId16" w:history="1">
        <w:r w:rsidRPr="005B759B">
          <w:rPr>
            <w:rStyle w:val="Hipervnculo"/>
            <w:rFonts w:ascii="Arial" w:hAnsi="Arial" w:cs="Arial"/>
            <w:sz w:val="19"/>
            <w:szCs w:val="19"/>
          </w:rPr>
          <w:t>https://www.colombiacompra.gov.co/content/formularios-para-comentarios-la-memoria-justificativa-y-al-proyecto-de-resolucion-por-la</w:t>
        </w:r>
      </w:hyperlink>
      <w:r w:rsidRPr="005B759B">
        <w:rPr>
          <w:rFonts w:ascii="Arial" w:hAnsi="Arial" w:cs="Arial"/>
          <w:sz w:val="19"/>
          <w:szCs w:val="19"/>
        </w:rPr>
        <w:t xml:space="preserve"> </w:t>
      </w:r>
    </w:p>
  </w:footnote>
  <w:footnote w:id="12">
    <w:p w14:paraId="07629AE6" w14:textId="77777777" w:rsidR="00AB657D" w:rsidRPr="00E74C09" w:rsidRDefault="00AB657D" w:rsidP="00AB657D">
      <w:pPr>
        <w:pStyle w:val="NormalWeb"/>
        <w:shd w:val="clear" w:color="auto" w:fill="FFFFFF"/>
        <w:spacing w:before="0" w:beforeAutospacing="0" w:after="0" w:afterAutospacing="0"/>
        <w:ind w:firstLine="708"/>
        <w:jc w:val="both"/>
        <w:rPr>
          <w:rFonts w:ascii="Arial" w:hAnsi="Arial" w:cs="Arial"/>
          <w:color w:val="auto"/>
          <w:sz w:val="19"/>
          <w:szCs w:val="19"/>
        </w:rPr>
      </w:pPr>
      <w:r w:rsidRPr="0011397E">
        <w:rPr>
          <w:rStyle w:val="Refdenotaalpie"/>
          <w:rFonts w:ascii="Arial" w:hAnsi="Arial" w:cs="Arial"/>
          <w:sz w:val="19"/>
          <w:szCs w:val="19"/>
        </w:rPr>
        <w:footnoteRef/>
      </w:r>
      <w:r w:rsidRPr="0011397E">
        <w:rPr>
          <w:rFonts w:ascii="Arial" w:hAnsi="Arial" w:cs="Arial"/>
          <w:sz w:val="19"/>
          <w:szCs w:val="19"/>
        </w:rPr>
        <w:t xml:space="preserve"> «</w:t>
      </w:r>
      <w:r w:rsidRPr="00E74C09">
        <w:rPr>
          <w:rFonts w:ascii="Arial" w:hAnsi="Arial" w:cs="Arial"/>
          <w:color w:val="auto"/>
          <w:sz w:val="19"/>
          <w:szCs w:val="19"/>
        </w:rPr>
        <w:t>ARTÍCULO  8. Vigencia y derogatorias</w:t>
      </w:r>
      <w:r w:rsidRPr="00E74C09">
        <w:rPr>
          <w:rFonts w:ascii="Arial" w:hAnsi="Arial" w:cs="Arial"/>
          <w:b/>
          <w:bCs/>
          <w:color w:val="auto"/>
          <w:sz w:val="19"/>
          <w:szCs w:val="19"/>
        </w:rPr>
        <w:t>.</w:t>
      </w:r>
      <w:r w:rsidRPr="00E74C09">
        <w:rPr>
          <w:rFonts w:ascii="Arial" w:hAnsi="Arial" w:cs="Arial"/>
          <w:color w:val="auto"/>
          <w:sz w:val="19"/>
          <w:szCs w:val="19"/>
        </w:rPr>
        <w:t>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17" w:anchor="2.2.1.2.1.5.1" w:history="1">
        <w:r w:rsidRPr="00E74C09">
          <w:rPr>
            <w:rStyle w:val="Hipervnculo"/>
            <w:rFonts w:ascii="Arial" w:hAnsi="Arial" w:cs="Arial"/>
            <w:color w:val="auto"/>
            <w:sz w:val="19"/>
            <w:szCs w:val="19"/>
            <w:u w:val="none"/>
          </w:rPr>
          <w:t>5 </w:t>
        </w:r>
      </w:hyperlink>
      <w:r w:rsidRPr="00E74C09">
        <w:rPr>
          <w:rFonts w:ascii="Arial" w:hAnsi="Arial" w:cs="Arial"/>
          <w:color w:val="auto"/>
          <w:sz w:val="19"/>
          <w:szCs w:val="19"/>
        </w:rPr>
        <w:t>de la Sección 1 del Capítulo 2 del Título 1 de la Parte 2 del Libro 2, así como los artículos </w:t>
      </w:r>
      <w:hyperlink r:id="rId18" w:anchor="2.2.1.2.4.2.2" w:history="1">
        <w:r w:rsidRPr="00E74C09">
          <w:rPr>
            <w:rStyle w:val="Hipervnculo"/>
            <w:rFonts w:ascii="Arial" w:hAnsi="Arial" w:cs="Arial"/>
            <w:color w:val="auto"/>
            <w:sz w:val="19"/>
            <w:szCs w:val="19"/>
            <w:u w:val="none"/>
          </w:rPr>
          <w:t>2.2.1.2.4.2.2</w:t>
        </w:r>
      </w:hyperlink>
      <w:r w:rsidRPr="00E74C09">
        <w:rPr>
          <w:rFonts w:ascii="Arial" w:hAnsi="Arial" w:cs="Arial"/>
          <w:color w:val="auto"/>
          <w:sz w:val="19"/>
          <w:szCs w:val="19"/>
        </w:rPr>
        <w:t>., </w:t>
      </w:r>
      <w:hyperlink r:id="rId19" w:anchor="2.2.1.2.4.2.3" w:history="1">
        <w:r w:rsidRPr="00E74C09">
          <w:rPr>
            <w:rStyle w:val="Hipervnculo"/>
            <w:rFonts w:ascii="Arial" w:hAnsi="Arial" w:cs="Arial"/>
            <w:color w:val="auto"/>
            <w:sz w:val="19"/>
            <w:szCs w:val="19"/>
            <w:u w:val="none"/>
          </w:rPr>
          <w:t>2.2.1.2.4.2.3</w:t>
        </w:r>
      </w:hyperlink>
      <w:r w:rsidRPr="00E74C09">
        <w:rPr>
          <w:rFonts w:ascii="Arial" w:hAnsi="Arial" w:cs="Arial"/>
          <w:color w:val="auto"/>
          <w:sz w:val="19"/>
          <w:szCs w:val="19"/>
        </w:rPr>
        <w:t>., </w:t>
      </w:r>
      <w:hyperlink r:id="rId20" w:anchor="2.2.1.2.4.2.4" w:history="1">
        <w:r w:rsidRPr="00E74C09">
          <w:rPr>
            <w:rStyle w:val="Hipervnculo"/>
            <w:rFonts w:ascii="Arial" w:hAnsi="Arial" w:cs="Arial"/>
            <w:color w:val="auto"/>
            <w:sz w:val="19"/>
            <w:szCs w:val="19"/>
            <w:u w:val="none"/>
          </w:rPr>
          <w:t>2.2.1.2.4.2.4</w:t>
        </w:r>
      </w:hyperlink>
      <w:r w:rsidRPr="00E74C09">
        <w:rPr>
          <w:rFonts w:ascii="Arial" w:hAnsi="Arial" w:cs="Arial"/>
          <w:color w:val="auto"/>
          <w:sz w:val="19"/>
          <w:szCs w:val="19"/>
        </w:rPr>
        <w:t>., </w:t>
      </w:r>
      <w:hyperlink r:id="rId21" w:anchor="2.2.1.2.1.2.2" w:history="1">
        <w:r w:rsidRPr="00E74C09">
          <w:rPr>
            <w:rStyle w:val="Hipervnculo"/>
            <w:rFonts w:ascii="Arial" w:hAnsi="Arial" w:cs="Arial"/>
            <w:color w:val="auto"/>
            <w:sz w:val="19"/>
            <w:szCs w:val="19"/>
            <w:u w:val="none"/>
          </w:rPr>
          <w:t>2.2.1.2.1.2.2</w:t>
        </w:r>
      </w:hyperlink>
      <w:r w:rsidRPr="00E74C09">
        <w:rPr>
          <w:rFonts w:ascii="Arial" w:hAnsi="Arial" w:cs="Arial"/>
          <w:color w:val="auto"/>
          <w:sz w:val="19"/>
          <w:szCs w:val="19"/>
        </w:rPr>
        <w:t>. y </w:t>
      </w:r>
      <w:hyperlink r:id="rId22" w:anchor="2.2.1.2.4.2.8" w:history="1">
        <w:r w:rsidRPr="00E74C09">
          <w:rPr>
            <w:rStyle w:val="Hipervnculo"/>
            <w:rFonts w:ascii="Arial" w:hAnsi="Arial" w:cs="Arial"/>
            <w:color w:val="auto"/>
            <w:sz w:val="19"/>
            <w:szCs w:val="19"/>
            <w:u w:val="none"/>
          </w:rPr>
          <w:t>2.2.1.2.4.2.8</w:t>
        </w:r>
      </w:hyperlink>
      <w:r w:rsidRPr="00E74C09">
        <w:rPr>
          <w:rFonts w:ascii="Arial" w:hAnsi="Arial" w:cs="Arial"/>
          <w:color w:val="auto"/>
          <w:sz w:val="19"/>
          <w:szCs w:val="19"/>
        </w:rPr>
        <w:t>.; adiciona los artículos </w:t>
      </w:r>
      <w:hyperlink r:id="rId23" w:anchor="2.2.1.2.4.2.14" w:history="1">
        <w:r w:rsidRPr="00E74C09">
          <w:rPr>
            <w:rStyle w:val="Hipervnculo"/>
            <w:rFonts w:ascii="Arial" w:hAnsi="Arial" w:cs="Arial"/>
            <w:color w:val="auto"/>
            <w:sz w:val="19"/>
            <w:szCs w:val="19"/>
            <w:u w:val="none"/>
          </w:rPr>
          <w:t>2.2.1.2.4.2.14</w:t>
        </w:r>
      </w:hyperlink>
      <w:r w:rsidRPr="00E74C09">
        <w:rPr>
          <w:rFonts w:ascii="Arial" w:hAnsi="Arial" w:cs="Arial"/>
          <w:color w:val="auto"/>
          <w:sz w:val="19"/>
          <w:szCs w:val="19"/>
        </w:rPr>
        <w:t>., </w:t>
      </w:r>
      <w:hyperlink r:id="rId24" w:anchor="2.2.1.2.4.2.15" w:history="1">
        <w:r w:rsidRPr="00E74C09">
          <w:rPr>
            <w:rStyle w:val="Hipervnculo"/>
            <w:rFonts w:ascii="Arial" w:hAnsi="Arial" w:cs="Arial"/>
            <w:color w:val="auto"/>
            <w:sz w:val="19"/>
            <w:szCs w:val="19"/>
            <w:u w:val="none"/>
          </w:rPr>
          <w:t>2.2.1.2.4.2.15</w:t>
        </w:r>
      </w:hyperlink>
      <w:r w:rsidRPr="00E74C09">
        <w:rPr>
          <w:rFonts w:ascii="Arial" w:hAnsi="Arial" w:cs="Arial"/>
          <w:color w:val="auto"/>
          <w:sz w:val="19"/>
          <w:szCs w:val="19"/>
        </w:rPr>
        <w:t>., </w:t>
      </w:r>
      <w:hyperlink r:id="rId25" w:anchor="2.2.1.2.4.2.16" w:history="1">
        <w:r w:rsidRPr="00E74C09">
          <w:rPr>
            <w:rStyle w:val="Hipervnculo"/>
            <w:rFonts w:ascii="Arial" w:hAnsi="Arial" w:cs="Arial"/>
            <w:color w:val="auto"/>
            <w:sz w:val="19"/>
            <w:szCs w:val="19"/>
            <w:u w:val="none"/>
          </w:rPr>
          <w:t>2.2.1.2.4.2.16</w:t>
        </w:r>
      </w:hyperlink>
      <w:r w:rsidRPr="00E74C09">
        <w:rPr>
          <w:rFonts w:ascii="Arial" w:hAnsi="Arial" w:cs="Arial"/>
          <w:color w:val="auto"/>
          <w:sz w:val="19"/>
          <w:szCs w:val="19"/>
        </w:rPr>
        <w:t>., </w:t>
      </w:r>
      <w:hyperlink r:id="rId26" w:anchor="2.2.1.2.4.2.17" w:history="1">
        <w:r w:rsidRPr="00E74C09">
          <w:rPr>
            <w:rStyle w:val="Hipervnculo"/>
            <w:rFonts w:ascii="Arial" w:hAnsi="Arial" w:cs="Arial"/>
            <w:color w:val="auto"/>
            <w:sz w:val="19"/>
            <w:szCs w:val="19"/>
            <w:u w:val="none"/>
          </w:rPr>
          <w:t>2.2.1.2.4.2.17</w:t>
        </w:r>
      </w:hyperlink>
      <w:r w:rsidRPr="00E74C09">
        <w:rPr>
          <w:rFonts w:ascii="Arial" w:hAnsi="Arial" w:cs="Arial"/>
          <w:color w:val="auto"/>
          <w:sz w:val="19"/>
          <w:szCs w:val="19"/>
        </w:rPr>
        <w:t>. y </w:t>
      </w:r>
      <w:hyperlink r:id="rId27" w:anchor="2.2.1.2.4.2.18" w:history="1">
        <w:r w:rsidRPr="00E74C09">
          <w:rPr>
            <w:rStyle w:val="Hipervnculo"/>
            <w:rFonts w:ascii="Arial" w:hAnsi="Arial" w:cs="Arial"/>
            <w:color w:val="auto"/>
            <w:sz w:val="19"/>
            <w:szCs w:val="19"/>
            <w:u w:val="none"/>
          </w:rPr>
          <w:t>2.2.1.2.4.2.18</w:t>
        </w:r>
      </w:hyperlink>
      <w:r w:rsidRPr="00E74C09">
        <w:rPr>
          <w:rFonts w:ascii="Arial" w:hAnsi="Arial" w:cs="Arial"/>
          <w:color w:val="auto"/>
          <w:sz w:val="19"/>
          <w:szCs w:val="19"/>
        </w:rPr>
        <w:t>.; adiciona un </w:t>
      </w:r>
      <w:hyperlink r:id="rId28" w:anchor="2.2.1.2.3.1.9.p" w:history="1">
        <w:r w:rsidRPr="00E74C09">
          <w:rPr>
            <w:rStyle w:val="Hipervnculo"/>
            <w:rFonts w:ascii="Arial" w:hAnsi="Arial" w:cs="Arial"/>
            <w:color w:val="auto"/>
            <w:sz w:val="19"/>
            <w:szCs w:val="19"/>
            <w:u w:val="none"/>
          </w:rPr>
          <w:t>parágrafo </w:t>
        </w:r>
      </w:hyperlink>
      <w:r w:rsidRPr="00E74C09">
        <w:rPr>
          <w:rFonts w:ascii="Arial" w:hAnsi="Arial" w:cs="Arial"/>
          <w:color w:val="auto"/>
          <w:sz w:val="19"/>
          <w:szCs w:val="19"/>
        </w:rPr>
        <w:t>al artículo </w:t>
      </w:r>
      <w:hyperlink r:id="rId29" w:anchor="2.2.1.2.3.1.9" w:history="1">
        <w:r w:rsidRPr="00E74C09">
          <w:rPr>
            <w:rStyle w:val="Hipervnculo"/>
            <w:rFonts w:ascii="Arial" w:hAnsi="Arial" w:cs="Arial"/>
            <w:color w:val="auto"/>
            <w:sz w:val="19"/>
            <w:szCs w:val="19"/>
            <w:u w:val="none"/>
          </w:rPr>
          <w:t>2.2.1.2.3.1.9</w:t>
        </w:r>
      </w:hyperlink>
      <w:r w:rsidRPr="00E74C09">
        <w:rPr>
          <w:rFonts w:ascii="Arial" w:hAnsi="Arial" w:cs="Arial"/>
          <w:color w:val="auto"/>
          <w:sz w:val="19"/>
          <w:szCs w:val="19"/>
        </w:rPr>
        <w:t>; y deroga el artículo </w:t>
      </w:r>
      <w:hyperlink r:id="rId30" w:anchor="2.2.1.1.2.2.9" w:history="1">
        <w:r w:rsidRPr="00E74C09">
          <w:rPr>
            <w:rStyle w:val="Hipervnculo"/>
            <w:rFonts w:ascii="Arial" w:hAnsi="Arial" w:cs="Arial"/>
            <w:color w:val="auto"/>
            <w:sz w:val="19"/>
            <w:szCs w:val="19"/>
            <w:u w:val="none"/>
          </w:rPr>
          <w:t>2.2.1.1.2.2.9</w:t>
        </w:r>
      </w:hyperlink>
      <w:r w:rsidRPr="00E74C09">
        <w:rPr>
          <w:rFonts w:ascii="Arial" w:hAnsi="Arial" w:cs="Arial"/>
          <w:color w:val="auto"/>
          <w:sz w:val="19"/>
          <w:szCs w:val="19"/>
        </w:rPr>
        <w:t>. del Decreto 1082 de 2015, Único Reglamentario del Sector Administrativo de Planeación Nacional.</w:t>
      </w:r>
    </w:p>
    <w:p w14:paraId="6CDD312F" w14:textId="77777777" w:rsidR="00AB657D" w:rsidRPr="00E74C09" w:rsidRDefault="00AB657D" w:rsidP="00AB657D">
      <w:pPr>
        <w:pStyle w:val="NormalWeb"/>
        <w:shd w:val="clear" w:color="auto" w:fill="FFFFFF"/>
        <w:spacing w:before="0" w:beforeAutospacing="0" w:after="0" w:afterAutospacing="0"/>
        <w:ind w:firstLine="708"/>
        <w:jc w:val="both"/>
        <w:rPr>
          <w:rFonts w:ascii="Arial" w:hAnsi="Arial" w:cs="Arial"/>
          <w:color w:val="auto"/>
          <w:sz w:val="19"/>
          <w:szCs w:val="19"/>
        </w:rPr>
      </w:pPr>
      <w:r w:rsidRPr="00E74C09">
        <w:rPr>
          <w:rFonts w:ascii="Arial" w:hAnsi="Arial" w:cs="Arial"/>
          <w:color w:val="auto"/>
          <w:sz w:val="19"/>
          <w:szCs w:val="19"/>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7CB4CAC9" w14:textId="77777777" w:rsidR="00AB657D" w:rsidRPr="00E74C09" w:rsidRDefault="00AB657D" w:rsidP="00AB657D">
      <w:pPr>
        <w:pStyle w:val="NormalWeb"/>
        <w:shd w:val="clear" w:color="auto" w:fill="FFFFFF"/>
        <w:spacing w:before="0" w:beforeAutospacing="0" w:after="0" w:afterAutospacing="0"/>
        <w:ind w:firstLine="708"/>
        <w:jc w:val="both"/>
        <w:rPr>
          <w:rFonts w:ascii="Arial" w:hAnsi="Arial" w:cs="Arial"/>
          <w:color w:val="auto"/>
          <w:sz w:val="19"/>
          <w:szCs w:val="19"/>
        </w:rPr>
      </w:pPr>
      <w:r w:rsidRPr="00E74C09">
        <w:rPr>
          <w:rFonts w:ascii="Arial" w:hAnsi="Arial" w:cs="Arial"/>
          <w:color w:val="auto"/>
          <w:sz w:val="19"/>
          <w:szCs w:val="19"/>
        </w:rPr>
        <w:t> «La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p w14:paraId="3ED484D2" w14:textId="77777777" w:rsidR="00AB657D" w:rsidRPr="0011397E" w:rsidRDefault="00AB657D" w:rsidP="00AB657D">
      <w:pPr>
        <w:pStyle w:val="Textonotapie"/>
        <w:jc w:val="both"/>
        <w:rPr>
          <w:rFonts w:ascii="Arial" w:hAnsi="Arial" w:cs="Arial"/>
          <w:sz w:val="19"/>
          <w:szCs w:val="19"/>
          <w:lang w:val="es-CO"/>
        </w:rPr>
      </w:pPr>
    </w:p>
  </w:footnote>
  <w:footnote w:id="13">
    <w:p w14:paraId="79F8333E" w14:textId="77777777" w:rsidR="00AB657D" w:rsidRPr="0011397E" w:rsidRDefault="00AB657D" w:rsidP="00AB657D">
      <w:pPr>
        <w:pStyle w:val="Textonotapie"/>
        <w:ind w:firstLine="708"/>
        <w:jc w:val="both"/>
        <w:rPr>
          <w:rFonts w:ascii="Arial" w:hAnsi="Arial" w:cs="Arial"/>
          <w:sz w:val="19"/>
          <w:szCs w:val="19"/>
          <w:lang w:val="es-CO"/>
        </w:rPr>
      </w:pPr>
      <w:r w:rsidRPr="0011397E">
        <w:rPr>
          <w:rStyle w:val="Refdenotaalpie"/>
          <w:rFonts w:ascii="Arial" w:hAnsi="Arial" w:cs="Arial"/>
          <w:sz w:val="19"/>
          <w:szCs w:val="19"/>
        </w:rPr>
        <w:footnoteRef/>
      </w:r>
      <w:r w:rsidRPr="0011397E">
        <w:rPr>
          <w:rFonts w:ascii="Arial" w:hAnsi="Arial" w:cs="Arial"/>
          <w:sz w:val="19"/>
          <w:szCs w:val="19"/>
        </w:rPr>
        <w:t xml:space="preserve"> La versión preliminar de esta modificación puede consultarse en el siguiente enlace: </w:t>
      </w:r>
      <w:hyperlink r:id="rId31" w:history="1">
        <w:r w:rsidRPr="0011397E">
          <w:rPr>
            <w:rStyle w:val="Hipervnculo"/>
            <w:rFonts w:ascii="Arial" w:hAnsi="Arial" w:cs="Arial"/>
            <w:sz w:val="19"/>
            <w:szCs w:val="19"/>
          </w:rPr>
          <w:t>https://www.colombiacompra.gov.co/content/formularios-para-comentarios-la-memoria-justificativa-y-al-proyecto-de-resolucion-por-la</w:t>
        </w:r>
      </w:hyperlink>
      <w:r w:rsidRPr="0011397E">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B830A" w14:textId="77777777" w:rsidR="009C3874" w:rsidRDefault="00113131">
    <w:pPr>
      <w:pStyle w:val="Encabezado"/>
    </w:pPr>
    <w:r>
      <w:rPr>
        <w:noProof/>
        <w:lang w:val="en-US"/>
      </w:rPr>
      <w:drawing>
        <wp:anchor distT="0" distB="0" distL="114300" distR="114300" simplePos="0" relativeHeight="251658240" behindDoc="1" locked="0" layoutInCell="1" allowOverlap="1" wp14:anchorId="3380739B" wp14:editId="61DFC2B8">
          <wp:simplePos x="0" y="0"/>
          <wp:positionH relativeFrom="column">
            <wp:posOffset>4606180</wp:posOffset>
          </wp:positionH>
          <wp:positionV relativeFrom="paragraph">
            <wp:posOffset>-105686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descr="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0 Imagen" descr="For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93EE665" w14:textId="77777777" w:rsidR="009C3874" w:rsidRDefault="009C387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641AE"/>
    <w:multiLevelType w:val="hybridMultilevel"/>
    <w:tmpl w:val="51661804"/>
    <w:lvl w:ilvl="0" w:tplc="495259CC">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7207D5B"/>
    <w:multiLevelType w:val="hybridMultilevel"/>
    <w:tmpl w:val="A53EDF4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E2304BD"/>
    <w:multiLevelType w:val="hybridMultilevel"/>
    <w:tmpl w:val="EA0A0CD0"/>
    <w:lvl w:ilvl="0" w:tplc="F918B212">
      <w:start w:val="1"/>
      <w:numFmt w:val="upperRoman"/>
      <w:lvlText w:val="%1."/>
      <w:lvlJc w:val="right"/>
      <w:pPr>
        <w:ind w:left="720" w:hanging="360"/>
      </w:pPr>
      <w:rPr>
        <w:rFonts w:ascii="Geomanist Light" w:hAnsi="Geomanist Light" w:hint="default"/>
        <w:b w:val="0"/>
        <w:bCs w:val="0"/>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2184EC2"/>
    <w:multiLevelType w:val="multilevel"/>
    <w:tmpl w:val="130E7CAE"/>
    <w:lvl w:ilvl="0">
      <w:start w:val="1"/>
      <w:numFmt w:val="decimal"/>
      <w:lvlText w:val="%1."/>
      <w:lvlJc w:val="left"/>
      <w:pPr>
        <w:ind w:left="360" w:hanging="360"/>
      </w:pPr>
      <w:rPr>
        <w:rFonts w:ascii="Geomanist Bold" w:eastAsia="Arial" w:hAnsi="Geomanist Bold" w:cs="Arial" w:hint="default"/>
        <w:b/>
        <w:bCs w:val="0"/>
        <w:color w:val="00206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A6F549E"/>
    <w:multiLevelType w:val="hybridMultilevel"/>
    <w:tmpl w:val="C034121C"/>
    <w:lvl w:ilvl="0" w:tplc="3A9CCD4E">
      <w:start w:val="1"/>
      <w:numFmt w:val="lowerRoman"/>
      <w:lvlText w:val="%1)"/>
      <w:lvlJc w:val="left"/>
      <w:pPr>
        <w:ind w:left="1146" w:hanging="720"/>
      </w:pPr>
      <w:rPr>
        <w:rFonts w:ascii="Arial Narrow" w:hAnsi="Arial Narrow" w:hint="default"/>
        <w:b w:val="0"/>
        <w:bCs w:val="0"/>
        <w:i/>
        <w:iCs w:val="0"/>
      </w:rPr>
    </w:lvl>
    <w:lvl w:ilvl="1" w:tplc="240A0019" w:tentative="1">
      <w:start w:val="1"/>
      <w:numFmt w:val="lowerLetter"/>
      <w:lvlText w:val="%2."/>
      <w:lvlJc w:val="left"/>
      <w:pPr>
        <w:ind w:left="1506" w:hanging="360"/>
      </w:pPr>
    </w:lvl>
    <w:lvl w:ilvl="2" w:tplc="240A001B" w:tentative="1">
      <w:start w:val="1"/>
      <w:numFmt w:val="lowerRoman"/>
      <w:lvlText w:val="%3."/>
      <w:lvlJc w:val="right"/>
      <w:pPr>
        <w:ind w:left="2226" w:hanging="180"/>
      </w:pPr>
    </w:lvl>
    <w:lvl w:ilvl="3" w:tplc="240A000F" w:tentative="1">
      <w:start w:val="1"/>
      <w:numFmt w:val="decimal"/>
      <w:lvlText w:val="%4."/>
      <w:lvlJc w:val="left"/>
      <w:pPr>
        <w:ind w:left="2946" w:hanging="360"/>
      </w:pPr>
    </w:lvl>
    <w:lvl w:ilvl="4" w:tplc="240A0019" w:tentative="1">
      <w:start w:val="1"/>
      <w:numFmt w:val="lowerLetter"/>
      <w:lvlText w:val="%5."/>
      <w:lvlJc w:val="left"/>
      <w:pPr>
        <w:ind w:left="3666" w:hanging="360"/>
      </w:pPr>
    </w:lvl>
    <w:lvl w:ilvl="5" w:tplc="240A001B" w:tentative="1">
      <w:start w:val="1"/>
      <w:numFmt w:val="lowerRoman"/>
      <w:lvlText w:val="%6."/>
      <w:lvlJc w:val="right"/>
      <w:pPr>
        <w:ind w:left="4386" w:hanging="180"/>
      </w:pPr>
    </w:lvl>
    <w:lvl w:ilvl="6" w:tplc="240A000F" w:tentative="1">
      <w:start w:val="1"/>
      <w:numFmt w:val="decimal"/>
      <w:lvlText w:val="%7."/>
      <w:lvlJc w:val="left"/>
      <w:pPr>
        <w:ind w:left="5106" w:hanging="360"/>
      </w:pPr>
    </w:lvl>
    <w:lvl w:ilvl="7" w:tplc="240A0019" w:tentative="1">
      <w:start w:val="1"/>
      <w:numFmt w:val="lowerLetter"/>
      <w:lvlText w:val="%8."/>
      <w:lvlJc w:val="left"/>
      <w:pPr>
        <w:ind w:left="5826" w:hanging="360"/>
      </w:pPr>
    </w:lvl>
    <w:lvl w:ilvl="8" w:tplc="240A001B" w:tentative="1">
      <w:start w:val="1"/>
      <w:numFmt w:val="lowerRoman"/>
      <w:lvlText w:val="%9."/>
      <w:lvlJc w:val="right"/>
      <w:pPr>
        <w:ind w:left="6546" w:hanging="180"/>
      </w:pPr>
    </w:lvl>
  </w:abstractNum>
  <w:abstractNum w:abstractNumId="5" w15:restartNumberingAfterBreak="0">
    <w:nsid w:val="1A915F50"/>
    <w:multiLevelType w:val="hybridMultilevel"/>
    <w:tmpl w:val="83B09194"/>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BFB32C7"/>
    <w:multiLevelType w:val="hybridMultilevel"/>
    <w:tmpl w:val="811C98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DB14A83"/>
    <w:multiLevelType w:val="hybridMultilevel"/>
    <w:tmpl w:val="9C4467B4"/>
    <w:lvl w:ilvl="0" w:tplc="240A001B">
      <w:start w:val="1"/>
      <w:numFmt w:val="low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DBB3F80"/>
    <w:multiLevelType w:val="hybridMultilevel"/>
    <w:tmpl w:val="C394BC28"/>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E7F1923"/>
    <w:multiLevelType w:val="hybridMultilevel"/>
    <w:tmpl w:val="5B961032"/>
    <w:lvl w:ilvl="0" w:tplc="DE1C9CAE">
      <w:start w:val="2"/>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0C42C67"/>
    <w:multiLevelType w:val="hybridMultilevel"/>
    <w:tmpl w:val="43A69648"/>
    <w:lvl w:ilvl="0" w:tplc="240A001B">
      <w:start w:val="1"/>
      <w:numFmt w:val="low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2C47084"/>
    <w:multiLevelType w:val="multilevel"/>
    <w:tmpl w:val="FBE8A1B2"/>
    <w:lvl w:ilvl="0">
      <w:start w:val="1"/>
      <w:numFmt w:val="decimal"/>
      <w:lvlText w:val="%1."/>
      <w:lvlJc w:val="left"/>
      <w:pPr>
        <w:ind w:left="720" w:hanging="360"/>
      </w:pPr>
      <w:rPr>
        <w:rFonts w:ascii="Geomanist Bold" w:hAnsi="Geomanist Bold" w:hint="default"/>
        <w:b/>
        <w:bCs/>
        <w:color w:val="002060"/>
      </w:rPr>
    </w:lvl>
    <w:lvl w:ilvl="1">
      <w:start w:val="1"/>
      <w:numFmt w:val="decimal"/>
      <w:isLgl/>
      <w:lvlText w:val="%1.%2"/>
      <w:lvlJc w:val="left"/>
      <w:pPr>
        <w:ind w:left="900" w:hanging="54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B551A65"/>
    <w:multiLevelType w:val="hybridMultilevel"/>
    <w:tmpl w:val="6AE06AB8"/>
    <w:lvl w:ilvl="0" w:tplc="8ABE1970">
      <w:start w:val="1"/>
      <w:numFmt w:val="lowerRoman"/>
      <w:lvlText w:val="%1)"/>
      <w:lvlJc w:val="left"/>
      <w:pPr>
        <w:ind w:left="1080" w:hanging="720"/>
      </w:pPr>
      <w:rPr>
        <w:rFonts w:hint="default"/>
        <w:color w:val="auto"/>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07F2696"/>
    <w:multiLevelType w:val="hybridMultilevel"/>
    <w:tmpl w:val="5D54CFE2"/>
    <w:lvl w:ilvl="0" w:tplc="8D6C02D8">
      <w:start w:val="1"/>
      <w:numFmt w:val="lowerRoman"/>
      <w:lvlText w:val="%1)"/>
      <w:lvlJc w:val="left"/>
      <w:pPr>
        <w:ind w:left="1080" w:hanging="360"/>
      </w:pPr>
      <w:rPr>
        <w:rFonts w:ascii="Geomanist Light" w:hAnsi="Geomanist Light" w:hint="default"/>
        <w:b w:val="0"/>
        <w:bCs w:val="0"/>
        <w:color w:val="auto"/>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4" w15:restartNumberingAfterBreak="0">
    <w:nsid w:val="35263E1E"/>
    <w:multiLevelType w:val="hybridMultilevel"/>
    <w:tmpl w:val="C95C7C7E"/>
    <w:lvl w:ilvl="0" w:tplc="6D90B504">
      <w:start w:val="1"/>
      <w:numFmt w:val="decimal"/>
      <w:lvlText w:val="%1."/>
      <w:lvlJc w:val="left"/>
      <w:pPr>
        <w:ind w:left="1080" w:hanging="360"/>
      </w:pPr>
      <w:rPr>
        <w:rFonts w:hint="default"/>
        <w:b/>
        <w:i w:val="0"/>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5" w15:restartNumberingAfterBreak="0">
    <w:nsid w:val="36481615"/>
    <w:multiLevelType w:val="hybridMultilevel"/>
    <w:tmpl w:val="87DC7604"/>
    <w:lvl w:ilvl="0" w:tplc="D1C89E5A">
      <w:start w:val="1"/>
      <w:numFmt w:val="lowerRoman"/>
      <w:lvlText w:val="%1)"/>
      <w:lvlJc w:val="left"/>
      <w:pPr>
        <w:ind w:left="1080" w:hanging="720"/>
      </w:pPr>
      <w:rPr>
        <w:rFonts w:ascii="Arial" w:eastAsia="Arial" w:hAnsi="Arial" w:cs="Aria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AD54E39"/>
    <w:multiLevelType w:val="hybridMultilevel"/>
    <w:tmpl w:val="8AA08D0A"/>
    <w:lvl w:ilvl="0" w:tplc="F2E02A00">
      <w:start w:val="1"/>
      <w:numFmt w:val="lowerRoman"/>
      <w:lvlText w:val="%1)"/>
      <w:lvlJc w:val="left"/>
      <w:pPr>
        <w:ind w:left="720" w:hanging="72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7" w15:restartNumberingAfterBreak="0">
    <w:nsid w:val="3E172639"/>
    <w:multiLevelType w:val="hybridMultilevel"/>
    <w:tmpl w:val="A3E4D290"/>
    <w:lvl w:ilvl="0" w:tplc="AECC68C4">
      <w:start w:val="1"/>
      <w:numFmt w:val="upperRoman"/>
      <w:lvlText w:val="%1."/>
      <w:lvlJc w:val="left"/>
      <w:pPr>
        <w:ind w:left="1428" w:hanging="720"/>
      </w:pPr>
      <w:rPr>
        <w:rFonts w:hint="default"/>
      </w:rPr>
    </w:lvl>
    <w:lvl w:ilvl="1" w:tplc="15A8113E">
      <w:start w:val="1"/>
      <w:numFmt w:val="upperLetter"/>
      <w:lvlText w:val="%2."/>
      <w:lvlJc w:val="left"/>
      <w:pPr>
        <w:ind w:left="2138" w:hanging="710"/>
      </w:pPr>
      <w:rPr>
        <w:rFonts w:hint="default"/>
      </w:rPr>
    </w:lvl>
    <w:lvl w:ilvl="2" w:tplc="42DE9674">
      <w:start w:val="1"/>
      <w:numFmt w:val="upperLetter"/>
      <w:lvlText w:val="%3-"/>
      <w:lvlJc w:val="left"/>
      <w:pPr>
        <w:ind w:left="2688" w:hanging="360"/>
      </w:pPr>
      <w:rPr>
        <w:rFonts w:hint="default"/>
      </w:rPr>
    </w:lvl>
    <w:lvl w:ilvl="3" w:tplc="7FB0E76E">
      <w:start w:val="1"/>
      <w:numFmt w:val="lowerRoman"/>
      <w:lvlText w:val="%4."/>
      <w:lvlJc w:val="left"/>
      <w:pPr>
        <w:ind w:left="720" w:hanging="720"/>
      </w:pPr>
      <w:rPr>
        <w:rFonts w:hint="default"/>
      </w:r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8" w15:restartNumberingAfterBreak="0">
    <w:nsid w:val="44A95CA6"/>
    <w:multiLevelType w:val="hybridMultilevel"/>
    <w:tmpl w:val="174C1964"/>
    <w:lvl w:ilvl="0" w:tplc="829E7C1C">
      <w:start w:val="1"/>
      <w:numFmt w:val="decimal"/>
      <w:lvlText w:val="%1."/>
      <w:lvlJc w:val="left"/>
      <w:pPr>
        <w:ind w:left="993" w:hanging="360"/>
      </w:pPr>
      <w:rPr>
        <w:rFonts w:hint="default"/>
        <w:b/>
        <w:bCs/>
      </w:rPr>
    </w:lvl>
    <w:lvl w:ilvl="1" w:tplc="240A0019">
      <w:start w:val="1"/>
      <w:numFmt w:val="lowerLetter"/>
      <w:lvlText w:val="%2."/>
      <w:lvlJc w:val="left"/>
      <w:pPr>
        <w:ind w:left="1713" w:hanging="360"/>
      </w:pPr>
    </w:lvl>
    <w:lvl w:ilvl="2" w:tplc="240A001B" w:tentative="1">
      <w:start w:val="1"/>
      <w:numFmt w:val="lowerRoman"/>
      <w:lvlText w:val="%3."/>
      <w:lvlJc w:val="right"/>
      <w:pPr>
        <w:ind w:left="2433" w:hanging="180"/>
      </w:pPr>
    </w:lvl>
    <w:lvl w:ilvl="3" w:tplc="240A000F" w:tentative="1">
      <w:start w:val="1"/>
      <w:numFmt w:val="decimal"/>
      <w:lvlText w:val="%4."/>
      <w:lvlJc w:val="left"/>
      <w:pPr>
        <w:ind w:left="3153" w:hanging="360"/>
      </w:pPr>
    </w:lvl>
    <w:lvl w:ilvl="4" w:tplc="240A0019" w:tentative="1">
      <w:start w:val="1"/>
      <w:numFmt w:val="lowerLetter"/>
      <w:lvlText w:val="%5."/>
      <w:lvlJc w:val="left"/>
      <w:pPr>
        <w:ind w:left="3873" w:hanging="360"/>
      </w:pPr>
    </w:lvl>
    <w:lvl w:ilvl="5" w:tplc="240A001B" w:tentative="1">
      <w:start w:val="1"/>
      <w:numFmt w:val="lowerRoman"/>
      <w:lvlText w:val="%6."/>
      <w:lvlJc w:val="right"/>
      <w:pPr>
        <w:ind w:left="4593" w:hanging="180"/>
      </w:pPr>
    </w:lvl>
    <w:lvl w:ilvl="6" w:tplc="240A000F" w:tentative="1">
      <w:start w:val="1"/>
      <w:numFmt w:val="decimal"/>
      <w:lvlText w:val="%7."/>
      <w:lvlJc w:val="left"/>
      <w:pPr>
        <w:ind w:left="5313" w:hanging="360"/>
      </w:pPr>
    </w:lvl>
    <w:lvl w:ilvl="7" w:tplc="240A0019" w:tentative="1">
      <w:start w:val="1"/>
      <w:numFmt w:val="lowerLetter"/>
      <w:lvlText w:val="%8."/>
      <w:lvlJc w:val="left"/>
      <w:pPr>
        <w:ind w:left="6033" w:hanging="360"/>
      </w:pPr>
    </w:lvl>
    <w:lvl w:ilvl="8" w:tplc="240A001B" w:tentative="1">
      <w:start w:val="1"/>
      <w:numFmt w:val="lowerRoman"/>
      <w:lvlText w:val="%9."/>
      <w:lvlJc w:val="right"/>
      <w:pPr>
        <w:ind w:left="6753" w:hanging="180"/>
      </w:pPr>
    </w:lvl>
  </w:abstractNum>
  <w:abstractNum w:abstractNumId="19" w15:restartNumberingAfterBreak="0">
    <w:nsid w:val="459703A4"/>
    <w:multiLevelType w:val="hybridMultilevel"/>
    <w:tmpl w:val="9CDE8C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B7C13FF"/>
    <w:multiLevelType w:val="hybridMultilevel"/>
    <w:tmpl w:val="C908D892"/>
    <w:lvl w:ilvl="0" w:tplc="240A001B">
      <w:start w:val="1"/>
      <w:numFmt w:val="low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4B827FA3"/>
    <w:multiLevelType w:val="hybridMultilevel"/>
    <w:tmpl w:val="D7E87F9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B8F7C6A"/>
    <w:multiLevelType w:val="hybridMultilevel"/>
    <w:tmpl w:val="66A08F06"/>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3" w15:restartNumberingAfterBreak="0">
    <w:nsid w:val="4DD8242B"/>
    <w:multiLevelType w:val="hybridMultilevel"/>
    <w:tmpl w:val="6B7871B8"/>
    <w:lvl w:ilvl="0" w:tplc="240A001B">
      <w:start w:val="1"/>
      <w:numFmt w:val="low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E6E0BE4"/>
    <w:multiLevelType w:val="hybridMultilevel"/>
    <w:tmpl w:val="CA3E3EA0"/>
    <w:lvl w:ilvl="0" w:tplc="E878DD48">
      <w:start w:val="2"/>
      <w:numFmt w:val="bullet"/>
      <w:lvlText w:val="-"/>
      <w:lvlJc w:val="left"/>
      <w:pPr>
        <w:ind w:left="1080" w:hanging="360"/>
      </w:pPr>
      <w:rPr>
        <w:rFonts w:ascii="Geomanist Light" w:eastAsia="Arial" w:hAnsi="Geomanist Light"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5" w15:restartNumberingAfterBreak="0">
    <w:nsid w:val="4E746D61"/>
    <w:multiLevelType w:val="hybridMultilevel"/>
    <w:tmpl w:val="0EC644C6"/>
    <w:lvl w:ilvl="0" w:tplc="C4EE96D6">
      <w:start w:val="1"/>
      <w:numFmt w:val="lowerRoman"/>
      <w:lvlText w:val="%1)"/>
      <w:lvlJc w:val="left"/>
      <w:pPr>
        <w:ind w:left="780" w:hanging="720"/>
      </w:pPr>
      <w:rPr>
        <w:rFonts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26" w15:restartNumberingAfterBreak="0">
    <w:nsid w:val="534F42EC"/>
    <w:multiLevelType w:val="hybridMultilevel"/>
    <w:tmpl w:val="C1E02678"/>
    <w:lvl w:ilvl="0" w:tplc="240A001B">
      <w:start w:val="1"/>
      <w:numFmt w:val="low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59170ED4"/>
    <w:multiLevelType w:val="hybridMultilevel"/>
    <w:tmpl w:val="F9D402B8"/>
    <w:lvl w:ilvl="0" w:tplc="240A0013">
      <w:start w:val="1"/>
      <w:numFmt w:val="upperRoman"/>
      <w:lvlText w:val="%1."/>
      <w:lvlJc w:val="righ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28" w15:restartNumberingAfterBreak="0">
    <w:nsid w:val="5A582D4C"/>
    <w:multiLevelType w:val="hybridMultilevel"/>
    <w:tmpl w:val="0B0C08D8"/>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9" w15:restartNumberingAfterBreak="0">
    <w:nsid w:val="5BC15593"/>
    <w:multiLevelType w:val="multilevel"/>
    <w:tmpl w:val="CAB8B38E"/>
    <w:lvl w:ilvl="0">
      <w:start w:val="1"/>
      <w:numFmt w:val="upperRoman"/>
      <w:lvlText w:val="%1."/>
      <w:lvlJc w:val="left"/>
      <w:pPr>
        <w:ind w:left="1440" w:hanging="720"/>
      </w:pPr>
      <w:rPr>
        <w:b/>
        <w:bCs/>
      </w:rPr>
    </w:lvl>
    <w:lvl w:ilvl="1">
      <w:start w:val="1"/>
      <w:numFmt w:val="decimal"/>
      <w:isLgl/>
      <w:lvlText w:val="%1.%2"/>
      <w:lvlJc w:val="left"/>
      <w:pPr>
        <w:ind w:left="1080" w:hanging="360"/>
      </w:pPr>
      <w:rPr>
        <w:rFonts w:ascii="Arial" w:hAnsi="Arial" w:cs="Arial" w:hint="default"/>
        <w:b/>
        <w:bCs/>
      </w:rPr>
    </w:lvl>
    <w:lvl w:ilvl="2">
      <w:start w:val="1"/>
      <w:numFmt w:val="decimal"/>
      <w:isLgl/>
      <w:lvlText w:val="%1.%2.%3"/>
      <w:lvlJc w:val="left"/>
      <w:pPr>
        <w:ind w:left="1440" w:hanging="720"/>
      </w:pPr>
      <w:rPr>
        <w:b/>
        <w:bCs/>
      </w:r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30" w15:restartNumberingAfterBreak="0">
    <w:nsid w:val="5CBA1EBF"/>
    <w:multiLevelType w:val="hybridMultilevel"/>
    <w:tmpl w:val="95F8EEB4"/>
    <w:lvl w:ilvl="0" w:tplc="2B302AA6">
      <w:start w:val="1"/>
      <w:numFmt w:val="upperRoman"/>
      <w:lvlText w:val="%1."/>
      <w:lvlJc w:val="left"/>
      <w:pPr>
        <w:ind w:left="1287" w:hanging="720"/>
      </w:pPr>
      <w:rPr>
        <w:rFonts w:hint="default"/>
      </w:rPr>
    </w:lvl>
    <w:lvl w:ilvl="1" w:tplc="240A0019" w:tentative="1">
      <w:start w:val="1"/>
      <w:numFmt w:val="lowerLetter"/>
      <w:lvlText w:val="%2."/>
      <w:lvlJc w:val="left"/>
      <w:pPr>
        <w:ind w:left="1647" w:hanging="360"/>
      </w:pPr>
    </w:lvl>
    <w:lvl w:ilvl="2" w:tplc="240A001B" w:tentative="1">
      <w:start w:val="1"/>
      <w:numFmt w:val="lowerRoman"/>
      <w:lvlText w:val="%3."/>
      <w:lvlJc w:val="right"/>
      <w:pPr>
        <w:ind w:left="2367" w:hanging="180"/>
      </w:pPr>
    </w:lvl>
    <w:lvl w:ilvl="3" w:tplc="240A000F" w:tentative="1">
      <w:start w:val="1"/>
      <w:numFmt w:val="decimal"/>
      <w:lvlText w:val="%4."/>
      <w:lvlJc w:val="left"/>
      <w:pPr>
        <w:ind w:left="3087" w:hanging="360"/>
      </w:pPr>
    </w:lvl>
    <w:lvl w:ilvl="4" w:tplc="240A0019" w:tentative="1">
      <w:start w:val="1"/>
      <w:numFmt w:val="lowerLetter"/>
      <w:lvlText w:val="%5."/>
      <w:lvlJc w:val="left"/>
      <w:pPr>
        <w:ind w:left="3807" w:hanging="360"/>
      </w:pPr>
    </w:lvl>
    <w:lvl w:ilvl="5" w:tplc="240A001B" w:tentative="1">
      <w:start w:val="1"/>
      <w:numFmt w:val="lowerRoman"/>
      <w:lvlText w:val="%6."/>
      <w:lvlJc w:val="right"/>
      <w:pPr>
        <w:ind w:left="4527" w:hanging="180"/>
      </w:pPr>
    </w:lvl>
    <w:lvl w:ilvl="6" w:tplc="240A000F" w:tentative="1">
      <w:start w:val="1"/>
      <w:numFmt w:val="decimal"/>
      <w:lvlText w:val="%7."/>
      <w:lvlJc w:val="left"/>
      <w:pPr>
        <w:ind w:left="5247" w:hanging="360"/>
      </w:pPr>
    </w:lvl>
    <w:lvl w:ilvl="7" w:tplc="240A0019" w:tentative="1">
      <w:start w:val="1"/>
      <w:numFmt w:val="lowerLetter"/>
      <w:lvlText w:val="%8."/>
      <w:lvlJc w:val="left"/>
      <w:pPr>
        <w:ind w:left="5967" w:hanging="360"/>
      </w:pPr>
    </w:lvl>
    <w:lvl w:ilvl="8" w:tplc="240A001B" w:tentative="1">
      <w:start w:val="1"/>
      <w:numFmt w:val="lowerRoman"/>
      <w:lvlText w:val="%9."/>
      <w:lvlJc w:val="right"/>
      <w:pPr>
        <w:ind w:left="6687" w:hanging="180"/>
      </w:pPr>
    </w:lvl>
  </w:abstractNum>
  <w:abstractNum w:abstractNumId="31" w15:restartNumberingAfterBreak="0">
    <w:nsid w:val="5EB80BC6"/>
    <w:multiLevelType w:val="hybridMultilevel"/>
    <w:tmpl w:val="277AD332"/>
    <w:lvl w:ilvl="0" w:tplc="7AFECE06">
      <w:start w:val="14"/>
      <w:numFmt w:val="decimal"/>
      <w:pStyle w:val="Captulo9"/>
      <w:lvlText w:val="%1."/>
      <w:lvlJc w:val="left"/>
      <w:pPr>
        <w:ind w:left="720" w:hanging="360"/>
      </w:pPr>
      <w:rPr>
        <w:rFonts w:ascii="Arial Narrow" w:eastAsiaTheme="minorHAnsi" w:hAnsi="Arial Narrow" w:cs="Arial" w:hint="default"/>
        <w:b w:val="0"/>
        <w:bCs w:val="0"/>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64B00E3F"/>
    <w:multiLevelType w:val="hybridMultilevel"/>
    <w:tmpl w:val="1F08D83A"/>
    <w:lvl w:ilvl="0" w:tplc="FEFCD26C">
      <w:numFmt w:val="bullet"/>
      <w:lvlText w:val="-"/>
      <w:lvlJc w:val="left"/>
      <w:pPr>
        <w:ind w:left="720" w:hanging="360"/>
      </w:pPr>
      <w:rPr>
        <w:rFonts w:ascii="Geomanist Light" w:eastAsia="Arial" w:hAnsi="Geomanist Light"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E33626B"/>
    <w:multiLevelType w:val="hybridMultilevel"/>
    <w:tmpl w:val="BDC01294"/>
    <w:lvl w:ilvl="0" w:tplc="240A001B">
      <w:start w:val="1"/>
      <w:numFmt w:val="lowerRoman"/>
      <w:lvlText w:val="%1."/>
      <w:lvlJc w:val="right"/>
      <w:pPr>
        <w:ind w:left="783" w:hanging="360"/>
      </w:pPr>
    </w:lvl>
    <w:lvl w:ilvl="1" w:tplc="240A0019" w:tentative="1">
      <w:start w:val="1"/>
      <w:numFmt w:val="lowerLetter"/>
      <w:lvlText w:val="%2."/>
      <w:lvlJc w:val="left"/>
      <w:pPr>
        <w:ind w:left="1503" w:hanging="360"/>
      </w:pPr>
    </w:lvl>
    <w:lvl w:ilvl="2" w:tplc="240A001B" w:tentative="1">
      <w:start w:val="1"/>
      <w:numFmt w:val="lowerRoman"/>
      <w:lvlText w:val="%3."/>
      <w:lvlJc w:val="right"/>
      <w:pPr>
        <w:ind w:left="2223" w:hanging="180"/>
      </w:pPr>
    </w:lvl>
    <w:lvl w:ilvl="3" w:tplc="240A000F" w:tentative="1">
      <w:start w:val="1"/>
      <w:numFmt w:val="decimal"/>
      <w:lvlText w:val="%4."/>
      <w:lvlJc w:val="left"/>
      <w:pPr>
        <w:ind w:left="2943" w:hanging="360"/>
      </w:pPr>
    </w:lvl>
    <w:lvl w:ilvl="4" w:tplc="240A0019" w:tentative="1">
      <w:start w:val="1"/>
      <w:numFmt w:val="lowerLetter"/>
      <w:lvlText w:val="%5."/>
      <w:lvlJc w:val="left"/>
      <w:pPr>
        <w:ind w:left="3663" w:hanging="360"/>
      </w:pPr>
    </w:lvl>
    <w:lvl w:ilvl="5" w:tplc="240A001B" w:tentative="1">
      <w:start w:val="1"/>
      <w:numFmt w:val="lowerRoman"/>
      <w:lvlText w:val="%6."/>
      <w:lvlJc w:val="right"/>
      <w:pPr>
        <w:ind w:left="4383" w:hanging="180"/>
      </w:pPr>
    </w:lvl>
    <w:lvl w:ilvl="6" w:tplc="240A000F" w:tentative="1">
      <w:start w:val="1"/>
      <w:numFmt w:val="decimal"/>
      <w:lvlText w:val="%7."/>
      <w:lvlJc w:val="left"/>
      <w:pPr>
        <w:ind w:left="5103" w:hanging="360"/>
      </w:pPr>
    </w:lvl>
    <w:lvl w:ilvl="7" w:tplc="240A0019" w:tentative="1">
      <w:start w:val="1"/>
      <w:numFmt w:val="lowerLetter"/>
      <w:lvlText w:val="%8."/>
      <w:lvlJc w:val="left"/>
      <w:pPr>
        <w:ind w:left="5823" w:hanging="360"/>
      </w:pPr>
    </w:lvl>
    <w:lvl w:ilvl="8" w:tplc="240A001B" w:tentative="1">
      <w:start w:val="1"/>
      <w:numFmt w:val="lowerRoman"/>
      <w:lvlText w:val="%9."/>
      <w:lvlJc w:val="right"/>
      <w:pPr>
        <w:ind w:left="6543" w:hanging="180"/>
      </w:pPr>
    </w:lvl>
  </w:abstractNum>
  <w:abstractNum w:abstractNumId="34" w15:restartNumberingAfterBreak="0">
    <w:nsid w:val="78E829C6"/>
    <w:multiLevelType w:val="hybridMultilevel"/>
    <w:tmpl w:val="F692DF50"/>
    <w:lvl w:ilvl="0" w:tplc="E2D47988">
      <w:start w:val="1"/>
      <w:numFmt w:val="upperLetter"/>
      <w:lvlText w:val="%1."/>
      <w:lvlJc w:val="left"/>
      <w:pPr>
        <w:ind w:left="927" w:hanging="360"/>
      </w:pPr>
      <w:rPr>
        <w:rFonts w:hint="default"/>
      </w:rPr>
    </w:lvl>
    <w:lvl w:ilvl="1" w:tplc="240A0019" w:tentative="1">
      <w:start w:val="1"/>
      <w:numFmt w:val="lowerLetter"/>
      <w:lvlText w:val="%2."/>
      <w:lvlJc w:val="left"/>
      <w:pPr>
        <w:ind w:left="1647" w:hanging="360"/>
      </w:pPr>
    </w:lvl>
    <w:lvl w:ilvl="2" w:tplc="240A001B" w:tentative="1">
      <w:start w:val="1"/>
      <w:numFmt w:val="lowerRoman"/>
      <w:lvlText w:val="%3."/>
      <w:lvlJc w:val="right"/>
      <w:pPr>
        <w:ind w:left="2367" w:hanging="180"/>
      </w:pPr>
    </w:lvl>
    <w:lvl w:ilvl="3" w:tplc="240A000F" w:tentative="1">
      <w:start w:val="1"/>
      <w:numFmt w:val="decimal"/>
      <w:lvlText w:val="%4."/>
      <w:lvlJc w:val="left"/>
      <w:pPr>
        <w:ind w:left="3087" w:hanging="360"/>
      </w:pPr>
    </w:lvl>
    <w:lvl w:ilvl="4" w:tplc="240A0019" w:tentative="1">
      <w:start w:val="1"/>
      <w:numFmt w:val="lowerLetter"/>
      <w:lvlText w:val="%5."/>
      <w:lvlJc w:val="left"/>
      <w:pPr>
        <w:ind w:left="3807" w:hanging="360"/>
      </w:pPr>
    </w:lvl>
    <w:lvl w:ilvl="5" w:tplc="240A001B" w:tentative="1">
      <w:start w:val="1"/>
      <w:numFmt w:val="lowerRoman"/>
      <w:lvlText w:val="%6."/>
      <w:lvlJc w:val="right"/>
      <w:pPr>
        <w:ind w:left="4527" w:hanging="180"/>
      </w:pPr>
    </w:lvl>
    <w:lvl w:ilvl="6" w:tplc="240A000F" w:tentative="1">
      <w:start w:val="1"/>
      <w:numFmt w:val="decimal"/>
      <w:lvlText w:val="%7."/>
      <w:lvlJc w:val="left"/>
      <w:pPr>
        <w:ind w:left="5247" w:hanging="360"/>
      </w:pPr>
    </w:lvl>
    <w:lvl w:ilvl="7" w:tplc="240A0019" w:tentative="1">
      <w:start w:val="1"/>
      <w:numFmt w:val="lowerLetter"/>
      <w:lvlText w:val="%8."/>
      <w:lvlJc w:val="left"/>
      <w:pPr>
        <w:ind w:left="5967" w:hanging="360"/>
      </w:pPr>
    </w:lvl>
    <w:lvl w:ilvl="8" w:tplc="240A001B" w:tentative="1">
      <w:start w:val="1"/>
      <w:numFmt w:val="lowerRoman"/>
      <w:lvlText w:val="%9."/>
      <w:lvlJc w:val="right"/>
      <w:pPr>
        <w:ind w:left="6687" w:hanging="180"/>
      </w:pPr>
    </w:lvl>
  </w:abstractNum>
  <w:abstractNum w:abstractNumId="35" w15:restartNumberingAfterBreak="0">
    <w:nsid w:val="7A09774A"/>
    <w:multiLevelType w:val="multilevel"/>
    <w:tmpl w:val="2CF88F50"/>
    <w:lvl w:ilvl="0">
      <w:start w:val="2"/>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1.%2.%3"/>
      <w:lvlJc w:val="left"/>
      <w:pPr>
        <w:ind w:left="3839"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7D836F12"/>
    <w:multiLevelType w:val="hybridMultilevel"/>
    <w:tmpl w:val="858A7D66"/>
    <w:lvl w:ilvl="0" w:tplc="240A001B">
      <w:start w:val="1"/>
      <w:numFmt w:val="low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860509704">
    <w:abstractNumId w:val="3"/>
  </w:num>
  <w:num w:numId="2" w16cid:durableId="1096442040">
    <w:abstractNumId w:val="16"/>
  </w:num>
  <w:num w:numId="3" w16cid:durableId="210437639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34844707">
    <w:abstractNumId w:val="35"/>
  </w:num>
  <w:num w:numId="5" w16cid:durableId="13086314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18854377">
    <w:abstractNumId w:val="36"/>
  </w:num>
  <w:num w:numId="7" w16cid:durableId="1782340385">
    <w:abstractNumId w:val="20"/>
  </w:num>
  <w:num w:numId="8" w16cid:durableId="1342050318">
    <w:abstractNumId w:val="26"/>
  </w:num>
  <w:num w:numId="9" w16cid:durableId="238516510">
    <w:abstractNumId w:val="23"/>
  </w:num>
  <w:num w:numId="10" w16cid:durableId="1194269157">
    <w:abstractNumId w:val="10"/>
  </w:num>
  <w:num w:numId="11" w16cid:durableId="326905166">
    <w:abstractNumId w:val="21"/>
  </w:num>
  <w:num w:numId="12" w16cid:durableId="1151403945">
    <w:abstractNumId w:val="7"/>
  </w:num>
  <w:num w:numId="13" w16cid:durableId="235819122">
    <w:abstractNumId w:val="5"/>
  </w:num>
  <w:num w:numId="14" w16cid:durableId="1791125555">
    <w:abstractNumId w:val="15"/>
  </w:num>
  <w:num w:numId="15" w16cid:durableId="1148283293">
    <w:abstractNumId w:val="4"/>
  </w:num>
  <w:num w:numId="16" w16cid:durableId="40792291">
    <w:abstractNumId w:val="33"/>
  </w:num>
  <w:num w:numId="17" w16cid:durableId="2127388929">
    <w:abstractNumId w:val="25"/>
  </w:num>
  <w:num w:numId="18" w16cid:durableId="899247065">
    <w:abstractNumId w:val="32"/>
  </w:num>
  <w:num w:numId="19" w16cid:durableId="745566417">
    <w:abstractNumId w:val="11"/>
  </w:num>
  <w:num w:numId="20" w16cid:durableId="1314600017">
    <w:abstractNumId w:val="2"/>
  </w:num>
  <w:num w:numId="21" w16cid:durableId="1210726389">
    <w:abstractNumId w:val="0"/>
  </w:num>
  <w:num w:numId="22" w16cid:durableId="1911304599">
    <w:abstractNumId w:val="8"/>
  </w:num>
  <w:num w:numId="23" w16cid:durableId="840047620">
    <w:abstractNumId w:val="27"/>
  </w:num>
  <w:num w:numId="24" w16cid:durableId="1899170098">
    <w:abstractNumId w:val="13"/>
  </w:num>
  <w:num w:numId="25" w16cid:durableId="2051419351">
    <w:abstractNumId w:val="31"/>
  </w:num>
  <w:num w:numId="26" w16cid:durableId="19012403">
    <w:abstractNumId w:val="34"/>
  </w:num>
  <w:num w:numId="27" w16cid:durableId="722683135">
    <w:abstractNumId w:val="30"/>
  </w:num>
  <w:num w:numId="28" w16cid:durableId="752122691">
    <w:abstractNumId w:val="17"/>
  </w:num>
  <w:num w:numId="29" w16cid:durableId="104203526">
    <w:abstractNumId w:val="9"/>
  </w:num>
  <w:num w:numId="30" w16cid:durableId="1465275531">
    <w:abstractNumId w:val="18"/>
  </w:num>
  <w:num w:numId="31" w16cid:durableId="239171788">
    <w:abstractNumId w:val="14"/>
  </w:num>
  <w:num w:numId="32" w16cid:durableId="236789901">
    <w:abstractNumId w:val="6"/>
  </w:num>
  <w:num w:numId="33" w16cid:durableId="54863153">
    <w:abstractNumId w:val="1"/>
  </w:num>
  <w:num w:numId="34" w16cid:durableId="1909144174">
    <w:abstractNumId w:val="24"/>
  </w:num>
  <w:num w:numId="35" w16cid:durableId="1500347878">
    <w:abstractNumId w:val="28"/>
  </w:num>
  <w:num w:numId="36" w16cid:durableId="631640893">
    <w:abstractNumId w:val="19"/>
  </w:num>
  <w:num w:numId="37" w16cid:durableId="1108353851">
    <w:abstractNumId w:val="22"/>
  </w:num>
  <w:num w:numId="38" w16cid:durableId="11618967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08C"/>
    <w:rsid w:val="00005385"/>
    <w:rsid w:val="0001532B"/>
    <w:rsid w:val="00022E1B"/>
    <w:rsid w:val="0003218C"/>
    <w:rsid w:val="00034460"/>
    <w:rsid w:val="00045177"/>
    <w:rsid w:val="00050B0F"/>
    <w:rsid w:val="00072402"/>
    <w:rsid w:val="00074245"/>
    <w:rsid w:val="00074CBD"/>
    <w:rsid w:val="0009384A"/>
    <w:rsid w:val="00095993"/>
    <w:rsid w:val="000A3A9A"/>
    <w:rsid w:val="000A6A6F"/>
    <w:rsid w:val="000D2EC6"/>
    <w:rsid w:val="000D4275"/>
    <w:rsid w:val="000F6D97"/>
    <w:rsid w:val="00113131"/>
    <w:rsid w:val="00135E2E"/>
    <w:rsid w:val="001425C6"/>
    <w:rsid w:val="001521F9"/>
    <w:rsid w:val="00160B6F"/>
    <w:rsid w:val="00181A0F"/>
    <w:rsid w:val="0019539A"/>
    <w:rsid w:val="001A5C14"/>
    <w:rsid w:val="001E0871"/>
    <w:rsid w:val="00200E4B"/>
    <w:rsid w:val="0020666C"/>
    <w:rsid w:val="00216A5F"/>
    <w:rsid w:val="0028328D"/>
    <w:rsid w:val="00286846"/>
    <w:rsid w:val="00287C6D"/>
    <w:rsid w:val="002A0888"/>
    <w:rsid w:val="002A372D"/>
    <w:rsid w:val="002A57B9"/>
    <w:rsid w:val="002A6040"/>
    <w:rsid w:val="002C0E7F"/>
    <w:rsid w:val="002C1B8D"/>
    <w:rsid w:val="002C676E"/>
    <w:rsid w:val="002D3A38"/>
    <w:rsid w:val="002D4B2C"/>
    <w:rsid w:val="002E6524"/>
    <w:rsid w:val="002F1A35"/>
    <w:rsid w:val="002F2CDE"/>
    <w:rsid w:val="002F3B13"/>
    <w:rsid w:val="00317E5E"/>
    <w:rsid w:val="003248FB"/>
    <w:rsid w:val="00353669"/>
    <w:rsid w:val="003579A9"/>
    <w:rsid w:val="003749EC"/>
    <w:rsid w:val="0039602E"/>
    <w:rsid w:val="003B4639"/>
    <w:rsid w:val="003C1225"/>
    <w:rsid w:val="003C2A10"/>
    <w:rsid w:val="003D5C9A"/>
    <w:rsid w:val="003E4D2C"/>
    <w:rsid w:val="00404F81"/>
    <w:rsid w:val="00414626"/>
    <w:rsid w:val="004577F4"/>
    <w:rsid w:val="004776DF"/>
    <w:rsid w:val="004A37E8"/>
    <w:rsid w:val="004B3326"/>
    <w:rsid w:val="004B7449"/>
    <w:rsid w:val="004D1A32"/>
    <w:rsid w:val="004D7ADD"/>
    <w:rsid w:val="004E1FF8"/>
    <w:rsid w:val="004E24DF"/>
    <w:rsid w:val="004F485B"/>
    <w:rsid w:val="0051484B"/>
    <w:rsid w:val="0052122D"/>
    <w:rsid w:val="0052577F"/>
    <w:rsid w:val="00540D0D"/>
    <w:rsid w:val="00553D2C"/>
    <w:rsid w:val="00556AC8"/>
    <w:rsid w:val="00580532"/>
    <w:rsid w:val="00585015"/>
    <w:rsid w:val="005A1BFB"/>
    <w:rsid w:val="005A3892"/>
    <w:rsid w:val="005B554F"/>
    <w:rsid w:val="005B668E"/>
    <w:rsid w:val="005B759B"/>
    <w:rsid w:val="005C1C24"/>
    <w:rsid w:val="005C2ABD"/>
    <w:rsid w:val="005D5091"/>
    <w:rsid w:val="005E2C20"/>
    <w:rsid w:val="005E55B7"/>
    <w:rsid w:val="005E61FC"/>
    <w:rsid w:val="0060251D"/>
    <w:rsid w:val="006118D6"/>
    <w:rsid w:val="00621D69"/>
    <w:rsid w:val="00666AF1"/>
    <w:rsid w:val="00670F4B"/>
    <w:rsid w:val="006857D1"/>
    <w:rsid w:val="006A472E"/>
    <w:rsid w:val="006B6658"/>
    <w:rsid w:val="006F0E09"/>
    <w:rsid w:val="00710D31"/>
    <w:rsid w:val="00727F2C"/>
    <w:rsid w:val="00730EC2"/>
    <w:rsid w:val="00740670"/>
    <w:rsid w:val="007A197F"/>
    <w:rsid w:val="007A798F"/>
    <w:rsid w:val="007B4425"/>
    <w:rsid w:val="007B6C81"/>
    <w:rsid w:val="007E0E03"/>
    <w:rsid w:val="007E7A5E"/>
    <w:rsid w:val="00814779"/>
    <w:rsid w:val="00817806"/>
    <w:rsid w:val="008258E9"/>
    <w:rsid w:val="00880C3D"/>
    <w:rsid w:val="008946D2"/>
    <w:rsid w:val="008951BD"/>
    <w:rsid w:val="008A4D60"/>
    <w:rsid w:val="008B1C52"/>
    <w:rsid w:val="008B5B8B"/>
    <w:rsid w:val="008D2536"/>
    <w:rsid w:val="0090446F"/>
    <w:rsid w:val="0091408C"/>
    <w:rsid w:val="009206AE"/>
    <w:rsid w:val="009364D7"/>
    <w:rsid w:val="00937109"/>
    <w:rsid w:val="009414BF"/>
    <w:rsid w:val="009533C0"/>
    <w:rsid w:val="00953B44"/>
    <w:rsid w:val="00962E50"/>
    <w:rsid w:val="009827AB"/>
    <w:rsid w:val="009A573B"/>
    <w:rsid w:val="009B3F97"/>
    <w:rsid w:val="009C3874"/>
    <w:rsid w:val="009F29F5"/>
    <w:rsid w:val="009F4122"/>
    <w:rsid w:val="00A23442"/>
    <w:rsid w:val="00A55B3B"/>
    <w:rsid w:val="00A60286"/>
    <w:rsid w:val="00A675F9"/>
    <w:rsid w:val="00A77E18"/>
    <w:rsid w:val="00AB090F"/>
    <w:rsid w:val="00AB3EA0"/>
    <w:rsid w:val="00AB4248"/>
    <w:rsid w:val="00AB657D"/>
    <w:rsid w:val="00AC33AF"/>
    <w:rsid w:val="00AD6B85"/>
    <w:rsid w:val="00AF060A"/>
    <w:rsid w:val="00B31310"/>
    <w:rsid w:val="00B3701B"/>
    <w:rsid w:val="00B5550F"/>
    <w:rsid w:val="00B63656"/>
    <w:rsid w:val="00B6788D"/>
    <w:rsid w:val="00B8022F"/>
    <w:rsid w:val="00B87A01"/>
    <w:rsid w:val="00B96E38"/>
    <w:rsid w:val="00BB1E3E"/>
    <w:rsid w:val="00BB40D7"/>
    <w:rsid w:val="00BD08B5"/>
    <w:rsid w:val="00BD2FB8"/>
    <w:rsid w:val="00BD589F"/>
    <w:rsid w:val="00BE40E0"/>
    <w:rsid w:val="00BE4139"/>
    <w:rsid w:val="00BF76DD"/>
    <w:rsid w:val="00C04EA4"/>
    <w:rsid w:val="00C2281F"/>
    <w:rsid w:val="00C35601"/>
    <w:rsid w:val="00C50D2B"/>
    <w:rsid w:val="00C56F1E"/>
    <w:rsid w:val="00C7165F"/>
    <w:rsid w:val="00C73649"/>
    <w:rsid w:val="00C80BF8"/>
    <w:rsid w:val="00C8578C"/>
    <w:rsid w:val="00CA759F"/>
    <w:rsid w:val="00CC3DD3"/>
    <w:rsid w:val="00CF232A"/>
    <w:rsid w:val="00D144F6"/>
    <w:rsid w:val="00D17D3D"/>
    <w:rsid w:val="00D2222A"/>
    <w:rsid w:val="00D27731"/>
    <w:rsid w:val="00D3623C"/>
    <w:rsid w:val="00D44758"/>
    <w:rsid w:val="00D52D91"/>
    <w:rsid w:val="00D66522"/>
    <w:rsid w:val="00D747AD"/>
    <w:rsid w:val="00D76BC7"/>
    <w:rsid w:val="00DC5D9E"/>
    <w:rsid w:val="00DC71F6"/>
    <w:rsid w:val="00DD268A"/>
    <w:rsid w:val="00DF3A41"/>
    <w:rsid w:val="00E070A1"/>
    <w:rsid w:val="00E21D90"/>
    <w:rsid w:val="00E22BB9"/>
    <w:rsid w:val="00E25D79"/>
    <w:rsid w:val="00E71ABB"/>
    <w:rsid w:val="00E74C09"/>
    <w:rsid w:val="00E75B54"/>
    <w:rsid w:val="00E7606F"/>
    <w:rsid w:val="00E928A9"/>
    <w:rsid w:val="00E942E1"/>
    <w:rsid w:val="00EA2C90"/>
    <w:rsid w:val="00EB626D"/>
    <w:rsid w:val="00EF458E"/>
    <w:rsid w:val="00F30205"/>
    <w:rsid w:val="00F51CFF"/>
    <w:rsid w:val="00F63D5F"/>
    <w:rsid w:val="00F85B41"/>
    <w:rsid w:val="00F951C0"/>
    <w:rsid w:val="00F95B43"/>
    <w:rsid w:val="00FB347B"/>
    <w:rsid w:val="00FB46F8"/>
    <w:rsid w:val="00FC1F6D"/>
    <w:rsid w:val="00FE1809"/>
    <w:rsid w:val="00FF69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C503C"/>
  <w15:chartTrackingRefBased/>
  <w15:docId w15:val="{B3296057-5C94-4F7F-BDF4-C3DAC483A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408C"/>
  </w:style>
  <w:style w:type="paragraph" w:styleId="Ttulo1">
    <w:name w:val="heading 1"/>
    <w:basedOn w:val="Normal"/>
    <w:next w:val="Normal"/>
    <w:link w:val="Ttulo1Car"/>
    <w:uiPriority w:val="9"/>
    <w:qFormat/>
    <w:rsid w:val="00727F2C"/>
    <w:pPr>
      <w:keepNext/>
      <w:keepLines/>
      <w:spacing w:before="480" w:after="120" w:line="240" w:lineRule="auto"/>
      <w:jc w:val="both"/>
      <w:outlineLvl w:val="0"/>
    </w:pPr>
    <w:rPr>
      <w:rFonts w:ascii="Geomanist Light" w:eastAsia="Times New Roman" w:hAnsi="Geomanist Light" w:cs="Times New Roman"/>
      <w:b/>
      <w:sz w:val="48"/>
      <w:szCs w:val="48"/>
      <w:lang w:eastAsia="es-MX"/>
    </w:rPr>
  </w:style>
  <w:style w:type="paragraph" w:styleId="Ttulo2">
    <w:name w:val="heading 2"/>
    <w:basedOn w:val="Normal"/>
    <w:next w:val="Normal"/>
    <w:link w:val="Ttulo2Car"/>
    <w:uiPriority w:val="9"/>
    <w:semiHidden/>
    <w:unhideWhenUsed/>
    <w:qFormat/>
    <w:rsid w:val="00727F2C"/>
    <w:pPr>
      <w:keepNext/>
      <w:keepLines/>
      <w:spacing w:before="360" w:after="80" w:line="240" w:lineRule="auto"/>
      <w:jc w:val="both"/>
      <w:outlineLvl w:val="1"/>
    </w:pPr>
    <w:rPr>
      <w:rFonts w:ascii="Geomanist Light" w:eastAsia="Times New Roman" w:hAnsi="Geomanist Light" w:cs="Times New Roman"/>
      <w:b/>
      <w:sz w:val="36"/>
      <w:szCs w:val="36"/>
      <w:lang w:eastAsia="es-MX"/>
    </w:rPr>
  </w:style>
  <w:style w:type="paragraph" w:styleId="Ttulo3">
    <w:name w:val="heading 3"/>
    <w:basedOn w:val="Normal"/>
    <w:next w:val="Normal"/>
    <w:link w:val="Ttulo3Car"/>
    <w:uiPriority w:val="9"/>
    <w:semiHidden/>
    <w:unhideWhenUsed/>
    <w:qFormat/>
    <w:rsid w:val="00727F2C"/>
    <w:pPr>
      <w:keepNext/>
      <w:keepLines/>
      <w:spacing w:before="280" w:after="80" w:line="240" w:lineRule="auto"/>
      <w:jc w:val="both"/>
      <w:outlineLvl w:val="2"/>
    </w:pPr>
    <w:rPr>
      <w:rFonts w:ascii="Geomanist Light" w:eastAsia="Times New Roman" w:hAnsi="Geomanist Light" w:cs="Times New Roman"/>
      <w:b/>
      <w:sz w:val="28"/>
      <w:szCs w:val="28"/>
      <w:lang w:eastAsia="es-MX"/>
    </w:rPr>
  </w:style>
  <w:style w:type="paragraph" w:styleId="Ttulo4">
    <w:name w:val="heading 4"/>
    <w:basedOn w:val="Normal"/>
    <w:next w:val="Normal"/>
    <w:link w:val="Ttulo4Car"/>
    <w:uiPriority w:val="9"/>
    <w:semiHidden/>
    <w:unhideWhenUsed/>
    <w:qFormat/>
    <w:rsid w:val="00727F2C"/>
    <w:pPr>
      <w:keepNext/>
      <w:keepLines/>
      <w:spacing w:before="240" w:after="40" w:line="240" w:lineRule="auto"/>
      <w:jc w:val="both"/>
      <w:outlineLvl w:val="3"/>
    </w:pPr>
    <w:rPr>
      <w:rFonts w:ascii="Geomanist Light" w:eastAsia="Times New Roman" w:hAnsi="Geomanist Light" w:cs="Times New Roman"/>
      <w:b/>
      <w:szCs w:val="24"/>
      <w:lang w:eastAsia="es-MX"/>
    </w:rPr>
  </w:style>
  <w:style w:type="paragraph" w:styleId="Ttulo5">
    <w:name w:val="heading 5"/>
    <w:basedOn w:val="Normal"/>
    <w:next w:val="Normal"/>
    <w:link w:val="Ttulo5Car"/>
    <w:uiPriority w:val="9"/>
    <w:semiHidden/>
    <w:unhideWhenUsed/>
    <w:qFormat/>
    <w:rsid w:val="00727F2C"/>
    <w:pPr>
      <w:keepNext/>
      <w:keepLines/>
      <w:spacing w:before="220" w:after="40" w:line="240" w:lineRule="auto"/>
      <w:jc w:val="both"/>
      <w:outlineLvl w:val="4"/>
    </w:pPr>
    <w:rPr>
      <w:rFonts w:ascii="Geomanist Light" w:eastAsia="Times New Roman" w:hAnsi="Geomanist Light" w:cs="Times New Roman"/>
      <w:b/>
      <w:szCs w:val="24"/>
      <w:lang w:eastAsia="es-MX"/>
    </w:rPr>
  </w:style>
  <w:style w:type="paragraph" w:styleId="Ttulo6">
    <w:name w:val="heading 6"/>
    <w:basedOn w:val="Normal"/>
    <w:next w:val="Normal"/>
    <w:link w:val="Ttulo6Car"/>
    <w:uiPriority w:val="9"/>
    <w:semiHidden/>
    <w:unhideWhenUsed/>
    <w:qFormat/>
    <w:rsid w:val="00727F2C"/>
    <w:pPr>
      <w:keepNext/>
      <w:keepLines/>
      <w:spacing w:before="200" w:after="40" w:line="240" w:lineRule="auto"/>
      <w:jc w:val="both"/>
      <w:outlineLvl w:val="5"/>
    </w:pPr>
    <w:rPr>
      <w:rFonts w:ascii="Geomanist Light" w:eastAsia="Times New Roman" w:hAnsi="Geomanist Light" w:cs="Times New Roman"/>
      <w:b/>
      <w:sz w:val="20"/>
      <w:szCs w:val="20"/>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h8,h9,h10,h18"/>
    <w:basedOn w:val="Normal"/>
    <w:link w:val="EncabezadoCar"/>
    <w:uiPriority w:val="99"/>
    <w:unhideWhenUsed/>
    <w:rsid w:val="0091408C"/>
    <w:pPr>
      <w:tabs>
        <w:tab w:val="center" w:pos="4419"/>
        <w:tab w:val="right" w:pos="8838"/>
      </w:tabs>
      <w:spacing w:after="0" w:line="240" w:lineRule="auto"/>
    </w:pPr>
  </w:style>
  <w:style w:type="character" w:customStyle="1" w:styleId="EncabezadoCar">
    <w:name w:val="Encabezado Car"/>
    <w:aliases w:val="h Car,h8 Car,h9 Car,h10 Car,h18 Car"/>
    <w:basedOn w:val="Fuentedeprrafopredeter"/>
    <w:link w:val="Encabezado"/>
    <w:uiPriority w:val="99"/>
    <w:rsid w:val="0091408C"/>
  </w:style>
  <w:style w:type="paragraph" w:styleId="Piedepgina">
    <w:name w:val="footer"/>
    <w:basedOn w:val="Normal"/>
    <w:link w:val="PiedepginaCar"/>
    <w:uiPriority w:val="99"/>
    <w:unhideWhenUsed/>
    <w:rsid w:val="0091408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1408C"/>
  </w:style>
  <w:style w:type="character" w:customStyle="1" w:styleId="TextonotapieCar">
    <w:name w:val="Texto nota pie Car"/>
    <w:aliases w:val="Footnote Text Char Char Char Char Char Car,Footnote Text Char Char Char Char Car,Ref. de nota al pie1 Car,FA Fu Car,texto de nota al pie Car,Footnote Text Char Char Char Car,Footnote Text Char Car,Car Car Car,Footnote reference Car"/>
    <w:basedOn w:val="Fuentedeprrafopredeter"/>
    <w:link w:val="Textonotapie"/>
    <w:uiPriority w:val="99"/>
    <w:qFormat/>
    <w:locked/>
    <w:rsid w:val="0091408C"/>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91408C"/>
    <w:rPr>
      <w:vertAlign w:val="superscript"/>
    </w:rPr>
  </w:style>
  <w:style w:type="paragraph" w:customStyle="1" w:styleId="Appelnotedebasde">
    <w:name w:val="Appel note de bas de..."/>
    <w:basedOn w:val="Normal"/>
    <w:link w:val="Refdenotaalpie"/>
    <w:uiPriority w:val="99"/>
    <w:rsid w:val="0091408C"/>
    <w:pPr>
      <w:spacing w:line="240" w:lineRule="exact"/>
    </w:pPr>
    <w:rPr>
      <w:vertAlign w:val="superscript"/>
    </w:rPr>
  </w:style>
  <w:style w:type="paragraph" w:styleId="Textonotapie">
    <w:name w:val="footnote text"/>
    <w:aliases w:val="Footnote Text Char Char Char Char Char,Footnote Text Char Char Char Char,Ref. de nota al pie1,FA Fu,texto de nota al pie,Footnote Text Char Char Char,Footnote Text Char,Car Car,Footnote reference,Car,ft Car,Nota a pie/Bibliog,ft,BVI fnr"/>
    <w:basedOn w:val="Normal"/>
    <w:link w:val="TextonotapieCar"/>
    <w:uiPriority w:val="99"/>
    <w:unhideWhenUsed/>
    <w:qFormat/>
    <w:rsid w:val="0091408C"/>
    <w:pPr>
      <w:spacing w:after="0" w:line="240" w:lineRule="auto"/>
    </w:pPr>
    <w:rPr>
      <w:sz w:val="20"/>
      <w:szCs w:val="20"/>
      <w:lang w:val="es-MX"/>
    </w:rPr>
  </w:style>
  <w:style w:type="character" w:customStyle="1" w:styleId="TextonotapieCar1">
    <w:name w:val="Texto nota pie Car1"/>
    <w:basedOn w:val="Fuentedeprrafopredeter"/>
    <w:uiPriority w:val="99"/>
    <w:semiHidden/>
    <w:rsid w:val="0091408C"/>
    <w:rPr>
      <w:sz w:val="20"/>
      <w:szCs w:val="20"/>
    </w:rPr>
  </w:style>
  <w:style w:type="paragraph" w:customStyle="1" w:styleId="xmsonospacing">
    <w:name w:val="x_msonospacing"/>
    <w:basedOn w:val="Normal"/>
    <w:rsid w:val="0091408C"/>
    <w:pPr>
      <w:spacing w:before="100" w:beforeAutospacing="1" w:after="100" w:afterAutospacing="1" w:line="240" w:lineRule="auto"/>
    </w:pPr>
    <w:rPr>
      <w:rFonts w:ascii="Times New Roman" w:eastAsia="Times New Roman" w:hAnsi="Times New Roman" w:cs="Times New Roman"/>
      <w:sz w:val="24"/>
      <w:szCs w:val="24"/>
      <w:lang w:eastAsia="es-MX"/>
    </w:rPr>
  </w:style>
  <w:style w:type="table" w:customStyle="1" w:styleId="Tablaconcuadrcula1">
    <w:name w:val="Tabla con cuadrícula1"/>
    <w:basedOn w:val="Tablanormal"/>
    <w:next w:val="Tablaconcuadrcula"/>
    <w:uiPriority w:val="39"/>
    <w:rsid w:val="009140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9140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9140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727F2C"/>
    <w:rPr>
      <w:rFonts w:ascii="Geomanist Light" w:eastAsia="Times New Roman" w:hAnsi="Geomanist Light" w:cs="Times New Roman"/>
      <w:b/>
      <w:sz w:val="48"/>
      <w:szCs w:val="48"/>
      <w:lang w:eastAsia="es-MX"/>
    </w:rPr>
  </w:style>
  <w:style w:type="character" w:customStyle="1" w:styleId="Ttulo2Car">
    <w:name w:val="Título 2 Car"/>
    <w:basedOn w:val="Fuentedeprrafopredeter"/>
    <w:link w:val="Ttulo2"/>
    <w:uiPriority w:val="9"/>
    <w:semiHidden/>
    <w:rsid w:val="00727F2C"/>
    <w:rPr>
      <w:rFonts w:ascii="Geomanist Light" w:eastAsia="Times New Roman" w:hAnsi="Geomanist Light" w:cs="Times New Roman"/>
      <w:b/>
      <w:sz w:val="36"/>
      <w:szCs w:val="36"/>
      <w:lang w:eastAsia="es-MX"/>
    </w:rPr>
  </w:style>
  <w:style w:type="character" w:customStyle="1" w:styleId="Ttulo3Car">
    <w:name w:val="Título 3 Car"/>
    <w:basedOn w:val="Fuentedeprrafopredeter"/>
    <w:link w:val="Ttulo3"/>
    <w:uiPriority w:val="9"/>
    <w:semiHidden/>
    <w:rsid w:val="00727F2C"/>
    <w:rPr>
      <w:rFonts w:ascii="Geomanist Light" w:eastAsia="Times New Roman" w:hAnsi="Geomanist Light" w:cs="Times New Roman"/>
      <w:b/>
      <w:sz w:val="28"/>
      <w:szCs w:val="28"/>
      <w:lang w:eastAsia="es-MX"/>
    </w:rPr>
  </w:style>
  <w:style w:type="character" w:customStyle="1" w:styleId="Ttulo4Car">
    <w:name w:val="Título 4 Car"/>
    <w:basedOn w:val="Fuentedeprrafopredeter"/>
    <w:link w:val="Ttulo4"/>
    <w:uiPriority w:val="9"/>
    <w:semiHidden/>
    <w:rsid w:val="00727F2C"/>
    <w:rPr>
      <w:rFonts w:ascii="Geomanist Light" w:eastAsia="Times New Roman" w:hAnsi="Geomanist Light" w:cs="Times New Roman"/>
      <w:b/>
      <w:szCs w:val="24"/>
      <w:lang w:eastAsia="es-MX"/>
    </w:rPr>
  </w:style>
  <w:style w:type="character" w:customStyle="1" w:styleId="Ttulo5Car">
    <w:name w:val="Título 5 Car"/>
    <w:basedOn w:val="Fuentedeprrafopredeter"/>
    <w:link w:val="Ttulo5"/>
    <w:uiPriority w:val="9"/>
    <w:semiHidden/>
    <w:rsid w:val="00727F2C"/>
    <w:rPr>
      <w:rFonts w:ascii="Geomanist Light" w:eastAsia="Times New Roman" w:hAnsi="Geomanist Light" w:cs="Times New Roman"/>
      <w:b/>
      <w:szCs w:val="24"/>
      <w:lang w:eastAsia="es-MX"/>
    </w:rPr>
  </w:style>
  <w:style w:type="character" w:customStyle="1" w:styleId="Ttulo6Car">
    <w:name w:val="Título 6 Car"/>
    <w:basedOn w:val="Fuentedeprrafopredeter"/>
    <w:link w:val="Ttulo6"/>
    <w:uiPriority w:val="9"/>
    <w:semiHidden/>
    <w:rsid w:val="00727F2C"/>
    <w:rPr>
      <w:rFonts w:ascii="Geomanist Light" w:eastAsia="Times New Roman" w:hAnsi="Geomanist Light" w:cs="Times New Roman"/>
      <w:b/>
      <w:sz w:val="20"/>
      <w:szCs w:val="20"/>
      <w:lang w:eastAsia="es-MX"/>
    </w:rPr>
  </w:style>
  <w:style w:type="numbering" w:customStyle="1" w:styleId="Sinlista1">
    <w:name w:val="Sin lista1"/>
    <w:next w:val="Sinlista"/>
    <w:uiPriority w:val="99"/>
    <w:semiHidden/>
    <w:unhideWhenUsed/>
    <w:rsid w:val="00727F2C"/>
  </w:style>
  <w:style w:type="paragraph" w:styleId="Ttulo">
    <w:name w:val="Title"/>
    <w:basedOn w:val="Normal"/>
    <w:next w:val="Normal"/>
    <w:link w:val="TtuloCar"/>
    <w:uiPriority w:val="10"/>
    <w:qFormat/>
    <w:rsid w:val="00727F2C"/>
    <w:pPr>
      <w:keepNext/>
      <w:keepLines/>
      <w:spacing w:before="480" w:after="120" w:line="240" w:lineRule="auto"/>
      <w:jc w:val="both"/>
    </w:pPr>
    <w:rPr>
      <w:rFonts w:ascii="Geomanist Light" w:eastAsia="Times New Roman" w:hAnsi="Geomanist Light" w:cs="Times New Roman"/>
      <w:b/>
      <w:sz w:val="72"/>
      <w:szCs w:val="72"/>
      <w:lang w:eastAsia="es-MX"/>
    </w:rPr>
  </w:style>
  <w:style w:type="character" w:customStyle="1" w:styleId="TtuloCar">
    <w:name w:val="Título Car"/>
    <w:basedOn w:val="Fuentedeprrafopredeter"/>
    <w:link w:val="Ttulo"/>
    <w:uiPriority w:val="10"/>
    <w:rsid w:val="00727F2C"/>
    <w:rPr>
      <w:rFonts w:ascii="Geomanist Light" w:eastAsia="Times New Roman" w:hAnsi="Geomanist Light" w:cs="Times New Roman"/>
      <w:b/>
      <w:sz w:val="72"/>
      <w:szCs w:val="72"/>
      <w:lang w:eastAsia="es-MX"/>
    </w:rPr>
  </w:style>
  <w:style w:type="paragraph" w:customStyle="1" w:styleId="Titulo1">
    <w:name w:val="Titulo 1"/>
    <w:qFormat/>
    <w:rsid w:val="00727F2C"/>
    <w:rPr>
      <w:rFonts w:ascii="Geomanist Bold" w:eastAsia="Calibri" w:hAnsi="Geomanist Bold" w:cs="Calibri"/>
      <w:color w:val="002060"/>
      <w:sz w:val="24"/>
      <w:lang w:val="es-ES" w:eastAsia="es-CO"/>
    </w:rPr>
  </w:style>
  <w:style w:type="table" w:customStyle="1" w:styleId="NormalTable0">
    <w:name w:val="Normal Table0"/>
    <w:uiPriority w:val="99"/>
    <w:semiHidden/>
    <w:unhideWhenUsed/>
    <w:rsid w:val="00727F2C"/>
    <w:rPr>
      <w:rFonts w:ascii="Calibri" w:eastAsia="Calibri" w:hAnsi="Calibri" w:cs="Calibri"/>
      <w:lang w:val="es-ES_tradnl" w:eastAsia="es-CO"/>
    </w:rPr>
    <w:tblPr>
      <w:tblInd w:w="0" w:type="dxa"/>
      <w:tblCellMar>
        <w:top w:w="0" w:type="dxa"/>
        <w:left w:w="108" w:type="dxa"/>
        <w:bottom w:w="0" w:type="dxa"/>
        <w:right w:w="108" w:type="dxa"/>
      </w:tblCellMar>
    </w:tblPr>
  </w:style>
  <w:style w:type="paragraph" w:styleId="Sinespaciado">
    <w:name w:val="No Spacing"/>
    <w:uiPriority w:val="1"/>
    <w:qFormat/>
    <w:rsid w:val="00727F2C"/>
    <w:pPr>
      <w:spacing w:after="0" w:line="240" w:lineRule="auto"/>
    </w:pPr>
    <w:rPr>
      <w:rFonts w:ascii="Times New Roman" w:eastAsia="MS Mincho" w:hAnsi="Times New Roman" w:cs="Times New Roman"/>
      <w:sz w:val="24"/>
      <w:szCs w:val="24"/>
      <w:lang w:val="es-ES_tradnl" w:eastAsia="es-CO"/>
    </w:rPr>
  </w:style>
  <w:style w:type="paragraph" w:customStyle="1" w:styleId="Normal11pt">
    <w:name w:val="Normal + 11 pt"/>
    <w:aliases w:val="Negro,Justificado,Izquierda:  -0,95 cm,Derecha:  0,04 cm"/>
    <w:basedOn w:val="Titulo1"/>
    <w:uiPriority w:val="99"/>
    <w:rsid w:val="00727F2C"/>
    <w:pPr>
      <w:spacing w:after="0" w:line="240" w:lineRule="auto"/>
      <w:ind w:left="-540"/>
      <w:jc w:val="both"/>
    </w:pPr>
    <w:rPr>
      <w:rFonts w:ascii="Arial" w:eastAsia="Times New Roman" w:hAnsi="Arial" w:cs="Arial"/>
      <w:color w:val="000000"/>
      <w:lang w:val="es-ES_tradnl" w:eastAsia="es-ES"/>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H"/>
    <w:basedOn w:val="Titulo1"/>
    <w:link w:val="PrrafodelistaCar"/>
    <w:uiPriority w:val="34"/>
    <w:qFormat/>
    <w:rsid w:val="00727F2C"/>
    <w:pPr>
      <w:ind w:left="720"/>
      <w:contextualSpacing/>
    </w:pPr>
    <w:rPr>
      <w:rFonts w:cs="Times New Roman"/>
      <w:lang w:val="es-CO"/>
    </w:rPr>
  </w:style>
  <w:style w:type="paragraph" w:styleId="NormalWeb">
    <w:name w:val="Normal (Web)"/>
    <w:basedOn w:val="Titulo1"/>
    <w:uiPriority w:val="99"/>
    <w:unhideWhenUsed/>
    <w:rsid w:val="00727F2C"/>
    <w:pPr>
      <w:spacing w:before="100" w:beforeAutospacing="1" w:after="100" w:afterAutospacing="1" w:line="240" w:lineRule="auto"/>
    </w:pPr>
    <w:rPr>
      <w:rFonts w:ascii="Times New Roman" w:eastAsia="Times New Roman" w:hAnsi="Times New Roman" w:cs="Times New Roman"/>
      <w:szCs w:val="24"/>
      <w:lang w:val="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727F2C"/>
    <w:rPr>
      <w:rFonts w:ascii="Geomanist Bold" w:eastAsia="Calibri" w:hAnsi="Geomanist Bold" w:cs="Times New Roman"/>
      <w:color w:val="002060"/>
      <w:sz w:val="24"/>
      <w:lang w:eastAsia="es-CO"/>
    </w:rPr>
  </w:style>
  <w:style w:type="character" w:styleId="Refdecomentario">
    <w:name w:val="annotation reference"/>
    <w:basedOn w:val="Fuentedeprrafopredeter"/>
    <w:uiPriority w:val="99"/>
    <w:unhideWhenUsed/>
    <w:rsid w:val="00727F2C"/>
    <w:rPr>
      <w:sz w:val="16"/>
      <w:szCs w:val="16"/>
    </w:rPr>
  </w:style>
  <w:style w:type="paragraph" w:styleId="Textocomentario">
    <w:name w:val="annotation text"/>
    <w:basedOn w:val="Titulo1"/>
    <w:link w:val="TextocomentarioCar"/>
    <w:uiPriority w:val="99"/>
    <w:unhideWhenUsed/>
    <w:rsid w:val="00727F2C"/>
    <w:pPr>
      <w:spacing w:line="240" w:lineRule="auto"/>
    </w:pPr>
    <w:rPr>
      <w:sz w:val="20"/>
      <w:szCs w:val="20"/>
    </w:rPr>
  </w:style>
  <w:style w:type="character" w:customStyle="1" w:styleId="TextocomentarioCar">
    <w:name w:val="Texto comentario Car"/>
    <w:basedOn w:val="Fuentedeprrafopredeter"/>
    <w:link w:val="Textocomentario"/>
    <w:uiPriority w:val="99"/>
    <w:rsid w:val="00727F2C"/>
    <w:rPr>
      <w:rFonts w:ascii="Geomanist Bold" w:eastAsia="Calibri" w:hAnsi="Geomanist Bold" w:cs="Calibri"/>
      <w:color w:val="002060"/>
      <w:sz w:val="20"/>
      <w:szCs w:val="20"/>
      <w:lang w:val="es-ES" w:eastAsia="es-CO"/>
    </w:rPr>
  </w:style>
  <w:style w:type="character" w:styleId="Hipervnculo">
    <w:name w:val="Hyperlink"/>
    <w:basedOn w:val="Fuentedeprrafopredeter"/>
    <w:uiPriority w:val="99"/>
    <w:unhideWhenUsed/>
    <w:rsid w:val="00727F2C"/>
    <w:rPr>
      <w:color w:val="0000FF"/>
      <w:u w:val="single"/>
    </w:rPr>
  </w:style>
  <w:style w:type="paragraph" w:styleId="Textodeglobo">
    <w:name w:val="Balloon Text"/>
    <w:basedOn w:val="Titulo1"/>
    <w:link w:val="TextodegloboCar"/>
    <w:uiPriority w:val="99"/>
    <w:semiHidden/>
    <w:unhideWhenUsed/>
    <w:rsid w:val="00727F2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27F2C"/>
    <w:rPr>
      <w:rFonts w:ascii="Segoe UI" w:eastAsia="Calibri" w:hAnsi="Segoe UI" w:cs="Segoe UI"/>
      <w:color w:val="002060"/>
      <w:sz w:val="18"/>
      <w:szCs w:val="18"/>
      <w:lang w:val="es-ES" w:eastAsia="es-CO"/>
    </w:rPr>
  </w:style>
  <w:style w:type="paragraph" w:styleId="Asuntodelcomentario">
    <w:name w:val="annotation subject"/>
    <w:basedOn w:val="Textocomentario"/>
    <w:next w:val="Textocomentario"/>
    <w:link w:val="AsuntodelcomentarioCar"/>
    <w:uiPriority w:val="99"/>
    <w:semiHidden/>
    <w:unhideWhenUsed/>
    <w:rsid w:val="00727F2C"/>
    <w:rPr>
      <w:b/>
      <w:bCs/>
    </w:rPr>
  </w:style>
  <w:style w:type="character" w:customStyle="1" w:styleId="AsuntodelcomentarioCar">
    <w:name w:val="Asunto del comentario Car"/>
    <w:basedOn w:val="TextocomentarioCar"/>
    <w:link w:val="Asuntodelcomentario"/>
    <w:uiPriority w:val="99"/>
    <w:semiHidden/>
    <w:rsid w:val="00727F2C"/>
    <w:rPr>
      <w:rFonts w:ascii="Geomanist Bold" w:eastAsia="Calibri" w:hAnsi="Geomanist Bold" w:cs="Calibri"/>
      <w:b/>
      <w:bCs/>
      <w:color w:val="002060"/>
      <w:sz w:val="20"/>
      <w:szCs w:val="20"/>
      <w:lang w:val="es-ES" w:eastAsia="es-CO"/>
    </w:rPr>
  </w:style>
  <w:style w:type="table" w:customStyle="1" w:styleId="Tablaconcuadrcula3">
    <w:name w:val="Tabla con cuadrícula3"/>
    <w:basedOn w:val="NormalTable0"/>
    <w:next w:val="Tablaconcuadrcula"/>
    <w:uiPriority w:val="39"/>
    <w:rsid w:val="00727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nfasis21">
    <w:name w:val="Tabla con cuadrícula 2 - Énfasis 21"/>
    <w:basedOn w:val="NormalTable0"/>
    <w:uiPriority w:val="47"/>
    <w:rsid w:val="00727F2C"/>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adelista3-nfasis31">
    <w:name w:val="Tabla de lista 3 - Énfasis 31"/>
    <w:basedOn w:val="NormalTable0"/>
    <w:uiPriority w:val="48"/>
    <w:rsid w:val="00727F2C"/>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Tablaconcuadrcula5oscura-nfasis31">
    <w:name w:val="Tabla con cuadrícula 5 oscura - Énfasis 31"/>
    <w:basedOn w:val="NormalTable0"/>
    <w:uiPriority w:val="50"/>
    <w:rsid w:val="00727F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Tablaconcuadrcula4-nfasis31">
    <w:name w:val="Tabla con cuadrícula 4 - Énfasis 31"/>
    <w:basedOn w:val="NormalTable0"/>
    <w:uiPriority w:val="49"/>
    <w:rsid w:val="00727F2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textrun">
    <w:name w:val="textrun"/>
    <w:basedOn w:val="Fuentedeprrafopredeter"/>
    <w:rsid w:val="00727F2C"/>
  </w:style>
  <w:style w:type="character" w:customStyle="1" w:styleId="normaltextrun">
    <w:name w:val="normaltextrun"/>
    <w:basedOn w:val="Fuentedeprrafopredeter"/>
    <w:rsid w:val="00727F2C"/>
  </w:style>
  <w:style w:type="character" w:customStyle="1" w:styleId="eop">
    <w:name w:val="eop"/>
    <w:basedOn w:val="Fuentedeprrafopredeter"/>
    <w:rsid w:val="00727F2C"/>
  </w:style>
  <w:style w:type="table" w:customStyle="1" w:styleId="Tablaconcuadrcula11">
    <w:name w:val="Tabla con cuadrícula11"/>
    <w:basedOn w:val="NormalTable0"/>
    <w:uiPriority w:val="59"/>
    <w:rsid w:val="00727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727F2C"/>
    <w:rPr>
      <w:color w:val="605E5C"/>
      <w:shd w:val="clear" w:color="auto" w:fill="E1DFDD"/>
    </w:rPr>
  </w:style>
  <w:style w:type="paragraph" w:styleId="Sangradetextonormal">
    <w:name w:val="Body Text Indent"/>
    <w:basedOn w:val="Titulo1"/>
    <w:link w:val="SangradetextonormalCar"/>
    <w:uiPriority w:val="99"/>
    <w:semiHidden/>
    <w:unhideWhenUsed/>
    <w:rsid w:val="00727F2C"/>
    <w:pPr>
      <w:spacing w:before="100" w:beforeAutospacing="1" w:after="100" w:afterAutospacing="1" w:line="240" w:lineRule="auto"/>
    </w:pPr>
    <w:rPr>
      <w:rFonts w:ascii="Times New Roman" w:eastAsia="Times New Roman" w:hAnsi="Times New Roman" w:cs="Times New Roman"/>
      <w:szCs w:val="24"/>
      <w:lang w:val="es-CO"/>
    </w:rPr>
  </w:style>
  <w:style w:type="character" w:customStyle="1" w:styleId="SangradetextonormalCar">
    <w:name w:val="Sangría de texto normal Car"/>
    <w:basedOn w:val="Fuentedeprrafopredeter"/>
    <w:link w:val="Sangradetextonormal"/>
    <w:uiPriority w:val="99"/>
    <w:semiHidden/>
    <w:rsid w:val="00727F2C"/>
    <w:rPr>
      <w:rFonts w:ascii="Times New Roman" w:eastAsia="Times New Roman" w:hAnsi="Times New Roman" w:cs="Times New Roman"/>
      <w:color w:val="002060"/>
      <w:sz w:val="24"/>
      <w:szCs w:val="24"/>
      <w:lang w:eastAsia="es-CO"/>
    </w:rPr>
  </w:style>
  <w:style w:type="table" w:customStyle="1" w:styleId="Tablaconcuadrcula111">
    <w:name w:val="Tabla con cuadrícula111"/>
    <w:basedOn w:val="NormalTable0"/>
    <w:next w:val="Tablaconcuadrcula"/>
    <w:uiPriority w:val="59"/>
    <w:rsid w:val="00727F2C"/>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727F2C"/>
    <w:rPr>
      <w:color w:val="954F72" w:themeColor="followedHyperlink"/>
      <w:u w:val="single"/>
    </w:rPr>
  </w:style>
  <w:style w:type="paragraph" w:styleId="Subttulo">
    <w:name w:val="Subtitle"/>
    <w:basedOn w:val="Titulo1"/>
    <w:next w:val="Titulo1"/>
    <w:link w:val="SubttuloCar"/>
    <w:uiPriority w:val="11"/>
    <w:qFormat/>
    <w:rsid w:val="00727F2C"/>
    <w:pPr>
      <w:keepNext/>
      <w:keepLines/>
      <w:spacing w:before="360" w:after="80"/>
    </w:pPr>
    <w:rPr>
      <w:rFonts w:ascii="Georgia" w:eastAsia="Georgia" w:hAnsi="Georgia" w:cs="Georgia"/>
      <w:i/>
      <w:color w:val="666666"/>
      <w:sz w:val="48"/>
      <w:szCs w:val="48"/>
    </w:rPr>
  </w:style>
  <w:style w:type="character" w:customStyle="1" w:styleId="SubttuloCar">
    <w:name w:val="Subtítulo Car"/>
    <w:basedOn w:val="Fuentedeprrafopredeter"/>
    <w:link w:val="Subttulo"/>
    <w:uiPriority w:val="11"/>
    <w:rsid w:val="00727F2C"/>
    <w:rPr>
      <w:rFonts w:ascii="Georgia" w:eastAsia="Georgia" w:hAnsi="Georgia" w:cs="Georgia"/>
      <w:i/>
      <w:color w:val="666666"/>
      <w:sz w:val="48"/>
      <w:szCs w:val="48"/>
      <w:lang w:val="es-ES" w:eastAsia="es-CO"/>
    </w:rPr>
  </w:style>
  <w:style w:type="character" w:customStyle="1" w:styleId="baj">
    <w:name w:val="b_aj"/>
    <w:basedOn w:val="Fuentedeprrafopredeter"/>
    <w:rsid w:val="00727F2C"/>
  </w:style>
  <w:style w:type="character" w:styleId="Mencinsinresolver">
    <w:name w:val="Unresolved Mention"/>
    <w:basedOn w:val="Fuentedeprrafopredeter"/>
    <w:uiPriority w:val="99"/>
    <w:unhideWhenUsed/>
    <w:rsid w:val="00727F2C"/>
    <w:rPr>
      <w:color w:val="605E5C"/>
      <w:shd w:val="clear" w:color="auto" w:fill="E1DFDD"/>
    </w:rPr>
  </w:style>
  <w:style w:type="character" w:styleId="Mencionar">
    <w:name w:val="Mention"/>
    <w:basedOn w:val="Fuentedeprrafopredeter"/>
    <w:uiPriority w:val="99"/>
    <w:unhideWhenUsed/>
    <w:rsid w:val="00727F2C"/>
    <w:rPr>
      <w:color w:val="2B579A"/>
      <w:shd w:val="clear" w:color="auto" w:fill="E1DFDD"/>
    </w:rPr>
  </w:style>
  <w:style w:type="paragraph" w:styleId="Revisin">
    <w:name w:val="Revision"/>
    <w:hidden/>
    <w:uiPriority w:val="99"/>
    <w:semiHidden/>
    <w:rsid w:val="00727F2C"/>
    <w:pPr>
      <w:spacing w:after="0" w:line="240" w:lineRule="auto"/>
    </w:pPr>
    <w:rPr>
      <w:rFonts w:ascii="Times New Roman" w:eastAsia="Times New Roman" w:hAnsi="Times New Roman" w:cs="Times New Roman"/>
      <w:sz w:val="24"/>
      <w:szCs w:val="24"/>
      <w:lang w:eastAsia="es-MX"/>
    </w:rPr>
  </w:style>
  <w:style w:type="paragraph" w:customStyle="1" w:styleId="Default">
    <w:name w:val="Default"/>
    <w:rsid w:val="00727F2C"/>
    <w:pPr>
      <w:autoSpaceDE w:val="0"/>
      <w:autoSpaceDN w:val="0"/>
      <w:adjustRightInd w:val="0"/>
      <w:spacing w:after="0" w:line="240" w:lineRule="auto"/>
    </w:pPr>
    <w:rPr>
      <w:rFonts w:ascii="Arial" w:eastAsia="Calibri" w:hAnsi="Arial" w:cs="Arial"/>
      <w:color w:val="000000"/>
      <w:sz w:val="24"/>
      <w:szCs w:val="24"/>
      <w:lang w:eastAsia="es-CO"/>
    </w:rPr>
  </w:style>
  <w:style w:type="character" w:customStyle="1" w:styleId="tooltiptext">
    <w:name w:val="tooltiptext"/>
    <w:basedOn w:val="Fuentedeprrafopredeter"/>
    <w:rsid w:val="00727F2C"/>
  </w:style>
  <w:style w:type="table" w:customStyle="1" w:styleId="Tablaconcuadrcula21">
    <w:name w:val="Tabla con cuadrícula21"/>
    <w:basedOn w:val="NormalTable0"/>
    <w:next w:val="Tablaconcuadrcula"/>
    <w:uiPriority w:val="59"/>
    <w:rsid w:val="00727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semiHidden/>
    <w:unhideWhenUsed/>
    <w:rsid w:val="00727F2C"/>
    <w:pPr>
      <w:spacing w:after="120" w:line="240" w:lineRule="auto"/>
      <w:jc w:val="both"/>
    </w:pPr>
    <w:rPr>
      <w:rFonts w:ascii="Geomanist Light" w:eastAsia="Times New Roman" w:hAnsi="Geomanist Light" w:cs="Times New Roman"/>
      <w:szCs w:val="24"/>
      <w:lang w:eastAsia="es-MX"/>
    </w:rPr>
  </w:style>
  <w:style w:type="character" w:customStyle="1" w:styleId="TextoindependienteCar">
    <w:name w:val="Texto independiente Car"/>
    <w:basedOn w:val="Fuentedeprrafopredeter"/>
    <w:link w:val="Textoindependiente"/>
    <w:uiPriority w:val="99"/>
    <w:semiHidden/>
    <w:rsid w:val="00727F2C"/>
    <w:rPr>
      <w:rFonts w:ascii="Geomanist Light" w:eastAsia="Times New Roman" w:hAnsi="Geomanist Light" w:cs="Times New Roman"/>
      <w:szCs w:val="24"/>
      <w:lang w:eastAsia="es-MX"/>
    </w:rPr>
  </w:style>
  <w:style w:type="paragraph" w:customStyle="1" w:styleId="Normal0">
    <w:name w:val="Normal0"/>
    <w:qFormat/>
    <w:rsid w:val="00727F2C"/>
    <w:rPr>
      <w:rFonts w:ascii="Calibri" w:eastAsia="Calibri" w:hAnsi="Calibri" w:cs="Calibri"/>
      <w:lang w:val="es-ES" w:eastAsia="es-CO"/>
    </w:rPr>
  </w:style>
  <w:style w:type="paragraph" w:customStyle="1" w:styleId="paragraph">
    <w:name w:val="paragraph"/>
    <w:basedOn w:val="Normal"/>
    <w:rsid w:val="00727F2C"/>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findhit">
    <w:name w:val="findhit"/>
    <w:basedOn w:val="Fuentedeprrafopredeter"/>
    <w:rsid w:val="00727F2C"/>
  </w:style>
  <w:style w:type="paragraph" w:customStyle="1" w:styleId="Captulo9">
    <w:name w:val="Capítulo 9"/>
    <w:basedOn w:val="Normal"/>
    <w:qFormat/>
    <w:rsid w:val="00727F2C"/>
    <w:pPr>
      <w:numPr>
        <w:numId w:val="25"/>
      </w:numPr>
      <w:spacing w:after="200" w:line="276" w:lineRule="auto"/>
      <w:contextualSpacing/>
    </w:pPr>
    <w:rPr>
      <w:rFonts w:ascii="Arial" w:eastAsia="Calibri" w:hAnsi="Arial" w:cs="Arial"/>
      <w:b/>
      <w:bCs/>
      <w:color w:val="3B3838" w:themeColor="background2" w:themeShade="40"/>
      <w:sz w:val="20"/>
      <w:szCs w:val="20"/>
    </w:rPr>
  </w:style>
  <w:style w:type="paragraph" w:styleId="Textonotaalfinal">
    <w:name w:val="endnote text"/>
    <w:basedOn w:val="Normal"/>
    <w:link w:val="TextonotaalfinalCar"/>
    <w:uiPriority w:val="99"/>
    <w:semiHidden/>
    <w:unhideWhenUsed/>
    <w:rsid w:val="00727F2C"/>
    <w:pPr>
      <w:spacing w:after="0" w:line="240" w:lineRule="auto"/>
      <w:jc w:val="both"/>
    </w:pPr>
    <w:rPr>
      <w:rFonts w:ascii="Geomanist Light" w:eastAsia="Times New Roman" w:hAnsi="Geomanist Light" w:cs="Times New Roman"/>
      <w:sz w:val="20"/>
      <w:szCs w:val="20"/>
      <w:lang w:eastAsia="es-MX"/>
    </w:rPr>
  </w:style>
  <w:style w:type="character" w:customStyle="1" w:styleId="TextonotaalfinalCar">
    <w:name w:val="Texto nota al final Car"/>
    <w:basedOn w:val="Fuentedeprrafopredeter"/>
    <w:link w:val="Textonotaalfinal"/>
    <w:uiPriority w:val="99"/>
    <w:semiHidden/>
    <w:rsid w:val="00727F2C"/>
    <w:rPr>
      <w:rFonts w:ascii="Geomanist Light" w:eastAsia="Times New Roman" w:hAnsi="Geomanist Light" w:cs="Times New Roman"/>
      <w:sz w:val="20"/>
      <w:szCs w:val="20"/>
      <w:lang w:eastAsia="es-MX"/>
    </w:rPr>
  </w:style>
  <w:style w:type="character" w:styleId="Refdenotaalfinal">
    <w:name w:val="endnote reference"/>
    <w:basedOn w:val="Fuentedeprrafopredeter"/>
    <w:uiPriority w:val="99"/>
    <w:semiHidden/>
    <w:unhideWhenUsed/>
    <w:rsid w:val="00727F2C"/>
    <w:rPr>
      <w:vertAlign w:val="superscript"/>
    </w:rPr>
  </w:style>
  <w:style w:type="character" w:styleId="Textoennegrita">
    <w:name w:val="Strong"/>
    <w:basedOn w:val="Fuentedeprrafopredeter"/>
    <w:uiPriority w:val="22"/>
    <w:qFormat/>
    <w:rsid w:val="009A57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777868">
      <w:bodyDiv w:val="1"/>
      <w:marLeft w:val="0"/>
      <w:marRight w:val="0"/>
      <w:marTop w:val="0"/>
      <w:marBottom w:val="0"/>
      <w:divBdr>
        <w:top w:val="none" w:sz="0" w:space="0" w:color="auto"/>
        <w:left w:val="none" w:sz="0" w:space="0" w:color="auto"/>
        <w:bottom w:val="none" w:sz="0" w:space="0" w:color="auto"/>
        <w:right w:val="none" w:sz="0" w:space="0" w:color="auto"/>
      </w:divBdr>
    </w:div>
    <w:div w:id="314263937">
      <w:bodyDiv w:val="1"/>
      <w:marLeft w:val="0"/>
      <w:marRight w:val="0"/>
      <w:marTop w:val="0"/>
      <w:marBottom w:val="0"/>
      <w:divBdr>
        <w:top w:val="none" w:sz="0" w:space="0" w:color="auto"/>
        <w:left w:val="none" w:sz="0" w:space="0" w:color="auto"/>
        <w:bottom w:val="none" w:sz="0" w:space="0" w:color="auto"/>
        <w:right w:val="none" w:sz="0" w:space="0" w:color="auto"/>
      </w:divBdr>
    </w:div>
    <w:div w:id="161146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18" Type="http://schemas.openxmlformats.org/officeDocument/2006/relationships/hyperlink" Target="https://www.funcionpublica.gov.co/eva/gestornormativo/norma.php?i=77653" TargetMode="External"/><Relationship Id="rId26"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21"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17" Type="http://schemas.openxmlformats.org/officeDocument/2006/relationships/hyperlink" Target="https://www.funcionpublica.gov.co/eva/gestornormativo/norma.php?i=77653" TargetMode="External"/><Relationship Id="rId25" Type="http://schemas.openxmlformats.org/officeDocument/2006/relationships/hyperlink" Target="https://www.funcionpublica.gov.co/eva/gestornormativo/norma.php?i=77653" TargetMode="External"/><Relationship Id="rId2" Type="http://schemas.openxmlformats.org/officeDocument/2006/relationships/hyperlink" Target="https://www.funcionpublica.gov.co/eva/gestornormativo/norma.php?i=77653" TargetMode="External"/><Relationship Id="rId16" Type="http://schemas.openxmlformats.org/officeDocument/2006/relationships/hyperlink" Target="https://www.colombiacompra.gov.co/content/formularios-para-comentarios-la-memoria-justificativa-y-al-proyecto-de-resolucion-por-la" TargetMode="External"/><Relationship Id="rId20" Type="http://schemas.openxmlformats.org/officeDocument/2006/relationships/hyperlink" Target="https://www.funcionpublica.gov.co/eva/gestornormativo/norma.php?i=77653" TargetMode="External"/><Relationship Id="rId29" Type="http://schemas.openxmlformats.org/officeDocument/2006/relationships/hyperlink" Target="https://www.funcionpublica.gov.co/eva/gestornormativo/norma.php?i=77653" TargetMode="External"/><Relationship Id="rId1" Type="http://schemas.openxmlformats.org/officeDocument/2006/relationships/hyperlink" Target="https://www.colombiacompra.gov.co/content/08-modificacion-los-documentos-tipo-para-los-procesos-de-obra-publica-de-infraestructura-de"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24"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23" Type="http://schemas.openxmlformats.org/officeDocument/2006/relationships/hyperlink" Target="https://www.funcionpublica.gov.co/eva/gestornormativo/norma.php?i=77653" TargetMode="External"/><Relationship Id="rId28"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19" Type="http://schemas.openxmlformats.org/officeDocument/2006/relationships/hyperlink" Target="https://www.funcionpublica.gov.co/eva/gestornormativo/norma.php?i=77653" TargetMode="External"/><Relationship Id="rId31" Type="http://schemas.openxmlformats.org/officeDocument/2006/relationships/hyperlink" Target="https://www.colombiacompra.gov.co/content/formularios-para-comentarios-la-memoria-justificativa-y-al-proyecto-de-resolucion-por-la"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 Id="rId22" Type="http://schemas.openxmlformats.org/officeDocument/2006/relationships/hyperlink" Target="https://www.funcionpublica.gov.co/eva/gestornormativo/norma.php?i=77653" TargetMode="External"/><Relationship Id="rId27" Type="http://schemas.openxmlformats.org/officeDocument/2006/relationships/hyperlink" Target="https://www.funcionpublica.gov.co/eva/gestornormativo/norma.php?i=77653" TargetMode="External"/><Relationship Id="rId30"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3F5BC8-446D-4FC7-8FF6-22C6EB1A99E8}">
  <ds:schemaRefs>
    <ds:schemaRef ds:uri="http://schemas.microsoft.com/sharepoint/v3/contenttype/forms"/>
  </ds:schemaRefs>
</ds:datastoreItem>
</file>

<file path=customXml/itemProps2.xml><?xml version="1.0" encoding="utf-8"?>
<ds:datastoreItem xmlns:ds="http://schemas.openxmlformats.org/officeDocument/2006/customXml" ds:itemID="{27CD4F61-96C4-47BC-AD28-2A33AED14DEC}">
  <ds:schemaRefs>
    <ds:schemaRef ds:uri="http://schemas.openxmlformats.org/officeDocument/2006/bibliography"/>
  </ds:schemaRefs>
</ds:datastoreItem>
</file>

<file path=customXml/itemProps3.xml><?xml version="1.0" encoding="utf-8"?>
<ds:datastoreItem xmlns:ds="http://schemas.openxmlformats.org/officeDocument/2006/customXml" ds:itemID="{10436145-807E-404D-8A25-2D64884CA39F}">
  <ds:schemaRefs>
    <ds:schemaRef ds:uri="a6cb9e4b-f1d1-4245-83ec-6cad768d538a"/>
    <ds:schemaRef ds:uri="http://purl.org/dc/terms/"/>
    <ds:schemaRef ds:uri="http://schemas.microsoft.com/office/2006/documentManagement/types"/>
    <ds:schemaRef ds:uri="http://schemas.microsoft.com/office/infopath/2007/PartnerControls"/>
    <ds:schemaRef ds:uri="http://purl.org/dc/dcmitype/"/>
    <ds:schemaRef ds:uri="http://schemas.openxmlformats.org/package/2006/metadata/core-properties"/>
    <ds:schemaRef ds:uri="9d85dbaf-23eb-4e57-a637-93dcacc8b1a1"/>
    <ds:schemaRef ds:uri="http://schemas.microsoft.com/office/2006/metadata/properties"/>
    <ds:schemaRef ds:uri="http://www.w3.org/XML/1998/namespace"/>
    <ds:schemaRef ds:uri="http://purl.org/dc/elements/1.1/"/>
  </ds:schemaRefs>
</ds:datastoreItem>
</file>

<file path=customXml/itemProps4.xml><?xml version="1.0" encoding="utf-8"?>
<ds:datastoreItem xmlns:ds="http://schemas.openxmlformats.org/officeDocument/2006/customXml" ds:itemID="{C80F9FDF-2277-4A17-91D8-C090785E6E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20</Pages>
  <Words>7365</Words>
  <Characters>40508</Characters>
  <Application>Microsoft Office Word</Application>
  <DocSecurity>0</DocSecurity>
  <Lines>337</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Castrillon Endo</dc:creator>
  <cp:keywords/>
  <dc:description/>
  <cp:lastModifiedBy>Ana Maria Velez Arteaga</cp:lastModifiedBy>
  <cp:revision>4</cp:revision>
  <dcterms:created xsi:type="dcterms:W3CDTF">2023-02-27T19:42:00Z</dcterms:created>
  <dcterms:modified xsi:type="dcterms:W3CDTF">2023-02-27T19:49:00Z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