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B2D93" w:rsidR="00650030" w:rsidP="00650030" w:rsidRDefault="00650030" w14:paraId="7A4F7B58" w14:textId="1C206C07">
      <w:pPr>
        <w:spacing w:after="0"/>
        <w:rPr>
          <w:rFonts w:ascii="Verdana" w:hAnsi="Verdana"/>
          <w:b/>
          <w:lang w:val="es-MX"/>
        </w:rPr>
      </w:pPr>
      <w:bookmarkStart w:name="_Hlk186494164" w:id="0"/>
      <w:r w:rsidRPr="005B2D93">
        <w:rPr>
          <w:rFonts w:ascii="Verdana" w:hAnsi="Verdana"/>
          <w:b/>
          <w:lang w:val="es-MX"/>
        </w:rPr>
        <w:t>ADICIÓN – Concepto – Distintos supuestos – Prohibición – Adición en más del 50%</w:t>
      </w:r>
    </w:p>
    <w:p w:rsidRPr="005B2D93" w:rsidR="00650030" w:rsidP="00650030" w:rsidRDefault="00650030" w14:paraId="563BD368" w14:textId="77777777">
      <w:pPr>
        <w:spacing w:after="0" w:line="240" w:lineRule="auto"/>
        <w:jc w:val="both"/>
        <w:rPr>
          <w:rFonts w:ascii="Verdana" w:hAnsi="Verdana"/>
          <w:b/>
          <w:sz w:val="20"/>
          <w:szCs w:val="20"/>
          <w:lang w:val="es-MX"/>
        </w:rPr>
      </w:pPr>
    </w:p>
    <w:p w:rsidRPr="005B2D93" w:rsidR="00650030" w:rsidP="00650030" w:rsidRDefault="00650030" w14:paraId="502A211C" w14:textId="77777777">
      <w:pPr>
        <w:spacing w:after="0" w:line="240" w:lineRule="auto"/>
        <w:jc w:val="both"/>
        <w:rPr>
          <w:rFonts w:ascii="Verdana" w:hAnsi="Verdana" w:cs="Arial"/>
          <w:sz w:val="20"/>
          <w:szCs w:val="20"/>
          <w:lang w:eastAsia="es-ES"/>
        </w:rPr>
      </w:pPr>
      <w:r w:rsidRPr="005B2D93">
        <w:rPr>
          <w:rFonts w:ascii="Verdana" w:hAnsi="Verdana"/>
          <w:sz w:val="20"/>
          <w:szCs w:val="20"/>
          <w:lang w:val="es-ES"/>
        </w:rPr>
        <w:t xml:space="preserve">[…] </w:t>
      </w:r>
      <w:r w:rsidRPr="005B2D93">
        <w:rPr>
          <w:rFonts w:ascii="Verdana" w:hAnsi="Verdana" w:cs="Arial"/>
          <w:sz w:val="20"/>
          <w:szCs w:val="20"/>
          <w:lang w:eastAsia="es-ES"/>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pueden identificar alguna de las siguientes situaciones: i) la necesidad de mayores cantidades de bienes o actividades a las inicialmente previstas, a lo que se le conoce como “mayores cantidades de obra”, “obras adicionales” o adición de “ítems contractuales”; y </w:t>
      </w:r>
      <w:proofErr w:type="spellStart"/>
      <w:r w:rsidRPr="005B2D93">
        <w:rPr>
          <w:rFonts w:ascii="Verdana" w:hAnsi="Verdana" w:cs="Arial"/>
          <w:sz w:val="20"/>
          <w:szCs w:val="20"/>
          <w:lang w:eastAsia="es-ES"/>
        </w:rPr>
        <w:t>ii</w:t>
      </w:r>
      <w:proofErr w:type="spellEnd"/>
      <w:r w:rsidRPr="005B2D93">
        <w:rPr>
          <w:rFonts w:ascii="Verdana" w:hAnsi="Verdana" w:cs="Arial"/>
          <w:sz w:val="20"/>
          <w:szCs w:val="20"/>
          <w:lang w:eastAsia="es-ES"/>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p>
    <w:p w:rsidRPr="005B2D93" w:rsidR="00650030" w:rsidP="00650030" w:rsidRDefault="00650030" w14:paraId="7B451153" w14:textId="77777777">
      <w:pPr>
        <w:spacing w:after="0" w:line="240" w:lineRule="auto"/>
        <w:jc w:val="both"/>
        <w:rPr>
          <w:rFonts w:ascii="Verdana" w:hAnsi="Verdana"/>
          <w:sz w:val="20"/>
          <w:szCs w:val="20"/>
          <w:lang w:val="es-ES"/>
        </w:rPr>
      </w:pPr>
    </w:p>
    <w:p w:rsidRPr="005B2D93" w:rsidR="00650030" w:rsidP="00650030" w:rsidRDefault="00650030" w14:paraId="23B69B69" w14:textId="77777777">
      <w:pPr>
        <w:spacing w:after="0" w:line="240" w:lineRule="auto"/>
        <w:jc w:val="both"/>
        <w:rPr>
          <w:rFonts w:ascii="Verdana" w:hAnsi="Verdana"/>
          <w:sz w:val="20"/>
          <w:szCs w:val="20"/>
          <w:lang w:val="es-ES"/>
        </w:rPr>
      </w:pPr>
      <w:r w:rsidRPr="005B2D93">
        <w:rPr>
          <w:rFonts w:ascii="Verdana" w:hAnsi="Verdana"/>
          <w:sz w:val="20"/>
          <w:szCs w:val="20"/>
          <w:lang w:val="es-ES"/>
        </w:rPr>
        <w:t>[…]</w:t>
      </w:r>
    </w:p>
    <w:p w:rsidRPr="005B2D93" w:rsidR="00650030" w:rsidP="00650030" w:rsidRDefault="00650030" w14:paraId="2F74C12B" w14:textId="77777777">
      <w:pPr>
        <w:spacing w:after="0" w:line="240" w:lineRule="auto"/>
        <w:jc w:val="both"/>
        <w:rPr>
          <w:rFonts w:ascii="Verdana" w:hAnsi="Verdana"/>
          <w:bCs/>
          <w:sz w:val="20"/>
          <w:szCs w:val="20"/>
          <w:lang w:val="es-ES_tradnl"/>
        </w:rPr>
      </w:pPr>
    </w:p>
    <w:p w:rsidRPr="005B2D93" w:rsidR="00650030" w:rsidP="00650030" w:rsidRDefault="00650030" w14:paraId="2D23670A" w14:textId="77777777">
      <w:pPr>
        <w:spacing w:after="0" w:line="240" w:lineRule="auto"/>
        <w:jc w:val="both"/>
        <w:rPr>
          <w:rFonts w:ascii="Verdana" w:hAnsi="Verdana" w:cs="Arial"/>
          <w:sz w:val="20"/>
          <w:szCs w:val="20"/>
          <w:lang w:eastAsia="es-ES"/>
        </w:rPr>
      </w:pPr>
      <w:r w:rsidRPr="005B2D93">
        <w:rPr>
          <w:rFonts w:ascii="Verdana" w:hAnsi="Verdana" w:cs="Arial"/>
          <w:sz w:val="20"/>
          <w:szCs w:val="20"/>
          <w:lang w:eastAsia="es-ES_tradnl"/>
        </w:rPr>
        <w:t>No obstante, la expresión “contrato adicional” al igual que las otras nociones doctrinarias y jurisprudenciales arriba señaladas entre comillas son de uso común en la práctica contractual por las Entidades Estatales.</w:t>
      </w:r>
      <w:r w:rsidRPr="005B2D93">
        <w:rPr>
          <w:rFonts w:ascii="Verdana" w:hAnsi="Verdana" w:cs="Arial"/>
          <w:sz w:val="20"/>
          <w:szCs w:val="20"/>
          <w:lang w:eastAsia="es-ES"/>
        </w:rPr>
        <w:t xml:space="preserve"> </w:t>
      </w:r>
      <w:r w:rsidRPr="005B2D93">
        <w:rPr>
          <w:rFonts w:ascii="Verdana" w:hAnsi="Verdana" w:cs="Arial"/>
          <w:sz w:val="20"/>
          <w:szCs w:val="20"/>
          <w:lang w:eastAsia="es-ES_tradnl"/>
        </w:rPr>
        <w:t xml:space="preserve">En ese sentido, </w:t>
      </w:r>
      <w:r w:rsidRPr="005B2D93">
        <w:rPr>
          <w:rFonts w:ascii="Verdana" w:hAnsi="Verdana"/>
          <w:sz w:val="20"/>
          <w:szCs w:val="20"/>
        </w:rPr>
        <w:t>dada la naturaleza de este sistema de precios, que contempla la posibilidad de variar las cantidades e ítems originalmente previstos entre las partes, tanto la jurisprudencia como la doctrina han desarrollado los conceptos de “mayores cantidades de obra” y de “obras extras o adicionales”, nociones que no corresponden a la misma figura jurídica, tal y como se procede a explicar. Mientras que las “mayores cantidades de obra” implica aumentar las cantidades de los ítems pactados desde el comienzo, la noción de “obras extras o adicionales” exige incluir obras o actividades que no habían sido convenidas, pero que, de todos modos, son indispensables para el cumplimiento del objeto.</w:t>
      </w:r>
    </w:p>
    <w:p w:rsidRPr="005B2D93" w:rsidR="00650030" w:rsidP="00650030" w:rsidRDefault="00650030" w14:paraId="4234AAFF" w14:textId="77777777">
      <w:pPr>
        <w:spacing w:after="0" w:line="240" w:lineRule="auto"/>
        <w:jc w:val="both"/>
        <w:rPr>
          <w:rFonts w:ascii="Verdana" w:hAnsi="Verdana"/>
          <w:b/>
          <w:sz w:val="20"/>
          <w:szCs w:val="20"/>
        </w:rPr>
      </w:pPr>
    </w:p>
    <w:p w:rsidRPr="005B2D93" w:rsidR="00650030" w:rsidP="00650030" w:rsidRDefault="00650030" w14:paraId="7990D399" w14:textId="77777777">
      <w:pPr>
        <w:spacing w:after="0" w:line="240" w:lineRule="auto"/>
        <w:jc w:val="both"/>
        <w:rPr>
          <w:rFonts w:ascii="Verdana" w:hAnsi="Verdana"/>
          <w:b/>
          <w:bCs/>
          <w:lang w:val="es-MX"/>
        </w:rPr>
      </w:pPr>
      <w:r w:rsidRPr="005B2D93">
        <w:rPr>
          <w:rFonts w:ascii="Verdana" w:hAnsi="Verdana"/>
          <w:b/>
          <w:bCs/>
          <w:lang w:val="es-MX"/>
        </w:rPr>
        <w:t xml:space="preserve">ADICIÓN – Prohibición – Monto – Cálculo – Parágrafo artículo 40 – Ley 80 de 1993 </w:t>
      </w:r>
    </w:p>
    <w:p w:rsidRPr="005B2D93" w:rsidR="00650030" w:rsidP="00650030" w:rsidRDefault="00650030" w14:paraId="4412820D" w14:textId="77777777">
      <w:pPr>
        <w:spacing w:after="0" w:line="240" w:lineRule="auto"/>
        <w:jc w:val="both"/>
        <w:rPr>
          <w:rFonts w:ascii="Verdana" w:hAnsi="Verdana"/>
          <w:b/>
          <w:sz w:val="20"/>
          <w:szCs w:val="20"/>
          <w:lang w:val="es-MX"/>
        </w:rPr>
      </w:pPr>
    </w:p>
    <w:p w:rsidRPr="005B2D93" w:rsidR="00650030" w:rsidP="00650030" w:rsidRDefault="00650030" w14:paraId="1514151A" w14:textId="77777777">
      <w:pPr>
        <w:spacing w:after="0" w:line="240" w:lineRule="auto"/>
        <w:jc w:val="both"/>
        <w:rPr>
          <w:rFonts w:ascii="Verdana" w:hAnsi="Verdana" w:cs="Arial"/>
          <w:sz w:val="20"/>
          <w:szCs w:val="20"/>
          <w:lang w:eastAsia="es-ES_tradnl"/>
        </w:rPr>
      </w:pPr>
      <w:r w:rsidRPr="005B2D93">
        <w:rPr>
          <w:rFonts w:ascii="Verdana" w:hAnsi="Verdana" w:cs="Arial"/>
          <w:sz w:val="20"/>
          <w:szCs w:val="20"/>
          <w:lang w:eastAsia="es-ES_tradnl"/>
        </w:rPr>
        <w:t>En la doctrina expuesta en dichos conceptos esta Agencia ha sostenido respecto del artículo 40 de la Ley 50 de 1993 lo siguiente: “Dicha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p>
    <w:p w:rsidRPr="005B2D93" w:rsidR="00650030" w:rsidP="00650030" w:rsidRDefault="00650030" w14:paraId="3E7A3AE5" w14:textId="77777777">
      <w:pPr>
        <w:spacing w:after="0" w:line="240" w:lineRule="auto"/>
        <w:ind w:left="709" w:right="709"/>
        <w:jc w:val="both"/>
        <w:rPr>
          <w:rFonts w:ascii="Verdana" w:hAnsi="Verdana" w:cs="Arial"/>
          <w:sz w:val="20"/>
          <w:szCs w:val="20"/>
          <w:lang w:eastAsia="es-ES_tradnl"/>
        </w:rPr>
      </w:pPr>
      <w:r w:rsidRPr="005B2D93">
        <w:rPr>
          <w:rFonts w:ascii="Verdana" w:hAnsi="Verdana" w:cs="Arial"/>
          <w:sz w:val="20"/>
          <w:szCs w:val="20"/>
          <w:lang w:eastAsia="es-ES_tradnl"/>
        </w:rPr>
        <w:t xml:space="preserve"> </w:t>
      </w:r>
    </w:p>
    <w:p w:rsidRPr="005B2D93" w:rsidR="00650030" w:rsidP="00650030" w:rsidRDefault="00650030" w14:paraId="723242B9" w14:textId="77777777">
      <w:pPr>
        <w:spacing w:after="0" w:line="240" w:lineRule="auto"/>
        <w:jc w:val="both"/>
        <w:rPr>
          <w:rFonts w:ascii="Verdana" w:hAnsi="Verdana" w:cs="Arial"/>
          <w:sz w:val="20"/>
          <w:szCs w:val="20"/>
          <w:lang w:eastAsia="es-ES_tradnl"/>
        </w:rPr>
      </w:pPr>
      <w:r w:rsidRPr="005B2D93">
        <w:rPr>
          <w:rFonts w:ascii="Verdana" w:hAnsi="Verdana" w:cs="Arial"/>
          <w:sz w:val="20"/>
          <w:szCs w:val="20"/>
          <w:lang w:eastAsia="es-ES_tradnl"/>
        </w:rPr>
        <w:t xml:space="preserve">La postura expuesta previamente por la Subdirección de Gestión Contractual, en torno al tope de la adición de los contratos, no ha sido pacifica, por el contrario, ni la doctrina ni la jurisprudencia del Consejo de Estado han sido uniformes en la caracterización de las figuras. En razón a ello, resulta relevante, a efectos de atender la consulta planteada </w:t>
      </w:r>
      <w:r w:rsidRPr="005B2D93">
        <w:rPr>
          <w:rFonts w:ascii="Verdana" w:hAnsi="Verdana" w:cs="Arial"/>
          <w:sz w:val="20"/>
          <w:szCs w:val="20"/>
          <w:lang w:eastAsia="es-ES_tradnl"/>
        </w:rPr>
        <w:lastRenderedPageBreak/>
        <w:t xml:space="preserve">exponer las diferentes posturas en relación con el tope establecido para adicionar los contratos, especialmente, frente a aquellos en los que el precio se ha pactado bajo la modalidad de precios unitarios. Dicha exposición se realiza con el fin de explicar las razones por las cuales esta Agencia considera necesario hacer un cambio en su línea doctrinal sobre el tema analizado en los contratos cuya estructuración y pago se realiza por precios unitarios. </w:t>
      </w:r>
    </w:p>
    <w:p w:rsidRPr="005B2D93" w:rsidR="00650030" w:rsidP="00650030" w:rsidRDefault="00650030" w14:paraId="0D36A3C1" w14:textId="77777777">
      <w:pPr>
        <w:spacing w:after="0" w:line="240" w:lineRule="auto"/>
        <w:jc w:val="both"/>
        <w:rPr>
          <w:rFonts w:ascii="Verdana" w:hAnsi="Verdana"/>
          <w:bCs/>
          <w:sz w:val="20"/>
          <w:szCs w:val="20"/>
        </w:rPr>
      </w:pPr>
    </w:p>
    <w:p w:rsidRPr="005B2D93" w:rsidR="00650030" w:rsidP="00650030" w:rsidRDefault="00650030" w14:paraId="5CF3FE6F" w14:textId="77777777">
      <w:pPr>
        <w:spacing w:after="0" w:line="240" w:lineRule="auto"/>
        <w:jc w:val="both"/>
        <w:rPr>
          <w:rFonts w:ascii="Verdana" w:hAnsi="Verdana"/>
          <w:b/>
          <w:lang w:val="es-ES_tradnl"/>
        </w:rPr>
      </w:pPr>
      <w:r w:rsidRPr="005B2D93">
        <w:rPr>
          <w:rFonts w:ascii="Verdana" w:hAnsi="Verdana"/>
          <w:b/>
          <w:lang w:val="es-ES_tradnl"/>
        </w:rPr>
        <w:t>MODIFICACION DE LOS CONTRATOS ESTATALES – Procedencia – Límites</w:t>
      </w:r>
    </w:p>
    <w:p w:rsidRPr="005B2D93" w:rsidR="00650030" w:rsidP="00650030" w:rsidRDefault="00650030" w14:paraId="1774CA56" w14:textId="77777777">
      <w:pPr>
        <w:spacing w:after="0" w:line="240" w:lineRule="auto"/>
        <w:jc w:val="both"/>
        <w:rPr>
          <w:rFonts w:ascii="Verdana" w:hAnsi="Verdana"/>
          <w:b/>
          <w:sz w:val="20"/>
          <w:szCs w:val="20"/>
          <w:lang w:val="es-MX"/>
        </w:rPr>
      </w:pPr>
    </w:p>
    <w:p w:rsidRPr="005B2D93" w:rsidR="00650030" w:rsidP="00650030" w:rsidRDefault="00650030" w14:paraId="7682F737" w14:textId="77777777">
      <w:pPr>
        <w:spacing w:after="0" w:line="240" w:lineRule="auto"/>
        <w:jc w:val="both"/>
        <w:rPr>
          <w:rFonts w:ascii="Verdana" w:hAnsi="Verdana" w:cs="Arial"/>
          <w:sz w:val="20"/>
          <w:szCs w:val="20"/>
          <w:lang w:eastAsia="es-ES_tradnl"/>
        </w:rPr>
      </w:pPr>
      <w:r w:rsidRPr="005B2D93">
        <w:rPr>
          <w:rFonts w:ascii="Verdana" w:hAnsi="Verdana" w:cs="Arial"/>
          <w:sz w:val="20"/>
          <w:szCs w:val="20"/>
          <w:lang w:eastAsia="es-ES_tradnl"/>
        </w:rPr>
        <w:t>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w:t>
      </w:r>
    </w:p>
    <w:p w:rsidRPr="005B2D93" w:rsidR="00650030" w:rsidP="00650030" w:rsidRDefault="00650030" w14:paraId="1952FF1B" w14:textId="77777777">
      <w:pPr>
        <w:spacing w:after="0" w:line="240" w:lineRule="auto"/>
        <w:jc w:val="both"/>
        <w:rPr>
          <w:rFonts w:ascii="Verdana" w:hAnsi="Verdana"/>
          <w:bCs/>
          <w:sz w:val="20"/>
          <w:szCs w:val="20"/>
          <w:lang w:val="es-MX"/>
        </w:rPr>
      </w:pPr>
    </w:p>
    <w:p w:rsidRPr="005B2D93" w:rsidR="00650030" w:rsidP="00650030" w:rsidRDefault="00650030" w14:paraId="201167AE" w14:textId="77777777">
      <w:pPr>
        <w:spacing w:after="0" w:line="240" w:lineRule="auto"/>
        <w:jc w:val="both"/>
        <w:rPr>
          <w:rFonts w:ascii="Verdana" w:hAnsi="Verdana"/>
          <w:bCs/>
          <w:sz w:val="20"/>
          <w:szCs w:val="20"/>
          <w:lang w:val="es-MX"/>
        </w:rPr>
      </w:pPr>
      <w:r w:rsidRPr="005B2D93">
        <w:rPr>
          <w:rFonts w:ascii="Verdana" w:hAnsi="Verdana"/>
          <w:bCs/>
          <w:sz w:val="20"/>
          <w:szCs w:val="20"/>
          <w:lang w:val="es-MX"/>
        </w:rPr>
        <w:t>[…]</w:t>
      </w:r>
    </w:p>
    <w:p w:rsidRPr="005B2D93" w:rsidR="00650030" w:rsidP="00650030" w:rsidRDefault="00650030" w14:paraId="56C352E1" w14:textId="77777777">
      <w:pPr>
        <w:spacing w:after="0" w:line="240" w:lineRule="auto"/>
        <w:jc w:val="both"/>
        <w:rPr>
          <w:rFonts w:ascii="Verdana" w:hAnsi="Verdana"/>
          <w:b/>
          <w:sz w:val="20"/>
          <w:szCs w:val="20"/>
          <w:lang w:val="es-ES_tradnl"/>
        </w:rPr>
      </w:pPr>
    </w:p>
    <w:p w:rsidRPr="005B2D93" w:rsidR="00650030" w:rsidP="00650030" w:rsidRDefault="00650030" w14:paraId="1E4F6552" w14:textId="77777777">
      <w:pPr>
        <w:spacing w:after="0" w:line="240" w:lineRule="auto"/>
        <w:jc w:val="both"/>
        <w:rPr>
          <w:rFonts w:ascii="Verdana" w:hAnsi="Verdana" w:eastAsia="Calibri" w:cs="Arial"/>
          <w:sz w:val="20"/>
          <w:szCs w:val="20"/>
        </w:rPr>
      </w:pPr>
      <w:r w:rsidRPr="005B2D93">
        <w:rPr>
          <w:rFonts w:ascii="Verdana" w:hAnsi="Verdana" w:eastAsia="Calibri" w:cs="Arial"/>
          <w:sz w:val="20"/>
          <w:szCs w:val="20"/>
        </w:rPr>
        <w:t>Visto el desarrollo jurisprudencial del tema, si bien, no se evidencia que se haya expedido sentencia de unificación sobre la materia, se advierte que, en la jurisprudencia reciente 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Sección ha establecido que el límite a las adiciones previsto en el segundo inciso del parágrafo del artículo 40 de la Ley 80 de 1993, no impide que se ejecuten mayores cantidades de obras a las inicialmente estimadas, por valores incluso mayores al cincuenta por ciento (50%) del valor estimado al inicio de la ejecución, siempre que hayan sido autorizadas por la entidad contratante.</w:t>
      </w:r>
    </w:p>
    <w:p w:rsidRPr="005B2D93" w:rsidR="00650030" w:rsidP="00650030" w:rsidRDefault="00650030" w14:paraId="66EEBDA0" w14:textId="77777777">
      <w:pPr>
        <w:spacing w:after="0" w:line="240" w:lineRule="auto"/>
        <w:jc w:val="both"/>
        <w:rPr>
          <w:rFonts w:ascii="Verdana" w:hAnsi="Verdana"/>
          <w:bCs/>
          <w:sz w:val="20"/>
          <w:szCs w:val="20"/>
          <w:lang w:val="es-ES_tradnl"/>
        </w:rPr>
      </w:pPr>
    </w:p>
    <w:p w:rsidRPr="005B2D93" w:rsidR="00650030" w:rsidP="00650030" w:rsidRDefault="00650030" w14:paraId="6FED7DDC" w14:textId="77777777">
      <w:pPr>
        <w:spacing w:after="0" w:line="240" w:lineRule="auto"/>
        <w:jc w:val="both"/>
        <w:rPr>
          <w:rFonts w:ascii="Verdana" w:hAnsi="Verdana"/>
          <w:b/>
          <w:lang w:val="es-ES_tradnl"/>
        </w:rPr>
      </w:pPr>
      <w:r w:rsidRPr="005B2D93">
        <w:rPr>
          <w:rFonts w:ascii="Verdana" w:hAnsi="Verdana"/>
          <w:b/>
          <w:lang w:val="es-ES_tradnl"/>
        </w:rPr>
        <w:t>MODIFICACION DE LOS CONTRATOS ESTATALES – Procedencia – Límites – Principio de planeación</w:t>
      </w:r>
    </w:p>
    <w:p w:rsidRPr="005B2D93" w:rsidR="00650030" w:rsidP="00650030" w:rsidRDefault="00650030" w14:paraId="05025FDB" w14:textId="77777777">
      <w:pPr>
        <w:spacing w:after="0" w:line="240" w:lineRule="auto"/>
        <w:jc w:val="both"/>
        <w:rPr>
          <w:rFonts w:ascii="Verdana" w:hAnsi="Verdana"/>
          <w:b/>
          <w:sz w:val="20"/>
          <w:szCs w:val="20"/>
          <w:lang w:val="es-ES_tradnl"/>
        </w:rPr>
      </w:pPr>
    </w:p>
    <w:p w:rsidRPr="005B2D93" w:rsidR="00650030" w:rsidP="00650030" w:rsidRDefault="00650030" w14:paraId="4723FCA5" w14:textId="77777777">
      <w:pPr>
        <w:spacing w:after="0" w:line="240" w:lineRule="auto"/>
        <w:jc w:val="both"/>
        <w:rPr>
          <w:rFonts w:ascii="Verdana" w:hAnsi="Verdana"/>
          <w:sz w:val="20"/>
          <w:szCs w:val="20"/>
        </w:rPr>
      </w:pPr>
      <w:r w:rsidRPr="005B2D93">
        <w:rPr>
          <w:rFonts w:ascii="Verdana" w:hAnsi="Verdana" w:eastAsia="Calibri" w:cs="Arial"/>
          <w:sz w:val="20"/>
          <w:szCs w:val="20"/>
        </w:rPr>
        <w:t xml:space="preserve">Sin perjuicio de lo expuesto, </w:t>
      </w:r>
      <w:r w:rsidRPr="005B2D93">
        <w:rPr>
          <w:rFonts w:ascii="Verdana" w:hAnsi="Verdana"/>
          <w:sz w:val="20"/>
          <w:szCs w:val="20"/>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rsidRPr="005B2D93" w:rsidR="00650030" w:rsidP="00650030" w:rsidRDefault="00650030" w14:paraId="4AA02699" w14:textId="77777777">
      <w:pPr>
        <w:spacing w:after="0" w:line="240" w:lineRule="auto"/>
        <w:jc w:val="both"/>
        <w:rPr>
          <w:rFonts w:ascii="Verdana" w:hAnsi="Verdana"/>
          <w:sz w:val="20"/>
          <w:szCs w:val="20"/>
        </w:rPr>
      </w:pPr>
    </w:p>
    <w:p w:rsidRPr="005B2D93" w:rsidR="00650030" w:rsidP="00650030" w:rsidRDefault="00650030" w14:paraId="7CF5A18E" w14:textId="77777777">
      <w:pPr>
        <w:spacing w:after="0" w:line="240" w:lineRule="auto"/>
        <w:jc w:val="both"/>
        <w:rPr>
          <w:rFonts w:ascii="Verdana" w:hAnsi="Verdana"/>
          <w:sz w:val="20"/>
          <w:szCs w:val="20"/>
        </w:rPr>
      </w:pPr>
      <w:r w:rsidRPr="005B2D93">
        <w:rPr>
          <w:rFonts w:ascii="Verdana" w:hAnsi="Verdana"/>
          <w:sz w:val="20"/>
          <w:szCs w:val="20"/>
        </w:rPr>
        <w:t>[…]</w:t>
      </w:r>
    </w:p>
    <w:p w:rsidR="00650030" w:rsidP="00650030" w:rsidRDefault="00650030" w14:paraId="7643CCF4" w14:textId="77777777">
      <w:pPr>
        <w:widowControl w:val="0"/>
        <w:autoSpaceDE w:val="0"/>
        <w:autoSpaceDN w:val="0"/>
        <w:spacing w:after="0" w:line="240" w:lineRule="auto"/>
        <w:jc w:val="both"/>
        <w:rPr>
          <w:rFonts w:ascii="Verdana" w:hAnsi="Verdana" w:eastAsia="Calibri" w:cs="Arial"/>
          <w:sz w:val="20"/>
          <w:szCs w:val="20"/>
        </w:rPr>
      </w:pPr>
    </w:p>
    <w:p w:rsidRPr="005B2D93" w:rsidR="00650030" w:rsidP="00650030" w:rsidRDefault="00650030" w14:paraId="221A9CF6" w14:textId="77777777">
      <w:pPr>
        <w:widowControl w:val="0"/>
        <w:autoSpaceDE w:val="0"/>
        <w:autoSpaceDN w:val="0"/>
        <w:spacing w:after="0" w:line="240" w:lineRule="auto"/>
        <w:jc w:val="both"/>
        <w:rPr>
          <w:rFonts w:ascii="Verdana" w:hAnsi="Verdana"/>
          <w:sz w:val="20"/>
          <w:szCs w:val="20"/>
        </w:rPr>
      </w:pPr>
      <w:r w:rsidRPr="005B2D93">
        <w:rPr>
          <w:rFonts w:ascii="Verdana" w:hAnsi="Verdana" w:eastAsia="Calibri" w:cs="Arial"/>
          <w:sz w:val="20"/>
          <w:szCs w:val="20"/>
        </w:rPr>
        <w:t>Por consiguiente, pese a la posibilidad de que se varíen de las cantidades de obra, los contratos a precios unitarios tienen un valor inicial que obedece a la estructuración y planificación que los procede. En ese sentido, aun cuando el Consejo de Estado ha considerado la posibilidad de ejecutar incluso en valores mayores al cincuenta por ciento (50%) en el sistema de precios unitarios, lo cierto es que, situaciones en las que se ejecuta de manera desproporcionada el valor inicial de un contrato estatal, pueden ser sintomáticas de falencias en la planeación del contrato.</w:t>
      </w:r>
    </w:p>
    <w:p w:rsidR="00650030" w:rsidP="00650030" w:rsidRDefault="00650030" w14:paraId="720447A1" w14:textId="77777777">
      <w:pPr>
        <w:rPr>
          <w:rFonts w:ascii="Verdana" w:hAnsi="Verdana"/>
        </w:rPr>
      </w:pPr>
      <w:r>
        <w:rPr>
          <w:rFonts w:ascii="Verdana" w:hAnsi="Verdana"/>
        </w:rPr>
        <w:br w:type="page"/>
      </w:r>
    </w:p>
    <w:p w:rsidR="0075207C" w:rsidP="00C74500" w:rsidRDefault="00C74500" w14:paraId="433CA9C0" w14:textId="7C04C697">
      <w:pPr>
        <w:spacing w:after="0"/>
        <w:ind w:left="5664"/>
        <w:rPr>
          <w:rFonts w:ascii="Verdana" w:hAnsi="Verdana"/>
        </w:rPr>
      </w:pPr>
      <w:r>
        <w:rPr>
          <w:noProof/>
        </w:rPr>
        <w:lastRenderedPageBreak/>
        <w:drawing>
          <wp:inline distT="0" distB="0" distL="0" distR="0" wp14:anchorId="5E439AAC" wp14:editId="049788A0">
            <wp:extent cx="2362200" cy="752475"/>
            <wp:effectExtent l="0" t="0" r="0" b="9525"/>
            <wp:docPr id="16370348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34871" name=""/>
                    <pic:cNvPicPr/>
                  </pic:nvPicPr>
                  <pic:blipFill>
                    <a:blip r:embed="rId11"/>
                    <a:stretch>
                      <a:fillRect/>
                    </a:stretch>
                  </pic:blipFill>
                  <pic:spPr>
                    <a:xfrm>
                      <a:off x="0" y="0"/>
                      <a:ext cx="2362200" cy="752475"/>
                    </a:xfrm>
                    <a:prstGeom prst="rect">
                      <a:avLst/>
                    </a:prstGeom>
                  </pic:spPr>
                </pic:pic>
              </a:graphicData>
            </a:graphic>
          </wp:inline>
        </w:drawing>
      </w:r>
    </w:p>
    <w:p w:rsidR="00831F6E" w:rsidP="00831F6E" w:rsidRDefault="00831F6E" w14:paraId="5B6FAEB2" w14:textId="0FFFF002">
      <w:pPr>
        <w:spacing w:after="0"/>
        <w:rPr>
          <w:rFonts w:ascii="Verdana" w:hAnsi="Verdana"/>
        </w:rPr>
      </w:pPr>
      <w:r w:rsidRPr="12BE0D49" w:rsidR="00831F6E">
        <w:rPr>
          <w:rFonts w:ascii="Verdana" w:hAnsi="Verdana"/>
        </w:rPr>
        <w:t xml:space="preserve">Bogotá D.C., </w:t>
      </w:r>
      <w:r w:rsidRPr="12BE0D49" w:rsidR="1DFB665A">
        <w:rPr>
          <w:rFonts w:ascii="Verdana" w:hAnsi="Verdana"/>
        </w:rPr>
        <w:t>29</w:t>
      </w:r>
      <w:r w:rsidRPr="12BE0D49" w:rsidR="00831F6E">
        <w:rPr>
          <w:rFonts w:ascii="Verdana" w:hAnsi="Verdana"/>
        </w:rPr>
        <w:t xml:space="preserve"> </w:t>
      </w:r>
      <w:r w:rsidRPr="12BE0D49" w:rsidR="00C74500">
        <w:rPr>
          <w:rFonts w:ascii="Verdana" w:hAnsi="Verdana"/>
        </w:rPr>
        <w:t xml:space="preserve">de </w:t>
      </w:r>
      <w:r w:rsidRPr="12BE0D49" w:rsidR="33074898">
        <w:rPr>
          <w:rFonts w:ascii="Verdana" w:hAnsi="Verdana"/>
        </w:rPr>
        <w:t>abril</w:t>
      </w:r>
      <w:r w:rsidRPr="12BE0D49" w:rsidR="00C74500">
        <w:rPr>
          <w:rFonts w:ascii="Verdana" w:hAnsi="Verdana"/>
        </w:rPr>
        <w:t xml:space="preserve"> de 2025</w:t>
      </w:r>
    </w:p>
    <w:p w:rsidRPr="00505CD6" w:rsidR="00505CD6" w:rsidP="00505CD6" w:rsidRDefault="00505CD6" w14:paraId="50BD71AC" w14:textId="77777777">
      <w:pPr>
        <w:spacing w:after="0" w:line="240" w:lineRule="auto"/>
        <w:jc w:val="both"/>
        <w:rPr>
          <w:rFonts w:ascii="Verdana" w:hAnsi="Verdana" w:eastAsia="Calibri" w:cs="Arial"/>
          <w:color w:val="000000"/>
          <w:lang w:val="es-ES"/>
        </w:rPr>
      </w:pPr>
    </w:p>
    <w:p w:rsidRPr="00505CD6" w:rsidR="00505CD6" w:rsidP="00370110" w:rsidRDefault="00505CD6" w14:paraId="0EBEAE13" w14:textId="39B3FEF7">
      <w:pPr>
        <w:spacing w:after="0" w:line="240" w:lineRule="auto"/>
        <w:jc w:val="right"/>
        <w:rPr>
          <w:rFonts w:ascii="Verdana" w:hAnsi="Verdana" w:eastAsia="Calibri" w:cs="Arial"/>
          <w:color w:val="000000"/>
          <w:lang w:val="es-ES"/>
        </w:rPr>
      </w:pPr>
    </w:p>
    <w:p w:rsidRPr="00505CD6" w:rsidR="00505CD6" w:rsidP="00505CD6" w:rsidRDefault="00505CD6" w14:paraId="4428D988" w14:textId="3A7B1B2F">
      <w:pPr>
        <w:spacing w:after="0" w:line="240" w:lineRule="auto"/>
        <w:jc w:val="both"/>
        <w:rPr>
          <w:rFonts w:ascii="Verdana" w:hAnsi="Verdana" w:eastAsia="Calibri" w:cs="Arial"/>
          <w:lang w:val="es-ES" w:eastAsia="es-ES"/>
        </w:rPr>
      </w:pPr>
      <w:r w:rsidRPr="00505CD6">
        <w:rPr>
          <w:rFonts w:ascii="Verdana" w:hAnsi="Verdana" w:eastAsia="Calibri" w:cs="Arial"/>
          <w:lang w:val="es-ES" w:eastAsia="es-ES"/>
        </w:rPr>
        <w:t>Señor</w:t>
      </w:r>
      <w:r w:rsidR="004652B8">
        <w:rPr>
          <w:rFonts w:ascii="Verdana" w:hAnsi="Verdana" w:eastAsia="Calibri" w:cs="Arial"/>
          <w:lang w:val="es-ES" w:eastAsia="es-ES"/>
        </w:rPr>
        <w:t>es</w:t>
      </w:r>
      <w:r w:rsidR="000A70DD">
        <w:rPr>
          <w:rFonts w:ascii="Verdana" w:hAnsi="Verdana" w:eastAsia="Calibri" w:cs="Arial"/>
          <w:lang w:val="es-ES" w:eastAsia="es-ES"/>
        </w:rPr>
        <w:t>:</w:t>
      </w:r>
    </w:p>
    <w:p w:rsidR="00353ECE" w:rsidP="00505CD6" w:rsidRDefault="00BF0857" w14:paraId="094F6D7B" w14:textId="23EB124F">
      <w:pPr>
        <w:spacing w:after="0" w:line="240" w:lineRule="auto"/>
        <w:rPr>
          <w:rFonts w:ascii="Verdana" w:hAnsi="Verdana" w:eastAsia="Calibri" w:cs="Arial"/>
          <w:b/>
          <w:bCs/>
          <w:lang w:eastAsia="es-ES"/>
        </w:rPr>
      </w:pPr>
      <w:r>
        <w:rPr>
          <w:rFonts w:ascii="Verdana" w:hAnsi="Verdana" w:eastAsia="Calibri" w:cs="Arial"/>
          <w:b/>
          <w:bCs/>
          <w:lang w:eastAsia="es-ES"/>
        </w:rPr>
        <w:t>A</w:t>
      </w:r>
      <w:r w:rsidR="004652B8">
        <w:rPr>
          <w:rFonts w:ascii="Verdana" w:hAnsi="Verdana" w:eastAsia="Calibri" w:cs="Arial"/>
          <w:b/>
          <w:bCs/>
          <w:lang w:eastAsia="es-ES"/>
        </w:rPr>
        <w:t>LCALDIA MUNICIPAL DE GIRARDOT</w:t>
      </w:r>
    </w:p>
    <w:p w:rsidRPr="004652B8" w:rsidR="004652B8" w:rsidP="00505CD6" w:rsidRDefault="00000000" w14:paraId="3B434707" w14:textId="248899D7">
      <w:pPr>
        <w:spacing w:after="0" w:line="240" w:lineRule="auto"/>
        <w:rPr>
          <w:rFonts w:ascii="Verdana" w:hAnsi="Verdana"/>
        </w:rPr>
      </w:pPr>
      <w:hyperlink w:history="1" r:id="rId12">
        <w:r w:rsidRPr="004652B8" w:rsidR="004652B8">
          <w:rPr>
            <w:rStyle w:val="Hipervnculo"/>
            <w:rFonts w:ascii="Verdana" w:hAnsi="Verdana"/>
          </w:rPr>
          <w:t>secretariaserregionales@girardot-cundinamarca.gov.co</w:t>
        </w:r>
      </w:hyperlink>
    </w:p>
    <w:p w:rsidRPr="00505CD6" w:rsidR="00505CD6" w:rsidP="00505CD6" w:rsidRDefault="004652B8" w14:paraId="3FE49E4D" w14:textId="70D65F4F">
      <w:pPr>
        <w:spacing w:after="0" w:line="240" w:lineRule="auto"/>
        <w:rPr>
          <w:rFonts w:ascii="Verdana" w:hAnsi="Verdana" w:eastAsia="Calibri" w:cs="Arial"/>
          <w:lang w:val="es-ES" w:eastAsia="es-ES"/>
        </w:rPr>
      </w:pPr>
      <w:r>
        <w:rPr>
          <w:rFonts w:ascii="Verdana" w:hAnsi="Verdana" w:eastAsia="Calibri" w:cs="Arial"/>
          <w:lang w:val="es-ES" w:eastAsia="es-ES"/>
        </w:rPr>
        <w:t>Girardot</w:t>
      </w:r>
      <w:r w:rsidR="00BF0857">
        <w:rPr>
          <w:rFonts w:ascii="Verdana" w:hAnsi="Verdana" w:eastAsia="Calibri" w:cs="Arial"/>
          <w:lang w:val="es-ES" w:eastAsia="es-ES"/>
        </w:rPr>
        <w:t xml:space="preserve"> </w:t>
      </w:r>
      <w:r w:rsidR="008D75CE">
        <w:rPr>
          <w:rFonts w:ascii="Verdana" w:hAnsi="Verdana" w:eastAsia="Calibri" w:cs="Arial"/>
          <w:lang w:val="es-ES" w:eastAsia="es-ES"/>
        </w:rPr>
        <w:t>(</w:t>
      </w:r>
      <w:r>
        <w:rPr>
          <w:rFonts w:ascii="Verdana" w:hAnsi="Verdana" w:eastAsia="Calibri" w:cs="Arial"/>
          <w:lang w:val="es-ES" w:eastAsia="es-ES"/>
        </w:rPr>
        <w:t>Cundinamarca</w:t>
      </w:r>
      <w:r w:rsidR="008D75CE">
        <w:rPr>
          <w:rFonts w:ascii="Verdana" w:hAnsi="Verdana" w:eastAsia="Calibri" w:cs="Arial"/>
          <w:lang w:val="es-ES" w:eastAsia="es-ES"/>
        </w:rPr>
        <w:t>)</w:t>
      </w:r>
    </w:p>
    <w:p w:rsidRPr="00505CD6" w:rsidR="00505CD6" w:rsidP="00505CD6" w:rsidRDefault="00505CD6" w14:paraId="4099BBBA"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52"/>
        <w:gridCol w:w="6237"/>
      </w:tblGrid>
      <w:tr w:rsidRPr="00505CD6" w:rsidR="00505CD6" w:rsidTr="00CA638D" w14:paraId="693DC68A" w14:textId="77777777">
        <w:trPr>
          <w:trHeight w:val="630"/>
        </w:trPr>
        <w:tc>
          <w:tcPr>
            <w:tcW w:w="2552" w:type="dxa"/>
          </w:tcPr>
          <w:p w:rsidRPr="00505CD6" w:rsidR="00505CD6" w:rsidP="00505CD6" w:rsidRDefault="00505CD6" w14:paraId="64C39A8C" w14:textId="77777777">
            <w:pPr>
              <w:jc w:val="both"/>
              <w:rPr>
                <w:rFonts w:ascii="Verdana" w:hAnsi="Verdana" w:eastAsia="Calibri" w:cs="Arial"/>
                <w:b/>
                <w:bCs/>
                <w:color w:val="7030A0"/>
                <w:lang w:val="es-ES_tradnl" w:eastAsia="es-ES_tradnl"/>
              </w:rPr>
            </w:pPr>
          </w:p>
        </w:tc>
        <w:tc>
          <w:tcPr>
            <w:tcW w:w="6237" w:type="dxa"/>
          </w:tcPr>
          <w:p w:rsidRPr="00505CD6" w:rsidR="00505CD6" w:rsidP="00505CD6" w:rsidRDefault="00505CD6" w14:paraId="3F0CCDBE" w14:textId="5C9B83EF">
            <w:pPr>
              <w:jc w:val="both"/>
              <w:rPr>
                <w:rFonts w:ascii="Verdana" w:hAnsi="Verdana" w:eastAsia="Calibri" w:cs="Arial"/>
                <w:b/>
                <w:bCs/>
                <w:lang w:val="es-ES" w:eastAsia="es-ES"/>
              </w:rPr>
            </w:pPr>
            <w:r w:rsidRPr="00505CD6">
              <w:rPr>
                <w:rFonts w:ascii="Verdana" w:hAnsi="Verdana" w:eastAsia="Calibri" w:cs="Arial"/>
                <w:b/>
                <w:bCs/>
                <w:lang w:val="es-ES" w:eastAsia="es-ES"/>
              </w:rPr>
              <w:t xml:space="preserve">Concepto C – </w:t>
            </w:r>
            <w:r w:rsidR="00BF0857">
              <w:rPr>
                <w:rFonts w:ascii="Verdana" w:hAnsi="Verdana" w:eastAsia="Calibri" w:cs="Arial"/>
                <w:b/>
                <w:bCs/>
                <w:lang w:val="es-ES" w:eastAsia="es-ES"/>
              </w:rPr>
              <w:t>3</w:t>
            </w:r>
            <w:r w:rsidR="004652B8">
              <w:rPr>
                <w:rFonts w:ascii="Verdana" w:hAnsi="Verdana" w:eastAsia="Calibri" w:cs="Arial"/>
                <w:b/>
                <w:bCs/>
                <w:lang w:val="es-ES" w:eastAsia="es-ES"/>
              </w:rPr>
              <w:t>47</w:t>
            </w:r>
            <w:r w:rsidR="00353ECE">
              <w:rPr>
                <w:rFonts w:ascii="Verdana" w:hAnsi="Verdana" w:eastAsia="Calibri" w:cs="Arial"/>
                <w:b/>
                <w:bCs/>
                <w:lang w:val="es-ES" w:eastAsia="es-ES"/>
              </w:rPr>
              <w:t xml:space="preserve"> </w:t>
            </w:r>
            <w:r w:rsidRPr="00505CD6">
              <w:rPr>
                <w:rFonts w:ascii="Verdana" w:hAnsi="Verdana" w:eastAsia="Calibri" w:cs="Arial"/>
                <w:b/>
                <w:bCs/>
                <w:lang w:val="es-ES" w:eastAsia="es-ES"/>
              </w:rPr>
              <w:t>de 2025</w:t>
            </w:r>
          </w:p>
        </w:tc>
      </w:tr>
      <w:tr w:rsidRPr="005525D6" w:rsidR="00505CD6" w:rsidTr="00CA638D" w14:paraId="345204EE" w14:textId="77777777">
        <w:trPr>
          <w:trHeight w:val="884"/>
        </w:trPr>
        <w:tc>
          <w:tcPr>
            <w:tcW w:w="2552" w:type="dxa"/>
          </w:tcPr>
          <w:p w:rsidRPr="00505CD6" w:rsidR="00505CD6" w:rsidP="00505CD6" w:rsidRDefault="00505CD6" w14:paraId="01F69825" w14:textId="77777777">
            <w:pPr>
              <w:jc w:val="both"/>
              <w:rPr>
                <w:rFonts w:ascii="Verdana" w:hAnsi="Verdana" w:eastAsia="Calibri" w:cs="Arial"/>
                <w:color w:val="000000"/>
                <w:lang w:val="es-ES_tradnl" w:eastAsia="es-ES_tradnl"/>
              </w:rPr>
            </w:pPr>
            <w:r w:rsidRPr="00505CD6">
              <w:rPr>
                <w:rFonts w:ascii="Verdana" w:hAnsi="Verdana" w:eastAsia="Calibri" w:cs="Arial"/>
                <w:b/>
                <w:color w:val="000000"/>
                <w:lang w:val="es-ES_tradnl" w:eastAsia="es-ES_tradnl"/>
              </w:rPr>
              <w:t>Temas:</w:t>
            </w:r>
            <w:r w:rsidRPr="00505CD6">
              <w:rPr>
                <w:rFonts w:ascii="Verdana" w:hAnsi="Verdana" w:eastAsia="Calibri" w:cs="Arial"/>
                <w:color w:val="000000"/>
                <w:lang w:val="es-ES_tradnl" w:eastAsia="es-ES_tradnl"/>
              </w:rPr>
              <w:t xml:space="preserve">                   </w:t>
            </w:r>
          </w:p>
        </w:tc>
        <w:tc>
          <w:tcPr>
            <w:tcW w:w="6237" w:type="dxa"/>
          </w:tcPr>
          <w:p w:rsidRPr="00CD2603" w:rsidR="00650030" w:rsidP="00650030" w:rsidRDefault="00650030" w14:paraId="1FE9525E" w14:textId="1227A28A">
            <w:pPr>
              <w:jc w:val="both"/>
              <w:rPr>
                <w:rFonts w:ascii="Verdana" w:hAnsi="Verdana"/>
                <w:bCs/>
              </w:rPr>
            </w:pPr>
            <w:r w:rsidRPr="00CD2603">
              <w:rPr>
                <w:rFonts w:ascii="Verdana" w:hAnsi="Verdana" w:cs="Arial"/>
                <w:bCs/>
                <w:szCs w:val="24"/>
                <w:lang w:eastAsia="es-ES_tradnl"/>
              </w:rPr>
              <w:t>ADICIÓN – Concepto – Distintos supuestos – Prohibición – Adición en más del 50% / ADICIÓN – Prohibición – Monto – Cálculo – Parágrafo artículo 40 – Ley 80 de 1993 /</w:t>
            </w:r>
            <w:r w:rsidRPr="00CD2603">
              <w:rPr>
                <w:rFonts w:ascii="Verdana" w:hAnsi="Verdana" w:cs="Arial"/>
                <w:bCs/>
                <w:szCs w:val="24"/>
                <w:lang w:eastAsia="es-ES_tradnl" w:bidi="es-ES"/>
              </w:rPr>
              <w:t xml:space="preserve"> MODIFICACION DE LOS CONTRATOS ESTATALES – Procedencia – Límites</w:t>
            </w:r>
            <w:r w:rsidRPr="00CD2603">
              <w:rPr>
                <w:rFonts w:ascii="Verdana" w:hAnsi="Verdana" w:cs="Arial"/>
                <w:bCs/>
                <w:szCs w:val="24"/>
                <w:lang w:eastAsia="es-ES_tradnl"/>
              </w:rPr>
              <w:t xml:space="preserve"> / </w:t>
            </w:r>
            <w:r w:rsidRPr="00CD2603">
              <w:rPr>
                <w:rFonts w:ascii="Verdana" w:hAnsi="Verdana"/>
                <w:bCs/>
              </w:rPr>
              <w:t>MODIFICACION DE LOS CONTRATOS ESTATALES – Procedencia – Límites – Principio de planeación</w:t>
            </w:r>
          </w:p>
          <w:p w:rsidRPr="00BE73C7" w:rsidR="009525E5" w:rsidP="00F75206" w:rsidRDefault="009525E5" w14:paraId="24A3A086" w14:textId="23CFB08D">
            <w:pPr>
              <w:jc w:val="both"/>
              <w:rPr>
                <w:rFonts w:ascii="Verdana" w:hAnsi="Verdana" w:eastAsia="Calibri" w:cs="Arial"/>
                <w:highlight w:val="yellow"/>
                <w:lang w:val="es-ES" w:eastAsia="es-ES"/>
              </w:rPr>
            </w:pPr>
          </w:p>
        </w:tc>
      </w:tr>
      <w:tr w:rsidRPr="00505CD6" w:rsidR="00505CD6" w:rsidTr="00CA638D" w14:paraId="0496523F" w14:textId="77777777">
        <w:tc>
          <w:tcPr>
            <w:tcW w:w="2552" w:type="dxa"/>
          </w:tcPr>
          <w:p w:rsidRPr="00505CD6" w:rsidR="00505CD6" w:rsidP="00505CD6" w:rsidRDefault="00505CD6" w14:paraId="4993E68B" w14:textId="77777777">
            <w:pPr>
              <w:jc w:val="both"/>
              <w:rPr>
                <w:rFonts w:ascii="Verdana" w:hAnsi="Verdana" w:eastAsia="Calibri" w:cs="Arial"/>
                <w:b/>
                <w:lang w:val="es-ES_tradnl" w:eastAsia="es-ES_tradnl"/>
              </w:rPr>
            </w:pPr>
            <w:r w:rsidRPr="00505CD6">
              <w:rPr>
                <w:rFonts w:ascii="Verdana" w:hAnsi="Verdana" w:eastAsia="Calibri" w:cs="Arial"/>
                <w:b/>
                <w:lang w:val="es-ES_tradnl" w:eastAsia="es-ES_tradnl"/>
              </w:rPr>
              <w:t>Radicación:</w:t>
            </w:r>
            <w:r w:rsidRPr="00505CD6">
              <w:rPr>
                <w:rFonts w:ascii="Verdana" w:hAnsi="Verdana" w:eastAsia="Calibri" w:cs="Arial"/>
                <w:lang w:val="es-ES_tradnl" w:eastAsia="es-ES_tradnl"/>
              </w:rPr>
              <w:t xml:space="preserve">               </w:t>
            </w:r>
          </w:p>
        </w:tc>
        <w:tc>
          <w:tcPr>
            <w:tcW w:w="6237" w:type="dxa"/>
          </w:tcPr>
          <w:p w:rsidR="005525D6" w:rsidP="00F75206" w:rsidRDefault="00505CD6" w14:paraId="15F3DBAD" w14:textId="6E481D1D">
            <w:pPr>
              <w:jc w:val="both"/>
              <w:rPr>
                <w:rFonts w:ascii="Verdana" w:hAnsi="Verdana"/>
                <w:color w:val="000000"/>
              </w:rPr>
            </w:pPr>
            <w:r w:rsidRPr="00505CD6">
              <w:rPr>
                <w:rFonts w:ascii="Verdana" w:hAnsi="Verdana" w:eastAsia="Calibri" w:cs="Arial"/>
                <w:lang w:val="es-ES_tradnl" w:eastAsia="es-ES_tradnl"/>
              </w:rPr>
              <w:t xml:space="preserve">Respuesta a la consulta con radicado No.   </w:t>
            </w:r>
            <w:r w:rsidRPr="004652B8" w:rsidR="004652B8">
              <w:rPr>
                <w:rFonts w:ascii="Verdana" w:hAnsi="Verdana" w:eastAsia="Calibri" w:cs="Arial"/>
                <w:lang w:val="es-ES_tradnl" w:eastAsia="es-ES_tradnl"/>
              </w:rPr>
              <w:t>P20250321002800</w:t>
            </w:r>
            <w:r w:rsidR="005525D6">
              <w:rPr>
                <w:rFonts w:ascii="Verdana" w:hAnsi="Verdana"/>
                <w:color w:val="000000"/>
              </w:rPr>
              <w:t>.</w:t>
            </w:r>
          </w:p>
          <w:p w:rsidRPr="00505CD6" w:rsidR="00505CD6" w:rsidP="00505CD6" w:rsidRDefault="00505CD6" w14:paraId="4A00324B" w14:textId="523A385B">
            <w:pPr>
              <w:jc w:val="both"/>
              <w:rPr>
                <w:rFonts w:ascii="Verdana" w:hAnsi="Verdana" w:eastAsia="Calibri" w:cs="Arial"/>
                <w:lang w:val="es-ES_tradnl" w:eastAsia="es-ES_tradnl"/>
              </w:rPr>
            </w:pPr>
            <w:r w:rsidRPr="00505CD6">
              <w:rPr>
                <w:rFonts w:ascii="Verdana" w:hAnsi="Verdana" w:eastAsia="Calibri" w:cs="Arial"/>
                <w:lang w:val="es-ES_tradnl" w:eastAsia="es-ES_tradnl"/>
              </w:rPr>
              <w:t xml:space="preserve">                                 </w:t>
            </w:r>
          </w:p>
        </w:tc>
      </w:tr>
    </w:tbl>
    <w:p w:rsidRPr="00505CD6" w:rsidR="00505CD6" w:rsidP="00505CD6" w:rsidRDefault="0047403F" w14:paraId="705B6F76" w14:textId="3392B36E">
      <w:pPr>
        <w:spacing w:after="0" w:line="276" w:lineRule="auto"/>
        <w:jc w:val="both"/>
        <w:rPr>
          <w:rFonts w:ascii="Verdana" w:hAnsi="Verdana" w:eastAsia="Calibri" w:cs="Arial"/>
          <w:lang w:val="es-ES" w:eastAsia="es-ES"/>
        </w:rPr>
      </w:pPr>
      <w:r w:rsidRPr="00505CD6">
        <w:rPr>
          <w:rFonts w:ascii="Verdana" w:hAnsi="Verdana" w:eastAsia="Calibri" w:cs="Arial"/>
          <w:lang w:val="es-ES" w:eastAsia="es-ES"/>
        </w:rPr>
        <w:t>Estimad</w:t>
      </w:r>
      <w:r>
        <w:rPr>
          <w:rFonts w:ascii="Verdana" w:hAnsi="Verdana" w:eastAsia="Calibri" w:cs="Arial"/>
          <w:lang w:val="es-ES" w:eastAsia="es-ES"/>
        </w:rPr>
        <w:t>o</w:t>
      </w:r>
      <w:r w:rsidRPr="00505CD6">
        <w:rPr>
          <w:rFonts w:ascii="Verdana" w:hAnsi="Verdana" w:eastAsia="Calibri" w:cs="Arial"/>
          <w:lang w:val="es-ES" w:eastAsia="es-ES"/>
        </w:rPr>
        <w:t>s señores</w:t>
      </w:r>
      <w:r w:rsidR="008D75CE">
        <w:rPr>
          <w:rFonts w:ascii="Verdana" w:hAnsi="Verdana" w:eastAsia="Calibri" w:cs="Arial"/>
          <w:lang w:val="es-ES" w:eastAsia="es-ES"/>
        </w:rPr>
        <w:t>;</w:t>
      </w:r>
      <w:r w:rsidRPr="00505CD6" w:rsidR="00505CD6">
        <w:rPr>
          <w:rFonts w:ascii="Verdana" w:hAnsi="Verdana" w:eastAsia="Calibri" w:cs="Arial"/>
          <w:lang w:val="es-ES" w:eastAsia="es-ES"/>
        </w:rPr>
        <w:t xml:space="preserve"> </w:t>
      </w:r>
    </w:p>
    <w:p w:rsidRPr="00505CD6" w:rsidR="00505CD6" w:rsidP="00505CD6" w:rsidRDefault="00505CD6" w14:paraId="7ECFF328" w14:textId="77777777">
      <w:pPr>
        <w:tabs>
          <w:tab w:val="left" w:pos="3768"/>
        </w:tabs>
        <w:spacing w:after="0" w:line="276" w:lineRule="auto"/>
        <w:jc w:val="both"/>
        <w:rPr>
          <w:rFonts w:ascii="Verdana" w:hAnsi="Verdana" w:eastAsia="Calibri" w:cs="Arial"/>
          <w:color w:val="000000" w:themeColor="text1"/>
          <w:lang w:val="es-ES" w:eastAsia="es-ES"/>
        </w:rPr>
      </w:pPr>
      <w:r w:rsidRPr="00505CD6">
        <w:rPr>
          <w:rFonts w:ascii="Verdana" w:hAnsi="Verdana" w:eastAsia="Calibri" w:cs="Arial"/>
          <w:color w:val="000000" w:themeColor="text1"/>
          <w:lang w:val="es-ES" w:eastAsia="es-ES"/>
        </w:rPr>
        <w:tab/>
      </w:r>
    </w:p>
    <w:p w:rsidR="00EF11B4" w:rsidP="00505CD6" w:rsidRDefault="00505CD6" w14:paraId="3B5F1D50" w14:textId="47343C9F">
      <w:pPr>
        <w:spacing w:after="120" w:line="276" w:lineRule="auto"/>
        <w:jc w:val="both"/>
        <w:rPr>
          <w:rFonts w:ascii="Verdana" w:hAnsi="Verdana" w:eastAsia="Calibri" w:cs="Arial"/>
          <w:lang w:val="es-ES" w:eastAsia="es-ES"/>
        </w:rPr>
      </w:pPr>
      <w:r w:rsidRPr="00505CD6">
        <w:rPr>
          <w:rFonts w:ascii="Verdana" w:hAnsi="Verdana" w:eastAsia="Calibri" w:cs="Arial"/>
          <w:color w:val="000000" w:themeColor="text1"/>
          <w:lang w:val="es-ES" w:eastAsia="es-ES"/>
        </w:rPr>
        <w:t>En ejercicio de la competencia otorgada por los artículos 3, numeral 5º, y 11, numeral 8º, del Decreto Ley 4170 de 2011,</w:t>
      </w:r>
      <w:r w:rsidRPr="00505CD6">
        <w:rPr>
          <w:rFonts w:ascii="Verdana" w:hAnsi="Verdana" w:eastAsia="Arial MT"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hAnsi="Verdana" w:eastAsia="Calibri" w:cs="Arial"/>
          <w:color w:val="000000" w:themeColor="text1"/>
          <w:lang w:val="es-ES" w:eastAsia="es-ES"/>
        </w:rPr>
        <w:t xml:space="preserve">la Agencia Nacional de Contratación Pública – Colombia Compra Eficiente responde su solicitud del </w:t>
      </w:r>
      <w:r w:rsidR="00EF11B4">
        <w:rPr>
          <w:rFonts w:ascii="Verdana" w:hAnsi="Verdana" w:eastAsia="Calibri" w:cs="Arial"/>
          <w:color w:val="000000" w:themeColor="text1"/>
          <w:lang w:val="es-ES" w:eastAsia="es-ES"/>
        </w:rPr>
        <w:t xml:space="preserve">radicada en esta entidad el </w:t>
      </w:r>
      <w:r w:rsidR="000A70DD">
        <w:rPr>
          <w:rFonts w:ascii="Verdana" w:hAnsi="Verdana" w:eastAsia="Calibri" w:cs="Arial"/>
          <w:color w:val="000000" w:themeColor="text1"/>
          <w:lang w:val="es-ES" w:eastAsia="es-ES"/>
        </w:rPr>
        <w:t>2</w:t>
      </w:r>
      <w:r w:rsidR="00353ECE">
        <w:rPr>
          <w:rFonts w:ascii="Verdana" w:hAnsi="Verdana" w:eastAsia="Calibri" w:cs="Arial"/>
          <w:color w:val="000000" w:themeColor="text1"/>
          <w:lang w:val="es-ES" w:eastAsia="es-ES"/>
        </w:rPr>
        <w:t>1</w:t>
      </w:r>
      <w:r w:rsidRPr="00505CD6">
        <w:rPr>
          <w:rFonts w:ascii="Verdana" w:hAnsi="Verdana" w:eastAsia="Calibri" w:cs="Arial"/>
          <w:lang w:val="es-ES" w:eastAsia="es-ES"/>
        </w:rPr>
        <w:t xml:space="preserve"> de </w:t>
      </w:r>
      <w:r w:rsidR="008C07BA">
        <w:rPr>
          <w:rFonts w:ascii="Verdana" w:hAnsi="Verdana" w:eastAsia="Calibri" w:cs="Arial"/>
          <w:lang w:val="es-ES" w:eastAsia="es-ES"/>
        </w:rPr>
        <w:t>marzo</w:t>
      </w:r>
      <w:r w:rsidRPr="00505CD6">
        <w:rPr>
          <w:rFonts w:ascii="Verdana" w:hAnsi="Verdana" w:eastAsia="Calibri" w:cs="Arial"/>
          <w:lang w:val="es-ES" w:eastAsia="es-ES"/>
        </w:rPr>
        <w:t xml:space="preserve"> de 2025, en la cual </w:t>
      </w:r>
      <w:r w:rsidR="00CD707C">
        <w:rPr>
          <w:rFonts w:ascii="Verdana" w:hAnsi="Verdana" w:eastAsia="Calibri" w:cs="Arial"/>
          <w:lang w:val="es-ES" w:eastAsia="es-ES"/>
        </w:rPr>
        <w:t xml:space="preserve">manifiesta </w:t>
      </w:r>
      <w:r w:rsidRPr="00505CD6">
        <w:rPr>
          <w:rFonts w:ascii="Verdana" w:hAnsi="Verdana" w:eastAsia="Calibri" w:cs="Arial"/>
          <w:lang w:val="es-ES" w:eastAsia="es-ES"/>
        </w:rPr>
        <w:t>lo siguiente:</w:t>
      </w:r>
    </w:p>
    <w:p w:rsidR="0043354F" w:rsidP="00272891" w:rsidRDefault="005525D6" w14:paraId="25AA936E" w14:textId="7B48865B">
      <w:pPr>
        <w:spacing w:after="120" w:line="276" w:lineRule="auto"/>
        <w:ind w:right="616"/>
        <w:jc w:val="both"/>
        <w:rPr>
          <w:rFonts w:ascii="Verdana" w:hAnsi="Verdana" w:eastAsia="Calibri" w:cs="Arial"/>
          <w:i/>
          <w:iCs/>
          <w:lang w:val="es-ES" w:eastAsia="es-ES"/>
        </w:rPr>
      </w:pPr>
      <w:r>
        <w:rPr>
          <w:rFonts w:ascii="Verdana" w:hAnsi="Verdana" w:eastAsia="Calibri" w:cs="Arial"/>
          <w:i/>
          <w:iCs/>
          <w:lang w:val="es-ES" w:eastAsia="es-ES"/>
        </w:rPr>
        <w:t xml:space="preserve">     </w:t>
      </w:r>
      <w:r w:rsidRPr="00CD707C" w:rsidR="00EF11B4">
        <w:rPr>
          <w:rFonts w:ascii="Verdana" w:hAnsi="Verdana" w:eastAsia="Calibri" w:cs="Arial"/>
          <w:i/>
          <w:iCs/>
          <w:lang w:val="es-ES" w:eastAsia="es-ES"/>
        </w:rPr>
        <w:t>(…)</w:t>
      </w:r>
    </w:p>
    <w:p w:rsidRPr="00BE73C7" w:rsidR="00BE73C7" w:rsidP="00BE73C7" w:rsidRDefault="00BE73C7" w14:paraId="67933B3B" w14:textId="77777777">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 xml:space="preserve">En virtud de lo dispuesto en la Ley 80 de 1993, la Ley 1150 de 2007, y demás normas concordantes aplicables a la contratación pública, y en cumplimiento de las funciones asignadas a la entidad, me permito formular la presente solicitud de orientación, </w:t>
      </w:r>
      <w:r w:rsidRPr="00BE73C7">
        <w:rPr>
          <w:rFonts w:ascii="Verdana" w:hAnsi="Verdana" w:eastAsia="Calibri" w:cs="Arial"/>
          <w:i/>
          <w:iCs/>
          <w:lang w:eastAsia="es-ES"/>
        </w:rPr>
        <w:lastRenderedPageBreak/>
        <w:t>en el marco de las disposiciones vigentes relativas a las adiciones contractuales en las diversas modalidades, con el fin de asegurar la correcta interpretación y aplicación de la normativa respectiva.</w:t>
      </w:r>
    </w:p>
    <w:p w:rsidRPr="00BE73C7" w:rsidR="00BE73C7" w:rsidP="00BE73C7" w:rsidRDefault="00BE73C7" w14:paraId="16543242" w14:textId="77777777">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 </w:t>
      </w:r>
    </w:p>
    <w:p w:rsidRPr="00BE73C7" w:rsidR="00BE73C7" w:rsidP="00BE73C7" w:rsidRDefault="00BE73C7" w14:paraId="3718D010" w14:textId="77777777">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Aunque las empresas industriales y comerciales del Estado operan bajo un régimen especial, es necesario que se dé cumplimiento a los procedimientos establecidos en la legislación contractual aplicable. Por lo anterior, y con el objetivo de garantizar la correcta ejecución de los procedimientos internos, procedo a realizar las siguientes preguntas:</w:t>
      </w:r>
    </w:p>
    <w:p w:rsidRPr="00BE73C7" w:rsidR="00BE73C7" w:rsidP="00BE73C7" w:rsidRDefault="00BE73C7" w14:paraId="7845BDA1" w14:textId="29C6CAA3">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Fecha en la minuta de adición:</w:t>
      </w:r>
    </w:p>
    <w:p w:rsidRPr="00BE73C7" w:rsidR="00BE73C7" w:rsidP="00BE73C7" w:rsidRDefault="00BE73C7" w14:paraId="2688BA68" w14:textId="77777777">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De acuerdo con las disposiciones contractuales vigentes, ¿qué fecha corresponde estipular en la minuta de adición al contrato? En particular, solicitó su aclaración sobre si debe reflejarse la fecha de inicio de la adición como el primer día posterior a la terminación del contrato original (es decir, la fecha en la que efectivamente inicia la adición), o si es viable estipular una fecha anterior a la terminación del contrato original. En caso afirmativo, ¿cuál sería el plazo mínimo en días que debe observarse entre la firma de la adición y su inicio?</w:t>
      </w:r>
    </w:p>
    <w:p w:rsidRPr="00BE73C7" w:rsidR="00BE73C7" w:rsidP="00BE73C7" w:rsidRDefault="00BE73C7" w14:paraId="24181406" w14:textId="4A589319">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Fecha en el formato de justificación:</w:t>
      </w:r>
    </w:p>
    <w:p w:rsidRPr="00BE73C7" w:rsidR="00BE73C7" w:rsidP="00BE73C7" w:rsidRDefault="00BE73C7" w14:paraId="4AC4F495" w14:textId="77777777">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En relación con el formato de justificación de la adición, ¿cuál es la fecha que debe ser estipular en el mencionado documento? ¿Dicha fecha debe coincidir con el inicio de la adición, o es procedente establecer una fecha anterior a la del vencimiento del contrato original? Solicitó, además, la indicación del plazo mínimo a ser observado para la fecha de justificación.</w:t>
      </w:r>
    </w:p>
    <w:p w:rsidRPr="00BE73C7" w:rsidR="00BE73C7" w:rsidP="00BE73C7" w:rsidRDefault="00BE73C7" w14:paraId="5A8E3052" w14:textId="1DFA6379">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Fecha en el registro presupuestal:</w:t>
      </w:r>
    </w:p>
    <w:p w:rsidRPr="00BE73C7" w:rsidR="00BE73C7" w:rsidP="00BE73C7" w:rsidRDefault="00BE73C7" w14:paraId="1BE0ADEE" w14:textId="77777777">
      <w:pPr>
        <w:spacing w:after="120" w:line="276" w:lineRule="auto"/>
        <w:ind w:left="426" w:right="1183"/>
        <w:jc w:val="both"/>
        <w:rPr>
          <w:rFonts w:ascii="Verdana" w:hAnsi="Verdana" w:eastAsia="Calibri" w:cs="Arial"/>
          <w:i/>
          <w:iCs/>
          <w:lang w:eastAsia="es-ES"/>
        </w:rPr>
      </w:pPr>
      <w:r w:rsidRPr="00BE73C7">
        <w:rPr>
          <w:rFonts w:ascii="Verdana" w:hAnsi="Verdana" w:eastAsia="Calibri" w:cs="Arial"/>
          <w:i/>
          <w:iCs/>
          <w:lang w:eastAsia="es-ES"/>
        </w:rPr>
        <w:t xml:space="preserve">En lo que respecta al registro presupuestal, ¿cuál es la fecha que debe reflejarse en dicho registro? ¿Debe coincidir esta con la fecha de inicio de la adición, o es necesario indicar una fecha anterior a la del vencimiento del contrato? Por ejemplo, cuando el contrato </w:t>
      </w:r>
      <w:r w:rsidRPr="00BE73C7">
        <w:rPr>
          <w:rFonts w:ascii="Verdana" w:hAnsi="Verdana" w:eastAsia="Calibri" w:cs="Arial"/>
          <w:i/>
          <w:iCs/>
          <w:lang w:eastAsia="es-ES"/>
        </w:rPr>
        <w:lastRenderedPageBreak/>
        <w:t>se vence en un día no hábil (sábado, domingo o festivo), ¿cuál es la fecha adecuada para emitir el registro presupuestal?</w:t>
      </w:r>
    </w:p>
    <w:p w:rsidR="005525D6" w:rsidP="00353ECE" w:rsidRDefault="00353ECE" w14:paraId="4AEB2560" w14:textId="1B7A1CAF">
      <w:pPr>
        <w:spacing w:after="120" w:line="276" w:lineRule="auto"/>
        <w:ind w:left="426" w:right="1183"/>
        <w:jc w:val="both"/>
        <w:rPr>
          <w:rFonts w:ascii="Verdana" w:hAnsi="Verdana" w:eastAsia="Calibri" w:cs="Arial"/>
          <w:i/>
          <w:iCs/>
          <w:lang w:val="es-ES" w:eastAsia="es-ES"/>
        </w:rPr>
      </w:pPr>
      <w:r w:rsidRPr="00353ECE">
        <w:rPr>
          <w:rFonts w:ascii="Verdana" w:hAnsi="Verdana" w:eastAsia="Calibri" w:cs="Arial"/>
          <w:i/>
          <w:iCs/>
          <w:lang w:val="es-ES" w:eastAsia="es-ES"/>
        </w:rPr>
        <w:t xml:space="preserve"> </w:t>
      </w:r>
      <w:r w:rsidRPr="00CD707C" w:rsidR="005525D6">
        <w:rPr>
          <w:rFonts w:ascii="Verdana" w:hAnsi="Verdana" w:eastAsia="Calibri" w:cs="Arial"/>
          <w:i/>
          <w:iCs/>
          <w:lang w:val="es-ES" w:eastAsia="es-ES"/>
        </w:rPr>
        <w:t>(…)</w:t>
      </w:r>
    </w:p>
    <w:p w:rsidRPr="00505CD6" w:rsidR="00505CD6" w:rsidP="00505CD6" w:rsidRDefault="00505CD6" w14:paraId="27870E03" w14:textId="1E96744E">
      <w:pPr>
        <w:spacing w:after="12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hAnsi="Verdana" w:eastAsia="Calibri" w:cs="Arial"/>
          <w:color w:val="000000"/>
          <w:szCs w:val="24"/>
          <w:lang w:val="es-ES_tradnl" w:eastAsia="es-ES_tradnl"/>
        </w:rPr>
        <w:tab/>
      </w:r>
    </w:p>
    <w:p w:rsidRPr="00505CD6" w:rsidR="00505CD6" w:rsidP="00505CD6" w:rsidRDefault="00505CD6" w14:paraId="0331487C" w14:textId="77777777">
      <w:pPr>
        <w:spacing w:after="0" w:line="276" w:lineRule="auto"/>
        <w:ind w:firstLine="709"/>
        <w:jc w:val="both"/>
        <w:rPr>
          <w:rFonts w:ascii="Verdana" w:hAnsi="Verdana" w:eastAsia="Calibri" w:cs="Arial"/>
          <w:color w:val="000000"/>
          <w:lang w:val="es-ES" w:eastAsia="es-ES"/>
        </w:rPr>
      </w:pPr>
      <w:r w:rsidRPr="00505CD6">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problema</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jurídico</w:t>
      </w:r>
      <w:r w:rsidRPr="00505CD6">
        <w:rPr>
          <w:rFonts w:ascii="Verdana" w:hAnsi="Verdana" w:eastAsia="Calibri" w:cs="Arial"/>
          <w:color w:val="7030A0"/>
          <w:lang w:val="es-ES" w:eastAsia="es-ES"/>
        </w:rPr>
        <w:t xml:space="preserve"> </w:t>
      </w:r>
      <w:r w:rsidRPr="00505CD6">
        <w:rPr>
          <w:rFonts w:ascii="Verdana" w:hAnsi="Verdana" w:eastAsia="Calibri" w:cs="Arial"/>
          <w:color w:val="000000"/>
          <w:lang w:val="es-ES" w:eastAsia="es-ES"/>
        </w:rPr>
        <w:t xml:space="preserve">de su consulta. </w:t>
      </w:r>
    </w:p>
    <w:p w:rsidRPr="00505CD6" w:rsidR="00505CD6" w:rsidP="00505CD6" w:rsidRDefault="00505CD6" w14:paraId="14B663CA" w14:textId="77777777">
      <w:pPr>
        <w:spacing w:after="0" w:line="276" w:lineRule="auto"/>
        <w:ind w:firstLine="709"/>
        <w:jc w:val="both"/>
        <w:rPr>
          <w:rFonts w:ascii="Verdana" w:hAnsi="Verdana" w:eastAsia="Calibri" w:cs="Arial"/>
          <w:color w:val="000000"/>
          <w:lang w:val="es-ES" w:eastAsia="es-ES"/>
        </w:rPr>
      </w:pPr>
    </w:p>
    <w:p w:rsidRPr="00505CD6" w:rsidR="00505CD6" w:rsidP="00AE394E" w:rsidRDefault="00505CD6" w14:paraId="341EEC57" w14:textId="77777777">
      <w:pPr>
        <w:numPr>
          <w:ilvl w:val="0"/>
          <w:numId w:val="1"/>
        </w:numPr>
        <w:tabs>
          <w:tab w:val="left" w:pos="142"/>
          <w:tab w:val="left" w:pos="284"/>
        </w:tabs>
        <w:spacing w:after="0" w:line="276" w:lineRule="auto"/>
        <w:ind w:left="567"/>
        <w:contextualSpacing/>
        <w:jc w:val="both"/>
        <w:rPr>
          <w:rFonts w:ascii="Verdana" w:hAnsi="Verdana" w:eastAsia="Century Gothic" w:cs="Century Gothic"/>
          <w:b/>
          <w:bCs/>
          <w:lang w:val="es-ES"/>
        </w:rPr>
      </w:pPr>
      <w:r w:rsidRPr="00505CD6">
        <w:rPr>
          <w:rFonts w:ascii="Verdana" w:hAnsi="Verdana" w:eastAsia="Century Gothic" w:cs="Century Gothic"/>
          <w:b/>
          <w:bCs/>
          <w:lang w:val="es-ES"/>
        </w:rPr>
        <w:t>Problemas planteados:</w:t>
      </w:r>
    </w:p>
    <w:p w:rsidRPr="00505CD6" w:rsidR="00505CD6" w:rsidP="00505CD6" w:rsidRDefault="00505CD6" w14:paraId="215D99AD" w14:textId="77777777">
      <w:pPr>
        <w:tabs>
          <w:tab w:val="left" w:pos="426"/>
        </w:tabs>
        <w:spacing w:after="0" w:line="276" w:lineRule="auto"/>
        <w:jc w:val="both"/>
        <w:rPr>
          <w:rFonts w:ascii="Verdana" w:hAnsi="Verdana" w:eastAsia="Century Gothic" w:cs="Century Gothic"/>
          <w:lang w:val="es-ES"/>
        </w:rPr>
      </w:pPr>
    </w:p>
    <w:p w:rsidR="001975ED" w:rsidP="00272891" w:rsidRDefault="00272891" w14:paraId="41493305" w14:textId="587151CC">
      <w:pPr>
        <w:spacing w:after="0" w:line="276" w:lineRule="auto"/>
        <w:jc w:val="both"/>
        <w:rPr>
          <w:rFonts w:ascii="Verdana" w:hAnsi="Verdana" w:eastAsia="Century Gothic" w:cs="Century Gothic"/>
        </w:rPr>
      </w:pPr>
      <w:r w:rsidRPr="00CD2FA0">
        <w:rPr>
          <w:rFonts w:ascii="Verdana" w:hAnsi="Verdana" w:eastAsia="Century Gothic" w:cs="Century Gothic"/>
        </w:rPr>
        <w:t xml:space="preserve">De acuerdo con el contenido de su solicitud, </w:t>
      </w:r>
      <w:r w:rsidRPr="00167C84">
        <w:rPr>
          <w:rFonts w:ascii="Verdana" w:hAnsi="Verdana" w:eastAsia="Century Gothic" w:cs="Century Gothic"/>
        </w:rPr>
        <w:t>esta Subdirección se resolverá la siguiente</w:t>
      </w:r>
      <w:r w:rsidR="001975ED">
        <w:rPr>
          <w:rFonts w:ascii="Verdana" w:hAnsi="Verdana" w:eastAsia="Century Gothic" w:cs="Century Gothic"/>
        </w:rPr>
        <w:t xml:space="preserve"> </w:t>
      </w:r>
      <w:r w:rsidRPr="00167C84">
        <w:rPr>
          <w:rFonts w:ascii="Verdana" w:hAnsi="Verdana" w:eastAsia="Century Gothic" w:cs="Century Gothic"/>
        </w:rPr>
        <w:t>pregunta</w:t>
      </w:r>
      <w:r w:rsidR="001975ED">
        <w:rPr>
          <w:rFonts w:ascii="Verdana" w:hAnsi="Verdana" w:eastAsia="Century Gothic" w:cs="Century Gothic"/>
        </w:rPr>
        <w:t xml:space="preserve"> jurídica</w:t>
      </w:r>
      <w:r w:rsidRPr="00167C84">
        <w:rPr>
          <w:rFonts w:ascii="Verdana" w:hAnsi="Verdana" w:eastAsia="Century Gothic" w:cs="Century Gothic"/>
        </w:rPr>
        <w:t>:</w:t>
      </w:r>
      <w:r w:rsidR="00300DA4">
        <w:rPr>
          <w:rFonts w:ascii="Verdana" w:hAnsi="Verdana" w:eastAsia="Century Gothic" w:cs="Century Gothic"/>
        </w:rPr>
        <w:t xml:space="preserve"> </w:t>
      </w:r>
      <w:r w:rsidRPr="001975ED" w:rsidR="00A27A5B">
        <w:rPr>
          <w:rFonts w:ascii="Verdana" w:hAnsi="Verdana" w:eastAsia="Century Gothic" w:cs="Century Gothic"/>
          <w:i/>
          <w:iCs/>
        </w:rPr>
        <w:t>¿</w:t>
      </w:r>
      <w:r w:rsidRPr="001975ED" w:rsidR="001975ED">
        <w:rPr>
          <w:rFonts w:ascii="Verdana" w:hAnsi="Verdana" w:eastAsia="Century Gothic" w:cs="Century Gothic"/>
          <w:i/>
          <w:iCs/>
        </w:rPr>
        <w:t xml:space="preserve">En el marco de la contratación realizada por empresas industriales y comerciales del Estado, qué fechas deben estipularse en la minuta de adición, el formato de justificación y el registro presupuestal de un contrato, especialmente en lo que respecta a la continuidad del contrato original y la legalidad del procedimiento de </w:t>
      </w:r>
      <w:r w:rsidRPr="001975ED" w:rsidR="00650030">
        <w:rPr>
          <w:rFonts w:ascii="Verdana" w:hAnsi="Verdana" w:eastAsia="Century Gothic" w:cs="Century Gothic"/>
          <w:i/>
          <w:iCs/>
        </w:rPr>
        <w:t>adición?</w:t>
      </w:r>
    </w:p>
    <w:p w:rsidR="00A27A5B" w:rsidP="00272891" w:rsidRDefault="00A27A5B" w14:paraId="48419BC1" w14:textId="77777777">
      <w:pPr>
        <w:spacing w:after="0" w:line="276" w:lineRule="auto"/>
        <w:jc w:val="both"/>
        <w:rPr>
          <w:rFonts w:ascii="Verdana" w:hAnsi="Verdana" w:eastAsia="Century Gothic" w:cs="Century Gothic"/>
        </w:rPr>
      </w:pPr>
    </w:p>
    <w:p w:rsidRPr="00505CD6" w:rsidR="00505CD6" w:rsidP="00272891" w:rsidRDefault="00505CD6" w14:paraId="66944936" w14:textId="01B9C214">
      <w:pPr>
        <w:numPr>
          <w:ilvl w:val="0"/>
          <w:numId w:val="1"/>
        </w:numPr>
        <w:tabs>
          <w:tab w:val="left" w:pos="142"/>
          <w:tab w:val="left" w:pos="284"/>
        </w:tabs>
        <w:spacing w:after="0" w:line="276" w:lineRule="auto"/>
        <w:ind w:left="709"/>
        <w:jc w:val="both"/>
        <w:rPr>
          <w:rFonts w:ascii="Verdana" w:hAnsi="Verdana" w:eastAsia="Century Gothic" w:cs="Century Gothic"/>
          <w:b/>
          <w:bCs/>
          <w:lang w:val="es-ES"/>
        </w:rPr>
      </w:pPr>
      <w:r w:rsidRPr="00505CD6">
        <w:rPr>
          <w:rFonts w:ascii="Verdana" w:hAnsi="Verdana" w:eastAsia="Century Gothic" w:cs="Century Gothic"/>
          <w:b/>
          <w:bCs/>
          <w:lang w:val="es-ES"/>
        </w:rPr>
        <w:t>Respuesta:</w:t>
      </w:r>
    </w:p>
    <w:p w:rsidRPr="00505CD6" w:rsidR="00505CD6" w:rsidP="00505CD6" w:rsidRDefault="00505CD6" w14:paraId="61C9915B"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05CD6" w:rsidR="00505CD6" w:rsidTr="006C5D8A" w14:paraId="17CA5EBC" w14:textId="77777777">
        <w:trPr>
          <w:jc w:val="center"/>
        </w:trPr>
        <w:tc>
          <w:tcPr>
            <w:tcW w:w="8828" w:type="dxa"/>
            <w:shd w:val="clear" w:color="auto" w:fill="auto"/>
          </w:tcPr>
          <w:p w:rsidRPr="00D95654" w:rsidR="00E33BE7" w:rsidP="00E33BE7" w:rsidRDefault="00E33BE7" w14:paraId="75E0609C" w14:textId="77777777">
            <w:pPr>
              <w:spacing w:after="120" w:line="276" w:lineRule="auto"/>
              <w:jc w:val="both"/>
              <w:rPr>
                <w:rFonts w:ascii="Verdana" w:hAnsi="Verdana" w:eastAsia="Calibri" w:cs="Arial"/>
                <w:lang w:val="es-ES"/>
              </w:rPr>
            </w:pPr>
            <w:bookmarkStart w:name="_Hlk171694685" w:id="1"/>
            <w:r w:rsidRPr="00D95654">
              <w:rPr>
                <w:rFonts w:ascii="Verdana" w:hAnsi="Verdana" w:eastAsia="Calibri" w:cs="Arial"/>
                <w:lang w:val="es-ES"/>
              </w:rPr>
              <w:t>En respuesta a</w:t>
            </w:r>
            <w:r>
              <w:rPr>
                <w:rFonts w:ascii="Verdana" w:hAnsi="Verdana" w:eastAsia="Calibri" w:cs="Arial"/>
                <w:lang w:val="es-ES"/>
              </w:rPr>
              <w:t>l</w:t>
            </w:r>
            <w:r w:rsidRPr="00D95654">
              <w:rPr>
                <w:rFonts w:ascii="Verdana" w:hAnsi="Verdana" w:eastAsia="Calibri" w:cs="Arial"/>
                <w:lang w:val="es-ES"/>
              </w:rPr>
              <w:t xml:space="preserve"> problema planteado esta Subdirección manifiesta:</w:t>
            </w:r>
          </w:p>
          <w:p w:rsidR="00A92C52" w:rsidP="00A92C52" w:rsidRDefault="00E33BE7" w14:paraId="117BDEC3" w14:textId="4A7E1EDF">
            <w:pPr>
              <w:spacing w:before="120" w:line="276" w:lineRule="auto"/>
              <w:jc w:val="both"/>
              <w:rPr>
                <w:rFonts w:ascii="Verdana" w:hAnsi="Verdana" w:cs="Arial"/>
              </w:rPr>
            </w:pPr>
            <w:r w:rsidRPr="00D95654">
              <w:rPr>
                <w:rFonts w:ascii="Verdana" w:hAnsi="Verdana" w:cs="Arial"/>
                <w:lang w:val="es-MX"/>
              </w:rPr>
              <w:lastRenderedPageBreak/>
              <w:t xml:space="preserve">Si bien, las leyes </w:t>
            </w:r>
            <w:r w:rsidRPr="00D95654">
              <w:rPr>
                <w:rFonts w:ascii="Verdana" w:hAnsi="Verdana" w:cs="Arial"/>
              </w:rPr>
              <w:t xml:space="preserve">80 de 1993, 1150 de 2007 y 1474 de 2011, así como las normas que las han modificado y las reglamentan, no consagran una regulación expresa sobre la posibilidad de modificar los contratos celebrados por las Entidades Estatales, es viable modificar los </w:t>
            </w:r>
            <w:r w:rsidR="00A92C52">
              <w:rPr>
                <w:rFonts w:ascii="Verdana" w:hAnsi="Verdana" w:cs="Arial"/>
              </w:rPr>
              <w:t xml:space="preserve">mismos bajo un </w:t>
            </w:r>
            <w:r w:rsidRPr="00D95654">
              <w:rPr>
                <w:rFonts w:ascii="Verdana" w:hAnsi="Verdana" w:cs="Arial"/>
              </w:rPr>
              <w:t>carácter excepcional y sólo cuando se pretende garantizar el interés público, cuando la entidad haya verificado que la causa de la modificación es real y cierta; y cuando se deriva de previsiones legales, esto es, cuando la modificación encuentra sustento no sólo en circunstancias fácticas propias de la ejecución del contrato, sino, además, cuando tales situaciones ponen de presente la necesidad de dar cumplimiento a previsiones establecidas por el legislador.</w:t>
            </w:r>
          </w:p>
          <w:p w:rsidR="00A92C52" w:rsidP="00A92C52" w:rsidRDefault="00A92C52" w14:paraId="1E601BD8" w14:textId="7761D422">
            <w:pPr>
              <w:spacing w:before="120" w:line="276" w:lineRule="auto"/>
              <w:jc w:val="both"/>
              <w:rPr>
                <w:rFonts w:ascii="Verdana" w:hAnsi="Verdana" w:cs="Arial"/>
              </w:rPr>
            </w:pPr>
            <w:r>
              <w:rPr>
                <w:rFonts w:ascii="Verdana" w:hAnsi="Verdana" w:cs="Arial"/>
              </w:rPr>
              <w:t xml:space="preserve">      </w:t>
            </w:r>
            <w:r w:rsidR="00650030">
              <w:rPr>
                <w:rFonts w:ascii="Verdana" w:hAnsi="Verdana" w:cs="Arial"/>
              </w:rPr>
              <w:t xml:space="preserve">  </w:t>
            </w:r>
            <w:r w:rsidRPr="00D95654" w:rsidR="00E33BE7">
              <w:rPr>
                <w:rFonts w:ascii="Verdana" w:hAnsi="Verdana" w:cs="Arial"/>
              </w:rPr>
              <w:t>En este contexto, las modificaciones no podrán suponer la variación del objeto del contrato, pues ello supondría la alteración de su esencia y lo convertiría en otro tipo de negocio jurídico.</w:t>
            </w:r>
          </w:p>
          <w:p w:rsidR="00A92C52" w:rsidP="00A92C52" w:rsidRDefault="00A92C52" w14:paraId="03DA423C" w14:textId="2C489E7D">
            <w:pPr>
              <w:spacing w:before="120" w:line="276" w:lineRule="auto"/>
              <w:jc w:val="both"/>
              <w:rPr>
                <w:rFonts w:ascii="Verdana" w:hAnsi="Verdana" w:eastAsia="Calibri" w:cs="Arial"/>
              </w:rPr>
            </w:pPr>
            <w:r>
              <w:rPr>
                <w:rFonts w:ascii="Verdana" w:hAnsi="Verdana" w:eastAsia="Aptos" w:cs="Times New Roman"/>
                <w:color w:val="000000"/>
              </w:rPr>
              <w:t xml:space="preserve">        Ahora bien, en atención al problema jurídico planteado e</w:t>
            </w:r>
            <w:r w:rsidR="005E367A">
              <w:rPr>
                <w:rFonts w:ascii="Verdana" w:hAnsi="Verdana" w:eastAsia="Aptos" w:cs="Times New Roman"/>
                <w:color w:val="000000"/>
              </w:rPr>
              <w:t>n primer lugar, resulta pertinente indicar que conforme a</w:t>
            </w:r>
            <w:r w:rsidRPr="003C359A" w:rsidR="005E367A">
              <w:rPr>
                <w:rFonts w:ascii="Verdana" w:hAnsi="Verdana" w:eastAsia="Calibri" w:cs="Arial"/>
              </w:rPr>
              <w:t xml:space="preserve">l principio de continuidad del servicio </w:t>
            </w:r>
            <w:r w:rsidR="005E367A">
              <w:rPr>
                <w:rFonts w:ascii="Verdana" w:hAnsi="Verdana" w:eastAsia="Calibri" w:cs="Arial"/>
              </w:rPr>
              <w:t xml:space="preserve">consagrado en el </w:t>
            </w:r>
            <w:r w:rsidRPr="003C359A" w:rsidR="005E367A">
              <w:rPr>
                <w:rFonts w:ascii="Verdana" w:hAnsi="Verdana" w:eastAsia="Calibri" w:cs="Arial"/>
              </w:rPr>
              <w:t>art</w:t>
            </w:r>
            <w:r w:rsidR="005E367A">
              <w:rPr>
                <w:rFonts w:ascii="Verdana" w:hAnsi="Verdana" w:eastAsia="Calibri" w:cs="Arial"/>
              </w:rPr>
              <w:t>ículo</w:t>
            </w:r>
            <w:r w:rsidRPr="003C359A" w:rsidR="005E367A">
              <w:rPr>
                <w:rFonts w:ascii="Verdana" w:hAnsi="Verdana" w:eastAsia="Calibri" w:cs="Arial"/>
              </w:rPr>
              <w:t xml:space="preserve"> 3</w:t>
            </w:r>
            <w:r w:rsidR="005E367A">
              <w:rPr>
                <w:rFonts w:ascii="Verdana" w:hAnsi="Verdana" w:eastAsia="Calibri" w:cs="Arial"/>
              </w:rPr>
              <w:t>º</w:t>
            </w:r>
            <w:r w:rsidRPr="003C359A" w:rsidR="005E367A">
              <w:rPr>
                <w:rFonts w:ascii="Verdana" w:hAnsi="Verdana" w:eastAsia="Calibri" w:cs="Arial"/>
              </w:rPr>
              <w:t xml:space="preserve"> de la Ley 80 de 1993</w:t>
            </w:r>
            <w:r w:rsidR="005E367A">
              <w:rPr>
                <w:rFonts w:ascii="Verdana" w:hAnsi="Verdana" w:eastAsia="Calibri" w:cs="Arial"/>
              </w:rPr>
              <w:t>,</w:t>
            </w:r>
            <w:r w:rsidR="005E367A">
              <w:rPr>
                <w:rFonts w:ascii="Verdana" w:hAnsi="Verdana" w:eastAsia="Aptos" w:cs="Times New Roman"/>
                <w:color w:val="000000"/>
              </w:rPr>
              <w:t xml:space="preserve"> </w:t>
            </w:r>
            <w:r w:rsidRPr="003C359A" w:rsidR="003C359A">
              <w:rPr>
                <w:rFonts w:ascii="Verdana" w:hAnsi="Verdana" w:eastAsia="Calibri" w:cs="Arial"/>
              </w:rPr>
              <w:t xml:space="preserve">la adición debe </w:t>
            </w:r>
            <w:r w:rsidRPr="003C359A">
              <w:rPr>
                <w:rFonts w:ascii="Verdana" w:hAnsi="Verdana" w:eastAsia="Calibri" w:cs="Arial"/>
              </w:rPr>
              <w:t>entrar en vigor</w:t>
            </w:r>
            <w:r>
              <w:rPr>
                <w:rFonts w:ascii="Verdana" w:hAnsi="Verdana" w:eastAsia="Calibri" w:cs="Arial"/>
              </w:rPr>
              <w:t xml:space="preserve"> </w:t>
            </w:r>
            <w:r w:rsidRPr="003C359A" w:rsidR="003C359A">
              <w:rPr>
                <w:rFonts w:ascii="Verdana" w:hAnsi="Verdana" w:eastAsia="Calibri" w:cs="Arial"/>
              </w:rPr>
              <w:t>inmediatamente después de la expiración del contrato original. Establecer una fecha anterior a la terminación del contrato implicaría una superposición de obligaciones contractuales, lo cual es jurídicamente improcedente y puede acarrear vicios de legalidad y dificultades en la ejecución presupuestal y contable.</w:t>
            </w:r>
          </w:p>
          <w:p w:rsidR="00A92C52" w:rsidP="00A92C52" w:rsidRDefault="00A92C52" w14:paraId="5103E5BA" w14:textId="3E45FBC2">
            <w:pPr>
              <w:spacing w:before="120" w:line="276" w:lineRule="auto"/>
              <w:jc w:val="both"/>
              <w:rPr>
                <w:rFonts w:ascii="Verdana" w:hAnsi="Verdana" w:eastAsia="Calibri" w:cs="Arial"/>
                <w:lang w:val="es-ES"/>
              </w:rPr>
            </w:pPr>
            <w:r>
              <w:rPr>
                <w:rFonts w:ascii="Verdana" w:hAnsi="Verdana" w:eastAsia="Calibri" w:cs="Arial"/>
                <w:lang w:val="es-ES"/>
              </w:rPr>
              <w:t xml:space="preserve">         </w:t>
            </w:r>
            <w:r w:rsidR="005E367A">
              <w:rPr>
                <w:rFonts w:ascii="Verdana" w:hAnsi="Verdana" w:eastAsia="Calibri" w:cs="Arial"/>
                <w:lang w:val="es-ES"/>
              </w:rPr>
              <w:t>En segundo lugar, l</w:t>
            </w:r>
            <w:r w:rsidRPr="003C359A" w:rsidR="003C359A">
              <w:rPr>
                <w:rFonts w:ascii="Verdana" w:hAnsi="Verdana" w:eastAsia="Calibri" w:cs="Arial"/>
                <w:lang w:val="es-ES"/>
              </w:rPr>
              <w:t xml:space="preserve">a justificación </w:t>
            </w:r>
            <w:r w:rsidR="005E367A">
              <w:rPr>
                <w:rFonts w:ascii="Verdana" w:hAnsi="Verdana" w:eastAsia="Calibri" w:cs="Arial"/>
                <w:lang w:val="es-ES"/>
              </w:rPr>
              <w:t>de la adición conforme al</w:t>
            </w:r>
            <w:r w:rsidRPr="003C359A" w:rsidR="003C359A">
              <w:rPr>
                <w:rFonts w:ascii="Verdana" w:hAnsi="Verdana" w:eastAsia="Calibri" w:cs="Arial"/>
                <w:lang w:val="es-ES"/>
              </w:rPr>
              <w:t xml:space="preserve"> principio de planeación</w:t>
            </w:r>
            <w:r w:rsidR="005E367A">
              <w:rPr>
                <w:rFonts w:ascii="Verdana" w:hAnsi="Verdana" w:eastAsia="Calibri" w:cs="Arial"/>
                <w:lang w:val="es-ES"/>
              </w:rPr>
              <w:t xml:space="preserve"> contractual previsto en la Ley 1</w:t>
            </w:r>
            <w:r w:rsidRPr="003C359A" w:rsidR="003C359A">
              <w:rPr>
                <w:rFonts w:ascii="Verdana" w:hAnsi="Verdana" w:eastAsia="Calibri" w:cs="Arial"/>
                <w:lang w:val="es-ES"/>
              </w:rPr>
              <w:t xml:space="preserve">150 de 2007 y </w:t>
            </w:r>
            <w:r w:rsidR="005E367A">
              <w:rPr>
                <w:rFonts w:ascii="Verdana" w:hAnsi="Verdana" w:eastAsia="Calibri" w:cs="Arial"/>
                <w:lang w:val="es-ES"/>
              </w:rPr>
              <w:t xml:space="preserve">el </w:t>
            </w:r>
            <w:r w:rsidRPr="003C359A" w:rsidR="003C359A">
              <w:rPr>
                <w:rFonts w:ascii="Verdana" w:hAnsi="Verdana" w:eastAsia="Calibri" w:cs="Arial"/>
                <w:lang w:val="es-ES"/>
              </w:rPr>
              <w:t>Decreto 1082 de debe elaborarse y aprobarse antes del vencimiento del contrato original, evidenciando la necesidad, conveniencia y legalidad de la modificación. No debe coincidir con la fecha de inicio de la adición, sino con el momento previo de análisis y decisión</w:t>
            </w:r>
            <w:r w:rsidR="003C359A">
              <w:rPr>
                <w:rFonts w:ascii="Verdana" w:hAnsi="Verdana" w:eastAsia="Calibri" w:cs="Arial"/>
                <w:lang w:val="es-ES"/>
              </w:rPr>
              <w:t>.</w:t>
            </w:r>
          </w:p>
          <w:p w:rsidRPr="00A92C52" w:rsidR="003C359A" w:rsidP="00A92C52" w:rsidRDefault="00A92C52" w14:paraId="13A37D4D" w14:textId="21CE7D26">
            <w:pPr>
              <w:spacing w:before="120" w:line="276" w:lineRule="auto"/>
              <w:jc w:val="both"/>
              <w:rPr>
                <w:rFonts w:ascii="Verdana" w:hAnsi="Verdana" w:cs="Arial"/>
              </w:rPr>
            </w:pPr>
            <w:r>
              <w:rPr>
                <w:rFonts w:ascii="Verdana" w:hAnsi="Verdana" w:eastAsia="Calibri" w:cs="Arial"/>
                <w:lang w:val="es-ES"/>
              </w:rPr>
              <w:t xml:space="preserve">         </w:t>
            </w:r>
            <w:r w:rsidR="00844564">
              <w:rPr>
                <w:rFonts w:ascii="Verdana" w:hAnsi="Verdana" w:eastAsia="Calibri" w:cs="Arial"/>
              </w:rPr>
              <w:t xml:space="preserve">En tercer lugar y conforme a </w:t>
            </w:r>
            <w:r w:rsidRPr="003C359A" w:rsidR="003C359A">
              <w:rPr>
                <w:rFonts w:ascii="Verdana" w:hAnsi="Verdana" w:eastAsia="Calibri" w:cs="Arial"/>
              </w:rPr>
              <w:t>l</w:t>
            </w:r>
            <w:r>
              <w:rPr>
                <w:rFonts w:ascii="Verdana" w:hAnsi="Verdana" w:eastAsia="Calibri" w:cs="Arial"/>
              </w:rPr>
              <w:t>o previsto en</w:t>
            </w:r>
            <w:r w:rsidRPr="003C359A" w:rsidR="003C359A">
              <w:rPr>
                <w:rFonts w:ascii="Verdana" w:hAnsi="Verdana" w:eastAsia="Calibri" w:cs="Arial"/>
              </w:rPr>
              <w:t xml:space="preserve"> Ley 819 de 2003 y el Estatuto Orgánico del Presupuesto, el registro presupuestal debe existir antes de cualquier compromiso contractual. Por tanto, debe emitirse </w:t>
            </w:r>
            <w:r w:rsidRPr="00844564" w:rsidR="003C359A">
              <w:rPr>
                <w:rFonts w:ascii="Verdana" w:hAnsi="Verdana" w:eastAsia="Calibri" w:cs="Arial"/>
              </w:rPr>
              <w:t xml:space="preserve">antes </w:t>
            </w:r>
            <w:r w:rsidRPr="003C359A" w:rsidR="003C359A">
              <w:rPr>
                <w:rFonts w:ascii="Verdana" w:hAnsi="Verdana" w:eastAsia="Calibri" w:cs="Arial"/>
              </w:rPr>
              <w:t xml:space="preserve">del vencimiento del contrato original y en día hábil. </w:t>
            </w:r>
            <w:r w:rsidR="00844564">
              <w:rPr>
                <w:rFonts w:ascii="Verdana" w:hAnsi="Verdana" w:eastAsia="Calibri" w:cs="Arial"/>
              </w:rPr>
              <w:t>De esta manera s</w:t>
            </w:r>
            <w:r w:rsidRPr="003C359A" w:rsidR="003C359A">
              <w:rPr>
                <w:rFonts w:ascii="Verdana" w:hAnsi="Verdana" w:eastAsia="Calibri" w:cs="Arial"/>
              </w:rPr>
              <w:t>i el contrato vence en un día no hábil (por ejemplo, un domingo), el registro presupuestal debe expedirse a más tardar el día hábil inmediatamente anterior.</w:t>
            </w:r>
          </w:p>
          <w:p w:rsidR="003C359A" w:rsidP="004A7652" w:rsidRDefault="003C359A" w14:paraId="31414B48" w14:textId="77777777">
            <w:pPr>
              <w:spacing w:line="276" w:lineRule="auto"/>
              <w:ind w:firstLine="360"/>
              <w:contextualSpacing/>
              <w:jc w:val="both"/>
              <w:rPr>
                <w:rFonts w:ascii="Verdana" w:hAnsi="Verdana" w:eastAsia="Calibri" w:cs="Arial"/>
                <w:lang w:val="es-ES"/>
              </w:rPr>
            </w:pPr>
          </w:p>
          <w:p w:rsidRPr="00DB4737" w:rsidR="004A7652" w:rsidP="004A7652" w:rsidRDefault="00650030" w14:paraId="797DCDB0" w14:textId="0C0C06CE">
            <w:pPr>
              <w:spacing w:line="276" w:lineRule="auto"/>
              <w:ind w:firstLine="360"/>
              <w:contextualSpacing/>
              <w:jc w:val="both"/>
              <w:rPr>
                <w:rFonts w:ascii="Verdana" w:hAnsi="Verdana" w:eastAsia="Calibri" w:cs="Times New Roman"/>
                <w:lang w:val="es-ES"/>
              </w:rPr>
            </w:pPr>
            <w:r>
              <w:rPr>
                <w:rFonts w:ascii="Verdana" w:hAnsi="Verdana" w:eastAsia="Calibri" w:cs="Times New Roman"/>
                <w:lang w:val="es-ES"/>
              </w:rPr>
              <w:lastRenderedPageBreak/>
              <w:t xml:space="preserve">   </w:t>
            </w:r>
            <w:r w:rsidRPr="00DB4737" w:rsidR="004A7652">
              <w:rPr>
                <w:rFonts w:ascii="Verdana" w:hAnsi="Verdana" w:eastAsia="Calibri" w:cs="Times New Roman"/>
                <w:lang w:val="es-ES"/>
              </w:rPr>
              <w:t xml:space="preserve">Finalmente debe advertirse, que el análisis para resolver problemas específicos en torno a un proceso de </w:t>
            </w:r>
            <w:r w:rsidR="00FC45B3">
              <w:rPr>
                <w:rFonts w:ascii="Verdana" w:hAnsi="Verdana" w:eastAsia="Calibri" w:cs="Times New Roman"/>
                <w:lang w:val="es-ES"/>
              </w:rPr>
              <w:t xml:space="preserve">contratación </w:t>
            </w:r>
            <w:r w:rsidRPr="00DB4737" w:rsidR="004A7652">
              <w:rPr>
                <w:rFonts w:ascii="Verdana" w:hAnsi="Verdana" w:eastAsia="Calibri" w:cs="Times New Roman"/>
                <w:lang w:val="es-ES"/>
              </w:rPr>
              <w:t>determinado,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rsidRPr="00DB4737" w:rsidR="004A7652" w:rsidP="004A7652" w:rsidRDefault="004A7652" w14:paraId="6A48E1D4" w14:textId="77777777">
            <w:pPr>
              <w:ind w:left="720"/>
              <w:contextualSpacing/>
              <w:rPr>
                <w:rFonts w:ascii="Verdana" w:hAnsi="Verdana" w:eastAsia="Calibri" w:cs="Times New Roman"/>
                <w:lang w:val="es-ES"/>
              </w:rPr>
            </w:pPr>
          </w:p>
          <w:p w:rsidR="007F0A4C" w:rsidP="00EC4EAF" w:rsidRDefault="004A7652" w14:paraId="25839BBF" w14:textId="77777777">
            <w:pPr>
              <w:spacing w:line="276" w:lineRule="auto"/>
              <w:ind w:firstLine="360"/>
              <w:contextualSpacing/>
              <w:jc w:val="both"/>
              <w:rPr>
                <w:rFonts w:ascii="Verdana" w:hAnsi="Verdana" w:eastAsia="Calibri" w:cs="Times New Roman"/>
                <w:lang w:val="es-ES"/>
              </w:rPr>
            </w:pPr>
            <w:r w:rsidRPr="00DB4737">
              <w:rPr>
                <w:rFonts w:ascii="Verdana" w:hAnsi="Verdana" w:eastAsia="Calibri"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rsidRPr="00505CD6" w:rsidR="00A92C52" w:rsidP="00EC4EAF" w:rsidRDefault="00A92C52" w14:paraId="51251CB0" w14:textId="6BD15B77">
            <w:pPr>
              <w:spacing w:line="276" w:lineRule="auto"/>
              <w:ind w:firstLine="360"/>
              <w:contextualSpacing/>
              <w:jc w:val="both"/>
              <w:rPr>
                <w:rFonts w:ascii="Verdana" w:hAnsi="Verdana" w:eastAsia="Calibri" w:cs="Arial"/>
                <w:color w:val="000000"/>
                <w:lang w:val="es-MX"/>
              </w:rPr>
            </w:pPr>
          </w:p>
        </w:tc>
      </w:tr>
      <w:tr w:rsidRPr="00505CD6" w:rsidR="00757DC0" w:rsidTr="006C5D8A" w14:paraId="16743E8A" w14:textId="77777777">
        <w:trPr>
          <w:jc w:val="center"/>
        </w:trPr>
        <w:tc>
          <w:tcPr>
            <w:tcW w:w="8828" w:type="dxa"/>
            <w:shd w:val="clear" w:color="auto" w:fill="auto"/>
          </w:tcPr>
          <w:p w:rsidR="00757DC0" w:rsidP="00034BF0" w:rsidRDefault="00757DC0" w14:paraId="1C1616C5" w14:textId="77777777">
            <w:pPr>
              <w:spacing w:after="120" w:line="276" w:lineRule="auto"/>
              <w:ind w:firstLine="709"/>
              <w:jc w:val="both"/>
              <w:rPr>
                <w:rFonts w:ascii="Verdana" w:hAnsi="Verdana" w:eastAsia="Calibri" w:cs="Arial"/>
                <w:color w:val="000000"/>
                <w:lang w:val="es-ES"/>
              </w:rPr>
            </w:pPr>
          </w:p>
        </w:tc>
      </w:tr>
    </w:tbl>
    <w:p w:rsidRPr="00505CD6" w:rsidR="00505CD6" w:rsidP="00505CD6" w:rsidRDefault="00505CD6" w14:paraId="49A1211F" w14:textId="77777777">
      <w:pPr>
        <w:tabs>
          <w:tab w:val="left" w:pos="142"/>
          <w:tab w:val="left" w:pos="284"/>
        </w:tabs>
        <w:spacing w:after="0" w:line="276" w:lineRule="auto"/>
        <w:jc w:val="both"/>
        <w:rPr>
          <w:rFonts w:ascii="Verdana" w:hAnsi="Verdana" w:eastAsia="Century Gothic" w:cs="Century Gothic"/>
          <w:b/>
          <w:bCs/>
          <w:lang w:val="es-ES"/>
        </w:rPr>
      </w:pPr>
    </w:p>
    <w:bookmarkEnd w:id="1"/>
    <w:p w:rsidRPr="00505CD6" w:rsidR="00505CD6" w:rsidP="00505CD6" w:rsidRDefault="00505CD6" w14:paraId="45807F66" w14:textId="04A71F4D">
      <w:pPr>
        <w:numPr>
          <w:ilvl w:val="0"/>
          <w:numId w:val="1"/>
        </w:numPr>
        <w:tabs>
          <w:tab w:val="left" w:pos="142"/>
          <w:tab w:val="left" w:pos="284"/>
        </w:tabs>
        <w:spacing w:after="0" w:line="276" w:lineRule="auto"/>
        <w:jc w:val="both"/>
        <w:rPr>
          <w:rFonts w:ascii="Verdana" w:hAnsi="Verdana" w:eastAsia="Century Gothic" w:cs="Century Gothic"/>
          <w:b/>
          <w:bCs/>
          <w:lang w:val="es-ES"/>
        </w:rPr>
      </w:pPr>
      <w:r w:rsidRPr="00505CD6">
        <w:rPr>
          <w:rFonts w:ascii="Verdana" w:hAnsi="Verdana" w:eastAsia="Century Gothic" w:cs="Century Gothic"/>
          <w:b/>
          <w:bCs/>
          <w:lang w:val="es-ES"/>
        </w:rPr>
        <w:t xml:space="preserve">Razones de </w:t>
      </w:r>
      <w:r w:rsidRPr="00505CD6" w:rsidR="00757DC0">
        <w:rPr>
          <w:rFonts w:ascii="Verdana" w:hAnsi="Verdana" w:eastAsia="Century Gothic" w:cs="Century Gothic"/>
          <w:b/>
          <w:bCs/>
          <w:lang w:val="es-ES"/>
        </w:rPr>
        <w:t>la respuesta</w:t>
      </w:r>
      <w:r w:rsidRPr="00505CD6">
        <w:rPr>
          <w:rFonts w:ascii="Verdana" w:hAnsi="Verdana" w:eastAsia="Century Gothic" w:cs="Century Gothic"/>
          <w:b/>
          <w:bCs/>
          <w:lang w:val="es-ES"/>
        </w:rPr>
        <w:t>:</w:t>
      </w:r>
    </w:p>
    <w:p w:rsidRPr="001B1E8B" w:rsidR="00505CD6" w:rsidP="00505CD6" w:rsidRDefault="00505CD6" w14:paraId="6DA43D6D" w14:textId="77777777">
      <w:pPr>
        <w:spacing w:after="0" w:line="276" w:lineRule="auto"/>
        <w:jc w:val="both"/>
        <w:rPr>
          <w:rFonts w:ascii="Verdana" w:hAnsi="Verdana" w:eastAsia="Calibri" w:cs="Arial"/>
          <w:color w:val="7030A0"/>
          <w:lang w:val="es-ES"/>
        </w:rPr>
      </w:pPr>
    </w:p>
    <w:p w:rsidRPr="00846036" w:rsidR="00846036" w:rsidP="00BE73C7" w:rsidRDefault="00E42C97" w14:paraId="16496AF1" w14:textId="7C5D0760">
      <w:pPr>
        <w:spacing w:after="120" w:line="276" w:lineRule="auto"/>
        <w:ind w:firstLine="708"/>
        <w:jc w:val="both"/>
        <w:rPr>
          <w:rFonts w:ascii="Verdana" w:hAnsi="Verdana" w:eastAsia="Calibri" w:cs="Arial"/>
          <w:color w:val="000000" w:themeColor="text1"/>
        </w:rPr>
      </w:pPr>
      <w:bookmarkStart w:name="_Hlk195081504" w:id="2"/>
      <w:r w:rsidRPr="0023441C">
        <w:rPr>
          <w:rFonts w:ascii="Verdana" w:hAnsi="Verdana" w:eastAsia="Times New Roman" w:cs="Arial"/>
          <w:color w:val="000000" w:themeColor="text1"/>
          <w:lang w:val="es-ES_tradnl" w:eastAsia="es-CO"/>
        </w:rPr>
        <w:t xml:space="preserve">La contratación Estatal constituye un instrumento a través del cual las Entidades Públicas realizan el aprovisionamiento de sus bienes, obras y servicios, con el propósito de satisfacer las necesidades e intereses colectivos. </w:t>
      </w:r>
    </w:p>
    <w:p w:rsidR="000955FD" w:rsidP="000955FD" w:rsidRDefault="00650030" w14:paraId="7C521573" w14:textId="162A0B6B">
      <w:pPr>
        <w:spacing w:after="120" w:line="276" w:lineRule="auto"/>
        <w:ind w:firstLine="360"/>
        <w:jc w:val="both"/>
        <w:rPr>
          <w:rFonts w:ascii="Verdana" w:hAnsi="Verdana" w:cs="Arial"/>
          <w:bCs/>
          <w:lang w:eastAsia="es-ES_tradnl"/>
        </w:rPr>
      </w:pPr>
      <w:r>
        <w:rPr>
          <w:rFonts w:ascii="Verdana" w:hAnsi="Verdana" w:cs="Arial"/>
          <w:bCs/>
          <w:lang w:eastAsia="es-ES_tradnl"/>
        </w:rPr>
        <w:t xml:space="preserve">     </w:t>
      </w:r>
      <w:r w:rsidRPr="000955FD" w:rsidR="000955FD">
        <w:rPr>
          <w:rFonts w:ascii="Verdana" w:hAnsi="Verdana" w:cs="Arial"/>
          <w:bCs/>
          <w:lang w:eastAsia="es-ES_tradnl"/>
        </w:rPr>
        <w:t xml:space="preserve">Como es sabido, uno de los elementos más relevantes en los contratos estatales es el </w:t>
      </w:r>
      <w:r w:rsidRPr="000955FD" w:rsidR="000955FD">
        <w:rPr>
          <w:rFonts w:ascii="Verdana" w:hAnsi="Verdana" w:cs="Arial"/>
          <w:bCs/>
          <w:i/>
          <w:iCs/>
          <w:lang w:eastAsia="es-ES_tradnl"/>
        </w:rPr>
        <w:t>precio</w:t>
      </w:r>
      <w:r w:rsidRPr="000955FD" w:rsidR="000955FD">
        <w:rPr>
          <w:rFonts w:ascii="Verdana" w:hAnsi="Verdana" w:cs="Arial"/>
          <w:bCs/>
          <w:lang w:eastAsia="es-ES_tradnl"/>
        </w:rPr>
        <w:t>, también conocido como valor. Adicionalmente, el precio suele ser el elemento más importante para el contratista, porque equivale a la remuneración que la entidad contratante le pagará por la ejecución del objeto contractual.</w:t>
      </w:r>
    </w:p>
    <w:p w:rsidRPr="000955FD" w:rsidR="000955FD" w:rsidP="000955FD" w:rsidRDefault="00650030" w14:paraId="6BD5B22B" w14:textId="3B72D0DE">
      <w:pPr>
        <w:spacing w:after="120" w:line="276" w:lineRule="auto"/>
        <w:ind w:firstLine="360"/>
        <w:jc w:val="both"/>
        <w:rPr>
          <w:rFonts w:ascii="Verdana" w:hAnsi="Verdana" w:cs="Arial"/>
          <w:bCs/>
          <w:lang w:eastAsia="es-ES_tradnl"/>
        </w:rPr>
      </w:pPr>
      <w:r>
        <w:rPr>
          <w:rFonts w:ascii="Verdana" w:hAnsi="Verdana" w:cs="Arial"/>
          <w:bCs/>
          <w:lang w:eastAsia="es-ES_tradnl"/>
        </w:rPr>
        <w:t xml:space="preserve">     </w:t>
      </w:r>
      <w:r w:rsidRPr="000955FD" w:rsidR="000955FD">
        <w:rPr>
          <w:rFonts w:ascii="Verdana" w:hAnsi="Verdana" w:cs="Arial"/>
          <w:bCs/>
          <w:lang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w:t>
      </w:r>
      <w:r w:rsidRPr="000955FD" w:rsidR="000955FD">
        <w:rPr>
          <w:rFonts w:ascii="Verdana" w:hAnsi="Verdana" w:cs="Arial"/>
          <w:bCs/>
          <w:lang w:eastAsia="es-ES_tradnl"/>
        </w:rPr>
        <w:lastRenderedPageBreak/>
        <w:t>estipular el precio del contrato. Tal metodología generalmente depende del tipo de contrato, pues hay algunas modalidades más comunes en los de obra pública; otras más utilizadas en los de prestación de servicios y; otras más indicadas para los de concesión, por mencionar algunos ejemplos</w:t>
      </w:r>
      <w:r w:rsidRPr="000955FD" w:rsidR="000955FD">
        <w:rPr>
          <w:vertAlign w:val="superscript"/>
          <w:lang w:eastAsia="es-ES_tradnl"/>
        </w:rPr>
        <w:footnoteReference w:id="2"/>
      </w:r>
      <w:r w:rsidRPr="000955FD" w:rsidR="000955FD">
        <w:rPr>
          <w:rFonts w:ascii="Verdana" w:hAnsi="Verdana" w:cs="Arial"/>
          <w:bCs/>
          <w:lang w:eastAsia="es-ES_tradnl"/>
        </w:rPr>
        <w:t>.</w:t>
      </w:r>
    </w:p>
    <w:p w:rsidRPr="000955FD" w:rsidR="000955FD" w:rsidP="000955FD" w:rsidRDefault="00650030" w14:paraId="0020FE88" w14:textId="2567595A">
      <w:pPr>
        <w:spacing w:after="120" w:line="276" w:lineRule="auto"/>
        <w:ind w:firstLine="360"/>
        <w:jc w:val="both"/>
        <w:rPr>
          <w:rFonts w:ascii="Verdana" w:hAnsi="Verdana" w:cs="Arial"/>
          <w:bCs/>
          <w:lang w:eastAsia="es-ES_tradnl"/>
        </w:rPr>
      </w:pPr>
      <w:r>
        <w:rPr>
          <w:rFonts w:ascii="Verdana" w:hAnsi="Verdana" w:cs="Arial"/>
          <w:lang w:eastAsia="es-ES"/>
        </w:rPr>
        <w:t xml:space="preserve">      </w:t>
      </w:r>
      <w:r w:rsidRPr="000955FD" w:rsidR="000955FD">
        <w:rPr>
          <w:rFonts w:ascii="Verdana" w:hAnsi="Verdana" w:cs="Arial"/>
          <w:lang w:eastAsia="es-ES"/>
        </w:rPr>
        <w:t xml:space="preserve">No hay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0955FD" w:rsidR="000955FD">
        <w:rPr>
          <w:rFonts w:ascii="Verdana" w:hAnsi="Verdana" w:cs="Arial"/>
          <w:lang w:eastAsia="es-ES"/>
        </w:rPr>
        <w:t>ii</w:t>
      </w:r>
      <w:proofErr w:type="spellEnd"/>
      <w:r w:rsidRPr="000955FD" w:rsidR="000955FD">
        <w:rPr>
          <w:rFonts w:ascii="Verdana" w:hAnsi="Verdana" w:cs="Arial"/>
          <w:lang w:eastAsia="es-ES"/>
        </w:rPr>
        <w:t xml:space="preserve">) el precio global –que equivale al monto total, sin discriminar unidades–; y </w:t>
      </w:r>
      <w:proofErr w:type="spellStart"/>
      <w:r w:rsidRPr="000955FD" w:rsidR="000955FD">
        <w:rPr>
          <w:rFonts w:ascii="Verdana" w:hAnsi="Verdana" w:cs="Arial"/>
          <w:lang w:eastAsia="es-ES"/>
        </w:rPr>
        <w:t>iii</w:t>
      </w:r>
      <w:proofErr w:type="spellEnd"/>
      <w:r w:rsidRPr="000955FD" w:rsidR="000955FD">
        <w:rPr>
          <w:rFonts w:ascii="Verdana" w:hAnsi="Verdana" w:cs="Arial"/>
          <w:lang w:eastAsia="es-ES"/>
        </w:rPr>
        <w:t>) la administración delegada de recursos –en la que se distinguen los costos de inversión de los honorarios del administrador–.</w:t>
      </w:r>
    </w:p>
    <w:p w:rsidR="000955FD" w:rsidP="000955FD" w:rsidRDefault="00650030" w14:paraId="7D97020B" w14:textId="223B4DF9">
      <w:pPr>
        <w:spacing w:after="120" w:line="276" w:lineRule="auto"/>
        <w:ind w:firstLine="360"/>
        <w:jc w:val="both"/>
        <w:rPr>
          <w:rFonts w:ascii="Verdana" w:hAnsi="Verdana" w:cs="Arial"/>
          <w:bCs/>
          <w:lang w:eastAsia="es-ES_tradnl"/>
        </w:rPr>
      </w:pPr>
      <w:r>
        <w:rPr>
          <w:rFonts w:ascii="Verdana" w:hAnsi="Verdana" w:cs="Arial"/>
          <w:lang w:eastAsia="es-ES"/>
        </w:rPr>
        <w:t xml:space="preserve">   </w:t>
      </w:r>
      <w:r w:rsidRPr="000955FD" w:rsidR="000955FD">
        <w:rPr>
          <w:rFonts w:ascii="Verdana" w:hAnsi="Verdana" w:cs="Arial"/>
          <w:lang w:eastAsia="es-ES"/>
        </w:rPr>
        <w:t xml:space="preserve">Ahora bien, </w:t>
      </w:r>
      <w:r w:rsidR="000955FD">
        <w:rPr>
          <w:rFonts w:ascii="Verdana" w:hAnsi="Verdana" w:cs="Arial"/>
          <w:lang w:eastAsia="es-ES"/>
        </w:rPr>
        <w:t xml:space="preserve">durante </w:t>
      </w:r>
      <w:r w:rsidRPr="000955FD" w:rsidR="000955FD">
        <w:rPr>
          <w:rFonts w:ascii="Verdana" w:hAnsi="Verdana" w:cs="Arial"/>
          <w:lang w:eastAsia="es-ES"/>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pueden identificar alguna de las siguientes situaciones: i) la necesidad de mayores cantidades de bienes o actividades a las inicialmente previstas, a lo que se le conoce como “mayores cantidades de obra”, “obras adicionales” o adición de “ítems contractuales”; y </w:t>
      </w:r>
      <w:proofErr w:type="spellStart"/>
      <w:r w:rsidRPr="000955FD" w:rsidR="000955FD">
        <w:rPr>
          <w:rFonts w:ascii="Verdana" w:hAnsi="Verdana" w:cs="Arial"/>
          <w:lang w:eastAsia="es-ES"/>
        </w:rPr>
        <w:t>ii</w:t>
      </w:r>
      <w:proofErr w:type="spellEnd"/>
      <w:r w:rsidRPr="000955FD" w:rsidR="000955FD">
        <w:rPr>
          <w:rFonts w:ascii="Verdana" w:hAnsi="Verdana" w:cs="Arial"/>
          <w:lang w:eastAsia="es-ES"/>
        </w:rPr>
        <w:t xml:space="preserve">) la necesidad de ampliar las prestaciones contractuales, mediante la ejecución de </w:t>
      </w:r>
      <w:r w:rsidRPr="000955FD" w:rsidR="000955FD">
        <w:rPr>
          <w:rFonts w:ascii="Verdana" w:hAnsi="Verdana" w:cs="Arial"/>
          <w:lang w:eastAsia="es-ES"/>
        </w:rPr>
        <w:lastRenderedPageBreak/>
        <w:t xml:space="preserve">nuevos ítems o actividades, no incluidos en el contrato inicial, para lo que en la práctica las entidades ejecutan “obras extra” o “amplían el alcance” del contrato mediante la celebración de un “contrato adicional”. </w:t>
      </w:r>
    </w:p>
    <w:p w:rsidRPr="000955FD" w:rsidR="000955FD" w:rsidP="000955FD" w:rsidRDefault="00650030" w14:paraId="3271115E" w14:textId="2E94E1DB">
      <w:pPr>
        <w:spacing w:after="120" w:line="276" w:lineRule="auto"/>
        <w:ind w:firstLine="360"/>
        <w:jc w:val="both"/>
        <w:rPr>
          <w:rFonts w:ascii="Verdana" w:hAnsi="Verdana" w:cs="Arial"/>
          <w:bCs/>
          <w:lang w:eastAsia="es-ES_tradnl"/>
        </w:rPr>
      </w:pPr>
      <w:r>
        <w:rPr>
          <w:rFonts w:ascii="Verdana" w:hAnsi="Verdana" w:cs="Arial"/>
          <w:lang w:eastAsia="es-ES_tradnl"/>
        </w:rPr>
        <w:t xml:space="preserve">    </w:t>
      </w:r>
      <w:r w:rsidRPr="000955FD" w:rsidR="000955FD">
        <w:rPr>
          <w:rFonts w:ascii="Verdana" w:hAnsi="Verdana" w:cs="Arial"/>
          <w:lang w:eastAsia="es-ES_tradnl"/>
        </w:rPr>
        <w:t>Este último término tiene origen en el artículo 58 del Decreto-Ley 222 de 1983</w:t>
      </w:r>
      <w:r w:rsidRPr="000955FD" w:rsidR="000955FD">
        <w:rPr>
          <w:rStyle w:val="Refdenotaalpie"/>
          <w:rFonts w:ascii="Verdana" w:hAnsi="Verdana" w:cs="Arial"/>
          <w:lang w:eastAsia="es-ES_tradnl"/>
        </w:rPr>
        <w:footnoteReference w:id="3"/>
      </w:r>
      <w:r w:rsidRPr="000955FD" w:rsidR="000955FD">
        <w:rPr>
          <w:rFonts w:ascii="Verdana" w:hAnsi="Verdana" w:cs="Arial"/>
          <w:lang w:eastAsia="es-ES_tradnl"/>
        </w:rPr>
        <w:t xml:space="preserve">, el cual establecía el “contrato adicional” como el mecanismo a utilizar 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solo aludió a </w:t>
      </w:r>
      <w:bookmarkStart w:name="_Hlk176963734" w:id="3"/>
      <w:r w:rsidRPr="000955FD" w:rsidR="000955FD">
        <w:rPr>
          <w:rFonts w:ascii="Verdana" w:hAnsi="Verdana" w:cs="Arial"/>
          <w:lang w:eastAsia="es-ES_tradnl"/>
        </w:rPr>
        <w:t>la posibilidad de adicionar valor de los contratos estatales dentro de un límite dado por el cincuenta por ciento (50%) de su valor inicial expresado</w:t>
      </w:r>
      <w:bookmarkEnd w:id="3"/>
      <w:r w:rsidRPr="000955FD" w:rsidR="000955FD">
        <w:rPr>
          <w:rFonts w:ascii="Verdana" w:hAnsi="Verdana" w:cs="Arial"/>
          <w:lang w:eastAsia="es-ES_tradnl"/>
        </w:rPr>
        <w:t>, pero sin establecer una limitación expresa sobre otros elementos sobre los que recae la adición</w:t>
      </w:r>
      <w:r w:rsidRPr="000955FD" w:rsidR="000955FD">
        <w:rPr>
          <w:rStyle w:val="Refdenotaalpie"/>
          <w:rFonts w:ascii="Verdana" w:hAnsi="Verdana" w:cs="Arial"/>
          <w:lang w:eastAsia="es-ES_tradnl"/>
        </w:rPr>
        <w:footnoteReference w:id="4"/>
      </w:r>
      <w:r w:rsidRPr="000955FD" w:rsidR="000955FD">
        <w:rPr>
          <w:rFonts w:ascii="Verdana" w:hAnsi="Verdana" w:cs="Arial"/>
          <w:lang w:eastAsia="es-ES_tradnl"/>
        </w:rPr>
        <w:t>.</w:t>
      </w:r>
    </w:p>
    <w:p w:rsidRPr="000955FD" w:rsidR="000955FD" w:rsidP="000955FD" w:rsidRDefault="00650030" w14:paraId="36B3FF9E" w14:textId="3D1EEFDC">
      <w:pPr>
        <w:spacing w:after="120" w:line="276" w:lineRule="auto"/>
        <w:ind w:firstLine="360"/>
        <w:jc w:val="both"/>
        <w:rPr>
          <w:rFonts w:ascii="Verdana" w:hAnsi="Verdana" w:cs="Arial"/>
          <w:bCs/>
          <w:lang w:eastAsia="es-ES_tradnl"/>
        </w:rPr>
      </w:pPr>
      <w:r>
        <w:rPr>
          <w:rFonts w:ascii="Verdana" w:hAnsi="Verdana" w:cs="Arial"/>
          <w:lang w:eastAsia="es-ES_tradnl"/>
        </w:rPr>
        <w:t xml:space="preserve">    </w:t>
      </w:r>
      <w:r w:rsidRPr="000955FD" w:rsidR="000955FD">
        <w:rPr>
          <w:rFonts w:ascii="Verdana" w:hAnsi="Verdana" w:cs="Arial"/>
          <w:lang w:eastAsia="es-ES_tradnl"/>
        </w:rPr>
        <w:t>No obstante, la expresión “contrato adicional” al igual que las otras nociones doctrinarias y jurisprudenciales arriba señaladas entre comillas son de uso común en la práctica contractual por las Entidades Estatales.</w:t>
      </w:r>
      <w:r w:rsidRPr="000955FD" w:rsidR="000955FD">
        <w:rPr>
          <w:rFonts w:ascii="Verdana" w:hAnsi="Verdana" w:cs="Arial"/>
          <w:lang w:eastAsia="es-ES"/>
        </w:rPr>
        <w:t xml:space="preserve"> </w:t>
      </w:r>
      <w:r w:rsidRPr="000955FD" w:rsidR="000955FD">
        <w:rPr>
          <w:rFonts w:ascii="Verdana" w:hAnsi="Verdana" w:cs="Arial"/>
          <w:lang w:eastAsia="es-ES_tradnl"/>
        </w:rPr>
        <w:t xml:space="preserve">En ese sentido, </w:t>
      </w:r>
      <w:r w:rsidRPr="000955FD" w:rsidR="000955FD">
        <w:rPr>
          <w:rFonts w:ascii="Verdana" w:hAnsi="Verdana"/>
        </w:rPr>
        <w:t xml:space="preserve">dada la naturaleza de este sistema de precios, que contempla la posibilidad de variar las cantidades e ítems originalmente previstos entre las partes, tanto la jurisprudencia como la doctrina han desarrollado los conceptos de “mayores cantidades de obra” y de “obras extras o adicionales”, nociones que no </w:t>
      </w:r>
      <w:r w:rsidRPr="000955FD" w:rsidR="000955FD">
        <w:rPr>
          <w:rFonts w:ascii="Verdana" w:hAnsi="Verdana"/>
        </w:rPr>
        <w:lastRenderedPageBreak/>
        <w:t>corresponden a la misma figura jurídica, tal y como se procede a explicar. Mientras que las “mayores cantidades de obra” implica aumentar las cantidades de los ítems pactados desde el comienzo, la noción de “obras extras o adicionales” exige incluir obras o actividades que no habían sido convenidas, pero que, de todos modos, son indispensables para el cumplimiento del objeto.</w:t>
      </w:r>
    </w:p>
    <w:p w:rsidRPr="000955FD" w:rsidR="000955FD" w:rsidP="000955FD" w:rsidRDefault="00650030" w14:paraId="5203A50E" w14:textId="1DB43147">
      <w:pPr>
        <w:spacing w:after="120" w:line="276" w:lineRule="auto"/>
        <w:ind w:firstLine="360"/>
        <w:jc w:val="both"/>
        <w:rPr>
          <w:rFonts w:ascii="Verdana" w:hAnsi="Verdana" w:cs="Arial"/>
          <w:bCs/>
          <w:lang w:eastAsia="es-ES_tradnl"/>
        </w:rPr>
      </w:pPr>
      <w:r>
        <w:rPr>
          <w:rFonts w:ascii="Verdana" w:hAnsi="Verdana"/>
        </w:rPr>
        <w:t xml:space="preserve">   </w:t>
      </w:r>
      <w:r w:rsidRPr="000955FD" w:rsidR="000955FD">
        <w:rPr>
          <w:rFonts w:ascii="Verdana" w:hAnsi="Verdana"/>
        </w:rPr>
        <w:t>Ahora bien,  frente a la posibilidad de introducir modificacion</w:t>
      </w:r>
      <w:r w:rsidR="000955FD">
        <w:rPr>
          <w:rFonts w:ascii="Verdana" w:hAnsi="Verdana"/>
        </w:rPr>
        <w:t>es</w:t>
      </w:r>
      <w:r w:rsidRPr="000955FD" w:rsidR="000955FD">
        <w:rPr>
          <w:rFonts w:ascii="Verdana" w:hAnsi="Verdana"/>
        </w:rPr>
        <w:t xml:space="preserve"> a los contratos estatales y el límite dicha posibilidad. </w:t>
      </w:r>
      <w:r w:rsidR="000955FD">
        <w:rPr>
          <w:rFonts w:ascii="Verdana" w:hAnsi="Verdana"/>
        </w:rPr>
        <w:t>D</w:t>
      </w:r>
      <w:r w:rsidRPr="000955FD" w:rsidR="000955FD">
        <w:rPr>
          <w:rFonts w:ascii="Verdana" w:hAnsi="Verdana"/>
        </w:rPr>
        <w:t>ebe señalarse que, e</w:t>
      </w:r>
      <w:r w:rsidRPr="000955FD" w:rsidR="000955FD">
        <w:rPr>
          <w:rFonts w:ascii="Verdana" w:hAnsi="Verdana" w:eastAsia="Arial" w:cs="Arial"/>
          <w:lang w:eastAsia="es-ES" w:bidi="es-ES"/>
        </w:rPr>
        <w:t>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No obstante, es posible que, durante la ejecución del contrato, se evidencie la necesidad de suscribir documentos de modificación en los cuales se cambie parte de las estipulaciones pactadas en un comienzo, para lograr su finalidad y en aras de la realización de los fines del Estado, a los cuales sirve el contrato.</w:t>
      </w:r>
    </w:p>
    <w:p w:rsidR="00575CBF" w:rsidP="00575CBF" w:rsidRDefault="00650030" w14:paraId="19B39F2F" w14:textId="62A0CC0B">
      <w:pPr>
        <w:spacing w:after="120" w:line="276" w:lineRule="auto"/>
        <w:ind w:firstLine="360"/>
        <w:jc w:val="both"/>
        <w:rPr>
          <w:rFonts w:ascii="Verdana" w:hAnsi="Verdana" w:cs="Arial"/>
          <w:bCs/>
          <w:lang w:eastAsia="es-ES_tradnl"/>
        </w:rPr>
      </w:pPr>
      <w:r>
        <w:rPr>
          <w:rFonts w:ascii="Verdana" w:hAnsi="Verdana" w:eastAsia="Arial" w:cs="Arial"/>
          <w:lang w:eastAsia="es-ES" w:bidi="es-ES"/>
        </w:rPr>
        <w:t xml:space="preserve">    </w:t>
      </w:r>
      <w:r w:rsidRPr="000955FD" w:rsidR="000955FD">
        <w:rPr>
          <w:rFonts w:ascii="Verdana" w:hAnsi="Verdana" w:eastAsia="Arial" w:cs="Arial"/>
          <w:lang w:eastAsia="es-ES" w:bidi="es-ES"/>
        </w:rPr>
        <w:t xml:space="preserve">El Estatuto General de Contratación de la Administración Pública – en adelante EGCAP –, contenido en las Leyes 80 de 1993, 1150 de 2007 y 1474 de 2011, así como en las normas que las han modificado y las reglamentan, no consagra una regulación expresa sobre la posibilidad de modificar los contratos celebrados por las Entidades Estatales. De igual forma, tampoco existe ninguna restricción expresa para modificar los contratos estatales. La regulación expresa contenida en el ordenamiento jurídico se limita a fijar los porcentajes límite para adicionar los valores inicialmente pactados, como lo hace el artículo 40 de la Ley 80 de 1993, el cual dispone que, </w:t>
      </w:r>
      <w:r w:rsidRPr="000955FD" w:rsidR="000955FD">
        <w:rPr>
          <w:rFonts w:ascii="Verdana" w:hAnsi="Verdana" w:cs="Arial"/>
        </w:rPr>
        <w:t>los contratos no podrán adicionarse en más del cincuenta por ciento (50%) de su valor inicial, expresado en SMLMV.</w:t>
      </w:r>
      <w:bookmarkStart w:name="_Hlk176963691" w:id="4"/>
    </w:p>
    <w:p w:rsidR="000955FD" w:rsidP="00575CBF" w:rsidRDefault="00650030" w14:paraId="2D275F78" w14:textId="611AB40F">
      <w:pPr>
        <w:spacing w:after="120" w:line="276" w:lineRule="auto"/>
        <w:ind w:firstLine="360"/>
        <w:jc w:val="both"/>
        <w:rPr>
          <w:rFonts w:ascii="Verdana" w:hAnsi="Verdana"/>
        </w:rPr>
      </w:pPr>
      <w:r>
        <w:rPr>
          <w:rFonts w:ascii="Verdana" w:hAnsi="Verdana" w:cs="Arial"/>
          <w:bCs/>
          <w:lang w:eastAsia="es-ES_tradnl"/>
        </w:rPr>
        <w:t xml:space="preserve">  </w:t>
      </w:r>
      <w:r w:rsidR="00575CBF">
        <w:rPr>
          <w:rFonts w:ascii="Verdana" w:hAnsi="Verdana" w:cs="Arial"/>
          <w:bCs/>
          <w:lang w:eastAsia="es-ES_tradnl"/>
        </w:rPr>
        <w:t xml:space="preserve">Así las cosas, </w:t>
      </w:r>
      <w:r w:rsidRPr="00575CBF" w:rsidR="000955FD">
        <w:rPr>
          <w:rFonts w:ascii="Verdana" w:hAnsi="Verdana"/>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w:t>
      </w:r>
      <w:r w:rsidRPr="00575CBF" w:rsidR="000955FD">
        <w:rPr>
          <w:rFonts w:ascii="Verdana" w:hAnsi="Verdana"/>
        </w:rPr>
        <w:lastRenderedPageBreak/>
        <w:t xml:space="preserve">a preservar los principios de origen legal como es el principio de </w:t>
      </w:r>
      <w:r w:rsidR="00D2325B">
        <w:rPr>
          <w:rFonts w:ascii="Verdana" w:hAnsi="Verdana"/>
        </w:rPr>
        <w:t xml:space="preserve">continuidad del servicio, </w:t>
      </w:r>
      <w:r w:rsidRPr="00575CBF" w:rsidR="000955FD">
        <w:rPr>
          <w:rFonts w:ascii="Verdana" w:hAnsi="Verdana"/>
        </w:rPr>
        <w:t>planeación, transparencia, igualdad, entre otros,</w:t>
      </w:r>
      <w:r w:rsidRPr="000955FD" w:rsidR="000955FD">
        <w:rPr>
          <w:rStyle w:val="Refdenotaalpie"/>
          <w:rFonts w:ascii="Verdana" w:hAnsi="Verdana"/>
        </w:rPr>
        <w:footnoteReference w:id="5"/>
      </w:r>
      <w:r w:rsidRPr="00575CBF" w:rsidR="000955FD">
        <w:rPr>
          <w:rFonts w:ascii="Verdana" w:hAnsi="Verdana"/>
        </w:rPr>
        <w:t xml:space="preserve">. </w:t>
      </w:r>
    </w:p>
    <w:p w:rsidR="00575CBF" w:rsidP="00575CBF" w:rsidRDefault="00575CBF" w14:paraId="6AA0A25E" w14:textId="4BCC1CDB">
      <w:pPr>
        <w:spacing w:before="120" w:line="276" w:lineRule="auto"/>
        <w:jc w:val="both"/>
        <w:rPr>
          <w:rFonts w:ascii="Verdana" w:hAnsi="Verdana" w:eastAsia="Calibri" w:cs="Arial"/>
        </w:rPr>
      </w:pPr>
      <w:r>
        <w:rPr>
          <w:rFonts w:ascii="Verdana" w:hAnsi="Verdana" w:eastAsia="Aptos" w:cs="Times New Roman"/>
          <w:color w:val="000000"/>
        </w:rPr>
        <w:t xml:space="preserve">        </w:t>
      </w:r>
      <w:r w:rsidR="00D2325B">
        <w:rPr>
          <w:rFonts w:ascii="Verdana" w:hAnsi="Verdana" w:eastAsia="Aptos" w:cs="Times New Roman"/>
          <w:color w:val="000000"/>
        </w:rPr>
        <w:t>De esta manera</w:t>
      </w:r>
      <w:r>
        <w:rPr>
          <w:rFonts w:ascii="Verdana" w:hAnsi="Verdana" w:eastAsia="Aptos" w:cs="Times New Roman"/>
          <w:color w:val="000000"/>
        </w:rPr>
        <w:t>, en atención al problema jurídico planteado en primer lugar, resulta pertinente indicar que conforme a</w:t>
      </w:r>
      <w:r w:rsidRPr="003C359A">
        <w:rPr>
          <w:rFonts w:ascii="Verdana" w:hAnsi="Verdana" w:eastAsia="Calibri" w:cs="Arial"/>
        </w:rPr>
        <w:t xml:space="preserve">l principio de continuidad del servicio </w:t>
      </w:r>
      <w:r>
        <w:rPr>
          <w:rFonts w:ascii="Verdana" w:hAnsi="Verdana" w:eastAsia="Calibri" w:cs="Arial"/>
        </w:rPr>
        <w:t xml:space="preserve">consagrado en el </w:t>
      </w:r>
      <w:r w:rsidRPr="003C359A">
        <w:rPr>
          <w:rFonts w:ascii="Verdana" w:hAnsi="Verdana" w:eastAsia="Calibri" w:cs="Arial"/>
        </w:rPr>
        <w:t>art</w:t>
      </w:r>
      <w:r>
        <w:rPr>
          <w:rFonts w:ascii="Verdana" w:hAnsi="Verdana" w:eastAsia="Calibri" w:cs="Arial"/>
        </w:rPr>
        <w:t>ículo</w:t>
      </w:r>
      <w:r w:rsidRPr="003C359A">
        <w:rPr>
          <w:rFonts w:ascii="Verdana" w:hAnsi="Verdana" w:eastAsia="Calibri" w:cs="Arial"/>
        </w:rPr>
        <w:t xml:space="preserve"> 3</w:t>
      </w:r>
      <w:r>
        <w:rPr>
          <w:rFonts w:ascii="Verdana" w:hAnsi="Verdana" w:eastAsia="Calibri" w:cs="Arial"/>
        </w:rPr>
        <w:t>º</w:t>
      </w:r>
      <w:r w:rsidRPr="003C359A">
        <w:rPr>
          <w:rFonts w:ascii="Verdana" w:hAnsi="Verdana" w:eastAsia="Calibri" w:cs="Arial"/>
        </w:rPr>
        <w:t xml:space="preserve"> de la Ley 80 de 1993</w:t>
      </w:r>
      <w:r>
        <w:rPr>
          <w:rFonts w:ascii="Verdana" w:hAnsi="Verdana" w:eastAsia="Calibri" w:cs="Arial"/>
        </w:rPr>
        <w:t>,</w:t>
      </w:r>
      <w:r>
        <w:rPr>
          <w:rFonts w:ascii="Verdana" w:hAnsi="Verdana" w:eastAsia="Aptos" w:cs="Times New Roman"/>
          <w:color w:val="000000"/>
        </w:rPr>
        <w:t xml:space="preserve"> </w:t>
      </w:r>
      <w:r w:rsidRPr="003C359A">
        <w:rPr>
          <w:rFonts w:ascii="Verdana" w:hAnsi="Verdana" w:eastAsia="Calibri" w:cs="Arial"/>
        </w:rPr>
        <w:t>la adición debe entrar en vigor</w:t>
      </w:r>
      <w:r>
        <w:rPr>
          <w:rFonts w:ascii="Verdana" w:hAnsi="Verdana" w:eastAsia="Calibri" w:cs="Arial"/>
        </w:rPr>
        <w:t xml:space="preserve"> </w:t>
      </w:r>
      <w:r w:rsidRPr="003C359A">
        <w:rPr>
          <w:rFonts w:ascii="Verdana" w:hAnsi="Verdana" w:eastAsia="Calibri" w:cs="Arial"/>
        </w:rPr>
        <w:t>inmediatamente después de la expiración del contrato original. Establecer una fecha anterior a la terminación del contrato implicaría una superposición de obligaciones contractuales, lo cual es jurídicamente improcedente y puede acarrear vicios de legalidad y dificultades en la ejecución presupuestal y contable.</w:t>
      </w:r>
    </w:p>
    <w:p w:rsidR="00575CBF" w:rsidP="00575CBF" w:rsidRDefault="00575CBF" w14:paraId="2F81DA06" w14:textId="682ED5E0">
      <w:pPr>
        <w:spacing w:before="120" w:line="276" w:lineRule="auto"/>
        <w:jc w:val="both"/>
        <w:rPr>
          <w:rFonts w:ascii="Verdana" w:hAnsi="Verdana" w:eastAsia="Calibri" w:cs="Arial"/>
          <w:lang w:val="es-ES"/>
        </w:rPr>
      </w:pPr>
      <w:r>
        <w:rPr>
          <w:rFonts w:ascii="Verdana" w:hAnsi="Verdana" w:eastAsia="Calibri" w:cs="Arial"/>
          <w:lang w:val="es-ES"/>
        </w:rPr>
        <w:t xml:space="preserve">         En segundo lugar, l</w:t>
      </w:r>
      <w:r w:rsidRPr="003C359A">
        <w:rPr>
          <w:rFonts w:ascii="Verdana" w:hAnsi="Verdana" w:eastAsia="Calibri" w:cs="Arial"/>
          <w:lang w:val="es-ES"/>
        </w:rPr>
        <w:t xml:space="preserve">a justificación </w:t>
      </w:r>
      <w:r>
        <w:rPr>
          <w:rFonts w:ascii="Verdana" w:hAnsi="Verdana" w:eastAsia="Calibri" w:cs="Arial"/>
          <w:lang w:val="es-ES"/>
        </w:rPr>
        <w:t>de la adición conforme al</w:t>
      </w:r>
      <w:r w:rsidRPr="003C359A">
        <w:rPr>
          <w:rFonts w:ascii="Verdana" w:hAnsi="Verdana" w:eastAsia="Calibri" w:cs="Arial"/>
          <w:lang w:val="es-ES"/>
        </w:rPr>
        <w:t xml:space="preserve"> principio de planeación</w:t>
      </w:r>
      <w:r>
        <w:rPr>
          <w:rFonts w:ascii="Verdana" w:hAnsi="Verdana" w:eastAsia="Calibri" w:cs="Arial"/>
          <w:lang w:val="es-ES"/>
        </w:rPr>
        <w:t xml:space="preserve"> contractual previsto en la Ley 1</w:t>
      </w:r>
      <w:r w:rsidRPr="003C359A">
        <w:rPr>
          <w:rFonts w:ascii="Verdana" w:hAnsi="Verdana" w:eastAsia="Calibri" w:cs="Arial"/>
          <w:lang w:val="es-ES"/>
        </w:rPr>
        <w:t xml:space="preserve">150 de 2007 y </w:t>
      </w:r>
      <w:r>
        <w:rPr>
          <w:rFonts w:ascii="Verdana" w:hAnsi="Verdana" w:eastAsia="Calibri" w:cs="Arial"/>
          <w:lang w:val="es-ES"/>
        </w:rPr>
        <w:t xml:space="preserve">el </w:t>
      </w:r>
      <w:r w:rsidRPr="003C359A">
        <w:rPr>
          <w:rFonts w:ascii="Verdana" w:hAnsi="Verdana" w:eastAsia="Calibri" w:cs="Arial"/>
          <w:lang w:val="es-ES"/>
        </w:rPr>
        <w:t>Decreto 1082 de</w:t>
      </w:r>
      <w:r w:rsidR="00D2325B">
        <w:rPr>
          <w:rFonts w:ascii="Verdana" w:hAnsi="Verdana" w:eastAsia="Calibri" w:cs="Arial"/>
          <w:lang w:val="es-ES"/>
        </w:rPr>
        <w:t xml:space="preserve"> 2015</w:t>
      </w:r>
      <w:r w:rsidR="00D2325B">
        <w:rPr>
          <w:rStyle w:val="Refdenotaalpie"/>
          <w:rFonts w:ascii="Verdana" w:hAnsi="Verdana" w:eastAsia="Calibri" w:cs="Arial"/>
          <w:lang w:val="es-ES"/>
        </w:rPr>
        <w:footnoteReference w:id="6"/>
      </w:r>
      <w:r w:rsidR="00D2325B">
        <w:rPr>
          <w:rFonts w:ascii="Verdana" w:hAnsi="Verdana" w:eastAsia="Calibri" w:cs="Arial"/>
          <w:lang w:val="es-ES"/>
        </w:rPr>
        <w:t>,</w:t>
      </w:r>
      <w:r w:rsidRPr="003C359A">
        <w:rPr>
          <w:rFonts w:ascii="Verdana" w:hAnsi="Verdana" w:eastAsia="Calibri" w:cs="Arial"/>
          <w:lang w:val="es-ES"/>
        </w:rPr>
        <w:t xml:space="preserve"> debe elaborarse y aprobarse antes del vencimiento del contrato original, evidenciando la necesidad, conveniencia y legalidad de la modificación. No debe coincidir con la fecha de inicio de la adición, sino con el momento previo de análisis y decisión</w:t>
      </w:r>
      <w:r>
        <w:rPr>
          <w:rFonts w:ascii="Verdana" w:hAnsi="Verdana" w:eastAsia="Calibri" w:cs="Arial"/>
          <w:lang w:val="es-ES"/>
        </w:rPr>
        <w:t>.</w:t>
      </w:r>
    </w:p>
    <w:p w:rsidRPr="00A92C52" w:rsidR="00575CBF" w:rsidP="00575CBF" w:rsidRDefault="00575CBF" w14:paraId="2395E4E9" w14:textId="77777777">
      <w:pPr>
        <w:spacing w:before="120" w:line="276" w:lineRule="auto"/>
        <w:jc w:val="both"/>
        <w:rPr>
          <w:rFonts w:ascii="Verdana" w:hAnsi="Verdana" w:cs="Arial"/>
        </w:rPr>
      </w:pPr>
      <w:r>
        <w:rPr>
          <w:rFonts w:ascii="Verdana" w:hAnsi="Verdana" w:eastAsia="Calibri" w:cs="Arial"/>
          <w:lang w:val="es-ES"/>
        </w:rPr>
        <w:lastRenderedPageBreak/>
        <w:t xml:space="preserve">         </w:t>
      </w:r>
      <w:r>
        <w:rPr>
          <w:rFonts w:ascii="Verdana" w:hAnsi="Verdana" w:eastAsia="Calibri" w:cs="Arial"/>
        </w:rPr>
        <w:t xml:space="preserve">En tercer lugar y conforme a </w:t>
      </w:r>
      <w:r w:rsidRPr="003C359A">
        <w:rPr>
          <w:rFonts w:ascii="Verdana" w:hAnsi="Verdana" w:eastAsia="Calibri" w:cs="Arial"/>
        </w:rPr>
        <w:t>l</w:t>
      </w:r>
      <w:r>
        <w:rPr>
          <w:rFonts w:ascii="Verdana" w:hAnsi="Verdana" w:eastAsia="Calibri" w:cs="Arial"/>
        </w:rPr>
        <w:t>o previsto en</w:t>
      </w:r>
      <w:r w:rsidRPr="003C359A">
        <w:rPr>
          <w:rFonts w:ascii="Verdana" w:hAnsi="Verdana" w:eastAsia="Calibri" w:cs="Arial"/>
        </w:rPr>
        <w:t xml:space="preserve"> Ley 819 de 2003 y el Estatuto Orgánico del Presupuesto, el registro presupuestal debe existir antes de cualquier compromiso contractual. Por tanto, debe emitirse </w:t>
      </w:r>
      <w:r w:rsidRPr="00844564">
        <w:rPr>
          <w:rFonts w:ascii="Verdana" w:hAnsi="Verdana" w:eastAsia="Calibri" w:cs="Arial"/>
        </w:rPr>
        <w:t xml:space="preserve">antes </w:t>
      </w:r>
      <w:r w:rsidRPr="003C359A">
        <w:rPr>
          <w:rFonts w:ascii="Verdana" w:hAnsi="Verdana" w:eastAsia="Calibri" w:cs="Arial"/>
        </w:rPr>
        <w:t xml:space="preserve">del vencimiento del contrato original y en día hábil. </w:t>
      </w:r>
      <w:r>
        <w:rPr>
          <w:rFonts w:ascii="Verdana" w:hAnsi="Verdana" w:eastAsia="Calibri" w:cs="Arial"/>
        </w:rPr>
        <w:t>De esta manera s</w:t>
      </w:r>
      <w:r w:rsidRPr="003C359A">
        <w:rPr>
          <w:rFonts w:ascii="Verdana" w:hAnsi="Verdana" w:eastAsia="Calibri" w:cs="Arial"/>
        </w:rPr>
        <w:t>i el contrato vence en un día no hábil (por ejemplo, un domingo), el registro presupuestal debe expedirse a más tardar el día hábil inmediatamente anterior.</w:t>
      </w:r>
    </w:p>
    <w:bookmarkEnd w:id="4"/>
    <w:p w:rsidRPr="00D2325B" w:rsidR="000955FD" w:rsidP="00D2325B" w:rsidRDefault="000955FD" w14:paraId="0157BA5B" w14:textId="708BDB67">
      <w:pPr>
        <w:widowControl w:val="0"/>
        <w:autoSpaceDE w:val="0"/>
        <w:autoSpaceDN w:val="0"/>
        <w:spacing w:line="276" w:lineRule="auto"/>
        <w:ind w:firstLine="708"/>
        <w:jc w:val="both"/>
        <w:rPr>
          <w:rFonts w:ascii="Verdana" w:hAnsi="Verdana" w:eastAsia="Arial" w:cs="Arial"/>
          <w:color w:val="000000" w:themeColor="text1"/>
          <w:lang w:eastAsia="es-ES" w:bidi="es-ES"/>
        </w:rPr>
      </w:pPr>
      <w:r w:rsidRPr="00D2325B">
        <w:rPr>
          <w:rFonts w:ascii="Verdana" w:hAnsi="Verdana" w:eastAsia="Arial" w:cs="Arial"/>
          <w:color w:val="000000" w:themeColor="text1"/>
          <w:lang w:eastAsia="es-ES" w:bidi="es-ES"/>
        </w:rPr>
        <w:t xml:space="preserve">De cualquier modo,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Con todo, el hecho de que, según la jurisprudencia reciente del Consejo de Estado, el valor inicial de los contratos por precios unitarios sea indicativo, no puede ser interpretado como una patente de corso para ejecutar de manera desproporcionada e irrazonable los contratos estatales vigentes, ya que de acuerdo con lo aquí explicado, ello no solo puede ser evidenciar infracciones a al deber de planeación y al principio de selección objetiva, sino que también puede atentar contra los principios de la gestión administrativa conduciendo a detrimentos del recurso público.  </w:t>
      </w:r>
    </w:p>
    <w:p w:rsidRPr="00846036" w:rsidR="00846036" w:rsidP="00846036" w:rsidRDefault="00846036" w14:paraId="1998532E" w14:textId="216E3E38">
      <w:pPr>
        <w:spacing w:after="120" w:line="276" w:lineRule="auto"/>
        <w:ind w:firstLine="709"/>
        <w:jc w:val="both"/>
        <w:rPr>
          <w:rFonts w:ascii="Verdana" w:hAnsi="Verdana" w:eastAsia="Calibri" w:cs="Arial"/>
          <w:color w:val="000000" w:themeColor="text1"/>
        </w:rPr>
      </w:pPr>
      <w:r w:rsidRPr="00846036">
        <w:rPr>
          <w:rFonts w:ascii="Verdana" w:hAnsi="Verdana" w:eastAsia="Calibri" w:cs="Arial"/>
          <w:color w:val="000000" w:themeColor="text1"/>
        </w:rPr>
        <w:t xml:space="preserve">Finalmente debe advertirse, que el análisis para resolver problemas específicos en a un proceso de </w:t>
      </w:r>
      <w:r w:rsidR="00816D41">
        <w:rPr>
          <w:rFonts w:ascii="Verdana" w:hAnsi="Verdana" w:eastAsia="Calibri" w:cs="Arial"/>
          <w:color w:val="000000" w:themeColor="text1"/>
        </w:rPr>
        <w:t xml:space="preserve">contratación </w:t>
      </w:r>
      <w:r w:rsidRPr="00846036">
        <w:rPr>
          <w:rFonts w:ascii="Verdana" w:hAnsi="Verdana" w:eastAsia="Calibri" w:cs="Arial"/>
          <w:color w:val="000000" w:themeColor="text1"/>
        </w:rPr>
        <w:t>determinado,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rsidR="00E42C97" w:rsidP="00846036" w:rsidRDefault="00846036" w14:paraId="4B0A5022" w14:textId="557FBC26">
      <w:pPr>
        <w:spacing w:after="120" w:line="276" w:lineRule="auto"/>
        <w:ind w:firstLine="709"/>
        <w:jc w:val="both"/>
        <w:rPr>
          <w:rFonts w:ascii="Verdana" w:hAnsi="Verdana" w:eastAsia="Calibri" w:cs="Arial"/>
          <w:color w:val="000000" w:themeColor="text1"/>
        </w:rPr>
      </w:pPr>
      <w:r w:rsidRPr="00846036">
        <w:rPr>
          <w:rFonts w:ascii="Verdana" w:hAnsi="Verdana" w:eastAsia="Calibri" w:cs="Arial"/>
          <w:color w:val="000000" w:themeColor="text1"/>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bookmarkEnd w:id="2"/>
    <w:p w:rsidRPr="007A47F9" w:rsidR="00A5566B" w:rsidP="00A5566B" w:rsidRDefault="00A5566B" w14:paraId="45A69AFD" w14:textId="26B467E3">
      <w:pPr>
        <w:spacing w:after="0" w:line="276" w:lineRule="auto"/>
        <w:jc w:val="both"/>
        <w:rPr>
          <w:rFonts w:ascii="Verdana" w:hAnsi="Verdana" w:cs="Arial"/>
          <w:bdr w:val="none" w:color="auto" w:sz="0" w:space="0" w:frame="1"/>
        </w:rPr>
      </w:pPr>
    </w:p>
    <w:p w:rsidRPr="00505CD6" w:rsidR="00505CD6" w:rsidP="00A5566B" w:rsidRDefault="00505CD6" w14:paraId="73ADB084" w14:textId="47679EF0">
      <w:pPr>
        <w:tabs>
          <w:tab w:val="left" w:pos="426"/>
        </w:tabs>
        <w:spacing w:after="120" w:line="276" w:lineRule="auto"/>
        <w:jc w:val="both"/>
        <w:rPr>
          <w:rFonts w:ascii="Verdana" w:hAnsi="Verdana" w:eastAsia="Century Gothic" w:cs="Century Gothic"/>
          <w:b/>
          <w:bCs/>
          <w:lang w:val="es-ES"/>
        </w:rPr>
      </w:pPr>
      <w:r w:rsidRPr="00505CD6">
        <w:rPr>
          <w:rFonts w:ascii="Verdana" w:hAnsi="Verdana" w:eastAsia="Century Gothic" w:cs="Century Gothic"/>
          <w:b/>
          <w:bCs/>
          <w:lang w:val="es-ES"/>
        </w:rPr>
        <w:t>Referencias normativas y jurisprudenciales:</w:t>
      </w:r>
    </w:p>
    <w:p w:rsidRPr="00505CD6" w:rsidR="00505CD6" w:rsidP="00505CD6" w:rsidRDefault="00505CD6" w14:paraId="6959A8DE"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05CD6" w:rsidR="00505CD6" w:rsidTr="006C5D8A" w14:paraId="1BDBA78D" w14:textId="77777777">
        <w:trPr>
          <w:trHeight w:val="870"/>
          <w:jc w:val="center"/>
        </w:trPr>
        <w:tc>
          <w:tcPr>
            <w:tcW w:w="8647" w:type="dxa"/>
          </w:tcPr>
          <w:p w:rsidRPr="00650030" w:rsidR="00650030" w:rsidP="00650030" w:rsidRDefault="00650030" w14:paraId="247B5FE5" w14:textId="5127AC4A">
            <w:pPr>
              <w:pStyle w:val="Prrafodelista"/>
              <w:widowControl w:val="0"/>
              <w:numPr>
                <w:ilvl w:val="0"/>
                <w:numId w:val="3"/>
              </w:numPr>
              <w:tabs>
                <w:tab w:val="left" w:pos="8419"/>
              </w:tabs>
              <w:autoSpaceDE w:val="0"/>
              <w:autoSpaceDN w:val="0"/>
              <w:spacing w:after="120" w:line="276" w:lineRule="auto"/>
              <w:contextualSpacing w:val="0"/>
              <w:jc w:val="both"/>
              <w:rPr>
                <w:rFonts w:ascii="Verdana" w:hAnsi="Verdana" w:cs="Arial"/>
                <w:sz w:val="22"/>
              </w:rPr>
            </w:pPr>
            <w:r w:rsidRPr="00650030">
              <w:rPr>
                <w:rFonts w:ascii="Verdana" w:hAnsi="Verdana" w:cs="Arial"/>
                <w:sz w:val="22"/>
                <w:lang w:val="es-CO"/>
              </w:rPr>
              <w:t xml:space="preserve">Ley 80 de 1993: Artículo </w:t>
            </w:r>
            <w:r>
              <w:rPr>
                <w:rFonts w:ascii="Verdana" w:hAnsi="Verdana" w:cs="Arial"/>
                <w:sz w:val="22"/>
                <w:lang w:val="es-CO"/>
              </w:rPr>
              <w:t xml:space="preserve">3, </w:t>
            </w:r>
            <w:r w:rsidRPr="00650030">
              <w:rPr>
                <w:rFonts w:ascii="Verdana" w:hAnsi="Verdana" w:cs="Arial"/>
                <w:sz w:val="22"/>
                <w:lang w:val="es-CO"/>
              </w:rPr>
              <w:t>40</w:t>
            </w:r>
            <w:r>
              <w:rPr>
                <w:rFonts w:ascii="Verdana" w:hAnsi="Verdana" w:cs="Arial"/>
                <w:sz w:val="22"/>
                <w:lang w:val="es-CO"/>
              </w:rPr>
              <w:t>.</w:t>
            </w:r>
          </w:p>
          <w:p w:rsidRPr="00650030" w:rsidR="00650030" w:rsidP="00650030" w:rsidRDefault="00650030" w14:paraId="35EFB927" w14:textId="27E619E2">
            <w:pPr>
              <w:pStyle w:val="Prrafodelista"/>
              <w:widowControl w:val="0"/>
              <w:numPr>
                <w:ilvl w:val="0"/>
                <w:numId w:val="3"/>
              </w:numPr>
              <w:tabs>
                <w:tab w:val="left" w:pos="8419"/>
              </w:tabs>
              <w:autoSpaceDE w:val="0"/>
              <w:autoSpaceDN w:val="0"/>
              <w:spacing w:after="120" w:line="276" w:lineRule="auto"/>
              <w:contextualSpacing w:val="0"/>
              <w:jc w:val="both"/>
              <w:rPr>
                <w:rFonts w:ascii="Verdana" w:hAnsi="Verdana" w:cs="Arial"/>
                <w:sz w:val="22"/>
              </w:rPr>
            </w:pPr>
            <w:r>
              <w:rPr>
                <w:rFonts w:ascii="Verdana" w:hAnsi="Verdana" w:eastAsia="Calibri" w:cs="Arial"/>
                <w:lang w:val="es-ES"/>
              </w:rPr>
              <w:t>Ley 1</w:t>
            </w:r>
            <w:r w:rsidRPr="003C359A">
              <w:rPr>
                <w:rFonts w:ascii="Verdana" w:hAnsi="Verdana" w:eastAsia="Calibri" w:cs="Arial"/>
                <w:lang w:val="es-ES"/>
              </w:rPr>
              <w:t>150 de 2007</w:t>
            </w:r>
            <w:r>
              <w:rPr>
                <w:rFonts w:ascii="Verdana" w:hAnsi="Verdana" w:eastAsia="Calibri" w:cs="Arial"/>
                <w:lang w:val="es-ES"/>
              </w:rPr>
              <w:t>.</w:t>
            </w:r>
            <w:r w:rsidRPr="003C359A">
              <w:rPr>
                <w:rFonts w:ascii="Verdana" w:hAnsi="Verdana" w:eastAsia="Calibri" w:cs="Arial"/>
                <w:lang w:val="es-ES"/>
              </w:rPr>
              <w:t xml:space="preserve"> </w:t>
            </w:r>
          </w:p>
          <w:p w:rsidRPr="00650030" w:rsidR="00650030" w:rsidP="00650030" w:rsidRDefault="00650030" w14:paraId="7A6A6DBC" w14:textId="46939C75">
            <w:pPr>
              <w:pStyle w:val="Prrafodelista"/>
              <w:widowControl w:val="0"/>
              <w:numPr>
                <w:ilvl w:val="0"/>
                <w:numId w:val="3"/>
              </w:numPr>
              <w:tabs>
                <w:tab w:val="left" w:pos="8419"/>
              </w:tabs>
              <w:autoSpaceDE w:val="0"/>
              <w:autoSpaceDN w:val="0"/>
              <w:spacing w:after="120" w:line="276" w:lineRule="auto"/>
              <w:contextualSpacing w:val="0"/>
              <w:jc w:val="both"/>
              <w:rPr>
                <w:rFonts w:ascii="Verdana" w:hAnsi="Verdana" w:cs="Arial"/>
                <w:sz w:val="22"/>
              </w:rPr>
            </w:pPr>
            <w:r w:rsidRPr="003C359A">
              <w:rPr>
                <w:rFonts w:ascii="Verdana" w:hAnsi="Verdana" w:eastAsia="Calibri" w:cs="Arial"/>
                <w:lang w:val="es-ES"/>
              </w:rPr>
              <w:t>Decreto 1082</w:t>
            </w:r>
            <w:r>
              <w:rPr>
                <w:rFonts w:ascii="Verdana" w:hAnsi="Verdana" w:eastAsia="Calibri" w:cs="Arial"/>
                <w:lang w:val="es-ES"/>
              </w:rPr>
              <w:t xml:space="preserve"> de 2015.</w:t>
            </w:r>
          </w:p>
          <w:p w:rsidRPr="00650030" w:rsidR="00505CD6" w:rsidP="00650030" w:rsidRDefault="00650030" w14:paraId="70FC587D" w14:textId="4BC077E7">
            <w:pPr>
              <w:pStyle w:val="Prrafodelista"/>
              <w:widowControl w:val="0"/>
              <w:numPr>
                <w:ilvl w:val="0"/>
                <w:numId w:val="3"/>
              </w:numPr>
              <w:autoSpaceDE w:val="0"/>
              <w:autoSpaceDN w:val="0"/>
              <w:spacing w:line="276" w:lineRule="auto"/>
              <w:jc w:val="both"/>
              <w:rPr>
                <w:rFonts w:ascii="Verdana" w:hAnsi="Verdana" w:cs="Arial"/>
                <w:lang w:val="es-ES_tradnl"/>
              </w:rPr>
            </w:pPr>
            <w:r w:rsidRPr="00650030">
              <w:rPr>
                <w:rFonts w:ascii="Verdana" w:hAnsi="Verdana" w:cs="Arial"/>
                <w:sz w:val="22"/>
              </w:rPr>
              <w:t>CONSEJO DE ESTADO. Sala de Consulta y Servicio Civil. C.P.: Óscar Daría Amaya Navas. Concepto del 06 de junio 2018. Radicación número: 2369.</w:t>
            </w:r>
            <w:r w:rsidRPr="00650030">
              <w:rPr>
                <w:rFonts w:ascii="Verdana" w:hAnsi="Verdana" w:cs="Arial"/>
                <w:lang w:val="es-ES_tradnl"/>
              </w:rPr>
              <w:t xml:space="preserve"> </w:t>
            </w:r>
          </w:p>
        </w:tc>
      </w:tr>
    </w:tbl>
    <w:p w:rsidRPr="00505CD6" w:rsidR="00505CD6" w:rsidP="00505CD6" w:rsidRDefault="00505CD6" w14:paraId="54B794AD" w14:textId="77777777">
      <w:pPr>
        <w:widowControl w:val="0"/>
        <w:autoSpaceDE w:val="0"/>
        <w:autoSpaceDN w:val="0"/>
        <w:spacing w:after="0" w:line="276" w:lineRule="auto"/>
        <w:jc w:val="both"/>
        <w:rPr>
          <w:rFonts w:ascii="Verdana" w:hAnsi="Verdana" w:cs="Arial"/>
        </w:rPr>
      </w:pPr>
    </w:p>
    <w:p w:rsidRPr="00505CD6" w:rsidR="00505CD6" w:rsidP="007E6BCF" w:rsidRDefault="00505CD6" w14:paraId="21CFA37D" w14:textId="77777777">
      <w:pPr>
        <w:numPr>
          <w:ilvl w:val="0"/>
          <w:numId w:val="1"/>
        </w:numPr>
        <w:tabs>
          <w:tab w:val="left" w:pos="142"/>
          <w:tab w:val="left" w:pos="284"/>
        </w:tabs>
        <w:spacing w:after="0" w:line="276" w:lineRule="auto"/>
        <w:ind w:left="709"/>
        <w:jc w:val="both"/>
        <w:rPr>
          <w:rFonts w:ascii="Verdana" w:hAnsi="Verdana" w:eastAsia="Century Gothic" w:cs="Century Gothic"/>
          <w:b/>
          <w:bCs/>
          <w:lang w:val="es-ES"/>
        </w:rPr>
      </w:pPr>
      <w:r w:rsidRPr="00505CD6">
        <w:rPr>
          <w:rFonts w:ascii="Verdana" w:hAnsi="Verdana" w:eastAsia="Century Gothic" w:cs="Century Gothic"/>
          <w:b/>
          <w:bCs/>
          <w:lang w:val="es-ES"/>
        </w:rPr>
        <w:t>Doctrina de la Agencia Nacional de Contratación Pública:</w:t>
      </w:r>
    </w:p>
    <w:p w:rsidRPr="00505CD6" w:rsidR="00505CD6" w:rsidP="00505CD6" w:rsidRDefault="00505CD6" w14:paraId="35BFC8CE" w14:textId="77777777">
      <w:pPr>
        <w:widowControl w:val="0"/>
        <w:autoSpaceDE w:val="0"/>
        <w:autoSpaceDN w:val="0"/>
        <w:spacing w:after="0" w:line="276" w:lineRule="auto"/>
        <w:jc w:val="both"/>
        <w:rPr>
          <w:rFonts w:ascii="Verdana" w:hAnsi="Verdana" w:cs="Arial"/>
        </w:rPr>
      </w:pPr>
    </w:p>
    <w:p w:rsidR="00505CD6" w:rsidP="00505CD6" w:rsidRDefault="00650030" w14:paraId="76502426" w14:textId="06A85D42">
      <w:pPr>
        <w:widowControl w:val="0"/>
        <w:autoSpaceDE w:val="0"/>
        <w:autoSpaceDN w:val="0"/>
        <w:spacing w:after="0" w:line="276" w:lineRule="auto"/>
        <w:jc w:val="both"/>
        <w:rPr>
          <w:rFonts w:ascii="Verdana" w:hAnsi="Verdana" w:cs="Arial"/>
          <w:shd w:val="clear" w:color="auto" w:fill="FFFFFF"/>
          <w:lang w:val="es-ES"/>
        </w:rPr>
      </w:pPr>
      <w:r w:rsidRPr="002924DF">
        <w:rPr>
          <w:rFonts w:ascii="Verdana" w:hAnsi="Verdana" w:cs="Arial"/>
        </w:rPr>
        <w:t>La Agencia Nacional de Contratación Pública – Colombia Compra Eficiente, se ha pronunciado sobre</w:t>
      </w:r>
      <w:r w:rsidRPr="005B3F16">
        <w:rPr>
          <w:rFonts w:ascii="Verdana" w:hAnsi="Verdana" w:cs="Arial"/>
        </w:rPr>
        <w:t xml:space="preserve"> </w:t>
      </w:r>
      <w:r w:rsidRPr="00CD2603">
        <w:rPr>
          <w:rFonts w:ascii="Verdana" w:hAnsi="Verdana" w:cs="Arial"/>
          <w:lang w:eastAsia="es-ES_tradnl"/>
        </w:rPr>
        <w:t>asuntos relacionados con la adición de los contratos estatales</w:t>
      </w:r>
      <w:r>
        <w:rPr>
          <w:rFonts w:ascii="Verdana" w:hAnsi="Verdana" w:cs="Arial"/>
          <w:lang w:eastAsia="es-ES_tradnl"/>
        </w:rPr>
        <w:t xml:space="preserve"> en los conceptos 563 del 21 de octubre de 2024, C-581 del 23 de octubre de 2024, C-588 del 29 de octubre de 2024 y  465 del  23 de septiembre de 2024, C – 017 del 05 de febrero de 2025</w:t>
      </w:r>
      <w:r w:rsidRPr="009F1519" w:rsidR="009F1519">
        <w:rPr>
          <w:rFonts w:ascii="Verdana" w:hAnsi="Verdana" w:cs="Arial"/>
          <w:shd w:val="clear" w:color="auto" w:fill="FFFFFF"/>
          <w:lang w:val="es-ES"/>
        </w:rPr>
        <w:t xml:space="preserve">. Estos y otros conceptos se encuentran disponibles para consulta en el Sistema de relatoría de la Agencia, al cual se puede acceder a través del siguiente enlace: </w:t>
      </w:r>
      <w:hyperlink w:history="1" r:id="rId13">
        <w:r w:rsidRPr="00191357" w:rsidR="009F1519">
          <w:rPr>
            <w:rStyle w:val="Hipervnculo"/>
            <w:rFonts w:ascii="Verdana" w:hAnsi="Verdana" w:cs="Arial"/>
            <w:shd w:val="clear" w:color="auto" w:fill="FFFFFF"/>
            <w:lang w:val="es-ES"/>
          </w:rPr>
          <w:t>https://relatoria.colombiacompra.gov.co/busqueda/conceptos</w:t>
        </w:r>
      </w:hyperlink>
    </w:p>
    <w:p w:rsidRPr="00505CD6" w:rsidR="009F1519" w:rsidP="00505CD6" w:rsidRDefault="009F1519" w14:paraId="36F0FAD9"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00505CD6" w:rsidP="00505CD6" w:rsidRDefault="00505CD6" w14:paraId="7B87CF85"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rsidRPr="00505CD6" w:rsidR="00505CD6" w:rsidP="00505CD6" w:rsidRDefault="00505CD6" w14:paraId="24311C20"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0B10C661" w14:textId="77777777">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w:tgtFrame="_blank" w:tooltip="Dirección URL original: https://www.colombiacompra.gov.co/content/03-documentos-tipo-para-los-procesos-de-seleccion-de-interventoria-de-obra-publica-de. Haga clic o pulse si confía en este vínculo." w:history="1" r:id="rId14">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rsidRPr="00505CD6" w:rsidR="00505CD6" w:rsidP="00505CD6" w:rsidRDefault="00505CD6" w14:paraId="1D97270C" w14:textId="77777777">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w:tgtFrame="_blank" w:tooltip="Dirección URL original: https://www.colombiacompra.gov.co/content/02-documentos-tipo-para-los-procesos-de-seleccion-de-consultoria-de-obra-publica-de. Haga clic o pulse si confía en este vínculo." w:history="1" r:id="rId15">
        <w:r w:rsidRPr="00505CD6">
          <w:rPr>
            <w:rFonts w:ascii="Verdana" w:hAnsi="Verdana" w:cs="Arial"/>
            <w:color w:val="0563C1" w:themeColor="hyperlink"/>
            <w:u w:val="single"/>
            <w:shd w:val="clear" w:color="auto" w:fill="FFFFFF"/>
          </w:rPr>
          <w:t xml:space="preserve">02. Documentos tipo para los procesos de selección de consultoría de obra </w:t>
        </w:r>
        <w:r w:rsidRPr="00505CD6">
          <w:rPr>
            <w:rFonts w:ascii="Verdana" w:hAnsi="Verdana" w:cs="Arial"/>
            <w:color w:val="0563C1" w:themeColor="hyperlink"/>
            <w:u w:val="single"/>
            <w:shd w:val="clear" w:color="auto" w:fill="FFFFFF"/>
          </w:rPr>
          <w:lastRenderedPageBreak/>
          <w:t>pública de infraestructura de transporte – versión 2. | Colombia Compra Eficiente | Agencia Nacional de Contratación Pública</w:t>
        </w:r>
      </w:hyperlink>
    </w:p>
    <w:p w:rsidRPr="00505CD6" w:rsidR="00505CD6" w:rsidP="00505CD6" w:rsidRDefault="00505CD6" w14:paraId="4AC1A67D"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505CD6" w:rsidP="00505CD6" w:rsidRDefault="00505CD6" w14:paraId="021CECEB"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6">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rsidRPr="00505CD6" w:rsidR="00505CD6" w:rsidP="00505CD6" w:rsidRDefault="00505CD6" w14:paraId="2AB9AF3E" w14:textId="77777777">
      <w:pPr>
        <w:widowControl w:val="0"/>
        <w:autoSpaceDE w:val="0"/>
        <w:autoSpaceDN w:val="0"/>
        <w:spacing w:after="0" w:line="276" w:lineRule="auto"/>
        <w:jc w:val="both"/>
        <w:rPr>
          <w:rFonts w:ascii="Verdana" w:hAnsi="Verdana" w:eastAsia="Calibri" w:cs="Arial"/>
          <w:color w:val="000000" w:themeColor="text1"/>
        </w:rPr>
      </w:pPr>
    </w:p>
    <w:p w:rsidRPr="00505CD6" w:rsidR="00505CD6" w:rsidP="00505CD6" w:rsidRDefault="00505CD6" w14:paraId="30849606" w14:textId="7777777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rsidRPr="00505CD6" w:rsidR="00505CD6" w:rsidP="00505CD6" w:rsidRDefault="00505CD6" w14:paraId="697C2D02" w14:textId="77777777">
      <w:pPr>
        <w:widowControl w:val="0"/>
        <w:autoSpaceDE w:val="0"/>
        <w:autoSpaceDN w:val="0"/>
        <w:spacing w:after="0" w:line="276" w:lineRule="auto"/>
        <w:jc w:val="both"/>
        <w:rPr>
          <w:rFonts w:ascii="Verdana" w:hAnsi="Verdana" w:cs="Arial"/>
        </w:rPr>
      </w:pPr>
    </w:p>
    <w:p w:rsidRPr="00505CD6" w:rsidR="00505CD6" w:rsidP="00505CD6" w:rsidRDefault="00505CD6" w14:paraId="5BD794D8" w14:textId="77777777">
      <w:pPr>
        <w:spacing w:after="0" w:line="240" w:lineRule="auto"/>
        <w:rPr>
          <w:rFonts w:ascii="Verdana" w:hAnsi="Verdana" w:cs="Arial"/>
          <w:lang w:eastAsia="es-CO"/>
        </w:rPr>
      </w:pPr>
      <w:r w:rsidRPr="00505CD6">
        <w:rPr>
          <w:rFonts w:ascii="Verdana" w:hAnsi="Verdana" w:eastAsia="Times New Roman" w:cs="Arial"/>
          <w:lang w:eastAsia="es-CO"/>
        </w:rPr>
        <w:t>Atentamente,</w:t>
      </w:r>
      <w:r w:rsidRPr="00505CD6">
        <w:rPr>
          <w:rFonts w:ascii="Verdana" w:hAnsi="Verdana" w:cs="Arial"/>
          <w:lang w:eastAsia="es-CO"/>
        </w:rPr>
        <w:t xml:space="preserve"> </w:t>
      </w:r>
    </w:p>
    <w:p w:rsidR="00505CD6" w:rsidP="00505CD6" w:rsidRDefault="00505CD6" w14:paraId="78760A9E" w14:textId="3D46A2E5">
      <w:pPr>
        <w:spacing w:line="276" w:lineRule="auto"/>
        <w:jc w:val="center"/>
        <w:rPr>
          <w:noProof/>
        </w:rPr>
      </w:pPr>
    </w:p>
    <w:p w:rsidR="00831F6E" w:rsidP="00505CD6" w:rsidRDefault="00C74500" w14:paraId="1D372358" w14:textId="5B1E5694">
      <w:pPr>
        <w:spacing w:line="276" w:lineRule="auto"/>
        <w:jc w:val="center"/>
        <w:rPr>
          <w:rFonts w:cs="Arial"/>
          <w:noProof/>
          <w:color w:val="000000"/>
          <w:lang w:val="es-ES_tradnl" w:eastAsia="es-CO"/>
        </w:rPr>
      </w:pPr>
      <w:r>
        <w:rPr>
          <w:rFonts w:cs="Arial"/>
          <w:noProof/>
          <w:color w:val="000000"/>
          <w:lang w:val="es-ES_tradnl" w:eastAsia="es-CO"/>
        </w:rPr>
        <w:drawing>
          <wp:inline distT="0" distB="0" distL="0" distR="0" wp14:anchorId="35EC42E8" wp14:editId="31AFEF80">
            <wp:extent cx="2887980" cy="1241720"/>
            <wp:effectExtent l="0" t="0" r="7620" b="0"/>
            <wp:docPr id="16525504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50481" name="Imagen 1652550481"/>
                    <pic:cNvPicPr/>
                  </pic:nvPicPr>
                  <pic:blipFill>
                    <a:blip r:embed="rId17">
                      <a:extLst>
                        <a:ext uri="{28A0092B-C50C-407E-A947-70E740481C1C}">
                          <a14:useLocalDpi xmlns:a14="http://schemas.microsoft.com/office/drawing/2010/main" val="0"/>
                        </a:ext>
                      </a:extLst>
                    </a:blip>
                    <a:stretch>
                      <a:fillRect/>
                    </a:stretch>
                  </pic:blipFill>
                  <pic:spPr>
                    <a:xfrm>
                      <a:off x="0" y="0"/>
                      <a:ext cx="2896927" cy="1245567"/>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05CD6" w:rsidR="00505CD6" w:rsidTr="006C5D8A" w14:paraId="6AD22D8F" w14:textId="77777777">
        <w:trPr>
          <w:trHeight w:val="315"/>
        </w:trPr>
        <w:tc>
          <w:tcPr>
            <w:tcW w:w="893" w:type="dxa"/>
            <w:vAlign w:val="center"/>
            <w:hideMark/>
          </w:tcPr>
          <w:p w:rsidRPr="00505CD6" w:rsidR="00505CD6" w:rsidP="00505CD6" w:rsidRDefault="00505CD6" w14:paraId="63823BAB"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505CD6" w:rsidR="00505CD6" w:rsidP="00505CD6" w:rsidRDefault="00A520B4" w14:paraId="1637FB18" w14:textId="1ED75DF9">
            <w:pPr>
              <w:contextualSpacing/>
              <w:rPr>
                <w:rFonts w:ascii="Verdana" w:hAnsi="Verdana"/>
                <w:sz w:val="16"/>
                <w:szCs w:val="16"/>
              </w:rPr>
            </w:pPr>
            <w:r>
              <w:rPr>
                <w:rFonts w:ascii="Verdana" w:hAnsi="Verdana"/>
                <w:sz w:val="16"/>
                <w:szCs w:val="16"/>
              </w:rPr>
              <w:t>Daniel Eduardo Rojas</w:t>
            </w:r>
          </w:p>
          <w:p w:rsidRPr="00505CD6" w:rsidR="00505CD6" w:rsidP="00505CD6" w:rsidRDefault="00505CD6" w14:paraId="7CA897BD" w14:textId="77777777">
            <w:pPr>
              <w:contextualSpacing/>
              <w:rPr>
                <w:rFonts w:ascii="Verdana" w:hAnsi="Verdana" w:eastAsia="Arial" w:cs="Arial"/>
                <w:sz w:val="16"/>
                <w:szCs w:val="16"/>
              </w:rPr>
            </w:pPr>
            <w:r w:rsidRPr="00505CD6">
              <w:rPr>
                <w:rFonts w:ascii="Verdana" w:hAnsi="Verdana"/>
                <w:sz w:val="16"/>
                <w:szCs w:val="16"/>
              </w:rPr>
              <w:t>Contratista de la Subdirección de Gestión Contractual</w:t>
            </w:r>
          </w:p>
        </w:tc>
      </w:tr>
      <w:tr w:rsidRPr="00505CD6" w:rsidR="00505CD6" w:rsidTr="006C5D8A" w14:paraId="1F8F07BE" w14:textId="77777777">
        <w:trPr>
          <w:trHeight w:val="330"/>
        </w:trPr>
        <w:tc>
          <w:tcPr>
            <w:tcW w:w="893" w:type="dxa"/>
            <w:vAlign w:val="center"/>
            <w:hideMark/>
          </w:tcPr>
          <w:p w:rsidRPr="00505CD6" w:rsidR="00505CD6" w:rsidP="00505CD6" w:rsidRDefault="00505CD6" w14:paraId="1C2AC98D"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00AC121B" w:rsidP="00505CD6" w:rsidRDefault="00650030" w14:paraId="4E6DDA05" w14:textId="0BFBACFA">
            <w:pPr>
              <w:contextualSpacing/>
              <w:textAlignment w:val="baseline"/>
              <w:rPr>
                <w:rFonts w:ascii="Verdana" w:hAnsi="Verdana" w:eastAsia="Times New Roman" w:cs="Arial"/>
                <w:sz w:val="16"/>
                <w:szCs w:val="16"/>
                <w:lang w:val="es-ES" w:eastAsia="es-ES_tradnl"/>
              </w:rPr>
            </w:pPr>
            <w:r>
              <w:rPr>
                <w:rFonts w:ascii="Verdana" w:hAnsi="Verdana" w:eastAsia="Times New Roman" w:cs="Arial"/>
                <w:sz w:val="16"/>
                <w:szCs w:val="16"/>
                <w:lang w:val="es-ES" w:eastAsia="es-ES_tradnl"/>
              </w:rPr>
              <w:t>Diana Lucia Saavedra</w:t>
            </w:r>
          </w:p>
          <w:p w:rsidRPr="00505CD6" w:rsidR="00505CD6" w:rsidP="00505CD6" w:rsidRDefault="004F398D" w14:paraId="2A5BD1DE" w14:textId="43026873">
            <w:pPr>
              <w:contextualSpacing/>
              <w:textAlignment w:val="baseline"/>
              <w:rPr>
                <w:rFonts w:ascii="Verdana" w:hAnsi="Verdana" w:eastAsia="Times New Roman" w:cs="Segoe UI"/>
                <w:sz w:val="16"/>
                <w:szCs w:val="16"/>
                <w:lang w:eastAsia="es-ES_tradnl"/>
              </w:rPr>
            </w:pPr>
            <w:r>
              <w:rPr>
                <w:rFonts w:ascii="Verdana" w:hAnsi="Verdana" w:eastAsia="Times New Roman" w:cs="Arial"/>
                <w:sz w:val="16"/>
                <w:szCs w:val="16"/>
                <w:lang w:val="es-ES" w:eastAsia="es-ES_tradnl"/>
              </w:rPr>
              <w:t xml:space="preserve">Contratista </w:t>
            </w:r>
            <w:r w:rsidRPr="00505CD6" w:rsidR="00505CD6">
              <w:rPr>
                <w:rFonts w:ascii="Verdana" w:hAnsi="Verdana" w:eastAsia="Times New Roman" w:cs="Arial"/>
                <w:sz w:val="16"/>
                <w:szCs w:val="16"/>
                <w:lang w:val="es-ES" w:eastAsia="es-ES_tradnl"/>
              </w:rPr>
              <w:t>de la Subdirección de Gestión Contractual</w:t>
            </w:r>
            <w:r w:rsidRPr="00505CD6" w:rsidR="00505CD6">
              <w:rPr>
                <w:rFonts w:ascii="Verdana" w:hAnsi="Verdana" w:eastAsia="Times New Roman" w:cs="Arial"/>
                <w:sz w:val="16"/>
                <w:szCs w:val="16"/>
                <w:lang w:eastAsia="es-ES_tradnl"/>
              </w:rPr>
              <w:t> </w:t>
            </w:r>
          </w:p>
        </w:tc>
      </w:tr>
      <w:tr w:rsidRPr="00505CD6" w:rsidR="00505CD6" w:rsidTr="006C5D8A" w14:paraId="0C71EA4D" w14:textId="77777777">
        <w:trPr>
          <w:trHeight w:val="300"/>
        </w:trPr>
        <w:tc>
          <w:tcPr>
            <w:tcW w:w="893" w:type="dxa"/>
            <w:vAlign w:val="center"/>
          </w:tcPr>
          <w:p w:rsidRPr="00505CD6" w:rsidR="00505CD6" w:rsidP="00505CD6" w:rsidRDefault="00505CD6" w14:paraId="4D28D28C" w14:textId="77777777">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505CD6" w:rsidR="00505CD6" w:rsidP="00505CD6" w:rsidRDefault="00505CD6" w14:paraId="32222C7D" w14:textId="77777777">
            <w:pPr>
              <w:contextualSpacing/>
              <w:rPr>
                <w:rFonts w:ascii="Verdana" w:hAnsi="Verdana" w:eastAsia="Calibri" w:cs="Arial"/>
                <w:sz w:val="16"/>
                <w:szCs w:val="16"/>
                <w:lang w:val="pt-BR" w:eastAsia="es-ES"/>
              </w:rPr>
            </w:pPr>
            <w:r w:rsidRPr="00505CD6">
              <w:rPr>
                <w:rFonts w:ascii="Verdana" w:hAnsi="Verdana" w:eastAsia="Calibri" w:cs="Arial"/>
                <w:sz w:val="16"/>
                <w:szCs w:val="16"/>
                <w:lang w:val="pt-BR" w:eastAsia="es-ES"/>
              </w:rPr>
              <w:t>Carolina Quintero Gacharná</w:t>
            </w:r>
          </w:p>
          <w:p w:rsidRPr="00505CD6" w:rsidR="00505CD6" w:rsidP="00505CD6" w:rsidRDefault="00505CD6" w14:paraId="641172E7" w14:textId="122BEADF">
            <w:pPr>
              <w:contextualSpacing/>
              <w:rPr>
                <w:rFonts w:ascii="Verdana" w:hAnsi="Verdana" w:eastAsia="Calibri" w:cs="Arial"/>
                <w:sz w:val="16"/>
                <w:szCs w:val="16"/>
                <w:lang w:val="pt-BR" w:eastAsia="es-ES"/>
              </w:rPr>
            </w:pPr>
            <w:r w:rsidRPr="00505CD6">
              <w:rPr>
                <w:rFonts w:ascii="Verdana" w:hAnsi="Verdana" w:eastAsia="Calibri" w:cs="Arial"/>
                <w:sz w:val="16"/>
                <w:szCs w:val="16"/>
                <w:lang w:eastAsia="es-ES"/>
              </w:rPr>
              <w:t>Subdirectora</w:t>
            </w:r>
            <w:r w:rsidRPr="00505CD6">
              <w:rPr>
                <w:rFonts w:ascii="Verdana" w:hAnsi="Verdana" w:eastAsia="Calibri" w:cs="Arial"/>
                <w:sz w:val="16"/>
                <w:szCs w:val="16"/>
                <w:lang w:val="pt-BR" w:eastAsia="es-ES"/>
              </w:rPr>
              <w:t xml:space="preserve"> de Gestión </w:t>
            </w:r>
            <w:r w:rsidRPr="00505CD6" w:rsidR="00F92CAE">
              <w:rPr>
                <w:rFonts w:ascii="Verdana" w:hAnsi="Verdana" w:eastAsia="Calibri" w:cs="Arial"/>
                <w:sz w:val="16"/>
                <w:szCs w:val="16"/>
                <w:lang w:val="pt-BR" w:eastAsia="es-ES"/>
              </w:rPr>
              <w:t>Contratual</w:t>
            </w:r>
            <w:r w:rsidRPr="00505CD6">
              <w:rPr>
                <w:rFonts w:ascii="Verdana" w:hAnsi="Verdana" w:eastAsia="Calibri" w:cs="Arial"/>
                <w:sz w:val="16"/>
                <w:szCs w:val="16"/>
                <w:lang w:val="pt-BR" w:eastAsia="es-ES"/>
              </w:rPr>
              <w:t xml:space="preserve"> ANCP – CCE</w:t>
            </w:r>
          </w:p>
        </w:tc>
      </w:tr>
      <w:bookmarkEnd w:id="0"/>
    </w:tbl>
    <w:p w:rsidRPr="00505CD6" w:rsidR="00505CD6" w:rsidP="00846036" w:rsidRDefault="00505CD6" w14:paraId="09365269" w14:textId="77777777">
      <w:pPr>
        <w:spacing w:after="0" w:line="240" w:lineRule="auto"/>
        <w:rPr>
          <w:rFonts w:ascii="Verdana" w:hAnsi="Verdana" w:eastAsia="Times New Roman" w:cs="Arial"/>
          <w:sz w:val="24"/>
          <w:szCs w:val="24"/>
          <w:lang w:eastAsia="es-ES"/>
        </w:rPr>
      </w:pPr>
    </w:p>
    <w:sectPr w:rsidRPr="00505CD6" w:rsidR="00505CD6" w:rsidSect="007905BA">
      <w:headerReference w:type="even" r:id="rId18"/>
      <w:headerReference w:type="default" r:id="rId19"/>
      <w:footerReference w:type="even" r:id="rId20"/>
      <w:footerReference w:type="default" r:id="rId21"/>
      <w:headerReference w:type="first" r:id="rId22"/>
      <w:footerReference w:type="first" r:id="rId23"/>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2ABF" w:rsidP="00B30448" w:rsidRDefault="00552ABF" w14:paraId="150C1DC4" w14:textId="77777777">
      <w:pPr>
        <w:spacing w:after="0" w:line="240" w:lineRule="auto"/>
      </w:pPr>
      <w:r>
        <w:separator/>
      </w:r>
    </w:p>
  </w:endnote>
  <w:endnote w:type="continuationSeparator" w:id="0">
    <w:p w:rsidR="00552ABF" w:rsidP="00B30448" w:rsidRDefault="00552ABF" w14:paraId="5537BAAA" w14:textId="77777777">
      <w:pPr>
        <w:spacing w:after="0" w:line="240" w:lineRule="auto"/>
      </w:pPr>
      <w:r>
        <w:continuationSeparator/>
      </w:r>
    </w:p>
  </w:endnote>
  <w:endnote w:type="continuationNotice" w:id="1">
    <w:p w:rsidR="00552ABF" w:rsidRDefault="00552ABF" w14:paraId="7BB14D8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1474" w:rsidRDefault="00F11474" w14:paraId="3DAC6B65"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74B77" w:rsidR="00A81E50" w:rsidP="00A81E50" w:rsidRDefault="00A81E50" w14:paraId="2FD9C0E4"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81E50" w:rsidP="00A81E50" w:rsidRDefault="00A81E50" w14:paraId="4FC9CAA9"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81E50" w:rsidP="00A81E50" w:rsidRDefault="00A81E50" w14:paraId="0B709B73" w14:textId="77777777">
    <w:pPr>
      <w:spacing w:after="0"/>
      <w:jc w:val="both"/>
      <w:rPr>
        <w:rFonts w:ascii="Verdana" w:hAnsi="Verdana"/>
        <w:sz w:val="18"/>
        <w:szCs w:val="18"/>
      </w:rPr>
    </w:pPr>
    <w:r w:rsidRPr="00E41027">
      <w:rPr>
        <w:rFonts w:ascii="Verdana" w:hAnsi="Verdana"/>
        <w:sz w:val="18"/>
        <w:szCs w:val="18"/>
      </w:rPr>
      <w:t>Mesa de servicio: (+57) 601 7456788</w:t>
    </w:r>
  </w:p>
  <w:p w:rsidR="00DD7A2C" w:rsidP="00C00976" w:rsidRDefault="00A81E50" w14:paraId="224AB27F" w14:textId="77777777">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rsidR="00A81E50" w:rsidP="00DD7A2C" w:rsidRDefault="00A81E50" w14:paraId="2B8DBB2A" w14:textId="26AE77D2">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1474" w:rsidRDefault="00F11474" w14:paraId="28AA2B44"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2ABF" w:rsidP="00B30448" w:rsidRDefault="00552ABF" w14:paraId="1887DEF6" w14:textId="77777777">
      <w:pPr>
        <w:spacing w:after="0" w:line="240" w:lineRule="auto"/>
      </w:pPr>
      <w:r>
        <w:separator/>
      </w:r>
    </w:p>
  </w:footnote>
  <w:footnote w:type="continuationSeparator" w:id="0">
    <w:p w:rsidR="00552ABF" w:rsidP="00B30448" w:rsidRDefault="00552ABF" w14:paraId="0BA32853" w14:textId="77777777">
      <w:pPr>
        <w:spacing w:after="0" w:line="240" w:lineRule="auto"/>
      </w:pPr>
      <w:r>
        <w:continuationSeparator/>
      </w:r>
    </w:p>
  </w:footnote>
  <w:footnote w:type="continuationNotice" w:id="1">
    <w:p w:rsidR="00552ABF" w:rsidRDefault="00552ABF" w14:paraId="1EFE26F2" w14:textId="77777777">
      <w:pPr>
        <w:spacing w:after="0" w:line="240" w:lineRule="auto"/>
      </w:pPr>
    </w:p>
  </w:footnote>
  <w:footnote w:id="2">
    <w:p w:rsidRPr="00803210" w:rsidR="000955FD" w:rsidP="000955FD" w:rsidRDefault="000955FD" w14:paraId="1D94ECCF" w14:textId="77777777">
      <w:pPr>
        <w:pStyle w:val="Textonotapie"/>
        <w:ind w:firstLine="709"/>
        <w:contextualSpacing/>
        <w:jc w:val="both"/>
        <w:rPr>
          <w:rFonts w:ascii="Verdana" w:hAnsi="Verdana" w:cs="Arial"/>
          <w:color w:val="000000" w:themeColor="text1"/>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w:t>
      </w:r>
      <w:r w:rsidRPr="00803210">
        <w:rPr>
          <w:rFonts w:ascii="Verdana" w:hAnsi="Verdana" w:cs="Arial"/>
          <w:sz w:val="16"/>
          <w:szCs w:val="16"/>
          <w:lang w:val="es-ES"/>
        </w:rPr>
        <w:t>“</w:t>
      </w:r>
      <w:r w:rsidRPr="00803210">
        <w:rPr>
          <w:rFonts w:ascii="Verdana" w:hAnsi="Verdana" w:cs="Arial"/>
          <w:color w:val="000000" w:themeColor="text1"/>
          <w:sz w:val="16"/>
          <w:szCs w:val="16"/>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rsidRPr="00803210" w:rsidR="000955FD" w:rsidP="000955FD" w:rsidRDefault="000955FD" w14:paraId="754D7A11" w14:textId="77777777">
      <w:pPr>
        <w:pStyle w:val="Textonotapie"/>
        <w:ind w:firstLine="709"/>
        <w:contextualSpacing/>
        <w:jc w:val="both"/>
        <w:rPr>
          <w:rFonts w:ascii="Verdana" w:hAnsi="Verdana" w:cs="Arial"/>
          <w:color w:val="000000" w:themeColor="text1"/>
          <w:sz w:val="16"/>
          <w:szCs w:val="16"/>
        </w:rPr>
      </w:pPr>
      <w:r w:rsidRPr="00803210">
        <w:rPr>
          <w:rFonts w:ascii="Verdana" w:hAnsi="Verdana" w:cs="Arial"/>
          <w:color w:val="000000" w:themeColor="text1"/>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rsidRPr="00803210" w:rsidR="000955FD" w:rsidP="000955FD" w:rsidRDefault="000955FD" w14:paraId="3850E4B6" w14:textId="77777777">
      <w:pPr>
        <w:pStyle w:val="Textonotapie"/>
        <w:ind w:firstLine="709"/>
        <w:contextualSpacing/>
        <w:jc w:val="both"/>
        <w:rPr>
          <w:rFonts w:ascii="Verdana" w:hAnsi="Verdana" w:cs="Arial"/>
          <w:sz w:val="16"/>
          <w:szCs w:val="16"/>
          <w:lang w:val="es-ES"/>
        </w:rPr>
      </w:pPr>
    </w:p>
  </w:footnote>
  <w:footnote w:id="3">
    <w:p w:rsidRPr="00803210" w:rsidR="000955FD" w:rsidP="000955FD" w:rsidRDefault="000955FD" w14:paraId="4671DD35" w14:textId="77777777">
      <w:pPr>
        <w:pStyle w:val="Textonotapie"/>
        <w:ind w:firstLine="709"/>
        <w:contextualSpacing/>
        <w:jc w:val="both"/>
        <w:rPr>
          <w:rFonts w:ascii="Verdana" w:hAnsi="Verdana" w:cs="Arial"/>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rsidRPr="00803210" w:rsidR="000955FD" w:rsidP="000955FD" w:rsidRDefault="000955FD" w14:paraId="1940093B" w14:textId="77777777">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rsidRPr="00803210" w:rsidR="000955FD" w:rsidP="000955FD" w:rsidRDefault="000955FD" w14:paraId="48AEE125" w14:textId="77777777">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Serán requisitos para que pueda iniciarse la ejecución del contrato, la adición y prórroga de las garantías y el pago de los impuestos correspondientes. </w:t>
      </w:r>
    </w:p>
    <w:p w:rsidRPr="00803210" w:rsidR="000955FD" w:rsidP="000955FD" w:rsidRDefault="000955FD" w14:paraId="78001191" w14:textId="77777777">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Los contratos de interventoría, administración delegada, y consultoría previstos en este estatuto, podrán adicionarse sin el límite fijado en el presente artículo. </w:t>
      </w:r>
    </w:p>
    <w:p w:rsidRPr="00803210" w:rsidR="000955FD" w:rsidP="000955FD" w:rsidRDefault="000955FD" w14:paraId="35AEF2AB" w14:textId="77777777">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Las adiciones deberán publicarse en el Diario oficial. </w:t>
      </w:r>
    </w:p>
    <w:p w:rsidRPr="00803210" w:rsidR="000955FD" w:rsidP="000955FD" w:rsidRDefault="000955FD" w14:paraId="13A061DD" w14:textId="77777777">
      <w:pPr>
        <w:pStyle w:val="Textonotapie"/>
        <w:ind w:firstLine="709"/>
        <w:contextualSpacing/>
        <w:jc w:val="both"/>
        <w:rPr>
          <w:rFonts w:ascii="Verdana" w:hAnsi="Verdana" w:cs="Arial"/>
          <w:sz w:val="16"/>
          <w:szCs w:val="16"/>
        </w:rPr>
      </w:pPr>
      <w:r w:rsidRPr="00803210">
        <w:rPr>
          <w:rFonts w:ascii="Verdana" w:hAnsi="Verdana" w:cs="Arial"/>
          <w:sz w:val="16"/>
          <w:szCs w:val="16"/>
        </w:rPr>
        <w:t xml:space="preserve">En ningún caso podrá modificarse el objeto de los contratos, ni prorrogarse su plazo si estuviere vencido, so pretexto de la celebración de contratos adicionales, ni pactarse prórrogas automáticas. </w:t>
      </w:r>
    </w:p>
    <w:p w:rsidRPr="00803210" w:rsidR="000955FD" w:rsidP="000955FD" w:rsidRDefault="000955FD" w14:paraId="0AD729AA" w14:textId="77777777">
      <w:pPr>
        <w:pStyle w:val="Textonotapie"/>
        <w:ind w:firstLine="708"/>
        <w:contextualSpacing/>
        <w:jc w:val="both"/>
        <w:rPr>
          <w:rFonts w:ascii="Verdana" w:hAnsi="Verdana" w:cs="Arial"/>
          <w:sz w:val="16"/>
          <w:szCs w:val="16"/>
        </w:rPr>
      </w:pPr>
      <w:r w:rsidRPr="00803210">
        <w:rPr>
          <w:rFonts w:ascii="Verdana" w:hAnsi="Verdana" w:cs="Arial"/>
          <w:sz w:val="16"/>
          <w:szCs w:val="16"/>
        </w:rPr>
        <w:t>Parágrafo. Los contratos de empréstito distintos a los créditos de proveedores, no se someterán a lo dispuesto en este artículo”.</w:t>
      </w:r>
    </w:p>
    <w:p w:rsidRPr="00803210" w:rsidR="000955FD" w:rsidP="000955FD" w:rsidRDefault="000955FD" w14:paraId="7B661215" w14:textId="77777777">
      <w:pPr>
        <w:pStyle w:val="Textonotapie"/>
        <w:ind w:firstLine="708"/>
        <w:contextualSpacing/>
        <w:jc w:val="both"/>
        <w:rPr>
          <w:rFonts w:ascii="Verdana" w:hAnsi="Verdana" w:cs="Arial"/>
          <w:sz w:val="16"/>
          <w:szCs w:val="16"/>
        </w:rPr>
      </w:pPr>
    </w:p>
  </w:footnote>
  <w:footnote w:id="4">
    <w:p w:rsidRPr="00803210" w:rsidR="000955FD" w:rsidP="000955FD" w:rsidRDefault="000955FD" w14:paraId="15D099BB" w14:textId="77777777">
      <w:pPr>
        <w:pStyle w:val="Textonotapie"/>
        <w:ind w:firstLine="708"/>
        <w:contextualSpacing/>
        <w:jc w:val="both"/>
        <w:rPr>
          <w:rFonts w:ascii="Verdana" w:hAnsi="Verdana" w:cs="Arial"/>
          <w:sz w:val="16"/>
          <w:szCs w:val="16"/>
        </w:rPr>
      </w:pPr>
      <w:r w:rsidRPr="00803210">
        <w:rPr>
          <w:rStyle w:val="Refdenotaalpie"/>
          <w:rFonts w:ascii="Verdana" w:hAnsi="Verdana" w:cs="Arial"/>
          <w:sz w:val="16"/>
          <w:szCs w:val="16"/>
        </w:rPr>
        <w:footnoteRef/>
      </w:r>
      <w:r w:rsidRPr="00803210">
        <w:rPr>
          <w:rFonts w:ascii="Verdana" w:hAnsi="Verdana" w:cs="Arial"/>
          <w:sz w:val="16"/>
          <w:szCs w:val="16"/>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límite: no más del cincuenta por ciento (50%) de su valor inicial, expresado este en salarios mínimos legales mensuales […]”.  Concepto 1128 del 26 de agosto de 1998, C.P. César Hoyos Salazar. </w:t>
      </w:r>
    </w:p>
    <w:p w:rsidRPr="00803210" w:rsidR="000955FD" w:rsidP="000955FD" w:rsidRDefault="000955FD" w14:paraId="7EA65633" w14:textId="77777777">
      <w:pPr>
        <w:pStyle w:val="Textonotapie"/>
        <w:ind w:firstLine="708"/>
        <w:contextualSpacing/>
        <w:jc w:val="both"/>
        <w:rPr>
          <w:rFonts w:ascii="Verdana" w:hAnsi="Verdana" w:cs="Arial"/>
          <w:sz w:val="16"/>
          <w:szCs w:val="16"/>
        </w:rPr>
      </w:pPr>
    </w:p>
  </w:footnote>
  <w:footnote w:id="5">
    <w:p w:rsidR="000955FD" w:rsidP="000955FD" w:rsidRDefault="000955FD" w14:paraId="3D7CCE7B" w14:textId="77777777">
      <w:pPr>
        <w:spacing w:after="0" w:line="240" w:lineRule="auto"/>
        <w:ind w:firstLine="708"/>
        <w:contextualSpacing/>
        <w:jc w:val="both"/>
        <w:rPr>
          <w:rFonts w:ascii="Verdana" w:hAnsi="Verdana"/>
          <w:sz w:val="16"/>
          <w:szCs w:val="16"/>
        </w:rPr>
      </w:pPr>
      <w:r w:rsidRPr="00CC4AB2">
        <w:rPr>
          <w:rStyle w:val="Refdenotaalpie"/>
          <w:rFonts w:ascii="Verdana" w:hAnsi="Verdana"/>
          <w:sz w:val="16"/>
          <w:szCs w:val="16"/>
        </w:rPr>
        <w:footnoteRef/>
      </w:r>
      <w:r w:rsidRPr="00CC4AB2">
        <w:rPr>
          <w:rFonts w:ascii="Verdana" w:hAnsi="Verdana"/>
          <w:sz w:val="16"/>
          <w:szCs w:val="16"/>
        </w:rPr>
        <w:t xml:space="preserve"> CONSEJO DE ESTADO. </w:t>
      </w:r>
      <w:r w:rsidRPr="00236B36">
        <w:rPr>
          <w:rFonts w:ascii="Verdana" w:hAnsi="Verdana"/>
          <w:sz w:val="16"/>
          <w:szCs w:val="16"/>
        </w:rPr>
        <w:t>Sala de Consulta y Servicio Civil.</w:t>
      </w:r>
      <w:r w:rsidRPr="00803210">
        <w:rPr>
          <w:rFonts w:ascii="Verdana" w:hAnsi="Verdana"/>
          <w:i/>
          <w:iCs/>
          <w:sz w:val="16"/>
          <w:szCs w:val="16"/>
        </w:rPr>
        <w:t xml:space="preserve"> </w:t>
      </w:r>
      <w:r w:rsidRPr="00236B36">
        <w:rPr>
          <w:rFonts w:ascii="Verdana" w:hAnsi="Verdana"/>
          <w:sz w:val="16"/>
          <w:szCs w:val="16"/>
        </w:rPr>
        <w:t>C.P.: Óscar Daría Amaya Navas</w:t>
      </w:r>
      <w:r w:rsidRPr="00CC4AB2">
        <w:rPr>
          <w:rFonts w:ascii="Verdana" w:hAnsi="Verdana"/>
          <w:sz w:val="16"/>
          <w:szCs w:val="16"/>
        </w:rPr>
        <w:t xml:space="preserve">. Concepto del </w:t>
      </w:r>
      <w:r w:rsidRPr="00236B36">
        <w:rPr>
          <w:rFonts w:ascii="Verdana" w:hAnsi="Verdana"/>
          <w:sz w:val="16"/>
          <w:szCs w:val="16"/>
        </w:rPr>
        <w:t>06 de junio 2018. Radicación número: 2369.</w:t>
      </w:r>
    </w:p>
    <w:p w:rsidRPr="00803210" w:rsidR="000955FD" w:rsidP="000955FD" w:rsidRDefault="000955FD" w14:paraId="780A1202" w14:textId="77777777">
      <w:pPr>
        <w:spacing w:after="0" w:line="240" w:lineRule="auto"/>
        <w:ind w:firstLine="708"/>
        <w:contextualSpacing/>
        <w:jc w:val="both"/>
        <w:rPr>
          <w:rFonts w:ascii="Verdana" w:hAnsi="Verdana"/>
          <w:i/>
          <w:iCs/>
          <w:sz w:val="16"/>
          <w:szCs w:val="16"/>
        </w:rPr>
      </w:pPr>
    </w:p>
  </w:footnote>
  <w:footnote w:id="6">
    <w:p w:rsidRPr="00D2325B" w:rsidR="00D2325B" w:rsidP="00D2325B" w:rsidRDefault="00D2325B" w14:paraId="0B0527D8" w14:textId="2C61E23F">
      <w:pPr>
        <w:widowControl w:val="0"/>
        <w:autoSpaceDE w:val="0"/>
        <w:autoSpaceDN w:val="0"/>
        <w:spacing w:line="276" w:lineRule="auto"/>
        <w:jc w:val="both"/>
        <w:rPr>
          <w:rFonts w:ascii="Verdana" w:hAnsi="Verdana" w:eastAsia="Calibri" w:cs="Arial"/>
          <w:sz w:val="16"/>
          <w:szCs w:val="16"/>
        </w:rPr>
      </w:pPr>
      <w:r>
        <w:t xml:space="preserve">              </w:t>
      </w:r>
      <w:r>
        <w:rPr>
          <w:rStyle w:val="Refdenotaalpie"/>
        </w:rPr>
        <w:footnoteRef/>
      </w:r>
      <w:r>
        <w:t xml:space="preserve"> </w:t>
      </w:r>
      <w:r w:rsidRPr="00D2325B">
        <w:rPr>
          <w:rFonts w:ascii="Verdana" w:hAnsi="Verdana" w:eastAsia="Calibri" w:cs="Arial"/>
          <w:sz w:val="16"/>
          <w:szCs w:val="16"/>
        </w:rPr>
        <w:t xml:space="preserve">El principio de planeación exige a las entidades </w:t>
      </w:r>
      <w:r w:rsidRPr="00D2325B">
        <w:rPr>
          <w:rFonts w:ascii="Verdana" w:hAnsi="Verdana" w:eastAsia="Calibri" w:cs="Arial"/>
          <w:sz w:val="16"/>
          <w:szCs w:val="16"/>
          <w:lang w:eastAsia="es-ES_tradnl"/>
        </w:rPr>
        <w:t xml:space="preserve">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w:t>
      </w:r>
      <w:r w:rsidRPr="00D2325B">
        <w:rPr>
          <w:rFonts w:ascii="Verdana" w:hAnsi="Verdana" w:eastAsia="Calibri" w:cs="Arial"/>
          <w:i/>
          <w:sz w:val="16"/>
          <w:szCs w:val="16"/>
          <w:lang w:eastAsia="es-ES_tradnl"/>
        </w:rPr>
        <w:t>precios</w:t>
      </w:r>
      <w:r w:rsidRPr="00D2325B">
        <w:rPr>
          <w:rFonts w:ascii="Verdana" w:hAnsi="Verdana" w:eastAsia="Calibri" w:cs="Arial"/>
          <w:sz w:val="16"/>
          <w:szCs w:val="16"/>
          <w:lang w:eastAsia="es-ES_tradnl"/>
        </w:rPr>
        <w:t xml:space="preserve">, costos, riesgos, garantías, disponibilidad, oferentes, etc. </w:t>
      </w:r>
      <w:r w:rsidRPr="00D2325B">
        <w:rPr>
          <w:rFonts w:ascii="Verdana" w:hAnsi="Verdana" w:eastAsia="Calibri" w:cs="Arial"/>
          <w:sz w:val="16"/>
          <w:szCs w:val="16"/>
        </w:rPr>
        <w:t xml:space="preserve"> La planeación del contrato estatal se configura como un presupuesto esencial, según el cual la selección de contratistas, la celebración de contratos, la ejecución y liquidación de estos no pueden ser, de ninguna manera, producto de la improvisación. En consecuencia, debe hacerse un plan detallado de lo que se quiere contratar y de los medios técnicos y económicos con los que se cuenta para alcanzarlo, para con base en ello realizar un procedimiento legalmente idóneo a fin de escoger al particular o Entidad Pública que colaborara en la consecución de la obra, bien o servicio determinado, realizar las previsiones técnicas, legales y económicas a que haya lugar para afrontar las contingencias previsibles que puedan afectar el desarrollo del contrato, y contar con elementos en lo posible suficientes para actuar ante situaciones inesperadas.</w:t>
      </w:r>
    </w:p>
    <w:p w:rsidRPr="00D2325B" w:rsidR="00D2325B" w:rsidP="00D2325B" w:rsidRDefault="00D2325B" w14:paraId="67CFF426" w14:textId="056368E8">
      <w:pPr>
        <w:widowControl w:val="0"/>
        <w:autoSpaceDE w:val="0"/>
        <w:autoSpaceDN w:val="0"/>
        <w:spacing w:line="276" w:lineRule="auto"/>
        <w:jc w:val="both"/>
        <w:rPr>
          <w:lang w:val="es-ES"/>
        </w:rPr>
      </w:pPr>
      <w:r w:rsidRPr="00D2325B">
        <w:rPr>
          <w:rFonts w:ascii="Verdana" w:hAnsi="Verdana" w:eastAsia="Calibri" w:cs="Arial"/>
          <w:sz w:val="16"/>
          <w:szCs w:val="16"/>
        </w:rPr>
        <w:t xml:space="preserve">Las omisiones o errores que cometan las Entidades Públicas en esta etapa podrán verse reflejadas en la ejecución del contrato, provocando incluso la nulidad absoluta del mismo o la necesidad de ajustar el contrato a la realidad del bien, obra o servicio, contratada, el reconocimiento de mayores costos en los eventos en los que haya lugar y, en el caso más extremo, el rompimiento del equilibrio económico. Así mismo, las omisiones o errores pueden conllevar a un detrimento patrimonial, que incluso implique la responsabilidad fiscal del funcionario.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1474" w:rsidRDefault="00F11474" w14:paraId="17BB655D"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06F59" w:rsidP="00006F59" w:rsidRDefault="00006F59" w14:paraId="5F149BFF" w14:textId="78C8B3BB">
    <w:pPr>
      <w:pStyle w:val="Encabezado"/>
    </w:pPr>
    <w:r>
      <w:rPr>
        <w:rFonts w:ascii="Geomanist Bold" w:hAnsi="Geomanist Bold"/>
        <w:b/>
        <w:bCs/>
        <w:noProof/>
        <w:color w:val="002060"/>
        <w:sz w:val="24"/>
        <w:szCs w:val="24"/>
      </w:rPr>
      <w:drawing>
        <wp:anchor distT="0" distB="0" distL="114300" distR="114300" simplePos="0" relativeHeight="251657728"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4975569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6704"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792939712" name="Imagen 792939712"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06F59" w:rsidP="00006F59" w:rsidRDefault="00006F59" w14:paraId="34B171C2" w14:textId="77777777">
    <w:pPr>
      <w:pStyle w:val="Encabezado"/>
      <w:jc w:val="center"/>
    </w:pPr>
  </w:p>
  <w:p w:rsidR="00006F59" w:rsidP="00006F59" w:rsidRDefault="00006F59" w14:paraId="1665FD71" w14:textId="77777777">
    <w:pPr>
      <w:pStyle w:val="Encabezado"/>
    </w:pPr>
  </w:p>
  <w:p w:rsidR="00006F59" w:rsidP="00006F59" w:rsidRDefault="00006F59" w14:paraId="61B882FC" w14:textId="77777777">
    <w:pPr>
      <w:spacing w:after="0"/>
      <w:rPr>
        <w:rFonts w:ascii="Verdana" w:hAnsi="Verdana"/>
        <w:b/>
        <w:bCs/>
        <w:sz w:val="24"/>
        <w:szCs w:val="24"/>
      </w:rPr>
    </w:pPr>
  </w:p>
  <w:p w:rsidRPr="00A211EE" w:rsidR="00006F59" w:rsidP="001918F1" w:rsidRDefault="00006F59" w14:paraId="701A9D55" w14:textId="6367702E">
    <w:pPr>
      <w:tabs>
        <w:tab w:val="left" w:pos="6217"/>
      </w:tabs>
      <w:spacing w:after="0"/>
      <w:rPr>
        <w:rFonts w:ascii="Verdana" w:hAnsi="Verdana"/>
        <w:b/>
        <w:bCs/>
        <w:sz w:val="24"/>
        <w:szCs w:val="24"/>
      </w:rPr>
    </w:pPr>
  </w:p>
  <w:p w:rsidRPr="00006F59" w:rsidR="00B30448" w:rsidP="00006F59" w:rsidRDefault="00B30448" w14:paraId="68E0C024" w14:textId="62811F1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1474" w:rsidRDefault="00F11474" w14:paraId="24DCA711"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801457A"/>
    <w:multiLevelType w:val="hybridMultilevel"/>
    <w:tmpl w:val="38A20F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BA60431"/>
    <w:multiLevelType w:val="hybridMultilevel"/>
    <w:tmpl w:val="DCC894E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0F6E2672"/>
    <w:multiLevelType w:val="hybridMultilevel"/>
    <w:tmpl w:val="DA581ED4"/>
    <w:lvl w:ilvl="0" w:tplc="3564A2D2">
      <w:start w:val="1"/>
      <w:numFmt w:val="lowerRoman"/>
      <w:lvlText w:val="%1)"/>
      <w:lvlJc w:val="left"/>
      <w:pPr>
        <w:ind w:left="1515" w:hanging="720"/>
      </w:pPr>
      <w:rPr>
        <w:rFonts w:hint="default"/>
        <w:i/>
      </w:rPr>
    </w:lvl>
    <w:lvl w:ilvl="1" w:tplc="240A0019" w:tentative="1">
      <w:start w:val="1"/>
      <w:numFmt w:val="lowerLetter"/>
      <w:lvlText w:val="%2."/>
      <w:lvlJc w:val="left"/>
      <w:pPr>
        <w:ind w:left="1875" w:hanging="360"/>
      </w:pPr>
    </w:lvl>
    <w:lvl w:ilvl="2" w:tplc="240A001B" w:tentative="1">
      <w:start w:val="1"/>
      <w:numFmt w:val="lowerRoman"/>
      <w:lvlText w:val="%3."/>
      <w:lvlJc w:val="right"/>
      <w:pPr>
        <w:ind w:left="2595" w:hanging="180"/>
      </w:pPr>
    </w:lvl>
    <w:lvl w:ilvl="3" w:tplc="240A000F" w:tentative="1">
      <w:start w:val="1"/>
      <w:numFmt w:val="decimal"/>
      <w:lvlText w:val="%4."/>
      <w:lvlJc w:val="left"/>
      <w:pPr>
        <w:ind w:left="3315" w:hanging="360"/>
      </w:pPr>
    </w:lvl>
    <w:lvl w:ilvl="4" w:tplc="240A0019" w:tentative="1">
      <w:start w:val="1"/>
      <w:numFmt w:val="lowerLetter"/>
      <w:lvlText w:val="%5."/>
      <w:lvlJc w:val="left"/>
      <w:pPr>
        <w:ind w:left="4035" w:hanging="360"/>
      </w:pPr>
    </w:lvl>
    <w:lvl w:ilvl="5" w:tplc="240A001B" w:tentative="1">
      <w:start w:val="1"/>
      <w:numFmt w:val="lowerRoman"/>
      <w:lvlText w:val="%6."/>
      <w:lvlJc w:val="right"/>
      <w:pPr>
        <w:ind w:left="4755" w:hanging="180"/>
      </w:pPr>
    </w:lvl>
    <w:lvl w:ilvl="6" w:tplc="240A000F" w:tentative="1">
      <w:start w:val="1"/>
      <w:numFmt w:val="decimal"/>
      <w:lvlText w:val="%7."/>
      <w:lvlJc w:val="left"/>
      <w:pPr>
        <w:ind w:left="5475" w:hanging="360"/>
      </w:pPr>
    </w:lvl>
    <w:lvl w:ilvl="7" w:tplc="240A0019" w:tentative="1">
      <w:start w:val="1"/>
      <w:numFmt w:val="lowerLetter"/>
      <w:lvlText w:val="%8."/>
      <w:lvlJc w:val="left"/>
      <w:pPr>
        <w:ind w:left="6195" w:hanging="360"/>
      </w:pPr>
    </w:lvl>
    <w:lvl w:ilvl="8" w:tplc="240A001B" w:tentative="1">
      <w:start w:val="1"/>
      <w:numFmt w:val="lowerRoman"/>
      <w:lvlText w:val="%9."/>
      <w:lvlJc w:val="right"/>
      <w:pPr>
        <w:ind w:left="6915" w:hanging="180"/>
      </w:pPr>
    </w:lvl>
  </w:abstractNum>
  <w:abstractNum w:abstractNumId="4" w15:restartNumberingAfterBreak="0">
    <w:nsid w:val="17107B63"/>
    <w:multiLevelType w:val="multilevel"/>
    <w:tmpl w:val="A4109F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D29639B"/>
    <w:multiLevelType w:val="hybridMultilevel"/>
    <w:tmpl w:val="3BCEA63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1E5971F2"/>
    <w:multiLevelType w:val="hybridMultilevel"/>
    <w:tmpl w:val="66BCAA7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21365BB7"/>
    <w:multiLevelType w:val="hybridMultilevel"/>
    <w:tmpl w:val="F73413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hint="default" w:ascii="Verdana" w:hAnsi="Verdana"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9" w15:restartNumberingAfterBreak="0">
    <w:nsid w:val="284515BF"/>
    <w:multiLevelType w:val="hybridMultilevel"/>
    <w:tmpl w:val="08A6310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0" w15:restartNumberingAfterBreak="0">
    <w:nsid w:val="298928FE"/>
    <w:multiLevelType w:val="hybridMultilevel"/>
    <w:tmpl w:val="4628E5F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1"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2" w15:restartNumberingAfterBreak="0">
    <w:nsid w:val="332310C6"/>
    <w:multiLevelType w:val="hybridMultilevel"/>
    <w:tmpl w:val="6610D95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337E2B84"/>
    <w:multiLevelType w:val="hybridMultilevel"/>
    <w:tmpl w:val="CACC6AD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6" w15:restartNumberingAfterBreak="0">
    <w:nsid w:val="3EF169A3"/>
    <w:multiLevelType w:val="hybridMultilevel"/>
    <w:tmpl w:val="410486B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475C5A77"/>
    <w:multiLevelType w:val="hybridMultilevel"/>
    <w:tmpl w:val="F5321E28"/>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4D0E478B"/>
    <w:multiLevelType w:val="hybridMultilevel"/>
    <w:tmpl w:val="869EF6D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9" w15:restartNumberingAfterBreak="0">
    <w:nsid w:val="5264000C"/>
    <w:multiLevelType w:val="hybridMultilevel"/>
    <w:tmpl w:val="E38AC9C6"/>
    <w:lvl w:ilvl="0" w:tplc="240A0001">
      <w:start w:val="1"/>
      <w:numFmt w:val="bullet"/>
      <w:lvlText w:val=""/>
      <w:lvlJc w:val="left"/>
      <w:pPr>
        <w:ind w:left="1429" w:hanging="360"/>
      </w:pPr>
      <w:rPr>
        <w:rFonts w:hint="default" w:ascii="Symbol" w:hAnsi="Symbol"/>
      </w:rPr>
    </w:lvl>
    <w:lvl w:ilvl="1" w:tplc="240A0003" w:tentative="1">
      <w:start w:val="1"/>
      <w:numFmt w:val="bullet"/>
      <w:lvlText w:val="o"/>
      <w:lvlJc w:val="left"/>
      <w:pPr>
        <w:ind w:left="2149" w:hanging="360"/>
      </w:pPr>
      <w:rPr>
        <w:rFonts w:hint="default" w:ascii="Courier New" w:hAnsi="Courier New" w:cs="Courier New"/>
      </w:rPr>
    </w:lvl>
    <w:lvl w:ilvl="2" w:tplc="240A0005" w:tentative="1">
      <w:start w:val="1"/>
      <w:numFmt w:val="bullet"/>
      <w:lvlText w:val=""/>
      <w:lvlJc w:val="left"/>
      <w:pPr>
        <w:ind w:left="2869" w:hanging="360"/>
      </w:pPr>
      <w:rPr>
        <w:rFonts w:hint="default" w:ascii="Wingdings" w:hAnsi="Wingdings"/>
      </w:rPr>
    </w:lvl>
    <w:lvl w:ilvl="3" w:tplc="240A0001" w:tentative="1">
      <w:start w:val="1"/>
      <w:numFmt w:val="bullet"/>
      <w:lvlText w:val=""/>
      <w:lvlJc w:val="left"/>
      <w:pPr>
        <w:ind w:left="3589" w:hanging="360"/>
      </w:pPr>
      <w:rPr>
        <w:rFonts w:hint="default" w:ascii="Symbol" w:hAnsi="Symbol"/>
      </w:rPr>
    </w:lvl>
    <w:lvl w:ilvl="4" w:tplc="240A0003" w:tentative="1">
      <w:start w:val="1"/>
      <w:numFmt w:val="bullet"/>
      <w:lvlText w:val="o"/>
      <w:lvlJc w:val="left"/>
      <w:pPr>
        <w:ind w:left="4309" w:hanging="360"/>
      </w:pPr>
      <w:rPr>
        <w:rFonts w:hint="default" w:ascii="Courier New" w:hAnsi="Courier New" w:cs="Courier New"/>
      </w:rPr>
    </w:lvl>
    <w:lvl w:ilvl="5" w:tplc="240A0005" w:tentative="1">
      <w:start w:val="1"/>
      <w:numFmt w:val="bullet"/>
      <w:lvlText w:val=""/>
      <w:lvlJc w:val="left"/>
      <w:pPr>
        <w:ind w:left="5029" w:hanging="360"/>
      </w:pPr>
      <w:rPr>
        <w:rFonts w:hint="default" w:ascii="Wingdings" w:hAnsi="Wingdings"/>
      </w:rPr>
    </w:lvl>
    <w:lvl w:ilvl="6" w:tplc="240A0001" w:tentative="1">
      <w:start w:val="1"/>
      <w:numFmt w:val="bullet"/>
      <w:lvlText w:val=""/>
      <w:lvlJc w:val="left"/>
      <w:pPr>
        <w:ind w:left="5749" w:hanging="360"/>
      </w:pPr>
      <w:rPr>
        <w:rFonts w:hint="default" w:ascii="Symbol" w:hAnsi="Symbol"/>
      </w:rPr>
    </w:lvl>
    <w:lvl w:ilvl="7" w:tplc="240A0003" w:tentative="1">
      <w:start w:val="1"/>
      <w:numFmt w:val="bullet"/>
      <w:lvlText w:val="o"/>
      <w:lvlJc w:val="left"/>
      <w:pPr>
        <w:ind w:left="6469" w:hanging="360"/>
      </w:pPr>
      <w:rPr>
        <w:rFonts w:hint="default" w:ascii="Courier New" w:hAnsi="Courier New" w:cs="Courier New"/>
      </w:rPr>
    </w:lvl>
    <w:lvl w:ilvl="8" w:tplc="240A0005" w:tentative="1">
      <w:start w:val="1"/>
      <w:numFmt w:val="bullet"/>
      <w:lvlText w:val=""/>
      <w:lvlJc w:val="left"/>
      <w:pPr>
        <w:ind w:left="7189" w:hanging="360"/>
      </w:pPr>
      <w:rPr>
        <w:rFonts w:hint="default" w:ascii="Wingdings" w:hAnsi="Wingdings"/>
      </w:rPr>
    </w:lvl>
  </w:abstractNum>
  <w:abstractNum w:abstractNumId="20" w15:restartNumberingAfterBreak="0">
    <w:nsid w:val="5DFC639C"/>
    <w:multiLevelType w:val="hybridMultilevel"/>
    <w:tmpl w:val="6A9EC76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1" w15:restartNumberingAfterBreak="0">
    <w:nsid w:val="661C105F"/>
    <w:multiLevelType w:val="hybridMultilevel"/>
    <w:tmpl w:val="FF7611B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2" w15:restartNumberingAfterBreak="0">
    <w:nsid w:val="77681820"/>
    <w:multiLevelType w:val="hybridMultilevel"/>
    <w:tmpl w:val="978A04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3" w15:restartNumberingAfterBreak="0">
    <w:nsid w:val="795C0D9A"/>
    <w:multiLevelType w:val="hybridMultilevel"/>
    <w:tmpl w:val="025608E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4" w15:restartNumberingAfterBreak="0">
    <w:nsid w:val="7A6C4E08"/>
    <w:multiLevelType w:val="hybridMultilevel"/>
    <w:tmpl w:val="7A8E035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5" w15:restartNumberingAfterBreak="0">
    <w:nsid w:val="7CA47E24"/>
    <w:multiLevelType w:val="hybridMultilevel"/>
    <w:tmpl w:val="F746DE12"/>
    <w:lvl w:ilvl="0" w:tplc="240A0001">
      <w:start w:val="1"/>
      <w:numFmt w:val="bullet"/>
      <w:lvlText w:val=""/>
      <w:lvlJc w:val="left"/>
      <w:pPr>
        <w:ind w:left="795" w:hanging="360"/>
      </w:pPr>
      <w:rPr>
        <w:rFonts w:hint="default" w:ascii="Symbol" w:hAnsi="Symbol"/>
      </w:rPr>
    </w:lvl>
    <w:lvl w:ilvl="1" w:tplc="240A0003" w:tentative="1">
      <w:start w:val="1"/>
      <w:numFmt w:val="bullet"/>
      <w:lvlText w:val="o"/>
      <w:lvlJc w:val="left"/>
      <w:pPr>
        <w:ind w:left="1515" w:hanging="360"/>
      </w:pPr>
      <w:rPr>
        <w:rFonts w:hint="default" w:ascii="Courier New" w:hAnsi="Courier New" w:cs="Courier New"/>
      </w:rPr>
    </w:lvl>
    <w:lvl w:ilvl="2" w:tplc="240A0005" w:tentative="1">
      <w:start w:val="1"/>
      <w:numFmt w:val="bullet"/>
      <w:lvlText w:val=""/>
      <w:lvlJc w:val="left"/>
      <w:pPr>
        <w:ind w:left="2235" w:hanging="360"/>
      </w:pPr>
      <w:rPr>
        <w:rFonts w:hint="default" w:ascii="Wingdings" w:hAnsi="Wingdings"/>
      </w:rPr>
    </w:lvl>
    <w:lvl w:ilvl="3" w:tplc="240A0001" w:tentative="1">
      <w:start w:val="1"/>
      <w:numFmt w:val="bullet"/>
      <w:lvlText w:val=""/>
      <w:lvlJc w:val="left"/>
      <w:pPr>
        <w:ind w:left="2955" w:hanging="360"/>
      </w:pPr>
      <w:rPr>
        <w:rFonts w:hint="default" w:ascii="Symbol" w:hAnsi="Symbol"/>
      </w:rPr>
    </w:lvl>
    <w:lvl w:ilvl="4" w:tplc="240A0003" w:tentative="1">
      <w:start w:val="1"/>
      <w:numFmt w:val="bullet"/>
      <w:lvlText w:val="o"/>
      <w:lvlJc w:val="left"/>
      <w:pPr>
        <w:ind w:left="3675" w:hanging="360"/>
      </w:pPr>
      <w:rPr>
        <w:rFonts w:hint="default" w:ascii="Courier New" w:hAnsi="Courier New" w:cs="Courier New"/>
      </w:rPr>
    </w:lvl>
    <w:lvl w:ilvl="5" w:tplc="240A0005" w:tentative="1">
      <w:start w:val="1"/>
      <w:numFmt w:val="bullet"/>
      <w:lvlText w:val=""/>
      <w:lvlJc w:val="left"/>
      <w:pPr>
        <w:ind w:left="4395" w:hanging="360"/>
      </w:pPr>
      <w:rPr>
        <w:rFonts w:hint="default" w:ascii="Wingdings" w:hAnsi="Wingdings"/>
      </w:rPr>
    </w:lvl>
    <w:lvl w:ilvl="6" w:tplc="240A0001" w:tentative="1">
      <w:start w:val="1"/>
      <w:numFmt w:val="bullet"/>
      <w:lvlText w:val=""/>
      <w:lvlJc w:val="left"/>
      <w:pPr>
        <w:ind w:left="5115" w:hanging="360"/>
      </w:pPr>
      <w:rPr>
        <w:rFonts w:hint="default" w:ascii="Symbol" w:hAnsi="Symbol"/>
      </w:rPr>
    </w:lvl>
    <w:lvl w:ilvl="7" w:tplc="240A0003" w:tentative="1">
      <w:start w:val="1"/>
      <w:numFmt w:val="bullet"/>
      <w:lvlText w:val="o"/>
      <w:lvlJc w:val="left"/>
      <w:pPr>
        <w:ind w:left="5835" w:hanging="360"/>
      </w:pPr>
      <w:rPr>
        <w:rFonts w:hint="default" w:ascii="Courier New" w:hAnsi="Courier New" w:cs="Courier New"/>
      </w:rPr>
    </w:lvl>
    <w:lvl w:ilvl="8" w:tplc="240A0005" w:tentative="1">
      <w:start w:val="1"/>
      <w:numFmt w:val="bullet"/>
      <w:lvlText w:val=""/>
      <w:lvlJc w:val="left"/>
      <w:pPr>
        <w:ind w:left="6555" w:hanging="360"/>
      </w:pPr>
      <w:rPr>
        <w:rFonts w:hint="default" w:ascii="Wingdings" w:hAnsi="Wingdings"/>
      </w:rPr>
    </w:lvl>
  </w:abstractNum>
  <w:abstractNum w:abstractNumId="26" w15:restartNumberingAfterBreak="0">
    <w:nsid w:val="7DD23916"/>
    <w:multiLevelType w:val="multilevel"/>
    <w:tmpl w:val="89F2A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E376794"/>
    <w:multiLevelType w:val="hybridMultilevel"/>
    <w:tmpl w:val="14E62B0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1330140246">
    <w:abstractNumId w:val="0"/>
  </w:num>
  <w:num w:numId="2" w16cid:durableId="1492209491">
    <w:abstractNumId w:val="11"/>
  </w:num>
  <w:num w:numId="3" w16cid:durableId="679089576">
    <w:abstractNumId w:val="15"/>
  </w:num>
  <w:num w:numId="4" w16cid:durableId="893472101">
    <w:abstractNumId w:val="8"/>
  </w:num>
  <w:num w:numId="5" w16cid:durableId="1982299905">
    <w:abstractNumId w:val="26"/>
  </w:num>
  <w:num w:numId="6" w16cid:durableId="130758360">
    <w:abstractNumId w:val="17"/>
  </w:num>
  <w:num w:numId="7" w16cid:durableId="262541512">
    <w:abstractNumId w:val="22"/>
  </w:num>
  <w:num w:numId="8" w16cid:durableId="104272583">
    <w:abstractNumId w:val="2"/>
  </w:num>
  <w:num w:numId="9" w16cid:durableId="1999337129">
    <w:abstractNumId w:val="24"/>
  </w:num>
  <w:num w:numId="10" w16cid:durableId="905800357">
    <w:abstractNumId w:val="7"/>
  </w:num>
  <w:num w:numId="11" w16cid:durableId="1044253173">
    <w:abstractNumId w:val="10"/>
  </w:num>
  <w:num w:numId="12" w16cid:durableId="289018737">
    <w:abstractNumId w:val="27"/>
  </w:num>
  <w:num w:numId="13" w16cid:durableId="1910656144">
    <w:abstractNumId w:val="1"/>
  </w:num>
  <w:num w:numId="14" w16cid:durableId="1180662790">
    <w:abstractNumId w:val="19"/>
  </w:num>
  <w:num w:numId="15" w16cid:durableId="1549102236">
    <w:abstractNumId w:val="21"/>
  </w:num>
  <w:num w:numId="16" w16cid:durableId="1608417226">
    <w:abstractNumId w:val="18"/>
  </w:num>
  <w:num w:numId="17" w16cid:durableId="1317221377">
    <w:abstractNumId w:val="14"/>
  </w:num>
  <w:num w:numId="18" w16cid:durableId="1480686537">
    <w:abstractNumId w:val="4"/>
  </w:num>
  <w:num w:numId="19" w16cid:durableId="2067606687">
    <w:abstractNumId w:val="6"/>
  </w:num>
  <w:num w:numId="20" w16cid:durableId="1550191658">
    <w:abstractNumId w:val="20"/>
  </w:num>
  <w:num w:numId="21" w16cid:durableId="927537294">
    <w:abstractNumId w:val="16"/>
  </w:num>
  <w:num w:numId="22" w16cid:durableId="129979088">
    <w:abstractNumId w:val="12"/>
  </w:num>
  <w:num w:numId="23" w16cid:durableId="1822505858">
    <w:abstractNumId w:val="9"/>
  </w:num>
  <w:num w:numId="24" w16cid:durableId="145635792">
    <w:abstractNumId w:val="5"/>
  </w:num>
  <w:num w:numId="25" w16cid:durableId="377046705">
    <w:abstractNumId w:val="13"/>
  </w:num>
  <w:num w:numId="26" w16cid:durableId="509684007">
    <w:abstractNumId w:val="25"/>
  </w:num>
  <w:num w:numId="27" w16cid:durableId="831144968">
    <w:abstractNumId w:val="3"/>
  </w:num>
  <w:num w:numId="28" w16cid:durableId="17845693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981"/>
    <w:rsid w:val="00016280"/>
    <w:rsid w:val="0001672C"/>
    <w:rsid w:val="00016F04"/>
    <w:rsid w:val="00017870"/>
    <w:rsid w:val="000219D1"/>
    <w:rsid w:val="00021C3A"/>
    <w:rsid w:val="0002202D"/>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52A9"/>
    <w:rsid w:val="00075333"/>
    <w:rsid w:val="000762C0"/>
    <w:rsid w:val="00076C2B"/>
    <w:rsid w:val="00076F81"/>
    <w:rsid w:val="00084BFD"/>
    <w:rsid w:val="00087073"/>
    <w:rsid w:val="000878E7"/>
    <w:rsid w:val="00087C01"/>
    <w:rsid w:val="00087DBD"/>
    <w:rsid w:val="000903E4"/>
    <w:rsid w:val="00091D73"/>
    <w:rsid w:val="000933B5"/>
    <w:rsid w:val="000933BC"/>
    <w:rsid w:val="00093544"/>
    <w:rsid w:val="00094663"/>
    <w:rsid w:val="00095410"/>
    <w:rsid w:val="000955FD"/>
    <w:rsid w:val="00095E48"/>
    <w:rsid w:val="00096637"/>
    <w:rsid w:val="00097285"/>
    <w:rsid w:val="000A021A"/>
    <w:rsid w:val="000A1828"/>
    <w:rsid w:val="000A1F38"/>
    <w:rsid w:val="000A2030"/>
    <w:rsid w:val="000A359E"/>
    <w:rsid w:val="000A413A"/>
    <w:rsid w:val="000A66A1"/>
    <w:rsid w:val="000A69FB"/>
    <w:rsid w:val="000A70DD"/>
    <w:rsid w:val="000B1087"/>
    <w:rsid w:val="000B199A"/>
    <w:rsid w:val="000B1FF7"/>
    <w:rsid w:val="000B2529"/>
    <w:rsid w:val="000B2B7C"/>
    <w:rsid w:val="000B381D"/>
    <w:rsid w:val="000B3DF5"/>
    <w:rsid w:val="000B4024"/>
    <w:rsid w:val="000B4453"/>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C794E"/>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F0144"/>
    <w:rsid w:val="000F0807"/>
    <w:rsid w:val="000F1AD8"/>
    <w:rsid w:val="000F2F4C"/>
    <w:rsid w:val="000F38D9"/>
    <w:rsid w:val="000F3CED"/>
    <w:rsid w:val="000F414C"/>
    <w:rsid w:val="000F64FC"/>
    <w:rsid w:val="000F696E"/>
    <w:rsid w:val="000F718E"/>
    <w:rsid w:val="000F7F5A"/>
    <w:rsid w:val="00100207"/>
    <w:rsid w:val="001003C6"/>
    <w:rsid w:val="00100682"/>
    <w:rsid w:val="001010D3"/>
    <w:rsid w:val="00101C11"/>
    <w:rsid w:val="00102F4F"/>
    <w:rsid w:val="001034DD"/>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650B"/>
    <w:rsid w:val="00116616"/>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44F9"/>
    <w:rsid w:val="00135F76"/>
    <w:rsid w:val="001360E9"/>
    <w:rsid w:val="001360F4"/>
    <w:rsid w:val="001363C7"/>
    <w:rsid w:val="00136E87"/>
    <w:rsid w:val="00140793"/>
    <w:rsid w:val="001422BD"/>
    <w:rsid w:val="0014286D"/>
    <w:rsid w:val="001436FE"/>
    <w:rsid w:val="00143B8E"/>
    <w:rsid w:val="00143F21"/>
    <w:rsid w:val="0014420C"/>
    <w:rsid w:val="001446C3"/>
    <w:rsid w:val="001461A7"/>
    <w:rsid w:val="00146946"/>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78B"/>
    <w:rsid w:val="001837E5"/>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0E4"/>
    <w:rsid w:val="001948F5"/>
    <w:rsid w:val="00194958"/>
    <w:rsid w:val="00196172"/>
    <w:rsid w:val="00197205"/>
    <w:rsid w:val="001975ED"/>
    <w:rsid w:val="00197A9D"/>
    <w:rsid w:val="001A05A2"/>
    <w:rsid w:val="001A1FDD"/>
    <w:rsid w:val="001A2D8F"/>
    <w:rsid w:val="001A3D89"/>
    <w:rsid w:val="001A545B"/>
    <w:rsid w:val="001A54DA"/>
    <w:rsid w:val="001A6861"/>
    <w:rsid w:val="001B143B"/>
    <w:rsid w:val="001B1777"/>
    <w:rsid w:val="001B19C5"/>
    <w:rsid w:val="001B1B6D"/>
    <w:rsid w:val="001B1C93"/>
    <w:rsid w:val="001B1E8B"/>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412"/>
    <w:rsid w:val="001F15F6"/>
    <w:rsid w:val="001F179C"/>
    <w:rsid w:val="001F2649"/>
    <w:rsid w:val="001F3496"/>
    <w:rsid w:val="001F41CA"/>
    <w:rsid w:val="001F4355"/>
    <w:rsid w:val="001F61DE"/>
    <w:rsid w:val="001F7054"/>
    <w:rsid w:val="002000AA"/>
    <w:rsid w:val="0020302A"/>
    <w:rsid w:val="002032A0"/>
    <w:rsid w:val="00203532"/>
    <w:rsid w:val="00203AE0"/>
    <w:rsid w:val="00204106"/>
    <w:rsid w:val="00204109"/>
    <w:rsid w:val="0020524C"/>
    <w:rsid w:val="002059E3"/>
    <w:rsid w:val="00211DCE"/>
    <w:rsid w:val="00212390"/>
    <w:rsid w:val="00212544"/>
    <w:rsid w:val="0021285B"/>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5AB"/>
    <w:rsid w:val="00224CBF"/>
    <w:rsid w:val="002250D1"/>
    <w:rsid w:val="0022572C"/>
    <w:rsid w:val="002267D2"/>
    <w:rsid w:val="00226C26"/>
    <w:rsid w:val="00230839"/>
    <w:rsid w:val="00231ADB"/>
    <w:rsid w:val="00232178"/>
    <w:rsid w:val="00232248"/>
    <w:rsid w:val="00232D12"/>
    <w:rsid w:val="002353E3"/>
    <w:rsid w:val="00235F30"/>
    <w:rsid w:val="00236287"/>
    <w:rsid w:val="002363FF"/>
    <w:rsid w:val="00236D10"/>
    <w:rsid w:val="00237EBB"/>
    <w:rsid w:val="002407CE"/>
    <w:rsid w:val="00242325"/>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1F4D"/>
    <w:rsid w:val="00272787"/>
    <w:rsid w:val="00272826"/>
    <w:rsid w:val="00272891"/>
    <w:rsid w:val="00272A7B"/>
    <w:rsid w:val="00272C44"/>
    <w:rsid w:val="00273527"/>
    <w:rsid w:val="00273F6B"/>
    <w:rsid w:val="002747EF"/>
    <w:rsid w:val="00274B06"/>
    <w:rsid w:val="002754D3"/>
    <w:rsid w:val="00276944"/>
    <w:rsid w:val="002769AE"/>
    <w:rsid w:val="002817A6"/>
    <w:rsid w:val="002824C5"/>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A0444"/>
    <w:rsid w:val="002A0F8D"/>
    <w:rsid w:val="002A1377"/>
    <w:rsid w:val="002A264B"/>
    <w:rsid w:val="002A2E9E"/>
    <w:rsid w:val="002A3B6D"/>
    <w:rsid w:val="002A4A82"/>
    <w:rsid w:val="002A4B33"/>
    <w:rsid w:val="002A5311"/>
    <w:rsid w:val="002A650E"/>
    <w:rsid w:val="002A7F81"/>
    <w:rsid w:val="002B05D1"/>
    <w:rsid w:val="002B1933"/>
    <w:rsid w:val="002B20BD"/>
    <w:rsid w:val="002B3A46"/>
    <w:rsid w:val="002B3F1C"/>
    <w:rsid w:val="002B4ED9"/>
    <w:rsid w:val="002B4EF4"/>
    <w:rsid w:val="002B58C5"/>
    <w:rsid w:val="002B6CA2"/>
    <w:rsid w:val="002B6E44"/>
    <w:rsid w:val="002B6E8A"/>
    <w:rsid w:val="002B726F"/>
    <w:rsid w:val="002B744E"/>
    <w:rsid w:val="002C000B"/>
    <w:rsid w:val="002C09A8"/>
    <w:rsid w:val="002C103C"/>
    <w:rsid w:val="002C12C7"/>
    <w:rsid w:val="002C30AD"/>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717C"/>
    <w:rsid w:val="002E7533"/>
    <w:rsid w:val="002E7A61"/>
    <w:rsid w:val="002E7AD0"/>
    <w:rsid w:val="002F00B8"/>
    <w:rsid w:val="002F0106"/>
    <w:rsid w:val="002F03C8"/>
    <w:rsid w:val="002F188D"/>
    <w:rsid w:val="002F18A5"/>
    <w:rsid w:val="002F317F"/>
    <w:rsid w:val="002F5610"/>
    <w:rsid w:val="002F5E95"/>
    <w:rsid w:val="002F63CA"/>
    <w:rsid w:val="002F67B4"/>
    <w:rsid w:val="002F6F73"/>
    <w:rsid w:val="002F7AA9"/>
    <w:rsid w:val="002F7F50"/>
    <w:rsid w:val="003004E3"/>
    <w:rsid w:val="00300DA4"/>
    <w:rsid w:val="00300F40"/>
    <w:rsid w:val="00301C0D"/>
    <w:rsid w:val="00301D7B"/>
    <w:rsid w:val="00301E19"/>
    <w:rsid w:val="00304676"/>
    <w:rsid w:val="00306BE7"/>
    <w:rsid w:val="00311B66"/>
    <w:rsid w:val="00314036"/>
    <w:rsid w:val="00314347"/>
    <w:rsid w:val="00314C4F"/>
    <w:rsid w:val="00314FAF"/>
    <w:rsid w:val="003162A5"/>
    <w:rsid w:val="00316591"/>
    <w:rsid w:val="00320536"/>
    <w:rsid w:val="00320C6D"/>
    <w:rsid w:val="003213A8"/>
    <w:rsid w:val="00321FA8"/>
    <w:rsid w:val="00321FFD"/>
    <w:rsid w:val="00322E18"/>
    <w:rsid w:val="00323C3D"/>
    <w:rsid w:val="00323D1D"/>
    <w:rsid w:val="00323F8A"/>
    <w:rsid w:val="00324D73"/>
    <w:rsid w:val="00324D82"/>
    <w:rsid w:val="00326011"/>
    <w:rsid w:val="00327069"/>
    <w:rsid w:val="00327812"/>
    <w:rsid w:val="00327AFB"/>
    <w:rsid w:val="00327BAF"/>
    <w:rsid w:val="00327D10"/>
    <w:rsid w:val="00332650"/>
    <w:rsid w:val="00332CB8"/>
    <w:rsid w:val="00333428"/>
    <w:rsid w:val="003350B6"/>
    <w:rsid w:val="0033595E"/>
    <w:rsid w:val="0033601B"/>
    <w:rsid w:val="0033764C"/>
    <w:rsid w:val="00340039"/>
    <w:rsid w:val="0034024F"/>
    <w:rsid w:val="00340A77"/>
    <w:rsid w:val="00340DFB"/>
    <w:rsid w:val="00341941"/>
    <w:rsid w:val="0034207A"/>
    <w:rsid w:val="0034278F"/>
    <w:rsid w:val="00343B47"/>
    <w:rsid w:val="0034404F"/>
    <w:rsid w:val="00344ACC"/>
    <w:rsid w:val="00345F01"/>
    <w:rsid w:val="0034654F"/>
    <w:rsid w:val="00347685"/>
    <w:rsid w:val="003509A5"/>
    <w:rsid w:val="00351E21"/>
    <w:rsid w:val="00352327"/>
    <w:rsid w:val="00353ECE"/>
    <w:rsid w:val="00354405"/>
    <w:rsid w:val="00355A76"/>
    <w:rsid w:val="0035635F"/>
    <w:rsid w:val="003607EE"/>
    <w:rsid w:val="00360BC8"/>
    <w:rsid w:val="003617AE"/>
    <w:rsid w:val="0036215C"/>
    <w:rsid w:val="003630F7"/>
    <w:rsid w:val="00363589"/>
    <w:rsid w:val="00363636"/>
    <w:rsid w:val="003651AC"/>
    <w:rsid w:val="00366120"/>
    <w:rsid w:val="003661FF"/>
    <w:rsid w:val="00366A0C"/>
    <w:rsid w:val="00367462"/>
    <w:rsid w:val="00367C99"/>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83C"/>
    <w:rsid w:val="00387AA1"/>
    <w:rsid w:val="0039082A"/>
    <w:rsid w:val="0039101F"/>
    <w:rsid w:val="00392EDB"/>
    <w:rsid w:val="003931AA"/>
    <w:rsid w:val="00393EEE"/>
    <w:rsid w:val="00395132"/>
    <w:rsid w:val="00395D99"/>
    <w:rsid w:val="003968DF"/>
    <w:rsid w:val="0039733E"/>
    <w:rsid w:val="00397A64"/>
    <w:rsid w:val="003A0948"/>
    <w:rsid w:val="003A099A"/>
    <w:rsid w:val="003A3927"/>
    <w:rsid w:val="003A3FF7"/>
    <w:rsid w:val="003A6E29"/>
    <w:rsid w:val="003B0BDB"/>
    <w:rsid w:val="003B0E88"/>
    <w:rsid w:val="003B17B0"/>
    <w:rsid w:val="003B1844"/>
    <w:rsid w:val="003B211E"/>
    <w:rsid w:val="003B24EA"/>
    <w:rsid w:val="003B3AB7"/>
    <w:rsid w:val="003B3D8E"/>
    <w:rsid w:val="003B3FED"/>
    <w:rsid w:val="003B3FF1"/>
    <w:rsid w:val="003B4217"/>
    <w:rsid w:val="003B63B7"/>
    <w:rsid w:val="003B7541"/>
    <w:rsid w:val="003B7F07"/>
    <w:rsid w:val="003C0F87"/>
    <w:rsid w:val="003C141E"/>
    <w:rsid w:val="003C1B83"/>
    <w:rsid w:val="003C21B3"/>
    <w:rsid w:val="003C3503"/>
    <w:rsid w:val="003C359A"/>
    <w:rsid w:val="003C40DE"/>
    <w:rsid w:val="003C4851"/>
    <w:rsid w:val="003C4C96"/>
    <w:rsid w:val="003C55E0"/>
    <w:rsid w:val="003C5E39"/>
    <w:rsid w:val="003C683A"/>
    <w:rsid w:val="003D0079"/>
    <w:rsid w:val="003D10EC"/>
    <w:rsid w:val="003D29B9"/>
    <w:rsid w:val="003D3500"/>
    <w:rsid w:val="003D37B6"/>
    <w:rsid w:val="003D3838"/>
    <w:rsid w:val="003D503A"/>
    <w:rsid w:val="003D71A6"/>
    <w:rsid w:val="003D7709"/>
    <w:rsid w:val="003E0BAF"/>
    <w:rsid w:val="003E0E25"/>
    <w:rsid w:val="003E1409"/>
    <w:rsid w:val="003E16F2"/>
    <w:rsid w:val="003E2139"/>
    <w:rsid w:val="003E78A9"/>
    <w:rsid w:val="003E7912"/>
    <w:rsid w:val="003F04E6"/>
    <w:rsid w:val="003F2CDD"/>
    <w:rsid w:val="003F3434"/>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3C5C"/>
    <w:rsid w:val="00413C62"/>
    <w:rsid w:val="0041567A"/>
    <w:rsid w:val="00415BCF"/>
    <w:rsid w:val="00416297"/>
    <w:rsid w:val="00417083"/>
    <w:rsid w:val="0042057C"/>
    <w:rsid w:val="00421608"/>
    <w:rsid w:val="00421C23"/>
    <w:rsid w:val="0042261E"/>
    <w:rsid w:val="00422749"/>
    <w:rsid w:val="004233DC"/>
    <w:rsid w:val="00425763"/>
    <w:rsid w:val="004275B2"/>
    <w:rsid w:val="004306AB"/>
    <w:rsid w:val="0043159D"/>
    <w:rsid w:val="0043171D"/>
    <w:rsid w:val="00432F78"/>
    <w:rsid w:val="004334A2"/>
    <w:rsid w:val="0043354F"/>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4D"/>
    <w:rsid w:val="00460CE3"/>
    <w:rsid w:val="004612A4"/>
    <w:rsid w:val="004624D2"/>
    <w:rsid w:val="0046442A"/>
    <w:rsid w:val="00464BF1"/>
    <w:rsid w:val="004652B8"/>
    <w:rsid w:val="004676E4"/>
    <w:rsid w:val="00470183"/>
    <w:rsid w:val="004708C9"/>
    <w:rsid w:val="00470C48"/>
    <w:rsid w:val="00471429"/>
    <w:rsid w:val="00473A47"/>
    <w:rsid w:val="00473A4F"/>
    <w:rsid w:val="00473C0A"/>
    <w:rsid w:val="0047403F"/>
    <w:rsid w:val="00474415"/>
    <w:rsid w:val="00474BC1"/>
    <w:rsid w:val="00477459"/>
    <w:rsid w:val="00477CC9"/>
    <w:rsid w:val="0048026E"/>
    <w:rsid w:val="00480303"/>
    <w:rsid w:val="004807A9"/>
    <w:rsid w:val="00481318"/>
    <w:rsid w:val="004813EE"/>
    <w:rsid w:val="00482CDC"/>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A7652"/>
    <w:rsid w:val="004B06C3"/>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6127"/>
    <w:rsid w:val="004C7BDE"/>
    <w:rsid w:val="004D0090"/>
    <w:rsid w:val="004D020F"/>
    <w:rsid w:val="004D03D1"/>
    <w:rsid w:val="004D11AF"/>
    <w:rsid w:val="004D41A2"/>
    <w:rsid w:val="004D49D5"/>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398D"/>
    <w:rsid w:val="004F590E"/>
    <w:rsid w:val="004F5966"/>
    <w:rsid w:val="004F607E"/>
    <w:rsid w:val="004F60F4"/>
    <w:rsid w:val="004F612D"/>
    <w:rsid w:val="004F62E8"/>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15F0"/>
    <w:rsid w:val="00533DBF"/>
    <w:rsid w:val="00534940"/>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5D6"/>
    <w:rsid w:val="0055263A"/>
    <w:rsid w:val="005526EE"/>
    <w:rsid w:val="00552ABF"/>
    <w:rsid w:val="00552B57"/>
    <w:rsid w:val="00552E53"/>
    <w:rsid w:val="00553E34"/>
    <w:rsid w:val="005547B7"/>
    <w:rsid w:val="005551E9"/>
    <w:rsid w:val="0055680D"/>
    <w:rsid w:val="00560094"/>
    <w:rsid w:val="00560C62"/>
    <w:rsid w:val="00562A61"/>
    <w:rsid w:val="005652D5"/>
    <w:rsid w:val="00565ECA"/>
    <w:rsid w:val="00570C7B"/>
    <w:rsid w:val="00571C77"/>
    <w:rsid w:val="00574614"/>
    <w:rsid w:val="00574A70"/>
    <w:rsid w:val="00575C75"/>
    <w:rsid w:val="00575CBF"/>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3E82"/>
    <w:rsid w:val="005A4244"/>
    <w:rsid w:val="005A4DB0"/>
    <w:rsid w:val="005A5597"/>
    <w:rsid w:val="005A57BF"/>
    <w:rsid w:val="005A6AC2"/>
    <w:rsid w:val="005A7A65"/>
    <w:rsid w:val="005A7B26"/>
    <w:rsid w:val="005A7B8E"/>
    <w:rsid w:val="005B012B"/>
    <w:rsid w:val="005B0C87"/>
    <w:rsid w:val="005B0FE9"/>
    <w:rsid w:val="005B1F47"/>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1218"/>
    <w:rsid w:val="005E1B6B"/>
    <w:rsid w:val="005E2281"/>
    <w:rsid w:val="005E351B"/>
    <w:rsid w:val="005E367A"/>
    <w:rsid w:val="005E38A8"/>
    <w:rsid w:val="005E39F9"/>
    <w:rsid w:val="005E5231"/>
    <w:rsid w:val="005E55BB"/>
    <w:rsid w:val="005E5D11"/>
    <w:rsid w:val="005E667C"/>
    <w:rsid w:val="005E6A1D"/>
    <w:rsid w:val="005E6F12"/>
    <w:rsid w:val="005F06E1"/>
    <w:rsid w:val="005F077C"/>
    <w:rsid w:val="005F0B88"/>
    <w:rsid w:val="005F1735"/>
    <w:rsid w:val="005F252A"/>
    <w:rsid w:val="005F3CE8"/>
    <w:rsid w:val="005F4F41"/>
    <w:rsid w:val="005F566D"/>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0FA9"/>
    <w:rsid w:val="00612570"/>
    <w:rsid w:val="00612871"/>
    <w:rsid w:val="00612A44"/>
    <w:rsid w:val="00612A8E"/>
    <w:rsid w:val="006134D9"/>
    <w:rsid w:val="006135DA"/>
    <w:rsid w:val="00613BDC"/>
    <w:rsid w:val="00615564"/>
    <w:rsid w:val="006155E2"/>
    <w:rsid w:val="00615609"/>
    <w:rsid w:val="00615F26"/>
    <w:rsid w:val="006175BD"/>
    <w:rsid w:val="00617A81"/>
    <w:rsid w:val="00620579"/>
    <w:rsid w:val="006208AA"/>
    <w:rsid w:val="00622220"/>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3496"/>
    <w:rsid w:val="006338D2"/>
    <w:rsid w:val="00633F92"/>
    <w:rsid w:val="00635FD8"/>
    <w:rsid w:val="00636651"/>
    <w:rsid w:val="00636F7B"/>
    <w:rsid w:val="0064019C"/>
    <w:rsid w:val="00640288"/>
    <w:rsid w:val="006405AC"/>
    <w:rsid w:val="006412CD"/>
    <w:rsid w:val="006413D8"/>
    <w:rsid w:val="00641B7B"/>
    <w:rsid w:val="00641C55"/>
    <w:rsid w:val="00642405"/>
    <w:rsid w:val="00642645"/>
    <w:rsid w:val="006437E8"/>
    <w:rsid w:val="006438E0"/>
    <w:rsid w:val="00644BED"/>
    <w:rsid w:val="0064761D"/>
    <w:rsid w:val="00647743"/>
    <w:rsid w:val="00650030"/>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7A31"/>
    <w:rsid w:val="00670702"/>
    <w:rsid w:val="0067147C"/>
    <w:rsid w:val="00672A8A"/>
    <w:rsid w:val="00673F50"/>
    <w:rsid w:val="00674EEA"/>
    <w:rsid w:val="006759B0"/>
    <w:rsid w:val="00675DEC"/>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C33"/>
    <w:rsid w:val="00690EB8"/>
    <w:rsid w:val="006915E5"/>
    <w:rsid w:val="00692401"/>
    <w:rsid w:val="0069417B"/>
    <w:rsid w:val="006941CC"/>
    <w:rsid w:val="00695F56"/>
    <w:rsid w:val="0069758B"/>
    <w:rsid w:val="006A0B6C"/>
    <w:rsid w:val="006A1692"/>
    <w:rsid w:val="006A16E1"/>
    <w:rsid w:val="006A3293"/>
    <w:rsid w:val="006A3C8A"/>
    <w:rsid w:val="006A3E61"/>
    <w:rsid w:val="006A4E4B"/>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648"/>
    <w:rsid w:val="006D3DC0"/>
    <w:rsid w:val="006D4162"/>
    <w:rsid w:val="006D5E84"/>
    <w:rsid w:val="006D7C99"/>
    <w:rsid w:val="006E0443"/>
    <w:rsid w:val="006E0C50"/>
    <w:rsid w:val="006E0DCF"/>
    <w:rsid w:val="006E1647"/>
    <w:rsid w:val="006E2298"/>
    <w:rsid w:val="006E2F3A"/>
    <w:rsid w:val="006E310A"/>
    <w:rsid w:val="006E3C3E"/>
    <w:rsid w:val="006E429F"/>
    <w:rsid w:val="006E463E"/>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5CF7"/>
    <w:rsid w:val="0070658A"/>
    <w:rsid w:val="00706B65"/>
    <w:rsid w:val="00707C1A"/>
    <w:rsid w:val="00710023"/>
    <w:rsid w:val="00710207"/>
    <w:rsid w:val="0071023D"/>
    <w:rsid w:val="00710530"/>
    <w:rsid w:val="007107BD"/>
    <w:rsid w:val="0071131E"/>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07C"/>
    <w:rsid w:val="00752247"/>
    <w:rsid w:val="007523E7"/>
    <w:rsid w:val="007531CA"/>
    <w:rsid w:val="00754252"/>
    <w:rsid w:val="007577B1"/>
    <w:rsid w:val="00757CB3"/>
    <w:rsid w:val="00757D87"/>
    <w:rsid w:val="00757DC0"/>
    <w:rsid w:val="007602AA"/>
    <w:rsid w:val="00760EED"/>
    <w:rsid w:val="0076109F"/>
    <w:rsid w:val="00761399"/>
    <w:rsid w:val="00761615"/>
    <w:rsid w:val="007616DA"/>
    <w:rsid w:val="007619CE"/>
    <w:rsid w:val="00761F4F"/>
    <w:rsid w:val="007620DC"/>
    <w:rsid w:val="00762102"/>
    <w:rsid w:val="0076255D"/>
    <w:rsid w:val="007625F6"/>
    <w:rsid w:val="00762B8B"/>
    <w:rsid w:val="00764AF9"/>
    <w:rsid w:val="00764BF4"/>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6816"/>
    <w:rsid w:val="007B7462"/>
    <w:rsid w:val="007B7B52"/>
    <w:rsid w:val="007C02A3"/>
    <w:rsid w:val="007C1507"/>
    <w:rsid w:val="007C2F60"/>
    <w:rsid w:val="007C4D8D"/>
    <w:rsid w:val="007C5144"/>
    <w:rsid w:val="007C5613"/>
    <w:rsid w:val="007C6138"/>
    <w:rsid w:val="007C6153"/>
    <w:rsid w:val="007C6BC6"/>
    <w:rsid w:val="007C6C12"/>
    <w:rsid w:val="007C73B2"/>
    <w:rsid w:val="007D0435"/>
    <w:rsid w:val="007D400A"/>
    <w:rsid w:val="007D4B0E"/>
    <w:rsid w:val="007D4DD2"/>
    <w:rsid w:val="007D5D0F"/>
    <w:rsid w:val="007D6EA8"/>
    <w:rsid w:val="007E1247"/>
    <w:rsid w:val="007E1A44"/>
    <w:rsid w:val="007E2419"/>
    <w:rsid w:val="007E3FF5"/>
    <w:rsid w:val="007E4219"/>
    <w:rsid w:val="007E577E"/>
    <w:rsid w:val="007E61C1"/>
    <w:rsid w:val="007E635E"/>
    <w:rsid w:val="007E6BCF"/>
    <w:rsid w:val="007E6C0C"/>
    <w:rsid w:val="007E7300"/>
    <w:rsid w:val="007E767B"/>
    <w:rsid w:val="007F038C"/>
    <w:rsid w:val="007F0428"/>
    <w:rsid w:val="007F0A4C"/>
    <w:rsid w:val="007F0F24"/>
    <w:rsid w:val="007F1755"/>
    <w:rsid w:val="007F222B"/>
    <w:rsid w:val="007F3092"/>
    <w:rsid w:val="007F39B8"/>
    <w:rsid w:val="007F3C03"/>
    <w:rsid w:val="007F3E3F"/>
    <w:rsid w:val="007F45DF"/>
    <w:rsid w:val="007F4A6F"/>
    <w:rsid w:val="007F4FBC"/>
    <w:rsid w:val="007F5975"/>
    <w:rsid w:val="007F5DBC"/>
    <w:rsid w:val="007F6497"/>
    <w:rsid w:val="007F6836"/>
    <w:rsid w:val="007F7DF2"/>
    <w:rsid w:val="00800861"/>
    <w:rsid w:val="00800A35"/>
    <w:rsid w:val="00800D91"/>
    <w:rsid w:val="00801A0E"/>
    <w:rsid w:val="00804E4C"/>
    <w:rsid w:val="00805C64"/>
    <w:rsid w:val="0080662C"/>
    <w:rsid w:val="008070B2"/>
    <w:rsid w:val="00807D79"/>
    <w:rsid w:val="00810102"/>
    <w:rsid w:val="0081060F"/>
    <w:rsid w:val="008116F3"/>
    <w:rsid w:val="008117C4"/>
    <w:rsid w:val="00812461"/>
    <w:rsid w:val="008127E0"/>
    <w:rsid w:val="00812810"/>
    <w:rsid w:val="0081398E"/>
    <w:rsid w:val="008149D8"/>
    <w:rsid w:val="00815714"/>
    <w:rsid w:val="00816D41"/>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921"/>
    <w:rsid w:val="0084035D"/>
    <w:rsid w:val="008405F9"/>
    <w:rsid w:val="0084060B"/>
    <w:rsid w:val="0084139B"/>
    <w:rsid w:val="0084143B"/>
    <w:rsid w:val="00842547"/>
    <w:rsid w:val="008427D3"/>
    <w:rsid w:val="008429CF"/>
    <w:rsid w:val="0084324C"/>
    <w:rsid w:val="00844564"/>
    <w:rsid w:val="008451F8"/>
    <w:rsid w:val="008457D2"/>
    <w:rsid w:val="00846036"/>
    <w:rsid w:val="00846212"/>
    <w:rsid w:val="008468E0"/>
    <w:rsid w:val="0084790F"/>
    <w:rsid w:val="00847BE7"/>
    <w:rsid w:val="00850EAB"/>
    <w:rsid w:val="00851D70"/>
    <w:rsid w:val="008529B3"/>
    <w:rsid w:val="00852ADD"/>
    <w:rsid w:val="00853883"/>
    <w:rsid w:val="00854CF7"/>
    <w:rsid w:val="00854DA7"/>
    <w:rsid w:val="008557A0"/>
    <w:rsid w:val="00856607"/>
    <w:rsid w:val="00856A53"/>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62BB"/>
    <w:rsid w:val="00877D03"/>
    <w:rsid w:val="00877E96"/>
    <w:rsid w:val="0088023D"/>
    <w:rsid w:val="008803CE"/>
    <w:rsid w:val="00882077"/>
    <w:rsid w:val="00883613"/>
    <w:rsid w:val="0088557F"/>
    <w:rsid w:val="00886393"/>
    <w:rsid w:val="00886579"/>
    <w:rsid w:val="00886F19"/>
    <w:rsid w:val="00887865"/>
    <w:rsid w:val="00887B37"/>
    <w:rsid w:val="00887EC2"/>
    <w:rsid w:val="00890598"/>
    <w:rsid w:val="0089065A"/>
    <w:rsid w:val="00890DEB"/>
    <w:rsid w:val="0089177A"/>
    <w:rsid w:val="00891D7A"/>
    <w:rsid w:val="00891DFC"/>
    <w:rsid w:val="00892B98"/>
    <w:rsid w:val="008959FC"/>
    <w:rsid w:val="00896668"/>
    <w:rsid w:val="008A18F2"/>
    <w:rsid w:val="008A1D0E"/>
    <w:rsid w:val="008A25EA"/>
    <w:rsid w:val="008A31C7"/>
    <w:rsid w:val="008A3215"/>
    <w:rsid w:val="008A3E8B"/>
    <w:rsid w:val="008A47BE"/>
    <w:rsid w:val="008A4AEC"/>
    <w:rsid w:val="008A5609"/>
    <w:rsid w:val="008A6DD5"/>
    <w:rsid w:val="008A6DF0"/>
    <w:rsid w:val="008A6FA0"/>
    <w:rsid w:val="008B15CE"/>
    <w:rsid w:val="008B1C1A"/>
    <w:rsid w:val="008B1C8F"/>
    <w:rsid w:val="008B2B19"/>
    <w:rsid w:val="008B2F40"/>
    <w:rsid w:val="008B2FCD"/>
    <w:rsid w:val="008B3627"/>
    <w:rsid w:val="008B3CA5"/>
    <w:rsid w:val="008B56A0"/>
    <w:rsid w:val="008B5AA1"/>
    <w:rsid w:val="008B5E61"/>
    <w:rsid w:val="008B64CE"/>
    <w:rsid w:val="008B7914"/>
    <w:rsid w:val="008C07BA"/>
    <w:rsid w:val="008C127A"/>
    <w:rsid w:val="008C1932"/>
    <w:rsid w:val="008C2C7F"/>
    <w:rsid w:val="008C2F0D"/>
    <w:rsid w:val="008C48BF"/>
    <w:rsid w:val="008C500C"/>
    <w:rsid w:val="008C5D2A"/>
    <w:rsid w:val="008C6754"/>
    <w:rsid w:val="008C6C16"/>
    <w:rsid w:val="008C74FB"/>
    <w:rsid w:val="008C7AF4"/>
    <w:rsid w:val="008C7DA4"/>
    <w:rsid w:val="008D0210"/>
    <w:rsid w:val="008D0851"/>
    <w:rsid w:val="008D0DEF"/>
    <w:rsid w:val="008D0FCD"/>
    <w:rsid w:val="008D1074"/>
    <w:rsid w:val="008D1079"/>
    <w:rsid w:val="008D247E"/>
    <w:rsid w:val="008D280F"/>
    <w:rsid w:val="008D318B"/>
    <w:rsid w:val="008D3994"/>
    <w:rsid w:val="008D3C3D"/>
    <w:rsid w:val="008D478E"/>
    <w:rsid w:val="008D534E"/>
    <w:rsid w:val="008D6E81"/>
    <w:rsid w:val="008D75CE"/>
    <w:rsid w:val="008D7739"/>
    <w:rsid w:val="008D7A64"/>
    <w:rsid w:val="008E0302"/>
    <w:rsid w:val="008E1267"/>
    <w:rsid w:val="008E19FD"/>
    <w:rsid w:val="008E22F8"/>
    <w:rsid w:val="008E39D8"/>
    <w:rsid w:val="008E59FE"/>
    <w:rsid w:val="008E5D73"/>
    <w:rsid w:val="008E606F"/>
    <w:rsid w:val="008E6AD9"/>
    <w:rsid w:val="008F022A"/>
    <w:rsid w:val="008F06FD"/>
    <w:rsid w:val="008F1172"/>
    <w:rsid w:val="008F18C7"/>
    <w:rsid w:val="008F27E3"/>
    <w:rsid w:val="008F3485"/>
    <w:rsid w:val="008F3AC3"/>
    <w:rsid w:val="008F51FF"/>
    <w:rsid w:val="008F5DEF"/>
    <w:rsid w:val="008F7C0A"/>
    <w:rsid w:val="009026CB"/>
    <w:rsid w:val="00904038"/>
    <w:rsid w:val="009041AF"/>
    <w:rsid w:val="009042AA"/>
    <w:rsid w:val="009049AB"/>
    <w:rsid w:val="009050B7"/>
    <w:rsid w:val="00905130"/>
    <w:rsid w:val="009053BD"/>
    <w:rsid w:val="009061B8"/>
    <w:rsid w:val="009069B8"/>
    <w:rsid w:val="00911BD1"/>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383B"/>
    <w:rsid w:val="009239F1"/>
    <w:rsid w:val="00924119"/>
    <w:rsid w:val="00925120"/>
    <w:rsid w:val="009255FA"/>
    <w:rsid w:val="009262E4"/>
    <w:rsid w:val="00927D4E"/>
    <w:rsid w:val="0093084C"/>
    <w:rsid w:val="00930AC2"/>
    <w:rsid w:val="00930D2A"/>
    <w:rsid w:val="009312BF"/>
    <w:rsid w:val="00931B84"/>
    <w:rsid w:val="009322B2"/>
    <w:rsid w:val="00932E7E"/>
    <w:rsid w:val="0093442D"/>
    <w:rsid w:val="00934CD2"/>
    <w:rsid w:val="009356D0"/>
    <w:rsid w:val="009375E5"/>
    <w:rsid w:val="00937D30"/>
    <w:rsid w:val="00941848"/>
    <w:rsid w:val="009437F2"/>
    <w:rsid w:val="009442E8"/>
    <w:rsid w:val="00944BA7"/>
    <w:rsid w:val="0094636D"/>
    <w:rsid w:val="0094759C"/>
    <w:rsid w:val="009503FE"/>
    <w:rsid w:val="009506C4"/>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159F"/>
    <w:rsid w:val="009716C9"/>
    <w:rsid w:val="009725B2"/>
    <w:rsid w:val="009727DB"/>
    <w:rsid w:val="0097335C"/>
    <w:rsid w:val="009747AA"/>
    <w:rsid w:val="00974B99"/>
    <w:rsid w:val="00974BCB"/>
    <w:rsid w:val="009758CD"/>
    <w:rsid w:val="009763E4"/>
    <w:rsid w:val="0097654D"/>
    <w:rsid w:val="009766B7"/>
    <w:rsid w:val="00980A22"/>
    <w:rsid w:val="00980D85"/>
    <w:rsid w:val="009810BF"/>
    <w:rsid w:val="00983094"/>
    <w:rsid w:val="00983599"/>
    <w:rsid w:val="00984D19"/>
    <w:rsid w:val="0098544F"/>
    <w:rsid w:val="00985B04"/>
    <w:rsid w:val="00986A6D"/>
    <w:rsid w:val="00986BEF"/>
    <w:rsid w:val="00987298"/>
    <w:rsid w:val="00991DF8"/>
    <w:rsid w:val="00992499"/>
    <w:rsid w:val="00992986"/>
    <w:rsid w:val="00994B55"/>
    <w:rsid w:val="00995D86"/>
    <w:rsid w:val="00995FB2"/>
    <w:rsid w:val="00997A68"/>
    <w:rsid w:val="009A00EA"/>
    <w:rsid w:val="009A06AE"/>
    <w:rsid w:val="009A1F6B"/>
    <w:rsid w:val="009A2C4C"/>
    <w:rsid w:val="009A2DD8"/>
    <w:rsid w:val="009A30DE"/>
    <w:rsid w:val="009A3D29"/>
    <w:rsid w:val="009A5453"/>
    <w:rsid w:val="009A7532"/>
    <w:rsid w:val="009A7883"/>
    <w:rsid w:val="009B237F"/>
    <w:rsid w:val="009B2760"/>
    <w:rsid w:val="009B308D"/>
    <w:rsid w:val="009B38D5"/>
    <w:rsid w:val="009B3B62"/>
    <w:rsid w:val="009B3C8D"/>
    <w:rsid w:val="009B4FFB"/>
    <w:rsid w:val="009B53C7"/>
    <w:rsid w:val="009B72F6"/>
    <w:rsid w:val="009B7489"/>
    <w:rsid w:val="009B7B0A"/>
    <w:rsid w:val="009B7F4C"/>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3F58"/>
    <w:rsid w:val="009D5843"/>
    <w:rsid w:val="009D638D"/>
    <w:rsid w:val="009E1CC8"/>
    <w:rsid w:val="009E2963"/>
    <w:rsid w:val="009E30D2"/>
    <w:rsid w:val="009E4885"/>
    <w:rsid w:val="009E508B"/>
    <w:rsid w:val="009F03AB"/>
    <w:rsid w:val="009F0619"/>
    <w:rsid w:val="009F068A"/>
    <w:rsid w:val="009F0A85"/>
    <w:rsid w:val="009F1260"/>
    <w:rsid w:val="009F1519"/>
    <w:rsid w:val="009F1B71"/>
    <w:rsid w:val="009F220A"/>
    <w:rsid w:val="009F36D6"/>
    <w:rsid w:val="00A0002A"/>
    <w:rsid w:val="00A0236D"/>
    <w:rsid w:val="00A02985"/>
    <w:rsid w:val="00A02B2B"/>
    <w:rsid w:val="00A02FA8"/>
    <w:rsid w:val="00A03F74"/>
    <w:rsid w:val="00A046BF"/>
    <w:rsid w:val="00A05B25"/>
    <w:rsid w:val="00A05C04"/>
    <w:rsid w:val="00A06254"/>
    <w:rsid w:val="00A06590"/>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27A5B"/>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0B4"/>
    <w:rsid w:val="00A5254B"/>
    <w:rsid w:val="00A52986"/>
    <w:rsid w:val="00A52BC1"/>
    <w:rsid w:val="00A534A0"/>
    <w:rsid w:val="00A537EA"/>
    <w:rsid w:val="00A539AD"/>
    <w:rsid w:val="00A540B2"/>
    <w:rsid w:val="00A5566B"/>
    <w:rsid w:val="00A56819"/>
    <w:rsid w:val="00A568AC"/>
    <w:rsid w:val="00A60610"/>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FBC"/>
    <w:rsid w:val="00A879C5"/>
    <w:rsid w:val="00A902AD"/>
    <w:rsid w:val="00A9099E"/>
    <w:rsid w:val="00A91FB7"/>
    <w:rsid w:val="00A9298F"/>
    <w:rsid w:val="00A92C52"/>
    <w:rsid w:val="00A9301E"/>
    <w:rsid w:val="00A93E3A"/>
    <w:rsid w:val="00A94B69"/>
    <w:rsid w:val="00A95186"/>
    <w:rsid w:val="00A9596A"/>
    <w:rsid w:val="00A961BD"/>
    <w:rsid w:val="00AA027E"/>
    <w:rsid w:val="00AA1224"/>
    <w:rsid w:val="00AA14F2"/>
    <w:rsid w:val="00AA180B"/>
    <w:rsid w:val="00AA1D43"/>
    <w:rsid w:val="00AA2CD7"/>
    <w:rsid w:val="00AA3301"/>
    <w:rsid w:val="00AA3360"/>
    <w:rsid w:val="00AA6B93"/>
    <w:rsid w:val="00AA7A06"/>
    <w:rsid w:val="00AA7A7F"/>
    <w:rsid w:val="00AA7A89"/>
    <w:rsid w:val="00AB1984"/>
    <w:rsid w:val="00AB1CBB"/>
    <w:rsid w:val="00AB215B"/>
    <w:rsid w:val="00AB3133"/>
    <w:rsid w:val="00AB333E"/>
    <w:rsid w:val="00AB37DB"/>
    <w:rsid w:val="00AB3ECC"/>
    <w:rsid w:val="00AB4030"/>
    <w:rsid w:val="00AB5F48"/>
    <w:rsid w:val="00AB716D"/>
    <w:rsid w:val="00AB72BB"/>
    <w:rsid w:val="00AB7BF3"/>
    <w:rsid w:val="00AC09D5"/>
    <w:rsid w:val="00AC0D8E"/>
    <w:rsid w:val="00AC121B"/>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3208"/>
    <w:rsid w:val="00AD50F8"/>
    <w:rsid w:val="00AD5FAE"/>
    <w:rsid w:val="00AD6248"/>
    <w:rsid w:val="00AD719F"/>
    <w:rsid w:val="00AD7447"/>
    <w:rsid w:val="00AD7D36"/>
    <w:rsid w:val="00AE0DED"/>
    <w:rsid w:val="00AE24B0"/>
    <w:rsid w:val="00AE307E"/>
    <w:rsid w:val="00AE394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A6C"/>
    <w:rsid w:val="00AF3B55"/>
    <w:rsid w:val="00AF3D62"/>
    <w:rsid w:val="00AF6AC5"/>
    <w:rsid w:val="00AF7809"/>
    <w:rsid w:val="00AF7F7B"/>
    <w:rsid w:val="00B0104B"/>
    <w:rsid w:val="00B021E0"/>
    <w:rsid w:val="00B03A35"/>
    <w:rsid w:val="00B04F99"/>
    <w:rsid w:val="00B057B6"/>
    <w:rsid w:val="00B05A7C"/>
    <w:rsid w:val="00B06361"/>
    <w:rsid w:val="00B06955"/>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32B3"/>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2947"/>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3A28"/>
    <w:rsid w:val="00B5402E"/>
    <w:rsid w:val="00B540E8"/>
    <w:rsid w:val="00B560A9"/>
    <w:rsid w:val="00B56866"/>
    <w:rsid w:val="00B57E53"/>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87C84"/>
    <w:rsid w:val="00B90351"/>
    <w:rsid w:val="00B906F2"/>
    <w:rsid w:val="00B90D9B"/>
    <w:rsid w:val="00B91259"/>
    <w:rsid w:val="00B91B81"/>
    <w:rsid w:val="00B91FF0"/>
    <w:rsid w:val="00B92FFF"/>
    <w:rsid w:val="00B9492E"/>
    <w:rsid w:val="00B96394"/>
    <w:rsid w:val="00B96799"/>
    <w:rsid w:val="00B96DE5"/>
    <w:rsid w:val="00B97A76"/>
    <w:rsid w:val="00BA0166"/>
    <w:rsid w:val="00BA0584"/>
    <w:rsid w:val="00BA249D"/>
    <w:rsid w:val="00BA4D00"/>
    <w:rsid w:val="00BA5665"/>
    <w:rsid w:val="00BB0AB5"/>
    <w:rsid w:val="00BB195B"/>
    <w:rsid w:val="00BB33E9"/>
    <w:rsid w:val="00BB34B7"/>
    <w:rsid w:val="00BB3BE4"/>
    <w:rsid w:val="00BB44DB"/>
    <w:rsid w:val="00BB57D3"/>
    <w:rsid w:val="00BB58EE"/>
    <w:rsid w:val="00BB64EC"/>
    <w:rsid w:val="00BB67DD"/>
    <w:rsid w:val="00BB7589"/>
    <w:rsid w:val="00BC077E"/>
    <w:rsid w:val="00BC1F5F"/>
    <w:rsid w:val="00BC21BE"/>
    <w:rsid w:val="00BC2465"/>
    <w:rsid w:val="00BC3E36"/>
    <w:rsid w:val="00BC4CE8"/>
    <w:rsid w:val="00BC4D54"/>
    <w:rsid w:val="00BC61A0"/>
    <w:rsid w:val="00BC7632"/>
    <w:rsid w:val="00BC7C9E"/>
    <w:rsid w:val="00BD1E79"/>
    <w:rsid w:val="00BD23A5"/>
    <w:rsid w:val="00BD2937"/>
    <w:rsid w:val="00BD2AFC"/>
    <w:rsid w:val="00BD2CD4"/>
    <w:rsid w:val="00BD330C"/>
    <w:rsid w:val="00BD4156"/>
    <w:rsid w:val="00BD4871"/>
    <w:rsid w:val="00BD48A9"/>
    <w:rsid w:val="00BD5712"/>
    <w:rsid w:val="00BD581A"/>
    <w:rsid w:val="00BD658C"/>
    <w:rsid w:val="00BD7EC6"/>
    <w:rsid w:val="00BE0FF2"/>
    <w:rsid w:val="00BE1345"/>
    <w:rsid w:val="00BE2147"/>
    <w:rsid w:val="00BE3B83"/>
    <w:rsid w:val="00BE3C67"/>
    <w:rsid w:val="00BE3CF7"/>
    <w:rsid w:val="00BE42FC"/>
    <w:rsid w:val="00BE73C7"/>
    <w:rsid w:val="00BE73FA"/>
    <w:rsid w:val="00BF00D1"/>
    <w:rsid w:val="00BF0353"/>
    <w:rsid w:val="00BF0857"/>
    <w:rsid w:val="00BF090A"/>
    <w:rsid w:val="00BF2001"/>
    <w:rsid w:val="00BF2575"/>
    <w:rsid w:val="00BF31A0"/>
    <w:rsid w:val="00BF3F0A"/>
    <w:rsid w:val="00BF4E35"/>
    <w:rsid w:val="00BF7B9B"/>
    <w:rsid w:val="00C0083F"/>
    <w:rsid w:val="00C00976"/>
    <w:rsid w:val="00C00A7D"/>
    <w:rsid w:val="00C020CD"/>
    <w:rsid w:val="00C02DDE"/>
    <w:rsid w:val="00C0367B"/>
    <w:rsid w:val="00C04E51"/>
    <w:rsid w:val="00C05AF9"/>
    <w:rsid w:val="00C060A3"/>
    <w:rsid w:val="00C060B0"/>
    <w:rsid w:val="00C072F0"/>
    <w:rsid w:val="00C07344"/>
    <w:rsid w:val="00C079A3"/>
    <w:rsid w:val="00C07C1F"/>
    <w:rsid w:val="00C07FC8"/>
    <w:rsid w:val="00C11A79"/>
    <w:rsid w:val="00C13607"/>
    <w:rsid w:val="00C137B1"/>
    <w:rsid w:val="00C13B43"/>
    <w:rsid w:val="00C14F1F"/>
    <w:rsid w:val="00C15E81"/>
    <w:rsid w:val="00C174C9"/>
    <w:rsid w:val="00C17B6E"/>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5F75"/>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CE8"/>
    <w:rsid w:val="00C702B2"/>
    <w:rsid w:val="00C70DF4"/>
    <w:rsid w:val="00C71252"/>
    <w:rsid w:val="00C7277F"/>
    <w:rsid w:val="00C74500"/>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5353"/>
    <w:rsid w:val="00CA638D"/>
    <w:rsid w:val="00CA6FDA"/>
    <w:rsid w:val="00CA77CF"/>
    <w:rsid w:val="00CA7B58"/>
    <w:rsid w:val="00CB2518"/>
    <w:rsid w:val="00CB3920"/>
    <w:rsid w:val="00CB6413"/>
    <w:rsid w:val="00CB696F"/>
    <w:rsid w:val="00CC0F1C"/>
    <w:rsid w:val="00CC299A"/>
    <w:rsid w:val="00CC2DB0"/>
    <w:rsid w:val="00CC32B7"/>
    <w:rsid w:val="00CC36DE"/>
    <w:rsid w:val="00CC4F99"/>
    <w:rsid w:val="00CC5FC3"/>
    <w:rsid w:val="00CC6369"/>
    <w:rsid w:val="00CC65D6"/>
    <w:rsid w:val="00CC73F3"/>
    <w:rsid w:val="00CD081C"/>
    <w:rsid w:val="00CD1B5A"/>
    <w:rsid w:val="00CD1E9C"/>
    <w:rsid w:val="00CD27DB"/>
    <w:rsid w:val="00CD2E70"/>
    <w:rsid w:val="00CD3470"/>
    <w:rsid w:val="00CD386B"/>
    <w:rsid w:val="00CD3D06"/>
    <w:rsid w:val="00CD4A09"/>
    <w:rsid w:val="00CD4C7B"/>
    <w:rsid w:val="00CD5397"/>
    <w:rsid w:val="00CD5E93"/>
    <w:rsid w:val="00CD707C"/>
    <w:rsid w:val="00CE15AE"/>
    <w:rsid w:val="00CE235A"/>
    <w:rsid w:val="00CE37A3"/>
    <w:rsid w:val="00CE3814"/>
    <w:rsid w:val="00CE4251"/>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9EC"/>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325B"/>
    <w:rsid w:val="00D2402F"/>
    <w:rsid w:val="00D245C2"/>
    <w:rsid w:val="00D25660"/>
    <w:rsid w:val="00D258EB"/>
    <w:rsid w:val="00D271CD"/>
    <w:rsid w:val="00D315CC"/>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4670"/>
    <w:rsid w:val="00D6568E"/>
    <w:rsid w:val="00D65893"/>
    <w:rsid w:val="00D658EC"/>
    <w:rsid w:val="00D6742A"/>
    <w:rsid w:val="00D67B9B"/>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14EB"/>
    <w:rsid w:val="00D93776"/>
    <w:rsid w:val="00D94085"/>
    <w:rsid w:val="00D96D4F"/>
    <w:rsid w:val="00DA1806"/>
    <w:rsid w:val="00DA212B"/>
    <w:rsid w:val="00DA3A76"/>
    <w:rsid w:val="00DA73C1"/>
    <w:rsid w:val="00DA770D"/>
    <w:rsid w:val="00DA7851"/>
    <w:rsid w:val="00DA7DC1"/>
    <w:rsid w:val="00DB00EE"/>
    <w:rsid w:val="00DB0132"/>
    <w:rsid w:val="00DB2412"/>
    <w:rsid w:val="00DB3687"/>
    <w:rsid w:val="00DB38D1"/>
    <w:rsid w:val="00DB444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5F7"/>
    <w:rsid w:val="00E26649"/>
    <w:rsid w:val="00E26AEF"/>
    <w:rsid w:val="00E27F0A"/>
    <w:rsid w:val="00E309B0"/>
    <w:rsid w:val="00E326E9"/>
    <w:rsid w:val="00E33BE7"/>
    <w:rsid w:val="00E352C3"/>
    <w:rsid w:val="00E35476"/>
    <w:rsid w:val="00E359A5"/>
    <w:rsid w:val="00E37212"/>
    <w:rsid w:val="00E372F7"/>
    <w:rsid w:val="00E37DC0"/>
    <w:rsid w:val="00E37EC6"/>
    <w:rsid w:val="00E40432"/>
    <w:rsid w:val="00E40850"/>
    <w:rsid w:val="00E40D52"/>
    <w:rsid w:val="00E41451"/>
    <w:rsid w:val="00E41585"/>
    <w:rsid w:val="00E4220D"/>
    <w:rsid w:val="00E4231E"/>
    <w:rsid w:val="00E42537"/>
    <w:rsid w:val="00E4279A"/>
    <w:rsid w:val="00E42C97"/>
    <w:rsid w:val="00E42E35"/>
    <w:rsid w:val="00E44AC7"/>
    <w:rsid w:val="00E45B2D"/>
    <w:rsid w:val="00E4639C"/>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666"/>
    <w:rsid w:val="00E607E5"/>
    <w:rsid w:val="00E60A16"/>
    <w:rsid w:val="00E610CB"/>
    <w:rsid w:val="00E6125B"/>
    <w:rsid w:val="00E6170A"/>
    <w:rsid w:val="00E62ADF"/>
    <w:rsid w:val="00E62FA7"/>
    <w:rsid w:val="00E637A3"/>
    <w:rsid w:val="00E64390"/>
    <w:rsid w:val="00E659FD"/>
    <w:rsid w:val="00E65B0C"/>
    <w:rsid w:val="00E66BA2"/>
    <w:rsid w:val="00E677DB"/>
    <w:rsid w:val="00E700F8"/>
    <w:rsid w:val="00E71C2D"/>
    <w:rsid w:val="00E7266C"/>
    <w:rsid w:val="00E72BB6"/>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1FC7"/>
    <w:rsid w:val="00E92C96"/>
    <w:rsid w:val="00E93059"/>
    <w:rsid w:val="00E942B8"/>
    <w:rsid w:val="00E944ED"/>
    <w:rsid w:val="00E945AF"/>
    <w:rsid w:val="00E94A0B"/>
    <w:rsid w:val="00E94A2C"/>
    <w:rsid w:val="00E95799"/>
    <w:rsid w:val="00E9683D"/>
    <w:rsid w:val="00E970B7"/>
    <w:rsid w:val="00E97D95"/>
    <w:rsid w:val="00EA010D"/>
    <w:rsid w:val="00EA0507"/>
    <w:rsid w:val="00EA0BB5"/>
    <w:rsid w:val="00EA25EB"/>
    <w:rsid w:val="00EA2775"/>
    <w:rsid w:val="00EA3106"/>
    <w:rsid w:val="00EA3874"/>
    <w:rsid w:val="00EA4087"/>
    <w:rsid w:val="00EA612E"/>
    <w:rsid w:val="00EA761C"/>
    <w:rsid w:val="00EA7D7F"/>
    <w:rsid w:val="00EB0810"/>
    <w:rsid w:val="00EB0B5F"/>
    <w:rsid w:val="00EB1CF7"/>
    <w:rsid w:val="00EB2B6F"/>
    <w:rsid w:val="00EB2CAD"/>
    <w:rsid w:val="00EB2FA2"/>
    <w:rsid w:val="00EB3272"/>
    <w:rsid w:val="00EB64B1"/>
    <w:rsid w:val="00EB7352"/>
    <w:rsid w:val="00EB769A"/>
    <w:rsid w:val="00EC11E4"/>
    <w:rsid w:val="00EC14E1"/>
    <w:rsid w:val="00EC2A3F"/>
    <w:rsid w:val="00EC2E64"/>
    <w:rsid w:val="00EC3A35"/>
    <w:rsid w:val="00EC3E69"/>
    <w:rsid w:val="00EC4EAF"/>
    <w:rsid w:val="00EC5554"/>
    <w:rsid w:val="00EC5B8E"/>
    <w:rsid w:val="00EC7356"/>
    <w:rsid w:val="00EC75F6"/>
    <w:rsid w:val="00ED0065"/>
    <w:rsid w:val="00ED353D"/>
    <w:rsid w:val="00ED588C"/>
    <w:rsid w:val="00ED67BC"/>
    <w:rsid w:val="00ED6EA1"/>
    <w:rsid w:val="00EE07AC"/>
    <w:rsid w:val="00EE0891"/>
    <w:rsid w:val="00EE1062"/>
    <w:rsid w:val="00EE17F2"/>
    <w:rsid w:val="00EE188A"/>
    <w:rsid w:val="00EE1B01"/>
    <w:rsid w:val="00EE2746"/>
    <w:rsid w:val="00EE2C6C"/>
    <w:rsid w:val="00EE4C20"/>
    <w:rsid w:val="00EE4F2D"/>
    <w:rsid w:val="00EE6755"/>
    <w:rsid w:val="00EF03DC"/>
    <w:rsid w:val="00EF0437"/>
    <w:rsid w:val="00EF0BFE"/>
    <w:rsid w:val="00EF11B4"/>
    <w:rsid w:val="00EF2AC7"/>
    <w:rsid w:val="00EF3397"/>
    <w:rsid w:val="00EF40BF"/>
    <w:rsid w:val="00EF4557"/>
    <w:rsid w:val="00EF493F"/>
    <w:rsid w:val="00EF6C2B"/>
    <w:rsid w:val="00F021A9"/>
    <w:rsid w:val="00F02C54"/>
    <w:rsid w:val="00F0448C"/>
    <w:rsid w:val="00F071BA"/>
    <w:rsid w:val="00F11474"/>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E89"/>
    <w:rsid w:val="00F47845"/>
    <w:rsid w:val="00F47B6C"/>
    <w:rsid w:val="00F50102"/>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7BE"/>
    <w:rsid w:val="00F61C7A"/>
    <w:rsid w:val="00F625F7"/>
    <w:rsid w:val="00F63A5C"/>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49F"/>
    <w:rsid w:val="00F7365E"/>
    <w:rsid w:val="00F737A4"/>
    <w:rsid w:val="00F75206"/>
    <w:rsid w:val="00F75481"/>
    <w:rsid w:val="00F76A4C"/>
    <w:rsid w:val="00F82E2E"/>
    <w:rsid w:val="00F83601"/>
    <w:rsid w:val="00F837E6"/>
    <w:rsid w:val="00F8389A"/>
    <w:rsid w:val="00F83AE9"/>
    <w:rsid w:val="00F84196"/>
    <w:rsid w:val="00F843D4"/>
    <w:rsid w:val="00F84A40"/>
    <w:rsid w:val="00F84DBD"/>
    <w:rsid w:val="00F8516E"/>
    <w:rsid w:val="00F85287"/>
    <w:rsid w:val="00F85C0D"/>
    <w:rsid w:val="00F86741"/>
    <w:rsid w:val="00F86796"/>
    <w:rsid w:val="00F87C5B"/>
    <w:rsid w:val="00F87FEA"/>
    <w:rsid w:val="00F90613"/>
    <w:rsid w:val="00F906F4"/>
    <w:rsid w:val="00F915F3"/>
    <w:rsid w:val="00F91800"/>
    <w:rsid w:val="00F91853"/>
    <w:rsid w:val="00F91987"/>
    <w:rsid w:val="00F9208E"/>
    <w:rsid w:val="00F92571"/>
    <w:rsid w:val="00F92CAE"/>
    <w:rsid w:val="00F93CAE"/>
    <w:rsid w:val="00F95CCE"/>
    <w:rsid w:val="00F9692D"/>
    <w:rsid w:val="00F978BE"/>
    <w:rsid w:val="00F97D7B"/>
    <w:rsid w:val="00FA0F71"/>
    <w:rsid w:val="00FA3A97"/>
    <w:rsid w:val="00FA3AEA"/>
    <w:rsid w:val="00FA4219"/>
    <w:rsid w:val="00FA48C7"/>
    <w:rsid w:val="00FA54FF"/>
    <w:rsid w:val="00FA5570"/>
    <w:rsid w:val="00FA5C0B"/>
    <w:rsid w:val="00FA5D92"/>
    <w:rsid w:val="00FA70F5"/>
    <w:rsid w:val="00FA7902"/>
    <w:rsid w:val="00FB005D"/>
    <w:rsid w:val="00FB173C"/>
    <w:rsid w:val="00FB183E"/>
    <w:rsid w:val="00FB1D54"/>
    <w:rsid w:val="00FB3363"/>
    <w:rsid w:val="00FB4048"/>
    <w:rsid w:val="00FB4629"/>
    <w:rsid w:val="00FB577F"/>
    <w:rsid w:val="00FB5FC4"/>
    <w:rsid w:val="00FB6A07"/>
    <w:rsid w:val="00FB6FB1"/>
    <w:rsid w:val="00FB7460"/>
    <w:rsid w:val="00FB7A10"/>
    <w:rsid w:val="00FC0F81"/>
    <w:rsid w:val="00FC3798"/>
    <w:rsid w:val="00FC45B3"/>
    <w:rsid w:val="00FC6D4E"/>
    <w:rsid w:val="00FC7073"/>
    <w:rsid w:val="00FC736F"/>
    <w:rsid w:val="00FD0CDB"/>
    <w:rsid w:val="00FD1FA7"/>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B6F"/>
    <w:rsid w:val="00FE6818"/>
    <w:rsid w:val="00FF0CF5"/>
    <w:rsid w:val="00FF0D6F"/>
    <w:rsid w:val="00FF1103"/>
    <w:rsid w:val="00FF1712"/>
    <w:rsid w:val="00FF37DC"/>
    <w:rsid w:val="00FF37F2"/>
    <w:rsid w:val="00FF5B3C"/>
    <w:rsid w:val="00FF69C8"/>
    <w:rsid w:val="00FF6D3D"/>
    <w:rsid w:val="024D7E2C"/>
    <w:rsid w:val="0D2EB883"/>
    <w:rsid w:val="0D8163B6"/>
    <w:rsid w:val="12BE0D49"/>
    <w:rsid w:val="1BB32F19"/>
    <w:rsid w:val="1DFB665A"/>
    <w:rsid w:val="1F2C3AF5"/>
    <w:rsid w:val="1FF4886A"/>
    <w:rsid w:val="22D2584A"/>
    <w:rsid w:val="28751A95"/>
    <w:rsid w:val="29FA8189"/>
    <w:rsid w:val="2C00A012"/>
    <w:rsid w:val="33074898"/>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_tradnl"/>
    </w:rPr>
  </w:style>
  <w:style w:type="paragraph" w:styleId="Ttulo3">
    <w:name w:val="heading 3"/>
    <w:basedOn w:val="Normal"/>
    <w:next w:val="Normal"/>
    <w:link w:val="Ttulo3Car"/>
    <w:uiPriority w:val="9"/>
    <w:semiHidden/>
    <w:unhideWhenUsed/>
    <w:qFormat/>
    <w:rsid w:val="009727D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E84D1C"/>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styleId="Ttulo1Car" w:customStyle="1">
    <w:name w:val="Título 1 Car"/>
    <w:basedOn w:val="Fuentedeprrafopredeter"/>
    <w:link w:val="Ttulo1"/>
    <w:uiPriority w:val="9"/>
    <w:rsid w:val="00CD2E70"/>
    <w:rPr>
      <w:rFonts w:ascii="Times New Roman" w:hAnsi="Times New Roman" w:eastAsia="Times New Roman" w:cs="Times New Roman"/>
      <w:b/>
      <w:bCs/>
      <w:kern w:val="36"/>
      <w:sz w:val="48"/>
      <w:szCs w:val="48"/>
      <w:lang w:eastAsia="es-ES_tradnl"/>
    </w:rPr>
  </w:style>
  <w:style w:type="paragraph" w:styleId="paragraph" w:customStyle="1">
    <w:name w:val="paragraph"/>
    <w:basedOn w:val="Normal"/>
    <w:rsid w:val="00CD2E70"/>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superscript" w:customStyle="1">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styleId="Hipervnculo1" w:customStyle="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styleId="Textoindependiente21" w:customStyle="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hAnsi="Arial" w:eastAsia="Times New Roman"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rsid w:val="00002D55"/>
    <w:rPr>
      <w:rFonts w:ascii="Times New Roman" w:hAnsi="Times New Roman" w:eastAsia="Times New Roman" w:cs="Times New Roman"/>
      <w:sz w:val="24"/>
      <w:szCs w:val="24"/>
      <w:lang w:eastAsia="es-CO"/>
    </w:rPr>
  </w:style>
  <w:style w:type="character" w:styleId="Ttulo3Car" w:customStyle="1">
    <w:name w:val="Título 3 Car"/>
    <w:basedOn w:val="Fuentedeprrafopredeter"/>
    <w:link w:val="Ttulo3"/>
    <w:uiPriority w:val="9"/>
    <w:semiHidden/>
    <w:rsid w:val="009727DB"/>
    <w:rPr>
      <w:rFonts w:asciiTheme="majorHAnsi" w:hAnsiTheme="majorHAnsi" w:eastAsiaTheme="majorEastAsia" w:cstheme="majorBidi"/>
      <w:color w:val="1F3763" w:themeColor="accent1" w:themeShade="7F"/>
      <w:sz w:val="24"/>
      <w:szCs w:val="24"/>
    </w:rPr>
  </w:style>
  <w:style w:type="character" w:styleId="NormalWebCar" w:customStyle="1">
    <w:name w:val="Normal (Web) Car"/>
    <w:link w:val="NormalWeb"/>
    <w:uiPriority w:val="99"/>
    <w:rsid w:val="00A5566B"/>
    <w:rPr>
      <w:rFonts w:ascii="Times New Roman" w:hAnsi="Times New Roman" w:cs="Times New Roman"/>
      <w:sz w:val="24"/>
      <w:szCs w:val="24"/>
    </w:rPr>
  </w:style>
  <w:style w:type="character" w:styleId="baj" w:customStyle="1">
    <w:name w:val="b_aj"/>
    <w:basedOn w:val="Fuentedeprrafopredeter"/>
    <w:rsid w:val="00A5566B"/>
  </w:style>
  <w:style w:type="character" w:styleId="author-name" w:customStyle="1">
    <w:name w:val="author-name"/>
    <w:basedOn w:val="Fuentedeprrafopredeter"/>
    <w:rsid w:val="00F63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66886253">
      <w:bodyDiv w:val="1"/>
      <w:marLeft w:val="0"/>
      <w:marRight w:val="0"/>
      <w:marTop w:val="0"/>
      <w:marBottom w:val="0"/>
      <w:divBdr>
        <w:top w:val="none" w:sz="0" w:space="0" w:color="auto"/>
        <w:left w:val="none" w:sz="0" w:space="0" w:color="auto"/>
        <w:bottom w:val="none" w:sz="0" w:space="0" w:color="auto"/>
        <w:right w:val="none" w:sz="0" w:space="0" w:color="auto"/>
      </w:divBdr>
    </w:div>
    <w:div w:id="29860691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349029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6324510">
      <w:bodyDiv w:val="1"/>
      <w:marLeft w:val="0"/>
      <w:marRight w:val="0"/>
      <w:marTop w:val="0"/>
      <w:marBottom w:val="0"/>
      <w:divBdr>
        <w:top w:val="none" w:sz="0" w:space="0" w:color="auto"/>
        <w:left w:val="none" w:sz="0" w:space="0" w:color="auto"/>
        <w:bottom w:val="none" w:sz="0" w:space="0" w:color="auto"/>
        <w:right w:val="none" w:sz="0" w:space="0" w:color="auto"/>
      </w:divBdr>
    </w:div>
    <w:div w:id="403382441">
      <w:bodyDiv w:val="1"/>
      <w:marLeft w:val="0"/>
      <w:marRight w:val="0"/>
      <w:marTop w:val="0"/>
      <w:marBottom w:val="0"/>
      <w:divBdr>
        <w:top w:val="none" w:sz="0" w:space="0" w:color="auto"/>
        <w:left w:val="none" w:sz="0" w:space="0" w:color="auto"/>
        <w:bottom w:val="none" w:sz="0" w:space="0" w:color="auto"/>
        <w:right w:val="none" w:sz="0" w:space="0" w:color="auto"/>
      </w:divBdr>
    </w:div>
    <w:div w:id="404229398">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628365147">
      <w:bodyDiv w:val="1"/>
      <w:marLeft w:val="0"/>
      <w:marRight w:val="0"/>
      <w:marTop w:val="0"/>
      <w:marBottom w:val="0"/>
      <w:divBdr>
        <w:top w:val="none" w:sz="0" w:space="0" w:color="auto"/>
        <w:left w:val="none" w:sz="0" w:space="0" w:color="auto"/>
        <w:bottom w:val="none" w:sz="0" w:space="0" w:color="auto"/>
        <w:right w:val="none" w:sz="0" w:space="0" w:color="auto"/>
      </w:divBdr>
    </w:div>
    <w:div w:id="650448574">
      <w:bodyDiv w:val="1"/>
      <w:marLeft w:val="0"/>
      <w:marRight w:val="0"/>
      <w:marTop w:val="0"/>
      <w:marBottom w:val="0"/>
      <w:divBdr>
        <w:top w:val="none" w:sz="0" w:space="0" w:color="auto"/>
        <w:left w:val="none" w:sz="0" w:space="0" w:color="auto"/>
        <w:bottom w:val="none" w:sz="0" w:space="0" w:color="auto"/>
        <w:right w:val="none" w:sz="0" w:space="0" w:color="auto"/>
      </w:divBdr>
    </w:div>
    <w:div w:id="662200338">
      <w:bodyDiv w:val="1"/>
      <w:marLeft w:val="0"/>
      <w:marRight w:val="0"/>
      <w:marTop w:val="0"/>
      <w:marBottom w:val="0"/>
      <w:divBdr>
        <w:top w:val="none" w:sz="0" w:space="0" w:color="auto"/>
        <w:left w:val="none" w:sz="0" w:space="0" w:color="auto"/>
        <w:bottom w:val="none" w:sz="0" w:space="0" w:color="auto"/>
        <w:right w:val="none" w:sz="0" w:space="0" w:color="auto"/>
      </w:divBdr>
    </w:div>
    <w:div w:id="833643204">
      <w:bodyDiv w:val="1"/>
      <w:marLeft w:val="0"/>
      <w:marRight w:val="0"/>
      <w:marTop w:val="0"/>
      <w:marBottom w:val="0"/>
      <w:divBdr>
        <w:top w:val="none" w:sz="0" w:space="0" w:color="auto"/>
        <w:left w:val="none" w:sz="0" w:space="0" w:color="auto"/>
        <w:bottom w:val="none" w:sz="0" w:space="0" w:color="auto"/>
        <w:right w:val="none" w:sz="0" w:space="0" w:color="auto"/>
      </w:divBdr>
    </w:div>
    <w:div w:id="835607319">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43420770">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84781202">
      <w:bodyDiv w:val="1"/>
      <w:marLeft w:val="0"/>
      <w:marRight w:val="0"/>
      <w:marTop w:val="0"/>
      <w:marBottom w:val="0"/>
      <w:divBdr>
        <w:top w:val="none" w:sz="0" w:space="0" w:color="auto"/>
        <w:left w:val="none" w:sz="0" w:space="0" w:color="auto"/>
        <w:bottom w:val="none" w:sz="0" w:space="0" w:color="auto"/>
        <w:right w:val="none" w:sz="0" w:space="0" w:color="auto"/>
      </w:divBdr>
    </w:div>
    <w:div w:id="1186014700">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294485145">
      <w:bodyDiv w:val="1"/>
      <w:marLeft w:val="0"/>
      <w:marRight w:val="0"/>
      <w:marTop w:val="0"/>
      <w:marBottom w:val="0"/>
      <w:divBdr>
        <w:top w:val="none" w:sz="0" w:space="0" w:color="auto"/>
        <w:left w:val="none" w:sz="0" w:space="0" w:color="auto"/>
        <w:bottom w:val="none" w:sz="0" w:space="0" w:color="auto"/>
        <w:right w:val="none" w:sz="0" w:space="0" w:color="auto"/>
      </w:divBdr>
    </w:div>
    <w:div w:id="1325671132">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302775">
      <w:bodyDiv w:val="1"/>
      <w:marLeft w:val="0"/>
      <w:marRight w:val="0"/>
      <w:marTop w:val="0"/>
      <w:marBottom w:val="0"/>
      <w:divBdr>
        <w:top w:val="none" w:sz="0" w:space="0" w:color="auto"/>
        <w:left w:val="none" w:sz="0" w:space="0" w:color="auto"/>
        <w:bottom w:val="none" w:sz="0" w:space="0" w:color="auto"/>
        <w:right w:val="none" w:sz="0" w:space="0" w:color="auto"/>
      </w:divBdr>
    </w:div>
    <w:div w:id="1472402384">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4480829">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busqueda/conceptos"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hyperlink" Target="mailto:secretariaserregionales@girardot-cundinamarca.gov.co" TargetMode="External" Id="rId12" /><Relationship Type="http://schemas.openxmlformats.org/officeDocument/2006/relationships/image" Target="media/image2.jpe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 Id="rId15" /><Relationship Type="http://schemas.openxmlformats.org/officeDocument/2006/relationships/footer" Target="footer3.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 Id="rId14" /><Relationship Type="http://schemas.openxmlformats.org/officeDocument/2006/relationships/header" Target="header3.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Nicolas Andres Guzman Padilla</lastModifiedBy>
  <revision>3</revision>
  <dcterms:created xsi:type="dcterms:W3CDTF">2025-05-07T00:51:00.0000000Z</dcterms:created>
  <dcterms:modified xsi:type="dcterms:W3CDTF">2025-05-07T17:45:33.4286846Z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