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8FF0C" w14:textId="77777777" w:rsidR="00380CE3" w:rsidRDefault="00380CE3" w:rsidP="001C59EE">
      <w:pPr>
        <w:spacing w:after="0" w:line="240" w:lineRule="auto"/>
        <w:rPr>
          <w:rFonts w:ascii="Verdana" w:eastAsia="Calibri" w:hAnsi="Verdana" w:cs="Arial"/>
          <w:b/>
          <w:bCs/>
          <w:color w:val="000000" w:themeColor="text1"/>
          <w:lang w:val="es-ES" w:eastAsia="es-ES"/>
        </w:rPr>
      </w:pPr>
    </w:p>
    <w:p w14:paraId="0170C938" w14:textId="35A1438B" w:rsidR="001C59EE" w:rsidRPr="00762A61" w:rsidRDefault="00762A61" w:rsidP="001C59EE">
      <w:pPr>
        <w:spacing w:after="0" w:line="240" w:lineRule="auto"/>
        <w:rPr>
          <w:rFonts w:ascii="Verdana" w:eastAsia="Calibri" w:hAnsi="Verdana" w:cs="Arial"/>
          <w:b/>
          <w:bCs/>
          <w:color w:val="000000" w:themeColor="text1"/>
          <w:lang w:val="es-ES" w:eastAsia="es-ES"/>
        </w:rPr>
      </w:pPr>
      <w:r w:rsidRPr="00762A61">
        <w:rPr>
          <w:rFonts w:ascii="Verdana" w:eastAsia="Calibri" w:hAnsi="Verdana" w:cs="Arial"/>
          <w:b/>
          <w:bCs/>
          <w:color w:val="000000" w:themeColor="text1"/>
          <w:lang w:val="es-ES" w:eastAsia="es-ES"/>
        </w:rPr>
        <w:t>REQUISITOS HABILITANTES – Noción – Régimen jurídico</w:t>
      </w:r>
    </w:p>
    <w:p w14:paraId="74E8DE7E" w14:textId="77777777" w:rsidR="00762A61" w:rsidRPr="001C59EE" w:rsidRDefault="00762A61" w:rsidP="001C59EE">
      <w:pPr>
        <w:spacing w:after="0" w:line="240" w:lineRule="auto"/>
        <w:rPr>
          <w:rFonts w:ascii="Verdana" w:eastAsia="Geomanist Light" w:hAnsi="Verdana" w:cs="Arial"/>
          <w:color w:val="000000" w:themeColor="text1"/>
        </w:rPr>
      </w:pPr>
    </w:p>
    <w:p w14:paraId="03E0B3A9" w14:textId="77777777" w:rsidR="001C59EE" w:rsidRPr="001C59EE" w:rsidRDefault="001C59EE" w:rsidP="001C59EE">
      <w:pPr>
        <w:spacing w:after="0" w:line="240" w:lineRule="auto"/>
        <w:jc w:val="both"/>
        <w:rPr>
          <w:rFonts w:ascii="Verdana" w:eastAsia="Geomanist Light" w:hAnsi="Verdana" w:cs="Arial"/>
          <w:color w:val="000000" w:themeColor="text1"/>
          <w:sz w:val="20"/>
          <w:szCs w:val="20"/>
        </w:rPr>
      </w:pPr>
      <w:r w:rsidRPr="001C59EE">
        <w:rPr>
          <w:rFonts w:ascii="Verdana" w:eastAsia="Geomanist Light" w:hAnsi="Verdana" w:cs="Arial"/>
          <w:color w:val="000000" w:themeColor="text1"/>
          <w:sz w:val="20"/>
          <w:szCs w:val="20"/>
        </w:rPr>
        <w:t>Los requisitos habilitantes constituyen los requerimientos mínimos con los que deben cumplir los proponentes para participar en el procedimiento de selección, por tal razón éstos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5E5918F5" w14:textId="77777777" w:rsidR="001C59EE" w:rsidRDefault="001C59EE" w:rsidP="001C59EE">
      <w:pPr>
        <w:spacing w:after="0" w:line="240" w:lineRule="auto"/>
        <w:jc w:val="both"/>
        <w:rPr>
          <w:rFonts w:ascii="Verdana" w:eastAsia="Geomanist Light" w:hAnsi="Verdana" w:cs="Arial"/>
          <w:color w:val="000000" w:themeColor="text1"/>
          <w:sz w:val="20"/>
          <w:szCs w:val="20"/>
        </w:rPr>
      </w:pPr>
      <w:r w:rsidRPr="001C59EE">
        <w:rPr>
          <w:rFonts w:ascii="Verdana" w:eastAsia="Geomanist Light" w:hAnsi="Verdana" w:cs="Arial"/>
          <w:color w:val="000000" w:themeColor="text1"/>
          <w:sz w:val="20"/>
          <w:szCs w:val="20"/>
        </w:rPr>
        <w:t>En particular, la capacidad financiera hace referencia a la solvencia económica del proponente y su capacidad para asumir las obligaciones contractuales sin afectar su estabilidad financiera. De acuerdo con el artículo 2.2.1.1.1.5.3 del Decreto 1082 de 2015, las entidades estatales pueden exigir indicadores financieros como razones de liquidez, endeudamiento, rentabilidad y patrimonio, siempre que su exigencia sea proporcional y acorde con la naturaleza del objeto contractual.</w:t>
      </w:r>
    </w:p>
    <w:p w14:paraId="5B5625CE" w14:textId="77777777" w:rsidR="00912FFD" w:rsidRDefault="00912FFD" w:rsidP="001C59EE">
      <w:pPr>
        <w:spacing w:after="0" w:line="240" w:lineRule="auto"/>
        <w:jc w:val="both"/>
        <w:rPr>
          <w:rFonts w:ascii="Verdana" w:eastAsia="Geomanist Light" w:hAnsi="Verdana" w:cs="Arial"/>
          <w:color w:val="000000" w:themeColor="text1"/>
          <w:sz w:val="20"/>
          <w:szCs w:val="20"/>
        </w:rPr>
      </w:pPr>
    </w:p>
    <w:p w14:paraId="622A2512" w14:textId="77777777" w:rsidR="00912FFD" w:rsidRDefault="00912FFD" w:rsidP="001C59EE">
      <w:pPr>
        <w:spacing w:after="0" w:line="240" w:lineRule="auto"/>
        <w:jc w:val="both"/>
        <w:rPr>
          <w:rFonts w:ascii="Verdana" w:eastAsia="Geomanist Light" w:hAnsi="Verdana" w:cs="Arial"/>
          <w:color w:val="000000" w:themeColor="text1"/>
          <w:sz w:val="20"/>
          <w:szCs w:val="20"/>
        </w:rPr>
      </w:pPr>
    </w:p>
    <w:p w14:paraId="0B89718D" w14:textId="4D508244" w:rsidR="00912FFD" w:rsidRPr="00912FFD" w:rsidRDefault="00912FFD" w:rsidP="001C59EE">
      <w:pPr>
        <w:spacing w:after="0" w:line="240" w:lineRule="auto"/>
        <w:jc w:val="both"/>
        <w:rPr>
          <w:rFonts w:ascii="Verdana" w:hAnsi="Verdana" w:cs="Arial"/>
          <w:b/>
          <w:bCs/>
          <w:lang w:val="es-ES" w:eastAsia="es-ES_tradnl"/>
        </w:rPr>
      </w:pPr>
      <w:r w:rsidRPr="00912FFD">
        <w:rPr>
          <w:rFonts w:ascii="Verdana" w:hAnsi="Verdana" w:cs="Arial"/>
          <w:b/>
          <w:bCs/>
          <w:lang w:val="es-ES" w:eastAsia="es-ES_tradnl"/>
        </w:rPr>
        <w:t>REGISTRO ÚNICO DE PROPONENTES – RUP – Naturaleza</w:t>
      </w:r>
    </w:p>
    <w:p w14:paraId="41BEA654" w14:textId="77777777" w:rsidR="00912FFD" w:rsidRDefault="00912FFD" w:rsidP="001C59EE">
      <w:pPr>
        <w:spacing w:after="0" w:line="240" w:lineRule="auto"/>
        <w:jc w:val="both"/>
        <w:rPr>
          <w:rFonts w:ascii="Verdana" w:eastAsia="Geomanist Light" w:hAnsi="Verdana" w:cs="Arial"/>
          <w:color w:val="000000" w:themeColor="text1"/>
          <w:sz w:val="20"/>
          <w:szCs w:val="20"/>
        </w:rPr>
      </w:pPr>
    </w:p>
    <w:p w14:paraId="50B97349" w14:textId="2FA14738" w:rsidR="00912FFD" w:rsidRPr="001C59EE" w:rsidRDefault="00912FFD" w:rsidP="001C59EE">
      <w:pPr>
        <w:spacing w:after="0" w:line="240" w:lineRule="auto"/>
        <w:jc w:val="both"/>
        <w:rPr>
          <w:rFonts w:ascii="Verdana" w:eastAsia="Geomanist Light" w:hAnsi="Verdana" w:cs="Arial"/>
          <w:color w:val="000000" w:themeColor="text1"/>
          <w:sz w:val="20"/>
          <w:szCs w:val="20"/>
        </w:rPr>
      </w:pPr>
      <w:r w:rsidRPr="00912FFD">
        <w:rPr>
          <w:rFonts w:ascii="Verdana" w:eastAsia="Geomanist Light" w:hAnsi="Verdana" w:cs="Arial"/>
          <w:color w:val="000000" w:themeColor="text1"/>
          <w:sz w:val="20"/>
          <w:szCs w:val="20"/>
        </w:rPr>
        <w:t>El Registro Único de Proponentes – en adelante RUP – como instrumento en el que consta la información relacionada con las personas naturales y jurídicas, con el fin de que puedan participar en los Procedimientos de Contratación realizados por las Entidades Estatales, tiene por objeto contemplar en un único documento la información relativa a la capacidad jurídica, técnica, financiera y organizacional de los posibles proponentes.</w:t>
      </w:r>
    </w:p>
    <w:p w14:paraId="036378C6" w14:textId="77777777" w:rsidR="00B44AA8" w:rsidRPr="001C59EE" w:rsidRDefault="00B44AA8" w:rsidP="00B44AA8">
      <w:pPr>
        <w:spacing w:after="0" w:line="240" w:lineRule="auto"/>
        <w:rPr>
          <w:rFonts w:ascii="Verdana" w:eastAsia="Geomanist Light" w:hAnsi="Verdana" w:cs="Arial"/>
          <w:color w:val="000000" w:themeColor="text1"/>
        </w:rPr>
      </w:pPr>
    </w:p>
    <w:p w14:paraId="02D15873" w14:textId="77777777" w:rsidR="00F95240" w:rsidRDefault="00F95240" w:rsidP="00B44AA8">
      <w:pPr>
        <w:spacing w:after="0" w:line="240" w:lineRule="auto"/>
        <w:rPr>
          <w:rFonts w:ascii="Verdana" w:eastAsia="Geomanist Light" w:hAnsi="Verdana" w:cs="Arial"/>
          <w:color w:val="000000" w:themeColor="text1"/>
        </w:rPr>
      </w:pPr>
    </w:p>
    <w:p w14:paraId="55335E5A" w14:textId="45B35A5A" w:rsidR="00F95240" w:rsidRPr="00762A61" w:rsidRDefault="00762A61" w:rsidP="00B44AA8">
      <w:pPr>
        <w:spacing w:after="0" w:line="240" w:lineRule="auto"/>
        <w:rPr>
          <w:rFonts w:ascii="Verdana" w:hAnsi="Verdana" w:cs="Arial"/>
          <w:b/>
          <w:bCs/>
          <w:lang w:eastAsia="es-ES_tradnl"/>
        </w:rPr>
      </w:pPr>
      <w:r w:rsidRPr="00762A61">
        <w:rPr>
          <w:rFonts w:ascii="Verdana" w:hAnsi="Verdana" w:cs="Arial"/>
          <w:b/>
          <w:bCs/>
          <w:lang w:eastAsia="es-ES_tradnl"/>
        </w:rPr>
        <w:t>PROCESOS DE MÍNIMA CUANTÍA – Excepción al RUP – Verificación documental directa – Criterios de selección</w:t>
      </w:r>
    </w:p>
    <w:p w14:paraId="4F8482B0" w14:textId="77777777" w:rsidR="00762A61" w:rsidRPr="00762A61" w:rsidRDefault="00762A61" w:rsidP="00762A61">
      <w:pPr>
        <w:spacing w:after="0" w:line="240" w:lineRule="auto"/>
        <w:jc w:val="both"/>
        <w:rPr>
          <w:rFonts w:ascii="Verdana" w:eastAsia="Geomanist Light" w:hAnsi="Verdana" w:cs="Arial"/>
          <w:color w:val="000000" w:themeColor="text1"/>
          <w:sz w:val="20"/>
          <w:szCs w:val="20"/>
        </w:rPr>
      </w:pPr>
    </w:p>
    <w:p w14:paraId="215C7293" w14:textId="77777777" w:rsidR="00762A61" w:rsidRPr="00762A61" w:rsidRDefault="00762A61" w:rsidP="00762A61">
      <w:pPr>
        <w:spacing w:after="0" w:line="240" w:lineRule="auto"/>
        <w:jc w:val="both"/>
        <w:rPr>
          <w:rFonts w:ascii="Verdana" w:eastAsia="Geomanist Light" w:hAnsi="Verdana" w:cs="Arial"/>
          <w:color w:val="000000" w:themeColor="text1"/>
          <w:sz w:val="20"/>
          <w:szCs w:val="20"/>
        </w:rPr>
      </w:pPr>
      <w:r w:rsidRPr="00762A61">
        <w:rPr>
          <w:rFonts w:ascii="Verdana" w:eastAsia="Geomanist Light" w:hAnsi="Verdana" w:cs="Arial"/>
          <w:color w:val="000000" w:themeColor="text1"/>
          <w:sz w:val="20"/>
          <w:szCs w:val="20"/>
        </w:rPr>
        <w:t>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p>
    <w:p w14:paraId="72A43E5A" w14:textId="77777777" w:rsidR="00762A61" w:rsidRDefault="00762A61" w:rsidP="00762A61">
      <w:pPr>
        <w:spacing w:after="0" w:line="240" w:lineRule="auto"/>
        <w:jc w:val="both"/>
        <w:rPr>
          <w:rFonts w:ascii="Verdana" w:eastAsia="Geomanist Light" w:hAnsi="Verdana" w:cs="Arial"/>
          <w:color w:val="000000" w:themeColor="text1"/>
          <w:sz w:val="20"/>
          <w:szCs w:val="20"/>
        </w:rPr>
      </w:pPr>
      <w:r w:rsidRPr="00762A61">
        <w:rPr>
          <w:rFonts w:ascii="Verdana" w:eastAsia="Geomanist Light" w:hAnsi="Verdana" w:cs="Arial"/>
          <w:color w:val="000000" w:themeColor="text1"/>
          <w:sz w:val="20"/>
          <w:szCs w:val="20"/>
        </w:rPr>
        <w:t>Para el caso de los procesos de Mínima Cuantía la Agencia Nacional de Contratación Pública – Colombia Compra Eficiente, expidió el Manual de la Modalidad de Selección de Mínima Cuantía cuyo objeto es precisar las características especiales, procedimiento y naturaleza de esta modalidad de selección para hacer más eficiente y efectivo su uso por parte de las Entidades Estatales, dentro del mismo establece la definición de los requisitos habilitantes y la forma de verificación en esta modalidad de selección.</w:t>
      </w:r>
    </w:p>
    <w:p w14:paraId="0A0057DA" w14:textId="77777777" w:rsidR="00CF09BB" w:rsidRDefault="00CF09BB" w:rsidP="00762A61">
      <w:pPr>
        <w:spacing w:after="0" w:line="240" w:lineRule="auto"/>
        <w:jc w:val="both"/>
        <w:rPr>
          <w:rFonts w:ascii="Verdana" w:eastAsia="Geomanist Light" w:hAnsi="Verdana" w:cs="Arial"/>
          <w:color w:val="000000" w:themeColor="text1"/>
          <w:sz w:val="20"/>
          <w:szCs w:val="20"/>
        </w:rPr>
      </w:pPr>
    </w:p>
    <w:p w14:paraId="398273C1" w14:textId="7332D535" w:rsidR="00CF09BB" w:rsidRDefault="00CF09BB" w:rsidP="00762A61">
      <w:pPr>
        <w:spacing w:after="0" w:line="240" w:lineRule="auto"/>
        <w:jc w:val="both"/>
        <w:rPr>
          <w:rFonts w:ascii="Verdana" w:eastAsia="Geomanist Light" w:hAnsi="Verdana" w:cs="Arial"/>
          <w:b/>
          <w:bCs/>
          <w:color w:val="000000" w:themeColor="text1"/>
        </w:rPr>
      </w:pPr>
      <w:r w:rsidRPr="00CF09BB">
        <w:rPr>
          <w:rFonts w:ascii="Verdana" w:eastAsia="Geomanist Light" w:hAnsi="Verdana" w:cs="Arial"/>
          <w:b/>
          <w:bCs/>
          <w:color w:val="000000" w:themeColor="text1"/>
        </w:rPr>
        <w:lastRenderedPageBreak/>
        <w:t xml:space="preserve">ENTIDAD ESTATAL – Competencia para fijar requisitos – Deber de indicar documentos válidos – Criterios de proporcionalidad </w:t>
      </w:r>
    </w:p>
    <w:p w14:paraId="53897C95" w14:textId="77777777" w:rsidR="00380CE3" w:rsidRDefault="00380CE3" w:rsidP="00762A61">
      <w:pPr>
        <w:spacing w:after="0" w:line="240" w:lineRule="auto"/>
        <w:jc w:val="both"/>
        <w:rPr>
          <w:rFonts w:ascii="Verdana" w:eastAsia="Geomanist Light" w:hAnsi="Verdana" w:cs="Arial"/>
          <w:b/>
          <w:bCs/>
          <w:color w:val="000000" w:themeColor="text1"/>
        </w:rPr>
      </w:pPr>
    </w:p>
    <w:p w14:paraId="55FA3A95" w14:textId="5EEFF739" w:rsidR="00CF09BB" w:rsidRPr="00762A61" w:rsidRDefault="00380CE3" w:rsidP="00762A61">
      <w:pPr>
        <w:spacing w:after="0" w:line="240" w:lineRule="auto"/>
        <w:jc w:val="both"/>
        <w:rPr>
          <w:rFonts w:ascii="Verdana" w:eastAsia="Geomanist Light" w:hAnsi="Verdana" w:cs="Arial"/>
          <w:color w:val="000000" w:themeColor="text1"/>
          <w:sz w:val="20"/>
          <w:szCs w:val="20"/>
        </w:rPr>
      </w:pPr>
      <w:r w:rsidRPr="00380CE3">
        <w:rPr>
          <w:rFonts w:ascii="Verdana" w:eastAsia="Geomanist Light" w:hAnsi="Verdana" w:cs="Arial"/>
          <w:color w:val="000000" w:themeColor="text1"/>
          <w:sz w:val="20"/>
          <w:szCs w:val="20"/>
        </w:rPr>
        <w:t>Las entidades estatales, en ejercicio de su autonomía contractual conforme a lo establecido en los artículos 24 y 25 de la Ley 80 de 1993 y el artículo 5 de la Ley 1150 de 2007, tienen competencia para fijar los requisitos habilitantes en los procesos de selección, siempre que lo hagan con sujeción a los principios de transparencia, igualdad, libre concurrencia y selección objetiva. En este sentido, deben indicar de forma clara y precisa los documentos válidos para acreditar el cumplimiento de tales requisitos, en cumplimiento del principio de planeación y en armonía con lo dispuesto en el Decreto 1082 de 2015. Además, la exigencia de requisitos debe respetar el principio de proporcionalidad, lo que implica que estos deben ser idóneos, necesarios y adecuados en relación con el objeto y la cuantía del contrato, sin convertirse en barreras injustificadas para la participación, de acuerdo con lo señalado por la jurisprudencia del Consejo de Estado.</w:t>
      </w:r>
    </w:p>
    <w:p w14:paraId="33B26A39" w14:textId="77777777" w:rsidR="00F95240" w:rsidRDefault="00F95240" w:rsidP="00B44AA8">
      <w:pPr>
        <w:spacing w:after="0" w:line="240" w:lineRule="auto"/>
        <w:rPr>
          <w:rFonts w:ascii="Verdana" w:eastAsia="Geomanist Light" w:hAnsi="Verdana" w:cs="Arial"/>
          <w:color w:val="000000" w:themeColor="text1"/>
        </w:rPr>
      </w:pPr>
    </w:p>
    <w:p w14:paraId="01813848" w14:textId="77777777" w:rsidR="00F95240" w:rsidRDefault="00F95240" w:rsidP="00B44AA8">
      <w:pPr>
        <w:spacing w:after="0" w:line="240" w:lineRule="auto"/>
        <w:rPr>
          <w:rFonts w:ascii="Verdana" w:eastAsia="Geomanist Light" w:hAnsi="Verdana" w:cs="Arial"/>
          <w:color w:val="000000" w:themeColor="text1"/>
        </w:rPr>
      </w:pPr>
    </w:p>
    <w:p w14:paraId="4A480DB3" w14:textId="77777777" w:rsidR="00F95240" w:rsidRDefault="00F95240" w:rsidP="00B44AA8">
      <w:pPr>
        <w:spacing w:after="0" w:line="240" w:lineRule="auto"/>
        <w:rPr>
          <w:rFonts w:ascii="Verdana" w:eastAsia="Geomanist Light" w:hAnsi="Verdana" w:cs="Arial"/>
          <w:color w:val="000000" w:themeColor="text1"/>
        </w:rPr>
      </w:pPr>
    </w:p>
    <w:p w14:paraId="138CE459" w14:textId="77777777" w:rsidR="00F95240" w:rsidRDefault="00F95240" w:rsidP="00B44AA8">
      <w:pPr>
        <w:spacing w:after="0" w:line="240" w:lineRule="auto"/>
        <w:rPr>
          <w:rFonts w:ascii="Verdana" w:eastAsia="Geomanist Light" w:hAnsi="Verdana" w:cs="Arial"/>
          <w:color w:val="000000" w:themeColor="text1"/>
        </w:rPr>
      </w:pPr>
    </w:p>
    <w:p w14:paraId="4DE3DD99" w14:textId="77777777" w:rsidR="00F95240" w:rsidRDefault="00F95240" w:rsidP="00B44AA8">
      <w:pPr>
        <w:spacing w:after="0" w:line="240" w:lineRule="auto"/>
        <w:rPr>
          <w:rFonts w:ascii="Verdana" w:eastAsia="Geomanist Light" w:hAnsi="Verdana" w:cs="Arial"/>
          <w:color w:val="000000" w:themeColor="text1"/>
        </w:rPr>
      </w:pPr>
    </w:p>
    <w:p w14:paraId="0EB74E61" w14:textId="77777777" w:rsidR="00F95240" w:rsidRDefault="00F95240" w:rsidP="00B44AA8">
      <w:pPr>
        <w:spacing w:after="0" w:line="240" w:lineRule="auto"/>
        <w:rPr>
          <w:rFonts w:ascii="Verdana" w:eastAsia="Geomanist Light" w:hAnsi="Verdana" w:cs="Arial"/>
          <w:color w:val="000000" w:themeColor="text1"/>
        </w:rPr>
      </w:pPr>
    </w:p>
    <w:p w14:paraId="153A93DA" w14:textId="77777777" w:rsidR="00F95240" w:rsidRDefault="00F95240" w:rsidP="00B44AA8">
      <w:pPr>
        <w:spacing w:after="0" w:line="240" w:lineRule="auto"/>
        <w:rPr>
          <w:rFonts w:ascii="Verdana" w:eastAsia="Geomanist Light" w:hAnsi="Verdana" w:cs="Arial"/>
          <w:color w:val="000000" w:themeColor="text1"/>
        </w:rPr>
      </w:pPr>
    </w:p>
    <w:p w14:paraId="4DCF4102" w14:textId="77777777" w:rsidR="00F95240" w:rsidRDefault="00F95240" w:rsidP="00B44AA8">
      <w:pPr>
        <w:spacing w:after="0" w:line="240" w:lineRule="auto"/>
        <w:rPr>
          <w:rFonts w:ascii="Verdana" w:eastAsia="Geomanist Light" w:hAnsi="Verdana" w:cs="Arial"/>
          <w:color w:val="000000" w:themeColor="text1"/>
        </w:rPr>
      </w:pPr>
    </w:p>
    <w:p w14:paraId="7D894BBC" w14:textId="77777777" w:rsidR="00F95240" w:rsidRDefault="00F95240" w:rsidP="00B44AA8">
      <w:pPr>
        <w:spacing w:after="0" w:line="240" w:lineRule="auto"/>
        <w:rPr>
          <w:rFonts w:ascii="Verdana" w:eastAsia="Geomanist Light" w:hAnsi="Verdana" w:cs="Arial"/>
          <w:color w:val="000000" w:themeColor="text1"/>
        </w:rPr>
      </w:pPr>
    </w:p>
    <w:p w14:paraId="758EB8DA" w14:textId="77777777" w:rsidR="00F95240" w:rsidRDefault="00F95240" w:rsidP="00B44AA8">
      <w:pPr>
        <w:spacing w:after="0" w:line="240" w:lineRule="auto"/>
        <w:rPr>
          <w:rFonts w:ascii="Verdana" w:eastAsia="Geomanist Light" w:hAnsi="Verdana" w:cs="Arial"/>
          <w:color w:val="000000" w:themeColor="text1"/>
        </w:rPr>
      </w:pPr>
    </w:p>
    <w:p w14:paraId="31C2B6D8" w14:textId="77777777" w:rsidR="00F95240" w:rsidRDefault="00F95240" w:rsidP="00B44AA8">
      <w:pPr>
        <w:spacing w:after="0" w:line="240" w:lineRule="auto"/>
        <w:rPr>
          <w:rFonts w:ascii="Verdana" w:eastAsia="Geomanist Light" w:hAnsi="Verdana" w:cs="Arial"/>
          <w:color w:val="000000" w:themeColor="text1"/>
        </w:rPr>
      </w:pPr>
    </w:p>
    <w:p w14:paraId="4C0C7245" w14:textId="77777777" w:rsidR="00F95240" w:rsidRDefault="00F95240" w:rsidP="00B44AA8">
      <w:pPr>
        <w:spacing w:after="0" w:line="240" w:lineRule="auto"/>
        <w:rPr>
          <w:rFonts w:ascii="Verdana" w:eastAsia="Geomanist Light" w:hAnsi="Verdana" w:cs="Arial"/>
          <w:color w:val="000000" w:themeColor="text1"/>
        </w:rPr>
      </w:pPr>
    </w:p>
    <w:p w14:paraId="56EDD07D" w14:textId="77777777" w:rsidR="00F95240" w:rsidRDefault="00F95240" w:rsidP="00B44AA8">
      <w:pPr>
        <w:spacing w:after="0" w:line="240" w:lineRule="auto"/>
        <w:rPr>
          <w:rFonts w:ascii="Verdana" w:eastAsia="Geomanist Light" w:hAnsi="Verdana" w:cs="Arial"/>
          <w:color w:val="000000" w:themeColor="text1"/>
        </w:rPr>
      </w:pPr>
    </w:p>
    <w:p w14:paraId="2968D4C0" w14:textId="77777777" w:rsidR="00F95240" w:rsidRDefault="00F95240" w:rsidP="00B44AA8">
      <w:pPr>
        <w:spacing w:after="0" w:line="240" w:lineRule="auto"/>
        <w:rPr>
          <w:rFonts w:ascii="Verdana" w:eastAsia="Geomanist Light" w:hAnsi="Verdana" w:cs="Arial"/>
          <w:color w:val="000000" w:themeColor="text1"/>
        </w:rPr>
      </w:pPr>
    </w:p>
    <w:p w14:paraId="38EE3DB4" w14:textId="77777777" w:rsidR="00F95240" w:rsidRDefault="00F95240" w:rsidP="00B44AA8">
      <w:pPr>
        <w:spacing w:after="0" w:line="240" w:lineRule="auto"/>
        <w:rPr>
          <w:rFonts w:ascii="Verdana" w:eastAsia="Geomanist Light" w:hAnsi="Verdana" w:cs="Arial"/>
          <w:color w:val="000000" w:themeColor="text1"/>
        </w:rPr>
      </w:pPr>
    </w:p>
    <w:p w14:paraId="798085EA" w14:textId="77777777" w:rsidR="00F95240" w:rsidRDefault="00F95240" w:rsidP="00B44AA8">
      <w:pPr>
        <w:spacing w:after="0" w:line="240" w:lineRule="auto"/>
        <w:rPr>
          <w:rFonts w:ascii="Verdana" w:eastAsia="Geomanist Light" w:hAnsi="Verdana" w:cs="Arial"/>
          <w:color w:val="000000" w:themeColor="text1"/>
        </w:rPr>
      </w:pPr>
    </w:p>
    <w:p w14:paraId="20E58678" w14:textId="77777777" w:rsidR="00F95240" w:rsidRDefault="00F95240" w:rsidP="00B44AA8">
      <w:pPr>
        <w:spacing w:after="0" w:line="240" w:lineRule="auto"/>
        <w:rPr>
          <w:rFonts w:ascii="Verdana" w:eastAsia="Geomanist Light" w:hAnsi="Verdana" w:cs="Arial"/>
          <w:color w:val="000000" w:themeColor="text1"/>
        </w:rPr>
      </w:pPr>
    </w:p>
    <w:p w14:paraId="49A03BAE" w14:textId="77777777" w:rsidR="00F95240" w:rsidRDefault="00F95240" w:rsidP="00B44AA8">
      <w:pPr>
        <w:spacing w:after="0" w:line="240" w:lineRule="auto"/>
        <w:rPr>
          <w:rFonts w:ascii="Verdana" w:eastAsia="Geomanist Light" w:hAnsi="Verdana" w:cs="Arial"/>
          <w:color w:val="000000" w:themeColor="text1"/>
        </w:rPr>
      </w:pPr>
    </w:p>
    <w:p w14:paraId="5DDB1A9C" w14:textId="77777777" w:rsidR="00F95240" w:rsidRDefault="00F95240" w:rsidP="00B44AA8">
      <w:pPr>
        <w:spacing w:after="0" w:line="240" w:lineRule="auto"/>
        <w:rPr>
          <w:rFonts w:ascii="Verdana" w:eastAsia="Geomanist Light" w:hAnsi="Verdana" w:cs="Arial"/>
          <w:color w:val="000000" w:themeColor="text1"/>
        </w:rPr>
      </w:pPr>
    </w:p>
    <w:p w14:paraId="33D96FD6" w14:textId="77777777" w:rsidR="00F95240" w:rsidRDefault="00F95240" w:rsidP="00B44AA8">
      <w:pPr>
        <w:spacing w:after="0" w:line="240" w:lineRule="auto"/>
        <w:rPr>
          <w:rFonts w:ascii="Verdana" w:eastAsia="Geomanist Light" w:hAnsi="Verdana" w:cs="Arial"/>
          <w:color w:val="000000" w:themeColor="text1"/>
        </w:rPr>
      </w:pPr>
    </w:p>
    <w:p w14:paraId="3258136F" w14:textId="77777777" w:rsidR="00F95240" w:rsidRDefault="00F95240" w:rsidP="00B44AA8">
      <w:pPr>
        <w:spacing w:after="0" w:line="240" w:lineRule="auto"/>
        <w:rPr>
          <w:rFonts w:ascii="Verdana" w:eastAsia="Geomanist Light" w:hAnsi="Verdana" w:cs="Arial"/>
          <w:color w:val="000000" w:themeColor="text1"/>
        </w:rPr>
      </w:pPr>
    </w:p>
    <w:p w14:paraId="0B7F608D" w14:textId="77777777" w:rsidR="00F95240" w:rsidRDefault="00F95240" w:rsidP="00B44AA8">
      <w:pPr>
        <w:spacing w:after="0" w:line="240" w:lineRule="auto"/>
        <w:rPr>
          <w:rFonts w:ascii="Verdana" w:eastAsia="Geomanist Light" w:hAnsi="Verdana" w:cs="Arial"/>
          <w:color w:val="000000" w:themeColor="text1"/>
        </w:rPr>
      </w:pPr>
    </w:p>
    <w:p w14:paraId="2D16C557" w14:textId="77777777" w:rsidR="00F95240" w:rsidRDefault="00F95240" w:rsidP="00B44AA8">
      <w:pPr>
        <w:spacing w:after="0" w:line="240" w:lineRule="auto"/>
        <w:rPr>
          <w:rFonts w:ascii="Verdana" w:eastAsia="Geomanist Light" w:hAnsi="Verdana" w:cs="Arial"/>
          <w:color w:val="000000" w:themeColor="text1"/>
        </w:rPr>
      </w:pPr>
    </w:p>
    <w:p w14:paraId="77E8C05D" w14:textId="77777777" w:rsidR="00F95240" w:rsidRDefault="00F95240" w:rsidP="00B44AA8">
      <w:pPr>
        <w:spacing w:after="0" w:line="240" w:lineRule="auto"/>
        <w:rPr>
          <w:rFonts w:ascii="Verdana" w:eastAsia="Geomanist Light" w:hAnsi="Verdana" w:cs="Arial"/>
          <w:color w:val="000000" w:themeColor="text1"/>
        </w:rPr>
      </w:pPr>
    </w:p>
    <w:p w14:paraId="305E7E5D" w14:textId="77777777" w:rsidR="00F95240" w:rsidRDefault="00F95240" w:rsidP="00B44AA8">
      <w:pPr>
        <w:spacing w:after="0" w:line="240" w:lineRule="auto"/>
        <w:rPr>
          <w:rFonts w:ascii="Verdana" w:eastAsia="Geomanist Light" w:hAnsi="Verdana" w:cs="Arial"/>
          <w:color w:val="000000" w:themeColor="text1"/>
        </w:rPr>
      </w:pPr>
    </w:p>
    <w:p w14:paraId="2AD336FB" w14:textId="77777777" w:rsidR="00F95240" w:rsidRDefault="00F95240" w:rsidP="00B44AA8">
      <w:pPr>
        <w:spacing w:after="0" w:line="240" w:lineRule="auto"/>
        <w:rPr>
          <w:rFonts w:ascii="Verdana" w:eastAsia="Geomanist Light" w:hAnsi="Verdana" w:cs="Arial"/>
          <w:color w:val="000000" w:themeColor="text1"/>
        </w:rPr>
      </w:pPr>
    </w:p>
    <w:p w14:paraId="533073CF" w14:textId="77777777" w:rsidR="00F95240" w:rsidRDefault="00F95240" w:rsidP="00B44AA8">
      <w:pPr>
        <w:spacing w:after="0" w:line="240" w:lineRule="auto"/>
        <w:rPr>
          <w:rFonts w:ascii="Verdana" w:eastAsia="Geomanist Light" w:hAnsi="Verdana" w:cs="Arial"/>
          <w:color w:val="000000" w:themeColor="text1"/>
        </w:rPr>
      </w:pPr>
    </w:p>
    <w:p w14:paraId="5EE18CA0" w14:textId="77777777" w:rsidR="00F95240" w:rsidRDefault="00F95240" w:rsidP="00B44AA8">
      <w:pPr>
        <w:spacing w:after="0" w:line="240" w:lineRule="auto"/>
        <w:rPr>
          <w:rFonts w:ascii="Verdana" w:eastAsia="Geomanist Light" w:hAnsi="Verdana" w:cs="Arial"/>
          <w:color w:val="000000" w:themeColor="text1"/>
        </w:rPr>
      </w:pPr>
    </w:p>
    <w:p w14:paraId="66A504E9" w14:textId="77777777" w:rsidR="00F95240" w:rsidRDefault="00F95240" w:rsidP="00B44AA8">
      <w:pPr>
        <w:spacing w:after="0" w:line="240" w:lineRule="auto"/>
        <w:rPr>
          <w:rFonts w:ascii="Verdana" w:eastAsia="Geomanist Light" w:hAnsi="Verdana" w:cs="Arial"/>
          <w:color w:val="000000" w:themeColor="text1"/>
        </w:rPr>
      </w:pPr>
    </w:p>
    <w:p w14:paraId="3E9EE58E" w14:textId="77777777" w:rsidR="00AC117B" w:rsidRDefault="00AC117B" w:rsidP="00B44AA8">
      <w:pPr>
        <w:spacing w:after="0" w:line="240" w:lineRule="auto"/>
        <w:rPr>
          <w:rFonts w:ascii="Verdana" w:eastAsia="Geomanist Light" w:hAnsi="Verdana" w:cs="Arial"/>
          <w:color w:val="000000" w:themeColor="text1"/>
        </w:rPr>
      </w:pPr>
    </w:p>
    <w:p w14:paraId="1A1D0173" w14:textId="3FB93123" w:rsidR="00B44AA8" w:rsidRPr="00115E3D" w:rsidRDefault="00AB0BCB" w:rsidP="00B44AA8">
      <w:pPr>
        <w:spacing w:after="0" w:line="240" w:lineRule="auto"/>
        <w:rPr>
          <w:rFonts w:ascii="Verdana" w:eastAsia="Geomanist Light" w:hAnsi="Verdana" w:cs="Arial"/>
          <w:color w:val="000000" w:themeColor="text1"/>
          <w:lang w:val="es-MX"/>
        </w:rPr>
      </w:pPr>
      <w:r w:rsidRPr="00AB0BCB">
        <w:rPr>
          <w:rFonts w:ascii="Verdana" w:eastAsia="Geomanist Light" w:hAnsi="Verdana" w:cs="Arial"/>
          <w:color w:val="000000" w:themeColor="text1"/>
        </w:rPr>
        <w:lastRenderedPageBreak/>
        <w:t xml:space="preserve">Bogotá D.C., 30 de </w:t>
      </w:r>
      <w:r w:rsidR="00BC66A5" w:rsidRPr="00AB0BCB">
        <w:rPr>
          <w:rFonts w:ascii="Verdana" w:eastAsia="Geomanist Light" w:hAnsi="Verdana" w:cs="Arial"/>
          <w:color w:val="000000" w:themeColor="text1"/>
        </w:rPr>
        <w:t>abril</w:t>
      </w:r>
      <w:r w:rsidRPr="00AB0BCB">
        <w:rPr>
          <w:rFonts w:ascii="Verdana" w:eastAsia="Geomanist Light" w:hAnsi="Verdana" w:cs="Arial"/>
          <w:color w:val="000000" w:themeColor="text1"/>
        </w:rPr>
        <w:t xml:space="preserve"> de 2025</w:t>
      </w:r>
      <w:r>
        <w:rPr>
          <w:rFonts w:ascii="Verdana" w:eastAsia="Geomanist Light" w:hAnsi="Verdana" w:cs="Arial"/>
          <w:color w:val="000000" w:themeColor="text1"/>
        </w:rPr>
        <w:t xml:space="preserve"> </w:t>
      </w:r>
    </w:p>
    <w:p w14:paraId="65CD511F" w14:textId="544A3EC6" w:rsidR="00B44AA8" w:rsidRDefault="00B44AA8" w:rsidP="00B44AA8">
      <w:pPr>
        <w:spacing w:after="0" w:line="240" w:lineRule="auto"/>
        <w:jc w:val="both"/>
        <w:rPr>
          <w:rFonts w:ascii="Verdana" w:eastAsia="Calibri" w:hAnsi="Verdana" w:cs="Arial"/>
          <w:color w:val="000000" w:themeColor="text1"/>
          <w:lang w:val="es-ES"/>
        </w:rPr>
      </w:pPr>
    </w:p>
    <w:p w14:paraId="10AE02E2" w14:textId="6AA9F261" w:rsidR="00B44AA8" w:rsidRDefault="00B44AA8" w:rsidP="00B44AA8">
      <w:pPr>
        <w:spacing w:after="0" w:line="240" w:lineRule="auto"/>
        <w:jc w:val="both"/>
        <w:rPr>
          <w:rFonts w:ascii="Verdana" w:eastAsia="Calibri" w:hAnsi="Verdana" w:cs="Arial"/>
          <w:color w:val="000000" w:themeColor="text1"/>
          <w:lang w:val="es-ES"/>
        </w:rPr>
      </w:pPr>
    </w:p>
    <w:p w14:paraId="6F000C8B" w14:textId="3F570C12" w:rsidR="008A7B31" w:rsidRDefault="00BE212A" w:rsidP="00B44AA8">
      <w:pPr>
        <w:spacing w:after="0" w:line="240" w:lineRule="auto"/>
        <w:jc w:val="both"/>
        <w:rPr>
          <w:rFonts w:ascii="Verdana" w:eastAsia="Calibri" w:hAnsi="Verdana" w:cs="Arial"/>
          <w:color w:val="000000" w:themeColor="text1"/>
          <w:lang w:val="es-ES"/>
        </w:rPr>
      </w:pPr>
      <w:r w:rsidRPr="008A7B31">
        <w:rPr>
          <w:rFonts w:ascii="Verdana" w:eastAsia="Calibri" w:hAnsi="Verdana" w:cs="Arial"/>
          <w:noProof/>
          <w:color w:val="000000" w:themeColor="text1"/>
          <w:lang w:val="es-ES"/>
        </w:rPr>
        <w:drawing>
          <wp:anchor distT="0" distB="0" distL="114300" distR="114300" simplePos="0" relativeHeight="251657216" behindDoc="1" locked="0" layoutInCell="1" allowOverlap="1" wp14:anchorId="1CEFB132" wp14:editId="51142BE3">
            <wp:simplePos x="0" y="0"/>
            <wp:positionH relativeFrom="margin">
              <wp:posOffset>3077845</wp:posOffset>
            </wp:positionH>
            <wp:positionV relativeFrom="paragraph">
              <wp:posOffset>6350</wp:posOffset>
            </wp:positionV>
            <wp:extent cx="2734945" cy="1025525"/>
            <wp:effectExtent l="0" t="0" r="8255" b="3175"/>
            <wp:wrapSquare wrapText="bothSides"/>
            <wp:docPr id="126001299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12995"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734945" cy="1025525"/>
                    </a:xfrm>
                    <a:prstGeom prst="rect">
                      <a:avLst/>
                    </a:prstGeom>
                  </pic:spPr>
                </pic:pic>
              </a:graphicData>
            </a:graphic>
            <wp14:sizeRelH relativeFrom="margin">
              <wp14:pctWidth>0</wp14:pctWidth>
            </wp14:sizeRelH>
            <wp14:sizeRelV relativeFrom="margin">
              <wp14:pctHeight>0</wp14:pctHeight>
            </wp14:sizeRelV>
          </wp:anchor>
        </w:drawing>
      </w:r>
    </w:p>
    <w:p w14:paraId="1D20139C" w14:textId="77777777" w:rsidR="008A7B31" w:rsidRDefault="008A7B31" w:rsidP="00B44AA8">
      <w:pPr>
        <w:spacing w:after="0" w:line="240" w:lineRule="auto"/>
        <w:jc w:val="both"/>
        <w:rPr>
          <w:rFonts w:ascii="Verdana" w:eastAsia="Calibri" w:hAnsi="Verdana" w:cs="Arial"/>
          <w:color w:val="000000" w:themeColor="text1"/>
          <w:lang w:val="es-ES"/>
        </w:rPr>
      </w:pPr>
    </w:p>
    <w:p w14:paraId="7EB14BCC" w14:textId="77777777" w:rsidR="00B44AA8" w:rsidRPr="00115E3D" w:rsidRDefault="00B44AA8" w:rsidP="00B44AA8">
      <w:pPr>
        <w:spacing w:after="0" w:line="240" w:lineRule="auto"/>
        <w:jc w:val="both"/>
        <w:rPr>
          <w:rFonts w:ascii="Verdana" w:eastAsia="Calibri" w:hAnsi="Verdana" w:cs="Arial"/>
          <w:color w:val="000000" w:themeColor="text1"/>
          <w:lang w:val="es-ES"/>
        </w:rPr>
      </w:pPr>
    </w:p>
    <w:p w14:paraId="72B5DE0C" w14:textId="77777777" w:rsidR="00B44AA8" w:rsidRPr="00115E3D" w:rsidRDefault="00B44AA8" w:rsidP="00B44AA8">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461465D3" w14:textId="77777777" w:rsidR="00B44AA8" w:rsidRPr="00B51983" w:rsidRDefault="00B44AA8" w:rsidP="00B44AA8">
      <w:pPr>
        <w:spacing w:after="0" w:line="240" w:lineRule="auto"/>
        <w:rPr>
          <w:rFonts w:ascii="Verdana" w:eastAsia="Calibri" w:hAnsi="Verdana" w:cs="Arial"/>
          <w:b/>
          <w:color w:val="000000" w:themeColor="text1"/>
          <w:lang w:eastAsia="es-ES_tradnl"/>
        </w:rPr>
      </w:pPr>
      <w:r w:rsidRPr="00B51983">
        <w:rPr>
          <w:rFonts w:ascii="Verdana" w:eastAsia="Calibri" w:hAnsi="Verdana" w:cs="Arial"/>
          <w:b/>
          <w:color w:val="000000" w:themeColor="text1"/>
          <w:lang w:eastAsia="es-ES_tradnl"/>
        </w:rPr>
        <w:t xml:space="preserve">Jefferson David Tez Montenegro </w:t>
      </w:r>
    </w:p>
    <w:p w14:paraId="1793260C" w14:textId="77777777" w:rsidR="00B44AA8" w:rsidRPr="00B51983" w:rsidRDefault="00B44AA8" w:rsidP="00B44AA8">
      <w:pPr>
        <w:spacing w:after="0" w:line="240" w:lineRule="auto"/>
        <w:rPr>
          <w:rFonts w:ascii="Verdana" w:eastAsia="Calibri" w:hAnsi="Verdana" w:cs="Arial"/>
          <w:color w:val="000000" w:themeColor="text1"/>
          <w:u w:val="single"/>
          <w:lang w:eastAsia="es-ES"/>
        </w:rPr>
      </w:pPr>
      <w:hyperlink r:id="rId11" w:history="1">
        <w:r w:rsidRPr="00B51983">
          <w:rPr>
            <w:rStyle w:val="Hipervnculo"/>
            <w:rFonts w:ascii="Verdana" w:eastAsia="Calibri" w:hAnsi="Verdana" w:cs="Arial"/>
            <w:lang w:eastAsia="es-ES"/>
          </w:rPr>
          <w:t>tezjuridico@gmail.com</w:t>
        </w:r>
      </w:hyperlink>
    </w:p>
    <w:p w14:paraId="03275E66" w14:textId="77777777" w:rsidR="00B44AA8" w:rsidRPr="00B51983" w:rsidRDefault="00B44AA8" w:rsidP="00B44AA8">
      <w:pPr>
        <w:spacing w:after="0" w:line="240" w:lineRule="auto"/>
        <w:rPr>
          <w:rFonts w:ascii="Verdana" w:eastAsia="Calibri" w:hAnsi="Verdana" w:cs="Arial"/>
          <w:b/>
          <w:bCs/>
          <w:color w:val="000000" w:themeColor="text1"/>
          <w:lang w:eastAsia="es-ES"/>
        </w:rPr>
      </w:pPr>
      <w:r w:rsidRPr="00B51983">
        <w:rPr>
          <w:rFonts w:ascii="Verdana" w:eastAsia="Calibri" w:hAnsi="Verdana" w:cs="Arial"/>
          <w:color w:val="000000" w:themeColor="text1"/>
          <w:lang w:eastAsia="es-ES"/>
        </w:rPr>
        <w:t>Mocoa, Putumayo</w:t>
      </w:r>
    </w:p>
    <w:p w14:paraId="185D1FD6" w14:textId="77777777" w:rsidR="00B44AA8" w:rsidRPr="00B51983" w:rsidRDefault="00B44AA8" w:rsidP="00B44AA8">
      <w:pPr>
        <w:spacing w:after="0" w:line="240" w:lineRule="auto"/>
        <w:rPr>
          <w:rFonts w:ascii="Verdana" w:eastAsia="Calibri" w:hAnsi="Verdana" w:cs="Arial"/>
          <w:b/>
          <w:bCs/>
          <w:color w:val="000000" w:themeColor="text1"/>
          <w:lang w:eastAsia="es-ES_tradnl"/>
        </w:rPr>
      </w:pPr>
    </w:p>
    <w:p w14:paraId="479B11BC" w14:textId="77777777" w:rsidR="00B44AA8" w:rsidRPr="00B51983" w:rsidRDefault="00B44AA8" w:rsidP="00B44AA8">
      <w:pPr>
        <w:spacing w:after="0" w:line="240" w:lineRule="auto"/>
        <w:rPr>
          <w:rFonts w:ascii="Verdana" w:eastAsia="Calibri" w:hAnsi="Verdana" w:cs="Arial"/>
          <w:b/>
          <w:bCs/>
          <w:color w:val="000000" w:themeColor="text1"/>
          <w:lang w:eastAsia="es-ES_tradnl"/>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B44AA8" w:rsidRPr="00115E3D" w14:paraId="2214EAE2" w14:textId="77777777" w:rsidTr="00303721">
        <w:trPr>
          <w:trHeight w:val="884"/>
        </w:trPr>
        <w:tc>
          <w:tcPr>
            <w:tcW w:w="2689" w:type="dxa"/>
          </w:tcPr>
          <w:p w14:paraId="23044499" w14:textId="77777777" w:rsidR="00B44AA8" w:rsidRPr="00B51983" w:rsidRDefault="00B44AA8" w:rsidP="00303721">
            <w:pPr>
              <w:jc w:val="both"/>
              <w:rPr>
                <w:rFonts w:ascii="Verdana" w:eastAsia="Calibri" w:hAnsi="Verdana" w:cs="Arial"/>
                <w:b/>
                <w:bCs/>
                <w:color w:val="000000" w:themeColor="text1"/>
                <w:lang w:eastAsia="es-ES_tradnl"/>
              </w:rPr>
            </w:pPr>
          </w:p>
        </w:tc>
        <w:tc>
          <w:tcPr>
            <w:tcW w:w="6383" w:type="dxa"/>
          </w:tcPr>
          <w:p w14:paraId="75C85940" w14:textId="77777777" w:rsidR="00B44AA8" w:rsidRPr="00115E3D" w:rsidRDefault="00B44AA8" w:rsidP="00303721">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 xml:space="preserve">349 </w:t>
            </w:r>
            <w:r w:rsidRPr="00115E3D">
              <w:rPr>
                <w:rFonts w:ascii="Verdana" w:eastAsia="Calibri" w:hAnsi="Verdana" w:cs="Arial"/>
                <w:b/>
                <w:bCs/>
                <w:color w:val="000000" w:themeColor="text1"/>
                <w:lang w:val="es-ES" w:eastAsia="es-ES"/>
              </w:rPr>
              <w:t>de 202</w:t>
            </w:r>
            <w:r>
              <w:rPr>
                <w:rFonts w:ascii="Verdana" w:eastAsia="Calibri" w:hAnsi="Verdana" w:cs="Arial"/>
                <w:b/>
                <w:bCs/>
                <w:color w:val="000000" w:themeColor="text1"/>
                <w:lang w:val="es-ES" w:eastAsia="es-ES"/>
              </w:rPr>
              <w:t>5</w:t>
            </w:r>
          </w:p>
        </w:tc>
      </w:tr>
      <w:tr w:rsidR="00B44AA8" w:rsidRPr="00115E3D" w14:paraId="0272FB10" w14:textId="77777777" w:rsidTr="00303721">
        <w:trPr>
          <w:trHeight w:val="884"/>
        </w:trPr>
        <w:tc>
          <w:tcPr>
            <w:tcW w:w="2689" w:type="dxa"/>
          </w:tcPr>
          <w:p w14:paraId="178392AE" w14:textId="77777777" w:rsidR="00B44AA8" w:rsidRPr="00115E3D" w:rsidRDefault="00B44AA8" w:rsidP="00303721">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383" w:type="dxa"/>
          </w:tcPr>
          <w:p w14:paraId="4436B964" w14:textId="3AE16996" w:rsidR="00B44AA8" w:rsidRPr="00346601" w:rsidRDefault="00B44AA8" w:rsidP="00346601">
            <w:pPr>
              <w:jc w:val="both"/>
              <w:rPr>
                <w:rFonts w:ascii="Verdana" w:hAnsi="Verdana" w:cs="Arial"/>
                <w:lang w:val="es-ES" w:eastAsia="es-ES_tradnl"/>
              </w:rPr>
            </w:pPr>
            <w:r w:rsidRPr="00BB52DE">
              <w:rPr>
                <w:rFonts w:ascii="Verdana" w:eastAsia="Calibri" w:hAnsi="Verdana" w:cs="Arial"/>
                <w:color w:val="000000" w:themeColor="text1"/>
                <w:lang w:val="es-ES" w:eastAsia="es-ES"/>
              </w:rPr>
              <w:t xml:space="preserve">REQUISITOS HABILITANTES – Noción – Régimen jurídico </w:t>
            </w:r>
            <w:r w:rsidR="00FC26A8">
              <w:rPr>
                <w:rFonts w:ascii="Verdana" w:eastAsia="Calibri" w:hAnsi="Verdana" w:cs="Arial"/>
                <w:color w:val="000000" w:themeColor="text1"/>
                <w:lang w:val="es-ES" w:eastAsia="es-ES"/>
              </w:rPr>
              <w:t xml:space="preserve">/ </w:t>
            </w:r>
            <w:r w:rsidRPr="00BB52DE">
              <w:rPr>
                <w:rFonts w:ascii="Verdana" w:hAnsi="Verdana" w:cs="Arial"/>
                <w:lang w:val="es-ES" w:eastAsia="es-ES_tradnl"/>
              </w:rPr>
              <w:t xml:space="preserve">REGISTRO ÚNICO DE PROPONENTES – RUP – </w:t>
            </w:r>
            <w:r w:rsidR="006E3E0B">
              <w:rPr>
                <w:rFonts w:ascii="Verdana" w:hAnsi="Verdana" w:cs="Arial"/>
                <w:lang w:val="es-ES" w:eastAsia="es-ES_tradnl"/>
              </w:rPr>
              <w:t>Naturaleza</w:t>
            </w:r>
            <w:r w:rsidRPr="00BB52DE">
              <w:rPr>
                <w:rFonts w:ascii="Verdana" w:hAnsi="Verdana" w:cs="Arial"/>
                <w:lang w:val="es-ES" w:eastAsia="es-ES_tradnl"/>
              </w:rPr>
              <w:t xml:space="preserve"> </w:t>
            </w:r>
            <w:r w:rsidR="006E3E0B">
              <w:rPr>
                <w:rFonts w:ascii="Verdana" w:hAnsi="Verdana" w:cs="Arial"/>
                <w:lang w:val="es-ES" w:eastAsia="es-ES_tradnl"/>
              </w:rPr>
              <w:t>/</w:t>
            </w:r>
            <w:r w:rsidRPr="00BB52DE">
              <w:rPr>
                <w:rFonts w:ascii="Verdana" w:hAnsi="Verdana" w:cs="Arial"/>
                <w:lang w:val="es-ES" w:eastAsia="es-ES_tradnl"/>
              </w:rPr>
              <w:t xml:space="preserve"> </w:t>
            </w:r>
            <w:r w:rsidRPr="00BB52DE">
              <w:rPr>
                <w:rFonts w:ascii="Verdana" w:hAnsi="Verdana" w:cs="Arial"/>
                <w:lang w:eastAsia="es-ES_tradnl"/>
              </w:rPr>
              <w:t xml:space="preserve">PROCESOS DE MÍNIMA CUANTÍA – Excepción al RUP – Verificación documental directa – Criterios de selección </w:t>
            </w:r>
            <w:r w:rsidR="006E3E0B">
              <w:rPr>
                <w:rFonts w:ascii="Verdana" w:hAnsi="Verdana" w:cs="Arial"/>
                <w:lang w:eastAsia="es-ES_tradnl"/>
              </w:rPr>
              <w:t>/</w:t>
            </w:r>
            <w:r w:rsidRPr="00BB52DE">
              <w:rPr>
                <w:rFonts w:ascii="Verdana" w:hAnsi="Verdana" w:cs="Arial"/>
                <w:lang w:eastAsia="es-ES_tradnl"/>
              </w:rPr>
              <w:t xml:space="preserve"> ENTIDAD ESTATAL – Competencia para fijar requisitos – Deber de indicar documentos válidos – Criterios de proporcionalidad </w:t>
            </w:r>
          </w:p>
        </w:tc>
      </w:tr>
      <w:tr w:rsidR="00B44AA8" w:rsidRPr="00115E3D" w14:paraId="5EFC51C4" w14:textId="77777777" w:rsidTr="00303721">
        <w:tc>
          <w:tcPr>
            <w:tcW w:w="2689" w:type="dxa"/>
          </w:tcPr>
          <w:p w14:paraId="10163E1A" w14:textId="77777777" w:rsidR="00B44AA8" w:rsidRPr="00CA119A" w:rsidRDefault="00B44AA8" w:rsidP="00303721">
            <w:pPr>
              <w:jc w:val="both"/>
              <w:rPr>
                <w:rFonts w:ascii="Verdana" w:eastAsia="Calibri" w:hAnsi="Verdana" w:cs="Arial"/>
                <w:b/>
                <w:color w:val="000000" w:themeColor="text1"/>
                <w:lang w:val="es-ES_tradnl" w:eastAsia="es-ES_tradnl"/>
              </w:rPr>
            </w:pPr>
            <w:r w:rsidRPr="00CA119A">
              <w:rPr>
                <w:rFonts w:ascii="Verdana" w:eastAsia="Calibri" w:hAnsi="Verdana" w:cs="Arial"/>
                <w:b/>
                <w:color w:val="000000" w:themeColor="text1"/>
                <w:lang w:val="es-ES_tradnl" w:eastAsia="es-ES_tradnl"/>
              </w:rPr>
              <w:t>Radicación:</w:t>
            </w:r>
            <w:r w:rsidRPr="00CA119A">
              <w:rPr>
                <w:rFonts w:ascii="Verdana" w:eastAsia="Calibri" w:hAnsi="Verdana" w:cs="Arial"/>
                <w:color w:val="000000" w:themeColor="text1"/>
                <w:lang w:val="es-ES_tradnl" w:eastAsia="es-ES_tradnl"/>
              </w:rPr>
              <w:t xml:space="preserve">               </w:t>
            </w:r>
          </w:p>
        </w:tc>
        <w:tc>
          <w:tcPr>
            <w:tcW w:w="6383" w:type="dxa"/>
          </w:tcPr>
          <w:p w14:paraId="367FC6D9" w14:textId="08F550FD" w:rsidR="00B44AA8" w:rsidRPr="00CA119A" w:rsidRDefault="00B44AA8" w:rsidP="00FC26A8">
            <w:pPr>
              <w:jc w:val="both"/>
              <w:rPr>
                <w:rFonts w:ascii="Verdana" w:hAnsi="Verdana"/>
                <w:color w:val="000000"/>
              </w:rPr>
            </w:pPr>
            <w:r w:rsidRPr="00CA119A">
              <w:rPr>
                <w:rFonts w:ascii="Verdana" w:eastAsia="Calibri" w:hAnsi="Verdana" w:cs="Arial"/>
                <w:color w:val="000000" w:themeColor="text1"/>
                <w:lang w:val="es-ES_tradnl" w:eastAsia="es-ES_tradnl"/>
              </w:rPr>
              <w:t xml:space="preserve">Respuesta a consulta con radicado No. </w:t>
            </w:r>
            <w:r w:rsidRPr="00CA119A">
              <w:rPr>
                <w:rFonts w:ascii="Verdana" w:hAnsi="Verdana"/>
                <w:color w:val="000000"/>
              </w:rPr>
              <w:t>P20250319002639</w:t>
            </w:r>
          </w:p>
        </w:tc>
      </w:tr>
    </w:tbl>
    <w:p w14:paraId="10D9AB5E" w14:textId="77777777" w:rsidR="00B44AA8" w:rsidRPr="00115E3D" w:rsidRDefault="00B44AA8" w:rsidP="00B44AA8">
      <w:pPr>
        <w:spacing w:after="0" w:line="240" w:lineRule="auto"/>
        <w:jc w:val="both"/>
        <w:rPr>
          <w:rFonts w:ascii="Verdana" w:eastAsia="Calibri" w:hAnsi="Verdana" w:cs="Arial"/>
          <w:color w:val="000000" w:themeColor="text1"/>
          <w:lang w:val="es-ES_tradnl" w:eastAsia="es-ES_tradnl"/>
        </w:rPr>
      </w:pPr>
    </w:p>
    <w:p w14:paraId="098FDC7D" w14:textId="77777777" w:rsidR="00B44AA8" w:rsidRPr="00115E3D" w:rsidRDefault="00B44AA8" w:rsidP="00B44AA8">
      <w:pPr>
        <w:spacing w:after="0" w:line="240" w:lineRule="auto"/>
        <w:jc w:val="both"/>
        <w:rPr>
          <w:rFonts w:ascii="Verdana" w:eastAsia="Calibri" w:hAnsi="Verdana" w:cs="Arial"/>
          <w:color w:val="000000" w:themeColor="text1"/>
          <w:lang w:val="es-ES_tradnl" w:eastAsia="es-ES_tradnl"/>
        </w:rPr>
      </w:pPr>
    </w:p>
    <w:p w14:paraId="6F0A68BF" w14:textId="77777777" w:rsidR="00B44AA8" w:rsidRPr="00115E3D" w:rsidRDefault="00B44AA8" w:rsidP="006E3E0B">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Estimado señor</w:t>
      </w:r>
      <w:r>
        <w:rPr>
          <w:rFonts w:ascii="Verdana" w:eastAsia="Calibri" w:hAnsi="Verdana" w:cs="Arial"/>
          <w:color w:val="000000" w:themeColor="text1"/>
          <w:lang w:val="es-ES" w:eastAsia="es-ES"/>
        </w:rPr>
        <w:t xml:space="preserve"> Tez Montenegro</w:t>
      </w:r>
      <w:r w:rsidRPr="00115E3D">
        <w:rPr>
          <w:rFonts w:ascii="Verdana" w:eastAsia="Calibri" w:hAnsi="Verdana" w:cs="Arial"/>
          <w:color w:val="000000" w:themeColor="text1"/>
          <w:lang w:val="es-ES" w:eastAsia="es-ES"/>
        </w:rPr>
        <w:t xml:space="preserve">: </w:t>
      </w:r>
    </w:p>
    <w:p w14:paraId="7D615035" w14:textId="77777777" w:rsidR="00B44AA8" w:rsidRPr="00115E3D" w:rsidRDefault="00B44AA8" w:rsidP="006E3E0B">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194F05F4" w14:textId="77777777" w:rsidR="00B44AA8" w:rsidRDefault="00B44AA8" w:rsidP="006E3E0B">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19</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marzo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07A42F7F" w14:textId="77777777" w:rsidR="00B44AA8" w:rsidRPr="00E40DEE" w:rsidRDefault="00B44AA8" w:rsidP="006E3E0B">
      <w:pPr>
        <w:spacing w:after="0" w:line="276" w:lineRule="auto"/>
        <w:jc w:val="both"/>
        <w:rPr>
          <w:rFonts w:ascii="Verdana" w:eastAsia="Calibri" w:hAnsi="Verdana" w:cs="Arial"/>
          <w:color w:val="000000" w:themeColor="text1"/>
          <w:lang w:val="es-ES" w:eastAsia="es-ES"/>
        </w:rPr>
      </w:pPr>
    </w:p>
    <w:p w14:paraId="40BEC40C" w14:textId="77777777" w:rsidR="00B44AA8" w:rsidRPr="007917B4" w:rsidRDefault="00B44AA8" w:rsidP="00B44AA8">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r w:rsidRPr="007917B4">
        <w:rPr>
          <w:rFonts w:ascii="Verdana" w:eastAsia="Century Gothic" w:hAnsi="Verdana" w:cs="Century Gothic"/>
          <w:i/>
          <w:iCs/>
          <w:color w:val="000000" w:themeColor="text1"/>
          <w:sz w:val="20"/>
          <w:szCs w:val="20"/>
          <w:lang w:val="es-ES"/>
        </w:rPr>
        <w:t>“</w:t>
      </w:r>
      <w:bookmarkEnd w:id="0"/>
      <w:r w:rsidRPr="007917B4">
        <w:rPr>
          <w:rFonts w:ascii="Verdana" w:eastAsia="Century Gothic" w:hAnsi="Verdana" w:cs="Century Gothic"/>
          <w:i/>
          <w:iCs/>
          <w:color w:val="000000" w:themeColor="text1"/>
          <w:sz w:val="20"/>
          <w:szCs w:val="20"/>
        </w:rPr>
        <w:t xml:space="preserve">¿Cuáles serían los fundamentos de exigencia de dichos requisitos a la luz del principio de libre concurrencia que rige en la contratación pública? </w:t>
      </w:r>
    </w:p>
    <w:p w14:paraId="7173E0F0" w14:textId="77777777" w:rsidR="00B44AA8" w:rsidRPr="00115E3D" w:rsidRDefault="00B44AA8" w:rsidP="001B0871">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05895C90" w14:textId="77777777" w:rsidR="00B44AA8" w:rsidRPr="00115E3D" w:rsidRDefault="00B44AA8" w:rsidP="00CC71D2">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115E3D">
        <w:rPr>
          <w:rFonts w:ascii="Verdana" w:eastAsia="Calibri" w:hAnsi="Verdana" w:cs="Arial"/>
          <w:color w:val="000000" w:themeColor="text1"/>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01B0C015" w14:textId="77777777" w:rsidR="00B44AA8" w:rsidRPr="00115E3D" w:rsidRDefault="00B44AA8" w:rsidP="00B44AA8">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74C588D8" w14:textId="77777777" w:rsidR="00B44AA8" w:rsidRPr="00115E3D" w:rsidRDefault="00B44AA8" w:rsidP="00CC71D2">
      <w:pPr>
        <w:spacing w:after="0" w:line="276" w:lineRule="auto"/>
        <w:ind w:firstLine="709"/>
        <w:jc w:val="both"/>
        <w:rPr>
          <w:rFonts w:ascii="Verdana" w:eastAsia="Calibri" w:hAnsi="Verdana" w:cs="Arial"/>
          <w:color w:val="000000" w:themeColor="text1"/>
          <w:lang w:val="es-ES" w:eastAsia="es-ES"/>
        </w:rPr>
      </w:pPr>
    </w:p>
    <w:p w14:paraId="591FAE8C" w14:textId="77777777" w:rsidR="00B44AA8" w:rsidRPr="00115E3D" w:rsidRDefault="00B44AA8" w:rsidP="001B087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2F7806CE" w14:textId="77777777" w:rsidR="00B44AA8" w:rsidRPr="00115E3D" w:rsidRDefault="00B44AA8" w:rsidP="00CC71D2">
      <w:pPr>
        <w:tabs>
          <w:tab w:val="left" w:pos="426"/>
        </w:tabs>
        <w:spacing w:after="0" w:line="276" w:lineRule="auto"/>
        <w:jc w:val="both"/>
        <w:rPr>
          <w:rFonts w:ascii="Verdana" w:eastAsia="Century Gothic" w:hAnsi="Verdana" w:cs="Century Gothic"/>
          <w:color w:val="000000" w:themeColor="text1"/>
          <w:lang w:val="es-ES"/>
        </w:rPr>
      </w:pPr>
    </w:p>
    <w:p w14:paraId="2AA9CD6D" w14:textId="4630B8B3" w:rsidR="00B44AA8" w:rsidRPr="00115E3D" w:rsidRDefault="00B44AA8" w:rsidP="00CC71D2">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De acuerdo con el contenido de su solicitud, esta Agencia resolverá el siguiente</w:t>
      </w:r>
      <w:r>
        <w:rPr>
          <w:rFonts w:ascii="Verdana" w:eastAsia="Century Gothic" w:hAnsi="Verdana" w:cs="Century Gothic"/>
          <w:color w:val="000000" w:themeColor="text1"/>
        </w:rPr>
        <w:t xml:space="preserve"> </w:t>
      </w:r>
      <w:r w:rsidRPr="00115E3D">
        <w:rPr>
          <w:rFonts w:ascii="Verdana" w:eastAsia="Century Gothic" w:hAnsi="Verdana" w:cs="Century Gothic"/>
          <w:color w:val="000000" w:themeColor="text1"/>
        </w:rPr>
        <w:t xml:space="preserve">problema jurídico: </w:t>
      </w:r>
      <w:r>
        <w:rPr>
          <w:rFonts w:ascii="Verdana" w:eastAsia="Century Gothic" w:hAnsi="Verdana" w:cs="Century Gothic"/>
          <w:color w:val="000000" w:themeColor="text1"/>
        </w:rPr>
        <w:t xml:space="preserve">¿Cuáles son los documentos idóneos para acreditar la experiencia en un proceso de mínima cuantía? </w:t>
      </w:r>
    </w:p>
    <w:p w14:paraId="4F3A981A" w14:textId="77777777" w:rsidR="00B44AA8" w:rsidRPr="0075676B" w:rsidRDefault="00B44AA8" w:rsidP="00CC71D2">
      <w:pPr>
        <w:spacing w:after="0" w:line="276" w:lineRule="auto"/>
        <w:jc w:val="both"/>
        <w:rPr>
          <w:rFonts w:ascii="Verdana" w:eastAsia="Calibri" w:hAnsi="Verdana" w:cs="Arial"/>
          <w:color w:val="000000" w:themeColor="text1"/>
        </w:rPr>
      </w:pPr>
    </w:p>
    <w:p w14:paraId="15E9FE8E" w14:textId="77777777" w:rsidR="00B44AA8" w:rsidRPr="00115E3D" w:rsidRDefault="00B44AA8" w:rsidP="00CC71D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4CD750A5" w14:textId="77777777" w:rsidR="00B44AA8" w:rsidRPr="00115E3D" w:rsidRDefault="00B44AA8" w:rsidP="00CC71D2">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44AA8" w:rsidRPr="00115E3D" w14:paraId="0F672B2B" w14:textId="77777777" w:rsidTr="00303721">
        <w:tc>
          <w:tcPr>
            <w:tcW w:w="8828" w:type="dxa"/>
            <w:shd w:val="clear" w:color="auto" w:fill="auto"/>
          </w:tcPr>
          <w:p w14:paraId="6EF12665" w14:textId="6B196552" w:rsidR="00D931E2" w:rsidRPr="001B0871" w:rsidRDefault="00D931E2" w:rsidP="00902D46">
            <w:pPr>
              <w:spacing w:after="120" w:line="276" w:lineRule="auto"/>
              <w:jc w:val="both"/>
              <w:rPr>
                <w:rFonts w:ascii="Verdana" w:hAnsi="Verdana" w:cs="Arial"/>
              </w:rPr>
            </w:pPr>
            <w:r w:rsidRPr="001B0871">
              <w:rPr>
                <w:rFonts w:ascii="Verdana" w:hAnsi="Verdana" w:cs="Arial"/>
              </w:rPr>
              <w:t>El Registro Único de Proponentes</w:t>
            </w:r>
            <w:r w:rsidR="00FF42FE" w:rsidRPr="001B0871">
              <w:rPr>
                <w:rFonts w:ascii="Verdana" w:hAnsi="Verdana" w:cs="Arial"/>
              </w:rPr>
              <w:t xml:space="preserve"> – en adelante RUP – </w:t>
            </w:r>
            <w:r w:rsidRPr="001B0871">
              <w:rPr>
                <w:rFonts w:ascii="Verdana" w:hAnsi="Verdana" w:cs="Arial"/>
              </w:rPr>
              <w:t>es</w:t>
            </w:r>
            <w:r w:rsidR="00FF42FE" w:rsidRPr="001B0871">
              <w:rPr>
                <w:rFonts w:ascii="Verdana" w:hAnsi="Verdana" w:cs="Arial"/>
              </w:rPr>
              <w:t xml:space="preserve"> </w:t>
            </w:r>
            <w:r w:rsidRPr="001B0871">
              <w:rPr>
                <w:rFonts w:ascii="Verdana" w:hAnsi="Verdana" w:cs="Arial"/>
              </w:rPr>
              <w:t>un instrumento en el que consta la información</w:t>
            </w:r>
            <w:r w:rsidRPr="001B0871">
              <w:rPr>
                <w:rFonts w:ascii="Verdana" w:hAnsi="Verdana" w:cs="Arial"/>
                <w:spacing w:val="1"/>
              </w:rPr>
              <w:t xml:space="preserve"> </w:t>
            </w:r>
            <w:r w:rsidRPr="001B0871">
              <w:rPr>
                <w:rFonts w:ascii="Verdana" w:hAnsi="Verdana" w:cs="Arial"/>
              </w:rPr>
              <w:t>relacionada</w:t>
            </w:r>
            <w:r w:rsidRPr="001B0871">
              <w:rPr>
                <w:rFonts w:ascii="Verdana" w:hAnsi="Verdana" w:cs="Arial"/>
                <w:spacing w:val="-6"/>
              </w:rPr>
              <w:t xml:space="preserve"> </w:t>
            </w:r>
            <w:r w:rsidRPr="001B0871">
              <w:rPr>
                <w:rFonts w:ascii="Verdana" w:hAnsi="Verdana" w:cs="Arial"/>
              </w:rPr>
              <w:t>con</w:t>
            </w:r>
            <w:r w:rsidRPr="001B0871">
              <w:rPr>
                <w:rFonts w:ascii="Verdana" w:hAnsi="Verdana" w:cs="Arial"/>
                <w:spacing w:val="-5"/>
              </w:rPr>
              <w:t xml:space="preserve"> </w:t>
            </w:r>
            <w:r w:rsidRPr="001B0871">
              <w:rPr>
                <w:rFonts w:ascii="Verdana" w:hAnsi="Verdana" w:cs="Arial"/>
              </w:rPr>
              <w:t>las</w:t>
            </w:r>
            <w:r w:rsidRPr="001B0871">
              <w:rPr>
                <w:rFonts w:ascii="Verdana" w:hAnsi="Verdana" w:cs="Arial"/>
                <w:spacing w:val="-5"/>
              </w:rPr>
              <w:t xml:space="preserve"> </w:t>
            </w:r>
            <w:r w:rsidRPr="001B0871">
              <w:rPr>
                <w:rFonts w:ascii="Verdana" w:hAnsi="Verdana" w:cs="Arial"/>
              </w:rPr>
              <w:t>personas</w:t>
            </w:r>
            <w:r w:rsidRPr="001B0871">
              <w:rPr>
                <w:rFonts w:ascii="Verdana" w:hAnsi="Verdana" w:cs="Arial"/>
                <w:spacing w:val="-5"/>
              </w:rPr>
              <w:t xml:space="preserve"> </w:t>
            </w:r>
            <w:r w:rsidRPr="001B0871">
              <w:rPr>
                <w:rFonts w:ascii="Verdana" w:hAnsi="Verdana" w:cs="Arial"/>
              </w:rPr>
              <w:t>naturales</w:t>
            </w:r>
            <w:r w:rsidRPr="001B0871">
              <w:rPr>
                <w:rFonts w:ascii="Verdana" w:hAnsi="Verdana" w:cs="Arial"/>
                <w:spacing w:val="-5"/>
              </w:rPr>
              <w:t xml:space="preserve"> </w:t>
            </w:r>
            <w:r w:rsidRPr="001B0871">
              <w:rPr>
                <w:rFonts w:ascii="Verdana" w:hAnsi="Verdana" w:cs="Arial"/>
              </w:rPr>
              <w:t>y</w:t>
            </w:r>
            <w:r w:rsidRPr="001B0871">
              <w:rPr>
                <w:rFonts w:ascii="Verdana" w:hAnsi="Verdana" w:cs="Arial"/>
                <w:spacing w:val="-5"/>
              </w:rPr>
              <w:t xml:space="preserve"> </w:t>
            </w:r>
            <w:r w:rsidRPr="001B0871">
              <w:rPr>
                <w:rFonts w:ascii="Verdana" w:hAnsi="Verdana" w:cs="Arial"/>
              </w:rPr>
              <w:t>jurídicas</w:t>
            </w:r>
            <w:r w:rsidRPr="001B0871">
              <w:rPr>
                <w:rFonts w:ascii="Verdana" w:hAnsi="Verdana" w:cs="Arial"/>
                <w:spacing w:val="-5"/>
              </w:rPr>
              <w:t xml:space="preserve"> </w:t>
            </w:r>
            <w:r w:rsidRPr="001B0871">
              <w:rPr>
                <w:rFonts w:ascii="Verdana" w:hAnsi="Verdana" w:cs="Arial"/>
              </w:rPr>
              <w:t>con</w:t>
            </w:r>
            <w:r w:rsidRPr="001B0871">
              <w:rPr>
                <w:rFonts w:ascii="Verdana" w:hAnsi="Verdana" w:cs="Arial"/>
                <w:spacing w:val="-5"/>
              </w:rPr>
              <w:t xml:space="preserve"> </w:t>
            </w:r>
            <w:r w:rsidRPr="001B0871">
              <w:rPr>
                <w:rFonts w:ascii="Verdana" w:hAnsi="Verdana" w:cs="Arial"/>
              </w:rPr>
              <w:t>el</w:t>
            </w:r>
            <w:r w:rsidRPr="001B0871">
              <w:rPr>
                <w:rFonts w:ascii="Verdana" w:hAnsi="Verdana" w:cs="Arial"/>
                <w:spacing w:val="-5"/>
              </w:rPr>
              <w:t xml:space="preserve"> </w:t>
            </w:r>
            <w:r w:rsidRPr="001B0871">
              <w:rPr>
                <w:rFonts w:ascii="Verdana" w:hAnsi="Verdana" w:cs="Arial"/>
              </w:rPr>
              <w:t>fin</w:t>
            </w:r>
            <w:r w:rsidRPr="001B0871">
              <w:rPr>
                <w:rFonts w:ascii="Verdana" w:hAnsi="Verdana" w:cs="Arial"/>
                <w:spacing w:val="-5"/>
              </w:rPr>
              <w:t xml:space="preserve"> </w:t>
            </w:r>
            <w:r w:rsidRPr="001B0871">
              <w:rPr>
                <w:rFonts w:ascii="Verdana" w:hAnsi="Verdana" w:cs="Arial"/>
              </w:rPr>
              <w:t>de</w:t>
            </w:r>
            <w:r w:rsidRPr="001B0871">
              <w:rPr>
                <w:rFonts w:ascii="Verdana" w:hAnsi="Verdana" w:cs="Arial"/>
                <w:spacing w:val="-5"/>
              </w:rPr>
              <w:t xml:space="preserve"> </w:t>
            </w:r>
            <w:r w:rsidRPr="001B0871">
              <w:rPr>
                <w:rFonts w:ascii="Verdana" w:hAnsi="Verdana" w:cs="Arial"/>
              </w:rPr>
              <w:t>que</w:t>
            </w:r>
            <w:r w:rsidRPr="001B0871">
              <w:rPr>
                <w:rFonts w:ascii="Verdana" w:hAnsi="Verdana" w:cs="Arial"/>
                <w:spacing w:val="-5"/>
              </w:rPr>
              <w:t xml:space="preserve"> </w:t>
            </w:r>
            <w:r w:rsidRPr="001B0871">
              <w:rPr>
                <w:rFonts w:ascii="Verdana" w:hAnsi="Verdana" w:cs="Arial"/>
              </w:rPr>
              <w:t>puedan</w:t>
            </w:r>
            <w:r w:rsidRPr="001B0871">
              <w:rPr>
                <w:rFonts w:ascii="Verdana" w:hAnsi="Verdana" w:cs="Arial"/>
                <w:spacing w:val="-6"/>
              </w:rPr>
              <w:t xml:space="preserve"> </w:t>
            </w:r>
            <w:r w:rsidRPr="001B0871">
              <w:rPr>
                <w:rFonts w:ascii="Verdana" w:hAnsi="Verdana" w:cs="Arial"/>
              </w:rPr>
              <w:t>participar</w:t>
            </w:r>
            <w:r w:rsidRPr="001B0871">
              <w:rPr>
                <w:rFonts w:ascii="Verdana" w:hAnsi="Verdana" w:cs="Arial"/>
                <w:spacing w:val="-5"/>
              </w:rPr>
              <w:t xml:space="preserve"> </w:t>
            </w:r>
            <w:r w:rsidRPr="001B0871">
              <w:rPr>
                <w:rFonts w:ascii="Verdana" w:hAnsi="Verdana" w:cs="Arial"/>
              </w:rPr>
              <w:t>en</w:t>
            </w:r>
            <w:r w:rsidRPr="001B0871">
              <w:rPr>
                <w:rFonts w:ascii="Verdana" w:hAnsi="Verdana" w:cs="Arial"/>
                <w:spacing w:val="-5"/>
              </w:rPr>
              <w:t xml:space="preserve"> </w:t>
            </w:r>
            <w:r w:rsidRPr="001B0871">
              <w:rPr>
                <w:rFonts w:ascii="Verdana" w:hAnsi="Verdana" w:cs="Arial"/>
              </w:rPr>
              <w:t>los</w:t>
            </w:r>
            <w:r w:rsidRPr="001B0871">
              <w:rPr>
                <w:rFonts w:ascii="Verdana" w:hAnsi="Verdana" w:cs="Arial"/>
                <w:spacing w:val="-58"/>
              </w:rPr>
              <w:t xml:space="preserve"> </w:t>
            </w:r>
            <w:r w:rsidRPr="001B0871">
              <w:rPr>
                <w:rFonts w:ascii="Verdana" w:hAnsi="Verdana" w:cs="Arial"/>
              </w:rPr>
              <w:t>procesos</w:t>
            </w:r>
            <w:r w:rsidRPr="001B0871">
              <w:rPr>
                <w:rFonts w:ascii="Verdana" w:hAnsi="Verdana" w:cs="Arial"/>
                <w:spacing w:val="1"/>
              </w:rPr>
              <w:t xml:space="preserve"> </w:t>
            </w:r>
            <w:r w:rsidRPr="001B0871">
              <w:rPr>
                <w:rFonts w:ascii="Verdana" w:hAnsi="Verdana" w:cs="Arial"/>
              </w:rPr>
              <w:t>de</w:t>
            </w:r>
            <w:r w:rsidRPr="001B0871">
              <w:rPr>
                <w:rFonts w:ascii="Verdana" w:hAnsi="Verdana" w:cs="Arial"/>
                <w:spacing w:val="1"/>
              </w:rPr>
              <w:t xml:space="preserve"> </w:t>
            </w:r>
            <w:r w:rsidRPr="001B0871">
              <w:rPr>
                <w:rFonts w:ascii="Verdana" w:hAnsi="Verdana" w:cs="Arial"/>
              </w:rPr>
              <w:t>contratación</w:t>
            </w:r>
            <w:r w:rsidRPr="001B0871">
              <w:rPr>
                <w:rFonts w:ascii="Verdana" w:hAnsi="Verdana" w:cs="Arial"/>
                <w:spacing w:val="1"/>
              </w:rPr>
              <w:t xml:space="preserve"> </w:t>
            </w:r>
            <w:r w:rsidRPr="001B0871">
              <w:rPr>
                <w:rFonts w:ascii="Verdana" w:hAnsi="Verdana" w:cs="Arial"/>
              </w:rPr>
              <w:t>realizados</w:t>
            </w:r>
            <w:r w:rsidRPr="001B0871">
              <w:rPr>
                <w:rFonts w:ascii="Verdana" w:hAnsi="Verdana" w:cs="Arial"/>
                <w:spacing w:val="1"/>
              </w:rPr>
              <w:t xml:space="preserve"> </w:t>
            </w:r>
            <w:r w:rsidRPr="001B0871">
              <w:rPr>
                <w:rFonts w:ascii="Verdana" w:hAnsi="Verdana" w:cs="Arial"/>
              </w:rPr>
              <w:t>por</w:t>
            </w:r>
            <w:r w:rsidRPr="001B0871">
              <w:rPr>
                <w:rFonts w:ascii="Verdana" w:hAnsi="Verdana" w:cs="Arial"/>
                <w:spacing w:val="1"/>
              </w:rPr>
              <w:t xml:space="preserve"> </w:t>
            </w:r>
            <w:r w:rsidRPr="001B0871">
              <w:rPr>
                <w:rFonts w:ascii="Verdana" w:hAnsi="Verdana" w:cs="Arial"/>
              </w:rPr>
              <w:t>las</w:t>
            </w:r>
            <w:r w:rsidRPr="001B0871">
              <w:rPr>
                <w:rFonts w:ascii="Verdana" w:hAnsi="Verdana" w:cs="Arial"/>
                <w:spacing w:val="1"/>
              </w:rPr>
              <w:t xml:space="preserve"> </w:t>
            </w:r>
            <w:r w:rsidRPr="001B0871">
              <w:rPr>
                <w:rFonts w:ascii="Verdana" w:hAnsi="Verdana" w:cs="Arial"/>
              </w:rPr>
              <w:t>entidades</w:t>
            </w:r>
            <w:r w:rsidRPr="001B0871">
              <w:rPr>
                <w:rFonts w:ascii="Verdana" w:hAnsi="Verdana" w:cs="Arial"/>
                <w:spacing w:val="1"/>
              </w:rPr>
              <w:t xml:space="preserve"> </w:t>
            </w:r>
            <w:r w:rsidRPr="001B0871">
              <w:rPr>
                <w:rFonts w:ascii="Verdana" w:hAnsi="Verdana" w:cs="Arial"/>
              </w:rPr>
              <w:t>estatales,</w:t>
            </w:r>
            <w:r w:rsidRPr="001B0871">
              <w:rPr>
                <w:rFonts w:ascii="Verdana" w:hAnsi="Verdana" w:cs="Arial"/>
                <w:spacing w:val="1"/>
              </w:rPr>
              <w:t xml:space="preserve"> </w:t>
            </w:r>
            <w:r w:rsidRPr="001B0871">
              <w:rPr>
                <w:rFonts w:ascii="Verdana" w:hAnsi="Verdana" w:cs="Arial"/>
              </w:rPr>
              <w:t>y</w:t>
            </w:r>
            <w:r w:rsidRPr="001B0871">
              <w:rPr>
                <w:rFonts w:ascii="Verdana" w:hAnsi="Verdana" w:cs="Arial"/>
                <w:spacing w:val="1"/>
              </w:rPr>
              <w:t xml:space="preserve"> </w:t>
            </w:r>
            <w:r w:rsidRPr="001B0871">
              <w:rPr>
                <w:rFonts w:ascii="Verdana" w:hAnsi="Verdana" w:cs="Arial"/>
              </w:rPr>
              <w:t>tiene</w:t>
            </w:r>
            <w:r w:rsidRPr="001B0871">
              <w:rPr>
                <w:rFonts w:ascii="Verdana" w:hAnsi="Verdana" w:cs="Arial"/>
                <w:spacing w:val="1"/>
              </w:rPr>
              <w:t xml:space="preserve"> </w:t>
            </w:r>
            <w:r w:rsidRPr="001B0871">
              <w:rPr>
                <w:rFonts w:ascii="Verdana" w:hAnsi="Verdana" w:cs="Arial"/>
              </w:rPr>
              <w:t>por</w:t>
            </w:r>
            <w:r w:rsidRPr="001B0871">
              <w:rPr>
                <w:rFonts w:ascii="Verdana" w:hAnsi="Verdana" w:cs="Arial"/>
                <w:spacing w:val="1"/>
              </w:rPr>
              <w:t xml:space="preserve"> </w:t>
            </w:r>
            <w:r w:rsidRPr="001B0871">
              <w:rPr>
                <w:rFonts w:ascii="Verdana" w:hAnsi="Verdana" w:cs="Arial"/>
              </w:rPr>
              <w:t>objeto</w:t>
            </w:r>
            <w:r w:rsidRPr="001B0871">
              <w:rPr>
                <w:rFonts w:ascii="Verdana" w:hAnsi="Verdana" w:cs="Arial"/>
                <w:spacing w:val="1"/>
              </w:rPr>
              <w:t xml:space="preserve"> </w:t>
            </w:r>
            <w:r w:rsidRPr="001B0871">
              <w:rPr>
                <w:rFonts w:ascii="Verdana" w:hAnsi="Verdana" w:cs="Arial"/>
              </w:rPr>
              <w:t>contemplar en un único documento la información relativa a la capacidad jurídica, técnica,</w:t>
            </w:r>
            <w:r w:rsidRPr="001B0871">
              <w:rPr>
                <w:rFonts w:ascii="Verdana" w:hAnsi="Verdana" w:cs="Arial"/>
                <w:spacing w:val="1"/>
              </w:rPr>
              <w:t xml:space="preserve"> </w:t>
            </w:r>
            <w:r w:rsidRPr="001B0871">
              <w:rPr>
                <w:rFonts w:ascii="Verdana" w:hAnsi="Verdana" w:cs="Arial"/>
              </w:rPr>
              <w:t>financiera y organizacional de los posibles proponentes, entre otros aspectos.</w:t>
            </w:r>
            <w:r w:rsidR="00FF42FE" w:rsidRPr="001B0871">
              <w:rPr>
                <w:rFonts w:ascii="Verdana" w:hAnsi="Verdana" w:cs="Arial"/>
              </w:rPr>
              <w:t xml:space="preserve"> No obstante, el mismo no es exigible en</w:t>
            </w:r>
            <w:r w:rsidR="00FF42FE" w:rsidRPr="001B0871">
              <w:rPr>
                <w:rFonts w:ascii="Verdana" w:hAnsi="Verdana" w:cs="Arial"/>
                <w:spacing w:val="1"/>
              </w:rPr>
              <w:t xml:space="preserve"> </w:t>
            </w:r>
            <w:r w:rsidR="00FF42FE" w:rsidRPr="001B0871">
              <w:rPr>
                <w:rFonts w:ascii="Verdana" w:hAnsi="Verdana" w:cs="Arial"/>
              </w:rPr>
              <w:t>todos los procesos de selección. Esto comoquiera que el segundo inciso del artículo 6 de la</w:t>
            </w:r>
            <w:r w:rsidR="00FF42FE" w:rsidRPr="001B0871">
              <w:rPr>
                <w:rFonts w:ascii="Verdana" w:hAnsi="Verdana" w:cs="Arial"/>
                <w:spacing w:val="1"/>
              </w:rPr>
              <w:t xml:space="preserve"> </w:t>
            </w:r>
            <w:r w:rsidR="00FF42FE" w:rsidRPr="001B0871">
              <w:rPr>
                <w:rFonts w:ascii="Verdana" w:hAnsi="Verdana" w:cs="Arial"/>
              </w:rPr>
              <w:t>Ley 1150 de 2007 señala unos contratos para cuya celebración no se requerirá el RUP, dentro de los que están incluidos los contratos de celebrados en la</w:t>
            </w:r>
            <w:r w:rsidR="00FF42FE" w:rsidRPr="001B0871">
              <w:rPr>
                <w:rFonts w:ascii="Verdana" w:hAnsi="Verdana" w:cs="Arial"/>
                <w:spacing w:val="1"/>
              </w:rPr>
              <w:t xml:space="preserve"> </w:t>
            </w:r>
            <w:r w:rsidR="00FF42FE" w:rsidRPr="001B0871">
              <w:rPr>
                <w:rFonts w:ascii="Verdana" w:hAnsi="Verdana" w:cs="Arial"/>
              </w:rPr>
              <w:t>modalidad</w:t>
            </w:r>
            <w:r w:rsidR="00FF42FE" w:rsidRPr="001B0871">
              <w:rPr>
                <w:rFonts w:ascii="Verdana" w:hAnsi="Verdana" w:cs="Arial"/>
                <w:spacing w:val="-11"/>
              </w:rPr>
              <w:t xml:space="preserve"> </w:t>
            </w:r>
            <w:r w:rsidR="00FF42FE" w:rsidRPr="001B0871">
              <w:rPr>
                <w:rFonts w:ascii="Verdana" w:hAnsi="Verdana" w:cs="Arial"/>
              </w:rPr>
              <w:t>de</w:t>
            </w:r>
            <w:r w:rsidR="00FF42FE" w:rsidRPr="001B0871">
              <w:rPr>
                <w:rFonts w:ascii="Verdana" w:hAnsi="Verdana" w:cs="Arial"/>
                <w:spacing w:val="-10"/>
              </w:rPr>
              <w:t xml:space="preserve"> </w:t>
            </w:r>
            <w:r w:rsidR="00FF42FE" w:rsidRPr="001B0871">
              <w:rPr>
                <w:rFonts w:ascii="Verdana" w:hAnsi="Verdana" w:cs="Arial"/>
              </w:rPr>
              <w:t>mínima, al cual se refiere en su consulta.</w:t>
            </w:r>
            <w:r w:rsidR="002B2CA5" w:rsidRPr="001B0871">
              <w:rPr>
                <w:rFonts w:ascii="Verdana" w:hAnsi="Verdana" w:cs="Arial"/>
              </w:rPr>
              <w:t xml:space="preserve"> En estos casos, </w:t>
            </w:r>
            <w:r w:rsidR="00623CB8" w:rsidRPr="001B0871">
              <w:rPr>
                <w:rFonts w:ascii="Verdana" w:hAnsi="Verdana" w:cs="Arial"/>
              </w:rPr>
              <w:t xml:space="preserve">las entidades estatales deben hacer la verificación del </w:t>
            </w:r>
            <w:r w:rsidR="007D6BFE" w:rsidRPr="001B0871">
              <w:rPr>
                <w:rFonts w:ascii="Verdana" w:hAnsi="Verdana" w:cs="Arial"/>
              </w:rPr>
              <w:t>cumplimiento de la experiencia requerida de</w:t>
            </w:r>
            <w:r w:rsidR="00623CB8" w:rsidRPr="001B0871">
              <w:rPr>
                <w:rFonts w:ascii="Verdana" w:hAnsi="Verdana" w:cs="Arial"/>
              </w:rPr>
              <w:t xml:space="preserve"> forma directa</w:t>
            </w:r>
            <w:r w:rsidR="007D6BFE" w:rsidRPr="001B0871">
              <w:rPr>
                <w:rFonts w:ascii="Verdana" w:hAnsi="Verdana" w:cs="Arial"/>
              </w:rPr>
              <w:t>.</w:t>
            </w:r>
          </w:p>
          <w:p w14:paraId="113919E1" w14:textId="585BB5FA" w:rsidR="007D6BFE" w:rsidRPr="00902D46" w:rsidRDefault="007D6BFE" w:rsidP="001B0871">
            <w:pPr>
              <w:spacing w:after="120" w:line="276" w:lineRule="auto"/>
              <w:ind w:firstLine="709"/>
              <w:jc w:val="both"/>
              <w:rPr>
                <w:rFonts w:ascii="Verdana" w:eastAsia="Calibri" w:hAnsi="Verdana" w:cs="Arial"/>
                <w:color w:val="000000" w:themeColor="text1"/>
              </w:rPr>
            </w:pPr>
            <w:r w:rsidRPr="00902D46">
              <w:rPr>
                <w:rFonts w:ascii="Verdana" w:eastAsia="Calibri" w:hAnsi="Verdana" w:cs="Arial"/>
                <w:color w:val="000000" w:themeColor="text1"/>
              </w:rPr>
              <w:t>Es importante señalar que, en los procesos de mínima cuantía, las entidades tienen autonomía para definir los medios a través de los cuales</w:t>
            </w:r>
            <w:r w:rsidR="009E3916">
              <w:rPr>
                <w:rFonts w:ascii="Verdana" w:eastAsia="Calibri" w:hAnsi="Verdana" w:cs="Arial"/>
                <w:color w:val="000000" w:themeColor="text1"/>
              </w:rPr>
              <w:t xml:space="preserve"> el proponente</w:t>
            </w:r>
            <w:r w:rsidRPr="00902D46">
              <w:rPr>
                <w:rFonts w:ascii="Verdana" w:eastAsia="Calibri" w:hAnsi="Verdana" w:cs="Arial"/>
                <w:color w:val="000000" w:themeColor="text1"/>
              </w:rPr>
              <w:t xml:space="preserve"> debe acreditar la experiencia, siempre que dichos requisitos sean proporcionales al objeto y valor del contrato y no restrinjan injustificadamente </w:t>
            </w:r>
            <w:r w:rsidRPr="00902D46">
              <w:rPr>
                <w:rFonts w:ascii="Verdana" w:eastAsia="Calibri" w:hAnsi="Verdana" w:cs="Arial"/>
                <w:color w:val="000000" w:themeColor="text1"/>
              </w:rPr>
              <w:lastRenderedPageBreak/>
              <w:t>la participación, en armonía con los principios que rigen la contratación pública, tales como la transparencia, la libre concurrencia y la selección objetiva.</w:t>
            </w:r>
          </w:p>
          <w:p w14:paraId="0A057BB3" w14:textId="4829E328" w:rsidR="00B44AA8" w:rsidRPr="00C95398" w:rsidRDefault="001A02E1" w:rsidP="001B0871">
            <w:pPr>
              <w:spacing w:line="276" w:lineRule="auto"/>
              <w:ind w:firstLine="709"/>
              <w:jc w:val="both"/>
              <w:rPr>
                <w:rFonts w:ascii="Verdana" w:eastAsia="Calibri" w:hAnsi="Verdana" w:cs="Arial"/>
                <w:color w:val="000000" w:themeColor="text1"/>
              </w:rPr>
            </w:pPr>
            <w:r w:rsidRPr="00902D46">
              <w:rPr>
                <w:rFonts w:ascii="Verdana" w:eastAsia="Calibri" w:hAnsi="Verdana" w:cs="Arial"/>
                <w:color w:val="000000" w:themeColor="text1"/>
              </w:rPr>
              <w:t xml:space="preserve">Así las cosas, en </w:t>
            </w:r>
            <w:r w:rsidR="00B44AA8" w:rsidRPr="00902D46">
              <w:rPr>
                <w:rFonts w:ascii="Verdana" w:eastAsia="Calibri" w:hAnsi="Verdana" w:cs="Arial"/>
                <w:color w:val="000000" w:themeColor="text1"/>
              </w:rPr>
              <w:t>un proceso de mínima cuantía, los documentos idóneos para acreditar la experiencia del oferente</w:t>
            </w:r>
            <w:r w:rsidRPr="00902D46">
              <w:rPr>
                <w:rFonts w:ascii="Verdana" w:eastAsia="Calibri" w:hAnsi="Verdana" w:cs="Arial"/>
                <w:color w:val="000000" w:themeColor="text1"/>
              </w:rPr>
              <w:t xml:space="preserve"> </w:t>
            </w:r>
            <w:r w:rsidR="00B44AA8" w:rsidRPr="00902D46">
              <w:rPr>
                <w:rFonts w:ascii="Verdana" w:eastAsia="Calibri" w:hAnsi="Verdana" w:cs="Arial"/>
                <w:color w:val="000000" w:themeColor="text1"/>
              </w:rPr>
              <w:t>son aquellos que permitan a la entidad contratante verificar de manera clara, objetiva y suficiente la ejecución previa de contratos similares al objeto del proceso. Entre estos documentos se encuentran el acta de inicio, que permite establecer la fecha de comienzo de la ejecución contractual; el acta de entrega o de recibo definitivo, que acredita que el bien fue entregado o el servicio prestado conforme a las condiciones pactadas; el acta de liquidación, que demuestra la terminación formal y legal del contrato; y la certificación de cumplimiento, expedida normalmente por el contratante o el interventor, en la que se manifiesta que el contratista ejecutó satisfactoriamente el objeto del contrato. Además, se admite cualquier otro documento que, a juicio de la entidad, permita constatar con claridad la ejecución contractual. Estos documentos pueden estar firmados por cualquiera de las partes involucradas (contratista, contratante o interventor), y su validez o prevalencia dependerá de lo que se haya establecido previamente en los pliegos de condiciones del proceso</w:t>
            </w:r>
            <w:r w:rsidR="00902D46" w:rsidRPr="00902D46">
              <w:rPr>
                <w:rFonts w:ascii="Verdana" w:eastAsia="Calibri" w:hAnsi="Verdana" w:cs="Arial"/>
                <w:color w:val="000000" w:themeColor="text1"/>
              </w:rPr>
              <w:t xml:space="preserve"> o documentos </w:t>
            </w:r>
            <w:r w:rsidR="009E3916" w:rsidRPr="00902D46">
              <w:rPr>
                <w:rFonts w:ascii="Verdana" w:eastAsia="Calibri" w:hAnsi="Verdana" w:cs="Arial"/>
                <w:color w:val="000000" w:themeColor="text1"/>
              </w:rPr>
              <w:t>equivalentes</w:t>
            </w:r>
            <w:r w:rsidR="00B44AA8" w:rsidRPr="00902D46">
              <w:rPr>
                <w:rFonts w:ascii="Verdana" w:eastAsia="Calibri" w:hAnsi="Verdana" w:cs="Arial"/>
                <w:color w:val="000000" w:themeColor="text1"/>
              </w:rPr>
              <w:t>.</w:t>
            </w:r>
            <w:r w:rsidR="00B44AA8" w:rsidRPr="00EA0E4E">
              <w:rPr>
                <w:rFonts w:ascii="Verdana" w:eastAsia="Calibri" w:hAnsi="Verdana" w:cs="Arial"/>
                <w:color w:val="000000" w:themeColor="text1"/>
              </w:rPr>
              <w:t xml:space="preserve"> </w:t>
            </w:r>
          </w:p>
        </w:tc>
      </w:tr>
    </w:tbl>
    <w:p w14:paraId="03EFB963" w14:textId="77777777" w:rsidR="00B44AA8" w:rsidRPr="00115E3D" w:rsidRDefault="00B44AA8" w:rsidP="00B44AA8">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EA7B740" w14:textId="77777777" w:rsidR="00B44AA8" w:rsidRPr="00115E3D" w:rsidRDefault="00B44AA8" w:rsidP="00B44AA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232DD324" w14:textId="77777777" w:rsidR="00B44AA8" w:rsidRPr="00115E3D" w:rsidRDefault="00B44AA8" w:rsidP="00B44AA8">
      <w:pPr>
        <w:spacing w:after="0" w:line="276" w:lineRule="auto"/>
        <w:jc w:val="both"/>
        <w:rPr>
          <w:rFonts w:ascii="Verdana" w:eastAsia="Calibri" w:hAnsi="Verdana" w:cs="Arial"/>
          <w:color w:val="000000" w:themeColor="text1"/>
          <w:lang w:val="es-ES"/>
        </w:rPr>
      </w:pPr>
    </w:p>
    <w:p w14:paraId="3009CB18" w14:textId="77777777" w:rsidR="00B44AA8" w:rsidRPr="00115E3D" w:rsidRDefault="00B44AA8" w:rsidP="00B44AA8">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02C12858" w14:textId="77777777" w:rsidR="00B44AA8" w:rsidRDefault="00B44AA8" w:rsidP="00B44AA8">
      <w:pPr>
        <w:spacing w:after="0" w:line="276" w:lineRule="auto"/>
        <w:jc w:val="both"/>
        <w:rPr>
          <w:rFonts w:ascii="Verdana" w:eastAsia="Calibri" w:hAnsi="Verdana" w:cs="Arial"/>
          <w:color w:val="000000" w:themeColor="text1"/>
          <w:lang w:val="es-ES"/>
        </w:rPr>
      </w:pPr>
    </w:p>
    <w:p w14:paraId="47357C87" w14:textId="77777777" w:rsidR="00B44AA8" w:rsidRPr="00886F14" w:rsidRDefault="00B44AA8" w:rsidP="00B44AA8">
      <w:pPr>
        <w:spacing w:after="120" w:line="276" w:lineRule="auto"/>
        <w:jc w:val="both"/>
        <w:rPr>
          <w:rFonts w:ascii="Verdana" w:hAnsi="Verdana" w:cs="Arial"/>
          <w:color w:val="000000" w:themeColor="text1"/>
          <w:lang w:val="es-ES_tradnl"/>
        </w:rPr>
      </w:pPr>
      <w:r w:rsidRPr="00886F14">
        <w:rPr>
          <w:rFonts w:ascii="Verdana" w:eastAsia="Calibri" w:hAnsi="Verdana" w:cs="Arial"/>
          <w:lang w:val="es-ES"/>
        </w:rPr>
        <w:t xml:space="preserve">i. </w:t>
      </w:r>
      <w:r w:rsidRPr="00886F14">
        <w:rPr>
          <w:rFonts w:ascii="Verdana" w:hAnsi="Verdana" w:cs="Arial"/>
          <w:color w:val="000000" w:themeColor="text1"/>
          <w:lang w:val="es-ES_tradnl"/>
        </w:rPr>
        <w:t xml:space="preserve">Los </w:t>
      </w:r>
      <w:r w:rsidRPr="00886F14">
        <w:rPr>
          <w:rFonts w:ascii="Verdana" w:hAnsi="Verdana" w:cs="Arial"/>
          <w:i/>
          <w:iCs/>
          <w:color w:val="000000" w:themeColor="text1"/>
          <w:lang w:val="es-ES_tradnl"/>
        </w:rPr>
        <w:t>requisitos habilitantes</w:t>
      </w:r>
      <w:r w:rsidRPr="00886F14">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886F14">
        <w:rPr>
          <w:rFonts w:ascii="Verdana" w:hAnsi="Verdana" w:cs="Arial"/>
          <w:i/>
          <w:iCs/>
          <w:color w:val="000000" w:themeColor="text1"/>
          <w:lang w:val="es-ES_tradnl"/>
        </w:rPr>
        <w:t>criterios de evaluación</w:t>
      </w:r>
      <w:r w:rsidRPr="00886F14">
        <w:rPr>
          <w:rFonts w:ascii="Verdana" w:hAnsi="Verdana" w:cs="Arial"/>
          <w:color w:val="000000" w:themeColor="text1"/>
          <w:lang w:val="es-ES_tradnl"/>
        </w:rPr>
        <w:t xml:space="preserve"> –también conocidos como </w:t>
      </w:r>
      <w:r w:rsidRPr="00886F14">
        <w:rPr>
          <w:rFonts w:ascii="Verdana" w:hAnsi="Verdana" w:cs="Arial"/>
          <w:i/>
          <w:iCs/>
          <w:color w:val="000000" w:themeColor="text1"/>
          <w:lang w:val="es-ES_tradnl"/>
        </w:rPr>
        <w:t>criterios de calificación</w:t>
      </w:r>
      <w:r w:rsidRPr="00886F14">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69F7289A" w14:textId="77777777" w:rsidR="00B44AA8" w:rsidRPr="00886F14" w:rsidRDefault="00B44AA8" w:rsidP="00B44AA8">
      <w:pPr>
        <w:spacing w:after="120" w:line="276" w:lineRule="auto"/>
        <w:ind w:firstLine="708"/>
        <w:jc w:val="both"/>
        <w:rPr>
          <w:rFonts w:ascii="Verdana" w:hAnsi="Verdana" w:cs="Arial"/>
          <w:color w:val="000000" w:themeColor="text1"/>
          <w:lang w:val="es-ES_tradnl"/>
        </w:rPr>
      </w:pPr>
      <w:r w:rsidRPr="00886F14">
        <w:rPr>
          <w:rFonts w:ascii="Verdana" w:hAnsi="Verdana" w:cs="Arial"/>
          <w:color w:val="000000" w:themeColor="text1"/>
          <w:lang w:val="es-ES_tradnl"/>
        </w:rPr>
        <w:t xml:space="preserve">A partir de lo dicho se deduce que los requisitos habilitantes, si bien constituyen obligaciones que los proponentes deben cumplir y acreditar para participar en el procedimiento de selección, no se valoran con un puntaje que </w:t>
      </w:r>
      <w:r w:rsidRPr="00886F14">
        <w:rPr>
          <w:rFonts w:ascii="Verdana" w:hAnsi="Verdana" w:cs="Arial"/>
          <w:color w:val="000000" w:themeColor="text1"/>
          <w:lang w:val="es-ES_tradnl"/>
        </w:rPr>
        <w:lastRenderedPageBreak/>
        <w:t>determine el orden de escogencia, sino que se analizan como criterios previos a la evaluación en sentido estricto</w:t>
      </w:r>
      <w:r>
        <w:rPr>
          <w:rFonts w:ascii="Verdana" w:hAnsi="Verdana" w:cs="Arial"/>
          <w:color w:val="000000" w:themeColor="text1"/>
          <w:lang w:val="es-ES_tradnl"/>
        </w:rPr>
        <w:t>. D</w:t>
      </w:r>
      <w:r w:rsidRPr="00886F14">
        <w:rPr>
          <w:rFonts w:ascii="Verdana" w:hAnsi="Verdana" w:cs="Arial"/>
          <w:color w:val="000000" w:themeColor="text1"/>
          <w:lang w:val="es-ES_tradnl"/>
        </w:rPr>
        <w:t xml:space="preserve">e </w:t>
      </w:r>
      <w:r>
        <w:rPr>
          <w:rFonts w:ascii="Verdana" w:hAnsi="Verdana" w:cs="Arial"/>
          <w:color w:val="000000" w:themeColor="text1"/>
          <w:lang w:val="es-ES_tradnl"/>
        </w:rPr>
        <w:t xml:space="preserve">esta </w:t>
      </w:r>
      <w:r w:rsidRPr="00886F14">
        <w:rPr>
          <w:rFonts w:ascii="Verdana" w:hAnsi="Verdana" w:cs="Arial"/>
          <w:color w:val="000000" w:themeColor="text1"/>
          <w:lang w:val="es-ES_tradnl"/>
        </w:rPr>
        <w:t>manera</w:t>
      </w:r>
      <w:r>
        <w:rPr>
          <w:rFonts w:ascii="Verdana" w:hAnsi="Verdana" w:cs="Arial"/>
          <w:color w:val="000000" w:themeColor="text1"/>
          <w:lang w:val="es-ES_tradnl"/>
        </w:rPr>
        <w:t>,</w:t>
      </w:r>
      <w:r w:rsidRPr="00886F14">
        <w:rPr>
          <w:rFonts w:ascii="Verdana" w:hAnsi="Verdana" w:cs="Arial"/>
          <w:color w:val="000000" w:themeColor="text1"/>
          <w:lang w:val="es-ES_tradnl"/>
        </w:rPr>
        <w:t xml:space="preserve"> quienes no los reúnan no pueden continuar en el procedimiento de selección, </w:t>
      </w:r>
      <w:r>
        <w:rPr>
          <w:rFonts w:ascii="Verdana" w:hAnsi="Verdana" w:cs="Arial"/>
          <w:color w:val="000000" w:themeColor="text1"/>
          <w:lang w:val="es-ES_tradnl"/>
        </w:rPr>
        <w:t>es decir</w:t>
      </w:r>
      <w:r w:rsidRPr="00886F14">
        <w:rPr>
          <w:rFonts w:ascii="Verdana" w:hAnsi="Verdana" w:cs="Arial"/>
          <w:color w:val="000000" w:themeColor="text1"/>
          <w:lang w:val="es-ES_tradnl"/>
        </w:rPr>
        <w:t>, incurren en causal de rechazo. Esto</w:t>
      </w:r>
      <w:r>
        <w:rPr>
          <w:rFonts w:ascii="Verdana" w:hAnsi="Verdana" w:cs="Arial"/>
          <w:color w:val="000000" w:themeColor="text1"/>
          <w:lang w:val="es-ES_tradnl"/>
        </w:rPr>
        <w:t>,</w:t>
      </w:r>
      <w:r w:rsidRPr="00886F14">
        <w:rPr>
          <w:rFonts w:ascii="Verdana" w:hAnsi="Verdana" w:cs="Arial"/>
          <w:color w:val="000000" w:themeColor="text1"/>
          <w:lang w:val="es-ES_tradnl"/>
        </w:rPr>
        <w:t xml:space="preserve"> sin perjuicio del derecho que tienen los oferentes de subsanar los defectos que se presenten en la prueba de tales requisitos, de conformidad con el artículo 5, parágrafos 1º al 4º, de la Ley 1150 de 2007.</w:t>
      </w:r>
    </w:p>
    <w:p w14:paraId="49DD7975" w14:textId="77777777" w:rsidR="00B44AA8" w:rsidRDefault="00B44AA8" w:rsidP="00B44AA8">
      <w:pPr>
        <w:spacing w:after="120" w:line="276" w:lineRule="auto"/>
        <w:ind w:firstLine="708"/>
        <w:jc w:val="both"/>
        <w:rPr>
          <w:rFonts w:ascii="Verdana" w:hAnsi="Verdana" w:cs="Arial"/>
          <w:color w:val="000000" w:themeColor="text1"/>
          <w:lang w:val="es-ES_tradnl"/>
        </w:rPr>
      </w:pPr>
      <w:r w:rsidRPr="00886F14">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886F14">
        <w:rPr>
          <w:rFonts w:ascii="Verdana" w:hAnsi="Verdana" w:cs="Arial"/>
          <w:i/>
          <w:iCs/>
          <w:color w:val="000000" w:themeColor="text1"/>
          <w:lang w:val="es-ES_tradnl"/>
        </w:rPr>
        <w:t>.</w:t>
      </w:r>
      <w:r w:rsidRPr="00886F14">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50894B5B" w14:textId="136114A6" w:rsidR="00B44AA8" w:rsidRPr="00886F14" w:rsidRDefault="00B44AA8" w:rsidP="00B44AA8">
      <w:pPr>
        <w:spacing w:after="0" w:line="276" w:lineRule="auto"/>
        <w:ind w:firstLine="708"/>
        <w:jc w:val="both"/>
        <w:rPr>
          <w:rFonts w:ascii="Verdana" w:hAnsi="Verdana" w:cs="Arial"/>
          <w:color w:val="000000" w:themeColor="text1"/>
          <w:lang w:val="es-ES"/>
        </w:rPr>
      </w:pPr>
      <w:r w:rsidRPr="5D636007">
        <w:rPr>
          <w:rFonts w:ascii="Verdana" w:hAnsi="Verdana" w:cs="Arial"/>
          <w:color w:val="000000" w:themeColor="text1"/>
          <w:lang w:val="es-ES"/>
        </w:rPr>
        <w:t xml:space="preserve">Específicamente, el numeral 1º del referido artículo 5 establece que en los procesos de selección de contratistas serán objeto de verificación, como requisitos habilitantes, </w:t>
      </w:r>
      <w:r w:rsidRPr="5D636007">
        <w:rPr>
          <w:rFonts w:ascii="Verdana" w:hAnsi="Verdana" w:cs="Arial"/>
          <w:i/>
          <w:color w:val="000000" w:themeColor="text1"/>
          <w:lang w:val="es-ES"/>
        </w:rPr>
        <w:t>entre otros</w:t>
      </w:r>
      <w:r w:rsidRPr="5D636007">
        <w:rPr>
          <w:rFonts w:ascii="Verdana" w:hAnsi="Verdana" w:cs="Arial"/>
          <w:color w:val="000000" w:themeColor="text1"/>
          <w:lang w:val="es-ES"/>
        </w:rPr>
        <w:t xml:space="preserve">, los siguientes: i) la capacidad jurídica; </w:t>
      </w:r>
      <w:proofErr w:type="spellStart"/>
      <w:r w:rsidRPr="5D636007">
        <w:rPr>
          <w:rFonts w:ascii="Verdana" w:hAnsi="Verdana" w:cs="Arial"/>
          <w:color w:val="000000" w:themeColor="text1"/>
          <w:lang w:val="es-ES"/>
        </w:rPr>
        <w:t>ii</w:t>
      </w:r>
      <w:proofErr w:type="spellEnd"/>
      <w:r w:rsidRPr="5D636007">
        <w:rPr>
          <w:rFonts w:ascii="Verdana" w:hAnsi="Verdana" w:cs="Arial"/>
          <w:color w:val="000000" w:themeColor="text1"/>
          <w:lang w:val="es-ES"/>
        </w:rPr>
        <w:t>) la experiencia</w:t>
      </w:r>
      <w:r w:rsidR="00A83DB7">
        <w:rPr>
          <w:rFonts w:ascii="Verdana" w:hAnsi="Verdana" w:cs="Arial"/>
          <w:color w:val="000000" w:themeColor="text1"/>
          <w:lang w:val="es-ES"/>
        </w:rPr>
        <w:t xml:space="preserve"> – a la que se refiere en su consulta</w:t>
      </w:r>
      <w:r w:rsidRPr="5D636007">
        <w:rPr>
          <w:rFonts w:ascii="Verdana" w:hAnsi="Verdana" w:cs="Arial"/>
          <w:color w:val="000000" w:themeColor="text1"/>
          <w:lang w:val="es-ES"/>
        </w:rPr>
        <w:t xml:space="preserve">; </w:t>
      </w:r>
      <w:proofErr w:type="spellStart"/>
      <w:r w:rsidRPr="5D636007">
        <w:rPr>
          <w:rFonts w:ascii="Verdana" w:hAnsi="Verdana" w:cs="Arial"/>
          <w:color w:val="000000" w:themeColor="text1"/>
          <w:lang w:val="es-ES"/>
        </w:rPr>
        <w:t>iii</w:t>
      </w:r>
      <w:proofErr w:type="spellEnd"/>
      <w:r w:rsidRPr="5D636007">
        <w:rPr>
          <w:rFonts w:ascii="Verdana" w:hAnsi="Verdana" w:cs="Arial"/>
          <w:color w:val="000000" w:themeColor="text1"/>
          <w:lang w:val="es-ES"/>
        </w:rPr>
        <w:t xml:space="preserve">) la capacidad financiera y </w:t>
      </w:r>
      <w:proofErr w:type="spellStart"/>
      <w:r w:rsidRPr="5D636007">
        <w:rPr>
          <w:rFonts w:ascii="Verdana" w:hAnsi="Verdana" w:cs="Arial"/>
          <w:color w:val="000000" w:themeColor="text1"/>
          <w:lang w:val="es-ES"/>
        </w:rPr>
        <w:t>iv</w:t>
      </w:r>
      <w:proofErr w:type="spellEnd"/>
      <w:r w:rsidRPr="5D636007">
        <w:rPr>
          <w:rFonts w:ascii="Verdana" w:hAnsi="Verdana" w:cs="Arial"/>
          <w:color w:val="000000" w:themeColor="text1"/>
          <w:lang w:val="es-ES"/>
        </w:rPr>
        <w:t xml:space="preserve">) la capacidad de organización. En efecto, la normativa citada prescribe lo siguiente: </w:t>
      </w:r>
    </w:p>
    <w:p w14:paraId="3E1CB155" w14:textId="77777777" w:rsidR="00B44AA8" w:rsidRPr="00886F14" w:rsidRDefault="00B44AA8" w:rsidP="00B44AA8">
      <w:pPr>
        <w:spacing w:after="0" w:line="276" w:lineRule="auto"/>
        <w:ind w:firstLine="708"/>
        <w:jc w:val="both"/>
        <w:rPr>
          <w:rFonts w:ascii="Verdana" w:hAnsi="Verdana" w:cs="Arial"/>
          <w:color w:val="000000" w:themeColor="text1"/>
          <w:lang w:val="es-ES_tradnl"/>
        </w:rPr>
      </w:pPr>
    </w:p>
    <w:p w14:paraId="6DCBEA76" w14:textId="77777777" w:rsidR="00B44AA8" w:rsidRPr="00E123D7" w:rsidRDefault="00B44AA8" w:rsidP="00B44AA8">
      <w:pPr>
        <w:spacing w:after="0" w:line="240" w:lineRule="auto"/>
        <w:ind w:left="709" w:right="709"/>
        <w:rPr>
          <w:rFonts w:ascii="Verdana" w:hAnsi="Verdana" w:cs="Arial"/>
          <w:color w:val="000000" w:themeColor="text1"/>
          <w:sz w:val="20"/>
          <w:szCs w:val="20"/>
          <w:lang w:val="es-ES_tradnl"/>
        </w:rPr>
      </w:pPr>
      <w:r w:rsidRPr="00E123D7">
        <w:rPr>
          <w:rFonts w:ascii="Verdana" w:hAnsi="Verdana" w:cs="Arial"/>
          <w:i/>
          <w:color w:val="000000" w:themeColor="text1"/>
          <w:sz w:val="20"/>
          <w:szCs w:val="20"/>
          <w:lang w:val="es-ES_tradnl"/>
        </w:rPr>
        <w:t>“</w:t>
      </w:r>
      <w:r w:rsidRPr="00E123D7">
        <w:rPr>
          <w:rFonts w:ascii="Verdana" w:hAnsi="Verdana" w:cs="Arial"/>
          <w:color w:val="000000" w:themeColor="text1"/>
          <w:sz w:val="20"/>
          <w:szCs w:val="20"/>
          <w:lang w:val="es-ES_tradnl"/>
        </w:rPr>
        <w:t xml:space="preserve">Artículo 5. De la Selección Objetiva. </w:t>
      </w:r>
    </w:p>
    <w:p w14:paraId="42EE8FE0" w14:textId="77777777" w:rsidR="00B44AA8" w:rsidRPr="00E123D7" w:rsidRDefault="00B44AA8" w:rsidP="00B44AA8">
      <w:pPr>
        <w:spacing w:after="0" w:line="240" w:lineRule="auto"/>
        <w:ind w:left="709" w:right="709"/>
        <w:rPr>
          <w:rFonts w:ascii="Verdana" w:hAnsi="Verdana" w:cs="Arial"/>
          <w:color w:val="000000" w:themeColor="text1"/>
          <w:sz w:val="20"/>
          <w:szCs w:val="20"/>
          <w:lang w:val="es-ES_tradnl"/>
        </w:rPr>
      </w:pPr>
      <w:r w:rsidRPr="00E123D7">
        <w:rPr>
          <w:rFonts w:ascii="Verdana" w:hAnsi="Verdana" w:cs="Arial"/>
          <w:color w:val="000000" w:themeColor="text1"/>
          <w:sz w:val="20"/>
          <w:szCs w:val="20"/>
          <w:lang w:val="es-ES_tradnl"/>
        </w:rPr>
        <w:t>[…]</w:t>
      </w:r>
    </w:p>
    <w:p w14:paraId="55126A80" w14:textId="77777777" w:rsidR="00B44AA8" w:rsidRPr="00E123D7" w:rsidRDefault="00B44AA8" w:rsidP="00B44AA8">
      <w:pPr>
        <w:pStyle w:val="Prrafodelista"/>
        <w:spacing w:after="0" w:line="240" w:lineRule="auto"/>
        <w:ind w:left="709" w:right="709"/>
        <w:jc w:val="both"/>
        <w:rPr>
          <w:rFonts w:ascii="Verdana" w:eastAsia="Calibri" w:hAnsi="Verdana" w:cs="Arial"/>
          <w:color w:val="000000" w:themeColor="text1"/>
          <w:sz w:val="20"/>
          <w:szCs w:val="20"/>
        </w:rPr>
      </w:pPr>
      <w:r w:rsidRPr="00E123D7">
        <w:rPr>
          <w:rFonts w:ascii="Verdana" w:eastAsia="Calibri" w:hAnsi="Verdana" w:cs="Arial"/>
          <w:color w:val="000000" w:themeColor="text1"/>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E123D7">
        <w:rPr>
          <w:rFonts w:ascii="Verdana" w:eastAsia="Calibri" w:hAnsi="Verdana" w:cs="Arial"/>
          <w:i/>
          <w:color w:val="000000" w:themeColor="text1"/>
          <w:sz w:val="20"/>
          <w:szCs w:val="20"/>
        </w:rPr>
        <w:t>”</w:t>
      </w:r>
      <w:r w:rsidRPr="00E123D7">
        <w:rPr>
          <w:rFonts w:ascii="Verdana" w:eastAsia="Calibri" w:hAnsi="Verdana" w:cs="Arial"/>
          <w:color w:val="000000" w:themeColor="text1"/>
          <w:sz w:val="20"/>
          <w:szCs w:val="20"/>
        </w:rPr>
        <w:t>.</w:t>
      </w:r>
    </w:p>
    <w:p w14:paraId="3E8CA071" w14:textId="77777777" w:rsidR="00B44AA8" w:rsidRPr="00E123D7" w:rsidRDefault="00B44AA8" w:rsidP="00B44AA8">
      <w:pPr>
        <w:spacing w:after="0" w:line="276" w:lineRule="auto"/>
        <w:ind w:right="709"/>
        <w:jc w:val="both"/>
        <w:rPr>
          <w:rFonts w:ascii="Verdana" w:eastAsia="Calibri" w:hAnsi="Verdana" w:cs="Arial"/>
          <w:color w:val="000000" w:themeColor="text1"/>
          <w:lang w:val="es-ES_tradnl"/>
        </w:rPr>
      </w:pPr>
    </w:p>
    <w:p w14:paraId="33F3F721" w14:textId="77777777" w:rsidR="00B44AA8" w:rsidRPr="00C94107" w:rsidRDefault="00B44AA8" w:rsidP="001B0871">
      <w:pPr>
        <w:spacing w:after="0" w:line="276" w:lineRule="auto"/>
        <w:ind w:firstLine="708"/>
        <w:jc w:val="both"/>
        <w:rPr>
          <w:rFonts w:ascii="Verdana" w:eastAsia="Times New Roman" w:hAnsi="Verdana" w:cs="Arial"/>
          <w:highlight w:val="cyan"/>
          <w:lang w:val="es-ES_tradnl" w:eastAsia="es-MX"/>
        </w:rPr>
      </w:pPr>
      <w:bookmarkStart w:id="1" w:name="_Hlk99547809"/>
      <w:bookmarkStart w:id="2" w:name="_Hlk99546625"/>
      <w:r w:rsidRPr="00C94107">
        <w:rPr>
          <w:rFonts w:ascii="Verdana" w:eastAsia="Times New Roman" w:hAnsi="Verdana" w:cs="Arial"/>
          <w:lang w:val="es-ES_tradnl" w:eastAsia="es-MX"/>
        </w:rPr>
        <w:t xml:space="preserve">La Agencia Nacional de Contratación Pública – Colombia Compra Eficiente ha defendido el carácter </w:t>
      </w:r>
      <w:bookmarkStart w:id="3" w:name="_Hlk99547799"/>
      <w:r w:rsidRPr="00C94107">
        <w:rPr>
          <w:rFonts w:ascii="Verdana" w:eastAsia="Times New Roman" w:hAnsi="Verdana" w:cs="Arial"/>
          <w:lang w:val="es-ES_tradnl" w:eastAsia="es-MX"/>
        </w:rPr>
        <w:t xml:space="preserve">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w:t>
      </w:r>
      <w:bookmarkEnd w:id="1"/>
      <w:bookmarkEnd w:id="3"/>
      <w:r w:rsidRPr="00C94107">
        <w:rPr>
          <w:rFonts w:ascii="Verdana" w:eastAsia="Times New Roman" w:hAnsi="Verdana" w:cs="Arial"/>
          <w:lang w:val="es-ES_tradnl" w:eastAsia="es-MX"/>
        </w:rPr>
        <w:t xml:space="preserve">Esta conclusión además se apoya en una la lectura integral de las normas que regulan la contratación estatal, en </w:t>
      </w:r>
      <w:r w:rsidRPr="00C94107">
        <w:rPr>
          <w:rFonts w:ascii="Verdana" w:eastAsia="Times New Roman" w:hAnsi="Verdana" w:cs="Arial"/>
          <w:lang w:val="es-ES_tradnl" w:eastAsia="es-MX"/>
        </w:rPr>
        <w:lastRenderedPageBreak/>
        <w:t>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bookmarkEnd w:id="2"/>
      <w:r w:rsidRPr="00C94107">
        <w:rPr>
          <w:rFonts w:ascii="Verdana" w:eastAsia="Times New Roman" w:hAnsi="Verdana" w:cs="Arial"/>
          <w:vertAlign w:val="superscript"/>
          <w:lang w:val="es-ES_tradnl" w:eastAsia="es-MX"/>
        </w:rPr>
        <w:footnoteReference w:id="1"/>
      </w:r>
      <w:r w:rsidRPr="00C94107">
        <w:rPr>
          <w:rFonts w:ascii="Verdana" w:eastAsia="Times New Roman" w:hAnsi="Verdana" w:cs="Arial"/>
          <w:lang w:val="es-ES_tradnl" w:eastAsia="es-MX"/>
        </w:rPr>
        <w:t xml:space="preserve">. </w:t>
      </w:r>
    </w:p>
    <w:p w14:paraId="575FCC67" w14:textId="77777777" w:rsidR="00FC26A8" w:rsidRDefault="00FC26A8" w:rsidP="00FC26A8">
      <w:pPr>
        <w:spacing w:after="0" w:line="276" w:lineRule="auto"/>
        <w:jc w:val="both"/>
        <w:rPr>
          <w:rFonts w:ascii="Verdana" w:hAnsi="Verdana" w:cs="Arial"/>
          <w:color w:val="000000" w:themeColor="text1"/>
          <w:lang w:val="es-ES_tradnl"/>
        </w:rPr>
      </w:pPr>
    </w:p>
    <w:p w14:paraId="7E726E93" w14:textId="53CC85D6" w:rsidR="00B44AA8" w:rsidRPr="00114F25" w:rsidRDefault="00FC26A8" w:rsidP="001B0871">
      <w:pPr>
        <w:spacing w:after="0" w:line="276" w:lineRule="auto"/>
        <w:jc w:val="both"/>
        <w:rPr>
          <w:rFonts w:ascii="Verdana" w:eastAsia="Times New Roman" w:hAnsi="Verdana" w:cs="Arial"/>
          <w:lang w:eastAsia="es-ES_tradnl"/>
        </w:rPr>
      </w:pPr>
      <w:proofErr w:type="spellStart"/>
      <w:r>
        <w:rPr>
          <w:rFonts w:ascii="Verdana" w:hAnsi="Verdana" w:cs="Arial"/>
          <w:color w:val="000000" w:themeColor="text1"/>
          <w:lang w:val="es-ES_tradnl"/>
        </w:rPr>
        <w:t>ii</w:t>
      </w:r>
      <w:proofErr w:type="spellEnd"/>
      <w:r>
        <w:rPr>
          <w:rFonts w:ascii="Verdana" w:hAnsi="Verdana" w:cs="Arial"/>
          <w:color w:val="000000" w:themeColor="text1"/>
          <w:lang w:val="es-ES_tradnl"/>
        </w:rPr>
        <w:t xml:space="preserve">. </w:t>
      </w:r>
      <w:r w:rsidR="00B44AA8" w:rsidRPr="001554EB">
        <w:rPr>
          <w:rFonts w:ascii="Verdana" w:hAnsi="Verdana" w:cs="Arial"/>
          <w:color w:val="000000" w:themeColor="text1"/>
          <w:lang w:val="es-ES_tradnl"/>
        </w:rPr>
        <w:t xml:space="preserve">Por otro lado, </w:t>
      </w:r>
      <w:r w:rsidR="00B44AA8">
        <w:rPr>
          <w:rFonts w:ascii="Verdana" w:eastAsia="Calibri" w:hAnsi="Verdana" w:cs="Arial"/>
          <w:lang w:eastAsia="es-MX"/>
        </w:rPr>
        <w:t>e</w:t>
      </w:r>
      <w:r w:rsidR="00B44AA8" w:rsidRPr="00114F25">
        <w:rPr>
          <w:rFonts w:ascii="Verdana" w:eastAsia="Times New Roman" w:hAnsi="Verdana" w:cs="Arial"/>
          <w:lang w:eastAsia="es-ES_tradnl"/>
        </w:rPr>
        <w:t xml:space="preserve">l </w:t>
      </w:r>
      <w:r w:rsidR="00B44AA8" w:rsidRPr="001B0871">
        <w:rPr>
          <w:rFonts w:ascii="Verdana" w:eastAsia="Times New Roman" w:hAnsi="Verdana" w:cs="Arial"/>
          <w:i/>
          <w:iCs/>
          <w:lang w:eastAsia="es-ES_tradnl"/>
        </w:rPr>
        <w:t>RUP</w:t>
      </w:r>
      <w:r w:rsidR="00B44AA8" w:rsidRPr="00114F25">
        <w:rPr>
          <w:rFonts w:ascii="Verdana" w:eastAsia="Times New Roman" w:hAnsi="Verdana" w:cs="Arial"/>
          <w:lang w:eastAsia="es-ES_tradnl"/>
        </w:rPr>
        <w:t xml:space="preserve"> como instrumento en el que consta la información relacionada con las personas naturales y jurídicas,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 El Consejo de Estado definió la naturaleza y finalidad del RUP de la siguiente forma:</w:t>
      </w:r>
    </w:p>
    <w:p w14:paraId="070904F4" w14:textId="77777777" w:rsidR="00B44AA8" w:rsidRPr="00114F25" w:rsidRDefault="00B44AA8" w:rsidP="00B44AA8">
      <w:pPr>
        <w:spacing w:after="0" w:line="276" w:lineRule="auto"/>
        <w:ind w:right="426"/>
        <w:rPr>
          <w:rFonts w:ascii="Verdana" w:eastAsia="Times New Roman" w:hAnsi="Verdana" w:cs="Arial"/>
          <w:lang w:eastAsia="es-ES_tradnl"/>
        </w:rPr>
      </w:pPr>
    </w:p>
    <w:p w14:paraId="000FA863" w14:textId="77777777" w:rsidR="00B44AA8" w:rsidRPr="00114F25" w:rsidRDefault="00B44AA8" w:rsidP="00B44AA8">
      <w:pPr>
        <w:tabs>
          <w:tab w:val="left" w:pos="8505"/>
        </w:tabs>
        <w:spacing w:after="0" w:line="240" w:lineRule="auto"/>
        <w:ind w:left="709" w:right="709"/>
        <w:contextualSpacing/>
        <w:jc w:val="both"/>
        <w:rPr>
          <w:rFonts w:ascii="Verdana" w:eastAsia="Times New Roman" w:hAnsi="Verdana" w:cs="Arial"/>
          <w:sz w:val="20"/>
          <w:szCs w:val="20"/>
          <w:lang w:eastAsia="es-ES_tradnl"/>
        </w:rPr>
      </w:pPr>
      <w:r w:rsidRPr="00114F25">
        <w:rPr>
          <w:rFonts w:ascii="Verdana" w:eastAsia="Times New Roman" w:hAnsi="Verdana" w:cs="Arial"/>
          <w:sz w:val="20"/>
          <w:szCs w:val="20"/>
          <w:lang w:eastAsia="es-ES_tradnl"/>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w:t>
      </w:r>
      <w:proofErr w:type="gramStart"/>
      <w:r w:rsidRPr="00114F25">
        <w:rPr>
          <w:rFonts w:ascii="Verdana" w:eastAsia="Times New Roman" w:hAnsi="Verdana" w:cs="Arial"/>
          <w:sz w:val="20"/>
          <w:szCs w:val="20"/>
          <w:lang w:eastAsia="es-ES_tradnl"/>
        </w:rPr>
        <w:t>estatales,</w:t>
      </w:r>
      <w:proofErr w:type="gramEnd"/>
      <w:r w:rsidRPr="00114F25">
        <w:rPr>
          <w:rFonts w:ascii="Verdana" w:eastAsia="Times New Roman" w:hAnsi="Verdana" w:cs="Arial"/>
          <w:sz w:val="20"/>
          <w:szCs w:val="20"/>
          <w:lang w:eastAsia="es-ES_tradnl"/>
        </w:rPr>
        <w:t xml:space="preserve"> deberán inscribirse en el Registro de Proponentes de la Cámara de Comercio de su jurisdicción y deberán estar clasificadas y calificadas según lo dispuesto en esta norma”</w:t>
      </w:r>
      <w:r w:rsidRPr="00114F25">
        <w:rPr>
          <w:rFonts w:ascii="Verdana" w:eastAsia="Times New Roman" w:hAnsi="Verdana" w:cs="Arial"/>
          <w:sz w:val="20"/>
          <w:szCs w:val="20"/>
          <w:vertAlign w:val="superscript"/>
          <w:lang w:eastAsia="es-ES_tradnl"/>
        </w:rPr>
        <w:footnoteReference w:id="2"/>
      </w:r>
      <w:r w:rsidRPr="00114F25">
        <w:rPr>
          <w:rFonts w:ascii="Verdana" w:eastAsia="Times New Roman" w:hAnsi="Verdana" w:cs="Arial"/>
          <w:sz w:val="20"/>
          <w:szCs w:val="20"/>
          <w:lang w:eastAsia="es-ES_tradnl"/>
        </w:rPr>
        <w:t>.</w:t>
      </w:r>
    </w:p>
    <w:p w14:paraId="73BB83BA" w14:textId="77777777" w:rsidR="00B44AA8" w:rsidRPr="00114F25" w:rsidRDefault="00B44AA8" w:rsidP="00B44AA8">
      <w:pPr>
        <w:spacing w:after="0" w:line="276" w:lineRule="auto"/>
        <w:contextualSpacing/>
        <w:jc w:val="both"/>
        <w:rPr>
          <w:rFonts w:ascii="Verdana" w:eastAsia="Times New Roman" w:hAnsi="Verdana" w:cs="Arial"/>
          <w:lang w:eastAsia="es-ES_tradnl"/>
        </w:rPr>
      </w:pPr>
    </w:p>
    <w:p w14:paraId="7BB96563" w14:textId="3EEDF1F7" w:rsidR="00B44AA8" w:rsidRPr="005A64A4" w:rsidRDefault="00B44AA8" w:rsidP="00B44AA8">
      <w:pPr>
        <w:spacing w:after="120" w:line="276" w:lineRule="auto"/>
        <w:ind w:firstLine="709"/>
        <w:jc w:val="both"/>
        <w:rPr>
          <w:rFonts w:ascii="Verdana" w:eastAsia="Times New Roman" w:hAnsi="Verdana" w:cs="Arial"/>
          <w:lang w:eastAsia="es-ES_tradnl"/>
        </w:rPr>
      </w:pPr>
      <w:r w:rsidRPr="005A64A4">
        <w:rPr>
          <w:rFonts w:ascii="Verdana" w:eastAsia="Times New Roman" w:hAnsi="Verdana" w:cs="Arial"/>
          <w:lang w:eastAsia="es-ES_tradnl"/>
        </w:rPr>
        <w:t>El artículo 6.1 de la Ley 1150 de 2007 dispone que el RUP es plena prueba de la información que contiene</w:t>
      </w:r>
      <w:r w:rsidRPr="005A64A4">
        <w:rPr>
          <w:rFonts w:ascii="Verdana" w:eastAsia="Times New Roman" w:hAnsi="Verdana" w:cs="Arial"/>
          <w:vertAlign w:val="superscript"/>
          <w:lang w:eastAsia="es-ES_tradnl"/>
        </w:rPr>
        <w:footnoteReference w:id="3"/>
      </w:r>
      <w:r w:rsidRPr="005A64A4">
        <w:rPr>
          <w:rFonts w:ascii="Verdana" w:eastAsia="Times New Roman" w:hAnsi="Verdana" w:cs="Arial"/>
          <w:lang w:eastAsia="es-ES_tradnl"/>
        </w:rPr>
        <w:t xml:space="preserve">. Por su parte, el artículo 5.1, al fijar los criterios </w:t>
      </w:r>
      <w:r w:rsidRPr="005A64A4">
        <w:rPr>
          <w:rFonts w:ascii="Verdana" w:eastAsia="Times New Roman" w:hAnsi="Verdana" w:cs="Arial"/>
          <w:lang w:eastAsia="es-ES_tradnl"/>
        </w:rPr>
        <w:lastRenderedPageBreak/>
        <w:t>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005A64A4" w:rsidRPr="005A64A4">
        <w:rPr>
          <w:rFonts w:ascii="Verdana" w:eastAsia="Times New Roman" w:hAnsi="Verdana" w:cs="Arial"/>
          <w:lang w:eastAsia="es-ES_tradnl"/>
        </w:rPr>
        <w:t xml:space="preserve">. </w:t>
      </w:r>
      <w:r w:rsidR="005A64A4" w:rsidRPr="001B0871">
        <w:rPr>
          <w:rFonts w:ascii="Verdana" w:hAnsi="Verdana" w:cs="Arial"/>
          <w:color w:val="000000" w:themeColor="text1"/>
        </w:rPr>
        <w:t>De esta forma,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5A64A4">
        <w:rPr>
          <w:rFonts w:ascii="Verdana" w:eastAsia="Times New Roman" w:hAnsi="Verdana" w:cs="Arial"/>
          <w:vertAlign w:val="superscript"/>
          <w:lang w:eastAsia="es-ES_tradnl"/>
        </w:rPr>
        <w:footnoteReference w:id="4"/>
      </w:r>
      <w:r w:rsidRPr="005A64A4">
        <w:rPr>
          <w:rFonts w:ascii="Verdana" w:eastAsia="Times New Roman" w:hAnsi="Verdana" w:cs="Arial"/>
          <w:lang w:eastAsia="es-ES_tradnl"/>
        </w:rPr>
        <w:t xml:space="preserve">. </w:t>
      </w:r>
    </w:p>
    <w:p w14:paraId="12738752" w14:textId="6BA2F016" w:rsidR="00B44AA8" w:rsidRDefault="00B44AA8" w:rsidP="00B44AA8">
      <w:pPr>
        <w:spacing w:after="120" w:line="276" w:lineRule="auto"/>
        <w:ind w:firstLine="709"/>
        <w:jc w:val="both"/>
        <w:rPr>
          <w:rFonts w:ascii="Verdana" w:eastAsia="Times New Roman" w:hAnsi="Verdana" w:cs="Arial"/>
          <w:lang w:eastAsia="es-ES_tradnl"/>
        </w:rPr>
      </w:pPr>
      <w:r w:rsidRPr="00114F25">
        <w:rPr>
          <w:rFonts w:ascii="Verdana" w:eastAsia="Times New Roman" w:hAnsi="Verdana" w:cs="Arial"/>
          <w:lang w:eastAsia="es-ES_tradnl"/>
        </w:rPr>
        <w:t>No obstante, el RUP no es exigible en algunos Procedimientos de Contratación</w:t>
      </w:r>
      <w:r w:rsidR="00876CB5">
        <w:rPr>
          <w:rFonts w:ascii="Verdana" w:eastAsia="Times New Roman" w:hAnsi="Verdana" w:cs="Arial"/>
          <w:lang w:eastAsia="es-ES_tradnl"/>
        </w:rPr>
        <w:t>. De acuerdo</w:t>
      </w:r>
      <w:r w:rsidR="00A16CDD">
        <w:rPr>
          <w:rFonts w:ascii="Verdana" w:eastAsia="Times New Roman" w:hAnsi="Verdana" w:cs="Arial"/>
          <w:lang w:eastAsia="es-ES_tradnl"/>
        </w:rPr>
        <w:t xml:space="preserve"> con el inciso segundo del artículo 6 de la Ley 1150 de 2007 no se requerirá RUP</w:t>
      </w:r>
      <w:r w:rsidR="00AF1EFA">
        <w:rPr>
          <w:rFonts w:ascii="Verdana" w:eastAsia="Times New Roman" w:hAnsi="Verdana" w:cs="Arial"/>
          <w:lang w:eastAsia="es-ES_tradnl"/>
        </w:rPr>
        <w:t xml:space="preserve"> en casos</w:t>
      </w:r>
      <w:r w:rsidR="00876CB5">
        <w:rPr>
          <w:rFonts w:ascii="Verdana" w:eastAsia="Times New Roman" w:hAnsi="Verdana" w:cs="Arial"/>
          <w:lang w:eastAsia="es-ES_tradnl"/>
        </w:rPr>
        <w:t xml:space="preserve"> </w:t>
      </w:r>
      <w:r w:rsidRPr="00114F25">
        <w:rPr>
          <w:rFonts w:ascii="Verdana" w:eastAsia="Times New Roman" w:hAnsi="Verdana" w:cs="Arial"/>
          <w:lang w:eastAsia="es-ES_tradnl"/>
        </w:rPr>
        <w:t xml:space="preserve">como la contratación directa, </w:t>
      </w:r>
      <w:r w:rsidRPr="001B0871">
        <w:rPr>
          <w:rFonts w:ascii="Verdana" w:eastAsia="Times New Roman" w:hAnsi="Verdana" w:cs="Arial"/>
          <w:i/>
          <w:iCs/>
          <w:lang w:eastAsia="es-ES_tradnl"/>
        </w:rPr>
        <w:t>la mínima cuantía</w:t>
      </w:r>
      <w:r w:rsidRPr="00114F25">
        <w:rPr>
          <w:rFonts w:ascii="Verdana" w:eastAsia="Times New Roman" w:hAnsi="Verdana" w:cs="Arial"/>
          <w:lang w:eastAsia="es-ES_tradnl"/>
        </w:rPr>
        <w:t>,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r w:rsidR="003930BF">
        <w:rPr>
          <w:rFonts w:ascii="Verdana" w:eastAsia="Times New Roman" w:hAnsi="Verdana" w:cs="Arial"/>
          <w:lang w:eastAsia="es-ES_tradnl"/>
        </w:rPr>
        <w:t>. La norma señala que</w:t>
      </w:r>
      <w:r w:rsidR="006C5723">
        <w:rPr>
          <w:rFonts w:ascii="Verdana" w:eastAsia="Times New Roman" w:hAnsi="Verdana" w:cs="Arial"/>
          <w:lang w:eastAsia="es-ES_tradnl"/>
        </w:rPr>
        <w:t>,</w:t>
      </w:r>
      <w:r w:rsidR="003930BF">
        <w:rPr>
          <w:rFonts w:ascii="Verdana" w:eastAsia="Times New Roman" w:hAnsi="Verdana" w:cs="Arial"/>
          <w:lang w:eastAsia="es-ES_tradnl"/>
        </w:rPr>
        <w:t xml:space="preserve"> en estos casos</w:t>
      </w:r>
      <w:r w:rsidR="006C5723">
        <w:rPr>
          <w:rFonts w:ascii="Verdana" w:eastAsia="Times New Roman" w:hAnsi="Verdana" w:cs="Arial"/>
          <w:lang w:eastAsia="es-ES_tradnl"/>
        </w:rPr>
        <w:t>,</w:t>
      </w:r>
      <w:r w:rsidRPr="005F102A">
        <w:rPr>
          <w:rFonts w:ascii="Verdana" w:eastAsia="Times New Roman" w:hAnsi="Verdana" w:cs="Arial"/>
          <w:lang w:eastAsia="es-ES_tradnl"/>
        </w:rPr>
        <w:t xml:space="preserve"> las Entidades Estatales deben verificar directamente el cumplimiento de los requisitos habilitantes</w:t>
      </w:r>
      <w:r w:rsidRPr="005F102A">
        <w:rPr>
          <w:rFonts w:ascii="Verdana" w:eastAsia="Times New Roman" w:hAnsi="Verdana" w:cs="Arial"/>
          <w:vertAlign w:val="superscript"/>
          <w:lang w:eastAsia="es-ES_tradnl"/>
        </w:rPr>
        <w:footnoteReference w:id="5"/>
      </w:r>
      <w:r w:rsidRPr="00114F25">
        <w:rPr>
          <w:rFonts w:ascii="Verdana" w:eastAsia="Times New Roman" w:hAnsi="Verdana" w:cs="Arial"/>
          <w:lang w:eastAsia="es-ES_tradnl"/>
        </w:rPr>
        <w:t xml:space="preserve">. </w:t>
      </w:r>
    </w:p>
    <w:p w14:paraId="38B336FE" w14:textId="51BB043C" w:rsidR="004E583D" w:rsidRPr="003B1971" w:rsidRDefault="004E583D" w:rsidP="004E583D">
      <w:pPr>
        <w:spacing w:before="120" w:after="120" w:line="276" w:lineRule="auto"/>
        <w:ind w:firstLine="708"/>
        <w:jc w:val="both"/>
        <w:rPr>
          <w:rFonts w:ascii="Arial" w:hAnsi="Arial" w:cs="Arial"/>
          <w:color w:val="000000" w:themeColor="text1"/>
        </w:rPr>
      </w:pPr>
      <w:r w:rsidRPr="003B1971">
        <w:rPr>
          <w:rFonts w:ascii="Arial" w:hAnsi="Arial" w:cs="Arial"/>
          <w:color w:val="000000" w:themeColor="text1"/>
        </w:rPr>
        <w:lastRenderedPageBreak/>
        <w:t xml:space="preserve">Así las cosas, cuando se trata de los procesos exceptuados de la obligación de inscripción en el RUP, para verificar las condiciones de experiencia, capacidad financiera y de organización de los proponentes, </w:t>
      </w:r>
      <w:r>
        <w:rPr>
          <w:rFonts w:ascii="Arial" w:hAnsi="Arial" w:cs="Arial"/>
          <w:color w:val="000000" w:themeColor="text1"/>
        </w:rPr>
        <w:t xml:space="preserve">las Entidades </w:t>
      </w:r>
      <w:r w:rsidRPr="003B1971">
        <w:rPr>
          <w:rFonts w:ascii="Arial" w:hAnsi="Arial" w:cs="Arial"/>
          <w:color w:val="000000" w:themeColor="text1"/>
        </w:rPr>
        <w:t>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Pr="003B1971">
        <w:rPr>
          <w:rStyle w:val="Refdenotaalpie"/>
          <w:rFonts w:ascii="Arial" w:hAnsi="Arial" w:cs="Arial"/>
          <w:color w:val="000000" w:themeColor="text1"/>
        </w:rPr>
        <w:footnoteReference w:id="6"/>
      </w:r>
      <w:r w:rsidRPr="003B1971">
        <w:rPr>
          <w:rFonts w:ascii="Arial" w:hAnsi="Arial" w:cs="Arial"/>
          <w:color w:val="000000" w:themeColor="text1"/>
        </w:rPr>
        <w:t xml:space="preserve">.  </w:t>
      </w:r>
    </w:p>
    <w:p w14:paraId="751B0E1B" w14:textId="77777777" w:rsidR="00B44AA8" w:rsidRDefault="00B44AA8" w:rsidP="00B44AA8">
      <w:pPr>
        <w:spacing w:after="120" w:line="276" w:lineRule="auto"/>
        <w:ind w:firstLine="709"/>
        <w:jc w:val="both"/>
        <w:rPr>
          <w:rFonts w:ascii="Verdana" w:eastAsia="Times New Roman" w:hAnsi="Verdana" w:cs="Arial"/>
          <w:lang w:eastAsia="es-ES_tradnl"/>
        </w:rPr>
      </w:pPr>
      <w:r w:rsidRPr="00114F25">
        <w:rPr>
          <w:rFonts w:ascii="Verdana" w:eastAsia="Times New Roman" w:hAnsi="Verdana" w:cs="Arial"/>
          <w:lang w:val="es-ES_tradnl" w:eastAsia="es-ES_tradnl"/>
        </w:rPr>
        <w:t xml:space="preserve">Las anteriores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114F25">
        <w:rPr>
          <w:rFonts w:ascii="Verdana" w:eastAsia="Times New Roman" w:hAnsi="Verdana" w:cs="Arial"/>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114F25">
        <w:rPr>
          <w:rFonts w:ascii="Verdana" w:eastAsia="Times New Roman" w:hAnsi="Verdana" w:cs="Arial"/>
          <w:vertAlign w:val="superscript"/>
          <w:lang w:eastAsia="es-ES_tradnl"/>
        </w:rPr>
        <w:footnoteReference w:id="7"/>
      </w:r>
      <w:r w:rsidRPr="00114F25">
        <w:rPr>
          <w:rFonts w:ascii="Verdana" w:eastAsia="Times New Roman" w:hAnsi="Verdana" w:cs="Arial"/>
          <w:lang w:eastAsia="es-ES_tradnl"/>
        </w:rPr>
        <w:t>.</w:t>
      </w:r>
    </w:p>
    <w:p w14:paraId="56667776" w14:textId="1CC794F3" w:rsidR="003C740B" w:rsidRDefault="00B44AA8" w:rsidP="009202FE">
      <w:pPr>
        <w:spacing w:after="120" w:line="276" w:lineRule="auto"/>
        <w:ind w:firstLine="709"/>
        <w:jc w:val="both"/>
        <w:rPr>
          <w:rFonts w:ascii="Verdana" w:eastAsia="Times New Roman" w:hAnsi="Verdana" w:cs="Arial"/>
          <w:lang w:eastAsia="es-ES_tradnl"/>
        </w:rPr>
      </w:pPr>
      <w:r w:rsidRPr="00114F25">
        <w:rPr>
          <w:rFonts w:ascii="Verdana" w:eastAsia="Times New Roman" w:hAnsi="Verdana" w:cs="Arial"/>
          <w:lang w:eastAsia="es-ES_tradnl"/>
        </w:rPr>
        <w:t>En síntesis</w:t>
      </w:r>
      <w:r w:rsidR="009202FE">
        <w:rPr>
          <w:rFonts w:ascii="Verdana" w:eastAsia="Times New Roman" w:hAnsi="Verdana" w:cs="Arial"/>
          <w:lang w:eastAsia="es-ES_tradnl"/>
        </w:rPr>
        <w:t>,</w:t>
      </w:r>
      <w:r w:rsidRPr="000B7F95">
        <w:rPr>
          <w:rFonts w:ascii="Verdana" w:eastAsia="Times New Roman" w:hAnsi="Verdana" w:cs="Arial"/>
          <w:lang w:eastAsia="es-ES_tradnl"/>
        </w:rPr>
        <w:t xml:space="preserve"> en el marco del Sistema de Compra Pública colombiano, los requisitos habilitantes constituyen las condiciones mínimas que deben cumplir los proponentes para participar en un proceso de contratación, demostrando su idoneidad para ejecutar el objeto contractual. Estos requisitos comprenden la capacidad jurídica, financiera, organizacional y la experiencia del oferente,</w:t>
      </w:r>
      <w:r w:rsidR="00EB66EC">
        <w:rPr>
          <w:rFonts w:ascii="Verdana" w:eastAsia="Times New Roman" w:hAnsi="Verdana" w:cs="Arial"/>
          <w:lang w:eastAsia="es-ES_tradnl"/>
        </w:rPr>
        <w:t xml:space="preserve"> entre otros,</w:t>
      </w:r>
      <w:r w:rsidRPr="000B7F95">
        <w:rPr>
          <w:rFonts w:ascii="Verdana" w:eastAsia="Times New Roman" w:hAnsi="Verdana" w:cs="Arial"/>
          <w:lang w:eastAsia="es-ES_tradnl"/>
        </w:rPr>
        <w:t xml:space="preserve"> y su verificación se realiza, por regla general, a través del RUP, el cual, según el artículo 6 de la Ley 1150 de 2007, constituye plena prueba de la información que contiene. En particular, la experiencia se acredita mediante la inscripción en el RUP de los contratos ejecutados, utilizando los códigos del Clasificador de Bienes y Servicios, conforme a las directrices establecidas por Colombia Compra Eficiente. </w:t>
      </w:r>
    </w:p>
    <w:p w14:paraId="2B3B08FF" w14:textId="53790800" w:rsidR="00B44AA8" w:rsidRDefault="00B44AA8" w:rsidP="009202FE">
      <w:pPr>
        <w:spacing w:after="120" w:line="276" w:lineRule="auto"/>
        <w:ind w:firstLine="709"/>
        <w:jc w:val="both"/>
        <w:rPr>
          <w:rFonts w:ascii="Verdana" w:eastAsia="Times New Roman" w:hAnsi="Verdana" w:cs="Arial"/>
          <w:lang w:eastAsia="es-ES_tradnl"/>
        </w:rPr>
      </w:pPr>
      <w:r w:rsidRPr="000B7F95">
        <w:rPr>
          <w:rFonts w:ascii="Verdana" w:eastAsia="Times New Roman" w:hAnsi="Verdana" w:cs="Arial"/>
          <w:lang w:eastAsia="es-ES_tradnl"/>
        </w:rPr>
        <w:t>No obstante, cuando se trata de procesos de selección de mínima cuantía</w:t>
      </w:r>
      <w:r w:rsidR="003C740B">
        <w:rPr>
          <w:rFonts w:ascii="Verdana" w:eastAsia="Times New Roman" w:hAnsi="Verdana" w:cs="Arial"/>
          <w:lang w:eastAsia="es-ES_tradnl"/>
        </w:rPr>
        <w:t xml:space="preserve"> no es exigible el RUP, por lo cual</w:t>
      </w:r>
      <w:r w:rsidRPr="000B7F95">
        <w:rPr>
          <w:rFonts w:ascii="Verdana" w:eastAsia="Times New Roman" w:hAnsi="Verdana" w:cs="Arial"/>
          <w:lang w:eastAsia="es-ES_tradnl"/>
        </w:rPr>
        <w:t xml:space="preserve"> la acreditación de la experiencia </w:t>
      </w:r>
      <w:r w:rsidR="003C740B">
        <w:rPr>
          <w:rFonts w:ascii="Verdana" w:eastAsia="Times New Roman" w:hAnsi="Verdana" w:cs="Arial"/>
          <w:lang w:eastAsia="es-ES_tradnl"/>
        </w:rPr>
        <w:t xml:space="preserve">no se realiza </w:t>
      </w:r>
      <w:r w:rsidRPr="000B7F95">
        <w:rPr>
          <w:rFonts w:ascii="Verdana" w:eastAsia="Times New Roman" w:hAnsi="Verdana" w:cs="Arial"/>
          <w:lang w:eastAsia="es-ES_tradnl"/>
        </w:rPr>
        <w:t>a través de</w:t>
      </w:r>
      <w:r w:rsidR="003C740B">
        <w:rPr>
          <w:rFonts w:ascii="Verdana" w:eastAsia="Times New Roman" w:hAnsi="Verdana" w:cs="Arial"/>
          <w:lang w:eastAsia="es-ES_tradnl"/>
        </w:rPr>
        <w:t xml:space="preserve"> este documento</w:t>
      </w:r>
      <w:r w:rsidRPr="000B7F95">
        <w:rPr>
          <w:rFonts w:ascii="Verdana" w:eastAsia="Times New Roman" w:hAnsi="Verdana" w:cs="Arial"/>
          <w:lang w:eastAsia="es-ES_tradnl"/>
        </w:rPr>
        <w:t xml:space="preserve">. En estos casos, las </w:t>
      </w:r>
      <w:r w:rsidR="00D26FB3" w:rsidRPr="000B7F95">
        <w:rPr>
          <w:rFonts w:ascii="Verdana" w:eastAsia="Times New Roman" w:hAnsi="Verdana" w:cs="Arial"/>
          <w:lang w:eastAsia="es-ES_tradnl"/>
        </w:rPr>
        <w:t xml:space="preserve">Entidades </w:t>
      </w:r>
      <w:r w:rsidRPr="000B7F95">
        <w:rPr>
          <w:rFonts w:ascii="Verdana" w:eastAsia="Times New Roman" w:hAnsi="Verdana" w:cs="Arial"/>
          <w:lang w:eastAsia="es-ES_tradnl"/>
        </w:rPr>
        <w:t xml:space="preserve">tienen autonomía </w:t>
      </w:r>
      <w:r w:rsidRPr="000B7F95">
        <w:rPr>
          <w:rFonts w:ascii="Verdana" w:eastAsia="Times New Roman" w:hAnsi="Verdana" w:cs="Arial"/>
          <w:lang w:eastAsia="es-ES_tradnl"/>
        </w:rPr>
        <w:lastRenderedPageBreak/>
        <w:t xml:space="preserve">para determinar </w:t>
      </w:r>
      <w:r w:rsidR="00D26FB3">
        <w:rPr>
          <w:rFonts w:ascii="Verdana" w:eastAsia="Times New Roman" w:hAnsi="Verdana" w:cs="Arial"/>
          <w:lang w:eastAsia="es-ES_tradnl"/>
        </w:rPr>
        <w:t xml:space="preserve">en los Documentos del Proceso </w:t>
      </w:r>
      <w:r w:rsidRPr="000B7F95">
        <w:rPr>
          <w:rFonts w:ascii="Verdana" w:eastAsia="Times New Roman" w:hAnsi="Verdana" w:cs="Arial"/>
          <w:lang w:eastAsia="es-ES_tradnl"/>
        </w:rPr>
        <w:t>los medios a través de los cuales el proponente puede demostrar su experiencia, siempre que dichos requisitos sean proporcionales al objeto y valor del contrato y no restrinjan injustificadamente la participación.</w:t>
      </w:r>
      <w:r w:rsidR="00DB1FAC">
        <w:rPr>
          <w:rFonts w:ascii="Verdana" w:eastAsia="Times New Roman" w:hAnsi="Verdana" w:cs="Arial"/>
          <w:lang w:eastAsia="es-ES_tradnl"/>
        </w:rPr>
        <w:t xml:space="preserve"> A modo de ejemplo,</w:t>
      </w:r>
      <w:r w:rsidRPr="000B7F95">
        <w:rPr>
          <w:rFonts w:ascii="Verdana" w:eastAsia="Times New Roman" w:hAnsi="Verdana" w:cs="Arial"/>
          <w:lang w:eastAsia="es-ES_tradnl"/>
        </w:rPr>
        <w:t xml:space="preserve"> </w:t>
      </w:r>
      <w:r w:rsidR="00DB1FAC" w:rsidRPr="000B7F95">
        <w:rPr>
          <w:rFonts w:ascii="Verdana" w:eastAsia="Times New Roman" w:hAnsi="Verdana" w:cs="Arial"/>
          <w:lang w:eastAsia="es-ES_tradnl"/>
        </w:rPr>
        <w:t>la experiencia se puede acreditar mediante documentos como el acta de liquidación, el acta de entrega o recibo definitivo, la certificación de cumplimiento, el acta de inicio (para efectos de determinar la fecha de inicio), o cualquier otro documento que permita verificar adecuadamente la ejecución del contrato.</w:t>
      </w:r>
    </w:p>
    <w:p w14:paraId="12D4EEAA" w14:textId="0A19D788" w:rsidR="00B44AA8" w:rsidRDefault="00B44AA8" w:rsidP="001B0871">
      <w:pPr>
        <w:spacing w:after="120" w:line="276" w:lineRule="auto"/>
        <w:ind w:firstLine="709"/>
        <w:jc w:val="both"/>
        <w:rPr>
          <w:rFonts w:ascii="Verdana" w:eastAsia="Times New Roman" w:hAnsi="Verdana" w:cs="Arial"/>
          <w:lang w:eastAsia="es-ES_tradnl"/>
        </w:rPr>
      </w:pPr>
      <w:r w:rsidRPr="000B7F95">
        <w:rPr>
          <w:rFonts w:ascii="Verdana" w:eastAsia="Times New Roman" w:hAnsi="Verdana" w:cs="Arial"/>
          <w:lang w:eastAsia="es-ES_tradnl"/>
        </w:rPr>
        <w:t>En con</w:t>
      </w:r>
      <w:r>
        <w:rPr>
          <w:rFonts w:ascii="Verdana" w:eastAsia="Times New Roman" w:hAnsi="Verdana" w:cs="Arial"/>
          <w:lang w:eastAsia="es-ES_tradnl"/>
        </w:rPr>
        <w:t>clusión</w:t>
      </w:r>
      <w:r w:rsidRPr="000B7F95">
        <w:rPr>
          <w:rFonts w:ascii="Verdana" w:eastAsia="Times New Roman" w:hAnsi="Verdana" w:cs="Arial"/>
          <w:lang w:eastAsia="es-ES_tradnl"/>
        </w:rPr>
        <w:t xml:space="preserve">, de acuerdo con su consulta, es fundamental tener presente que en los procesos de mínima cuantía la acreditación de la experiencia no está sujeta al RUP, sino que puede probarse mediante documentos </w:t>
      </w:r>
      <w:r w:rsidR="00064415">
        <w:rPr>
          <w:rFonts w:ascii="Verdana" w:eastAsia="Times New Roman" w:hAnsi="Verdana" w:cs="Arial"/>
          <w:lang w:eastAsia="es-ES_tradnl"/>
        </w:rPr>
        <w:t>o instrumentos</w:t>
      </w:r>
      <w:r w:rsidR="004D78EE">
        <w:rPr>
          <w:rFonts w:ascii="Verdana" w:eastAsia="Times New Roman" w:hAnsi="Verdana" w:cs="Arial"/>
          <w:lang w:eastAsia="es-ES_tradnl"/>
        </w:rPr>
        <w:t xml:space="preserve"> exigidos por </w:t>
      </w:r>
      <w:r w:rsidR="00064415">
        <w:rPr>
          <w:rFonts w:ascii="Verdana" w:eastAsia="Times New Roman" w:hAnsi="Verdana" w:cs="Arial"/>
          <w:lang w:eastAsia="es-ES_tradnl"/>
        </w:rPr>
        <w:t>las Entidades Estatales</w:t>
      </w:r>
      <w:r w:rsidR="0059335D">
        <w:rPr>
          <w:rFonts w:ascii="Verdana" w:eastAsia="Times New Roman" w:hAnsi="Verdana" w:cs="Arial"/>
          <w:lang w:eastAsia="es-ES_tradnl"/>
        </w:rPr>
        <w:t>,</w:t>
      </w:r>
      <w:r w:rsidR="004D78EE">
        <w:rPr>
          <w:rFonts w:ascii="Verdana" w:eastAsia="Times New Roman" w:hAnsi="Verdana" w:cs="Arial"/>
          <w:lang w:eastAsia="es-ES_tradnl"/>
        </w:rPr>
        <w:t xml:space="preserve"> </w:t>
      </w:r>
      <w:r w:rsidRPr="000B7F95">
        <w:rPr>
          <w:rFonts w:ascii="Verdana" w:eastAsia="Times New Roman" w:hAnsi="Verdana" w:cs="Arial"/>
          <w:lang w:eastAsia="es-ES_tradnl"/>
        </w:rPr>
        <w:t>que respalden de forma clara y verificable la ejecución de contratos similares, garantizando así la idoneidad del oferente y la transparencia del proceso de selección.</w:t>
      </w:r>
    </w:p>
    <w:p w14:paraId="03989FC8" w14:textId="77777777" w:rsidR="00B168FD" w:rsidRPr="00817568" w:rsidRDefault="00B168FD" w:rsidP="00B168FD">
      <w:pPr>
        <w:spacing w:after="120" w:line="276" w:lineRule="auto"/>
        <w:ind w:firstLine="709"/>
        <w:jc w:val="both"/>
        <w:rPr>
          <w:rFonts w:ascii="Verdana" w:eastAsia="Calibri" w:hAnsi="Verdana" w:cs="Arial"/>
          <w:color w:val="000000" w:themeColor="text1"/>
        </w:rPr>
      </w:pPr>
      <w:r w:rsidRPr="00817568">
        <w:rPr>
          <w:rFonts w:ascii="Verdana" w:eastAsia="Calibri" w:hAnsi="Verdana" w:cs="Arial"/>
          <w:color w:val="000000" w:themeColor="text1"/>
        </w:rPr>
        <w:t>Finalmente debe advertirse, que el análisis para resolver problemas específicos en a un proceso de contratación determinado,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11367DBF" w14:textId="77777777" w:rsidR="00B168FD" w:rsidRDefault="00B168FD" w:rsidP="001B0871">
      <w:pPr>
        <w:spacing w:after="0" w:line="276" w:lineRule="auto"/>
        <w:ind w:firstLine="709"/>
        <w:jc w:val="both"/>
        <w:rPr>
          <w:rFonts w:ascii="Verdana" w:eastAsia="Calibri" w:hAnsi="Verdana" w:cs="Arial"/>
          <w:color w:val="000000" w:themeColor="text1"/>
        </w:rPr>
      </w:pPr>
      <w:r w:rsidRPr="00846036">
        <w:rPr>
          <w:rFonts w:ascii="Verdana" w:eastAsia="Calibri" w:hAnsi="Verdana" w:cs="Arial"/>
          <w:color w:val="000000" w:themeColor="text1"/>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0DD4A2F0" w14:textId="77777777" w:rsidR="00B44AA8" w:rsidRPr="00C4346A" w:rsidRDefault="00B44AA8" w:rsidP="00C4346A">
      <w:pPr>
        <w:widowControl w:val="0"/>
        <w:autoSpaceDE w:val="0"/>
        <w:autoSpaceDN w:val="0"/>
        <w:spacing w:after="0" w:line="276" w:lineRule="auto"/>
        <w:jc w:val="both"/>
        <w:rPr>
          <w:rFonts w:ascii="Verdana" w:hAnsi="Verdana" w:cs="Arial"/>
          <w:color w:val="000000" w:themeColor="text1"/>
          <w:lang w:val="es-MX"/>
        </w:rPr>
      </w:pPr>
    </w:p>
    <w:p w14:paraId="317B86FD" w14:textId="77777777" w:rsidR="00B44AA8" w:rsidRPr="00C4346A" w:rsidRDefault="00B44AA8" w:rsidP="00C434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4346A">
        <w:rPr>
          <w:rFonts w:ascii="Verdana" w:eastAsia="Century Gothic" w:hAnsi="Verdana" w:cs="Century Gothic"/>
          <w:b/>
          <w:bCs/>
          <w:color w:val="000000" w:themeColor="text1"/>
        </w:rPr>
        <w:t>Referencias normativas, jurisprudenciales y otras fuentes:</w:t>
      </w:r>
    </w:p>
    <w:p w14:paraId="6AF65B6B" w14:textId="77777777" w:rsidR="00B44AA8" w:rsidRPr="00C4346A" w:rsidRDefault="00B44AA8" w:rsidP="00C4346A">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44AA8" w:rsidRPr="00C4346A" w14:paraId="24D3B64B" w14:textId="77777777" w:rsidTr="00303721">
        <w:trPr>
          <w:trHeight w:val="870"/>
        </w:trPr>
        <w:tc>
          <w:tcPr>
            <w:tcW w:w="8647" w:type="dxa"/>
          </w:tcPr>
          <w:p w14:paraId="081E0AF7"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 xml:space="preserve"> Constitución Política de 1991, artículo 14.</w:t>
            </w:r>
          </w:p>
          <w:p w14:paraId="03975936"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Ley 80 de 1993, artículo 6.</w:t>
            </w:r>
          </w:p>
          <w:p w14:paraId="604617ED"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Ley 590 de 2000, artículo 11.</w:t>
            </w:r>
          </w:p>
          <w:p w14:paraId="7C10B87C"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Ley 1150 de 2007, artículos 5 y 6.</w:t>
            </w:r>
          </w:p>
          <w:p w14:paraId="288261A3"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lastRenderedPageBreak/>
              <w:t>Ley 1258 de 2008, artículo 5.</w:t>
            </w:r>
          </w:p>
          <w:p w14:paraId="2CE875F8"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Decreto Ley 019 de 2012, artículo 166.</w:t>
            </w:r>
          </w:p>
          <w:p w14:paraId="6D027712"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Código Civil, artículos 34, 74, 633, 1502 y 1503.</w:t>
            </w:r>
          </w:p>
          <w:p w14:paraId="129ECE6D"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 xml:space="preserve">Código de Comercio, artículos 25, 98, 99 y 110. </w:t>
            </w:r>
          </w:p>
          <w:p w14:paraId="7161D9D3"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Decreto 2474 de 2008, artículo 10.</w:t>
            </w:r>
          </w:p>
          <w:p w14:paraId="51EE76A0"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 xml:space="preserve">Consejo de Estado. Sección Tercera. Subsección A. Sentencia del 19 de septiembre de 2019. </w:t>
            </w:r>
            <w:proofErr w:type="spellStart"/>
            <w:r w:rsidRPr="00C4346A">
              <w:rPr>
                <w:rFonts w:ascii="Verdana" w:hAnsi="Verdana" w:cs="Arial"/>
              </w:rPr>
              <w:t>Exp</w:t>
            </w:r>
            <w:proofErr w:type="spellEnd"/>
            <w:r w:rsidRPr="00C4346A">
              <w:rPr>
                <w:rFonts w:ascii="Verdana" w:hAnsi="Verdana" w:cs="Arial"/>
              </w:rPr>
              <w:t>. 59.432. C.P. Marta Nubia Velásquez Rico.</w:t>
            </w:r>
          </w:p>
          <w:p w14:paraId="4449C572"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 xml:space="preserve">Consejo de Estado. Sección Cuarta. Sentencia del 19 de noviembre de 1999. </w:t>
            </w:r>
            <w:proofErr w:type="spellStart"/>
            <w:r w:rsidRPr="00C4346A">
              <w:rPr>
                <w:rFonts w:ascii="Verdana" w:hAnsi="Verdana" w:cs="Arial"/>
              </w:rPr>
              <w:t>Exp</w:t>
            </w:r>
            <w:proofErr w:type="spellEnd"/>
            <w:r w:rsidRPr="00C4346A">
              <w:rPr>
                <w:rFonts w:ascii="Verdana" w:hAnsi="Verdana" w:cs="Arial"/>
              </w:rPr>
              <w:t>. 9.453. CP. Daniel Manrique Guzmán.</w:t>
            </w:r>
          </w:p>
          <w:p w14:paraId="5D2880C7"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 xml:space="preserve">Consejo de Estado. Sala de Consulta y Servicio Civil. Concepto del 6 de noviembre de 2008. </w:t>
            </w:r>
            <w:proofErr w:type="spellStart"/>
            <w:r w:rsidRPr="00C4346A">
              <w:rPr>
                <w:rFonts w:ascii="Verdana" w:hAnsi="Verdana" w:cs="Arial"/>
              </w:rPr>
              <w:t>Exp</w:t>
            </w:r>
            <w:proofErr w:type="spellEnd"/>
            <w:r w:rsidRPr="00C4346A">
              <w:rPr>
                <w:rFonts w:ascii="Verdana" w:hAnsi="Verdana" w:cs="Arial"/>
              </w:rPr>
              <w:t>. 1.927. C.P. William Zambrano Cetina.</w:t>
            </w:r>
          </w:p>
          <w:p w14:paraId="75E12E60" w14:textId="77777777" w:rsidR="00B44AA8" w:rsidRPr="00C4346A" w:rsidRDefault="00B44AA8" w:rsidP="001B0871">
            <w:pPr>
              <w:pStyle w:val="Prrafodelista"/>
              <w:widowControl w:val="0"/>
              <w:numPr>
                <w:ilvl w:val="0"/>
                <w:numId w:val="17"/>
              </w:numPr>
              <w:autoSpaceDE w:val="0"/>
              <w:autoSpaceDN w:val="0"/>
              <w:spacing w:line="276" w:lineRule="auto"/>
              <w:contextualSpacing w:val="0"/>
              <w:jc w:val="both"/>
              <w:rPr>
                <w:rFonts w:ascii="Verdana" w:hAnsi="Verdana" w:cs="Arial"/>
              </w:rPr>
            </w:pPr>
            <w:r w:rsidRPr="00C4346A">
              <w:rPr>
                <w:rFonts w:ascii="Verdana" w:hAnsi="Verdana" w:cs="Arial"/>
              </w:rPr>
              <w:t xml:space="preserve">Consejo de Estado. Sección Tercera. Sentencia del 17 de junio del 2024. </w:t>
            </w:r>
            <w:proofErr w:type="spellStart"/>
            <w:r w:rsidRPr="00C4346A">
              <w:rPr>
                <w:rFonts w:ascii="Verdana" w:hAnsi="Verdana" w:cs="Arial"/>
              </w:rPr>
              <w:t>Exp</w:t>
            </w:r>
            <w:proofErr w:type="spellEnd"/>
            <w:r w:rsidRPr="00C4346A">
              <w:rPr>
                <w:rFonts w:ascii="Verdana" w:hAnsi="Verdana" w:cs="Arial"/>
              </w:rPr>
              <w:t>. 70.326. C.P.</w:t>
            </w:r>
            <w:r w:rsidRPr="00C4346A">
              <w:rPr>
                <w:rFonts w:ascii="Verdana" w:hAnsi="Verdana"/>
                <w:lang w:val="es-CO"/>
              </w:rPr>
              <w:t xml:space="preserve"> </w:t>
            </w:r>
            <w:r w:rsidRPr="00C4346A">
              <w:rPr>
                <w:rFonts w:ascii="Verdana" w:hAnsi="Verdana" w:cs="Arial"/>
                <w:lang w:val="es-CO"/>
              </w:rPr>
              <w:t>Fredy Ibarra Martínez.</w:t>
            </w:r>
          </w:p>
          <w:p w14:paraId="5ABD2224" w14:textId="77777777" w:rsidR="00B44AA8" w:rsidRPr="00C4346A" w:rsidRDefault="00B44AA8" w:rsidP="001B0871">
            <w:pPr>
              <w:pStyle w:val="Prrafodelista"/>
              <w:numPr>
                <w:ilvl w:val="0"/>
                <w:numId w:val="17"/>
              </w:numPr>
              <w:spacing w:line="276" w:lineRule="auto"/>
              <w:contextualSpacing w:val="0"/>
              <w:rPr>
                <w:rFonts w:ascii="Verdana" w:hAnsi="Verdana" w:cs="Arial"/>
              </w:rPr>
            </w:pPr>
            <w:r w:rsidRPr="00C4346A">
              <w:rPr>
                <w:rFonts w:ascii="Verdana" w:hAnsi="Verdana" w:cs="Arial"/>
              </w:rPr>
              <w:t xml:space="preserve">Colombia Compra Eficiente, Circular Externa Única. Disponible en: </w:t>
            </w:r>
            <w:hyperlink r:id="rId12" w:history="1">
              <w:r w:rsidRPr="00C4346A">
                <w:rPr>
                  <w:rStyle w:val="Hipervnculo"/>
                  <w:rFonts w:ascii="Verdana" w:hAnsi="Verdana" w:cs="Arial"/>
                </w:rPr>
                <w:t>https://colombiacompra.gov.co/sites/cce_public/files/cce_circulares/cce-eicp-ma-06_circular_externa_con_comentarios_de_ciudadanos-_v2f_002.pdf</w:t>
              </w:r>
            </w:hyperlink>
            <w:r w:rsidRPr="001B0871">
              <w:rPr>
                <w:rFonts w:ascii="Verdana" w:hAnsi="Verdana"/>
              </w:rPr>
              <w:t xml:space="preserve"> </w:t>
            </w:r>
          </w:p>
        </w:tc>
      </w:tr>
    </w:tbl>
    <w:p w14:paraId="69050E58" w14:textId="77777777" w:rsidR="00B44AA8" w:rsidRPr="00C4346A" w:rsidRDefault="00B44AA8" w:rsidP="00C4346A">
      <w:pPr>
        <w:widowControl w:val="0"/>
        <w:autoSpaceDE w:val="0"/>
        <w:autoSpaceDN w:val="0"/>
        <w:spacing w:after="0" w:line="276" w:lineRule="auto"/>
        <w:jc w:val="both"/>
        <w:rPr>
          <w:rFonts w:ascii="Verdana" w:hAnsi="Verdana" w:cs="Arial"/>
          <w:color w:val="000000" w:themeColor="text1"/>
        </w:rPr>
      </w:pPr>
    </w:p>
    <w:p w14:paraId="02044188" w14:textId="77777777" w:rsidR="00B44AA8" w:rsidRPr="00C4346A" w:rsidRDefault="00B44AA8" w:rsidP="00C434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4346A">
        <w:rPr>
          <w:rFonts w:ascii="Verdana" w:eastAsia="Century Gothic" w:hAnsi="Verdana" w:cs="Century Gothic"/>
          <w:b/>
          <w:bCs/>
          <w:color w:val="000000" w:themeColor="text1"/>
        </w:rPr>
        <w:t>Doctrina de la Agencia Nacional de Contratación Pública:</w:t>
      </w:r>
    </w:p>
    <w:p w14:paraId="78529FAC" w14:textId="77777777" w:rsidR="00B44AA8" w:rsidRPr="00C4346A" w:rsidRDefault="00B44AA8" w:rsidP="00C4346A">
      <w:pPr>
        <w:widowControl w:val="0"/>
        <w:autoSpaceDE w:val="0"/>
        <w:autoSpaceDN w:val="0"/>
        <w:spacing w:after="0" w:line="276" w:lineRule="auto"/>
        <w:jc w:val="both"/>
        <w:rPr>
          <w:rFonts w:ascii="Verdana" w:hAnsi="Verdana" w:cs="Arial"/>
          <w:color w:val="000000" w:themeColor="text1"/>
        </w:rPr>
      </w:pPr>
    </w:p>
    <w:p w14:paraId="14C47C34" w14:textId="47F63A95" w:rsidR="00B44AA8" w:rsidRPr="00C4346A" w:rsidRDefault="00B44AA8" w:rsidP="00C4346A">
      <w:pPr>
        <w:widowControl w:val="0"/>
        <w:autoSpaceDE w:val="0"/>
        <w:autoSpaceDN w:val="0"/>
        <w:spacing w:after="0" w:line="276" w:lineRule="auto"/>
        <w:jc w:val="both"/>
        <w:rPr>
          <w:rStyle w:val="normaltextrun"/>
          <w:rFonts w:ascii="Verdana" w:eastAsia="Calibri" w:hAnsi="Verdana" w:cs="Times New Roman"/>
        </w:rPr>
      </w:pPr>
      <w:r w:rsidRPr="00C4346A">
        <w:rPr>
          <w:rFonts w:ascii="Verdana" w:eastAsia="Calibri" w:hAnsi="Verdana" w:cs="Arial"/>
          <w:lang w:val="es-ES_tradnl" w:eastAsia="es-ES_tradnl"/>
        </w:rPr>
        <w:t>Sobre las problemáticas asociadas al RUP, relacionadas con la firmeza de la inscripción, renovación y actualización, se pronunció esta Subdirección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w:t>
      </w:r>
      <w:r w:rsidRPr="00C4346A">
        <w:rPr>
          <w:rFonts w:ascii="Verdana" w:hAnsi="Verdana" w:cs="Arial"/>
          <w:shd w:val="clear" w:color="auto" w:fill="FFFFFF"/>
        </w:rPr>
        <w:t xml:space="preserve">, C-353 del 30 de agosto de 2024, </w:t>
      </w:r>
      <w:r w:rsidRPr="00C4346A">
        <w:rPr>
          <w:rFonts w:ascii="Verdana" w:eastAsia="Calibri" w:hAnsi="Verdana" w:cs="Times New Roman"/>
        </w:rPr>
        <w:t xml:space="preserve">entre otros, estos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C4346A">
          <w:rPr>
            <w:rStyle w:val="Hipervnculo"/>
            <w:rFonts w:ascii="Verdana" w:eastAsia="Calibri" w:hAnsi="Verdana" w:cs="Times New Roman"/>
            <w:lang w:val="es-ES"/>
          </w:rPr>
          <w:t>https://relatoria.colombiacompra.gov.co/busqueda/conceptos</w:t>
        </w:r>
      </w:hyperlink>
      <w:r w:rsidRPr="00C4346A">
        <w:rPr>
          <w:rFonts w:ascii="Verdana" w:eastAsia="Calibri" w:hAnsi="Verdana" w:cs="Times New Roman"/>
        </w:rPr>
        <w:t>.</w:t>
      </w:r>
    </w:p>
    <w:p w14:paraId="50DDA4E4" w14:textId="77777777" w:rsidR="00B44AA8" w:rsidRPr="00C4346A" w:rsidRDefault="00B44AA8" w:rsidP="00C4346A">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_tradnl"/>
        </w:rPr>
      </w:pPr>
      <w:r w:rsidRPr="00C4346A">
        <w:rPr>
          <w:rStyle w:val="normaltextrun"/>
          <w:rFonts w:ascii="Verdana" w:hAnsi="Verdana" w:cs="Arial"/>
          <w:color w:val="000000" w:themeColor="text1"/>
          <w:shd w:val="clear" w:color="auto" w:fill="FFFFFF"/>
          <w:lang w:val="es-ES_tradnl"/>
        </w:rPr>
        <w:t xml:space="preserve"> </w:t>
      </w:r>
    </w:p>
    <w:p w14:paraId="726E03F8" w14:textId="77777777" w:rsidR="00B44AA8" w:rsidRPr="00C4346A" w:rsidRDefault="00B44AA8" w:rsidP="001B0871">
      <w:pPr>
        <w:spacing w:after="0" w:line="276" w:lineRule="auto"/>
        <w:jc w:val="both"/>
        <w:rPr>
          <w:rFonts w:ascii="Verdana" w:hAnsi="Verdana"/>
          <w:color w:val="000000" w:themeColor="text1"/>
        </w:rPr>
      </w:pPr>
      <w:r w:rsidRPr="00C4346A">
        <w:rPr>
          <w:rFonts w:ascii="Verdana" w:hAnsi="Verdana"/>
          <w:color w:val="000000" w:themeColor="text1"/>
        </w:rPr>
        <w:t xml:space="preserve">Por último, lo invitamos a seguirnos en las redes sociales en las cuales se difunde información institucional: </w:t>
      </w:r>
    </w:p>
    <w:p w14:paraId="019B4738" w14:textId="77777777" w:rsidR="00B44AA8" w:rsidRPr="00C4346A" w:rsidRDefault="00B44AA8" w:rsidP="001B0871">
      <w:pPr>
        <w:spacing w:after="0" w:line="276" w:lineRule="auto"/>
        <w:jc w:val="both"/>
        <w:rPr>
          <w:rFonts w:ascii="Verdana" w:hAnsi="Verdana"/>
          <w:color w:val="000000" w:themeColor="text1"/>
        </w:rPr>
      </w:pPr>
    </w:p>
    <w:p w14:paraId="3D07E837" w14:textId="77777777" w:rsidR="00B44AA8" w:rsidRPr="00C4346A" w:rsidRDefault="00B44AA8" w:rsidP="001B0871">
      <w:pPr>
        <w:spacing w:after="0" w:line="276" w:lineRule="auto"/>
        <w:jc w:val="both"/>
        <w:rPr>
          <w:rFonts w:ascii="Verdana" w:hAnsi="Verdana"/>
          <w:color w:val="000000" w:themeColor="text1"/>
        </w:rPr>
      </w:pPr>
      <w:r w:rsidRPr="00C4346A">
        <w:rPr>
          <w:rFonts w:ascii="Verdana" w:hAnsi="Verdana"/>
          <w:color w:val="000000" w:themeColor="text1"/>
        </w:rPr>
        <w:t xml:space="preserve">Twitter: </w:t>
      </w:r>
      <w:r w:rsidRPr="00C4346A">
        <w:rPr>
          <w:rStyle w:val="Hipervnculo"/>
          <w:rFonts w:ascii="Verdana" w:hAnsi="Verdana"/>
          <w:color w:val="000000" w:themeColor="text1"/>
        </w:rPr>
        <w:t>@colombiacompra</w:t>
      </w:r>
      <w:r w:rsidRPr="00C4346A">
        <w:rPr>
          <w:rFonts w:ascii="Verdana" w:hAnsi="Verdana"/>
          <w:color w:val="000000" w:themeColor="text1"/>
        </w:rPr>
        <w:t xml:space="preserve"> </w:t>
      </w:r>
    </w:p>
    <w:p w14:paraId="73645AA6" w14:textId="77777777" w:rsidR="00B44AA8" w:rsidRPr="00C4346A" w:rsidRDefault="00B44AA8" w:rsidP="001B0871">
      <w:pPr>
        <w:spacing w:after="0" w:line="276" w:lineRule="auto"/>
        <w:jc w:val="both"/>
        <w:rPr>
          <w:rFonts w:ascii="Verdana" w:hAnsi="Verdana"/>
          <w:color w:val="000000" w:themeColor="text1"/>
        </w:rPr>
      </w:pPr>
      <w:r w:rsidRPr="00C4346A">
        <w:rPr>
          <w:rFonts w:ascii="Verdana" w:hAnsi="Verdana"/>
          <w:color w:val="000000" w:themeColor="text1"/>
        </w:rPr>
        <w:lastRenderedPageBreak/>
        <w:t xml:space="preserve">Facebook: </w:t>
      </w:r>
      <w:proofErr w:type="spellStart"/>
      <w:r w:rsidRPr="00C4346A">
        <w:rPr>
          <w:rStyle w:val="Hipervnculo"/>
          <w:rFonts w:ascii="Verdana" w:hAnsi="Verdana"/>
          <w:color w:val="000000" w:themeColor="text1"/>
        </w:rPr>
        <w:t>ColombiaCompraEficiente</w:t>
      </w:r>
      <w:proofErr w:type="spellEnd"/>
    </w:p>
    <w:p w14:paraId="6BF68159" w14:textId="77777777" w:rsidR="00B44AA8" w:rsidRPr="00C4346A" w:rsidRDefault="00B44AA8" w:rsidP="001B0871">
      <w:pPr>
        <w:spacing w:after="0" w:line="276" w:lineRule="auto"/>
        <w:jc w:val="both"/>
        <w:rPr>
          <w:rFonts w:ascii="Verdana" w:hAnsi="Verdana"/>
          <w:color w:val="000000" w:themeColor="text1"/>
          <w:u w:val="single"/>
        </w:rPr>
      </w:pPr>
      <w:r w:rsidRPr="00C4346A">
        <w:rPr>
          <w:rFonts w:ascii="Verdana" w:hAnsi="Verdana"/>
          <w:color w:val="000000" w:themeColor="text1"/>
        </w:rPr>
        <w:t xml:space="preserve">LinkedIn: </w:t>
      </w:r>
      <w:r w:rsidRPr="00C4346A">
        <w:rPr>
          <w:rStyle w:val="Hipervnculo"/>
          <w:rFonts w:ascii="Verdana" w:hAnsi="Verdana"/>
          <w:color w:val="000000" w:themeColor="text1"/>
        </w:rPr>
        <w:t>Agencia Nacional de Contratación Pública - Colombia Compra Eficiente</w:t>
      </w:r>
      <w:r w:rsidRPr="00C4346A">
        <w:rPr>
          <w:rFonts w:ascii="Verdana" w:hAnsi="Verdana"/>
          <w:color w:val="000000" w:themeColor="text1"/>
        </w:rPr>
        <w:t xml:space="preserve"> Instagram: </w:t>
      </w:r>
      <w:r w:rsidRPr="00C4346A">
        <w:rPr>
          <w:rStyle w:val="Hipervnculo"/>
          <w:rFonts w:ascii="Verdana" w:hAnsi="Verdana"/>
          <w:color w:val="000000" w:themeColor="text1"/>
        </w:rPr>
        <w:t>@colombiacompraeficiente_cce</w:t>
      </w:r>
    </w:p>
    <w:p w14:paraId="6ACD14A9" w14:textId="77777777" w:rsidR="00B44AA8" w:rsidRPr="00C4346A" w:rsidRDefault="00B44AA8" w:rsidP="00C4346A">
      <w:pPr>
        <w:widowControl w:val="0"/>
        <w:autoSpaceDE w:val="0"/>
        <w:autoSpaceDN w:val="0"/>
        <w:spacing w:after="0" w:line="276" w:lineRule="auto"/>
        <w:jc w:val="both"/>
        <w:rPr>
          <w:rFonts w:ascii="Verdana" w:hAnsi="Verdana" w:cs="Arial"/>
          <w:color w:val="000000" w:themeColor="text1"/>
        </w:rPr>
      </w:pPr>
    </w:p>
    <w:p w14:paraId="589E95CC" w14:textId="77777777" w:rsidR="00B44AA8" w:rsidRPr="00C4346A" w:rsidRDefault="00B44AA8" w:rsidP="00C4346A">
      <w:pPr>
        <w:widowControl w:val="0"/>
        <w:autoSpaceDE w:val="0"/>
        <w:autoSpaceDN w:val="0"/>
        <w:spacing w:after="0" w:line="276" w:lineRule="auto"/>
        <w:jc w:val="both"/>
        <w:rPr>
          <w:rFonts w:ascii="Verdana" w:hAnsi="Verdana" w:cs="Arial"/>
          <w:color w:val="000000" w:themeColor="text1"/>
          <w:lang w:val="es-ES_tradnl"/>
        </w:rPr>
      </w:pPr>
      <w:r w:rsidRPr="00C4346A">
        <w:rPr>
          <w:rFonts w:ascii="Verdana" w:hAnsi="Verdana" w:cs="Arial"/>
          <w:color w:val="000000" w:themeColor="text1"/>
        </w:rPr>
        <w:t xml:space="preserve">Este concepto tiene el alcance previsto en el artículo 28 del Código de Procedimiento Administrativo y de lo Contencioso Administrativo </w:t>
      </w:r>
      <w:r w:rsidRPr="00C4346A">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56E59D6E" w14:textId="77777777" w:rsidR="00B44AA8" w:rsidRPr="00C4346A" w:rsidRDefault="00B44AA8" w:rsidP="00C4346A">
      <w:pPr>
        <w:widowControl w:val="0"/>
        <w:autoSpaceDE w:val="0"/>
        <w:autoSpaceDN w:val="0"/>
        <w:spacing w:after="0" w:line="276" w:lineRule="auto"/>
        <w:jc w:val="both"/>
        <w:rPr>
          <w:rFonts w:ascii="Verdana" w:hAnsi="Verdana" w:cs="Arial"/>
          <w:color w:val="000000" w:themeColor="text1"/>
        </w:rPr>
      </w:pPr>
    </w:p>
    <w:p w14:paraId="41D57B7F" w14:textId="77777777" w:rsidR="00B44AA8" w:rsidRPr="00C4346A" w:rsidRDefault="00B44AA8" w:rsidP="001B0871">
      <w:pPr>
        <w:spacing w:after="0" w:line="276" w:lineRule="auto"/>
        <w:rPr>
          <w:rFonts w:ascii="Verdana" w:hAnsi="Verdana" w:cs="Arial"/>
          <w:color w:val="000000" w:themeColor="text1"/>
          <w:lang w:eastAsia="es-CO"/>
        </w:rPr>
      </w:pPr>
      <w:r w:rsidRPr="00C4346A">
        <w:rPr>
          <w:rFonts w:ascii="Verdana" w:eastAsia="Times New Roman" w:hAnsi="Verdana" w:cs="Arial"/>
          <w:color w:val="000000" w:themeColor="text1"/>
          <w:lang w:eastAsia="es-CO"/>
        </w:rPr>
        <w:t>Atentamente,</w:t>
      </w:r>
      <w:r w:rsidRPr="00C4346A">
        <w:rPr>
          <w:rFonts w:ascii="Verdana" w:hAnsi="Verdana" w:cs="Arial"/>
          <w:color w:val="000000" w:themeColor="text1"/>
          <w:lang w:eastAsia="es-CO"/>
        </w:rPr>
        <w:t xml:space="preserve"> </w:t>
      </w:r>
    </w:p>
    <w:p w14:paraId="35EF9E9D" w14:textId="6A39D3E3" w:rsidR="00B44AA8" w:rsidRPr="00115E3D" w:rsidRDefault="00B9231B" w:rsidP="00B44AA8">
      <w:pPr>
        <w:spacing w:line="276" w:lineRule="auto"/>
        <w:jc w:val="center"/>
        <w:rPr>
          <w:rFonts w:ascii="Verdana" w:hAnsi="Verdana" w:cs="Arial"/>
          <w:color w:val="000000" w:themeColor="text1"/>
          <w:lang w:val="es-ES_tradnl" w:eastAsia="es-CO"/>
        </w:rPr>
      </w:pPr>
      <w:r>
        <w:rPr>
          <w:noProof/>
        </w:rPr>
        <w:drawing>
          <wp:inline distT="0" distB="0" distL="0" distR="0" wp14:anchorId="4782A4EC" wp14:editId="79FDDC6E">
            <wp:extent cx="3543300" cy="131531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552216" cy="131862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44AA8" w:rsidRPr="009517C5" w14:paraId="4ED75E1B" w14:textId="77777777" w:rsidTr="00303721">
        <w:trPr>
          <w:trHeight w:val="315"/>
        </w:trPr>
        <w:tc>
          <w:tcPr>
            <w:tcW w:w="893" w:type="dxa"/>
            <w:vAlign w:val="center"/>
            <w:hideMark/>
          </w:tcPr>
          <w:p w14:paraId="44A4C0F4" w14:textId="77777777" w:rsidR="00B44AA8" w:rsidRPr="009517C5" w:rsidRDefault="00B44AA8" w:rsidP="00303721">
            <w:pPr>
              <w:contextualSpacing/>
              <w:rPr>
                <w:rFonts w:ascii="Verdana" w:hAnsi="Verdana" w:cs="Arial"/>
                <w:color w:val="000000" w:themeColor="text1"/>
                <w:sz w:val="14"/>
                <w:szCs w:val="14"/>
                <w:lang w:val="es-ES" w:eastAsia="es-ES"/>
              </w:rPr>
            </w:pPr>
            <w:r w:rsidRPr="009517C5">
              <w:rPr>
                <w:rFonts w:ascii="Verdana" w:hAnsi="Verdana" w:cs="Arial"/>
                <w:color w:val="000000" w:themeColor="text1"/>
                <w:sz w:val="14"/>
                <w:szCs w:val="14"/>
                <w:lang w:val="es-ES" w:eastAsia="es-ES"/>
              </w:rPr>
              <w:t>Elaboró:</w:t>
            </w:r>
          </w:p>
        </w:tc>
        <w:tc>
          <w:tcPr>
            <w:tcW w:w="5628" w:type="dxa"/>
            <w:tcBorders>
              <w:top w:val="nil"/>
              <w:left w:val="nil"/>
              <w:bottom w:val="dotted" w:sz="4" w:space="0" w:color="7F7F7F" w:themeColor="text1" w:themeTint="80"/>
              <w:right w:val="nil"/>
            </w:tcBorders>
            <w:vAlign w:val="center"/>
            <w:hideMark/>
          </w:tcPr>
          <w:p w14:paraId="7F8B3B43" w14:textId="77777777" w:rsidR="00B44AA8" w:rsidRPr="009517C5" w:rsidRDefault="00B44AA8" w:rsidP="00303721">
            <w:pPr>
              <w:contextualSpacing/>
              <w:rPr>
                <w:rFonts w:ascii="Verdana" w:eastAsia="Arial" w:hAnsi="Verdana" w:cs="Arial"/>
                <w:color w:val="000000" w:themeColor="text1"/>
                <w:sz w:val="14"/>
                <w:szCs w:val="14"/>
              </w:rPr>
            </w:pPr>
            <w:r w:rsidRPr="009517C5">
              <w:rPr>
                <w:rFonts w:ascii="Verdana" w:eastAsia="Arial" w:hAnsi="Verdana" w:cs="Arial"/>
                <w:color w:val="000000" w:themeColor="text1"/>
                <w:sz w:val="14"/>
                <w:szCs w:val="14"/>
              </w:rPr>
              <w:t>A</w:t>
            </w:r>
            <w:r w:rsidRPr="009517C5">
              <w:rPr>
                <w:rFonts w:ascii="Verdana" w:eastAsia="Arial" w:hAnsi="Verdana" w:cs="Arial"/>
                <w:sz w:val="14"/>
                <w:szCs w:val="14"/>
              </w:rPr>
              <w:t xml:space="preserve">ndreina Cerpa Muñoz </w:t>
            </w:r>
          </w:p>
          <w:p w14:paraId="1B6D6564" w14:textId="77777777" w:rsidR="00B44AA8" w:rsidRPr="009517C5" w:rsidRDefault="00B44AA8" w:rsidP="00303721">
            <w:pPr>
              <w:contextualSpacing/>
              <w:rPr>
                <w:rFonts w:ascii="Verdana" w:eastAsia="Arial" w:hAnsi="Verdana" w:cs="Arial"/>
                <w:color w:val="000000" w:themeColor="text1"/>
                <w:sz w:val="14"/>
                <w:szCs w:val="14"/>
              </w:rPr>
            </w:pPr>
            <w:r w:rsidRPr="009517C5">
              <w:rPr>
                <w:rStyle w:val="normaltextrun"/>
                <w:rFonts w:ascii="Verdana" w:eastAsia="Arial" w:hAnsi="Verdana" w:cs="Arial"/>
                <w:color w:val="000000" w:themeColor="text1"/>
                <w:sz w:val="14"/>
                <w:szCs w:val="14"/>
              </w:rPr>
              <w:t>Analista T2-02 de la Subdirección de Gestión Contractual</w:t>
            </w:r>
          </w:p>
        </w:tc>
      </w:tr>
      <w:tr w:rsidR="00B44AA8" w:rsidRPr="009517C5" w14:paraId="083EEF99" w14:textId="77777777" w:rsidTr="00303721">
        <w:trPr>
          <w:trHeight w:val="330"/>
        </w:trPr>
        <w:tc>
          <w:tcPr>
            <w:tcW w:w="893" w:type="dxa"/>
            <w:vAlign w:val="center"/>
            <w:hideMark/>
          </w:tcPr>
          <w:p w14:paraId="3742152A" w14:textId="77777777" w:rsidR="00B44AA8" w:rsidRPr="009517C5" w:rsidRDefault="00B44AA8" w:rsidP="00303721">
            <w:pPr>
              <w:contextualSpacing/>
              <w:rPr>
                <w:rFonts w:ascii="Verdana" w:hAnsi="Verdana" w:cs="Arial"/>
                <w:color w:val="000000" w:themeColor="text1"/>
                <w:sz w:val="14"/>
                <w:szCs w:val="14"/>
                <w:lang w:val="es-ES" w:eastAsia="es-ES"/>
              </w:rPr>
            </w:pPr>
            <w:r w:rsidRPr="009517C5">
              <w:rPr>
                <w:rFonts w:ascii="Verdana" w:hAnsi="Verdana" w:cs="Arial"/>
                <w:color w:val="000000" w:themeColor="text1"/>
                <w:sz w:val="14"/>
                <w:szCs w:val="14"/>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D32C08C" w14:textId="035C5252" w:rsidR="00B44AA8" w:rsidRPr="009517C5" w:rsidRDefault="00B44AA8" w:rsidP="00303721">
            <w:pPr>
              <w:pStyle w:val="paragraph"/>
              <w:spacing w:before="0" w:beforeAutospacing="0" w:after="0" w:afterAutospacing="0"/>
              <w:contextualSpacing/>
              <w:textAlignment w:val="baseline"/>
              <w:rPr>
                <w:rFonts w:ascii="Verdana" w:hAnsi="Verdana" w:cs="Segoe UI"/>
                <w:color w:val="000000" w:themeColor="text1"/>
                <w:sz w:val="14"/>
                <w:szCs w:val="14"/>
              </w:rPr>
            </w:pPr>
            <w:r>
              <w:rPr>
                <w:rFonts w:ascii="Verdana" w:hAnsi="Verdana" w:cs="Segoe UI"/>
                <w:color w:val="000000" w:themeColor="text1"/>
                <w:sz w:val="14"/>
                <w:szCs w:val="14"/>
              </w:rPr>
              <w:t>Diana Lucia Saavedra</w:t>
            </w:r>
            <w:r w:rsidR="001F55C0">
              <w:rPr>
                <w:rFonts w:ascii="Verdana" w:hAnsi="Verdana" w:cs="Segoe UI"/>
                <w:color w:val="000000" w:themeColor="text1"/>
                <w:sz w:val="14"/>
                <w:szCs w:val="14"/>
              </w:rPr>
              <w:t xml:space="preserve"> Castañeda </w:t>
            </w:r>
            <w:r>
              <w:rPr>
                <w:rFonts w:ascii="Verdana" w:hAnsi="Verdana" w:cs="Segoe UI"/>
                <w:color w:val="000000" w:themeColor="text1"/>
                <w:sz w:val="14"/>
                <w:szCs w:val="14"/>
              </w:rPr>
              <w:t xml:space="preserve"> </w:t>
            </w:r>
          </w:p>
          <w:p w14:paraId="1F11C854" w14:textId="77777777" w:rsidR="00B44AA8" w:rsidRPr="009517C5" w:rsidRDefault="00B44AA8" w:rsidP="00303721">
            <w:pPr>
              <w:pStyle w:val="paragraph"/>
              <w:spacing w:before="0" w:beforeAutospacing="0" w:after="0" w:afterAutospacing="0"/>
              <w:contextualSpacing/>
              <w:textAlignment w:val="baseline"/>
              <w:rPr>
                <w:rFonts w:ascii="Verdana" w:hAnsi="Verdana" w:cs="Segoe UI"/>
                <w:color w:val="000000" w:themeColor="text1"/>
                <w:sz w:val="14"/>
                <w:szCs w:val="14"/>
              </w:rPr>
            </w:pPr>
            <w:r>
              <w:rPr>
                <w:rStyle w:val="normaltextrun"/>
                <w:rFonts w:ascii="Verdana" w:hAnsi="Verdana" w:cs="Arial"/>
                <w:color w:val="000000" w:themeColor="text1"/>
                <w:sz w:val="14"/>
                <w:szCs w:val="14"/>
                <w:lang w:val="es-ES"/>
              </w:rPr>
              <w:t>Contratista</w:t>
            </w:r>
            <w:r w:rsidRPr="009517C5">
              <w:rPr>
                <w:rStyle w:val="normaltextrun"/>
                <w:rFonts w:ascii="Verdana" w:hAnsi="Verdana" w:cs="Arial"/>
                <w:color w:val="000000" w:themeColor="text1"/>
                <w:sz w:val="14"/>
                <w:szCs w:val="14"/>
                <w:lang w:val="es-ES"/>
              </w:rPr>
              <w:t xml:space="preserve"> de la Subdirección de Gestión Contractual</w:t>
            </w:r>
            <w:r w:rsidRPr="009517C5">
              <w:rPr>
                <w:rStyle w:val="eop"/>
                <w:rFonts w:ascii="Verdana" w:hAnsi="Verdana" w:cs="Arial"/>
                <w:color w:val="000000" w:themeColor="text1"/>
                <w:sz w:val="14"/>
                <w:szCs w:val="14"/>
              </w:rPr>
              <w:t> </w:t>
            </w:r>
          </w:p>
        </w:tc>
      </w:tr>
      <w:tr w:rsidR="00B44AA8" w:rsidRPr="009517C5" w14:paraId="69BD0520" w14:textId="77777777" w:rsidTr="00303721">
        <w:trPr>
          <w:trHeight w:val="300"/>
        </w:trPr>
        <w:tc>
          <w:tcPr>
            <w:tcW w:w="893" w:type="dxa"/>
            <w:vAlign w:val="center"/>
          </w:tcPr>
          <w:p w14:paraId="717A7315" w14:textId="77777777" w:rsidR="00B44AA8" w:rsidRPr="009517C5" w:rsidRDefault="00B44AA8" w:rsidP="00303721">
            <w:pPr>
              <w:contextualSpacing/>
              <w:rPr>
                <w:rFonts w:ascii="Verdana" w:hAnsi="Verdana" w:cs="Arial"/>
                <w:color w:val="000000" w:themeColor="text1"/>
                <w:sz w:val="14"/>
                <w:szCs w:val="14"/>
                <w:lang w:val="es-ES" w:eastAsia="es-ES"/>
              </w:rPr>
            </w:pPr>
            <w:r w:rsidRPr="009517C5">
              <w:rPr>
                <w:rFonts w:ascii="Verdana" w:hAnsi="Verdana" w:cs="Arial"/>
                <w:color w:val="000000" w:themeColor="text1"/>
                <w:sz w:val="14"/>
                <w:szCs w:val="14"/>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19DD6CE" w14:textId="77777777" w:rsidR="00B44AA8" w:rsidRPr="009517C5" w:rsidRDefault="00B44AA8" w:rsidP="00303721">
            <w:pPr>
              <w:contextualSpacing/>
              <w:rPr>
                <w:rFonts w:ascii="Verdana" w:eastAsia="Calibri" w:hAnsi="Verdana" w:cs="Arial"/>
                <w:color w:val="000000" w:themeColor="text1"/>
                <w:sz w:val="14"/>
                <w:szCs w:val="14"/>
                <w:lang w:val="pt-BR" w:eastAsia="es-ES"/>
              </w:rPr>
            </w:pPr>
            <w:r w:rsidRPr="009517C5">
              <w:rPr>
                <w:rFonts w:ascii="Verdana" w:eastAsia="Calibri" w:hAnsi="Verdana" w:cs="Arial"/>
                <w:color w:val="000000" w:themeColor="text1"/>
                <w:sz w:val="14"/>
                <w:szCs w:val="14"/>
                <w:lang w:val="pt-BR" w:eastAsia="es-ES"/>
              </w:rPr>
              <w:t xml:space="preserve">Carolina Quintero </w:t>
            </w:r>
            <w:proofErr w:type="spellStart"/>
            <w:r w:rsidRPr="009517C5">
              <w:rPr>
                <w:rFonts w:ascii="Verdana" w:eastAsia="Calibri" w:hAnsi="Verdana" w:cs="Arial"/>
                <w:color w:val="000000" w:themeColor="text1"/>
                <w:sz w:val="14"/>
                <w:szCs w:val="14"/>
                <w:lang w:val="pt-BR" w:eastAsia="es-ES"/>
              </w:rPr>
              <w:t>Gacharná</w:t>
            </w:r>
            <w:proofErr w:type="spellEnd"/>
          </w:p>
          <w:p w14:paraId="1F465F26" w14:textId="77777777" w:rsidR="00B44AA8" w:rsidRPr="009517C5" w:rsidRDefault="00B44AA8" w:rsidP="00303721">
            <w:pPr>
              <w:contextualSpacing/>
              <w:rPr>
                <w:rFonts w:ascii="Verdana" w:eastAsia="Calibri" w:hAnsi="Verdana" w:cs="Arial"/>
                <w:color w:val="000000" w:themeColor="text1"/>
                <w:sz w:val="14"/>
                <w:szCs w:val="14"/>
                <w:lang w:val="pt-BR" w:eastAsia="es-ES"/>
              </w:rPr>
            </w:pPr>
            <w:r w:rsidRPr="009517C5">
              <w:rPr>
                <w:rFonts w:ascii="Verdana" w:eastAsia="Calibri" w:hAnsi="Verdana" w:cs="Arial"/>
                <w:color w:val="000000" w:themeColor="text1"/>
                <w:sz w:val="14"/>
                <w:szCs w:val="14"/>
                <w:lang w:eastAsia="es-ES"/>
              </w:rPr>
              <w:t>Subdirectora</w:t>
            </w:r>
            <w:r w:rsidRPr="009517C5">
              <w:rPr>
                <w:rFonts w:ascii="Verdana" w:eastAsia="Calibri" w:hAnsi="Verdana" w:cs="Arial"/>
                <w:color w:val="000000" w:themeColor="text1"/>
                <w:sz w:val="14"/>
                <w:szCs w:val="14"/>
                <w:lang w:val="pt-BR" w:eastAsia="es-ES"/>
              </w:rPr>
              <w:t xml:space="preserve"> de Gestión </w:t>
            </w:r>
            <w:proofErr w:type="spellStart"/>
            <w:r w:rsidRPr="009517C5">
              <w:rPr>
                <w:rFonts w:ascii="Verdana" w:eastAsia="Calibri" w:hAnsi="Verdana" w:cs="Arial"/>
                <w:color w:val="000000" w:themeColor="text1"/>
                <w:sz w:val="14"/>
                <w:szCs w:val="14"/>
                <w:lang w:val="pt-BR" w:eastAsia="es-ES"/>
              </w:rPr>
              <w:t>Contractual</w:t>
            </w:r>
            <w:proofErr w:type="spellEnd"/>
            <w:r w:rsidRPr="009517C5">
              <w:rPr>
                <w:rFonts w:ascii="Verdana" w:eastAsia="Calibri" w:hAnsi="Verdana" w:cs="Arial"/>
                <w:color w:val="000000" w:themeColor="text1"/>
                <w:sz w:val="14"/>
                <w:szCs w:val="14"/>
                <w:lang w:val="pt-BR" w:eastAsia="es-ES"/>
              </w:rPr>
              <w:t xml:space="preserve"> ANCP – CCE</w:t>
            </w:r>
          </w:p>
        </w:tc>
      </w:tr>
    </w:tbl>
    <w:p w14:paraId="137A9D8B" w14:textId="77777777" w:rsidR="00B44AA8" w:rsidRPr="00115E3D" w:rsidRDefault="00B44AA8" w:rsidP="00B44AA8">
      <w:pPr>
        <w:spacing w:after="0" w:line="240" w:lineRule="auto"/>
        <w:rPr>
          <w:rFonts w:ascii="Verdana" w:eastAsia="Times New Roman" w:hAnsi="Verdana" w:cs="Arial"/>
          <w:color w:val="000000" w:themeColor="text1"/>
          <w:sz w:val="24"/>
          <w:szCs w:val="24"/>
          <w:lang w:eastAsia="es-ES"/>
        </w:rPr>
      </w:pPr>
    </w:p>
    <w:p w14:paraId="61FA917F" w14:textId="77777777" w:rsidR="00B44AA8" w:rsidRDefault="00B44AA8" w:rsidP="00B44AA8"/>
    <w:p w14:paraId="3900974D" w14:textId="77777777" w:rsidR="003D5B0D" w:rsidRPr="008B63B7" w:rsidRDefault="003D5B0D" w:rsidP="008B63B7"/>
    <w:sectPr w:rsidR="003D5B0D" w:rsidRPr="008B63B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41A5C9E2" w14:textId="77777777" w:rsidR="00B44AA8" w:rsidRPr="00FC26A8" w:rsidRDefault="00B44AA8" w:rsidP="00FC26A8">
      <w:pPr>
        <w:pStyle w:val="NormalWeb"/>
        <w:snapToGrid w:val="0"/>
        <w:spacing w:before="0" w:beforeAutospacing="0" w:after="0" w:afterAutospacing="0"/>
        <w:ind w:firstLine="709"/>
        <w:contextualSpacing/>
        <w:jc w:val="both"/>
        <w:rPr>
          <w:rFonts w:ascii="Verdana" w:hAnsi="Verdana" w:cs="Arial"/>
          <w:sz w:val="16"/>
          <w:szCs w:val="16"/>
        </w:rPr>
      </w:pPr>
      <w:r w:rsidRPr="00FC26A8">
        <w:rPr>
          <w:rStyle w:val="Refdenotaalpie"/>
          <w:rFonts w:ascii="Verdana" w:eastAsiaTheme="majorEastAsia" w:hAnsi="Verdana" w:cs="Arial"/>
          <w:sz w:val="16"/>
          <w:szCs w:val="16"/>
        </w:rPr>
        <w:footnoteRef/>
      </w:r>
      <w:r w:rsidRPr="00FC26A8">
        <w:rPr>
          <w:rFonts w:ascii="Verdana" w:hAnsi="Verdana" w:cs="Arial"/>
          <w:sz w:val="16"/>
          <w:szCs w:val="16"/>
        </w:rPr>
        <w:t xml:space="preserve"> </w:t>
      </w:r>
      <w:r w:rsidRPr="00FC26A8">
        <w:rPr>
          <w:rFonts w:ascii="Verdana" w:hAnsi="Verdana" w:cs="Arial"/>
          <w:sz w:val="16"/>
          <w:szCs w:val="16"/>
          <w:lang w:val="es-ES"/>
        </w:rPr>
        <w:t>“</w:t>
      </w:r>
      <w:r w:rsidRPr="00FC26A8">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103EBC92" w14:textId="77777777" w:rsidR="00B44AA8" w:rsidRDefault="00B44AA8" w:rsidP="00FC26A8">
      <w:pPr>
        <w:snapToGrid w:val="0"/>
        <w:spacing w:after="0" w:line="240" w:lineRule="auto"/>
        <w:ind w:firstLine="708"/>
        <w:contextualSpacing/>
        <w:jc w:val="both"/>
        <w:rPr>
          <w:rFonts w:ascii="Verdana" w:hAnsi="Verdana" w:cs="Arial"/>
          <w:sz w:val="16"/>
          <w:szCs w:val="16"/>
        </w:rPr>
      </w:pPr>
      <w:r w:rsidRPr="001B0871">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153BB30A" w14:textId="77777777" w:rsidR="00FC26A8" w:rsidRPr="001B0871" w:rsidRDefault="00FC26A8" w:rsidP="00FC26A8">
      <w:pPr>
        <w:snapToGrid w:val="0"/>
        <w:spacing w:after="0" w:line="240" w:lineRule="auto"/>
        <w:ind w:firstLine="708"/>
        <w:contextualSpacing/>
        <w:jc w:val="both"/>
        <w:rPr>
          <w:rFonts w:ascii="Verdana" w:hAnsi="Verdana" w:cs="Arial"/>
          <w:sz w:val="16"/>
          <w:szCs w:val="16"/>
        </w:rPr>
      </w:pPr>
    </w:p>
  </w:footnote>
  <w:footnote w:id="2">
    <w:p w14:paraId="778AF4E5" w14:textId="77777777" w:rsidR="00B44AA8" w:rsidRPr="001B0871" w:rsidRDefault="00B44AA8" w:rsidP="00FC26A8">
      <w:pPr>
        <w:pStyle w:val="Textonotapie"/>
        <w:ind w:firstLine="708"/>
        <w:contextualSpacing/>
        <w:jc w:val="both"/>
        <w:rPr>
          <w:rFonts w:ascii="Verdana" w:hAnsi="Verdana" w:cs="Arial"/>
          <w:sz w:val="16"/>
          <w:szCs w:val="16"/>
        </w:rPr>
      </w:pPr>
      <w:r w:rsidRPr="001B0871">
        <w:rPr>
          <w:rStyle w:val="Refdenotaalpie"/>
          <w:rFonts w:ascii="Verdana" w:hAnsi="Verdana" w:cs="Arial"/>
          <w:sz w:val="16"/>
          <w:szCs w:val="16"/>
        </w:rPr>
        <w:footnoteRef/>
      </w:r>
      <w:r w:rsidRPr="001B0871">
        <w:rPr>
          <w:rFonts w:ascii="Verdana" w:hAnsi="Verdana" w:cs="Arial"/>
          <w:sz w:val="16"/>
          <w:szCs w:val="16"/>
        </w:rPr>
        <w:t xml:space="preserve"> Consejo de Estado. Sección Tercera. Subsección B. Sentencia del 6 de junio de 2013. Exp. 25151. C.P. Stella Conto Díaz del Castillo.</w:t>
      </w:r>
    </w:p>
    <w:p w14:paraId="28E1FBC4" w14:textId="77777777" w:rsidR="00B44AA8" w:rsidRPr="001B0871" w:rsidRDefault="00B44AA8" w:rsidP="00FC26A8">
      <w:pPr>
        <w:pStyle w:val="Textonotapie"/>
        <w:ind w:firstLine="709"/>
        <w:contextualSpacing/>
        <w:jc w:val="both"/>
        <w:rPr>
          <w:rFonts w:ascii="Verdana" w:hAnsi="Verdana" w:cs="Arial"/>
          <w:sz w:val="16"/>
          <w:szCs w:val="16"/>
        </w:rPr>
      </w:pPr>
    </w:p>
  </w:footnote>
  <w:footnote w:id="3">
    <w:p w14:paraId="00844A60" w14:textId="77777777" w:rsidR="00B44AA8" w:rsidRPr="001B0871" w:rsidRDefault="00B44AA8" w:rsidP="00FC26A8">
      <w:pPr>
        <w:pStyle w:val="Textonotapie"/>
        <w:ind w:firstLine="709"/>
        <w:contextualSpacing/>
        <w:jc w:val="both"/>
        <w:rPr>
          <w:rFonts w:ascii="Verdana" w:hAnsi="Verdana" w:cs="Arial"/>
          <w:sz w:val="16"/>
          <w:szCs w:val="16"/>
        </w:rPr>
      </w:pPr>
      <w:r w:rsidRPr="001B0871">
        <w:rPr>
          <w:rStyle w:val="Refdenotaalpie"/>
          <w:rFonts w:ascii="Verdana" w:hAnsi="Verdana" w:cs="Arial"/>
          <w:sz w:val="16"/>
          <w:szCs w:val="16"/>
        </w:rPr>
        <w:footnoteRef/>
      </w:r>
      <w:r w:rsidRPr="001B0871">
        <w:rPr>
          <w:rFonts w:ascii="Verdana" w:hAnsi="Verdana" w:cs="Arial"/>
          <w:sz w:val="16"/>
          <w:szCs w:val="16"/>
        </w:rPr>
        <w:t xml:space="preserve"> Ley 1150 de 2007: “Artículo 6. De la verificación de las condiciones de los proponentes.</w:t>
      </w:r>
    </w:p>
    <w:p w14:paraId="6E25F2E1" w14:textId="77777777" w:rsidR="00B44AA8" w:rsidRPr="001B0871" w:rsidRDefault="00B44AA8" w:rsidP="00FC26A8">
      <w:pPr>
        <w:pStyle w:val="Textonotapie"/>
        <w:ind w:firstLine="709"/>
        <w:contextualSpacing/>
        <w:jc w:val="both"/>
        <w:rPr>
          <w:rFonts w:ascii="Verdana" w:hAnsi="Verdana" w:cs="Arial"/>
          <w:sz w:val="16"/>
          <w:szCs w:val="16"/>
          <w:lang w:eastAsia="es-CO"/>
        </w:rPr>
      </w:pPr>
      <w:r w:rsidRPr="001B0871">
        <w:rPr>
          <w:rFonts w:ascii="Verdana" w:hAnsi="Verdana" w:cs="Arial"/>
          <w:sz w:val="16"/>
          <w:szCs w:val="16"/>
          <w:lang w:eastAsia="es-CO"/>
        </w:rPr>
        <w:t>[…]</w:t>
      </w:r>
    </w:p>
    <w:p w14:paraId="40E38FCF" w14:textId="77777777" w:rsidR="00B44AA8" w:rsidRPr="001B0871" w:rsidRDefault="00B44AA8" w:rsidP="00FC26A8">
      <w:pPr>
        <w:pStyle w:val="Textonotapie"/>
        <w:ind w:firstLine="709"/>
        <w:contextualSpacing/>
        <w:jc w:val="both"/>
        <w:rPr>
          <w:rFonts w:ascii="Verdana" w:hAnsi="Verdana" w:cs="Arial"/>
          <w:sz w:val="16"/>
          <w:szCs w:val="16"/>
          <w:lang w:eastAsia="es-CO"/>
        </w:rPr>
      </w:pPr>
      <w:r w:rsidRPr="001B0871">
        <w:rPr>
          <w:rFonts w:ascii="Verdana" w:hAnsi="Verdana" w:cs="Arial"/>
          <w:sz w:val="16"/>
          <w:szCs w:val="16"/>
          <w:lang w:eastAsia="es-CO"/>
        </w:rPr>
        <w:t>6.1. […]</w:t>
      </w:r>
    </w:p>
    <w:p w14:paraId="7510D721" w14:textId="77777777" w:rsidR="00B44AA8" w:rsidRPr="001B0871" w:rsidRDefault="00B44AA8" w:rsidP="00FC26A8">
      <w:pPr>
        <w:pStyle w:val="Textonotapie"/>
        <w:ind w:firstLine="709"/>
        <w:contextualSpacing/>
        <w:jc w:val="both"/>
        <w:rPr>
          <w:rFonts w:ascii="Verdana" w:hAnsi="Verdana" w:cs="Arial"/>
          <w:sz w:val="16"/>
          <w:szCs w:val="16"/>
          <w:lang w:eastAsia="es-CO"/>
        </w:rPr>
      </w:pPr>
      <w:r w:rsidRPr="001B0871">
        <w:rPr>
          <w:rFonts w:ascii="Verdana" w:hAnsi="Verdana" w:cs="Arial"/>
          <w:sz w:val="16"/>
          <w:szCs w:val="16"/>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221A1283" w14:textId="77777777" w:rsidR="00B44AA8" w:rsidRPr="001B0871" w:rsidRDefault="00B44AA8" w:rsidP="00FC26A8">
      <w:pPr>
        <w:pStyle w:val="Textonotapie"/>
        <w:ind w:firstLine="709"/>
        <w:contextualSpacing/>
        <w:jc w:val="both"/>
        <w:rPr>
          <w:rFonts w:ascii="Verdana" w:hAnsi="Verdana" w:cs="Arial"/>
          <w:sz w:val="16"/>
          <w:szCs w:val="16"/>
          <w:lang w:eastAsia="es-CO"/>
        </w:rPr>
      </w:pPr>
      <w:r w:rsidRPr="001B0871">
        <w:rPr>
          <w:rFonts w:ascii="Verdana" w:hAnsi="Verdana" w:cs="Arial"/>
          <w:sz w:val="16"/>
          <w:szCs w:val="16"/>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D44F970" w14:textId="77777777" w:rsidR="00B44AA8" w:rsidRPr="001B0871" w:rsidRDefault="00B44AA8" w:rsidP="00FC26A8">
      <w:pPr>
        <w:pStyle w:val="Textonotapie"/>
        <w:ind w:firstLine="709"/>
        <w:contextualSpacing/>
        <w:jc w:val="both"/>
        <w:rPr>
          <w:rFonts w:ascii="Verdana" w:hAnsi="Verdana" w:cs="Arial"/>
          <w:sz w:val="16"/>
          <w:szCs w:val="16"/>
          <w:lang w:eastAsia="es-CO"/>
        </w:rPr>
      </w:pPr>
      <w:r w:rsidRPr="001B0871">
        <w:rPr>
          <w:rFonts w:ascii="Verdana" w:hAnsi="Verdana" w:cs="Arial"/>
          <w:sz w:val="16"/>
          <w:szCs w:val="16"/>
          <w:lang w:eastAsia="es-CO"/>
        </w:rPr>
        <w:t>[…]”.</w:t>
      </w:r>
    </w:p>
    <w:p w14:paraId="3A223353" w14:textId="77777777" w:rsidR="00B44AA8" w:rsidRPr="00FC26A8" w:rsidRDefault="00B44AA8" w:rsidP="00FC26A8">
      <w:pPr>
        <w:pStyle w:val="Textonotapie"/>
        <w:ind w:firstLine="709"/>
        <w:contextualSpacing/>
        <w:jc w:val="both"/>
        <w:rPr>
          <w:rFonts w:ascii="Verdana" w:hAnsi="Verdana" w:cs="Arial"/>
          <w:sz w:val="16"/>
          <w:szCs w:val="16"/>
          <w:lang w:val="es-ES"/>
        </w:rPr>
      </w:pPr>
    </w:p>
  </w:footnote>
  <w:footnote w:id="4">
    <w:p w14:paraId="4D17D7BC" w14:textId="77777777" w:rsidR="00B44AA8" w:rsidRPr="001B0871" w:rsidRDefault="00B44AA8" w:rsidP="00FC26A8">
      <w:pPr>
        <w:pStyle w:val="Textonotapie"/>
        <w:ind w:firstLine="709"/>
        <w:contextualSpacing/>
        <w:jc w:val="both"/>
        <w:rPr>
          <w:rFonts w:ascii="Verdana" w:hAnsi="Verdana" w:cs="Arial"/>
          <w:sz w:val="16"/>
          <w:szCs w:val="16"/>
          <w:lang w:eastAsia="es-CO"/>
        </w:rPr>
      </w:pPr>
      <w:r w:rsidRPr="001B0871">
        <w:rPr>
          <w:rStyle w:val="Refdenotaalpie"/>
          <w:rFonts w:ascii="Verdana" w:hAnsi="Verdana" w:cs="Arial"/>
          <w:sz w:val="16"/>
          <w:szCs w:val="16"/>
        </w:rPr>
        <w:footnoteRef/>
      </w:r>
      <w:r w:rsidRPr="001B0871">
        <w:rPr>
          <w:rFonts w:ascii="Verdana" w:hAnsi="Verdana" w:cs="Arial"/>
          <w:sz w:val="16"/>
          <w:szCs w:val="16"/>
        </w:rPr>
        <w:t xml:space="preserve"> Ley 1150 de 2007: “Artículo 5. De la selección objetiva.</w:t>
      </w:r>
      <w:r w:rsidRPr="001B0871">
        <w:rPr>
          <w:rFonts w:ascii="Verdana" w:hAnsi="Verdana" w:cs="Arial"/>
          <w:sz w:val="16"/>
          <w:szCs w:val="16"/>
          <w:lang w:eastAsia="es-CO"/>
        </w:rPr>
        <w:t xml:space="preserve"> </w:t>
      </w:r>
    </w:p>
    <w:p w14:paraId="26BC264F" w14:textId="77777777" w:rsidR="00B44AA8" w:rsidRPr="001B0871" w:rsidRDefault="00B44AA8" w:rsidP="00FC26A8">
      <w:pPr>
        <w:pStyle w:val="Textonotapie"/>
        <w:ind w:firstLine="709"/>
        <w:contextualSpacing/>
        <w:jc w:val="both"/>
        <w:rPr>
          <w:rFonts w:ascii="Verdana" w:hAnsi="Verdana" w:cs="Arial"/>
          <w:sz w:val="16"/>
          <w:szCs w:val="16"/>
          <w:lang w:eastAsia="es-CO"/>
        </w:rPr>
      </w:pPr>
      <w:r w:rsidRPr="001B0871">
        <w:rPr>
          <w:rFonts w:ascii="Verdana" w:hAnsi="Verdana" w:cs="Arial"/>
          <w:sz w:val="16"/>
          <w:szCs w:val="16"/>
          <w:lang w:eastAsia="es-CO"/>
        </w:rPr>
        <w:t>[…]</w:t>
      </w:r>
    </w:p>
    <w:p w14:paraId="1B166477" w14:textId="77777777" w:rsidR="00B44AA8" w:rsidRPr="001B0871" w:rsidRDefault="00B44AA8" w:rsidP="00FC26A8">
      <w:pPr>
        <w:pStyle w:val="Textonotapie"/>
        <w:ind w:firstLine="709"/>
        <w:contextualSpacing/>
        <w:jc w:val="both"/>
        <w:rPr>
          <w:rFonts w:ascii="Verdana" w:hAnsi="Verdana" w:cs="Arial"/>
          <w:sz w:val="16"/>
          <w:szCs w:val="16"/>
          <w:lang w:eastAsia="es-CO"/>
        </w:rPr>
      </w:pPr>
      <w:r w:rsidRPr="001B0871">
        <w:rPr>
          <w:rFonts w:ascii="Verdana" w:hAnsi="Verdana" w:cs="Arial"/>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4518F2CF" w14:textId="77777777" w:rsidR="00B44AA8" w:rsidRPr="001B0871" w:rsidRDefault="00B44AA8" w:rsidP="00FC26A8">
      <w:pPr>
        <w:pStyle w:val="Textonotapie"/>
        <w:ind w:firstLine="709"/>
        <w:contextualSpacing/>
        <w:jc w:val="both"/>
        <w:rPr>
          <w:rFonts w:ascii="Verdana" w:hAnsi="Verdana" w:cs="Arial"/>
          <w:sz w:val="16"/>
          <w:szCs w:val="16"/>
          <w:lang w:val="es-ES"/>
        </w:rPr>
      </w:pPr>
    </w:p>
  </w:footnote>
  <w:footnote w:id="5">
    <w:p w14:paraId="6927D746" w14:textId="77777777" w:rsidR="00B44AA8" w:rsidRPr="001B0871" w:rsidRDefault="00B44AA8" w:rsidP="00FC26A8">
      <w:pPr>
        <w:pStyle w:val="Textonotapie"/>
        <w:ind w:firstLine="709"/>
        <w:contextualSpacing/>
        <w:jc w:val="both"/>
        <w:rPr>
          <w:rFonts w:ascii="Verdana" w:hAnsi="Verdana" w:cs="Arial"/>
          <w:sz w:val="16"/>
          <w:szCs w:val="16"/>
          <w:lang w:eastAsia="es-CO"/>
        </w:rPr>
      </w:pPr>
      <w:r w:rsidRPr="001B0871">
        <w:rPr>
          <w:rStyle w:val="Refdenotaalpie"/>
          <w:rFonts w:ascii="Verdana" w:hAnsi="Verdana" w:cs="Arial"/>
          <w:sz w:val="16"/>
          <w:szCs w:val="16"/>
        </w:rPr>
        <w:footnoteRef/>
      </w:r>
      <w:r w:rsidRPr="001B0871">
        <w:rPr>
          <w:rFonts w:ascii="Verdana" w:hAnsi="Verdana" w:cs="Arial"/>
          <w:sz w:val="16"/>
          <w:szCs w:val="16"/>
        </w:rPr>
        <w:t xml:space="preserve"> </w:t>
      </w:r>
      <w:r w:rsidRPr="001B0871">
        <w:rPr>
          <w:rFonts w:ascii="Verdana" w:hAnsi="Verdana" w:cs="Arial"/>
          <w:sz w:val="16"/>
          <w:szCs w:val="16"/>
          <w:lang w:eastAsia="es-CO"/>
        </w:rPr>
        <w:t xml:space="preserve">Ley 1150 de 2007: “Artículo 6.  De la verificación de las condiciones de los proponentes. </w:t>
      </w:r>
    </w:p>
    <w:p w14:paraId="387A7DBC" w14:textId="77777777" w:rsidR="00B44AA8" w:rsidRPr="001B0871" w:rsidRDefault="00B44AA8" w:rsidP="00FC26A8">
      <w:pPr>
        <w:pStyle w:val="Textonotapie"/>
        <w:ind w:firstLine="709"/>
        <w:contextualSpacing/>
        <w:jc w:val="both"/>
        <w:rPr>
          <w:rFonts w:ascii="Verdana" w:hAnsi="Verdana" w:cs="Arial"/>
          <w:sz w:val="16"/>
          <w:szCs w:val="16"/>
          <w:lang w:eastAsia="es-CO"/>
        </w:rPr>
      </w:pPr>
      <w:r w:rsidRPr="001B0871">
        <w:rPr>
          <w:rFonts w:ascii="Verdana" w:hAnsi="Verdana" w:cs="Arial"/>
          <w:sz w:val="16"/>
          <w:szCs w:val="16"/>
          <w:lang w:eastAsia="es-CO"/>
        </w:rPr>
        <w:t xml:space="preserve">[...] </w:t>
      </w:r>
    </w:p>
    <w:p w14:paraId="4E365EF3" w14:textId="77777777" w:rsidR="00B44AA8" w:rsidRPr="001B0871" w:rsidRDefault="00B44AA8" w:rsidP="00FC26A8">
      <w:pPr>
        <w:pStyle w:val="Textonotapie"/>
        <w:contextualSpacing/>
        <w:jc w:val="both"/>
        <w:rPr>
          <w:rFonts w:ascii="Verdana" w:hAnsi="Verdana" w:cs="Arial"/>
          <w:sz w:val="16"/>
          <w:szCs w:val="16"/>
          <w:lang w:eastAsia="es-CO"/>
        </w:rPr>
      </w:pPr>
      <w:r w:rsidRPr="001B0871">
        <w:rPr>
          <w:rFonts w:ascii="Verdana" w:hAnsi="Verdana" w:cs="Arial"/>
          <w:sz w:val="16"/>
          <w:szCs w:val="16"/>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16E57F53" w14:textId="77777777" w:rsidR="00B44AA8" w:rsidRPr="001B0871" w:rsidRDefault="00B44AA8" w:rsidP="00FC26A8">
      <w:pPr>
        <w:pStyle w:val="Textonotapie"/>
        <w:ind w:firstLine="709"/>
        <w:contextualSpacing/>
        <w:jc w:val="both"/>
        <w:rPr>
          <w:rFonts w:ascii="Verdana" w:hAnsi="Verdana" w:cs="Arial"/>
          <w:sz w:val="16"/>
          <w:szCs w:val="16"/>
        </w:rPr>
      </w:pPr>
    </w:p>
  </w:footnote>
  <w:footnote w:id="6">
    <w:p w14:paraId="4E5184D1" w14:textId="77777777" w:rsidR="004E583D" w:rsidRDefault="004E583D" w:rsidP="00FC26A8">
      <w:pPr>
        <w:pStyle w:val="Textonotapie"/>
        <w:ind w:firstLine="709"/>
        <w:contextualSpacing/>
        <w:jc w:val="both"/>
        <w:rPr>
          <w:rFonts w:ascii="Verdana" w:hAnsi="Verdana" w:cs="Arial"/>
          <w:color w:val="000000" w:themeColor="text1"/>
          <w:sz w:val="16"/>
          <w:szCs w:val="16"/>
          <w:lang w:eastAsia="es-CO"/>
        </w:rPr>
      </w:pPr>
      <w:r w:rsidRPr="001B0871">
        <w:rPr>
          <w:rStyle w:val="Refdenotaalpie"/>
          <w:rFonts w:ascii="Verdana" w:hAnsi="Verdana" w:cs="Arial"/>
          <w:color w:val="000000" w:themeColor="text1"/>
          <w:sz w:val="16"/>
          <w:szCs w:val="16"/>
        </w:rPr>
        <w:footnoteRef/>
      </w:r>
      <w:r w:rsidRPr="001B0871">
        <w:rPr>
          <w:rFonts w:ascii="Verdana" w:hAnsi="Verdana" w:cs="Arial"/>
          <w:color w:val="000000" w:themeColor="text1"/>
          <w:sz w:val="16"/>
          <w:szCs w:val="16"/>
        </w:rPr>
        <w:t xml:space="preserve"> </w:t>
      </w:r>
      <w:r w:rsidRPr="001B0871">
        <w:rPr>
          <w:rFonts w:ascii="Verdana" w:hAnsi="Verdana" w:cs="Arial"/>
          <w:color w:val="000000" w:themeColor="text1"/>
          <w:sz w:val="16"/>
          <w:szCs w:val="16"/>
          <w:lang w:eastAsia="es-CO"/>
        </w:rPr>
        <w:t>Consejo de Estado. Sala de Consulta y Servicio Civil. Consulta del 20 de mayo de 2010. Exp.1992. C. P. Enrique José Arboleda Perdomo.</w:t>
      </w:r>
    </w:p>
    <w:p w14:paraId="0BB8E37C" w14:textId="77777777" w:rsidR="00FC26A8" w:rsidRPr="001B0871" w:rsidRDefault="00FC26A8" w:rsidP="00FC26A8">
      <w:pPr>
        <w:pStyle w:val="Textonotapie"/>
        <w:ind w:firstLine="709"/>
        <w:contextualSpacing/>
        <w:jc w:val="both"/>
        <w:rPr>
          <w:rFonts w:ascii="Verdana" w:hAnsi="Verdana" w:cs="Arial"/>
          <w:color w:val="000000" w:themeColor="text1"/>
          <w:sz w:val="16"/>
          <w:szCs w:val="16"/>
        </w:rPr>
      </w:pPr>
    </w:p>
  </w:footnote>
  <w:footnote w:id="7">
    <w:p w14:paraId="7D524DF8" w14:textId="77777777" w:rsidR="00B44AA8" w:rsidRDefault="00B44AA8" w:rsidP="00FC26A8">
      <w:pPr>
        <w:pStyle w:val="Textonotapie"/>
        <w:ind w:firstLine="709"/>
        <w:contextualSpacing/>
        <w:jc w:val="both"/>
        <w:rPr>
          <w:rFonts w:ascii="Verdana" w:hAnsi="Verdana" w:cs="Arial"/>
          <w:sz w:val="16"/>
          <w:szCs w:val="16"/>
          <w:lang w:eastAsia="es-CO"/>
        </w:rPr>
      </w:pPr>
      <w:r w:rsidRPr="001B0871">
        <w:rPr>
          <w:rStyle w:val="Refdenotaalpie"/>
          <w:rFonts w:ascii="Verdana" w:hAnsi="Verdana" w:cs="Arial"/>
          <w:sz w:val="16"/>
          <w:szCs w:val="16"/>
        </w:rPr>
        <w:footnoteRef/>
      </w:r>
      <w:r w:rsidRPr="001B0871">
        <w:rPr>
          <w:rFonts w:ascii="Verdana" w:hAnsi="Verdana" w:cs="Arial"/>
          <w:sz w:val="16"/>
          <w:szCs w:val="16"/>
        </w:rPr>
        <w:t xml:space="preserve"> </w:t>
      </w:r>
      <w:r w:rsidRPr="001B0871">
        <w:rPr>
          <w:rFonts w:ascii="Verdana" w:hAnsi="Verdana" w:cs="Arial"/>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6F622FD" w14:textId="77777777" w:rsidR="00FC26A8" w:rsidRPr="001B0871" w:rsidRDefault="00FC26A8" w:rsidP="00FC26A8">
      <w:pPr>
        <w:pStyle w:val="Textonotapie"/>
        <w:ind w:firstLine="709"/>
        <w:contextualSpacing/>
        <w:jc w:val="both"/>
        <w:rPr>
          <w:rFonts w:ascii="Verdana" w:hAnsi="Verdana" w:cs="Arial"/>
          <w:sz w:val="16"/>
          <w:szCs w:val="16"/>
          <w:lang w:eastAsia="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DF5C7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15159440" o:spid="_x0000_i1025" type="#_x0000_t75" style="width:11.25pt;height:11.25pt;visibility:visible;mso-wrap-style:square">
            <v:imagedata r:id="rId1" o:title=""/>
          </v:shape>
        </w:pict>
      </mc:Choice>
      <mc:Fallback>
        <w:drawing>
          <wp:inline distT="0" distB="0" distL="0" distR="0" wp14:anchorId="7ABD37F2" wp14:editId="7ABD37F3">
            <wp:extent cx="142875" cy="142875"/>
            <wp:effectExtent l="0" t="0" r="0" b="0"/>
            <wp:docPr id="615159440" name="Imagen 615159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4415"/>
    <w:rsid w:val="00074CAD"/>
    <w:rsid w:val="00082362"/>
    <w:rsid w:val="000A683E"/>
    <w:rsid w:val="000B19B9"/>
    <w:rsid w:val="000D0334"/>
    <w:rsid w:val="000F6486"/>
    <w:rsid w:val="00125105"/>
    <w:rsid w:val="00127233"/>
    <w:rsid w:val="001511A0"/>
    <w:rsid w:val="001A02E1"/>
    <w:rsid w:val="001B0871"/>
    <w:rsid w:val="001C59EE"/>
    <w:rsid w:val="001E4177"/>
    <w:rsid w:val="001E41A2"/>
    <w:rsid w:val="001F55C0"/>
    <w:rsid w:val="001F7DC6"/>
    <w:rsid w:val="002356DB"/>
    <w:rsid w:val="002421BB"/>
    <w:rsid w:val="00247DC9"/>
    <w:rsid w:val="0025796E"/>
    <w:rsid w:val="002707A2"/>
    <w:rsid w:val="002951A0"/>
    <w:rsid w:val="002962BC"/>
    <w:rsid w:val="002A093D"/>
    <w:rsid w:val="002A0DD0"/>
    <w:rsid w:val="002A49AC"/>
    <w:rsid w:val="002A64FD"/>
    <w:rsid w:val="002B2CA5"/>
    <w:rsid w:val="002C7A84"/>
    <w:rsid w:val="002E4FD9"/>
    <w:rsid w:val="002F71C3"/>
    <w:rsid w:val="00322A85"/>
    <w:rsid w:val="00324168"/>
    <w:rsid w:val="003448F4"/>
    <w:rsid w:val="00346601"/>
    <w:rsid w:val="00374F5E"/>
    <w:rsid w:val="00377E3E"/>
    <w:rsid w:val="00380CE3"/>
    <w:rsid w:val="003930BF"/>
    <w:rsid w:val="003A779E"/>
    <w:rsid w:val="003C740B"/>
    <w:rsid w:val="003D0F4D"/>
    <w:rsid w:val="003D5B0D"/>
    <w:rsid w:val="003E0499"/>
    <w:rsid w:val="003F3941"/>
    <w:rsid w:val="00406575"/>
    <w:rsid w:val="00414C74"/>
    <w:rsid w:val="0042722E"/>
    <w:rsid w:val="0044528D"/>
    <w:rsid w:val="004A1847"/>
    <w:rsid w:val="004A305D"/>
    <w:rsid w:val="004D78EE"/>
    <w:rsid w:val="004E583D"/>
    <w:rsid w:val="004E6EAC"/>
    <w:rsid w:val="004F21C4"/>
    <w:rsid w:val="004F3489"/>
    <w:rsid w:val="004F685F"/>
    <w:rsid w:val="005566E8"/>
    <w:rsid w:val="00574867"/>
    <w:rsid w:val="00591460"/>
    <w:rsid w:val="0059335D"/>
    <w:rsid w:val="005A64A4"/>
    <w:rsid w:val="005B3816"/>
    <w:rsid w:val="005C3777"/>
    <w:rsid w:val="005C5CDC"/>
    <w:rsid w:val="005D476C"/>
    <w:rsid w:val="006219F8"/>
    <w:rsid w:val="00623CB8"/>
    <w:rsid w:val="00665D70"/>
    <w:rsid w:val="006900D9"/>
    <w:rsid w:val="006C5723"/>
    <w:rsid w:val="006E3E0B"/>
    <w:rsid w:val="00706C16"/>
    <w:rsid w:val="00722940"/>
    <w:rsid w:val="00756841"/>
    <w:rsid w:val="00762A61"/>
    <w:rsid w:val="007649AB"/>
    <w:rsid w:val="00771D0C"/>
    <w:rsid w:val="007833AC"/>
    <w:rsid w:val="007B268C"/>
    <w:rsid w:val="007B7171"/>
    <w:rsid w:val="007C0C0F"/>
    <w:rsid w:val="007C3DC2"/>
    <w:rsid w:val="007D6BFE"/>
    <w:rsid w:val="007E5497"/>
    <w:rsid w:val="00806F5F"/>
    <w:rsid w:val="00820278"/>
    <w:rsid w:val="00867F95"/>
    <w:rsid w:val="00876CB5"/>
    <w:rsid w:val="008843B6"/>
    <w:rsid w:val="00891928"/>
    <w:rsid w:val="008A446D"/>
    <w:rsid w:val="008A7876"/>
    <w:rsid w:val="008A7B31"/>
    <w:rsid w:val="008B63B7"/>
    <w:rsid w:val="008D180B"/>
    <w:rsid w:val="008F0EA7"/>
    <w:rsid w:val="00902D46"/>
    <w:rsid w:val="00912FFD"/>
    <w:rsid w:val="009202FE"/>
    <w:rsid w:val="00921515"/>
    <w:rsid w:val="00923EEF"/>
    <w:rsid w:val="0094060C"/>
    <w:rsid w:val="009419F9"/>
    <w:rsid w:val="0095685E"/>
    <w:rsid w:val="00961B09"/>
    <w:rsid w:val="00965334"/>
    <w:rsid w:val="0097093E"/>
    <w:rsid w:val="00986AC5"/>
    <w:rsid w:val="009A0DFA"/>
    <w:rsid w:val="009B2D26"/>
    <w:rsid w:val="009C71FA"/>
    <w:rsid w:val="009C72E7"/>
    <w:rsid w:val="009D3058"/>
    <w:rsid w:val="009E3916"/>
    <w:rsid w:val="009F3A13"/>
    <w:rsid w:val="00A122D3"/>
    <w:rsid w:val="00A16CDD"/>
    <w:rsid w:val="00A17F13"/>
    <w:rsid w:val="00A20739"/>
    <w:rsid w:val="00A33C78"/>
    <w:rsid w:val="00A83DB7"/>
    <w:rsid w:val="00AA2F63"/>
    <w:rsid w:val="00AB0ADB"/>
    <w:rsid w:val="00AB0BCB"/>
    <w:rsid w:val="00AC117B"/>
    <w:rsid w:val="00AF1EFA"/>
    <w:rsid w:val="00B01B1A"/>
    <w:rsid w:val="00B168FD"/>
    <w:rsid w:val="00B44AA8"/>
    <w:rsid w:val="00B61AC6"/>
    <w:rsid w:val="00B66319"/>
    <w:rsid w:val="00B72CD3"/>
    <w:rsid w:val="00B72FFF"/>
    <w:rsid w:val="00B9231B"/>
    <w:rsid w:val="00BC3D36"/>
    <w:rsid w:val="00BC66A5"/>
    <w:rsid w:val="00BD7F72"/>
    <w:rsid w:val="00BE212A"/>
    <w:rsid w:val="00C04FB3"/>
    <w:rsid w:val="00C248DE"/>
    <w:rsid w:val="00C330EB"/>
    <w:rsid w:val="00C41061"/>
    <w:rsid w:val="00C4346A"/>
    <w:rsid w:val="00C754BE"/>
    <w:rsid w:val="00C76B1C"/>
    <w:rsid w:val="00C93900"/>
    <w:rsid w:val="00CB6357"/>
    <w:rsid w:val="00CC1B26"/>
    <w:rsid w:val="00CC455E"/>
    <w:rsid w:val="00CC71D2"/>
    <w:rsid w:val="00CE7C73"/>
    <w:rsid w:val="00CF09BB"/>
    <w:rsid w:val="00D26FB3"/>
    <w:rsid w:val="00D423A2"/>
    <w:rsid w:val="00D520D8"/>
    <w:rsid w:val="00D63AC2"/>
    <w:rsid w:val="00D7383B"/>
    <w:rsid w:val="00D931E2"/>
    <w:rsid w:val="00DA231B"/>
    <w:rsid w:val="00DB1FAC"/>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B66EC"/>
    <w:rsid w:val="00EC38A7"/>
    <w:rsid w:val="00ED7384"/>
    <w:rsid w:val="00EE1AA8"/>
    <w:rsid w:val="00F31EDC"/>
    <w:rsid w:val="00F462B3"/>
    <w:rsid w:val="00F5664F"/>
    <w:rsid w:val="00F666C4"/>
    <w:rsid w:val="00F76AFC"/>
    <w:rsid w:val="00F95240"/>
    <w:rsid w:val="00FA47C0"/>
    <w:rsid w:val="00FB5DD1"/>
    <w:rsid w:val="00FC26A8"/>
    <w:rsid w:val="00FC2B5D"/>
    <w:rsid w:val="00FF1449"/>
    <w:rsid w:val="00FF42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44AA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44AA8"/>
    <w:rPr>
      <w:rFonts w:ascii="Geomanist Light" w:hAnsi="Geomanist Light"/>
      <w:lang w:val="es-ES"/>
    </w:rPr>
  </w:style>
  <w:style w:type="character" w:customStyle="1" w:styleId="NormalWebCar">
    <w:name w:val="Normal (Web) Car"/>
    <w:link w:val="NormalWeb"/>
    <w:uiPriority w:val="99"/>
    <w:rsid w:val="00B44AA8"/>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B44AA8"/>
    <w:rPr>
      <w:b/>
      <w:bCs/>
    </w:rPr>
  </w:style>
  <w:style w:type="character" w:styleId="nfasis">
    <w:name w:val="Emphasis"/>
    <w:basedOn w:val="Fuentedeprrafopredeter"/>
    <w:uiPriority w:val="20"/>
    <w:qFormat/>
    <w:rsid w:val="00B44AA8"/>
    <w:rPr>
      <w:i/>
      <w:iCs/>
    </w:rPr>
  </w:style>
  <w:style w:type="character" w:styleId="Refdecomentario">
    <w:name w:val="annotation reference"/>
    <w:basedOn w:val="Fuentedeprrafopredeter"/>
    <w:uiPriority w:val="99"/>
    <w:semiHidden/>
    <w:unhideWhenUsed/>
    <w:rsid w:val="00902D46"/>
    <w:rPr>
      <w:sz w:val="16"/>
      <w:szCs w:val="16"/>
    </w:rPr>
  </w:style>
  <w:style w:type="paragraph" w:styleId="Textocomentario">
    <w:name w:val="annotation text"/>
    <w:basedOn w:val="Normal"/>
    <w:link w:val="TextocomentarioCar"/>
    <w:uiPriority w:val="99"/>
    <w:unhideWhenUsed/>
    <w:rsid w:val="00902D46"/>
    <w:pPr>
      <w:spacing w:line="240" w:lineRule="auto"/>
    </w:pPr>
    <w:rPr>
      <w:sz w:val="20"/>
      <w:szCs w:val="20"/>
    </w:rPr>
  </w:style>
  <w:style w:type="character" w:customStyle="1" w:styleId="TextocomentarioCar">
    <w:name w:val="Texto comentario Car"/>
    <w:basedOn w:val="Fuentedeprrafopredeter"/>
    <w:link w:val="Textocomentario"/>
    <w:uiPriority w:val="99"/>
    <w:rsid w:val="00902D46"/>
    <w:rPr>
      <w:sz w:val="20"/>
      <w:szCs w:val="20"/>
    </w:rPr>
  </w:style>
  <w:style w:type="paragraph" w:styleId="Asuntodelcomentario">
    <w:name w:val="annotation subject"/>
    <w:basedOn w:val="Textocomentario"/>
    <w:next w:val="Textocomentario"/>
    <w:link w:val="AsuntodelcomentarioCar"/>
    <w:uiPriority w:val="99"/>
    <w:semiHidden/>
    <w:unhideWhenUsed/>
    <w:rsid w:val="00902D46"/>
    <w:rPr>
      <w:b/>
      <w:bCs/>
    </w:rPr>
  </w:style>
  <w:style w:type="character" w:customStyle="1" w:styleId="AsuntodelcomentarioCar">
    <w:name w:val="Asunto del comentario Car"/>
    <w:basedOn w:val="TextocomentarioCar"/>
    <w:link w:val="Asuntodelcomentario"/>
    <w:uiPriority w:val="99"/>
    <w:semiHidden/>
    <w:rsid w:val="00902D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92053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74465858">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77258293">
      <w:bodyDiv w:val="1"/>
      <w:marLeft w:val="0"/>
      <w:marRight w:val="0"/>
      <w:marTop w:val="0"/>
      <w:marBottom w:val="0"/>
      <w:divBdr>
        <w:top w:val="none" w:sz="0" w:space="0" w:color="auto"/>
        <w:left w:val="none" w:sz="0" w:space="0" w:color="auto"/>
        <w:bottom w:val="none" w:sz="0" w:space="0" w:color="auto"/>
        <w:right w:val="none" w:sz="0" w:space="0" w:color="auto"/>
      </w:divBdr>
    </w:div>
    <w:div w:id="198877850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sites/cce_public/files/cce_circulares/cce-eicp-ma-06_circular_externa_con_comentarios_de_ciudadanos-_v2f_002.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zjuridico@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BBFAB4-FC4A-4875-9C29-77392B349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2006/documentManagement/types"/>
    <ds:schemaRef ds:uri="9d85dbaf-23eb-4e57-a637-93dcacc8b1a1"/>
    <ds:schemaRef ds:uri="http://purl.org/dc/elements/1.1/"/>
    <ds:schemaRef ds:uri="http://schemas.microsoft.com/office/infopath/2007/PartnerControls"/>
    <ds:schemaRef ds:uri="http://schemas.openxmlformats.org/package/2006/metadata/core-properties"/>
    <ds:schemaRef ds:uri="http://purl.org/dc/term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3732</Words>
  <Characters>20529</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2025-05-03T17:59:00Z</dcterms:created>
  <dcterms:modified xsi:type="dcterms:W3CDTF">2025-05-03T17:59:00Z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