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465D3" w:rsidP="00635FE2" w:rsidRDefault="001465D3" w14:paraId="04D7C210" w14:textId="324FA07E">
      <w:pPr>
        <w:spacing w:after="120"/>
        <w:contextualSpacing/>
        <w:jc w:val="both"/>
        <w:rPr>
          <w:rFonts w:ascii="Century Gothic" w:hAnsi="Century Gothic" w:cs="Arial"/>
          <w:b/>
          <w:color w:val="000000" w:themeColor="text1"/>
          <w:sz w:val="20"/>
          <w:szCs w:val="20"/>
        </w:rPr>
      </w:pPr>
      <w:r w:rsidRPr="00635FE2">
        <w:rPr>
          <w:rFonts w:ascii="Century Gothic" w:hAnsi="Century Gothic" w:cs="Arial"/>
          <w:b/>
          <w:color w:val="000000" w:themeColor="text1"/>
          <w:sz w:val="20"/>
          <w:szCs w:val="20"/>
        </w:rPr>
        <w:t>REQUISITOS HABILITANTES – Noción</w:t>
      </w:r>
    </w:p>
    <w:p w:rsidRPr="00635FE2" w:rsidR="00635FE2" w:rsidP="00635FE2" w:rsidRDefault="00635FE2" w14:paraId="4125039D" w14:textId="77777777">
      <w:pPr>
        <w:spacing w:after="120" w:line="240" w:lineRule="auto"/>
        <w:contextualSpacing/>
        <w:jc w:val="both"/>
        <w:rPr>
          <w:rFonts w:ascii="Century Gothic" w:hAnsi="Century Gothic" w:cs="Arial"/>
          <w:b/>
          <w:color w:val="000000" w:themeColor="text1"/>
          <w:sz w:val="20"/>
          <w:szCs w:val="20"/>
        </w:rPr>
      </w:pPr>
    </w:p>
    <w:p w:rsidRPr="00635FE2" w:rsidR="001465D3" w:rsidP="00635FE2" w:rsidRDefault="001465D3" w14:paraId="5AFBD418" w14:textId="77777777">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rsidRPr="00635FE2" w:rsidR="001465D3" w:rsidP="00635FE2" w:rsidRDefault="001465D3" w14:paraId="679B8540" w14:textId="77777777">
      <w:pPr>
        <w:spacing w:after="120" w:line="240" w:lineRule="auto"/>
        <w:contextualSpacing/>
        <w:jc w:val="both"/>
        <w:rPr>
          <w:rFonts w:ascii="Century Gothic" w:hAnsi="Century Gothic"/>
          <w:sz w:val="20"/>
          <w:szCs w:val="20"/>
        </w:rPr>
      </w:pPr>
    </w:p>
    <w:p w:rsidRPr="00635FE2" w:rsidR="001465D3" w:rsidP="00635FE2" w:rsidRDefault="001465D3" w14:paraId="50C5103E" w14:textId="5453CE9A">
      <w:pPr>
        <w:spacing w:after="120" w:line="240" w:lineRule="auto"/>
        <w:contextualSpacing/>
        <w:jc w:val="both"/>
        <w:rPr>
          <w:rFonts w:ascii="Century Gothic" w:hAnsi="Century Gothic"/>
          <w:sz w:val="20"/>
          <w:szCs w:val="20"/>
        </w:rPr>
      </w:pPr>
      <w:r w:rsidRPr="00635FE2">
        <w:rPr>
          <w:rFonts w:ascii="Century Gothic" w:hAnsi="Century Gothic"/>
          <w:sz w:val="20"/>
          <w:szCs w:val="20"/>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r w:rsidRPr="00635FE2">
        <w:rPr>
          <w:rFonts w:ascii="Century Gothic" w:hAnsi="Century Gothic"/>
          <w:sz w:val="20"/>
          <w:szCs w:val="20"/>
        </w:rPr>
        <w:t>.</w:t>
      </w:r>
    </w:p>
    <w:p w:rsidRPr="00635FE2" w:rsidR="001465D3" w:rsidP="00635FE2" w:rsidRDefault="001465D3" w14:paraId="13FAFFAD" w14:textId="77777777">
      <w:pPr>
        <w:spacing w:after="120" w:line="240" w:lineRule="auto"/>
        <w:contextualSpacing/>
        <w:jc w:val="both"/>
        <w:rPr>
          <w:rFonts w:ascii="Century Gothic" w:hAnsi="Century Gothic" w:cs="Arial"/>
          <w:b/>
          <w:color w:val="000000" w:themeColor="text1"/>
          <w:sz w:val="20"/>
          <w:szCs w:val="20"/>
        </w:rPr>
      </w:pPr>
    </w:p>
    <w:p w:rsidRPr="00635FE2" w:rsidR="001465D3" w:rsidP="0D7D075D" w:rsidRDefault="001465D3" w14:paraId="4EB48873" w14:textId="7328A17C">
      <w:pPr>
        <w:spacing w:after="120" w:line="240" w:lineRule="auto"/>
        <w:contextualSpacing/>
        <w:jc w:val="both"/>
        <w:rPr>
          <w:rFonts w:ascii="Century Gothic" w:hAnsi="Century Gothic" w:cs="Arial"/>
          <w:b w:val="1"/>
          <w:bCs w:val="1"/>
          <w:color w:val="000000" w:themeColor="text1"/>
          <w:sz w:val="20"/>
          <w:szCs w:val="20"/>
        </w:rPr>
      </w:pPr>
      <w:r w:rsidRPr="0D7D075D" w:rsidR="001465D3">
        <w:rPr>
          <w:rFonts w:ascii="Century Gothic" w:hAnsi="Century Gothic" w:cs="Arial"/>
          <w:b w:val="1"/>
          <w:bCs w:val="1"/>
          <w:color w:val="000000" w:themeColor="text1" w:themeTint="FF" w:themeShade="FF"/>
          <w:sz w:val="20"/>
          <w:szCs w:val="20"/>
        </w:rPr>
        <w:t>REQUISITOS HABILITANTES – Autonomía</w:t>
      </w:r>
    </w:p>
    <w:p w:rsidRPr="00635FE2" w:rsidR="001465D3" w:rsidP="00635FE2" w:rsidRDefault="001465D3" w14:paraId="75198318" w14:textId="77777777">
      <w:pPr>
        <w:spacing w:after="120" w:line="240" w:lineRule="auto"/>
        <w:contextualSpacing/>
        <w:jc w:val="both"/>
        <w:rPr>
          <w:rFonts w:ascii="Century Gothic" w:hAnsi="Century Gothic" w:cs="Arial"/>
          <w:b/>
          <w:color w:val="000000" w:themeColor="text1"/>
          <w:sz w:val="20"/>
          <w:szCs w:val="20"/>
        </w:rPr>
      </w:pPr>
    </w:p>
    <w:p w:rsidRPr="00635FE2" w:rsidR="001465D3" w:rsidP="00635FE2" w:rsidRDefault="001465D3" w14:paraId="64169781" w14:textId="77777777">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Esta Agencia puso a disposición de los interesados el “Manual para determinar y verificar los requisitos habilitantes en los procesos de contratación”.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 </w:t>
      </w:r>
    </w:p>
    <w:p w:rsidRPr="00635FE2" w:rsidR="001465D3" w:rsidP="00635FE2" w:rsidRDefault="001465D3" w14:paraId="2A3FE06A" w14:textId="77777777">
      <w:pPr>
        <w:spacing w:after="120" w:line="240" w:lineRule="auto"/>
        <w:contextualSpacing/>
        <w:jc w:val="both"/>
        <w:rPr>
          <w:rFonts w:ascii="Century Gothic" w:hAnsi="Century Gothic"/>
          <w:sz w:val="20"/>
          <w:szCs w:val="20"/>
        </w:rPr>
      </w:pPr>
    </w:p>
    <w:p w:rsidRPr="00635FE2" w:rsidR="001465D3" w:rsidP="00635FE2" w:rsidRDefault="001465D3" w14:paraId="6A30065C" w14:textId="51BF12C5">
      <w:pPr>
        <w:spacing w:after="120" w:line="240" w:lineRule="auto"/>
        <w:contextualSpacing/>
        <w:jc w:val="both"/>
        <w:rPr>
          <w:rFonts w:ascii="Century Gothic" w:hAnsi="Century Gothic"/>
          <w:sz w:val="20"/>
          <w:szCs w:val="20"/>
        </w:rPr>
      </w:pPr>
      <w:r w:rsidRPr="00635FE2">
        <w:rPr>
          <w:rFonts w:ascii="Century Gothic" w:hAnsi="Century Gothic"/>
          <w:sz w:val="20"/>
          <w:szCs w:val="20"/>
        </w:rPr>
        <w:t>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w:t>
      </w:r>
      <w:r w:rsidRPr="00635FE2">
        <w:rPr>
          <w:rFonts w:ascii="Century Gothic" w:hAnsi="Century Gothic"/>
          <w:sz w:val="20"/>
          <w:szCs w:val="20"/>
        </w:rPr>
        <w:t xml:space="preserve"> </w:t>
      </w:r>
      <w:r w:rsidRPr="00635FE2">
        <w:rPr>
          <w:rFonts w:ascii="Century Gothic" w:hAnsi="Century Gothic"/>
          <w:sz w:val="20"/>
          <w:szCs w:val="20"/>
        </w:rPr>
        <w:t>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w:t>
      </w:r>
    </w:p>
    <w:p w:rsidRPr="00635FE2" w:rsidR="001465D3" w:rsidP="00635FE2" w:rsidRDefault="001465D3" w14:paraId="2CEAF4A7" w14:textId="77777777">
      <w:pPr>
        <w:spacing w:after="120" w:line="240" w:lineRule="auto"/>
        <w:contextualSpacing/>
        <w:jc w:val="both"/>
        <w:rPr>
          <w:rFonts w:ascii="Century Gothic" w:hAnsi="Century Gothic" w:cs="Arial"/>
          <w:b/>
          <w:color w:val="000000" w:themeColor="text1"/>
          <w:sz w:val="20"/>
          <w:szCs w:val="20"/>
        </w:rPr>
      </w:pPr>
    </w:p>
    <w:p w:rsidRPr="00635FE2" w:rsidR="001465D3" w:rsidP="00635FE2" w:rsidRDefault="001465D3" w14:paraId="79CCF6B5" w14:textId="77777777">
      <w:pPr>
        <w:spacing w:after="120" w:line="240" w:lineRule="auto"/>
        <w:contextualSpacing/>
        <w:jc w:val="both"/>
        <w:rPr>
          <w:rFonts w:ascii="Century Gothic" w:hAnsi="Century Gothic" w:cs="Arial"/>
          <w:b/>
          <w:color w:val="000000" w:themeColor="text1"/>
          <w:sz w:val="20"/>
          <w:szCs w:val="20"/>
        </w:rPr>
      </w:pPr>
      <w:r w:rsidRPr="00635FE2">
        <w:rPr>
          <w:rFonts w:ascii="Century Gothic" w:hAnsi="Century Gothic" w:cs="Arial"/>
          <w:b/>
          <w:color w:val="000000" w:themeColor="text1"/>
          <w:sz w:val="20"/>
          <w:szCs w:val="20"/>
        </w:rPr>
        <w:t>CAPACIDAD FINANCIERA – Definición</w:t>
      </w:r>
    </w:p>
    <w:p w:rsidRPr="00635FE2" w:rsidR="00903232" w:rsidP="00635FE2" w:rsidRDefault="00903232" w14:paraId="1449FAFB" w14:textId="77777777">
      <w:pPr>
        <w:spacing w:after="120" w:line="240" w:lineRule="auto"/>
        <w:contextualSpacing/>
        <w:jc w:val="both"/>
        <w:rPr>
          <w:rFonts w:ascii="Century Gothic" w:hAnsi="Century Gothic" w:cs="Arial"/>
          <w:b/>
          <w:color w:val="000000" w:themeColor="text1"/>
          <w:sz w:val="20"/>
          <w:szCs w:val="20"/>
        </w:rPr>
      </w:pPr>
    </w:p>
    <w:p w:rsidRPr="00635FE2" w:rsidR="00903232" w:rsidP="00635FE2" w:rsidRDefault="00903232" w14:paraId="0D4F219E" w14:textId="77777777">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La capacidad financiera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“Los indicadores de </w:t>
      </w:r>
      <w:r w:rsidRPr="00635FE2">
        <w:rPr>
          <w:rFonts w:ascii="Century Gothic" w:hAnsi="Century Gothic"/>
          <w:sz w:val="20"/>
          <w:szCs w:val="20"/>
        </w:rPr>
        <w:lastRenderedPageBreak/>
        <w:t>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635FE2">
        <w:rPr>
          <w:rFonts w:ascii="Century Gothic" w:hAnsi="Century Gothic"/>
          <w:sz w:val="20"/>
          <w:szCs w:val="20"/>
        </w:rPr>
        <w:t>.</w:t>
      </w:r>
    </w:p>
    <w:p w:rsidRPr="00635FE2" w:rsidR="00903232" w:rsidP="00635FE2" w:rsidRDefault="00903232" w14:paraId="5DACCED1" w14:textId="77777777">
      <w:pPr>
        <w:spacing w:after="120" w:line="240" w:lineRule="auto"/>
        <w:contextualSpacing/>
        <w:jc w:val="both"/>
        <w:rPr>
          <w:rFonts w:ascii="Century Gothic" w:hAnsi="Century Gothic"/>
          <w:sz w:val="20"/>
          <w:szCs w:val="20"/>
        </w:rPr>
      </w:pPr>
    </w:p>
    <w:p w:rsidRPr="00635FE2" w:rsidR="00903232" w:rsidP="00635FE2" w:rsidRDefault="00903232" w14:paraId="04E08B7C" w14:textId="2FC96ECF">
      <w:pPr>
        <w:spacing w:after="120" w:line="240" w:lineRule="auto"/>
        <w:contextualSpacing/>
        <w:jc w:val="both"/>
        <w:rPr>
          <w:rFonts w:ascii="Century Gothic" w:hAnsi="Century Gothic"/>
          <w:sz w:val="20"/>
          <w:szCs w:val="20"/>
        </w:rPr>
      </w:pPr>
      <w:r w:rsidRPr="00635FE2">
        <w:rPr>
          <w:rFonts w:ascii="Century Gothic" w:hAnsi="Century Gothic"/>
          <w:sz w:val="20"/>
          <w:szCs w:val="20"/>
        </w:rPr>
        <w:t>Para acreditar los requisitos de la capacidad financiera, el artículo 5 de la Ley 1150 de 2007 y el artículo 2.2.1.1.1.5.3 del Decreto 1082 de 2015 indican que esto se realiza a través del RUP con los estados financieros del proponente, suscritos por el representante legal y el revisor fiscal, cuando aplique. De este modo, lo que se verifica con el registro es que el proponente tenga los indicadores financieros solicitados por la Entidad, que le permitan sati</w:t>
      </w:r>
      <w:r w:rsidRPr="00635FE2">
        <w:rPr>
          <w:rFonts w:ascii="Century Gothic" w:hAnsi="Century Gothic"/>
          <w:sz w:val="20"/>
          <w:szCs w:val="20"/>
        </w:rPr>
        <w:t>sf</w:t>
      </w:r>
      <w:r w:rsidRPr="00635FE2">
        <w:rPr>
          <w:rFonts w:ascii="Century Gothic" w:hAnsi="Century Gothic"/>
          <w:sz w:val="20"/>
          <w:szCs w:val="20"/>
        </w:rPr>
        <w:t>acer la necesidad que se contratará una vez desarrollado el procedimiento de selección</w:t>
      </w:r>
      <w:r w:rsidRPr="00635FE2">
        <w:rPr>
          <w:rFonts w:ascii="Century Gothic" w:hAnsi="Century Gothic"/>
          <w:sz w:val="20"/>
          <w:szCs w:val="20"/>
        </w:rPr>
        <w:t>.</w:t>
      </w:r>
    </w:p>
    <w:p w:rsidRPr="00635FE2" w:rsidR="00903232" w:rsidP="00635FE2" w:rsidRDefault="00903232" w14:paraId="5F71DECC" w14:textId="77777777">
      <w:pPr>
        <w:spacing w:after="120" w:line="240" w:lineRule="auto"/>
        <w:contextualSpacing/>
        <w:jc w:val="both"/>
        <w:rPr>
          <w:rFonts w:ascii="Century Gothic" w:hAnsi="Century Gothic" w:cs="Arial"/>
          <w:b/>
          <w:color w:val="000000" w:themeColor="text1"/>
          <w:sz w:val="20"/>
          <w:szCs w:val="20"/>
        </w:rPr>
      </w:pPr>
    </w:p>
    <w:p w:rsidRPr="00635FE2" w:rsidR="001465D3" w:rsidP="00635FE2" w:rsidRDefault="001465D3" w14:paraId="112B0B51" w14:textId="77777777">
      <w:pPr>
        <w:spacing w:after="120" w:line="240" w:lineRule="auto"/>
        <w:contextualSpacing/>
        <w:jc w:val="both"/>
        <w:rPr>
          <w:rFonts w:ascii="Century Gothic" w:hAnsi="Century Gothic" w:cs="Arial"/>
          <w:b/>
          <w:color w:val="000000" w:themeColor="text1"/>
          <w:sz w:val="20"/>
          <w:szCs w:val="20"/>
        </w:rPr>
      </w:pPr>
      <w:r w:rsidRPr="00635FE2">
        <w:rPr>
          <w:rFonts w:ascii="Century Gothic" w:hAnsi="Century Gothic" w:cs="Arial"/>
          <w:b/>
          <w:color w:val="000000" w:themeColor="text1"/>
          <w:sz w:val="20"/>
          <w:szCs w:val="20"/>
        </w:rPr>
        <w:t>CAPACIDAD FINANCIERA –Uso de Indicadores – Medio de Prueba</w:t>
      </w:r>
    </w:p>
    <w:p w:rsidRPr="00635FE2" w:rsidR="00903232" w:rsidP="00635FE2" w:rsidRDefault="00903232" w14:paraId="2BC98293" w14:textId="77777777">
      <w:pPr>
        <w:spacing w:after="120" w:line="240" w:lineRule="auto"/>
        <w:contextualSpacing/>
        <w:jc w:val="both"/>
        <w:rPr>
          <w:rFonts w:ascii="Century Gothic" w:hAnsi="Century Gothic" w:cs="Arial"/>
          <w:b/>
          <w:color w:val="000000" w:themeColor="text1"/>
          <w:sz w:val="20"/>
          <w:szCs w:val="20"/>
        </w:rPr>
      </w:pPr>
    </w:p>
    <w:p w:rsidRPr="00635FE2" w:rsidR="00635FE2" w:rsidP="00635FE2" w:rsidRDefault="00903232" w14:paraId="552CF8BA" w14:textId="77777777">
      <w:pPr>
        <w:spacing w:after="120" w:line="240" w:lineRule="auto"/>
        <w:contextualSpacing/>
        <w:jc w:val="both"/>
        <w:rPr>
          <w:rFonts w:ascii="Century Gothic" w:hAnsi="Century Gothic"/>
          <w:sz w:val="20"/>
          <w:szCs w:val="20"/>
        </w:rPr>
      </w:pPr>
      <w:r w:rsidRPr="00635FE2">
        <w:rPr>
          <w:rFonts w:ascii="Century Gothic" w:hAnsi="Century Gothic"/>
          <w:sz w:val="20"/>
          <w:szCs w:val="20"/>
        </w:rPr>
        <w:t>Al respecto, es importante señalar que para que la Entidad Estatal defina ciertos indicadores financieros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p>
    <w:p w:rsidRPr="00635FE2" w:rsidR="00635FE2" w:rsidP="00635FE2" w:rsidRDefault="00635FE2" w14:paraId="2173A76B" w14:textId="77777777">
      <w:pPr>
        <w:spacing w:after="120" w:line="240" w:lineRule="auto"/>
        <w:contextualSpacing/>
        <w:jc w:val="both"/>
        <w:rPr>
          <w:rFonts w:ascii="Century Gothic" w:hAnsi="Century Gothic"/>
          <w:sz w:val="20"/>
          <w:szCs w:val="20"/>
        </w:rPr>
      </w:pPr>
    </w:p>
    <w:p w:rsidRPr="00635FE2" w:rsidR="00903232" w:rsidP="00635FE2" w:rsidRDefault="00903232" w14:paraId="143F6E3D" w14:textId="7F6B196F">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Según el artículo 2.2.1.1.1.5.3. del Decreto 1082 de 2015, son indicadores de la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635FE2">
        <w:rPr>
          <w:rFonts w:ascii="Century Gothic" w:hAnsi="Century Gothic"/>
          <w:sz w:val="20"/>
          <w:szCs w:val="20"/>
        </w:rPr>
        <w:t>ii</w:t>
      </w:r>
      <w:proofErr w:type="spellEnd"/>
      <w:r w:rsidRPr="00635FE2">
        <w:rPr>
          <w:rFonts w:ascii="Century Gothic" w:hAnsi="Century Gothic"/>
          <w:sz w:val="20"/>
          <w:szCs w:val="20"/>
        </w:rPr>
        <w:t xml:space="preserve">) el índice de endeudamiento, que se calcula dividiendo el pasivo total por el activo total, el cual determina el grado de endeudamiento en la estructura de financiación del proponente; y </w:t>
      </w:r>
      <w:proofErr w:type="spellStart"/>
      <w:r w:rsidRPr="00635FE2">
        <w:rPr>
          <w:rFonts w:ascii="Century Gothic" w:hAnsi="Century Gothic"/>
          <w:sz w:val="20"/>
          <w:szCs w:val="20"/>
        </w:rPr>
        <w:t>iii</w:t>
      </w:r>
      <w:proofErr w:type="spellEnd"/>
      <w:r w:rsidRPr="00635FE2">
        <w:rPr>
          <w:rFonts w:ascii="Century Gothic" w:hAnsi="Century Gothic"/>
          <w:sz w:val="20"/>
          <w:szCs w:val="20"/>
        </w:rPr>
        <w:t>) la razón de cobertura de intereses,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capital de trabajo, la razón de efectivo, la denominada prueba ácid</w:t>
      </w:r>
      <w:r w:rsidRPr="00635FE2" w:rsidR="00635FE2">
        <w:rPr>
          <w:rFonts w:ascii="Century Gothic" w:hAnsi="Century Gothic"/>
          <w:sz w:val="20"/>
          <w:szCs w:val="20"/>
        </w:rPr>
        <w:t>a</w:t>
      </w:r>
      <w:r w:rsidRPr="00635FE2">
        <w:rPr>
          <w:rFonts w:ascii="Century Gothic" w:hAnsi="Century Gothic"/>
          <w:sz w:val="20"/>
          <w:szCs w:val="20"/>
        </w:rPr>
        <w:t>, la concentración de endeudamiento a corto y a largo plazo y el patrimonio.</w:t>
      </w:r>
    </w:p>
    <w:p w:rsidRPr="00635FE2" w:rsidR="00635FE2" w:rsidP="00635FE2" w:rsidRDefault="00635FE2" w14:paraId="205C9245" w14:textId="77777777">
      <w:pPr>
        <w:spacing w:after="120" w:line="240" w:lineRule="auto"/>
        <w:contextualSpacing/>
        <w:jc w:val="both"/>
        <w:rPr>
          <w:rFonts w:ascii="Century Gothic" w:hAnsi="Century Gothic"/>
          <w:sz w:val="20"/>
          <w:szCs w:val="20"/>
        </w:rPr>
      </w:pPr>
    </w:p>
    <w:p w:rsidRPr="00635FE2" w:rsidR="00635FE2" w:rsidP="00635FE2" w:rsidRDefault="00903232" w14:paraId="45BE8409" w14:textId="77777777">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sidRPr="00635FE2">
        <w:rPr>
          <w:rFonts w:ascii="Century Gothic" w:hAnsi="Century Gothic"/>
          <w:sz w:val="20"/>
          <w:szCs w:val="20"/>
        </w:rPr>
        <w:t>ii</w:t>
      </w:r>
      <w:proofErr w:type="spellEnd"/>
      <w:r w:rsidRPr="00635FE2">
        <w:rPr>
          <w:rFonts w:ascii="Century Gothic" w:hAnsi="Century Gothic"/>
          <w:sz w:val="20"/>
          <w:szCs w:val="20"/>
        </w:rPr>
        <w:t xml:space="preserve">) margen operacional; </w:t>
      </w:r>
      <w:proofErr w:type="spellStart"/>
      <w:r w:rsidRPr="00635FE2">
        <w:rPr>
          <w:rFonts w:ascii="Century Gothic" w:hAnsi="Century Gothic"/>
          <w:sz w:val="20"/>
          <w:szCs w:val="20"/>
        </w:rPr>
        <w:t>iii</w:t>
      </w:r>
      <w:proofErr w:type="spellEnd"/>
      <w:r w:rsidRPr="00635FE2">
        <w:rPr>
          <w:rFonts w:ascii="Century Gothic" w:hAnsi="Century Gothic"/>
          <w:sz w:val="20"/>
          <w:szCs w:val="20"/>
        </w:rPr>
        <w:t xml:space="preserve">) margen neto; </w:t>
      </w:r>
      <w:proofErr w:type="spellStart"/>
      <w:r w:rsidRPr="00635FE2">
        <w:rPr>
          <w:rFonts w:ascii="Century Gothic" w:hAnsi="Century Gothic"/>
          <w:sz w:val="20"/>
          <w:szCs w:val="20"/>
        </w:rPr>
        <w:t>iv</w:t>
      </w:r>
      <w:proofErr w:type="spellEnd"/>
      <w:r w:rsidRPr="00635FE2">
        <w:rPr>
          <w:rFonts w:ascii="Century Gothic" w:hAnsi="Century Gothic"/>
          <w:sz w:val="20"/>
          <w:szCs w:val="20"/>
        </w:rPr>
        <w:t xml:space="preserve">) retorno sobre capital invertido; v) rotación de activos totales; vi) rotación de activos fijos; y </w:t>
      </w:r>
      <w:proofErr w:type="spellStart"/>
      <w:r w:rsidRPr="00635FE2">
        <w:rPr>
          <w:rFonts w:ascii="Century Gothic" w:hAnsi="Century Gothic"/>
          <w:sz w:val="20"/>
          <w:szCs w:val="20"/>
        </w:rPr>
        <w:t>vii</w:t>
      </w:r>
      <w:proofErr w:type="spellEnd"/>
      <w:r w:rsidRPr="00635FE2">
        <w:rPr>
          <w:rFonts w:ascii="Century Gothic" w:hAnsi="Century Gothic"/>
          <w:sz w:val="20"/>
          <w:szCs w:val="20"/>
        </w:rPr>
        <w:t xml:space="preserve">) rotación de inventarios. </w:t>
      </w:r>
    </w:p>
    <w:p w:rsidRPr="00635FE2" w:rsidR="00635FE2" w:rsidP="00635FE2" w:rsidRDefault="00635FE2" w14:paraId="729B5A68" w14:textId="77777777">
      <w:pPr>
        <w:spacing w:after="120" w:line="240" w:lineRule="auto"/>
        <w:contextualSpacing/>
        <w:jc w:val="both"/>
        <w:rPr>
          <w:rFonts w:ascii="Century Gothic" w:hAnsi="Century Gothic"/>
          <w:sz w:val="20"/>
          <w:szCs w:val="20"/>
        </w:rPr>
      </w:pPr>
    </w:p>
    <w:p w:rsidRPr="00635FE2" w:rsidR="00903232" w:rsidP="00635FE2" w:rsidRDefault="00903232" w14:paraId="34CA96BC" w14:textId="4CE84895">
      <w:pPr>
        <w:spacing w:after="120" w:line="240" w:lineRule="auto"/>
        <w:contextualSpacing/>
        <w:jc w:val="both"/>
        <w:rPr>
          <w:rFonts w:ascii="Century Gothic" w:hAnsi="Century Gothic"/>
          <w:sz w:val="20"/>
          <w:szCs w:val="20"/>
        </w:rPr>
      </w:pPr>
      <w:r w:rsidRPr="00635FE2">
        <w:rPr>
          <w:rFonts w:ascii="Century Gothic" w:hAnsi="Century Gothic"/>
          <w:sz w:val="20"/>
          <w:szCs w:val="20"/>
        </w:rPr>
        <w:t xml:space="preserve">Ahora bien,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w:t>
      </w:r>
      <w:r w:rsidRPr="00635FE2">
        <w:rPr>
          <w:rFonts w:ascii="Century Gothic" w:hAnsi="Century Gothic"/>
          <w:sz w:val="20"/>
          <w:szCs w:val="20"/>
        </w:rPr>
        <w:lastRenderedPageBreak/>
        <w:t>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r w:rsidRPr="00635FE2" w:rsidR="00635FE2">
        <w:rPr>
          <w:rFonts w:ascii="Century Gothic" w:hAnsi="Century Gothic"/>
          <w:sz w:val="20"/>
          <w:szCs w:val="20"/>
        </w:rPr>
        <w:t>.</w:t>
      </w:r>
    </w:p>
    <w:p w:rsidRPr="00635FE2" w:rsidR="00635FE2" w:rsidP="00635FE2" w:rsidRDefault="00635FE2" w14:paraId="48944CBB" w14:textId="77777777">
      <w:pPr>
        <w:spacing w:after="120" w:line="240" w:lineRule="auto"/>
        <w:contextualSpacing/>
        <w:jc w:val="both"/>
        <w:rPr>
          <w:rFonts w:ascii="Century Gothic" w:hAnsi="Century Gothic" w:cs="Arial"/>
          <w:b/>
          <w:color w:val="000000" w:themeColor="text1"/>
          <w:sz w:val="20"/>
          <w:szCs w:val="20"/>
        </w:rPr>
      </w:pPr>
    </w:p>
    <w:p w:rsidRPr="00635FE2" w:rsidR="001465D3" w:rsidP="00635FE2" w:rsidRDefault="001465D3" w14:paraId="4B3C6EE2" w14:textId="6876A03A">
      <w:pPr>
        <w:spacing w:after="120" w:line="240" w:lineRule="auto"/>
        <w:contextualSpacing/>
        <w:jc w:val="both"/>
        <w:rPr>
          <w:rFonts w:ascii="Century Gothic" w:hAnsi="Century Gothic" w:cs="Arial"/>
          <w:b/>
          <w:color w:val="000000"/>
          <w:sz w:val="20"/>
          <w:szCs w:val="20"/>
          <w:lang w:val="es-ES_tradnl"/>
        </w:rPr>
      </w:pPr>
      <w:r w:rsidRPr="00635FE2">
        <w:rPr>
          <w:rFonts w:ascii="Century Gothic" w:hAnsi="Century Gothic" w:cs="Arial"/>
          <w:b/>
          <w:color w:val="000000"/>
          <w:sz w:val="20"/>
          <w:szCs w:val="20"/>
          <w:lang w:val="es-ES_tradnl"/>
        </w:rPr>
        <w:t xml:space="preserve">DECRETO 1041 DE 2022 – Finalidad – Reactivación económica </w:t>
      </w:r>
    </w:p>
    <w:p w:rsidRPr="00635FE2" w:rsidR="00635FE2" w:rsidP="00635FE2" w:rsidRDefault="00635FE2" w14:paraId="34C08297" w14:textId="77777777">
      <w:pPr>
        <w:spacing w:after="120" w:line="240" w:lineRule="auto"/>
        <w:contextualSpacing/>
        <w:jc w:val="both"/>
        <w:rPr>
          <w:rFonts w:ascii="Century Gothic" w:hAnsi="Century Gothic" w:cs="Arial"/>
          <w:b/>
          <w:color w:val="000000"/>
          <w:sz w:val="20"/>
          <w:szCs w:val="20"/>
          <w:lang w:val="es-ES_tradnl"/>
        </w:rPr>
      </w:pPr>
    </w:p>
    <w:p w:rsidRPr="00635FE2" w:rsidR="00635FE2" w:rsidP="00635FE2" w:rsidRDefault="00635FE2" w14:paraId="562042A1" w14:textId="4C7BD3E3">
      <w:pPr>
        <w:spacing w:after="120" w:line="240" w:lineRule="auto"/>
        <w:contextualSpacing/>
        <w:jc w:val="both"/>
        <w:rPr>
          <w:rFonts w:ascii="Century Gothic" w:hAnsi="Century Gothic"/>
          <w:sz w:val="20"/>
          <w:szCs w:val="20"/>
        </w:rPr>
      </w:pPr>
      <w:r w:rsidRPr="00635FE2">
        <w:rPr>
          <w:rFonts w:ascii="Century Gothic" w:hAnsi="Century Gothic"/>
          <w:sz w:val="20"/>
          <w:szCs w:val="20"/>
        </w:rPr>
        <w:t>ara lograr la reactivación económica, ante la crisis generada por la pandemia del COVID</w:t>
      </w:r>
      <w:r w:rsidRPr="00635FE2">
        <w:rPr>
          <w:rFonts w:ascii="Century Gothic" w:hAnsi="Century Gothic"/>
          <w:sz w:val="20"/>
          <w:szCs w:val="20"/>
        </w:rPr>
        <w:t>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202112 las Entidades Estatales deberán tener en cuenta los datos sobre la capacidad financiera y organizacional de los últimos tres años, consignada en el RUP. Así lo justifica textualmente el reglamento mencionado, en sus consideraciones cuando manifiesta 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rsidRPr="00635FE2" w:rsidR="00635FE2" w:rsidP="00635FE2" w:rsidRDefault="00635FE2" w14:paraId="40A20C3F" w14:textId="77777777">
      <w:pPr>
        <w:spacing w:after="120" w:line="240" w:lineRule="auto"/>
        <w:contextualSpacing/>
        <w:jc w:val="both"/>
        <w:rPr>
          <w:rFonts w:ascii="Century Gothic" w:hAnsi="Century Gothic"/>
          <w:sz w:val="20"/>
          <w:szCs w:val="20"/>
        </w:rPr>
      </w:pPr>
    </w:p>
    <w:p w:rsidRPr="00635FE2" w:rsidR="00635FE2" w:rsidP="00635FE2" w:rsidRDefault="00635FE2" w14:paraId="182C958C" w14:textId="28C13571">
      <w:pPr>
        <w:spacing w:after="120" w:line="240" w:lineRule="auto"/>
        <w:contextualSpacing/>
        <w:jc w:val="both"/>
        <w:rPr>
          <w:rFonts w:ascii="Century Gothic" w:hAnsi="Century Gothic"/>
          <w:sz w:val="20"/>
          <w:szCs w:val="20"/>
        </w:rPr>
      </w:pPr>
      <w:r w:rsidRPr="00635FE2">
        <w:rPr>
          <w:rFonts w:ascii="Century Gothic" w:hAnsi="Century Gothic"/>
          <w:sz w:val="20"/>
          <w:szCs w:val="20"/>
        </w:rPr>
        <w:t>En tal sentido, el artículo 4 del Decreto 399 de 2021 adicionó dos parágrafos transitorios al artículo 2.2.1.1.1.5.2. del Decreto 1082 de 2015, que a su vez fueron sustituidos por el artículo 1 del Decreto 579 del 31 de mayo de 202113 y posteriormente se adicionó un parágrafo transitorio adicional al artículo 2.2.1.1.1.5.2. del Decreto 1082 de 2015 por el artículo 1 del Decreto 1041 de 2022.</w:t>
      </w:r>
    </w:p>
    <w:p w:rsidRPr="00635FE2" w:rsidR="00635FE2" w:rsidP="00635FE2" w:rsidRDefault="00635FE2" w14:paraId="60960491" w14:textId="77777777">
      <w:pPr>
        <w:spacing w:after="120" w:line="240" w:lineRule="auto"/>
        <w:contextualSpacing/>
        <w:jc w:val="both"/>
        <w:rPr>
          <w:rFonts w:ascii="Century Gothic" w:hAnsi="Century Gothic"/>
          <w:sz w:val="20"/>
          <w:szCs w:val="20"/>
        </w:rPr>
      </w:pPr>
    </w:p>
    <w:p w:rsidRPr="00635FE2" w:rsidR="00635FE2" w:rsidP="00635FE2" w:rsidRDefault="00635FE2" w14:paraId="304229A1" w14:textId="6F149CCA">
      <w:pPr>
        <w:spacing w:after="120" w:line="240" w:lineRule="auto"/>
        <w:contextualSpacing/>
        <w:jc w:val="both"/>
        <w:rPr>
          <w:rFonts w:ascii="Century Gothic" w:hAnsi="Century Gothic"/>
          <w:sz w:val="20"/>
          <w:szCs w:val="20"/>
        </w:rPr>
      </w:pPr>
      <w:r w:rsidRPr="00635FE2">
        <w:rPr>
          <w:rFonts w:ascii="Century Gothic" w:hAnsi="Century Gothic"/>
          <w:sz w:val="20"/>
          <w:szCs w:val="20"/>
        </w:rPr>
        <w:t>(…)</w:t>
      </w:r>
    </w:p>
    <w:p w:rsidRPr="00635FE2" w:rsidR="00635FE2" w:rsidP="00635FE2" w:rsidRDefault="00635FE2" w14:paraId="374606E5" w14:textId="77777777">
      <w:pPr>
        <w:spacing w:after="120" w:line="240" w:lineRule="auto"/>
        <w:contextualSpacing/>
        <w:jc w:val="both"/>
        <w:rPr>
          <w:rFonts w:ascii="Century Gothic" w:hAnsi="Century Gothic"/>
          <w:sz w:val="20"/>
          <w:szCs w:val="20"/>
        </w:rPr>
      </w:pPr>
    </w:p>
    <w:p w:rsidRPr="00635FE2" w:rsidR="00635FE2" w:rsidP="00635FE2" w:rsidRDefault="00635FE2" w14:paraId="0BDC1206" w14:textId="16F6DAAB">
      <w:pPr>
        <w:spacing w:after="120" w:line="240" w:lineRule="auto"/>
        <w:contextualSpacing/>
        <w:jc w:val="both"/>
        <w:rPr>
          <w:rFonts w:ascii="Century Gothic" w:hAnsi="Century Gothic"/>
          <w:sz w:val="20"/>
          <w:szCs w:val="20"/>
        </w:rPr>
      </w:pPr>
      <w:r w:rsidRPr="00635FE2">
        <w:rPr>
          <w:rFonts w:ascii="Century Gothic" w:hAnsi="Century Gothic"/>
          <w:sz w:val="20"/>
          <w:szCs w:val="20"/>
        </w:rPr>
        <w:t>En igual sentido, el parágrafo transitorio 3 incluido por el Decreto 1041 de 2022 mantuvo la anterior medida para el año 2023, permitiendo que para la inscripción en el RUP o para su renovación, el interesado pueda reportar la información contable y los estados financieros de los tres últimos años fiscales</w:t>
      </w:r>
    </w:p>
    <w:p w:rsidRPr="00635FE2" w:rsidR="00635FE2" w:rsidP="00635FE2" w:rsidRDefault="00635FE2" w14:paraId="336BAA3C" w14:textId="77777777">
      <w:pPr>
        <w:spacing w:after="120" w:line="240" w:lineRule="auto"/>
        <w:contextualSpacing/>
        <w:jc w:val="both"/>
        <w:rPr>
          <w:rFonts w:ascii="Century Gothic" w:hAnsi="Century Gothic" w:cs="Arial"/>
          <w:b/>
          <w:color w:val="000000"/>
          <w:sz w:val="20"/>
          <w:szCs w:val="20"/>
          <w:lang w:val="es-ES_tradnl"/>
        </w:rPr>
      </w:pPr>
    </w:p>
    <w:p w:rsidRPr="00635FE2" w:rsidR="001465D3" w:rsidP="00635FE2" w:rsidRDefault="001465D3" w14:paraId="3ADA52ED" w14:textId="77777777">
      <w:pPr>
        <w:spacing w:after="120" w:line="240" w:lineRule="auto"/>
        <w:contextualSpacing/>
        <w:jc w:val="both"/>
        <w:rPr>
          <w:rFonts w:ascii="Century Gothic" w:hAnsi="Century Gothic" w:cs="Arial"/>
          <w:b/>
          <w:color w:val="000000"/>
          <w:sz w:val="20"/>
          <w:szCs w:val="20"/>
          <w:lang w:val="es-ES_tradnl"/>
        </w:rPr>
      </w:pPr>
      <w:r w:rsidRPr="00635FE2">
        <w:rPr>
          <w:rFonts w:ascii="Century Gothic" w:hAnsi="Century Gothic" w:cs="Arial"/>
          <w:b/>
          <w:color w:val="000000"/>
          <w:sz w:val="20"/>
          <w:szCs w:val="20"/>
          <w:lang w:val="es-ES_tradnl"/>
        </w:rPr>
        <w:t xml:space="preserve">DECRETO 1041 DE 2022 – Información – Capacidad financiera – Capacidad organizacional </w:t>
      </w:r>
    </w:p>
    <w:p w:rsidRPr="00635FE2" w:rsidR="00635FE2" w:rsidP="00635FE2" w:rsidRDefault="00635FE2" w14:paraId="38E81F4A" w14:textId="77777777">
      <w:pPr>
        <w:spacing w:after="120" w:line="240" w:lineRule="auto"/>
        <w:contextualSpacing/>
        <w:jc w:val="both"/>
        <w:rPr>
          <w:rFonts w:ascii="Century Gothic" w:hAnsi="Century Gothic" w:cs="Arial"/>
          <w:b/>
          <w:color w:val="000000"/>
          <w:sz w:val="20"/>
          <w:szCs w:val="20"/>
          <w:lang w:val="es-ES_tradnl"/>
        </w:rPr>
      </w:pPr>
    </w:p>
    <w:p w:rsidRPr="00635FE2" w:rsidR="00635FE2" w:rsidP="00635FE2" w:rsidRDefault="00635FE2" w14:paraId="24D2F199" w14:textId="3E1F5B78">
      <w:pPr>
        <w:spacing w:after="120" w:line="240" w:lineRule="auto"/>
        <w:contextualSpacing/>
        <w:jc w:val="both"/>
        <w:rPr>
          <w:rFonts w:ascii="Century Gothic" w:hAnsi="Century Gothic"/>
          <w:sz w:val="20"/>
          <w:szCs w:val="20"/>
        </w:rPr>
      </w:pPr>
      <w:r w:rsidRPr="00635FE2">
        <w:rPr>
          <w:rFonts w:ascii="Century Gothic" w:hAnsi="Century Gothic"/>
          <w:sz w:val="20"/>
          <w:szCs w:val="20"/>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r w:rsidRPr="00635FE2">
        <w:rPr>
          <w:rFonts w:ascii="Century Gothic" w:hAnsi="Century Gothic"/>
          <w:sz w:val="20"/>
          <w:szCs w:val="20"/>
        </w:rPr>
        <w:t xml:space="preserve"> (…)</w:t>
      </w:r>
    </w:p>
    <w:p w:rsidRPr="00635FE2" w:rsidR="00635FE2" w:rsidP="00635FE2" w:rsidRDefault="00635FE2" w14:paraId="74DEDD0B" w14:textId="77777777">
      <w:pPr>
        <w:spacing w:after="120" w:line="240" w:lineRule="auto"/>
        <w:contextualSpacing/>
        <w:jc w:val="both"/>
        <w:rPr>
          <w:rFonts w:ascii="Century Gothic" w:hAnsi="Century Gothic" w:cs="Arial"/>
          <w:b/>
          <w:color w:val="000000"/>
          <w:sz w:val="20"/>
          <w:szCs w:val="20"/>
        </w:rPr>
      </w:pPr>
    </w:p>
    <w:p w:rsidRPr="00635FE2" w:rsidR="001465D3" w:rsidP="00635FE2" w:rsidRDefault="001465D3" w14:paraId="22036CB6" w14:textId="66789433">
      <w:pPr>
        <w:spacing w:after="120" w:line="240" w:lineRule="auto"/>
        <w:contextualSpacing/>
        <w:jc w:val="both"/>
        <w:rPr>
          <w:rFonts w:ascii="Century Gothic" w:hAnsi="Century Gothic" w:cs="Arial"/>
          <w:b/>
          <w:color w:val="000000"/>
          <w:sz w:val="20"/>
          <w:szCs w:val="20"/>
          <w:lang w:val="es-ES_tradnl"/>
        </w:rPr>
      </w:pPr>
      <w:r w:rsidRPr="00635FE2">
        <w:rPr>
          <w:rFonts w:ascii="Century Gothic" w:hAnsi="Century Gothic" w:cs="Arial"/>
          <w:b/>
          <w:color w:val="000000"/>
          <w:sz w:val="20"/>
          <w:szCs w:val="20"/>
          <w:lang w:val="es-ES_tradnl"/>
        </w:rPr>
        <w:t>MEJOR AÑO FISCAL – Decreto 399 de 2021– Capacidad financiera – Capacidad organizacional – Interpretación</w:t>
      </w:r>
    </w:p>
    <w:p w:rsidRPr="00635FE2" w:rsidR="00635FE2" w:rsidP="00635FE2" w:rsidRDefault="00635FE2" w14:paraId="0CBF18EA" w14:textId="77777777">
      <w:pPr>
        <w:spacing w:after="120" w:line="240" w:lineRule="auto"/>
        <w:contextualSpacing/>
        <w:jc w:val="both"/>
        <w:rPr>
          <w:rFonts w:ascii="Century Gothic" w:hAnsi="Century Gothic" w:cs="Arial"/>
          <w:b/>
          <w:color w:val="000000"/>
          <w:sz w:val="20"/>
          <w:szCs w:val="20"/>
          <w:lang w:val="es-ES_tradnl"/>
        </w:rPr>
      </w:pPr>
    </w:p>
    <w:p w:rsidRPr="00635FE2" w:rsidR="00635FE2" w:rsidP="00635FE2" w:rsidRDefault="00635FE2" w14:paraId="799421A8" w14:textId="255D6903">
      <w:pPr>
        <w:spacing w:after="120" w:line="240" w:lineRule="auto"/>
        <w:contextualSpacing/>
        <w:jc w:val="both"/>
        <w:rPr>
          <w:rFonts w:ascii="Century Gothic" w:hAnsi="Century Gothic" w:cs="Arial"/>
          <w:b/>
          <w:color w:val="000000"/>
          <w:sz w:val="20"/>
          <w:szCs w:val="20"/>
          <w:lang w:val="es-ES_tradnl"/>
        </w:rPr>
      </w:pPr>
      <w:r w:rsidRPr="00635FE2">
        <w:rPr>
          <w:rFonts w:ascii="Century Gothic" w:hAnsi="Century Gothic"/>
          <w:sz w:val="20"/>
          <w:szCs w:val="20"/>
        </w:rPr>
        <w:t>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Decreto 1041 de 2022,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r w:rsidRPr="00635FE2">
        <w:rPr>
          <w:rFonts w:ascii="Century Gothic" w:hAnsi="Century Gothic"/>
          <w:sz w:val="20"/>
          <w:szCs w:val="20"/>
        </w:rPr>
        <w:t>.</w:t>
      </w:r>
    </w:p>
    <w:p w:rsidR="001465D3" w:rsidRDefault="001465D3" w14:paraId="73493159" w14:textId="59F72A6D">
      <w:pPr>
        <w:rPr>
          <w:rFonts w:ascii="Century Gothic" w:hAnsi="Century Gothic" w:cs="Arial"/>
        </w:rPr>
      </w:pPr>
      <w:r>
        <w:rPr>
          <w:rFonts w:ascii="Century Gothic" w:hAnsi="Century Gothic" w:cs="Arial"/>
        </w:rPr>
        <w:br w:type="page"/>
      </w:r>
    </w:p>
    <w:p w:rsidRPr="00703170" w:rsidR="00D37737" w:rsidP="00D37737" w:rsidRDefault="001465D3" w14:paraId="393FA295" w14:textId="085D0303">
      <w:pPr>
        <w:spacing w:after="0"/>
        <w:rPr>
          <w:rFonts w:ascii="Century Gothic" w:hAnsi="Century Gothic" w:cs="Arial"/>
        </w:rPr>
      </w:pPr>
      <w:r w:rsidRPr="001465D3">
        <w:rPr>
          <w:rFonts w:ascii="Century Gothic" w:hAnsi="Century Gothic" w:cs="Arial"/>
        </w:rPr>
        <w:lastRenderedPageBreak/>
        <w:drawing>
          <wp:anchor distT="0" distB="0" distL="114300" distR="114300" simplePos="0" relativeHeight="251658240" behindDoc="1" locked="0" layoutInCell="1" allowOverlap="1" wp14:anchorId="0901F53D" wp14:editId="2EF522A8">
            <wp:simplePos x="0" y="0"/>
            <wp:positionH relativeFrom="column">
              <wp:posOffset>3593465</wp:posOffset>
            </wp:positionH>
            <wp:positionV relativeFrom="paragraph">
              <wp:posOffset>5715</wp:posOffset>
            </wp:positionV>
            <wp:extent cx="2368672" cy="577880"/>
            <wp:effectExtent l="0" t="0" r="0" b="0"/>
            <wp:wrapNone/>
            <wp:docPr id="8146012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0124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368672" cy="577880"/>
                    </a:xfrm>
                    <a:prstGeom prst="rect">
                      <a:avLst/>
                    </a:prstGeom>
                  </pic:spPr>
                </pic:pic>
              </a:graphicData>
            </a:graphic>
          </wp:anchor>
        </w:drawing>
      </w:r>
      <w:r w:rsidRPr="00703170" w:rsidR="00D37737">
        <w:rPr>
          <w:rFonts w:ascii="Century Gothic" w:hAnsi="Century Gothic" w:cs="Arial"/>
        </w:rPr>
        <w:t>Bogotá D.C., 28 de agosto del 2023</w:t>
      </w:r>
    </w:p>
    <w:p w:rsidRPr="00703170" w:rsidR="00D37737" w:rsidP="00703170" w:rsidRDefault="00D37737" w14:paraId="77D36DD2" w14:textId="59BEC260">
      <w:pPr>
        <w:spacing w:after="0"/>
        <w:rPr>
          <w:rFonts w:ascii="Century Gothic" w:hAnsi="Century Gothic" w:cs="Arial"/>
        </w:rPr>
      </w:pPr>
    </w:p>
    <w:p w:rsidRPr="00703170" w:rsidR="00D37737" w:rsidP="00D37737" w:rsidRDefault="00D37737" w14:paraId="0528FB9E" w14:textId="77777777">
      <w:pPr>
        <w:spacing w:after="0"/>
        <w:rPr>
          <w:rFonts w:ascii="Century Gothic" w:hAnsi="Century Gothic" w:cs="Arial"/>
        </w:rPr>
      </w:pPr>
    </w:p>
    <w:p w:rsidRPr="00703170" w:rsidR="00D37737" w:rsidP="00D37737" w:rsidRDefault="00D37737" w14:paraId="10498649" w14:textId="77777777">
      <w:pPr>
        <w:spacing w:after="0"/>
        <w:rPr>
          <w:rFonts w:ascii="Century Gothic" w:hAnsi="Century Gothic" w:eastAsia="Geomanist Light" w:cs="Arial"/>
          <w:color w:val="201F1E"/>
          <w:lang w:val="es-MX"/>
        </w:rPr>
      </w:pPr>
      <w:r w:rsidRPr="00703170">
        <w:rPr>
          <w:rFonts w:ascii="Century Gothic" w:hAnsi="Century Gothic" w:cs="Arial"/>
          <w:lang w:val="es-MX"/>
        </w:rPr>
        <w:t>Señor:</w:t>
      </w:r>
    </w:p>
    <w:p w:rsidRPr="00703170" w:rsidR="00D37737" w:rsidP="00D37737" w:rsidRDefault="004200BA" w14:paraId="6FB16699" w14:textId="25C7E184">
      <w:pPr>
        <w:spacing w:after="0" w:line="276" w:lineRule="auto"/>
        <w:rPr>
          <w:rFonts w:ascii="Century Gothic" w:hAnsi="Century Gothic" w:cs="Arial"/>
          <w:lang w:val="es-MX"/>
        </w:rPr>
      </w:pPr>
      <w:r w:rsidRPr="00703170">
        <w:rPr>
          <w:rFonts w:ascii="Century Gothic" w:hAnsi="Century Gothic" w:cs="Arial"/>
          <w:lang w:val="es-MX"/>
        </w:rPr>
        <w:t>G</w:t>
      </w:r>
      <w:r w:rsidRPr="00703170" w:rsidR="004E5FAA">
        <w:rPr>
          <w:rFonts w:ascii="Century Gothic" w:hAnsi="Century Gothic" w:cs="Arial"/>
          <w:lang w:val="es-MX"/>
        </w:rPr>
        <w:t>iovanni Alexander Velandia Castillo</w:t>
      </w:r>
    </w:p>
    <w:p w:rsidRPr="00703170" w:rsidR="00D37737" w:rsidP="00D37737" w:rsidRDefault="00D37737" w14:paraId="03B9F1BF" w14:textId="77777777">
      <w:pPr>
        <w:spacing w:after="0" w:line="276" w:lineRule="auto"/>
        <w:rPr>
          <w:rFonts w:ascii="Century Gothic" w:hAnsi="Century Gothic" w:cs="Arial"/>
          <w:lang w:val="es-MX"/>
        </w:rPr>
      </w:pPr>
      <w:r w:rsidRPr="00703170">
        <w:rPr>
          <w:rFonts w:ascii="Century Gothic" w:hAnsi="Century Gothic" w:cs="Arial"/>
          <w:lang w:val="es-MX"/>
        </w:rPr>
        <w:t>Bogotá D.C.</w:t>
      </w:r>
    </w:p>
    <w:p w:rsidRPr="00703170" w:rsidR="00D37737" w:rsidP="00D37737" w:rsidRDefault="00D37737" w14:paraId="0F7BF119" w14:textId="77777777">
      <w:pPr>
        <w:spacing w:after="0" w:line="276" w:lineRule="auto"/>
        <w:rPr>
          <w:rFonts w:ascii="Century Gothic" w:hAnsi="Century Gothic" w:cs="Arial"/>
          <w:lang w:val="es-MX"/>
        </w:rPr>
      </w:pPr>
    </w:p>
    <w:p w:rsidRPr="00703170" w:rsidR="00D37737" w:rsidP="00D37737" w:rsidRDefault="00D37737" w14:paraId="5C839D3F" w14:textId="0887CDFE">
      <w:pPr>
        <w:spacing w:after="0" w:line="276" w:lineRule="auto"/>
        <w:ind w:left="2832"/>
        <w:rPr>
          <w:rFonts w:ascii="Century Gothic" w:hAnsi="Century Gothic" w:eastAsia="Calibri" w:cs="Arial"/>
          <w:b/>
          <w:lang w:val="es-ES"/>
        </w:rPr>
      </w:pPr>
      <w:r w:rsidRPr="00703170">
        <w:rPr>
          <w:rFonts w:ascii="Century Gothic" w:hAnsi="Century Gothic" w:eastAsia="Calibri" w:cs="Arial"/>
          <w:b/>
          <w:lang w:val="es-ES"/>
        </w:rPr>
        <w:t xml:space="preserve">Concepto </w:t>
      </w:r>
      <w:r w:rsidRPr="00703170">
        <w:rPr>
          <w:rFonts w:ascii="Century Gothic" w:hAnsi="Century Gothic" w:eastAsia="Calibri" w:cs="Arial"/>
          <w:b/>
          <w:bCs/>
          <w:lang w:val="es-ES"/>
        </w:rPr>
        <w:t>C-</w:t>
      </w:r>
      <w:r w:rsidRPr="00703170">
        <w:rPr>
          <w:rFonts w:ascii="Century Gothic" w:hAnsi="Century Gothic" w:cs="Arial"/>
        </w:rPr>
        <w:t xml:space="preserve"> </w:t>
      </w:r>
      <w:r w:rsidRPr="00703170" w:rsidR="00D90740">
        <w:rPr>
          <w:rFonts w:ascii="Century Gothic" w:hAnsi="Century Gothic" w:eastAsia="Calibri" w:cs="Arial"/>
          <w:b/>
          <w:bCs/>
          <w:lang w:val="es-ES"/>
        </w:rPr>
        <w:t>350</w:t>
      </w:r>
      <w:r w:rsidRPr="00703170">
        <w:rPr>
          <w:rFonts w:ascii="Century Gothic" w:hAnsi="Century Gothic" w:eastAsia="Calibri" w:cs="Arial"/>
          <w:b/>
          <w:bCs/>
          <w:lang w:val="es-ES"/>
        </w:rPr>
        <w:t xml:space="preserve"> del 2023</w:t>
      </w:r>
    </w:p>
    <w:p w:rsidRPr="00703170" w:rsidR="00D37737" w:rsidP="00D37737" w:rsidRDefault="00D37737" w14:paraId="4034518E" w14:textId="77777777">
      <w:pPr>
        <w:spacing w:after="0" w:line="276" w:lineRule="auto"/>
        <w:jc w:val="both"/>
        <w:rPr>
          <w:rFonts w:ascii="Century Gothic" w:hAnsi="Century Gothic" w:eastAsia="Calibri" w:cs="Arial"/>
          <w:lang w:val="es-ES"/>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703170" w:rsidR="00D37737" w:rsidTr="0D7D075D" w14:paraId="5345185A" w14:textId="77777777">
        <w:trPr>
          <w:jc w:val="right"/>
        </w:trPr>
        <w:tc>
          <w:tcPr>
            <w:tcW w:w="1838" w:type="dxa"/>
            <w:tcMar/>
          </w:tcPr>
          <w:p w:rsidRPr="00703170" w:rsidR="00D37737" w:rsidP="009A35AD" w:rsidRDefault="00D37737" w14:paraId="32297BFE" w14:textId="77777777">
            <w:pPr>
              <w:spacing w:line="276" w:lineRule="auto"/>
              <w:jc w:val="center"/>
              <w:rPr>
                <w:rFonts w:ascii="Century Gothic" w:hAnsi="Century Gothic" w:eastAsia="Calibri" w:cs="Arial"/>
                <w:lang w:val="es-ES_tradnl"/>
              </w:rPr>
            </w:pPr>
            <w:r w:rsidRPr="00703170">
              <w:rPr>
                <w:rFonts w:ascii="Century Gothic" w:hAnsi="Century Gothic" w:eastAsia="Calibri" w:cs="Arial"/>
                <w:b/>
                <w:lang w:val="es-ES_tradnl"/>
              </w:rPr>
              <w:t>Temas:</w:t>
            </w:r>
          </w:p>
        </w:tc>
        <w:tc>
          <w:tcPr>
            <w:tcW w:w="6237" w:type="dxa"/>
            <w:tcMar/>
          </w:tcPr>
          <w:p w:rsidR="00D37737" w:rsidP="0D7D075D" w:rsidRDefault="00D37737" w14:paraId="0A85644E" w14:textId="2A0AE739">
            <w:pPr>
              <w:spacing w:after="120"/>
              <w:contextualSpacing/>
              <w:jc w:val="both"/>
              <w:rPr>
                <w:rFonts w:ascii="Century Gothic" w:hAnsi="Century Gothic" w:cs="Arial"/>
                <w:color w:val="000000"/>
                <w:lang w:val="es-ES"/>
              </w:rPr>
            </w:pPr>
            <w:r w:rsidRPr="0D7D075D" w:rsidR="00D37737">
              <w:rPr>
                <w:rFonts w:ascii="Century Gothic" w:hAnsi="Century Gothic" w:cs="Arial"/>
                <w:color w:val="000000" w:themeColor="text1" w:themeTint="FF" w:themeShade="FF"/>
              </w:rPr>
              <w:t>REQUISITOS HABILITANTES – Noción / REQUISITOS HABILITANTES – Autonomía / CAPACIDAD FINANCIERA – Definición / CAPACIDAD FINANCIERA –Uso de Indicadores – Medio de Prueba /</w:t>
            </w:r>
            <w:r w:rsidRPr="0D7D075D" w:rsidR="00D37737">
              <w:rPr>
                <w:rFonts w:ascii="Century Gothic" w:hAnsi="Century Gothic" w:cs="Arial"/>
                <w:color w:val="000000" w:themeColor="text1" w:themeTint="FF" w:themeShade="FF"/>
                <w:lang w:val="es-ES"/>
              </w:rPr>
              <w:t xml:space="preserve"> DECRETO 1041 DE 2022 – Finalidad – Reactivación económica / DECRETO 1041 DE 2022 – Información – Capacidad financiera – Capacidad organizacional /</w:t>
            </w:r>
            <w:r w:rsidRPr="0D7D075D" w:rsidR="00D37737">
              <w:rPr>
                <w:rFonts w:ascii="Century Gothic" w:hAnsi="Century Gothic"/>
              </w:rPr>
              <w:t xml:space="preserve"> </w:t>
            </w:r>
            <w:r w:rsidRPr="0D7D075D" w:rsidR="00D37737">
              <w:rPr>
                <w:rFonts w:ascii="Century Gothic" w:hAnsi="Century Gothic" w:cs="Arial"/>
                <w:color w:val="000000" w:themeColor="text1" w:themeTint="FF" w:themeShade="FF"/>
                <w:lang w:val="es-ES"/>
              </w:rPr>
              <w:t>MEJOR AÑO FISCAL – Decreto 399 de 2021– Capacidad financiera – Capacidad organizacional – Interpretación</w:t>
            </w:r>
          </w:p>
          <w:p w:rsidRPr="00703170" w:rsidR="007C37CD" w:rsidP="009A35AD" w:rsidRDefault="007C37CD" w14:paraId="7C869D15" w14:textId="77777777">
            <w:pPr>
              <w:spacing w:after="120"/>
              <w:contextualSpacing/>
              <w:jc w:val="both"/>
              <w:rPr>
                <w:rFonts w:ascii="Century Gothic" w:hAnsi="Century Gothic" w:eastAsia="Calibri" w:cs="Arial"/>
                <w:lang w:val="es-MX" w:eastAsia="es-ES_tradnl"/>
              </w:rPr>
            </w:pPr>
          </w:p>
        </w:tc>
      </w:tr>
      <w:tr w:rsidRPr="00703170" w:rsidR="00D37737" w:rsidTr="0D7D075D" w14:paraId="2984FAD3" w14:textId="77777777">
        <w:trPr>
          <w:jc w:val="right"/>
        </w:trPr>
        <w:tc>
          <w:tcPr>
            <w:tcW w:w="1838" w:type="dxa"/>
            <w:tcMar/>
          </w:tcPr>
          <w:p w:rsidRPr="00703170" w:rsidR="00D37737" w:rsidP="009A35AD" w:rsidRDefault="00D37737" w14:paraId="1CC419ED" w14:textId="77777777">
            <w:pPr>
              <w:spacing w:line="276" w:lineRule="auto"/>
              <w:jc w:val="center"/>
              <w:rPr>
                <w:rFonts w:ascii="Century Gothic" w:hAnsi="Century Gothic" w:eastAsia="Calibri" w:cs="Arial"/>
                <w:b/>
                <w:lang w:val="es-ES"/>
              </w:rPr>
            </w:pPr>
            <w:r w:rsidRPr="00703170">
              <w:rPr>
                <w:rFonts w:ascii="Century Gothic" w:hAnsi="Century Gothic" w:eastAsia="Calibri" w:cs="Arial"/>
                <w:b/>
                <w:lang w:val="es-ES"/>
              </w:rPr>
              <w:t>Radicación:</w:t>
            </w:r>
          </w:p>
        </w:tc>
        <w:tc>
          <w:tcPr>
            <w:tcW w:w="6237" w:type="dxa"/>
            <w:tcMar/>
          </w:tcPr>
          <w:p w:rsidRPr="00703170" w:rsidR="00D37737" w:rsidP="009A35AD" w:rsidRDefault="00D37737" w14:paraId="2A235BC9" w14:textId="7E1C3FFB">
            <w:pPr>
              <w:spacing w:line="276" w:lineRule="auto"/>
              <w:jc w:val="both"/>
              <w:rPr>
                <w:rFonts w:ascii="Century Gothic" w:hAnsi="Century Gothic" w:eastAsia="Calibri" w:cs="Arial"/>
                <w:lang w:val="es-ES"/>
              </w:rPr>
            </w:pPr>
            <w:r w:rsidRPr="00703170">
              <w:rPr>
                <w:rFonts w:ascii="Century Gothic" w:hAnsi="Century Gothic" w:eastAsia="Calibri" w:cs="Arial"/>
                <w:lang w:val="es-ES"/>
              </w:rPr>
              <w:t>Respuesta a consulta No. P20230</w:t>
            </w:r>
            <w:r w:rsidRPr="00703170" w:rsidR="00584994">
              <w:rPr>
                <w:rFonts w:ascii="Century Gothic" w:hAnsi="Century Gothic" w:eastAsia="Calibri" w:cs="Arial"/>
                <w:lang w:val="es-ES"/>
              </w:rPr>
              <w:t>71401</w:t>
            </w:r>
            <w:r w:rsidRPr="00703170" w:rsidR="007B0D41">
              <w:rPr>
                <w:rFonts w:ascii="Century Gothic" w:hAnsi="Century Gothic" w:eastAsia="Calibri" w:cs="Arial"/>
                <w:lang w:val="es-ES"/>
              </w:rPr>
              <w:t>3286</w:t>
            </w:r>
            <w:r w:rsidRPr="00703170">
              <w:rPr>
                <w:rFonts w:ascii="Century Gothic" w:hAnsi="Century Gothic" w:eastAsia="Calibri" w:cs="Arial"/>
                <w:lang w:val="es-ES"/>
              </w:rPr>
              <w:t>.</w:t>
            </w:r>
          </w:p>
        </w:tc>
      </w:tr>
    </w:tbl>
    <w:p w:rsidRPr="00703170" w:rsidR="00D37737" w:rsidP="00D37737" w:rsidRDefault="00D37737" w14:paraId="6D972B18" w14:textId="77777777">
      <w:pPr>
        <w:spacing w:line="276" w:lineRule="auto"/>
        <w:jc w:val="both"/>
        <w:rPr>
          <w:rFonts w:ascii="Century Gothic" w:hAnsi="Century Gothic" w:eastAsia="Calibri" w:cs="Arial"/>
          <w:lang w:val="es-ES_tradnl"/>
        </w:rPr>
      </w:pPr>
    </w:p>
    <w:p w:rsidRPr="00703170" w:rsidR="00D37737" w:rsidP="00D37737" w:rsidRDefault="00D37737" w14:paraId="5B5D2BA2" w14:textId="36F5FD85">
      <w:pPr>
        <w:spacing w:line="276" w:lineRule="auto"/>
        <w:jc w:val="both"/>
        <w:rPr>
          <w:rFonts w:ascii="Century Gothic" w:hAnsi="Century Gothic" w:eastAsia="Calibri" w:cs="Arial"/>
          <w:lang w:val="es-ES_tradnl"/>
        </w:rPr>
      </w:pPr>
      <w:r w:rsidRPr="00703170">
        <w:rPr>
          <w:rFonts w:ascii="Century Gothic" w:hAnsi="Century Gothic" w:eastAsia="Calibri" w:cs="Arial"/>
          <w:lang w:val="es-ES_tradnl"/>
        </w:rPr>
        <w:t xml:space="preserve">Estimado señor </w:t>
      </w:r>
      <w:r w:rsidRPr="00703170" w:rsidR="00C543EC">
        <w:rPr>
          <w:rFonts w:ascii="Century Gothic" w:hAnsi="Century Gothic" w:cs="Arial"/>
          <w:lang w:val="es-MX"/>
        </w:rPr>
        <w:t>Velandia</w:t>
      </w:r>
      <w:r w:rsidRPr="00703170">
        <w:rPr>
          <w:rFonts w:ascii="Century Gothic" w:hAnsi="Century Gothic" w:eastAsia="Calibri" w:cs="Arial"/>
          <w:lang w:val="es-ES_tradnl"/>
        </w:rPr>
        <w:t>:</w:t>
      </w:r>
    </w:p>
    <w:p w:rsidRPr="00703170" w:rsidR="00D37737" w:rsidP="00D37737" w:rsidRDefault="00D37737" w14:paraId="205FBFB1" w14:textId="5AB66660">
      <w:pPr>
        <w:spacing w:after="0" w:line="276" w:lineRule="auto"/>
        <w:jc w:val="both"/>
        <w:rPr>
          <w:rFonts w:ascii="Century Gothic" w:hAnsi="Century Gothic" w:eastAsia="Calibri" w:cs="Arial"/>
          <w:lang w:val="es-ES"/>
        </w:rPr>
      </w:pPr>
      <w:r w:rsidRPr="00703170">
        <w:rPr>
          <w:rFonts w:ascii="Century Gothic" w:hAnsi="Century Gothic" w:eastAsia="Calibri" w:cs="Arial"/>
          <w:lang w:val="es-ES"/>
        </w:rPr>
        <w:t>En ejercicio de la competencia otorgada por el numeral 8° del artículo 11 y el numeral 5° del artículo 3 del Decreto Ley 4170 de 2011, la Agencia Nacional de Contratación Pública ―Colombia Compra Eficiente― responde su consulta de</w:t>
      </w:r>
      <w:r w:rsidRPr="00703170" w:rsidR="00B77944">
        <w:rPr>
          <w:rFonts w:ascii="Century Gothic" w:hAnsi="Century Gothic" w:eastAsia="Calibri" w:cs="Arial"/>
          <w:lang w:val="es-ES"/>
        </w:rPr>
        <w:t xml:space="preserve"> 6 de julio </w:t>
      </w:r>
      <w:r w:rsidRPr="00703170">
        <w:rPr>
          <w:rFonts w:ascii="Century Gothic" w:hAnsi="Century Gothic" w:eastAsia="Calibri" w:cs="Arial"/>
          <w:lang w:val="es-ES"/>
        </w:rPr>
        <w:t>del 2023</w:t>
      </w:r>
      <w:r w:rsidRPr="00703170" w:rsidR="00B77944">
        <w:rPr>
          <w:rFonts w:ascii="Century Gothic" w:hAnsi="Century Gothic" w:eastAsia="Calibri" w:cs="Arial"/>
          <w:lang w:val="es-ES"/>
        </w:rPr>
        <w:t xml:space="preserve">, </w:t>
      </w:r>
      <w:r w:rsidRPr="00703170" w:rsidR="006C0220">
        <w:rPr>
          <w:rFonts w:ascii="Century Gothic" w:hAnsi="Century Gothic" w:eastAsia="Calibri" w:cs="Arial"/>
          <w:lang w:val="es-ES"/>
        </w:rPr>
        <w:t>remitida por el Departamento Nacional de Planeación el 13 de julio de 2023</w:t>
      </w:r>
      <w:r w:rsidRPr="00703170">
        <w:rPr>
          <w:rFonts w:ascii="Century Gothic" w:hAnsi="Century Gothic" w:eastAsia="Calibri" w:cs="Arial"/>
          <w:lang w:val="es-ES"/>
        </w:rPr>
        <w:t>.</w:t>
      </w:r>
    </w:p>
    <w:p w:rsidRPr="00703170" w:rsidR="00D37737" w:rsidP="00D37737" w:rsidRDefault="00D37737" w14:paraId="1449BAFA" w14:textId="77777777">
      <w:pPr>
        <w:spacing w:after="0" w:line="276" w:lineRule="auto"/>
        <w:jc w:val="both"/>
        <w:rPr>
          <w:rFonts w:ascii="Century Gothic" w:hAnsi="Century Gothic" w:eastAsia="Calibri" w:cs="Arial"/>
          <w:lang w:val="es-ES"/>
        </w:rPr>
      </w:pPr>
    </w:p>
    <w:p w:rsidRPr="00703170" w:rsidR="00D37737" w:rsidP="00D37737" w:rsidRDefault="00D37737" w14:paraId="6B96BBD8" w14:textId="77777777">
      <w:pPr>
        <w:pStyle w:val="Prrafodelista"/>
        <w:numPr>
          <w:ilvl w:val="0"/>
          <w:numId w:val="6"/>
        </w:numPr>
        <w:tabs>
          <w:tab w:val="left" w:pos="0"/>
          <w:tab w:val="left" w:pos="142"/>
          <w:tab w:val="left" w:pos="284"/>
        </w:tabs>
        <w:spacing w:after="0" w:line="276" w:lineRule="auto"/>
        <w:ind w:left="0" w:firstLine="0"/>
        <w:jc w:val="both"/>
        <w:rPr>
          <w:rFonts w:ascii="Century Gothic" w:hAnsi="Century Gothic" w:eastAsia="Calibri" w:cs="Arial"/>
          <w:b/>
          <w:lang w:val="es-ES_tradnl"/>
        </w:rPr>
      </w:pPr>
      <w:r w:rsidRPr="00703170">
        <w:rPr>
          <w:rFonts w:ascii="Century Gothic" w:hAnsi="Century Gothic" w:eastAsia="Calibri" w:cs="Arial"/>
          <w:b/>
          <w:lang w:val="es-ES_tradnl"/>
        </w:rPr>
        <w:t xml:space="preserve">Problema planteado </w:t>
      </w:r>
    </w:p>
    <w:p w:rsidRPr="00703170" w:rsidR="00163355" w:rsidP="00D37737" w:rsidRDefault="00163355" w14:paraId="225293F6" w14:textId="3E523AA3">
      <w:pPr>
        <w:pStyle w:val="Prrafodelista"/>
        <w:tabs>
          <w:tab w:val="left" w:pos="0"/>
          <w:tab w:val="left" w:pos="142"/>
          <w:tab w:val="left" w:pos="284"/>
        </w:tabs>
        <w:spacing w:after="0" w:line="276" w:lineRule="auto"/>
        <w:ind w:left="0"/>
        <w:jc w:val="both"/>
        <w:rPr>
          <w:rFonts w:ascii="Century Gothic" w:hAnsi="Century Gothic" w:eastAsia="Calibri" w:cs="Arial"/>
          <w:bCs/>
          <w:lang w:val="es-ES_tradnl"/>
        </w:rPr>
      </w:pPr>
    </w:p>
    <w:p w:rsidRPr="00703170" w:rsidR="00163355" w:rsidP="00D37737" w:rsidRDefault="00163355" w14:paraId="404E464B" w14:textId="684C06E7">
      <w:pPr>
        <w:pStyle w:val="Prrafodelista"/>
        <w:tabs>
          <w:tab w:val="left" w:pos="0"/>
          <w:tab w:val="left" w:pos="142"/>
          <w:tab w:val="left" w:pos="284"/>
        </w:tabs>
        <w:spacing w:after="0" w:line="276" w:lineRule="auto"/>
        <w:ind w:left="0"/>
        <w:jc w:val="both"/>
        <w:rPr>
          <w:rFonts w:ascii="Century Gothic" w:hAnsi="Century Gothic" w:eastAsia="Calibri" w:cs="Arial"/>
          <w:bCs/>
          <w:lang w:val="es-ES_tradnl"/>
        </w:rPr>
      </w:pPr>
      <w:r w:rsidRPr="00703170">
        <w:rPr>
          <w:rFonts w:ascii="Century Gothic" w:hAnsi="Century Gothic" w:eastAsia="Calibri" w:cs="Arial"/>
          <w:bCs/>
          <w:lang w:val="es-ES_tradnl"/>
        </w:rPr>
        <w:t>Usted pregunta lo siguiente</w:t>
      </w:r>
      <w:r w:rsidRPr="00703170" w:rsidR="00703170">
        <w:rPr>
          <w:rFonts w:ascii="Century Gothic" w:hAnsi="Century Gothic" w:eastAsia="Calibri" w:cs="Arial"/>
          <w:bCs/>
          <w:lang w:val="es-ES_tradnl"/>
        </w:rPr>
        <w:t>: “</w:t>
      </w:r>
      <w:r w:rsidRPr="00703170" w:rsidR="00703170">
        <w:rPr>
          <w:rFonts w:ascii="Century Gothic" w:hAnsi="Century Gothic"/>
        </w:rPr>
        <w:t xml:space="preserve">Deseo tener conocimiento si a la fecha </w:t>
      </w:r>
      <w:r w:rsidRPr="00703170" w:rsidR="006729E5">
        <w:rPr>
          <w:rFonts w:ascii="Century Gothic" w:hAnsi="Century Gothic"/>
        </w:rPr>
        <w:t>está</w:t>
      </w:r>
      <w:r w:rsidRPr="00703170" w:rsidR="00703170">
        <w:rPr>
          <w:rFonts w:ascii="Century Gothic" w:hAnsi="Century Gothic"/>
        </w:rPr>
        <w:t xml:space="preserve"> vigente el DECRETO 579 DE 2021. Lo anterior en virtud de el mejor año fiscal del proponente de los últimos tres (3) años, con el fin de dar pluralidad a los proponentes que han sido afectados negativamente por la pandemia del COVID-19.</w:t>
      </w:r>
      <w:r w:rsidR="00330F71">
        <w:rPr>
          <w:rFonts w:ascii="Century Gothic" w:hAnsi="Century Gothic"/>
        </w:rPr>
        <w:t xml:space="preserve"> (…)</w:t>
      </w:r>
      <w:r w:rsidRPr="00703170" w:rsidR="00703170">
        <w:rPr>
          <w:rFonts w:ascii="Century Gothic" w:hAnsi="Century Gothic"/>
        </w:rPr>
        <w:t>”</w:t>
      </w:r>
      <w:r w:rsidR="00C447AF">
        <w:rPr>
          <w:rFonts w:ascii="Century Gothic" w:hAnsi="Century Gothic"/>
        </w:rPr>
        <w:t xml:space="preserve"> (Sic).</w:t>
      </w:r>
    </w:p>
    <w:p w:rsidRPr="00703170" w:rsidR="00D37737" w:rsidP="00D37737" w:rsidRDefault="00D37737" w14:paraId="2C6F20BF" w14:textId="77777777">
      <w:pPr>
        <w:spacing w:after="0" w:line="240" w:lineRule="auto"/>
        <w:ind w:right="709"/>
        <w:jc w:val="both"/>
        <w:rPr>
          <w:rFonts w:ascii="Century Gothic" w:hAnsi="Century Gothic" w:cs="Arial"/>
          <w:sz w:val="21"/>
          <w:szCs w:val="21"/>
          <w:lang w:val="es-ES_tradnl"/>
        </w:rPr>
      </w:pPr>
    </w:p>
    <w:p w:rsidRPr="00703170" w:rsidR="00D37737" w:rsidP="00D37737" w:rsidRDefault="00D37737" w14:paraId="3E48146E" w14:textId="77777777">
      <w:pPr>
        <w:pStyle w:val="Prrafodelista"/>
        <w:numPr>
          <w:ilvl w:val="0"/>
          <w:numId w:val="6"/>
        </w:numPr>
        <w:tabs>
          <w:tab w:val="left" w:pos="0"/>
          <w:tab w:val="left" w:pos="284"/>
        </w:tabs>
        <w:spacing w:after="0" w:line="276" w:lineRule="auto"/>
        <w:ind w:left="360"/>
        <w:jc w:val="both"/>
        <w:rPr>
          <w:rFonts w:ascii="Century Gothic" w:hAnsi="Century Gothic" w:eastAsia="Calibri" w:cs="Arial"/>
          <w:b/>
          <w:lang w:val="es-ES_tradnl"/>
        </w:rPr>
      </w:pPr>
      <w:r w:rsidRPr="00703170">
        <w:rPr>
          <w:rFonts w:ascii="Century Gothic" w:hAnsi="Century Gothic" w:eastAsia="Calibri" w:cs="Arial"/>
          <w:b/>
          <w:lang w:val="es-ES_tradnl"/>
        </w:rPr>
        <w:t>Consideraciones</w:t>
      </w:r>
    </w:p>
    <w:p w:rsidRPr="00703170" w:rsidR="00D37737" w:rsidP="00D37737" w:rsidRDefault="00D37737" w14:paraId="6E44A004" w14:textId="77777777">
      <w:pPr>
        <w:pStyle w:val="Prrafodelista"/>
        <w:tabs>
          <w:tab w:val="left" w:pos="0"/>
          <w:tab w:val="left" w:pos="284"/>
        </w:tabs>
        <w:spacing w:after="0" w:line="276" w:lineRule="auto"/>
        <w:ind w:left="0"/>
        <w:contextualSpacing w:val="0"/>
        <w:jc w:val="both"/>
        <w:rPr>
          <w:rFonts w:ascii="Century Gothic" w:hAnsi="Century Gothic" w:eastAsia="Calibri" w:cs="Arial"/>
          <w:b/>
          <w:lang w:val="es-ES_tradnl"/>
        </w:rPr>
      </w:pPr>
    </w:p>
    <w:p w:rsidRPr="00703170" w:rsidR="00D37737" w:rsidP="00D37737" w:rsidRDefault="00D37737" w14:paraId="59BBB469" w14:textId="77777777">
      <w:pPr>
        <w:spacing w:after="120" w:line="276" w:lineRule="auto"/>
        <w:jc w:val="both"/>
        <w:rPr>
          <w:rFonts w:ascii="Century Gothic" w:hAnsi="Century Gothic" w:cs="Arial"/>
          <w:lang w:val="es-ES"/>
        </w:rPr>
      </w:pPr>
      <w:r w:rsidRPr="00703170">
        <w:rPr>
          <w:rFonts w:ascii="Century Gothic" w:hAnsi="Century Gothic" w:cs="Arial"/>
        </w:rPr>
        <w:lastRenderedPageBreak/>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0"/>
      <w:bookmarkStart w:name="_Hlk62136649" w:id="1"/>
      <w:r w:rsidRPr="00703170">
        <w:rPr>
          <w:rFonts w:ascii="Century Gothic" w:hAnsi="Century Gothic" w:cs="Arial"/>
        </w:rPr>
        <w:t xml:space="preserve">. </w:t>
      </w:r>
      <w:r w:rsidRPr="00703170">
        <w:rPr>
          <w:rFonts w:ascii="Century Gothic" w:hAnsi="Century Gothic" w:cs="Arial"/>
          <w:lang w:val="es-ES"/>
        </w:rPr>
        <w:t xml:space="preserve">Es necesario tener en cuenta que </w:t>
      </w:r>
      <w:bookmarkStart w:name="_Hlk61026958" w:id="2"/>
      <w:r w:rsidRPr="00703170">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03170">
        <w:rPr>
          <w:rFonts w:ascii="Century Gothic" w:hAnsi="Century Gothic" w:cs="Arial"/>
        </w:rPr>
        <w:t xml:space="preserve"> de todos los partícipes de la contratación estatal.</w:t>
      </w:r>
      <w:r w:rsidRPr="00703170">
        <w:rPr>
          <w:rFonts w:ascii="Century Gothic" w:hAnsi="Century Gothic" w:cs="Arial"/>
          <w:lang w:val="es-ES"/>
        </w:rPr>
        <w:t xml:space="preserve"> </w:t>
      </w:r>
      <w:bookmarkEnd w:id="0"/>
      <w:bookmarkEnd w:id="1"/>
      <w:bookmarkEnd w:id="2"/>
    </w:p>
    <w:p w:rsidRPr="00703170" w:rsidR="00D37737" w:rsidP="00C425C1" w:rsidRDefault="00D37737" w14:paraId="0764454F" w14:textId="73CDF302">
      <w:pPr>
        <w:spacing w:before="120" w:after="120" w:line="276" w:lineRule="auto"/>
        <w:ind w:firstLine="708"/>
        <w:jc w:val="both"/>
        <w:rPr>
          <w:rFonts w:ascii="Century Gothic" w:hAnsi="Century Gothic" w:eastAsia="Calibri" w:cs="Arial"/>
          <w:lang w:val="es-ES_tradnl" w:eastAsia="es-MX"/>
        </w:rPr>
      </w:pPr>
      <w:r w:rsidRPr="00703170">
        <w:rPr>
          <w:rFonts w:ascii="Century Gothic" w:hAnsi="Century Gothic" w:eastAsia="Calibri" w:cs="Arial"/>
          <w:color w:val="000000"/>
          <w:lang w:val="es-MX"/>
        </w:rPr>
        <w:t xml:space="preserve">Sin perjuicio de lo anterior, </w:t>
      </w:r>
      <w:r w:rsidRPr="00703170">
        <w:rPr>
          <w:rFonts w:ascii="Century Gothic" w:hAnsi="Century Gothic" w:eastAsia="Calibri" w:cs="Arial"/>
          <w:color w:val="000000"/>
          <w:lang w:val="es-ES"/>
        </w:rPr>
        <w:t xml:space="preserve">la Subdirección de Gestión Contractual –dentro de los límites de sus atribuciones, resolverá </w:t>
      </w:r>
      <w:r w:rsidR="00C425C1">
        <w:rPr>
          <w:rFonts w:ascii="Century Gothic" w:hAnsi="Century Gothic" w:eastAsia="Calibri" w:cs="Arial"/>
          <w:color w:val="000000"/>
          <w:lang w:val="es-ES"/>
        </w:rPr>
        <w:t xml:space="preserve">su </w:t>
      </w:r>
      <w:r w:rsidRPr="00703170">
        <w:rPr>
          <w:rFonts w:ascii="Century Gothic" w:hAnsi="Century Gothic" w:eastAsia="Calibri" w:cs="Arial"/>
          <w:color w:val="000000"/>
          <w:lang w:val="es-ES"/>
        </w:rPr>
        <w:t>consulta conforme a las normas generales en materia de contratación estatal</w:t>
      </w:r>
      <w:r w:rsidRPr="00703170">
        <w:rPr>
          <w:rFonts w:ascii="Century Gothic" w:hAnsi="Century Gothic" w:eastAsia="Calibri" w:cs="Arial"/>
          <w:lang w:val="es-ES_tradnl" w:eastAsia="es-MX"/>
        </w:rPr>
        <w:t xml:space="preserve">. Con este objetivo se analizarán los siguientes temas: </w:t>
      </w:r>
      <w:r w:rsidRPr="00703170">
        <w:rPr>
          <w:rFonts w:ascii="Century Gothic" w:hAnsi="Century Gothic" w:cs="Arial"/>
          <w:color w:val="000000" w:themeColor="text1"/>
        </w:rPr>
        <w:t xml:space="preserve">i) capacidad financiera como requisito habilitante; y </w:t>
      </w:r>
      <w:proofErr w:type="spellStart"/>
      <w:r w:rsidRPr="00703170">
        <w:rPr>
          <w:rFonts w:ascii="Century Gothic" w:hAnsi="Century Gothic" w:cs="Arial"/>
          <w:color w:val="000000" w:themeColor="text1"/>
        </w:rPr>
        <w:t>ii</w:t>
      </w:r>
      <w:proofErr w:type="spellEnd"/>
      <w:r w:rsidRPr="00703170">
        <w:rPr>
          <w:rFonts w:ascii="Century Gothic" w:hAnsi="Century Gothic" w:cs="Arial"/>
          <w:color w:val="000000" w:themeColor="text1"/>
        </w:rPr>
        <w:t>) modificaciones introducidas por los Decretos 399 de 2021, 579 de 2021 y 1041 de 2022 respecto a la información contenida en el RUP y delimitación de su verificación dentro del “mejor año fiscal”.</w:t>
      </w:r>
    </w:p>
    <w:p w:rsidRPr="00703170" w:rsidR="00D37737" w:rsidP="00D37737" w:rsidRDefault="00D37737" w14:paraId="2CC39794" w14:textId="37C07E05">
      <w:pPr>
        <w:spacing w:after="0" w:line="276" w:lineRule="auto"/>
        <w:ind w:firstLine="709"/>
        <w:jc w:val="both"/>
        <w:rPr>
          <w:rFonts w:ascii="Century Gothic" w:hAnsi="Century Gothic" w:cs="Arial"/>
          <w:color w:val="000000" w:themeColor="text1"/>
          <w:lang w:val="es-ES_tradnl"/>
        </w:rPr>
      </w:pPr>
      <w:r w:rsidRPr="00703170">
        <w:rPr>
          <w:rFonts w:ascii="Century Gothic" w:hAnsi="Century Gothic" w:eastAsia="Calibri" w:cs="Arial"/>
        </w:rPr>
        <w:t xml:space="preserve">La Agencia Nacional de Contratación Pública – Colombia Compra Eficiente –en adelante la ANCP-CCE– </w:t>
      </w:r>
      <w:r w:rsidRPr="00703170">
        <w:rPr>
          <w:rFonts w:ascii="Century Gothic" w:hAnsi="Century Gothic" w:eastAsia="Calibri" w:cs="Arial"/>
          <w:lang w:val="es-ES_tradnl"/>
        </w:rPr>
        <w:t xml:space="preserve">ha impartido lineamientos sobre la </w:t>
      </w:r>
      <w:r w:rsidRPr="00703170">
        <w:rPr>
          <w:rFonts w:ascii="Century Gothic" w:hAnsi="Century Gothic" w:cs="Arial"/>
          <w:color w:val="000000" w:themeColor="text1"/>
          <w:lang w:val="es-ES_tradnl"/>
        </w:rPr>
        <w:t>acreditación de los indicadores de capacidad financiera y organizacional de los oferentes mediante el RUP en los conceptos No. 4201912000006798 del 24 de octubre de 2019, C-002 del 12 de febrero de 2020, C-089 del 4 de marzo de 2020, C-099 del 06 de abril de 2020, C-166 del 14 de abril de 2020, C-233 del 16 de abril de 2020, C-326 del 9 de junio de 2020, C-140 del 9 de abril de 202</w:t>
      </w:r>
      <w:r w:rsidR="00492570">
        <w:rPr>
          <w:rFonts w:ascii="Century Gothic" w:hAnsi="Century Gothic" w:cs="Arial"/>
          <w:color w:val="000000" w:themeColor="text1"/>
          <w:lang w:val="es-ES_tradnl"/>
        </w:rPr>
        <w:t>, entre otros</w:t>
      </w:r>
      <w:r w:rsidRPr="00703170">
        <w:rPr>
          <w:rFonts w:ascii="Century Gothic" w:hAnsi="Century Gothic" w:cs="Arial"/>
          <w:color w:val="000000" w:themeColor="text1"/>
          <w:lang w:val="es-ES_tradnl"/>
        </w:rPr>
        <w:t>. Respecto de la reciente reglamentación establecida en los Decretos 399</w:t>
      </w:r>
      <w:r w:rsidR="00492570">
        <w:rPr>
          <w:rFonts w:ascii="Century Gothic" w:hAnsi="Century Gothic" w:cs="Arial"/>
          <w:color w:val="000000" w:themeColor="text1"/>
          <w:lang w:val="es-ES_tradnl"/>
        </w:rPr>
        <w:t xml:space="preserve"> y</w:t>
      </w:r>
      <w:r w:rsidRPr="00703170">
        <w:rPr>
          <w:rFonts w:ascii="Century Gothic" w:hAnsi="Century Gothic" w:cs="Arial"/>
          <w:color w:val="000000" w:themeColor="text1"/>
          <w:lang w:val="es-ES_tradnl"/>
        </w:rPr>
        <w:t xml:space="preserve"> 579 de 2021 </w:t>
      </w:r>
      <w:r w:rsidR="00443F9F">
        <w:rPr>
          <w:rFonts w:ascii="Century Gothic" w:hAnsi="Century Gothic" w:cs="Arial"/>
          <w:color w:val="000000" w:themeColor="text1"/>
          <w:lang w:val="es-ES_tradnl"/>
        </w:rPr>
        <w:t xml:space="preserve">y 1041 de 2022 </w:t>
      </w:r>
      <w:r w:rsidRPr="00703170">
        <w:rPr>
          <w:rFonts w:ascii="Century Gothic" w:hAnsi="Century Gothic" w:cs="Arial"/>
          <w:color w:val="000000" w:themeColor="text1"/>
          <w:lang w:val="es-ES_tradnl"/>
        </w:rPr>
        <w:t xml:space="preserve">se pronunció en los Conceptos C-288 de 17 de junio de 2021, C-353 del 19 de julio de 2021, C-366 del 26 de julio de 2021 y C-372 del 28 de julio de 2021, </w:t>
      </w:r>
      <w:r w:rsidRPr="00703170">
        <w:rPr>
          <w:rFonts w:ascii="Century Gothic" w:hAnsi="Century Gothic" w:cs="Arial"/>
        </w:rPr>
        <w:t>C-406 del 8 de agosto de 2021, C-407 del 25 de agosto de 2021, C-439 de 5 de julio de 2022</w:t>
      </w:r>
      <w:r w:rsidR="00443F9F">
        <w:rPr>
          <w:rFonts w:ascii="Century Gothic" w:hAnsi="Century Gothic" w:cs="Arial"/>
        </w:rPr>
        <w:t xml:space="preserve">, </w:t>
      </w:r>
      <w:r w:rsidRPr="00703170">
        <w:rPr>
          <w:rFonts w:ascii="Century Gothic" w:hAnsi="Century Gothic" w:cs="Arial"/>
        </w:rPr>
        <w:t>C-831 del 28 de noviembre del 202</w:t>
      </w:r>
      <w:r w:rsidR="004A6059">
        <w:rPr>
          <w:rFonts w:ascii="Century Gothic" w:hAnsi="Century Gothic" w:cs="Arial"/>
        </w:rPr>
        <w:t>2</w:t>
      </w:r>
      <w:r w:rsidR="00443F9F">
        <w:rPr>
          <w:rFonts w:ascii="Century Gothic" w:hAnsi="Century Gothic" w:cs="Arial"/>
        </w:rPr>
        <w:t>, C-005 de 21 de febrero de 2023</w:t>
      </w:r>
      <w:r w:rsidR="00A01F0E">
        <w:rPr>
          <w:rFonts w:ascii="Century Gothic" w:hAnsi="Century Gothic" w:cs="Arial"/>
        </w:rPr>
        <w:t>, C-050 de 22 de marzo de 2023, C-185 de 8 de junio de 2023 y C-277 de 14 de julio de 2023</w:t>
      </w:r>
      <w:r w:rsidRPr="00703170">
        <w:rPr>
          <w:rStyle w:val="Refdenotaalpie"/>
          <w:rFonts w:ascii="Century Gothic" w:hAnsi="Century Gothic" w:cs="Arial"/>
        </w:rPr>
        <w:footnoteReference w:id="2"/>
      </w:r>
      <w:r w:rsidRPr="00703170">
        <w:rPr>
          <w:rFonts w:ascii="Century Gothic" w:hAnsi="Century Gothic" w:cs="Arial"/>
        </w:rPr>
        <w:t xml:space="preserve">. </w:t>
      </w:r>
      <w:r w:rsidRPr="00703170">
        <w:rPr>
          <w:rFonts w:ascii="Century Gothic" w:hAnsi="Century Gothic" w:cs="Arial"/>
          <w:color w:val="000000" w:themeColor="text1"/>
          <w:lang w:val="es-ES_tradnl"/>
        </w:rPr>
        <w:t>Las tesis propuestas se reiteran a continuación y se complementan en lo que pertinente, teniendo en cuenta el objeto de la consulta.</w:t>
      </w:r>
    </w:p>
    <w:p w:rsidRPr="00703170" w:rsidR="00D37737" w:rsidP="00D37737" w:rsidRDefault="00D37737" w14:paraId="669AE53A" w14:textId="77777777">
      <w:pPr>
        <w:spacing w:after="0" w:line="276" w:lineRule="auto"/>
        <w:ind w:firstLine="709"/>
        <w:jc w:val="both"/>
        <w:rPr>
          <w:rFonts w:ascii="Century Gothic" w:hAnsi="Century Gothic" w:cs="Arial"/>
          <w:color w:val="000000" w:themeColor="text1"/>
          <w:lang w:val="es-ES_tradnl"/>
        </w:rPr>
      </w:pPr>
    </w:p>
    <w:p w:rsidRPr="00703170" w:rsidR="00D37737" w:rsidP="00D37737" w:rsidRDefault="00D37737" w14:paraId="5F58C174" w14:textId="77777777">
      <w:pPr>
        <w:tabs>
          <w:tab w:val="left" w:pos="426"/>
          <w:tab w:val="left" w:pos="851"/>
        </w:tabs>
        <w:rPr>
          <w:rFonts w:ascii="Century Gothic" w:hAnsi="Century Gothic" w:cs="Arial"/>
          <w:b/>
          <w:bCs/>
          <w:color w:val="000000" w:themeColor="text1"/>
          <w:lang w:val="es-ES"/>
        </w:rPr>
      </w:pPr>
      <w:r w:rsidRPr="00703170">
        <w:rPr>
          <w:rFonts w:ascii="Century Gothic" w:hAnsi="Century Gothic" w:cs="Arial"/>
          <w:b/>
          <w:bCs/>
          <w:color w:val="000000" w:themeColor="text1"/>
          <w:lang w:val="es-ES_tradnl"/>
        </w:rPr>
        <w:t xml:space="preserve">2.1. </w:t>
      </w:r>
      <w:r w:rsidRPr="00703170">
        <w:rPr>
          <w:rFonts w:ascii="Century Gothic" w:hAnsi="Century Gothic" w:cs="Arial"/>
          <w:b/>
          <w:bCs/>
          <w:color w:val="000000" w:themeColor="text1"/>
        </w:rPr>
        <w:t>Capacidad financiera como requisito habilitante</w:t>
      </w:r>
    </w:p>
    <w:p w:rsidRPr="00703170" w:rsidR="00D37737" w:rsidP="00D37737" w:rsidRDefault="00D37737" w14:paraId="6B0261BE" w14:textId="77777777">
      <w:pPr>
        <w:spacing w:after="120"/>
        <w:jc w:val="both"/>
        <w:rPr>
          <w:rFonts w:ascii="Century Gothic" w:hAnsi="Century Gothic" w:cs="Arial"/>
          <w:color w:val="000000" w:themeColor="text1"/>
          <w:lang w:val="es-ES_tradnl"/>
        </w:rPr>
      </w:pPr>
      <w:r w:rsidRPr="00703170">
        <w:rPr>
          <w:rFonts w:ascii="Century Gothic" w:hAnsi="Century Gothic" w:cs="Arial"/>
          <w:color w:val="000000" w:themeColor="text1"/>
          <w:lang w:val="es-ES_tradnl"/>
        </w:rPr>
        <w:t xml:space="preserve">Los </w:t>
      </w:r>
      <w:r w:rsidRPr="00703170">
        <w:rPr>
          <w:rFonts w:ascii="Century Gothic" w:hAnsi="Century Gothic" w:cs="Arial"/>
          <w:i/>
          <w:iCs/>
          <w:color w:val="000000" w:themeColor="text1"/>
          <w:lang w:val="es-ES_tradnl"/>
        </w:rPr>
        <w:t>requisitos habilitantes</w:t>
      </w:r>
      <w:r w:rsidRPr="00703170">
        <w:rPr>
          <w:rFonts w:ascii="Century Gothic" w:hAnsi="Century Gothic"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703170">
        <w:rPr>
          <w:rFonts w:ascii="Century Gothic" w:hAnsi="Century Gothic" w:cs="Arial"/>
          <w:i/>
          <w:iCs/>
          <w:color w:val="000000" w:themeColor="text1"/>
          <w:lang w:val="es-ES_tradnl"/>
        </w:rPr>
        <w:t>criterios de evaluación</w:t>
      </w:r>
      <w:r w:rsidRPr="00703170">
        <w:rPr>
          <w:rFonts w:ascii="Century Gothic" w:hAnsi="Century Gothic" w:cs="Arial"/>
          <w:color w:val="000000" w:themeColor="text1"/>
          <w:lang w:val="es-ES_tradnl"/>
        </w:rPr>
        <w:t xml:space="preserve"> –también conocidos como </w:t>
      </w:r>
      <w:r w:rsidRPr="00703170">
        <w:rPr>
          <w:rFonts w:ascii="Century Gothic" w:hAnsi="Century Gothic" w:cs="Arial"/>
          <w:i/>
          <w:iCs/>
          <w:color w:val="000000" w:themeColor="text1"/>
          <w:lang w:val="es-ES_tradnl"/>
        </w:rPr>
        <w:t>criterios de calificación</w:t>
      </w:r>
      <w:r w:rsidRPr="00703170">
        <w:rPr>
          <w:rFonts w:ascii="Century Gothic" w:hAnsi="Century Gothic"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rsidRPr="00703170" w:rsidR="00D37737" w:rsidP="00D37737" w:rsidRDefault="00D37737" w14:paraId="556CB7B9" w14:textId="77777777">
      <w:pPr>
        <w:spacing w:after="120"/>
        <w:ind w:firstLine="708"/>
        <w:jc w:val="both"/>
        <w:rPr>
          <w:rFonts w:ascii="Century Gothic" w:hAnsi="Century Gothic" w:cs="Arial"/>
          <w:color w:val="000000" w:themeColor="text1"/>
          <w:lang w:val="es-ES_tradnl"/>
        </w:rPr>
      </w:pPr>
      <w:r w:rsidRPr="00703170">
        <w:rPr>
          <w:rFonts w:ascii="Century Gothic" w:hAnsi="Century Gothic" w:cs="Arial"/>
          <w:color w:val="000000" w:themeColor="text1"/>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703170" w:rsidR="00D37737" w:rsidP="00D37737" w:rsidRDefault="00D37737" w14:paraId="46D11E3B" w14:textId="77777777">
      <w:pPr>
        <w:spacing w:after="120"/>
        <w:ind w:firstLine="708"/>
        <w:jc w:val="both"/>
        <w:rPr>
          <w:rFonts w:ascii="Century Gothic" w:hAnsi="Century Gothic" w:cs="Arial"/>
          <w:color w:val="000000" w:themeColor="text1"/>
          <w:lang w:val="es-ES_tradnl"/>
        </w:rPr>
      </w:pPr>
      <w:r w:rsidRPr="00703170">
        <w:rPr>
          <w:rFonts w:ascii="Century Gothic" w:hAnsi="Century Gothic" w:cs="Arial"/>
          <w:color w:val="000000" w:themeColor="text1"/>
          <w:lang w:val="es-ES_tradnl"/>
        </w:rPr>
        <w:t xml:space="preserve">El mencionado artículo dispone que se considera </w:t>
      </w:r>
      <w:r w:rsidRPr="00703170">
        <w:rPr>
          <w:rFonts w:ascii="Century Gothic" w:hAnsi="Century Gothic" w:cs="Arial"/>
          <w:i/>
          <w:iCs/>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703170">
        <w:rPr>
          <w:rFonts w:ascii="Century Gothic" w:hAnsi="Century Gothic"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703170">
        <w:rPr>
          <w:rFonts w:ascii="Century Gothic" w:hAnsi="Century Gothic" w:cs="Arial"/>
          <w:i/>
          <w:iCs/>
          <w:color w:val="000000" w:themeColor="text1"/>
          <w:lang w:val="es-ES_tradnl"/>
        </w:rPr>
        <w:t>entre otros</w:t>
      </w:r>
      <w:r w:rsidRPr="00703170">
        <w:rPr>
          <w:rFonts w:ascii="Century Gothic" w:hAnsi="Century Gothic" w:cs="Arial"/>
          <w:color w:val="000000" w:themeColor="text1"/>
          <w:lang w:val="es-ES_tradnl"/>
        </w:rPr>
        <w:t xml:space="preserve">, los siguientes: i) la capacidad jurídica; </w:t>
      </w:r>
      <w:proofErr w:type="spellStart"/>
      <w:r w:rsidRPr="00703170">
        <w:rPr>
          <w:rFonts w:ascii="Century Gothic" w:hAnsi="Century Gothic" w:cs="Arial"/>
          <w:color w:val="000000" w:themeColor="text1"/>
          <w:lang w:val="es-ES_tradnl"/>
        </w:rPr>
        <w:t>ii</w:t>
      </w:r>
      <w:proofErr w:type="spellEnd"/>
      <w:r w:rsidRPr="00703170">
        <w:rPr>
          <w:rFonts w:ascii="Century Gothic" w:hAnsi="Century Gothic" w:cs="Arial"/>
          <w:color w:val="000000" w:themeColor="text1"/>
          <w:lang w:val="es-ES_tradnl"/>
        </w:rPr>
        <w:t xml:space="preserve">) la experiencia; </w:t>
      </w:r>
      <w:proofErr w:type="spellStart"/>
      <w:r w:rsidRPr="00703170">
        <w:rPr>
          <w:rFonts w:ascii="Century Gothic" w:hAnsi="Century Gothic" w:cs="Arial"/>
          <w:color w:val="000000" w:themeColor="text1"/>
          <w:lang w:val="es-ES_tradnl"/>
        </w:rPr>
        <w:t>iii</w:t>
      </w:r>
      <w:proofErr w:type="spellEnd"/>
      <w:r w:rsidRPr="00703170">
        <w:rPr>
          <w:rFonts w:ascii="Century Gothic" w:hAnsi="Century Gothic" w:cs="Arial"/>
          <w:color w:val="000000" w:themeColor="text1"/>
          <w:lang w:val="es-ES_tradnl"/>
        </w:rPr>
        <w:t xml:space="preserve">) la capacidad financiera y </w:t>
      </w:r>
      <w:proofErr w:type="spellStart"/>
      <w:r w:rsidRPr="00703170">
        <w:rPr>
          <w:rFonts w:ascii="Century Gothic" w:hAnsi="Century Gothic" w:cs="Arial"/>
          <w:color w:val="000000" w:themeColor="text1"/>
          <w:lang w:val="es-ES_tradnl"/>
        </w:rPr>
        <w:t>iv</w:t>
      </w:r>
      <w:proofErr w:type="spellEnd"/>
      <w:r w:rsidRPr="00703170">
        <w:rPr>
          <w:rFonts w:ascii="Century Gothic" w:hAnsi="Century Gothic" w:cs="Arial"/>
          <w:color w:val="000000" w:themeColor="text1"/>
          <w:lang w:val="es-ES_tradnl"/>
        </w:rPr>
        <w:t xml:space="preserve">) la capacidad de organización. En efecto, la normativa citada prescribe lo siguiente: </w:t>
      </w:r>
    </w:p>
    <w:p w:rsidRPr="00703170" w:rsidR="00D37737" w:rsidP="00D37737" w:rsidRDefault="00D37737" w14:paraId="5F819818" w14:textId="77777777">
      <w:pPr>
        <w:spacing w:after="0" w:line="240" w:lineRule="auto"/>
        <w:ind w:left="709" w:right="709"/>
        <w:rPr>
          <w:rFonts w:ascii="Century Gothic" w:hAnsi="Century Gothic" w:cs="Arial"/>
          <w:color w:val="000000" w:themeColor="text1"/>
          <w:sz w:val="21"/>
          <w:szCs w:val="21"/>
          <w:lang w:val="es-ES_tradnl"/>
        </w:rPr>
      </w:pPr>
      <w:r w:rsidRPr="00703170">
        <w:rPr>
          <w:rFonts w:ascii="Century Gothic" w:hAnsi="Century Gothic" w:cs="Arial"/>
          <w:i/>
          <w:iCs/>
          <w:color w:val="000000" w:themeColor="text1"/>
          <w:sz w:val="21"/>
          <w:szCs w:val="21"/>
          <w:lang w:val="es-ES_tradnl"/>
        </w:rPr>
        <w:t>“</w:t>
      </w:r>
      <w:r w:rsidRPr="00703170">
        <w:rPr>
          <w:rFonts w:ascii="Century Gothic" w:hAnsi="Century Gothic" w:cs="Arial"/>
          <w:color w:val="000000" w:themeColor="text1"/>
          <w:sz w:val="21"/>
          <w:szCs w:val="21"/>
          <w:lang w:val="es-ES_tradnl"/>
        </w:rPr>
        <w:t xml:space="preserve">Artículo 5. De la Selección Objetiva. </w:t>
      </w:r>
    </w:p>
    <w:p w:rsidRPr="00703170" w:rsidR="00D37737" w:rsidP="00D37737" w:rsidRDefault="00D37737" w14:paraId="09B4C8AF" w14:textId="77777777">
      <w:pPr>
        <w:spacing w:after="0" w:line="240" w:lineRule="auto"/>
        <w:ind w:left="709" w:right="709"/>
        <w:rPr>
          <w:rFonts w:ascii="Century Gothic" w:hAnsi="Century Gothic" w:cs="Arial"/>
          <w:color w:val="000000" w:themeColor="text1"/>
          <w:sz w:val="21"/>
          <w:szCs w:val="21"/>
          <w:lang w:val="es-ES_tradnl"/>
        </w:rPr>
      </w:pPr>
    </w:p>
    <w:p w:rsidRPr="00703170" w:rsidR="00D37737" w:rsidP="00D37737" w:rsidRDefault="00D37737" w14:paraId="77838DA1" w14:textId="77777777">
      <w:pPr>
        <w:spacing w:after="0" w:line="240" w:lineRule="auto"/>
        <w:ind w:left="709" w:right="709"/>
        <w:rPr>
          <w:rFonts w:ascii="Century Gothic" w:hAnsi="Century Gothic" w:cs="Arial"/>
          <w:color w:val="000000" w:themeColor="text1"/>
          <w:sz w:val="21"/>
          <w:szCs w:val="21"/>
          <w:lang w:val="es-ES_tradnl"/>
        </w:rPr>
      </w:pPr>
      <w:r w:rsidRPr="00703170">
        <w:rPr>
          <w:rFonts w:ascii="Century Gothic" w:hAnsi="Century Gothic" w:cs="Arial"/>
          <w:color w:val="000000" w:themeColor="text1"/>
          <w:sz w:val="21"/>
          <w:szCs w:val="21"/>
          <w:lang w:val="es-ES_tradnl"/>
        </w:rPr>
        <w:t>[…]</w:t>
      </w:r>
    </w:p>
    <w:p w:rsidRPr="00703170" w:rsidR="00D37737" w:rsidP="00D37737" w:rsidRDefault="00D37737" w14:paraId="0CDD5234" w14:textId="77777777">
      <w:pPr>
        <w:pStyle w:val="Prrafodelista"/>
        <w:spacing w:after="0" w:line="240" w:lineRule="auto"/>
        <w:ind w:left="709" w:right="709"/>
        <w:jc w:val="both"/>
        <w:rPr>
          <w:rFonts w:ascii="Century Gothic" w:hAnsi="Century Gothic" w:eastAsia="Calibri" w:cs="Arial"/>
          <w:color w:val="000000" w:themeColor="text1"/>
          <w:sz w:val="21"/>
          <w:szCs w:val="21"/>
          <w:lang w:val="es-ES_tradnl"/>
        </w:rPr>
      </w:pPr>
    </w:p>
    <w:p w:rsidRPr="00703170" w:rsidR="00D37737" w:rsidP="00D37737" w:rsidRDefault="00D37737" w14:paraId="21A739FB" w14:textId="77777777">
      <w:pPr>
        <w:pStyle w:val="Prrafodelista"/>
        <w:spacing w:after="0" w:line="240" w:lineRule="auto"/>
        <w:ind w:left="709" w:right="709"/>
        <w:jc w:val="both"/>
        <w:rPr>
          <w:rFonts w:ascii="Century Gothic" w:hAnsi="Century Gothic" w:eastAsia="Calibri" w:cs="Arial"/>
          <w:i/>
          <w:iCs/>
          <w:color w:val="000000" w:themeColor="text1"/>
          <w:sz w:val="21"/>
          <w:szCs w:val="21"/>
          <w:lang w:val="es-ES_tradnl"/>
        </w:rPr>
      </w:pPr>
      <w:r w:rsidRPr="00703170">
        <w:rPr>
          <w:rFonts w:ascii="Century Gothic" w:hAnsi="Century Gothic" w:eastAsia="Calibri" w:cs="Arial"/>
          <w:color w:val="000000" w:themeColor="text1"/>
          <w:sz w:val="21"/>
          <w:szCs w:val="21"/>
          <w:lang w:val="es-ES_tradnl"/>
        </w:rPr>
        <w:t xml:space="preserve">1. La capacidad jurídica y las condiciones de experiencia, capacidad financiera y de organización de los proponentes serán objeto de </w:t>
      </w:r>
      <w:r w:rsidRPr="00703170">
        <w:rPr>
          <w:rFonts w:ascii="Century Gothic" w:hAnsi="Century Gothic" w:eastAsia="Calibri" w:cs="Arial"/>
          <w:color w:val="000000" w:themeColor="text1"/>
          <w:sz w:val="21"/>
          <w:szCs w:val="21"/>
          <w:lang w:val="es-ES_tradnl"/>
        </w:rPr>
        <w:lastRenderedPageBreak/>
        <w:t>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703170">
        <w:rPr>
          <w:rFonts w:ascii="Century Gothic" w:hAnsi="Century Gothic" w:eastAsia="Calibri" w:cs="Arial"/>
          <w:i/>
          <w:iCs/>
          <w:color w:val="000000" w:themeColor="text1"/>
          <w:sz w:val="21"/>
          <w:szCs w:val="21"/>
          <w:lang w:val="es-ES_tradnl"/>
        </w:rPr>
        <w:t>”</w:t>
      </w:r>
    </w:p>
    <w:p w:rsidRPr="00703170" w:rsidR="00D37737" w:rsidP="00D37737" w:rsidRDefault="00D37737" w14:paraId="276828A7" w14:textId="77777777">
      <w:pPr>
        <w:pStyle w:val="Prrafodelista"/>
        <w:spacing w:after="0" w:line="240" w:lineRule="auto"/>
        <w:ind w:left="709" w:right="709"/>
        <w:jc w:val="both"/>
        <w:rPr>
          <w:rFonts w:ascii="Century Gothic" w:hAnsi="Century Gothic" w:eastAsia="Calibri" w:cs="Arial"/>
          <w:color w:val="000000" w:themeColor="text1"/>
          <w:sz w:val="21"/>
          <w:szCs w:val="21"/>
          <w:lang w:val="es-ES_tradnl"/>
        </w:rPr>
      </w:pPr>
    </w:p>
    <w:p w:rsidRPr="00703170" w:rsidR="00D37737" w:rsidP="00D37737" w:rsidRDefault="00D37737" w14:paraId="61EC59AB" w14:textId="77777777">
      <w:pPr>
        <w:jc w:val="both"/>
        <w:rPr>
          <w:rFonts w:ascii="Century Gothic" w:hAnsi="Century Gothic" w:cs="Arial"/>
        </w:rPr>
      </w:pPr>
      <w:r w:rsidRPr="00703170">
        <w:rPr>
          <w:rFonts w:ascii="Century Gothic" w:hAnsi="Century Gothic" w:cs="Arial"/>
          <w:color w:val="000000" w:themeColor="text1"/>
          <w:lang w:val="es-ES_tradnl"/>
        </w:rPr>
        <w:tab/>
      </w:r>
      <w:r w:rsidRPr="00703170">
        <w:rPr>
          <w:rFonts w:ascii="Century Gothic" w:hAnsi="Century Gothic" w:cs="Arial"/>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703170">
        <w:rPr>
          <w:rStyle w:val="Refdenotaalpie"/>
          <w:rFonts w:ascii="Century Gothic" w:hAnsi="Century Gothic" w:cs="Arial"/>
          <w:color w:val="000000" w:themeColor="text1"/>
          <w:lang w:val="es-ES_tradnl"/>
        </w:rPr>
        <w:footnoteReference w:id="3"/>
      </w:r>
      <w:r w:rsidRPr="00703170">
        <w:rPr>
          <w:rFonts w:ascii="Century Gothic" w:hAnsi="Century Gothic" w:cs="Arial"/>
          <w:color w:val="000000" w:themeColor="text1"/>
          <w:lang w:val="es-ES_tradnl"/>
        </w:rPr>
        <w:t>.</w:t>
      </w:r>
      <w:r w:rsidRPr="00703170">
        <w:rPr>
          <w:rFonts w:ascii="Century Gothic" w:hAnsi="Century Gothic" w:cs="Arial"/>
        </w:rPr>
        <w:t>–, se pondrá de presente toda la información relacionada con la experiencia, capacidad jurídica, capacidad financiera y organizacional, así como la clasificación del proponente.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703170">
        <w:rPr>
          <w:rStyle w:val="Refdenotaalpie"/>
          <w:rFonts w:ascii="Century Gothic" w:hAnsi="Century Gothic" w:cs="Arial"/>
          <w:color w:val="000000" w:themeColor="text1"/>
          <w:lang w:val="es-ES_tradnl"/>
        </w:rPr>
        <w:footnoteReference w:id="4"/>
      </w:r>
      <w:r w:rsidRPr="00703170">
        <w:rPr>
          <w:rFonts w:ascii="Century Gothic" w:hAnsi="Century Gothic" w:cs="Arial"/>
          <w:color w:val="000000" w:themeColor="text1"/>
          <w:lang w:val="es-ES_tradnl"/>
        </w:rPr>
        <w:t>.</w:t>
      </w:r>
    </w:p>
    <w:p w:rsidRPr="00703170" w:rsidR="00D37737" w:rsidP="00D37737" w:rsidRDefault="00D37737" w14:paraId="4338EE81" w14:textId="77777777">
      <w:pPr>
        <w:ind w:firstLine="708"/>
        <w:jc w:val="both"/>
        <w:rPr>
          <w:rFonts w:ascii="Century Gothic" w:hAnsi="Century Gothic" w:cs="Arial"/>
        </w:rPr>
      </w:pPr>
      <w:r w:rsidRPr="00703170">
        <w:rPr>
          <w:rFonts w:ascii="Century Gothic" w:hAnsi="Century Gothic" w:cs="Arial"/>
          <w:color w:val="000000"/>
        </w:rPr>
        <w:lastRenderedPageBreak/>
        <w:t>Dentro de los requisitos habilitantes se destaca la capacidad financiera. Al respecto, la Entidad Estatal, como responsable de la estructuración de su procedimiento de selección, es autónoma para requerir la capacidad financiera necesaria de acuerdo con el objeto contractual que se pretende satisfacer. Según el artículo 2.2.1.1.1.6.2 del Decreto 1082 de 2015, la Entidad Estatal debe tener en cuenta, para la determinación de la capacidad financiera, el estudio del sector</w:t>
      </w:r>
      <w:r w:rsidRPr="00703170">
        <w:rPr>
          <w:rStyle w:val="Refdenotaalpie"/>
          <w:rFonts w:ascii="Century Gothic" w:hAnsi="Century Gothic" w:cs="Arial"/>
          <w:color w:val="000000"/>
        </w:rPr>
        <w:footnoteReference w:id="5"/>
      </w:r>
      <w:r w:rsidRPr="00703170">
        <w:rPr>
          <w:rFonts w:ascii="Century Gothic" w:hAnsi="Century Gothic" w:cs="Arial"/>
          <w:color w:val="000000"/>
        </w:rPr>
        <w:t xml:space="preserve"> y sus componentes como la identificación de riesgos, el mercado y precio del bien, obra o servicio a contratar</w:t>
      </w:r>
      <w:r w:rsidRPr="00703170">
        <w:rPr>
          <w:rFonts w:ascii="Century Gothic" w:hAnsi="Century Gothic" w:cs="Arial"/>
          <w:color w:val="000000"/>
          <w:vertAlign w:val="superscript"/>
        </w:rPr>
        <w:footnoteReference w:id="6"/>
      </w:r>
      <w:r w:rsidRPr="00703170">
        <w:rPr>
          <w:rFonts w:ascii="Century Gothic" w:hAnsi="Century Gothic" w:cs="Arial"/>
          <w:color w:val="000000"/>
        </w:rPr>
        <w:t>.</w:t>
      </w:r>
    </w:p>
    <w:p w:rsidRPr="00703170" w:rsidR="00D37737" w:rsidP="00D37737" w:rsidRDefault="00D37737" w14:paraId="7A22AE97" w14:textId="77777777">
      <w:pPr>
        <w:ind w:firstLine="708"/>
        <w:jc w:val="both"/>
        <w:rPr>
          <w:rFonts w:ascii="Century Gothic" w:hAnsi="Century Gothic" w:cs="Arial"/>
        </w:rPr>
      </w:pPr>
      <w:r w:rsidRPr="00703170">
        <w:rPr>
          <w:rFonts w:ascii="Century Gothic" w:hAnsi="Century Gothic" w:cs="Arial"/>
        </w:rPr>
        <w:t>La capacidad financiera se deriva del comportamiento contable de la empresa, su liquidez y endeudamiento, para determinar que sus recursos y solidez financiera le permita cumplir los compromisos que adquiera. Como explica esta Agencia en el “</w:t>
      </w:r>
      <w:r w:rsidRPr="00703170">
        <w:rPr>
          <w:rFonts w:ascii="Century Gothic" w:hAnsi="Century Gothic" w:cs="Arial"/>
          <w:i/>
          <w:iCs/>
        </w:rPr>
        <w:t>Manual para determinar y verificar los requisitos habilitantes en los procesos de contratación”</w:t>
      </w:r>
      <w:r w:rsidRPr="00703170">
        <w:rPr>
          <w:rFonts w:ascii="Century Gothic" w:hAnsi="Century Gothic" w:cs="Arial"/>
        </w:rPr>
        <w:t xml:space="preserve">: </w:t>
      </w:r>
      <w:r w:rsidRPr="00703170">
        <w:rPr>
          <w:rFonts w:ascii="Century Gothic" w:hAnsi="Century Gothic" w:cs="Arial"/>
          <w:i/>
          <w:iCs/>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703170">
        <w:rPr>
          <w:rFonts w:ascii="Century Gothic" w:hAnsi="Century Gothic" w:cs="Arial"/>
          <w:color w:val="000000"/>
          <w:vertAlign w:val="superscript"/>
          <w:lang w:val="es-ES_tradnl"/>
        </w:rPr>
        <w:footnoteReference w:id="7"/>
      </w:r>
      <w:r w:rsidRPr="00703170">
        <w:rPr>
          <w:rFonts w:ascii="Century Gothic" w:hAnsi="Century Gothic" w:cs="Arial"/>
          <w:color w:val="000000"/>
          <w:lang w:val="es-ES_tradnl"/>
        </w:rPr>
        <w:t xml:space="preserve">. </w:t>
      </w:r>
    </w:p>
    <w:p w:rsidRPr="00703170" w:rsidR="00D37737" w:rsidP="00D37737" w:rsidRDefault="00D37737" w14:paraId="1F90CDFE" w14:textId="77777777">
      <w:pPr>
        <w:ind w:firstLine="708"/>
        <w:jc w:val="both"/>
        <w:rPr>
          <w:rFonts w:ascii="Century Gothic" w:hAnsi="Century Gothic" w:cs="Arial"/>
        </w:rPr>
      </w:pPr>
      <w:r w:rsidRPr="00703170">
        <w:rPr>
          <w:rFonts w:ascii="Century Gothic" w:hAnsi="Century Gothic" w:cs="Arial"/>
          <w:color w:val="000000"/>
          <w:lang w:val="es-ES_tradnl"/>
        </w:rPr>
        <w:t xml:space="preserve">Para acreditar los requisitos de la capacidad financiera, el artículo 5 de la Ley 1150 de 2007 y el artículo 2.2.1.1.1.5.3 del Decreto 1082 de 2015 indican que esto se realiza a través del RUP con los estados financieros del proponente, suscritos por el representante legal y el revisor fiscal, cuando aplique. De este modo, lo que se verifica con el registro es que el proponente tenga los indicadores financieros </w:t>
      </w:r>
      <w:r w:rsidRPr="00703170">
        <w:rPr>
          <w:rFonts w:ascii="Century Gothic" w:hAnsi="Century Gothic" w:cs="Arial"/>
          <w:color w:val="000000"/>
          <w:lang w:val="es-ES_tradnl"/>
        </w:rPr>
        <w:lastRenderedPageBreak/>
        <w:t xml:space="preserve">solicitados por la Entidad, que le permitan satisfacer la necesidad que se contratará una vez desarrollado el procedimiento de selección. </w:t>
      </w:r>
    </w:p>
    <w:p w:rsidRPr="00703170" w:rsidR="00D37737" w:rsidP="00D37737" w:rsidRDefault="00D37737" w14:paraId="113B5BEC" w14:textId="72A42AD2">
      <w:pPr>
        <w:ind w:firstLine="708"/>
        <w:jc w:val="both"/>
        <w:rPr>
          <w:rFonts w:ascii="Century Gothic" w:hAnsi="Century Gothic" w:cs="Arial"/>
        </w:rPr>
      </w:pPr>
      <w:r w:rsidRPr="00703170">
        <w:rPr>
          <w:rFonts w:ascii="Century Gothic" w:hAnsi="Century Gothic" w:cs="Arial"/>
          <w:color w:val="000000"/>
          <w:lang w:val="es-ES_tradnl"/>
        </w:rPr>
        <w:t xml:space="preserve">Esta Agencia puso a disposición de los interesados el </w:t>
      </w:r>
      <w:r w:rsidRPr="00703170">
        <w:rPr>
          <w:rFonts w:ascii="Century Gothic" w:hAnsi="Century Gothic" w:cs="Arial"/>
          <w:i/>
          <w:iCs/>
          <w:color w:val="000000"/>
          <w:lang w:val="es-ES_tradnl"/>
        </w:rPr>
        <w:t>“Manual para determinar y verificar los requisitos habilitantes en los procesos de contratación”.</w:t>
      </w:r>
      <w:r w:rsidRPr="00703170">
        <w:rPr>
          <w:rFonts w:ascii="Century Gothic" w:hAnsi="Century Gothic" w:cs="Arial"/>
          <w:color w:val="000000"/>
          <w:lang w:val="es-ES_tradnl"/>
        </w:rPr>
        <w:t xml:space="preserve"> En dicho Manual se plantean definiciones para cada requisito habilitante y se indican lineamientos orientadores que la Entidad Estatal puede considerar para establecerlos, pero en todo caso</w:t>
      </w:r>
      <w:r w:rsidR="00C02D59">
        <w:rPr>
          <w:rFonts w:ascii="Century Gothic" w:hAnsi="Century Gothic" w:cs="Arial"/>
          <w:color w:val="000000"/>
          <w:lang w:val="es-ES_tradnl"/>
        </w:rPr>
        <w:t>,</w:t>
      </w:r>
      <w:r w:rsidRPr="00703170">
        <w:rPr>
          <w:rFonts w:ascii="Century Gothic" w:hAnsi="Century Gothic" w:cs="Arial"/>
          <w:color w:val="000000"/>
          <w:lang w:val="es-ES_tradnl"/>
        </w:rPr>
        <w:t xml:space="preserve"> es ella quien los define, de forma proporcional a la naturaleza y al valor del contrato, por lo que para ello deberá observarse los resultados de los Estudios del Sector que se hayan realizado para el respectivo Proceso de Contratación.</w:t>
      </w:r>
    </w:p>
    <w:p w:rsidRPr="00703170" w:rsidR="00D37737" w:rsidP="00D37737" w:rsidRDefault="00D37737" w14:paraId="2D422DA0" w14:textId="77777777">
      <w:pPr>
        <w:ind w:firstLine="708"/>
        <w:jc w:val="both"/>
        <w:rPr>
          <w:rFonts w:ascii="Century Gothic" w:hAnsi="Century Gothic" w:cs="Arial"/>
        </w:rPr>
      </w:pPr>
      <w:r w:rsidRPr="00703170">
        <w:rPr>
          <w:rFonts w:ascii="Century Gothic" w:hAnsi="Century Gothic" w:cs="Arial"/>
          <w:color w:val="000000" w:themeColor="text1"/>
          <w:lang w:val="es-ES_tradnl"/>
        </w:rPr>
        <w:t xml:space="preserve">Considerando la discrecionalidad para establecer el requisito habilitante, es necesario tener en cuenta que </w:t>
      </w:r>
      <w:r w:rsidRPr="00703170">
        <w:rPr>
          <w:rFonts w:ascii="Century Gothic" w:hAnsi="Century Gothic" w:cs="Arial"/>
        </w:rPr>
        <w:t>el artículo 44 de la Ley 1437 de 2011 –aplicable en los procedimientos contractuales en virtud del artículo 77 de la Ley 80 de 1993– dispone que “</w:t>
      </w:r>
      <w:r w:rsidRPr="00703170">
        <w:rPr>
          <w:rFonts w:ascii="Century Gothic" w:hAnsi="Century Gothic" w:cs="Arial"/>
          <w:i/>
          <w:iCs/>
        </w:rPr>
        <w:t>En la medida en que el contenido de una decisión de carácter general o particular sea discrecional, debe ser adecuada a los fines de la norma que la autoriza, y proporcional a los hechos que le sirven de causa”.</w:t>
      </w:r>
      <w:r w:rsidRPr="00703170">
        <w:rPr>
          <w:rFonts w:ascii="Century Gothic" w:hAnsi="Century Gothic" w:cs="Arial"/>
        </w:rPr>
        <w:t xml:space="preserve"> En consecuencia, para efectos de los escenarios descritos en el párrafo precedente, la inclusión o exclusión de </w:t>
      </w:r>
      <w:r w:rsidRPr="00703170">
        <w:rPr>
          <w:rFonts w:ascii="Century Gothic" w:hAnsi="Century Gothic" w:cs="Arial"/>
          <w:color w:val="000000" w:themeColor="text1"/>
          <w:lang w:val="es-ES_tradnl"/>
        </w:rPr>
        <w:t>los indicadores previstos en el artículo 2.2.1.1.1.5.3. del Decreto 1082 de 2015</w:t>
      </w:r>
      <w:r w:rsidRPr="00703170">
        <w:rPr>
          <w:rFonts w:ascii="Century Gothic" w:hAnsi="Century Gothic" w:cs="Arial"/>
        </w:rPr>
        <w:t xml:space="preserve"> está unida a la carga justificativa de la Entidad Estatal en los estudios y documentos previos del proceso de selección.</w:t>
      </w:r>
      <w:r w:rsidRPr="00703170">
        <w:rPr>
          <w:rFonts w:ascii="Century Gothic" w:hAnsi="Century Gothic" w:cs="Arial"/>
          <w:color w:val="000000" w:themeColor="text1"/>
          <w:lang w:val="es-ES_tradnl"/>
        </w:rPr>
        <w:t xml:space="preserve">   </w:t>
      </w:r>
    </w:p>
    <w:p w:rsidRPr="00703170" w:rsidR="00D37737" w:rsidP="00D37737" w:rsidRDefault="00D37737" w14:paraId="5EDD1223" w14:textId="77777777">
      <w:pPr>
        <w:ind w:firstLine="708"/>
        <w:jc w:val="both"/>
        <w:rPr>
          <w:rFonts w:ascii="Century Gothic" w:hAnsi="Century Gothic" w:cs="Arial"/>
        </w:rPr>
      </w:pPr>
      <w:r w:rsidRPr="00703170">
        <w:rPr>
          <w:rFonts w:ascii="Century Gothic" w:hAnsi="Century Gothic" w:cs="Arial"/>
          <w:color w:val="000000"/>
          <w:lang w:val="es-ES_tradnl"/>
        </w:rPr>
        <w:t>Al respecto, es importante señalar que para que la Entidad Estatal defina ciertos indicadores financieros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w:t>
      </w:r>
      <w:r w:rsidRPr="00703170">
        <w:rPr>
          <w:rFonts w:ascii="Century Gothic" w:hAnsi="Century Gothic" w:cs="Arial"/>
          <w:color w:val="000000"/>
          <w:vertAlign w:val="superscript"/>
          <w:lang w:val="es-ES_tradnl"/>
        </w:rPr>
        <w:footnoteReference w:id="8"/>
      </w:r>
      <w:r w:rsidRPr="00703170">
        <w:rPr>
          <w:rFonts w:ascii="Century Gothic" w:hAnsi="Century Gothic" w:cs="Arial"/>
          <w:color w:val="000000"/>
          <w:lang w:val="es-ES_tradnl"/>
        </w:rPr>
        <w:t>.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r w:rsidRPr="00703170">
        <w:rPr>
          <w:rFonts w:ascii="Century Gothic" w:hAnsi="Century Gothic" w:cs="Arial"/>
          <w:color w:val="000000"/>
          <w:vertAlign w:val="superscript"/>
          <w:lang w:val="es-ES_tradnl"/>
        </w:rPr>
        <w:footnoteReference w:id="9"/>
      </w:r>
      <w:r w:rsidRPr="00703170">
        <w:rPr>
          <w:rFonts w:ascii="Century Gothic" w:hAnsi="Century Gothic" w:cs="Arial"/>
          <w:color w:val="000000"/>
          <w:lang w:val="es-ES_tradnl"/>
        </w:rPr>
        <w:t xml:space="preserve">. </w:t>
      </w:r>
    </w:p>
    <w:p w:rsidRPr="00703170" w:rsidR="00D37737" w:rsidP="00D37737" w:rsidRDefault="00D37737" w14:paraId="620DBFB3" w14:textId="77777777">
      <w:pPr>
        <w:ind w:firstLine="708"/>
        <w:jc w:val="both"/>
        <w:rPr>
          <w:rFonts w:ascii="Century Gothic" w:hAnsi="Century Gothic" w:cs="Arial"/>
        </w:rPr>
      </w:pPr>
      <w:r w:rsidRPr="00703170">
        <w:rPr>
          <w:rFonts w:ascii="Century Gothic" w:hAnsi="Century Gothic" w:cs="Arial"/>
          <w:color w:val="000000"/>
          <w:lang w:val="es-ES_tradnl"/>
        </w:rPr>
        <w:lastRenderedPageBreak/>
        <w:t xml:space="preserve">Según el artículo 2.2.1.1.1.5.3. del Decreto 1082 de 2015, son indicadores de la capacidad financiera los siguientes: i) el </w:t>
      </w:r>
      <w:r w:rsidRPr="00703170">
        <w:rPr>
          <w:rFonts w:ascii="Century Gothic" w:hAnsi="Century Gothic" w:cs="Arial"/>
          <w:i/>
          <w:iCs/>
          <w:color w:val="000000"/>
          <w:lang w:val="es-ES_tradnl"/>
        </w:rPr>
        <w:t>índice de liquidez</w:t>
      </w:r>
      <w:r w:rsidRPr="00703170">
        <w:rPr>
          <w:rFonts w:ascii="Century Gothic" w:hAnsi="Century Gothic" w:cs="Arial"/>
          <w:color w:val="000000"/>
          <w:lang w:val="es-ES_tradnl"/>
        </w:rPr>
        <w:t xml:space="preserve">, que corresponde a la división entre el activo corriente y el pasivo corriente, y que determina la capacidad que tiene el proponente para cumplir con sus obligaciones de corto plazo; </w:t>
      </w:r>
      <w:proofErr w:type="spellStart"/>
      <w:r w:rsidRPr="00703170">
        <w:rPr>
          <w:rFonts w:ascii="Century Gothic" w:hAnsi="Century Gothic" w:cs="Arial"/>
          <w:color w:val="000000"/>
          <w:lang w:val="es-ES_tradnl"/>
        </w:rPr>
        <w:t>ii</w:t>
      </w:r>
      <w:proofErr w:type="spellEnd"/>
      <w:r w:rsidRPr="00703170">
        <w:rPr>
          <w:rFonts w:ascii="Century Gothic" w:hAnsi="Century Gothic" w:cs="Arial"/>
          <w:color w:val="000000"/>
          <w:lang w:val="es-ES_tradnl"/>
        </w:rPr>
        <w:t xml:space="preserve">) el </w:t>
      </w:r>
      <w:r w:rsidRPr="00703170">
        <w:rPr>
          <w:rFonts w:ascii="Century Gothic" w:hAnsi="Century Gothic" w:cs="Arial"/>
          <w:i/>
          <w:iCs/>
          <w:color w:val="000000"/>
          <w:lang w:val="es-ES_tradnl"/>
        </w:rPr>
        <w:t>índice de endeudamiento</w:t>
      </w:r>
      <w:r w:rsidRPr="00703170">
        <w:rPr>
          <w:rFonts w:ascii="Century Gothic" w:hAnsi="Century Gothic" w:cs="Arial"/>
          <w:color w:val="000000"/>
          <w:lang w:val="es-ES_tradnl"/>
        </w:rPr>
        <w:t xml:space="preserve">, que se calcula dividiendo el pasivo total por el activo total, el cual determina el grado de endeudamiento en la estructura de financiación del proponente; y </w:t>
      </w:r>
      <w:proofErr w:type="spellStart"/>
      <w:r w:rsidRPr="00703170">
        <w:rPr>
          <w:rFonts w:ascii="Century Gothic" w:hAnsi="Century Gothic" w:cs="Arial"/>
          <w:color w:val="000000"/>
          <w:lang w:val="es-ES_tradnl"/>
        </w:rPr>
        <w:t>iii</w:t>
      </w:r>
      <w:proofErr w:type="spellEnd"/>
      <w:r w:rsidRPr="00703170">
        <w:rPr>
          <w:rFonts w:ascii="Century Gothic" w:hAnsi="Century Gothic" w:cs="Arial"/>
          <w:color w:val="000000"/>
          <w:lang w:val="es-ES_tradnl"/>
        </w:rPr>
        <w:t xml:space="preserve">) la </w:t>
      </w:r>
      <w:r w:rsidRPr="00703170">
        <w:rPr>
          <w:rFonts w:ascii="Century Gothic" w:hAnsi="Century Gothic" w:cs="Arial"/>
          <w:i/>
          <w:iCs/>
          <w:color w:val="000000"/>
          <w:lang w:val="es-ES_tradnl"/>
        </w:rPr>
        <w:t>razón de cobertura de intereses</w:t>
      </w:r>
      <w:r w:rsidRPr="00703170">
        <w:rPr>
          <w:rFonts w:ascii="Century Gothic" w:hAnsi="Century Gothic" w:cs="Arial"/>
          <w:color w:val="000000"/>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703170">
        <w:rPr>
          <w:rFonts w:ascii="Century Gothic" w:hAnsi="Century Gothic" w:cs="Arial"/>
          <w:i/>
          <w:iCs/>
          <w:color w:val="000000"/>
          <w:lang w:val="es-ES_tradnl"/>
        </w:rPr>
        <w:t>capital de trabajo</w:t>
      </w:r>
      <w:r w:rsidRPr="00703170">
        <w:rPr>
          <w:rFonts w:ascii="Century Gothic" w:hAnsi="Century Gothic" w:cs="Arial"/>
          <w:color w:val="000000"/>
          <w:lang w:val="es-ES_tradnl"/>
        </w:rPr>
        <w:t xml:space="preserve">, la </w:t>
      </w:r>
      <w:r w:rsidRPr="00703170">
        <w:rPr>
          <w:rFonts w:ascii="Century Gothic" w:hAnsi="Century Gothic" w:cs="Arial"/>
          <w:i/>
          <w:iCs/>
          <w:color w:val="000000"/>
          <w:lang w:val="es-ES_tradnl"/>
        </w:rPr>
        <w:t>razón de efectivo</w:t>
      </w:r>
      <w:r w:rsidRPr="00703170">
        <w:rPr>
          <w:rFonts w:ascii="Century Gothic" w:hAnsi="Century Gothic" w:cs="Arial"/>
          <w:color w:val="000000"/>
          <w:lang w:val="es-ES_tradnl"/>
        </w:rPr>
        <w:t xml:space="preserve">, la denominada </w:t>
      </w:r>
      <w:r w:rsidRPr="00703170">
        <w:rPr>
          <w:rFonts w:ascii="Century Gothic" w:hAnsi="Century Gothic" w:cs="Arial"/>
          <w:i/>
          <w:iCs/>
          <w:color w:val="000000"/>
          <w:lang w:val="es-ES_tradnl"/>
        </w:rPr>
        <w:t>prueba ácida</w:t>
      </w:r>
      <w:r w:rsidRPr="00703170">
        <w:rPr>
          <w:rFonts w:ascii="Century Gothic" w:hAnsi="Century Gothic" w:cs="Arial"/>
          <w:color w:val="000000"/>
          <w:vertAlign w:val="superscript"/>
          <w:lang w:val="es-ES_tradnl"/>
        </w:rPr>
        <w:footnoteReference w:id="10"/>
      </w:r>
      <w:r w:rsidRPr="00703170">
        <w:rPr>
          <w:rFonts w:ascii="Century Gothic" w:hAnsi="Century Gothic" w:cs="Arial"/>
          <w:color w:val="000000"/>
          <w:lang w:val="es-ES_tradnl"/>
        </w:rPr>
        <w:t xml:space="preserve">, la </w:t>
      </w:r>
      <w:r w:rsidRPr="00703170">
        <w:rPr>
          <w:rFonts w:ascii="Century Gothic" w:hAnsi="Century Gothic" w:cs="Arial"/>
          <w:i/>
          <w:iCs/>
          <w:color w:val="000000"/>
          <w:lang w:val="es-ES_tradnl"/>
        </w:rPr>
        <w:t xml:space="preserve">concentración de endeudamiento a corto </w:t>
      </w:r>
      <w:r w:rsidRPr="00703170">
        <w:rPr>
          <w:rFonts w:ascii="Century Gothic" w:hAnsi="Century Gothic" w:cs="Arial"/>
          <w:color w:val="000000"/>
          <w:lang w:val="es-ES_tradnl"/>
        </w:rPr>
        <w:t>y</w:t>
      </w:r>
      <w:r w:rsidRPr="00703170">
        <w:rPr>
          <w:rFonts w:ascii="Century Gothic" w:hAnsi="Century Gothic" w:cs="Arial"/>
          <w:i/>
          <w:iCs/>
          <w:color w:val="000000"/>
          <w:lang w:val="es-ES_tradnl"/>
        </w:rPr>
        <w:t xml:space="preserve"> a largo plazo</w:t>
      </w:r>
      <w:r w:rsidRPr="00703170">
        <w:rPr>
          <w:rFonts w:ascii="Century Gothic" w:hAnsi="Century Gothic" w:cs="Arial"/>
          <w:color w:val="000000"/>
          <w:lang w:val="es-ES_tradnl"/>
        </w:rPr>
        <w:t xml:space="preserve"> y el </w:t>
      </w:r>
      <w:r w:rsidRPr="00703170">
        <w:rPr>
          <w:rFonts w:ascii="Century Gothic" w:hAnsi="Century Gothic" w:cs="Arial"/>
          <w:i/>
          <w:iCs/>
          <w:color w:val="000000"/>
          <w:lang w:val="es-ES_tradnl"/>
        </w:rPr>
        <w:t>patrimonio</w:t>
      </w:r>
      <w:r w:rsidRPr="00703170">
        <w:rPr>
          <w:rStyle w:val="Refdenotaalpie"/>
          <w:rFonts w:ascii="Century Gothic" w:hAnsi="Century Gothic" w:cs="Arial"/>
          <w:i/>
          <w:iCs/>
          <w:color w:val="000000"/>
          <w:lang w:val="es-ES_tradnl"/>
        </w:rPr>
        <w:footnoteReference w:id="11"/>
      </w:r>
      <w:r w:rsidRPr="00703170">
        <w:rPr>
          <w:rFonts w:ascii="Century Gothic" w:hAnsi="Century Gothic" w:cs="Arial"/>
          <w:color w:val="000000"/>
          <w:lang w:val="es-ES_tradnl"/>
        </w:rPr>
        <w:t>.</w:t>
      </w:r>
    </w:p>
    <w:p w:rsidRPr="00703170" w:rsidR="00D37737" w:rsidP="00D37737" w:rsidRDefault="00D37737" w14:paraId="448020F3" w14:textId="77777777">
      <w:pPr>
        <w:ind w:firstLine="708"/>
        <w:jc w:val="both"/>
        <w:rPr>
          <w:rFonts w:ascii="Century Gothic" w:hAnsi="Century Gothic" w:cs="Arial"/>
        </w:rPr>
      </w:pPr>
      <w:r w:rsidRPr="00703170">
        <w:rPr>
          <w:rFonts w:ascii="Century Gothic" w:hAnsi="Century Gothic" w:cs="Arial"/>
          <w:color w:val="000000"/>
          <w:lang w:val="es-ES_tradnl"/>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sidRPr="00703170">
        <w:rPr>
          <w:rFonts w:ascii="Century Gothic" w:hAnsi="Century Gothic" w:cs="Arial"/>
          <w:color w:val="000000"/>
          <w:lang w:val="es-ES_tradnl"/>
        </w:rPr>
        <w:t>ii</w:t>
      </w:r>
      <w:proofErr w:type="spellEnd"/>
      <w:r w:rsidRPr="00703170">
        <w:rPr>
          <w:rFonts w:ascii="Century Gothic" w:hAnsi="Century Gothic" w:cs="Arial"/>
          <w:color w:val="000000"/>
          <w:lang w:val="es-ES_tradnl"/>
        </w:rPr>
        <w:t xml:space="preserve">) margen operacional; </w:t>
      </w:r>
      <w:proofErr w:type="spellStart"/>
      <w:r w:rsidRPr="00703170">
        <w:rPr>
          <w:rFonts w:ascii="Century Gothic" w:hAnsi="Century Gothic" w:cs="Arial"/>
          <w:color w:val="000000"/>
          <w:lang w:val="es-ES_tradnl"/>
        </w:rPr>
        <w:t>iii</w:t>
      </w:r>
      <w:proofErr w:type="spellEnd"/>
      <w:r w:rsidRPr="00703170">
        <w:rPr>
          <w:rFonts w:ascii="Century Gothic" w:hAnsi="Century Gothic" w:cs="Arial"/>
          <w:color w:val="000000"/>
          <w:lang w:val="es-ES_tradnl"/>
        </w:rPr>
        <w:t xml:space="preserve">) margen neto; </w:t>
      </w:r>
      <w:proofErr w:type="spellStart"/>
      <w:r w:rsidRPr="00703170">
        <w:rPr>
          <w:rFonts w:ascii="Century Gothic" w:hAnsi="Century Gothic" w:cs="Arial"/>
          <w:color w:val="000000"/>
          <w:lang w:val="es-ES_tradnl"/>
        </w:rPr>
        <w:t>iv</w:t>
      </w:r>
      <w:proofErr w:type="spellEnd"/>
      <w:r w:rsidRPr="00703170">
        <w:rPr>
          <w:rFonts w:ascii="Century Gothic" w:hAnsi="Century Gothic" w:cs="Arial"/>
          <w:color w:val="000000"/>
          <w:lang w:val="es-ES_tradnl"/>
        </w:rPr>
        <w:t xml:space="preserve">) retorno sobre capital invertido; v) rotación de activos totales; vi) rotación de activos fijos; y </w:t>
      </w:r>
      <w:proofErr w:type="spellStart"/>
      <w:r w:rsidRPr="00703170">
        <w:rPr>
          <w:rFonts w:ascii="Century Gothic" w:hAnsi="Century Gothic" w:cs="Arial"/>
          <w:color w:val="000000"/>
          <w:lang w:val="es-ES_tradnl"/>
        </w:rPr>
        <w:t>vii</w:t>
      </w:r>
      <w:proofErr w:type="spellEnd"/>
      <w:r w:rsidRPr="00703170">
        <w:rPr>
          <w:rFonts w:ascii="Century Gothic" w:hAnsi="Century Gothic" w:cs="Arial"/>
          <w:color w:val="000000"/>
          <w:lang w:val="es-ES_tradnl"/>
        </w:rPr>
        <w:t>) rotación de inventarios</w:t>
      </w:r>
      <w:r w:rsidRPr="00703170">
        <w:rPr>
          <w:rStyle w:val="Refdenotaalpie"/>
          <w:rFonts w:ascii="Century Gothic" w:hAnsi="Century Gothic" w:cs="Arial"/>
          <w:color w:val="000000"/>
          <w:lang w:val="es-ES_tradnl"/>
        </w:rPr>
        <w:footnoteReference w:id="12"/>
      </w:r>
      <w:r w:rsidRPr="00703170">
        <w:rPr>
          <w:rFonts w:ascii="Century Gothic" w:hAnsi="Century Gothic" w:cs="Arial"/>
          <w:color w:val="000000"/>
          <w:lang w:val="es-ES_tradnl"/>
        </w:rPr>
        <w:t>.</w:t>
      </w:r>
    </w:p>
    <w:p w:rsidRPr="00703170" w:rsidR="00D37737" w:rsidP="00D37737" w:rsidRDefault="00AE7612" w14:paraId="027CEBD7" w14:textId="431D6B69">
      <w:pPr>
        <w:ind w:firstLine="708"/>
        <w:jc w:val="both"/>
        <w:rPr>
          <w:rFonts w:ascii="Century Gothic" w:hAnsi="Century Gothic" w:cs="Arial"/>
        </w:rPr>
      </w:pPr>
      <w:r>
        <w:rPr>
          <w:rFonts w:ascii="Century Gothic" w:hAnsi="Century Gothic" w:cs="Arial"/>
          <w:color w:val="000000" w:themeColor="text1"/>
          <w:lang w:val="es-ES_tradnl"/>
        </w:rPr>
        <w:t>Ahora bien</w:t>
      </w:r>
      <w:r w:rsidRPr="00703170" w:rsidR="00D37737">
        <w:rPr>
          <w:rFonts w:ascii="Century Gothic" w:hAnsi="Century Gothic" w:cs="Arial"/>
          <w:color w:val="000000" w:themeColor="text1"/>
          <w:lang w:val="es-ES_tradnl"/>
        </w:rPr>
        <w:t xml:space="preserve">,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w:t>
      </w:r>
      <w:r w:rsidRPr="00703170" w:rsidR="00D37737">
        <w:rPr>
          <w:rFonts w:ascii="Century Gothic" w:hAnsi="Century Gothic" w:cs="Arial"/>
          <w:color w:val="000000" w:themeColor="text1"/>
          <w:lang w:val="es-ES_tradnl"/>
        </w:rPr>
        <w:lastRenderedPageBreak/>
        <w:t>procedimiento contractual. Mientras los primeros están regulados en el artículo 2.2.1.1.1.5.3. del Decreto 1082 de 2015, los segundos debe establecerlos la entidad contratante en el pliego de condiciones o la invitación, según corresponda.</w:t>
      </w:r>
    </w:p>
    <w:p w:rsidRPr="00703170" w:rsidR="00D37737" w:rsidP="00D37737" w:rsidRDefault="00D37737" w14:paraId="35437C13" w14:textId="77777777">
      <w:pPr>
        <w:jc w:val="both"/>
        <w:rPr>
          <w:rFonts w:ascii="Century Gothic" w:hAnsi="Century Gothic" w:cs="Arial"/>
          <w:color w:val="000000"/>
          <w:lang w:val="es-ES_tradnl"/>
        </w:rPr>
      </w:pPr>
      <w:r w:rsidRPr="00703170">
        <w:rPr>
          <w:rFonts w:ascii="Century Gothic" w:hAnsi="Century Gothic" w:cs="Arial"/>
          <w:b/>
          <w:bCs/>
          <w:color w:val="000000"/>
          <w:lang w:val="es-ES_tradnl"/>
        </w:rPr>
        <w:t>2.2. Modificaciones introducidas por los Decretos 399 de 2021, 579 de 2021 y 1041 de 2022 respecto a la información contenida en el RUP y delimitación de su verificación dentro del “mejor año fiscal”</w:t>
      </w:r>
      <w:r w:rsidRPr="00703170">
        <w:rPr>
          <w:rFonts w:ascii="Century Gothic" w:hAnsi="Century Gothic" w:cs="Arial"/>
          <w:color w:val="000000"/>
          <w:lang w:val="es-ES_tradnl"/>
        </w:rPr>
        <w:t xml:space="preserve">   </w:t>
      </w:r>
    </w:p>
    <w:p w:rsidRPr="00703170" w:rsidR="00D37737" w:rsidP="00D37737" w:rsidRDefault="00D37737" w14:paraId="78FBBC7E" w14:textId="77777777">
      <w:pPr>
        <w:spacing w:after="120"/>
        <w:jc w:val="both"/>
        <w:rPr>
          <w:rFonts w:ascii="Century Gothic" w:hAnsi="Century Gothic" w:cs="Arial"/>
          <w:i/>
          <w:iCs/>
          <w:color w:val="000000"/>
          <w:lang w:val="es-ES_tradnl"/>
        </w:rPr>
      </w:pPr>
      <w:r w:rsidRPr="00703170">
        <w:rPr>
          <w:rFonts w:ascii="Century Gothic" w:hAnsi="Century Gothic" w:cs="Arial"/>
          <w:color w:val="00000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w:t>
      </w:r>
      <w:r w:rsidRPr="00703170">
        <w:rPr>
          <w:rFonts w:ascii="Century Gothic" w:hAnsi="Century Gothic" w:cs="Arial"/>
          <w:color w:val="000000"/>
          <w:vertAlign w:val="superscript"/>
          <w:lang w:val="es-ES_tradnl"/>
        </w:rPr>
        <w:footnoteReference w:id="13"/>
      </w:r>
      <w:r w:rsidRPr="00703170">
        <w:rPr>
          <w:rFonts w:ascii="Century Gothic" w:hAnsi="Century Gothic" w:cs="Arial"/>
          <w:color w:val="000000"/>
          <w:lang w:val="es-ES_tradnl"/>
        </w:rPr>
        <w:t xml:space="preserve"> las Entidades Estatales deberán tener en cuenta los datos sobre la capacidad financiera y organizacional de los últimos tres años, consignada en el RUP. Así lo justifica textualmente el reglamento mencionado, en sus consideraciones cuando manifiesta que </w:t>
      </w:r>
      <w:r w:rsidRPr="00703170">
        <w:rPr>
          <w:rFonts w:ascii="Century Gothic" w:hAnsi="Century Gothic" w:cs="Arial"/>
          <w:i/>
          <w:iCs/>
          <w:color w:val="000000"/>
          <w:lang w:val="es-ES_tradnl"/>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703170">
        <w:rPr>
          <w:rFonts w:ascii="Century Gothic" w:hAnsi="Century Gothic" w:cs="Arial"/>
          <w:i/>
          <w:iCs/>
        </w:rPr>
        <w:t xml:space="preserve">”. </w:t>
      </w:r>
    </w:p>
    <w:p w:rsidRPr="00703170" w:rsidR="00D37737" w:rsidP="00D37737" w:rsidRDefault="00D37737" w14:paraId="6C7B1493" w14:textId="77777777">
      <w:pPr>
        <w:spacing w:after="120"/>
        <w:ind w:firstLine="708"/>
        <w:jc w:val="both"/>
        <w:rPr>
          <w:rFonts w:ascii="Century Gothic" w:hAnsi="Century Gothic" w:cs="Arial"/>
          <w:i/>
          <w:iCs/>
          <w:color w:val="000000"/>
          <w:lang w:val="es-ES_tradnl"/>
        </w:rPr>
      </w:pPr>
      <w:r w:rsidRPr="00703170">
        <w:rPr>
          <w:rFonts w:ascii="Century Gothic" w:hAnsi="Century Gothic" w:cs="Arial"/>
          <w:color w:val="000000"/>
          <w:lang w:val="es-ES_tradnl"/>
        </w:rPr>
        <w:t>En tal sentido, el artículo 4 del Decreto 399 de 2021 adicionó dos parágrafos transitorios al artículo 2.2.1.1.1.5.2. del Decreto 1082 de 2015, que a su vez fueron sustituidos por el artículo 1 del Decreto 579 del 31 de mayo de 2021</w:t>
      </w:r>
      <w:r w:rsidRPr="00703170">
        <w:rPr>
          <w:rFonts w:ascii="Century Gothic" w:hAnsi="Century Gothic" w:cs="Arial"/>
          <w:color w:val="000000"/>
          <w:vertAlign w:val="superscript"/>
          <w:lang w:val="es-ES_tradnl"/>
        </w:rPr>
        <w:footnoteReference w:id="14"/>
      </w:r>
      <w:r w:rsidRPr="00703170">
        <w:rPr>
          <w:rFonts w:ascii="Century Gothic" w:hAnsi="Century Gothic" w:cs="Arial"/>
          <w:color w:val="000000"/>
          <w:lang w:val="es-ES_tradnl"/>
        </w:rPr>
        <w:t xml:space="preserve"> y </w:t>
      </w:r>
      <w:r w:rsidRPr="00703170">
        <w:rPr>
          <w:rFonts w:ascii="Century Gothic" w:hAnsi="Century Gothic" w:cs="Arial"/>
          <w:color w:val="000000"/>
          <w:lang w:val="es-ES_tradnl"/>
        </w:rPr>
        <w:lastRenderedPageBreak/>
        <w:t xml:space="preserve">posteriormente se adicionó un parágrafo transitorio adicional al artículo 2.2.1.1.1.5.2. del Decreto 1082 de 2015 por el artículo 1 del </w:t>
      </w:r>
      <w:r w:rsidRPr="00703170">
        <w:rPr>
          <w:rFonts w:ascii="Century Gothic" w:hAnsi="Century Gothic" w:cs="Arial"/>
        </w:rPr>
        <w:t>Decreto 1041 de 2022.</w:t>
      </w:r>
    </w:p>
    <w:p w:rsidRPr="00703170" w:rsidR="00D37737" w:rsidP="00D37737" w:rsidRDefault="00D37737" w14:paraId="48D12D55" w14:textId="77777777">
      <w:pPr>
        <w:spacing w:after="120"/>
        <w:ind w:firstLine="708"/>
        <w:jc w:val="both"/>
        <w:rPr>
          <w:rFonts w:ascii="Century Gothic" w:hAnsi="Century Gothic" w:cs="Arial"/>
          <w:i/>
          <w:iCs/>
          <w:color w:val="000000"/>
          <w:lang w:val="es-ES_tradnl"/>
        </w:rPr>
      </w:pPr>
      <w:r w:rsidRPr="00703170">
        <w:rPr>
          <w:rFonts w:ascii="Century Gothic" w:hAnsi="Century Gothic" w:cs="Arial"/>
          <w:color w:val="000000"/>
          <w:lang w:val="es-ES_tradnl"/>
        </w:rPr>
        <w:t>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rsidRPr="00703170" w:rsidR="00D37737" w:rsidP="00D37737" w:rsidRDefault="00D37737" w14:paraId="1BC4FF4E" w14:textId="77777777">
      <w:pPr>
        <w:spacing w:after="120"/>
        <w:ind w:firstLine="708"/>
        <w:jc w:val="both"/>
        <w:rPr>
          <w:rFonts w:ascii="Century Gothic" w:hAnsi="Century Gothic" w:cs="Arial"/>
          <w:i/>
          <w:color w:val="000000"/>
          <w:lang w:val="es-ES_tradnl"/>
        </w:rPr>
      </w:pPr>
      <w:r w:rsidRPr="00703170">
        <w:rPr>
          <w:rFonts w:ascii="Century Gothic" w:hAnsi="Century Gothic" w:cs="Arial"/>
          <w:color w:val="000000"/>
          <w:lang w:val="es-ES_tradnl"/>
        </w:rPr>
        <w:t xml:space="preserve">El parágrafo transitorio 2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rsidRPr="00703170" w:rsidR="00D37737" w:rsidP="00D37737" w:rsidRDefault="00D37737" w14:paraId="6F831C9D" w14:textId="387A233F">
      <w:pPr>
        <w:spacing w:after="120"/>
        <w:ind w:firstLine="708"/>
        <w:jc w:val="both"/>
        <w:rPr>
          <w:rFonts w:ascii="Century Gothic" w:hAnsi="Century Gothic" w:cs="Arial"/>
          <w:i/>
          <w:color w:val="000000"/>
          <w:lang w:val="es-ES_tradnl"/>
        </w:rPr>
      </w:pPr>
      <w:r w:rsidRPr="00703170">
        <w:rPr>
          <w:rFonts w:ascii="Century Gothic" w:hAnsi="Century Gothic" w:cs="Arial"/>
          <w:color w:val="000000"/>
          <w:lang w:val="es-ES_tradnl"/>
        </w:rPr>
        <w:t xml:space="preserve">En igual sentido, </w:t>
      </w:r>
      <w:r w:rsidRPr="00C22121">
        <w:rPr>
          <w:rFonts w:ascii="Century Gothic" w:hAnsi="Century Gothic" w:cs="Arial"/>
          <w:i/>
          <w:iCs/>
          <w:color w:val="000000"/>
          <w:lang w:val="es-ES_tradnl"/>
        </w:rPr>
        <w:t xml:space="preserve">el parágrafo transitorio 3 incluido por el </w:t>
      </w:r>
      <w:r w:rsidRPr="00C22121">
        <w:rPr>
          <w:rFonts w:ascii="Century Gothic" w:hAnsi="Century Gothic" w:cs="Arial"/>
          <w:i/>
          <w:iCs/>
        </w:rPr>
        <w:t xml:space="preserve">Decreto 1041 de 2022 </w:t>
      </w:r>
      <w:r w:rsidRPr="00703170">
        <w:rPr>
          <w:rFonts w:ascii="Century Gothic" w:hAnsi="Century Gothic" w:cs="Arial"/>
        </w:rPr>
        <w:t xml:space="preserve">mantuvo la anterior medida para el </w:t>
      </w:r>
      <w:r w:rsidR="00C96724">
        <w:rPr>
          <w:rFonts w:ascii="Century Gothic" w:hAnsi="Century Gothic" w:cs="Arial"/>
        </w:rPr>
        <w:t xml:space="preserve">año </w:t>
      </w:r>
      <w:r w:rsidRPr="00703170">
        <w:rPr>
          <w:rFonts w:ascii="Century Gothic" w:hAnsi="Century Gothic" w:cs="Arial"/>
        </w:rPr>
        <w:t xml:space="preserve">2023, permitiendo que para </w:t>
      </w:r>
      <w:r w:rsidRPr="00703170">
        <w:rPr>
          <w:rFonts w:ascii="Century Gothic" w:hAnsi="Century Gothic" w:cs="Arial"/>
          <w:color w:val="000000"/>
          <w:lang w:val="es-ES_tradnl"/>
        </w:rPr>
        <w:t xml:space="preserve">la inscripción en el RUP o para su renovación, el interesado pueda reportar la información contable y los estados financieros de los tres últimos años fiscales. </w:t>
      </w:r>
    </w:p>
    <w:p w:rsidRPr="00703170" w:rsidR="00D37737" w:rsidP="00D37737" w:rsidRDefault="00D37737" w14:paraId="13EDA59B" w14:textId="77777777">
      <w:pPr>
        <w:spacing w:after="120"/>
        <w:ind w:firstLine="708"/>
        <w:jc w:val="both"/>
        <w:rPr>
          <w:rFonts w:ascii="Century Gothic" w:hAnsi="Century Gothic" w:cs="Arial"/>
          <w:color w:val="000000"/>
          <w:lang w:val="es-ES_tradnl"/>
        </w:rPr>
      </w:pPr>
      <w:r w:rsidRPr="00703170">
        <w:rPr>
          <w:rFonts w:ascii="Century Gothic" w:hAnsi="Century Gothic" w:cs="Arial"/>
          <w:color w:val="000000"/>
          <w:lang w:val="es-ES_tradnl"/>
        </w:rPr>
        <w:lastRenderedPageBreak/>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703170">
        <w:rPr>
          <w:rFonts w:ascii="Century Gothic" w:hAnsi="Century Gothic" w:cs="Arial"/>
          <w:i/>
          <w:iCs/>
          <w:color w:val="000000"/>
          <w:lang w:val="es-ES_tradnl"/>
        </w:rPr>
        <w:t>“[…]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703170">
        <w:rPr>
          <w:rFonts w:ascii="Century Gothic" w:hAnsi="Century Gothic" w:cs="Arial"/>
          <w:color w:val="000000"/>
          <w:lang w:val="es-ES_tradnl"/>
        </w:rPr>
        <w:t>. Para esto, las cámaras de comercio, a partir del 1 de julio de 2021, “</w:t>
      </w:r>
      <w:r w:rsidRPr="00703170">
        <w:rPr>
          <w:rFonts w:ascii="Century Gothic" w:hAnsi="Century Gothic" w:cs="Arial"/>
          <w:i/>
          <w:iCs/>
          <w:color w:val="000000"/>
          <w:lang w:val="es-ES_tradnl"/>
        </w:rPr>
        <w:t>certificarán la información de que tratan los parágrafos transitorios 1 y 2 del artículo 2.2.1.1.1.5.2. de este Decreto”.</w:t>
      </w:r>
      <w:r w:rsidRPr="00703170">
        <w:rPr>
          <w:rFonts w:ascii="Century Gothic" w:hAnsi="Century Gothic" w:cs="Arial"/>
          <w:color w:val="000000"/>
          <w:lang w:val="es-ES_tradnl"/>
        </w:rPr>
        <w:t xml:space="preserve"> Los requisitos e indicadores de la capacidad financiera consagrados en el literal (b) del artículo 2.2.1.1.1.5.6. del Decreto 1082 de 2015 son: i) el índice de liquidez, </w:t>
      </w:r>
      <w:proofErr w:type="spellStart"/>
      <w:r w:rsidRPr="00703170">
        <w:rPr>
          <w:rFonts w:ascii="Century Gothic" w:hAnsi="Century Gothic" w:cs="Arial"/>
          <w:color w:val="000000"/>
          <w:lang w:val="es-ES_tradnl"/>
        </w:rPr>
        <w:t>ii</w:t>
      </w:r>
      <w:proofErr w:type="spellEnd"/>
      <w:r w:rsidRPr="00703170">
        <w:rPr>
          <w:rFonts w:ascii="Century Gothic" w:hAnsi="Century Gothic" w:cs="Arial"/>
          <w:color w:val="000000"/>
          <w:lang w:val="es-ES_tradnl"/>
        </w:rPr>
        <w:t xml:space="preserve">) el índice de endeudamiento y </w:t>
      </w:r>
      <w:proofErr w:type="spellStart"/>
      <w:r w:rsidRPr="00703170">
        <w:rPr>
          <w:rFonts w:ascii="Century Gothic" w:hAnsi="Century Gothic" w:cs="Arial"/>
          <w:color w:val="000000"/>
          <w:lang w:val="es-ES_tradnl"/>
        </w:rPr>
        <w:t>iii</w:t>
      </w:r>
      <w:proofErr w:type="spellEnd"/>
      <w:r w:rsidRPr="00703170">
        <w:rPr>
          <w:rFonts w:ascii="Century Gothic" w:hAnsi="Century Gothic" w:cs="Arial"/>
          <w:color w:val="000000"/>
          <w:lang w:val="es-ES_tradnl"/>
        </w:rPr>
        <w:t xml:space="preserve">) la razón de cobertura de intereses. Los requisitos e indicadores de capacidad organizacional son: i) la rentabilidad del patrimonio y </w:t>
      </w:r>
      <w:proofErr w:type="spellStart"/>
      <w:r w:rsidRPr="00703170">
        <w:rPr>
          <w:rFonts w:ascii="Century Gothic" w:hAnsi="Century Gothic" w:cs="Arial"/>
          <w:color w:val="000000"/>
          <w:lang w:val="es-ES_tradnl"/>
        </w:rPr>
        <w:t>ii</w:t>
      </w:r>
      <w:proofErr w:type="spellEnd"/>
      <w:r w:rsidRPr="00703170">
        <w:rPr>
          <w:rFonts w:ascii="Century Gothic" w:hAnsi="Century Gothic" w:cs="Arial"/>
          <w:color w:val="000000"/>
          <w:lang w:val="es-ES_tradnl"/>
        </w:rPr>
        <w:t>) la rentabilidad del activo.</w:t>
      </w:r>
    </w:p>
    <w:p w:rsidRPr="00703170" w:rsidR="00D37737" w:rsidP="00D37737" w:rsidRDefault="007A2970" w14:paraId="1EF6D472" w14:textId="5B23B39A">
      <w:pPr>
        <w:spacing w:after="120"/>
        <w:ind w:firstLine="708"/>
        <w:jc w:val="both"/>
        <w:rPr>
          <w:rFonts w:ascii="Century Gothic" w:hAnsi="Century Gothic" w:cs="Arial"/>
          <w:i/>
          <w:iCs/>
          <w:color w:val="000000"/>
          <w:lang w:val="es-ES_tradnl"/>
        </w:rPr>
      </w:pPr>
      <w:r>
        <w:rPr>
          <w:rFonts w:ascii="Century Gothic" w:hAnsi="Century Gothic" w:cs="Arial"/>
          <w:color w:val="000000"/>
          <w:lang w:val="es-ES_tradnl"/>
        </w:rPr>
        <w:t>Posteriormente</w:t>
      </w:r>
      <w:r w:rsidRPr="00703170" w:rsidR="00D37737">
        <w:rPr>
          <w:rFonts w:ascii="Century Gothic" w:hAnsi="Century Gothic" w:cs="Arial"/>
          <w:color w:val="000000"/>
          <w:lang w:val="es-ES_tradnl"/>
        </w:rPr>
        <w:t xml:space="preserve">, el segundo parágrafo transitorio del artículo 2.2.1.1.1.5.6. del Decreto 1082 de 2015, modificado por el artículo 2 del Decreto 1041 del 21 de junio 2022 dispone que </w:t>
      </w:r>
      <w:r w:rsidRPr="00703170" w:rsidR="00D37737">
        <w:rPr>
          <w:rFonts w:ascii="Century Gothic" w:hAnsi="Century Gothic" w:cs="Arial"/>
          <w:i/>
          <w:iCs/>
          <w:color w:val="000000"/>
          <w:lang w:val="es-ES_tradnl"/>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p>
    <w:p w:rsidRPr="00703170" w:rsidR="00D37737" w:rsidP="00D37737" w:rsidRDefault="00D37737" w14:paraId="7E40E889" w14:textId="77777777">
      <w:pPr>
        <w:spacing w:after="120"/>
        <w:ind w:firstLine="708"/>
        <w:jc w:val="both"/>
        <w:rPr>
          <w:rFonts w:ascii="Century Gothic" w:hAnsi="Century Gothic" w:cs="Arial"/>
          <w:i/>
          <w:color w:val="000000"/>
          <w:lang w:val="es-ES_tradnl"/>
        </w:rPr>
      </w:pPr>
      <w:r w:rsidRPr="00703170">
        <w:rPr>
          <w:rFonts w:ascii="Century Gothic" w:hAnsi="Century Gothic" w:cs="Arial"/>
          <w:color w:val="000000"/>
          <w:lang w:val="es-ES_tradnl"/>
        </w:rPr>
        <w:t>Como se observa, las normas anteriormente transcritas disponen que:</w:t>
      </w:r>
    </w:p>
    <w:p w:rsidRPr="00703170" w:rsidR="00D37737" w:rsidP="00D37737" w:rsidRDefault="00D37737" w14:paraId="1B25C8C8" w14:textId="77777777">
      <w:pPr>
        <w:spacing w:after="120"/>
        <w:ind w:firstLine="708"/>
        <w:jc w:val="both"/>
        <w:rPr>
          <w:rFonts w:ascii="Century Gothic" w:hAnsi="Century Gothic" w:cs="Arial"/>
          <w:i/>
          <w:iCs/>
          <w:color w:val="000000"/>
          <w:lang w:val="es-ES_tradnl"/>
        </w:rPr>
      </w:pPr>
      <w:r w:rsidRPr="00703170">
        <w:rPr>
          <w:rFonts w:ascii="Century Gothic" w:hAnsi="Century Gothic" w:cs="Arial"/>
          <w:color w:val="000000"/>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rsidRPr="00703170" w:rsidR="00D37737" w:rsidP="00D37737" w:rsidRDefault="00D37737" w14:paraId="1394619F" w14:textId="77777777">
      <w:pPr>
        <w:spacing w:after="120"/>
        <w:ind w:firstLine="708"/>
        <w:jc w:val="both"/>
        <w:rPr>
          <w:rFonts w:ascii="Century Gothic" w:hAnsi="Century Gothic" w:cs="Arial"/>
          <w:i/>
          <w:color w:val="000000"/>
          <w:lang w:val="es-ES_tradnl"/>
        </w:rPr>
      </w:pPr>
      <w:proofErr w:type="spellStart"/>
      <w:r w:rsidRPr="00703170">
        <w:rPr>
          <w:rFonts w:ascii="Century Gothic" w:hAnsi="Century Gothic" w:cs="Arial"/>
          <w:color w:val="000000"/>
          <w:lang w:val="es-ES_tradnl"/>
        </w:rPr>
        <w:t>ii</w:t>
      </w:r>
      <w:proofErr w:type="spellEnd"/>
      <w:r w:rsidRPr="00703170">
        <w:rPr>
          <w:rFonts w:ascii="Century Gothic" w:hAnsi="Century Gothic" w:cs="Arial"/>
          <w:color w:val="000000"/>
          <w:lang w:val="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rsidRPr="00703170" w:rsidR="00D37737" w:rsidP="00D37737" w:rsidRDefault="00D37737" w14:paraId="3E71D6BF" w14:textId="77777777">
      <w:pPr>
        <w:spacing w:after="120"/>
        <w:ind w:firstLine="708"/>
        <w:jc w:val="both"/>
        <w:rPr>
          <w:rFonts w:ascii="Century Gothic" w:hAnsi="Century Gothic" w:cs="Arial"/>
          <w:i/>
          <w:color w:val="000000"/>
          <w:lang w:val="es-ES_tradnl"/>
        </w:rPr>
      </w:pPr>
      <w:proofErr w:type="spellStart"/>
      <w:r w:rsidRPr="00703170">
        <w:rPr>
          <w:rFonts w:ascii="Century Gothic" w:hAnsi="Century Gothic" w:cs="Arial"/>
          <w:color w:val="000000"/>
          <w:lang w:val="es-ES_tradnl"/>
        </w:rPr>
        <w:lastRenderedPageBreak/>
        <w:t>iii</w:t>
      </w:r>
      <w:proofErr w:type="spellEnd"/>
      <w:r w:rsidRPr="00703170">
        <w:rPr>
          <w:rFonts w:ascii="Century Gothic" w:hAnsi="Century Gothic" w:cs="Arial"/>
          <w:color w:val="000000"/>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rsidRPr="00703170" w:rsidR="00D37737" w:rsidP="00D37737" w:rsidRDefault="00D37737" w14:paraId="304829E4" w14:textId="77777777">
      <w:pPr>
        <w:spacing w:after="120"/>
        <w:ind w:firstLine="708"/>
        <w:jc w:val="both"/>
        <w:rPr>
          <w:rFonts w:ascii="Century Gothic" w:hAnsi="Century Gothic" w:cs="Arial"/>
          <w:i/>
          <w:iCs/>
          <w:color w:val="000000"/>
          <w:lang w:val="es-ES_tradnl"/>
        </w:rPr>
      </w:pPr>
      <w:proofErr w:type="spellStart"/>
      <w:r w:rsidRPr="00703170">
        <w:rPr>
          <w:rFonts w:ascii="Century Gothic" w:hAnsi="Century Gothic" w:cs="Arial"/>
          <w:color w:val="000000"/>
          <w:lang w:val="es-ES_tradnl"/>
        </w:rPr>
        <w:t>iv</w:t>
      </w:r>
      <w:proofErr w:type="spellEnd"/>
      <w:r w:rsidRPr="00703170">
        <w:rPr>
          <w:rFonts w:ascii="Century Gothic" w:hAnsi="Century Gothic" w:cs="Arial"/>
          <w:color w:val="000000"/>
          <w:lang w:val="es-ES_tradnl"/>
        </w:rPr>
        <w:t xml:space="preserve">) A partir de la fecha establecida anteriormente, la evaluación de los indicadores de capacidad </w:t>
      </w:r>
      <w:r w:rsidRPr="00703170">
        <w:rPr>
          <w:rFonts w:ascii="Century Gothic" w:hAnsi="Century Gothic" w:cs="Arial"/>
          <w:i/>
          <w:iCs/>
          <w:color w:val="000000"/>
          <w:lang w:val="es-ES_tradnl"/>
        </w:rPr>
        <w:t>financiera –</w:t>
      </w:r>
      <w:r w:rsidRPr="00703170">
        <w:rPr>
          <w:rFonts w:ascii="Century Gothic" w:hAnsi="Century Gothic" w:cs="Arial"/>
          <w:color w:val="000000"/>
          <w:lang w:val="es-ES_tradnl"/>
        </w:rPr>
        <w:t xml:space="preserve">índice de liquidez, índice de endeudamiento y </w:t>
      </w:r>
      <w:r w:rsidRPr="00703170">
        <w:rPr>
          <w:rFonts w:ascii="Century Gothic" w:hAnsi="Century Gothic" w:cs="Arial"/>
          <w:i/>
          <w:iCs/>
          <w:color w:val="000000"/>
          <w:lang w:val="es-ES_tradnl"/>
        </w:rPr>
        <w:t>razón de cobertura de intereses</w:t>
      </w:r>
      <w:r w:rsidRPr="00703170">
        <w:rPr>
          <w:rFonts w:ascii="Century Gothic" w:hAnsi="Century Gothic" w:cs="Arial"/>
          <w:color w:val="000000"/>
          <w:lang w:val="es-ES_tradnl"/>
        </w:rPr>
        <w:t xml:space="preserve">– y organizacional –rentabilidad del patrimonio y rentabilidad del activo–, se deberá realizar por parte de las entidades estatales “teniendo en cuenta </w:t>
      </w:r>
      <w:r w:rsidRPr="00703170">
        <w:rPr>
          <w:rFonts w:ascii="Century Gothic" w:hAnsi="Century Gothic" w:cs="Arial"/>
          <w:i/>
          <w:iCs/>
          <w:color w:val="000000"/>
          <w:lang w:val="es-ES_tradnl"/>
        </w:rPr>
        <w:t>el mejor año fiscal que se refleje en el registro</w:t>
      </w:r>
      <w:r w:rsidRPr="00703170">
        <w:rPr>
          <w:rFonts w:ascii="Century Gothic" w:hAnsi="Century Gothic" w:cs="Arial"/>
          <w:color w:val="000000"/>
          <w:lang w:val="es-ES_tradnl"/>
        </w:rPr>
        <w:t xml:space="preserve"> de cada proponente” (énfasis fuera de texto). </w:t>
      </w:r>
    </w:p>
    <w:p w:rsidRPr="00703170" w:rsidR="00D37737" w:rsidP="00D37737" w:rsidRDefault="00D37737" w14:paraId="5B7BD4C3" w14:textId="77777777">
      <w:pPr>
        <w:spacing w:after="120"/>
        <w:ind w:firstLine="708"/>
        <w:jc w:val="both"/>
        <w:rPr>
          <w:rFonts w:ascii="Century Gothic" w:hAnsi="Century Gothic" w:cs="Arial"/>
          <w:i/>
          <w:iCs/>
          <w:color w:val="000000"/>
          <w:lang w:val="es-ES_tradnl"/>
        </w:rPr>
      </w:pPr>
      <w:r w:rsidRPr="00703170">
        <w:rPr>
          <w:rFonts w:ascii="Century Gothic" w:hAnsi="Century Gothic" w:cs="Arial"/>
          <w:color w:val="000000"/>
          <w:lang w:val="es-ES_tradnl"/>
        </w:rPr>
        <w:t>v) Dichas medidas se mantienen hasta el año 2023 en virtud de lo consagrado en el Decreto 1041 de 2022.</w:t>
      </w:r>
    </w:p>
    <w:p w:rsidRPr="00703170" w:rsidR="00D37737" w:rsidP="00D37737" w:rsidRDefault="00D37737" w14:paraId="389E1AE0" w14:textId="77777777">
      <w:pPr>
        <w:spacing w:after="120"/>
        <w:ind w:firstLine="708"/>
        <w:jc w:val="both"/>
        <w:rPr>
          <w:rFonts w:ascii="Century Gothic" w:hAnsi="Century Gothic" w:cs="Arial"/>
          <w:i/>
          <w:color w:val="000000"/>
          <w:lang w:val="es-ES_tradnl"/>
        </w:rPr>
      </w:pPr>
      <w:r w:rsidRPr="00703170">
        <w:rPr>
          <w:rFonts w:ascii="Century Gothic" w:hAnsi="Century Gothic" w:cs="Arial"/>
          <w:color w:val="000000"/>
          <w:lang w:val="es-ES_tradnl"/>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703170">
        <w:rPr>
          <w:rFonts w:ascii="Century Gothic" w:hAnsi="Century Gothic" w:cs="Arial"/>
        </w:rPr>
        <w:t>Decreto 1041 de 2022</w:t>
      </w:r>
      <w:r w:rsidRPr="00703170">
        <w:rPr>
          <w:rFonts w:ascii="Century Gothic" w:hAnsi="Century Gothic" w:cs="Arial"/>
          <w:color w:val="000000"/>
          <w:lang w:val="es-ES_tradnl"/>
        </w:rPr>
        <w:t xml:space="preserve">, establece que </w:t>
      </w:r>
      <w:r w:rsidRPr="00703170">
        <w:rPr>
          <w:rFonts w:ascii="Century Gothic" w:hAnsi="Century Gothic" w:cs="Arial"/>
          <w:i/>
          <w:iCs/>
          <w:color w:val="000000"/>
          <w:lang w:val="es-ES_tradnl"/>
        </w:rPr>
        <w:t xml:space="preserve">“[…] las Entidades Estatales evaluarán estos indicadores, teniendo en cuenta el mejor año fiscal que se refleje en el registro de cada proponente”, </w:t>
      </w:r>
      <w:r w:rsidRPr="00703170">
        <w:rPr>
          <w:rFonts w:ascii="Century Gothic" w:hAnsi="Century Gothic" w:cs="Arial"/>
          <w:color w:val="000000"/>
          <w:lang w:val="es-ES_tradnl"/>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rsidRPr="00703170" w:rsidR="00D37737" w:rsidP="00D37737" w:rsidRDefault="00D37737" w14:paraId="2479DBA4" w14:textId="77777777">
      <w:pPr>
        <w:tabs>
          <w:tab w:val="left" w:pos="0"/>
        </w:tabs>
        <w:spacing w:after="0"/>
        <w:rPr>
          <w:rFonts w:ascii="Century Gothic" w:hAnsi="Century Gothic" w:cs="Arial"/>
          <w:b/>
          <w:color w:val="000000"/>
          <w:lang w:val="es-ES_tradnl"/>
        </w:rPr>
      </w:pPr>
      <w:r w:rsidRPr="00703170">
        <w:rPr>
          <w:rFonts w:ascii="Century Gothic" w:hAnsi="Century Gothic" w:cs="Arial"/>
          <w:b/>
          <w:color w:val="000000"/>
          <w:lang w:val="es-ES_tradnl"/>
        </w:rPr>
        <w:t>3. Respuesta</w:t>
      </w:r>
    </w:p>
    <w:p w:rsidRPr="00703170" w:rsidR="00D37737" w:rsidP="00D37737" w:rsidRDefault="00D37737" w14:paraId="71EBFB5E" w14:textId="77777777">
      <w:pPr>
        <w:tabs>
          <w:tab w:val="left" w:pos="0"/>
        </w:tabs>
        <w:spacing w:after="0"/>
        <w:rPr>
          <w:rFonts w:ascii="Century Gothic" w:hAnsi="Century Gothic" w:cs="Arial"/>
          <w:b/>
          <w:color w:val="000000"/>
          <w:lang w:val="es-ES_tradnl"/>
        </w:rPr>
      </w:pPr>
    </w:p>
    <w:p w:rsidR="00D37737" w:rsidP="00C447AF" w:rsidRDefault="00C447AF" w14:paraId="356A1C89" w14:textId="09B6C10A">
      <w:pPr>
        <w:spacing w:after="0" w:line="240" w:lineRule="auto"/>
        <w:ind w:left="709" w:right="709"/>
        <w:jc w:val="both"/>
        <w:rPr>
          <w:rFonts w:ascii="Century Gothic" w:hAnsi="Century Gothic"/>
          <w:sz w:val="21"/>
          <w:szCs w:val="21"/>
        </w:rPr>
      </w:pPr>
      <w:r w:rsidRPr="00C447AF">
        <w:rPr>
          <w:rFonts w:ascii="Century Gothic" w:hAnsi="Century Gothic" w:eastAsia="Calibri" w:cs="Arial"/>
          <w:bCs/>
          <w:sz w:val="21"/>
          <w:szCs w:val="21"/>
          <w:lang w:val="es-ES_tradnl"/>
        </w:rPr>
        <w:t>“</w:t>
      </w:r>
      <w:r w:rsidRPr="00C447AF">
        <w:rPr>
          <w:rFonts w:ascii="Century Gothic" w:hAnsi="Century Gothic"/>
          <w:sz w:val="21"/>
          <w:szCs w:val="21"/>
        </w:rPr>
        <w:t>Deseo tener conocimiento si a la fecha está vigente el DECRETO 579 DE 2021. Lo anterior en virtud de el mejor año fiscal del proponente de los últimos tres (3) años, con el fin de dar pluralidad a los proponentes que han sido afectados negativamente por la pandemia del COVID-19. (…)”</w:t>
      </w:r>
      <w:r>
        <w:rPr>
          <w:rFonts w:ascii="Century Gothic" w:hAnsi="Century Gothic"/>
          <w:sz w:val="21"/>
          <w:szCs w:val="21"/>
        </w:rPr>
        <w:t xml:space="preserve"> (Sic).</w:t>
      </w:r>
    </w:p>
    <w:p w:rsidRPr="00C447AF" w:rsidR="00C447AF" w:rsidP="00C447AF" w:rsidRDefault="00C447AF" w14:paraId="10AE8483" w14:textId="77777777">
      <w:pPr>
        <w:spacing w:after="0" w:line="240" w:lineRule="auto"/>
        <w:ind w:left="709" w:right="709"/>
        <w:jc w:val="both"/>
        <w:rPr>
          <w:rFonts w:ascii="Century Gothic" w:hAnsi="Century Gothic" w:cs="Arial"/>
          <w:color w:val="000000" w:themeColor="text1"/>
          <w:sz w:val="21"/>
          <w:szCs w:val="21"/>
          <w:lang w:val="es-ES_tradnl"/>
        </w:rPr>
      </w:pPr>
    </w:p>
    <w:p w:rsidRPr="00703170" w:rsidR="00C447AF" w:rsidP="00C447AF" w:rsidRDefault="00D37737" w14:paraId="4F04F23D" w14:textId="5AEE2393">
      <w:pPr>
        <w:spacing w:after="120"/>
        <w:jc w:val="both"/>
        <w:rPr>
          <w:rFonts w:ascii="Century Gothic" w:hAnsi="Century Gothic" w:cs="Arial"/>
          <w:color w:val="000000"/>
          <w:lang w:val="es-ES_tradnl"/>
        </w:rPr>
      </w:pPr>
      <w:r w:rsidRPr="00703170">
        <w:rPr>
          <w:rFonts w:ascii="Century Gothic" w:hAnsi="Century Gothic" w:cs="Arial"/>
          <w:color w:val="000000"/>
          <w:bdr w:val="none" w:color="auto" w:sz="0" w:space="0" w:frame="1"/>
        </w:rPr>
        <w:t xml:space="preserve">Conforme a lo indicado en el presente documento, </w:t>
      </w:r>
      <w:r w:rsidRPr="00703170" w:rsidR="00C447AF">
        <w:rPr>
          <w:rFonts w:ascii="Century Gothic" w:hAnsi="Century Gothic" w:cs="Arial"/>
          <w:color w:val="000000"/>
          <w:lang w:val="es-ES_tradnl"/>
        </w:rPr>
        <w:t xml:space="preserve">frente a los indicadores financieros, se hace necesario señalar que </w:t>
      </w:r>
      <w:r w:rsidR="00F24D05">
        <w:rPr>
          <w:rFonts w:ascii="Century Gothic" w:hAnsi="Century Gothic" w:cs="Arial"/>
          <w:color w:val="000000"/>
          <w:lang w:val="es-ES_tradnl"/>
        </w:rPr>
        <w:t xml:space="preserve">para el año 2023, </w:t>
      </w:r>
      <w:r w:rsidRPr="00703170" w:rsidR="00C447AF">
        <w:rPr>
          <w:rFonts w:ascii="Century Gothic" w:hAnsi="Century Gothic" w:cs="Arial"/>
          <w:color w:val="000000"/>
          <w:lang w:val="es-ES_tradnl"/>
        </w:rPr>
        <w:t xml:space="preserve">con ocasión a las </w:t>
      </w:r>
      <w:r w:rsidRPr="00703170" w:rsidR="00C447AF">
        <w:rPr>
          <w:rFonts w:ascii="Century Gothic" w:hAnsi="Century Gothic" w:cs="Arial"/>
          <w:color w:val="000000"/>
          <w:lang w:val="es-ES_tradnl"/>
        </w:rPr>
        <w:lastRenderedPageBreak/>
        <w:t xml:space="preserve">modificaciones transitorias realizadas en los Decretos 399, 579 de 2021 y 1041 de 2022, tendientes a la reactivación económica con ocasión al impacto negativo causado por el COVID 19, se permite que el certificado del -RUP- reporte la información financiera y organizacional del proponente correspondiente </w:t>
      </w:r>
      <w:r w:rsidRPr="00703170" w:rsidR="00C447AF">
        <w:rPr>
          <w:rFonts w:ascii="Century Gothic" w:hAnsi="Century Gothic" w:cs="Arial"/>
          <w:i/>
          <w:iCs/>
          <w:color w:val="000000"/>
          <w:lang w:val="es-ES_tradnl"/>
        </w:rPr>
        <w:t>a los últimos tres años o al período transcurrido desde su primer cierre fiscal</w:t>
      </w:r>
      <w:r w:rsidRPr="00703170" w:rsidR="00C447AF">
        <w:rPr>
          <w:rFonts w:ascii="Century Gothic" w:hAnsi="Century Gothic" w:cs="Arial"/>
          <w:color w:val="000000"/>
          <w:lang w:val="es-ES_tradnl"/>
        </w:rPr>
        <w:t>, según el caso, y en tal sentido, al momento de evaluar tales indicadores las Entidades Estatales deberán tener en cuenta “</w:t>
      </w:r>
      <w:r w:rsidRPr="00703170" w:rsidR="00C447AF">
        <w:rPr>
          <w:rFonts w:ascii="Century Gothic" w:hAnsi="Century Gothic" w:cs="Arial"/>
          <w:i/>
          <w:iCs/>
          <w:color w:val="000000"/>
          <w:lang w:val="es-ES_tradnl"/>
        </w:rPr>
        <w:t>el mejor año fiscal”</w:t>
      </w:r>
      <w:r w:rsidRPr="00703170" w:rsidR="00C447AF">
        <w:rPr>
          <w:rFonts w:ascii="Century Gothic" w:hAnsi="Century Gothic" w:cs="Arial"/>
          <w:color w:val="000000"/>
          <w:lang w:val="es-ES_tradnl"/>
        </w:rPr>
        <w:t xml:space="preserve"> que refleje el registro, interpretando esto como el año, que permita al proponente cumplir los requisitos habilitantes de capacidad financiera y organizacional establecido en el pliego de condiciones.</w:t>
      </w:r>
    </w:p>
    <w:p w:rsidRPr="00703170" w:rsidR="004E71EE" w:rsidP="004E71EE" w:rsidRDefault="004E71EE" w14:paraId="68EB7A0C" w14:textId="76A17542">
      <w:pPr>
        <w:spacing w:after="0"/>
        <w:ind w:firstLine="708"/>
        <w:jc w:val="both"/>
        <w:rPr>
          <w:rFonts w:ascii="Century Gothic" w:hAnsi="Century Gothic" w:cs="Arial"/>
          <w:color w:val="000000"/>
          <w:lang w:val="es-ES_tradnl"/>
        </w:rPr>
      </w:pPr>
      <w:r>
        <w:rPr>
          <w:rFonts w:ascii="Century Gothic" w:hAnsi="Century Gothic" w:cs="Arial"/>
          <w:color w:val="000000"/>
          <w:lang w:val="es-ES_tradnl"/>
        </w:rPr>
        <w:t>En ese sentido,</w:t>
      </w:r>
      <w:r w:rsidR="00C44CF6">
        <w:rPr>
          <w:rFonts w:ascii="Century Gothic" w:hAnsi="Century Gothic" w:cs="Arial"/>
          <w:color w:val="000000"/>
          <w:lang w:val="es-ES_tradnl"/>
        </w:rPr>
        <w:t xml:space="preserve"> las disposiciones contenidas en el </w:t>
      </w:r>
      <w:r w:rsidRPr="00C447AF" w:rsidR="00C44CF6">
        <w:rPr>
          <w:rFonts w:ascii="Century Gothic" w:hAnsi="Century Gothic"/>
          <w:sz w:val="21"/>
          <w:szCs w:val="21"/>
        </w:rPr>
        <w:t>D</w:t>
      </w:r>
      <w:r w:rsidR="00C44CF6">
        <w:rPr>
          <w:rFonts w:ascii="Century Gothic" w:hAnsi="Century Gothic"/>
          <w:sz w:val="21"/>
          <w:szCs w:val="21"/>
        </w:rPr>
        <w:t>ecreto</w:t>
      </w:r>
      <w:r w:rsidRPr="00C447AF" w:rsidR="00C44CF6">
        <w:rPr>
          <w:rFonts w:ascii="Century Gothic" w:hAnsi="Century Gothic"/>
          <w:sz w:val="21"/>
          <w:szCs w:val="21"/>
        </w:rPr>
        <w:t xml:space="preserve"> 579 </w:t>
      </w:r>
      <w:r w:rsidR="00C44CF6">
        <w:rPr>
          <w:rFonts w:ascii="Century Gothic" w:hAnsi="Century Gothic"/>
          <w:sz w:val="21"/>
          <w:szCs w:val="21"/>
        </w:rPr>
        <w:t>de</w:t>
      </w:r>
      <w:r w:rsidRPr="00C447AF" w:rsidR="00C44CF6">
        <w:rPr>
          <w:rFonts w:ascii="Century Gothic" w:hAnsi="Century Gothic"/>
          <w:sz w:val="21"/>
          <w:szCs w:val="21"/>
        </w:rPr>
        <w:t xml:space="preserve"> 2021</w:t>
      </w:r>
      <w:r w:rsidRPr="00703170">
        <w:rPr>
          <w:rFonts w:ascii="Century Gothic" w:hAnsi="Century Gothic" w:cs="Arial"/>
          <w:color w:val="000000"/>
          <w:lang w:val="es-ES_tradnl"/>
        </w:rPr>
        <w:t xml:space="preserve"> </w:t>
      </w:r>
      <w:r w:rsidR="00376DEF">
        <w:rPr>
          <w:rFonts w:ascii="Century Gothic" w:hAnsi="Century Gothic" w:cs="Arial"/>
          <w:color w:val="000000"/>
          <w:lang w:val="es-ES_tradnl"/>
        </w:rPr>
        <w:t xml:space="preserve">se </w:t>
      </w:r>
      <w:r w:rsidRPr="00703170" w:rsidR="00376DEF">
        <w:rPr>
          <w:rFonts w:ascii="Century Gothic" w:hAnsi="Century Gothic" w:cs="Arial"/>
          <w:i/>
          <w:iCs/>
          <w:color w:val="000000"/>
          <w:lang w:val="es-ES_tradnl"/>
        </w:rPr>
        <w:t>extendió hasta el año 2023</w:t>
      </w:r>
      <w:r w:rsidR="00376DEF">
        <w:rPr>
          <w:rFonts w:ascii="Century Gothic" w:hAnsi="Century Gothic" w:cs="Arial"/>
          <w:i/>
          <w:iCs/>
          <w:color w:val="000000"/>
          <w:lang w:val="es-ES_tradnl"/>
        </w:rPr>
        <w:t xml:space="preserve"> en virtud del </w:t>
      </w:r>
      <w:r w:rsidRPr="00376DEF">
        <w:rPr>
          <w:rFonts w:ascii="Century Gothic" w:hAnsi="Century Gothic" w:cs="Arial"/>
          <w:i/>
          <w:iCs/>
          <w:color w:val="000000"/>
          <w:lang w:val="es-ES_tradnl"/>
        </w:rPr>
        <w:t>Decreto 1041 de 2022</w:t>
      </w:r>
      <w:r w:rsidRPr="00703170">
        <w:rPr>
          <w:rFonts w:ascii="Century Gothic" w:hAnsi="Century Gothic" w:cs="Arial"/>
          <w:color w:val="000000"/>
          <w:lang w:val="es-ES_tradnl"/>
        </w:rPr>
        <w:t xml:space="preserve"> </w:t>
      </w:r>
      <w:r w:rsidR="00376DEF">
        <w:rPr>
          <w:rFonts w:ascii="Century Gothic" w:hAnsi="Century Gothic" w:cs="Arial"/>
          <w:color w:val="000000"/>
          <w:lang w:val="es-ES_tradnl"/>
        </w:rPr>
        <w:t xml:space="preserve">que </w:t>
      </w:r>
      <w:r w:rsidRPr="00703170">
        <w:rPr>
          <w:rFonts w:ascii="Century Gothic" w:hAnsi="Century Gothic" w:cs="Arial"/>
          <w:color w:val="000000"/>
          <w:lang w:val="es-ES_tradnl"/>
        </w:rPr>
        <w:t xml:space="preserve">faculta </w:t>
      </w:r>
      <w:r w:rsidR="00376DEF">
        <w:rPr>
          <w:rFonts w:ascii="Century Gothic" w:hAnsi="Century Gothic" w:cs="Arial"/>
          <w:color w:val="000000"/>
          <w:lang w:val="es-ES_tradnl"/>
        </w:rPr>
        <w:t>a</w:t>
      </w:r>
      <w:r w:rsidRPr="00703170">
        <w:rPr>
          <w:rFonts w:ascii="Century Gothic" w:hAnsi="Century Gothic" w:cs="Arial"/>
          <w:color w:val="000000"/>
          <w:lang w:val="es-ES_tradnl"/>
        </w:rPr>
        <w:t xml:space="preserve"> los oferentes de acreditar el mejor indicador financiero y organizacional de los últimos tres (3) años, para contribuir a la reactivación económica. </w:t>
      </w:r>
    </w:p>
    <w:p w:rsidRPr="00703170" w:rsidR="00C447AF" w:rsidP="00C447AF" w:rsidRDefault="00C447AF" w14:paraId="0BCDEB86" w14:textId="2CB5FBDF">
      <w:pPr>
        <w:spacing w:after="0"/>
        <w:ind w:firstLine="708"/>
        <w:jc w:val="both"/>
        <w:rPr>
          <w:rFonts w:ascii="Century Gothic" w:hAnsi="Century Gothic" w:cs="Arial"/>
          <w:color w:val="000000"/>
          <w:lang w:val="es-ES_tradnl"/>
        </w:rPr>
      </w:pPr>
    </w:p>
    <w:p w:rsidRPr="00703170" w:rsidR="00D37737" w:rsidP="00D37737" w:rsidRDefault="00D37737" w14:paraId="05EB75DB" w14:textId="77777777">
      <w:pPr>
        <w:spacing w:line="276" w:lineRule="auto"/>
        <w:jc w:val="both"/>
        <w:rPr>
          <w:rFonts w:ascii="Century Gothic" w:hAnsi="Century Gothic" w:cs="Arial"/>
        </w:rPr>
      </w:pPr>
      <w:r w:rsidRPr="00703170">
        <w:rPr>
          <w:rFonts w:ascii="Century Gothic" w:hAnsi="Century Gothic"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703170" w:rsidR="00D37737" w:rsidP="00D37737" w:rsidRDefault="00D37737" w14:paraId="35151386" w14:textId="77777777">
      <w:pPr>
        <w:spacing w:before="120" w:after="0" w:line="276" w:lineRule="auto"/>
        <w:jc w:val="both"/>
        <w:rPr>
          <w:rFonts w:ascii="Century Gothic" w:hAnsi="Century Gothic" w:eastAsia="Times New Roman" w:cs="Arial"/>
          <w:szCs w:val="24"/>
          <w:lang w:eastAsia="es-ES_tradnl"/>
        </w:rPr>
      </w:pPr>
      <w:r w:rsidRPr="00703170">
        <w:rPr>
          <w:rFonts w:ascii="Century Gothic" w:hAnsi="Century Gothic" w:cs="Arial"/>
          <w:lang w:val="es-ES_tradnl"/>
        </w:rPr>
        <w:t>Atentamente,</w:t>
      </w:r>
    </w:p>
    <w:p w:rsidRPr="00703170" w:rsidR="00D37737" w:rsidP="00D37737" w:rsidRDefault="001465D3" w14:paraId="049AC1AB" w14:textId="72687AF6">
      <w:pPr>
        <w:spacing w:after="120"/>
        <w:jc w:val="center"/>
        <w:rPr>
          <w:rFonts w:ascii="Century Gothic" w:hAnsi="Century Gothic" w:cs="Arial"/>
          <w:color w:val="000000"/>
          <w:lang w:val="es-ES_tradnl"/>
        </w:rPr>
      </w:pPr>
      <w:r>
        <w:rPr>
          <w:noProof/>
        </w:rPr>
        <w:drawing>
          <wp:inline distT="0" distB="0" distL="0" distR="0" wp14:anchorId="2D422B26" wp14:editId="5E7E2D5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858"/>
      </w:tblGrid>
      <w:tr w:rsidRPr="00703170" w:rsidR="00D37737" w:rsidTr="009A35AD" w14:paraId="3D46327F" w14:textId="77777777">
        <w:trPr>
          <w:trHeight w:val="315"/>
        </w:trPr>
        <w:tc>
          <w:tcPr>
            <w:tcW w:w="812" w:type="dxa"/>
            <w:vAlign w:val="center"/>
            <w:hideMark/>
          </w:tcPr>
          <w:p w:rsidRPr="00703170" w:rsidR="00D37737" w:rsidP="009A35AD" w:rsidRDefault="00D37737" w14:paraId="40046343" w14:textId="77777777">
            <w:pPr>
              <w:spacing w:line="276" w:lineRule="auto"/>
              <w:rPr>
                <w:rFonts w:ascii="Century Gothic" w:hAnsi="Century Gothic" w:eastAsia="Times New Roman" w:cs="Arial"/>
                <w:sz w:val="16"/>
                <w:szCs w:val="16"/>
                <w:lang w:val="es-ES" w:eastAsia="es-ES"/>
              </w:rPr>
            </w:pPr>
            <w:r w:rsidRPr="00703170">
              <w:rPr>
                <w:rFonts w:ascii="Century Gothic" w:hAnsi="Century Gothic" w:eastAsia="Times New Roman" w:cs="Arial"/>
                <w:sz w:val="16"/>
                <w:szCs w:val="16"/>
                <w:lang w:val="es-ES" w:eastAsia="es-ES"/>
              </w:rPr>
              <w:t>Elaboró:</w:t>
            </w:r>
          </w:p>
        </w:tc>
        <w:tc>
          <w:tcPr>
            <w:tcW w:w="4858" w:type="dxa"/>
            <w:tcBorders>
              <w:top w:val="nil"/>
              <w:left w:val="nil"/>
              <w:bottom w:val="dotted" w:color="7F7F7F" w:themeColor="text1" w:themeTint="80" w:sz="4" w:space="0"/>
              <w:right w:val="nil"/>
            </w:tcBorders>
            <w:vAlign w:val="center"/>
            <w:hideMark/>
          </w:tcPr>
          <w:p w:rsidRPr="00703170" w:rsidR="00D37737" w:rsidP="009A35AD" w:rsidRDefault="007E6428" w14:paraId="0360C647" w14:textId="4FF5C11A">
            <w:pPr>
              <w:jc w:val="both"/>
              <w:rPr>
                <w:rFonts w:ascii="Century Gothic" w:hAnsi="Century Gothic" w:eastAsia="Times New Roman" w:cs="Arial"/>
                <w:sz w:val="16"/>
                <w:szCs w:val="16"/>
                <w:lang w:val="es-ES" w:eastAsia="es-ES"/>
              </w:rPr>
            </w:pPr>
            <w:r>
              <w:rPr>
                <w:rFonts w:ascii="Century Gothic" w:hAnsi="Century Gothic" w:eastAsia="Times New Roman" w:cs="Arial"/>
                <w:sz w:val="16"/>
                <w:szCs w:val="16"/>
                <w:lang w:val="es-ES" w:eastAsia="es-ES"/>
              </w:rPr>
              <w:t>Any Alejandra</w:t>
            </w:r>
            <w:r w:rsidR="00917EDC">
              <w:rPr>
                <w:rFonts w:ascii="Century Gothic" w:hAnsi="Century Gothic" w:eastAsia="Times New Roman" w:cs="Arial"/>
                <w:sz w:val="16"/>
                <w:szCs w:val="16"/>
                <w:lang w:val="es-ES" w:eastAsia="es-ES"/>
              </w:rPr>
              <w:t xml:space="preserve"> Tovar Castillo</w:t>
            </w:r>
          </w:p>
          <w:p w:rsidRPr="00703170" w:rsidR="00D37737" w:rsidP="009A35AD" w:rsidRDefault="00D37737" w14:paraId="32A34977" w14:textId="77777777">
            <w:pPr>
              <w:jc w:val="both"/>
              <w:rPr>
                <w:rFonts w:ascii="Century Gothic" w:hAnsi="Century Gothic" w:eastAsia="Times New Roman" w:cs="Arial"/>
                <w:sz w:val="16"/>
                <w:szCs w:val="16"/>
                <w:lang w:val="es-ES" w:eastAsia="es-ES"/>
              </w:rPr>
            </w:pPr>
            <w:r w:rsidRPr="00703170">
              <w:rPr>
                <w:rFonts w:ascii="Century Gothic" w:hAnsi="Century Gothic" w:eastAsia="Times New Roman" w:cs="Arial"/>
                <w:sz w:val="16"/>
                <w:szCs w:val="16"/>
                <w:lang w:val="es-ES" w:eastAsia="es-ES"/>
              </w:rPr>
              <w:t>Contratista de la Subdirección de Gestión Contractual</w:t>
            </w:r>
          </w:p>
        </w:tc>
      </w:tr>
      <w:tr w:rsidRPr="00703170" w:rsidR="00D37737" w:rsidTr="009A35AD" w14:paraId="6CE964A6" w14:textId="77777777">
        <w:trPr>
          <w:trHeight w:val="330"/>
        </w:trPr>
        <w:tc>
          <w:tcPr>
            <w:tcW w:w="812" w:type="dxa"/>
            <w:vAlign w:val="center"/>
            <w:hideMark/>
          </w:tcPr>
          <w:p w:rsidRPr="00703170" w:rsidR="00D37737" w:rsidP="009A35AD" w:rsidRDefault="00D37737" w14:paraId="490C0AED" w14:textId="77777777">
            <w:pPr>
              <w:spacing w:line="276" w:lineRule="auto"/>
              <w:rPr>
                <w:rFonts w:ascii="Century Gothic" w:hAnsi="Century Gothic" w:eastAsia="Times New Roman" w:cs="Arial"/>
                <w:sz w:val="16"/>
                <w:szCs w:val="16"/>
                <w:lang w:val="es-ES" w:eastAsia="es-ES"/>
              </w:rPr>
            </w:pPr>
            <w:r w:rsidRPr="00703170">
              <w:rPr>
                <w:rFonts w:ascii="Century Gothic" w:hAnsi="Century Gothic" w:eastAsia="Times New Roman" w:cs="Arial"/>
                <w:sz w:val="16"/>
                <w:szCs w:val="16"/>
                <w:lang w:val="es-ES" w:eastAsia="es-ES"/>
              </w:rPr>
              <w:t>Revisó:</w:t>
            </w:r>
          </w:p>
        </w:tc>
        <w:tc>
          <w:tcPr>
            <w:tcW w:w="4858" w:type="dxa"/>
            <w:tcBorders>
              <w:top w:val="dotted" w:color="7F7F7F" w:themeColor="text1" w:themeTint="80" w:sz="4" w:space="0"/>
              <w:left w:val="nil"/>
              <w:bottom w:val="dotted" w:color="7F7F7F" w:themeColor="text1" w:themeTint="80" w:sz="4" w:space="0"/>
              <w:right w:val="nil"/>
            </w:tcBorders>
            <w:vAlign w:val="center"/>
            <w:hideMark/>
          </w:tcPr>
          <w:p w:rsidR="00917EDC" w:rsidP="00BA7024" w:rsidRDefault="0095327C" w14:paraId="2218473A" w14:textId="76AB397A">
            <w:pPr>
              <w:rPr>
                <w:rFonts w:ascii="Century Gothic" w:hAnsi="Century Gothic" w:eastAsia="Times New Roman" w:cs="Arial"/>
                <w:sz w:val="16"/>
                <w:szCs w:val="16"/>
                <w:lang w:val="es-ES" w:eastAsia="es-ES"/>
              </w:rPr>
            </w:pPr>
            <w:r>
              <w:rPr>
                <w:rFonts w:ascii="Century Gothic" w:hAnsi="Century Gothic" w:eastAsia="Times New Roman" w:cs="Arial"/>
                <w:sz w:val="16"/>
                <w:szCs w:val="16"/>
                <w:lang w:val="es-ES" w:eastAsia="es-ES"/>
              </w:rPr>
              <w:t>Juan David Cárdenas Cabeza</w:t>
            </w:r>
          </w:p>
          <w:p w:rsidRPr="00703170" w:rsidR="00D37737" w:rsidP="00BA7024" w:rsidRDefault="00917EDC" w14:paraId="2B72C481" w14:textId="640B5712">
            <w:pPr>
              <w:rPr>
                <w:rFonts w:ascii="Century Gothic" w:hAnsi="Century Gothic" w:eastAsia="Times New Roman" w:cs="Arial"/>
                <w:sz w:val="16"/>
                <w:szCs w:val="16"/>
                <w:lang w:val="es-ES" w:eastAsia="es-ES"/>
              </w:rPr>
            </w:pPr>
            <w:r>
              <w:rPr>
                <w:rFonts w:ascii="Century Gothic" w:hAnsi="Century Gothic" w:eastAsia="Times New Roman" w:cs="Arial"/>
                <w:sz w:val="16"/>
                <w:szCs w:val="16"/>
                <w:lang w:val="es-ES" w:eastAsia="es-ES"/>
              </w:rPr>
              <w:t>Contratista</w:t>
            </w:r>
            <w:r w:rsidRPr="00703170" w:rsidR="00D37737">
              <w:rPr>
                <w:rFonts w:ascii="Century Gothic" w:hAnsi="Century Gothic" w:eastAsia="Times New Roman" w:cs="Arial"/>
                <w:sz w:val="16"/>
                <w:szCs w:val="16"/>
                <w:lang w:val="es-ES" w:eastAsia="es-ES"/>
              </w:rPr>
              <w:t xml:space="preserve"> de la Subdirecci</w:t>
            </w:r>
            <w:r w:rsidRPr="00703170" w:rsidR="00D37737">
              <w:rPr>
                <w:rFonts w:ascii="Century Gothic" w:hAnsi="Century Gothic" w:eastAsia="Times New Roman" w:cs="Century Gothic"/>
                <w:sz w:val="16"/>
                <w:szCs w:val="16"/>
                <w:lang w:val="es-ES" w:eastAsia="es-ES"/>
              </w:rPr>
              <w:t>ó</w:t>
            </w:r>
            <w:r w:rsidRPr="00703170" w:rsidR="00D37737">
              <w:rPr>
                <w:rFonts w:ascii="Century Gothic" w:hAnsi="Century Gothic" w:eastAsia="Times New Roman" w:cs="Arial"/>
                <w:sz w:val="16"/>
                <w:szCs w:val="16"/>
                <w:lang w:val="es-ES" w:eastAsia="es-ES"/>
              </w:rPr>
              <w:t>n de Gesti</w:t>
            </w:r>
            <w:r w:rsidRPr="00703170" w:rsidR="00D37737">
              <w:rPr>
                <w:rFonts w:ascii="Century Gothic" w:hAnsi="Century Gothic" w:eastAsia="Times New Roman" w:cs="Century Gothic"/>
                <w:sz w:val="16"/>
                <w:szCs w:val="16"/>
                <w:lang w:val="es-ES" w:eastAsia="es-ES"/>
              </w:rPr>
              <w:t>ó</w:t>
            </w:r>
            <w:r w:rsidRPr="00703170" w:rsidR="00D37737">
              <w:rPr>
                <w:rFonts w:ascii="Century Gothic" w:hAnsi="Century Gothic" w:eastAsia="Times New Roman" w:cs="Arial"/>
                <w:sz w:val="16"/>
                <w:szCs w:val="16"/>
                <w:lang w:val="es-ES" w:eastAsia="es-ES"/>
              </w:rPr>
              <w:t>n Contractual</w:t>
            </w:r>
          </w:p>
        </w:tc>
      </w:tr>
      <w:tr w:rsidRPr="00703170" w:rsidR="00D37737" w:rsidTr="009A35AD" w14:paraId="2E6A2F40" w14:textId="77777777">
        <w:trPr>
          <w:trHeight w:val="178"/>
        </w:trPr>
        <w:tc>
          <w:tcPr>
            <w:tcW w:w="812" w:type="dxa"/>
            <w:vAlign w:val="center"/>
            <w:hideMark/>
          </w:tcPr>
          <w:p w:rsidRPr="00703170" w:rsidR="00D37737" w:rsidP="009A35AD" w:rsidRDefault="00D37737" w14:paraId="50C721B3" w14:textId="77777777">
            <w:pPr>
              <w:spacing w:line="276" w:lineRule="auto"/>
              <w:rPr>
                <w:rFonts w:ascii="Century Gothic" w:hAnsi="Century Gothic" w:eastAsia="Times New Roman" w:cs="Arial"/>
                <w:sz w:val="16"/>
                <w:szCs w:val="16"/>
                <w:lang w:val="es-ES" w:eastAsia="es-ES"/>
              </w:rPr>
            </w:pPr>
            <w:r w:rsidRPr="00703170">
              <w:rPr>
                <w:rFonts w:ascii="Century Gothic" w:hAnsi="Century Gothic" w:eastAsia="Times New Roman" w:cs="Arial"/>
                <w:sz w:val="16"/>
                <w:szCs w:val="16"/>
                <w:lang w:val="es-ES" w:eastAsia="es-ES"/>
              </w:rPr>
              <w:t>Aprobó:</w:t>
            </w:r>
          </w:p>
        </w:tc>
        <w:tc>
          <w:tcPr>
            <w:tcW w:w="4858" w:type="dxa"/>
            <w:tcBorders>
              <w:top w:val="dotted" w:color="7F7F7F" w:themeColor="text1" w:themeTint="80" w:sz="4" w:space="0"/>
              <w:left w:val="nil"/>
              <w:bottom w:val="dotted" w:color="7F7F7F" w:themeColor="text1" w:themeTint="80" w:sz="4" w:space="0"/>
              <w:right w:val="nil"/>
            </w:tcBorders>
            <w:vAlign w:val="center"/>
            <w:hideMark/>
          </w:tcPr>
          <w:p w:rsidRPr="00703170" w:rsidR="00D37737" w:rsidP="009A35AD" w:rsidRDefault="00D37737" w14:paraId="0264B15D" w14:textId="77777777">
            <w:pPr>
              <w:textAlignment w:val="baseline"/>
              <w:rPr>
                <w:rFonts w:ascii="Century Gothic" w:hAnsi="Century Gothic" w:eastAsia="Times New Roman" w:cs="Arial"/>
                <w:sz w:val="16"/>
                <w:szCs w:val="16"/>
                <w:lang w:val="es-ES" w:eastAsia="es-CO"/>
              </w:rPr>
            </w:pPr>
            <w:bookmarkStart w:name="_Hlk116036152" w:id="3"/>
            <w:r w:rsidRPr="00703170">
              <w:rPr>
                <w:rFonts w:ascii="Century Gothic" w:hAnsi="Century Gothic" w:eastAsia="Times New Roman" w:cs="Arial"/>
                <w:sz w:val="16"/>
                <w:szCs w:val="16"/>
                <w:lang w:val="es-ES" w:eastAsia="es-CO"/>
              </w:rPr>
              <w:t xml:space="preserve">Nohelia del Carmen </w:t>
            </w:r>
            <w:proofErr w:type="spellStart"/>
            <w:r w:rsidRPr="00703170">
              <w:rPr>
                <w:rFonts w:ascii="Century Gothic" w:hAnsi="Century Gothic" w:eastAsia="Times New Roman" w:cs="Arial"/>
                <w:sz w:val="16"/>
                <w:szCs w:val="16"/>
                <w:lang w:val="es-ES" w:eastAsia="es-CO"/>
              </w:rPr>
              <w:t>Zawady</w:t>
            </w:r>
            <w:proofErr w:type="spellEnd"/>
            <w:r w:rsidRPr="00703170">
              <w:rPr>
                <w:rFonts w:ascii="Century Gothic" w:hAnsi="Century Gothic" w:eastAsia="Times New Roman" w:cs="Arial"/>
                <w:sz w:val="16"/>
                <w:szCs w:val="16"/>
                <w:lang w:val="es-ES" w:eastAsia="es-CO"/>
              </w:rPr>
              <w:t xml:space="preserve"> Palacio</w:t>
            </w:r>
          </w:p>
          <w:p w:rsidRPr="00703170" w:rsidR="00D37737" w:rsidP="009A35AD" w:rsidRDefault="00D37737" w14:paraId="6BF4EE63" w14:textId="77777777">
            <w:pPr>
              <w:rPr>
                <w:rFonts w:ascii="Century Gothic" w:hAnsi="Century Gothic" w:eastAsia="Times New Roman" w:cs="Arial"/>
                <w:sz w:val="16"/>
                <w:szCs w:val="16"/>
                <w:lang w:val="es-ES" w:eastAsia="es-ES"/>
              </w:rPr>
            </w:pPr>
            <w:r w:rsidRPr="00703170">
              <w:rPr>
                <w:rFonts w:ascii="Century Gothic" w:hAnsi="Century Gothic" w:eastAsia="Times New Roman" w:cs="Arial"/>
                <w:sz w:val="16"/>
                <w:szCs w:val="16"/>
                <w:lang w:val="es-ES" w:eastAsia="es-ES"/>
              </w:rPr>
              <w:t xml:space="preserve">Subdirectora de Gestión Contractual </w:t>
            </w:r>
            <w:bookmarkEnd w:id="3"/>
            <w:r w:rsidRPr="00703170">
              <w:rPr>
                <w:rFonts w:ascii="Century Gothic" w:hAnsi="Century Gothic" w:eastAsia="Times New Roman" w:cs="Arial"/>
                <w:sz w:val="16"/>
                <w:szCs w:val="16"/>
                <w:lang w:val="es-ES" w:eastAsia="es-ES"/>
              </w:rPr>
              <w:t>ANCP – CCE</w:t>
            </w:r>
          </w:p>
        </w:tc>
      </w:tr>
    </w:tbl>
    <w:p w:rsidRPr="00703170" w:rsidR="00D37737" w:rsidP="00D37737" w:rsidRDefault="00D37737" w14:paraId="3AA36837" w14:textId="77777777">
      <w:pPr>
        <w:spacing w:after="120"/>
        <w:jc w:val="both"/>
        <w:rPr>
          <w:rFonts w:ascii="Century Gothic" w:hAnsi="Century Gothic" w:cs="Arial"/>
          <w:color w:val="000000"/>
          <w:bdr w:val="none" w:color="auto" w:sz="0" w:space="0" w:frame="1"/>
        </w:rPr>
      </w:pPr>
    </w:p>
    <w:p w:rsidRPr="00703170" w:rsidR="00D37737" w:rsidP="00D37737" w:rsidRDefault="00D37737" w14:paraId="29E1E823" w14:textId="77777777">
      <w:pPr>
        <w:spacing w:after="0" w:line="276" w:lineRule="auto"/>
        <w:jc w:val="both"/>
        <w:rPr>
          <w:rFonts w:ascii="Century Gothic" w:hAnsi="Century Gothic" w:eastAsia="Calibri" w:cs="Arial"/>
          <w:lang w:val="es-ES"/>
        </w:rPr>
      </w:pPr>
    </w:p>
    <w:p w:rsidRPr="00703170" w:rsidR="00127233" w:rsidP="00D37737" w:rsidRDefault="00127233" w14:paraId="0F293BF4" w14:textId="544ED8EA">
      <w:pPr>
        <w:rPr>
          <w:rFonts w:ascii="Century Gothic" w:hAnsi="Century Gothic"/>
          <w:lang w:val="es-ES"/>
        </w:rPr>
      </w:pPr>
    </w:p>
    <w:sectPr w:rsidRPr="00703170" w:rsidR="00127233"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3E8F" w:rsidP="004A1847" w:rsidRDefault="00533E8F" w14:paraId="70DFE990" w14:textId="77777777">
      <w:pPr>
        <w:spacing w:after="0" w:line="240" w:lineRule="auto"/>
      </w:pPr>
      <w:r>
        <w:separator/>
      </w:r>
    </w:p>
  </w:endnote>
  <w:endnote w:type="continuationSeparator" w:id="0">
    <w:p w:rsidR="00533E8F" w:rsidP="004A1847" w:rsidRDefault="00533E8F" w14:paraId="5A483F11" w14:textId="77777777">
      <w:pPr>
        <w:spacing w:after="0" w:line="240" w:lineRule="auto"/>
      </w:pPr>
      <w:r>
        <w:continuationSeparator/>
      </w:r>
    </w:p>
  </w:endnote>
  <w:endnote w:type="continuationNotice" w:id="1">
    <w:p w:rsidR="00013A5E" w:rsidRDefault="00013A5E" w14:paraId="7502B93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3E8F" w:rsidP="004A1847" w:rsidRDefault="00533E8F" w14:paraId="7D7D1746" w14:textId="77777777">
      <w:pPr>
        <w:spacing w:after="0" w:line="240" w:lineRule="auto"/>
      </w:pPr>
      <w:r>
        <w:separator/>
      </w:r>
    </w:p>
  </w:footnote>
  <w:footnote w:type="continuationSeparator" w:id="0">
    <w:p w:rsidR="00533E8F" w:rsidP="004A1847" w:rsidRDefault="00533E8F" w14:paraId="779EC57E" w14:textId="77777777">
      <w:pPr>
        <w:spacing w:after="0" w:line="240" w:lineRule="auto"/>
      </w:pPr>
      <w:r>
        <w:continuationSeparator/>
      </w:r>
    </w:p>
  </w:footnote>
  <w:footnote w:type="continuationNotice" w:id="1">
    <w:p w:rsidR="00013A5E" w:rsidRDefault="00013A5E" w14:paraId="4D3E6A0D" w14:textId="77777777">
      <w:pPr>
        <w:spacing w:after="0" w:line="240" w:lineRule="auto"/>
      </w:pPr>
    </w:p>
  </w:footnote>
  <w:footnote w:id="2">
    <w:p w:rsidRPr="000F122F" w:rsidR="00D37737" w:rsidP="000F122F" w:rsidRDefault="00D37737" w14:paraId="0820F6FD" w14:textId="12B75A25">
      <w:pPr>
        <w:pStyle w:val="Textonotapie"/>
        <w:ind w:firstLine="708"/>
        <w:jc w:val="both"/>
        <w:rPr>
          <w:rFonts w:ascii="Century Gothic" w:hAnsi="Century Gothic" w:cs="Arial"/>
          <w:sz w:val="18"/>
          <w:szCs w:val="18"/>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0F122F">
          <w:rPr>
            <w:rStyle w:val="Hipervnculo"/>
            <w:rFonts w:ascii="Century Gothic" w:hAnsi="Century Gothic" w:cs="Arial"/>
            <w:color w:val="auto"/>
            <w:sz w:val="18"/>
            <w:szCs w:val="18"/>
          </w:rPr>
          <w:t>https://relatoria.colombiacompra.gov.co/busqueda/conceptos</w:t>
        </w:r>
      </w:hyperlink>
      <w:r w:rsidR="000F122F">
        <w:rPr>
          <w:rStyle w:val="Hipervnculo"/>
          <w:rFonts w:ascii="Century Gothic" w:hAnsi="Century Gothic" w:cs="Arial"/>
          <w:color w:val="auto"/>
          <w:sz w:val="18"/>
          <w:szCs w:val="18"/>
        </w:rPr>
        <w:t xml:space="preserve"> </w:t>
      </w:r>
      <w:r w:rsidRPr="000F122F">
        <w:rPr>
          <w:rStyle w:val="Hipervnculo"/>
          <w:rFonts w:ascii="Century Gothic" w:hAnsi="Century Gothic" w:cs="Arial"/>
          <w:color w:val="auto"/>
          <w:sz w:val="18"/>
          <w:szCs w:val="18"/>
        </w:rPr>
        <w:t xml:space="preserve"> </w:t>
      </w:r>
      <w:r w:rsidRPr="000F122F">
        <w:rPr>
          <w:rFonts w:ascii="Century Gothic" w:hAnsi="Century Gothic" w:cs="Arial"/>
          <w:sz w:val="18"/>
          <w:szCs w:val="18"/>
          <w:shd w:val="clear" w:color="auto" w:fill="E6E6E6"/>
        </w:rPr>
        <w:t xml:space="preserve"> </w:t>
      </w:r>
    </w:p>
  </w:footnote>
  <w:footnote w:id="3">
    <w:p w:rsidRPr="000F122F" w:rsidR="00D37737" w:rsidP="000F122F" w:rsidRDefault="00D37737" w14:paraId="73B005A6" w14:textId="77777777">
      <w:pPr>
        <w:pStyle w:val="NormalWeb"/>
        <w:spacing w:before="0" w:beforeAutospacing="0" w:after="0" w:afterAutospacing="0"/>
        <w:ind w:firstLine="708"/>
        <w:jc w:val="both"/>
        <w:rPr>
          <w:rFonts w:ascii="Century Gothic" w:hAnsi="Century Gothic" w:cs="Arial"/>
          <w:color w:val="000000" w:themeColor="text1"/>
          <w:sz w:val="18"/>
          <w:szCs w:val="18"/>
        </w:rPr>
      </w:pPr>
      <w:r w:rsidRPr="000F122F">
        <w:rPr>
          <w:rStyle w:val="Refdenotaalpie"/>
          <w:rFonts w:ascii="Century Gothic" w:hAnsi="Century Gothic" w:cs="Arial"/>
          <w:color w:val="000000" w:themeColor="text1"/>
          <w:sz w:val="18"/>
          <w:szCs w:val="18"/>
        </w:rPr>
        <w:footnoteRef/>
      </w:r>
      <w:r w:rsidRPr="000F122F">
        <w:rPr>
          <w:rFonts w:ascii="Century Gothic" w:hAnsi="Century Gothic" w:cs="Arial"/>
          <w:color w:val="000000" w:themeColor="text1"/>
          <w:sz w:val="18"/>
          <w:szCs w:val="18"/>
        </w:rPr>
        <w:t xml:space="preserve"> </w:t>
      </w:r>
      <w:r w:rsidRPr="000F122F">
        <w:rPr>
          <w:rFonts w:ascii="Century Gothic" w:hAnsi="Century Gothic" w:cs="Arial"/>
          <w:color w:val="000000" w:themeColor="text1"/>
          <w:sz w:val="18"/>
          <w:szCs w:val="18"/>
          <w:lang w:val="es-ES"/>
        </w:rPr>
        <w:t xml:space="preserve">Art 6 Ley 1150 de 2007 </w:t>
      </w:r>
      <w:r w:rsidRPr="000F122F">
        <w:rPr>
          <w:rFonts w:ascii="Century Gothic" w:hAnsi="Century Gothic" w:eastAsia="Calibri" w:cs="Arial"/>
          <w:i/>
          <w:iCs/>
          <w:color w:val="000000" w:themeColor="text1"/>
          <w:sz w:val="18"/>
          <w:szCs w:val="18"/>
          <w:lang w:val="es-ES_tradnl"/>
        </w:rPr>
        <w:t>“</w:t>
      </w:r>
      <w:r w:rsidRPr="000F122F">
        <w:rPr>
          <w:rFonts w:ascii="Century Gothic" w:hAnsi="Century Gothic" w:cs="Arial"/>
          <w:color w:val="000000" w:themeColor="text1"/>
          <w:sz w:val="18"/>
          <w:szCs w:val="18"/>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0F122F" w:rsidR="00D37737" w:rsidP="000F122F" w:rsidRDefault="00D37737" w14:paraId="42D5A4EB" w14:textId="77777777">
      <w:pPr>
        <w:pStyle w:val="NormalWeb"/>
        <w:spacing w:before="0" w:beforeAutospacing="0" w:after="0" w:afterAutospacing="0"/>
        <w:ind w:firstLine="708"/>
        <w:jc w:val="both"/>
        <w:rPr>
          <w:rFonts w:ascii="Century Gothic" w:hAnsi="Century Gothic" w:cs="Arial"/>
          <w:color w:val="000000" w:themeColor="text1"/>
          <w:sz w:val="18"/>
          <w:szCs w:val="18"/>
        </w:rPr>
      </w:pPr>
      <w:r w:rsidRPr="000F122F">
        <w:rPr>
          <w:rFonts w:ascii="Century Gothic" w:hAnsi="Century Gothic"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0F122F" w:rsidR="00D37737" w:rsidP="000F122F" w:rsidRDefault="00D37737" w14:paraId="1924AFB4" w14:textId="77777777">
      <w:pPr>
        <w:pStyle w:val="NormalWeb"/>
        <w:spacing w:before="0" w:beforeAutospacing="0" w:after="0" w:afterAutospacing="0"/>
        <w:ind w:firstLine="708"/>
        <w:jc w:val="both"/>
        <w:rPr>
          <w:rFonts w:ascii="Century Gothic" w:hAnsi="Century Gothic" w:cs="Arial"/>
          <w:color w:val="000000" w:themeColor="text1"/>
          <w:sz w:val="18"/>
          <w:szCs w:val="18"/>
        </w:rPr>
      </w:pPr>
      <w:r w:rsidRPr="000F122F">
        <w:rPr>
          <w:rFonts w:ascii="Century Gothic" w:hAnsi="Century Gothic" w:cs="Arial"/>
          <w:color w:val="000000" w:themeColor="text1"/>
          <w:sz w:val="18"/>
          <w:szCs w:val="18"/>
        </w:rPr>
        <w:t>En dicho registro constará la información relacionada con la experiencia, capacidad jurídica, financiera y de organización del proponente y su clasificación</w:t>
      </w:r>
      <w:r w:rsidRPr="000F122F">
        <w:rPr>
          <w:rFonts w:ascii="Century Gothic" w:hAnsi="Century Gothic" w:eastAsia="Calibri" w:cs="Arial"/>
          <w:i/>
          <w:iCs/>
          <w:color w:val="000000" w:themeColor="text1"/>
          <w:sz w:val="18"/>
          <w:szCs w:val="18"/>
          <w:lang w:val="es-ES_tradnl"/>
        </w:rPr>
        <w:t>”</w:t>
      </w:r>
      <w:r w:rsidRPr="000F122F">
        <w:rPr>
          <w:rFonts w:ascii="Century Gothic" w:hAnsi="Century Gothic" w:cs="Arial"/>
          <w:color w:val="000000" w:themeColor="text1"/>
          <w:sz w:val="18"/>
          <w:szCs w:val="18"/>
        </w:rPr>
        <w:t>.</w:t>
      </w:r>
    </w:p>
    <w:p w:rsidRPr="000F122F" w:rsidR="00D37737" w:rsidP="000F122F" w:rsidRDefault="00D37737" w14:paraId="2F75482F" w14:textId="77777777">
      <w:pPr>
        <w:pStyle w:val="NormalWeb"/>
        <w:spacing w:before="0" w:beforeAutospacing="0" w:after="0" w:afterAutospacing="0"/>
        <w:ind w:firstLine="708"/>
        <w:jc w:val="both"/>
        <w:rPr>
          <w:rFonts w:ascii="Century Gothic" w:hAnsi="Century Gothic" w:cs="Arial"/>
          <w:color w:val="000000" w:themeColor="text1"/>
          <w:sz w:val="18"/>
          <w:szCs w:val="18"/>
        </w:rPr>
      </w:pPr>
    </w:p>
  </w:footnote>
  <w:footnote w:id="4">
    <w:p w:rsidRPr="000F122F" w:rsidR="00D37737" w:rsidP="000F122F" w:rsidRDefault="00D37737" w14:paraId="415F0AF7" w14:textId="77777777">
      <w:pPr>
        <w:spacing w:after="0" w:line="240" w:lineRule="auto"/>
        <w:ind w:firstLine="708"/>
        <w:jc w:val="both"/>
        <w:rPr>
          <w:rFonts w:ascii="Century Gothic" w:hAnsi="Century Gothic" w:cs="Arial"/>
          <w:color w:val="000000" w:themeColor="text1"/>
          <w:sz w:val="18"/>
          <w:szCs w:val="18"/>
        </w:rPr>
      </w:pPr>
      <w:r w:rsidRPr="000F122F">
        <w:rPr>
          <w:rStyle w:val="Refdenotaalpie"/>
          <w:rFonts w:ascii="Century Gothic" w:hAnsi="Century Gothic" w:cs="Arial"/>
          <w:color w:val="000000" w:themeColor="text1"/>
          <w:sz w:val="18"/>
          <w:szCs w:val="18"/>
        </w:rPr>
        <w:footnoteRef/>
      </w:r>
      <w:r w:rsidRPr="000F122F">
        <w:rPr>
          <w:rFonts w:ascii="Century Gothic" w:hAnsi="Century Gothic" w:cs="Arial"/>
          <w:color w:val="000000" w:themeColor="text1"/>
          <w:sz w:val="18"/>
          <w:szCs w:val="18"/>
        </w:rPr>
        <w:t xml:space="preserve"> </w:t>
      </w:r>
      <w:r w:rsidRPr="000F122F">
        <w:rPr>
          <w:rFonts w:ascii="Century Gothic" w:hAnsi="Century Gothic" w:cs="Arial"/>
          <w:i/>
          <w:iCs/>
          <w:color w:val="000000" w:themeColor="text1"/>
          <w:sz w:val="18"/>
          <w:szCs w:val="18"/>
          <w:lang w:val="es-ES_tradnl"/>
        </w:rPr>
        <w:t>“</w:t>
      </w:r>
      <w:r w:rsidRPr="000F122F">
        <w:rPr>
          <w:rFonts w:ascii="Century Gothic" w:hAnsi="Century Gothic"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0F122F">
        <w:rPr>
          <w:rFonts w:ascii="Century Gothic" w:hAnsi="Century Gothic" w:cs="Arial"/>
          <w:i/>
          <w:iCs/>
          <w:sz w:val="18"/>
          <w:szCs w:val="18"/>
        </w:rPr>
        <w:t>”</w:t>
      </w:r>
      <w:r w:rsidRPr="000F122F">
        <w:rPr>
          <w:rFonts w:ascii="Century Gothic" w:hAnsi="Century Gothic" w:cs="Arial"/>
          <w:color w:val="000000" w:themeColor="text1"/>
          <w:sz w:val="18"/>
          <w:szCs w:val="18"/>
        </w:rPr>
        <w:t xml:space="preserve">. </w:t>
      </w:r>
    </w:p>
    <w:p w:rsidRPr="000F122F" w:rsidR="00D37737" w:rsidP="000F122F" w:rsidRDefault="00D37737" w14:paraId="7634820A" w14:textId="77777777">
      <w:pPr>
        <w:spacing w:after="0" w:line="240" w:lineRule="auto"/>
        <w:ind w:firstLine="708"/>
        <w:jc w:val="both"/>
        <w:rPr>
          <w:rFonts w:ascii="Century Gothic" w:hAnsi="Century Gothic" w:cs="Arial"/>
          <w:color w:val="000000" w:themeColor="text1"/>
          <w:sz w:val="18"/>
          <w:szCs w:val="18"/>
        </w:rPr>
      </w:pPr>
    </w:p>
  </w:footnote>
  <w:footnote w:id="5">
    <w:p w:rsidRPr="000F122F" w:rsidR="00D37737" w:rsidP="000F122F" w:rsidRDefault="00D37737" w14:paraId="576DB171" w14:textId="77777777">
      <w:pPr>
        <w:pStyle w:val="Textonotapie"/>
        <w:ind w:firstLine="708"/>
        <w:jc w:val="both"/>
        <w:rPr>
          <w:rFonts w:ascii="Century Gothic" w:hAnsi="Century Gothic" w:eastAsia="Calibri" w:cs="Arial"/>
          <w:sz w:val="18"/>
          <w:szCs w:val="18"/>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Para la realización de los respectivos análisis del sector de los Procesos de Contratación, esta Agencia recomienda tener en cuenta la última modificación de la </w:t>
      </w:r>
      <w:r w:rsidRPr="000F122F">
        <w:rPr>
          <w:rFonts w:ascii="Century Gothic" w:hAnsi="Century Gothic" w:eastAsia="Calibri" w:cs="Arial"/>
          <w:i/>
          <w:iCs/>
          <w:sz w:val="18"/>
          <w:szCs w:val="18"/>
        </w:rPr>
        <w:t>“</w:t>
      </w:r>
      <w:r w:rsidRPr="000F122F">
        <w:rPr>
          <w:rFonts w:ascii="Century Gothic" w:hAnsi="Century Gothic" w:cs="Arial"/>
          <w:sz w:val="18"/>
          <w:szCs w:val="18"/>
        </w:rPr>
        <w:t>Guía de Elaboración de Estudios del Sector</w:t>
      </w:r>
      <w:r w:rsidRPr="000F122F">
        <w:rPr>
          <w:rFonts w:ascii="Century Gothic" w:hAnsi="Century Gothic" w:eastAsia="Calibri" w:cs="Arial"/>
          <w:i/>
          <w:iCs/>
          <w:sz w:val="18"/>
          <w:szCs w:val="18"/>
        </w:rPr>
        <w:t xml:space="preserve">”, </w:t>
      </w:r>
      <w:r w:rsidRPr="000F122F">
        <w:rPr>
          <w:rFonts w:ascii="Century Gothic" w:hAnsi="Century Gothic" w:eastAsia="Calibri" w:cs="Arial"/>
          <w:sz w:val="18"/>
          <w:szCs w:val="18"/>
        </w:rPr>
        <w:t xml:space="preserve">que puede ser consultada en el siguiente </w:t>
      </w:r>
      <w:proofErr w:type="gramStart"/>
      <w:r w:rsidRPr="000F122F">
        <w:rPr>
          <w:rFonts w:ascii="Century Gothic" w:hAnsi="Century Gothic" w:eastAsia="Calibri" w:cs="Arial"/>
          <w:sz w:val="18"/>
          <w:szCs w:val="18"/>
        </w:rPr>
        <w:t>link</w:t>
      </w:r>
      <w:proofErr w:type="gramEnd"/>
      <w:r w:rsidRPr="000F122F">
        <w:rPr>
          <w:rFonts w:ascii="Century Gothic" w:hAnsi="Century Gothic" w:eastAsia="Calibri" w:cs="Arial"/>
          <w:sz w:val="18"/>
          <w:szCs w:val="18"/>
        </w:rPr>
        <w:t xml:space="preserve">: </w:t>
      </w:r>
      <w:hyperlink w:history="1" r:id="rId2">
        <w:r w:rsidRPr="000F122F">
          <w:rPr>
            <w:rStyle w:val="Hipervnculo"/>
            <w:rFonts w:ascii="Century Gothic" w:hAnsi="Century Gothic" w:eastAsia="Calibri" w:cs="Arial"/>
            <w:sz w:val="18"/>
            <w:szCs w:val="18"/>
          </w:rPr>
          <w:t>https://www.colombiacompra.gov.co/sites/cce_public/files/cce_documentos/cce-eicp-gi-18._gees_v.2_2.pdf</w:t>
        </w:r>
      </w:hyperlink>
      <w:r w:rsidRPr="000F122F">
        <w:rPr>
          <w:rFonts w:ascii="Century Gothic" w:hAnsi="Century Gothic" w:eastAsia="Calibri" w:cs="Arial"/>
          <w:sz w:val="18"/>
          <w:szCs w:val="18"/>
        </w:rPr>
        <w:t xml:space="preserve"> </w:t>
      </w:r>
    </w:p>
    <w:p w:rsidRPr="000F122F" w:rsidR="00D37737" w:rsidP="000F122F" w:rsidRDefault="00D37737" w14:paraId="263D26FA" w14:textId="77777777">
      <w:pPr>
        <w:pStyle w:val="Textonotapie"/>
        <w:ind w:firstLine="708"/>
        <w:jc w:val="both"/>
        <w:rPr>
          <w:rFonts w:ascii="Century Gothic" w:hAnsi="Century Gothic" w:cs="Arial"/>
          <w:sz w:val="18"/>
          <w:szCs w:val="18"/>
          <w:lang w:val="es-ES"/>
        </w:rPr>
      </w:pPr>
    </w:p>
  </w:footnote>
  <w:footnote w:id="6">
    <w:p w:rsidRPr="000F122F" w:rsidR="00D37737" w:rsidP="000F122F" w:rsidRDefault="00D37737" w14:paraId="130D0004" w14:textId="77777777">
      <w:pPr>
        <w:pStyle w:val="Textonotapie"/>
        <w:ind w:firstLine="708"/>
        <w:jc w:val="both"/>
        <w:rPr>
          <w:rFonts w:ascii="Century Gothic" w:hAnsi="Century Gothic" w:cs="Arial"/>
          <w:sz w:val="18"/>
          <w:szCs w:val="18"/>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0F122F" w:rsidR="00D37737" w:rsidP="000F122F" w:rsidRDefault="00D37737" w14:paraId="74C65FF5" w14:textId="77777777">
      <w:pPr>
        <w:pStyle w:val="Textonotapie"/>
        <w:ind w:firstLine="708"/>
        <w:jc w:val="both"/>
        <w:rPr>
          <w:rFonts w:ascii="Century Gothic" w:hAnsi="Century Gothic" w:cs="Arial"/>
          <w:sz w:val="18"/>
          <w:szCs w:val="18"/>
          <w:lang w:val="es-ES"/>
        </w:rPr>
      </w:pPr>
    </w:p>
  </w:footnote>
  <w:footnote w:id="7">
    <w:p w:rsidRPr="000F122F" w:rsidR="00D37737" w:rsidP="000F122F" w:rsidRDefault="00D37737" w14:paraId="795C3748" w14:textId="77777777">
      <w:pPr>
        <w:pStyle w:val="Textonotapie"/>
        <w:ind w:firstLine="708"/>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w:t>
      </w:r>
      <w:proofErr w:type="spellStart"/>
      <w:r w:rsidRPr="000F122F">
        <w:rPr>
          <w:rFonts w:ascii="Century Gothic" w:hAnsi="Century Gothic" w:cs="Arial"/>
          <w:sz w:val="18"/>
          <w:szCs w:val="18"/>
          <w:lang w:val="es-ES"/>
        </w:rPr>
        <w:t>Ibídem</w:t>
      </w:r>
      <w:proofErr w:type="spellEnd"/>
      <w:r w:rsidRPr="000F122F">
        <w:rPr>
          <w:rFonts w:ascii="Century Gothic" w:hAnsi="Century Gothic" w:cs="Arial"/>
          <w:sz w:val="18"/>
          <w:szCs w:val="18"/>
          <w:lang w:val="es-ES"/>
        </w:rPr>
        <w:t>.</w:t>
      </w:r>
    </w:p>
  </w:footnote>
  <w:footnote w:id="8">
    <w:p w:rsidRPr="000F122F" w:rsidR="00D37737" w:rsidP="000F122F" w:rsidRDefault="00D37737" w14:paraId="61C1B9F8" w14:textId="77777777">
      <w:pPr>
        <w:pStyle w:val="Textonotapie"/>
        <w:ind w:firstLine="708"/>
        <w:jc w:val="both"/>
        <w:rPr>
          <w:rFonts w:ascii="Century Gothic" w:hAnsi="Century Gothic" w:cs="Arial"/>
          <w:sz w:val="18"/>
          <w:szCs w:val="18"/>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Dice el Manual que: “[...] En atención a la naturaleza del contrato a suscribir y de su valor, plazo y forma de pago, la Entidad Estatal debe hacer uso de los indicadores que considere adecuados respecto al objeto del Proceso de Contratación.</w:t>
      </w:r>
    </w:p>
    <w:p w:rsidRPr="000F122F" w:rsidR="00D37737" w:rsidP="000F122F" w:rsidRDefault="00D37737" w14:paraId="60083FD3" w14:textId="77777777">
      <w:pPr>
        <w:pStyle w:val="Textonotapie"/>
        <w:ind w:firstLine="709"/>
        <w:jc w:val="both"/>
        <w:rPr>
          <w:rFonts w:ascii="Century Gothic" w:hAnsi="Century Gothic" w:cs="Arial"/>
          <w:sz w:val="18"/>
          <w:szCs w:val="18"/>
        </w:rPr>
      </w:pPr>
      <w:r w:rsidRPr="000F122F">
        <w:rPr>
          <w:rFonts w:ascii="Century Gothic" w:hAnsi="Century Gothic" w:cs="Arial"/>
          <w:sz w:val="18"/>
          <w:szCs w:val="18"/>
        </w:rPr>
        <w:t>“Las Entidades Estatales no deben limitarse a determinar y aplicar de forma mecánica fórmulas financieras para determinar los indicadores. Deben conocer cada indicador, sus fórmulas de cálculo y su interpretación”.</w:t>
      </w:r>
    </w:p>
  </w:footnote>
  <w:footnote w:id="9">
    <w:p w:rsidRPr="000F122F" w:rsidR="00D37737" w:rsidP="000F122F" w:rsidRDefault="00D37737" w14:paraId="37856E99" w14:textId="77777777">
      <w:pPr>
        <w:pStyle w:val="Textonotapie"/>
        <w:ind w:firstLine="708"/>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10">
    <w:p w:rsidRPr="000F122F" w:rsidR="00D37737" w:rsidP="000F122F" w:rsidRDefault="00D37737" w14:paraId="14F0C178" w14:textId="77777777">
      <w:pPr>
        <w:pStyle w:val="Textonotapie"/>
        <w:ind w:firstLine="708"/>
        <w:jc w:val="both"/>
        <w:rPr>
          <w:rFonts w:ascii="Century Gothic" w:hAnsi="Century Gothic" w:cs="Arial"/>
          <w:sz w:val="18"/>
          <w:szCs w:val="18"/>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1">
    <w:p w:rsidRPr="000F122F" w:rsidR="00D37737" w:rsidP="000F122F" w:rsidRDefault="00D37737" w14:paraId="733AE2EB" w14:textId="77777777">
      <w:pPr>
        <w:pStyle w:val="Textonotapie"/>
        <w:ind w:firstLine="708"/>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w:t>
      </w:r>
      <w:r w:rsidRPr="000F122F">
        <w:rPr>
          <w:rFonts w:ascii="Century Gothic" w:hAnsi="Century Gothic" w:cs="Arial"/>
          <w:sz w:val="18"/>
          <w:szCs w:val="18"/>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w:history="1" r:id="rId3">
        <w:r w:rsidRPr="000F122F">
          <w:rPr>
            <w:rStyle w:val="Hipervnculo"/>
            <w:rFonts w:ascii="Century Gothic" w:hAnsi="Century Gothic" w:cs="Arial"/>
            <w:color w:val="0070C0"/>
            <w:sz w:val="18"/>
            <w:szCs w:val="18"/>
          </w:rPr>
          <w:t>https://colombiacompra.gov.co/sites/default/files/manuales/20140901_manual_requisitos_habilitantes_4_web.pdf</w:t>
        </w:r>
      </w:hyperlink>
      <w:r w:rsidRPr="000F122F">
        <w:rPr>
          <w:rFonts w:ascii="Century Gothic" w:hAnsi="Century Gothic" w:cs="Arial"/>
          <w:sz w:val="18"/>
          <w:szCs w:val="18"/>
          <w:lang w:val="es-ES"/>
        </w:rPr>
        <w:t xml:space="preserve">. </w:t>
      </w:r>
    </w:p>
  </w:footnote>
  <w:footnote w:id="12">
    <w:p w:rsidRPr="000F122F" w:rsidR="00D37737" w:rsidP="000F122F" w:rsidRDefault="00D37737" w14:paraId="352058C4" w14:textId="77777777">
      <w:pPr>
        <w:pStyle w:val="Textonotapie"/>
        <w:ind w:firstLine="708"/>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w:t>
      </w:r>
      <w:proofErr w:type="spellStart"/>
      <w:r w:rsidRPr="000F122F">
        <w:rPr>
          <w:rFonts w:ascii="Century Gothic" w:hAnsi="Century Gothic" w:cs="Arial"/>
          <w:sz w:val="18"/>
          <w:szCs w:val="18"/>
        </w:rPr>
        <w:t>Ibídem</w:t>
      </w:r>
      <w:proofErr w:type="spellEnd"/>
      <w:r w:rsidRPr="000F122F">
        <w:rPr>
          <w:rFonts w:ascii="Century Gothic" w:hAnsi="Century Gothic" w:cs="Arial"/>
          <w:sz w:val="18"/>
          <w:szCs w:val="18"/>
        </w:rPr>
        <w:t>.</w:t>
      </w:r>
    </w:p>
  </w:footnote>
  <w:footnote w:id="13">
    <w:p w:rsidRPr="000F122F" w:rsidR="00D37737" w:rsidP="000F122F" w:rsidRDefault="00D37737" w14:paraId="7E85B5AA" w14:textId="77777777">
      <w:pPr>
        <w:pStyle w:val="Textonotapie"/>
        <w:ind w:firstLine="709"/>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En efecto</w:t>
      </w:r>
      <w:r w:rsidRPr="000F122F">
        <w:rPr>
          <w:rFonts w:ascii="Century Gothic" w:hAnsi="Century Gothic" w:cs="Arial"/>
          <w:sz w:val="18"/>
          <w:szCs w:val="18"/>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0F122F">
        <w:rPr>
          <w:rFonts w:ascii="Century Gothic" w:hAnsi="Century Gothic" w:cs="Arial"/>
          <w:i/>
          <w:iCs/>
          <w:sz w:val="18"/>
          <w:szCs w:val="18"/>
          <w:lang w:val="es-ES"/>
        </w:rPr>
        <w:t>julio</w:t>
      </w:r>
      <w:r w:rsidRPr="000F122F">
        <w:rPr>
          <w:rFonts w:ascii="Century Gothic" w:hAnsi="Century Gothic" w:cs="Arial"/>
          <w:sz w:val="18"/>
          <w:szCs w:val="18"/>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4">
    <w:p w:rsidRPr="000F122F" w:rsidR="00D37737" w:rsidP="000F122F" w:rsidRDefault="00D37737" w14:paraId="6A9728D3" w14:textId="77777777">
      <w:pPr>
        <w:pStyle w:val="Textonotapie"/>
        <w:ind w:firstLine="709"/>
        <w:jc w:val="both"/>
        <w:rPr>
          <w:rFonts w:ascii="Century Gothic" w:hAnsi="Century Gothic" w:cs="Arial"/>
          <w:sz w:val="18"/>
          <w:szCs w:val="18"/>
          <w:lang w:val="es-ES"/>
        </w:rPr>
      </w:pPr>
      <w:r w:rsidRPr="000F122F">
        <w:rPr>
          <w:rStyle w:val="Refdenotaalpie"/>
          <w:rFonts w:ascii="Century Gothic" w:hAnsi="Century Gothic" w:cs="Arial"/>
          <w:sz w:val="18"/>
          <w:szCs w:val="18"/>
        </w:rPr>
        <w:footnoteRef/>
      </w:r>
      <w:r w:rsidRPr="000F122F">
        <w:rPr>
          <w:rFonts w:ascii="Century Gothic" w:hAnsi="Century Gothic" w:cs="Arial"/>
          <w:sz w:val="18"/>
          <w:szCs w:val="18"/>
        </w:rPr>
        <w:t xml:space="preserve"> </w:t>
      </w:r>
      <w:r w:rsidRPr="000F122F">
        <w:rPr>
          <w:rFonts w:ascii="Century Gothic" w:hAnsi="Century Gothic" w:cs="Arial"/>
          <w:sz w:val="18"/>
          <w:szCs w:val="18"/>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rsidRPr="000F122F" w:rsidR="00D37737" w:rsidP="000F122F" w:rsidRDefault="00D37737" w14:paraId="44062069" w14:textId="77777777">
      <w:pPr>
        <w:pStyle w:val="Textonotapie"/>
        <w:ind w:firstLine="709"/>
        <w:jc w:val="both"/>
        <w:rPr>
          <w:rFonts w:ascii="Century Gothic" w:hAnsi="Century Gothic" w:cs="Arial"/>
          <w:sz w:val="18"/>
          <w:szCs w:val="18"/>
          <w:lang w:val="es-ES"/>
        </w:rPr>
      </w:pPr>
      <w:r w:rsidRPr="000F122F">
        <w:rPr>
          <w:rFonts w:ascii="Century Gothic" w:hAnsi="Century Gothic" w:eastAsia="Calibri" w:cs="Arial"/>
          <w:i/>
          <w:iCs/>
          <w:color w:val="000000"/>
          <w:sz w:val="18"/>
          <w:szCs w:val="18"/>
          <w:lang w:val="es-ES_tradnl"/>
        </w:rPr>
        <w:t>“</w:t>
      </w:r>
      <w:r w:rsidRPr="000F122F">
        <w:rPr>
          <w:rFonts w:ascii="Century Gothic" w:hAnsi="Century Gothic" w:cs="Arial"/>
          <w:sz w:val="18"/>
          <w:szCs w:val="18"/>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rsidRPr="000F122F" w:rsidR="00D37737" w:rsidP="000F122F" w:rsidRDefault="00D37737" w14:paraId="3A163C5A" w14:textId="77777777">
      <w:pPr>
        <w:pStyle w:val="Textonotapie"/>
        <w:ind w:firstLine="709"/>
        <w:jc w:val="both"/>
        <w:rPr>
          <w:rFonts w:ascii="Century Gothic" w:hAnsi="Century Gothic" w:cs="Arial"/>
          <w:sz w:val="18"/>
          <w:szCs w:val="18"/>
          <w:lang w:val="es-ES"/>
        </w:rPr>
      </w:pPr>
      <w:r w:rsidRPr="000F122F">
        <w:rPr>
          <w:rFonts w:ascii="Century Gothic" w:hAnsi="Century Gothic"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rsidRPr="000F122F" w:rsidR="00D37737" w:rsidP="000F122F" w:rsidRDefault="00D37737" w14:paraId="02162B3B" w14:textId="77777777">
      <w:pPr>
        <w:pStyle w:val="Textonotapie"/>
        <w:ind w:firstLine="709"/>
        <w:jc w:val="both"/>
        <w:rPr>
          <w:rFonts w:ascii="Century Gothic" w:hAnsi="Century Gothic" w:cs="Arial"/>
          <w:sz w:val="18"/>
          <w:szCs w:val="18"/>
          <w:lang w:val="es-ES"/>
        </w:rPr>
      </w:pPr>
      <w:r w:rsidRPr="000F122F">
        <w:rPr>
          <w:rFonts w:ascii="Century Gothic" w:hAnsi="Century Gothic" w:cs="Arial"/>
          <w:sz w:val="18"/>
          <w:szCs w:val="18"/>
          <w:lang w:val="es-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rsidRPr="000F122F" w:rsidR="00D37737" w:rsidP="000F122F" w:rsidRDefault="00D37737" w14:paraId="27852471" w14:textId="77777777">
      <w:pPr>
        <w:pStyle w:val="Textonotapie"/>
        <w:ind w:firstLine="709"/>
        <w:jc w:val="both"/>
        <w:rPr>
          <w:rFonts w:ascii="Century Gothic" w:hAnsi="Century Gothic" w:cs="Arial"/>
          <w:sz w:val="18"/>
          <w:szCs w:val="18"/>
          <w:lang w:val="es-ES"/>
        </w:rPr>
      </w:pPr>
      <w:r w:rsidRPr="000F122F">
        <w:rPr>
          <w:rFonts w:ascii="Century Gothic" w:hAnsi="Century Gothic" w:cs="Arial"/>
          <w:sz w:val="18"/>
          <w:szCs w:val="18"/>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rsidRPr="000F122F" w:rsidR="00D37737" w:rsidP="000F122F" w:rsidRDefault="00D37737" w14:paraId="39D3CAC3" w14:textId="77777777">
      <w:pPr>
        <w:pStyle w:val="Textonotapie"/>
        <w:ind w:firstLine="709"/>
        <w:jc w:val="both"/>
        <w:rPr>
          <w:rFonts w:ascii="Century Gothic" w:hAnsi="Century Gothic" w:cs="Arial"/>
          <w:sz w:val="18"/>
          <w:szCs w:val="18"/>
          <w:lang w:val="es-ES"/>
        </w:rPr>
      </w:pPr>
      <w:r w:rsidRPr="000F122F">
        <w:rPr>
          <w:rFonts w:ascii="Century Gothic" w:hAnsi="Century Gothic" w:cs="Arial"/>
          <w:sz w:val="18"/>
          <w:szCs w:val="18"/>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rsidRPr="000F122F" w:rsidR="00D37737" w:rsidP="000F122F" w:rsidRDefault="00D37737" w14:paraId="0D165ECE" w14:textId="77777777">
      <w:pPr>
        <w:pStyle w:val="Textonotapie"/>
        <w:ind w:firstLine="709"/>
        <w:jc w:val="both"/>
        <w:rPr>
          <w:rFonts w:ascii="Century Gothic" w:hAnsi="Century Gothic" w:cs="Arial"/>
          <w:sz w:val="18"/>
          <w:szCs w:val="18"/>
          <w:lang w:val="es-ES"/>
        </w:rPr>
      </w:pPr>
      <w:r w:rsidRPr="000F122F">
        <w:rPr>
          <w:rFonts w:ascii="Century Gothic" w:hAnsi="Century Gothic"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rsidRPr="000F122F" w:rsidR="00D37737" w:rsidP="000F122F" w:rsidRDefault="00D37737" w14:paraId="2E3FAEA6" w14:textId="77777777">
      <w:pPr>
        <w:pStyle w:val="Textonotapie"/>
        <w:ind w:firstLine="709"/>
        <w:jc w:val="both"/>
        <w:rPr>
          <w:rFonts w:ascii="Century Gothic" w:hAnsi="Century Gothic" w:cs="Arial"/>
          <w:sz w:val="18"/>
          <w:szCs w:val="18"/>
          <w:lang w:val="es-CO"/>
        </w:rPr>
      </w:pPr>
      <w:r w:rsidRPr="000F122F">
        <w:rPr>
          <w:rFonts w:ascii="Century Gothic" w:hAnsi="Century Gothic" w:cs="Arial"/>
          <w:sz w:val="18"/>
          <w:szCs w:val="18"/>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008A446D" w:rsidP="005B5D8B" w:rsidRDefault="004A305D" w14:paraId="1FD1C243" w14:textId="0C128675">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p w:rsidRPr="005B5D8B" w:rsidR="005B5D8B" w:rsidP="005B5D8B" w:rsidRDefault="005B5D8B" w14:paraId="3DBCDD3E" w14:textId="77777777">
    <w:pPr>
      <w:spacing w:after="0"/>
      <w:rPr>
        <w:rFonts w:ascii="Century Gothic" w:hAnsi="Century Gothic" w:eastAsia="Geo"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37292670">
    <w:abstractNumId w:val="3"/>
  </w:num>
  <w:num w:numId="2" w16cid:durableId="1504516980">
    <w:abstractNumId w:val="1"/>
  </w:num>
  <w:num w:numId="3" w16cid:durableId="1129711586">
    <w:abstractNumId w:val="2"/>
  </w:num>
  <w:num w:numId="4" w16cid:durableId="3932387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1849852">
    <w:abstractNumId w:val="1"/>
  </w:num>
  <w:num w:numId="6" w16cid:durableId="883374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A5E"/>
    <w:rsid w:val="000A683E"/>
    <w:rsid w:val="000B19B9"/>
    <w:rsid w:val="000D0334"/>
    <w:rsid w:val="000F122F"/>
    <w:rsid w:val="000F6486"/>
    <w:rsid w:val="00125105"/>
    <w:rsid w:val="00127233"/>
    <w:rsid w:val="001465D3"/>
    <w:rsid w:val="00163355"/>
    <w:rsid w:val="001835EF"/>
    <w:rsid w:val="001A58F7"/>
    <w:rsid w:val="001E4177"/>
    <w:rsid w:val="002951A0"/>
    <w:rsid w:val="002962BC"/>
    <w:rsid w:val="002A093D"/>
    <w:rsid w:val="002A49AC"/>
    <w:rsid w:val="002A64FD"/>
    <w:rsid w:val="002C7A84"/>
    <w:rsid w:val="00330F71"/>
    <w:rsid w:val="003448F4"/>
    <w:rsid w:val="00376DEF"/>
    <w:rsid w:val="003A779E"/>
    <w:rsid w:val="003D0F4D"/>
    <w:rsid w:val="003E0499"/>
    <w:rsid w:val="003F3941"/>
    <w:rsid w:val="00400548"/>
    <w:rsid w:val="004200BA"/>
    <w:rsid w:val="00443F9F"/>
    <w:rsid w:val="00492570"/>
    <w:rsid w:val="004A1847"/>
    <w:rsid w:val="004A305D"/>
    <w:rsid w:val="004A6059"/>
    <w:rsid w:val="004E5FAA"/>
    <w:rsid w:val="004E71EE"/>
    <w:rsid w:val="004F21C4"/>
    <w:rsid w:val="004F685F"/>
    <w:rsid w:val="00533E8F"/>
    <w:rsid w:val="00543A95"/>
    <w:rsid w:val="005566E8"/>
    <w:rsid w:val="00574867"/>
    <w:rsid w:val="00584994"/>
    <w:rsid w:val="005B5D8B"/>
    <w:rsid w:val="005C5CDC"/>
    <w:rsid w:val="005D476C"/>
    <w:rsid w:val="0060455F"/>
    <w:rsid w:val="006219F8"/>
    <w:rsid w:val="00635FE2"/>
    <w:rsid w:val="00665D70"/>
    <w:rsid w:val="006729E5"/>
    <w:rsid w:val="006C0220"/>
    <w:rsid w:val="00703170"/>
    <w:rsid w:val="00706C16"/>
    <w:rsid w:val="00756841"/>
    <w:rsid w:val="00760056"/>
    <w:rsid w:val="007649AB"/>
    <w:rsid w:val="007833AC"/>
    <w:rsid w:val="007A2970"/>
    <w:rsid w:val="007B0D41"/>
    <w:rsid w:val="007B7171"/>
    <w:rsid w:val="007C37CD"/>
    <w:rsid w:val="007C3DC2"/>
    <w:rsid w:val="007D5A3B"/>
    <w:rsid w:val="007E5497"/>
    <w:rsid w:val="007E6428"/>
    <w:rsid w:val="00806F5F"/>
    <w:rsid w:val="00820278"/>
    <w:rsid w:val="00866A5F"/>
    <w:rsid w:val="008843B6"/>
    <w:rsid w:val="00891928"/>
    <w:rsid w:val="008A446D"/>
    <w:rsid w:val="008F0EA7"/>
    <w:rsid w:val="00903232"/>
    <w:rsid w:val="00917EDC"/>
    <w:rsid w:val="00923EEF"/>
    <w:rsid w:val="009419F9"/>
    <w:rsid w:val="0095327C"/>
    <w:rsid w:val="00961B09"/>
    <w:rsid w:val="00965334"/>
    <w:rsid w:val="0097093E"/>
    <w:rsid w:val="009C71FA"/>
    <w:rsid w:val="009C72E7"/>
    <w:rsid w:val="00A01F0E"/>
    <w:rsid w:val="00A17F13"/>
    <w:rsid w:val="00A20739"/>
    <w:rsid w:val="00A33C78"/>
    <w:rsid w:val="00AB0ADB"/>
    <w:rsid w:val="00AE7612"/>
    <w:rsid w:val="00B62A82"/>
    <w:rsid w:val="00B72CD3"/>
    <w:rsid w:val="00B72FFF"/>
    <w:rsid w:val="00B77944"/>
    <w:rsid w:val="00B8454B"/>
    <w:rsid w:val="00BA7024"/>
    <w:rsid w:val="00BC0C0A"/>
    <w:rsid w:val="00BD2E7A"/>
    <w:rsid w:val="00BD7F72"/>
    <w:rsid w:val="00BF20CE"/>
    <w:rsid w:val="00C02D59"/>
    <w:rsid w:val="00C04FB3"/>
    <w:rsid w:val="00C22121"/>
    <w:rsid w:val="00C330EB"/>
    <w:rsid w:val="00C425C1"/>
    <w:rsid w:val="00C447AF"/>
    <w:rsid w:val="00C44CF6"/>
    <w:rsid w:val="00C543EC"/>
    <w:rsid w:val="00C754BE"/>
    <w:rsid w:val="00C96724"/>
    <w:rsid w:val="00CB6357"/>
    <w:rsid w:val="00CC1B26"/>
    <w:rsid w:val="00D37737"/>
    <w:rsid w:val="00D423A2"/>
    <w:rsid w:val="00D63AC2"/>
    <w:rsid w:val="00D7383B"/>
    <w:rsid w:val="00D90740"/>
    <w:rsid w:val="00DA231B"/>
    <w:rsid w:val="00E16408"/>
    <w:rsid w:val="00E20894"/>
    <w:rsid w:val="00E245AB"/>
    <w:rsid w:val="00E50AFE"/>
    <w:rsid w:val="00E771DC"/>
    <w:rsid w:val="00E8772A"/>
    <w:rsid w:val="00E90F6B"/>
    <w:rsid w:val="00E92C27"/>
    <w:rsid w:val="00EA0E3D"/>
    <w:rsid w:val="00ED69C0"/>
    <w:rsid w:val="00EE1AA8"/>
    <w:rsid w:val="00F204AB"/>
    <w:rsid w:val="00F24D05"/>
    <w:rsid w:val="00F31EDC"/>
    <w:rsid w:val="00F5664F"/>
    <w:rsid w:val="00F613A2"/>
    <w:rsid w:val="00F76AFC"/>
    <w:rsid w:val="00FB5DD1"/>
    <w:rsid w:val="00FC2B5D"/>
    <w:rsid w:val="00FF1449"/>
    <w:rsid w:val="0D7D075D"/>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7737"/>
    <w:rPr>
      <w:rFonts w:ascii="Geomanist Light" w:hAnsi="Geomanist Light"/>
      <w:lang w:val="es-ES"/>
    </w:rPr>
  </w:style>
  <w:style w:type="paragraph" w:styleId="Appelnotedebasde" w:customStyle="1">
    <w:name w:val="Appel note de bas de..."/>
    <w:basedOn w:val="Normal"/>
    <w:link w:val="Refdenotaalpie"/>
    <w:uiPriority w:val="99"/>
    <w:rsid w:val="00D37737"/>
    <w:pPr>
      <w:spacing w:line="240" w:lineRule="exact"/>
    </w:pPr>
    <w:rPr>
      <w:vertAlign w:val="superscript"/>
    </w:rPr>
  </w:style>
  <w:style w:type="paragraph" w:styleId="NormalWeb">
    <w:name w:val="Normal (Web)"/>
    <w:basedOn w:val="Normal"/>
    <w:link w:val="NormalWebCar"/>
    <w:uiPriority w:val="99"/>
    <w:unhideWhenUsed/>
    <w:rsid w:val="00D37737"/>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D37737"/>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default/files/manuales/20140901_manual_requisitos_habilitantes_4_web.pdf" TargetMode="External"/><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cabc2350-70b2-4dba-bb42-96a3175f4d5a"/>
    <ds:schemaRef ds:uri="http://schemas.microsoft.com/office/infopath/2007/PartnerControls"/>
    <ds:schemaRef ds:uri="http://www.w3.org/XML/1998/namespace"/>
    <ds:schemaRef ds:uri="http://schemas.microsoft.com/office/2006/metadata/properties"/>
    <ds:schemaRef ds:uri="http://purl.org/dc/terms/"/>
    <ds:schemaRef ds:uri="http://purl.org/dc/dcmitype/"/>
    <ds:schemaRef ds:uri="http://schemas.microsoft.com/office/2006/documentManagement/types"/>
    <ds:schemaRef ds:uri="http://schemas.openxmlformats.org/package/2006/metadata/core-properties"/>
    <ds:schemaRef ds:uri="8ae15d26-076e-464e-81a7-6f76a0fb3917"/>
    <ds:schemaRef ds:uri="http://purl.org/dc/elements/1.1/"/>
  </ds:schemaRefs>
</ds:datastoreItem>
</file>

<file path=customXml/itemProps3.xml><?xml version="1.0" encoding="utf-8"?>
<ds:datastoreItem xmlns:ds="http://schemas.openxmlformats.org/officeDocument/2006/customXml" ds:itemID="{BEB08969-B895-45C7-BD17-3A4541C690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Any Alejandra Tovar Castillo</cp:lastModifiedBy>
  <cp:revision>4</cp:revision>
  <cp:lastPrinted>2023-01-10T21:18:00Z</cp:lastPrinted>
  <dcterms:created xsi:type="dcterms:W3CDTF">2023-08-29T00:08:00Z</dcterms:created>
  <dcterms:modified xsi:type="dcterms:W3CDTF">2023-11-20T18:36:17Z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