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271C51" w14:textId="77777777" w:rsidR="00F35B20" w:rsidRPr="000C598A" w:rsidRDefault="00F35B20" w:rsidP="00F35B20">
      <w:pPr>
        <w:spacing w:after="0" w:line="240" w:lineRule="auto"/>
        <w:jc w:val="both"/>
        <w:rPr>
          <w:rFonts w:ascii="Verdana" w:eastAsia="Times New Roman" w:hAnsi="Verdana" w:cs="Arial"/>
          <w:b/>
          <w:lang w:eastAsia="es-ES_tradnl"/>
        </w:rPr>
      </w:pPr>
      <w:bookmarkStart w:id="0" w:name="_Hlk143780582"/>
      <w:r w:rsidRPr="000C598A">
        <w:rPr>
          <w:rFonts w:ascii="Verdana" w:eastAsia="Times New Roman" w:hAnsi="Verdana" w:cs="Arial"/>
          <w:b/>
          <w:lang w:val="es-MX" w:eastAsia="es-ES_tradnl"/>
        </w:rPr>
        <w:t>EMPRESAS INDUSTRIALES Y COMERCIALES DEL ESTADO – Naturaleza Jurídica –</w:t>
      </w:r>
      <w:r w:rsidRPr="000C598A">
        <w:rPr>
          <w:rFonts w:ascii="Verdana" w:eastAsia="Times New Roman" w:hAnsi="Verdana" w:cs="Arial"/>
          <w:b/>
          <w:lang w:eastAsia="es-ES_tradnl"/>
        </w:rPr>
        <w:t xml:space="preserve"> </w:t>
      </w:r>
      <w:r w:rsidRPr="000C598A">
        <w:rPr>
          <w:rFonts w:ascii="Verdana" w:eastAsia="Times New Roman" w:hAnsi="Verdana" w:cs="Arial"/>
          <w:b/>
          <w:lang w:val="es-MX" w:eastAsia="es-ES_tradnl"/>
        </w:rPr>
        <w:t>Régimen de contratación</w:t>
      </w:r>
      <w:r w:rsidRPr="000C598A">
        <w:rPr>
          <w:rFonts w:ascii="Verdana" w:eastAsia="Times New Roman" w:hAnsi="Verdana" w:cs="Arial"/>
          <w:b/>
          <w:lang w:eastAsia="es-ES_tradnl"/>
        </w:rPr>
        <w:t xml:space="preserve"> </w:t>
      </w:r>
    </w:p>
    <w:p w14:paraId="4875F08B" w14:textId="77777777" w:rsidR="00F35B20" w:rsidRPr="000C598A" w:rsidRDefault="00F35B20" w:rsidP="00F35B20">
      <w:pPr>
        <w:spacing w:after="0" w:line="240" w:lineRule="auto"/>
        <w:jc w:val="both"/>
        <w:rPr>
          <w:rFonts w:ascii="Verdana" w:eastAsia="Times New Roman" w:hAnsi="Verdana" w:cs="Arial"/>
          <w:b/>
          <w:sz w:val="20"/>
          <w:szCs w:val="20"/>
          <w:lang w:val="es-MX" w:eastAsia="es-ES_tradnl"/>
        </w:rPr>
      </w:pPr>
    </w:p>
    <w:p w14:paraId="6F99E946" w14:textId="77777777" w:rsidR="00F35B20" w:rsidRPr="000C598A" w:rsidRDefault="00F35B20" w:rsidP="00F35B20">
      <w:pPr>
        <w:spacing w:after="0" w:line="240" w:lineRule="auto"/>
        <w:jc w:val="both"/>
        <w:rPr>
          <w:rFonts w:ascii="Verdana" w:eastAsia="Calibri" w:hAnsi="Verdana" w:cs="Arial"/>
          <w:sz w:val="20"/>
          <w:szCs w:val="20"/>
        </w:rPr>
      </w:pPr>
      <w:r w:rsidRPr="000C598A">
        <w:rPr>
          <w:rFonts w:ascii="Verdana" w:eastAsia="Calibri" w:hAnsi="Verdana" w:cs="Arial"/>
          <w:sz w:val="20"/>
          <w:szCs w:val="20"/>
        </w:rPr>
        <w:t xml:space="preserve">Dentro de la estructura de la Administración Pública se encuentran las entidades descentralizadas por servicios, y dentro de dicha categoría se ubican las </w:t>
      </w:r>
      <w:r w:rsidRPr="000C598A">
        <w:rPr>
          <w:rFonts w:ascii="Verdana" w:hAnsi="Verdana" w:cs="Arial"/>
          <w:sz w:val="20"/>
          <w:szCs w:val="20"/>
        </w:rPr>
        <w:t>EICE</w:t>
      </w:r>
      <w:r w:rsidRPr="000C598A">
        <w:rPr>
          <w:rFonts w:ascii="Verdana" w:eastAsia="Calibri" w:hAnsi="Verdana" w:cs="Arial"/>
          <w:sz w:val="20"/>
          <w:szCs w:val="20"/>
        </w:rPr>
        <w:t>, las cuales – sin perjuicio del control de tutela – tienen personería jurídica, autonomía administrativa y patrimonio propio.</w:t>
      </w:r>
      <w:r w:rsidRPr="000C598A">
        <w:rPr>
          <w:rFonts w:ascii="Verdana" w:eastAsia="Calibri" w:hAnsi="Verdana" w:cs="Arial"/>
          <w:b/>
          <w:bCs/>
          <w:sz w:val="20"/>
          <w:szCs w:val="20"/>
        </w:rPr>
        <w:t xml:space="preserve"> </w:t>
      </w:r>
      <w:r w:rsidRPr="000C598A">
        <w:rPr>
          <w:rFonts w:ascii="Verdana" w:eastAsia="Calibri" w:hAnsi="Verdana" w:cs="Arial"/>
          <w:sz w:val="20"/>
          <w:szCs w:val="20"/>
        </w:rPr>
        <w:t xml:space="preserve">Estas entidades, como su nombre lo indica, se caracterizan por desarrollar actividades de carácter industrial o comercial. Así, por ejemplo, son EICE la Imprenta Nacional de Colombia, Coljuegos, Indumil, la Caja Promotora de Vivienda Militar y de Policía, Colpensiones, entre otras. </w:t>
      </w:r>
    </w:p>
    <w:p w14:paraId="7E970807" w14:textId="77777777" w:rsidR="00F35B20" w:rsidRDefault="00F35B20" w:rsidP="00F35B20">
      <w:pPr>
        <w:spacing w:after="0" w:line="240" w:lineRule="auto"/>
        <w:jc w:val="both"/>
        <w:rPr>
          <w:rFonts w:ascii="Verdana" w:eastAsia="Times New Roman" w:hAnsi="Verdana" w:cs="Arial"/>
          <w:bCs/>
          <w:sz w:val="20"/>
          <w:szCs w:val="20"/>
          <w:lang w:val="es-MX" w:eastAsia="es-ES_tradnl"/>
        </w:rPr>
      </w:pPr>
    </w:p>
    <w:p w14:paraId="031C0070" w14:textId="77777777" w:rsidR="00F35B20" w:rsidRPr="000C598A" w:rsidRDefault="00F35B20" w:rsidP="00F35B20">
      <w:pPr>
        <w:spacing w:after="0" w:line="240" w:lineRule="auto"/>
        <w:jc w:val="both"/>
        <w:rPr>
          <w:rFonts w:ascii="Verdana" w:eastAsia="Times New Roman" w:hAnsi="Verdana" w:cs="Arial"/>
          <w:bCs/>
          <w:sz w:val="20"/>
          <w:szCs w:val="20"/>
          <w:lang w:val="es-MX" w:eastAsia="es-ES_tradnl"/>
        </w:rPr>
      </w:pPr>
      <w:r w:rsidRPr="000C598A">
        <w:rPr>
          <w:rFonts w:ascii="Verdana" w:eastAsia="Times New Roman" w:hAnsi="Verdana" w:cs="Arial"/>
          <w:bCs/>
          <w:sz w:val="20"/>
          <w:szCs w:val="20"/>
          <w:lang w:val="es-MX" w:eastAsia="es-ES_tradnl"/>
        </w:rPr>
        <w:t xml:space="preserve">[…] </w:t>
      </w:r>
      <w:r w:rsidRPr="000C598A">
        <w:rPr>
          <w:rFonts w:ascii="Verdana" w:hAnsi="Verdana" w:cs="Arial"/>
          <w:sz w:val="20"/>
          <w:szCs w:val="20"/>
        </w:rPr>
        <w:t xml:space="preserve">el artículo 14 de la Ley 1150 de 2007 – modificado por el artículo 93 de la Ley 1474 de 2011 – dispuso un régimen exceptivo de aplicación del derecho privado para la actividad contractual de las EICE que ejercen su actividad en competencia con el sector público o privado, o en mercados regulados, quedando las otras EICE dentro del ámbito de aplicación del EGCAP. </w:t>
      </w:r>
    </w:p>
    <w:p w14:paraId="644980F5" w14:textId="77777777" w:rsidR="00F35B20" w:rsidRDefault="00F35B20" w:rsidP="00F35B20">
      <w:pPr>
        <w:spacing w:after="0" w:line="240" w:lineRule="auto"/>
        <w:jc w:val="both"/>
        <w:rPr>
          <w:rFonts w:ascii="Verdana" w:eastAsia="Calibri" w:hAnsi="Verdana" w:cs="Arial"/>
          <w:bCs/>
          <w:sz w:val="20"/>
          <w:szCs w:val="20"/>
        </w:rPr>
      </w:pPr>
    </w:p>
    <w:p w14:paraId="72E520A7" w14:textId="77777777" w:rsidR="00F35B20" w:rsidRPr="000C598A" w:rsidRDefault="00F35B20" w:rsidP="00F35B20">
      <w:pPr>
        <w:spacing w:after="0" w:line="240" w:lineRule="auto"/>
        <w:jc w:val="both"/>
        <w:rPr>
          <w:rFonts w:ascii="Verdana" w:eastAsia="Calibri" w:hAnsi="Verdana" w:cs="Arial"/>
          <w:b/>
        </w:rPr>
      </w:pPr>
      <w:r w:rsidRPr="000C598A">
        <w:rPr>
          <w:rFonts w:ascii="Verdana" w:eastAsia="Calibri" w:hAnsi="Verdana" w:cs="Arial"/>
          <w:b/>
        </w:rPr>
        <w:t>CONTRATOS Y CONVENIOS INTERADMINISTRATIVOS – Definición – Sujetos – Entidades Estatales – Entidades exceptuadas</w:t>
      </w:r>
    </w:p>
    <w:p w14:paraId="5B229BDB" w14:textId="77777777" w:rsidR="00F35B20" w:rsidRDefault="00F35B20" w:rsidP="00F35B20">
      <w:pPr>
        <w:spacing w:after="0" w:line="240" w:lineRule="auto"/>
        <w:jc w:val="both"/>
        <w:rPr>
          <w:rFonts w:ascii="Verdana" w:eastAsia="Calibri" w:hAnsi="Verdana" w:cs="Arial"/>
          <w:color w:val="000000" w:themeColor="text1"/>
          <w:sz w:val="20"/>
          <w:szCs w:val="20"/>
        </w:rPr>
      </w:pPr>
    </w:p>
    <w:p w14:paraId="59C1FDB1" w14:textId="77777777" w:rsidR="00F35B20" w:rsidRDefault="00F35B20" w:rsidP="00F35B20">
      <w:pPr>
        <w:spacing w:after="0" w:line="240" w:lineRule="auto"/>
        <w:jc w:val="both"/>
        <w:rPr>
          <w:rFonts w:ascii="Verdana" w:eastAsia="Calibri" w:hAnsi="Verdana" w:cs="Arial"/>
          <w:color w:val="000000" w:themeColor="text1"/>
          <w:sz w:val="20"/>
          <w:szCs w:val="20"/>
        </w:rPr>
      </w:pPr>
      <w:r w:rsidRPr="000C598A">
        <w:rPr>
          <w:rFonts w:ascii="Verdana" w:eastAsia="Calibri" w:hAnsi="Verdana" w:cs="Arial"/>
          <w:color w:val="000000" w:themeColor="text1"/>
          <w:sz w:val="20"/>
          <w:szCs w:val="20"/>
        </w:rPr>
        <w:t>Sobre la tipología de convenio o contrato interadministrativo, conviene señalar que fue creado en la Ley 80 de 1993, y aunque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Pr="000C598A">
        <w:rPr>
          <w:rFonts w:ascii="Verdana" w:hAnsi="Verdana" w:cs="Arial"/>
          <w:color w:val="000000" w:themeColor="text1"/>
          <w:sz w:val="20"/>
          <w:szCs w:val="20"/>
        </w:rPr>
        <w:t xml:space="preserve"> </w:t>
      </w:r>
      <w:r w:rsidRPr="000C598A">
        <w:rPr>
          <w:rFonts w:ascii="Verdana" w:eastAsia="Calibri" w:hAnsi="Verdana" w:cs="Arial"/>
          <w:color w:val="000000" w:themeColor="text1"/>
          <w:sz w:val="20"/>
          <w:szCs w:val="20"/>
        </w:rPr>
        <w:t>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con competencia para celebrar contratos.</w:t>
      </w:r>
    </w:p>
    <w:p w14:paraId="022E670A" w14:textId="77777777" w:rsidR="00F35B20" w:rsidRPr="000C598A" w:rsidRDefault="00F35B20" w:rsidP="00F35B20">
      <w:pPr>
        <w:spacing w:after="0" w:line="240" w:lineRule="auto"/>
        <w:jc w:val="both"/>
        <w:rPr>
          <w:rFonts w:ascii="Verdana" w:eastAsia="Calibri" w:hAnsi="Verdana" w:cs="Arial"/>
          <w:color w:val="000000" w:themeColor="text1"/>
          <w:sz w:val="20"/>
          <w:szCs w:val="20"/>
        </w:rPr>
      </w:pPr>
    </w:p>
    <w:p w14:paraId="4933A826" w14:textId="77777777" w:rsidR="00F35B20" w:rsidRPr="000C598A" w:rsidRDefault="00F35B20" w:rsidP="00F35B20">
      <w:pPr>
        <w:spacing w:after="0" w:line="240" w:lineRule="auto"/>
        <w:jc w:val="both"/>
        <w:rPr>
          <w:rFonts w:ascii="Verdana" w:hAnsi="Verdana" w:cs="Arial"/>
          <w:color w:val="000000" w:themeColor="text1"/>
          <w:sz w:val="20"/>
          <w:szCs w:val="20"/>
          <w:lang w:val="es-ES_tradnl"/>
        </w:rPr>
      </w:pPr>
      <w:r w:rsidRPr="000C598A">
        <w:rPr>
          <w:rFonts w:ascii="Verdana" w:eastAsia="Calibri" w:hAnsi="Verdana" w:cs="Arial"/>
          <w:color w:val="000000" w:themeColor="text1"/>
          <w:sz w:val="20"/>
          <w:szCs w:val="20"/>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 como una EICE – y no por ello dejará de ser un contrato o convenio interadministrativo.</w:t>
      </w:r>
    </w:p>
    <w:p w14:paraId="5DC69884" w14:textId="77777777" w:rsidR="00F35B20" w:rsidRPr="000C598A" w:rsidRDefault="00F35B20" w:rsidP="00F35B20">
      <w:pPr>
        <w:spacing w:after="0" w:line="240" w:lineRule="auto"/>
        <w:jc w:val="both"/>
        <w:rPr>
          <w:rFonts w:ascii="Verdana" w:eastAsia="Times New Roman" w:hAnsi="Verdana" w:cs="Arial"/>
          <w:sz w:val="20"/>
          <w:szCs w:val="20"/>
          <w:lang w:val="es-ES_tradnl" w:eastAsia="es-ES_tradnl"/>
        </w:rPr>
      </w:pPr>
    </w:p>
    <w:p w14:paraId="26D5E136" w14:textId="77777777" w:rsidR="00F35B20" w:rsidRPr="000C598A" w:rsidRDefault="00F35B20" w:rsidP="00F35B20">
      <w:pPr>
        <w:spacing w:after="0" w:line="240" w:lineRule="auto"/>
        <w:jc w:val="both"/>
        <w:rPr>
          <w:rFonts w:ascii="Verdana" w:eastAsia="Times New Roman" w:hAnsi="Verdana" w:cs="Arial"/>
          <w:b/>
          <w:bCs/>
          <w:lang w:val="es-MX" w:eastAsia="es-ES_tradnl"/>
        </w:rPr>
      </w:pPr>
      <w:r w:rsidRPr="000C598A">
        <w:rPr>
          <w:rFonts w:ascii="Verdana" w:eastAsia="Times New Roman" w:hAnsi="Verdana" w:cs="Arial"/>
          <w:b/>
          <w:bCs/>
          <w:lang w:val="es-MX" w:eastAsia="es-ES_tradnl"/>
        </w:rPr>
        <w:t>CONTRATO INTERADMINISTRATIVO – Modalidad de selección</w:t>
      </w:r>
    </w:p>
    <w:p w14:paraId="762DA59D" w14:textId="77777777" w:rsidR="00F35B20" w:rsidRDefault="00F35B20" w:rsidP="00F35B20">
      <w:pPr>
        <w:spacing w:after="0" w:line="240" w:lineRule="auto"/>
        <w:jc w:val="both"/>
        <w:rPr>
          <w:rFonts w:ascii="Verdana" w:eastAsia="Times New Roman" w:hAnsi="Verdana" w:cs="Arial"/>
          <w:bCs/>
          <w:sz w:val="20"/>
          <w:szCs w:val="20"/>
          <w:lang w:val="es-MX" w:eastAsia="es-ES_tradnl"/>
        </w:rPr>
      </w:pPr>
    </w:p>
    <w:p w14:paraId="50375F6F" w14:textId="77777777" w:rsidR="00F35B20" w:rsidRPr="000C598A" w:rsidRDefault="00F35B20" w:rsidP="00F35B20">
      <w:pPr>
        <w:spacing w:after="0" w:line="240" w:lineRule="auto"/>
        <w:jc w:val="both"/>
        <w:rPr>
          <w:rFonts w:ascii="Verdana" w:eastAsia="Times New Roman" w:hAnsi="Verdana" w:cs="Arial"/>
          <w:sz w:val="20"/>
          <w:szCs w:val="20"/>
          <w:lang w:val="es-MX" w:eastAsia="es-ES_tradnl"/>
        </w:rPr>
      </w:pPr>
      <w:r w:rsidRPr="000C598A">
        <w:rPr>
          <w:rFonts w:ascii="Verdana" w:eastAsia="Times New Roman" w:hAnsi="Verdana" w:cs="Arial"/>
          <w:bCs/>
          <w:sz w:val="20"/>
          <w:szCs w:val="20"/>
          <w:lang w:val="es-MX" w:eastAsia="es-ES_tradnl"/>
        </w:rPr>
        <w:t xml:space="preserve">[…] </w:t>
      </w:r>
      <w:r w:rsidRPr="000C598A">
        <w:rPr>
          <w:rFonts w:ascii="Verdana" w:hAnsi="Verdana" w:cs="Arial"/>
          <w:sz w:val="20"/>
          <w:szCs w:val="20"/>
        </w:rPr>
        <w:t>debe señalarse, e</w:t>
      </w:r>
      <w:r w:rsidRPr="000C598A">
        <w:rPr>
          <w:rFonts w:ascii="Verdana" w:eastAsia="Calibri" w:hAnsi="Verdana" w:cs="Arial"/>
          <w:color w:val="000000" w:themeColor="text1"/>
          <w:sz w:val="20"/>
          <w:szCs w:val="20"/>
        </w:rPr>
        <w:t>n relación con la modalidad de selección aplicable a la celebración de contratos interadministrativos, que la Ley 1150 de 2007 establece que las Entidades Estatales pueden suscribirlos de manera directa, siempre que las obligaciones derivadas de los mismos tengan relación con el objeto de la entidad ejecutora.</w:t>
      </w:r>
    </w:p>
    <w:p w14:paraId="775518A3" w14:textId="77777777" w:rsidR="00F35B20" w:rsidRDefault="00F35B20" w:rsidP="00F35B20">
      <w:pPr>
        <w:spacing w:after="0" w:line="240" w:lineRule="auto"/>
        <w:jc w:val="both"/>
        <w:rPr>
          <w:rFonts w:ascii="Verdana" w:eastAsia="Calibri" w:hAnsi="Verdana" w:cs="Arial"/>
          <w:color w:val="000000" w:themeColor="text1"/>
          <w:sz w:val="20"/>
          <w:szCs w:val="20"/>
          <w:lang w:val="es-ES_tradnl"/>
        </w:rPr>
      </w:pPr>
    </w:p>
    <w:p w14:paraId="169F13F6" w14:textId="77777777" w:rsidR="00F35B20" w:rsidRPr="000C598A" w:rsidRDefault="00F35B20" w:rsidP="00F35B20">
      <w:pPr>
        <w:spacing w:after="0" w:line="240" w:lineRule="auto"/>
        <w:jc w:val="both"/>
        <w:rPr>
          <w:rFonts w:ascii="Verdana" w:eastAsia="Calibri" w:hAnsi="Verdana" w:cs="Arial"/>
          <w:color w:val="000000" w:themeColor="text1"/>
          <w:sz w:val="20"/>
          <w:szCs w:val="20"/>
          <w:lang w:val="es-ES_tradnl"/>
        </w:rPr>
      </w:pPr>
      <w:r w:rsidRPr="000C598A">
        <w:rPr>
          <w:rFonts w:ascii="Verdana" w:eastAsia="Calibri" w:hAnsi="Verdana" w:cs="Arial"/>
          <w:color w:val="000000" w:themeColor="text1"/>
          <w:sz w:val="20"/>
          <w:szCs w:val="20"/>
          <w:lang w:val="es-ES_tradnl"/>
        </w:rPr>
        <w:t>[…]</w:t>
      </w:r>
    </w:p>
    <w:p w14:paraId="6FCD89D3" w14:textId="77777777" w:rsidR="00F35B20" w:rsidRDefault="00F35B20" w:rsidP="00F35B20">
      <w:pPr>
        <w:spacing w:after="0" w:line="240" w:lineRule="auto"/>
        <w:jc w:val="both"/>
        <w:rPr>
          <w:rFonts w:ascii="Verdana" w:eastAsia="Calibri" w:hAnsi="Verdana" w:cs="Arial"/>
          <w:color w:val="000000" w:themeColor="text1"/>
          <w:sz w:val="20"/>
          <w:szCs w:val="20"/>
          <w:lang w:val="es-ES_tradnl"/>
        </w:rPr>
      </w:pPr>
    </w:p>
    <w:p w14:paraId="3B2D4C1A" w14:textId="77777777" w:rsidR="00F35B20" w:rsidRPr="000C598A" w:rsidRDefault="00F35B20" w:rsidP="00F35B20">
      <w:pPr>
        <w:spacing w:after="0" w:line="240" w:lineRule="auto"/>
        <w:jc w:val="both"/>
        <w:rPr>
          <w:rFonts w:ascii="Verdana" w:eastAsia="Calibri" w:hAnsi="Verdana" w:cs="Arial"/>
          <w:color w:val="000000" w:themeColor="text1"/>
          <w:sz w:val="20"/>
          <w:szCs w:val="20"/>
          <w:lang w:val="es-ES_tradnl"/>
        </w:rPr>
      </w:pPr>
      <w:r w:rsidRPr="000C598A">
        <w:rPr>
          <w:rFonts w:ascii="Verdana" w:eastAsia="Calibri" w:hAnsi="Verdana" w:cs="Arial"/>
          <w:color w:val="000000" w:themeColor="text1"/>
          <w:sz w:val="20"/>
          <w:szCs w:val="20"/>
          <w:lang w:val="es-ES_tradnl"/>
        </w:rPr>
        <w:t>Según el inciso primero del literal trascrito, la suscripción de contratos interadministrativos de forma directa, conforme a dicha causal, está sujeta a que las obligaciones del negocio jurídico tengan relación directa con el objeto de la entidad ejecutora, establecido en la ley o en sus reglamentos. La condición impuesta por el legislador para la suscripción de estos contratos se establece a efectos de constatar que el ejecutante cuente con la capacidad jurídica para contraer las obligaciones establecidas en el contrato.</w:t>
      </w:r>
    </w:p>
    <w:p w14:paraId="53CD6360" w14:textId="77777777" w:rsidR="00F35B20" w:rsidRPr="000C598A" w:rsidRDefault="00F35B20" w:rsidP="00F35B20">
      <w:pPr>
        <w:spacing w:after="0" w:line="240" w:lineRule="auto"/>
        <w:jc w:val="both"/>
        <w:rPr>
          <w:rFonts w:ascii="Verdana" w:eastAsia="Times New Roman" w:hAnsi="Verdana" w:cs="Arial"/>
          <w:sz w:val="20"/>
          <w:szCs w:val="20"/>
          <w:lang w:val="es-ES_tradnl" w:eastAsia="es-ES_tradnl"/>
        </w:rPr>
      </w:pPr>
    </w:p>
    <w:p w14:paraId="096A433A" w14:textId="77777777" w:rsidR="00F35B20" w:rsidRPr="000C598A" w:rsidRDefault="00F35B20" w:rsidP="00F35B20">
      <w:pPr>
        <w:spacing w:after="0" w:line="240" w:lineRule="auto"/>
        <w:jc w:val="both"/>
        <w:rPr>
          <w:rFonts w:ascii="Verdana" w:eastAsia="Calibri" w:hAnsi="Verdana" w:cs="Arial"/>
          <w:b/>
          <w:bCs/>
          <w:lang w:val="es-ES" w:eastAsia="es-ES"/>
        </w:rPr>
      </w:pPr>
      <w:r w:rsidRPr="000C598A">
        <w:rPr>
          <w:rFonts w:ascii="Verdana" w:eastAsia="Times New Roman" w:hAnsi="Verdana" w:cs="Arial"/>
          <w:b/>
          <w:bCs/>
          <w:lang w:val="es-MX" w:eastAsia="es-ES_tradnl"/>
        </w:rPr>
        <w:t xml:space="preserve">CONTRATO INTERADMINISTRATIVO – Modalidad de selección – Excepciones </w:t>
      </w:r>
      <w:r w:rsidRPr="000C598A">
        <w:rPr>
          <w:rFonts w:ascii="Verdana" w:eastAsia="Calibri" w:hAnsi="Verdana" w:cs="Arial"/>
          <w:b/>
          <w:bCs/>
          <w:lang w:val="es-ES_tradnl"/>
        </w:rPr>
        <w:t>– Contrato de Obra</w:t>
      </w:r>
      <w:r w:rsidRPr="000C598A">
        <w:rPr>
          <w:rFonts w:ascii="Verdana" w:eastAsia="Calibri" w:hAnsi="Verdana" w:cs="Arial"/>
          <w:b/>
          <w:bCs/>
          <w:lang w:val="es-ES" w:eastAsia="es-ES"/>
        </w:rPr>
        <w:t xml:space="preserve"> – EICE</w:t>
      </w:r>
    </w:p>
    <w:p w14:paraId="4CA1CA62" w14:textId="77777777" w:rsidR="00F35B20" w:rsidRPr="000C598A" w:rsidRDefault="00F35B20" w:rsidP="00F35B20">
      <w:pPr>
        <w:spacing w:after="0" w:line="240" w:lineRule="auto"/>
        <w:jc w:val="both"/>
        <w:rPr>
          <w:rFonts w:ascii="Verdana" w:eastAsia="Calibri" w:hAnsi="Verdana" w:cs="Arial"/>
          <w:sz w:val="20"/>
          <w:szCs w:val="20"/>
          <w:lang w:val="es-ES" w:eastAsia="es-ES"/>
        </w:rPr>
      </w:pPr>
    </w:p>
    <w:p w14:paraId="75DDE1EC" w14:textId="77777777" w:rsidR="00F35B20" w:rsidRPr="000C598A" w:rsidRDefault="00F35B20" w:rsidP="00F35B20">
      <w:pPr>
        <w:spacing w:after="0" w:line="240" w:lineRule="auto"/>
        <w:jc w:val="both"/>
        <w:rPr>
          <w:rFonts w:ascii="Verdana" w:eastAsia="Calibri" w:hAnsi="Verdana" w:cs="Arial"/>
          <w:color w:val="000000" w:themeColor="text1"/>
          <w:sz w:val="20"/>
          <w:szCs w:val="20"/>
          <w:lang w:val="es-ES_tradnl"/>
        </w:rPr>
      </w:pPr>
      <w:r w:rsidRPr="000C598A">
        <w:rPr>
          <w:rFonts w:ascii="Verdana" w:eastAsia="Calibri" w:hAnsi="Verdana" w:cs="Arial"/>
          <w:color w:val="000000" w:themeColor="text1"/>
          <w:sz w:val="20"/>
          <w:szCs w:val="20"/>
          <w:lang w:val="es-ES_tradnl"/>
        </w:rPr>
        <w:t xml:space="preserve">[…] el inciso segundo establece una limitación a la contratación directa mediante la causal del literal c) – transcrito anteriormente – dirigido a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De manera que cuando ellas sean las ejecutoras, no se pueden celebrar contratos interadministrativos de manera directa, utilizando la causal del literal c), en tratándose de “contratos de obra, suministro, prestación de servicios de evaluación de conformidad respecto de las normas o reglamentos técnicos, encargos fiduciarios y fiducia pública”. </w:t>
      </w:r>
    </w:p>
    <w:p w14:paraId="5C311025" w14:textId="77777777" w:rsidR="00F35B20" w:rsidRPr="000C598A" w:rsidRDefault="00F35B20" w:rsidP="00F35B20">
      <w:pPr>
        <w:spacing w:after="0" w:line="240" w:lineRule="auto"/>
        <w:jc w:val="both"/>
        <w:rPr>
          <w:rFonts w:ascii="Verdana" w:eastAsia="Calibri" w:hAnsi="Verdana" w:cs="Arial"/>
          <w:color w:val="000000" w:themeColor="text1"/>
          <w:sz w:val="20"/>
          <w:szCs w:val="20"/>
          <w:lang w:val="es-ES_tradnl"/>
        </w:rPr>
      </w:pPr>
    </w:p>
    <w:p w14:paraId="61454D8E" w14:textId="77777777" w:rsidR="00F35B20" w:rsidRPr="000C598A" w:rsidRDefault="00F35B20" w:rsidP="00F35B20">
      <w:pPr>
        <w:spacing w:after="0" w:line="240" w:lineRule="auto"/>
        <w:jc w:val="both"/>
        <w:rPr>
          <w:sz w:val="20"/>
          <w:szCs w:val="20"/>
          <w:lang w:val="es-ES"/>
        </w:rPr>
      </w:pPr>
      <w:r w:rsidRPr="000C598A">
        <w:rPr>
          <w:rFonts w:ascii="Verdana" w:eastAsia="Calibri" w:hAnsi="Verdana" w:cs="Arial"/>
          <w:color w:val="000000" w:themeColor="text1"/>
          <w:sz w:val="20"/>
          <w:szCs w:val="20"/>
          <w:lang w:val="es-ES_tradnl"/>
        </w:rPr>
        <w:t xml:space="preserve">[…] </w:t>
      </w:r>
      <w:r w:rsidRPr="000C598A">
        <w:rPr>
          <w:rFonts w:ascii="Verdana" w:eastAsia="Calibri" w:hAnsi="Verdana" w:cs="Arial"/>
          <w:color w:val="000000" w:themeColor="text1"/>
          <w:sz w:val="20"/>
          <w:szCs w:val="20"/>
        </w:rPr>
        <w:t xml:space="preserve">En particular, teniendo en cuenta la consulta del peticionario, se observa que la restricción establecida en el inciso segundo del literal c) no se extendió a las EICE, las cuales ostentan una naturaleza jurídica particular, de acuerdo con lo establecido en la Ley 489 de 1998 – artículo 38, entre otros –, por lo cual no es posible asimilarlas a alguno de los tipos de entidades enlistadas en el inciso segundo del literal c) analizado. En particular, cabe destacar que la Ley 489 de 1998 regula como Entidades Estatales distintas, entre otras, por un lado, a las EICE y, por otro, a las Sociedades de Economía Mixta. </w:t>
      </w:r>
    </w:p>
    <w:p w14:paraId="1E9AEB2E" w14:textId="77777777" w:rsidR="00B45664" w:rsidRDefault="00B45664">
      <w:pPr>
        <w:rPr>
          <w:rFonts w:ascii="Verdana" w:hAnsi="Verdana"/>
        </w:rPr>
      </w:pPr>
      <w:r>
        <w:rPr>
          <w:rFonts w:ascii="Verdana" w:hAnsi="Verdana"/>
        </w:rPr>
        <w:br w:type="page"/>
      </w:r>
    </w:p>
    <w:p w14:paraId="3FE2184B" w14:textId="5B992E87" w:rsidR="00E245AB" w:rsidRPr="00936114" w:rsidRDefault="00E245AB" w:rsidP="005534BC">
      <w:pPr>
        <w:spacing w:after="0" w:line="240" w:lineRule="auto"/>
        <w:rPr>
          <w:rFonts w:ascii="Verdana" w:hAnsi="Verdana"/>
        </w:rPr>
      </w:pPr>
      <w:r w:rsidRPr="00936114">
        <w:rPr>
          <w:rFonts w:ascii="Verdana" w:hAnsi="Verdana"/>
        </w:rPr>
        <w:lastRenderedPageBreak/>
        <w:t xml:space="preserve">Bogotá D.C., </w:t>
      </w:r>
      <w:r w:rsidR="00496F04">
        <w:rPr>
          <w:rFonts w:ascii="Verdana" w:hAnsi="Verdana"/>
        </w:rPr>
        <w:t>29 de agosto de 2024.</w:t>
      </w:r>
    </w:p>
    <w:p w14:paraId="5FCADBF9" w14:textId="00848CFF" w:rsidR="00E245AB" w:rsidRPr="00936114" w:rsidRDefault="00496F04" w:rsidP="00496F04">
      <w:pPr>
        <w:spacing w:after="0" w:line="240" w:lineRule="auto"/>
        <w:jc w:val="right"/>
        <w:rPr>
          <w:rFonts w:ascii="Verdana" w:hAnsi="Verdana"/>
        </w:rPr>
      </w:pPr>
      <w:r w:rsidRPr="00496F04">
        <w:rPr>
          <w:rFonts w:ascii="Verdana" w:hAnsi="Verdana"/>
        </w:rPr>
        <w:drawing>
          <wp:inline distT="0" distB="0" distL="0" distR="0" wp14:anchorId="7821D16C" wp14:editId="49C7995F">
            <wp:extent cx="2588718" cy="777923"/>
            <wp:effectExtent l="0" t="0" r="2540" b="3175"/>
            <wp:docPr id="852045385" name="Imagen 1" descr="Texto,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045385" name="Imagen 1" descr="Texto, Chat o mensaje de texto&#10;&#10;Descripción generada automáticamente"/>
                    <pic:cNvPicPr/>
                  </pic:nvPicPr>
                  <pic:blipFill>
                    <a:blip r:embed="rId11"/>
                    <a:stretch>
                      <a:fillRect/>
                    </a:stretch>
                  </pic:blipFill>
                  <pic:spPr>
                    <a:xfrm>
                      <a:off x="0" y="0"/>
                      <a:ext cx="2613842" cy="785473"/>
                    </a:xfrm>
                    <a:prstGeom prst="rect">
                      <a:avLst/>
                    </a:prstGeom>
                  </pic:spPr>
                </pic:pic>
              </a:graphicData>
            </a:graphic>
          </wp:inline>
        </w:drawing>
      </w:r>
    </w:p>
    <w:p w14:paraId="4F517ACC" w14:textId="77777777" w:rsidR="00AF6E74" w:rsidRPr="00936114" w:rsidRDefault="00AF6E74" w:rsidP="005534BC">
      <w:pPr>
        <w:spacing w:after="0" w:line="240" w:lineRule="auto"/>
        <w:jc w:val="both"/>
        <w:rPr>
          <w:rFonts w:ascii="Verdana" w:eastAsia="Calibri" w:hAnsi="Verdana" w:cs="Arial"/>
          <w:lang w:val="es-ES" w:eastAsia="es-ES"/>
        </w:rPr>
      </w:pPr>
      <w:r w:rsidRPr="00936114">
        <w:rPr>
          <w:rFonts w:ascii="Verdana" w:eastAsia="Calibri" w:hAnsi="Verdana" w:cs="Arial"/>
          <w:lang w:val="es-ES" w:eastAsia="es-ES"/>
        </w:rPr>
        <w:t>Señora</w:t>
      </w:r>
    </w:p>
    <w:p w14:paraId="03E0D418" w14:textId="4EFACDB6" w:rsidR="00AF6E74" w:rsidRPr="00936114" w:rsidRDefault="00AF6E74" w:rsidP="005534BC">
      <w:pPr>
        <w:spacing w:after="0" w:line="240" w:lineRule="auto"/>
        <w:jc w:val="both"/>
        <w:rPr>
          <w:rFonts w:ascii="Verdana" w:eastAsia="Calibri" w:hAnsi="Verdana" w:cs="Arial"/>
          <w:lang w:val="es-ES" w:eastAsia="es-ES"/>
        </w:rPr>
      </w:pPr>
      <w:r w:rsidRPr="00936114">
        <w:rPr>
          <w:rFonts w:ascii="Verdana" w:eastAsia="Calibri" w:hAnsi="Verdana" w:cs="Arial"/>
          <w:b/>
          <w:lang w:eastAsia="es-ES_tradnl"/>
        </w:rPr>
        <w:t>Mar</w:t>
      </w:r>
      <w:r w:rsidR="004074BA" w:rsidRPr="00936114">
        <w:rPr>
          <w:rFonts w:ascii="Verdana" w:eastAsia="Calibri" w:hAnsi="Verdana" w:cs="Arial"/>
          <w:b/>
          <w:lang w:eastAsia="es-ES_tradnl"/>
        </w:rPr>
        <w:t>í</w:t>
      </w:r>
      <w:r w:rsidRPr="00936114">
        <w:rPr>
          <w:rFonts w:ascii="Verdana" w:eastAsia="Calibri" w:hAnsi="Verdana" w:cs="Arial"/>
          <w:b/>
          <w:lang w:eastAsia="es-ES_tradnl"/>
        </w:rPr>
        <w:t>a Paula Arango Ortiz</w:t>
      </w:r>
    </w:p>
    <w:p w14:paraId="0F1BC24C" w14:textId="42D86155" w:rsidR="00AF6E74" w:rsidRPr="00936114" w:rsidRDefault="00AF6E74" w:rsidP="005534BC">
      <w:pPr>
        <w:spacing w:after="0" w:line="240" w:lineRule="auto"/>
        <w:rPr>
          <w:rFonts w:ascii="Verdana" w:eastAsia="Calibri" w:hAnsi="Verdana" w:cs="Arial"/>
          <w:bCs/>
          <w:lang w:val="it-IT" w:eastAsia="es-ES_tradnl"/>
        </w:rPr>
      </w:pPr>
      <w:r w:rsidRPr="00936114">
        <w:rPr>
          <w:rFonts w:ascii="Verdana" w:eastAsia="Calibri" w:hAnsi="Verdana" w:cs="Arial"/>
          <w:bCs/>
          <w:lang w:val="it-IT" w:eastAsia="es-ES_tradnl"/>
        </w:rPr>
        <w:t>Tulu</w:t>
      </w:r>
      <w:r w:rsidR="005D558D" w:rsidRPr="00936114">
        <w:rPr>
          <w:rFonts w:ascii="Verdana" w:eastAsia="Calibri" w:hAnsi="Verdana" w:cs="Arial"/>
          <w:bCs/>
          <w:lang w:val="it-IT" w:eastAsia="es-ES_tradnl"/>
        </w:rPr>
        <w:t>á</w:t>
      </w:r>
      <w:r w:rsidRPr="00936114">
        <w:rPr>
          <w:rFonts w:ascii="Verdana" w:eastAsia="Calibri" w:hAnsi="Verdana" w:cs="Arial"/>
          <w:bCs/>
          <w:lang w:val="it-IT" w:eastAsia="es-ES_tradnl"/>
        </w:rPr>
        <w:t>, Valle del Cauca</w:t>
      </w:r>
    </w:p>
    <w:p w14:paraId="5916B894" w14:textId="77777777" w:rsidR="003C2258" w:rsidRPr="00936114" w:rsidRDefault="003C2258" w:rsidP="005534BC">
      <w:pPr>
        <w:spacing w:after="0" w:line="240" w:lineRule="auto"/>
        <w:rPr>
          <w:rFonts w:ascii="Verdana" w:eastAsia="Calibri" w:hAnsi="Verdana" w:cs="Arial"/>
          <w:bCs/>
          <w:lang w:val="it-IT" w:eastAsia="es-ES_tradnl"/>
        </w:rPr>
      </w:pPr>
    </w:p>
    <w:p w14:paraId="29A790B8" w14:textId="77777777" w:rsidR="003C2258" w:rsidRPr="00936114" w:rsidRDefault="003C2258" w:rsidP="005534BC">
      <w:pPr>
        <w:spacing w:after="0" w:line="240" w:lineRule="auto"/>
        <w:rPr>
          <w:rFonts w:ascii="Verdana" w:eastAsia="Calibri" w:hAnsi="Verdana" w:cs="Arial"/>
          <w:bCs/>
          <w:lang w:val="it-IT"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F6E74" w:rsidRPr="00936114" w14:paraId="0CA03A32" w14:textId="77777777" w:rsidTr="00DF0C95">
        <w:trPr>
          <w:trHeight w:val="407"/>
        </w:trPr>
        <w:tc>
          <w:tcPr>
            <w:tcW w:w="2689" w:type="dxa"/>
          </w:tcPr>
          <w:p w14:paraId="1F6AE8BA" w14:textId="77777777" w:rsidR="00AF6E74" w:rsidRPr="00936114" w:rsidRDefault="00AF6E74" w:rsidP="005534BC">
            <w:pPr>
              <w:jc w:val="both"/>
              <w:rPr>
                <w:rFonts w:ascii="Verdana" w:eastAsia="Calibri" w:hAnsi="Verdana" w:cs="Arial"/>
                <w:b/>
                <w:bCs/>
                <w:lang w:val="es-ES_tradnl" w:eastAsia="es-ES_tradnl"/>
              </w:rPr>
            </w:pPr>
          </w:p>
        </w:tc>
        <w:tc>
          <w:tcPr>
            <w:tcW w:w="6100" w:type="dxa"/>
          </w:tcPr>
          <w:p w14:paraId="636EE981" w14:textId="77777777" w:rsidR="00AF6E74" w:rsidRPr="00936114" w:rsidRDefault="00AF6E74" w:rsidP="005534BC">
            <w:pPr>
              <w:jc w:val="both"/>
              <w:rPr>
                <w:rFonts w:ascii="Verdana" w:eastAsia="Calibri" w:hAnsi="Verdana" w:cs="Arial"/>
                <w:b/>
                <w:bCs/>
                <w:lang w:val="es-ES" w:eastAsia="es-ES"/>
              </w:rPr>
            </w:pPr>
            <w:r w:rsidRPr="00936114">
              <w:rPr>
                <w:rFonts w:ascii="Verdana" w:eastAsia="Calibri" w:hAnsi="Verdana" w:cs="Arial"/>
                <w:b/>
                <w:bCs/>
                <w:lang w:val="es-ES" w:eastAsia="es-ES"/>
              </w:rPr>
              <w:t>Concepto C- 350 de 2024</w:t>
            </w:r>
          </w:p>
          <w:p w14:paraId="3100F413" w14:textId="77777777" w:rsidR="00AF6E74" w:rsidRPr="00936114" w:rsidRDefault="00AF6E74" w:rsidP="005534BC">
            <w:pPr>
              <w:jc w:val="both"/>
              <w:rPr>
                <w:rFonts w:ascii="Verdana" w:eastAsia="Calibri" w:hAnsi="Verdana" w:cs="Arial"/>
                <w:b/>
                <w:bCs/>
                <w:lang w:val="es-ES" w:eastAsia="es-ES"/>
              </w:rPr>
            </w:pPr>
          </w:p>
        </w:tc>
      </w:tr>
      <w:tr w:rsidR="00AF6E74" w:rsidRPr="00936114" w14:paraId="1B810A4E" w14:textId="77777777" w:rsidTr="00DF0C95">
        <w:trPr>
          <w:trHeight w:val="884"/>
        </w:trPr>
        <w:tc>
          <w:tcPr>
            <w:tcW w:w="2689" w:type="dxa"/>
          </w:tcPr>
          <w:p w14:paraId="79E559F7" w14:textId="77777777" w:rsidR="00AF6E74" w:rsidRPr="00936114" w:rsidRDefault="00AF6E74" w:rsidP="005534BC">
            <w:pPr>
              <w:jc w:val="both"/>
              <w:rPr>
                <w:rFonts w:ascii="Verdana" w:eastAsia="Calibri" w:hAnsi="Verdana" w:cs="Arial"/>
                <w:lang w:val="es-ES_tradnl" w:eastAsia="es-ES_tradnl"/>
              </w:rPr>
            </w:pPr>
            <w:r w:rsidRPr="00936114">
              <w:rPr>
                <w:rFonts w:ascii="Verdana" w:eastAsia="Calibri" w:hAnsi="Verdana" w:cs="Arial"/>
                <w:b/>
                <w:lang w:val="es-ES_tradnl" w:eastAsia="es-ES_tradnl"/>
              </w:rPr>
              <w:t>Temas:</w:t>
            </w:r>
            <w:r w:rsidRPr="00936114">
              <w:rPr>
                <w:rFonts w:ascii="Verdana" w:eastAsia="Calibri" w:hAnsi="Verdana" w:cs="Arial"/>
                <w:lang w:val="es-ES_tradnl" w:eastAsia="es-ES_tradnl"/>
              </w:rPr>
              <w:t xml:space="preserve">                   </w:t>
            </w:r>
          </w:p>
        </w:tc>
        <w:tc>
          <w:tcPr>
            <w:tcW w:w="6100" w:type="dxa"/>
          </w:tcPr>
          <w:p w14:paraId="6EB955B5" w14:textId="77777777" w:rsidR="00AF6E74" w:rsidRPr="00936114" w:rsidRDefault="00AF6E74" w:rsidP="005534BC">
            <w:pPr>
              <w:jc w:val="both"/>
              <w:rPr>
                <w:rFonts w:ascii="Verdana" w:eastAsia="Calibri" w:hAnsi="Verdana" w:cs="Arial"/>
                <w:lang w:val="es-ES" w:eastAsia="es-ES"/>
              </w:rPr>
            </w:pPr>
            <w:r w:rsidRPr="00936114">
              <w:rPr>
                <w:rFonts w:ascii="Verdana" w:eastAsia="Times New Roman" w:hAnsi="Verdana" w:cs="Arial"/>
                <w:bCs/>
                <w:lang w:val="es-MX" w:eastAsia="es-ES_tradnl"/>
              </w:rPr>
              <w:t>EMPRESAS INDUSTRIALES Y COMERCIALES DEL ESTADO – Naturaleza Jurídica –</w:t>
            </w:r>
            <w:r w:rsidRPr="00936114">
              <w:rPr>
                <w:rFonts w:ascii="Verdana" w:eastAsia="Times New Roman" w:hAnsi="Verdana" w:cs="Arial"/>
                <w:bCs/>
                <w:lang w:eastAsia="es-ES_tradnl"/>
              </w:rPr>
              <w:t xml:space="preserve"> </w:t>
            </w:r>
            <w:r w:rsidRPr="00936114">
              <w:rPr>
                <w:rFonts w:ascii="Verdana" w:eastAsia="Times New Roman" w:hAnsi="Verdana" w:cs="Arial"/>
                <w:bCs/>
                <w:lang w:val="es-MX" w:eastAsia="es-ES_tradnl"/>
              </w:rPr>
              <w:t>Régimen de contratación</w:t>
            </w:r>
            <w:r w:rsidRPr="00936114">
              <w:rPr>
                <w:rFonts w:ascii="Verdana" w:eastAsia="Times New Roman" w:hAnsi="Verdana" w:cs="Arial"/>
                <w:bCs/>
                <w:lang w:eastAsia="es-ES_tradnl"/>
              </w:rPr>
              <w:t xml:space="preserve"> </w:t>
            </w:r>
            <w:r w:rsidRPr="00936114">
              <w:rPr>
                <w:rFonts w:ascii="Verdana" w:eastAsia="Times New Roman" w:hAnsi="Verdana" w:cs="Arial"/>
                <w:bCs/>
                <w:lang w:val="es-MX" w:eastAsia="es-ES_tradnl"/>
              </w:rPr>
              <w:t>/</w:t>
            </w:r>
            <w:r w:rsidRPr="00936114">
              <w:rPr>
                <w:rFonts w:ascii="Verdana" w:eastAsia="Times New Roman" w:hAnsi="Verdana" w:cs="Arial"/>
                <w:bCs/>
                <w:lang w:eastAsia="es-ES_tradnl"/>
              </w:rPr>
              <w:t xml:space="preserve"> </w:t>
            </w:r>
            <w:r w:rsidRPr="00936114">
              <w:rPr>
                <w:rFonts w:ascii="Verdana" w:eastAsia="Calibri" w:hAnsi="Verdana" w:cs="Arial"/>
                <w:bCs/>
              </w:rPr>
              <w:t xml:space="preserve">CONTRATOS Y CONVENIOS INTERADMINISTRATIVOS – Definición – Sujetos – Entidades Estatales – Entidades exceptuadas / </w:t>
            </w:r>
            <w:r w:rsidRPr="00936114">
              <w:rPr>
                <w:rFonts w:ascii="Verdana" w:eastAsia="Times New Roman" w:hAnsi="Verdana" w:cs="Arial"/>
                <w:lang w:val="es-MX" w:eastAsia="es-ES_tradnl"/>
              </w:rPr>
              <w:t xml:space="preserve">CONTRATO INTERADMINISTRATIVO – Modalidad de selección </w:t>
            </w:r>
            <w:r w:rsidRPr="00936114">
              <w:rPr>
                <w:rFonts w:ascii="Verdana" w:eastAsia="Times New Roman" w:hAnsi="Verdana" w:cs="Arial"/>
                <w:bCs/>
                <w:lang w:val="es-MX" w:eastAsia="es-ES_tradnl"/>
              </w:rPr>
              <w:t>/</w:t>
            </w:r>
            <w:r w:rsidRPr="00936114">
              <w:rPr>
                <w:rFonts w:ascii="Verdana" w:eastAsia="Times New Roman" w:hAnsi="Verdana" w:cs="Arial"/>
                <w:bCs/>
                <w:lang w:eastAsia="es-ES_tradnl"/>
              </w:rPr>
              <w:t xml:space="preserve"> </w:t>
            </w:r>
            <w:r w:rsidRPr="00936114">
              <w:rPr>
                <w:rFonts w:ascii="Verdana" w:eastAsia="Times New Roman" w:hAnsi="Verdana" w:cs="Arial"/>
                <w:lang w:val="es-MX" w:eastAsia="es-ES_tradnl"/>
              </w:rPr>
              <w:t xml:space="preserve">CONTRATO INTERADMINISTRATIVO – Modalidad de selección – Excepciones </w:t>
            </w:r>
            <w:r w:rsidRPr="00936114">
              <w:rPr>
                <w:rFonts w:ascii="Verdana" w:eastAsia="Calibri" w:hAnsi="Verdana" w:cs="Arial"/>
                <w:lang w:val="es-ES_tradnl"/>
              </w:rPr>
              <w:t>– Contrato de Obra</w:t>
            </w:r>
            <w:r w:rsidRPr="00936114">
              <w:rPr>
                <w:rFonts w:ascii="Verdana" w:eastAsia="Calibri" w:hAnsi="Verdana" w:cs="Arial"/>
                <w:lang w:val="es-ES" w:eastAsia="es-ES"/>
              </w:rPr>
              <w:t xml:space="preserve"> – EICE</w:t>
            </w:r>
          </w:p>
          <w:p w14:paraId="571A000E" w14:textId="77777777" w:rsidR="00AF6E74" w:rsidRPr="00936114" w:rsidRDefault="00AF6E74" w:rsidP="005534BC">
            <w:pPr>
              <w:jc w:val="both"/>
              <w:rPr>
                <w:rFonts w:ascii="Verdana" w:eastAsia="Calibri" w:hAnsi="Verdana" w:cs="Arial"/>
                <w:lang w:val="es-ES" w:eastAsia="es-ES"/>
              </w:rPr>
            </w:pPr>
          </w:p>
        </w:tc>
      </w:tr>
      <w:tr w:rsidR="00AF6E74" w:rsidRPr="00936114" w14:paraId="77D3E17D" w14:textId="77777777" w:rsidTr="00DF0C95">
        <w:tc>
          <w:tcPr>
            <w:tcW w:w="2689" w:type="dxa"/>
          </w:tcPr>
          <w:p w14:paraId="4075176C" w14:textId="77777777" w:rsidR="00AF6E74" w:rsidRPr="00936114" w:rsidRDefault="00AF6E74" w:rsidP="005534BC">
            <w:pPr>
              <w:jc w:val="both"/>
              <w:rPr>
                <w:rFonts w:ascii="Verdana" w:eastAsia="Calibri" w:hAnsi="Verdana" w:cs="Arial"/>
                <w:b/>
                <w:lang w:val="es-ES_tradnl" w:eastAsia="es-ES_tradnl"/>
              </w:rPr>
            </w:pPr>
            <w:r w:rsidRPr="00936114">
              <w:rPr>
                <w:rFonts w:ascii="Verdana" w:eastAsia="Calibri" w:hAnsi="Verdana" w:cs="Arial"/>
                <w:b/>
                <w:lang w:val="es-ES_tradnl" w:eastAsia="es-ES_tradnl"/>
              </w:rPr>
              <w:t>Radicación:</w:t>
            </w:r>
            <w:r w:rsidRPr="00936114">
              <w:rPr>
                <w:rFonts w:ascii="Verdana" w:eastAsia="Calibri" w:hAnsi="Verdana" w:cs="Arial"/>
                <w:lang w:val="es-ES_tradnl" w:eastAsia="es-ES_tradnl"/>
              </w:rPr>
              <w:t xml:space="preserve">               </w:t>
            </w:r>
          </w:p>
        </w:tc>
        <w:tc>
          <w:tcPr>
            <w:tcW w:w="6100" w:type="dxa"/>
          </w:tcPr>
          <w:p w14:paraId="67104FD7" w14:textId="77777777" w:rsidR="00AF6E74" w:rsidRPr="00936114" w:rsidRDefault="00AF6E74" w:rsidP="005534BC">
            <w:pPr>
              <w:jc w:val="both"/>
              <w:rPr>
                <w:rFonts w:ascii="Verdana" w:eastAsia="Calibri" w:hAnsi="Verdana" w:cs="Arial"/>
                <w:lang w:val="es-ES_tradnl" w:eastAsia="es-ES_tradnl"/>
              </w:rPr>
            </w:pPr>
            <w:r w:rsidRPr="00936114">
              <w:rPr>
                <w:rFonts w:ascii="Verdana" w:eastAsia="Calibri" w:hAnsi="Verdana" w:cs="Arial"/>
                <w:lang w:val="es-ES_tradnl" w:eastAsia="es-ES_tradnl"/>
              </w:rPr>
              <w:t>Respuesta a consulta con radicado No. P20240717007269</w:t>
            </w:r>
          </w:p>
        </w:tc>
      </w:tr>
    </w:tbl>
    <w:p w14:paraId="167E7851" w14:textId="77777777" w:rsidR="00AF6E74" w:rsidRPr="00936114" w:rsidRDefault="00AF6E74" w:rsidP="005534BC">
      <w:pPr>
        <w:spacing w:after="0" w:line="240" w:lineRule="auto"/>
        <w:jc w:val="both"/>
        <w:rPr>
          <w:rFonts w:ascii="Verdana" w:eastAsia="Calibri" w:hAnsi="Verdana" w:cs="Arial"/>
          <w:lang w:val="es-ES_tradnl" w:eastAsia="es-ES_tradnl"/>
        </w:rPr>
      </w:pPr>
    </w:p>
    <w:p w14:paraId="0CDA714D" w14:textId="77777777" w:rsidR="00AF6E74" w:rsidRPr="00936114" w:rsidRDefault="00AF6E74" w:rsidP="005534BC">
      <w:pPr>
        <w:spacing w:after="0" w:line="240" w:lineRule="auto"/>
        <w:jc w:val="both"/>
        <w:rPr>
          <w:rFonts w:ascii="Verdana" w:eastAsia="Calibri" w:hAnsi="Verdana" w:cs="Arial"/>
          <w:lang w:val="es-ES_tradnl" w:eastAsia="es-ES_tradnl"/>
        </w:rPr>
      </w:pPr>
    </w:p>
    <w:p w14:paraId="33396174" w14:textId="77777777" w:rsidR="00AF6E74" w:rsidRPr="00936114" w:rsidRDefault="00AF6E74" w:rsidP="00643F34">
      <w:pPr>
        <w:spacing w:after="0" w:line="276" w:lineRule="auto"/>
        <w:jc w:val="both"/>
        <w:rPr>
          <w:rFonts w:ascii="Verdana" w:eastAsia="Calibri" w:hAnsi="Verdana" w:cs="Arial"/>
          <w:lang w:val="es-ES" w:eastAsia="es-ES"/>
        </w:rPr>
      </w:pPr>
      <w:r w:rsidRPr="00936114">
        <w:rPr>
          <w:rFonts w:ascii="Verdana" w:eastAsia="Calibri" w:hAnsi="Verdana" w:cs="Arial"/>
          <w:lang w:val="es-ES" w:eastAsia="es-ES"/>
        </w:rPr>
        <w:t xml:space="preserve">Estimado señora Arango: </w:t>
      </w:r>
    </w:p>
    <w:p w14:paraId="3B5C67BF" w14:textId="77777777" w:rsidR="00AF6E74" w:rsidRPr="00936114" w:rsidRDefault="00AF6E74" w:rsidP="00643F34">
      <w:pPr>
        <w:tabs>
          <w:tab w:val="left" w:pos="3768"/>
        </w:tabs>
        <w:spacing w:after="0" w:line="276" w:lineRule="auto"/>
        <w:jc w:val="both"/>
        <w:rPr>
          <w:rFonts w:ascii="Verdana" w:eastAsia="Calibri" w:hAnsi="Verdana" w:cs="Arial"/>
          <w:lang w:val="es-ES" w:eastAsia="es-ES"/>
        </w:rPr>
      </w:pPr>
      <w:r w:rsidRPr="00936114">
        <w:rPr>
          <w:rFonts w:ascii="Verdana" w:eastAsia="Calibri" w:hAnsi="Verdana" w:cs="Arial"/>
          <w:lang w:val="es-ES" w:eastAsia="es-ES"/>
        </w:rPr>
        <w:tab/>
      </w:r>
    </w:p>
    <w:p w14:paraId="6304E499" w14:textId="77777777" w:rsidR="00AF6E74" w:rsidRPr="00936114" w:rsidRDefault="00AF6E74" w:rsidP="00643F34">
      <w:pPr>
        <w:spacing w:after="0" w:line="276" w:lineRule="auto"/>
        <w:jc w:val="both"/>
        <w:rPr>
          <w:rFonts w:ascii="Verdana" w:eastAsia="Calibri" w:hAnsi="Verdana" w:cs="Arial"/>
          <w:lang w:val="es-ES" w:eastAsia="es-ES"/>
        </w:rPr>
      </w:pPr>
      <w:r w:rsidRPr="00936114">
        <w:rPr>
          <w:rFonts w:ascii="Verdana" w:eastAsia="Calibri" w:hAnsi="Verdana" w:cs="Arial"/>
          <w:lang w:val="es-ES" w:eastAsia="es-ES"/>
        </w:rPr>
        <w:t>En ejercicio de la competencia otorgada por los artículos 3, numeral 5º, y 11, numeral 8º, del Decreto Ley 4170 de 2011,</w:t>
      </w:r>
      <w:r w:rsidRPr="00936114">
        <w:rPr>
          <w:rFonts w:ascii="Verdana" w:eastAsia="Arial MT" w:hAnsi="Verdana" w:cs="Arial MT"/>
          <w:lang w:val="es-ES" w:eastAsia="es-ES"/>
        </w:rPr>
        <w:t xml:space="preserve"> </w:t>
      </w:r>
      <w:r w:rsidRPr="00936114">
        <w:rPr>
          <w:rFonts w:ascii="Verdana" w:hAnsi="Verdana" w:cs="Arial"/>
        </w:rPr>
        <w:t xml:space="preserve">así como lo establecido en el artículo 4 de la Resolución 1707 de 2018 expedida por esta Entidad, </w:t>
      </w:r>
      <w:r w:rsidRPr="00936114">
        <w:rPr>
          <w:rFonts w:ascii="Verdana" w:eastAsia="Calibri" w:hAnsi="Verdana" w:cs="Arial"/>
          <w:lang w:val="es-ES" w:eastAsia="es-ES"/>
        </w:rPr>
        <w:t xml:space="preserve">la Agencia Nacional de Contratación Pública – Colombia Compra Eficiente– responde su solicitud de consulta de fecha 17 de julio de 2024, en la cual manifiesta lo siguiente: </w:t>
      </w:r>
    </w:p>
    <w:p w14:paraId="4DC2B618" w14:textId="77777777" w:rsidR="00AF6E74" w:rsidRPr="00936114" w:rsidRDefault="00AF6E74" w:rsidP="00643F34">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1D0A1DE" w14:textId="77777777" w:rsidR="00AF6E74" w:rsidRPr="00936114" w:rsidRDefault="00AF6E74" w:rsidP="00AF6E74">
      <w:pPr>
        <w:spacing w:after="0" w:line="240" w:lineRule="auto"/>
        <w:ind w:left="709" w:right="709"/>
        <w:jc w:val="both"/>
        <w:rPr>
          <w:rStyle w:val="normaltextrun"/>
          <w:rFonts w:ascii="Verdana" w:hAnsi="Verdana" w:cs="Arial"/>
          <w:sz w:val="20"/>
          <w:szCs w:val="20"/>
          <w:shd w:val="clear" w:color="auto" w:fill="FFFFFF"/>
          <w:lang w:val="es-ES"/>
        </w:rPr>
      </w:pPr>
      <w:bookmarkStart w:id="1" w:name="_Hlk95313578"/>
      <w:r w:rsidRPr="00936114">
        <w:rPr>
          <w:rFonts w:ascii="Verdana" w:eastAsia="Century Gothic" w:hAnsi="Verdana" w:cs="Century Gothic"/>
          <w:sz w:val="20"/>
          <w:szCs w:val="20"/>
          <w:lang w:val="es-ES"/>
        </w:rPr>
        <w:t xml:space="preserve">“[…] </w:t>
      </w:r>
      <w:r w:rsidRPr="00936114">
        <w:rPr>
          <w:rStyle w:val="normaltextrun"/>
          <w:rFonts w:ascii="Verdana" w:hAnsi="Verdana" w:cs="Arial"/>
          <w:sz w:val="20"/>
          <w:szCs w:val="20"/>
          <w:shd w:val="clear" w:color="auto" w:fill="FFFFFF"/>
          <w:lang w:val="es-ES"/>
        </w:rPr>
        <w:t xml:space="preserve">si un municipio puede realizar contratos interadministrativos para realizar obras con una empresa industrial y comercial del Estado E.I.C.E de orden Municipal, dotada de Personería Jurídica, Patrimonio Independiente y Autonomía Administrativa, por lo que, de conformidad con el literal A, numeral 1 del artículo 2 de la Ley 80 del 1993, es considerada como una entidad estatal para los efectos del estatuto general de contratación; cuyo objeto social es “El fomento, promoción de la competitividad y la productividad en el Municipio y otros entes públicos y privados, a través de la gestión económica y el desarrollo de actividades </w:t>
      </w:r>
      <w:r w:rsidRPr="00936114">
        <w:rPr>
          <w:rStyle w:val="normaltextrun"/>
          <w:rFonts w:ascii="Verdana" w:hAnsi="Verdana" w:cs="Arial"/>
          <w:sz w:val="20"/>
          <w:szCs w:val="20"/>
          <w:shd w:val="clear" w:color="auto" w:fill="FFFFFF"/>
          <w:lang w:val="es-ES"/>
        </w:rPr>
        <w:lastRenderedPageBreak/>
        <w:t xml:space="preserve">de administración, de financiamiento, comerciales, inmobiliarias e industriales, así mismo el Instituto podrá atender la ejecución de obras públicas ordenadas dentro de los planes de desarrollo y los planes y programas sectoriales de las entidades públicas, en competencia con el sector privado”. Por ello quisiéramos tener la claridad si se pueden realizar contratos de obra por medio de un contrato interadministrativo ya que </w:t>
      </w:r>
    </w:p>
    <w:p w14:paraId="7BDE91BE" w14:textId="77777777" w:rsidR="00AF6E74" w:rsidRPr="00936114" w:rsidRDefault="00AF6E74" w:rsidP="00AF6E74">
      <w:pPr>
        <w:spacing w:after="0" w:line="240" w:lineRule="auto"/>
        <w:ind w:left="709" w:right="709"/>
        <w:jc w:val="both"/>
        <w:rPr>
          <w:rStyle w:val="normaltextrun"/>
          <w:rFonts w:ascii="Verdana" w:hAnsi="Verdana" w:cs="Arial"/>
          <w:sz w:val="20"/>
          <w:szCs w:val="20"/>
          <w:shd w:val="clear" w:color="auto" w:fill="FFFFFF"/>
          <w:lang w:val="es-ES"/>
        </w:rPr>
      </w:pPr>
      <w:r w:rsidRPr="00936114">
        <w:rPr>
          <w:rStyle w:val="normaltextrun"/>
          <w:rFonts w:ascii="Verdana" w:hAnsi="Verdana" w:cs="Arial"/>
          <w:sz w:val="20"/>
          <w:szCs w:val="20"/>
          <w:shd w:val="clear" w:color="auto" w:fill="FFFFFF"/>
          <w:lang w:val="es-ES"/>
        </w:rPr>
        <w:t>la ley 2195 del 2011 en su artículo 92 establece que:</w:t>
      </w:r>
    </w:p>
    <w:p w14:paraId="248A2CE5" w14:textId="77777777" w:rsidR="00AF6E74" w:rsidRPr="00936114" w:rsidRDefault="00AF6E74" w:rsidP="00AF6E74">
      <w:pPr>
        <w:spacing w:after="0" w:line="240" w:lineRule="auto"/>
        <w:ind w:left="709" w:right="709"/>
        <w:jc w:val="both"/>
        <w:rPr>
          <w:rStyle w:val="normaltextrun"/>
          <w:rFonts w:ascii="Verdana" w:hAnsi="Verdana" w:cs="Arial"/>
          <w:sz w:val="20"/>
          <w:szCs w:val="20"/>
          <w:shd w:val="clear" w:color="auto" w:fill="FFFFFF"/>
          <w:lang w:val="es-ES"/>
        </w:rPr>
      </w:pPr>
    </w:p>
    <w:p w14:paraId="63E9253B" w14:textId="77777777" w:rsidR="00AF6E74" w:rsidRPr="00936114" w:rsidRDefault="00AF6E74" w:rsidP="00AF6E74">
      <w:pPr>
        <w:spacing w:after="0" w:line="240" w:lineRule="auto"/>
        <w:ind w:left="992" w:right="992"/>
        <w:jc w:val="both"/>
        <w:rPr>
          <w:rStyle w:val="normaltextrun"/>
          <w:rFonts w:ascii="Verdana" w:hAnsi="Verdana" w:cs="Arial"/>
          <w:sz w:val="20"/>
          <w:szCs w:val="20"/>
          <w:shd w:val="clear" w:color="auto" w:fill="FFFFFF"/>
          <w:lang w:val="es-ES"/>
        </w:rPr>
      </w:pPr>
      <w:r w:rsidRPr="00936114">
        <w:rPr>
          <w:rStyle w:val="normaltextrun"/>
          <w:rFonts w:ascii="Verdana" w:hAnsi="Verdana" w:cs="Arial"/>
          <w:sz w:val="20"/>
          <w:szCs w:val="20"/>
          <w:shd w:val="clear" w:color="auto" w:fill="FFFFFF"/>
          <w:lang w:val="es-ES"/>
        </w:rPr>
        <w:t>ARTÍCULO 92. Contratos interadministrativos. Modificase el inciso primero del literal c) del numeral 4 del artículo 2 de la Ley 1150 de 2007, el cual quedará así:</w:t>
      </w:r>
    </w:p>
    <w:p w14:paraId="024632B0" w14:textId="77777777" w:rsidR="00AF6E74" w:rsidRPr="00936114" w:rsidRDefault="00AF6E74" w:rsidP="00AF6E74">
      <w:pPr>
        <w:spacing w:after="0" w:line="240" w:lineRule="auto"/>
        <w:ind w:left="992" w:right="992"/>
        <w:jc w:val="both"/>
        <w:rPr>
          <w:rStyle w:val="normaltextrun"/>
          <w:rFonts w:ascii="Verdana" w:hAnsi="Verdana" w:cs="Arial"/>
          <w:sz w:val="20"/>
          <w:szCs w:val="20"/>
          <w:shd w:val="clear" w:color="auto" w:fill="FFFFFF"/>
          <w:lang w:val="es-ES"/>
        </w:rPr>
      </w:pPr>
    </w:p>
    <w:p w14:paraId="5A132CC7" w14:textId="77777777" w:rsidR="00AF6E74" w:rsidRPr="00936114" w:rsidRDefault="00AF6E74" w:rsidP="00AF6E74">
      <w:pPr>
        <w:spacing w:after="0" w:line="240" w:lineRule="auto"/>
        <w:ind w:left="992" w:right="992"/>
        <w:jc w:val="both"/>
        <w:rPr>
          <w:rStyle w:val="normaltextrun"/>
          <w:rFonts w:ascii="Verdana" w:hAnsi="Verdana" w:cs="Arial"/>
          <w:sz w:val="20"/>
          <w:szCs w:val="20"/>
          <w:shd w:val="clear" w:color="auto" w:fill="FFFFFF"/>
          <w:lang w:val="es-ES"/>
        </w:rPr>
      </w:pPr>
      <w:r w:rsidRPr="00936114">
        <w:rPr>
          <w:rStyle w:val="normaltextrun"/>
          <w:rFonts w:ascii="Verdana" w:hAnsi="Verdana" w:cs="Arial"/>
          <w:sz w:val="20"/>
          <w:szCs w:val="20"/>
          <w:shd w:val="clear" w:color="auto" w:fill="FFFFFF"/>
          <w:lang w:val="es-ES"/>
        </w:rPr>
        <w:t>c) Contratos interadministrativos, siempre que las obligaciones derivadas del mismo tengan relación directa con el objeto de la entidad ejecutora señalado en la ley o en sus reglamentos.</w:t>
      </w:r>
    </w:p>
    <w:p w14:paraId="2CA9B9E5" w14:textId="77777777" w:rsidR="00AF6E74" w:rsidRPr="00936114" w:rsidRDefault="00AF6E74" w:rsidP="00AF6E74">
      <w:pPr>
        <w:spacing w:after="0" w:line="240" w:lineRule="auto"/>
        <w:ind w:left="992" w:right="992"/>
        <w:jc w:val="both"/>
        <w:rPr>
          <w:rStyle w:val="normaltextrun"/>
          <w:rFonts w:ascii="Verdana" w:hAnsi="Verdana" w:cs="Arial"/>
          <w:sz w:val="20"/>
          <w:szCs w:val="20"/>
          <w:shd w:val="clear" w:color="auto" w:fill="FFFFFF"/>
          <w:lang w:val="es-ES"/>
        </w:rPr>
      </w:pPr>
    </w:p>
    <w:p w14:paraId="064D4A61" w14:textId="77777777" w:rsidR="00AF6E74" w:rsidRPr="00936114" w:rsidRDefault="00AF6E74" w:rsidP="00AF6E74">
      <w:pPr>
        <w:spacing w:after="0" w:line="240" w:lineRule="auto"/>
        <w:ind w:left="992" w:right="992"/>
        <w:jc w:val="both"/>
        <w:rPr>
          <w:rStyle w:val="normaltextrun"/>
          <w:rFonts w:ascii="Verdana" w:hAnsi="Verdana" w:cs="Arial"/>
          <w:sz w:val="20"/>
          <w:szCs w:val="20"/>
          <w:shd w:val="clear" w:color="auto" w:fill="FFFFFF"/>
          <w:lang w:val="es-ES"/>
        </w:rPr>
      </w:pPr>
      <w:r w:rsidRPr="00936114">
        <w:rPr>
          <w:rStyle w:val="normaltextrun"/>
          <w:rFonts w:ascii="Verdana" w:hAnsi="Verdana" w:cs="Arial"/>
          <w:sz w:val="20"/>
          <w:szCs w:val="20"/>
          <w:shd w:val="clear" w:color="auto" w:fill="FFFFFF"/>
          <w:lang w:val="es-ES"/>
        </w:rPr>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5E2B29F4" w14:textId="77777777" w:rsidR="00AF6E74" w:rsidRPr="00936114" w:rsidRDefault="00AF6E74" w:rsidP="00AF6E74">
      <w:pPr>
        <w:spacing w:after="0" w:line="240" w:lineRule="auto"/>
        <w:ind w:left="709" w:right="709"/>
        <w:jc w:val="both"/>
        <w:rPr>
          <w:rStyle w:val="normaltextrun"/>
          <w:rFonts w:ascii="Verdana" w:hAnsi="Verdana" w:cs="Arial"/>
          <w:sz w:val="20"/>
          <w:szCs w:val="20"/>
          <w:shd w:val="clear" w:color="auto" w:fill="FFFFFF"/>
          <w:lang w:val="es-ES"/>
        </w:rPr>
      </w:pPr>
    </w:p>
    <w:p w14:paraId="38F550C1" w14:textId="77777777" w:rsidR="00AF6E74" w:rsidRPr="00936114" w:rsidRDefault="00AF6E74" w:rsidP="00AF6E74">
      <w:pPr>
        <w:spacing w:after="0" w:line="240" w:lineRule="auto"/>
        <w:ind w:left="709" w:right="709"/>
        <w:jc w:val="both"/>
        <w:rPr>
          <w:rFonts w:ascii="Verdana" w:eastAsia="Century Gothic" w:hAnsi="Verdana" w:cs="Century Gothic"/>
          <w:sz w:val="20"/>
          <w:szCs w:val="20"/>
          <w:lang w:val="es-ES"/>
        </w:rPr>
      </w:pPr>
      <w:r w:rsidRPr="00936114">
        <w:rPr>
          <w:rStyle w:val="normaltextrun"/>
          <w:rFonts w:ascii="Verdana" w:hAnsi="Verdana" w:cs="Arial"/>
          <w:sz w:val="20"/>
          <w:szCs w:val="20"/>
          <w:shd w:val="clear" w:color="auto" w:fill="FFFFFF"/>
          <w:lang w:val="es-ES"/>
        </w:rPr>
        <w:t>Teniendo en cuenta lo anterior y de cara a que la entidad que podría ser ejecutora no corresponde a instituciones de educación superior públicas o las Sociedades de Economía Mixta con participación mayoritaria del Estado, o las personas jurídicas sin ánimo de lucro conformadas por la asociación de entidades públicas, o las federaciones de entidades territoriales, es indispensable darle claridad a la viabilidad de la celebración de contratos de obra con estas entidades. […]</w:t>
      </w:r>
      <w:r w:rsidRPr="00936114">
        <w:rPr>
          <w:rFonts w:ascii="Verdana" w:eastAsia="Century Gothic" w:hAnsi="Verdana" w:cs="Century Gothic"/>
          <w:sz w:val="20"/>
          <w:szCs w:val="20"/>
          <w:lang w:val="es-ES"/>
        </w:rPr>
        <w:t>”</w:t>
      </w:r>
      <w:bookmarkEnd w:id="1"/>
      <w:r w:rsidRPr="00936114">
        <w:rPr>
          <w:rFonts w:ascii="Verdana" w:eastAsia="Century Gothic" w:hAnsi="Verdana" w:cs="Century Gothic"/>
          <w:sz w:val="20"/>
          <w:szCs w:val="20"/>
          <w:lang w:val="es-ES"/>
        </w:rPr>
        <w:t>.</w:t>
      </w:r>
    </w:p>
    <w:p w14:paraId="3627D128" w14:textId="77777777" w:rsidR="00AF6E74" w:rsidRPr="00936114" w:rsidRDefault="00AF6E74" w:rsidP="00643F34">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08FCB97" w14:textId="77777777" w:rsidR="00AF6E74" w:rsidRPr="00936114" w:rsidRDefault="00AF6E74" w:rsidP="00403F15">
      <w:pPr>
        <w:spacing w:after="120" w:line="276" w:lineRule="auto"/>
        <w:ind w:firstLine="708"/>
        <w:jc w:val="both"/>
        <w:rPr>
          <w:rFonts w:ascii="Verdana" w:eastAsia="Calibri" w:hAnsi="Verdana" w:cs="Arial"/>
          <w:lang w:val="es-ES_tradnl" w:eastAsia="es-ES_tradnl"/>
        </w:rPr>
      </w:pPr>
      <w:r w:rsidRPr="00936114">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w:t>
      </w:r>
      <w:r w:rsidRPr="00936114">
        <w:rPr>
          <w:rFonts w:ascii="Verdana" w:eastAsia="Calibri" w:hAnsi="Verdana" w:cs="Arial"/>
          <w:lang w:val="es-ES" w:eastAsia="es-ES"/>
        </w:rPr>
        <w:lastRenderedPageBreak/>
        <w:t xml:space="preserve">los demás participantes de la contratación pública. Esta competencia de interpretación de normas generales, por definición, no puede extenderse a la resolución de controversias, ni a brindar asesorías sobre casos puntuales. </w:t>
      </w:r>
      <w:r w:rsidRPr="00936114">
        <w:rPr>
          <w:rFonts w:ascii="Verdana" w:eastAsia="Calibri" w:hAnsi="Verdana" w:cs="Arial"/>
          <w:lang w:val="es-ES_tradnl" w:eastAsia="es-ES_tradnl"/>
        </w:rPr>
        <w:tab/>
      </w:r>
    </w:p>
    <w:p w14:paraId="7922FC63" w14:textId="77777777" w:rsidR="00AF6E74" w:rsidRPr="00936114" w:rsidRDefault="00AF6E74" w:rsidP="00403F15">
      <w:pPr>
        <w:spacing w:after="0" w:line="276" w:lineRule="auto"/>
        <w:ind w:firstLine="708"/>
        <w:jc w:val="both"/>
        <w:rPr>
          <w:rFonts w:ascii="Verdana" w:eastAsia="Calibri" w:hAnsi="Verdana" w:cs="Arial"/>
          <w:lang w:val="es-ES" w:eastAsia="es-ES"/>
        </w:rPr>
      </w:pPr>
      <w:r w:rsidRPr="00936114">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4E394F49" w14:textId="77777777" w:rsidR="00AF6E74" w:rsidRPr="00936114" w:rsidRDefault="00AF6E74" w:rsidP="00643F34">
      <w:pPr>
        <w:spacing w:after="0" w:line="276" w:lineRule="auto"/>
        <w:ind w:firstLine="709"/>
        <w:jc w:val="both"/>
        <w:rPr>
          <w:rFonts w:ascii="Verdana" w:eastAsia="Calibri" w:hAnsi="Verdana" w:cs="Arial"/>
          <w:lang w:val="es-ES" w:eastAsia="es-ES"/>
        </w:rPr>
      </w:pPr>
    </w:p>
    <w:p w14:paraId="07A37DF6" w14:textId="77777777" w:rsidR="00AF6E74" w:rsidRPr="00936114" w:rsidRDefault="00AF6E74" w:rsidP="00643F34">
      <w:pPr>
        <w:pStyle w:val="Prrafodelista"/>
        <w:numPr>
          <w:ilvl w:val="0"/>
          <w:numId w:val="17"/>
        </w:numPr>
        <w:tabs>
          <w:tab w:val="left" w:pos="142"/>
          <w:tab w:val="left" w:pos="284"/>
        </w:tabs>
        <w:spacing w:after="0" w:line="276" w:lineRule="auto"/>
        <w:contextualSpacing w:val="0"/>
        <w:jc w:val="both"/>
        <w:rPr>
          <w:rFonts w:ascii="Verdana" w:eastAsia="Century Gothic" w:hAnsi="Verdana" w:cs="Century Gothic"/>
          <w:b/>
          <w:bCs/>
        </w:rPr>
      </w:pPr>
      <w:r w:rsidRPr="00936114">
        <w:rPr>
          <w:rFonts w:ascii="Verdana" w:eastAsia="Century Gothic" w:hAnsi="Verdana" w:cs="Century Gothic"/>
          <w:b/>
          <w:bCs/>
        </w:rPr>
        <w:t>Problema planteado:</w:t>
      </w:r>
    </w:p>
    <w:p w14:paraId="26240310" w14:textId="77777777" w:rsidR="00AF6E74" w:rsidRPr="00936114" w:rsidRDefault="00AF6E74" w:rsidP="00643F34">
      <w:pPr>
        <w:tabs>
          <w:tab w:val="left" w:pos="426"/>
        </w:tabs>
        <w:spacing w:after="0" w:line="276" w:lineRule="auto"/>
        <w:jc w:val="both"/>
        <w:rPr>
          <w:rFonts w:ascii="Verdana" w:eastAsia="Century Gothic" w:hAnsi="Verdana" w:cs="Century Gothic"/>
          <w:lang w:val="es-ES"/>
        </w:rPr>
      </w:pPr>
    </w:p>
    <w:p w14:paraId="4E96353C" w14:textId="1D888FA4" w:rsidR="00AF6E74" w:rsidRPr="00936114" w:rsidRDefault="00AF6E74" w:rsidP="00643F34">
      <w:pPr>
        <w:spacing w:after="0" w:line="276" w:lineRule="auto"/>
        <w:jc w:val="both"/>
        <w:rPr>
          <w:rFonts w:ascii="Verdana" w:eastAsia="Century Gothic" w:hAnsi="Verdana" w:cs="Century Gothic"/>
        </w:rPr>
      </w:pPr>
      <w:r w:rsidRPr="00936114">
        <w:rPr>
          <w:rFonts w:ascii="Verdana" w:eastAsia="Century Gothic" w:hAnsi="Verdana" w:cs="Century Gothic"/>
        </w:rPr>
        <w:t xml:space="preserve">De acuerdo con el contenido de su solicitud, esta Agencia resolverá los siguientes problemas jurídicos: i) </w:t>
      </w:r>
      <w:r w:rsidRPr="00936114">
        <w:rPr>
          <w:rFonts w:ascii="Verdana" w:hAnsi="Verdana" w:cs="Arial"/>
          <w:shd w:val="clear" w:color="auto" w:fill="FFFFFF"/>
        </w:rPr>
        <w:t xml:space="preserve">¿Una Entidad Estatal sometida al Estatuto General de la Contratación de la Administración Pública – en adelante EGCAP </w:t>
      </w:r>
      <w:bookmarkStart w:id="2" w:name="_Hlk175514630"/>
      <w:r w:rsidRPr="00936114">
        <w:rPr>
          <w:rFonts w:ascii="Verdana" w:hAnsi="Verdana" w:cs="Arial"/>
          <w:shd w:val="clear" w:color="auto" w:fill="FFFFFF"/>
        </w:rPr>
        <w:t>–</w:t>
      </w:r>
      <w:bookmarkEnd w:id="2"/>
      <w:r w:rsidRPr="00936114">
        <w:rPr>
          <w:rFonts w:ascii="Verdana" w:hAnsi="Verdana" w:cs="Arial"/>
          <w:shd w:val="clear" w:color="auto" w:fill="FFFFFF"/>
        </w:rPr>
        <w:t xml:space="preserve"> puede celebrar contratos y convenios interadministrativo con una Empresa Industrial y Comercial del Estado – en adelante EICE? –; </w:t>
      </w:r>
      <w:proofErr w:type="spellStart"/>
      <w:r w:rsidRPr="00936114">
        <w:rPr>
          <w:rFonts w:ascii="Verdana" w:hAnsi="Verdana" w:cs="Arial"/>
          <w:shd w:val="clear" w:color="auto" w:fill="FFFFFF"/>
        </w:rPr>
        <w:t>i</w:t>
      </w:r>
      <w:r w:rsidRPr="00936114">
        <w:rPr>
          <w:rFonts w:ascii="Verdana" w:eastAsia="Century Gothic" w:hAnsi="Verdana" w:cs="Century Gothic"/>
        </w:rPr>
        <w:t>i</w:t>
      </w:r>
      <w:proofErr w:type="spellEnd"/>
      <w:r w:rsidRPr="00936114">
        <w:rPr>
          <w:rFonts w:ascii="Verdana" w:eastAsia="Century Gothic" w:hAnsi="Verdana" w:cs="Century Gothic"/>
        </w:rPr>
        <w:t xml:space="preserve">) </w:t>
      </w:r>
      <w:r w:rsidRPr="00936114">
        <w:rPr>
          <w:rFonts w:ascii="Verdana" w:hAnsi="Verdana" w:cs="Arial"/>
          <w:shd w:val="clear" w:color="auto" w:fill="FFFFFF"/>
        </w:rPr>
        <w:t xml:space="preserve">¿Una Entidad Estatal sometida al EGCAP puede celebrar contratos </w:t>
      </w:r>
      <w:r w:rsidR="005D558D" w:rsidRPr="00936114">
        <w:rPr>
          <w:rFonts w:ascii="Verdana" w:hAnsi="Verdana" w:cs="Arial"/>
          <w:shd w:val="clear" w:color="auto" w:fill="FFFFFF"/>
        </w:rPr>
        <w:t xml:space="preserve">o </w:t>
      </w:r>
      <w:r w:rsidRPr="00936114">
        <w:rPr>
          <w:rFonts w:ascii="Verdana" w:hAnsi="Verdana" w:cs="Arial"/>
          <w:shd w:val="clear" w:color="auto" w:fill="FFFFFF"/>
        </w:rPr>
        <w:t>convenios interadministrativo</w:t>
      </w:r>
      <w:r w:rsidR="003C6AD4" w:rsidRPr="00936114">
        <w:rPr>
          <w:rFonts w:ascii="Verdana" w:hAnsi="Verdana" w:cs="Arial"/>
          <w:shd w:val="clear" w:color="auto" w:fill="FFFFFF"/>
        </w:rPr>
        <w:t>s</w:t>
      </w:r>
      <w:r w:rsidRPr="00936114">
        <w:rPr>
          <w:rFonts w:ascii="Verdana" w:hAnsi="Verdana" w:cs="Arial"/>
          <w:shd w:val="clear" w:color="auto" w:fill="FFFFFF"/>
        </w:rPr>
        <w:t xml:space="preserve"> con una EICE a través de la modalidad de contratación </w:t>
      </w:r>
      <w:proofErr w:type="gramStart"/>
      <w:r w:rsidRPr="00936114">
        <w:rPr>
          <w:rFonts w:ascii="Verdana" w:hAnsi="Verdana" w:cs="Arial"/>
          <w:shd w:val="clear" w:color="auto" w:fill="FFFFFF"/>
        </w:rPr>
        <w:t>directa</w:t>
      </w:r>
      <w:r w:rsidR="00F04163" w:rsidRPr="004A3144">
        <w:rPr>
          <w:rFonts w:ascii="Verdana" w:hAnsi="Verdana" w:cs="Arial"/>
          <w:shd w:val="clear" w:color="auto" w:fill="FFFFFF"/>
        </w:rPr>
        <w:t>?</w:t>
      </w:r>
      <w:r w:rsidR="002C1DA9">
        <w:rPr>
          <w:rFonts w:ascii="Verdana" w:hAnsi="Verdana" w:cs="Arial"/>
          <w:shd w:val="clear" w:color="auto" w:fill="FFFFFF"/>
        </w:rPr>
        <w:t>.</w:t>
      </w:r>
      <w:proofErr w:type="gramEnd"/>
      <w:r w:rsidR="003C6AD4" w:rsidRPr="00936114">
        <w:rPr>
          <w:rFonts w:ascii="Verdana" w:hAnsi="Verdana" w:cs="Arial"/>
          <w:shd w:val="clear" w:color="auto" w:fill="FFFFFF"/>
        </w:rPr>
        <w:t xml:space="preserve"> </w:t>
      </w:r>
    </w:p>
    <w:p w14:paraId="73851004" w14:textId="77777777" w:rsidR="00AF6E74" w:rsidRPr="00936114" w:rsidRDefault="00AF6E74" w:rsidP="00643F34">
      <w:pPr>
        <w:spacing w:after="0" w:line="276" w:lineRule="auto"/>
        <w:jc w:val="both"/>
        <w:rPr>
          <w:rFonts w:ascii="Verdana" w:eastAsia="Calibri" w:hAnsi="Verdana" w:cs="Arial"/>
        </w:rPr>
      </w:pPr>
    </w:p>
    <w:p w14:paraId="52C465C2" w14:textId="77777777" w:rsidR="00AF6E74" w:rsidRPr="00936114" w:rsidRDefault="00AF6E74" w:rsidP="00643F34">
      <w:pPr>
        <w:pStyle w:val="Prrafodelista"/>
        <w:numPr>
          <w:ilvl w:val="0"/>
          <w:numId w:val="17"/>
        </w:numPr>
        <w:tabs>
          <w:tab w:val="left" w:pos="142"/>
          <w:tab w:val="left" w:pos="284"/>
        </w:tabs>
        <w:spacing w:after="0" w:line="276" w:lineRule="auto"/>
        <w:contextualSpacing w:val="0"/>
        <w:jc w:val="both"/>
        <w:rPr>
          <w:rFonts w:ascii="Verdana" w:eastAsia="Century Gothic" w:hAnsi="Verdana" w:cs="Century Gothic"/>
          <w:b/>
          <w:bCs/>
        </w:rPr>
      </w:pPr>
      <w:r w:rsidRPr="00936114">
        <w:rPr>
          <w:rFonts w:ascii="Verdana" w:eastAsia="Century Gothic" w:hAnsi="Verdana" w:cs="Century Gothic"/>
          <w:b/>
          <w:bCs/>
        </w:rPr>
        <w:t>Respuesta:</w:t>
      </w:r>
    </w:p>
    <w:p w14:paraId="5380AA81" w14:textId="77777777" w:rsidR="00AF6E74" w:rsidRPr="00936114" w:rsidRDefault="00AF6E74" w:rsidP="00643F34">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F6E74" w:rsidRPr="00936114" w14:paraId="0004C4B6" w14:textId="77777777" w:rsidTr="00DF0C95">
        <w:tc>
          <w:tcPr>
            <w:tcW w:w="8828" w:type="dxa"/>
            <w:shd w:val="clear" w:color="auto" w:fill="auto"/>
          </w:tcPr>
          <w:p w14:paraId="0A19E757" w14:textId="77777777" w:rsidR="00AF6E74" w:rsidRPr="00936114" w:rsidRDefault="00AF6E74" w:rsidP="00DF0C95">
            <w:pPr>
              <w:spacing w:line="276" w:lineRule="auto"/>
              <w:jc w:val="both"/>
              <w:rPr>
                <w:rFonts w:ascii="Verdana" w:hAnsi="Verdana" w:cs="Arial"/>
                <w:bCs/>
              </w:rPr>
            </w:pPr>
            <w:r w:rsidRPr="00936114">
              <w:rPr>
                <w:rFonts w:ascii="Verdana" w:hAnsi="Verdana" w:cs="Arial"/>
                <w:bCs/>
              </w:rPr>
              <w:t>En respuesta a los interrogantes planteados, la Subdirección de Gestión Contractual manifiesta:</w:t>
            </w:r>
          </w:p>
          <w:p w14:paraId="1ECCAB3B" w14:textId="77777777" w:rsidR="00AF6E74" w:rsidRPr="00936114" w:rsidRDefault="00AF6E74" w:rsidP="00DF0C95">
            <w:pPr>
              <w:pStyle w:val="Prrafodelista"/>
              <w:autoSpaceDE w:val="0"/>
              <w:autoSpaceDN w:val="0"/>
              <w:adjustRightInd w:val="0"/>
              <w:spacing w:line="276" w:lineRule="auto"/>
              <w:ind w:left="360"/>
              <w:jc w:val="both"/>
              <w:rPr>
                <w:rFonts w:ascii="Verdana" w:hAnsi="Verdana"/>
              </w:rPr>
            </w:pPr>
          </w:p>
          <w:p w14:paraId="03806343" w14:textId="77777777" w:rsidR="00574DA0" w:rsidRPr="00936114" w:rsidRDefault="00AF6E74" w:rsidP="00574DA0">
            <w:pPr>
              <w:pStyle w:val="Prrafodelista"/>
              <w:numPr>
                <w:ilvl w:val="0"/>
                <w:numId w:val="18"/>
              </w:numPr>
              <w:autoSpaceDE w:val="0"/>
              <w:autoSpaceDN w:val="0"/>
              <w:adjustRightInd w:val="0"/>
              <w:spacing w:line="276" w:lineRule="auto"/>
              <w:jc w:val="both"/>
              <w:rPr>
                <w:rFonts w:ascii="Verdana" w:hAnsi="Verdana"/>
              </w:rPr>
            </w:pPr>
            <w:r w:rsidRPr="00936114">
              <w:rPr>
                <w:rFonts w:ascii="Verdana" w:eastAsia="Calibri" w:hAnsi="Verdana" w:cs="Arial"/>
                <w:color w:val="000000" w:themeColor="text1"/>
              </w:rPr>
              <w:t>El Decreto 1082 de 2015, “Por medio del cual se expide el Decreto único reglamentario del sector administrativo de planeación nacional”, califica a los convenios o contratos interadministrativos como aquella contratación entre Entidades Estatales.</w:t>
            </w:r>
            <w:r w:rsidRPr="00936114">
              <w:rPr>
                <w:rFonts w:ascii="Verdana" w:hAnsi="Verdana" w:cs="Arial"/>
                <w:color w:val="000000" w:themeColor="text1"/>
              </w:rPr>
              <w:t xml:space="preserve"> </w:t>
            </w:r>
            <w:r w:rsidRPr="00936114">
              <w:rPr>
                <w:rFonts w:ascii="Verdana" w:eastAsia="Calibri" w:hAnsi="Verdana" w:cs="Arial"/>
                <w:color w:val="000000" w:themeColor="text1"/>
              </w:rPr>
              <w:t>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con competencia para celebrar contratos.</w:t>
            </w:r>
          </w:p>
          <w:p w14:paraId="6EC0322E" w14:textId="77777777" w:rsidR="00574DA0" w:rsidRPr="00936114" w:rsidRDefault="00574DA0" w:rsidP="00574DA0">
            <w:pPr>
              <w:pStyle w:val="Prrafodelista"/>
              <w:autoSpaceDE w:val="0"/>
              <w:autoSpaceDN w:val="0"/>
              <w:adjustRightInd w:val="0"/>
              <w:spacing w:line="276" w:lineRule="auto"/>
              <w:ind w:left="360"/>
              <w:jc w:val="both"/>
              <w:rPr>
                <w:rFonts w:ascii="Verdana" w:eastAsia="Calibri" w:hAnsi="Verdana" w:cs="Arial"/>
                <w:color w:val="000000" w:themeColor="text1"/>
                <w:lang w:val="es-ES_tradnl"/>
              </w:rPr>
            </w:pPr>
          </w:p>
          <w:p w14:paraId="63511486" w14:textId="4717951C" w:rsidR="00AF6E74" w:rsidRPr="00936114" w:rsidRDefault="00AF6E74" w:rsidP="00574DA0">
            <w:pPr>
              <w:pStyle w:val="Prrafodelista"/>
              <w:autoSpaceDE w:val="0"/>
              <w:autoSpaceDN w:val="0"/>
              <w:adjustRightInd w:val="0"/>
              <w:spacing w:line="276" w:lineRule="auto"/>
              <w:ind w:left="397"/>
              <w:jc w:val="both"/>
              <w:rPr>
                <w:rFonts w:ascii="Verdana" w:hAnsi="Verdana"/>
              </w:rPr>
            </w:pPr>
            <w:r w:rsidRPr="00936114">
              <w:rPr>
                <w:rFonts w:ascii="Verdana" w:hAnsi="Verdana" w:cs="Arial"/>
              </w:rPr>
              <w:lastRenderedPageBreak/>
              <w:t>Si bien los contratos o convenios interadministrativos están previstos en la Ley 80 de 1993, en la Ley 1150 de 2007 y en el Decreto 1082 de 2015, no quiere decir que solo puedan</w:t>
            </w:r>
            <w:r w:rsidRPr="00936114">
              <w:rPr>
                <w:rFonts w:ascii="Verdana" w:eastAsia="Calibri" w:hAnsi="Verdana" w:cs="Arial"/>
                <w:color w:val="000000" w:themeColor="text1"/>
                <w:lang w:val="es-ES_tradnl"/>
              </w:rPr>
              <w:t xml:space="preserve"> celebrarse entre Entidades Estatales que apliquen el régimen de contratación allí previsto. En efecto, una Entidad Estatal de la Ley 80 de 1993 – como es el caso de un municipio – bien puede celebrar esta clase de convenios con una Entidad Estatal de régimen especial – como una EICE – y no por ello dejará de ser un contrato o convenio interadministrativo. </w:t>
            </w:r>
          </w:p>
          <w:p w14:paraId="388D5057" w14:textId="77777777" w:rsidR="00AF6E74" w:rsidRPr="00936114" w:rsidRDefault="00AF6E74" w:rsidP="00DF0C95">
            <w:pPr>
              <w:pStyle w:val="Prrafodelista"/>
              <w:autoSpaceDE w:val="0"/>
              <w:autoSpaceDN w:val="0"/>
              <w:adjustRightInd w:val="0"/>
              <w:spacing w:line="276" w:lineRule="auto"/>
              <w:ind w:left="360"/>
              <w:jc w:val="both"/>
              <w:rPr>
                <w:rFonts w:ascii="Verdana" w:hAnsi="Verdana"/>
              </w:rPr>
            </w:pPr>
          </w:p>
          <w:p w14:paraId="204FF685" w14:textId="77777777" w:rsidR="00AF6E74" w:rsidRPr="00936114" w:rsidRDefault="00AF6E74" w:rsidP="00146479">
            <w:pPr>
              <w:pStyle w:val="Prrafodelista"/>
              <w:numPr>
                <w:ilvl w:val="0"/>
                <w:numId w:val="18"/>
              </w:numPr>
              <w:autoSpaceDE w:val="0"/>
              <w:autoSpaceDN w:val="0"/>
              <w:adjustRightInd w:val="0"/>
              <w:spacing w:after="120" w:line="276" w:lineRule="auto"/>
              <w:ind w:left="357" w:hanging="357"/>
              <w:contextualSpacing w:val="0"/>
              <w:jc w:val="both"/>
              <w:rPr>
                <w:rFonts w:ascii="Verdana" w:hAnsi="Verdana"/>
              </w:rPr>
            </w:pPr>
            <w:r w:rsidRPr="00936114">
              <w:rPr>
                <w:rFonts w:ascii="Verdana" w:hAnsi="Verdana" w:cs="Arial"/>
              </w:rPr>
              <w:t xml:space="preserve">De acuerdo con el inciso primero del literal c) del numeral 4 del artículo 2 de la Ley 1150 de 2007, modificado por el artículo 92 de la Ley 1474 de 2011, la suscripción de contratos interadministrativos de forma directa está sujeta a que las obligaciones del negocio jurídico tengan relación directa con el objeto de la entidad ejecutora, establecido en la ley o en sus reglamentos. La condición impuesta por el legislador para la suscripción de estos contratos se establece a efectos de constatar que el ejecutante cuente con la capacidad jurídica para contraer las obligaciones establecidas en el contrato. </w:t>
            </w:r>
          </w:p>
          <w:p w14:paraId="40AAD0E6" w14:textId="77777777" w:rsidR="00AF6E74" w:rsidRPr="00936114" w:rsidRDefault="00AF6E74" w:rsidP="00146479">
            <w:pPr>
              <w:pStyle w:val="Prrafodelista"/>
              <w:autoSpaceDE w:val="0"/>
              <w:autoSpaceDN w:val="0"/>
              <w:adjustRightInd w:val="0"/>
              <w:spacing w:after="120" w:line="276" w:lineRule="auto"/>
              <w:ind w:left="357" w:firstLine="709"/>
              <w:contextualSpacing w:val="0"/>
              <w:jc w:val="both"/>
              <w:rPr>
                <w:rFonts w:ascii="Verdana" w:hAnsi="Verdana"/>
              </w:rPr>
            </w:pPr>
            <w:r w:rsidRPr="00936114">
              <w:rPr>
                <w:rFonts w:ascii="Verdana" w:hAnsi="Verdana" w:cs="Arial"/>
              </w:rPr>
              <w:t xml:space="preserve">Sin perjuicio de lo anterior, debe señalarse que el inciso segundo de la citada disposición establece una limitación a la contratación directa mediante la causal del literal c) dirigido a los supuestos en que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De manera que cuando ellas sean las ejecutoras, no se pueden celebrar contratos interadministrativos de manera directa, utilizando la causal del literal c), en tratándose de “contratos de obra, suministro, prestación de servicios de evaluación de conformidad respecto de las normas o reglamentos técnicos, encargos fiduciarios y fiducia pública”. </w:t>
            </w:r>
          </w:p>
          <w:p w14:paraId="138F6AE6" w14:textId="77777777" w:rsidR="00AF6E74" w:rsidRPr="00936114" w:rsidRDefault="00AF6E74" w:rsidP="00146479">
            <w:pPr>
              <w:pStyle w:val="Prrafodelista"/>
              <w:autoSpaceDE w:val="0"/>
              <w:autoSpaceDN w:val="0"/>
              <w:adjustRightInd w:val="0"/>
              <w:spacing w:line="276" w:lineRule="auto"/>
              <w:ind w:left="357" w:firstLine="709"/>
              <w:jc w:val="both"/>
              <w:rPr>
                <w:rFonts w:ascii="Verdana" w:hAnsi="Verdana"/>
                <w:lang w:val="es-MX"/>
              </w:rPr>
            </w:pPr>
            <w:r w:rsidRPr="00936114">
              <w:rPr>
                <w:rFonts w:ascii="Verdana" w:eastAsia="Calibri" w:hAnsi="Verdana" w:cs="Arial"/>
                <w:color w:val="000000" w:themeColor="text1"/>
              </w:rPr>
              <w:t xml:space="preserve">En particular, teniendo en cuenta la consulta del peticionario, se observa que la restricción establecida en el inciso segundo del literal c) no se extendió a las EICE, las cuales ostentan una naturaleza jurídica particular, de acuerdo con lo establecido en la Ley 489 de 1998 – artículo 38, entre otros–, por lo cual no es posible asimilarlas a alguno de los tipos de entidades enlistadas en el inciso segundo del literal c) analizado. En particular, cabe destacar que la Ley 489 de 1998 regula como Entidades </w:t>
            </w:r>
            <w:r w:rsidRPr="00936114">
              <w:rPr>
                <w:rFonts w:ascii="Verdana" w:eastAsia="Calibri" w:hAnsi="Verdana" w:cs="Arial"/>
                <w:color w:val="000000" w:themeColor="text1"/>
              </w:rPr>
              <w:lastRenderedPageBreak/>
              <w:t>Estatales distintas, entre otras, por un lado, a las EICE y, por otro, a las sociedades de economía mixta</w:t>
            </w:r>
            <w:r w:rsidRPr="00936114">
              <w:rPr>
                <w:rFonts w:ascii="Verdana" w:hAnsi="Verdana"/>
              </w:rPr>
              <w:t>.</w:t>
            </w:r>
          </w:p>
        </w:tc>
      </w:tr>
    </w:tbl>
    <w:p w14:paraId="51FB34B6" w14:textId="77777777" w:rsidR="00AF6E74" w:rsidRPr="00936114" w:rsidRDefault="00AF6E74" w:rsidP="00A73886">
      <w:pPr>
        <w:tabs>
          <w:tab w:val="left" w:pos="142"/>
          <w:tab w:val="left" w:pos="284"/>
        </w:tabs>
        <w:spacing w:after="0" w:line="276" w:lineRule="auto"/>
        <w:jc w:val="both"/>
        <w:rPr>
          <w:rFonts w:ascii="Verdana" w:eastAsia="Century Gothic" w:hAnsi="Verdana" w:cs="Century Gothic"/>
          <w:b/>
          <w:bCs/>
          <w:lang w:val="es-ES"/>
        </w:rPr>
      </w:pPr>
    </w:p>
    <w:p w14:paraId="2D22059C" w14:textId="77777777" w:rsidR="00AF6E74" w:rsidRPr="00936114" w:rsidRDefault="00AF6E74" w:rsidP="00A73886">
      <w:pPr>
        <w:pStyle w:val="Prrafodelista"/>
        <w:numPr>
          <w:ilvl w:val="0"/>
          <w:numId w:val="17"/>
        </w:numPr>
        <w:tabs>
          <w:tab w:val="left" w:pos="142"/>
          <w:tab w:val="left" w:pos="284"/>
        </w:tabs>
        <w:spacing w:after="0" w:line="276" w:lineRule="auto"/>
        <w:contextualSpacing w:val="0"/>
        <w:jc w:val="both"/>
        <w:rPr>
          <w:rFonts w:ascii="Verdana" w:eastAsia="Century Gothic" w:hAnsi="Verdana" w:cs="Century Gothic"/>
          <w:b/>
          <w:bCs/>
        </w:rPr>
      </w:pPr>
      <w:r w:rsidRPr="00936114">
        <w:rPr>
          <w:rFonts w:ascii="Verdana" w:eastAsia="Century Gothic" w:hAnsi="Verdana" w:cs="Century Gothic"/>
          <w:b/>
          <w:bCs/>
        </w:rPr>
        <w:t>Razones de la respuesta:</w:t>
      </w:r>
    </w:p>
    <w:p w14:paraId="0D3DEAB2" w14:textId="77777777" w:rsidR="00AF6E74" w:rsidRPr="00936114" w:rsidRDefault="00AF6E74" w:rsidP="00A73886">
      <w:pPr>
        <w:spacing w:after="0" w:line="276" w:lineRule="auto"/>
        <w:jc w:val="both"/>
        <w:rPr>
          <w:rFonts w:ascii="Verdana" w:eastAsia="Calibri" w:hAnsi="Verdana" w:cs="Arial"/>
          <w:lang w:val="es-ES"/>
        </w:rPr>
      </w:pPr>
    </w:p>
    <w:p w14:paraId="1B616AE9" w14:textId="77777777" w:rsidR="00AF6E74" w:rsidRPr="00936114" w:rsidRDefault="00AF6E74" w:rsidP="00A73886">
      <w:pPr>
        <w:spacing w:after="0" w:line="276" w:lineRule="auto"/>
        <w:jc w:val="both"/>
        <w:rPr>
          <w:rFonts w:ascii="Verdana" w:eastAsia="Calibri" w:hAnsi="Verdana" w:cs="Arial"/>
          <w:lang w:val="es-ES"/>
        </w:rPr>
      </w:pPr>
      <w:r w:rsidRPr="00936114">
        <w:rPr>
          <w:rFonts w:ascii="Verdana" w:eastAsia="Calibri" w:hAnsi="Verdana" w:cs="Arial"/>
          <w:lang w:val="es-ES"/>
        </w:rPr>
        <w:t xml:space="preserve">Lo anterior se sustenta en las siguientes consideraciones: </w:t>
      </w:r>
    </w:p>
    <w:p w14:paraId="034F219F" w14:textId="77777777" w:rsidR="00AF6E74" w:rsidRPr="00936114" w:rsidRDefault="00AF6E74" w:rsidP="00A73886">
      <w:pPr>
        <w:spacing w:after="0" w:line="276" w:lineRule="auto"/>
        <w:jc w:val="both"/>
        <w:rPr>
          <w:rFonts w:ascii="Verdana" w:eastAsia="Calibri" w:hAnsi="Verdana" w:cs="Arial"/>
          <w:lang w:val="es-ES"/>
        </w:rPr>
      </w:pPr>
    </w:p>
    <w:p w14:paraId="0DC9945A" w14:textId="77777777" w:rsidR="00AF6E74" w:rsidRPr="00936114" w:rsidRDefault="00AF6E74" w:rsidP="00A73886">
      <w:pPr>
        <w:autoSpaceDE w:val="0"/>
        <w:autoSpaceDN w:val="0"/>
        <w:adjustRightInd w:val="0"/>
        <w:spacing w:after="120" w:line="276" w:lineRule="auto"/>
        <w:jc w:val="both"/>
        <w:rPr>
          <w:rFonts w:ascii="Verdana" w:hAnsi="Verdana" w:cs="Arial"/>
          <w:lang w:val="es-ES_tradnl"/>
        </w:rPr>
      </w:pPr>
      <w:r w:rsidRPr="00936114">
        <w:rPr>
          <w:rFonts w:ascii="Verdana" w:eastAsia="Calibri" w:hAnsi="Verdana" w:cs="Arial"/>
        </w:rPr>
        <w:t xml:space="preserve">Dentro de la estructura de la Administración Pública se encuentran las entidades descentralizadas por servicios, y dentro de dicha categoría se ubican las </w:t>
      </w:r>
      <w:r w:rsidRPr="00936114">
        <w:rPr>
          <w:rFonts w:ascii="Verdana" w:hAnsi="Verdana" w:cs="Arial"/>
        </w:rPr>
        <w:t>EICE</w:t>
      </w:r>
      <w:r w:rsidRPr="00936114">
        <w:rPr>
          <w:rFonts w:ascii="Verdana" w:eastAsia="Calibri" w:hAnsi="Verdana" w:cs="Arial"/>
        </w:rPr>
        <w:t>, las cuales – sin perjuicio del control de tutela – tienen personería jurídica, autonomía administrativa y patrimonio propio.</w:t>
      </w:r>
      <w:r w:rsidRPr="00936114">
        <w:rPr>
          <w:rFonts w:ascii="Verdana" w:eastAsia="Calibri" w:hAnsi="Verdana" w:cs="Arial"/>
          <w:b/>
          <w:bCs/>
        </w:rPr>
        <w:t xml:space="preserve"> </w:t>
      </w:r>
      <w:r w:rsidRPr="00936114">
        <w:rPr>
          <w:rFonts w:ascii="Verdana" w:eastAsia="Calibri" w:hAnsi="Verdana" w:cs="Arial"/>
        </w:rPr>
        <w:t>Estas entidades, como su nombre lo indica, se caracterizan por desarrollar actividades de carácter industrial o comercial. Así, por ejemplo, son EICE la Imprenta Nacional de Colombia, Coljuegos, Indumil, la Caja Promotora de Vivienda Militar y de Policía, Colpensiones, entre otras</w:t>
      </w:r>
      <w:r w:rsidRPr="00936114">
        <w:rPr>
          <w:rFonts w:ascii="Verdana" w:hAnsi="Verdana"/>
          <w:vertAlign w:val="superscript"/>
        </w:rPr>
        <w:footnoteReference w:id="2"/>
      </w:r>
      <w:r w:rsidRPr="00936114">
        <w:rPr>
          <w:rFonts w:ascii="Verdana" w:eastAsia="Calibri" w:hAnsi="Verdana" w:cs="Arial"/>
        </w:rPr>
        <w:t>.</w:t>
      </w:r>
    </w:p>
    <w:p w14:paraId="67546F43" w14:textId="468DF8DE" w:rsidR="00AF6E74" w:rsidRPr="00936114" w:rsidRDefault="003D0889" w:rsidP="00A73886">
      <w:pPr>
        <w:autoSpaceDE w:val="0"/>
        <w:autoSpaceDN w:val="0"/>
        <w:adjustRightInd w:val="0"/>
        <w:spacing w:after="120" w:line="276" w:lineRule="auto"/>
        <w:ind w:firstLine="357"/>
        <w:jc w:val="both"/>
        <w:rPr>
          <w:rFonts w:ascii="Verdana" w:hAnsi="Verdana" w:cs="Arial"/>
          <w:lang w:val="es-ES_tradnl"/>
        </w:rPr>
      </w:pPr>
      <w:r w:rsidRPr="00936114">
        <w:rPr>
          <w:rFonts w:ascii="Verdana" w:hAnsi="Verdana" w:cs="Arial"/>
          <w:lang w:val="es-ES_tradnl"/>
        </w:rPr>
        <w:tab/>
      </w:r>
      <w:r w:rsidR="00AF6E74" w:rsidRPr="00936114">
        <w:rPr>
          <w:rFonts w:ascii="Verdana" w:hAnsi="Verdana" w:cs="Arial"/>
          <w:lang w:val="es-ES_tradnl"/>
        </w:rPr>
        <w:t>L</w:t>
      </w:r>
      <w:r w:rsidR="00AF6E74" w:rsidRPr="00936114">
        <w:rPr>
          <w:rFonts w:ascii="Verdana" w:hAnsi="Verdana" w:cs="Arial"/>
        </w:rPr>
        <w:t>as EICE, bajo la denominación de Entidades Estatales, quedaron sometidas al EGCAP – Ley 80 de 1993, artículo 2, numeral 1, literal a)–</w:t>
      </w:r>
      <w:r w:rsidR="00AF6E74" w:rsidRPr="00936114">
        <w:rPr>
          <w:rFonts w:ascii="Verdana" w:hAnsi="Verdana"/>
          <w:vertAlign w:val="superscript"/>
        </w:rPr>
        <w:footnoteReference w:id="3"/>
      </w:r>
      <w:r w:rsidR="00AF6E74" w:rsidRPr="00936114">
        <w:rPr>
          <w:rFonts w:ascii="Verdana" w:hAnsi="Verdana" w:cs="Arial"/>
        </w:rPr>
        <w:t xml:space="preserve">. </w:t>
      </w:r>
      <w:r w:rsidR="00AF6E74" w:rsidRPr="00936114">
        <w:rPr>
          <w:rFonts w:ascii="Verdana" w:hAnsi="Verdana" w:cs="Arial"/>
        </w:rPr>
        <w:lastRenderedPageBreak/>
        <w:t>Posteriormente,</w:t>
      </w:r>
      <w:r w:rsidR="00AF6E74" w:rsidRPr="00936114">
        <w:rPr>
          <w:rFonts w:ascii="Verdana" w:hAnsi="Verdana" w:cs="Arial"/>
          <w:bCs/>
        </w:rPr>
        <w:t xml:space="preserve"> </w:t>
      </w:r>
      <w:r w:rsidR="00AF6E74" w:rsidRPr="00936114">
        <w:rPr>
          <w:rFonts w:ascii="Verdana" w:hAnsi="Verdana" w:cs="Arial"/>
        </w:rPr>
        <w:t>la Ley 489 de 1998</w:t>
      </w:r>
      <w:r w:rsidR="00AF6E74" w:rsidRPr="00936114">
        <w:rPr>
          <w:rFonts w:ascii="Verdana" w:hAnsi="Verdana"/>
          <w:vertAlign w:val="superscript"/>
        </w:rPr>
        <w:footnoteReference w:id="4"/>
      </w:r>
      <w:r w:rsidR="00AF6E74" w:rsidRPr="00936114">
        <w:rPr>
          <w:rFonts w:ascii="Verdana" w:hAnsi="Verdana" w:cs="Arial"/>
        </w:rPr>
        <w:t xml:space="preserve">, mediante el cual se regula la organización y funcionamiento de las entidades del orden nacional, en su artículo 93 estableció el régimen jurídico aplicable a los contratos celebrados por las EICE, de la siguiente forma: </w:t>
      </w:r>
      <w:r w:rsidR="00AF6E74" w:rsidRPr="00936114">
        <w:rPr>
          <w:rFonts w:ascii="Verdana" w:eastAsia="Arial" w:hAnsi="Verdana" w:cs="Arial"/>
          <w:i/>
          <w:iCs/>
          <w:lang w:eastAsia="es-ES" w:bidi="es-ES"/>
        </w:rPr>
        <w:t>“Artículo 93. Régimen de los actos y contratos. Los actos que expidan las empresas industriales y comerciales del Estado para el desarrollo de su actividad propia, industrial o comercial o de gestión económica se sujetarán a las disposiciones del Derecho Privado. Los contratos que celebren para el cumplimiento de su objeto se sujetarán a las disposiciones del Estatuto General de Contratación de las entidades estatales”.</w:t>
      </w:r>
    </w:p>
    <w:p w14:paraId="23B3AC45" w14:textId="77777777" w:rsidR="00AF6E74" w:rsidRPr="00936114" w:rsidRDefault="00AF6E74" w:rsidP="00A73886">
      <w:pPr>
        <w:autoSpaceDE w:val="0"/>
        <w:autoSpaceDN w:val="0"/>
        <w:adjustRightInd w:val="0"/>
        <w:spacing w:after="0" w:line="276" w:lineRule="auto"/>
        <w:ind w:firstLine="709"/>
        <w:jc w:val="both"/>
        <w:rPr>
          <w:rFonts w:ascii="Verdana" w:hAnsi="Verdana" w:cs="Arial"/>
          <w:lang w:val="es-ES_tradnl"/>
        </w:rPr>
      </w:pPr>
      <w:r w:rsidRPr="00936114">
        <w:rPr>
          <w:rFonts w:ascii="Verdana" w:hAnsi="Verdana" w:cs="Arial"/>
        </w:rPr>
        <w:t xml:space="preserve">No obstante, por las dificultades hermenéuticas que suscitaba la disposición anterior, el artículo 14 de la Ley 1150 de 2007 – modificado por el artículo 93 de la Ley 1474 de 2011 – dispuso un régimen exceptivo de aplicación del derecho privado para la actividad contractual de las </w:t>
      </w:r>
      <w:bookmarkStart w:id="4" w:name="_Hlk75850758"/>
      <w:r w:rsidRPr="00936114">
        <w:rPr>
          <w:rFonts w:ascii="Verdana" w:hAnsi="Verdana" w:cs="Arial"/>
        </w:rPr>
        <w:t>EICE</w:t>
      </w:r>
      <w:bookmarkEnd w:id="4"/>
      <w:r w:rsidRPr="00936114">
        <w:rPr>
          <w:rFonts w:ascii="Verdana" w:hAnsi="Verdana" w:cs="Arial"/>
        </w:rPr>
        <w:t xml:space="preserve"> que ejercen su actividad en competencia con el sector público o privado, o en mercados regulados, quedando las otras EICE dentro del ámbito de aplicación del EGCAP</w:t>
      </w:r>
      <w:r w:rsidRPr="00936114">
        <w:rPr>
          <w:rFonts w:ascii="Verdana" w:hAnsi="Verdana"/>
          <w:vertAlign w:val="superscript"/>
        </w:rPr>
        <w:footnoteReference w:id="5"/>
      </w:r>
      <w:r w:rsidRPr="00936114">
        <w:rPr>
          <w:rFonts w:ascii="Verdana" w:hAnsi="Verdana" w:cs="Arial"/>
        </w:rPr>
        <w:t>. Así, la norma vigente respecto a su régimen contractual establece:</w:t>
      </w:r>
    </w:p>
    <w:p w14:paraId="3EE48C9D" w14:textId="77777777" w:rsidR="00AF6E74" w:rsidRPr="00936114" w:rsidRDefault="00AF6E74" w:rsidP="00A73886">
      <w:pPr>
        <w:autoSpaceDE w:val="0"/>
        <w:autoSpaceDN w:val="0"/>
        <w:adjustRightInd w:val="0"/>
        <w:spacing w:after="0" w:line="276" w:lineRule="auto"/>
        <w:ind w:left="709"/>
        <w:jc w:val="both"/>
        <w:rPr>
          <w:rFonts w:ascii="Verdana" w:hAnsi="Verdana" w:cs="Arial"/>
          <w:lang w:val="es-ES"/>
        </w:rPr>
      </w:pPr>
    </w:p>
    <w:p w14:paraId="60F329B1" w14:textId="1E7148A1" w:rsidR="00AF6E74" w:rsidRPr="00936114" w:rsidRDefault="003D0889" w:rsidP="00A73886">
      <w:pPr>
        <w:widowControl w:val="0"/>
        <w:autoSpaceDE w:val="0"/>
        <w:autoSpaceDN w:val="0"/>
        <w:spacing w:after="0" w:line="240" w:lineRule="auto"/>
        <w:ind w:left="709" w:right="709"/>
        <w:jc w:val="both"/>
        <w:rPr>
          <w:rFonts w:ascii="Verdana" w:hAnsi="Verdana" w:cs="Arial"/>
          <w:iCs/>
          <w:sz w:val="20"/>
          <w:szCs w:val="20"/>
        </w:rPr>
      </w:pPr>
      <w:r w:rsidRPr="00936114">
        <w:rPr>
          <w:rFonts w:ascii="Verdana" w:eastAsia="Arial" w:hAnsi="Verdana" w:cs="Arial"/>
          <w:sz w:val="20"/>
          <w:szCs w:val="20"/>
          <w:lang w:eastAsia="es-ES" w:bidi="es-ES"/>
        </w:rPr>
        <w:t>“</w:t>
      </w:r>
      <w:r w:rsidR="00AF6E74" w:rsidRPr="00936114">
        <w:rPr>
          <w:rFonts w:ascii="Verdana" w:eastAsia="Arial" w:hAnsi="Verdana" w:cs="Arial"/>
          <w:sz w:val="20"/>
          <w:szCs w:val="20"/>
          <w:lang w:eastAsia="es-ES" w:bidi="es-ES"/>
        </w:rPr>
        <w:t xml:space="preserve">Artículo 14. Del régimen contractual de las empresas industriales y comerciales del estado, las sociedades de economía mixta, sus filiales y empresas con participación mayoritaria del estado. Las Empresas Industriales y Comerciales del Estado, las Sociedades de Economía Mixta en las que el Estado tenga participación superior al cincuenta por ciento (50%), sus filiales y las Sociedades entre Entidades Públicas con </w:t>
      </w:r>
      <w:r w:rsidR="00AF6E74" w:rsidRPr="00936114">
        <w:rPr>
          <w:rFonts w:ascii="Verdana" w:eastAsia="Arial" w:hAnsi="Verdana" w:cs="Arial"/>
          <w:sz w:val="20"/>
          <w:szCs w:val="20"/>
          <w:lang w:eastAsia="es-ES" w:bidi="es-ES"/>
        </w:rPr>
        <w:lastRenderedPageBreak/>
        <w:t xml:space="preserve">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w:t>
      </w:r>
      <w:bookmarkStart w:id="6" w:name="_Hlk75720889"/>
      <w:r w:rsidR="00AF6E74" w:rsidRPr="00936114">
        <w:rPr>
          <w:rFonts w:ascii="Verdana" w:eastAsia="Arial" w:hAnsi="Verdana" w:cs="Arial"/>
          <w:sz w:val="20"/>
          <w:szCs w:val="20"/>
          <w:lang w:eastAsia="es-ES" w:bidi="es-ES"/>
        </w:rPr>
        <w:t xml:space="preserve">caso en el cual se regirán por las disposiciones legales y reglamentarias aplicables a sus actividades económicas y comerciales, sin perjuicio de lo previsto en el artículo 13 de la presente ley. </w:t>
      </w:r>
      <w:bookmarkEnd w:id="6"/>
      <w:r w:rsidR="00AF6E74" w:rsidRPr="00936114">
        <w:rPr>
          <w:rFonts w:ascii="Verdana" w:eastAsia="Arial" w:hAnsi="Verdana" w:cs="Arial"/>
          <w:sz w:val="20"/>
          <w:szCs w:val="20"/>
          <w:lang w:eastAsia="es-ES" w:bidi="es-ES"/>
        </w:rPr>
        <w:t>Se exceptúan los contratos de ciencia y tecnología, que se regirán por la Ley 29 de 1990 y las disposiciones normativas existentes</w:t>
      </w:r>
      <w:r w:rsidRPr="00936114">
        <w:rPr>
          <w:rFonts w:ascii="Verdana" w:eastAsia="Arial" w:hAnsi="Verdana" w:cs="Arial"/>
          <w:sz w:val="20"/>
          <w:szCs w:val="20"/>
          <w:lang w:eastAsia="es-ES" w:bidi="es-ES"/>
        </w:rPr>
        <w:t>”</w:t>
      </w:r>
      <w:r w:rsidR="00AF6E74" w:rsidRPr="00936114">
        <w:rPr>
          <w:rFonts w:ascii="Verdana" w:hAnsi="Verdana"/>
          <w:sz w:val="20"/>
          <w:szCs w:val="20"/>
          <w:vertAlign w:val="superscript"/>
        </w:rPr>
        <w:footnoteReference w:id="6"/>
      </w:r>
      <w:r w:rsidR="00AF6E74" w:rsidRPr="00936114">
        <w:rPr>
          <w:rFonts w:ascii="Verdana" w:hAnsi="Verdana" w:cs="Arial"/>
          <w:iCs/>
          <w:sz w:val="20"/>
          <w:szCs w:val="20"/>
        </w:rPr>
        <w:t>.</w:t>
      </w:r>
    </w:p>
    <w:p w14:paraId="6B935027" w14:textId="77777777" w:rsidR="00AF6E74" w:rsidRPr="00936114" w:rsidRDefault="00AF6E74" w:rsidP="00936114">
      <w:pPr>
        <w:spacing w:after="0" w:line="276" w:lineRule="auto"/>
        <w:ind w:left="709"/>
        <w:jc w:val="both"/>
        <w:rPr>
          <w:rFonts w:ascii="Verdana" w:hAnsi="Verdana" w:cs="Arial"/>
        </w:rPr>
      </w:pPr>
    </w:p>
    <w:p w14:paraId="0D76D4BE" w14:textId="77777777" w:rsidR="00AF6E74" w:rsidRPr="00936114" w:rsidRDefault="00AF6E74" w:rsidP="00936114">
      <w:pPr>
        <w:autoSpaceDE w:val="0"/>
        <w:autoSpaceDN w:val="0"/>
        <w:adjustRightInd w:val="0"/>
        <w:spacing w:after="120" w:line="276" w:lineRule="auto"/>
        <w:ind w:firstLine="709"/>
        <w:jc w:val="both"/>
        <w:rPr>
          <w:rFonts w:ascii="Verdana" w:hAnsi="Verdana" w:cs="Arial"/>
        </w:rPr>
      </w:pPr>
      <w:r w:rsidRPr="00936114">
        <w:rPr>
          <w:rFonts w:ascii="Verdana" w:hAnsi="Verdana" w:cs="Arial"/>
        </w:rPr>
        <w:t>El sometimiento parcial de las EICE al régimen de derecho privado, se ha justificado por “la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 […]. Por ello, la regla general es que en sus actos y contratos rijan las normas de derecho privado, salvo en cuanto a sus relaciones con la administración [otras Entidades Estatales -convenios o contratos interadministrativos] y en aquellos casos en los que por expresa disposición legal ejerzan alguna función administrativa, puesto que allí sí deberá dar aplicación a las reglas de derecho público pertinentes [...]”</w:t>
      </w:r>
      <w:r w:rsidRPr="00936114">
        <w:rPr>
          <w:rFonts w:ascii="Verdana" w:hAnsi="Verdana"/>
          <w:vertAlign w:val="superscript"/>
        </w:rPr>
        <w:footnoteReference w:id="7"/>
      </w:r>
      <w:r w:rsidRPr="00936114">
        <w:rPr>
          <w:rFonts w:ascii="Verdana" w:hAnsi="Verdana" w:cs="Arial"/>
        </w:rPr>
        <w:t>. (corchetes fuera de texto)</w:t>
      </w:r>
    </w:p>
    <w:p w14:paraId="0F92A2FC" w14:textId="6D03E562" w:rsidR="00AF6E74" w:rsidRPr="00936114" w:rsidRDefault="00BA3377" w:rsidP="00936114">
      <w:pPr>
        <w:autoSpaceDE w:val="0"/>
        <w:autoSpaceDN w:val="0"/>
        <w:adjustRightInd w:val="0"/>
        <w:spacing w:after="0" w:line="276" w:lineRule="auto"/>
        <w:jc w:val="both"/>
        <w:rPr>
          <w:rFonts w:ascii="Verdana" w:hAnsi="Verdana" w:cs="Arial"/>
        </w:rPr>
      </w:pPr>
      <w:r w:rsidRPr="00936114">
        <w:rPr>
          <w:rFonts w:ascii="Verdana" w:hAnsi="Verdana" w:cs="Arial"/>
        </w:rPr>
        <w:tab/>
      </w:r>
      <w:r w:rsidR="00AF6E74" w:rsidRPr="00936114">
        <w:rPr>
          <w:rFonts w:ascii="Verdana" w:hAnsi="Verdana" w:cs="Arial"/>
        </w:rPr>
        <w:t>De acuerdo con la jurisprudencia, lo anterior se justifica en el principio de igualdad, ya que, si el Estado desarrolla actividades similares a los particulares, debe actuar no solo desprovisto de poderes exorbitantes sino también con la misma eficacia y eficiencia que los sujetos de derecho privado. No en vano:</w:t>
      </w:r>
    </w:p>
    <w:p w14:paraId="0783523A" w14:textId="77777777" w:rsidR="00AF6E74" w:rsidRPr="00936114" w:rsidRDefault="00AF6E74" w:rsidP="00936114">
      <w:pPr>
        <w:spacing w:after="0" w:line="276" w:lineRule="auto"/>
        <w:ind w:left="709"/>
        <w:jc w:val="both"/>
        <w:rPr>
          <w:rFonts w:ascii="Verdana" w:eastAsia="Calibri" w:hAnsi="Verdana" w:cs="Arial"/>
          <w:color w:val="000000" w:themeColor="text1"/>
        </w:rPr>
      </w:pPr>
    </w:p>
    <w:p w14:paraId="53F622C8" w14:textId="16A4BA5C" w:rsidR="00AF6E74" w:rsidRPr="00936114" w:rsidRDefault="00BA3377" w:rsidP="00657E68">
      <w:pPr>
        <w:spacing w:after="0" w:line="240" w:lineRule="auto"/>
        <w:ind w:left="709" w:right="709"/>
        <w:jc w:val="both"/>
        <w:rPr>
          <w:rFonts w:ascii="Verdana" w:eastAsia="Calibri" w:hAnsi="Verdana" w:cs="Arial"/>
          <w:color w:val="000000" w:themeColor="text1"/>
          <w:sz w:val="20"/>
          <w:szCs w:val="20"/>
        </w:rPr>
      </w:pPr>
      <w:r w:rsidRPr="00936114">
        <w:rPr>
          <w:rFonts w:ascii="Verdana" w:eastAsia="Calibri" w:hAnsi="Verdana" w:cs="Arial"/>
          <w:color w:val="000000" w:themeColor="text1"/>
          <w:sz w:val="20"/>
          <w:szCs w:val="20"/>
        </w:rPr>
        <w:t>“</w:t>
      </w:r>
      <w:r w:rsidR="00AF6E74" w:rsidRPr="00936114">
        <w:rPr>
          <w:rFonts w:ascii="Verdana" w:eastAsia="Calibri" w:hAnsi="Verdana" w:cs="Arial"/>
          <w:color w:val="000000" w:themeColor="text1"/>
          <w:sz w:val="20"/>
          <w:szCs w:val="20"/>
        </w:rPr>
        <w:t xml:space="preserve">La razón de ser de la aplicación del régimen de derecho privado a estas entidades radica en 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w:t>
      </w:r>
      <w:r w:rsidR="00AF6E74" w:rsidRPr="00936114">
        <w:rPr>
          <w:rFonts w:ascii="Verdana" w:eastAsia="Calibri" w:hAnsi="Verdana" w:cs="Arial"/>
          <w:color w:val="000000" w:themeColor="text1"/>
          <w:sz w:val="20"/>
          <w:szCs w:val="20"/>
        </w:rPr>
        <w:lastRenderedPageBreak/>
        <w:t>que entraben sus actuaciones y las pongan en situación de desventaja frente a sus competidores.</w:t>
      </w:r>
    </w:p>
    <w:p w14:paraId="24A136D6" w14:textId="77777777" w:rsidR="00AF6E74" w:rsidRPr="00936114" w:rsidRDefault="00AF6E74" w:rsidP="00657E68">
      <w:pPr>
        <w:spacing w:after="0" w:line="240" w:lineRule="auto"/>
        <w:ind w:left="709" w:right="709"/>
        <w:jc w:val="both"/>
        <w:rPr>
          <w:rFonts w:ascii="Verdana" w:eastAsia="Calibri" w:hAnsi="Verdana" w:cs="Arial"/>
          <w:color w:val="000000" w:themeColor="text1"/>
          <w:sz w:val="20"/>
          <w:szCs w:val="20"/>
        </w:rPr>
      </w:pPr>
    </w:p>
    <w:p w14:paraId="57C183F6" w14:textId="5A627619" w:rsidR="00AF6E74" w:rsidRPr="00936114" w:rsidRDefault="00AF6E74" w:rsidP="00657E68">
      <w:pPr>
        <w:spacing w:after="0" w:line="240" w:lineRule="auto"/>
        <w:ind w:left="709" w:right="709"/>
        <w:jc w:val="both"/>
        <w:rPr>
          <w:rFonts w:ascii="Verdana" w:eastAsia="Calibri" w:hAnsi="Verdana" w:cs="Arial"/>
          <w:color w:val="000000" w:themeColor="text1"/>
          <w:sz w:val="20"/>
          <w:szCs w:val="20"/>
        </w:rPr>
      </w:pPr>
      <w:r w:rsidRPr="00936114">
        <w:rPr>
          <w:rFonts w:ascii="Verdana" w:eastAsia="Calibri" w:hAnsi="Verdana" w:cs="Arial"/>
          <w:color w:val="000000" w:themeColor="text1"/>
          <w:sz w:val="20"/>
          <w:szCs w:val="20"/>
        </w:rPr>
        <w:t xml:space="preserve">Se trata pues, de que sus actividades de explotación industrial o comercial se desarrollen con las </w:t>
      </w:r>
      <w:proofErr w:type="gramStart"/>
      <w:r w:rsidRPr="00936114">
        <w:rPr>
          <w:rFonts w:ascii="Verdana" w:eastAsia="Calibri" w:hAnsi="Verdana" w:cs="Arial"/>
          <w:color w:val="000000" w:themeColor="text1"/>
          <w:sz w:val="20"/>
          <w:szCs w:val="20"/>
        </w:rPr>
        <w:t>mismas oportunidades y las mismas ventajas</w:t>
      </w:r>
      <w:proofErr w:type="gramEnd"/>
      <w:r w:rsidRPr="00936114">
        <w:rPr>
          <w:rFonts w:ascii="Verdana" w:eastAsia="Calibri" w:hAnsi="Verdana" w:cs="Arial"/>
          <w:color w:val="000000" w:themeColor="text1"/>
          <w:sz w:val="20"/>
          <w:szCs w:val="20"/>
        </w:rPr>
        <w:t xml:space="preserve"> o desventajas que las adelantadas por aquellos, sin que influya para nada su investidura de entidad estatal; que puedan actuar como particulares, frente a las exigencias de la economía y del mercado</w:t>
      </w:r>
      <w:r w:rsidR="00BA3377" w:rsidRPr="00936114">
        <w:rPr>
          <w:rFonts w:ascii="Verdana" w:eastAsia="Calibri" w:hAnsi="Verdana" w:cs="Arial"/>
          <w:color w:val="000000" w:themeColor="text1"/>
          <w:sz w:val="20"/>
          <w:szCs w:val="20"/>
        </w:rPr>
        <w:t>”</w:t>
      </w:r>
      <w:r w:rsidRPr="00936114">
        <w:rPr>
          <w:rFonts w:ascii="Verdana" w:eastAsia="Calibri" w:hAnsi="Verdana" w:cs="Arial"/>
          <w:color w:val="000000" w:themeColor="text1"/>
          <w:sz w:val="20"/>
          <w:szCs w:val="20"/>
        </w:rPr>
        <w:t>.</w:t>
      </w:r>
    </w:p>
    <w:p w14:paraId="35F05480" w14:textId="77777777" w:rsidR="00AF6E74" w:rsidRPr="00936114" w:rsidRDefault="00AF6E74" w:rsidP="00657E68">
      <w:pPr>
        <w:spacing w:after="0" w:line="276" w:lineRule="auto"/>
        <w:ind w:left="709" w:right="709"/>
        <w:jc w:val="both"/>
        <w:rPr>
          <w:rFonts w:ascii="Verdana" w:eastAsia="Calibri" w:hAnsi="Verdana" w:cs="Arial"/>
          <w:color w:val="000000" w:themeColor="text1"/>
        </w:rPr>
      </w:pPr>
    </w:p>
    <w:p w14:paraId="5FE68E10" w14:textId="77777777" w:rsidR="00AF6E74" w:rsidRPr="00936114" w:rsidRDefault="00AF6E74" w:rsidP="00413FF9">
      <w:pPr>
        <w:autoSpaceDE w:val="0"/>
        <w:autoSpaceDN w:val="0"/>
        <w:adjustRightInd w:val="0"/>
        <w:spacing w:after="120" w:line="276" w:lineRule="auto"/>
        <w:ind w:firstLine="709"/>
        <w:jc w:val="both"/>
        <w:rPr>
          <w:rFonts w:ascii="Verdana" w:hAnsi="Verdana" w:cs="Arial"/>
        </w:rPr>
      </w:pPr>
      <w:r w:rsidRPr="00936114">
        <w:rPr>
          <w:rFonts w:ascii="Verdana" w:hAnsi="Verdana" w:cs="Arial"/>
        </w:rPr>
        <w:t xml:space="preserve">Ahora bien, es importante destacar, que el artículo 14 de la Ley 1150 de 2007, modificado por el artículo 93 de la Ley 1474 de 2011, esclareció las dudas que producía el confuso artículo 93 de la Ley 489 de 1998 a propósito del régimen contractual de estas entidades. Por lo tanto, </w:t>
      </w:r>
      <w:bookmarkStart w:id="7" w:name="_Hlk77174298"/>
      <w:r w:rsidRPr="00936114">
        <w:rPr>
          <w:rFonts w:ascii="Verdana" w:hAnsi="Verdana" w:cs="Arial"/>
        </w:rPr>
        <w:t xml:space="preserve">las EICE, las Sociedades de Economía Mixta, sus filiales y las sociedades entre Entidades Públicas en las que el Estado tenga participación superior al cincuenta por ciento (50%), están sometidas, por regla general, al EGCAP, excepto aquellas EICE que: i) desarrollen actividades comerciales en competencia con el sector privado y/o público, nacional o internacional o </w:t>
      </w:r>
      <w:proofErr w:type="spellStart"/>
      <w:r w:rsidRPr="00936114">
        <w:rPr>
          <w:rFonts w:ascii="Verdana" w:hAnsi="Verdana" w:cs="Arial"/>
        </w:rPr>
        <w:t>ii</w:t>
      </w:r>
      <w:proofErr w:type="spellEnd"/>
      <w:r w:rsidRPr="00936114">
        <w:rPr>
          <w:rFonts w:ascii="Verdana" w:hAnsi="Verdana" w:cs="Arial"/>
        </w:rPr>
        <w:t>) desarrollen actividades en mercados regulados, eventos en los cuales ellas se rigen por las disposiciones que regulen su actividad. Lo anterior, sin perjuicio de dar cumplimiento a lo dispuesto en el artículo 13 de la Ley 1150 de 2007, esto es, del deber que le incumbe a la EICE de aplicar, acorde con su régimen legal especial, los principios de la función administrativa y de la gestión fiscal consagrados en los artículos 209 y 267 de la Constitución Política, el régimen de inhabilidades e incompatibilidades previsto legalmente para la contratación estatal</w:t>
      </w:r>
      <w:bookmarkEnd w:id="7"/>
      <w:r w:rsidRPr="00936114">
        <w:rPr>
          <w:rFonts w:ascii="Verdana" w:hAnsi="Verdana" w:cs="Arial"/>
        </w:rPr>
        <w:t xml:space="preserve"> y el deber de publicidad en el SECOP</w:t>
      </w:r>
      <w:r w:rsidRPr="00936114">
        <w:rPr>
          <w:rFonts w:ascii="Verdana" w:hAnsi="Verdana"/>
          <w:vertAlign w:val="superscript"/>
        </w:rPr>
        <w:footnoteReference w:id="8"/>
      </w:r>
      <w:r w:rsidRPr="00936114">
        <w:rPr>
          <w:rFonts w:ascii="Verdana" w:hAnsi="Verdana" w:cs="Arial"/>
        </w:rPr>
        <w:t>.</w:t>
      </w:r>
    </w:p>
    <w:p w14:paraId="27B17BAB" w14:textId="77777777" w:rsidR="00AF6E74" w:rsidRPr="00936114" w:rsidRDefault="00AF6E74" w:rsidP="00413FF9">
      <w:pPr>
        <w:autoSpaceDE w:val="0"/>
        <w:autoSpaceDN w:val="0"/>
        <w:adjustRightInd w:val="0"/>
        <w:spacing w:after="120" w:line="276" w:lineRule="auto"/>
        <w:ind w:firstLine="708"/>
        <w:jc w:val="both"/>
        <w:rPr>
          <w:rFonts w:ascii="Verdana" w:hAnsi="Verdana" w:cs="Arial"/>
        </w:rPr>
      </w:pPr>
      <w:r w:rsidRPr="00936114">
        <w:rPr>
          <w:rFonts w:ascii="Verdana" w:hAnsi="Verdana" w:cs="Arial"/>
        </w:rPr>
        <w:t xml:space="preserve">De conformidad con las explicaciones precedentes, en torno a los fundamentos jurídicos que regulan el régimen contractual aplicable a las EICE, a cada Entidad Estatal le corresponde analizar si se encuentra en alguno de los supuestos establecidos en el artículo 14 de la Ley 1150 de 2007, para definir si su régimen contractual es el EGCAP o si están exceptuadas de él y, por tanto, si se rigen por un régimen especial, como sería el derecho privado. </w:t>
      </w:r>
    </w:p>
    <w:p w14:paraId="24D73C37" w14:textId="77777777" w:rsidR="00AF6E74" w:rsidRPr="00936114" w:rsidRDefault="00AF6E74" w:rsidP="00413FF9">
      <w:pPr>
        <w:autoSpaceDE w:val="0"/>
        <w:autoSpaceDN w:val="0"/>
        <w:adjustRightInd w:val="0"/>
        <w:spacing w:after="120" w:line="276" w:lineRule="auto"/>
        <w:ind w:firstLine="709"/>
        <w:jc w:val="both"/>
        <w:rPr>
          <w:rFonts w:ascii="Verdana" w:hAnsi="Verdana" w:cs="Arial"/>
        </w:rPr>
      </w:pPr>
      <w:r w:rsidRPr="00936114">
        <w:rPr>
          <w:rFonts w:ascii="Verdana" w:eastAsia="Calibri" w:hAnsi="Verdana" w:cs="Arial"/>
          <w:color w:val="000000"/>
          <w:lang w:val="es-ES_tradnl" w:eastAsia="es-ES_tradnl"/>
        </w:rPr>
        <w:t>Analizada la naturaleza</w:t>
      </w:r>
      <w:r w:rsidRPr="00936114">
        <w:rPr>
          <w:rFonts w:ascii="Verdana" w:eastAsia="Times New Roman" w:hAnsi="Verdana" w:cs="Arial"/>
          <w:color w:val="1A1A1A"/>
          <w:lang w:eastAsia="es-ES_tradnl"/>
        </w:rPr>
        <w:t xml:space="preserve"> jurídica y régimen contractual de las EICE, corresponde entrar a estudiar </w:t>
      </w:r>
      <w:r w:rsidRPr="00936114">
        <w:rPr>
          <w:rFonts w:ascii="Verdana" w:eastAsia="Calibri" w:hAnsi="Verdana" w:cs="Arial"/>
          <w:color w:val="000000"/>
          <w:lang w:val="es-ES_tradnl" w:eastAsia="es-ES_tradnl"/>
        </w:rPr>
        <w:t xml:space="preserve">posibilidad de celebrar contratos o convenios </w:t>
      </w:r>
      <w:r w:rsidRPr="00936114">
        <w:rPr>
          <w:rFonts w:ascii="Verdana" w:eastAsia="Calibri" w:hAnsi="Verdana" w:cs="Arial"/>
          <w:color w:val="000000"/>
          <w:lang w:val="es-ES_tradnl" w:eastAsia="es-ES_tradnl"/>
        </w:rPr>
        <w:lastRenderedPageBreak/>
        <w:t xml:space="preserve">interadministrativos entre una entidad sometida al EGCAP y una EICE y si estos pueden celebrarse de manera directa, con el fin de dar respuesta a los problemas jurídicos planteados. </w:t>
      </w:r>
    </w:p>
    <w:p w14:paraId="276DB04C" w14:textId="77777777" w:rsidR="00AF6E74" w:rsidRPr="00936114" w:rsidRDefault="00AF6E74" w:rsidP="00413FF9">
      <w:pPr>
        <w:spacing w:after="120" w:line="276" w:lineRule="auto"/>
        <w:ind w:firstLine="709"/>
        <w:jc w:val="both"/>
        <w:rPr>
          <w:rFonts w:ascii="Verdana" w:eastAsia="Calibri" w:hAnsi="Verdana" w:cs="Arial"/>
          <w:color w:val="000000" w:themeColor="text1"/>
        </w:rPr>
      </w:pPr>
      <w:r w:rsidRPr="00936114">
        <w:rPr>
          <w:rFonts w:ascii="Verdana" w:eastAsia="Calibri" w:hAnsi="Verdana" w:cs="Arial"/>
          <w:color w:val="000000" w:themeColor="text1"/>
        </w:rPr>
        <w:t>Sobre la tipología de convenio o contrato interadministrativo, conviene señalar que fue creado en la Ley 80 de 1993, y aunque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Pr="00936114">
        <w:rPr>
          <w:rStyle w:val="Refdenotaalpie"/>
          <w:rFonts w:ascii="Verdana" w:eastAsia="Calibri" w:hAnsi="Verdana" w:cs="Arial"/>
          <w:color w:val="000000" w:themeColor="text1"/>
        </w:rPr>
        <w:footnoteReference w:id="9"/>
      </w:r>
      <w:r w:rsidRPr="00936114">
        <w:rPr>
          <w:rFonts w:ascii="Verdana" w:eastAsia="Calibri" w:hAnsi="Verdana" w:cs="Arial"/>
          <w:color w:val="000000" w:themeColor="text1"/>
        </w:rPr>
        <w:t>.</w:t>
      </w:r>
      <w:r w:rsidRPr="00936114">
        <w:rPr>
          <w:rFonts w:ascii="Verdana" w:hAnsi="Verdana" w:cs="Arial"/>
          <w:color w:val="000000" w:themeColor="text1"/>
        </w:rPr>
        <w:t xml:space="preserve"> </w:t>
      </w:r>
      <w:r w:rsidRPr="00936114">
        <w:rPr>
          <w:rFonts w:ascii="Verdana" w:eastAsia="Calibri" w:hAnsi="Verdana" w:cs="Arial"/>
          <w:color w:val="000000" w:themeColor="text1"/>
        </w:rPr>
        <w:t>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con competencia para celebrar contratos.</w:t>
      </w:r>
    </w:p>
    <w:p w14:paraId="480A147D" w14:textId="77777777" w:rsidR="00AF6E74" w:rsidRPr="00936114" w:rsidRDefault="00AF6E74" w:rsidP="00413FF9">
      <w:pPr>
        <w:spacing w:after="120" w:line="276" w:lineRule="auto"/>
        <w:ind w:firstLine="709"/>
        <w:jc w:val="both"/>
        <w:rPr>
          <w:rFonts w:ascii="Verdana" w:hAnsi="Verdana" w:cs="Arial"/>
          <w:color w:val="000000" w:themeColor="text1"/>
          <w:lang w:val="es-ES_tradnl"/>
        </w:rPr>
      </w:pPr>
      <w:r w:rsidRPr="00936114">
        <w:rPr>
          <w:rFonts w:ascii="Verdana" w:eastAsia="Calibri" w:hAnsi="Verdana"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 como una EICE – y no por ello dejará de ser un contrato o convenio interadministrativo.</w:t>
      </w:r>
    </w:p>
    <w:p w14:paraId="13AE6EAA" w14:textId="77777777" w:rsidR="00AF6E74" w:rsidRPr="00936114" w:rsidRDefault="00AF6E74" w:rsidP="00413FF9">
      <w:pPr>
        <w:spacing w:after="120" w:line="276" w:lineRule="auto"/>
        <w:ind w:firstLine="709"/>
        <w:jc w:val="both"/>
        <w:rPr>
          <w:rFonts w:ascii="Verdana" w:eastAsia="Calibri" w:hAnsi="Verdana" w:cs="Arial"/>
          <w:color w:val="000000" w:themeColor="text1"/>
          <w:lang w:val="es-ES_tradnl"/>
        </w:rPr>
      </w:pPr>
      <w:r w:rsidRPr="00936114">
        <w:rPr>
          <w:rFonts w:ascii="Verdana" w:eastAsia="Calibri" w:hAnsi="Verdana" w:cs="Arial"/>
          <w:color w:val="000000" w:themeColor="text1"/>
          <w:lang w:val="es-ES_tradnl"/>
        </w:rPr>
        <w:t xml:space="preserve">Un contrato o convenio interadministrativo no está determinado por la modalidad de selección utilizada para celebrarlo. Respecto del objeto de su consulta debe señalarse que, la Ley 1150 de 2007 establece que pueden celebrarse directamente, siempre que las obligaciones derivadas del mismo tengan relación directa con el objeto de la entidad ejecutora, señalado en la ley o en sus reglamentos, a menos que, según las excepciones previstas en dicha Ley – las cuales se analizarán más adelante – deba adelantarse un procedimiento </w:t>
      </w:r>
      <w:r w:rsidRPr="00936114">
        <w:rPr>
          <w:rFonts w:ascii="Verdana" w:eastAsia="Calibri" w:hAnsi="Verdana" w:cs="Arial"/>
          <w:color w:val="000000" w:themeColor="text1"/>
          <w:lang w:val="es-ES_tradnl"/>
        </w:rPr>
        <w:lastRenderedPageBreak/>
        <w:t>susceptible de pluralidad de oferentes</w:t>
      </w:r>
      <w:r w:rsidRPr="00936114">
        <w:rPr>
          <w:rStyle w:val="Refdenotaalpie"/>
          <w:rFonts w:ascii="Verdana" w:eastAsia="Calibri" w:hAnsi="Verdana" w:cs="Arial"/>
          <w:color w:val="000000" w:themeColor="text1"/>
          <w:lang w:val="es-ES_tradnl"/>
        </w:rPr>
        <w:footnoteReference w:id="10"/>
      </w:r>
      <w:r w:rsidRPr="00936114">
        <w:rPr>
          <w:rFonts w:ascii="Verdana" w:eastAsia="Calibri" w:hAnsi="Verdana" w:cs="Arial"/>
          <w:color w:val="000000" w:themeColor="text1"/>
          <w:lang w:val="es-ES_tradnl"/>
        </w:rPr>
        <w:t>. Nótese que, en este caso, lo que cambia es la modalidad de selección y no la naturaleza de contrato interadministrativo.</w:t>
      </w:r>
    </w:p>
    <w:p w14:paraId="719871C6" w14:textId="77777777" w:rsidR="00AF6E74" w:rsidRPr="00936114" w:rsidRDefault="00AF6E74" w:rsidP="00413FF9">
      <w:pPr>
        <w:spacing w:after="120" w:line="276" w:lineRule="auto"/>
        <w:ind w:firstLine="709"/>
        <w:jc w:val="both"/>
        <w:rPr>
          <w:rFonts w:ascii="Verdana" w:eastAsia="Calibri" w:hAnsi="Verdana" w:cs="Arial"/>
          <w:color w:val="000000" w:themeColor="text1"/>
          <w:lang w:val="es-ES_tradnl"/>
        </w:rPr>
      </w:pPr>
      <w:r w:rsidRPr="00936114">
        <w:rPr>
          <w:rFonts w:ascii="Verdana" w:eastAsia="Calibri" w:hAnsi="Verdana" w:cs="Arial"/>
          <w:color w:val="000000" w:themeColor="text1"/>
          <w:lang w:val="es-ES_tradnl"/>
        </w:rPr>
        <w:t>Así las cosas, atendiendo a la literalidad de las normas enunciadas, no cabe una interpretación diferente</w:t>
      </w:r>
      <w:r w:rsidRPr="00936114">
        <w:rPr>
          <w:rStyle w:val="Refdenotaalpie"/>
          <w:rFonts w:ascii="Verdana" w:hAnsi="Verdana" w:cs="Arial"/>
          <w:color w:val="000000" w:themeColor="text1"/>
          <w:lang w:val="es-ES_tradnl"/>
        </w:rPr>
        <w:footnoteReference w:id="11"/>
      </w:r>
      <w:r w:rsidRPr="00936114">
        <w:rPr>
          <w:rFonts w:ascii="Verdana" w:eastAsia="Calibri" w:hAnsi="Verdana" w:cs="Arial"/>
          <w:color w:val="000000" w:themeColor="text1"/>
          <w:lang w:val="es-ES_tradnl"/>
        </w:rPr>
        <w:t xml:space="preserve">, pues, de acuerdo con lo anotado, esta clase de acuerdos de voluntades se definen por un criterio orgánico, por lo que uno de sus elementos esenciales es que en los extremos de la relación jurídico negocial concurran personas de derecho público con competencia para celebrar contratos. </w:t>
      </w:r>
    </w:p>
    <w:p w14:paraId="5912EC4A" w14:textId="06FA8877" w:rsidR="00AF6E74" w:rsidRPr="00936114" w:rsidRDefault="001F1879" w:rsidP="00413FF9">
      <w:pPr>
        <w:spacing w:after="0" w:line="276" w:lineRule="auto"/>
        <w:jc w:val="both"/>
        <w:rPr>
          <w:rFonts w:ascii="Verdana" w:eastAsia="Calibri" w:hAnsi="Verdana" w:cs="Arial"/>
          <w:color w:val="000000" w:themeColor="text1"/>
          <w:lang w:val="es-ES_tradnl"/>
        </w:rPr>
      </w:pPr>
      <w:r w:rsidRPr="00936114">
        <w:rPr>
          <w:rFonts w:ascii="Verdana" w:hAnsi="Verdana" w:cs="Arial"/>
        </w:rPr>
        <w:tab/>
      </w:r>
      <w:r w:rsidR="00AF6E74" w:rsidRPr="00936114">
        <w:rPr>
          <w:rFonts w:ascii="Verdana" w:hAnsi="Verdana" w:cs="Arial"/>
        </w:rPr>
        <w:t>Ahora bien, teniendo en cuenta el segundo problema jurídico, debe señalarse, e</w:t>
      </w:r>
      <w:r w:rsidR="00AF6E74" w:rsidRPr="00936114">
        <w:rPr>
          <w:rFonts w:ascii="Verdana" w:eastAsia="Calibri" w:hAnsi="Verdana" w:cs="Arial"/>
          <w:color w:val="000000" w:themeColor="text1"/>
        </w:rPr>
        <w:t xml:space="preserve">n relación con la modalidad de selección aplicable a la celebración de contratos interadministrativos, que la Ley 1150 de 2007 establece que las Entidades Estatales pueden suscribirlos de manera directa, siempre que las obligaciones derivadas de los mismos tengan relación con el objeto de la entidad ejecutora. Sin embargo, esa misma ley establece excepciones concretas a esta facultad, aplicable a los supuestos en que ciertas tipologías contractuales sean ejecutadas por alguna de las Entidades Estatales enlistadas en dicha restricción. De esta manera, el </w:t>
      </w:r>
      <w:bookmarkStart w:id="8" w:name="_Hlk175506473"/>
      <w:r w:rsidR="00AF6E74" w:rsidRPr="00936114">
        <w:rPr>
          <w:rFonts w:ascii="Verdana" w:eastAsia="Calibri" w:hAnsi="Verdana" w:cs="Arial"/>
          <w:color w:val="000000" w:themeColor="text1"/>
        </w:rPr>
        <w:t xml:space="preserve">artículo 2, numeral 4, literal c), de la mencionada ley – modificado por el artículo 92 de la Ley 1474 de 2011 </w:t>
      </w:r>
      <w:bookmarkEnd w:id="8"/>
      <w:r w:rsidR="00AF6E74" w:rsidRPr="00936114">
        <w:rPr>
          <w:rFonts w:ascii="Verdana" w:eastAsia="Calibri" w:hAnsi="Verdana" w:cs="Arial"/>
          <w:color w:val="000000" w:themeColor="text1"/>
        </w:rPr>
        <w:t>– estableció lo siguiente:</w:t>
      </w:r>
    </w:p>
    <w:p w14:paraId="45FFB198" w14:textId="77777777" w:rsidR="00AF6E74" w:rsidRPr="00936114" w:rsidRDefault="00AF6E74" w:rsidP="00657E68">
      <w:pPr>
        <w:pStyle w:val="Prrafodelista"/>
        <w:spacing w:after="0" w:line="276" w:lineRule="auto"/>
        <w:contextualSpacing w:val="0"/>
        <w:rPr>
          <w:rFonts w:ascii="Verdana" w:eastAsia="Calibri" w:hAnsi="Verdana" w:cs="Arial"/>
          <w:color w:val="000000" w:themeColor="text1"/>
          <w:lang w:val="es-ES_tradnl"/>
        </w:rPr>
      </w:pPr>
    </w:p>
    <w:p w14:paraId="7D4CECDB" w14:textId="2FC42341" w:rsidR="00AF6E74" w:rsidRPr="00657E68" w:rsidRDefault="00EB2CC4" w:rsidP="00657E68">
      <w:pPr>
        <w:pStyle w:val="NormalWeb"/>
        <w:spacing w:before="0" w:beforeAutospacing="0" w:after="0" w:afterAutospacing="0"/>
        <w:ind w:left="709" w:right="709"/>
        <w:jc w:val="both"/>
        <w:rPr>
          <w:rFonts w:ascii="Verdana" w:hAnsi="Verdana" w:cs="Arial"/>
          <w:sz w:val="20"/>
          <w:szCs w:val="20"/>
        </w:rPr>
      </w:pPr>
      <w:bookmarkStart w:id="9" w:name="92"/>
      <w:r w:rsidRPr="00657E68">
        <w:rPr>
          <w:rFonts w:ascii="Verdana" w:hAnsi="Verdana" w:cs="Arial"/>
          <w:sz w:val="20"/>
          <w:szCs w:val="20"/>
        </w:rPr>
        <w:t>“</w:t>
      </w:r>
      <w:r w:rsidR="00AF6E74" w:rsidRPr="00657E68">
        <w:rPr>
          <w:rFonts w:ascii="Verdana" w:hAnsi="Verdana" w:cs="Arial"/>
          <w:sz w:val="20"/>
          <w:szCs w:val="20"/>
        </w:rPr>
        <w:t>Artículo 92. Contratos interadministrativos.</w:t>
      </w:r>
      <w:bookmarkEnd w:id="9"/>
      <w:r w:rsidR="00AF6E74" w:rsidRPr="00657E68">
        <w:rPr>
          <w:rFonts w:ascii="Verdana" w:hAnsi="Verdana" w:cs="Arial"/>
          <w:sz w:val="20"/>
          <w:szCs w:val="20"/>
        </w:rPr>
        <w:t xml:space="preserve"> Modificase el inciso primero del literal c) del numeral 4 del artículo </w:t>
      </w:r>
      <w:hyperlink r:id="rId12" w:anchor="2" w:history="1">
        <w:r w:rsidR="00AF6E74" w:rsidRPr="00657E68">
          <w:rPr>
            <w:rStyle w:val="Hipervnculo"/>
            <w:rFonts w:ascii="Verdana" w:eastAsiaTheme="majorEastAsia" w:hAnsi="Verdana" w:cs="Arial"/>
            <w:color w:val="auto"/>
            <w:sz w:val="20"/>
            <w:szCs w:val="20"/>
            <w:u w:val="none"/>
          </w:rPr>
          <w:t>2</w:t>
        </w:r>
      </w:hyperlink>
      <w:r w:rsidR="00AF6E74" w:rsidRPr="00657E68">
        <w:rPr>
          <w:rFonts w:ascii="Verdana" w:hAnsi="Verdana" w:cs="Arial"/>
          <w:sz w:val="20"/>
          <w:szCs w:val="20"/>
        </w:rPr>
        <w:t>o de la Ley 1150 de 2007, el cual quedará así:</w:t>
      </w:r>
    </w:p>
    <w:p w14:paraId="0B278932" w14:textId="77777777" w:rsidR="00AF6E74" w:rsidRPr="00657E68" w:rsidRDefault="00AF6E74" w:rsidP="00657E68">
      <w:pPr>
        <w:pStyle w:val="NormalWeb"/>
        <w:spacing w:before="0" w:beforeAutospacing="0" w:after="0" w:afterAutospacing="0"/>
        <w:ind w:left="709" w:right="709"/>
        <w:jc w:val="both"/>
        <w:rPr>
          <w:rFonts w:ascii="Verdana" w:hAnsi="Verdana" w:cs="Arial"/>
          <w:sz w:val="20"/>
          <w:szCs w:val="20"/>
        </w:rPr>
      </w:pPr>
    </w:p>
    <w:p w14:paraId="06C6EB8E" w14:textId="77777777" w:rsidR="00AF6E74" w:rsidRPr="00657E68" w:rsidRDefault="00AF6E74" w:rsidP="00657E68">
      <w:pPr>
        <w:pStyle w:val="NormalWeb"/>
        <w:spacing w:before="0" w:beforeAutospacing="0" w:after="0" w:afterAutospacing="0"/>
        <w:ind w:left="709" w:right="709"/>
        <w:jc w:val="both"/>
        <w:rPr>
          <w:rFonts w:ascii="Verdana" w:hAnsi="Verdana" w:cs="Arial"/>
          <w:sz w:val="20"/>
          <w:szCs w:val="20"/>
        </w:rPr>
      </w:pPr>
      <w:r w:rsidRPr="00657E68">
        <w:rPr>
          <w:rFonts w:ascii="Verdana" w:hAnsi="Verdana" w:cs="Arial"/>
          <w:sz w:val="20"/>
          <w:szCs w:val="20"/>
        </w:rPr>
        <w:t>c) Contratos interadministrativos, siempre que las obligaciones derivadas del mismo tengan relación directa con el objeto de la entidad ejecutora señalado en la ley o en sus reglamentos.</w:t>
      </w:r>
    </w:p>
    <w:p w14:paraId="18475665" w14:textId="77777777" w:rsidR="00AF6E74" w:rsidRPr="00657E68" w:rsidRDefault="00AF6E74" w:rsidP="00657E68">
      <w:pPr>
        <w:pStyle w:val="NormalWeb"/>
        <w:spacing w:before="0" w:beforeAutospacing="0" w:after="0" w:afterAutospacing="0"/>
        <w:ind w:left="709" w:right="709"/>
        <w:jc w:val="both"/>
        <w:rPr>
          <w:rFonts w:ascii="Verdana" w:hAnsi="Verdana" w:cs="Arial"/>
          <w:sz w:val="20"/>
          <w:szCs w:val="20"/>
        </w:rPr>
      </w:pPr>
    </w:p>
    <w:p w14:paraId="03CA0FD3" w14:textId="0A5C1B83" w:rsidR="00AF6E74" w:rsidRPr="00657E68" w:rsidRDefault="00AF6E74" w:rsidP="00657E68">
      <w:pPr>
        <w:pStyle w:val="NormalWeb"/>
        <w:spacing w:before="0" w:beforeAutospacing="0" w:after="0" w:afterAutospacing="0"/>
        <w:ind w:left="709" w:right="709"/>
        <w:jc w:val="both"/>
        <w:rPr>
          <w:rFonts w:ascii="Verdana" w:hAnsi="Verdana" w:cs="Arial"/>
          <w:sz w:val="20"/>
          <w:szCs w:val="20"/>
        </w:rPr>
      </w:pPr>
      <w:r w:rsidRPr="00657E68">
        <w:rPr>
          <w:rFonts w:ascii="Verdana" w:hAnsi="Verdana" w:cs="Arial"/>
          <w:sz w:val="20"/>
          <w:szCs w:val="20"/>
        </w:rPr>
        <w:t xml:space="preserve">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w:t>
      </w:r>
      <w:r w:rsidRPr="00657E68">
        <w:rPr>
          <w:rFonts w:ascii="Verdana" w:hAnsi="Verdana" w:cs="Arial"/>
          <w:sz w:val="20"/>
          <w:szCs w:val="20"/>
        </w:rPr>
        <w:lastRenderedPageBreak/>
        <w:t>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r w:rsidR="00EB2CC4" w:rsidRPr="00657E68">
        <w:rPr>
          <w:rFonts w:ascii="Verdana" w:hAnsi="Verdana" w:cs="Arial"/>
          <w:sz w:val="20"/>
          <w:szCs w:val="20"/>
        </w:rPr>
        <w:t>”</w:t>
      </w:r>
      <w:r w:rsidRPr="00657E68">
        <w:rPr>
          <w:rFonts w:ascii="Verdana" w:hAnsi="Verdana" w:cs="Arial"/>
          <w:sz w:val="20"/>
          <w:szCs w:val="20"/>
        </w:rPr>
        <w:t>.</w:t>
      </w:r>
    </w:p>
    <w:p w14:paraId="79CDCECA" w14:textId="77777777" w:rsidR="00AF6E74" w:rsidRPr="00936114" w:rsidRDefault="00AF6E74" w:rsidP="00413FF9">
      <w:pPr>
        <w:pStyle w:val="NormalWeb"/>
        <w:spacing w:before="0" w:beforeAutospacing="0" w:after="0" w:afterAutospacing="0" w:line="276" w:lineRule="auto"/>
        <w:ind w:left="346"/>
        <w:jc w:val="both"/>
        <w:rPr>
          <w:rFonts w:ascii="Verdana" w:hAnsi="Verdana" w:cs="Arial"/>
          <w:sz w:val="22"/>
          <w:szCs w:val="22"/>
        </w:rPr>
      </w:pPr>
    </w:p>
    <w:p w14:paraId="678323FA" w14:textId="77777777" w:rsidR="00AF6E74" w:rsidRPr="00936114" w:rsidRDefault="00AF6E74" w:rsidP="00413FF9">
      <w:pPr>
        <w:spacing w:after="120" w:line="276" w:lineRule="auto"/>
        <w:ind w:firstLine="709"/>
        <w:jc w:val="both"/>
        <w:rPr>
          <w:rFonts w:ascii="Verdana" w:eastAsia="Calibri" w:hAnsi="Verdana" w:cs="Arial"/>
          <w:color w:val="000000" w:themeColor="text1"/>
          <w:lang w:val="es-ES_tradnl"/>
        </w:rPr>
      </w:pPr>
      <w:bookmarkStart w:id="10" w:name="_Hlk175506461"/>
      <w:r w:rsidRPr="00936114">
        <w:rPr>
          <w:rFonts w:ascii="Verdana" w:eastAsia="Calibri" w:hAnsi="Verdana" w:cs="Arial"/>
          <w:color w:val="000000" w:themeColor="text1"/>
          <w:lang w:val="es-ES_tradnl"/>
        </w:rPr>
        <w:t>Según el inciso primero del literal trascrito, la suscripción de contratos interadministrativos de forma directa, conforme a dicha causal, está sujeta a que las obligaciones del negocio jurídico tengan relación directa con el objeto de la entidad ejecutora, establecido en la ley o en sus reglamentos. La condición impuesta por el legislador para la suscripción de estos contratos se establece a efectos de constatar que el ejecutante cuente con la capacidad jurídica para contraer las obligaciones establecidas en el contrato.</w:t>
      </w:r>
    </w:p>
    <w:bookmarkEnd w:id="10"/>
    <w:p w14:paraId="6D957621" w14:textId="681B0E9D" w:rsidR="00AF6E74" w:rsidRPr="00936114" w:rsidRDefault="00AF6E74" w:rsidP="00413FF9">
      <w:pPr>
        <w:spacing w:after="120" w:line="276" w:lineRule="auto"/>
        <w:ind w:firstLine="709"/>
        <w:jc w:val="both"/>
        <w:rPr>
          <w:rFonts w:ascii="Verdana" w:eastAsia="Calibri" w:hAnsi="Verdana" w:cs="Arial"/>
          <w:color w:val="000000" w:themeColor="text1"/>
          <w:lang w:val="es-ES_tradnl"/>
        </w:rPr>
      </w:pPr>
      <w:r w:rsidRPr="00936114">
        <w:rPr>
          <w:rFonts w:ascii="Verdana" w:eastAsia="Calibri" w:hAnsi="Verdana" w:cs="Arial"/>
          <w:color w:val="000000" w:themeColor="text1"/>
          <w:lang w:val="es-ES_tradnl"/>
        </w:rPr>
        <w:t>De otro lado, para efectos de responder su consulta, se encuentra que el inciso segundo establece una limitación a la contratación directa mediante la causal del literal c) – transcrito anteriormente – dirigido a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De manera que cuando ellas sean las ejecutoras, no se pueden celebrar contratos interadministrativos de manera directa, utilizando la causal del literal c), en tratándose de “contratos de obra, suministro, prestación de servicios de evaluación de conformidad respecto de las normas o reglamentos técnicos, encargos fiduciarios y fiducia pública”, los primeros a los cuales se refiere en su escrito.</w:t>
      </w:r>
    </w:p>
    <w:p w14:paraId="19E1B7B1" w14:textId="77777777" w:rsidR="00AF6E74" w:rsidRPr="00936114" w:rsidRDefault="00AF6E74" w:rsidP="00413FF9">
      <w:pPr>
        <w:spacing w:after="120" w:line="276" w:lineRule="auto"/>
        <w:ind w:firstLine="708"/>
        <w:jc w:val="both"/>
        <w:rPr>
          <w:rFonts w:ascii="Verdana" w:eastAsia="Calibri" w:hAnsi="Verdana" w:cs="Arial"/>
          <w:color w:val="000000" w:themeColor="text1"/>
        </w:rPr>
      </w:pPr>
      <w:r w:rsidRPr="00936114">
        <w:rPr>
          <w:rFonts w:ascii="Verdana" w:eastAsia="Calibri" w:hAnsi="Verdana" w:cs="Arial"/>
          <w:color w:val="000000" w:themeColor="text1"/>
        </w:rPr>
        <w:t xml:space="preserve">Conviene señalar que la excepción contenida en la norma mencionada – concretamente en el inciso segundo – determina de manera explícita los sujetos a los cuales les es aplicable la restricción contenida en dicho artículo, que incluye la celebración de contratos o convenios interadministrativos cuando se trate, entre otros, de un contrato de obra. Esta disposición exceptuó celebrar de manera directa contratos o convenios interadministrativos cuando se trate de un contrato de obra cuya entidad ejecutora sea una institución de educación superior pública o una Sociedad de Economía Mixta con participación mayoritaria del Estado, o una persona jurídica sin ánimo de lucro conformada por la asociación de Entidades Públicas, o una federación de entidades territoriales. </w:t>
      </w:r>
    </w:p>
    <w:p w14:paraId="4C72EE19" w14:textId="77777777" w:rsidR="00AF6E74" w:rsidRPr="00936114" w:rsidRDefault="00AF6E74" w:rsidP="00C10537">
      <w:pPr>
        <w:spacing w:after="0" w:line="276" w:lineRule="auto"/>
        <w:ind w:firstLine="709"/>
        <w:jc w:val="both"/>
        <w:rPr>
          <w:rFonts w:ascii="Verdana" w:eastAsia="Calibri" w:hAnsi="Verdana" w:cs="Arial"/>
          <w:color w:val="000000" w:themeColor="text1"/>
          <w:lang w:val="es-ES_tradnl"/>
        </w:rPr>
      </w:pPr>
      <w:r w:rsidRPr="00936114">
        <w:rPr>
          <w:rFonts w:ascii="Verdana" w:eastAsia="Calibri" w:hAnsi="Verdana" w:cs="Arial"/>
          <w:color w:val="000000" w:themeColor="text1"/>
          <w:lang w:val="es-ES_tradnl"/>
        </w:rPr>
        <w:lastRenderedPageBreak/>
        <w:t>En esta línea, la Sala de Consulta y Servicio Civil</w:t>
      </w:r>
      <w:r w:rsidRPr="00936114">
        <w:rPr>
          <w:rStyle w:val="Refdenotaalpie"/>
          <w:rFonts w:ascii="Verdana" w:eastAsia="Calibri" w:hAnsi="Verdana" w:cs="Arial"/>
          <w:color w:val="000000" w:themeColor="text1"/>
          <w:lang w:val="es-ES_tradnl"/>
        </w:rPr>
        <w:footnoteReference w:id="12"/>
      </w:r>
      <w:r w:rsidRPr="00936114">
        <w:rPr>
          <w:rFonts w:ascii="Verdana" w:eastAsia="Calibri" w:hAnsi="Verdana" w:cs="Arial"/>
          <w:color w:val="000000" w:themeColor="text1"/>
          <w:lang w:val="es-ES_tradnl"/>
        </w:rPr>
        <w:t xml:space="preserve"> precisó sobre el alcance de la modificación introducida por el artículo 92 de la Ley 1474 de 2011 al literal c) del numeral 4 del artículo 2 de la Ley 1150 de 2007, y en particular, sobre la restricción establecida en el inciso segundo de la norma referida, lo siguiente: </w:t>
      </w:r>
    </w:p>
    <w:p w14:paraId="70252241" w14:textId="77777777" w:rsidR="00AF6E74" w:rsidRPr="00936114" w:rsidRDefault="00AF6E74" w:rsidP="009D3C76">
      <w:pPr>
        <w:pStyle w:val="Textoindependiente"/>
        <w:spacing w:line="276" w:lineRule="auto"/>
        <w:ind w:left="346"/>
        <w:rPr>
          <w:rFonts w:ascii="Verdana" w:hAnsi="Verdana"/>
          <w:sz w:val="22"/>
          <w:szCs w:val="22"/>
        </w:rPr>
      </w:pPr>
    </w:p>
    <w:p w14:paraId="5B9FFB0B" w14:textId="7C003430" w:rsidR="00AF6E74" w:rsidRPr="00936114" w:rsidRDefault="009D3C76" w:rsidP="00C10537">
      <w:pPr>
        <w:pStyle w:val="Textoindependiente"/>
        <w:ind w:left="709" w:right="709"/>
        <w:jc w:val="both"/>
        <w:rPr>
          <w:rFonts w:ascii="Verdana" w:hAnsi="Verdana"/>
        </w:rPr>
      </w:pPr>
      <w:r w:rsidRPr="00936114">
        <w:rPr>
          <w:rFonts w:ascii="Verdana" w:hAnsi="Verdana"/>
        </w:rPr>
        <w:t>“</w:t>
      </w:r>
      <w:r w:rsidR="00AF6E74" w:rsidRPr="00936114">
        <w:rPr>
          <w:rFonts w:ascii="Verdana" w:hAnsi="Verdana"/>
        </w:rPr>
        <w:t xml:space="preserve">[..] La suscripción de contratos interadministrativos </w:t>
      </w:r>
      <w:r w:rsidR="00AF6E74" w:rsidRPr="00936114">
        <w:rPr>
          <w:rFonts w:ascii="Verdana" w:eastAsia="Calibri" w:hAnsi="Verdana"/>
          <w:color w:val="000000" w:themeColor="text1"/>
          <w:lang w:val="es-ES_tradnl"/>
        </w:rPr>
        <w:t>«</w:t>
      </w:r>
      <w:r w:rsidR="00AF6E74" w:rsidRPr="00936114">
        <w:rPr>
          <w:rFonts w:ascii="Verdana" w:hAnsi="Verdana"/>
        </w:rPr>
        <w:t>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w:t>
      </w:r>
      <w:r w:rsidR="00AF6E74" w:rsidRPr="00936114">
        <w:rPr>
          <w:rFonts w:ascii="Verdana" w:eastAsia="Calibri" w:hAnsi="Verdana"/>
          <w:color w:val="000000" w:themeColor="text1"/>
          <w:lang w:val="es-ES_tradnl"/>
        </w:rPr>
        <w:t>»</w:t>
      </w:r>
      <w:r w:rsidR="00AF6E74" w:rsidRPr="00936114">
        <w:rPr>
          <w:rFonts w:ascii="Verdana" w:hAnsi="Verdana"/>
        </w:rPr>
        <w:t>, debe estar precedida de licitación pública o selección abreviada; solamente en los demás casos, podrá acudirse al sistema de contratación directa (literal c, inciso 2).</w:t>
      </w:r>
    </w:p>
    <w:p w14:paraId="236EB056" w14:textId="77777777" w:rsidR="00AF6E74" w:rsidRPr="00936114" w:rsidRDefault="00AF6E74" w:rsidP="00C10537">
      <w:pPr>
        <w:pStyle w:val="Textoindependiente"/>
        <w:ind w:left="709" w:right="709"/>
        <w:jc w:val="both"/>
        <w:rPr>
          <w:rFonts w:ascii="Verdana" w:hAnsi="Verdana"/>
        </w:rPr>
      </w:pPr>
    </w:p>
    <w:p w14:paraId="686F96D3" w14:textId="29485118" w:rsidR="00AF6E74" w:rsidRPr="00936114" w:rsidRDefault="00AF6E74" w:rsidP="00C10537">
      <w:pPr>
        <w:pStyle w:val="Textoindependiente"/>
        <w:ind w:left="709" w:right="709"/>
        <w:jc w:val="both"/>
        <w:rPr>
          <w:rFonts w:ascii="Verdana" w:hAnsi="Verdana"/>
        </w:rPr>
      </w:pPr>
      <w:r w:rsidRPr="00936114">
        <w:rPr>
          <w:rFonts w:ascii="Verdana" w:hAnsi="Verdana"/>
        </w:rPr>
        <w:t xml:space="preserve">La Sala aclara que, en todo caso y aún en los eventos de licitación pública o selección abreviada, el contrato debe tener relación directa con el objeto de la entidad ejecutora; en ese sentido, el inciso segundo de la norma en </w:t>
      </w:r>
      <w:proofErr w:type="gramStart"/>
      <w:r w:rsidRPr="00936114">
        <w:rPr>
          <w:rFonts w:ascii="Verdana" w:hAnsi="Verdana"/>
        </w:rPr>
        <w:t>cita,</w:t>
      </w:r>
      <w:proofErr w:type="gramEnd"/>
      <w:r w:rsidRPr="00936114">
        <w:rPr>
          <w:rFonts w:ascii="Verdana" w:hAnsi="Verdana"/>
        </w:rPr>
        <w:t xml:space="preserve"> no puede ser interpretado como una autorización para celebrar contratos que no tengan relación con el objeto de la entidad ejecutora. La excepción que consagra dicho inciso se refiere solamente a que los contratos allí referidos no pueden celebrarse por contratación </w:t>
      </w:r>
      <w:proofErr w:type="gramStart"/>
      <w:r w:rsidRPr="00936114">
        <w:rPr>
          <w:rFonts w:ascii="Verdana" w:hAnsi="Verdana"/>
        </w:rPr>
        <w:t>directa</w:t>
      </w:r>
      <w:proofErr w:type="gramEnd"/>
      <w:r w:rsidRPr="00936114">
        <w:rPr>
          <w:rFonts w:ascii="Verdana" w:hAnsi="Verdana"/>
        </w:rPr>
        <w:t xml:space="preserve"> sino que requieren agotar un proceso previo de licitación pública o selección abreviada</w:t>
      </w:r>
      <w:r w:rsidR="009D3C76" w:rsidRPr="00936114">
        <w:rPr>
          <w:rFonts w:ascii="Verdana" w:hAnsi="Verdana"/>
        </w:rPr>
        <w:t>”</w:t>
      </w:r>
      <w:r w:rsidRPr="00936114">
        <w:rPr>
          <w:rFonts w:ascii="Verdana" w:hAnsi="Verdana"/>
        </w:rPr>
        <w:t>.</w:t>
      </w:r>
    </w:p>
    <w:p w14:paraId="1BFA16B7" w14:textId="77777777" w:rsidR="00AF6E74" w:rsidRPr="00936114" w:rsidRDefault="00AF6E74" w:rsidP="00413FF9">
      <w:pPr>
        <w:pStyle w:val="Prrafodelista"/>
        <w:spacing w:after="0" w:line="276" w:lineRule="auto"/>
        <w:jc w:val="both"/>
        <w:rPr>
          <w:rFonts w:ascii="Verdana" w:eastAsia="Calibri" w:hAnsi="Verdana" w:cs="Arial"/>
          <w:color w:val="000000" w:themeColor="text1"/>
          <w:lang w:val="es-ES_tradnl"/>
        </w:rPr>
      </w:pPr>
    </w:p>
    <w:p w14:paraId="644619D5" w14:textId="77777777" w:rsidR="00AF6E74" w:rsidRPr="00936114" w:rsidRDefault="00AF6E74" w:rsidP="00146479">
      <w:pPr>
        <w:spacing w:after="120" w:line="276" w:lineRule="auto"/>
        <w:ind w:firstLine="709"/>
        <w:jc w:val="both"/>
        <w:rPr>
          <w:rFonts w:ascii="Verdana" w:eastAsia="Calibri" w:hAnsi="Verdana" w:cs="Arial"/>
          <w:color w:val="000000" w:themeColor="text1"/>
        </w:rPr>
      </w:pPr>
      <w:r w:rsidRPr="00936114">
        <w:rPr>
          <w:rFonts w:ascii="Verdana" w:eastAsia="Calibri" w:hAnsi="Verdana" w:cs="Arial"/>
          <w:color w:val="000000" w:themeColor="text1"/>
        </w:rPr>
        <w:t xml:space="preserve">Así las cosas, de conformidad con lo establecido por el artículo 92 de la Ley 1474 de 2011, mediante el cual se modificó el literal c) del numeral 4 del artículo 2 de la Ley 1150 de 2007, sin perjuicio de lo dispuesto en otras disposiciones normativas que resulten aplicables, el alcance de la excepción establecida en la norma referida se circunscribe a las entidades mencionadas en el inciso segundo de este artículo. De modo que, estas entidades, cuando sean las ejecutoras, no podrán celebrar bajo la modalidad de contratación directa la suscripción de los contratos interadministrativos mencionados en ella, entre ellos, el contrato de obra, sin perjuicio de que dichas entidades participen y, eventualmente, celebren dichos contratos luego de ser seleccionados a través de modalidades como la licitación pública o selección abreviada, según corresponda. </w:t>
      </w:r>
    </w:p>
    <w:p w14:paraId="46AA3340" w14:textId="77777777" w:rsidR="00AF6E74" w:rsidRPr="00936114" w:rsidRDefault="00AF6E74" w:rsidP="00146479">
      <w:pPr>
        <w:spacing w:after="120" w:line="276" w:lineRule="auto"/>
        <w:ind w:firstLine="708"/>
        <w:jc w:val="both"/>
        <w:rPr>
          <w:rFonts w:ascii="Verdana" w:eastAsia="Calibri" w:hAnsi="Verdana" w:cs="Arial"/>
          <w:color w:val="000000" w:themeColor="text1"/>
          <w:lang w:val="es-ES_tradnl"/>
        </w:rPr>
      </w:pPr>
      <w:r w:rsidRPr="00936114">
        <w:rPr>
          <w:rFonts w:ascii="Verdana" w:eastAsia="Calibri" w:hAnsi="Verdana" w:cs="Arial"/>
          <w:color w:val="000000" w:themeColor="text1"/>
          <w:lang w:val="es-ES_tradnl"/>
        </w:rPr>
        <w:lastRenderedPageBreak/>
        <w:t>Por tanto, para esta Agencia, el ámbito de aplicación de la regla referida es de alcance restrictivo, dado que se circunscribe a los contratos y entidades señaladas en el inciso segundo del literal c) analizado, por lo que la prohibición aplica cuando confluyan ambos elementos. En este sentido, cuando se trate de otros objetos contractuales o cuando sean celebrados por entidades distintas a las enlistadas en el inciso segundo, no aplicará la excepción establecida en la regla referida y, en consecuencia, las entidades podrían celebrar los contratos bajo la modalidad de contratación directa, sin perjuicio de observar las demás disposiciones del ordenamiento jurídico, correspondiendo a cada entidad definir la conveniencia y procedencia jurídica, técnica y financiera de su celebración.</w:t>
      </w:r>
    </w:p>
    <w:p w14:paraId="7837D129" w14:textId="77777777" w:rsidR="00AF6E74" w:rsidRPr="00936114" w:rsidRDefault="00AF6E74" w:rsidP="00146479">
      <w:pPr>
        <w:spacing w:after="0" w:line="276" w:lineRule="auto"/>
        <w:ind w:firstLine="709"/>
        <w:jc w:val="both"/>
        <w:rPr>
          <w:rFonts w:ascii="Verdana" w:eastAsia="Calibri" w:hAnsi="Verdana" w:cs="Arial"/>
          <w:color w:val="000000" w:themeColor="text1"/>
        </w:rPr>
      </w:pPr>
      <w:r w:rsidRPr="00936114">
        <w:rPr>
          <w:rFonts w:ascii="Verdana" w:eastAsia="Calibri" w:hAnsi="Verdana" w:cs="Arial"/>
          <w:color w:val="000000" w:themeColor="text1"/>
        </w:rPr>
        <w:t>En particular, teniendo en cuenta la consulta del peticionario, se observa que la restricción establecida en el inciso segundo del literal c) no se extendió a las EICE, las cuales ostentan una naturaleza jurídica particular, de acuerdo con lo establecido en la Ley 489 de 1998 – artículo 38, entre otros –, por lo cual no es posible asimilarlas a alguno de los tipos de entidades enlistadas en el inciso segundo del literal c) analizado. En particular, cabe destacar que la Ley 489 de 1998 regula como Entidades Estatales distintas, entre otras, por un lado, a las EICE y, por otro, a las Sociedades de Economía Mixta</w:t>
      </w:r>
      <w:bookmarkStart w:id="11" w:name="_Hlk82437628"/>
      <w:r w:rsidRPr="00936114">
        <w:rPr>
          <w:rFonts w:ascii="Verdana" w:hAnsi="Verdana"/>
          <w:vertAlign w:val="superscript"/>
        </w:rPr>
        <w:footnoteReference w:id="13"/>
      </w:r>
      <w:r w:rsidRPr="00936114">
        <w:rPr>
          <w:rFonts w:ascii="Verdana" w:eastAsia="Calibri" w:hAnsi="Verdana" w:cs="Arial"/>
          <w:color w:val="000000" w:themeColor="text1"/>
        </w:rPr>
        <w:t>.</w:t>
      </w:r>
    </w:p>
    <w:bookmarkEnd w:id="11"/>
    <w:p w14:paraId="106010C0" w14:textId="77777777" w:rsidR="00AF6E74" w:rsidRPr="00936114" w:rsidRDefault="00AF6E74" w:rsidP="00AF6E74">
      <w:pPr>
        <w:widowControl w:val="0"/>
        <w:autoSpaceDE w:val="0"/>
        <w:autoSpaceDN w:val="0"/>
        <w:spacing w:after="0" w:line="276" w:lineRule="auto"/>
        <w:jc w:val="both"/>
        <w:rPr>
          <w:rFonts w:ascii="Verdana" w:hAnsi="Verdana" w:cs="Arial"/>
        </w:rPr>
      </w:pPr>
    </w:p>
    <w:p w14:paraId="506F5D28" w14:textId="77777777" w:rsidR="00AF6E74" w:rsidRPr="00936114" w:rsidRDefault="00AF6E74" w:rsidP="00AF6E74">
      <w:pPr>
        <w:pStyle w:val="Prrafodelista"/>
        <w:numPr>
          <w:ilvl w:val="0"/>
          <w:numId w:val="17"/>
        </w:numPr>
        <w:tabs>
          <w:tab w:val="left" w:pos="142"/>
          <w:tab w:val="left" w:pos="284"/>
        </w:tabs>
        <w:spacing w:after="0" w:line="276" w:lineRule="auto"/>
        <w:contextualSpacing w:val="0"/>
        <w:jc w:val="both"/>
        <w:rPr>
          <w:rFonts w:ascii="Verdana" w:eastAsia="Century Gothic" w:hAnsi="Verdana" w:cs="Century Gothic"/>
          <w:b/>
          <w:bCs/>
        </w:rPr>
      </w:pPr>
      <w:r w:rsidRPr="00936114">
        <w:rPr>
          <w:rFonts w:ascii="Verdana" w:eastAsia="Century Gothic" w:hAnsi="Verdana" w:cs="Century Gothic"/>
          <w:b/>
          <w:bCs/>
        </w:rPr>
        <w:t>Referencias normativas, jurisprudenciales y otras fuentes:</w:t>
      </w:r>
    </w:p>
    <w:p w14:paraId="5B55A557" w14:textId="77777777" w:rsidR="00AF6E74" w:rsidRPr="00936114" w:rsidRDefault="00AF6E74" w:rsidP="00AF6E7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F6E74" w:rsidRPr="00936114" w14:paraId="08186EFA" w14:textId="77777777" w:rsidTr="00DF0C95">
        <w:trPr>
          <w:trHeight w:val="870"/>
        </w:trPr>
        <w:tc>
          <w:tcPr>
            <w:tcW w:w="8647" w:type="dxa"/>
          </w:tcPr>
          <w:p w14:paraId="7FB4E453" w14:textId="77777777" w:rsidR="00AF6E74" w:rsidRPr="00936114" w:rsidRDefault="00AF6E74" w:rsidP="00AF6E74">
            <w:pPr>
              <w:pStyle w:val="Prrafodelista"/>
              <w:numPr>
                <w:ilvl w:val="0"/>
                <w:numId w:val="19"/>
              </w:numPr>
              <w:spacing w:line="276" w:lineRule="auto"/>
              <w:ind w:left="360"/>
              <w:jc w:val="both"/>
              <w:rPr>
                <w:rFonts w:ascii="Verdana" w:eastAsia="Calibri" w:hAnsi="Verdana" w:cs="Arial"/>
                <w:color w:val="000000" w:themeColor="text1"/>
                <w:lang w:val="es-ES_tradnl"/>
              </w:rPr>
            </w:pPr>
            <w:r w:rsidRPr="00936114">
              <w:rPr>
                <w:rFonts w:ascii="Verdana" w:eastAsia="Calibri" w:hAnsi="Verdana" w:cs="Arial"/>
                <w:color w:val="000000" w:themeColor="text1"/>
              </w:rPr>
              <w:t xml:space="preserve">Ley 1150 de 2007: Artículo 2, numeral 4, literal c)– modificado por el artículo 92 de la Ley 1474 de 2011. </w:t>
            </w:r>
          </w:p>
          <w:p w14:paraId="59A84FAB" w14:textId="77777777" w:rsidR="00AF6E74" w:rsidRPr="00936114" w:rsidRDefault="00AF6E74" w:rsidP="00DF0C95">
            <w:pPr>
              <w:spacing w:line="276" w:lineRule="auto"/>
              <w:jc w:val="both"/>
              <w:rPr>
                <w:rFonts w:ascii="Verdana" w:hAnsi="Verdana" w:cs="Arial"/>
              </w:rPr>
            </w:pPr>
          </w:p>
          <w:p w14:paraId="2905355B" w14:textId="77777777" w:rsidR="00AF6E74" w:rsidRPr="00936114" w:rsidRDefault="00AF6E74" w:rsidP="00AF6E74">
            <w:pPr>
              <w:pStyle w:val="Prrafodelista"/>
              <w:numPr>
                <w:ilvl w:val="0"/>
                <w:numId w:val="19"/>
              </w:numPr>
              <w:spacing w:line="276" w:lineRule="auto"/>
              <w:ind w:left="360"/>
              <w:jc w:val="both"/>
              <w:rPr>
                <w:rFonts w:ascii="Verdana" w:hAnsi="Verdana" w:cs="Arial"/>
              </w:rPr>
            </w:pPr>
            <w:r w:rsidRPr="00936114">
              <w:rPr>
                <w:rFonts w:ascii="Verdana" w:hAnsi="Verdana" w:cs="Arial"/>
              </w:rPr>
              <w:t>Ley 1150 de 2007: Artículo 14 – modificado por el artículo 93 de la Ley 1474 de 2011.</w:t>
            </w:r>
          </w:p>
          <w:p w14:paraId="47DC9C8E" w14:textId="77777777" w:rsidR="00AF6E74" w:rsidRPr="00936114" w:rsidRDefault="00AF6E74" w:rsidP="00DF0C95">
            <w:pPr>
              <w:spacing w:line="276" w:lineRule="auto"/>
              <w:jc w:val="both"/>
              <w:rPr>
                <w:rFonts w:ascii="Verdana" w:hAnsi="Verdana" w:cs="Arial"/>
              </w:rPr>
            </w:pPr>
          </w:p>
          <w:p w14:paraId="756ECBC6" w14:textId="77777777" w:rsidR="00AF6E74" w:rsidRPr="00936114" w:rsidRDefault="00AF6E74" w:rsidP="00AF6E74">
            <w:pPr>
              <w:pStyle w:val="Prrafodelista"/>
              <w:numPr>
                <w:ilvl w:val="0"/>
                <w:numId w:val="19"/>
              </w:numPr>
              <w:spacing w:line="276" w:lineRule="auto"/>
              <w:ind w:left="360"/>
              <w:jc w:val="both"/>
              <w:rPr>
                <w:rFonts w:ascii="Verdana" w:hAnsi="Verdana" w:cs="Arial"/>
              </w:rPr>
            </w:pPr>
            <w:r w:rsidRPr="00936114">
              <w:rPr>
                <w:rFonts w:ascii="Verdana" w:hAnsi="Verdana" w:cs="Arial"/>
                <w:color w:val="000000" w:themeColor="text1"/>
              </w:rPr>
              <w:t>Decreto 1082 de 2015: Artículo 2.2.1.2.1.4.4.</w:t>
            </w:r>
          </w:p>
          <w:p w14:paraId="368C631E" w14:textId="77777777" w:rsidR="00AF6E74" w:rsidRPr="00936114" w:rsidRDefault="00AF6E74" w:rsidP="00DF0C95">
            <w:pPr>
              <w:spacing w:line="276" w:lineRule="auto"/>
              <w:ind w:hanging="360"/>
              <w:jc w:val="both"/>
              <w:rPr>
                <w:rFonts w:ascii="Verdana" w:eastAsia="Calibri" w:hAnsi="Verdana" w:cs="Arial"/>
                <w:color w:val="000000" w:themeColor="text1"/>
                <w:lang w:val="es-ES_tradnl"/>
              </w:rPr>
            </w:pPr>
          </w:p>
          <w:p w14:paraId="42C336DD" w14:textId="77777777" w:rsidR="00AF6E74" w:rsidRPr="00936114" w:rsidRDefault="00AF6E74" w:rsidP="00AF6E74">
            <w:pPr>
              <w:pStyle w:val="Prrafodelista"/>
              <w:numPr>
                <w:ilvl w:val="0"/>
                <w:numId w:val="19"/>
              </w:numPr>
              <w:spacing w:line="276" w:lineRule="auto"/>
              <w:ind w:left="360"/>
              <w:jc w:val="both"/>
              <w:rPr>
                <w:rFonts w:ascii="Verdana" w:hAnsi="Verdana"/>
              </w:rPr>
            </w:pPr>
            <w:r w:rsidRPr="00936114">
              <w:rPr>
                <w:rFonts w:ascii="Verdana" w:hAnsi="Verdana" w:cs="Arial"/>
              </w:rPr>
              <w:t>Consejo de Estado. Sala de Consulta y Servicio Civil. Concepto de 28 de junio de 2012. Rad: 11001-03-06-000-2012-00016-00(2092). Consejero Ponente: William Zambrano Cetina.</w:t>
            </w:r>
          </w:p>
          <w:p w14:paraId="561C8244" w14:textId="77777777" w:rsidR="00AF6E74" w:rsidRPr="00936114" w:rsidRDefault="00AF6E74" w:rsidP="00DF0C95">
            <w:pPr>
              <w:spacing w:line="276" w:lineRule="auto"/>
              <w:ind w:left="-360"/>
              <w:jc w:val="both"/>
              <w:rPr>
                <w:rFonts w:ascii="Verdana" w:eastAsia="Calibri" w:hAnsi="Verdana" w:cs="Arial"/>
                <w:color w:val="000000" w:themeColor="text1"/>
                <w:lang w:val="es-ES_tradnl"/>
              </w:rPr>
            </w:pPr>
          </w:p>
          <w:p w14:paraId="1EBE5D92" w14:textId="77777777" w:rsidR="00AF6E74" w:rsidRPr="00936114" w:rsidRDefault="00AF6E74" w:rsidP="00AF6E74">
            <w:pPr>
              <w:pStyle w:val="Prrafodelista"/>
              <w:numPr>
                <w:ilvl w:val="0"/>
                <w:numId w:val="19"/>
              </w:numPr>
              <w:spacing w:line="276" w:lineRule="auto"/>
              <w:ind w:left="360"/>
              <w:jc w:val="both"/>
              <w:rPr>
                <w:rFonts w:ascii="Verdana" w:hAnsi="Verdana"/>
                <w:lang w:val="es-ES_tradnl"/>
              </w:rPr>
            </w:pPr>
            <w:r w:rsidRPr="00936114">
              <w:rPr>
                <w:rFonts w:ascii="Verdana" w:hAnsi="Verdana" w:cs="Arial"/>
              </w:rPr>
              <w:t xml:space="preserve">Consejo de Estado. Sala de la Contencioso Administrativo. Sección Tercera. Sentencia del 19 de agosto de 2004 </w:t>
            </w:r>
            <w:proofErr w:type="spellStart"/>
            <w:r w:rsidRPr="00936114">
              <w:rPr>
                <w:rFonts w:ascii="Verdana" w:hAnsi="Verdana" w:cs="Arial"/>
              </w:rPr>
              <w:t>Exp</w:t>
            </w:r>
            <w:proofErr w:type="spellEnd"/>
            <w:r w:rsidRPr="00936114">
              <w:rPr>
                <w:rFonts w:ascii="Verdana" w:hAnsi="Verdana" w:cs="Arial"/>
              </w:rPr>
              <w:t xml:space="preserve">. 12.342, reiterada en sentencia de 6 de febrero de 2006, </w:t>
            </w:r>
            <w:proofErr w:type="spellStart"/>
            <w:r w:rsidRPr="00936114">
              <w:rPr>
                <w:rFonts w:ascii="Verdana" w:hAnsi="Verdana" w:cs="Arial"/>
              </w:rPr>
              <w:t>Exp</w:t>
            </w:r>
            <w:proofErr w:type="spellEnd"/>
            <w:r w:rsidRPr="00936114">
              <w:rPr>
                <w:rFonts w:ascii="Verdana" w:hAnsi="Verdana" w:cs="Arial"/>
              </w:rPr>
              <w:t>. 13.414.</w:t>
            </w:r>
          </w:p>
        </w:tc>
      </w:tr>
    </w:tbl>
    <w:p w14:paraId="2C66247E" w14:textId="77777777" w:rsidR="00AF6E74" w:rsidRPr="00936114" w:rsidRDefault="00AF6E74" w:rsidP="00AF6E74">
      <w:pPr>
        <w:widowControl w:val="0"/>
        <w:autoSpaceDE w:val="0"/>
        <w:autoSpaceDN w:val="0"/>
        <w:spacing w:after="0" w:line="276" w:lineRule="auto"/>
        <w:jc w:val="both"/>
        <w:rPr>
          <w:rFonts w:ascii="Verdana" w:hAnsi="Verdana" w:cs="Arial"/>
        </w:rPr>
      </w:pPr>
    </w:p>
    <w:p w14:paraId="6592CE09" w14:textId="77777777" w:rsidR="00AF6E74" w:rsidRPr="00936114" w:rsidRDefault="00AF6E74" w:rsidP="00AF6E74">
      <w:pPr>
        <w:pStyle w:val="Prrafodelista"/>
        <w:numPr>
          <w:ilvl w:val="0"/>
          <w:numId w:val="17"/>
        </w:numPr>
        <w:tabs>
          <w:tab w:val="left" w:pos="142"/>
          <w:tab w:val="left" w:pos="284"/>
        </w:tabs>
        <w:spacing w:after="0" w:line="276" w:lineRule="auto"/>
        <w:contextualSpacing w:val="0"/>
        <w:jc w:val="both"/>
        <w:rPr>
          <w:rFonts w:ascii="Verdana" w:eastAsia="Century Gothic" w:hAnsi="Verdana" w:cs="Century Gothic"/>
          <w:b/>
          <w:bCs/>
        </w:rPr>
      </w:pPr>
      <w:r w:rsidRPr="00936114">
        <w:rPr>
          <w:rFonts w:ascii="Verdana" w:eastAsia="Century Gothic" w:hAnsi="Verdana" w:cs="Century Gothic"/>
          <w:b/>
          <w:bCs/>
        </w:rPr>
        <w:t>Doctrina de la Agencia Nacional de Contratación Pública:</w:t>
      </w:r>
    </w:p>
    <w:p w14:paraId="4BF72E6C" w14:textId="77777777" w:rsidR="00AF6E74" w:rsidRPr="00936114" w:rsidRDefault="00AF6E74" w:rsidP="00AF6E74">
      <w:pPr>
        <w:widowControl w:val="0"/>
        <w:autoSpaceDE w:val="0"/>
        <w:autoSpaceDN w:val="0"/>
        <w:spacing w:after="0" w:line="276" w:lineRule="auto"/>
        <w:jc w:val="both"/>
        <w:rPr>
          <w:rFonts w:ascii="Verdana" w:hAnsi="Verdana" w:cs="Arial"/>
        </w:rPr>
      </w:pPr>
    </w:p>
    <w:p w14:paraId="5F81F468" w14:textId="22838943" w:rsidR="00AF6E74" w:rsidRPr="00936114" w:rsidRDefault="00AF6E74" w:rsidP="00AF6E74">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36114">
        <w:rPr>
          <w:rFonts w:ascii="Verdana" w:eastAsia="Calibri" w:hAnsi="Verdana" w:cs="Arial"/>
          <w:color w:val="000000" w:themeColor="text1"/>
          <w:lang w:eastAsia="es-ES_tradnl"/>
        </w:rPr>
        <w:t xml:space="preserve">La Agencia Nacional de Contratación Pública – Colombia Compra Eficiente </w:t>
      </w:r>
      <w:r w:rsidRPr="00936114">
        <w:rPr>
          <w:rFonts w:ascii="Verdana" w:eastAsia="Arial" w:hAnsi="Verdana" w:cs="Arial"/>
          <w:lang w:val="es-MX" w:eastAsia="es-ES_tradnl"/>
        </w:rPr>
        <w:t xml:space="preserve">ha analizado diferentes aspectos </w:t>
      </w:r>
      <w:r w:rsidRPr="00936114">
        <w:rPr>
          <w:rFonts w:ascii="Verdana" w:eastAsia="Times New Roman" w:hAnsi="Verdana" w:cs="Arial"/>
          <w:bCs/>
          <w:color w:val="000000" w:themeColor="text1"/>
          <w:lang w:val="es-MX" w:eastAsia="es-ES_tradnl"/>
        </w:rPr>
        <w:t xml:space="preserve">sobre el concepto y régimen jurídico aplicable a los contratos interadministrativos, entre otros, en los Conceptos: </w:t>
      </w:r>
      <w:r w:rsidRPr="00936114">
        <w:rPr>
          <w:rFonts w:ascii="Verdana" w:eastAsia="Calibri" w:hAnsi="Verdana" w:cs="Arial"/>
          <w:color w:val="000000" w:themeColor="text1"/>
          <w:lang w:eastAsia="es-ES_tradnl"/>
        </w:rPr>
        <w:t xml:space="preserve">4201913000004536 del 27 de julio de 2019, C-023 del 3 de febrero de 2020, C-702 del 11 de diciembre de 2020, C-097 de 23 de marzo de 202, C-350 del 16 de julio de 2021, C-352 del 27 de julio de 2021, C-508 del 20 de septiembre de 2021, C-616 del 3 de noviembre de 2021, C-662 del 1 de diciembre de 2022, C-147 del 25 de julio de 2023, C-369 del 12 de septiembre de 2022. Sobre la excepción de celebrar contratos y convenios interadministrativos de forma directa establecida en el inciso segundo </w:t>
      </w:r>
      <w:r w:rsidRPr="00936114">
        <w:rPr>
          <w:rFonts w:ascii="Verdana" w:eastAsia="Calibri" w:hAnsi="Verdana" w:cs="Arial"/>
          <w:color w:val="000000" w:themeColor="text1"/>
          <w:lang w:val="es-ES"/>
        </w:rPr>
        <w:t>artículo 2, numeral 4, literal c), de la mencionada ley – modificado por el artículo 92 de la Ley 1474 de 2011 – se ha pronunciado en los conceptos C-157 del 16 de marzo de 2020, C-593 del 9 de octubre de 2020, C-691 del 27 de noviembre de 2020, C-173 del 19 de abril de 2021, C-116 del 30 de marzo de 2021, C-149 del 8 de abril de 2021, C-284 del 16 de junio de 2021, C-508 del 20 de septiembre de 2021, C-033 del 27 de febrero de 2023, C-285 del 19 de julio de 2023, C-379 del 19 de octubre de 2023, C-004 del 22 de enero de 2024 y C-139 del 14 de agosto de 2024.</w:t>
      </w:r>
      <w:r w:rsidR="004074BA" w:rsidRPr="00936114">
        <w:rPr>
          <w:rFonts w:ascii="Verdana" w:eastAsia="Times New Roman" w:hAnsi="Verdana" w:cs="Arial"/>
          <w:color w:val="000000"/>
          <w:shd w:val="clear" w:color="auto" w:fill="FFFFFF"/>
          <w:lang w:eastAsia="es-ES_tradnl"/>
        </w:rPr>
        <w:t xml:space="preserve"> </w:t>
      </w:r>
      <w:r w:rsidRPr="00936114">
        <w:rPr>
          <w:rFonts w:ascii="Verdana" w:eastAsia="Times New Roman" w:hAnsi="Verdana" w:cs="Arial"/>
          <w:color w:val="000000"/>
          <w:shd w:val="clear" w:color="auto" w:fill="FFFFFF"/>
          <w:lang w:eastAsia="es-ES_tradnl"/>
        </w:rPr>
        <w:t xml:space="preserve">Igualmente, </w:t>
      </w:r>
      <w:r w:rsidRPr="00936114">
        <w:rPr>
          <w:rFonts w:ascii="Verdana" w:eastAsia="Times New Roman" w:hAnsi="Verdana" w:cs="Arial"/>
          <w:color w:val="000000"/>
          <w:shd w:val="clear" w:color="auto" w:fill="FFFFFF"/>
          <w:lang w:val="es-MX" w:eastAsia="es-ES_tradnl"/>
        </w:rPr>
        <w:t xml:space="preserve">se ha referido previamente al régimen contractual de las </w:t>
      </w:r>
      <w:r w:rsidRPr="00936114">
        <w:rPr>
          <w:rFonts w:ascii="Verdana" w:eastAsia="Times New Roman" w:hAnsi="Verdana" w:cs="Arial"/>
          <w:color w:val="000000"/>
          <w:shd w:val="clear" w:color="auto" w:fill="FFFFFF"/>
          <w:lang w:eastAsia="es-ES_tradnl"/>
        </w:rPr>
        <w:t xml:space="preserve">empresas industriales </w:t>
      </w:r>
      <w:r w:rsidRPr="00936114">
        <w:rPr>
          <w:rFonts w:ascii="Verdana" w:eastAsia="Times New Roman" w:hAnsi="Verdana" w:cs="Arial"/>
          <w:color w:val="000000"/>
          <w:shd w:val="clear" w:color="auto" w:fill="FFFFFF"/>
          <w:lang w:val="es-MX" w:eastAsia="es-ES_tradnl"/>
        </w:rPr>
        <w:t xml:space="preserve">y </w:t>
      </w:r>
      <w:r w:rsidRPr="00936114">
        <w:rPr>
          <w:rFonts w:ascii="Verdana" w:eastAsia="Times New Roman" w:hAnsi="Verdana" w:cs="Arial"/>
          <w:color w:val="000000"/>
          <w:shd w:val="clear" w:color="auto" w:fill="FFFFFF"/>
          <w:lang w:eastAsia="es-ES_tradnl"/>
        </w:rPr>
        <w:t xml:space="preserve">comerciales </w:t>
      </w:r>
      <w:r w:rsidRPr="00936114">
        <w:rPr>
          <w:rFonts w:ascii="Verdana" w:eastAsia="Times New Roman" w:hAnsi="Verdana" w:cs="Arial"/>
          <w:color w:val="000000"/>
          <w:shd w:val="clear" w:color="auto" w:fill="FFFFFF"/>
          <w:lang w:val="es-MX" w:eastAsia="es-ES_tradnl"/>
        </w:rPr>
        <w:t>del Estado, según desarrollen o no sus actividades en competencia con el sector privado o en mercados regulados, en los conceptos 4201913000001662, C</w:t>
      </w:r>
      <w:r w:rsidRPr="00936114">
        <w:rPr>
          <w:rFonts w:ascii="Verdana" w:eastAsia="Times New Roman" w:hAnsi="Verdana" w:cs="Arial"/>
          <w:color w:val="000000"/>
          <w:shd w:val="clear" w:color="auto" w:fill="FFFFFF"/>
          <w:lang w:eastAsia="es-ES_tradnl"/>
        </w:rPr>
        <w:t>-</w:t>
      </w:r>
      <w:r w:rsidRPr="00936114">
        <w:rPr>
          <w:rFonts w:ascii="Verdana" w:eastAsia="Times New Roman" w:hAnsi="Verdana" w:cs="Arial"/>
          <w:color w:val="000000"/>
          <w:shd w:val="clear" w:color="auto" w:fill="FFFFFF"/>
          <w:lang w:val="es-MX" w:eastAsia="es-ES_tradnl"/>
        </w:rPr>
        <w:t>251 del 27 de mayo de 2020, C-280 del 6 de julio de 2020, C</w:t>
      </w:r>
      <w:r w:rsidRPr="00936114">
        <w:rPr>
          <w:rFonts w:ascii="Verdana" w:eastAsia="Times New Roman" w:hAnsi="Verdana" w:cs="Arial"/>
          <w:color w:val="000000"/>
          <w:shd w:val="clear" w:color="auto" w:fill="FFFFFF"/>
          <w:lang w:eastAsia="es-ES_tradnl"/>
        </w:rPr>
        <w:t>-</w:t>
      </w:r>
      <w:r w:rsidRPr="00936114">
        <w:rPr>
          <w:rFonts w:ascii="Verdana" w:eastAsia="Times New Roman" w:hAnsi="Verdana" w:cs="Arial"/>
          <w:color w:val="000000"/>
          <w:shd w:val="clear" w:color="auto" w:fill="FFFFFF"/>
          <w:lang w:val="es-MX" w:eastAsia="es-ES_tradnl"/>
        </w:rPr>
        <w:t>253 del 2 de junio de 2021, C</w:t>
      </w:r>
      <w:r w:rsidRPr="00936114">
        <w:rPr>
          <w:rFonts w:ascii="Verdana" w:eastAsia="Times New Roman" w:hAnsi="Verdana" w:cs="Arial"/>
          <w:color w:val="000000"/>
          <w:shd w:val="clear" w:color="auto" w:fill="FFFFFF"/>
          <w:lang w:eastAsia="es-ES_tradnl"/>
        </w:rPr>
        <w:t>-</w:t>
      </w:r>
      <w:r w:rsidRPr="00936114">
        <w:rPr>
          <w:rFonts w:ascii="Verdana" w:eastAsia="Times New Roman" w:hAnsi="Verdana" w:cs="Arial"/>
          <w:color w:val="000000"/>
          <w:shd w:val="clear" w:color="auto" w:fill="FFFFFF"/>
          <w:lang w:val="es-MX" w:eastAsia="es-ES_tradnl"/>
        </w:rPr>
        <w:t>616 del 3 de noviembre de 2021, C-176 del 6 de abril de 2022</w:t>
      </w:r>
      <w:r w:rsidRPr="00936114">
        <w:rPr>
          <w:rFonts w:ascii="Verdana" w:eastAsia="Times New Roman" w:hAnsi="Verdana" w:cs="Arial"/>
          <w:color w:val="000000"/>
          <w:shd w:val="clear" w:color="auto" w:fill="FFFFFF"/>
          <w:lang w:eastAsia="es-ES_tradnl"/>
        </w:rPr>
        <w:t xml:space="preserve">, </w:t>
      </w:r>
      <w:r w:rsidRPr="00936114">
        <w:rPr>
          <w:rFonts w:ascii="Verdana" w:eastAsia="Calibri" w:hAnsi="Verdana" w:cs="Arial"/>
          <w:color w:val="000000" w:themeColor="text1"/>
          <w:lang w:eastAsia="es-ES_tradnl"/>
        </w:rPr>
        <w:t xml:space="preserve">C-369 del 12 de septiembre de 2022, </w:t>
      </w:r>
      <w:r w:rsidRPr="00936114">
        <w:rPr>
          <w:rFonts w:ascii="Verdana" w:eastAsia="Times New Roman" w:hAnsi="Verdana" w:cs="Arial"/>
          <w:color w:val="000000"/>
          <w:shd w:val="clear" w:color="auto" w:fill="FFFFFF"/>
          <w:lang w:val="es-ES" w:eastAsia="es-ES_tradnl"/>
        </w:rPr>
        <w:t xml:space="preserve">entre otros. </w:t>
      </w:r>
      <w:r w:rsidRPr="00936114">
        <w:rPr>
          <w:rStyle w:val="normaltextrun"/>
          <w:rFonts w:ascii="Verdana" w:hAnsi="Verdana" w:cs="Arial"/>
          <w:shd w:val="clear" w:color="auto" w:fill="FFFFFF"/>
          <w:lang w:val="es-ES"/>
        </w:rPr>
        <w:t>Es</w:t>
      </w:r>
      <w:r w:rsidRPr="00936114">
        <w:rPr>
          <w:rFonts w:ascii="Verdana" w:hAnsi="Verdana"/>
        </w:rPr>
        <w:t>tos y otros conceptos se encuentran disponibles para consulta en el Sistema de relatoría de la Agencia, al cual se puede acceder a través del siguiente enlace:</w:t>
      </w:r>
      <w:r w:rsidRPr="00936114">
        <w:rPr>
          <w:rStyle w:val="normaltextrun"/>
          <w:rFonts w:ascii="Verdana" w:hAnsi="Verdana" w:cs="Arial"/>
          <w:shd w:val="clear" w:color="auto" w:fill="FFFFFF"/>
          <w:lang w:val="es-ES"/>
        </w:rPr>
        <w:t xml:space="preserve"> </w:t>
      </w:r>
      <w:hyperlink r:id="rId13" w:history="1">
        <w:r w:rsidRPr="00936114">
          <w:rPr>
            <w:rStyle w:val="Hipervnculo"/>
            <w:rFonts w:ascii="Verdana" w:hAnsi="Verdana" w:cs="Arial"/>
            <w:shd w:val="clear" w:color="auto" w:fill="FFFFFF"/>
            <w:lang w:val="es-ES"/>
          </w:rPr>
          <w:t>https://relatoria.colombiacompra.gov.co/busqueda/conceptos</w:t>
        </w:r>
      </w:hyperlink>
      <w:r w:rsidRPr="00936114">
        <w:rPr>
          <w:rStyle w:val="normaltextrun"/>
          <w:rFonts w:ascii="Verdana" w:hAnsi="Verdana" w:cs="Arial"/>
          <w:color w:val="FF0000"/>
          <w:shd w:val="clear" w:color="auto" w:fill="FFFFFF"/>
          <w:lang w:val="es-ES"/>
        </w:rPr>
        <w:t xml:space="preserve">. </w:t>
      </w:r>
    </w:p>
    <w:p w14:paraId="178A265B" w14:textId="77777777" w:rsidR="00AF6E74" w:rsidRPr="00936114" w:rsidRDefault="00AF6E74" w:rsidP="00AF6E74">
      <w:pPr>
        <w:widowControl w:val="0"/>
        <w:autoSpaceDE w:val="0"/>
        <w:autoSpaceDN w:val="0"/>
        <w:spacing w:after="0" w:line="276" w:lineRule="auto"/>
        <w:jc w:val="both"/>
        <w:rPr>
          <w:rFonts w:ascii="Verdana" w:hAnsi="Verdana" w:cs="Arial"/>
        </w:rPr>
      </w:pPr>
    </w:p>
    <w:p w14:paraId="29EE2C1B" w14:textId="77777777" w:rsidR="00AF6E74" w:rsidRPr="00936114" w:rsidRDefault="00AF6E74" w:rsidP="00AF6E74">
      <w:pPr>
        <w:widowControl w:val="0"/>
        <w:autoSpaceDE w:val="0"/>
        <w:autoSpaceDN w:val="0"/>
        <w:spacing w:after="0" w:line="276" w:lineRule="auto"/>
        <w:jc w:val="both"/>
        <w:rPr>
          <w:rFonts w:ascii="Verdana" w:hAnsi="Verdana" w:cs="Arial"/>
          <w:lang w:val="es-ES_tradnl"/>
        </w:rPr>
      </w:pPr>
      <w:r w:rsidRPr="00936114">
        <w:rPr>
          <w:rFonts w:ascii="Verdana" w:hAnsi="Verdana" w:cs="Arial"/>
        </w:rPr>
        <w:t xml:space="preserve">Este concepto tiene el alcance previsto en el artículo 28 del Código de Procedimiento Administrativo y de lo Contencioso Administrativo </w:t>
      </w:r>
      <w:r w:rsidRPr="00936114">
        <w:rPr>
          <w:rFonts w:ascii="Verdana" w:hAnsi="Verdana" w:cs="Arial"/>
          <w:lang w:val="es-ES_tradnl"/>
        </w:rPr>
        <w:t>y las expresiones aquí utilizadas con mayúscula inicial deben ser entendidas con el significado que les otorga el artículo 2.2.1.1.1.3.1. del Decreto 1082 de 2015.</w:t>
      </w:r>
    </w:p>
    <w:p w14:paraId="311EC061" w14:textId="77777777" w:rsidR="00AF6E74" w:rsidRPr="00936114" w:rsidRDefault="00AF6E74" w:rsidP="00AF6E74">
      <w:pPr>
        <w:widowControl w:val="0"/>
        <w:autoSpaceDE w:val="0"/>
        <w:autoSpaceDN w:val="0"/>
        <w:spacing w:after="0" w:line="276" w:lineRule="auto"/>
        <w:jc w:val="both"/>
        <w:rPr>
          <w:rFonts w:ascii="Verdana" w:hAnsi="Verdana" w:cs="Arial"/>
        </w:rPr>
      </w:pPr>
    </w:p>
    <w:p w14:paraId="03C72867" w14:textId="77777777" w:rsidR="00AF6E74" w:rsidRPr="00936114" w:rsidRDefault="00AF6E74" w:rsidP="00AF6E74">
      <w:pPr>
        <w:spacing w:after="0" w:line="240" w:lineRule="auto"/>
        <w:rPr>
          <w:rFonts w:ascii="Verdana" w:hAnsi="Verdana" w:cs="Arial"/>
          <w:lang w:eastAsia="es-CO"/>
        </w:rPr>
      </w:pPr>
      <w:r w:rsidRPr="00936114">
        <w:rPr>
          <w:rFonts w:ascii="Verdana" w:eastAsia="Times New Roman" w:hAnsi="Verdana" w:cs="Arial"/>
          <w:lang w:eastAsia="es-CO"/>
        </w:rPr>
        <w:t>Atentamente,</w:t>
      </w:r>
      <w:r w:rsidRPr="00936114">
        <w:rPr>
          <w:rFonts w:ascii="Verdana" w:hAnsi="Verdana" w:cs="Arial"/>
          <w:lang w:eastAsia="es-CO"/>
        </w:rPr>
        <w:t xml:space="preserve"> </w:t>
      </w:r>
    </w:p>
    <w:p w14:paraId="0A659EC2" w14:textId="7D2FEF69" w:rsidR="00AF6E74" w:rsidRPr="00936114" w:rsidRDefault="006725F2" w:rsidP="00AF6E74">
      <w:pPr>
        <w:spacing w:line="276" w:lineRule="auto"/>
        <w:jc w:val="center"/>
        <w:rPr>
          <w:rFonts w:ascii="Verdana" w:eastAsia="Times New Roman" w:hAnsi="Verdana" w:cs="Arial"/>
          <w:sz w:val="24"/>
          <w:szCs w:val="24"/>
          <w:lang w:eastAsia="es-ES"/>
        </w:rPr>
      </w:pPr>
      <w:r w:rsidRPr="002C3AD6">
        <w:rPr>
          <w:rFonts w:ascii="Century Gothic" w:hAnsi="Century Gothic"/>
          <w:noProof/>
        </w:rPr>
        <w:drawing>
          <wp:inline distT="0" distB="0" distL="0" distR="0" wp14:anchorId="3300860F" wp14:editId="5977EE15">
            <wp:extent cx="3621281" cy="1016341"/>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rotWithShape="1">
                    <a:blip r:embed="rId14"/>
                    <a:srcRect t="18676" b="5719"/>
                    <a:stretch/>
                  </pic:blipFill>
                  <pic:spPr bwMode="auto">
                    <a:xfrm>
                      <a:off x="0" y="0"/>
                      <a:ext cx="3655221" cy="1025866"/>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F6E74" w:rsidRPr="00936114" w14:paraId="1A718CC0" w14:textId="77777777" w:rsidTr="00DF0C95">
        <w:trPr>
          <w:trHeight w:val="315"/>
        </w:trPr>
        <w:tc>
          <w:tcPr>
            <w:tcW w:w="893" w:type="dxa"/>
            <w:vAlign w:val="center"/>
            <w:hideMark/>
          </w:tcPr>
          <w:p w14:paraId="778839D0" w14:textId="77777777" w:rsidR="00AF6E74" w:rsidRPr="00936114" w:rsidRDefault="00AF6E74" w:rsidP="00DF0C95">
            <w:pPr>
              <w:contextualSpacing/>
              <w:rPr>
                <w:rFonts w:ascii="Verdana" w:hAnsi="Verdana" w:cs="Arial"/>
                <w:sz w:val="16"/>
                <w:szCs w:val="16"/>
                <w:lang w:val="es-ES" w:eastAsia="es-ES"/>
              </w:rPr>
            </w:pPr>
            <w:r w:rsidRPr="00936114">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01EC963" w14:textId="77777777" w:rsidR="00AF6E74" w:rsidRPr="00936114" w:rsidRDefault="00AF6E74" w:rsidP="00DF0C95">
            <w:pPr>
              <w:rPr>
                <w:rFonts w:ascii="Verdana" w:eastAsia="Arial" w:hAnsi="Verdana" w:cs="Arial"/>
                <w:sz w:val="16"/>
                <w:szCs w:val="16"/>
              </w:rPr>
            </w:pPr>
            <w:r w:rsidRPr="00936114">
              <w:rPr>
                <w:rFonts w:ascii="Verdana" w:eastAsia="Arial" w:hAnsi="Verdana" w:cs="Arial"/>
                <w:sz w:val="16"/>
                <w:szCs w:val="16"/>
              </w:rPr>
              <w:t>Diana Lucia Saavedra Castañeda </w:t>
            </w:r>
          </w:p>
          <w:p w14:paraId="7820B94C" w14:textId="77777777" w:rsidR="00AF6E74" w:rsidRPr="00936114" w:rsidRDefault="00AF6E74" w:rsidP="00DF0C95">
            <w:pPr>
              <w:contextualSpacing/>
              <w:rPr>
                <w:rFonts w:ascii="Verdana" w:eastAsia="Arial" w:hAnsi="Verdana" w:cs="Arial"/>
                <w:sz w:val="16"/>
                <w:szCs w:val="16"/>
              </w:rPr>
            </w:pPr>
            <w:r w:rsidRPr="00936114">
              <w:rPr>
                <w:rFonts w:ascii="Verdana" w:eastAsia="Arial" w:hAnsi="Verdana" w:cs="Arial"/>
                <w:sz w:val="16"/>
                <w:szCs w:val="16"/>
              </w:rPr>
              <w:t>Contratista de la Subdirección de Gestión Contractual </w:t>
            </w:r>
          </w:p>
        </w:tc>
      </w:tr>
      <w:tr w:rsidR="00AF6E74" w:rsidRPr="00936114" w14:paraId="48FEEE82" w14:textId="77777777" w:rsidTr="00DF0C95">
        <w:trPr>
          <w:trHeight w:val="330"/>
        </w:trPr>
        <w:tc>
          <w:tcPr>
            <w:tcW w:w="893" w:type="dxa"/>
            <w:vAlign w:val="center"/>
            <w:hideMark/>
          </w:tcPr>
          <w:p w14:paraId="11316A35" w14:textId="77777777" w:rsidR="00AF6E74" w:rsidRPr="00936114" w:rsidRDefault="00AF6E74" w:rsidP="00DF0C95">
            <w:pPr>
              <w:contextualSpacing/>
              <w:rPr>
                <w:rFonts w:ascii="Verdana" w:hAnsi="Verdana" w:cs="Arial"/>
                <w:sz w:val="16"/>
                <w:szCs w:val="16"/>
                <w:lang w:val="es-ES" w:eastAsia="es-ES"/>
              </w:rPr>
            </w:pPr>
            <w:r w:rsidRPr="00936114">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FC43F88" w14:textId="77777777" w:rsidR="00AF6E74" w:rsidRPr="00936114" w:rsidRDefault="00AF6E74" w:rsidP="00DF0C95">
            <w:pPr>
              <w:pStyle w:val="paragraph"/>
              <w:spacing w:before="0" w:beforeAutospacing="0" w:after="0" w:afterAutospacing="0"/>
              <w:contextualSpacing/>
              <w:textAlignment w:val="baseline"/>
              <w:rPr>
                <w:rFonts w:ascii="Verdana" w:hAnsi="Verdana" w:cs="Segoe UI"/>
                <w:sz w:val="16"/>
                <w:szCs w:val="16"/>
              </w:rPr>
            </w:pPr>
            <w:r w:rsidRPr="00936114">
              <w:rPr>
                <w:rFonts w:ascii="Verdana" w:hAnsi="Verdana" w:cs="Segoe UI"/>
                <w:sz w:val="16"/>
                <w:szCs w:val="16"/>
              </w:rPr>
              <w:t xml:space="preserve">Alejandro Raúl Sarmiento Cantillo </w:t>
            </w:r>
          </w:p>
          <w:p w14:paraId="16C61ACD" w14:textId="77777777" w:rsidR="00AF6E74" w:rsidRPr="00936114" w:rsidRDefault="00AF6E74" w:rsidP="00DF0C95">
            <w:pPr>
              <w:pStyle w:val="paragraph"/>
              <w:spacing w:before="0" w:beforeAutospacing="0" w:after="0" w:afterAutospacing="0"/>
              <w:contextualSpacing/>
              <w:textAlignment w:val="baseline"/>
              <w:rPr>
                <w:rFonts w:ascii="Verdana" w:hAnsi="Verdana" w:cs="Segoe UI"/>
                <w:sz w:val="16"/>
                <w:szCs w:val="16"/>
              </w:rPr>
            </w:pPr>
            <w:r w:rsidRPr="00936114">
              <w:rPr>
                <w:rFonts w:ascii="Verdana" w:hAnsi="Verdana" w:cs="Segoe UI"/>
                <w:sz w:val="16"/>
                <w:szCs w:val="16"/>
              </w:rPr>
              <w:t xml:space="preserve">Gestor Grado T1-15 </w:t>
            </w:r>
            <w:r w:rsidRPr="00936114">
              <w:rPr>
                <w:rFonts w:ascii="Verdana" w:eastAsia="Arial" w:hAnsi="Verdana" w:cs="Arial"/>
                <w:sz w:val="16"/>
                <w:szCs w:val="16"/>
              </w:rPr>
              <w:t>de la Subdirección de Gestión Contractual </w:t>
            </w:r>
          </w:p>
        </w:tc>
      </w:tr>
      <w:tr w:rsidR="00AF6E74" w:rsidRPr="00936114" w14:paraId="7C73F35F" w14:textId="77777777" w:rsidTr="00DF0C95">
        <w:trPr>
          <w:trHeight w:val="300"/>
        </w:trPr>
        <w:tc>
          <w:tcPr>
            <w:tcW w:w="893" w:type="dxa"/>
            <w:vAlign w:val="center"/>
          </w:tcPr>
          <w:p w14:paraId="7710C85D" w14:textId="77777777" w:rsidR="00AF6E74" w:rsidRPr="00936114" w:rsidRDefault="00AF6E74" w:rsidP="00DF0C95">
            <w:pPr>
              <w:contextualSpacing/>
              <w:rPr>
                <w:rFonts w:ascii="Verdana" w:hAnsi="Verdana" w:cs="Arial"/>
                <w:sz w:val="16"/>
                <w:szCs w:val="16"/>
                <w:lang w:val="es-ES" w:eastAsia="es-ES"/>
              </w:rPr>
            </w:pPr>
            <w:r w:rsidRPr="0093611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9E3A181" w14:textId="77777777" w:rsidR="00AF6E74" w:rsidRPr="00936114" w:rsidRDefault="00AF6E74" w:rsidP="00DF0C95">
            <w:pPr>
              <w:contextualSpacing/>
              <w:rPr>
                <w:rFonts w:ascii="Verdana" w:eastAsia="Calibri" w:hAnsi="Verdana" w:cs="Arial"/>
                <w:sz w:val="16"/>
                <w:szCs w:val="16"/>
                <w:lang w:val="pt-BR" w:eastAsia="es-ES"/>
              </w:rPr>
            </w:pPr>
            <w:r w:rsidRPr="00936114">
              <w:rPr>
                <w:rFonts w:ascii="Verdana" w:eastAsia="Calibri" w:hAnsi="Verdana" w:cs="Arial"/>
                <w:sz w:val="16"/>
                <w:szCs w:val="16"/>
                <w:lang w:val="pt-BR" w:eastAsia="es-ES"/>
              </w:rPr>
              <w:t>Carolina Quintero Gacharná</w:t>
            </w:r>
          </w:p>
          <w:p w14:paraId="0CB7A650" w14:textId="77777777" w:rsidR="00AF6E74" w:rsidRPr="00936114" w:rsidRDefault="00AF6E74" w:rsidP="00DF0C95">
            <w:pPr>
              <w:contextualSpacing/>
              <w:rPr>
                <w:rFonts w:ascii="Verdana" w:eastAsia="Calibri" w:hAnsi="Verdana" w:cs="Arial"/>
                <w:sz w:val="16"/>
                <w:szCs w:val="16"/>
                <w:lang w:val="pt-BR" w:eastAsia="es-ES"/>
              </w:rPr>
            </w:pPr>
            <w:r w:rsidRPr="00936114">
              <w:rPr>
                <w:rFonts w:ascii="Verdana" w:eastAsia="Calibri" w:hAnsi="Verdana" w:cs="Arial"/>
                <w:sz w:val="16"/>
                <w:szCs w:val="16"/>
                <w:lang w:eastAsia="es-ES"/>
              </w:rPr>
              <w:t>Subdirectora</w:t>
            </w:r>
            <w:r w:rsidRPr="00936114">
              <w:rPr>
                <w:rFonts w:ascii="Verdana" w:eastAsia="Calibri" w:hAnsi="Verdana" w:cs="Arial"/>
                <w:sz w:val="16"/>
                <w:szCs w:val="16"/>
                <w:lang w:val="pt-BR" w:eastAsia="es-ES"/>
              </w:rPr>
              <w:t xml:space="preserve"> de Gestión Contractual ANCP – CCE</w:t>
            </w:r>
          </w:p>
        </w:tc>
      </w:tr>
      <w:bookmarkEnd w:id="0"/>
    </w:tbl>
    <w:p w14:paraId="7640CA88" w14:textId="669FD0C9" w:rsidR="000348A3" w:rsidRPr="00936114" w:rsidRDefault="000348A3" w:rsidP="00684228">
      <w:pPr>
        <w:spacing w:after="0"/>
        <w:rPr>
          <w:rFonts w:ascii="Verdana" w:hAnsi="Verdana"/>
        </w:rPr>
      </w:pPr>
    </w:p>
    <w:sectPr w:rsidR="000348A3" w:rsidRPr="00936114"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3677E0" w14:textId="77777777" w:rsidR="00A25A42" w:rsidRDefault="00A25A42" w:rsidP="004A1847">
      <w:pPr>
        <w:spacing w:after="0" w:line="240" w:lineRule="auto"/>
      </w:pPr>
      <w:r>
        <w:separator/>
      </w:r>
    </w:p>
  </w:endnote>
  <w:endnote w:type="continuationSeparator" w:id="0">
    <w:p w14:paraId="12489BAD" w14:textId="77777777" w:rsidR="00A25A42" w:rsidRDefault="00A25A42" w:rsidP="004A1847">
      <w:pPr>
        <w:spacing w:after="0" w:line="240" w:lineRule="auto"/>
      </w:pPr>
      <w:r>
        <w:continuationSeparator/>
      </w:r>
    </w:p>
  </w:endnote>
  <w:endnote w:type="continuationNotice" w:id="1">
    <w:p w14:paraId="5240278F" w14:textId="77777777" w:rsidR="00664A33" w:rsidRDefault="00664A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6F7C1C" w14:textId="77777777" w:rsidR="00A25A42" w:rsidRDefault="00A25A42" w:rsidP="004A1847">
      <w:pPr>
        <w:spacing w:after="0" w:line="240" w:lineRule="auto"/>
      </w:pPr>
      <w:r>
        <w:separator/>
      </w:r>
    </w:p>
  </w:footnote>
  <w:footnote w:type="continuationSeparator" w:id="0">
    <w:p w14:paraId="2573ED52" w14:textId="77777777" w:rsidR="00A25A42" w:rsidRDefault="00A25A42" w:rsidP="004A1847">
      <w:pPr>
        <w:spacing w:after="0" w:line="240" w:lineRule="auto"/>
      </w:pPr>
      <w:r>
        <w:continuationSeparator/>
      </w:r>
    </w:p>
  </w:footnote>
  <w:footnote w:type="continuationNotice" w:id="1">
    <w:p w14:paraId="7B520DE1" w14:textId="77777777" w:rsidR="00664A33" w:rsidRDefault="00664A33">
      <w:pPr>
        <w:spacing w:after="0" w:line="240" w:lineRule="auto"/>
      </w:pPr>
    </w:p>
  </w:footnote>
  <w:footnote w:id="2">
    <w:p w14:paraId="2B36043A" w14:textId="77777777" w:rsidR="00AF6E74" w:rsidRPr="004F2CEA" w:rsidRDefault="00AF6E74" w:rsidP="00AF6E74">
      <w:pPr>
        <w:pStyle w:val="Textonotapie"/>
        <w:ind w:firstLine="708"/>
        <w:contextualSpacing/>
        <w:jc w:val="both"/>
        <w:rPr>
          <w:rFonts w:ascii="Verdana" w:hAnsi="Verdana" w:cs="Arial"/>
          <w:sz w:val="16"/>
          <w:szCs w:val="16"/>
        </w:rPr>
      </w:pPr>
      <w:r w:rsidRPr="004F2CEA">
        <w:rPr>
          <w:rStyle w:val="Refdenotaalpie"/>
          <w:rFonts w:ascii="Verdana" w:hAnsi="Verdana" w:cs="Arial"/>
          <w:sz w:val="16"/>
          <w:szCs w:val="16"/>
        </w:rPr>
        <w:footnoteRef/>
      </w:r>
      <w:r w:rsidRPr="004F2CEA">
        <w:rPr>
          <w:rFonts w:ascii="Verdana" w:hAnsi="Verdana" w:cs="Arial"/>
          <w:sz w:val="16"/>
          <w:szCs w:val="16"/>
        </w:rPr>
        <w:t xml:space="preserve"> Ley 489 de 1998: “Artículo 85. Empresas industriales y comerciales del Estado. Las empresas industriales y comerciales del Estado son organismos creados por la ley o autorizados por ésta, que desarrollan actividades de naturaleza industrial o comercial y de gestión económica conforme a las reglas del Derecho Privado, salvo las excepciones que consagra la ley, y que reúnen las siguientes características: </w:t>
      </w:r>
    </w:p>
    <w:p w14:paraId="524D01D5" w14:textId="77777777" w:rsidR="00AF6E74" w:rsidRPr="004F2CEA" w:rsidRDefault="00AF6E74" w:rsidP="00AF6E74">
      <w:pPr>
        <w:pStyle w:val="Textonotapie"/>
        <w:ind w:firstLine="708"/>
        <w:contextualSpacing/>
        <w:jc w:val="both"/>
        <w:rPr>
          <w:rFonts w:ascii="Verdana" w:hAnsi="Verdana" w:cs="Arial"/>
          <w:sz w:val="16"/>
          <w:szCs w:val="16"/>
        </w:rPr>
      </w:pPr>
      <w:r w:rsidRPr="004F2CEA">
        <w:rPr>
          <w:rFonts w:ascii="Verdana" w:hAnsi="Verdana" w:cs="Arial"/>
          <w:sz w:val="16"/>
          <w:szCs w:val="16"/>
        </w:rPr>
        <w:t xml:space="preserve">a) Personería jurídica; </w:t>
      </w:r>
    </w:p>
    <w:p w14:paraId="6F4C1D45" w14:textId="77777777" w:rsidR="00AF6E74" w:rsidRPr="004F2CEA" w:rsidRDefault="00AF6E74" w:rsidP="00AF6E74">
      <w:pPr>
        <w:pStyle w:val="Textonotapie"/>
        <w:ind w:firstLine="708"/>
        <w:contextualSpacing/>
        <w:jc w:val="both"/>
        <w:rPr>
          <w:rFonts w:ascii="Verdana" w:hAnsi="Verdana" w:cs="Arial"/>
          <w:sz w:val="16"/>
          <w:szCs w:val="16"/>
        </w:rPr>
      </w:pPr>
      <w:r w:rsidRPr="004F2CEA">
        <w:rPr>
          <w:rFonts w:ascii="Verdana" w:hAnsi="Verdana" w:cs="Arial"/>
          <w:sz w:val="16"/>
          <w:szCs w:val="16"/>
        </w:rPr>
        <w:t xml:space="preserve">b) Autonomía administrativa y financiera; </w:t>
      </w:r>
    </w:p>
    <w:p w14:paraId="560BD88D" w14:textId="77777777" w:rsidR="00AF6E74" w:rsidRPr="004F2CEA" w:rsidRDefault="00AF6E74" w:rsidP="00AF6E74">
      <w:pPr>
        <w:pStyle w:val="Textonotapie"/>
        <w:ind w:firstLine="708"/>
        <w:contextualSpacing/>
        <w:jc w:val="both"/>
        <w:rPr>
          <w:rFonts w:ascii="Verdana" w:hAnsi="Verdana" w:cs="Arial"/>
          <w:sz w:val="16"/>
          <w:szCs w:val="16"/>
        </w:rPr>
      </w:pPr>
      <w:r w:rsidRPr="004F2CEA">
        <w:rPr>
          <w:rFonts w:ascii="Verdana" w:hAnsi="Verdana" w:cs="Arial"/>
          <w:sz w:val="16"/>
          <w:szCs w:val="16"/>
        </w:rPr>
        <w:t xml:space="preserve">c) Capital independiente, constituido totalmente con bienes o fondos públicos comunes, los productos de ellos, o el rendimiento de tasas que perciban por las funciones o servicios, y contribuciones de destinación especial en los casos autorizados por la Constitución. </w:t>
      </w:r>
    </w:p>
    <w:p w14:paraId="1F7F7610" w14:textId="77777777" w:rsidR="00AF6E74" w:rsidRPr="004F2CEA" w:rsidRDefault="00AF6E74" w:rsidP="00AF6E74">
      <w:pPr>
        <w:pStyle w:val="Textonotapie"/>
        <w:ind w:firstLine="708"/>
        <w:contextualSpacing/>
        <w:jc w:val="both"/>
        <w:rPr>
          <w:rFonts w:ascii="Verdana" w:hAnsi="Verdana" w:cs="Arial"/>
          <w:sz w:val="16"/>
          <w:szCs w:val="16"/>
        </w:rPr>
      </w:pPr>
      <w:r w:rsidRPr="004F2CEA">
        <w:rPr>
          <w:rFonts w:ascii="Verdana" w:hAnsi="Verdana" w:cs="Arial"/>
          <w:sz w:val="16"/>
          <w:szCs w:val="16"/>
        </w:rPr>
        <w:t xml:space="preserve">El capital de las empresas industriales y comerciales del Estado podrá estar representado en cuotas o acciones de igual valor nominal. </w:t>
      </w:r>
    </w:p>
    <w:p w14:paraId="77E0F94F" w14:textId="77777777" w:rsidR="00AF6E74" w:rsidRPr="004F2CEA" w:rsidRDefault="00AF6E74" w:rsidP="00AF6E74">
      <w:pPr>
        <w:pStyle w:val="Textonotapie"/>
        <w:ind w:firstLine="708"/>
        <w:contextualSpacing/>
        <w:jc w:val="both"/>
        <w:rPr>
          <w:rFonts w:ascii="Verdana" w:hAnsi="Verdana" w:cs="Arial"/>
          <w:sz w:val="16"/>
          <w:szCs w:val="16"/>
        </w:rPr>
      </w:pPr>
      <w:r w:rsidRPr="004F2CEA">
        <w:rPr>
          <w:rFonts w:ascii="Verdana" w:hAnsi="Verdana" w:cs="Arial"/>
          <w:sz w:val="16"/>
          <w:szCs w:val="16"/>
        </w:rPr>
        <w:t xml:space="preserve">A las empresas industriales y comerciales del Estado y a las sociedades de economía mixta se les aplicará en lo pertinente los artículos 19, numerales 2°, 4°, 5°, 6°, 12, 13, 17, 27, numerales 2°, 3°, 4°, 5°, y 7°, y 183 de la Ley 142 de 1994. </w:t>
      </w:r>
    </w:p>
    <w:p w14:paraId="1FAB831A" w14:textId="28261CDF" w:rsidR="00AF6E74" w:rsidRDefault="00AF6E74" w:rsidP="007F47CC">
      <w:pPr>
        <w:pStyle w:val="Textonotapie"/>
        <w:ind w:firstLine="708"/>
        <w:contextualSpacing/>
        <w:jc w:val="both"/>
        <w:rPr>
          <w:rFonts w:ascii="Verdana" w:hAnsi="Verdana" w:cs="Arial"/>
          <w:sz w:val="16"/>
          <w:szCs w:val="16"/>
        </w:rPr>
      </w:pPr>
      <w:r w:rsidRPr="004F2CEA">
        <w:rPr>
          <w:rFonts w:ascii="Verdana" w:hAnsi="Verdana" w:cs="Arial"/>
          <w:sz w:val="16"/>
          <w:szCs w:val="16"/>
        </w:rPr>
        <w:t xml:space="preserve">Parágrafo. Las disposiciones legales que protegen el secreto industrial y la información comercial se aplicarán a aquellos secretos e informaciones de esa naturaleza que desarrollen y posean las empresas industriales y comerciales del Estado”. </w:t>
      </w:r>
    </w:p>
    <w:p w14:paraId="6CE0EAD6" w14:textId="77777777" w:rsidR="00017188" w:rsidRPr="004F2CEA" w:rsidRDefault="00017188" w:rsidP="007F47CC">
      <w:pPr>
        <w:pStyle w:val="Textonotapie"/>
        <w:ind w:firstLine="708"/>
        <w:contextualSpacing/>
        <w:jc w:val="both"/>
        <w:rPr>
          <w:rFonts w:ascii="Verdana" w:hAnsi="Verdana" w:cs="Arial"/>
          <w:sz w:val="16"/>
          <w:szCs w:val="16"/>
        </w:rPr>
      </w:pPr>
    </w:p>
  </w:footnote>
  <w:footnote w:id="3">
    <w:p w14:paraId="21FA18F8" w14:textId="274D0521" w:rsidR="00AF6E74" w:rsidRDefault="00AF6E74" w:rsidP="007F47CC">
      <w:pPr>
        <w:pStyle w:val="Textonotapie"/>
        <w:ind w:firstLine="709"/>
        <w:contextualSpacing/>
        <w:jc w:val="both"/>
        <w:rPr>
          <w:rFonts w:ascii="Verdana" w:hAnsi="Verdana" w:cs="Arial"/>
          <w:sz w:val="16"/>
          <w:szCs w:val="16"/>
        </w:rPr>
      </w:pPr>
      <w:r w:rsidRPr="004F2CEA">
        <w:rPr>
          <w:rStyle w:val="Refdenotaalpie"/>
          <w:rFonts w:ascii="Verdana" w:hAnsi="Verdana" w:cs="Arial"/>
          <w:sz w:val="16"/>
          <w:szCs w:val="16"/>
        </w:rPr>
        <w:footnoteRef/>
      </w:r>
      <w:r w:rsidRPr="004F2CEA">
        <w:rPr>
          <w:rFonts w:ascii="Verdana" w:hAnsi="Verdana" w:cs="Arial"/>
          <w:sz w:val="16"/>
          <w:szCs w:val="16"/>
        </w:rPr>
        <w:t xml:space="preserve"> El estatuto estableció como regla general para la selección del contratista la licitación pública o el concurso público, con algunas excepciones en las cuales la selección se haría mediante el procedimiento de contratación directa, entre ellas, la prevista en el literal m) del numeral 1 del artículo 24: “m)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esta ley”, o sea, los de obra, consultoría, prestación de servicios, concesión, encargos fiduciarios y fiducia pública, que se regirían por la regla general, salvo los casos de menor cuantía –previstos en el ordinal a), numeral 1 del artículo 24, original, de la Ley 80 de 1993–. Además, en el parágrafo del artículo 14 de la Ley 80 de 1993, se señaló que “en los contratos que tengan por objeto actividades comerciales o industriales de las entidades estatales que no correspondan a las señaladas en el numeral 2º de este artículo (…) se prescindirá de la utilización de las cláusulas o estipulaciones excepcionales”.</w:t>
      </w:r>
    </w:p>
    <w:p w14:paraId="2C9E4D47" w14:textId="77777777" w:rsidR="00017188" w:rsidRPr="004F2CEA" w:rsidRDefault="00017188" w:rsidP="007F47CC">
      <w:pPr>
        <w:pStyle w:val="Textonotapie"/>
        <w:ind w:firstLine="709"/>
        <w:contextualSpacing/>
        <w:jc w:val="both"/>
        <w:rPr>
          <w:rFonts w:ascii="Verdana" w:hAnsi="Verdana" w:cs="Arial"/>
          <w:sz w:val="16"/>
          <w:szCs w:val="16"/>
        </w:rPr>
      </w:pPr>
    </w:p>
  </w:footnote>
  <w:footnote w:id="4">
    <w:p w14:paraId="3651215C" w14:textId="0F4675BD" w:rsidR="00936114" w:rsidRDefault="00AF6E74" w:rsidP="007F47CC">
      <w:pPr>
        <w:spacing w:after="0" w:line="240" w:lineRule="auto"/>
        <w:ind w:firstLine="709"/>
        <w:contextualSpacing/>
        <w:jc w:val="both"/>
        <w:rPr>
          <w:rFonts w:ascii="Verdana" w:hAnsi="Verdana" w:cs="Arial"/>
          <w:color w:val="000000"/>
          <w:sz w:val="16"/>
          <w:szCs w:val="16"/>
        </w:rPr>
      </w:pPr>
      <w:r w:rsidRPr="004F2CEA">
        <w:rPr>
          <w:rStyle w:val="Refdenotaalpie"/>
          <w:rFonts w:ascii="Verdana" w:hAnsi="Verdana" w:cs="Arial"/>
          <w:sz w:val="16"/>
          <w:szCs w:val="16"/>
        </w:rPr>
        <w:footnoteRef/>
      </w:r>
      <w:r w:rsidRPr="004F2CEA">
        <w:rPr>
          <w:rFonts w:ascii="Verdana" w:hAnsi="Verdana" w:cs="Arial"/>
          <w:sz w:val="16"/>
          <w:szCs w:val="16"/>
        </w:rPr>
        <w:t xml:space="preserve"> El artículo 85 de la ley 489 de 1998 definió a las empresas industriales y comerciales del Estado </w:t>
      </w:r>
      <w:r w:rsidRPr="004F2CEA">
        <w:rPr>
          <w:rFonts w:ascii="Verdana" w:hAnsi="Verdana" w:cs="Arial"/>
          <w:color w:val="000000"/>
          <w:sz w:val="16"/>
          <w:szCs w:val="16"/>
        </w:rPr>
        <w:t>como “organismos creados por la ley o autorizados por ésta, que desarrollan actividades de naturaleza industrial o comercial y de gestión económica conforme a las reglas del Derecho Privado, salvo las excepciones que consagra la ley, y que reúnen las siguientes características: a) Personería jurídica; b) Autonomía administrativa y financiera; c) Capital independiente, constituido totalmente con bienes o fondos públicos comunes, los productos de ellos, o el rendimiento de tasas que perciban por las funciones o servicios, y contribuciones de destinación especial en los casos autorizados por la Constitución […]”.</w:t>
      </w:r>
    </w:p>
    <w:p w14:paraId="456B240C" w14:textId="77777777" w:rsidR="00017188" w:rsidRPr="007F47CC" w:rsidRDefault="00017188" w:rsidP="007F47CC">
      <w:pPr>
        <w:spacing w:after="0" w:line="240" w:lineRule="auto"/>
        <w:ind w:firstLine="709"/>
        <w:contextualSpacing/>
        <w:jc w:val="both"/>
        <w:rPr>
          <w:rFonts w:ascii="Verdana" w:hAnsi="Verdana" w:cs="Arial"/>
          <w:color w:val="000000"/>
          <w:sz w:val="16"/>
          <w:szCs w:val="16"/>
        </w:rPr>
      </w:pPr>
    </w:p>
    <w:bookmarkStart w:id="3" w:name="353"/>
    <w:bookmarkEnd w:id="3"/>
  </w:footnote>
  <w:footnote w:id="5">
    <w:p w14:paraId="4DC1CC4E" w14:textId="332DCD6D" w:rsidR="00AF6E74" w:rsidRDefault="00AF6E74" w:rsidP="007F47CC">
      <w:pPr>
        <w:pStyle w:val="Textonotapie"/>
        <w:ind w:firstLine="709"/>
        <w:contextualSpacing/>
        <w:jc w:val="both"/>
        <w:rPr>
          <w:rFonts w:ascii="Verdana" w:hAnsi="Verdana" w:cs="Arial"/>
          <w:sz w:val="16"/>
          <w:szCs w:val="16"/>
        </w:rPr>
      </w:pPr>
      <w:bookmarkStart w:id="5" w:name="353"/>
      <w:bookmarkEnd w:id="5"/>
      <w:r w:rsidRPr="004F2CEA">
        <w:rPr>
          <w:rStyle w:val="Refdenotaalpie"/>
          <w:rFonts w:ascii="Verdana" w:hAnsi="Verdana" w:cs="Arial"/>
          <w:sz w:val="16"/>
          <w:szCs w:val="16"/>
        </w:rPr>
        <w:footnoteRef/>
      </w:r>
      <w:r w:rsidRPr="004F2CEA">
        <w:rPr>
          <w:rFonts w:ascii="Verdana" w:hAnsi="Verdana" w:cs="Arial"/>
          <w:sz w:val="16"/>
          <w:szCs w:val="16"/>
        </w:rPr>
        <w:t xml:space="preserve"> Sin perjuicio de la regla indicada, es importante señalar que el literal g, numeral 2, artículo 2 de la Ley 1150 de 2007, prevé como causal de selección abreviada: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[obra, concesión, prestación de servicios, consultoría, fiducia pública]”. 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Por su parte, el Decreto 1082 del 2015, artículo 2.2.1.2.1.2.24, prescribió: “Contratación de empresas industriales y comerciales del Estado. Las empresas industriales y comerciales del Estado y las sociedades de economía mixta, sus filiales y las empresas en las cuales el Estado tenga más del cincuenta por ciento (50%) del capital social que no se encuentren en situación de competencia, deben utilizar el procedimiento de selección abreviada de menor cuantía para los contratos que tengan como objeto su actividad comercial e industrial, salvo para los contratos de obra pública, consultoría, prestación de servicios, concesión, encargo fiduciario y fiducia pública para los cuales se aplicará la modalidad que corresponda”.</w:t>
      </w:r>
    </w:p>
    <w:p w14:paraId="1198D565" w14:textId="77777777" w:rsidR="00017188" w:rsidRPr="004F2CEA" w:rsidRDefault="00017188" w:rsidP="007F47CC">
      <w:pPr>
        <w:pStyle w:val="Textonotapie"/>
        <w:ind w:firstLine="709"/>
        <w:contextualSpacing/>
        <w:jc w:val="both"/>
        <w:rPr>
          <w:rFonts w:ascii="Verdana" w:hAnsi="Verdana" w:cs="Arial"/>
          <w:sz w:val="16"/>
          <w:szCs w:val="16"/>
        </w:rPr>
      </w:pPr>
    </w:p>
  </w:footnote>
  <w:footnote w:id="6">
    <w:p w14:paraId="6EB74191" w14:textId="32A75B27" w:rsidR="00AF6E74" w:rsidRDefault="00AF6E74" w:rsidP="007F47CC">
      <w:pPr>
        <w:pStyle w:val="Textonotapie"/>
        <w:ind w:firstLine="709"/>
        <w:contextualSpacing/>
        <w:jc w:val="both"/>
        <w:rPr>
          <w:rFonts w:ascii="Verdana" w:hAnsi="Verdana" w:cs="Arial"/>
          <w:sz w:val="16"/>
          <w:szCs w:val="16"/>
        </w:rPr>
      </w:pPr>
      <w:r w:rsidRPr="004F2CEA">
        <w:rPr>
          <w:rStyle w:val="Refdenotaalpie"/>
          <w:rFonts w:ascii="Verdana" w:hAnsi="Verdana" w:cs="Arial"/>
          <w:sz w:val="16"/>
          <w:szCs w:val="16"/>
        </w:rPr>
        <w:footnoteRef/>
      </w:r>
      <w:r w:rsidRPr="004F2CEA">
        <w:rPr>
          <w:rFonts w:ascii="Verdana" w:hAnsi="Verdana" w:cs="Arial"/>
          <w:sz w:val="16"/>
          <w:szCs w:val="16"/>
        </w:rPr>
        <w:t xml:space="preserve"> El artículo 14 original de la Ley 1150 de 2007 excluía además aquellas cuya actividad se realizaba en “mercados monopolísticos”, pero, con buen tino, se eliminó en el artículo 93 de la Ley 1474 de 2011, pues en ese caso no se está en presencia de los fundamentos que soportan la excepción de no aplicar el Estatuto General de Contratación de la Administración Pública, cual es la “competencia y el libre juego del mercado”.</w:t>
      </w:r>
    </w:p>
    <w:p w14:paraId="26E3C1EA" w14:textId="77777777" w:rsidR="00017188" w:rsidRPr="007F47CC" w:rsidRDefault="00017188" w:rsidP="007F47CC">
      <w:pPr>
        <w:pStyle w:val="Textonotapie"/>
        <w:ind w:firstLine="709"/>
        <w:contextualSpacing/>
        <w:jc w:val="both"/>
        <w:rPr>
          <w:rFonts w:ascii="Verdana" w:hAnsi="Verdana" w:cs="Arial"/>
          <w:sz w:val="16"/>
          <w:szCs w:val="16"/>
        </w:rPr>
      </w:pPr>
    </w:p>
  </w:footnote>
  <w:footnote w:id="7">
    <w:p w14:paraId="52928F29" w14:textId="4718438B" w:rsidR="00AF6E74" w:rsidRDefault="00AF6E74" w:rsidP="007F47CC">
      <w:pPr>
        <w:pStyle w:val="Textonotapie"/>
        <w:ind w:firstLine="709"/>
        <w:contextualSpacing/>
        <w:jc w:val="both"/>
        <w:rPr>
          <w:rFonts w:ascii="Verdana" w:hAnsi="Verdana" w:cs="Arial"/>
          <w:sz w:val="16"/>
          <w:szCs w:val="16"/>
        </w:rPr>
      </w:pPr>
      <w:r w:rsidRPr="004F2CEA">
        <w:rPr>
          <w:rStyle w:val="Refdenotaalpie"/>
          <w:rFonts w:ascii="Verdana" w:hAnsi="Verdana" w:cs="Arial"/>
          <w:sz w:val="16"/>
          <w:szCs w:val="16"/>
        </w:rPr>
        <w:footnoteRef/>
      </w:r>
      <w:r w:rsidRPr="004F2CEA">
        <w:rPr>
          <w:rFonts w:ascii="Verdana" w:hAnsi="Verdana" w:cs="Arial"/>
          <w:sz w:val="16"/>
          <w:szCs w:val="16"/>
        </w:rPr>
        <w:t xml:space="preserve"> Consejo de Estado. Sección Tercera, Sentencia del 19 de agosto de 2004 </w:t>
      </w:r>
      <w:proofErr w:type="spellStart"/>
      <w:r w:rsidRPr="004F2CEA">
        <w:rPr>
          <w:rFonts w:ascii="Verdana" w:hAnsi="Verdana" w:cs="Arial"/>
          <w:sz w:val="16"/>
          <w:szCs w:val="16"/>
        </w:rPr>
        <w:t>Exp</w:t>
      </w:r>
      <w:proofErr w:type="spellEnd"/>
      <w:r w:rsidRPr="004F2CEA">
        <w:rPr>
          <w:rFonts w:ascii="Verdana" w:hAnsi="Verdana" w:cs="Arial"/>
          <w:sz w:val="16"/>
          <w:szCs w:val="16"/>
        </w:rPr>
        <w:t xml:space="preserve">. 12.342, reiterada en sentencia de 6 de febrero de 2006, </w:t>
      </w:r>
      <w:proofErr w:type="spellStart"/>
      <w:r w:rsidRPr="004F2CEA">
        <w:rPr>
          <w:rFonts w:ascii="Verdana" w:hAnsi="Verdana" w:cs="Arial"/>
          <w:sz w:val="16"/>
          <w:szCs w:val="16"/>
        </w:rPr>
        <w:t>Exp</w:t>
      </w:r>
      <w:proofErr w:type="spellEnd"/>
      <w:r w:rsidRPr="004F2CEA">
        <w:rPr>
          <w:rFonts w:ascii="Verdana" w:hAnsi="Verdana" w:cs="Arial"/>
          <w:sz w:val="16"/>
          <w:szCs w:val="16"/>
        </w:rPr>
        <w:t xml:space="preserve">. 13.414. </w:t>
      </w:r>
    </w:p>
    <w:p w14:paraId="459B21C3" w14:textId="77777777" w:rsidR="00017188" w:rsidRPr="004F2CEA" w:rsidRDefault="00017188" w:rsidP="007F47CC">
      <w:pPr>
        <w:pStyle w:val="Textonotapie"/>
        <w:ind w:firstLine="709"/>
        <w:contextualSpacing/>
        <w:jc w:val="both"/>
        <w:rPr>
          <w:rFonts w:ascii="Verdana" w:hAnsi="Verdana" w:cs="Arial"/>
          <w:sz w:val="16"/>
          <w:szCs w:val="16"/>
        </w:rPr>
      </w:pPr>
    </w:p>
  </w:footnote>
  <w:footnote w:id="8">
    <w:p w14:paraId="7FF7C1F8" w14:textId="2C5EF0E7" w:rsidR="00AF6E74" w:rsidRDefault="00AF6E74" w:rsidP="007F47CC">
      <w:pPr>
        <w:pStyle w:val="Textonotapie"/>
        <w:ind w:firstLine="709"/>
        <w:contextualSpacing/>
        <w:jc w:val="both"/>
        <w:rPr>
          <w:rFonts w:ascii="Verdana" w:hAnsi="Verdana" w:cs="Arial"/>
          <w:color w:val="000000" w:themeColor="text1"/>
          <w:sz w:val="16"/>
          <w:szCs w:val="16"/>
        </w:rPr>
      </w:pPr>
      <w:r w:rsidRPr="004F2CEA">
        <w:rPr>
          <w:rStyle w:val="Refdenotaalpie"/>
          <w:rFonts w:ascii="Verdana" w:hAnsi="Verdana" w:cs="Arial"/>
          <w:sz w:val="16"/>
          <w:szCs w:val="16"/>
        </w:rPr>
        <w:footnoteRef/>
      </w:r>
      <w:r w:rsidRPr="004F2CEA">
        <w:rPr>
          <w:rFonts w:ascii="Verdana" w:hAnsi="Verdana" w:cs="Arial"/>
          <w:sz w:val="16"/>
          <w:szCs w:val="16"/>
        </w:rPr>
        <w:t xml:space="preserve"> Ley 1150 de 2007</w:t>
      </w:r>
      <w:r>
        <w:rPr>
          <w:rFonts w:ascii="Verdana" w:hAnsi="Verdana" w:cs="Arial"/>
          <w:sz w:val="16"/>
          <w:szCs w:val="16"/>
        </w:rPr>
        <w:t>. A</w:t>
      </w:r>
      <w:r w:rsidRPr="004F2CEA">
        <w:rPr>
          <w:rFonts w:ascii="Verdana" w:hAnsi="Verdana" w:cs="Arial"/>
          <w:sz w:val="16"/>
          <w:szCs w:val="16"/>
        </w:rPr>
        <w:t xml:space="preserve">rtículo 13: </w:t>
      </w:r>
      <w:r w:rsidRPr="004F2CEA">
        <w:rPr>
          <w:rFonts w:ascii="Verdana" w:hAnsi="Verdana" w:cs="Arial"/>
          <w:color w:val="000000" w:themeColor="text1"/>
          <w:sz w:val="16"/>
          <w:szCs w:val="16"/>
        </w:rPr>
        <w:t>“</w:t>
      </w:r>
      <w:r w:rsidRPr="004F2CEA">
        <w:rPr>
          <w:rFonts w:ascii="Verdana" w:hAnsi="Verdana" w:cs="Arial"/>
          <w:sz w:val="16"/>
          <w:szCs w:val="16"/>
        </w:rPr>
        <w:t>Principios generales de la actividad contractual para entidades no sometidas al estatuto general de contratación de la administración pública.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sidRPr="004F2CEA">
        <w:rPr>
          <w:rFonts w:ascii="Verdana" w:hAnsi="Verdana" w:cs="Arial"/>
          <w:color w:val="000000" w:themeColor="text1"/>
          <w:sz w:val="16"/>
          <w:szCs w:val="16"/>
        </w:rPr>
        <w:t>”.</w:t>
      </w:r>
    </w:p>
    <w:p w14:paraId="06704A70" w14:textId="77777777" w:rsidR="00017188" w:rsidRPr="007F47CC" w:rsidRDefault="00017188" w:rsidP="007F47CC">
      <w:pPr>
        <w:pStyle w:val="Textonotapie"/>
        <w:ind w:firstLine="709"/>
        <w:contextualSpacing/>
        <w:jc w:val="both"/>
        <w:rPr>
          <w:rFonts w:ascii="Verdana" w:hAnsi="Verdana" w:cs="Arial"/>
          <w:color w:val="000000" w:themeColor="text1"/>
          <w:sz w:val="16"/>
          <w:szCs w:val="16"/>
        </w:rPr>
      </w:pPr>
    </w:p>
  </w:footnote>
  <w:footnote w:id="9">
    <w:p w14:paraId="5ED944D2" w14:textId="77777777" w:rsidR="00AF6E74" w:rsidRPr="004F2CEA" w:rsidRDefault="00AF6E74" w:rsidP="00AF6E74">
      <w:pPr>
        <w:pStyle w:val="Textonotapie"/>
        <w:ind w:firstLine="709"/>
        <w:contextualSpacing/>
        <w:jc w:val="both"/>
        <w:rPr>
          <w:rFonts w:ascii="Verdana" w:hAnsi="Verdana" w:cs="Arial"/>
          <w:color w:val="000000" w:themeColor="text1"/>
          <w:sz w:val="16"/>
          <w:szCs w:val="16"/>
        </w:rPr>
      </w:pPr>
      <w:r w:rsidRPr="004F2CEA">
        <w:rPr>
          <w:rStyle w:val="Refdenotaalpie"/>
          <w:rFonts w:ascii="Verdana" w:hAnsi="Verdana" w:cs="Arial"/>
          <w:color w:val="000000" w:themeColor="text1"/>
          <w:sz w:val="16"/>
          <w:szCs w:val="16"/>
        </w:rPr>
        <w:footnoteRef/>
      </w:r>
      <w:r w:rsidRPr="004F2CEA">
        <w:rPr>
          <w:rFonts w:ascii="Verdana" w:hAnsi="Verdana" w:cs="Arial"/>
          <w:color w:val="000000" w:themeColor="text1"/>
          <w:sz w:val="16"/>
          <w:szCs w:val="16"/>
        </w:rPr>
        <w:t xml:space="preserve"> Decreto 1082 de 2015: </w:t>
      </w:r>
      <w:r>
        <w:rPr>
          <w:rFonts w:ascii="Verdana" w:hAnsi="Verdana" w:cs="Arial"/>
          <w:color w:val="000000" w:themeColor="text1"/>
          <w:sz w:val="16"/>
          <w:szCs w:val="16"/>
        </w:rPr>
        <w:t>“</w:t>
      </w:r>
      <w:r w:rsidRPr="004F2CEA">
        <w:rPr>
          <w:rFonts w:ascii="Verdana" w:hAnsi="Verdana" w:cs="Arial"/>
          <w:color w:val="000000" w:themeColor="text1"/>
          <w:sz w:val="16"/>
          <w:szCs w:val="16"/>
        </w:rPr>
        <w:t xml:space="preserve">Artículo 2.2.1.2.1.4.4. Convenios o contratos interadministrativos. La modalidad de selección para la contratación entre Entidades Estatales es la contratación directa; </w:t>
      </w:r>
      <w:proofErr w:type="gramStart"/>
      <w:r w:rsidRPr="004F2CEA">
        <w:rPr>
          <w:rFonts w:ascii="Verdana" w:hAnsi="Verdana" w:cs="Arial"/>
          <w:color w:val="000000" w:themeColor="text1"/>
          <w:sz w:val="16"/>
          <w:szCs w:val="16"/>
        </w:rPr>
        <w:t>y</w:t>
      </w:r>
      <w:proofErr w:type="gramEnd"/>
      <w:r w:rsidRPr="004F2CEA">
        <w:rPr>
          <w:rFonts w:ascii="Verdana" w:hAnsi="Verdana" w:cs="Arial"/>
          <w:color w:val="000000" w:themeColor="text1"/>
          <w:sz w:val="16"/>
          <w:szCs w:val="16"/>
        </w:rPr>
        <w:t xml:space="preserve"> en consecuencia, le es aplicable lo establecido en el artículo 2.2.1.2.1.4.1 del presente decreto.</w:t>
      </w:r>
    </w:p>
    <w:p w14:paraId="2EB6BCE6" w14:textId="292D24A4" w:rsidR="00AF6E74" w:rsidRDefault="00AF6E74" w:rsidP="007F47CC">
      <w:pPr>
        <w:pStyle w:val="Textonotapie"/>
        <w:ind w:firstLine="709"/>
        <w:contextualSpacing/>
        <w:jc w:val="both"/>
        <w:rPr>
          <w:rFonts w:ascii="Verdana" w:hAnsi="Verdana" w:cs="Arial"/>
          <w:color w:val="000000" w:themeColor="text1"/>
          <w:sz w:val="16"/>
          <w:szCs w:val="16"/>
        </w:rPr>
      </w:pPr>
      <w:r w:rsidRPr="004F2CEA">
        <w:rPr>
          <w:rFonts w:ascii="Verdana" w:hAnsi="Verdana" w:cs="Arial"/>
          <w:color w:val="000000" w:themeColor="text1"/>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r>
        <w:rPr>
          <w:rFonts w:ascii="Verdana" w:hAnsi="Verdana" w:cs="Arial"/>
          <w:color w:val="000000" w:themeColor="text1"/>
          <w:sz w:val="16"/>
          <w:szCs w:val="16"/>
        </w:rPr>
        <w:t>”</w:t>
      </w:r>
      <w:r w:rsidRPr="004F2CEA">
        <w:rPr>
          <w:rFonts w:ascii="Verdana" w:hAnsi="Verdana" w:cs="Arial"/>
          <w:color w:val="000000" w:themeColor="text1"/>
          <w:sz w:val="16"/>
          <w:szCs w:val="16"/>
        </w:rPr>
        <w:t>.</w:t>
      </w:r>
    </w:p>
    <w:p w14:paraId="7EF4CED3" w14:textId="77777777" w:rsidR="00017188" w:rsidRPr="004F2CEA" w:rsidRDefault="00017188" w:rsidP="007F47CC">
      <w:pPr>
        <w:pStyle w:val="Textonotapie"/>
        <w:ind w:firstLine="709"/>
        <w:contextualSpacing/>
        <w:jc w:val="both"/>
        <w:rPr>
          <w:rFonts w:ascii="Verdana" w:hAnsi="Verdana" w:cs="Arial"/>
          <w:color w:val="000000" w:themeColor="text1"/>
          <w:sz w:val="16"/>
          <w:szCs w:val="16"/>
        </w:rPr>
      </w:pPr>
    </w:p>
  </w:footnote>
  <w:footnote w:id="10">
    <w:p w14:paraId="56C3F4F9" w14:textId="55215466" w:rsidR="00AF6E74" w:rsidRDefault="00AF6E74" w:rsidP="007F47CC">
      <w:pPr>
        <w:spacing w:after="0" w:line="240" w:lineRule="auto"/>
        <w:ind w:firstLine="709"/>
        <w:contextualSpacing/>
        <w:jc w:val="both"/>
        <w:rPr>
          <w:rFonts w:ascii="Verdana" w:hAnsi="Verdana" w:cs="Arial"/>
          <w:color w:val="000000" w:themeColor="text1"/>
          <w:sz w:val="16"/>
          <w:szCs w:val="16"/>
        </w:rPr>
      </w:pPr>
      <w:r w:rsidRPr="004F2CEA">
        <w:rPr>
          <w:rStyle w:val="Refdenotaalpie"/>
          <w:rFonts w:ascii="Verdana" w:hAnsi="Verdana" w:cs="Arial"/>
          <w:color w:val="000000" w:themeColor="text1"/>
          <w:sz w:val="16"/>
          <w:szCs w:val="16"/>
        </w:rPr>
        <w:footnoteRef/>
      </w:r>
      <w:r w:rsidRPr="004F2CEA">
        <w:rPr>
          <w:rStyle w:val="Refdenotaalpie"/>
          <w:rFonts w:ascii="Verdana" w:hAnsi="Verdana" w:cs="Arial"/>
          <w:color w:val="000000" w:themeColor="text1"/>
          <w:sz w:val="16"/>
          <w:szCs w:val="16"/>
        </w:rPr>
        <w:t xml:space="preserve"> </w:t>
      </w:r>
      <w:r w:rsidRPr="004F2CEA">
        <w:rPr>
          <w:rFonts w:ascii="Verdana" w:hAnsi="Verdana" w:cs="Arial"/>
          <w:color w:val="000000" w:themeColor="text1"/>
          <w:sz w:val="16"/>
          <w:szCs w:val="16"/>
        </w:rPr>
        <w:t xml:space="preserve">Ley 1150 de 2007: </w:t>
      </w:r>
      <w:r>
        <w:rPr>
          <w:rFonts w:ascii="Verdana" w:hAnsi="Verdana" w:cs="Arial"/>
          <w:color w:val="000000" w:themeColor="text1"/>
          <w:sz w:val="16"/>
          <w:szCs w:val="16"/>
        </w:rPr>
        <w:t>“</w:t>
      </w:r>
      <w:r w:rsidRPr="004F2CEA">
        <w:rPr>
          <w:rFonts w:ascii="Verdana" w:hAnsi="Verdana" w:cs="Arial"/>
          <w:color w:val="000000" w:themeColor="text1"/>
          <w:sz w:val="16"/>
          <w:szCs w:val="16"/>
        </w:rPr>
        <w:t>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r>
        <w:rPr>
          <w:rFonts w:ascii="Verdana" w:hAnsi="Verdana" w:cs="Arial"/>
          <w:color w:val="000000" w:themeColor="text1"/>
          <w:sz w:val="16"/>
          <w:szCs w:val="16"/>
        </w:rPr>
        <w:t>”</w:t>
      </w:r>
      <w:r w:rsidRPr="004F2CEA">
        <w:rPr>
          <w:rFonts w:ascii="Verdana" w:hAnsi="Verdana" w:cs="Arial"/>
          <w:color w:val="000000" w:themeColor="text1"/>
          <w:sz w:val="16"/>
          <w:szCs w:val="16"/>
        </w:rPr>
        <w:t>.</w:t>
      </w:r>
    </w:p>
    <w:p w14:paraId="6703CCDF" w14:textId="77777777" w:rsidR="00017188" w:rsidRPr="004F2CEA" w:rsidRDefault="00017188" w:rsidP="007F47CC">
      <w:pPr>
        <w:spacing w:after="0" w:line="240" w:lineRule="auto"/>
        <w:ind w:firstLine="709"/>
        <w:contextualSpacing/>
        <w:jc w:val="both"/>
        <w:rPr>
          <w:rFonts w:ascii="Verdana" w:hAnsi="Verdana" w:cs="Arial"/>
          <w:color w:val="000000" w:themeColor="text1"/>
          <w:sz w:val="16"/>
          <w:szCs w:val="16"/>
        </w:rPr>
      </w:pPr>
    </w:p>
  </w:footnote>
  <w:footnote w:id="11">
    <w:p w14:paraId="46947F62" w14:textId="34445F85" w:rsidR="00AF6E74" w:rsidRDefault="00AF6E74" w:rsidP="007F47CC">
      <w:pPr>
        <w:pStyle w:val="Textonotapie"/>
        <w:ind w:firstLine="709"/>
        <w:contextualSpacing/>
        <w:jc w:val="both"/>
        <w:rPr>
          <w:rFonts w:ascii="Verdana" w:hAnsi="Verdana" w:cs="Arial"/>
          <w:color w:val="000000" w:themeColor="text1"/>
          <w:sz w:val="16"/>
          <w:szCs w:val="16"/>
        </w:rPr>
      </w:pPr>
      <w:r w:rsidRPr="004F2CEA">
        <w:rPr>
          <w:rStyle w:val="Refdenotaalpie"/>
          <w:rFonts w:ascii="Verdana" w:hAnsi="Verdana" w:cs="Arial"/>
          <w:color w:val="000000" w:themeColor="text1"/>
          <w:sz w:val="16"/>
          <w:szCs w:val="16"/>
        </w:rPr>
        <w:footnoteRef/>
      </w:r>
      <w:r w:rsidRPr="004F2CEA">
        <w:rPr>
          <w:rFonts w:ascii="Verdana" w:hAnsi="Verdana" w:cs="Arial"/>
          <w:color w:val="000000" w:themeColor="text1"/>
          <w:sz w:val="16"/>
          <w:szCs w:val="16"/>
        </w:rPr>
        <w:t xml:space="preserve"> Código Civil: </w:t>
      </w:r>
      <w:r>
        <w:rPr>
          <w:rFonts w:ascii="Verdana" w:hAnsi="Verdana" w:cs="Arial"/>
          <w:color w:val="000000" w:themeColor="text1"/>
          <w:sz w:val="16"/>
          <w:szCs w:val="16"/>
        </w:rPr>
        <w:t>“</w:t>
      </w:r>
      <w:r w:rsidRPr="004F2CEA">
        <w:rPr>
          <w:rFonts w:ascii="Verdana" w:hAnsi="Verdana" w:cs="Arial"/>
          <w:color w:val="000000" w:themeColor="text1"/>
          <w:sz w:val="16"/>
          <w:szCs w:val="16"/>
        </w:rPr>
        <w:t>Artículo 27. Cuando el sentido de la ley sea claro, no se desatenderá su tenor a pretexto de consultar su espíritu</w:t>
      </w:r>
      <w:r>
        <w:rPr>
          <w:rFonts w:ascii="Verdana" w:hAnsi="Verdana" w:cs="Arial"/>
          <w:color w:val="000000" w:themeColor="text1"/>
          <w:sz w:val="16"/>
          <w:szCs w:val="16"/>
        </w:rPr>
        <w:t>”</w:t>
      </w:r>
      <w:r w:rsidRPr="004F2CEA">
        <w:rPr>
          <w:rFonts w:ascii="Verdana" w:hAnsi="Verdana" w:cs="Arial"/>
          <w:color w:val="000000" w:themeColor="text1"/>
          <w:sz w:val="16"/>
          <w:szCs w:val="16"/>
        </w:rPr>
        <w:t>.</w:t>
      </w:r>
    </w:p>
    <w:p w14:paraId="3DA8517D" w14:textId="77777777" w:rsidR="00017188" w:rsidRPr="007F47CC" w:rsidRDefault="00017188" w:rsidP="007F47CC">
      <w:pPr>
        <w:pStyle w:val="Textonotapie"/>
        <w:ind w:firstLine="709"/>
        <w:contextualSpacing/>
        <w:jc w:val="both"/>
        <w:rPr>
          <w:rFonts w:ascii="Verdana" w:hAnsi="Verdana" w:cs="Arial"/>
          <w:color w:val="000000" w:themeColor="text1"/>
          <w:sz w:val="16"/>
          <w:szCs w:val="16"/>
        </w:rPr>
      </w:pPr>
    </w:p>
  </w:footnote>
  <w:footnote w:id="12">
    <w:p w14:paraId="586A75BD" w14:textId="445D9174" w:rsidR="00AF6E74" w:rsidRDefault="00AF6E74" w:rsidP="007F47CC">
      <w:pPr>
        <w:pStyle w:val="Textonotapie"/>
        <w:ind w:firstLine="709"/>
        <w:contextualSpacing/>
        <w:jc w:val="both"/>
        <w:rPr>
          <w:rFonts w:ascii="Verdana" w:hAnsi="Verdana" w:cs="Arial"/>
          <w:sz w:val="16"/>
          <w:szCs w:val="16"/>
        </w:rPr>
      </w:pPr>
      <w:r w:rsidRPr="004F2CEA">
        <w:rPr>
          <w:rStyle w:val="Refdenotaalpie"/>
          <w:rFonts w:ascii="Verdana" w:hAnsi="Verdana" w:cs="Arial"/>
          <w:sz w:val="16"/>
          <w:szCs w:val="16"/>
        </w:rPr>
        <w:footnoteRef/>
      </w:r>
      <w:r w:rsidRPr="004F2CEA">
        <w:rPr>
          <w:rFonts w:ascii="Verdana" w:hAnsi="Verdana" w:cs="Arial"/>
          <w:sz w:val="16"/>
          <w:szCs w:val="16"/>
        </w:rPr>
        <w:t xml:space="preserve"> Consejo de Estado. Sala de Consulta y Servicio Civil. Concepto de 28 de junio de 2012. Rad: 11001-03-06-000-2012-00016-00(2092). CP: William Zambrano Cetina. </w:t>
      </w:r>
    </w:p>
    <w:p w14:paraId="3EF601B4" w14:textId="77777777" w:rsidR="00017188" w:rsidRPr="004F2CEA" w:rsidRDefault="00017188" w:rsidP="007F47CC">
      <w:pPr>
        <w:pStyle w:val="Textonotapie"/>
        <w:ind w:firstLine="709"/>
        <w:contextualSpacing/>
        <w:jc w:val="both"/>
        <w:rPr>
          <w:rFonts w:ascii="Verdana" w:hAnsi="Verdana" w:cs="Arial"/>
          <w:sz w:val="16"/>
          <w:szCs w:val="16"/>
        </w:rPr>
      </w:pPr>
    </w:p>
  </w:footnote>
  <w:footnote w:id="13">
    <w:p w14:paraId="0733B4B2" w14:textId="77777777" w:rsidR="00AF6E74" w:rsidRPr="004F2CEA" w:rsidRDefault="00AF6E74" w:rsidP="00AF6E74">
      <w:pPr>
        <w:pStyle w:val="Textonotapie"/>
        <w:ind w:firstLine="708"/>
        <w:contextualSpacing/>
        <w:jc w:val="both"/>
        <w:rPr>
          <w:rFonts w:ascii="Verdana" w:hAnsi="Verdana" w:cs="Arial"/>
          <w:sz w:val="16"/>
          <w:szCs w:val="16"/>
        </w:rPr>
      </w:pPr>
      <w:r w:rsidRPr="004F2CEA">
        <w:rPr>
          <w:rStyle w:val="Refdenotaalpie"/>
          <w:rFonts w:ascii="Verdana" w:hAnsi="Verdana" w:cs="Arial"/>
          <w:sz w:val="16"/>
          <w:szCs w:val="16"/>
        </w:rPr>
        <w:footnoteRef/>
      </w:r>
      <w:r w:rsidRPr="004F2CEA">
        <w:rPr>
          <w:rFonts w:ascii="Verdana" w:hAnsi="Verdana" w:cs="Arial"/>
          <w:sz w:val="16"/>
          <w:szCs w:val="16"/>
        </w:rPr>
        <w:t xml:space="preserve"> </w:t>
      </w:r>
      <w:r>
        <w:rPr>
          <w:rFonts w:ascii="Verdana" w:hAnsi="Verdana" w:cs="Arial"/>
          <w:sz w:val="16"/>
          <w:szCs w:val="16"/>
        </w:rPr>
        <w:t>“</w:t>
      </w:r>
      <w:r w:rsidRPr="004F2CEA">
        <w:rPr>
          <w:rFonts w:ascii="Verdana" w:hAnsi="Verdana" w:cs="Arial"/>
          <w:sz w:val="16"/>
          <w:szCs w:val="16"/>
        </w:rPr>
        <w:t xml:space="preserve">Articulo 38. Integración de la rama ejecutiva del poder </w:t>
      </w:r>
      <w:proofErr w:type="spellStart"/>
      <w:r w:rsidRPr="004F2CEA">
        <w:rPr>
          <w:rFonts w:ascii="Verdana" w:hAnsi="Verdana" w:cs="Arial"/>
          <w:sz w:val="16"/>
          <w:szCs w:val="16"/>
        </w:rPr>
        <w:t>publico</w:t>
      </w:r>
      <w:proofErr w:type="spellEnd"/>
      <w:r w:rsidRPr="004F2CEA">
        <w:rPr>
          <w:rFonts w:ascii="Verdana" w:hAnsi="Verdana" w:cs="Arial"/>
          <w:sz w:val="16"/>
          <w:szCs w:val="16"/>
        </w:rPr>
        <w:t xml:space="preserve"> en el orden nacional. La Rama Ejecutiva del Poder Público en el orden nacional, está integrada por los siguientes organismos y entidades:</w:t>
      </w:r>
    </w:p>
    <w:p w14:paraId="65A7CCC1" w14:textId="77777777" w:rsidR="00AF6E74" w:rsidRPr="004F2CEA" w:rsidRDefault="00AF6E74" w:rsidP="00AF6E74">
      <w:pPr>
        <w:pStyle w:val="Textonotapie"/>
        <w:ind w:firstLine="708"/>
        <w:contextualSpacing/>
        <w:jc w:val="both"/>
        <w:rPr>
          <w:rFonts w:ascii="Verdana" w:hAnsi="Verdana" w:cs="Arial"/>
          <w:sz w:val="16"/>
          <w:szCs w:val="16"/>
        </w:rPr>
      </w:pPr>
      <w:r w:rsidRPr="004F2CEA">
        <w:rPr>
          <w:rFonts w:ascii="Verdana" w:hAnsi="Verdana" w:cs="Arial"/>
          <w:sz w:val="16"/>
          <w:szCs w:val="16"/>
        </w:rPr>
        <w:t>1. Del Sector Central:</w:t>
      </w:r>
    </w:p>
    <w:p w14:paraId="7166FBE0" w14:textId="77777777" w:rsidR="00AF6E74" w:rsidRPr="004F2CEA" w:rsidRDefault="00AF6E74" w:rsidP="00AF6E74">
      <w:pPr>
        <w:pStyle w:val="Textonotapie"/>
        <w:ind w:firstLine="708"/>
        <w:contextualSpacing/>
        <w:jc w:val="both"/>
        <w:rPr>
          <w:rFonts w:ascii="Verdana" w:hAnsi="Verdana" w:cs="Arial"/>
          <w:sz w:val="16"/>
          <w:szCs w:val="16"/>
        </w:rPr>
      </w:pPr>
      <w:r w:rsidRPr="004F2CEA">
        <w:rPr>
          <w:rFonts w:ascii="Verdana" w:hAnsi="Verdana" w:cs="Arial"/>
          <w:sz w:val="16"/>
          <w:szCs w:val="16"/>
        </w:rPr>
        <w:t>a) La Presidencia de la República;</w:t>
      </w:r>
    </w:p>
    <w:p w14:paraId="16D9B292" w14:textId="77777777" w:rsidR="00AF6E74" w:rsidRPr="004F2CEA" w:rsidRDefault="00AF6E74" w:rsidP="00AF6E74">
      <w:pPr>
        <w:pStyle w:val="Textonotapie"/>
        <w:ind w:firstLine="708"/>
        <w:contextualSpacing/>
        <w:jc w:val="both"/>
        <w:rPr>
          <w:rFonts w:ascii="Verdana" w:hAnsi="Verdana" w:cs="Arial"/>
          <w:sz w:val="16"/>
          <w:szCs w:val="16"/>
        </w:rPr>
      </w:pPr>
      <w:r w:rsidRPr="004F2CEA">
        <w:rPr>
          <w:rFonts w:ascii="Verdana" w:hAnsi="Verdana" w:cs="Arial"/>
          <w:sz w:val="16"/>
          <w:szCs w:val="16"/>
        </w:rPr>
        <w:t>b) La Vicepresidencia de la República;</w:t>
      </w:r>
    </w:p>
    <w:p w14:paraId="38A4379F" w14:textId="77777777" w:rsidR="00AF6E74" w:rsidRPr="004F2CEA" w:rsidRDefault="00AF6E74" w:rsidP="00AF6E74">
      <w:pPr>
        <w:pStyle w:val="Textonotapie"/>
        <w:ind w:firstLine="708"/>
        <w:contextualSpacing/>
        <w:jc w:val="both"/>
        <w:rPr>
          <w:rFonts w:ascii="Verdana" w:hAnsi="Verdana" w:cs="Arial"/>
          <w:sz w:val="16"/>
          <w:szCs w:val="16"/>
        </w:rPr>
      </w:pPr>
      <w:r w:rsidRPr="004F2CEA">
        <w:rPr>
          <w:rFonts w:ascii="Verdana" w:hAnsi="Verdana" w:cs="Arial"/>
          <w:sz w:val="16"/>
          <w:szCs w:val="16"/>
        </w:rPr>
        <w:t>c) Los Consejos Superiores de la administración;</w:t>
      </w:r>
    </w:p>
    <w:p w14:paraId="0EF6AB87" w14:textId="77777777" w:rsidR="00AF6E74" w:rsidRPr="004F2CEA" w:rsidRDefault="00AF6E74" w:rsidP="00AF6E74">
      <w:pPr>
        <w:pStyle w:val="Textonotapie"/>
        <w:ind w:firstLine="708"/>
        <w:contextualSpacing/>
        <w:jc w:val="both"/>
        <w:rPr>
          <w:rFonts w:ascii="Verdana" w:hAnsi="Verdana" w:cs="Arial"/>
          <w:sz w:val="16"/>
          <w:szCs w:val="16"/>
        </w:rPr>
      </w:pPr>
      <w:r w:rsidRPr="004F2CEA">
        <w:rPr>
          <w:rFonts w:ascii="Verdana" w:hAnsi="Verdana" w:cs="Arial"/>
          <w:sz w:val="16"/>
          <w:szCs w:val="16"/>
        </w:rPr>
        <w:t>d) Los ministerios y departamentos administrativos;</w:t>
      </w:r>
    </w:p>
    <w:p w14:paraId="281F0893" w14:textId="77777777" w:rsidR="00AF6E74" w:rsidRPr="004F2CEA" w:rsidRDefault="00AF6E74" w:rsidP="00AF6E74">
      <w:pPr>
        <w:pStyle w:val="Textonotapie"/>
        <w:ind w:firstLine="708"/>
        <w:contextualSpacing/>
        <w:jc w:val="both"/>
        <w:rPr>
          <w:rFonts w:ascii="Verdana" w:hAnsi="Verdana" w:cs="Arial"/>
          <w:sz w:val="16"/>
          <w:szCs w:val="16"/>
        </w:rPr>
      </w:pPr>
      <w:r w:rsidRPr="004F2CEA">
        <w:rPr>
          <w:rFonts w:ascii="Verdana" w:hAnsi="Verdana" w:cs="Arial"/>
          <w:sz w:val="16"/>
          <w:szCs w:val="16"/>
        </w:rPr>
        <w:t>e) Las superintendencias y unidades administrativas especiales sin personería jurídica.</w:t>
      </w:r>
    </w:p>
    <w:p w14:paraId="4998C186" w14:textId="77777777" w:rsidR="00AF6E74" w:rsidRPr="004F2CEA" w:rsidRDefault="00AF6E74" w:rsidP="00AF6E74">
      <w:pPr>
        <w:pStyle w:val="Textonotapie"/>
        <w:ind w:firstLine="708"/>
        <w:contextualSpacing/>
        <w:jc w:val="both"/>
        <w:rPr>
          <w:rFonts w:ascii="Verdana" w:hAnsi="Verdana" w:cs="Arial"/>
          <w:i/>
          <w:iCs/>
          <w:sz w:val="16"/>
          <w:szCs w:val="16"/>
        </w:rPr>
      </w:pPr>
      <w:r w:rsidRPr="004F2CEA">
        <w:rPr>
          <w:rFonts w:ascii="Verdana" w:hAnsi="Verdana" w:cs="Arial"/>
          <w:i/>
          <w:iCs/>
          <w:sz w:val="16"/>
          <w:szCs w:val="16"/>
        </w:rPr>
        <w:t>2. Del Sector descentralizado por servicios:</w:t>
      </w:r>
    </w:p>
    <w:p w14:paraId="04450E85" w14:textId="77777777" w:rsidR="00AF6E74" w:rsidRPr="004F2CEA" w:rsidRDefault="00AF6E74" w:rsidP="00AF6E74">
      <w:pPr>
        <w:pStyle w:val="Textonotapie"/>
        <w:ind w:firstLine="708"/>
        <w:contextualSpacing/>
        <w:jc w:val="both"/>
        <w:rPr>
          <w:rFonts w:ascii="Verdana" w:hAnsi="Verdana" w:cs="Arial"/>
          <w:sz w:val="16"/>
          <w:szCs w:val="16"/>
        </w:rPr>
      </w:pPr>
      <w:r w:rsidRPr="004F2CEA">
        <w:rPr>
          <w:rFonts w:ascii="Verdana" w:hAnsi="Verdana" w:cs="Arial"/>
          <w:sz w:val="16"/>
          <w:szCs w:val="16"/>
        </w:rPr>
        <w:t>a) Los establecimientos públicos;</w:t>
      </w:r>
    </w:p>
    <w:p w14:paraId="684AB9D0" w14:textId="77777777" w:rsidR="00AF6E74" w:rsidRPr="004F2CEA" w:rsidRDefault="00AF6E74" w:rsidP="00AF6E74">
      <w:pPr>
        <w:pStyle w:val="Textonotapie"/>
        <w:ind w:firstLine="708"/>
        <w:contextualSpacing/>
        <w:jc w:val="both"/>
        <w:rPr>
          <w:rFonts w:ascii="Verdana" w:hAnsi="Verdana" w:cs="Arial"/>
          <w:sz w:val="16"/>
          <w:szCs w:val="16"/>
        </w:rPr>
      </w:pPr>
      <w:r w:rsidRPr="004F2CEA">
        <w:rPr>
          <w:rFonts w:ascii="Verdana" w:hAnsi="Verdana" w:cs="Arial"/>
          <w:i/>
          <w:iCs/>
          <w:sz w:val="16"/>
          <w:szCs w:val="16"/>
        </w:rPr>
        <w:t>b) Las empresas industriales y comerciales del Estado</w:t>
      </w:r>
      <w:r w:rsidRPr="004F2CEA">
        <w:rPr>
          <w:rFonts w:ascii="Verdana" w:hAnsi="Verdana" w:cs="Arial"/>
          <w:sz w:val="16"/>
          <w:szCs w:val="16"/>
        </w:rPr>
        <w:t>;</w:t>
      </w:r>
    </w:p>
    <w:p w14:paraId="15C754EE" w14:textId="77777777" w:rsidR="00AF6E74" w:rsidRPr="004F2CEA" w:rsidRDefault="00AF6E74" w:rsidP="00AF6E74">
      <w:pPr>
        <w:pStyle w:val="Textonotapie"/>
        <w:ind w:firstLine="708"/>
        <w:contextualSpacing/>
        <w:jc w:val="both"/>
        <w:rPr>
          <w:rFonts w:ascii="Verdana" w:hAnsi="Verdana" w:cs="Arial"/>
          <w:sz w:val="16"/>
          <w:szCs w:val="16"/>
        </w:rPr>
      </w:pPr>
      <w:r w:rsidRPr="004F2CEA">
        <w:rPr>
          <w:rFonts w:ascii="Verdana" w:hAnsi="Verdana" w:cs="Arial"/>
          <w:sz w:val="16"/>
          <w:szCs w:val="16"/>
        </w:rPr>
        <w:t>c) Las superintendencias y las unidades administrativas especiales con personería jurídica;</w:t>
      </w:r>
    </w:p>
    <w:p w14:paraId="1B11E550" w14:textId="77777777" w:rsidR="00AF6E74" w:rsidRPr="004F2CEA" w:rsidRDefault="00AF6E74" w:rsidP="00AF6E74">
      <w:pPr>
        <w:pStyle w:val="Textonotapie"/>
        <w:ind w:firstLine="708"/>
        <w:contextualSpacing/>
        <w:jc w:val="both"/>
        <w:rPr>
          <w:rFonts w:ascii="Verdana" w:hAnsi="Verdana" w:cs="Arial"/>
          <w:sz w:val="16"/>
          <w:szCs w:val="16"/>
        </w:rPr>
      </w:pPr>
      <w:r w:rsidRPr="004F2CEA">
        <w:rPr>
          <w:rFonts w:ascii="Verdana" w:hAnsi="Verdana" w:cs="Arial"/>
          <w:sz w:val="16"/>
          <w:szCs w:val="16"/>
        </w:rPr>
        <w:t>d) Las empresas sociales del Estado y las empresas oficiales de servicios públicos domiciliarios;</w:t>
      </w:r>
    </w:p>
    <w:p w14:paraId="1896E00B" w14:textId="77777777" w:rsidR="00AF6E74" w:rsidRPr="004F2CEA" w:rsidRDefault="00AF6E74" w:rsidP="00AF6E74">
      <w:pPr>
        <w:pStyle w:val="Textonotapie"/>
        <w:ind w:firstLine="708"/>
        <w:contextualSpacing/>
        <w:jc w:val="both"/>
        <w:rPr>
          <w:rFonts w:ascii="Verdana" w:hAnsi="Verdana" w:cs="Arial"/>
          <w:sz w:val="16"/>
          <w:szCs w:val="16"/>
        </w:rPr>
      </w:pPr>
      <w:r w:rsidRPr="004F2CEA">
        <w:rPr>
          <w:rFonts w:ascii="Verdana" w:hAnsi="Verdana" w:cs="Arial"/>
          <w:sz w:val="16"/>
          <w:szCs w:val="16"/>
        </w:rPr>
        <w:t>e) Los institutos científicos y tecnológicos;</w:t>
      </w:r>
    </w:p>
    <w:p w14:paraId="6F1DBF63" w14:textId="77777777" w:rsidR="00AF6E74" w:rsidRPr="004F2CEA" w:rsidRDefault="00AF6E74" w:rsidP="00AF6E74">
      <w:pPr>
        <w:pStyle w:val="Textonotapie"/>
        <w:ind w:firstLine="708"/>
        <w:contextualSpacing/>
        <w:jc w:val="both"/>
        <w:rPr>
          <w:rFonts w:ascii="Verdana" w:hAnsi="Verdana" w:cs="Arial"/>
          <w:sz w:val="16"/>
          <w:szCs w:val="16"/>
        </w:rPr>
      </w:pPr>
      <w:r w:rsidRPr="004F2CEA">
        <w:rPr>
          <w:rFonts w:ascii="Verdana" w:hAnsi="Verdana" w:cs="Arial"/>
          <w:sz w:val="16"/>
          <w:szCs w:val="16"/>
        </w:rPr>
        <w:t xml:space="preserve">f) Las sociedades públicas y </w:t>
      </w:r>
      <w:r w:rsidRPr="004F2CEA">
        <w:rPr>
          <w:rFonts w:ascii="Verdana" w:hAnsi="Verdana" w:cs="Arial"/>
          <w:i/>
          <w:iCs/>
          <w:sz w:val="16"/>
          <w:szCs w:val="16"/>
        </w:rPr>
        <w:t>las sociedades de economía mixta</w:t>
      </w:r>
      <w:r w:rsidRPr="004F2CEA">
        <w:rPr>
          <w:rFonts w:ascii="Verdana" w:hAnsi="Verdana" w:cs="Arial"/>
          <w:sz w:val="16"/>
          <w:szCs w:val="16"/>
        </w:rPr>
        <w:t>;</w:t>
      </w:r>
    </w:p>
    <w:p w14:paraId="63443E69" w14:textId="77777777" w:rsidR="00AF6E74" w:rsidRPr="004F2CEA" w:rsidRDefault="00AF6E74" w:rsidP="00AF6E74">
      <w:pPr>
        <w:pStyle w:val="Textonotapie"/>
        <w:ind w:firstLine="708"/>
        <w:contextualSpacing/>
        <w:jc w:val="both"/>
        <w:rPr>
          <w:rFonts w:ascii="Verdana" w:hAnsi="Verdana" w:cs="Arial"/>
          <w:sz w:val="16"/>
          <w:szCs w:val="16"/>
        </w:rPr>
      </w:pPr>
      <w:r w:rsidRPr="004F2CEA">
        <w:rPr>
          <w:rFonts w:ascii="Verdana" w:hAnsi="Verdana" w:cs="Arial"/>
          <w:sz w:val="16"/>
          <w:szCs w:val="16"/>
        </w:rPr>
        <w:t>g) Las demás entidades administrativas nacionales con personería jurídica que cree, organice o autorice la ley para que formen parte de la Rama Ejecutiva del Poder Público</w:t>
      </w:r>
      <w:r>
        <w:rPr>
          <w:rFonts w:ascii="Verdana" w:hAnsi="Verdana" w:cs="Arial"/>
          <w:sz w:val="16"/>
          <w:szCs w:val="16"/>
        </w:rPr>
        <w:t>”</w:t>
      </w:r>
      <w:r w:rsidRPr="004F2CEA">
        <w:rPr>
          <w:rFonts w:ascii="Verdana" w:hAnsi="Verdana" w:cs="Arial"/>
          <w:sz w:val="16"/>
          <w:szCs w:val="16"/>
        </w:rPr>
        <w:t xml:space="preserve"> (Cursivas fuera del original).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6" type="#_x0000_t75" style="width:11.3pt;height:11.3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3B5D22"/>
    <w:multiLevelType w:val="hybridMultilevel"/>
    <w:tmpl w:val="440039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BB586C"/>
    <w:multiLevelType w:val="multilevel"/>
    <w:tmpl w:val="DF7A0CDC"/>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AA56E96"/>
    <w:multiLevelType w:val="hybridMultilevel"/>
    <w:tmpl w:val="6EA664D6"/>
    <w:lvl w:ilvl="0" w:tplc="EC366446">
      <w:start w:val="1"/>
      <w:numFmt w:val="lowerRoman"/>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027A5B"/>
    <w:multiLevelType w:val="hybridMultilevel"/>
    <w:tmpl w:val="72D85B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0"/>
  </w:num>
  <w:num w:numId="13" w16cid:durableId="1512908409">
    <w:abstractNumId w:val="3"/>
  </w:num>
  <w:num w:numId="14" w16cid:durableId="895897244">
    <w:abstractNumId w:val="17"/>
  </w:num>
  <w:num w:numId="15" w16cid:durableId="390349800">
    <w:abstractNumId w:val="12"/>
  </w:num>
  <w:num w:numId="16" w16cid:durableId="1492209491">
    <w:abstractNumId w:val="5"/>
  </w:num>
  <w:num w:numId="17" w16cid:durableId="1748528177">
    <w:abstractNumId w:val="10"/>
  </w:num>
  <w:num w:numId="18" w16cid:durableId="1016418894">
    <w:abstractNumId w:val="11"/>
  </w:num>
  <w:num w:numId="19" w16cid:durableId="1246694673">
    <w:abstractNumId w:val="1"/>
  </w:num>
  <w:num w:numId="20" w16cid:durableId="24356418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7188"/>
    <w:rsid w:val="00033726"/>
    <w:rsid w:val="000348A3"/>
    <w:rsid w:val="000548BC"/>
    <w:rsid w:val="00061B2A"/>
    <w:rsid w:val="0007734F"/>
    <w:rsid w:val="00082362"/>
    <w:rsid w:val="000A683E"/>
    <w:rsid w:val="000B19B9"/>
    <w:rsid w:val="000D0334"/>
    <w:rsid w:val="000F6486"/>
    <w:rsid w:val="00125105"/>
    <w:rsid w:val="00127233"/>
    <w:rsid w:val="00146479"/>
    <w:rsid w:val="001C1635"/>
    <w:rsid w:val="001E4177"/>
    <w:rsid w:val="001F1879"/>
    <w:rsid w:val="001F7DC6"/>
    <w:rsid w:val="002421BB"/>
    <w:rsid w:val="0025796E"/>
    <w:rsid w:val="002707A2"/>
    <w:rsid w:val="002951A0"/>
    <w:rsid w:val="002962BC"/>
    <w:rsid w:val="002A093D"/>
    <w:rsid w:val="002A0DD0"/>
    <w:rsid w:val="002A49AC"/>
    <w:rsid w:val="002A64FD"/>
    <w:rsid w:val="002C1DA9"/>
    <w:rsid w:val="002C7A84"/>
    <w:rsid w:val="002E4FD9"/>
    <w:rsid w:val="00322A85"/>
    <w:rsid w:val="00324168"/>
    <w:rsid w:val="003448F4"/>
    <w:rsid w:val="00374F5E"/>
    <w:rsid w:val="00377E3E"/>
    <w:rsid w:val="00387C4B"/>
    <w:rsid w:val="003A26D1"/>
    <w:rsid w:val="003A779E"/>
    <w:rsid w:val="003C2258"/>
    <w:rsid w:val="003C2515"/>
    <w:rsid w:val="003C6AD4"/>
    <w:rsid w:val="003D0889"/>
    <w:rsid w:val="003D0F4D"/>
    <w:rsid w:val="003D5B0D"/>
    <w:rsid w:val="003E0499"/>
    <w:rsid w:val="003F3941"/>
    <w:rsid w:val="00403F15"/>
    <w:rsid w:val="00406575"/>
    <w:rsid w:val="004074BA"/>
    <w:rsid w:val="00413FF9"/>
    <w:rsid w:val="0042722E"/>
    <w:rsid w:val="00437D8B"/>
    <w:rsid w:val="0044528D"/>
    <w:rsid w:val="00496F04"/>
    <w:rsid w:val="004A1847"/>
    <w:rsid w:val="004A305D"/>
    <w:rsid w:val="004F21C4"/>
    <w:rsid w:val="004F685F"/>
    <w:rsid w:val="005534BC"/>
    <w:rsid w:val="005566E8"/>
    <w:rsid w:val="00574867"/>
    <w:rsid w:val="00574DA0"/>
    <w:rsid w:val="00591460"/>
    <w:rsid w:val="00592628"/>
    <w:rsid w:val="005C3777"/>
    <w:rsid w:val="005C5CDC"/>
    <w:rsid w:val="005D476C"/>
    <w:rsid w:val="005D558D"/>
    <w:rsid w:val="005F0AFB"/>
    <w:rsid w:val="00610812"/>
    <w:rsid w:val="006219F8"/>
    <w:rsid w:val="00643F34"/>
    <w:rsid w:val="00645873"/>
    <w:rsid w:val="00650FF7"/>
    <w:rsid w:val="00657E68"/>
    <w:rsid w:val="00664A33"/>
    <w:rsid w:val="00665D70"/>
    <w:rsid w:val="00671DAC"/>
    <w:rsid w:val="006725F2"/>
    <w:rsid w:val="00684228"/>
    <w:rsid w:val="006900D9"/>
    <w:rsid w:val="006D12F8"/>
    <w:rsid w:val="00706C16"/>
    <w:rsid w:val="00756841"/>
    <w:rsid w:val="007649AB"/>
    <w:rsid w:val="00771CCB"/>
    <w:rsid w:val="00771D0C"/>
    <w:rsid w:val="007833AC"/>
    <w:rsid w:val="007A4E98"/>
    <w:rsid w:val="007B268C"/>
    <w:rsid w:val="007B7171"/>
    <w:rsid w:val="007C0C0F"/>
    <w:rsid w:val="007C3DC2"/>
    <w:rsid w:val="007E385C"/>
    <w:rsid w:val="007E5497"/>
    <w:rsid w:val="007F47CC"/>
    <w:rsid w:val="00806F5F"/>
    <w:rsid w:val="00820278"/>
    <w:rsid w:val="008843B6"/>
    <w:rsid w:val="00891928"/>
    <w:rsid w:val="008A446D"/>
    <w:rsid w:val="008D180B"/>
    <w:rsid w:val="008F0EA7"/>
    <w:rsid w:val="008F2914"/>
    <w:rsid w:val="00923EEF"/>
    <w:rsid w:val="00936114"/>
    <w:rsid w:val="009419F9"/>
    <w:rsid w:val="0095685E"/>
    <w:rsid w:val="00961B09"/>
    <w:rsid w:val="00965334"/>
    <w:rsid w:val="0097093E"/>
    <w:rsid w:val="009A0DFA"/>
    <w:rsid w:val="009B2D26"/>
    <w:rsid w:val="009C71FA"/>
    <w:rsid w:val="009C72E7"/>
    <w:rsid w:val="009D3058"/>
    <w:rsid w:val="009D3C76"/>
    <w:rsid w:val="009E35B7"/>
    <w:rsid w:val="009F3A13"/>
    <w:rsid w:val="00A122D3"/>
    <w:rsid w:val="00A17F13"/>
    <w:rsid w:val="00A20739"/>
    <w:rsid w:val="00A25A42"/>
    <w:rsid w:val="00A33C78"/>
    <w:rsid w:val="00A73886"/>
    <w:rsid w:val="00AB0ADB"/>
    <w:rsid w:val="00AF6E74"/>
    <w:rsid w:val="00B01B1A"/>
    <w:rsid w:val="00B321A1"/>
    <w:rsid w:val="00B45664"/>
    <w:rsid w:val="00B72CD3"/>
    <w:rsid w:val="00B72FFF"/>
    <w:rsid w:val="00BA3377"/>
    <w:rsid w:val="00BA38A6"/>
    <w:rsid w:val="00BC3D36"/>
    <w:rsid w:val="00BD7F72"/>
    <w:rsid w:val="00BE7E75"/>
    <w:rsid w:val="00C04FB3"/>
    <w:rsid w:val="00C10537"/>
    <w:rsid w:val="00C330EB"/>
    <w:rsid w:val="00C754BE"/>
    <w:rsid w:val="00C76B1C"/>
    <w:rsid w:val="00CB6357"/>
    <w:rsid w:val="00CC1B26"/>
    <w:rsid w:val="00CF2E88"/>
    <w:rsid w:val="00D00499"/>
    <w:rsid w:val="00D423A2"/>
    <w:rsid w:val="00D520D8"/>
    <w:rsid w:val="00D63AC2"/>
    <w:rsid w:val="00D7383B"/>
    <w:rsid w:val="00DA0704"/>
    <w:rsid w:val="00DA231B"/>
    <w:rsid w:val="00DA23A0"/>
    <w:rsid w:val="00DC39FC"/>
    <w:rsid w:val="00DE63F4"/>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B2CC4"/>
    <w:rsid w:val="00EC38A7"/>
    <w:rsid w:val="00ED3582"/>
    <w:rsid w:val="00EE1AA8"/>
    <w:rsid w:val="00F04163"/>
    <w:rsid w:val="00F31EDC"/>
    <w:rsid w:val="00F35B20"/>
    <w:rsid w:val="00F456E8"/>
    <w:rsid w:val="00F462B3"/>
    <w:rsid w:val="00F5664F"/>
    <w:rsid w:val="00F666C4"/>
    <w:rsid w:val="00F76AFC"/>
    <w:rsid w:val="00FA47C0"/>
    <w:rsid w:val="00FB5DD1"/>
    <w:rsid w:val="00FC26C9"/>
    <w:rsid w:val="00FC2B5D"/>
    <w:rsid w:val="00FF1449"/>
    <w:rsid w:val="5CEADB7B"/>
    <w:rsid w:val="6C23641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F6E7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F6E74"/>
    <w:rPr>
      <w:rFonts w:ascii="Geomanist Light" w:hAnsi="Geomanist Light"/>
      <w:lang w:val="es-ES"/>
    </w:rPr>
  </w:style>
  <w:style w:type="character" w:customStyle="1" w:styleId="NormalWebCar">
    <w:name w:val="Normal (Web) Car"/>
    <w:link w:val="NormalWeb"/>
    <w:uiPriority w:val="99"/>
    <w:rsid w:val="00AF6E74"/>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AF6E74"/>
    <w:pPr>
      <w:widowControl w:val="0"/>
      <w:autoSpaceDE w:val="0"/>
      <w:autoSpaceDN w:val="0"/>
      <w:spacing w:after="0" w:line="240" w:lineRule="auto"/>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AF6E74"/>
    <w:rPr>
      <w:rFonts w:ascii="Arial" w:eastAsia="Arial" w:hAnsi="Arial" w:cs="Arial"/>
      <w:sz w:val="20"/>
      <w:szCs w:val="20"/>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ley_1150_2007.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9D4C57B5-44CD-43AD-9B82-F650D87705DE}"/>
</file>

<file path=customXml/itemProps3.xml><?xml version="1.0" encoding="utf-8"?>
<ds:datastoreItem xmlns:ds="http://schemas.openxmlformats.org/officeDocument/2006/customXml" ds:itemID="{163618BE-28CB-4D69-955E-CDA788483BED}">
  <ds:schemaRefs>
    <ds:schemaRef ds:uri="http://purl.org/dc/terms/"/>
    <ds:schemaRef ds:uri="http://purl.org/dc/dcmitype/"/>
    <ds:schemaRef ds:uri="http://www.w3.org/XML/1998/namespace"/>
    <ds:schemaRef ds:uri="http://schemas.microsoft.com/office/2006/documentManagement/types"/>
    <ds:schemaRef ds:uri="http://schemas.openxmlformats.org/package/2006/metadata/core-properties"/>
    <ds:schemaRef ds:uri="36c82cfe-0eda-494d-b392-a9281b89aaf0"/>
    <ds:schemaRef ds:uri="http://purl.org/dc/elements/1.1/"/>
    <ds:schemaRef ds:uri="http://schemas.microsoft.com/office/infopath/2007/PartnerControls"/>
    <ds:schemaRef ds:uri="8ae15d26-076e-464e-81a7-6f76a0fb3917"/>
    <ds:schemaRef ds:uri="http://schemas.microsoft.com/office/2006/metadata/properties"/>
  </ds:schemaRefs>
</ds:datastoreItem>
</file>

<file path=customXml/itemProps4.xml><?xml version="1.0" encoding="utf-8"?>
<ds:datastoreItem xmlns:ds="http://schemas.openxmlformats.org/officeDocument/2006/customXml" ds:itemID="{4A98C184-5127-4270-B515-96853AC87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5429</Words>
  <Characters>29865</Characters>
  <Application>Microsoft Office Word</Application>
  <DocSecurity>0</DocSecurity>
  <Lines>248</Lines>
  <Paragraphs>70</Paragraphs>
  <ScaleCrop>false</ScaleCrop>
  <Company/>
  <LinksUpToDate>false</LinksUpToDate>
  <CharactersWithSpaces>35224</CharactersWithSpaces>
  <SharedDoc>false</SharedDoc>
  <HLinks>
    <vt:vector size="12" baseType="variant">
      <vt:variant>
        <vt:i4>7471218</vt:i4>
      </vt:variant>
      <vt:variant>
        <vt:i4>3</vt:i4>
      </vt:variant>
      <vt:variant>
        <vt:i4>0</vt:i4>
      </vt:variant>
      <vt:variant>
        <vt:i4>5</vt:i4>
      </vt:variant>
      <vt:variant>
        <vt:lpwstr>https://relatoria.colombiacompra.gov.co/busqueda/conceptos</vt:lpwstr>
      </vt:variant>
      <vt:variant>
        <vt:lpwstr/>
      </vt:variant>
      <vt:variant>
        <vt:i4>3276821</vt:i4>
      </vt:variant>
      <vt:variant>
        <vt:i4>0</vt:i4>
      </vt:variant>
      <vt:variant>
        <vt:i4>0</vt:i4>
      </vt:variant>
      <vt:variant>
        <vt:i4>5</vt:i4>
      </vt:variant>
      <vt:variant>
        <vt:lpwstr>http://www.secretariasenado.gov.co/senado/basedoc/ley_1150_2007.html</vt:lpwstr>
      </vt:variant>
      <vt:variant>
        <vt:lpwstr>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2</cp:revision>
  <cp:lastPrinted>2023-01-10T21:18:00Z</cp:lastPrinted>
  <dcterms:created xsi:type="dcterms:W3CDTF">2024-08-29T23:13:00Z</dcterms:created>
  <dcterms:modified xsi:type="dcterms:W3CDTF">2024-08-29T23:13:00Z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