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4A034" w14:textId="3F54F4AC" w:rsidR="00795229" w:rsidRPr="0001520E" w:rsidRDefault="00795229" w:rsidP="00795229">
      <w:pPr>
        <w:spacing w:after="0"/>
        <w:jc w:val="both"/>
        <w:rPr>
          <w:rFonts w:ascii="Verdana" w:eastAsia="Aptos" w:hAnsi="Verdana" w:cs="Arial"/>
          <w:b/>
          <w:bCs/>
        </w:rPr>
      </w:pPr>
      <w:r w:rsidRPr="0001520E">
        <w:rPr>
          <w:rFonts w:ascii="Verdana" w:eastAsia="Aptos" w:hAnsi="Verdana" w:cs="Arial"/>
          <w:b/>
          <w:bCs/>
        </w:rPr>
        <w:t xml:space="preserve">CERTIFICADO DE DISPONIBILIDAD PRESUPUESTAL </w:t>
      </w:r>
      <w:r w:rsidR="00580CF7" w:rsidRPr="00580CF7">
        <w:rPr>
          <w:rFonts w:ascii="Verdana" w:eastAsia="Aptos" w:hAnsi="Verdana" w:cs="Arial"/>
          <w:b/>
          <w:bCs/>
          <w:lang w:val="es-ES"/>
        </w:rPr>
        <w:t>–</w:t>
      </w:r>
      <w:r w:rsidRPr="0001520E">
        <w:rPr>
          <w:rFonts w:ascii="Verdana" w:eastAsia="Aptos" w:hAnsi="Verdana" w:cs="Arial"/>
          <w:b/>
          <w:bCs/>
        </w:rPr>
        <w:t xml:space="preserve"> Deber elaboración – Obligación de las entidades públicas – Etapa precontractual</w:t>
      </w:r>
    </w:p>
    <w:p w14:paraId="06F29FF2" w14:textId="77777777" w:rsidR="00795229" w:rsidRPr="0001520E" w:rsidRDefault="00795229" w:rsidP="00795229">
      <w:pPr>
        <w:spacing w:after="0"/>
        <w:jc w:val="both"/>
        <w:rPr>
          <w:rFonts w:ascii="Verdana" w:eastAsia="Aptos" w:hAnsi="Verdana" w:cs="Arial"/>
          <w:b/>
          <w:bCs/>
        </w:rPr>
      </w:pPr>
    </w:p>
    <w:p w14:paraId="24EEAB1B" w14:textId="77777777" w:rsidR="00795229" w:rsidRPr="0001520E" w:rsidRDefault="00795229" w:rsidP="00795229">
      <w:pPr>
        <w:spacing w:after="0"/>
        <w:jc w:val="both"/>
        <w:rPr>
          <w:rFonts w:ascii="Verdana" w:eastAsia="Aptos" w:hAnsi="Verdana" w:cs="Arial"/>
          <w:sz w:val="20"/>
          <w:szCs w:val="20"/>
        </w:rPr>
      </w:pPr>
      <w:r w:rsidRPr="0001520E">
        <w:rPr>
          <w:rFonts w:ascii="Verdana" w:eastAsia="Aptos" w:hAnsi="Verdana" w:cs="Arial"/>
          <w:sz w:val="20"/>
          <w:szCs w:val="20"/>
        </w:rPr>
        <w:t>[…] con fundamento en el marco constitucional del presupuesto público, existe el deber de las Entidades Estatales de contar con un certificado de disponibilidad presupuestal de forma previa a la asunción de obligaciones o compromisos de carácter contractual, como una garantía de la existencia de recursos suficientes para atender los gastos y obligaciones que serán contraídos por el Estado. De ahí que, el numeral 6 del artículo 25 de la Ley 80 de 1993 disponga: “[l]as entidades estatales abrirán licitaciones e iniciarán procesos de suscripción de contratos, cuando existan las respectivas partidas o disponibilidades presupuestales”.</w:t>
      </w:r>
    </w:p>
    <w:p w14:paraId="7326FA61" w14:textId="77777777" w:rsidR="00795229" w:rsidRPr="0001520E" w:rsidRDefault="00795229" w:rsidP="00795229">
      <w:pPr>
        <w:spacing w:after="0"/>
        <w:jc w:val="both"/>
        <w:rPr>
          <w:rFonts w:ascii="Verdana" w:eastAsia="Aptos" w:hAnsi="Verdana" w:cs="Arial"/>
          <w:sz w:val="20"/>
          <w:szCs w:val="20"/>
        </w:rPr>
      </w:pPr>
    </w:p>
    <w:p w14:paraId="396057B2" w14:textId="77777777" w:rsidR="00795229" w:rsidRPr="0001520E" w:rsidRDefault="00795229" w:rsidP="00795229">
      <w:pPr>
        <w:spacing w:after="0"/>
        <w:jc w:val="both"/>
        <w:rPr>
          <w:rFonts w:ascii="Verdana" w:eastAsia="Aptos" w:hAnsi="Verdana" w:cs="Arial"/>
          <w:sz w:val="20"/>
          <w:szCs w:val="20"/>
        </w:rPr>
      </w:pPr>
      <w:r w:rsidRPr="0001520E">
        <w:rPr>
          <w:rFonts w:ascii="Verdana" w:eastAsia="Aptos" w:hAnsi="Verdana" w:cs="Arial"/>
          <w:sz w:val="20"/>
          <w:szCs w:val="20"/>
        </w:rPr>
        <w:t>[…] la referida norma regula de manera concreta el momento en el que debe ser expedido el certificado de disponibilidad presupuestal en materia contractual, esto es, en la etapa previa a la selección del contratista. De esta forma, previo al cumplimento de las obligaciones presupuestales, la Entidad Estatal deberá indicar en el Pliego de Condiciones el presupuesto oficial del proceso, para que los interesados en presentar una oferta no realicen ofrecimientos que superen el valor con el que se cuenta para pagarle al contratista por el respectivo bien, obra o servicio.</w:t>
      </w:r>
    </w:p>
    <w:p w14:paraId="40111644" w14:textId="77777777" w:rsidR="00795229" w:rsidRPr="00E87EA6" w:rsidRDefault="00795229" w:rsidP="00795229">
      <w:pPr>
        <w:spacing w:after="0" w:line="240" w:lineRule="auto"/>
        <w:rPr>
          <w:rFonts w:ascii="Verdana" w:eastAsia="Geomanist Light" w:hAnsi="Verdana" w:cs="Arial"/>
          <w:lang w:val="es-MX"/>
        </w:rPr>
      </w:pPr>
    </w:p>
    <w:p w14:paraId="6A8FF6EF" w14:textId="77777777" w:rsidR="00795229" w:rsidRPr="00E87EA6" w:rsidRDefault="00795229" w:rsidP="00795229">
      <w:pPr>
        <w:spacing w:after="0" w:line="240" w:lineRule="auto"/>
        <w:rPr>
          <w:rFonts w:ascii="Verdana" w:eastAsia="Geomanist Light" w:hAnsi="Verdana" w:cs="Arial"/>
          <w:lang w:val="es-MX"/>
        </w:rPr>
      </w:pPr>
    </w:p>
    <w:p w14:paraId="30010C90" w14:textId="77777777" w:rsidR="00795229" w:rsidRPr="00E87EA6" w:rsidRDefault="00795229" w:rsidP="00795229">
      <w:pPr>
        <w:spacing w:after="0" w:line="240" w:lineRule="auto"/>
        <w:rPr>
          <w:rFonts w:ascii="Verdana" w:eastAsia="Geomanist Light" w:hAnsi="Verdana" w:cs="Arial"/>
          <w:lang w:val="es-MX"/>
        </w:rPr>
      </w:pPr>
    </w:p>
    <w:p w14:paraId="334BACB5" w14:textId="77777777" w:rsidR="00795229" w:rsidRPr="00E87EA6" w:rsidRDefault="00795229" w:rsidP="00795229">
      <w:pPr>
        <w:spacing w:after="0" w:line="240" w:lineRule="auto"/>
        <w:rPr>
          <w:rFonts w:ascii="Verdana" w:eastAsia="Geomanist Light" w:hAnsi="Verdana" w:cs="Arial"/>
          <w:lang w:val="es-MX"/>
        </w:rPr>
      </w:pPr>
    </w:p>
    <w:p w14:paraId="72820222" w14:textId="2004DE79" w:rsidR="00795229" w:rsidRPr="00E87EA6" w:rsidRDefault="00795229" w:rsidP="00795229">
      <w:pPr>
        <w:spacing w:after="0" w:line="240" w:lineRule="auto"/>
        <w:rPr>
          <w:rFonts w:ascii="Verdana" w:eastAsia="Geomanist Light" w:hAnsi="Verdana" w:cs="Arial"/>
          <w:lang w:val="es-MX"/>
        </w:rPr>
      </w:pPr>
    </w:p>
    <w:p w14:paraId="074FDD6B" w14:textId="77777777" w:rsidR="00E70ED4" w:rsidRDefault="00E70ED4" w:rsidP="00795229">
      <w:pPr>
        <w:spacing w:after="0" w:line="240" w:lineRule="auto"/>
        <w:rPr>
          <w:rFonts w:ascii="Verdana" w:eastAsia="Geomanist Light" w:hAnsi="Verdana" w:cs="Arial"/>
          <w:lang w:val="es-MX"/>
        </w:rPr>
      </w:pPr>
    </w:p>
    <w:p w14:paraId="4F5B787C" w14:textId="77777777" w:rsidR="00E70ED4" w:rsidRDefault="00E70ED4" w:rsidP="00795229">
      <w:pPr>
        <w:spacing w:after="0" w:line="240" w:lineRule="auto"/>
        <w:rPr>
          <w:rFonts w:ascii="Verdana" w:eastAsia="Geomanist Light" w:hAnsi="Verdana" w:cs="Arial"/>
          <w:lang w:val="es-MX"/>
        </w:rPr>
      </w:pPr>
    </w:p>
    <w:p w14:paraId="018D1F27" w14:textId="77777777" w:rsidR="00E70ED4" w:rsidRDefault="00E70ED4" w:rsidP="00795229">
      <w:pPr>
        <w:spacing w:after="0" w:line="240" w:lineRule="auto"/>
        <w:rPr>
          <w:rFonts w:ascii="Verdana" w:eastAsia="Geomanist Light" w:hAnsi="Verdana" w:cs="Arial"/>
          <w:lang w:val="es-MX"/>
        </w:rPr>
      </w:pPr>
    </w:p>
    <w:p w14:paraId="3BBB6706" w14:textId="77777777" w:rsidR="00E70ED4" w:rsidRDefault="00E70ED4" w:rsidP="00795229">
      <w:pPr>
        <w:spacing w:after="0" w:line="240" w:lineRule="auto"/>
        <w:rPr>
          <w:rFonts w:ascii="Verdana" w:eastAsia="Geomanist Light" w:hAnsi="Verdana" w:cs="Arial"/>
          <w:lang w:val="es-MX"/>
        </w:rPr>
      </w:pPr>
    </w:p>
    <w:p w14:paraId="11AE9821" w14:textId="77777777" w:rsidR="00E70ED4" w:rsidRDefault="00E70ED4" w:rsidP="00795229">
      <w:pPr>
        <w:spacing w:after="0" w:line="240" w:lineRule="auto"/>
        <w:rPr>
          <w:rFonts w:ascii="Verdana" w:eastAsia="Geomanist Light" w:hAnsi="Verdana" w:cs="Arial"/>
          <w:lang w:val="es-MX"/>
        </w:rPr>
      </w:pPr>
    </w:p>
    <w:p w14:paraId="434102A3" w14:textId="77777777" w:rsidR="00E70ED4" w:rsidRDefault="00E70ED4" w:rsidP="00795229">
      <w:pPr>
        <w:spacing w:after="0" w:line="240" w:lineRule="auto"/>
        <w:rPr>
          <w:rFonts w:ascii="Verdana" w:eastAsia="Geomanist Light" w:hAnsi="Verdana" w:cs="Arial"/>
          <w:lang w:val="es-MX"/>
        </w:rPr>
      </w:pPr>
    </w:p>
    <w:p w14:paraId="4CE72DE4" w14:textId="77777777" w:rsidR="00E70ED4" w:rsidRDefault="00E70ED4" w:rsidP="00795229">
      <w:pPr>
        <w:spacing w:after="0" w:line="240" w:lineRule="auto"/>
        <w:rPr>
          <w:rFonts w:ascii="Verdana" w:eastAsia="Geomanist Light" w:hAnsi="Verdana" w:cs="Arial"/>
          <w:lang w:val="es-MX"/>
        </w:rPr>
      </w:pPr>
    </w:p>
    <w:p w14:paraId="1973D96E" w14:textId="77777777" w:rsidR="00E70ED4" w:rsidRDefault="00E70ED4" w:rsidP="00795229">
      <w:pPr>
        <w:spacing w:after="0" w:line="240" w:lineRule="auto"/>
        <w:rPr>
          <w:rFonts w:ascii="Verdana" w:eastAsia="Geomanist Light" w:hAnsi="Verdana" w:cs="Arial"/>
          <w:lang w:val="es-MX"/>
        </w:rPr>
      </w:pPr>
    </w:p>
    <w:p w14:paraId="356E7C41" w14:textId="77777777" w:rsidR="00E70ED4" w:rsidRDefault="00E70ED4" w:rsidP="00795229">
      <w:pPr>
        <w:spacing w:after="0" w:line="240" w:lineRule="auto"/>
        <w:rPr>
          <w:rFonts w:ascii="Verdana" w:eastAsia="Geomanist Light" w:hAnsi="Verdana" w:cs="Arial"/>
          <w:lang w:val="es-MX"/>
        </w:rPr>
      </w:pPr>
    </w:p>
    <w:p w14:paraId="55BDAE2D" w14:textId="77777777" w:rsidR="00E70ED4" w:rsidRDefault="00E70ED4" w:rsidP="00795229">
      <w:pPr>
        <w:spacing w:after="0" w:line="240" w:lineRule="auto"/>
        <w:rPr>
          <w:rFonts w:ascii="Verdana" w:eastAsia="Geomanist Light" w:hAnsi="Verdana" w:cs="Arial"/>
          <w:lang w:val="es-MX"/>
        </w:rPr>
      </w:pPr>
    </w:p>
    <w:p w14:paraId="05E3E799" w14:textId="77777777" w:rsidR="00E70ED4" w:rsidRDefault="00E70ED4" w:rsidP="00795229">
      <w:pPr>
        <w:spacing w:after="0" w:line="240" w:lineRule="auto"/>
        <w:rPr>
          <w:rFonts w:ascii="Verdana" w:eastAsia="Geomanist Light" w:hAnsi="Verdana" w:cs="Arial"/>
          <w:lang w:val="es-MX"/>
        </w:rPr>
      </w:pPr>
    </w:p>
    <w:p w14:paraId="7B7EABD3" w14:textId="77777777" w:rsidR="00E70ED4" w:rsidRDefault="00E70ED4" w:rsidP="00795229">
      <w:pPr>
        <w:spacing w:after="0" w:line="240" w:lineRule="auto"/>
        <w:rPr>
          <w:rFonts w:ascii="Verdana" w:eastAsia="Geomanist Light" w:hAnsi="Verdana" w:cs="Arial"/>
          <w:lang w:val="es-MX"/>
        </w:rPr>
      </w:pPr>
    </w:p>
    <w:p w14:paraId="290BD1FF" w14:textId="77777777" w:rsidR="00E70ED4" w:rsidRDefault="00E70ED4" w:rsidP="00795229">
      <w:pPr>
        <w:spacing w:after="0" w:line="240" w:lineRule="auto"/>
        <w:rPr>
          <w:rFonts w:ascii="Verdana" w:eastAsia="Geomanist Light" w:hAnsi="Verdana" w:cs="Arial"/>
          <w:lang w:val="es-MX"/>
        </w:rPr>
      </w:pPr>
    </w:p>
    <w:p w14:paraId="7307A9D8" w14:textId="77777777" w:rsidR="00E70ED4" w:rsidRDefault="00E70ED4" w:rsidP="00795229">
      <w:pPr>
        <w:spacing w:after="0" w:line="240" w:lineRule="auto"/>
        <w:rPr>
          <w:rFonts w:ascii="Verdana" w:eastAsia="Geomanist Light" w:hAnsi="Verdana" w:cs="Arial"/>
          <w:lang w:val="es-MX"/>
        </w:rPr>
      </w:pPr>
    </w:p>
    <w:p w14:paraId="4489E43D" w14:textId="77777777" w:rsidR="00E70ED4" w:rsidRDefault="00E70ED4" w:rsidP="00795229">
      <w:pPr>
        <w:spacing w:after="0" w:line="240" w:lineRule="auto"/>
        <w:rPr>
          <w:rFonts w:ascii="Verdana" w:eastAsia="Geomanist Light" w:hAnsi="Verdana" w:cs="Arial"/>
          <w:lang w:val="es-MX"/>
        </w:rPr>
      </w:pPr>
    </w:p>
    <w:p w14:paraId="6C735CE8" w14:textId="77777777" w:rsidR="00E70ED4" w:rsidRDefault="00E70ED4" w:rsidP="00795229">
      <w:pPr>
        <w:spacing w:after="0" w:line="240" w:lineRule="auto"/>
        <w:rPr>
          <w:rFonts w:ascii="Verdana" w:eastAsia="Geomanist Light" w:hAnsi="Verdana" w:cs="Arial"/>
          <w:lang w:val="es-MX"/>
        </w:rPr>
      </w:pPr>
    </w:p>
    <w:p w14:paraId="0782E873" w14:textId="77777777" w:rsidR="00E70ED4" w:rsidRDefault="00E70ED4" w:rsidP="00795229">
      <w:pPr>
        <w:spacing w:after="0" w:line="240" w:lineRule="auto"/>
        <w:rPr>
          <w:rFonts w:ascii="Verdana" w:eastAsia="Geomanist Light" w:hAnsi="Verdana" w:cs="Arial"/>
          <w:lang w:val="es-MX"/>
        </w:rPr>
      </w:pPr>
    </w:p>
    <w:p w14:paraId="06F3B2ED" w14:textId="77777777" w:rsidR="00E70ED4" w:rsidRDefault="00E70ED4" w:rsidP="00795229">
      <w:pPr>
        <w:spacing w:after="0" w:line="240" w:lineRule="auto"/>
        <w:rPr>
          <w:rFonts w:ascii="Verdana" w:eastAsia="Geomanist Light" w:hAnsi="Verdana" w:cs="Arial"/>
          <w:lang w:val="es-MX"/>
        </w:rPr>
      </w:pPr>
    </w:p>
    <w:p w14:paraId="50E23DF6" w14:textId="77777777" w:rsidR="00E70ED4" w:rsidRDefault="00E70ED4" w:rsidP="00795229">
      <w:pPr>
        <w:spacing w:after="0" w:line="240" w:lineRule="auto"/>
        <w:rPr>
          <w:rFonts w:ascii="Verdana" w:eastAsia="Geomanist Light" w:hAnsi="Verdana" w:cs="Arial"/>
          <w:lang w:val="es-MX"/>
        </w:rPr>
      </w:pPr>
    </w:p>
    <w:p w14:paraId="0098BE7A" w14:textId="4E23DD01" w:rsidR="00795229" w:rsidRPr="00E87EA6" w:rsidRDefault="00795229" w:rsidP="00795229">
      <w:pPr>
        <w:spacing w:after="0" w:line="240" w:lineRule="auto"/>
        <w:rPr>
          <w:rFonts w:ascii="Verdana" w:eastAsia="Geomanist Light" w:hAnsi="Verdana" w:cs="Arial"/>
          <w:lang w:val="es-MX"/>
        </w:rPr>
      </w:pPr>
      <w:r w:rsidRPr="00E87EA6">
        <w:rPr>
          <w:rFonts w:ascii="Verdana" w:eastAsia="Geomanist Light" w:hAnsi="Verdana" w:cs="Arial"/>
          <w:lang w:val="es-MX"/>
        </w:rPr>
        <w:t>Bogotá D.C., [Día] de [</w:t>
      </w:r>
      <w:proofErr w:type="spellStart"/>
      <w:r w:rsidRPr="00E87EA6">
        <w:rPr>
          <w:rFonts w:ascii="Verdana" w:eastAsia="Geomanist Light" w:hAnsi="Verdana" w:cs="Arial"/>
          <w:lang w:val="es-MX"/>
        </w:rPr>
        <w:t>Mes.NombreCapitalizado</w:t>
      </w:r>
      <w:proofErr w:type="spellEnd"/>
      <w:r w:rsidRPr="00E87EA6">
        <w:rPr>
          <w:rFonts w:ascii="Verdana" w:eastAsia="Geomanist Light" w:hAnsi="Verdana" w:cs="Arial"/>
          <w:lang w:val="es-MX"/>
        </w:rPr>
        <w:t>] de [Año]</w:t>
      </w:r>
    </w:p>
    <w:p w14:paraId="7D69B6E3" w14:textId="77777777" w:rsidR="00E70ED4" w:rsidRDefault="00E70ED4" w:rsidP="00795229">
      <w:pPr>
        <w:spacing w:after="0" w:line="240" w:lineRule="auto"/>
        <w:jc w:val="both"/>
        <w:rPr>
          <w:rFonts w:ascii="Verdana" w:eastAsia="Calibri" w:hAnsi="Verdana" w:cs="Arial"/>
          <w:lang w:val="es-ES"/>
        </w:rPr>
      </w:pPr>
    </w:p>
    <w:p w14:paraId="7ED005FD" w14:textId="10613CE4" w:rsidR="00795229" w:rsidRPr="00E87EA6" w:rsidRDefault="00E70ED4" w:rsidP="00795229">
      <w:pPr>
        <w:spacing w:after="0" w:line="240" w:lineRule="auto"/>
        <w:jc w:val="both"/>
        <w:rPr>
          <w:rFonts w:ascii="Verdana" w:eastAsia="Calibri" w:hAnsi="Verdana" w:cs="Arial"/>
          <w:lang w:val="es-ES"/>
        </w:rPr>
      </w:pPr>
      <w:r w:rsidRPr="00541D34">
        <w:rPr>
          <w:rFonts w:ascii="Verdana" w:eastAsia="Calibri" w:hAnsi="Verdana" w:cs="Arial"/>
          <w:noProof/>
          <w14:ligatures w14:val="standardContextual"/>
        </w:rPr>
        <w:drawing>
          <wp:anchor distT="0" distB="0" distL="114300" distR="114300" simplePos="0" relativeHeight="251657216" behindDoc="1" locked="0" layoutInCell="1" allowOverlap="1" wp14:anchorId="1641B4CB" wp14:editId="7009C30B">
            <wp:simplePos x="0" y="0"/>
            <wp:positionH relativeFrom="margin">
              <wp:align>right</wp:align>
            </wp:positionH>
            <wp:positionV relativeFrom="paragraph">
              <wp:posOffset>43290</wp:posOffset>
            </wp:positionV>
            <wp:extent cx="3027045" cy="826770"/>
            <wp:effectExtent l="0" t="0" r="1905" b="0"/>
            <wp:wrapSquare wrapText="bothSides"/>
            <wp:docPr id="12128334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3344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27045" cy="826770"/>
                    </a:xfrm>
                    <a:prstGeom prst="rect">
                      <a:avLst/>
                    </a:prstGeom>
                  </pic:spPr>
                </pic:pic>
              </a:graphicData>
            </a:graphic>
            <wp14:sizeRelH relativeFrom="page">
              <wp14:pctWidth>0</wp14:pctWidth>
            </wp14:sizeRelH>
            <wp14:sizeRelV relativeFrom="page">
              <wp14:pctHeight>0</wp14:pctHeight>
            </wp14:sizeRelV>
          </wp:anchor>
        </w:drawing>
      </w:r>
    </w:p>
    <w:p w14:paraId="0D82B98B" w14:textId="0BD3CB8B" w:rsidR="00795229" w:rsidRPr="00A96F87" w:rsidRDefault="00795229" w:rsidP="00795229">
      <w:pPr>
        <w:spacing w:after="0" w:line="240" w:lineRule="auto"/>
        <w:contextualSpacing/>
        <w:textAlignment w:val="baseline"/>
        <w:rPr>
          <w:rFonts w:ascii="Verdana" w:eastAsia="Calibri" w:hAnsi="Verdana" w:cs="Arial"/>
          <w14:ligatures w14:val="standardContextual"/>
        </w:rPr>
      </w:pPr>
      <w:r w:rsidRPr="00A96F87">
        <w:rPr>
          <w:rFonts w:ascii="Verdana" w:eastAsia="Calibri" w:hAnsi="Verdana" w:cs="Arial"/>
          <w14:ligatures w14:val="standardContextual"/>
        </w:rPr>
        <w:t>Señor(a)</w:t>
      </w:r>
      <w:r w:rsidR="00541D34" w:rsidRPr="00541D34">
        <w:rPr>
          <w:noProof/>
        </w:rPr>
        <w:t xml:space="preserve"> </w:t>
      </w:r>
    </w:p>
    <w:p w14:paraId="6B14C776" w14:textId="4B4957E7" w:rsidR="00795229" w:rsidRPr="00F815DB" w:rsidRDefault="00795229" w:rsidP="00795229">
      <w:pPr>
        <w:spacing w:after="0" w:line="240" w:lineRule="auto"/>
        <w:contextualSpacing/>
        <w:rPr>
          <w:rFonts w:ascii="Verdana" w:eastAsia="Calibri" w:hAnsi="Verdana" w:cs="Arial"/>
          <w14:ligatures w14:val="standardContextual"/>
        </w:rPr>
      </w:pPr>
      <w:r w:rsidRPr="00F815DB">
        <w:rPr>
          <w:rFonts w:ascii="Verdana" w:eastAsia="Calibri" w:hAnsi="Verdana" w:cs="Arial"/>
          <w14:ligatures w14:val="standardContextual"/>
        </w:rPr>
        <w:t>Ciudadano Anónimo</w:t>
      </w:r>
    </w:p>
    <w:p w14:paraId="1734DC07" w14:textId="367EB958" w:rsidR="00795229" w:rsidRDefault="00795229" w:rsidP="00795229">
      <w:pPr>
        <w:spacing w:after="0" w:line="240" w:lineRule="auto"/>
        <w:contextualSpacing/>
        <w:rPr>
          <w:rFonts w:ascii="Verdana" w:eastAsia="Calibri" w:hAnsi="Verdana" w:cs="Arial"/>
          <w14:ligatures w14:val="standardContextual"/>
        </w:rPr>
      </w:pPr>
      <w:r w:rsidRPr="00A96F87">
        <w:rPr>
          <w:rFonts w:ascii="Verdana" w:eastAsia="Calibri" w:hAnsi="Verdana" w:cs="Arial"/>
          <w14:ligatures w14:val="standardContextual"/>
        </w:rPr>
        <w:t>Bogotá</w:t>
      </w:r>
    </w:p>
    <w:p w14:paraId="0F61001F" w14:textId="77777777" w:rsidR="00E70ED4" w:rsidRDefault="00E70ED4" w:rsidP="00795229">
      <w:pPr>
        <w:spacing w:after="0" w:line="240" w:lineRule="auto"/>
        <w:contextualSpacing/>
        <w:rPr>
          <w:rFonts w:ascii="Verdana" w:eastAsia="Calibri" w:hAnsi="Verdana" w:cs="Arial"/>
          <w14:ligatures w14:val="standardContextual"/>
        </w:rPr>
      </w:pPr>
    </w:p>
    <w:p w14:paraId="55E68A94" w14:textId="77777777" w:rsidR="00E70ED4" w:rsidRPr="00A96F87" w:rsidRDefault="00E70ED4" w:rsidP="00795229">
      <w:pPr>
        <w:spacing w:after="0" w:line="240" w:lineRule="auto"/>
        <w:contextualSpacing/>
        <w:rPr>
          <w:rFonts w:ascii="Verdana" w:eastAsia="Calibri" w:hAnsi="Verdana" w:cs="Arial"/>
          <w14:ligatures w14:val="standardContextual"/>
        </w:rPr>
      </w:pPr>
    </w:p>
    <w:p w14:paraId="61E9AA38" w14:textId="04286280" w:rsidR="00795229" w:rsidRPr="00E87EA6" w:rsidRDefault="00795229" w:rsidP="00795229">
      <w:pPr>
        <w:spacing w:after="0" w:line="240" w:lineRule="auto"/>
        <w:rPr>
          <w:rFonts w:ascii="Verdana" w:eastAsia="Calibri" w:hAnsi="Verdana" w:cs="Arial"/>
          <w:b/>
          <w:bCs/>
          <w:lang w:val="es-ES_tradnl" w:eastAsia="es-ES_tradnl"/>
        </w:rPr>
      </w:pPr>
    </w:p>
    <w:tbl>
      <w:tblPr>
        <w:tblStyle w:val="Tablaconcuadrcula"/>
        <w:tblW w:w="8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18"/>
        <w:gridCol w:w="6169"/>
      </w:tblGrid>
      <w:tr w:rsidR="00795229" w:rsidRPr="00E87EA6" w14:paraId="0318FAD6" w14:textId="77777777" w:rsidTr="00D65F44">
        <w:trPr>
          <w:trHeight w:val="861"/>
        </w:trPr>
        <w:tc>
          <w:tcPr>
            <w:tcW w:w="2718" w:type="dxa"/>
          </w:tcPr>
          <w:p w14:paraId="5C341097" w14:textId="77777777" w:rsidR="00795229" w:rsidRPr="00E87EA6" w:rsidRDefault="00795229" w:rsidP="00D65F44">
            <w:pPr>
              <w:jc w:val="both"/>
              <w:rPr>
                <w:rFonts w:ascii="Verdana" w:eastAsia="Calibri" w:hAnsi="Verdana" w:cs="Arial"/>
                <w:b/>
                <w:bCs/>
                <w:lang w:val="es-ES_tradnl" w:eastAsia="es-ES_tradnl"/>
              </w:rPr>
            </w:pPr>
          </w:p>
        </w:tc>
        <w:tc>
          <w:tcPr>
            <w:tcW w:w="6169" w:type="dxa"/>
          </w:tcPr>
          <w:p w14:paraId="546D606C" w14:textId="339DE471" w:rsidR="00795229" w:rsidRPr="00E87EA6" w:rsidRDefault="00795229" w:rsidP="00D65F44">
            <w:pPr>
              <w:jc w:val="both"/>
              <w:rPr>
                <w:rFonts w:ascii="Verdana" w:eastAsia="Calibri" w:hAnsi="Verdana" w:cs="Arial"/>
                <w:b/>
                <w:bCs/>
                <w:lang w:val="es-ES" w:eastAsia="es-ES"/>
              </w:rPr>
            </w:pPr>
            <w:r w:rsidRPr="00E87EA6">
              <w:rPr>
                <w:rFonts w:ascii="Verdana" w:eastAsia="Calibri" w:hAnsi="Verdana" w:cs="Arial"/>
                <w:b/>
                <w:bCs/>
                <w:lang w:val="es-ES" w:eastAsia="es-ES"/>
              </w:rPr>
              <w:t xml:space="preserve">Concepto C- </w:t>
            </w:r>
            <w:r>
              <w:rPr>
                <w:rFonts w:ascii="Verdana" w:eastAsia="Calibri" w:hAnsi="Verdana" w:cs="Arial"/>
                <w:b/>
                <w:bCs/>
                <w:lang w:val="es-ES" w:eastAsia="es-ES"/>
              </w:rPr>
              <w:t>350</w:t>
            </w:r>
            <w:r w:rsidRPr="00E87EA6">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795229" w:rsidRPr="00E87EA6" w14:paraId="680FF81A" w14:textId="77777777" w:rsidTr="00D65F44">
        <w:trPr>
          <w:trHeight w:val="861"/>
        </w:trPr>
        <w:tc>
          <w:tcPr>
            <w:tcW w:w="2718" w:type="dxa"/>
          </w:tcPr>
          <w:p w14:paraId="705B90EC" w14:textId="77777777" w:rsidR="00795229" w:rsidRPr="00E87EA6" w:rsidRDefault="00795229" w:rsidP="00D65F44">
            <w:pPr>
              <w:jc w:val="both"/>
              <w:rPr>
                <w:rFonts w:ascii="Verdana" w:eastAsia="Calibri" w:hAnsi="Verdana" w:cs="Arial"/>
                <w:lang w:val="es-ES_tradnl" w:eastAsia="es-ES_tradnl"/>
              </w:rPr>
            </w:pPr>
            <w:r w:rsidRPr="00E87EA6">
              <w:rPr>
                <w:rFonts w:ascii="Verdana" w:eastAsia="Calibri" w:hAnsi="Verdana" w:cs="Arial"/>
                <w:b/>
                <w:lang w:val="es-ES_tradnl" w:eastAsia="es-ES_tradnl"/>
              </w:rPr>
              <w:t>Temas:</w:t>
            </w:r>
            <w:r w:rsidRPr="00E87EA6">
              <w:rPr>
                <w:rFonts w:ascii="Verdana" w:eastAsia="Calibri" w:hAnsi="Verdana" w:cs="Arial"/>
                <w:lang w:val="es-ES_tradnl" w:eastAsia="es-ES_tradnl"/>
              </w:rPr>
              <w:t xml:space="preserve">                   </w:t>
            </w:r>
          </w:p>
        </w:tc>
        <w:tc>
          <w:tcPr>
            <w:tcW w:w="6169" w:type="dxa"/>
          </w:tcPr>
          <w:p w14:paraId="03D39BE3" w14:textId="77777777" w:rsidR="00795229" w:rsidRPr="00E87EA6" w:rsidRDefault="00795229" w:rsidP="00D65F44">
            <w:pPr>
              <w:spacing w:line="276" w:lineRule="auto"/>
              <w:jc w:val="both"/>
              <w:rPr>
                <w:rFonts w:ascii="Verdana" w:eastAsia="Calibri" w:hAnsi="Verdana" w:cs="Arial"/>
                <w:lang w:val="es-ES" w:eastAsia="es-ES"/>
              </w:rPr>
            </w:pPr>
            <w:r>
              <w:rPr>
                <w:rFonts w:ascii="Verdana" w:eastAsia="Calibri" w:hAnsi="Verdana" w:cs="Arial"/>
                <w:lang w:val="es-ES" w:eastAsia="es-ES"/>
              </w:rPr>
              <w:t>CERTIFICADO DE DISPONIBILIDAD PRESUPUESTAL</w:t>
            </w:r>
          </w:p>
        </w:tc>
      </w:tr>
      <w:tr w:rsidR="00795229" w:rsidRPr="00E87EA6" w14:paraId="5B869E28" w14:textId="77777777" w:rsidTr="00D65F44">
        <w:trPr>
          <w:trHeight w:val="564"/>
        </w:trPr>
        <w:tc>
          <w:tcPr>
            <w:tcW w:w="2718" w:type="dxa"/>
          </w:tcPr>
          <w:p w14:paraId="47ADF6D4" w14:textId="77777777" w:rsidR="00795229" w:rsidRPr="00E87EA6" w:rsidRDefault="00795229" w:rsidP="00D65F44">
            <w:pPr>
              <w:jc w:val="both"/>
              <w:rPr>
                <w:rFonts w:ascii="Verdana" w:eastAsia="Calibri" w:hAnsi="Verdana" w:cs="Arial"/>
                <w:b/>
                <w:lang w:val="es-ES_tradnl" w:eastAsia="es-ES_tradnl"/>
              </w:rPr>
            </w:pPr>
            <w:r w:rsidRPr="00E87EA6">
              <w:rPr>
                <w:rFonts w:ascii="Verdana" w:eastAsia="Calibri" w:hAnsi="Verdana" w:cs="Arial"/>
                <w:b/>
                <w:lang w:val="es-ES_tradnl" w:eastAsia="es-ES_tradnl"/>
              </w:rPr>
              <w:t>Radicación:</w:t>
            </w:r>
            <w:r w:rsidRPr="00E87EA6">
              <w:rPr>
                <w:rFonts w:ascii="Verdana" w:eastAsia="Calibri" w:hAnsi="Verdana" w:cs="Arial"/>
                <w:lang w:val="es-ES_tradnl" w:eastAsia="es-ES_tradnl"/>
              </w:rPr>
              <w:t xml:space="preserve">               </w:t>
            </w:r>
          </w:p>
        </w:tc>
        <w:tc>
          <w:tcPr>
            <w:tcW w:w="6169" w:type="dxa"/>
          </w:tcPr>
          <w:p w14:paraId="77E306BE" w14:textId="77777777" w:rsidR="00795229" w:rsidRPr="00E87EA6" w:rsidRDefault="00795229" w:rsidP="00D65F44">
            <w:pPr>
              <w:jc w:val="both"/>
              <w:rPr>
                <w:rFonts w:ascii="Verdana" w:eastAsia="Calibri" w:hAnsi="Verdana" w:cs="Arial"/>
                <w:lang w:val="es-ES_tradnl" w:eastAsia="es-ES_tradnl"/>
              </w:rPr>
            </w:pPr>
            <w:r w:rsidRPr="00E87EA6">
              <w:rPr>
                <w:rFonts w:ascii="Verdana" w:eastAsia="Calibri" w:hAnsi="Verdana" w:cs="Arial"/>
                <w:lang w:val="es-ES_tradnl" w:eastAsia="es-ES_tradnl"/>
              </w:rPr>
              <w:t>Respuesta a consulta con radicado No. P20250318002</w:t>
            </w:r>
            <w:r>
              <w:rPr>
                <w:rFonts w:ascii="Verdana" w:eastAsia="Calibri" w:hAnsi="Verdana" w:cs="Arial"/>
                <w:lang w:val="es-ES_tradnl" w:eastAsia="es-ES_tradnl"/>
              </w:rPr>
              <w:t>809</w:t>
            </w:r>
          </w:p>
        </w:tc>
      </w:tr>
    </w:tbl>
    <w:p w14:paraId="566E5D8A" w14:textId="77777777" w:rsidR="00795229" w:rsidRPr="00E87EA6" w:rsidRDefault="00795229" w:rsidP="00795229">
      <w:pPr>
        <w:spacing w:after="0" w:line="240" w:lineRule="auto"/>
        <w:jc w:val="both"/>
        <w:rPr>
          <w:rFonts w:ascii="Verdana" w:eastAsia="Calibri" w:hAnsi="Verdana" w:cs="Arial"/>
          <w:lang w:val="es-ES_tradnl" w:eastAsia="es-ES_tradnl"/>
        </w:rPr>
      </w:pPr>
    </w:p>
    <w:p w14:paraId="63075E62" w14:textId="77777777" w:rsidR="00795229" w:rsidRPr="00E87EA6" w:rsidRDefault="00795229" w:rsidP="00795229">
      <w:pPr>
        <w:spacing w:after="0" w:line="240" w:lineRule="auto"/>
        <w:jc w:val="both"/>
        <w:rPr>
          <w:rFonts w:ascii="Verdana" w:eastAsia="Calibri" w:hAnsi="Verdana" w:cs="Arial"/>
          <w:lang w:val="es-ES_tradnl" w:eastAsia="es-ES_tradnl"/>
        </w:rPr>
      </w:pPr>
    </w:p>
    <w:p w14:paraId="2CBCBAFB" w14:textId="77777777" w:rsidR="00795229" w:rsidRPr="00E87EA6" w:rsidRDefault="00795229" w:rsidP="00795229">
      <w:pPr>
        <w:spacing w:after="0" w:line="276" w:lineRule="auto"/>
        <w:jc w:val="both"/>
        <w:rPr>
          <w:rFonts w:ascii="Verdana" w:eastAsia="Calibri" w:hAnsi="Verdana" w:cs="Arial"/>
          <w:lang w:val="es-ES" w:eastAsia="es-ES"/>
        </w:rPr>
      </w:pPr>
      <w:r w:rsidRPr="00E87EA6">
        <w:rPr>
          <w:rFonts w:ascii="Verdana" w:eastAsia="Calibri" w:hAnsi="Verdana" w:cs="Arial"/>
          <w:lang w:val="es-ES" w:eastAsia="es-ES"/>
        </w:rPr>
        <w:t xml:space="preserve">Estimado: </w:t>
      </w:r>
    </w:p>
    <w:p w14:paraId="5F5DFFCE" w14:textId="77777777" w:rsidR="00795229" w:rsidRPr="00E87EA6" w:rsidRDefault="00795229" w:rsidP="00795229">
      <w:pPr>
        <w:tabs>
          <w:tab w:val="left" w:pos="3768"/>
        </w:tabs>
        <w:spacing w:after="0" w:line="276" w:lineRule="auto"/>
        <w:jc w:val="both"/>
        <w:rPr>
          <w:rFonts w:ascii="Verdana" w:eastAsia="Calibri" w:hAnsi="Verdana" w:cs="Arial"/>
          <w:lang w:val="es-ES" w:eastAsia="es-ES"/>
        </w:rPr>
      </w:pPr>
      <w:r w:rsidRPr="00E87EA6">
        <w:rPr>
          <w:rFonts w:ascii="Verdana" w:eastAsia="Calibri" w:hAnsi="Verdana" w:cs="Arial"/>
          <w:lang w:val="es-ES" w:eastAsia="es-ES"/>
        </w:rPr>
        <w:tab/>
      </w:r>
    </w:p>
    <w:p w14:paraId="342B6CC2" w14:textId="77777777" w:rsidR="00795229" w:rsidRPr="00E87EA6" w:rsidRDefault="00795229" w:rsidP="00795229">
      <w:pPr>
        <w:spacing w:after="0" w:line="276" w:lineRule="auto"/>
        <w:jc w:val="both"/>
        <w:rPr>
          <w:rFonts w:ascii="Verdana" w:eastAsia="Calibri" w:hAnsi="Verdana" w:cs="Arial"/>
          <w:lang w:val="es-ES" w:eastAsia="es-ES"/>
        </w:rPr>
      </w:pPr>
      <w:r w:rsidRPr="00E87EA6">
        <w:rPr>
          <w:rFonts w:ascii="Verdana" w:eastAsia="Calibri" w:hAnsi="Verdana" w:cs="Arial"/>
          <w:lang w:val="es-ES" w:eastAsia="es-ES"/>
        </w:rPr>
        <w:t>En ejercicio de la competencia otorgada por los artículos 3, numeral 5º, y 11, numeral 8º, del Decreto Ley 4170 de 2011,</w:t>
      </w:r>
      <w:r w:rsidRPr="00E87EA6">
        <w:rPr>
          <w:rFonts w:ascii="Verdana" w:eastAsia="Arial MT" w:hAnsi="Verdana" w:cs="Arial MT"/>
          <w:lang w:val="es-ES" w:eastAsia="es-ES"/>
        </w:rPr>
        <w:t xml:space="preserve"> </w:t>
      </w:r>
      <w:r w:rsidRPr="00E87EA6">
        <w:rPr>
          <w:rFonts w:ascii="Verdana" w:hAnsi="Verdana" w:cs="Arial"/>
        </w:rPr>
        <w:t xml:space="preserve">así como lo establecido en el artículo 4 de la Resolución 1707 de 2018 expedida por esta Entidad, </w:t>
      </w:r>
      <w:r w:rsidRPr="00E87EA6">
        <w:rPr>
          <w:rFonts w:ascii="Verdana" w:eastAsia="Calibri" w:hAnsi="Verdana" w:cs="Arial"/>
          <w:lang w:val="es-ES" w:eastAsia="es-ES"/>
        </w:rPr>
        <w:t xml:space="preserve">la Agencia Nacional de Contratación Pública – Colombia Compra Eficiente– responde su solicitud de consulta de fecha 18 de marzo de 2025, en la cual manifiesta lo siguiente: </w:t>
      </w:r>
    </w:p>
    <w:p w14:paraId="00F8300A" w14:textId="77777777" w:rsidR="00795229" w:rsidRPr="00E87EA6" w:rsidRDefault="00795229" w:rsidP="00795229">
      <w:pPr>
        <w:pStyle w:val="Prrafodelista"/>
        <w:tabs>
          <w:tab w:val="left" w:pos="142"/>
          <w:tab w:val="left" w:pos="284"/>
        </w:tabs>
        <w:spacing w:line="276" w:lineRule="auto"/>
        <w:ind w:left="0"/>
        <w:jc w:val="both"/>
        <w:rPr>
          <w:rFonts w:ascii="Verdana" w:eastAsia="Century Gothic" w:hAnsi="Verdana" w:cs="Century Gothic"/>
          <w:b/>
          <w:bCs/>
        </w:rPr>
      </w:pPr>
    </w:p>
    <w:p w14:paraId="4C578FC7" w14:textId="77777777" w:rsidR="00795229" w:rsidRPr="00E87EA6" w:rsidRDefault="00795229" w:rsidP="00795229">
      <w:pPr>
        <w:spacing w:after="0" w:line="240" w:lineRule="auto"/>
        <w:ind w:left="709" w:right="709"/>
        <w:jc w:val="both"/>
        <w:rPr>
          <w:rFonts w:ascii="Verdana" w:eastAsia="Century Gothic" w:hAnsi="Verdana" w:cs="Century Gothic"/>
          <w:sz w:val="20"/>
          <w:szCs w:val="20"/>
          <w:lang w:val="es-ES"/>
        </w:rPr>
      </w:pPr>
      <w:bookmarkStart w:id="0" w:name="_Hlk95313578"/>
      <w:r w:rsidRPr="00E87EA6">
        <w:rPr>
          <w:rFonts w:ascii="Verdana" w:eastAsia="Century Gothic" w:hAnsi="Verdana" w:cs="Century Gothic"/>
          <w:sz w:val="20"/>
          <w:szCs w:val="20"/>
          <w:lang w:val="es-ES"/>
        </w:rPr>
        <w:t>“</w:t>
      </w:r>
      <w:r>
        <w:rPr>
          <w:rFonts w:ascii="Verdana" w:hAnsi="Verdana" w:cs="Arial"/>
          <w:shd w:val="clear" w:color="auto" w:fill="FFFFFF"/>
        </w:rPr>
        <w:t xml:space="preserve">En una Entidad pública un proceso y el proveedor rechaza el contrato, es posible volver a subir el </w:t>
      </w:r>
      <w:proofErr w:type="gramStart"/>
      <w:r>
        <w:rPr>
          <w:rFonts w:ascii="Verdana" w:hAnsi="Verdana" w:cs="Arial"/>
          <w:shd w:val="clear" w:color="auto" w:fill="FFFFFF"/>
        </w:rPr>
        <w:t>proceso</w:t>
      </w:r>
      <w:proofErr w:type="gramEnd"/>
      <w:r>
        <w:rPr>
          <w:rFonts w:ascii="Verdana" w:hAnsi="Verdana" w:cs="Arial"/>
          <w:shd w:val="clear" w:color="auto" w:fill="FFFFFF"/>
        </w:rPr>
        <w:t xml:space="preserve"> pero con otro proveedor? Se puede volver a usar el CDP y demás documentos precontractuales</w:t>
      </w:r>
      <w:r w:rsidRPr="00E87EA6">
        <w:rPr>
          <w:rFonts w:ascii="Verdana" w:eastAsia="Century Gothic" w:hAnsi="Verdana" w:cs="Century Gothic"/>
          <w:sz w:val="20"/>
          <w:szCs w:val="20"/>
          <w:lang w:val="es-ES"/>
        </w:rPr>
        <w:t>”</w:t>
      </w:r>
      <w:bookmarkEnd w:id="0"/>
      <w:r w:rsidRPr="00E87EA6">
        <w:rPr>
          <w:rFonts w:ascii="Verdana" w:eastAsia="Century Gothic" w:hAnsi="Verdana" w:cs="Century Gothic"/>
          <w:sz w:val="20"/>
          <w:szCs w:val="20"/>
          <w:lang w:val="es-ES"/>
        </w:rPr>
        <w:t>.</w:t>
      </w:r>
    </w:p>
    <w:p w14:paraId="56339C36" w14:textId="77777777" w:rsidR="00795229" w:rsidRPr="00E87EA6" w:rsidRDefault="00795229" w:rsidP="00795229">
      <w:pPr>
        <w:pStyle w:val="Prrafodelista"/>
        <w:tabs>
          <w:tab w:val="left" w:pos="142"/>
          <w:tab w:val="left" w:pos="284"/>
        </w:tabs>
        <w:spacing w:line="276" w:lineRule="auto"/>
        <w:ind w:left="0"/>
        <w:jc w:val="both"/>
        <w:rPr>
          <w:rFonts w:ascii="Verdana" w:eastAsia="Century Gothic" w:hAnsi="Verdana" w:cs="Century Gothic"/>
          <w:b/>
          <w:bCs/>
        </w:rPr>
      </w:pPr>
    </w:p>
    <w:p w14:paraId="14FC9D89" w14:textId="77777777" w:rsidR="00795229" w:rsidRPr="00E87EA6" w:rsidRDefault="00795229" w:rsidP="00795229">
      <w:pPr>
        <w:spacing w:after="120" w:line="276" w:lineRule="auto"/>
        <w:ind w:firstLine="709"/>
        <w:jc w:val="both"/>
        <w:rPr>
          <w:rFonts w:ascii="Verdana" w:eastAsia="Calibri" w:hAnsi="Verdana" w:cs="Arial"/>
          <w:szCs w:val="24"/>
          <w:lang w:val="es-ES_tradnl" w:eastAsia="es-ES_tradnl"/>
        </w:rPr>
      </w:pPr>
      <w:r w:rsidRPr="00E87EA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87EA6">
        <w:rPr>
          <w:rFonts w:ascii="Verdana" w:eastAsia="Calibri" w:hAnsi="Verdana" w:cs="Arial"/>
          <w:szCs w:val="24"/>
          <w:lang w:val="es-ES_tradnl" w:eastAsia="es-ES_tradnl"/>
        </w:rPr>
        <w:tab/>
      </w:r>
    </w:p>
    <w:p w14:paraId="3A34430C" w14:textId="77777777" w:rsidR="00795229" w:rsidRPr="00E87EA6" w:rsidRDefault="00795229" w:rsidP="00795229">
      <w:pPr>
        <w:spacing w:after="0" w:line="276" w:lineRule="auto"/>
        <w:ind w:firstLine="709"/>
        <w:jc w:val="both"/>
        <w:rPr>
          <w:rFonts w:ascii="Verdana" w:eastAsia="Calibri" w:hAnsi="Verdana" w:cs="Arial"/>
          <w:lang w:val="es-ES" w:eastAsia="es-ES"/>
        </w:rPr>
      </w:pPr>
      <w:r w:rsidRPr="00E87E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1FCF8A2" w14:textId="77777777" w:rsidR="00795229" w:rsidRPr="00E87EA6" w:rsidRDefault="00795229" w:rsidP="00795229">
      <w:pPr>
        <w:spacing w:after="0" w:line="276" w:lineRule="auto"/>
        <w:ind w:firstLine="709"/>
        <w:jc w:val="both"/>
        <w:rPr>
          <w:rFonts w:ascii="Verdana" w:eastAsia="Calibri" w:hAnsi="Verdana" w:cs="Arial"/>
          <w:lang w:val="es-ES" w:eastAsia="es-ES"/>
        </w:rPr>
      </w:pPr>
    </w:p>
    <w:p w14:paraId="60DB0716" w14:textId="77777777" w:rsidR="00795229" w:rsidRPr="00E87EA6" w:rsidRDefault="00795229" w:rsidP="0079522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87EA6">
        <w:rPr>
          <w:rFonts w:ascii="Verdana" w:eastAsia="Century Gothic" w:hAnsi="Verdana" w:cs="Century Gothic"/>
          <w:b/>
          <w:bCs/>
        </w:rPr>
        <w:t>Problema planteado:</w:t>
      </w:r>
    </w:p>
    <w:p w14:paraId="4DABC597" w14:textId="77777777" w:rsidR="00795229" w:rsidRPr="00E87EA6" w:rsidRDefault="00795229" w:rsidP="00795229">
      <w:pPr>
        <w:tabs>
          <w:tab w:val="left" w:pos="426"/>
        </w:tabs>
        <w:spacing w:after="0" w:line="276" w:lineRule="auto"/>
        <w:jc w:val="both"/>
        <w:rPr>
          <w:rFonts w:ascii="Verdana" w:eastAsia="Century Gothic" w:hAnsi="Verdana" w:cs="Century Gothic"/>
          <w:lang w:val="es-ES"/>
        </w:rPr>
      </w:pPr>
    </w:p>
    <w:p w14:paraId="51C8003B" w14:textId="02D0F825" w:rsidR="00795229" w:rsidRPr="00E87EA6" w:rsidRDefault="00795229" w:rsidP="00795229">
      <w:pPr>
        <w:spacing w:after="0" w:line="276" w:lineRule="auto"/>
        <w:jc w:val="both"/>
        <w:rPr>
          <w:rFonts w:ascii="Verdana" w:eastAsia="Century Gothic" w:hAnsi="Verdana" w:cs="Century Gothic"/>
        </w:rPr>
      </w:pPr>
      <w:r w:rsidRPr="00E87EA6">
        <w:rPr>
          <w:rFonts w:ascii="Verdana" w:eastAsia="Century Gothic" w:hAnsi="Verdana" w:cs="Century Gothic"/>
        </w:rPr>
        <w:lastRenderedPageBreak/>
        <w:t xml:space="preserve">De acuerdo con el contenido de su solicitud, esta Agencia resolverá </w:t>
      </w:r>
      <w:proofErr w:type="gramStart"/>
      <w:r w:rsidRPr="00E87EA6">
        <w:rPr>
          <w:rFonts w:ascii="Verdana" w:eastAsia="Century Gothic" w:hAnsi="Verdana" w:cs="Century Gothic"/>
        </w:rPr>
        <w:t>el  siguiente</w:t>
      </w:r>
      <w:proofErr w:type="gramEnd"/>
      <w:r w:rsidRPr="00E87EA6">
        <w:rPr>
          <w:rFonts w:ascii="Verdana" w:eastAsia="Century Gothic" w:hAnsi="Verdana" w:cs="Century Gothic"/>
        </w:rPr>
        <w:t xml:space="preserve"> problema jurídico: ¿</w:t>
      </w:r>
      <w:r w:rsidRPr="00724994">
        <w:rPr>
          <w:rFonts w:ascii="Verdana" w:eastAsia="Century Gothic" w:hAnsi="Verdana" w:cs="Century Gothic"/>
        </w:rPr>
        <w:t xml:space="preserve">Puede una entidad estatal, cuando el proveedor seleccionado rechaza la firma del contrato, volver a publicar </w:t>
      </w:r>
      <w:r>
        <w:rPr>
          <w:rFonts w:ascii="Verdana" w:eastAsia="Century Gothic" w:hAnsi="Verdana" w:cs="Century Gothic"/>
        </w:rPr>
        <w:t>el contrato dentro del</w:t>
      </w:r>
      <w:r w:rsidRPr="00724994">
        <w:rPr>
          <w:rFonts w:ascii="Verdana" w:eastAsia="Century Gothic" w:hAnsi="Verdana" w:cs="Century Gothic"/>
        </w:rPr>
        <w:t xml:space="preserve"> mismo proceso para adjudicarlo a otro proveedor, </w:t>
      </w:r>
      <w:r w:rsidR="28B7ECC2" w:rsidRPr="373C1AFC">
        <w:rPr>
          <w:rFonts w:ascii="Verdana" w:eastAsia="Century Gothic" w:hAnsi="Verdana" w:cs="Century Gothic"/>
        </w:rPr>
        <w:t>empleando</w:t>
      </w:r>
      <w:r w:rsidRPr="00724994">
        <w:rPr>
          <w:rFonts w:ascii="Verdana" w:eastAsia="Century Gothic" w:hAnsi="Verdana" w:cs="Century Gothic"/>
        </w:rPr>
        <w:t xml:space="preserve"> el </w:t>
      </w:r>
      <w:r w:rsidR="7F9F1F90" w:rsidRPr="373C1AFC">
        <w:rPr>
          <w:rFonts w:ascii="Verdana" w:eastAsia="Century Gothic" w:hAnsi="Verdana" w:cs="Century Gothic"/>
        </w:rPr>
        <w:t>mismo</w:t>
      </w:r>
      <w:r w:rsidRPr="373C1AFC">
        <w:rPr>
          <w:rFonts w:ascii="Verdana" w:eastAsia="Century Gothic" w:hAnsi="Verdana" w:cs="Century Gothic"/>
        </w:rPr>
        <w:t xml:space="preserve"> </w:t>
      </w:r>
      <w:r w:rsidRPr="00724994">
        <w:rPr>
          <w:rFonts w:ascii="Verdana" w:eastAsia="Century Gothic" w:hAnsi="Verdana" w:cs="Century Gothic"/>
        </w:rPr>
        <w:t>Certificado de Disponibilidad Presupuestal (CDP) y los demás documentos precontractuales expedidos para el proceso inicial?</w:t>
      </w:r>
    </w:p>
    <w:p w14:paraId="00BDB120" w14:textId="77777777" w:rsidR="00795229" w:rsidRPr="00E87EA6" w:rsidRDefault="00795229" w:rsidP="00795229">
      <w:pPr>
        <w:spacing w:after="0" w:line="276" w:lineRule="auto"/>
        <w:jc w:val="both"/>
        <w:rPr>
          <w:rFonts w:ascii="Verdana" w:eastAsia="Calibri" w:hAnsi="Verdana" w:cs="Arial"/>
          <w:lang w:val="es-ES"/>
        </w:rPr>
      </w:pPr>
    </w:p>
    <w:p w14:paraId="0840DC5D" w14:textId="77777777" w:rsidR="00795229" w:rsidRPr="00E87EA6" w:rsidRDefault="00795229" w:rsidP="007952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87EA6">
        <w:rPr>
          <w:rFonts w:ascii="Verdana" w:eastAsia="Century Gothic" w:hAnsi="Verdana" w:cs="Century Gothic"/>
          <w:b/>
          <w:bCs/>
        </w:rPr>
        <w:t>Respuesta:</w:t>
      </w:r>
    </w:p>
    <w:p w14:paraId="3B52970E" w14:textId="77777777" w:rsidR="00795229" w:rsidRPr="00E87EA6" w:rsidRDefault="00795229" w:rsidP="0079522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95229" w:rsidRPr="00E87EA6" w14:paraId="4387384E" w14:textId="77777777" w:rsidTr="00D65F44">
        <w:tc>
          <w:tcPr>
            <w:tcW w:w="8828" w:type="dxa"/>
            <w:shd w:val="clear" w:color="auto" w:fill="auto"/>
          </w:tcPr>
          <w:p w14:paraId="6A79CD10" w14:textId="13B574BD" w:rsidR="00795229" w:rsidRDefault="00795229" w:rsidP="00D65F44">
            <w:pPr>
              <w:pStyle w:val="Prrafodelista"/>
              <w:ind w:left="0"/>
              <w:jc w:val="both"/>
              <w:rPr>
                <w:rFonts w:ascii="Verdana" w:eastAsia="Century Gothic" w:hAnsi="Verdana" w:cs="Century Gothic"/>
              </w:rPr>
            </w:pPr>
            <w:r w:rsidRPr="00F4694E">
              <w:rPr>
                <w:rFonts w:ascii="Verdana" w:eastAsia="Century Gothic" w:hAnsi="Verdana" w:cs="Century Gothic"/>
              </w:rPr>
              <w:t xml:space="preserve">Es importante considerar </w:t>
            </w:r>
            <w:r w:rsidR="3BB15309" w:rsidRPr="373C1AFC">
              <w:rPr>
                <w:rFonts w:ascii="Verdana" w:eastAsia="Century Gothic" w:hAnsi="Verdana" w:cs="Century Gothic"/>
              </w:rPr>
              <w:t xml:space="preserve">que </w:t>
            </w:r>
            <w:r w:rsidRPr="00F4694E">
              <w:rPr>
                <w:rFonts w:ascii="Verdana" w:eastAsia="Century Gothic" w:hAnsi="Verdana" w:cs="Century Gothic"/>
              </w:rPr>
              <w:t xml:space="preserve">el artículo 71 del Decreto 111 de 1996 –Estatuto Orgánico del Presupuesto– </w:t>
            </w:r>
            <w:r w:rsidR="7B3F564E" w:rsidRPr="373C1AFC">
              <w:rPr>
                <w:rFonts w:ascii="Verdana" w:eastAsia="Century Gothic" w:hAnsi="Verdana" w:cs="Century Gothic"/>
              </w:rPr>
              <w:t xml:space="preserve">establece como obligatoria la existencia previa de apropiación presupuestal contenida en </w:t>
            </w:r>
            <w:r w:rsidRPr="00F4694E">
              <w:rPr>
                <w:rFonts w:ascii="Verdana" w:eastAsia="Century Gothic" w:hAnsi="Verdana" w:cs="Century Gothic"/>
              </w:rPr>
              <w:t xml:space="preserve">el Certificado de Disponibilidad Presupuestal (CDP) para abrir procedimientos de selección e iniciar procesos de suscripción de contratos, en armonía con </w:t>
            </w:r>
            <w:r w:rsidR="23B3AB5F" w:rsidRPr="373C1AFC">
              <w:rPr>
                <w:rFonts w:ascii="Verdana" w:eastAsia="Century Gothic" w:hAnsi="Verdana" w:cs="Century Gothic"/>
              </w:rPr>
              <w:t xml:space="preserve">lo previsto en </w:t>
            </w:r>
            <w:r w:rsidRPr="00F4694E">
              <w:rPr>
                <w:rFonts w:ascii="Verdana" w:eastAsia="Century Gothic" w:hAnsi="Verdana" w:cs="Century Gothic"/>
              </w:rPr>
              <w:t xml:space="preserve">el numeral 6° del artículo 25 </w:t>
            </w:r>
            <w:r w:rsidR="28B8F517" w:rsidRPr="373C1AFC">
              <w:rPr>
                <w:rFonts w:ascii="Verdana" w:eastAsia="Century Gothic" w:hAnsi="Verdana" w:cs="Century Gothic"/>
              </w:rPr>
              <w:t xml:space="preserve">y el artículo 41 </w:t>
            </w:r>
            <w:r w:rsidRPr="00F4694E">
              <w:rPr>
                <w:rFonts w:ascii="Verdana" w:eastAsia="Century Gothic" w:hAnsi="Verdana" w:cs="Century Gothic"/>
              </w:rPr>
              <w:t xml:space="preserve">de la Ley 80 de 1993. </w:t>
            </w:r>
          </w:p>
          <w:p w14:paraId="5DBCC038" w14:textId="77777777" w:rsidR="00795229" w:rsidRPr="00D7487F" w:rsidRDefault="00795229" w:rsidP="00D65F44">
            <w:pPr>
              <w:pStyle w:val="Prrafodelista"/>
              <w:ind w:left="0"/>
              <w:jc w:val="both"/>
              <w:rPr>
                <w:rFonts w:ascii="Verdana" w:eastAsia="Times New Roman" w:hAnsi="Verdana" w:cs="Arial"/>
                <w:color w:val="1A1A1A" w:themeColor="background1" w:themeShade="1A"/>
                <w:sz w:val="20"/>
                <w:szCs w:val="20"/>
                <w:lang w:eastAsia="es-ES_tradnl"/>
              </w:rPr>
            </w:pPr>
          </w:p>
          <w:p w14:paraId="2D270348" w14:textId="77777777" w:rsidR="00795229" w:rsidRDefault="00795229" w:rsidP="00D65F44">
            <w:pPr>
              <w:spacing w:line="276" w:lineRule="auto"/>
              <w:jc w:val="both"/>
              <w:rPr>
                <w:rFonts w:ascii="Verdana" w:eastAsia="Calibri" w:hAnsi="Verdana" w:cs="Arial"/>
                <w:lang w:val="es-ES"/>
              </w:rPr>
            </w:pPr>
            <w:r w:rsidRPr="0001520E">
              <w:rPr>
                <w:rFonts w:ascii="Verdana" w:eastAsia="Calibri" w:hAnsi="Verdana" w:cs="Arial"/>
                <w:lang w:val="es-ES"/>
              </w:rPr>
              <w:t xml:space="preserve">De acuerdo con lo establecido en los artículos 345, 346 y 347 de la Constitución Política, existe el deber de las Entidades Estatales de contar con un certificado de disponibilidad presupuestal de forma previa a la asunción de obligaciones o compromisos de carácter contractual, como una garantía de la existencia de recursos suficientes para atender los gastos y obligaciones que serán contraídos por el Estado. </w:t>
            </w:r>
          </w:p>
          <w:p w14:paraId="4CB599F4" w14:textId="2880CC1B" w:rsidR="00795229" w:rsidRDefault="00795229" w:rsidP="00D65F44">
            <w:pPr>
              <w:spacing w:before="120" w:after="120" w:line="276" w:lineRule="auto"/>
              <w:ind w:right="101"/>
              <w:jc w:val="both"/>
              <w:rPr>
                <w:rFonts w:ascii="Verdana" w:eastAsia="Century Gothic" w:hAnsi="Verdana" w:cs="Century Gothic"/>
              </w:rPr>
            </w:pPr>
            <w:r w:rsidRPr="00CB1A40">
              <w:rPr>
                <w:rFonts w:ascii="Verdana" w:eastAsia="Century Gothic" w:hAnsi="Verdana" w:cs="Century Gothic"/>
              </w:rPr>
              <w:t>Conforme a lo anterior, el Certificado de Disponibilidad Presupuestal (CDP) de un contrato rechazado por el proveedor puede ser utilizado para respaldar un nuevo contrato</w:t>
            </w:r>
            <w:r w:rsidR="6518E04E" w:rsidRPr="373C1AFC">
              <w:rPr>
                <w:rFonts w:ascii="Verdana" w:eastAsia="Century Gothic" w:hAnsi="Verdana" w:cs="Century Gothic"/>
              </w:rPr>
              <w:t xml:space="preserve">, siempre y </w:t>
            </w:r>
            <w:r w:rsidR="40C95932" w:rsidRPr="373C1AFC">
              <w:rPr>
                <w:rFonts w:ascii="Verdana" w:eastAsia="Century Gothic" w:hAnsi="Verdana" w:cs="Century Gothic"/>
              </w:rPr>
              <w:t>cuando</w:t>
            </w:r>
            <w:r w:rsidR="6518E04E" w:rsidRPr="373C1AFC">
              <w:rPr>
                <w:rFonts w:ascii="Verdana" w:eastAsia="Century Gothic" w:hAnsi="Verdana" w:cs="Century Gothic"/>
              </w:rPr>
              <w:t xml:space="preserve"> exista </w:t>
            </w:r>
            <w:r w:rsidR="2899A0D9" w:rsidRPr="373C1AFC">
              <w:rPr>
                <w:rFonts w:ascii="Verdana" w:eastAsia="Century Gothic" w:hAnsi="Verdana" w:cs="Century Gothic"/>
              </w:rPr>
              <w:t>identidad</w:t>
            </w:r>
            <w:r w:rsidR="6518E04E" w:rsidRPr="373C1AFC">
              <w:rPr>
                <w:rFonts w:ascii="Verdana" w:eastAsia="Century Gothic" w:hAnsi="Verdana" w:cs="Century Gothic"/>
              </w:rPr>
              <w:t xml:space="preserve"> de las </w:t>
            </w:r>
            <w:r w:rsidR="17EF2D82" w:rsidRPr="373C1AFC">
              <w:rPr>
                <w:rFonts w:ascii="Verdana" w:eastAsia="Century Gothic" w:hAnsi="Verdana" w:cs="Century Gothic"/>
              </w:rPr>
              <w:t>condiciones</w:t>
            </w:r>
            <w:r w:rsidR="6518E04E" w:rsidRPr="373C1AFC">
              <w:rPr>
                <w:rFonts w:ascii="Verdana" w:eastAsia="Century Gothic" w:hAnsi="Verdana" w:cs="Century Gothic"/>
              </w:rPr>
              <w:t xml:space="preserve"> particulares </w:t>
            </w:r>
            <w:r w:rsidR="53D33677" w:rsidRPr="373C1AFC">
              <w:rPr>
                <w:rFonts w:ascii="Verdana" w:eastAsia="Century Gothic" w:hAnsi="Verdana" w:cs="Century Gothic"/>
              </w:rPr>
              <w:t xml:space="preserve">respecto </w:t>
            </w:r>
            <w:r w:rsidR="44C2FC6F" w:rsidRPr="373C1AFC">
              <w:rPr>
                <w:rFonts w:ascii="Verdana" w:eastAsia="Century Gothic" w:hAnsi="Verdana" w:cs="Century Gothic"/>
              </w:rPr>
              <w:t>del</w:t>
            </w:r>
            <w:r w:rsidR="6518E04E" w:rsidRPr="373C1AFC">
              <w:rPr>
                <w:rFonts w:ascii="Verdana" w:eastAsia="Century Gothic" w:hAnsi="Verdana" w:cs="Century Gothic"/>
              </w:rPr>
              <w:t xml:space="preserve"> acuerdo de </w:t>
            </w:r>
            <w:r w:rsidR="4E58749B" w:rsidRPr="373C1AFC">
              <w:rPr>
                <w:rFonts w:ascii="Verdana" w:eastAsia="Century Gothic" w:hAnsi="Verdana" w:cs="Century Gothic"/>
              </w:rPr>
              <w:t>voluntades que</w:t>
            </w:r>
            <w:r w:rsidR="6AB23E63" w:rsidRPr="373C1AFC">
              <w:rPr>
                <w:rFonts w:ascii="Verdana" w:eastAsia="Century Gothic" w:hAnsi="Verdana" w:cs="Century Gothic"/>
              </w:rPr>
              <w:t xml:space="preserve"> </w:t>
            </w:r>
            <w:r w:rsidR="6518E04E" w:rsidRPr="373C1AFC">
              <w:rPr>
                <w:rFonts w:ascii="Verdana" w:eastAsia="Century Gothic" w:hAnsi="Verdana" w:cs="Century Gothic"/>
              </w:rPr>
              <w:t>se pretende suscribir</w:t>
            </w:r>
            <w:r w:rsidR="7EC0D47A" w:rsidRPr="373C1AFC">
              <w:rPr>
                <w:rFonts w:ascii="Verdana" w:eastAsia="Century Gothic" w:hAnsi="Verdana" w:cs="Century Gothic"/>
              </w:rPr>
              <w:t xml:space="preserve"> y </w:t>
            </w:r>
            <w:r w:rsidR="2075F670" w:rsidRPr="373C1AFC">
              <w:rPr>
                <w:rFonts w:ascii="Verdana" w:eastAsia="Century Gothic" w:hAnsi="Verdana" w:cs="Century Gothic"/>
              </w:rPr>
              <w:t xml:space="preserve">de las previstas para </w:t>
            </w:r>
            <w:r w:rsidR="7EC0D47A" w:rsidRPr="373C1AFC">
              <w:rPr>
                <w:rFonts w:ascii="Verdana" w:eastAsia="Century Gothic" w:hAnsi="Verdana" w:cs="Century Gothic"/>
              </w:rPr>
              <w:t xml:space="preserve">el que </w:t>
            </w:r>
            <w:r w:rsidR="4B1BEE9D" w:rsidRPr="373C1AFC">
              <w:rPr>
                <w:rFonts w:ascii="Verdana" w:eastAsia="Century Gothic" w:hAnsi="Verdana" w:cs="Century Gothic"/>
              </w:rPr>
              <w:t>no</w:t>
            </w:r>
            <w:r w:rsidR="7EC0D47A" w:rsidRPr="373C1AFC">
              <w:rPr>
                <w:rFonts w:ascii="Verdana" w:eastAsia="Century Gothic" w:hAnsi="Verdana" w:cs="Century Gothic"/>
              </w:rPr>
              <w:t xml:space="preserve"> </w:t>
            </w:r>
            <w:r w:rsidR="525CD92B" w:rsidRPr="373C1AFC">
              <w:rPr>
                <w:rFonts w:ascii="Verdana" w:eastAsia="Century Gothic" w:hAnsi="Verdana" w:cs="Century Gothic"/>
              </w:rPr>
              <w:t>logró</w:t>
            </w:r>
            <w:r w:rsidR="7EC0D47A" w:rsidRPr="373C1AFC">
              <w:rPr>
                <w:rFonts w:ascii="Verdana" w:eastAsia="Century Gothic" w:hAnsi="Verdana" w:cs="Century Gothic"/>
              </w:rPr>
              <w:t xml:space="preserve"> </w:t>
            </w:r>
            <w:r w:rsidR="177F3C08" w:rsidRPr="373C1AFC">
              <w:rPr>
                <w:rFonts w:ascii="Verdana" w:eastAsia="Century Gothic" w:hAnsi="Verdana" w:cs="Century Gothic"/>
              </w:rPr>
              <w:t>perfeccionar</w:t>
            </w:r>
            <w:r w:rsidR="05F4A39E" w:rsidRPr="373C1AFC">
              <w:rPr>
                <w:rFonts w:ascii="Verdana" w:eastAsia="Century Gothic" w:hAnsi="Verdana" w:cs="Century Gothic"/>
              </w:rPr>
              <w:t>se</w:t>
            </w:r>
            <w:r w:rsidR="7EC0D47A" w:rsidRPr="373C1AFC">
              <w:rPr>
                <w:rFonts w:ascii="Verdana" w:eastAsia="Century Gothic" w:hAnsi="Verdana" w:cs="Century Gothic"/>
              </w:rPr>
              <w:t xml:space="preserve"> dado el rechazo </w:t>
            </w:r>
            <w:proofErr w:type="gramStart"/>
            <w:r w:rsidR="7EC0D47A" w:rsidRPr="373C1AFC">
              <w:rPr>
                <w:rFonts w:ascii="Verdana" w:eastAsia="Century Gothic" w:hAnsi="Verdana" w:cs="Century Gothic"/>
              </w:rPr>
              <w:t xml:space="preserve">del </w:t>
            </w:r>
            <w:r w:rsidR="7158DF93" w:rsidRPr="373C1AFC">
              <w:rPr>
                <w:rFonts w:ascii="Verdana" w:eastAsia="Century Gothic" w:hAnsi="Verdana" w:cs="Century Gothic"/>
              </w:rPr>
              <w:t>mismo</w:t>
            </w:r>
            <w:proofErr w:type="gramEnd"/>
            <w:r w:rsidR="7EC0D47A" w:rsidRPr="373C1AFC">
              <w:rPr>
                <w:rFonts w:ascii="Verdana" w:eastAsia="Century Gothic" w:hAnsi="Verdana" w:cs="Century Gothic"/>
              </w:rPr>
              <w:t xml:space="preserve"> en la plataforma SECOP</w:t>
            </w:r>
            <w:r w:rsidRPr="373C1AFC">
              <w:rPr>
                <w:rFonts w:ascii="Verdana" w:eastAsia="Century Gothic" w:hAnsi="Verdana" w:cs="Century Gothic"/>
              </w:rPr>
              <w:t xml:space="preserve">. </w:t>
            </w:r>
            <w:r w:rsidRPr="00CB1A40">
              <w:rPr>
                <w:rFonts w:ascii="Verdana" w:eastAsia="Century Gothic" w:hAnsi="Verdana" w:cs="Century Gothic"/>
              </w:rPr>
              <w:t>En cuanto a los demás documentos precontractuales</w:t>
            </w:r>
            <w:r w:rsidR="3F6BCAFF" w:rsidRPr="373C1AFC">
              <w:rPr>
                <w:rFonts w:ascii="Verdana" w:eastAsia="Century Gothic" w:hAnsi="Verdana" w:cs="Century Gothic"/>
              </w:rPr>
              <w:t xml:space="preserve"> inicialmente elaborados</w:t>
            </w:r>
            <w:r w:rsidRPr="373C1AFC">
              <w:rPr>
                <w:rFonts w:ascii="Verdana" w:eastAsia="Century Gothic" w:hAnsi="Verdana" w:cs="Century Gothic"/>
              </w:rPr>
              <w:t xml:space="preserve">, </w:t>
            </w:r>
            <w:r w:rsidR="4752B215" w:rsidRPr="373C1AFC">
              <w:rPr>
                <w:rFonts w:ascii="Verdana" w:eastAsia="Century Gothic" w:hAnsi="Verdana" w:cs="Century Gothic"/>
              </w:rPr>
              <w:t xml:space="preserve">debemos señalar </w:t>
            </w:r>
            <w:r w:rsidR="37AA42B9" w:rsidRPr="373C1AFC">
              <w:rPr>
                <w:rFonts w:ascii="Verdana" w:eastAsia="Century Gothic" w:hAnsi="Verdana" w:cs="Century Gothic"/>
              </w:rPr>
              <w:t xml:space="preserve">que el uso de </w:t>
            </w:r>
            <w:proofErr w:type="gramStart"/>
            <w:r w:rsidR="37AA42B9" w:rsidRPr="373C1AFC">
              <w:rPr>
                <w:rFonts w:ascii="Verdana" w:eastAsia="Century Gothic" w:hAnsi="Verdana" w:cs="Century Gothic"/>
              </w:rPr>
              <w:t>los mismos</w:t>
            </w:r>
            <w:proofErr w:type="gramEnd"/>
            <w:r w:rsidR="37AA42B9" w:rsidRPr="373C1AFC">
              <w:rPr>
                <w:rFonts w:ascii="Verdana" w:eastAsia="Century Gothic" w:hAnsi="Verdana" w:cs="Century Gothic"/>
              </w:rPr>
              <w:t xml:space="preserve"> depende</w:t>
            </w:r>
            <w:r w:rsidRPr="00CB1A40">
              <w:rPr>
                <w:rFonts w:ascii="Verdana" w:eastAsia="Century Gothic" w:hAnsi="Verdana" w:cs="Century Gothic"/>
              </w:rPr>
              <w:t xml:space="preserve"> exclusivamente a la Entidad Estatal, en la medida en que esta debe verificar que dichos documentos sean pertinentes y se ajusten a la naturaleza y al objeto de la nueva contratación.</w:t>
            </w:r>
          </w:p>
          <w:p w14:paraId="6DDFF357" w14:textId="6A1B1C0B" w:rsidR="00795229" w:rsidRPr="00E87EA6" w:rsidRDefault="00795229" w:rsidP="00D65F44">
            <w:pPr>
              <w:spacing w:before="120" w:after="120" w:line="276" w:lineRule="auto"/>
              <w:ind w:right="101"/>
              <w:jc w:val="both"/>
              <w:rPr>
                <w:rFonts w:ascii="Verdana" w:eastAsia="Calibri" w:hAnsi="Verdana" w:cs="Arial"/>
                <w:lang w:val="es-ES"/>
              </w:rPr>
            </w:pPr>
            <w:r w:rsidRPr="00CB1A40">
              <w:rPr>
                <w:rFonts w:ascii="Verdana" w:eastAsia="Calibri" w:hAnsi="Verdana" w:cs="Arial"/>
              </w:rPr>
              <w:t xml:space="preserve">En cuanto a la posibilidad de crear un nuevo contrato para otro contratista dentro del mismo proceso </w:t>
            </w:r>
            <w:r w:rsidR="6B329598" w:rsidRPr="373C1AFC">
              <w:rPr>
                <w:rFonts w:ascii="Verdana" w:eastAsia="Calibri" w:hAnsi="Verdana" w:cs="Arial"/>
              </w:rPr>
              <w:t xml:space="preserve">o expediente creado en la plataforma </w:t>
            </w:r>
            <w:r w:rsidRPr="00CB1A40">
              <w:rPr>
                <w:rFonts w:ascii="Verdana" w:eastAsia="Calibri" w:hAnsi="Verdana" w:cs="Arial"/>
              </w:rPr>
              <w:t xml:space="preserve">tras el rechazo del </w:t>
            </w:r>
            <w:r w:rsidR="009B126F" w:rsidRPr="373C1AFC">
              <w:rPr>
                <w:rFonts w:ascii="Verdana" w:eastAsia="Calibri" w:hAnsi="Verdana" w:cs="Arial"/>
              </w:rPr>
              <w:t xml:space="preserve">trámite </w:t>
            </w:r>
            <w:r w:rsidR="009B126F" w:rsidRPr="00CB1A40">
              <w:rPr>
                <w:rFonts w:ascii="Verdana" w:eastAsia="Calibri" w:hAnsi="Verdana" w:cs="Arial"/>
              </w:rPr>
              <w:t>inicial</w:t>
            </w:r>
            <w:r w:rsidRPr="00CB1A40">
              <w:rPr>
                <w:rFonts w:ascii="Verdana" w:eastAsia="Calibri" w:hAnsi="Verdana" w:cs="Arial"/>
              </w:rPr>
              <w:t xml:space="preserve">, </w:t>
            </w:r>
            <w:r w:rsidR="00CF6AA1" w:rsidRPr="373C1AFC">
              <w:rPr>
                <w:rFonts w:ascii="Verdana" w:eastAsia="Calibri" w:hAnsi="Verdana" w:cs="Arial"/>
              </w:rPr>
              <w:t>esto</w:t>
            </w:r>
            <w:r w:rsidRPr="00CB1A40">
              <w:rPr>
                <w:rFonts w:ascii="Verdana" w:eastAsia="Calibri" w:hAnsi="Verdana" w:cs="Arial"/>
              </w:rPr>
              <w:t xml:space="preserve"> depende de la modalidad de selección aplicada</w:t>
            </w:r>
            <w:r w:rsidR="63BDC3EB" w:rsidRPr="373C1AFC">
              <w:rPr>
                <w:rFonts w:ascii="Verdana" w:eastAsia="Calibri" w:hAnsi="Verdana" w:cs="Arial"/>
              </w:rPr>
              <w:t xml:space="preserve"> y de la funcionalidad de la plataforma para tal efecto</w:t>
            </w:r>
            <w:r w:rsidRPr="373C1AFC">
              <w:rPr>
                <w:rFonts w:ascii="Verdana" w:eastAsia="Calibri" w:hAnsi="Verdana" w:cs="Arial"/>
              </w:rPr>
              <w:t>.</w:t>
            </w:r>
            <w:r w:rsidRPr="00CB1A40">
              <w:rPr>
                <w:rFonts w:ascii="Verdana" w:eastAsia="Calibri" w:hAnsi="Verdana" w:cs="Arial"/>
              </w:rPr>
              <w:t xml:space="preserve"> En particular, si se trata de un proceso de selección competitivo, la adjudicación debe </w:t>
            </w:r>
            <w:r w:rsidRPr="00CB1A40">
              <w:rPr>
                <w:rFonts w:ascii="Verdana" w:eastAsia="Calibri" w:hAnsi="Verdana" w:cs="Arial"/>
              </w:rPr>
              <w:lastRenderedPageBreak/>
              <w:t>obedecer al resultado del proceso de evaluación, determinando como contratista seleccionado aquel que haya presentado la oferta ganadora. Por tanto, se deberá atender lo establecido en la guía correspondiente a cada modalidad de selección, expedida por la Agencia Nacional de Contratación Pública - Colombia Compra Eficiente, o, en caso de requerir una orientación específica, realizar la consulta a través de la Mesa de Servicio.</w:t>
            </w:r>
          </w:p>
        </w:tc>
      </w:tr>
    </w:tbl>
    <w:p w14:paraId="3587F129" w14:textId="77777777" w:rsidR="00795229" w:rsidRPr="00E87EA6" w:rsidRDefault="00795229" w:rsidP="00795229">
      <w:pPr>
        <w:tabs>
          <w:tab w:val="left" w:pos="142"/>
          <w:tab w:val="left" w:pos="284"/>
        </w:tabs>
        <w:spacing w:after="0" w:line="276" w:lineRule="auto"/>
        <w:jc w:val="both"/>
        <w:rPr>
          <w:rFonts w:ascii="Verdana" w:eastAsia="Century Gothic" w:hAnsi="Verdana" w:cs="Century Gothic"/>
          <w:b/>
          <w:bCs/>
          <w:lang w:val="es-ES"/>
        </w:rPr>
      </w:pPr>
    </w:p>
    <w:p w14:paraId="3B3B9028" w14:textId="77777777" w:rsidR="00795229" w:rsidRPr="00E87EA6" w:rsidRDefault="00795229" w:rsidP="007952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87EA6">
        <w:rPr>
          <w:rFonts w:ascii="Verdana" w:eastAsia="Century Gothic" w:hAnsi="Verdana" w:cs="Century Gothic"/>
          <w:b/>
          <w:bCs/>
        </w:rPr>
        <w:t>Razones de la respuesta:</w:t>
      </w:r>
    </w:p>
    <w:p w14:paraId="77161556" w14:textId="77777777" w:rsidR="00795229" w:rsidRPr="00E87EA6" w:rsidRDefault="00795229" w:rsidP="00795229">
      <w:pPr>
        <w:spacing w:line="276" w:lineRule="auto"/>
        <w:rPr>
          <w:rFonts w:ascii="Verdana" w:eastAsia="Calibri" w:hAnsi="Verdana" w:cs="Arial"/>
        </w:rPr>
      </w:pPr>
      <w:bookmarkStart w:id="1" w:name="_Hlk36018082"/>
    </w:p>
    <w:p w14:paraId="253D7709" w14:textId="77777777" w:rsidR="00795229" w:rsidRPr="00E87EA6" w:rsidRDefault="00795229" w:rsidP="00795229">
      <w:pPr>
        <w:spacing w:line="276" w:lineRule="auto"/>
        <w:jc w:val="both"/>
        <w:rPr>
          <w:rFonts w:ascii="Verdana" w:eastAsia="Calibri" w:hAnsi="Verdana" w:cs="Arial"/>
        </w:rPr>
      </w:pPr>
      <w:r w:rsidRPr="00E87EA6">
        <w:rPr>
          <w:rFonts w:ascii="Verdana" w:eastAsia="Calibri" w:hAnsi="Verdana" w:cs="Arial"/>
        </w:rPr>
        <w:t xml:space="preserve">Lo anterior se sustenta en las siguientes consideraciones: </w:t>
      </w:r>
    </w:p>
    <w:bookmarkEnd w:id="1"/>
    <w:p w14:paraId="420C523C" w14:textId="77777777" w:rsidR="00795229" w:rsidRPr="0001520E" w:rsidRDefault="00795229" w:rsidP="00795229">
      <w:pPr>
        <w:spacing w:after="0" w:line="276" w:lineRule="auto"/>
        <w:jc w:val="both"/>
        <w:rPr>
          <w:rFonts w:ascii="Verdana" w:eastAsia="Calibri" w:hAnsi="Verdana" w:cs="Arial"/>
          <w:lang w:val="es-ES"/>
        </w:rPr>
      </w:pPr>
      <w:r w:rsidRPr="0001520E">
        <w:rPr>
          <w:rFonts w:ascii="Verdana" w:eastAsia="Calibri" w:hAnsi="Verdana" w:cs="Arial"/>
          <w:bCs/>
        </w:rPr>
        <w:t>De manera preliminar, debe precisarse que, para la debida asignación y distribución de los recursos públicos las Entidades Estatales deben cumplir con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con la finalidad de adquirir bienes, obras o servicios requeridos para la satisfacción de las necesidades de las Entidades Estatales.</w:t>
      </w:r>
    </w:p>
    <w:p w14:paraId="6DBBA9F3" w14:textId="77777777" w:rsidR="00795229" w:rsidRPr="0001520E" w:rsidRDefault="00795229" w:rsidP="00795229">
      <w:pPr>
        <w:spacing w:after="0" w:line="276" w:lineRule="auto"/>
        <w:ind w:left="360"/>
        <w:jc w:val="both"/>
        <w:rPr>
          <w:rFonts w:ascii="Verdana" w:eastAsia="Calibri" w:hAnsi="Verdana" w:cs="Arial"/>
          <w:lang w:val="es-ES"/>
        </w:rPr>
      </w:pPr>
    </w:p>
    <w:p w14:paraId="5373CD88" w14:textId="77777777" w:rsidR="00795229" w:rsidRPr="0001520E" w:rsidRDefault="00795229" w:rsidP="00795229">
      <w:pPr>
        <w:spacing w:after="0" w:line="276" w:lineRule="auto"/>
        <w:jc w:val="both"/>
        <w:rPr>
          <w:rFonts w:ascii="Verdana" w:eastAsia="Calibri" w:hAnsi="Verdana" w:cs="Arial"/>
          <w:lang w:val="es-ES"/>
        </w:rPr>
      </w:pPr>
      <w:r w:rsidRPr="0001520E">
        <w:rPr>
          <w:rFonts w:ascii="Verdana" w:eastAsia="Calibri" w:hAnsi="Verdana" w:cs="Arial"/>
          <w:bCs/>
        </w:rPr>
        <w:t>En desarrollo de lo anterior, los artículos 345, 346 y 347 de la Constitución Política establece los principios esenciales del presupuesto público, que gobiernan el régimen presupuestal contenido en el Estatuto Orgánico del Presupuesto –EOP–. Sobre el particular, la Corte Constitucional ha explicado que la disponibilidad presupuestal se constituye en un instrumento protector del principio constitucional de la legalidad del gasto público, así: “[e]n relación con la exigencia de disponibilidad presupuestal, ella hace parte del principio de legalidad del gasto público, estableciendo en los artículos 345, 346 y 347 de la Constitución Política, (…) la disponibilidad se concibe como un instrumento mediante el cual se busca prevenir o evitar que el gasto sea realizado por encima del monto máximo autorizado por la correspondiente ley anual del presupuesto durante su ejecución. […]”</w:t>
      </w:r>
      <w:r w:rsidRPr="0001520E">
        <w:rPr>
          <w:rFonts w:ascii="Verdana" w:eastAsia="Calibri" w:hAnsi="Verdana" w:cs="Arial"/>
          <w:bCs/>
          <w:vertAlign w:val="superscript"/>
        </w:rPr>
        <w:footnoteReference w:id="2"/>
      </w:r>
      <w:r w:rsidRPr="0001520E">
        <w:rPr>
          <w:rFonts w:ascii="Verdana" w:eastAsia="Calibri" w:hAnsi="Verdana" w:cs="Arial"/>
          <w:bCs/>
        </w:rPr>
        <w:t>.</w:t>
      </w:r>
    </w:p>
    <w:p w14:paraId="1CA0B6CC" w14:textId="77777777" w:rsidR="00795229" w:rsidRPr="0001520E" w:rsidRDefault="00795229" w:rsidP="00795229">
      <w:pPr>
        <w:spacing w:after="0" w:line="276" w:lineRule="auto"/>
        <w:jc w:val="both"/>
        <w:rPr>
          <w:rFonts w:ascii="Verdana" w:eastAsia="Calibri" w:hAnsi="Verdana" w:cs="Arial"/>
        </w:rPr>
      </w:pPr>
    </w:p>
    <w:p w14:paraId="5C916229" w14:textId="77777777" w:rsidR="00795229" w:rsidRPr="0001520E" w:rsidRDefault="00795229" w:rsidP="00795229">
      <w:pPr>
        <w:spacing w:after="0" w:line="276" w:lineRule="auto"/>
        <w:jc w:val="both"/>
        <w:rPr>
          <w:rFonts w:ascii="Verdana" w:eastAsia="Calibri" w:hAnsi="Verdana" w:cs="Arial"/>
          <w:lang w:val="es-ES_tradnl"/>
        </w:rPr>
      </w:pPr>
      <w:r w:rsidRPr="0001520E">
        <w:rPr>
          <w:rFonts w:ascii="Verdana" w:eastAsia="Calibri" w:hAnsi="Verdana" w:cs="Arial"/>
          <w:bCs/>
        </w:rPr>
        <w:lastRenderedPageBreak/>
        <w:t>De acuerdo con el marco constitucional del presupuesto público colombiano y la interpretación realizada por la jurisprudencia constitucional, el deber de contar con la disponibilidad de recursos para asumir un gasto o una obligación por parte de una entidad del Estado, es una expresión del principio de legalidad del gasto público que se enmarca en el mandato constitucional de la legalidad de las actuaciones públicas y que permea todo el régimen presupuestal regulado por el Estatuto Orgánico del Presupuesto.</w:t>
      </w:r>
    </w:p>
    <w:p w14:paraId="506FA59F" w14:textId="77777777" w:rsidR="00795229" w:rsidRPr="0001520E" w:rsidRDefault="00795229" w:rsidP="00795229">
      <w:pPr>
        <w:spacing w:after="0" w:line="276" w:lineRule="auto"/>
        <w:ind w:left="360"/>
        <w:jc w:val="both"/>
        <w:rPr>
          <w:rFonts w:ascii="Verdana" w:eastAsia="Calibri" w:hAnsi="Verdana" w:cs="Arial"/>
          <w:lang w:val="es-ES_tradnl"/>
        </w:rPr>
      </w:pPr>
    </w:p>
    <w:p w14:paraId="66319FB9" w14:textId="77777777" w:rsidR="00795229" w:rsidRPr="0001520E" w:rsidRDefault="00795229" w:rsidP="00795229">
      <w:pPr>
        <w:spacing w:after="0" w:line="276" w:lineRule="auto"/>
        <w:jc w:val="both"/>
        <w:rPr>
          <w:rFonts w:ascii="Verdana" w:eastAsia="Calibri" w:hAnsi="Verdana" w:cs="Arial"/>
          <w:lang w:val="es-ES_tradnl"/>
        </w:rPr>
      </w:pPr>
      <w:r w:rsidRPr="0001520E">
        <w:rPr>
          <w:rFonts w:ascii="Verdana" w:eastAsia="Calibri" w:hAnsi="Verdana" w:cs="Arial"/>
          <w:lang w:val="es-ES_tradnl"/>
        </w:rPr>
        <w:t>En ese sentido, se tiene que, con fundamento en el marco constitucional del presupuesto público, existe el deber de las Entidades Estatales de contar con un certificado de disponibilidad presupuestal de forma previa a la asunción de obligaciones o compromisos de carácter contractual, como una garantía de la existencia de recursos suficientes para atender los gastos y obligaciones que serán contraídos por el Estado. De ahí que, el numeral 6 del artículo 25 de la Ley 80 de 1993 disponga: “[l]as entidades estatales abrirán licitaciones e iniciarán procesos de suscripción de contratos, cuando existan las respectivas partidas o disponibilidades presupuestales”.</w:t>
      </w:r>
    </w:p>
    <w:p w14:paraId="18C969AE" w14:textId="77777777" w:rsidR="00795229" w:rsidRPr="0001520E" w:rsidRDefault="00795229" w:rsidP="00795229">
      <w:pPr>
        <w:spacing w:after="0"/>
        <w:ind w:left="720"/>
        <w:contextualSpacing/>
        <w:rPr>
          <w:rFonts w:ascii="Verdana" w:eastAsia="Calibri" w:hAnsi="Verdana" w:cs="Arial"/>
          <w:lang w:val="es-ES_tradnl"/>
        </w:rPr>
      </w:pPr>
    </w:p>
    <w:p w14:paraId="01E7FA27" w14:textId="77777777" w:rsidR="00795229" w:rsidRPr="0001520E" w:rsidRDefault="00795229" w:rsidP="00795229">
      <w:pPr>
        <w:spacing w:after="0" w:line="276" w:lineRule="auto"/>
        <w:jc w:val="both"/>
        <w:rPr>
          <w:rFonts w:ascii="Verdana" w:eastAsia="Calibri" w:hAnsi="Verdana" w:cs="Arial"/>
          <w:lang w:val="es-ES"/>
        </w:rPr>
      </w:pPr>
      <w:r w:rsidRPr="373C1AFC">
        <w:rPr>
          <w:rFonts w:ascii="Verdana" w:eastAsia="Calibri" w:hAnsi="Verdana" w:cs="Arial"/>
          <w:lang w:val="es-ES"/>
        </w:rPr>
        <w:t xml:space="preserve">De lo anterior, se precisa que, la referida norma regula de manera concreta el momento en el que debe ser expedido el certificado de disponibilidad presupuestal en materia contractual, esto es, en la etapa previa a la selección del contratista. De esta forma, previo al cumplimento de las obligaciones presupuestales, la Entidad Estatal deberá indicar en el Pliego de Condiciones el presupuesto oficial del proceso, para que los interesados en presentar una oferta no realicen ofrecimientos que superen el valor con el que se cuenta para pagarle al contratista por el respectivo bien, obra o servicio, conforme a ello, el certificado de disponibilidad presupuestal que fue establecido en un contrato que no cumplió los requisitos de ejecución al ser rechazada su firma, puede destinarse a un nuevo contrato que determine la Entidad Estatal. </w:t>
      </w:r>
    </w:p>
    <w:p w14:paraId="3B7457A6" w14:textId="77777777" w:rsidR="00795229" w:rsidRPr="0001520E" w:rsidRDefault="00795229" w:rsidP="00795229">
      <w:pPr>
        <w:spacing w:after="0"/>
        <w:ind w:left="720"/>
        <w:contextualSpacing/>
        <w:rPr>
          <w:rFonts w:ascii="Verdana" w:eastAsia="Calibri" w:hAnsi="Verdana" w:cs="Arial"/>
          <w:lang w:val="es-ES_tradnl"/>
        </w:rPr>
      </w:pPr>
    </w:p>
    <w:p w14:paraId="79535EF5" w14:textId="77777777" w:rsidR="00795229" w:rsidRDefault="00795229" w:rsidP="00795229">
      <w:pPr>
        <w:spacing w:after="0" w:line="276" w:lineRule="auto"/>
        <w:contextualSpacing/>
        <w:jc w:val="both"/>
        <w:rPr>
          <w:rFonts w:ascii="Verdana" w:eastAsia="Calibri" w:hAnsi="Verdana" w:cs="Arial"/>
          <w:lang w:val="es-ES"/>
        </w:rPr>
      </w:pPr>
      <w:r w:rsidRPr="00CB1A40">
        <w:rPr>
          <w:rFonts w:ascii="Verdana" w:eastAsia="Calibri" w:hAnsi="Verdana" w:cs="Arial"/>
        </w:rPr>
        <w:t xml:space="preserve">Por otra parte, es importante aclarar que la posibilidad de crear otro contrato dentro del mismo proceso en la plataforma SECOP II depende de las circunstancias particulares de cada caso, las cuales deben analizarse conforme a la modalidad de selección aplicada. En consecuencia, la Entidad deberá consultar la guía correspondiente expedida por la Agencia Nacional de Contratación Pública – Colombia Compra Eficiente para la modalidad de selección utilizada en su proceso en SECOP II, o, en caso de requerirlo, solicitar apoyo </w:t>
      </w:r>
      <w:r w:rsidRPr="00CB1A40">
        <w:rPr>
          <w:rFonts w:ascii="Verdana" w:eastAsia="Calibri" w:hAnsi="Verdana" w:cs="Arial"/>
        </w:rPr>
        <w:lastRenderedPageBreak/>
        <w:t xml:space="preserve">específico a la Mesa de Servicio de Colombia Compra Eficiente a través del siguiente enlace: </w:t>
      </w:r>
      <w:hyperlink r:id="rId11" w:tgtFrame="_new" w:history="1">
        <w:r w:rsidRPr="00CB1A40">
          <w:rPr>
            <w:rStyle w:val="Hipervnculo"/>
            <w:rFonts w:ascii="Verdana" w:eastAsia="Calibri" w:hAnsi="Verdana" w:cs="Arial"/>
          </w:rPr>
          <w:t>https://www.colombiacompra.gov.co/archivos/boletin/nueva-mesa-de-servicio</w:t>
        </w:r>
      </w:hyperlink>
      <w:r w:rsidRPr="00CB1A40">
        <w:rPr>
          <w:rFonts w:ascii="Verdana" w:eastAsia="Calibri" w:hAnsi="Verdana" w:cs="Arial"/>
        </w:rPr>
        <w:t>.</w:t>
      </w:r>
      <w:r w:rsidRPr="00CB1A40">
        <w:rPr>
          <w:rFonts w:ascii="Verdana" w:eastAsia="Calibri" w:hAnsi="Verdana" w:cs="Arial"/>
          <w:lang w:val="es-ES"/>
        </w:rPr>
        <w:t xml:space="preserve"> </w:t>
      </w:r>
    </w:p>
    <w:p w14:paraId="0E6EE42E" w14:textId="77777777" w:rsidR="00795229" w:rsidRDefault="00795229" w:rsidP="00795229">
      <w:pPr>
        <w:spacing w:after="0" w:line="276" w:lineRule="auto"/>
        <w:contextualSpacing/>
        <w:jc w:val="both"/>
        <w:rPr>
          <w:rFonts w:ascii="Verdana" w:eastAsia="Calibri" w:hAnsi="Verdana" w:cs="Arial"/>
          <w:lang w:val="es-ES"/>
        </w:rPr>
      </w:pPr>
    </w:p>
    <w:p w14:paraId="4F345FE6" w14:textId="77777777" w:rsidR="00795229" w:rsidRPr="0001520E" w:rsidRDefault="00795229" w:rsidP="00795229">
      <w:pPr>
        <w:spacing w:after="0" w:line="276" w:lineRule="auto"/>
        <w:contextualSpacing/>
        <w:jc w:val="both"/>
        <w:rPr>
          <w:rFonts w:ascii="Verdana" w:eastAsia="Calibri" w:hAnsi="Verdana" w:cs="Arial"/>
        </w:rPr>
      </w:pPr>
      <w:r w:rsidRPr="0001520E">
        <w:rPr>
          <w:rFonts w:ascii="Verdana" w:eastAsia="Calibri" w:hAnsi="Verdana" w:cs="Arial"/>
          <w:lang w:val="es-ES"/>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Estatales las facultadas para dilucidar en cada caso particular y concreto, cuándo deberán expedir certificados de disponibilidad presupuestal, así como la forma en la que exigirán la constitución de garantías en materia de contratación estatal.</w:t>
      </w:r>
      <w:r w:rsidRPr="0001520E">
        <w:rPr>
          <w:rFonts w:ascii="Verdana" w:eastAsia="Calibri" w:hAnsi="Verdana" w:cs="Arial"/>
        </w:rPr>
        <w:t> </w:t>
      </w:r>
    </w:p>
    <w:p w14:paraId="274FD452" w14:textId="77777777" w:rsidR="00795229" w:rsidRPr="0001520E" w:rsidRDefault="00795229" w:rsidP="00795229">
      <w:pPr>
        <w:spacing w:after="0" w:line="276" w:lineRule="auto"/>
        <w:ind w:left="720"/>
        <w:contextualSpacing/>
        <w:jc w:val="both"/>
        <w:rPr>
          <w:rFonts w:ascii="Verdana" w:eastAsia="Calibri" w:hAnsi="Verdana" w:cs="Arial"/>
        </w:rPr>
      </w:pPr>
    </w:p>
    <w:p w14:paraId="3C91187E" w14:textId="77777777" w:rsidR="00795229" w:rsidRPr="0001520E" w:rsidRDefault="00795229" w:rsidP="00795229">
      <w:pPr>
        <w:widowControl w:val="0"/>
        <w:autoSpaceDE w:val="0"/>
        <w:autoSpaceDN w:val="0"/>
        <w:spacing w:before="1" w:after="0" w:line="240" w:lineRule="auto"/>
        <w:outlineLvl w:val="0"/>
        <w:rPr>
          <w:rFonts w:ascii="Verdana" w:eastAsia="Arial" w:hAnsi="Verdana" w:cs="Arial"/>
          <w:b/>
          <w:bCs/>
          <w:lang w:val="es-ES"/>
        </w:rPr>
      </w:pPr>
      <w:r w:rsidRPr="0001520E">
        <w:rPr>
          <w:rFonts w:ascii="Verdana" w:eastAsia="Arial" w:hAnsi="Verdana" w:cs="Arial"/>
          <w:b/>
          <w:bCs/>
          <w:lang w:val="es-ES"/>
        </w:rPr>
        <w:t>4.Referencias normativas, jurisprudenciales y otras fuentes:</w:t>
      </w:r>
    </w:p>
    <w:p w14:paraId="25657749" w14:textId="77777777" w:rsidR="00795229" w:rsidRPr="0001520E" w:rsidRDefault="00795229" w:rsidP="00795229">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95229" w:rsidRPr="0001520E" w14:paraId="0B703585" w14:textId="77777777" w:rsidTr="00D65F44">
        <w:trPr>
          <w:trHeight w:val="870"/>
        </w:trPr>
        <w:tc>
          <w:tcPr>
            <w:tcW w:w="8647" w:type="dxa"/>
          </w:tcPr>
          <w:p w14:paraId="409DF95F" w14:textId="77777777" w:rsidR="00795229" w:rsidRPr="0001520E" w:rsidRDefault="00795229" w:rsidP="00795229">
            <w:pPr>
              <w:widowControl w:val="0"/>
              <w:numPr>
                <w:ilvl w:val="0"/>
                <w:numId w:val="17"/>
              </w:numPr>
              <w:autoSpaceDE w:val="0"/>
              <w:autoSpaceDN w:val="0"/>
              <w:spacing w:line="276" w:lineRule="auto"/>
              <w:contextualSpacing/>
              <w:jc w:val="both"/>
              <w:rPr>
                <w:rFonts w:ascii="Verdana" w:eastAsia="Calibri" w:hAnsi="Verdana" w:cs="Arial"/>
                <w:lang w:val="es-ES"/>
              </w:rPr>
            </w:pPr>
            <w:r w:rsidRPr="0001520E">
              <w:rPr>
                <w:rFonts w:ascii="Verdana" w:eastAsia="Calibri" w:hAnsi="Verdana" w:cs="Arial"/>
                <w:lang w:val="es-ES"/>
              </w:rPr>
              <w:t>Constitución Política de Colombia. Artículos 345, 346 y 347</w:t>
            </w:r>
          </w:p>
          <w:p w14:paraId="077480CA" w14:textId="77777777" w:rsidR="00795229" w:rsidRPr="0001520E" w:rsidRDefault="00795229" w:rsidP="00795229">
            <w:pPr>
              <w:widowControl w:val="0"/>
              <w:numPr>
                <w:ilvl w:val="0"/>
                <w:numId w:val="17"/>
              </w:numPr>
              <w:autoSpaceDE w:val="0"/>
              <w:autoSpaceDN w:val="0"/>
              <w:spacing w:line="276" w:lineRule="auto"/>
              <w:contextualSpacing/>
              <w:jc w:val="both"/>
              <w:rPr>
                <w:rFonts w:ascii="Verdana" w:eastAsia="Calibri" w:hAnsi="Verdana" w:cs="Arial"/>
                <w:lang w:val="es-ES"/>
              </w:rPr>
            </w:pPr>
            <w:r w:rsidRPr="0001520E">
              <w:rPr>
                <w:rFonts w:ascii="Verdana" w:eastAsia="Calibri" w:hAnsi="Verdana" w:cs="Arial"/>
                <w:lang w:val="es-ES"/>
              </w:rPr>
              <w:t>Ley 80 de 1993. Artículo 25, numeral 6</w:t>
            </w:r>
          </w:p>
          <w:p w14:paraId="1B7D7F9B" w14:textId="77777777" w:rsidR="00795229" w:rsidRPr="0001520E" w:rsidRDefault="00795229" w:rsidP="00795229">
            <w:pPr>
              <w:widowControl w:val="0"/>
              <w:numPr>
                <w:ilvl w:val="0"/>
                <w:numId w:val="17"/>
              </w:numPr>
              <w:autoSpaceDE w:val="0"/>
              <w:autoSpaceDN w:val="0"/>
              <w:spacing w:line="276" w:lineRule="auto"/>
              <w:contextualSpacing/>
              <w:jc w:val="both"/>
              <w:rPr>
                <w:rFonts w:ascii="Verdana" w:eastAsia="Calibri" w:hAnsi="Verdana" w:cs="Arial"/>
                <w:lang w:val="es-ES"/>
              </w:rPr>
            </w:pPr>
            <w:r w:rsidRPr="0001520E">
              <w:rPr>
                <w:rFonts w:ascii="Verdana" w:eastAsia="Calibri" w:hAnsi="Verdana" w:cs="Arial"/>
                <w:lang w:val="es-ES"/>
              </w:rPr>
              <w:t>Ley 1150 de 2007. Artículo 4</w:t>
            </w:r>
          </w:p>
          <w:p w14:paraId="389515F5" w14:textId="77777777" w:rsidR="00795229" w:rsidRPr="0001520E" w:rsidRDefault="00795229" w:rsidP="00795229">
            <w:pPr>
              <w:widowControl w:val="0"/>
              <w:numPr>
                <w:ilvl w:val="0"/>
                <w:numId w:val="17"/>
              </w:numPr>
              <w:autoSpaceDE w:val="0"/>
              <w:autoSpaceDN w:val="0"/>
              <w:spacing w:line="276" w:lineRule="auto"/>
              <w:contextualSpacing/>
              <w:jc w:val="both"/>
              <w:rPr>
                <w:rFonts w:ascii="Verdana" w:eastAsia="Calibri" w:hAnsi="Verdana" w:cs="Arial"/>
                <w:lang w:val="es-ES"/>
              </w:rPr>
            </w:pPr>
            <w:r w:rsidRPr="0001520E">
              <w:rPr>
                <w:rFonts w:ascii="Verdana" w:eastAsia="Calibri" w:hAnsi="Verdana" w:cs="Arial"/>
                <w:lang w:val="es-ES"/>
              </w:rPr>
              <w:t>Decreto 1082 de 2015. Artículos 2.2.1.1.1.6.3 y 2.2.1.2.3.1.1</w:t>
            </w:r>
          </w:p>
          <w:p w14:paraId="4A7817C4" w14:textId="77777777" w:rsidR="00795229" w:rsidRPr="0001520E" w:rsidRDefault="00795229" w:rsidP="00795229">
            <w:pPr>
              <w:widowControl w:val="0"/>
              <w:numPr>
                <w:ilvl w:val="0"/>
                <w:numId w:val="17"/>
              </w:numPr>
              <w:autoSpaceDE w:val="0"/>
              <w:autoSpaceDN w:val="0"/>
              <w:spacing w:line="276" w:lineRule="auto"/>
              <w:contextualSpacing/>
              <w:jc w:val="both"/>
              <w:rPr>
                <w:rFonts w:ascii="Verdana" w:eastAsia="Calibri" w:hAnsi="Verdana" w:cs="Arial"/>
                <w:lang w:val="es-ES"/>
              </w:rPr>
            </w:pPr>
            <w:r w:rsidRPr="0001520E">
              <w:rPr>
                <w:rFonts w:ascii="Verdana" w:eastAsia="Calibri" w:hAnsi="Verdana" w:cs="Arial"/>
                <w:lang w:val="es-ES"/>
              </w:rPr>
              <w:t xml:space="preserve">Manual para la identificación y cobertura del riesgo en los procesos de contratación. Disponible </w:t>
            </w:r>
            <w:hyperlink r:id="rId12" w:history="1">
              <w:r w:rsidRPr="0001520E">
                <w:rPr>
                  <w:rFonts w:ascii="Verdana" w:eastAsia="Calibri" w:hAnsi="Verdana" w:cs="Arial"/>
                  <w:color w:val="0000FF"/>
                  <w:u w:val="single"/>
                  <w:lang w:val="es-ES"/>
                </w:rPr>
                <w:t>aquí</w:t>
              </w:r>
            </w:hyperlink>
          </w:p>
          <w:p w14:paraId="7C34AA25" w14:textId="77777777" w:rsidR="00795229" w:rsidRPr="0001520E" w:rsidRDefault="00795229" w:rsidP="00795229">
            <w:pPr>
              <w:widowControl w:val="0"/>
              <w:numPr>
                <w:ilvl w:val="0"/>
                <w:numId w:val="17"/>
              </w:numPr>
              <w:autoSpaceDE w:val="0"/>
              <w:autoSpaceDN w:val="0"/>
              <w:spacing w:line="276" w:lineRule="auto"/>
              <w:contextualSpacing/>
              <w:jc w:val="both"/>
              <w:rPr>
                <w:rFonts w:ascii="Verdana" w:eastAsia="Calibri" w:hAnsi="Verdana" w:cs="Arial"/>
                <w:lang w:val="es-ES"/>
              </w:rPr>
            </w:pPr>
            <w:r w:rsidRPr="0001520E">
              <w:rPr>
                <w:rFonts w:ascii="Verdana" w:eastAsia="Calibri" w:hAnsi="Verdana" w:cs="Arial"/>
                <w:lang w:val="es-ES"/>
              </w:rPr>
              <w:t>Corte Constitucional. Sala Plena. Sentencia C-073 de 1993</w:t>
            </w:r>
          </w:p>
        </w:tc>
      </w:tr>
    </w:tbl>
    <w:p w14:paraId="6AC1EE54" w14:textId="77777777" w:rsidR="00795229" w:rsidRPr="0001520E" w:rsidRDefault="00795229" w:rsidP="00795229">
      <w:pPr>
        <w:widowControl w:val="0"/>
        <w:autoSpaceDE w:val="0"/>
        <w:autoSpaceDN w:val="0"/>
        <w:spacing w:after="0" w:line="276" w:lineRule="auto"/>
        <w:jc w:val="both"/>
        <w:rPr>
          <w:rFonts w:ascii="Verdana" w:eastAsia="Aptos" w:hAnsi="Verdana" w:cs="Arial"/>
        </w:rPr>
      </w:pPr>
    </w:p>
    <w:p w14:paraId="2CE10381" w14:textId="77777777" w:rsidR="00795229" w:rsidRPr="0001520E" w:rsidRDefault="00795229" w:rsidP="00795229">
      <w:pPr>
        <w:widowControl w:val="0"/>
        <w:autoSpaceDE w:val="0"/>
        <w:autoSpaceDN w:val="0"/>
        <w:spacing w:before="1" w:after="0" w:line="240" w:lineRule="auto"/>
        <w:outlineLvl w:val="0"/>
        <w:rPr>
          <w:rFonts w:ascii="Verdana" w:eastAsia="Arial" w:hAnsi="Verdana" w:cs="Arial"/>
          <w:b/>
          <w:bCs/>
          <w:lang w:val="es-ES"/>
        </w:rPr>
      </w:pPr>
      <w:r w:rsidRPr="0001520E">
        <w:rPr>
          <w:rFonts w:ascii="Verdana" w:eastAsia="Arial" w:hAnsi="Verdana" w:cs="Arial"/>
          <w:b/>
          <w:bCs/>
          <w:lang w:val="es-ES"/>
        </w:rPr>
        <w:t>5. Doctrina de la Agencia Nacional de Contratación Pública:</w:t>
      </w:r>
    </w:p>
    <w:p w14:paraId="4F50306C" w14:textId="77777777" w:rsidR="00795229" w:rsidRPr="0001520E" w:rsidRDefault="00795229" w:rsidP="00795229">
      <w:pPr>
        <w:widowControl w:val="0"/>
        <w:autoSpaceDE w:val="0"/>
        <w:autoSpaceDN w:val="0"/>
        <w:spacing w:after="0" w:line="276" w:lineRule="auto"/>
        <w:jc w:val="both"/>
        <w:rPr>
          <w:rFonts w:ascii="Verdana" w:eastAsia="Aptos" w:hAnsi="Verdana" w:cs="Arial"/>
        </w:rPr>
      </w:pPr>
    </w:p>
    <w:p w14:paraId="525E80CA" w14:textId="77777777" w:rsidR="00795229" w:rsidRPr="0001520E" w:rsidRDefault="00795229" w:rsidP="00795229">
      <w:pPr>
        <w:widowControl w:val="0"/>
        <w:autoSpaceDE w:val="0"/>
        <w:autoSpaceDN w:val="0"/>
        <w:spacing w:after="0" w:line="276" w:lineRule="auto"/>
        <w:jc w:val="both"/>
        <w:rPr>
          <w:rFonts w:ascii="Verdana" w:eastAsia="Aptos" w:hAnsi="Verdana" w:cs="Arial"/>
          <w:shd w:val="clear" w:color="auto" w:fill="FFFFFF"/>
          <w:lang w:val="es-ES"/>
        </w:rPr>
      </w:pPr>
      <w:r w:rsidRPr="0001520E">
        <w:rPr>
          <w:rFonts w:ascii="Verdana" w:eastAsia="Aptos" w:hAnsi="Verdana" w:cs="Arial"/>
          <w:shd w:val="clear" w:color="auto" w:fill="FFFFFF"/>
          <w:lang w:val="es-ES"/>
        </w:rPr>
        <w:t xml:space="preserve">Sobre el marco normativo de los certificados de disponibilidad presupuestal en la contratación pública, esta Subdirección se ha referido en los conceptos Nos. C-552 del 01 de agosto de 2022, C-252 del 15 de agosto de 2024, C-641 del 11 de octubre de 2024, C-691 del 14 de noviembre de 2024, entre otros. Adicionalmente, respecto de la identificación y cobertura del riesgo en los procesos de contratación, también se ha manifestado entre otros en los conceptos,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C-171 de julio 2024 y C-505 del 01 de </w:t>
      </w:r>
      <w:r w:rsidRPr="0001520E">
        <w:rPr>
          <w:rFonts w:ascii="Verdana" w:eastAsia="Aptos" w:hAnsi="Verdana" w:cs="Arial"/>
          <w:shd w:val="clear" w:color="auto" w:fill="FFFFFF"/>
          <w:lang w:val="es-ES"/>
        </w:rPr>
        <w:lastRenderedPageBreak/>
        <w:t xml:space="preserve">octubre de 2024. C-902 del 26 de diciembre de 2024.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01520E">
          <w:rPr>
            <w:rFonts w:ascii="Verdana" w:eastAsia="Aptos" w:hAnsi="Verdana" w:cs="Arial"/>
            <w:color w:val="467886"/>
            <w:u w:val="single"/>
            <w:shd w:val="clear" w:color="auto" w:fill="FFFFFF"/>
            <w:lang w:val="es-ES"/>
          </w:rPr>
          <w:t>https://relatoria.colombiacompra.gov.co/</w:t>
        </w:r>
      </w:hyperlink>
      <w:r w:rsidRPr="0001520E">
        <w:rPr>
          <w:rFonts w:ascii="Verdana" w:eastAsia="Aptos" w:hAnsi="Verdana" w:cs="Arial"/>
          <w:shd w:val="clear" w:color="auto" w:fill="FFFFFF"/>
          <w:lang w:val="es-ES"/>
        </w:rPr>
        <w:t xml:space="preserve">. </w:t>
      </w:r>
    </w:p>
    <w:p w14:paraId="0E7FB242" w14:textId="77777777" w:rsidR="00795229" w:rsidRPr="00E87EA6" w:rsidRDefault="00795229" w:rsidP="00795229">
      <w:pPr>
        <w:widowControl w:val="0"/>
        <w:autoSpaceDE w:val="0"/>
        <w:autoSpaceDN w:val="0"/>
        <w:spacing w:after="0" w:line="276" w:lineRule="auto"/>
        <w:jc w:val="both"/>
        <w:rPr>
          <w:rStyle w:val="normaltextrun"/>
          <w:rFonts w:ascii="Verdana" w:hAnsi="Verdana" w:cs="Arial"/>
          <w:shd w:val="clear" w:color="auto" w:fill="FFFFFF"/>
          <w:lang w:val="es-ES"/>
        </w:rPr>
      </w:pPr>
    </w:p>
    <w:p w14:paraId="53E63E87" w14:textId="77777777" w:rsidR="00795229" w:rsidRPr="00E87EA6" w:rsidRDefault="00795229" w:rsidP="00795229">
      <w:pPr>
        <w:widowControl w:val="0"/>
        <w:autoSpaceDE w:val="0"/>
        <w:autoSpaceDN w:val="0"/>
        <w:spacing w:after="0" w:line="276" w:lineRule="auto"/>
        <w:jc w:val="both"/>
        <w:rPr>
          <w:rStyle w:val="normaltextrun"/>
          <w:rFonts w:ascii="Verdana" w:hAnsi="Verdana" w:cs="Arial"/>
          <w:shd w:val="clear" w:color="auto" w:fill="FFFFFF"/>
          <w:lang w:val="es-ES"/>
        </w:rPr>
      </w:pPr>
      <w:r w:rsidRPr="00E87EA6">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4" w:history="1">
        <w:r w:rsidRPr="00E87EA6">
          <w:rPr>
            <w:rStyle w:val="Hipervnculo"/>
            <w:rFonts w:ascii="Verdana" w:hAnsi="Verdana" w:cs="Arial"/>
            <w:shd w:val="clear" w:color="auto" w:fill="FFFFFF"/>
            <w:lang w:val="es-ES"/>
          </w:rPr>
          <w:t>https://www.colombiacompra.gov.co/sala-de-prensa/boletin-digital</w:t>
        </w:r>
      </w:hyperlink>
      <w:r w:rsidRPr="00E87EA6">
        <w:rPr>
          <w:rStyle w:val="normaltextrun"/>
          <w:rFonts w:ascii="Verdana" w:hAnsi="Verdana" w:cs="Arial"/>
          <w:shd w:val="clear" w:color="auto" w:fill="FFFFFF"/>
          <w:lang w:val="es-ES"/>
        </w:rPr>
        <w:t xml:space="preserve">      </w:t>
      </w:r>
    </w:p>
    <w:p w14:paraId="42F9B5DB" w14:textId="77777777" w:rsidR="00795229" w:rsidRDefault="00795229" w:rsidP="00795229">
      <w:pPr>
        <w:spacing w:after="0" w:line="240" w:lineRule="auto"/>
        <w:jc w:val="both"/>
        <w:rPr>
          <w:rFonts w:ascii="Verdana" w:hAnsi="Verdana"/>
        </w:rPr>
      </w:pPr>
    </w:p>
    <w:p w14:paraId="00C27338" w14:textId="77777777" w:rsidR="00795229" w:rsidRPr="00E87EA6" w:rsidRDefault="00795229" w:rsidP="00795229">
      <w:pPr>
        <w:spacing w:after="0" w:line="240" w:lineRule="auto"/>
        <w:jc w:val="both"/>
        <w:rPr>
          <w:rFonts w:ascii="Verdana" w:hAnsi="Verdana"/>
        </w:rPr>
      </w:pPr>
      <w:r w:rsidRPr="00E87EA6">
        <w:rPr>
          <w:rFonts w:ascii="Verdana" w:hAnsi="Verdana"/>
        </w:rPr>
        <w:t xml:space="preserve">Por último, lo invitamos a seguirnos en las redes sociales en las cuales se difunde información institucional: </w:t>
      </w:r>
    </w:p>
    <w:p w14:paraId="3ECAEAF5" w14:textId="77777777" w:rsidR="00795229" w:rsidRPr="00E87EA6" w:rsidRDefault="00795229" w:rsidP="00795229">
      <w:pPr>
        <w:spacing w:after="0" w:line="240" w:lineRule="auto"/>
        <w:jc w:val="both"/>
        <w:rPr>
          <w:rFonts w:ascii="Verdana" w:hAnsi="Verdana"/>
        </w:rPr>
      </w:pPr>
    </w:p>
    <w:p w14:paraId="09A49B04" w14:textId="77777777" w:rsidR="00795229" w:rsidRPr="00E87EA6" w:rsidRDefault="00795229" w:rsidP="00795229">
      <w:pPr>
        <w:spacing w:after="0" w:line="240" w:lineRule="auto"/>
        <w:jc w:val="both"/>
        <w:rPr>
          <w:rFonts w:ascii="Verdana" w:hAnsi="Verdana"/>
        </w:rPr>
      </w:pPr>
      <w:r w:rsidRPr="00E87EA6">
        <w:rPr>
          <w:rFonts w:ascii="Verdana" w:hAnsi="Verdana"/>
        </w:rPr>
        <w:t xml:space="preserve">Twitter: </w:t>
      </w:r>
      <w:r w:rsidRPr="00E87EA6">
        <w:rPr>
          <w:rStyle w:val="Hipervnculo"/>
          <w:rFonts w:ascii="Verdana" w:hAnsi="Verdana"/>
        </w:rPr>
        <w:t>@colombiacompra</w:t>
      </w:r>
      <w:r w:rsidRPr="00E87EA6">
        <w:rPr>
          <w:rFonts w:ascii="Verdana" w:hAnsi="Verdana"/>
        </w:rPr>
        <w:t xml:space="preserve"> </w:t>
      </w:r>
    </w:p>
    <w:p w14:paraId="0ADB9783" w14:textId="77777777" w:rsidR="00795229" w:rsidRPr="00E87EA6" w:rsidRDefault="00795229" w:rsidP="00795229">
      <w:pPr>
        <w:spacing w:after="0" w:line="240" w:lineRule="auto"/>
        <w:jc w:val="both"/>
        <w:rPr>
          <w:rFonts w:ascii="Verdana" w:hAnsi="Verdana"/>
        </w:rPr>
      </w:pPr>
      <w:r w:rsidRPr="00E87EA6">
        <w:rPr>
          <w:rFonts w:ascii="Verdana" w:hAnsi="Verdana"/>
        </w:rPr>
        <w:t xml:space="preserve">Facebook: </w:t>
      </w:r>
      <w:proofErr w:type="spellStart"/>
      <w:r w:rsidRPr="00E87EA6">
        <w:rPr>
          <w:rStyle w:val="Hipervnculo"/>
          <w:rFonts w:ascii="Verdana" w:hAnsi="Verdana"/>
        </w:rPr>
        <w:t>ColombiaCompraEficiente</w:t>
      </w:r>
      <w:proofErr w:type="spellEnd"/>
    </w:p>
    <w:p w14:paraId="255032C4" w14:textId="77777777" w:rsidR="00795229" w:rsidRPr="00E87EA6" w:rsidRDefault="00795229" w:rsidP="00795229">
      <w:pPr>
        <w:spacing w:after="0" w:line="240" w:lineRule="auto"/>
        <w:jc w:val="both"/>
        <w:rPr>
          <w:rFonts w:ascii="Verdana" w:hAnsi="Verdana"/>
        </w:rPr>
      </w:pPr>
      <w:r w:rsidRPr="00E87EA6">
        <w:rPr>
          <w:rFonts w:ascii="Verdana" w:hAnsi="Verdana"/>
        </w:rPr>
        <w:t xml:space="preserve">LinkedIn: </w:t>
      </w:r>
      <w:r w:rsidRPr="00E87EA6">
        <w:rPr>
          <w:rStyle w:val="Hipervnculo"/>
          <w:rFonts w:ascii="Verdana" w:hAnsi="Verdana"/>
        </w:rPr>
        <w:t>Agencia Nacional de Contratación Pública - Colombia Compra Eficiente</w:t>
      </w:r>
      <w:r w:rsidRPr="00E87EA6">
        <w:rPr>
          <w:rFonts w:ascii="Verdana" w:hAnsi="Verdana"/>
        </w:rPr>
        <w:t xml:space="preserve"> Instagram: </w:t>
      </w:r>
      <w:r w:rsidRPr="00E87EA6">
        <w:rPr>
          <w:rStyle w:val="Hipervnculo"/>
          <w:rFonts w:ascii="Verdana" w:hAnsi="Verdana"/>
        </w:rPr>
        <w:t>@colombiacompraeficiente_cce</w:t>
      </w:r>
    </w:p>
    <w:p w14:paraId="10B84932" w14:textId="77777777" w:rsidR="00795229" w:rsidRPr="00E87EA6" w:rsidRDefault="00795229" w:rsidP="00795229">
      <w:pPr>
        <w:widowControl w:val="0"/>
        <w:autoSpaceDE w:val="0"/>
        <w:autoSpaceDN w:val="0"/>
        <w:spacing w:after="0" w:line="276" w:lineRule="auto"/>
        <w:jc w:val="both"/>
        <w:rPr>
          <w:rFonts w:ascii="Verdana" w:hAnsi="Verdana" w:cs="Arial"/>
        </w:rPr>
      </w:pPr>
    </w:p>
    <w:p w14:paraId="08DCBB4A" w14:textId="77777777" w:rsidR="00795229" w:rsidRPr="00E87EA6" w:rsidRDefault="00795229" w:rsidP="00795229">
      <w:pPr>
        <w:widowControl w:val="0"/>
        <w:autoSpaceDE w:val="0"/>
        <w:autoSpaceDN w:val="0"/>
        <w:spacing w:after="0" w:line="276" w:lineRule="auto"/>
        <w:jc w:val="both"/>
        <w:rPr>
          <w:rFonts w:ascii="Verdana" w:hAnsi="Verdana" w:cs="Arial"/>
          <w:lang w:val="es-ES_tradnl"/>
        </w:rPr>
      </w:pPr>
      <w:r w:rsidRPr="00E87EA6">
        <w:rPr>
          <w:rFonts w:ascii="Verdana" w:hAnsi="Verdana" w:cs="Arial"/>
        </w:rPr>
        <w:t xml:space="preserve">Este concepto tiene el alcance previsto en el artículo 28 del Código de Procedimiento Administrativo y de lo Contencioso Administrativo </w:t>
      </w:r>
      <w:r w:rsidRPr="00E87EA6">
        <w:rPr>
          <w:rFonts w:ascii="Verdana" w:hAnsi="Verdana" w:cs="Arial"/>
          <w:lang w:val="es-ES_tradnl"/>
        </w:rPr>
        <w:t>y las expresiones aquí utilizadas con mayúscula inicial deben ser entendidas con el significado que les otorga el artículo 2.2.1.1.1.3.1. del Decreto 1082 de 2015.</w:t>
      </w:r>
    </w:p>
    <w:p w14:paraId="1709BB3C" w14:textId="77777777" w:rsidR="00795229" w:rsidRPr="00E87EA6" w:rsidRDefault="00795229" w:rsidP="00795229">
      <w:pPr>
        <w:widowControl w:val="0"/>
        <w:autoSpaceDE w:val="0"/>
        <w:autoSpaceDN w:val="0"/>
        <w:spacing w:after="0" w:line="276" w:lineRule="auto"/>
        <w:jc w:val="both"/>
        <w:rPr>
          <w:rFonts w:ascii="Verdana" w:hAnsi="Verdana" w:cs="Arial"/>
        </w:rPr>
      </w:pPr>
    </w:p>
    <w:p w14:paraId="6B60ACDC" w14:textId="77777777" w:rsidR="00795229" w:rsidRPr="00E87EA6" w:rsidRDefault="00795229" w:rsidP="00795229">
      <w:pPr>
        <w:spacing w:after="0" w:line="240" w:lineRule="auto"/>
        <w:rPr>
          <w:rFonts w:ascii="Verdana" w:hAnsi="Verdana" w:cs="Arial"/>
          <w:lang w:eastAsia="es-CO"/>
        </w:rPr>
      </w:pPr>
      <w:r w:rsidRPr="00E87EA6">
        <w:rPr>
          <w:rFonts w:ascii="Verdana" w:eastAsia="Times New Roman" w:hAnsi="Verdana" w:cs="Arial"/>
          <w:lang w:eastAsia="es-CO"/>
        </w:rPr>
        <w:t>Atentamente,</w:t>
      </w:r>
      <w:r w:rsidRPr="00E87EA6">
        <w:rPr>
          <w:rFonts w:ascii="Verdana" w:hAnsi="Verdana" w:cs="Arial"/>
          <w:lang w:eastAsia="es-CO"/>
        </w:rPr>
        <w:t xml:space="preserve"> </w:t>
      </w:r>
    </w:p>
    <w:p w14:paraId="76D4595F" w14:textId="770F1B05" w:rsidR="00795229" w:rsidRPr="00E87EA6" w:rsidRDefault="00E70ED4" w:rsidP="00AB123F">
      <w:pPr>
        <w:spacing w:line="276" w:lineRule="auto"/>
        <w:jc w:val="center"/>
        <w:rPr>
          <w:rFonts w:ascii="Verdana" w:hAnsi="Verdana" w:cs="Arial"/>
          <w:lang w:val="es-ES_tradnl" w:eastAsia="es-CO"/>
        </w:rPr>
      </w:pPr>
      <w:r>
        <w:rPr>
          <w:noProof/>
        </w:rPr>
        <w:drawing>
          <wp:anchor distT="0" distB="0" distL="114300" distR="114300" simplePos="0" relativeHeight="251659264" behindDoc="0" locked="0" layoutInCell="1" allowOverlap="1" wp14:anchorId="198C74F2" wp14:editId="21E1A304">
            <wp:simplePos x="0" y="0"/>
            <wp:positionH relativeFrom="column">
              <wp:posOffset>923594</wp:posOffset>
            </wp:positionH>
            <wp:positionV relativeFrom="paragraph">
              <wp:posOffset>1795</wp:posOffset>
            </wp:positionV>
            <wp:extent cx="3771429" cy="1400000"/>
            <wp:effectExtent l="0" t="0" r="635" b="0"/>
            <wp:wrapSquare wrapText="bothSides"/>
            <wp:docPr id="114260115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01155" name="Imagen 1" descr="Texto&#10;&#10;El contenido generado por IA puede ser incorrecto."/>
                    <pic:cNvPicPr/>
                  </pic:nvPicPr>
                  <pic:blipFill>
                    <a:blip r:embed="rId15">
                      <a:extLst>
                        <a:ext uri="{28A0092B-C50C-407E-A947-70E740481C1C}">
                          <a14:useLocalDpi xmlns:a14="http://schemas.microsoft.com/office/drawing/2010/main" val="0"/>
                        </a:ext>
                      </a:extLst>
                    </a:blip>
                    <a:stretch>
                      <a:fillRect/>
                    </a:stretch>
                  </pic:blipFill>
                  <pic:spPr>
                    <a:xfrm>
                      <a:off x="0" y="0"/>
                      <a:ext cx="3771429" cy="1400000"/>
                    </a:xfrm>
                    <a:prstGeom prst="rect">
                      <a:avLst/>
                    </a:prstGeom>
                  </pic:spPr>
                </pic:pic>
              </a:graphicData>
            </a:graphic>
          </wp:anchor>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95229" w:rsidRPr="00E87EA6" w14:paraId="6912B089" w14:textId="77777777" w:rsidTr="00D65F44">
        <w:trPr>
          <w:trHeight w:val="315"/>
        </w:trPr>
        <w:tc>
          <w:tcPr>
            <w:tcW w:w="893" w:type="dxa"/>
            <w:vAlign w:val="center"/>
            <w:hideMark/>
          </w:tcPr>
          <w:p w14:paraId="4B758F9E" w14:textId="77777777" w:rsidR="00795229" w:rsidRPr="00E87EA6" w:rsidRDefault="00795229" w:rsidP="00D65F44">
            <w:pPr>
              <w:contextualSpacing/>
              <w:rPr>
                <w:rFonts w:ascii="Verdana" w:hAnsi="Verdana" w:cs="Arial"/>
                <w:sz w:val="16"/>
                <w:szCs w:val="16"/>
                <w:lang w:val="es-ES" w:eastAsia="es-ES"/>
              </w:rPr>
            </w:pPr>
            <w:r w:rsidRPr="00E87EA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8136ED8" w14:textId="77777777" w:rsidR="00795229" w:rsidRPr="00E70ED4" w:rsidRDefault="00795229" w:rsidP="00D65F44">
            <w:pPr>
              <w:contextualSpacing/>
              <w:rPr>
                <w:rFonts w:ascii="Verdana" w:eastAsia="Arial" w:hAnsi="Verdana" w:cs="Arial"/>
                <w:sz w:val="16"/>
                <w:szCs w:val="16"/>
              </w:rPr>
            </w:pPr>
            <w:r w:rsidRPr="00E70ED4">
              <w:rPr>
                <w:rFonts w:ascii="Verdana" w:eastAsia="Arial" w:hAnsi="Verdana" w:cs="Arial"/>
                <w:sz w:val="16"/>
                <w:szCs w:val="16"/>
              </w:rPr>
              <w:t>Gloria Elizabeth Arango Builes</w:t>
            </w:r>
          </w:p>
          <w:p w14:paraId="1C905B7E" w14:textId="77777777" w:rsidR="00795229" w:rsidRPr="00E87EA6" w:rsidRDefault="00795229" w:rsidP="00D65F44">
            <w:pPr>
              <w:contextualSpacing/>
              <w:rPr>
                <w:rFonts w:ascii="Verdana" w:eastAsia="Arial" w:hAnsi="Verdana" w:cs="Arial"/>
                <w:sz w:val="16"/>
                <w:szCs w:val="16"/>
              </w:rPr>
            </w:pPr>
            <w:r w:rsidRPr="00E70ED4">
              <w:rPr>
                <w:rStyle w:val="normaltextrun"/>
                <w:rFonts w:ascii="Verdana" w:eastAsia="Arial" w:hAnsi="Verdana" w:cs="Arial"/>
                <w:sz w:val="16"/>
                <w:szCs w:val="16"/>
              </w:rPr>
              <w:t>Contratista de la Subdirección de Gestión Contractual</w:t>
            </w:r>
          </w:p>
        </w:tc>
      </w:tr>
      <w:tr w:rsidR="00795229" w:rsidRPr="00E87EA6" w14:paraId="4FAC1F76" w14:textId="77777777" w:rsidTr="00D65F44">
        <w:trPr>
          <w:trHeight w:val="330"/>
        </w:trPr>
        <w:tc>
          <w:tcPr>
            <w:tcW w:w="893" w:type="dxa"/>
            <w:vAlign w:val="center"/>
            <w:hideMark/>
          </w:tcPr>
          <w:p w14:paraId="0D0B67B7" w14:textId="77777777" w:rsidR="00795229" w:rsidRPr="00E87EA6" w:rsidRDefault="00795229" w:rsidP="00D65F44">
            <w:pPr>
              <w:contextualSpacing/>
              <w:rPr>
                <w:rFonts w:ascii="Verdana" w:hAnsi="Verdana" w:cs="Arial"/>
                <w:sz w:val="16"/>
                <w:szCs w:val="16"/>
                <w:lang w:val="es-ES" w:eastAsia="es-ES"/>
              </w:rPr>
            </w:pPr>
            <w:r w:rsidRPr="00E87EA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969932" w14:textId="77777777" w:rsidR="00795229" w:rsidRPr="00E87EA6" w:rsidRDefault="00795229" w:rsidP="00D65F44">
            <w:pPr>
              <w:pStyle w:val="paragraph"/>
              <w:spacing w:before="0" w:beforeAutospacing="0" w:after="0" w:afterAutospacing="0"/>
              <w:contextualSpacing/>
              <w:textAlignment w:val="baseline"/>
              <w:rPr>
                <w:rFonts w:ascii="Verdana" w:hAnsi="Verdana" w:cs="Segoe UI"/>
                <w:sz w:val="16"/>
                <w:szCs w:val="16"/>
              </w:rPr>
            </w:pPr>
            <w:r w:rsidRPr="00E87EA6">
              <w:rPr>
                <w:rFonts w:ascii="Verdana" w:hAnsi="Verdana" w:cs="Segoe UI"/>
                <w:sz w:val="16"/>
                <w:szCs w:val="16"/>
              </w:rPr>
              <w:t>Juan Carlos González Vásquez</w:t>
            </w:r>
          </w:p>
          <w:p w14:paraId="717FD21A" w14:textId="77777777" w:rsidR="00795229" w:rsidRPr="00E87EA6" w:rsidRDefault="00795229" w:rsidP="00D65F44">
            <w:pPr>
              <w:pStyle w:val="paragraph"/>
              <w:spacing w:before="0" w:beforeAutospacing="0" w:after="0" w:afterAutospacing="0"/>
              <w:contextualSpacing/>
              <w:textAlignment w:val="baseline"/>
              <w:rPr>
                <w:rFonts w:ascii="Verdana" w:hAnsi="Verdana" w:cs="Segoe UI"/>
                <w:sz w:val="16"/>
                <w:szCs w:val="16"/>
              </w:rPr>
            </w:pPr>
            <w:r w:rsidRPr="00E87EA6">
              <w:rPr>
                <w:rStyle w:val="normaltextrun"/>
                <w:rFonts w:ascii="Verdana" w:hAnsi="Verdana" w:cs="Arial"/>
                <w:sz w:val="16"/>
                <w:szCs w:val="16"/>
                <w:lang w:val="es-ES"/>
              </w:rPr>
              <w:t>Contratista de la Subdirección de Gestión Contractual</w:t>
            </w:r>
            <w:r w:rsidRPr="00E87EA6">
              <w:rPr>
                <w:rStyle w:val="eop"/>
                <w:rFonts w:ascii="Verdana" w:hAnsi="Verdana" w:cs="Arial"/>
                <w:sz w:val="16"/>
                <w:szCs w:val="16"/>
              </w:rPr>
              <w:t> </w:t>
            </w:r>
          </w:p>
        </w:tc>
      </w:tr>
      <w:tr w:rsidR="00795229" w:rsidRPr="00E87EA6" w14:paraId="366997B9" w14:textId="77777777" w:rsidTr="00D65F44">
        <w:trPr>
          <w:trHeight w:val="300"/>
        </w:trPr>
        <w:tc>
          <w:tcPr>
            <w:tcW w:w="893" w:type="dxa"/>
            <w:vAlign w:val="center"/>
          </w:tcPr>
          <w:p w14:paraId="193FE0FD" w14:textId="77777777" w:rsidR="00795229" w:rsidRPr="00E87EA6" w:rsidRDefault="00795229" w:rsidP="00D65F44">
            <w:pPr>
              <w:contextualSpacing/>
              <w:rPr>
                <w:rFonts w:ascii="Verdana" w:hAnsi="Verdana" w:cs="Arial"/>
                <w:sz w:val="16"/>
                <w:szCs w:val="16"/>
                <w:lang w:val="es-ES" w:eastAsia="es-ES"/>
              </w:rPr>
            </w:pPr>
            <w:r w:rsidRPr="00E87EA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2A70BB3" w14:textId="77777777" w:rsidR="00795229" w:rsidRPr="00E87EA6" w:rsidRDefault="00795229" w:rsidP="00D65F44">
            <w:pPr>
              <w:contextualSpacing/>
              <w:rPr>
                <w:rFonts w:ascii="Verdana" w:eastAsia="Calibri" w:hAnsi="Verdana" w:cs="Arial"/>
                <w:sz w:val="16"/>
                <w:szCs w:val="16"/>
                <w:lang w:val="pt-BR" w:eastAsia="es-ES"/>
              </w:rPr>
            </w:pPr>
            <w:r w:rsidRPr="00E87EA6">
              <w:rPr>
                <w:rFonts w:ascii="Verdana" w:eastAsia="Calibri" w:hAnsi="Verdana" w:cs="Arial"/>
                <w:sz w:val="16"/>
                <w:szCs w:val="16"/>
                <w:lang w:val="pt-BR" w:eastAsia="es-ES"/>
              </w:rPr>
              <w:t xml:space="preserve">Carolina Quintero </w:t>
            </w:r>
            <w:proofErr w:type="spellStart"/>
            <w:r w:rsidRPr="00E87EA6">
              <w:rPr>
                <w:rFonts w:ascii="Verdana" w:eastAsia="Calibri" w:hAnsi="Verdana" w:cs="Arial"/>
                <w:sz w:val="16"/>
                <w:szCs w:val="16"/>
                <w:lang w:val="pt-BR" w:eastAsia="es-ES"/>
              </w:rPr>
              <w:t>Gacharná</w:t>
            </w:r>
            <w:proofErr w:type="spellEnd"/>
          </w:p>
          <w:p w14:paraId="1D7897F0" w14:textId="77777777" w:rsidR="00795229" w:rsidRPr="00E87EA6" w:rsidRDefault="00795229" w:rsidP="00D65F44">
            <w:pPr>
              <w:contextualSpacing/>
              <w:rPr>
                <w:rFonts w:ascii="Verdana" w:eastAsia="Calibri" w:hAnsi="Verdana" w:cs="Arial"/>
                <w:sz w:val="16"/>
                <w:szCs w:val="16"/>
                <w:lang w:val="pt-BR" w:eastAsia="es-ES"/>
              </w:rPr>
            </w:pPr>
            <w:r w:rsidRPr="00E87EA6">
              <w:rPr>
                <w:rFonts w:ascii="Verdana" w:eastAsia="Calibri" w:hAnsi="Verdana" w:cs="Arial"/>
                <w:sz w:val="16"/>
                <w:szCs w:val="16"/>
                <w:lang w:eastAsia="es-ES"/>
              </w:rPr>
              <w:t>Subdirectora</w:t>
            </w:r>
            <w:r w:rsidRPr="00E87EA6">
              <w:rPr>
                <w:rFonts w:ascii="Verdana" w:eastAsia="Calibri" w:hAnsi="Verdana" w:cs="Arial"/>
                <w:sz w:val="16"/>
                <w:szCs w:val="16"/>
                <w:lang w:val="pt-BR" w:eastAsia="es-ES"/>
              </w:rPr>
              <w:t xml:space="preserve"> de Gestión </w:t>
            </w:r>
            <w:proofErr w:type="spellStart"/>
            <w:r w:rsidRPr="00E87EA6">
              <w:rPr>
                <w:rFonts w:ascii="Verdana" w:eastAsia="Calibri" w:hAnsi="Verdana" w:cs="Arial"/>
                <w:sz w:val="16"/>
                <w:szCs w:val="16"/>
                <w:lang w:val="pt-BR" w:eastAsia="es-ES"/>
              </w:rPr>
              <w:t>Contractual</w:t>
            </w:r>
            <w:proofErr w:type="spellEnd"/>
            <w:r w:rsidRPr="00E87EA6">
              <w:rPr>
                <w:rFonts w:ascii="Verdana" w:eastAsia="Calibri" w:hAnsi="Verdana" w:cs="Arial"/>
                <w:sz w:val="16"/>
                <w:szCs w:val="16"/>
                <w:lang w:val="pt-BR" w:eastAsia="es-ES"/>
              </w:rPr>
              <w:t xml:space="preserve"> ANCP – CCE</w:t>
            </w:r>
          </w:p>
        </w:tc>
      </w:tr>
    </w:tbl>
    <w:p w14:paraId="0BEE5D44" w14:textId="77777777" w:rsidR="00795229" w:rsidRPr="00E87EA6" w:rsidRDefault="00795229" w:rsidP="00795229">
      <w:pPr>
        <w:spacing w:after="0" w:line="240" w:lineRule="auto"/>
        <w:rPr>
          <w:rFonts w:ascii="Verdana" w:eastAsia="Times New Roman" w:hAnsi="Verdana" w:cs="Arial"/>
          <w:sz w:val="24"/>
          <w:szCs w:val="24"/>
          <w:lang w:eastAsia="es-ES"/>
        </w:rPr>
      </w:pPr>
    </w:p>
    <w:sectPr w:rsidR="00795229" w:rsidRPr="00E87EA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87D99" w14:textId="77777777" w:rsidR="00517521" w:rsidRDefault="00517521" w:rsidP="004A1847">
      <w:pPr>
        <w:spacing w:after="0" w:line="240" w:lineRule="auto"/>
      </w:pPr>
      <w:r>
        <w:separator/>
      </w:r>
    </w:p>
  </w:endnote>
  <w:endnote w:type="continuationSeparator" w:id="0">
    <w:p w14:paraId="3386B052" w14:textId="77777777" w:rsidR="00517521" w:rsidRDefault="00517521" w:rsidP="004A1847">
      <w:pPr>
        <w:spacing w:after="0" w:line="240" w:lineRule="auto"/>
      </w:pPr>
      <w:r>
        <w:continuationSeparator/>
      </w:r>
    </w:p>
  </w:endnote>
  <w:endnote w:type="continuationNotice" w:id="1">
    <w:p w14:paraId="600C9CFB" w14:textId="77777777" w:rsidR="00517521" w:rsidRDefault="005175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9032E" w14:textId="77777777" w:rsidR="00517521" w:rsidRDefault="00517521" w:rsidP="004A1847">
      <w:pPr>
        <w:spacing w:after="0" w:line="240" w:lineRule="auto"/>
      </w:pPr>
      <w:r>
        <w:separator/>
      </w:r>
    </w:p>
  </w:footnote>
  <w:footnote w:type="continuationSeparator" w:id="0">
    <w:p w14:paraId="6D2331C0" w14:textId="77777777" w:rsidR="00517521" w:rsidRDefault="00517521" w:rsidP="004A1847">
      <w:pPr>
        <w:spacing w:after="0" w:line="240" w:lineRule="auto"/>
      </w:pPr>
      <w:r>
        <w:continuationSeparator/>
      </w:r>
    </w:p>
  </w:footnote>
  <w:footnote w:type="continuationNotice" w:id="1">
    <w:p w14:paraId="654844F5" w14:textId="77777777" w:rsidR="00517521" w:rsidRDefault="00517521">
      <w:pPr>
        <w:spacing w:after="0" w:line="240" w:lineRule="auto"/>
      </w:pPr>
    </w:p>
  </w:footnote>
  <w:footnote w:id="2">
    <w:p w14:paraId="00961B13" w14:textId="77777777" w:rsidR="00795229" w:rsidRPr="00FF3721" w:rsidRDefault="00795229" w:rsidP="00795229">
      <w:pPr>
        <w:pStyle w:val="Textonotapie"/>
        <w:ind w:firstLine="708"/>
        <w:rPr>
          <w:rFonts w:ascii="Verdana" w:hAnsi="Verdana"/>
          <w:lang w:val="es-CO"/>
        </w:rPr>
      </w:pPr>
      <w:r>
        <w:rPr>
          <w:rStyle w:val="Refdenotaalpie"/>
        </w:rPr>
        <w:footnoteRef/>
      </w:r>
      <w:r>
        <w:t xml:space="preserve"> </w:t>
      </w:r>
      <w:r w:rsidRPr="00FF3721">
        <w:rPr>
          <w:rFonts w:ascii="Verdana" w:hAnsi="Verdana"/>
          <w:sz w:val="16"/>
          <w:szCs w:val="16"/>
        </w:rPr>
        <w:t>Corte Constitucional. Sala Plena. Sentencia C-073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49821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69979503" o:spid="_x0000_i1025" type="#_x0000_t75" style="width:11.25pt;height:11.25pt;visibility:visible;mso-wrap-style:square">
            <v:imagedata r:id="rId1" o:title=""/>
          </v:shape>
        </w:pict>
      </mc:Choice>
      <mc:Fallback>
        <w:drawing>
          <wp:inline distT="0" distB="0" distL="0" distR="0" wp14:anchorId="524ACF83">
            <wp:extent cx="142875" cy="142875"/>
            <wp:effectExtent l="0" t="0" r="0" b="0"/>
            <wp:docPr id="869979503" name="Imagen 869979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20DF"/>
    <w:rsid w:val="000A683E"/>
    <w:rsid w:val="000B19B9"/>
    <w:rsid w:val="000D0334"/>
    <w:rsid w:val="000F6486"/>
    <w:rsid w:val="00125105"/>
    <w:rsid w:val="00127233"/>
    <w:rsid w:val="001511A0"/>
    <w:rsid w:val="00163DA7"/>
    <w:rsid w:val="001E4177"/>
    <w:rsid w:val="001F7DC6"/>
    <w:rsid w:val="002421BB"/>
    <w:rsid w:val="00245C58"/>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E7565"/>
    <w:rsid w:val="003F3941"/>
    <w:rsid w:val="00406575"/>
    <w:rsid w:val="00414C74"/>
    <w:rsid w:val="0042722E"/>
    <w:rsid w:val="004349FC"/>
    <w:rsid w:val="0044528D"/>
    <w:rsid w:val="00493060"/>
    <w:rsid w:val="004A1847"/>
    <w:rsid w:val="004A305D"/>
    <w:rsid w:val="004E67B4"/>
    <w:rsid w:val="004F21C4"/>
    <w:rsid w:val="004F685F"/>
    <w:rsid w:val="00517521"/>
    <w:rsid w:val="00541D34"/>
    <w:rsid w:val="005566E8"/>
    <w:rsid w:val="00574867"/>
    <w:rsid w:val="00580CF7"/>
    <w:rsid w:val="00591460"/>
    <w:rsid w:val="005B3816"/>
    <w:rsid w:val="005C3777"/>
    <w:rsid w:val="005C5CDC"/>
    <w:rsid w:val="005D476C"/>
    <w:rsid w:val="00605128"/>
    <w:rsid w:val="006219F8"/>
    <w:rsid w:val="00665D70"/>
    <w:rsid w:val="006900D9"/>
    <w:rsid w:val="00694893"/>
    <w:rsid w:val="006A468E"/>
    <w:rsid w:val="00706C16"/>
    <w:rsid w:val="00741CDC"/>
    <w:rsid w:val="00756841"/>
    <w:rsid w:val="007649AB"/>
    <w:rsid w:val="00771D0C"/>
    <w:rsid w:val="007833AC"/>
    <w:rsid w:val="00795229"/>
    <w:rsid w:val="007B268C"/>
    <w:rsid w:val="007B7171"/>
    <w:rsid w:val="007C0C0F"/>
    <w:rsid w:val="007C3DC2"/>
    <w:rsid w:val="007E5497"/>
    <w:rsid w:val="00806F5F"/>
    <w:rsid w:val="00820278"/>
    <w:rsid w:val="00867F95"/>
    <w:rsid w:val="00871515"/>
    <w:rsid w:val="008843B6"/>
    <w:rsid w:val="00891928"/>
    <w:rsid w:val="008A446D"/>
    <w:rsid w:val="008B5C71"/>
    <w:rsid w:val="008D180B"/>
    <w:rsid w:val="008F0EA7"/>
    <w:rsid w:val="0091431B"/>
    <w:rsid w:val="00923EEF"/>
    <w:rsid w:val="009419F9"/>
    <w:rsid w:val="00946C13"/>
    <w:rsid w:val="0095685E"/>
    <w:rsid w:val="00961B09"/>
    <w:rsid w:val="00965334"/>
    <w:rsid w:val="0097093E"/>
    <w:rsid w:val="00986AC5"/>
    <w:rsid w:val="009A0DFA"/>
    <w:rsid w:val="009B126F"/>
    <w:rsid w:val="009B2D26"/>
    <w:rsid w:val="009C71FA"/>
    <w:rsid w:val="009C72E7"/>
    <w:rsid w:val="009D3058"/>
    <w:rsid w:val="009F3A13"/>
    <w:rsid w:val="00A122D3"/>
    <w:rsid w:val="00A16C9D"/>
    <w:rsid w:val="00A17F13"/>
    <w:rsid w:val="00A20739"/>
    <w:rsid w:val="00A33C78"/>
    <w:rsid w:val="00A809A5"/>
    <w:rsid w:val="00A82336"/>
    <w:rsid w:val="00AB0ADB"/>
    <w:rsid w:val="00AB123F"/>
    <w:rsid w:val="00AE79F7"/>
    <w:rsid w:val="00B01B1A"/>
    <w:rsid w:val="00B57178"/>
    <w:rsid w:val="00B66319"/>
    <w:rsid w:val="00B72CD3"/>
    <w:rsid w:val="00B72FFF"/>
    <w:rsid w:val="00B74E4F"/>
    <w:rsid w:val="00BC3D36"/>
    <w:rsid w:val="00BD7F72"/>
    <w:rsid w:val="00C04FB3"/>
    <w:rsid w:val="00C20714"/>
    <w:rsid w:val="00C330EB"/>
    <w:rsid w:val="00C41061"/>
    <w:rsid w:val="00C754BE"/>
    <w:rsid w:val="00C76B1C"/>
    <w:rsid w:val="00C86038"/>
    <w:rsid w:val="00CB6357"/>
    <w:rsid w:val="00CC1B26"/>
    <w:rsid w:val="00CE4706"/>
    <w:rsid w:val="00CF6AA1"/>
    <w:rsid w:val="00D423A2"/>
    <w:rsid w:val="00D520D8"/>
    <w:rsid w:val="00D63AC2"/>
    <w:rsid w:val="00D7383B"/>
    <w:rsid w:val="00DA231B"/>
    <w:rsid w:val="00DC39FC"/>
    <w:rsid w:val="00DF5254"/>
    <w:rsid w:val="00E100BB"/>
    <w:rsid w:val="00E16408"/>
    <w:rsid w:val="00E20894"/>
    <w:rsid w:val="00E245AB"/>
    <w:rsid w:val="00E2764C"/>
    <w:rsid w:val="00E27F2E"/>
    <w:rsid w:val="00E3271D"/>
    <w:rsid w:val="00E50AFE"/>
    <w:rsid w:val="00E70ED4"/>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D5D9A"/>
    <w:rsid w:val="00FF1449"/>
    <w:rsid w:val="04F4B75A"/>
    <w:rsid w:val="05EAE0AE"/>
    <w:rsid w:val="05F4A39E"/>
    <w:rsid w:val="0C4853EC"/>
    <w:rsid w:val="0FA57107"/>
    <w:rsid w:val="0FE11F8F"/>
    <w:rsid w:val="177F3C08"/>
    <w:rsid w:val="17EF2D82"/>
    <w:rsid w:val="1F7D06B3"/>
    <w:rsid w:val="2075F670"/>
    <w:rsid w:val="23B3AB5F"/>
    <w:rsid w:val="240344EF"/>
    <w:rsid w:val="25292072"/>
    <w:rsid w:val="2899A0D9"/>
    <w:rsid w:val="28B7ECC2"/>
    <w:rsid w:val="28B8F517"/>
    <w:rsid w:val="2C3CD963"/>
    <w:rsid w:val="2F168CFF"/>
    <w:rsid w:val="373C1AFC"/>
    <w:rsid w:val="3747974C"/>
    <w:rsid w:val="37AA42B9"/>
    <w:rsid w:val="3BB15309"/>
    <w:rsid w:val="3F6BCAFF"/>
    <w:rsid w:val="40C95932"/>
    <w:rsid w:val="44C2FC6F"/>
    <w:rsid w:val="45DA104B"/>
    <w:rsid w:val="4752B215"/>
    <w:rsid w:val="4B1BEE9D"/>
    <w:rsid w:val="4E58749B"/>
    <w:rsid w:val="525CD92B"/>
    <w:rsid w:val="529F1D87"/>
    <w:rsid w:val="53D33677"/>
    <w:rsid w:val="63BDC3EB"/>
    <w:rsid w:val="649474EB"/>
    <w:rsid w:val="64FB0D8B"/>
    <w:rsid w:val="6518E04E"/>
    <w:rsid w:val="66CBC856"/>
    <w:rsid w:val="698EB0C5"/>
    <w:rsid w:val="6AB23E63"/>
    <w:rsid w:val="6B329598"/>
    <w:rsid w:val="6BA4AAC8"/>
    <w:rsid w:val="6E6FB0F1"/>
    <w:rsid w:val="6E71483B"/>
    <w:rsid w:val="7158DF93"/>
    <w:rsid w:val="79C3360F"/>
    <w:rsid w:val="7B3F564E"/>
    <w:rsid w:val="7EC0D47A"/>
    <w:rsid w:val="7F9F1F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9522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5229"/>
    <w:rPr>
      <w:rFonts w:ascii="Geomanist Light" w:hAnsi="Geomanist Light"/>
      <w:lang w:val="es-ES"/>
    </w:rPr>
  </w:style>
  <w:style w:type="paragraph" w:styleId="Textocomentario">
    <w:name w:val="annotation text"/>
    <w:basedOn w:val="Normal"/>
    <w:link w:val="TextocomentarioCar"/>
    <w:uiPriority w:val="99"/>
    <w:semiHidden/>
    <w:unhideWhenUsed/>
    <w:rsid w:val="00163DA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63DA7"/>
    <w:rPr>
      <w:sz w:val="20"/>
      <w:szCs w:val="20"/>
    </w:rPr>
  </w:style>
  <w:style w:type="character" w:styleId="Refdecomentario">
    <w:name w:val="annotation reference"/>
    <w:basedOn w:val="Fuentedeprrafopredeter"/>
    <w:uiPriority w:val="99"/>
    <w:semiHidden/>
    <w:unhideWhenUsed/>
    <w:rsid w:val="00163DA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manual_cobertura_riesg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boletin/nueva-mesa-de-servicio"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05E57B8-B8F9-4D8F-B865-3225379D8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9d85dbaf-23eb-4e57-a637-93dcacc8b1a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2247</Words>
  <Characters>12362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2025-04-29T22:09:00Z</dcterms:created>
  <dcterms:modified xsi:type="dcterms:W3CDTF">2025-04-29T22:09:00Z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