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12861" w14:textId="77777777" w:rsidR="001008E8" w:rsidRPr="001008E8" w:rsidRDefault="001008E8" w:rsidP="001008E8">
      <w:pPr>
        <w:pStyle w:val="Textoindependiente"/>
        <w:spacing w:after="0"/>
        <w:ind w:right="102"/>
        <w:jc w:val="both"/>
        <w:rPr>
          <w:rFonts w:ascii="Arial" w:hAnsi="Arial" w:cs="Arial"/>
          <w:b/>
          <w:color w:val="000000" w:themeColor="text1"/>
          <w:sz w:val="20"/>
          <w:szCs w:val="20"/>
          <w:lang w:val="es-ES_tradnl"/>
        </w:rPr>
      </w:pPr>
      <w:bookmarkStart w:id="0" w:name="_Hlk94281581"/>
      <w:bookmarkStart w:id="1" w:name="_Hlk102489058"/>
      <w:bookmarkStart w:id="2" w:name="_Hlk34951122"/>
    </w:p>
    <w:p w14:paraId="725F76C4" w14:textId="26A94CB9" w:rsidR="001008E8" w:rsidRPr="005D69AF" w:rsidRDefault="001008E8" w:rsidP="001008E8">
      <w:pPr>
        <w:pStyle w:val="Textoindependiente"/>
        <w:spacing w:after="0"/>
        <w:ind w:right="102"/>
        <w:jc w:val="both"/>
        <w:rPr>
          <w:rFonts w:ascii="Arial" w:hAnsi="Arial" w:cs="Arial"/>
          <w:b/>
          <w:color w:val="000000" w:themeColor="text1"/>
          <w:lang w:val="es-ES_tradnl"/>
        </w:rPr>
      </w:pPr>
      <w:r w:rsidRPr="005D69AF">
        <w:rPr>
          <w:rFonts w:ascii="Arial" w:hAnsi="Arial" w:cs="Arial"/>
          <w:b/>
          <w:color w:val="000000" w:themeColor="text1"/>
          <w:lang w:val="es-ES_tradnl"/>
        </w:rPr>
        <w:t xml:space="preserve">DECRETO 092 DE 2017 – Finalidad – Clases de contratos </w:t>
      </w:r>
    </w:p>
    <w:p w14:paraId="535C3084" w14:textId="77777777" w:rsidR="001008E8" w:rsidRPr="005D69AF" w:rsidRDefault="001008E8" w:rsidP="001008E8">
      <w:pPr>
        <w:pStyle w:val="Textoindependiente"/>
        <w:spacing w:after="0"/>
        <w:ind w:right="102"/>
        <w:jc w:val="both"/>
        <w:rPr>
          <w:rFonts w:ascii="Arial" w:hAnsi="Arial" w:cs="Arial"/>
          <w:color w:val="000000" w:themeColor="text1"/>
          <w:sz w:val="20"/>
          <w:szCs w:val="20"/>
          <w:lang w:val="es-ES_tradnl"/>
        </w:rPr>
      </w:pPr>
    </w:p>
    <w:p w14:paraId="12BE26C6" w14:textId="77777777" w:rsidR="001008E8" w:rsidRPr="005D69AF" w:rsidRDefault="001008E8" w:rsidP="001008E8">
      <w:pPr>
        <w:spacing w:after="0"/>
        <w:jc w:val="both"/>
        <w:rPr>
          <w:rFonts w:ascii="Arial" w:eastAsia="Arial" w:hAnsi="Arial" w:cs="Arial"/>
          <w:color w:val="000000" w:themeColor="text1"/>
          <w:sz w:val="20"/>
          <w:szCs w:val="20"/>
          <w:lang w:val="es-ES_tradnl"/>
        </w:rPr>
      </w:pPr>
      <w:r w:rsidRPr="005D69AF">
        <w:rPr>
          <w:rFonts w:ascii="Arial" w:eastAsia="Arial" w:hAnsi="Arial" w:cs="Arial"/>
          <w:color w:val="000000" w:themeColor="text1"/>
          <w:sz w:val="20"/>
          <w:szCs w:val="20"/>
          <w:lang w:val="es-ES_tradnl"/>
        </w:rPr>
        <w:t>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w:t>
      </w:r>
    </w:p>
    <w:p w14:paraId="23E24635" w14:textId="77777777" w:rsidR="001008E8" w:rsidRPr="005D69AF" w:rsidRDefault="001008E8" w:rsidP="001008E8">
      <w:pPr>
        <w:spacing w:after="0"/>
        <w:jc w:val="both"/>
        <w:rPr>
          <w:rFonts w:ascii="Arial" w:eastAsia="Calibri" w:hAnsi="Arial" w:cs="Arial"/>
          <w:b/>
          <w:color w:val="000000" w:themeColor="text1"/>
          <w:lang w:val="es-ES_tradnl"/>
        </w:rPr>
      </w:pPr>
    </w:p>
    <w:p w14:paraId="3AAC35A6" w14:textId="77777777" w:rsidR="001008E8" w:rsidRPr="005D69AF" w:rsidRDefault="001008E8" w:rsidP="001008E8">
      <w:pPr>
        <w:spacing w:after="0"/>
        <w:jc w:val="both"/>
        <w:rPr>
          <w:rFonts w:ascii="Arial" w:eastAsia="Calibri" w:hAnsi="Arial" w:cs="Arial"/>
          <w:b/>
          <w:color w:val="000000" w:themeColor="text1"/>
          <w:lang w:val="es-ES_tradnl"/>
        </w:rPr>
      </w:pPr>
      <w:r w:rsidRPr="005D69AF">
        <w:rPr>
          <w:rFonts w:ascii="Arial" w:eastAsia="Calibri" w:hAnsi="Arial" w:cs="Arial"/>
          <w:b/>
          <w:color w:val="000000" w:themeColor="text1"/>
          <w:lang w:val="es-ES_tradnl"/>
        </w:rPr>
        <w:t xml:space="preserve">CONTRATACIÓN CON ESAL – Contrato de colaboración – Objeto – Alcance </w:t>
      </w:r>
    </w:p>
    <w:p w14:paraId="7B92E556" w14:textId="77777777" w:rsidR="001008E8" w:rsidRPr="005D69AF" w:rsidRDefault="001008E8" w:rsidP="001008E8">
      <w:pPr>
        <w:spacing w:after="0"/>
        <w:jc w:val="both"/>
        <w:rPr>
          <w:rFonts w:ascii="Arial" w:eastAsia="Calibri" w:hAnsi="Arial" w:cs="Arial"/>
          <w:bCs/>
          <w:color w:val="000000" w:themeColor="text1"/>
          <w:sz w:val="20"/>
          <w:szCs w:val="20"/>
          <w:lang w:val="es-ES_tradnl"/>
        </w:rPr>
      </w:pPr>
    </w:p>
    <w:p w14:paraId="4D7511BF" w14:textId="77777777" w:rsidR="001008E8" w:rsidRPr="005D69AF" w:rsidRDefault="001008E8" w:rsidP="001008E8">
      <w:pPr>
        <w:spacing w:after="0"/>
        <w:jc w:val="both"/>
        <w:rPr>
          <w:rFonts w:ascii="Arial" w:hAnsi="Arial" w:cs="Arial"/>
          <w:color w:val="000000" w:themeColor="text1"/>
          <w:sz w:val="20"/>
          <w:szCs w:val="20"/>
          <w:lang w:val="es-ES_tradnl"/>
        </w:rPr>
      </w:pPr>
      <w:r w:rsidRPr="005D69AF">
        <w:rPr>
          <w:rFonts w:ascii="Arial" w:hAnsi="Arial"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1F36AFD2" w14:textId="77777777" w:rsidR="001008E8" w:rsidRPr="005D69AF" w:rsidRDefault="001008E8" w:rsidP="001008E8">
      <w:pPr>
        <w:spacing w:after="0"/>
        <w:jc w:val="both"/>
        <w:rPr>
          <w:rFonts w:ascii="Arial" w:hAnsi="Arial" w:cs="Arial"/>
          <w:color w:val="000000" w:themeColor="text1"/>
          <w:sz w:val="21"/>
          <w:szCs w:val="21"/>
          <w:lang w:val="es-ES_tradnl"/>
        </w:rPr>
      </w:pPr>
    </w:p>
    <w:p w14:paraId="1003C031" w14:textId="77777777" w:rsidR="001008E8" w:rsidRPr="005D69AF" w:rsidRDefault="001008E8" w:rsidP="001008E8">
      <w:pPr>
        <w:spacing w:after="0"/>
        <w:jc w:val="both"/>
        <w:rPr>
          <w:rFonts w:ascii="Arial" w:eastAsia="Calibri" w:hAnsi="Arial" w:cs="Arial"/>
          <w:b/>
          <w:color w:val="000000" w:themeColor="text1"/>
          <w:lang w:val="es-ES_tradnl"/>
        </w:rPr>
      </w:pPr>
      <w:bookmarkStart w:id="3" w:name="_Hlk109118876"/>
      <w:r w:rsidRPr="005D69AF">
        <w:rPr>
          <w:rFonts w:ascii="Arial" w:eastAsia="Calibri" w:hAnsi="Arial" w:cs="Arial"/>
          <w:b/>
          <w:color w:val="000000" w:themeColor="text1"/>
          <w:lang w:val="es-ES_tradnl"/>
        </w:rPr>
        <w:t>CONTRATACIÓN CON ESAL –</w:t>
      </w:r>
      <w:bookmarkEnd w:id="3"/>
      <w:r w:rsidRPr="005D69AF">
        <w:rPr>
          <w:rFonts w:ascii="Arial" w:eastAsia="Calibri" w:hAnsi="Arial" w:cs="Arial"/>
          <w:b/>
          <w:color w:val="000000" w:themeColor="text1"/>
          <w:lang w:val="es-ES_tradnl"/>
        </w:rPr>
        <w:t xml:space="preserve"> Contrato de asociación – Objeto – Alcance </w:t>
      </w:r>
    </w:p>
    <w:p w14:paraId="7AF0D46A" w14:textId="77777777" w:rsidR="001008E8" w:rsidRPr="005D69AF" w:rsidRDefault="001008E8" w:rsidP="001008E8">
      <w:pPr>
        <w:spacing w:after="0"/>
        <w:jc w:val="both"/>
        <w:rPr>
          <w:rFonts w:ascii="Arial" w:eastAsia="Calibri" w:hAnsi="Arial" w:cs="Arial"/>
          <w:b/>
          <w:color w:val="000000" w:themeColor="text1"/>
          <w:lang w:val="es-ES_tradnl"/>
        </w:rPr>
      </w:pPr>
    </w:p>
    <w:p w14:paraId="0411E4B1" w14:textId="77777777" w:rsidR="001008E8" w:rsidRPr="005D69AF" w:rsidRDefault="001008E8" w:rsidP="001008E8">
      <w:pPr>
        <w:spacing w:after="0"/>
        <w:jc w:val="both"/>
        <w:rPr>
          <w:rFonts w:ascii="Arial" w:hAnsi="Arial" w:cs="Arial"/>
          <w:color w:val="000000" w:themeColor="text1"/>
          <w:sz w:val="20"/>
          <w:szCs w:val="20"/>
          <w:lang w:val="es-ES_tradnl"/>
        </w:rPr>
      </w:pPr>
      <w:r w:rsidRPr="005D69AF">
        <w:rPr>
          <w:rFonts w:ascii="Arial" w:hAnsi="Arial" w:cs="Arial"/>
          <w:color w:val="000000" w:themeColor="text1"/>
          <w:sz w:val="20"/>
          <w:szCs w:val="20"/>
          <w:lang w:val="es-ES_tradnl"/>
        </w:rPr>
        <w:t>De otro lado, los convenios de asociación «[t]</w:t>
      </w:r>
      <w:proofErr w:type="spellStart"/>
      <w:r w:rsidRPr="005D69AF">
        <w:rPr>
          <w:rFonts w:ascii="Arial" w:hAnsi="Arial" w:cs="Arial"/>
          <w:color w:val="000000" w:themeColor="text1"/>
          <w:sz w:val="20"/>
          <w:szCs w:val="20"/>
          <w:lang w:val="es-ES_tradnl"/>
        </w:rPr>
        <w:t>ienen</w:t>
      </w:r>
      <w:proofErr w:type="spellEnd"/>
      <w:r w:rsidRPr="005D69AF">
        <w:rPr>
          <w:rFonts w:ascii="Arial" w:hAnsi="Arial" w:cs="Arial"/>
          <w:color w:val="000000" w:themeColor="text1"/>
          <w:sz w:val="20"/>
          <w:szCs w:val="20"/>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3D7F0948" w14:textId="77777777" w:rsidR="001008E8" w:rsidRPr="005D69AF" w:rsidRDefault="001008E8" w:rsidP="001008E8">
      <w:pPr>
        <w:spacing w:after="0"/>
        <w:jc w:val="both"/>
        <w:rPr>
          <w:rFonts w:ascii="Arial" w:hAnsi="Arial" w:cs="Arial"/>
          <w:color w:val="000000" w:themeColor="text1"/>
          <w:sz w:val="20"/>
          <w:szCs w:val="20"/>
          <w:lang w:val="es-ES_tradnl"/>
        </w:rPr>
      </w:pPr>
    </w:p>
    <w:p w14:paraId="4D93E4B9" w14:textId="77777777" w:rsidR="001008E8" w:rsidRPr="005D69AF" w:rsidRDefault="001008E8" w:rsidP="001008E8">
      <w:pPr>
        <w:spacing w:after="0"/>
        <w:jc w:val="both"/>
        <w:rPr>
          <w:rFonts w:ascii="Arial" w:eastAsia="Calibri" w:hAnsi="Arial" w:cs="Arial"/>
          <w:b/>
          <w:color w:val="000000" w:themeColor="text1"/>
          <w:lang w:val="es-ES_tradnl"/>
        </w:rPr>
      </w:pPr>
      <w:r w:rsidRPr="005D69AF">
        <w:rPr>
          <w:rFonts w:ascii="Arial" w:eastAsia="Calibri" w:hAnsi="Arial" w:cs="Arial"/>
          <w:b/>
          <w:color w:val="000000" w:themeColor="text1"/>
          <w:lang w:val="es-ES_tradnl"/>
        </w:rPr>
        <w:t>CONVENIOS DE ASOCIACIÓN – Multiplicidad de sujetos – Límites legales</w:t>
      </w:r>
    </w:p>
    <w:p w14:paraId="3DBA77AE" w14:textId="77777777" w:rsidR="001008E8" w:rsidRPr="005D69AF" w:rsidRDefault="001008E8" w:rsidP="001008E8">
      <w:pPr>
        <w:spacing w:after="0"/>
        <w:jc w:val="both"/>
        <w:rPr>
          <w:rFonts w:ascii="Arial" w:hAnsi="Arial" w:cs="Arial"/>
          <w:color w:val="000000" w:themeColor="text1"/>
          <w:sz w:val="20"/>
          <w:szCs w:val="20"/>
          <w:lang w:val="es-ES_tradnl"/>
        </w:rPr>
      </w:pPr>
    </w:p>
    <w:p w14:paraId="358E2C52" w14:textId="77777777" w:rsidR="001008E8" w:rsidRPr="005D69AF" w:rsidRDefault="001008E8" w:rsidP="001008E8">
      <w:pPr>
        <w:pStyle w:val="Sinespaciado"/>
        <w:jc w:val="both"/>
        <w:rPr>
          <w:rFonts w:ascii="Arial" w:hAnsi="Arial" w:cs="Arial"/>
          <w:color w:val="000000" w:themeColor="text1"/>
          <w:sz w:val="20"/>
          <w:szCs w:val="20"/>
          <w:lang w:val="es-ES_tradnl"/>
        </w:rPr>
      </w:pPr>
      <w:r w:rsidRPr="005D69AF">
        <w:rPr>
          <w:rFonts w:ascii="Arial" w:hAnsi="Arial" w:cs="Arial"/>
          <w:color w:val="000000" w:themeColor="text1"/>
          <w:sz w:val="20"/>
          <w:szCs w:val="20"/>
          <w:lang w:val="es-ES_tradnl"/>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w:t>
      </w:r>
      <w:r w:rsidRPr="005D69AF">
        <w:rPr>
          <w:rFonts w:ascii="Arial" w:hAnsi="Arial" w:cs="Arial"/>
          <w:color w:val="000000" w:themeColor="text1"/>
          <w:sz w:val="20"/>
          <w:szCs w:val="20"/>
          <w:lang w:val="es-ES_tradnl"/>
        </w:rPr>
        <w:lastRenderedPageBreak/>
        <w:t>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2A472506" w14:textId="77777777" w:rsidR="001008E8" w:rsidRPr="005D69AF" w:rsidRDefault="001008E8" w:rsidP="001008E8">
      <w:pPr>
        <w:pStyle w:val="Sinespaciado"/>
        <w:jc w:val="both"/>
        <w:rPr>
          <w:rFonts w:ascii="Arial" w:hAnsi="Arial" w:cs="Arial"/>
          <w:color w:val="000000" w:themeColor="text1"/>
          <w:sz w:val="20"/>
          <w:szCs w:val="20"/>
          <w:lang w:val="es-ES_tradnl"/>
        </w:rPr>
      </w:pPr>
    </w:p>
    <w:p w14:paraId="06642BDA" w14:textId="77777777" w:rsidR="001008E8" w:rsidRPr="005D69AF" w:rsidRDefault="001008E8" w:rsidP="001008E8">
      <w:pPr>
        <w:spacing w:after="0"/>
        <w:jc w:val="both"/>
        <w:rPr>
          <w:rFonts w:ascii="Arial" w:eastAsia="Calibri" w:hAnsi="Arial" w:cs="Arial"/>
          <w:b/>
          <w:color w:val="000000" w:themeColor="text1"/>
          <w:lang w:val="es-ES_tradnl"/>
        </w:rPr>
      </w:pPr>
      <w:r w:rsidRPr="005D69AF">
        <w:rPr>
          <w:rFonts w:ascii="Arial" w:eastAsia="Calibri" w:hAnsi="Arial" w:cs="Arial"/>
          <w:b/>
          <w:color w:val="000000" w:themeColor="text1"/>
          <w:lang w:val="es-ES_tradnl"/>
        </w:rPr>
        <w:t xml:space="preserve">DECRETO 092 DE 2017 – Criterios – Aplicación </w:t>
      </w:r>
    </w:p>
    <w:p w14:paraId="4BF30769" w14:textId="77777777" w:rsidR="001008E8" w:rsidRPr="005D69AF" w:rsidRDefault="001008E8" w:rsidP="001008E8">
      <w:pPr>
        <w:spacing w:after="0"/>
        <w:jc w:val="both"/>
        <w:rPr>
          <w:rFonts w:ascii="Arial" w:hAnsi="Arial" w:cs="Arial"/>
          <w:color w:val="000000" w:themeColor="text1"/>
          <w:sz w:val="21"/>
          <w:szCs w:val="21"/>
          <w:lang w:val="es-ES_tradnl"/>
        </w:rPr>
      </w:pPr>
    </w:p>
    <w:p w14:paraId="45703058" w14:textId="77777777" w:rsidR="001008E8" w:rsidRPr="005D69AF" w:rsidRDefault="001008E8" w:rsidP="001008E8">
      <w:pPr>
        <w:spacing w:after="0"/>
        <w:jc w:val="both"/>
        <w:rPr>
          <w:rFonts w:ascii="Arial" w:hAnsi="Arial" w:cs="Arial"/>
          <w:color w:val="000000" w:themeColor="text1"/>
          <w:sz w:val="20"/>
          <w:szCs w:val="20"/>
          <w:lang w:val="es-ES_tradnl"/>
        </w:rPr>
      </w:pPr>
      <w:r w:rsidRPr="005D69AF">
        <w:rPr>
          <w:rFonts w:ascii="Arial" w:hAnsi="Arial" w:cs="Arial"/>
          <w:color w:val="000000" w:themeColor="text1"/>
          <w:sz w:val="20"/>
          <w:szCs w:val="20"/>
          <w:lang w:val="es-ES_tradnl"/>
        </w:rPr>
        <w:t>[…]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7BFB7AB4" w14:textId="77777777" w:rsidR="001008E8" w:rsidRPr="005D69AF" w:rsidRDefault="001008E8" w:rsidP="001008E8">
      <w:pPr>
        <w:pStyle w:val="Sinespaciado"/>
        <w:jc w:val="both"/>
        <w:rPr>
          <w:rFonts w:ascii="Arial" w:hAnsi="Arial" w:cs="Arial"/>
          <w:color w:val="000000" w:themeColor="text1"/>
          <w:sz w:val="20"/>
          <w:szCs w:val="20"/>
          <w:lang w:val="es-ES_tradnl"/>
        </w:rPr>
      </w:pPr>
    </w:p>
    <w:p w14:paraId="799F4A51" w14:textId="77777777" w:rsidR="001008E8" w:rsidRPr="005D69AF" w:rsidRDefault="001008E8" w:rsidP="001008E8">
      <w:pPr>
        <w:pStyle w:val="Textoindependiente"/>
        <w:spacing w:after="0"/>
        <w:ind w:right="102"/>
        <w:jc w:val="both"/>
        <w:rPr>
          <w:rFonts w:ascii="Arial" w:hAnsi="Arial" w:cs="Arial"/>
          <w:b/>
          <w:bCs/>
          <w:color w:val="000000" w:themeColor="text1"/>
          <w:lang w:val="es-ES_tradnl"/>
        </w:rPr>
      </w:pPr>
      <w:r w:rsidRPr="005D69AF">
        <w:rPr>
          <w:rFonts w:ascii="Arial" w:hAnsi="Arial" w:cs="Arial"/>
          <w:b/>
          <w:bCs/>
          <w:color w:val="000000" w:themeColor="text1"/>
          <w:lang w:val="es-ES_tradnl"/>
        </w:rPr>
        <w:t>DECRETO 092 DE 2017 – Suspensión Provisional – Artículos suspendidos</w:t>
      </w:r>
    </w:p>
    <w:p w14:paraId="6EF2FA3D" w14:textId="77777777" w:rsidR="001008E8" w:rsidRPr="005D69AF" w:rsidRDefault="001008E8" w:rsidP="001008E8">
      <w:pPr>
        <w:pStyle w:val="Textoindependiente"/>
        <w:spacing w:after="0"/>
        <w:ind w:right="102"/>
        <w:jc w:val="both"/>
        <w:rPr>
          <w:rFonts w:ascii="Arial" w:hAnsi="Arial" w:cs="Arial"/>
          <w:b/>
          <w:color w:val="000000" w:themeColor="text1"/>
          <w:lang w:val="es-ES_tradnl"/>
        </w:rPr>
      </w:pPr>
    </w:p>
    <w:p w14:paraId="7A76D6E4" w14:textId="77777777" w:rsidR="001008E8" w:rsidRPr="005D69AF" w:rsidRDefault="001008E8" w:rsidP="001008E8">
      <w:pPr>
        <w:pStyle w:val="Textoindependiente"/>
        <w:spacing w:after="0"/>
        <w:ind w:right="102"/>
        <w:jc w:val="both"/>
        <w:rPr>
          <w:rFonts w:ascii="Arial" w:hAnsi="Arial" w:cs="Arial"/>
          <w:color w:val="000000" w:themeColor="text1"/>
          <w:sz w:val="20"/>
          <w:szCs w:val="20"/>
          <w:lang w:val="es-ES_tradnl"/>
        </w:rPr>
      </w:pPr>
      <w:r w:rsidRPr="005D69AF">
        <w:rPr>
          <w:rFonts w:ascii="Arial" w:hAnsi="Arial" w:cs="Arial"/>
          <w:color w:val="000000" w:themeColor="text1"/>
          <w:sz w:val="20"/>
          <w:szCs w:val="20"/>
          <w:lang w:val="es-ES_tradnl"/>
        </w:rPr>
        <w:t>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 […] 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3C1ED5D9" w14:textId="77777777" w:rsidR="001008E8" w:rsidRPr="005D69AF" w:rsidRDefault="001008E8" w:rsidP="001008E8">
      <w:pPr>
        <w:pStyle w:val="Textoindependiente"/>
        <w:spacing w:after="0"/>
        <w:ind w:right="102"/>
        <w:jc w:val="both"/>
        <w:rPr>
          <w:rFonts w:ascii="Arial" w:hAnsi="Arial" w:cs="Arial"/>
          <w:color w:val="000000" w:themeColor="text1"/>
          <w:sz w:val="20"/>
          <w:szCs w:val="20"/>
          <w:lang w:val="es-ES_tradnl"/>
        </w:rPr>
      </w:pPr>
    </w:p>
    <w:p w14:paraId="05FECAC4" w14:textId="77777777" w:rsidR="001008E8" w:rsidRPr="005D69AF" w:rsidRDefault="001008E8" w:rsidP="001008E8">
      <w:pPr>
        <w:spacing w:after="0"/>
        <w:jc w:val="both"/>
        <w:rPr>
          <w:rFonts w:ascii="Arial" w:eastAsia="Arial" w:hAnsi="Arial" w:cs="Arial"/>
          <w:color w:val="000000" w:themeColor="text1"/>
          <w:sz w:val="20"/>
          <w:szCs w:val="20"/>
          <w:lang w:val="es-ES_tradnl"/>
        </w:rPr>
      </w:pPr>
      <w:r w:rsidRPr="005D69AF">
        <w:rPr>
          <w:rFonts w:ascii="Arial" w:eastAsia="Arial" w:hAnsi="Arial" w:cs="Arial"/>
          <w:color w:val="000000" w:themeColor="text1"/>
          <w:sz w:val="20"/>
          <w:szCs w:val="20"/>
          <w:lang w:val="es-ES_tradnl"/>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092 de 2017. […] </w:t>
      </w:r>
    </w:p>
    <w:p w14:paraId="1AB56805" w14:textId="77777777" w:rsidR="001008E8" w:rsidRPr="005D69AF" w:rsidRDefault="001008E8" w:rsidP="001008E8">
      <w:pPr>
        <w:spacing w:after="0"/>
        <w:jc w:val="both"/>
        <w:rPr>
          <w:rFonts w:ascii="Arial" w:eastAsia="Arial" w:hAnsi="Arial" w:cs="Arial"/>
          <w:color w:val="000000" w:themeColor="text1"/>
          <w:sz w:val="20"/>
          <w:szCs w:val="20"/>
          <w:lang w:val="es-ES_tradnl"/>
        </w:rPr>
      </w:pPr>
    </w:p>
    <w:p w14:paraId="3C643EBD" w14:textId="77777777" w:rsidR="001008E8" w:rsidRPr="005D69AF" w:rsidRDefault="001008E8" w:rsidP="001008E8">
      <w:pPr>
        <w:spacing w:after="0"/>
        <w:jc w:val="both"/>
        <w:rPr>
          <w:rFonts w:ascii="Arial" w:eastAsia="Arial" w:hAnsi="Arial" w:cs="Arial"/>
          <w:color w:val="000000" w:themeColor="text1"/>
          <w:sz w:val="20"/>
          <w:szCs w:val="20"/>
          <w:lang w:val="es-ES_tradnl"/>
        </w:rPr>
      </w:pPr>
      <w:r w:rsidRPr="005D69AF">
        <w:rPr>
          <w:rFonts w:ascii="Arial" w:eastAsia="Arial" w:hAnsi="Arial" w:cs="Arial"/>
          <w:color w:val="000000" w:themeColor="text1"/>
          <w:sz w:val="20"/>
          <w:szCs w:val="20"/>
          <w:lang w:val="es-ES_tradnl"/>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En estos procesos, entonces, se debe acudir a los criterios aplicables a los otros negocios jurídicos que regula el Decreto 092 de 2017, particularmente las exigencias del artículo 2 ibidem. Incluso, habría que tener en cuenta las exigencias del inciso 2 del artículo 4 </w:t>
      </w:r>
      <w:proofErr w:type="spellStart"/>
      <w:r w:rsidRPr="005D69AF">
        <w:rPr>
          <w:rFonts w:ascii="Arial" w:eastAsia="Arial" w:hAnsi="Arial" w:cs="Arial"/>
          <w:color w:val="000000" w:themeColor="text1"/>
          <w:sz w:val="20"/>
          <w:szCs w:val="20"/>
          <w:lang w:val="es-ES_tradnl"/>
        </w:rPr>
        <w:t>íbídem</w:t>
      </w:r>
      <w:proofErr w:type="spellEnd"/>
      <w:r w:rsidRPr="005D69AF">
        <w:rPr>
          <w:rFonts w:ascii="Arial" w:eastAsia="Arial" w:hAnsi="Arial" w:cs="Arial"/>
          <w:color w:val="000000" w:themeColor="text1"/>
          <w:sz w:val="20"/>
          <w:szCs w:val="20"/>
          <w:lang w:val="es-ES_tradnl"/>
        </w:rPr>
        <w:t>, claro está, siempre que se configuren los supuestos de aplicación de dicha normativa, esto es, siempre que exista más de una entidad sin ánimo de lucro de reconocida idoneidad.</w:t>
      </w:r>
    </w:p>
    <w:p w14:paraId="6CC7B7F7" w14:textId="77777777" w:rsidR="001008E8" w:rsidRPr="005D69AF" w:rsidRDefault="001008E8" w:rsidP="001008E8">
      <w:pPr>
        <w:spacing w:after="0"/>
        <w:jc w:val="both"/>
        <w:rPr>
          <w:rFonts w:ascii="Arial" w:eastAsia="Arial" w:hAnsi="Arial" w:cs="Arial"/>
          <w:color w:val="000000" w:themeColor="text1"/>
          <w:sz w:val="20"/>
          <w:szCs w:val="20"/>
          <w:lang w:val="es-ES_tradnl"/>
        </w:rPr>
      </w:pPr>
    </w:p>
    <w:p w14:paraId="44E980BB" w14:textId="77777777" w:rsidR="001008E8" w:rsidRPr="005D69AF" w:rsidRDefault="001008E8" w:rsidP="001008E8">
      <w:pPr>
        <w:spacing w:after="0"/>
        <w:jc w:val="both"/>
        <w:rPr>
          <w:rFonts w:ascii="Arial" w:eastAsia="Arial" w:hAnsi="Arial" w:cs="Arial"/>
          <w:color w:val="000000" w:themeColor="text1"/>
          <w:sz w:val="20"/>
          <w:szCs w:val="20"/>
          <w:lang w:val="es-ES_tradnl"/>
        </w:rPr>
      </w:pPr>
      <w:r w:rsidRPr="005D69AF">
        <w:rPr>
          <w:rFonts w:ascii="Arial" w:eastAsia="Arial" w:hAnsi="Arial" w:cs="Arial"/>
          <w:color w:val="000000" w:themeColor="text1"/>
          <w:sz w:val="20"/>
          <w:szCs w:val="20"/>
          <w:lang w:val="es-ES_tradnl"/>
        </w:rPr>
        <w:t xml:space="preserve">Sin perjuicio de lo anterior, el mismo Consejo de Estado bajo el Auto del 15 de marzo de 2022 de la Sala Plena de lo Contencioso Administrativo, radicado No. 11001-03-26-000-2018-00113-01 (62.003), Consejera Ponente Roció Araujo Oñate, revocó el Auto del 6 de agosto de 2019 de la Sección Tercera, en lo pertinente a la suspensión provisional del inciso segundo del artículo 1 y del </w:t>
      </w:r>
      <w:r w:rsidRPr="005D69AF">
        <w:rPr>
          <w:rFonts w:ascii="Arial" w:eastAsia="Arial" w:hAnsi="Arial" w:cs="Arial"/>
          <w:color w:val="000000" w:themeColor="text1"/>
          <w:sz w:val="20"/>
          <w:szCs w:val="20"/>
          <w:lang w:val="es-ES_tradnl"/>
        </w:rPr>
        <w:lastRenderedPageBreak/>
        <w:t>inciso segundo del artículo 3 del Decreto 092 de 2017, respectivamente y por ende  levantó la suspensión provisional de los mismos</w:t>
      </w:r>
    </w:p>
    <w:p w14:paraId="4CFC6577" w14:textId="77777777" w:rsidR="001008E8" w:rsidRPr="005D69AF" w:rsidRDefault="001008E8" w:rsidP="001008E8">
      <w:pPr>
        <w:spacing w:after="0"/>
        <w:jc w:val="both"/>
        <w:rPr>
          <w:rFonts w:ascii="Arial" w:eastAsia="Arial" w:hAnsi="Arial" w:cs="Arial"/>
          <w:color w:val="000000" w:themeColor="text1"/>
          <w:sz w:val="20"/>
          <w:szCs w:val="20"/>
          <w:lang w:val="es-ES_tradnl"/>
        </w:rPr>
      </w:pPr>
    </w:p>
    <w:p w14:paraId="09CD76C7" w14:textId="77777777" w:rsidR="001008E8" w:rsidRPr="005D69AF" w:rsidRDefault="001008E8" w:rsidP="001008E8">
      <w:pPr>
        <w:spacing w:after="0"/>
        <w:jc w:val="both"/>
        <w:rPr>
          <w:rFonts w:ascii="Arial" w:eastAsia="Arial" w:hAnsi="Arial" w:cs="Arial"/>
          <w:b/>
          <w:bCs/>
          <w:color w:val="000000" w:themeColor="text1"/>
          <w:lang w:val="es-ES_tradnl"/>
        </w:rPr>
      </w:pPr>
      <w:r w:rsidRPr="005D69AF">
        <w:rPr>
          <w:rFonts w:ascii="Arial" w:eastAsia="Arial" w:hAnsi="Arial" w:cs="Arial"/>
          <w:b/>
          <w:bCs/>
          <w:color w:val="000000" w:themeColor="text1"/>
          <w:lang w:val="es-ES_tradnl"/>
        </w:rPr>
        <w:t xml:space="preserve">DECRETO 092 DE 2017 – Normativa vigente </w:t>
      </w:r>
    </w:p>
    <w:p w14:paraId="2A525D07" w14:textId="77777777" w:rsidR="001008E8" w:rsidRPr="005D69AF" w:rsidRDefault="001008E8" w:rsidP="001008E8">
      <w:pPr>
        <w:spacing w:after="0"/>
        <w:jc w:val="both"/>
        <w:rPr>
          <w:rFonts w:ascii="Arial" w:eastAsia="Arial" w:hAnsi="Arial" w:cs="Arial"/>
          <w:b/>
          <w:bCs/>
          <w:color w:val="000000" w:themeColor="text1"/>
          <w:lang w:val="es-ES_tradnl"/>
        </w:rPr>
      </w:pPr>
    </w:p>
    <w:p w14:paraId="34C799E1" w14:textId="77777777" w:rsidR="001008E8" w:rsidRPr="005D69AF" w:rsidRDefault="001008E8" w:rsidP="001008E8">
      <w:pPr>
        <w:spacing w:after="0"/>
        <w:jc w:val="both"/>
        <w:rPr>
          <w:rFonts w:ascii="Arial" w:eastAsia="Arial" w:hAnsi="Arial" w:cs="Arial"/>
          <w:b/>
          <w:bCs/>
          <w:color w:val="000000" w:themeColor="text1"/>
          <w:lang w:val="es-ES_tradnl"/>
        </w:rPr>
      </w:pPr>
      <w:r w:rsidRPr="005D69AF">
        <w:rPr>
          <w:rFonts w:ascii="Arial" w:hAnsi="Arial" w:cs="Arial"/>
          <w:color w:val="000000" w:themeColor="text1"/>
          <w:sz w:val="20"/>
          <w:szCs w:val="20"/>
          <w:lang w:val="es-ES_tradnl"/>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w:t>
      </w:r>
      <w:proofErr w:type="spellStart"/>
      <w:r w:rsidRPr="005D69AF">
        <w:rPr>
          <w:rFonts w:ascii="Arial" w:hAnsi="Arial" w:cs="Arial"/>
          <w:color w:val="000000" w:themeColor="text1"/>
          <w:sz w:val="20"/>
          <w:szCs w:val="20"/>
          <w:lang w:val="es-ES_tradnl"/>
        </w:rPr>
        <w:t>iv</w:t>
      </w:r>
      <w:proofErr w:type="spellEnd"/>
      <w:r w:rsidRPr="005D69AF">
        <w:rPr>
          <w:rFonts w:ascii="Arial" w:hAnsi="Arial" w:cs="Arial"/>
          <w:color w:val="000000" w:themeColor="text1"/>
          <w:sz w:val="20"/>
          <w:szCs w:val="20"/>
          <w:lang w:val="es-ES_tradnl"/>
        </w:rPr>
        <w:t>)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14:paraId="6C5308FE" w14:textId="77777777" w:rsidR="001008E8" w:rsidRDefault="001008E8" w:rsidP="00B5434E">
      <w:pPr>
        <w:spacing w:after="0"/>
        <w:rPr>
          <w:rFonts w:ascii="Arial" w:eastAsia="Geomanist Light" w:hAnsi="Arial" w:cs="Arial"/>
          <w:color w:val="000000" w:themeColor="text1"/>
          <w:lang w:val="es-MX"/>
        </w:rPr>
      </w:pPr>
    </w:p>
    <w:p w14:paraId="5EFFA6DF" w14:textId="77777777" w:rsidR="001008E8" w:rsidRDefault="001008E8" w:rsidP="00B5434E">
      <w:pPr>
        <w:spacing w:after="0"/>
        <w:rPr>
          <w:rFonts w:ascii="Arial" w:eastAsia="Geomanist Light" w:hAnsi="Arial" w:cs="Arial"/>
          <w:color w:val="000000" w:themeColor="text1"/>
          <w:lang w:val="es-MX"/>
        </w:rPr>
      </w:pPr>
    </w:p>
    <w:p w14:paraId="0A160772" w14:textId="77777777" w:rsidR="001008E8" w:rsidRDefault="001008E8" w:rsidP="00B5434E">
      <w:pPr>
        <w:spacing w:after="0"/>
        <w:rPr>
          <w:rFonts w:ascii="Arial" w:eastAsia="Geomanist Light" w:hAnsi="Arial" w:cs="Arial"/>
          <w:color w:val="000000" w:themeColor="text1"/>
          <w:lang w:val="es-MX"/>
        </w:rPr>
      </w:pPr>
    </w:p>
    <w:p w14:paraId="477D8B21" w14:textId="77777777" w:rsidR="001008E8" w:rsidRDefault="001008E8" w:rsidP="00B5434E">
      <w:pPr>
        <w:spacing w:after="0"/>
        <w:rPr>
          <w:rFonts w:ascii="Arial" w:eastAsia="Geomanist Light" w:hAnsi="Arial" w:cs="Arial"/>
          <w:color w:val="000000" w:themeColor="text1"/>
          <w:lang w:val="es-MX"/>
        </w:rPr>
      </w:pPr>
    </w:p>
    <w:p w14:paraId="1CD68318" w14:textId="77777777" w:rsidR="001008E8" w:rsidRDefault="001008E8" w:rsidP="00B5434E">
      <w:pPr>
        <w:spacing w:after="0"/>
        <w:rPr>
          <w:rFonts w:ascii="Arial" w:eastAsia="Geomanist Light" w:hAnsi="Arial" w:cs="Arial"/>
          <w:color w:val="000000" w:themeColor="text1"/>
          <w:lang w:val="es-MX"/>
        </w:rPr>
      </w:pPr>
    </w:p>
    <w:p w14:paraId="1BB3A39B" w14:textId="77777777" w:rsidR="001008E8" w:rsidRDefault="001008E8" w:rsidP="00B5434E">
      <w:pPr>
        <w:spacing w:after="0"/>
        <w:rPr>
          <w:rFonts w:ascii="Arial" w:eastAsia="Geomanist Light" w:hAnsi="Arial" w:cs="Arial"/>
          <w:color w:val="000000" w:themeColor="text1"/>
          <w:lang w:val="es-MX"/>
        </w:rPr>
      </w:pPr>
    </w:p>
    <w:p w14:paraId="4A887084" w14:textId="77777777" w:rsidR="001008E8" w:rsidRDefault="001008E8" w:rsidP="00B5434E">
      <w:pPr>
        <w:spacing w:after="0"/>
        <w:rPr>
          <w:rFonts w:ascii="Arial" w:eastAsia="Geomanist Light" w:hAnsi="Arial" w:cs="Arial"/>
          <w:color w:val="000000" w:themeColor="text1"/>
          <w:lang w:val="es-MX"/>
        </w:rPr>
      </w:pPr>
    </w:p>
    <w:p w14:paraId="1F0EDB29" w14:textId="77777777" w:rsidR="001008E8" w:rsidRDefault="001008E8" w:rsidP="00B5434E">
      <w:pPr>
        <w:spacing w:after="0"/>
        <w:rPr>
          <w:rFonts w:ascii="Arial" w:eastAsia="Geomanist Light" w:hAnsi="Arial" w:cs="Arial"/>
          <w:color w:val="000000" w:themeColor="text1"/>
          <w:lang w:val="es-MX"/>
        </w:rPr>
      </w:pPr>
    </w:p>
    <w:p w14:paraId="7E28647D" w14:textId="77777777" w:rsidR="001008E8" w:rsidRDefault="001008E8" w:rsidP="00B5434E">
      <w:pPr>
        <w:spacing w:after="0"/>
        <w:rPr>
          <w:rFonts w:ascii="Arial" w:eastAsia="Geomanist Light" w:hAnsi="Arial" w:cs="Arial"/>
          <w:color w:val="000000" w:themeColor="text1"/>
          <w:lang w:val="es-MX"/>
        </w:rPr>
      </w:pPr>
    </w:p>
    <w:p w14:paraId="25D298FA" w14:textId="77777777" w:rsidR="001008E8" w:rsidRDefault="001008E8" w:rsidP="00B5434E">
      <w:pPr>
        <w:spacing w:after="0"/>
        <w:rPr>
          <w:rFonts w:ascii="Arial" w:eastAsia="Geomanist Light" w:hAnsi="Arial" w:cs="Arial"/>
          <w:color w:val="000000" w:themeColor="text1"/>
          <w:lang w:val="es-MX"/>
        </w:rPr>
      </w:pPr>
    </w:p>
    <w:p w14:paraId="03DC86C0" w14:textId="77777777" w:rsidR="001008E8" w:rsidRDefault="001008E8" w:rsidP="00B5434E">
      <w:pPr>
        <w:spacing w:after="0"/>
        <w:rPr>
          <w:rFonts w:ascii="Arial" w:eastAsia="Geomanist Light" w:hAnsi="Arial" w:cs="Arial"/>
          <w:color w:val="000000" w:themeColor="text1"/>
          <w:lang w:val="es-MX"/>
        </w:rPr>
      </w:pPr>
    </w:p>
    <w:p w14:paraId="719A3477" w14:textId="77777777" w:rsidR="001008E8" w:rsidRDefault="001008E8" w:rsidP="00B5434E">
      <w:pPr>
        <w:spacing w:after="0"/>
        <w:rPr>
          <w:rFonts w:ascii="Arial" w:eastAsia="Geomanist Light" w:hAnsi="Arial" w:cs="Arial"/>
          <w:color w:val="000000" w:themeColor="text1"/>
          <w:lang w:val="es-MX"/>
        </w:rPr>
      </w:pPr>
    </w:p>
    <w:p w14:paraId="5CF30543" w14:textId="77777777" w:rsidR="001008E8" w:rsidRDefault="001008E8" w:rsidP="00B5434E">
      <w:pPr>
        <w:spacing w:after="0"/>
        <w:rPr>
          <w:rFonts w:ascii="Arial" w:eastAsia="Geomanist Light" w:hAnsi="Arial" w:cs="Arial"/>
          <w:color w:val="000000" w:themeColor="text1"/>
          <w:lang w:val="es-MX"/>
        </w:rPr>
      </w:pPr>
    </w:p>
    <w:p w14:paraId="7C1DB074" w14:textId="77777777" w:rsidR="001008E8" w:rsidRDefault="001008E8" w:rsidP="00B5434E">
      <w:pPr>
        <w:spacing w:after="0"/>
        <w:rPr>
          <w:rFonts w:ascii="Arial" w:eastAsia="Geomanist Light" w:hAnsi="Arial" w:cs="Arial"/>
          <w:color w:val="000000" w:themeColor="text1"/>
          <w:lang w:val="es-MX"/>
        </w:rPr>
      </w:pPr>
    </w:p>
    <w:p w14:paraId="23F4E27B" w14:textId="77777777" w:rsidR="001008E8" w:rsidRDefault="001008E8" w:rsidP="00B5434E">
      <w:pPr>
        <w:spacing w:after="0"/>
        <w:rPr>
          <w:rFonts w:ascii="Arial" w:eastAsia="Geomanist Light" w:hAnsi="Arial" w:cs="Arial"/>
          <w:color w:val="000000" w:themeColor="text1"/>
          <w:lang w:val="es-MX"/>
        </w:rPr>
      </w:pPr>
    </w:p>
    <w:p w14:paraId="38FDDD86" w14:textId="77777777" w:rsidR="001008E8" w:rsidRDefault="001008E8" w:rsidP="00B5434E">
      <w:pPr>
        <w:spacing w:after="0"/>
        <w:rPr>
          <w:rFonts w:ascii="Arial" w:eastAsia="Geomanist Light" w:hAnsi="Arial" w:cs="Arial"/>
          <w:color w:val="000000" w:themeColor="text1"/>
          <w:lang w:val="es-MX"/>
        </w:rPr>
      </w:pPr>
    </w:p>
    <w:p w14:paraId="66BEA84F" w14:textId="77777777" w:rsidR="001008E8" w:rsidRDefault="001008E8" w:rsidP="00B5434E">
      <w:pPr>
        <w:spacing w:after="0"/>
        <w:rPr>
          <w:rFonts w:ascii="Arial" w:eastAsia="Geomanist Light" w:hAnsi="Arial" w:cs="Arial"/>
          <w:color w:val="000000" w:themeColor="text1"/>
          <w:lang w:val="es-MX"/>
        </w:rPr>
      </w:pPr>
    </w:p>
    <w:p w14:paraId="6343D42F" w14:textId="77777777" w:rsidR="001008E8" w:rsidRDefault="001008E8" w:rsidP="00B5434E">
      <w:pPr>
        <w:spacing w:after="0"/>
        <w:rPr>
          <w:rFonts w:ascii="Arial" w:eastAsia="Geomanist Light" w:hAnsi="Arial" w:cs="Arial"/>
          <w:color w:val="000000" w:themeColor="text1"/>
          <w:lang w:val="es-MX"/>
        </w:rPr>
      </w:pPr>
    </w:p>
    <w:p w14:paraId="14EA6BFA" w14:textId="77777777" w:rsidR="001008E8" w:rsidRDefault="001008E8" w:rsidP="00B5434E">
      <w:pPr>
        <w:spacing w:after="0"/>
        <w:rPr>
          <w:rFonts w:ascii="Arial" w:eastAsia="Geomanist Light" w:hAnsi="Arial" w:cs="Arial"/>
          <w:color w:val="000000" w:themeColor="text1"/>
          <w:lang w:val="es-MX"/>
        </w:rPr>
      </w:pPr>
    </w:p>
    <w:p w14:paraId="40F67625" w14:textId="77777777" w:rsidR="001008E8" w:rsidRDefault="001008E8" w:rsidP="00B5434E">
      <w:pPr>
        <w:spacing w:after="0"/>
        <w:rPr>
          <w:rFonts w:ascii="Arial" w:eastAsia="Geomanist Light" w:hAnsi="Arial" w:cs="Arial"/>
          <w:color w:val="000000" w:themeColor="text1"/>
          <w:lang w:val="es-MX"/>
        </w:rPr>
      </w:pPr>
    </w:p>
    <w:p w14:paraId="29CFDEF6" w14:textId="77777777" w:rsidR="001008E8" w:rsidRDefault="001008E8" w:rsidP="00B5434E">
      <w:pPr>
        <w:spacing w:after="0"/>
        <w:rPr>
          <w:rFonts w:ascii="Arial" w:eastAsia="Geomanist Light" w:hAnsi="Arial" w:cs="Arial"/>
          <w:color w:val="000000" w:themeColor="text1"/>
          <w:lang w:val="es-MX"/>
        </w:rPr>
      </w:pPr>
    </w:p>
    <w:p w14:paraId="53655AF6" w14:textId="77777777" w:rsidR="001008E8" w:rsidRDefault="001008E8" w:rsidP="00B5434E">
      <w:pPr>
        <w:spacing w:after="0"/>
        <w:rPr>
          <w:rFonts w:ascii="Arial" w:eastAsia="Geomanist Light" w:hAnsi="Arial" w:cs="Arial"/>
          <w:color w:val="000000" w:themeColor="text1"/>
          <w:lang w:val="es-MX"/>
        </w:rPr>
      </w:pPr>
    </w:p>
    <w:p w14:paraId="62535B95" w14:textId="77777777" w:rsidR="001008E8" w:rsidRDefault="001008E8" w:rsidP="00B5434E">
      <w:pPr>
        <w:spacing w:after="0"/>
        <w:rPr>
          <w:rFonts w:ascii="Arial" w:eastAsia="Geomanist Light" w:hAnsi="Arial" w:cs="Arial"/>
          <w:color w:val="000000" w:themeColor="text1"/>
          <w:lang w:val="es-MX"/>
        </w:rPr>
      </w:pPr>
    </w:p>
    <w:p w14:paraId="4703D5B6" w14:textId="488CF301" w:rsidR="00B5434E" w:rsidRPr="00044F0D" w:rsidRDefault="00B5434E" w:rsidP="00B5434E">
      <w:pPr>
        <w:spacing w:after="0"/>
        <w:rPr>
          <w:rFonts w:ascii="Arial" w:eastAsia="Geomanist Light" w:hAnsi="Arial" w:cs="Arial"/>
          <w:color w:val="201F1E"/>
          <w:lang w:val="es-MX"/>
        </w:rPr>
      </w:pPr>
      <w:r w:rsidRPr="00044F0D">
        <w:rPr>
          <w:rFonts w:ascii="Arial" w:eastAsia="Geomanist Light" w:hAnsi="Arial" w:cs="Arial"/>
          <w:color w:val="000000" w:themeColor="text1"/>
          <w:lang w:val="es-MX"/>
        </w:rPr>
        <w:lastRenderedPageBreak/>
        <w:t>Bogotá D.C., </w:t>
      </w:r>
      <w:r w:rsidR="003E73DE" w:rsidRPr="003E73DE">
        <w:rPr>
          <w:rFonts w:ascii="Arial" w:eastAsia="Geomanist Light" w:hAnsi="Arial" w:cs="Arial"/>
          <w:color w:val="201F1E"/>
          <w:lang w:val="es-MX"/>
        </w:rPr>
        <w:t>06 de Octubre de 2023</w:t>
      </w:r>
    </w:p>
    <w:p w14:paraId="792A847A" w14:textId="77777777" w:rsidR="00B5434E" w:rsidRDefault="00B5434E" w:rsidP="00B5434E">
      <w:pPr>
        <w:spacing w:after="0"/>
        <w:rPr>
          <w:rFonts w:ascii="Arial" w:eastAsia="Times New Roman" w:hAnsi="Arial" w:cs="Arial"/>
          <w:bCs/>
          <w:lang w:val="es-MX" w:eastAsia="es-ES"/>
        </w:rPr>
      </w:pPr>
    </w:p>
    <w:p w14:paraId="4E1E907C" w14:textId="4DEBF04E" w:rsidR="003E73DE" w:rsidRPr="00044F0D" w:rsidRDefault="003E73DE" w:rsidP="003E73DE">
      <w:pPr>
        <w:spacing w:after="0"/>
        <w:jc w:val="right"/>
        <w:rPr>
          <w:rFonts w:ascii="Arial" w:eastAsia="Times New Roman" w:hAnsi="Arial" w:cs="Arial"/>
          <w:bCs/>
          <w:lang w:val="es-MX" w:eastAsia="es-ES"/>
        </w:rPr>
      </w:pPr>
      <w:r>
        <w:rPr>
          <w:rFonts w:ascii="Arial" w:eastAsia="Times New Roman" w:hAnsi="Arial" w:cs="Arial"/>
          <w:bCs/>
          <w:noProof/>
          <w:lang w:val="es-MX" w:eastAsia="es-ES"/>
        </w:rPr>
        <w:drawing>
          <wp:inline distT="0" distB="0" distL="0" distR="0" wp14:anchorId="237A2258" wp14:editId="5F93E259">
            <wp:extent cx="2952115" cy="666750"/>
            <wp:effectExtent l="0" t="0" r="635" b="0"/>
            <wp:docPr id="11924992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115" cy="666750"/>
                    </a:xfrm>
                    <a:prstGeom prst="rect">
                      <a:avLst/>
                    </a:prstGeom>
                    <a:noFill/>
                    <a:ln>
                      <a:noFill/>
                    </a:ln>
                  </pic:spPr>
                </pic:pic>
              </a:graphicData>
            </a:graphic>
          </wp:inline>
        </w:drawing>
      </w:r>
    </w:p>
    <w:p w14:paraId="6F292298" w14:textId="77777777" w:rsidR="00B5434E" w:rsidRPr="00C046D8" w:rsidRDefault="00B5434E" w:rsidP="00B5434E">
      <w:pPr>
        <w:spacing w:after="0"/>
        <w:contextualSpacing/>
        <w:jc w:val="both"/>
        <w:rPr>
          <w:rFonts w:ascii="Arial" w:eastAsia="Calibri" w:hAnsi="Arial" w:cs="Arial"/>
          <w:lang w:val="es-ES_tradnl" w:eastAsia="es-ES_tradnl"/>
        </w:rPr>
      </w:pPr>
    </w:p>
    <w:p w14:paraId="18211F2D" w14:textId="77777777" w:rsidR="00B5434E" w:rsidRPr="0006291B" w:rsidRDefault="00B5434E" w:rsidP="00B5434E">
      <w:pPr>
        <w:contextualSpacing/>
        <w:jc w:val="both"/>
        <w:rPr>
          <w:rFonts w:ascii="Arial" w:eastAsia="Calibri" w:hAnsi="Arial" w:cs="Arial"/>
          <w:lang w:eastAsia="es-ES_tradnl"/>
        </w:rPr>
      </w:pPr>
      <w:r w:rsidRPr="0006291B">
        <w:rPr>
          <w:rFonts w:ascii="Arial" w:eastAsia="Calibri" w:hAnsi="Arial" w:cs="Arial"/>
          <w:lang w:eastAsia="es-ES_tradnl"/>
        </w:rPr>
        <w:t>Señor</w:t>
      </w:r>
    </w:p>
    <w:p w14:paraId="49B5C1DC" w14:textId="77777777" w:rsidR="00B5434E" w:rsidRDefault="00B5434E" w:rsidP="00B5434E">
      <w:pPr>
        <w:contextualSpacing/>
        <w:jc w:val="both"/>
        <w:rPr>
          <w:rFonts w:ascii="Arial" w:eastAsia="Calibri" w:hAnsi="Arial" w:cs="Arial"/>
          <w:b/>
          <w:lang w:eastAsia="es-ES_tradnl"/>
        </w:rPr>
      </w:pPr>
      <w:r w:rsidRPr="002372BA">
        <w:rPr>
          <w:rFonts w:ascii="Arial" w:eastAsia="Calibri" w:hAnsi="Arial" w:cs="Arial"/>
          <w:b/>
          <w:lang w:eastAsia="es-ES_tradnl"/>
        </w:rPr>
        <w:t xml:space="preserve">Daniel Hernando Gómez Rodríguez  </w:t>
      </w:r>
    </w:p>
    <w:p w14:paraId="5CDAFDD2" w14:textId="77777777" w:rsidR="00B5434E" w:rsidRPr="0006291B" w:rsidRDefault="00B5434E" w:rsidP="00B5434E">
      <w:pPr>
        <w:contextualSpacing/>
        <w:jc w:val="both"/>
        <w:rPr>
          <w:rFonts w:ascii="Arial" w:eastAsia="Calibri" w:hAnsi="Arial" w:cs="Arial"/>
          <w:bCs/>
          <w:lang w:eastAsia="es-ES_tradnl"/>
        </w:rPr>
      </w:pPr>
      <w:r w:rsidRPr="00044F0D">
        <w:rPr>
          <w:rFonts w:ascii="Arial" w:eastAsia="Geomanist Light" w:hAnsi="Arial" w:cs="Arial"/>
          <w:color w:val="000000" w:themeColor="text1"/>
          <w:lang w:val="es-MX"/>
        </w:rPr>
        <w:t>Bogotá D.C.</w:t>
      </w:r>
    </w:p>
    <w:p w14:paraId="58484684" w14:textId="77777777" w:rsidR="00B5434E" w:rsidRPr="00C046D8" w:rsidRDefault="00B5434E" w:rsidP="00B5434E">
      <w:pPr>
        <w:contextualSpacing/>
        <w:rPr>
          <w:rFonts w:ascii="Arial" w:eastAsia="Calibri" w:hAnsi="Arial" w:cs="Arial"/>
          <w:b/>
          <w:bCs/>
          <w:lang w:val="es-ES_tradnl" w:eastAsia="es-ES_tradnl"/>
        </w:rPr>
      </w:pPr>
    </w:p>
    <w:p w14:paraId="67C61F00" w14:textId="77777777" w:rsidR="00B5434E" w:rsidRDefault="00B5434E" w:rsidP="00B5434E">
      <w:pPr>
        <w:contextualSpacing/>
        <w:jc w:val="both"/>
        <w:rPr>
          <w:rFonts w:ascii="Arial" w:eastAsia="Calibri" w:hAnsi="Arial" w:cs="Arial"/>
          <w:lang w:val="es-ES_tradnl" w:eastAsia="es-ES_tradnl"/>
        </w:rPr>
      </w:pPr>
    </w:p>
    <w:p w14:paraId="36A0362A" w14:textId="5914E19F" w:rsidR="00B5434E" w:rsidRPr="002372BA" w:rsidRDefault="00B5434E" w:rsidP="00B5434E">
      <w:pPr>
        <w:ind w:left="2124"/>
        <w:contextualSpacing/>
        <w:jc w:val="both"/>
        <w:rPr>
          <w:rFonts w:ascii="Arial" w:eastAsia="Calibri" w:hAnsi="Arial" w:cs="Arial"/>
          <w:b/>
          <w:bCs/>
          <w:lang w:val="es-ES_tradnl" w:eastAsia="es-ES_tradnl"/>
        </w:rPr>
      </w:pPr>
      <w:r w:rsidRPr="002372BA">
        <w:rPr>
          <w:rFonts w:ascii="Arial" w:eastAsia="Calibri" w:hAnsi="Arial" w:cs="Arial"/>
          <w:b/>
          <w:bCs/>
          <w:lang w:val="es-ES_tradnl" w:eastAsia="es-ES_tradnl"/>
        </w:rPr>
        <w:t xml:space="preserve">         </w:t>
      </w:r>
      <w:r w:rsidRPr="003F7FF2">
        <w:rPr>
          <w:rFonts w:ascii="Arial" w:eastAsia="Calibri" w:hAnsi="Arial" w:cs="Arial"/>
          <w:b/>
          <w:bCs/>
          <w:lang w:val="es-ES_tradnl" w:eastAsia="es-ES_tradnl"/>
        </w:rPr>
        <w:t xml:space="preserve">Concepto C – </w:t>
      </w:r>
      <w:r w:rsidR="003F7FF2" w:rsidRPr="003F7FF2">
        <w:rPr>
          <w:rFonts w:ascii="Arial" w:eastAsia="Calibri" w:hAnsi="Arial" w:cs="Arial"/>
          <w:b/>
          <w:bCs/>
          <w:lang w:val="es-ES_tradnl" w:eastAsia="es-ES_tradnl"/>
        </w:rPr>
        <w:t>351</w:t>
      </w:r>
      <w:r w:rsidRPr="003F7FF2">
        <w:rPr>
          <w:rFonts w:ascii="Arial" w:eastAsia="Calibri" w:hAnsi="Arial" w:cs="Arial"/>
          <w:b/>
          <w:bCs/>
          <w:lang w:val="es-ES_tradnl" w:eastAsia="es-ES_tradnl"/>
        </w:rPr>
        <w:t xml:space="preserve"> de 2023</w:t>
      </w:r>
    </w:p>
    <w:p w14:paraId="3B4ACA11" w14:textId="77777777" w:rsidR="00B5434E" w:rsidRPr="00C046D8" w:rsidRDefault="00B5434E" w:rsidP="00B5434E">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5434E" w:rsidRPr="00C046D8" w14:paraId="4CEAE26D" w14:textId="77777777" w:rsidTr="00005EB3">
        <w:tc>
          <w:tcPr>
            <w:tcW w:w="2689" w:type="dxa"/>
          </w:tcPr>
          <w:p w14:paraId="3F36BBBA" w14:textId="77777777" w:rsidR="00B5434E" w:rsidRPr="00C046D8" w:rsidRDefault="00B5434E" w:rsidP="00005EB3">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31CCA856" w14:textId="77777777" w:rsidR="00B5434E" w:rsidRDefault="00B5434E" w:rsidP="00005EB3">
            <w:pPr>
              <w:spacing w:after="120"/>
              <w:contextualSpacing/>
              <w:jc w:val="both"/>
              <w:rPr>
                <w:rFonts w:ascii="Arial" w:eastAsia="Calibri" w:hAnsi="Arial" w:cs="Arial"/>
                <w:bCs/>
                <w:lang w:val="es-MX" w:eastAsia="es-ES_tradnl"/>
              </w:rPr>
            </w:pPr>
            <w:r w:rsidRPr="00D05594">
              <w:rPr>
                <w:rFonts w:ascii="Arial" w:eastAsia="Calibri" w:hAnsi="Arial" w:cs="Arial"/>
                <w:bCs/>
                <w:lang w:val="es-ES_tradnl" w:eastAsia="es-ES_tradnl"/>
              </w:rPr>
              <w:t>DECRETO 092 DE 2017 – Finalidad – Clases de contratos / CONTRATACIÓN CON ESAL – Contrato de colaboración – Objeto – Alcance / CONTRATACIÓN CON ESAL – Contrato de asociación – Objeto – Alcance / CONVENIOS DE ASOCIACIÓN – Multiplicidad de sujetos – Límites legales / DECRETO 092 DE 2017 – Criterios – Aplicación / DECRETO 092 DE 2017 – Suspensión Provisional – Artículos suspendidos / DECRETO 092 DE 2017 – Normativa vigente</w:t>
            </w:r>
            <w:r>
              <w:rPr>
                <w:rFonts w:ascii="Arial" w:eastAsia="Calibri" w:hAnsi="Arial" w:cs="Arial"/>
                <w:bCs/>
                <w:lang w:val="es-MX" w:eastAsia="es-ES_tradnl"/>
              </w:rPr>
              <w:t xml:space="preserve"> </w:t>
            </w:r>
          </w:p>
          <w:p w14:paraId="1362B5F3" w14:textId="77777777" w:rsidR="00B5434E" w:rsidRPr="0006291B" w:rsidRDefault="00B5434E" w:rsidP="00005EB3">
            <w:pPr>
              <w:spacing w:after="120"/>
              <w:contextualSpacing/>
              <w:jc w:val="both"/>
              <w:rPr>
                <w:rFonts w:ascii="Arial" w:eastAsia="Calibri" w:hAnsi="Arial" w:cs="Arial"/>
                <w:bCs/>
                <w:sz w:val="12"/>
                <w:szCs w:val="12"/>
                <w:lang w:val="es-ES_tradnl" w:eastAsia="es-ES_tradnl"/>
              </w:rPr>
            </w:pPr>
          </w:p>
        </w:tc>
      </w:tr>
      <w:tr w:rsidR="00B5434E" w:rsidRPr="00C046D8" w14:paraId="1B78B74F" w14:textId="77777777" w:rsidTr="00005EB3">
        <w:trPr>
          <w:trHeight w:val="227"/>
        </w:trPr>
        <w:tc>
          <w:tcPr>
            <w:tcW w:w="2689" w:type="dxa"/>
          </w:tcPr>
          <w:p w14:paraId="69FD3D72" w14:textId="77777777" w:rsidR="00B5434E" w:rsidRPr="00C046D8" w:rsidRDefault="00B5434E" w:rsidP="00005EB3">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332B340D" w14:textId="77777777" w:rsidR="00B5434E" w:rsidRPr="00C046D8" w:rsidRDefault="00B5434E" w:rsidP="00005EB3">
            <w:pPr>
              <w:contextualSpacing/>
              <w:jc w:val="both"/>
              <w:rPr>
                <w:rFonts w:ascii="Arial" w:eastAsia="Calibri" w:hAnsi="Arial" w:cs="Arial"/>
                <w:lang w:val="es-ES_tradnl" w:eastAsia="es-ES_tradnl"/>
              </w:rPr>
            </w:pPr>
            <w:r w:rsidRPr="0006291B">
              <w:rPr>
                <w:rFonts w:ascii="Arial" w:eastAsia="Calibri" w:hAnsi="Arial" w:cs="Arial"/>
                <w:lang w:val="es-ES_tradnl" w:eastAsia="es-ES_tradnl"/>
              </w:rPr>
              <w:t>Respuesta a consulta</w:t>
            </w:r>
            <w:r>
              <w:rPr>
                <w:rFonts w:ascii="Arial" w:eastAsia="Calibri" w:hAnsi="Arial" w:cs="Arial"/>
                <w:lang w:val="es-ES_tradnl" w:eastAsia="es-ES_tradnl"/>
              </w:rPr>
              <w:t xml:space="preserve"> </w:t>
            </w:r>
            <w:r w:rsidRPr="002372BA">
              <w:rPr>
                <w:rFonts w:ascii="Arial" w:eastAsia="Calibri" w:hAnsi="Arial" w:cs="Arial"/>
                <w:lang w:val="es-ES_tradnl" w:eastAsia="es-ES_tradnl"/>
              </w:rPr>
              <w:t>P20230908014966</w:t>
            </w:r>
          </w:p>
        </w:tc>
      </w:tr>
    </w:tbl>
    <w:p w14:paraId="011D0A59" w14:textId="77777777" w:rsidR="00B5434E" w:rsidRPr="00C046D8" w:rsidRDefault="00B5434E" w:rsidP="00B5434E">
      <w:pPr>
        <w:contextualSpacing/>
        <w:jc w:val="both"/>
        <w:rPr>
          <w:rFonts w:ascii="Arial" w:eastAsia="Calibri" w:hAnsi="Arial" w:cs="Arial"/>
          <w:lang w:val="es-ES_tradnl" w:eastAsia="es-ES_tradnl"/>
        </w:rPr>
      </w:pPr>
    </w:p>
    <w:p w14:paraId="5222B818" w14:textId="77777777" w:rsidR="00B5434E" w:rsidRPr="00C046D8" w:rsidRDefault="00B5434E" w:rsidP="00B5434E">
      <w:pPr>
        <w:contextualSpacing/>
        <w:jc w:val="both"/>
        <w:rPr>
          <w:rFonts w:ascii="Arial" w:eastAsia="Calibri" w:hAnsi="Arial" w:cs="Arial"/>
          <w:lang w:val="es-ES_tradnl" w:eastAsia="es-ES_tradnl"/>
        </w:rPr>
      </w:pPr>
    </w:p>
    <w:p w14:paraId="18FD60AA" w14:textId="77777777" w:rsidR="00B5434E" w:rsidRPr="00C046D8" w:rsidRDefault="00B5434E" w:rsidP="00B5434E">
      <w:pPr>
        <w:contextualSpacing/>
        <w:jc w:val="both"/>
        <w:rPr>
          <w:rFonts w:ascii="Arial" w:eastAsia="Calibri" w:hAnsi="Arial" w:cs="Arial"/>
          <w:lang w:val="es-ES" w:eastAsia="es-ES"/>
        </w:rPr>
      </w:pPr>
      <w:r w:rsidRPr="293D6149">
        <w:rPr>
          <w:rFonts w:ascii="Arial" w:eastAsia="Calibri" w:hAnsi="Arial" w:cs="Arial"/>
          <w:lang w:val="es-ES" w:eastAsia="es-ES"/>
        </w:rPr>
        <w:t>Respetad</w:t>
      </w:r>
      <w:r>
        <w:rPr>
          <w:rFonts w:ascii="Arial" w:eastAsia="Calibri" w:hAnsi="Arial" w:cs="Arial"/>
          <w:lang w:val="es-ES" w:eastAsia="es-ES"/>
        </w:rPr>
        <w:t>o</w:t>
      </w:r>
      <w:r w:rsidRPr="293D6149">
        <w:rPr>
          <w:rFonts w:ascii="Arial" w:eastAsia="Calibri" w:hAnsi="Arial" w:cs="Arial"/>
          <w:lang w:val="es-ES" w:eastAsia="es-ES"/>
        </w:rPr>
        <w:t xml:space="preserve"> señor </w:t>
      </w:r>
      <w:r>
        <w:rPr>
          <w:rFonts w:ascii="Arial" w:eastAsia="Times New Roman" w:hAnsi="Arial" w:cs="Arial"/>
          <w:lang w:eastAsia="es-ES"/>
        </w:rPr>
        <w:t>Hernández</w:t>
      </w:r>
      <w:r w:rsidRPr="293D6149">
        <w:rPr>
          <w:rFonts w:ascii="Arial" w:eastAsia="Calibri" w:hAnsi="Arial" w:cs="Arial"/>
          <w:lang w:val="es-ES" w:eastAsia="es-ES"/>
        </w:rPr>
        <w:t>:</w:t>
      </w:r>
      <w:r>
        <w:rPr>
          <w:rFonts w:ascii="Arial" w:eastAsia="Calibri" w:hAnsi="Arial" w:cs="Arial"/>
          <w:lang w:val="es-ES" w:eastAsia="es-ES"/>
        </w:rPr>
        <w:t xml:space="preserve"> </w:t>
      </w:r>
    </w:p>
    <w:p w14:paraId="4B7226EF" w14:textId="77777777" w:rsidR="00B5434E" w:rsidRPr="00C046D8" w:rsidRDefault="00B5434E" w:rsidP="00B5434E">
      <w:pPr>
        <w:spacing w:line="276" w:lineRule="auto"/>
        <w:contextualSpacing/>
        <w:jc w:val="both"/>
        <w:rPr>
          <w:rFonts w:ascii="Arial" w:eastAsia="Calibri" w:hAnsi="Arial" w:cs="Arial"/>
          <w:szCs w:val="24"/>
          <w:lang w:val="es-ES_tradnl" w:eastAsia="es-ES_tradnl"/>
        </w:rPr>
      </w:pPr>
    </w:p>
    <w:bookmarkEnd w:id="0"/>
    <w:bookmarkEnd w:id="1"/>
    <w:p w14:paraId="754C7C1B" w14:textId="77777777" w:rsidR="00B5434E" w:rsidRDefault="00B5434E" w:rsidP="00B5434E">
      <w:pPr>
        <w:spacing w:after="0"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En ejercicio de la competencia otorgada por el numeral 8 del artículo 11 y el numeral 5 del artículo 3 del Decreto </w:t>
      </w:r>
      <w:r w:rsidRPr="00E87A11">
        <w:rPr>
          <w:rFonts w:ascii="Arial" w:eastAsia="Calibri" w:hAnsi="Arial" w:cs="Arial"/>
          <w:color w:val="000000" w:themeColor="text1"/>
          <w:lang w:val="es-ES_tradnl"/>
        </w:rPr>
        <w:t>Ley 4170 de 2011</w:t>
      </w:r>
      <w:bookmarkStart w:id="4" w:name="_Hlk99120496"/>
      <w:r w:rsidRPr="00E87A11">
        <w:rPr>
          <w:rFonts w:ascii="Arial MT" w:eastAsia="Arial MT" w:hAnsi="Arial MT" w:cs="Arial MT"/>
          <w:lang w:val="es-ES"/>
        </w:rPr>
        <w:t xml:space="preserve">, </w:t>
      </w:r>
      <w:bookmarkEnd w:id="4"/>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remitida mediante correo electrónico del 7 de septiembre de 2023.</w:t>
      </w:r>
    </w:p>
    <w:p w14:paraId="12421D7C" w14:textId="77777777" w:rsidR="00B5434E" w:rsidRPr="00262D58" w:rsidRDefault="00B5434E" w:rsidP="00B5434E">
      <w:pPr>
        <w:spacing w:after="0" w:line="276" w:lineRule="auto"/>
        <w:jc w:val="both"/>
        <w:rPr>
          <w:rFonts w:ascii="Arial" w:eastAsia="Calibri" w:hAnsi="Arial" w:cs="Arial"/>
          <w:b/>
          <w:color w:val="000000" w:themeColor="text1"/>
          <w:lang w:val="es-ES_tradnl"/>
        </w:rPr>
      </w:pPr>
    </w:p>
    <w:p w14:paraId="0D71D353" w14:textId="77777777" w:rsidR="00B5434E" w:rsidRPr="00262D58" w:rsidRDefault="00B5434E" w:rsidP="00B5434E">
      <w:pPr>
        <w:pStyle w:val="Prrafodelista"/>
        <w:numPr>
          <w:ilvl w:val="0"/>
          <w:numId w:val="16"/>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Problema</w:t>
      </w:r>
      <w:r>
        <w:rPr>
          <w:rFonts w:ascii="Arial" w:eastAsia="Calibri" w:hAnsi="Arial" w:cs="Arial"/>
          <w:b/>
          <w:color w:val="000000" w:themeColor="text1"/>
          <w:lang w:val="es-ES_tradnl"/>
        </w:rPr>
        <w:t>s</w:t>
      </w:r>
      <w:r w:rsidRPr="00262D58">
        <w:rPr>
          <w:rFonts w:ascii="Arial" w:eastAsia="Calibri" w:hAnsi="Arial" w:cs="Arial"/>
          <w:b/>
          <w:color w:val="000000" w:themeColor="text1"/>
          <w:lang w:val="es-ES_tradnl"/>
        </w:rPr>
        <w:t xml:space="preserve"> planteado</w:t>
      </w:r>
      <w:r>
        <w:rPr>
          <w:rFonts w:ascii="Arial" w:eastAsia="Calibri" w:hAnsi="Arial" w:cs="Arial"/>
          <w:b/>
          <w:color w:val="000000" w:themeColor="text1"/>
          <w:lang w:val="es-ES_tradnl"/>
        </w:rPr>
        <w:t>s</w:t>
      </w:r>
      <w:r w:rsidRPr="00262D58">
        <w:rPr>
          <w:rFonts w:ascii="Arial" w:eastAsia="Calibri" w:hAnsi="Arial" w:cs="Arial"/>
          <w:b/>
          <w:color w:val="000000" w:themeColor="text1"/>
          <w:lang w:val="es-ES_tradnl"/>
        </w:rPr>
        <w:t xml:space="preserve"> </w:t>
      </w:r>
    </w:p>
    <w:p w14:paraId="62C4D03F" w14:textId="77777777" w:rsidR="00B5434E" w:rsidRPr="00262D58" w:rsidRDefault="00B5434E" w:rsidP="00B5434E">
      <w:pPr>
        <w:tabs>
          <w:tab w:val="left" w:pos="426"/>
        </w:tabs>
        <w:spacing w:after="0" w:line="276" w:lineRule="auto"/>
        <w:jc w:val="both"/>
        <w:rPr>
          <w:rFonts w:ascii="Arial" w:eastAsia="Calibri" w:hAnsi="Arial" w:cs="Arial"/>
          <w:b/>
          <w:color w:val="000000" w:themeColor="text1"/>
          <w:lang w:val="es-ES_tradnl"/>
        </w:rPr>
      </w:pPr>
    </w:p>
    <w:p w14:paraId="3375EA76" w14:textId="77777777" w:rsidR="00B5434E" w:rsidRDefault="00B5434E" w:rsidP="00B5434E">
      <w:pPr>
        <w:spacing w:after="0" w:line="276" w:lineRule="auto"/>
        <w:jc w:val="both"/>
        <w:rPr>
          <w:rFonts w:ascii="Arial" w:hAnsi="Arial" w:cs="Arial"/>
          <w:color w:val="000000" w:themeColor="text1"/>
          <w:lang w:val="es-ES_tradnl"/>
        </w:rPr>
      </w:pPr>
      <w:r>
        <w:rPr>
          <w:rFonts w:ascii="Arial" w:hAnsi="Arial" w:cs="Arial"/>
          <w:color w:val="000000" w:themeColor="text1"/>
          <w:lang w:val="es-ES_tradnl"/>
        </w:rPr>
        <w:t>Conforme al numeral 16.1 de la anterior Circular Externa Única, usted manifiesta lo siguiente: “</w:t>
      </w:r>
      <w:r w:rsidRPr="00743B68">
        <w:rPr>
          <w:rFonts w:ascii="Arial" w:hAnsi="Arial" w:cs="Arial"/>
          <w:color w:val="000000" w:themeColor="text1"/>
          <w:lang w:val="es-ES_tradnl"/>
        </w:rPr>
        <w:t xml:space="preserve">La </w:t>
      </w:r>
      <w:r>
        <w:rPr>
          <w:rFonts w:ascii="Arial" w:hAnsi="Arial" w:cs="Arial"/>
          <w:color w:val="000000" w:themeColor="text1"/>
          <w:lang w:val="es-ES_tradnl"/>
        </w:rPr>
        <w:t>L</w:t>
      </w:r>
      <w:r w:rsidRPr="00743B68">
        <w:rPr>
          <w:rFonts w:ascii="Arial" w:hAnsi="Arial" w:cs="Arial"/>
          <w:color w:val="000000" w:themeColor="text1"/>
          <w:lang w:val="es-ES_tradnl"/>
        </w:rPr>
        <w:t>ey 2219 de 2022</w:t>
      </w:r>
      <w:r>
        <w:rPr>
          <w:rFonts w:ascii="Arial" w:hAnsi="Arial" w:cs="Arial"/>
          <w:color w:val="000000" w:themeColor="text1"/>
          <w:lang w:val="es-ES_tradnl"/>
        </w:rPr>
        <w:t xml:space="preserve"> [particularmente, el inciso primero del artículo 16]</w:t>
      </w:r>
      <w:r w:rsidRPr="00743B68">
        <w:rPr>
          <w:rFonts w:ascii="Arial" w:hAnsi="Arial" w:cs="Arial"/>
          <w:color w:val="000000" w:themeColor="text1"/>
          <w:lang w:val="es-ES_tradnl"/>
        </w:rPr>
        <w:t xml:space="preserve"> faculta a las entidades para promover </w:t>
      </w:r>
      <w:bookmarkStart w:id="5" w:name="_Hlk145407309"/>
      <w:r w:rsidRPr="00743B68">
        <w:rPr>
          <w:rFonts w:ascii="Arial" w:hAnsi="Arial" w:cs="Arial"/>
          <w:color w:val="000000" w:themeColor="text1"/>
          <w:lang w:val="es-ES_tradnl"/>
        </w:rPr>
        <w:t>convenios de asociación con asociaciones campesinas y agropecuarios (ESAL) en aras de su fortalecimiento</w:t>
      </w:r>
      <w:bookmarkEnd w:id="5"/>
      <w:r w:rsidRPr="00743B68">
        <w:rPr>
          <w:rFonts w:ascii="Arial" w:hAnsi="Arial" w:cs="Arial"/>
          <w:color w:val="000000" w:themeColor="text1"/>
          <w:lang w:val="es-ES_tradnl"/>
        </w:rPr>
        <w:t>. En este sentido ¿Es posible elaborar dichos convenios sin tener que recurrir al decreto 092 de 2017?</w:t>
      </w:r>
      <w:r>
        <w:rPr>
          <w:rFonts w:ascii="Arial" w:hAnsi="Arial" w:cs="Arial"/>
          <w:color w:val="000000" w:themeColor="text1"/>
          <w:lang w:val="es-ES_tradnl"/>
        </w:rPr>
        <w:t>” (Corchetes fuera de texto).</w:t>
      </w:r>
    </w:p>
    <w:p w14:paraId="4DB08815" w14:textId="77777777" w:rsidR="00B5434E" w:rsidRDefault="00B5434E" w:rsidP="00B5434E">
      <w:pPr>
        <w:spacing w:after="0" w:line="276" w:lineRule="auto"/>
        <w:jc w:val="both"/>
        <w:rPr>
          <w:rFonts w:ascii="Arial" w:hAnsi="Arial" w:cs="Arial"/>
          <w:color w:val="000000" w:themeColor="text1"/>
          <w:lang w:val="es-ES_tradnl"/>
        </w:rPr>
      </w:pPr>
    </w:p>
    <w:p w14:paraId="086177F5" w14:textId="77777777" w:rsidR="00B5434E" w:rsidRPr="00262D58" w:rsidRDefault="00B5434E" w:rsidP="00B5434E">
      <w:pPr>
        <w:pStyle w:val="Prrafodelista"/>
        <w:numPr>
          <w:ilvl w:val="0"/>
          <w:numId w:val="16"/>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Consideraciones</w:t>
      </w:r>
    </w:p>
    <w:p w14:paraId="1E439BD1" w14:textId="77777777" w:rsidR="00B5434E" w:rsidRDefault="00B5434E" w:rsidP="00B5434E">
      <w:pPr>
        <w:spacing w:after="0" w:line="276" w:lineRule="auto"/>
        <w:jc w:val="both"/>
        <w:rPr>
          <w:rFonts w:ascii="Arial" w:eastAsia="Calibri" w:hAnsi="Arial" w:cs="Arial"/>
          <w:color w:val="000000" w:themeColor="text1"/>
          <w:lang w:val="es-ES_tradnl"/>
        </w:rPr>
      </w:pPr>
    </w:p>
    <w:p w14:paraId="22BD620A" w14:textId="77777777" w:rsidR="00B5434E" w:rsidRPr="00DE7E39" w:rsidRDefault="00B5434E" w:rsidP="00B5434E">
      <w:pPr>
        <w:spacing w:after="120" w:line="276" w:lineRule="auto"/>
        <w:jc w:val="both"/>
        <w:rPr>
          <w:rFonts w:ascii="Arial" w:hAnsi="Arial" w:cs="Arial"/>
          <w:lang w:val="es-ES"/>
        </w:rPr>
      </w:pPr>
      <w:r w:rsidRPr="00DE7E39">
        <w:rPr>
          <w:rFonts w:ascii="Arial" w:hAnsi="Arial" w:cs="Arial"/>
          <w:bCs/>
        </w:rPr>
        <w:lastRenderedPageBreak/>
        <w:t xml:space="preserve">En ejercicio de las competencias establecidas en los artículos 3.5 y 11.8 del Decreto 4170 de 2011, la Agencia Nacional de Contratación Pública – Colombia Compra Eficiente resuelve consultas sobre </w:t>
      </w:r>
      <w:r w:rsidRPr="00DE7E39">
        <w:rPr>
          <w:rFonts w:ascii="Arial" w:hAnsi="Arial" w:cs="Arial"/>
          <w:lang w:val="es-ES"/>
        </w:rPr>
        <w:t xml:space="preserve">la aplicación de normas de carácter general en materia de compras y contratación pública. En ese sentido, resolver casos particulares </w:t>
      </w:r>
      <w:r>
        <w:rPr>
          <w:rFonts w:ascii="Arial" w:hAnsi="Arial" w:cs="Arial"/>
          <w:lang w:val="es-ES"/>
        </w:rPr>
        <w:t xml:space="preserve">o interpretar normas ajenas al sistema de compras públicas </w:t>
      </w:r>
      <w:r w:rsidRPr="00DE7E39">
        <w:rPr>
          <w:rFonts w:ascii="Arial" w:hAnsi="Arial" w:cs="Arial"/>
          <w:lang w:val="es-ES"/>
        </w:rPr>
        <w:t>desborda las atribuciones asignadas por el legislador extraordinario, que no concibió a Colombia Compra Eficiente como una autoridad para solucionar problemas jurídicos concretos</w:t>
      </w:r>
      <w:r w:rsidRPr="00DE7E39">
        <w:rPr>
          <w:rFonts w:ascii="Arial" w:hAnsi="Arial" w:cs="Arial"/>
          <w:bCs/>
        </w:rPr>
        <w:t xml:space="preserve"> de todos los partícipes de la contratación estatal</w:t>
      </w:r>
      <w:r>
        <w:rPr>
          <w:rFonts w:ascii="Arial" w:hAnsi="Arial" w:cs="Arial"/>
          <w:bCs/>
        </w:rPr>
        <w:t xml:space="preserve"> ni establecer el alcance de cualquier norma vigente en el ordenamiento jurídico</w:t>
      </w:r>
      <w:r w:rsidRPr="00DE7E39">
        <w:rPr>
          <w:rFonts w:ascii="Arial" w:hAnsi="Arial" w:cs="Arial"/>
          <w:bCs/>
        </w:rPr>
        <w:t>.</w:t>
      </w:r>
    </w:p>
    <w:p w14:paraId="37052ADF" w14:textId="77777777" w:rsidR="00382C5C" w:rsidRDefault="00B5434E" w:rsidP="00B5434E">
      <w:pPr>
        <w:spacing w:after="120" w:line="276" w:lineRule="auto"/>
        <w:ind w:firstLine="708"/>
        <w:jc w:val="both"/>
        <w:rPr>
          <w:rFonts w:ascii="Arial" w:hAnsi="Arial" w:cs="Arial"/>
          <w:lang w:val="es-ES"/>
        </w:rPr>
      </w:pPr>
      <w:r w:rsidRPr="00DE7E39">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E7E39">
        <w:rPr>
          <w:rFonts w:ascii="Arial" w:hAnsi="Arial" w:cs="Arial"/>
          <w:vertAlign w:val="superscript"/>
          <w:lang w:val="es-ES"/>
        </w:rPr>
        <w:footnoteReference w:id="1"/>
      </w:r>
      <w:r w:rsidRPr="00DE7E39">
        <w:rPr>
          <w:rFonts w:ascii="Arial" w:hAnsi="Arial" w:cs="Arial"/>
          <w:lang w:val="es-ES"/>
        </w:rPr>
        <w:t>. Esta competencia de interpretación de normas generales, por definición, no puede extenderse a la resolución de controversias</w:t>
      </w:r>
      <w:r>
        <w:rPr>
          <w:rFonts w:ascii="Arial" w:hAnsi="Arial" w:cs="Arial"/>
          <w:lang w:val="es-ES"/>
        </w:rPr>
        <w:t xml:space="preserve">, </w:t>
      </w:r>
      <w:r w:rsidRPr="00DE7E39">
        <w:rPr>
          <w:rFonts w:ascii="Arial" w:hAnsi="Arial" w:cs="Arial"/>
          <w:lang w:val="es-ES"/>
        </w:rPr>
        <w:t>brindar asesorías sobre casos puntuales</w:t>
      </w:r>
      <w:r>
        <w:rPr>
          <w:rFonts w:ascii="Arial" w:hAnsi="Arial" w:cs="Arial"/>
          <w:lang w:val="es-ES"/>
        </w:rPr>
        <w:t xml:space="preserve"> ni, mucho menos, interpretar cualquier disposición que no esté directamente relacionada con el sistema de compras</w:t>
      </w:r>
      <w:r w:rsidRPr="00DE7E39">
        <w:rPr>
          <w:rFonts w:ascii="Arial" w:hAnsi="Arial" w:cs="Arial"/>
          <w:lang w:val="es-ES"/>
        </w:rPr>
        <w:t>.</w:t>
      </w:r>
      <w:r>
        <w:rPr>
          <w:rFonts w:ascii="Arial" w:hAnsi="Arial" w:cs="Arial"/>
          <w:lang w:val="es-ES"/>
        </w:rPr>
        <w:t xml:space="preserve"> Este último es el caso de los “programas especiales” de que trata el inciso primero del artículo 16 de la Ley 1219 de 2022, “</w:t>
      </w:r>
      <w:r w:rsidRPr="00743B68">
        <w:rPr>
          <w:rFonts w:ascii="Arial" w:hAnsi="Arial" w:cs="Arial"/>
          <w:lang w:val="es-ES"/>
        </w:rPr>
        <w:t>por la cual se dictan normas para la constitución y operación de las asociaciones campesinas y de las asociaciones agropecuarias, se facilitan sus relaciones con la administración pública, y se dictan otras disposiciones</w:t>
      </w:r>
      <w:r>
        <w:rPr>
          <w:rFonts w:ascii="Arial" w:hAnsi="Arial" w:cs="Arial"/>
          <w:lang w:val="es-ES"/>
        </w:rPr>
        <w:t>”</w:t>
      </w:r>
      <w:r>
        <w:rPr>
          <w:rStyle w:val="Refdenotaalpie"/>
          <w:rFonts w:ascii="Arial" w:hAnsi="Arial" w:cs="Arial"/>
          <w:lang w:val="es-ES"/>
        </w:rPr>
        <w:footnoteReference w:id="2"/>
      </w:r>
      <w:r w:rsidRPr="00743B68">
        <w:rPr>
          <w:rFonts w:ascii="Arial" w:hAnsi="Arial" w:cs="Arial"/>
          <w:lang w:val="es-ES"/>
        </w:rPr>
        <w:t>.</w:t>
      </w:r>
      <w:r>
        <w:rPr>
          <w:rFonts w:ascii="Arial" w:hAnsi="Arial" w:cs="Arial"/>
          <w:lang w:val="es-ES"/>
        </w:rPr>
        <w:t xml:space="preserve"> </w:t>
      </w:r>
    </w:p>
    <w:p w14:paraId="5666ED8D" w14:textId="7824CE24" w:rsidR="00B5434E" w:rsidRPr="00743B68" w:rsidRDefault="00B5434E" w:rsidP="00B5434E">
      <w:pPr>
        <w:spacing w:after="120" w:line="276" w:lineRule="auto"/>
        <w:ind w:firstLine="708"/>
        <w:jc w:val="both"/>
        <w:rPr>
          <w:rFonts w:ascii="Arial" w:hAnsi="Arial" w:cs="Arial"/>
          <w:lang w:val="es-ES"/>
        </w:rPr>
      </w:pPr>
      <w:r>
        <w:rPr>
          <w:rFonts w:ascii="Arial" w:hAnsi="Arial" w:cs="Arial"/>
          <w:lang w:val="es-ES"/>
        </w:rPr>
        <w:t xml:space="preserve">Como se observa, esta norma no se refiere explícitamente a la suscripción de contratos ni convenios y, por tanto, la Agencia carece de atribuciones para pronunciarse sobre su alcance. </w:t>
      </w:r>
      <w:r w:rsidRPr="00DE7E39">
        <w:rPr>
          <w:rFonts w:ascii="Arial" w:hAnsi="Arial" w:cs="Arial"/>
          <w:lang w:val="es-ES"/>
        </w:rPr>
        <w:t xml:space="preserve">Por lo anterior, previo concepto de sus órganos asesores, la solución </w:t>
      </w:r>
      <w:r>
        <w:rPr>
          <w:rFonts w:ascii="Arial" w:hAnsi="Arial" w:cs="Arial"/>
          <w:lang w:val="es-ES"/>
        </w:rPr>
        <w:t>de casos particulares o la interpretación de disposiciones de otros subsistemas normativos</w:t>
      </w:r>
      <w:r w:rsidRPr="00DE7E39">
        <w:rPr>
          <w:rFonts w:ascii="Arial" w:hAnsi="Arial" w:cs="Arial"/>
          <w:lang w:val="es-ES"/>
        </w:rPr>
        <w:t xml:space="preserve"> corresponde</w:t>
      </w:r>
      <w:r>
        <w:rPr>
          <w:rFonts w:ascii="Arial" w:hAnsi="Arial" w:cs="Arial"/>
          <w:lang w:val="es-ES"/>
        </w:rPr>
        <w:t>n</w:t>
      </w:r>
      <w:r w:rsidRPr="00DE7E39">
        <w:rPr>
          <w:rFonts w:ascii="Arial" w:hAnsi="Arial" w:cs="Arial"/>
          <w:lang w:val="es-ES"/>
        </w:rPr>
        <w:t xml:space="preserve"> a la entidad de adoptar la decisión correspondiente y, en caso de conflicto, a las autoridades judiciales, fiscales y disciplinarias. </w:t>
      </w:r>
    </w:p>
    <w:p w14:paraId="45B424D8" w14:textId="77777777" w:rsidR="00B5434E" w:rsidRDefault="00B5434E" w:rsidP="00B5434E">
      <w:pPr>
        <w:spacing w:after="120" w:line="276" w:lineRule="auto"/>
        <w:ind w:firstLine="709"/>
        <w:jc w:val="both"/>
        <w:rPr>
          <w:rFonts w:ascii="Arial" w:hAnsi="Arial" w:cs="Arial"/>
          <w:bCs/>
          <w:color w:val="000000" w:themeColor="text1"/>
          <w:lang w:val="es-ES_tradnl"/>
        </w:rPr>
      </w:pPr>
      <w:r w:rsidRPr="00DE7E39">
        <w:rPr>
          <w:rFonts w:ascii="Arial" w:eastAsia="Calibri" w:hAnsi="Arial" w:cs="Arial"/>
        </w:rPr>
        <w:t xml:space="preserve">Sin perjuicio de lo anterior, </w:t>
      </w:r>
      <w:r w:rsidRPr="00DE7E39">
        <w:rPr>
          <w:rFonts w:ascii="Arial" w:eastAsia="Calibri" w:hAnsi="Arial" w:cs="Arial"/>
          <w:lang w:val="es-ES"/>
        </w:rPr>
        <w:t xml:space="preserve">la Agencia –dentro de los límites de sus atribuciones, es decir, </w:t>
      </w:r>
      <w:bookmarkStart w:id="6" w:name="_Hlk61025408"/>
      <w:r w:rsidRPr="00DE7E39">
        <w:rPr>
          <w:rFonts w:ascii="Arial" w:eastAsia="Calibri" w:hAnsi="Arial" w:cs="Arial"/>
          <w:lang w:val="es-ES"/>
        </w:rPr>
        <w:t xml:space="preserve">haciendo abstracción del caso particular </w:t>
      </w:r>
      <w:bookmarkEnd w:id="6"/>
      <w:r w:rsidRPr="00DE7E39">
        <w:rPr>
          <w:rFonts w:ascii="Arial" w:eastAsia="Calibri" w:hAnsi="Arial" w:cs="Arial"/>
          <w:lang w:val="es-ES"/>
        </w:rPr>
        <w:t xml:space="preserve">expuesto en la petición– resolverá la consulta </w:t>
      </w:r>
      <w:r>
        <w:rPr>
          <w:rFonts w:ascii="Arial" w:eastAsia="Calibri" w:hAnsi="Arial" w:cs="Arial"/>
          <w:lang w:val="es-ES"/>
        </w:rPr>
        <w:t xml:space="preserve">únicamente </w:t>
      </w:r>
      <w:r w:rsidRPr="00DE7E39">
        <w:rPr>
          <w:rFonts w:ascii="Arial" w:eastAsia="Calibri" w:hAnsi="Arial" w:cs="Arial"/>
          <w:lang w:val="es-ES"/>
        </w:rPr>
        <w:t xml:space="preserve">conforme a las normas generales del sistema de compras públicas. </w:t>
      </w:r>
      <w:r w:rsidRPr="00DE7E39">
        <w:rPr>
          <w:rFonts w:ascii="Arial" w:eastAsia="Calibri" w:hAnsi="Arial" w:cs="Arial"/>
          <w:lang w:val="es-ES"/>
        </w:rPr>
        <w:lastRenderedPageBreak/>
        <w:t>Con este objetivo se analizarán los siguientes temas:</w:t>
      </w:r>
      <w:r w:rsidRPr="00DE7E39">
        <w:rPr>
          <w:rFonts w:ascii="Arial" w:hAnsi="Arial" w:cs="Arial"/>
          <w:color w:val="000000" w:themeColor="text1"/>
          <w:lang w:val="es-ES_tradnl"/>
        </w:rPr>
        <w:t xml:space="preserve"> i) </w:t>
      </w:r>
      <w:r w:rsidRPr="00DE7E39">
        <w:rPr>
          <w:rFonts w:ascii="Arial" w:hAnsi="Arial" w:cs="Arial"/>
          <w:bCs/>
          <w:color w:val="000000" w:themeColor="text1"/>
          <w:lang w:val="es-ES_tradnl"/>
        </w:rPr>
        <w:t xml:space="preserve">diferencias entre los contratos del artículo 355 de la Constitución Política y los convenios de asociación del artículo 96 de la Ley 489 de 1998 y ii) suspensión provisional de algunas normas del Decreto 092 de 2017. </w:t>
      </w:r>
    </w:p>
    <w:p w14:paraId="2AF65E84" w14:textId="3FE6CBC5" w:rsidR="00B5434E" w:rsidRDefault="00B5434E" w:rsidP="00B5434E">
      <w:pPr>
        <w:spacing w:after="0" w:line="276" w:lineRule="auto"/>
        <w:ind w:firstLine="709"/>
        <w:jc w:val="both"/>
        <w:rPr>
          <w:rFonts w:ascii="Arial" w:hAnsi="Arial" w:cs="Arial"/>
        </w:rPr>
      </w:pPr>
      <w:r w:rsidRPr="00DE7E39">
        <w:rPr>
          <w:rFonts w:ascii="Arial" w:hAnsi="Arial" w:cs="Arial"/>
        </w:rPr>
        <w:t>La Agencia Nacional de Contratación Pública – Colombia Compra Eficiente se ha pronunciado en diferentes conceptos sobre la contratación con entidades privadas sin ánimo de lucro y de reconocida idoneidad –desde ahora ESAL–, con fundamento en el Decreto 092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w:t>
      </w:r>
      <w:r>
        <w:rPr>
          <w:rFonts w:ascii="Arial" w:hAnsi="Arial" w:cs="Arial"/>
        </w:rPr>
        <w:t xml:space="preserve">, </w:t>
      </w:r>
      <w:r w:rsidRPr="00DE7E39">
        <w:rPr>
          <w:rFonts w:ascii="Arial" w:hAnsi="Arial" w:cs="Arial"/>
        </w:rPr>
        <w:t xml:space="preserve"> C-021 del 22 de febrero de 2022</w:t>
      </w:r>
      <w:r>
        <w:rPr>
          <w:rFonts w:ascii="Arial" w:hAnsi="Arial" w:cs="Arial"/>
        </w:rPr>
        <w:t xml:space="preserve">, </w:t>
      </w:r>
      <w:r w:rsidRPr="0031022D">
        <w:rPr>
          <w:rFonts w:ascii="Arial" w:hAnsi="Arial" w:cs="Arial"/>
        </w:rPr>
        <w:t>C-236</w:t>
      </w:r>
      <w:r>
        <w:rPr>
          <w:rFonts w:ascii="Arial" w:hAnsi="Arial" w:cs="Arial"/>
        </w:rPr>
        <w:t xml:space="preserve"> del 27 de abril de 2022, </w:t>
      </w:r>
      <w:r w:rsidRPr="0031022D">
        <w:rPr>
          <w:rFonts w:ascii="Arial" w:hAnsi="Arial" w:cs="Arial"/>
        </w:rPr>
        <w:t>C-273</w:t>
      </w:r>
      <w:r>
        <w:rPr>
          <w:rFonts w:ascii="Arial" w:hAnsi="Arial" w:cs="Arial"/>
        </w:rPr>
        <w:t xml:space="preserve"> del 6 de mayo de 2022, </w:t>
      </w:r>
      <w:r w:rsidRPr="0031022D">
        <w:rPr>
          <w:rFonts w:ascii="Arial" w:hAnsi="Arial" w:cs="Arial"/>
        </w:rPr>
        <w:t>C-274</w:t>
      </w:r>
      <w:r>
        <w:rPr>
          <w:rFonts w:ascii="Arial" w:hAnsi="Arial" w:cs="Arial"/>
        </w:rPr>
        <w:t xml:space="preserve"> del 6 de mayo de 2022, </w:t>
      </w:r>
      <w:r w:rsidRPr="0031022D">
        <w:rPr>
          <w:rFonts w:ascii="Arial" w:hAnsi="Arial" w:cs="Arial"/>
        </w:rPr>
        <w:t>C-291</w:t>
      </w:r>
      <w:r>
        <w:rPr>
          <w:rFonts w:ascii="Arial" w:hAnsi="Arial" w:cs="Arial"/>
        </w:rPr>
        <w:t xml:space="preserve"> del 18 de mayo de 2022, </w:t>
      </w:r>
      <w:r w:rsidRPr="0031022D">
        <w:rPr>
          <w:rFonts w:ascii="Arial" w:hAnsi="Arial" w:cs="Arial"/>
        </w:rPr>
        <w:t>C-331</w:t>
      </w:r>
      <w:r>
        <w:rPr>
          <w:rFonts w:ascii="Arial" w:hAnsi="Arial" w:cs="Arial"/>
        </w:rPr>
        <w:t xml:space="preserve"> del 24 de mayo de 2022, </w:t>
      </w:r>
      <w:r w:rsidRPr="0031022D">
        <w:rPr>
          <w:rFonts w:ascii="Arial" w:hAnsi="Arial" w:cs="Arial"/>
        </w:rPr>
        <w:t>C-477</w:t>
      </w:r>
      <w:r>
        <w:rPr>
          <w:rFonts w:ascii="Arial" w:hAnsi="Arial" w:cs="Arial"/>
        </w:rPr>
        <w:t xml:space="preserve"> del 26 de julio de 2022, </w:t>
      </w:r>
      <w:r w:rsidRPr="0031022D">
        <w:rPr>
          <w:rFonts w:ascii="Arial" w:hAnsi="Arial" w:cs="Arial"/>
        </w:rPr>
        <w:t>C-550</w:t>
      </w:r>
      <w:r>
        <w:rPr>
          <w:rFonts w:ascii="Arial" w:hAnsi="Arial" w:cs="Arial"/>
        </w:rPr>
        <w:t xml:space="preserve"> del 31 de agosto de 2022, </w:t>
      </w:r>
      <w:r w:rsidRPr="0031022D">
        <w:rPr>
          <w:rFonts w:ascii="Arial" w:hAnsi="Arial" w:cs="Arial"/>
        </w:rPr>
        <w:t>C-560</w:t>
      </w:r>
      <w:r>
        <w:rPr>
          <w:rFonts w:ascii="Arial" w:hAnsi="Arial" w:cs="Arial"/>
        </w:rPr>
        <w:t xml:space="preserve"> del 7 de septiembre de 2022, </w:t>
      </w:r>
      <w:r w:rsidRPr="0031022D">
        <w:rPr>
          <w:rFonts w:ascii="Arial" w:hAnsi="Arial" w:cs="Arial"/>
        </w:rPr>
        <w:t>C-624</w:t>
      </w:r>
      <w:r>
        <w:rPr>
          <w:rFonts w:ascii="Arial" w:hAnsi="Arial" w:cs="Arial"/>
        </w:rPr>
        <w:t xml:space="preserve"> del 28 de septiembre de 2022, </w:t>
      </w:r>
      <w:r w:rsidRPr="0031022D">
        <w:rPr>
          <w:rFonts w:ascii="Arial" w:hAnsi="Arial" w:cs="Arial"/>
        </w:rPr>
        <w:t>C-771</w:t>
      </w:r>
      <w:r>
        <w:rPr>
          <w:rFonts w:ascii="Arial" w:hAnsi="Arial" w:cs="Arial"/>
        </w:rPr>
        <w:t xml:space="preserve"> del 30 de diciembre de 2022 y </w:t>
      </w:r>
      <w:r w:rsidRPr="0031022D">
        <w:rPr>
          <w:rFonts w:ascii="Arial" w:hAnsi="Arial" w:cs="Arial"/>
        </w:rPr>
        <w:t>C-853</w:t>
      </w:r>
      <w:r>
        <w:rPr>
          <w:rFonts w:ascii="Arial" w:hAnsi="Arial" w:cs="Arial"/>
        </w:rPr>
        <w:t xml:space="preserve"> del 9 de diciembre de 2022</w:t>
      </w:r>
      <w:r w:rsidRPr="00781AC2">
        <w:rPr>
          <w:rStyle w:val="Refdenotaalpie"/>
          <w:rFonts w:ascii="Arial" w:eastAsia="Calibri" w:hAnsi="Arial" w:cs="Arial"/>
        </w:rPr>
        <w:footnoteReference w:id="3"/>
      </w:r>
      <w:r>
        <w:rPr>
          <w:rFonts w:ascii="Arial" w:hAnsi="Arial" w:cs="Arial"/>
        </w:rPr>
        <w:t xml:space="preserve">. </w:t>
      </w:r>
      <w:r w:rsidRPr="00504DCE">
        <w:rPr>
          <w:rFonts w:ascii="Arial" w:hAnsi="Arial" w:cs="Arial"/>
        </w:rPr>
        <w:t>Las tesis propuestas en tales conceptos se reiteran a continuación y se complementan en lo pertinente, teniendo en cuenta que la Sala Plena del Consejo de Estado resolvió el recurso de súplica interpuesto contra el Auto del 6 de agosto de 2019 de la Subsección A de la Sección Tercera.</w:t>
      </w:r>
    </w:p>
    <w:p w14:paraId="4894C4F2" w14:textId="77777777" w:rsidR="00B5434E" w:rsidRDefault="00B5434E" w:rsidP="00B5434E">
      <w:pPr>
        <w:spacing w:after="0" w:line="276" w:lineRule="auto"/>
        <w:ind w:firstLine="709"/>
        <w:jc w:val="both"/>
        <w:rPr>
          <w:rFonts w:ascii="Arial" w:hAnsi="Arial" w:cs="Arial"/>
        </w:rPr>
      </w:pPr>
    </w:p>
    <w:p w14:paraId="0E544D56" w14:textId="77777777" w:rsidR="00B5434E" w:rsidRPr="00D95705" w:rsidRDefault="00B5434E" w:rsidP="00B5434E">
      <w:pPr>
        <w:spacing w:after="0" w:line="276" w:lineRule="auto"/>
        <w:jc w:val="both"/>
        <w:rPr>
          <w:rFonts w:ascii="Arial" w:hAnsi="Arial" w:cs="Arial"/>
          <w:b/>
          <w:bCs/>
        </w:rPr>
      </w:pPr>
      <w:r w:rsidRPr="00D95705">
        <w:rPr>
          <w:rFonts w:ascii="Arial" w:hAnsi="Arial" w:cs="Arial"/>
          <w:b/>
          <w:bCs/>
        </w:rPr>
        <w:t xml:space="preserve">1. </w:t>
      </w:r>
      <w:r>
        <w:rPr>
          <w:rFonts w:ascii="Arial" w:hAnsi="Arial" w:cs="Arial"/>
          <w:b/>
          <w:bCs/>
        </w:rPr>
        <w:t>D</w:t>
      </w:r>
      <w:r w:rsidRPr="00D95705">
        <w:rPr>
          <w:rFonts w:ascii="Arial" w:hAnsi="Arial" w:cs="Arial"/>
          <w:b/>
          <w:bCs/>
        </w:rPr>
        <w:t>iferencias entre los contratos del artículo 355 de la Constitución Política y los convenios de asociación del artículo 96 de la Ley 489 de 1998</w:t>
      </w:r>
    </w:p>
    <w:p w14:paraId="5327926A" w14:textId="77777777" w:rsidR="00B5434E" w:rsidRDefault="00B5434E" w:rsidP="00B5434E">
      <w:pPr>
        <w:spacing w:after="0" w:line="276" w:lineRule="auto"/>
        <w:jc w:val="both"/>
        <w:rPr>
          <w:rFonts w:ascii="Arial" w:eastAsia="Calibri" w:hAnsi="Arial" w:cs="Arial"/>
          <w:bCs/>
          <w:lang w:val="es-ES_tradnl"/>
        </w:rPr>
      </w:pPr>
    </w:p>
    <w:p w14:paraId="3028D2DC" w14:textId="77777777" w:rsidR="00B5434E" w:rsidRPr="00DE7E39" w:rsidRDefault="00B5434E" w:rsidP="00B5434E">
      <w:pPr>
        <w:spacing w:line="276" w:lineRule="auto"/>
        <w:jc w:val="both"/>
        <w:rPr>
          <w:rFonts w:ascii="Arial" w:eastAsia="Calibri" w:hAnsi="Arial" w:cs="Arial"/>
          <w:bCs/>
          <w:lang w:val="es-ES_tradnl"/>
        </w:rPr>
      </w:pPr>
      <w:r w:rsidRPr="00DE7E39">
        <w:rPr>
          <w:rFonts w:ascii="Arial" w:eastAsia="Calibri" w:hAnsi="Arial"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DE7E39">
        <w:rPr>
          <w:rStyle w:val="Refdenotaalpie"/>
          <w:rFonts w:ascii="Arial" w:hAnsi="Arial" w:cs="Arial"/>
        </w:rPr>
        <w:footnoteReference w:id="4"/>
      </w:r>
      <w:r w:rsidRPr="00DE7E39">
        <w:rPr>
          <w:rFonts w:ascii="Arial" w:eastAsia="Calibri" w:hAnsi="Arial" w:cs="Arial"/>
          <w:bCs/>
          <w:lang w:val="es-ES_tradnl"/>
        </w:rPr>
        <w:t xml:space="preserve">. Por otra parte, el artículo 96 de la Ley 489 de 1998 permite a las entidades </w:t>
      </w:r>
      <w:r w:rsidRPr="00DE7E39">
        <w:rPr>
          <w:rFonts w:ascii="Arial" w:eastAsia="Calibri" w:hAnsi="Arial" w:cs="Arial"/>
          <w:bCs/>
          <w:lang w:val="es-ES_tradnl"/>
        </w:rPr>
        <w:lastRenderedPageBreak/>
        <w:t>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DE7E39">
        <w:rPr>
          <w:rStyle w:val="Refdenotaalpie"/>
          <w:rFonts w:ascii="Arial" w:eastAsia="Calibri" w:hAnsi="Arial" w:cs="Arial"/>
          <w:bCs/>
          <w:lang w:val="es-ES_tradnl"/>
        </w:rPr>
        <w:footnoteReference w:id="5"/>
      </w:r>
      <w:r w:rsidRPr="00DE7E39">
        <w:rPr>
          <w:rFonts w:ascii="Arial" w:eastAsia="Calibri" w:hAnsi="Arial" w:cs="Arial"/>
          <w:bCs/>
          <w:lang w:val="es-ES_tradnl"/>
        </w:rPr>
        <w:t>.</w:t>
      </w:r>
    </w:p>
    <w:p w14:paraId="292E2068" w14:textId="77777777" w:rsidR="00B5434E" w:rsidRPr="00DE7E39" w:rsidRDefault="00B5434E" w:rsidP="00B5434E">
      <w:pPr>
        <w:spacing w:before="120" w:after="120" w:line="276" w:lineRule="auto"/>
        <w:ind w:firstLine="709"/>
        <w:jc w:val="both"/>
        <w:rPr>
          <w:rFonts w:ascii="Arial" w:eastAsia="Calibri" w:hAnsi="Arial" w:cs="Arial"/>
          <w:bCs/>
          <w:lang w:val="es-ES_tradnl"/>
        </w:rPr>
      </w:pPr>
      <w:bookmarkStart w:id="8" w:name="_Hlk38819155"/>
      <w:r w:rsidRPr="00DE7E39">
        <w:rPr>
          <w:rFonts w:ascii="Arial" w:eastAsia="Calibri" w:hAnsi="Arial" w:cs="Arial"/>
          <w:bCs/>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8"/>
    </w:p>
    <w:p w14:paraId="699E117E" w14:textId="77777777" w:rsidR="00B5434E" w:rsidRPr="00DE7E39" w:rsidRDefault="00B5434E" w:rsidP="00B5434E">
      <w:pPr>
        <w:spacing w:before="120" w:after="120" w:line="276" w:lineRule="auto"/>
        <w:ind w:firstLine="709"/>
        <w:jc w:val="both"/>
        <w:rPr>
          <w:rFonts w:ascii="Arial" w:eastAsia="Calibri" w:hAnsi="Arial" w:cs="Arial"/>
          <w:bCs/>
          <w:lang w:val="es-ES_tradnl"/>
        </w:rPr>
      </w:pPr>
      <w:bookmarkStart w:id="9" w:name="_Hlk95756032"/>
      <w:r w:rsidRPr="00DE7E39">
        <w:rPr>
          <w:rFonts w:ascii="Arial" w:eastAsia="Calibri" w:hAnsi="Arial" w:cs="Arial"/>
          <w:bCs/>
          <w:lang w:val="es-ES_tradnl"/>
        </w:rPr>
        <w:t xml:space="preserve">Los </w:t>
      </w:r>
      <w:r w:rsidRPr="00DE7E39">
        <w:rPr>
          <w:rFonts w:ascii="Arial" w:eastAsia="Calibri" w:hAnsi="Arial" w:cs="Arial"/>
          <w:bCs/>
          <w:i/>
          <w:lang w:val="es-ES_tradnl"/>
        </w:rPr>
        <w:t>contratos del artículo 355 de la Constitución Política</w:t>
      </w:r>
      <w:r w:rsidRPr="00DE7E39">
        <w:rPr>
          <w:rFonts w:ascii="Arial" w:eastAsia="Calibri" w:hAnsi="Arial" w:cs="Arial"/>
          <w:bCs/>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9"/>
    <w:p w14:paraId="7011F533" w14:textId="77777777" w:rsidR="00B5434E" w:rsidRPr="00DE7E39" w:rsidRDefault="00B5434E" w:rsidP="00B5434E">
      <w:pPr>
        <w:spacing w:before="120" w:after="120" w:line="276" w:lineRule="auto"/>
        <w:ind w:firstLine="709"/>
        <w:jc w:val="both"/>
        <w:rPr>
          <w:rFonts w:ascii="Arial" w:eastAsia="Calibri" w:hAnsi="Arial" w:cs="Arial"/>
          <w:bCs/>
          <w:lang w:val="es-ES_tradnl"/>
        </w:rPr>
      </w:pPr>
      <w:r w:rsidRPr="00DE7E39">
        <w:rPr>
          <w:rFonts w:ascii="Arial" w:eastAsia="Calibri" w:hAnsi="Arial" w:cs="Arial"/>
          <w:bCs/>
          <w:lang w:val="es-ES_tradnl"/>
        </w:rPr>
        <w:t xml:space="preserve">De otro lado, los </w:t>
      </w:r>
      <w:r w:rsidRPr="00DE7E39">
        <w:rPr>
          <w:rFonts w:ascii="Arial" w:eastAsia="Calibri" w:hAnsi="Arial" w:cs="Arial"/>
          <w:bCs/>
          <w:i/>
          <w:lang w:val="es-ES_tradnl"/>
        </w:rPr>
        <w:t>convenios de asociación</w:t>
      </w:r>
      <w:r w:rsidRPr="00DE7E39">
        <w:rPr>
          <w:rFonts w:ascii="Arial" w:eastAsia="Calibri" w:hAnsi="Arial" w:cs="Arial"/>
          <w:bCs/>
          <w:lang w:val="es-ES_tradnl"/>
        </w:rPr>
        <w:t xml:space="preserve"> </w:t>
      </w:r>
      <w:r>
        <w:rPr>
          <w:rFonts w:ascii="Arial" w:eastAsia="Calibri" w:hAnsi="Arial" w:cs="Arial"/>
          <w:bCs/>
          <w:lang w:val="es-ES_tradnl"/>
        </w:rPr>
        <w:t>“</w:t>
      </w:r>
      <w:r w:rsidRPr="00DE7E39">
        <w:rPr>
          <w:rFonts w:ascii="Arial" w:eastAsia="Calibri" w:hAnsi="Arial" w:cs="Arial"/>
          <w:bCs/>
          <w:lang w:val="es-ES_tradnl"/>
        </w:rPr>
        <w:t>[t]</w:t>
      </w:r>
      <w:proofErr w:type="spellStart"/>
      <w:r w:rsidRPr="00DE7E39">
        <w:rPr>
          <w:rFonts w:ascii="Arial" w:eastAsia="Calibri" w:hAnsi="Arial" w:cs="Arial"/>
          <w:bCs/>
          <w:lang w:val="es-ES_tradnl"/>
        </w:rPr>
        <w:t>ienen</w:t>
      </w:r>
      <w:proofErr w:type="spellEnd"/>
      <w:r w:rsidRPr="00DE7E39">
        <w:rPr>
          <w:rFonts w:ascii="Arial" w:eastAsia="Calibri" w:hAnsi="Arial"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Pr>
          <w:rFonts w:ascii="Arial" w:eastAsia="Calibri" w:hAnsi="Arial" w:cs="Arial"/>
          <w:bCs/>
          <w:lang w:val="es-ES_tradnl"/>
        </w:rPr>
        <w:t>”</w:t>
      </w:r>
      <w:r w:rsidRPr="00DE7E39">
        <w:rPr>
          <w:rStyle w:val="Refdenotaalpie"/>
          <w:rFonts w:ascii="Arial" w:hAnsi="Arial" w:cs="Arial"/>
        </w:rPr>
        <w:footnoteReference w:id="6"/>
      </w:r>
      <w:r w:rsidRPr="00DE7E39">
        <w:rPr>
          <w:rFonts w:ascii="Arial" w:eastAsia="Calibri" w:hAnsi="Arial" w:cs="Arial"/>
          <w:bCs/>
          <w:lang w:val="es-ES_tradnl"/>
        </w:rPr>
        <w:t xml:space="preserve">. En </w:t>
      </w:r>
      <w:r w:rsidRPr="00DE7E39">
        <w:rPr>
          <w:rFonts w:ascii="Arial" w:eastAsia="Calibri" w:hAnsi="Arial" w:cs="Arial"/>
          <w:bCs/>
          <w:lang w:val="es-ES_tradnl"/>
        </w:rPr>
        <w:lastRenderedPageBreak/>
        <w:t>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DE7E39">
        <w:rPr>
          <w:rStyle w:val="Refdenotaalpie"/>
          <w:rFonts w:ascii="Arial" w:hAnsi="Arial" w:cs="Arial"/>
        </w:rPr>
        <w:footnoteReference w:id="7"/>
      </w:r>
      <w:r w:rsidRPr="00DE7E39">
        <w:rPr>
          <w:rFonts w:ascii="Arial" w:eastAsia="Calibri" w:hAnsi="Arial" w:cs="Arial"/>
          <w:bCs/>
          <w:lang w:val="es-ES_tradnl"/>
        </w:rPr>
        <w:t>.</w:t>
      </w:r>
    </w:p>
    <w:p w14:paraId="7BF88AFA" w14:textId="77777777" w:rsidR="00B5434E" w:rsidRPr="00DE7E39" w:rsidRDefault="00B5434E" w:rsidP="00B5434E">
      <w:pPr>
        <w:spacing w:before="120" w:after="120" w:line="276" w:lineRule="auto"/>
        <w:ind w:firstLine="709"/>
        <w:jc w:val="both"/>
        <w:rPr>
          <w:rFonts w:ascii="Arial" w:eastAsia="Calibri" w:hAnsi="Arial" w:cs="Arial"/>
          <w:bCs/>
        </w:rPr>
      </w:pPr>
      <w:r w:rsidRPr="00DE7E39">
        <w:rPr>
          <w:rFonts w:ascii="Arial" w:eastAsia="Calibri" w:hAnsi="Arial"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DE7E39">
        <w:rPr>
          <w:rFonts w:ascii="Arial" w:eastAsia="Calibri" w:hAnsi="Arial" w:cs="Arial"/>
          <w:bC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w:t>
      </w:r>
      <w:r>
        <w:rPr>
          <w:rFonts w:ascii="Arial" w:eastAsia="Calibri" w:hAnsi="Arial" w:cs="Arial"/>
          <w:bCs/>
        </w:rPr>
        <w:t>“</w:t>
      </w:r>
      <w:r w:rsidRPr="00DE7E39">
        <w:rPr>
          <w:rFonts w:ascii="Arial" w:eastAsia="Calibri" w:hAnsi="Arial" w:cs="Arial"/>
          <w:bCs/>
        </w:rPr>
        <w:t>no estarán sujetos a competencia cuando la entidad sin ánimo de lucro comprometa recursos en dinero para la ejecución de esas actividades en una proporción no inferior al 30% del valor total del convenio</w:t>
      </w:r>
      <w:r>
        <w:rPr>
          <w:rFonts w:ascii="Arial" w:eastAsia="Calibri" w:hAnsi="Arial" w:cs="Arial"/>
          <w:bCs/>
        </w:rPr>
        <w:t>”</w:t>
      </w:r>
      <w:r w:rsidRPr="00DE7E39">
        <w:rPr>
          <w:rFonts w:ascii="Arial" w:eastAsia="Calibri" w:hAnsi="Arial" w:cs="Arial"/>
          <w:bCs/>
        </w:rPr>
        <w:t xml:space="preserve">, las entidades deben asegurarse de que su contratista, es decir, las ESAL, aporte al menos el treinta por ciento del valor del convenio para celebrarlo directamente. Además, en atención al inciso 2 del artículo 5 del Decreto 092 de 2017, deben asegurarse </w:t>
      </w:r>
      <w:proofErr w:type="gramStart"/>
      <w:r w:rsidRPr="00DE7E39">
        <w:rPr>
          <w:rFonts w:ascii="Arial" w:eastAsia="Calibri" w:hAnsi="Arial" w:cs="Arial"/>
          <w:bCs/>
        </w:rPr>
        <w:t>que</w:t>
      </w:r>
      <w:proofErr w:type="gramEnd"/>
      <w:r w:rsidRPr="00DE7E39">
        <w:rPr>
          <w:rFonts w:ascii="Arial" w:eastAsia="Calibri" w:hAnsi="Arial" w:cs="Arial"/>
          <w:bCs/>
        </w:rPr>
        <w:t xml:space="preserv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08F896EE" w14:textId="77777777" w:rsidR="00B5434E" w:rsidRPr="00DE7E39" w:rsidRDefault="00B5434E" w:rsidP="00B5434E">
      <w:pPr>
        <w:spacing w:before="120" w:after="120" w:line="276" w:lineRule="auto"/>
        <w:ind w:firstLine="709"/>
        <w:jc w:val="both"/>
      </w:pPr>
      <w:r w:rsidRPr="00DE7E39">
        <w:rPr>
          <w:rFonts w:ascii="Arial" w:hAnsi="Arial" w:cs="Arial"/>
          <w:color w:val="000000" w:themeColor="text1"/>
        </w:rPr>
        <w:t xml:space="preserve">La noción </w:t>
      </w:r>
      <w:r>
        <w:rPr>
          <w:rFonts w:ascii="Arial" w:hAnsi="Arial" w:cs="Arial"/>
          <w:color w:val="000000" w:themeColor="text1"/>
        </w:rPr>
        <w:t>“</w:t>
      </w:r>
      <w:r w:rsidRPr="00DE7E39">
        <w:rPr>
          <w:rFonts w:ascii="Arial" w:hAnsi="Arial" w:cs="Arial"/>
          <w:color w:val="000000" w:themeColor="text1"/>
        </w:rPr>
        <w:t>seleccionar de forma objetiva</w:t>
      </w:r>
      <w:r>
        <w:rPr>
          <w:rFonts w:ascii="Arial" w:hAnsi="Arial" w:cs="Arial"/>
          <w:color w:val="000000" w:themeColor="text1"/>
        </w:rPr>
        <w:t>”</w:t>
      </w:r>
      <w:r w:rsidRPr="00DE7E39">
        <w:rPr>
          <w:rFonts w:ascii="Arial" w:hAnsi="Arial" w:cs="Arial"/>
          <w:color w:val="000000" w:themeColor="text1"/>
        </w:rPr>
        <w:t xml:space="preserve">, contenida en la disposición </w:t>
      </w:r>
      <w:r w:rsidRPr="00DE7E39">
        <w:rPr>
          <w:rFonts w:ascii="Arial" w:hAnsi="Arial" w:cs="Arial"/>
          <w:i/>
          <w:iCs/>
          <w:color w:val="000000" w:themeColor="text1"/>
        </w:rPr>
        <w:t xml:space="preserve">sub examine </w:t>
      </w:r>
      <w:r w:rsidRPr="00DE7E39">
        <w:rPr>
          <w:rFonts w:ascii="Arial" w:hAnsi="Arial"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43C2D08C" w14:textId="77777777" w:rsidR="00B5434E" w:rsidRPr="00DE7E39" w:rsidRDefault="00B5434E" w:rsidP="00B5434E">
      <w:pPr>
        <w:pStyle w:val="Sinespaciado"/>
        <w:spacing w:line="276" w:lineRule="auto"/>
        <w:ind w:firstLine="708"/>
        <w:jc w:val="both"/>
        <w:rPr>
          <w:rFonts w:ascii="Arial" w:hAnsi="Arial" w:cs="Arial"/>
          <w:color w:val="000000" w:themeColor="text1"/>
          <w:sz w:val="22"/>
        </w:rPr>
      </w:pPr>
      <w:r w:rsidRPr="00DE7E39">
        <w:rPr>
          <w:rFonts w:ascii="Arial" w:hAnsi="Arial" w:cs="Arial"/>
          <w:color w:val="000000" w:themeColor="text1"/>
          <w:sz w:val="22"/>
        </w:rPr>
        <w:t xml:space="preserve">Es importante aclarar que los negocios jurídicos que regula el Decreto 092 de 2017 </w:t>
      </w:r>
      <w:r>
        <w:rPr>
          <w:rFonts w:ascii="Arial" w:hAnsi="Arial" w:cs="Arial"/>
          <w:color w:val="000000" w:themeColor="text1"/>
          <w:sz w:val="22"/>
        </w:rPr>
        <w:t>“</w:t>
      </w:r>
      <w:r w:rsidRPr="00DE7E39">
        <w:rPr>
          <w:rFonts w:ascii="Arial" w:hAnsi="Arial" w:cs="Arial"/>
          <w:color w:val="000000" w:themeColor="text1"/>
          <w:sz w:val="22"/>
        </w:rPr>
        <w:t xml:space="preserve">[…] son esencialmente distintos a los contratos para la adquisición y aprovisionamiento de bienes, obras o servicios regulados por el estatuto de contratación </w:t>
      </w:r>
      <w:proofErr w:type="gramStart"/>
      <w:r w:rsidRPr="00DE7E39">
        <w:rPr>
          <w:rFonts w:ascii="Arial" w:hAnsi="Arial" w:cs="Arial"/>
          <w:color w:val="000000" w:themeColor="text1"/>
          <w:sz w:val="22"/>
        </w:rPr>
        <w:t>y[</w:t>
      </w:r>
      <w:proofErr w:type="gramEnd"/>
      <w:r w:rsidRPr="00DE7E39">
        <w:rPr>
          <w:rFonts w:ascii="Arial" w:hAnsi="Arial" w:cs="Arial"/>
          <w:color w:val="000000" w:themeColor="text1"/>
          <w:sz w:val="22"/>
        </w:rPr>
        <w:t xml:space="preserve">, como tal,] no hacen parte del sistema de compra pública. […] De acuerdo con lo anterior, si la entidad estatal </w:t>
      </w:r>
      <w:r w:rsidRPr="00DE7E39">
        <w:rPr>
          <w:rFonts w:ascii="Arial" w:hAnsi="Arial" w:cs="Arial"/>
          <w:color w:val="000000" w:themeColor="text1"/>
          <w:sz w:val="22"/>
        </w:rPr>
        <w:lastRenderedPageBreak/>
        <w:t>adquiere o se abastece de un bien, obra o servicio en un contrato conmutativo en el cual el proveedor es una [ESAL], debe aplicar el régimen contenido en las Leyes 80 de 1993 y 1150 de 2007, y no el Decreto 092 de 2017</w:t>
      </w:r>
      <w:r>
        <w:rPr>
          <w:rFonts w:ascii="Arial" w:hAnsi="Arial" w:cs="Arial"/>
          <w:color w:val="000000" w:themeColor="text1"/>
          <w:sz w:val="22"/>
        </w:rPr>
        <w:t>”</w:t>
      </w:r>
      <w:r w:rsidRPr="00DE7E39">
        <w:rPr>
          <w:rStyle w:val="Refdenotaalpie"/>
          <w:rFonts w:ascii="Arial" w:hAnsi="Arial" w:cs="Arial"/>
          <w:color w:val="000000" w:themeColor="text1"/>
          <w:sz w:val="22"/>
        </w:rPr>
        <w:footnoteReference w:id="8"/>
      </w:r>
      <w:r w:rsidRPr="00DE7E39">
        <w:rPr>
          <w:rFonts w:ascii="Arial" w:hAnsi="Arial" w:cs="Arial"/>
          <w:color w:val="000000" w:themeColor="text1"/>
          <w:sz w:val="22"/>
        </w:rPr>
        <w:t>. Así lo consideró la Sala de Consulta y Servicio Civil del Consejo de Estado</w:t>
      </w:r>
      <w:r w:rsidRPr="00DE7E39">
        <w:rPr>
          <w:rStyle w:val="Refdenotaalpie"/>
          <w:rFonts w:ascii="Arial" w:hAnsi="Arial" w:cs="Arial"/>
          <w:color w:val="000000" w:themeColor="text1"/>
          <w:sz w:val="22"/>
        </w:rPr>
        <w:footnoteReference w:id="9"/>
      </w:r>
      <w:r w:rsidRPr="00DE7E39">
        <w:rPr>
          <w:rFonts w:ascii="Arial" w:hAnsi="Arial" w:cs="Arial"/>
          <w:color w:val="000000" w:themeColor="text1"/>
          <w:sz w:val="22"/>
        </w:rPr>
        <w:t>:</w:t>
      </w:r>
    </w:p>
    <w:p w14:paraId="23C76B85" w14:textId="77777777" w:rsidR="00B5434E" w:rsidRPr="00DE7E39" w:rsidRDefault="00B5434E" w:rsidP="00B5434E">
      <w:pPr>
        <w:pStyle w:val="Sinespaciado"/>
        <w:spacing w:line="276" w:lineRule="auto"/>
        <w:jc w:val="both"/>
        <w:rPr>
          <w:rFonts w:ascii="Arial" w:hAnsi="Arial" w:cs="Arial"/>
          <w:color w:val="000000" w:themeColor="text1"/>
          <w:sz w:val="22"/>
        </w:rPr>
      </w:pPr>
    </w:p>
    <w:p w14:paraId="34748CEE" w14:textId="77777777" w:rsidR="00B5434E" w:rsidRDefault="00B5434E" w:rsidP="00B5434E">
      <w:pPr>
        <w:spacing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764F6877" w14:textId="77777777" w:rsidR="00B5434E" w:rsidRPr="00667EB6" w:rsidRDefault="00B5434E" w:rsidP="00B5434E">
      <w:pPr>
        <w:spacing w:after="0" w:line="240" w:lineRule="auto"/>
        <w:ind w:left="708" w:right="709"/>
        <w:jc w:val="both"/>
        <w:rPr>
          <w:rFonts w:ascii="Arial" w:eastAsia="Calibri" w:hAnsi="Arial" w:cs="Arial"/>
          <w:color w:val="000000" w:themeColor="text1"/>
          <w:sz w:val="21"/>
          <w:szCs w:val="21"/>
        </w:rPr>
      </w:pPr>
      <w:r w:rsidRPr="00DE7E39">
        <w:rPr>
          <w:rFonts w:ascii="Arial" w:eastAsia="Calibri" w:hAnsi="Arial" w:cs="Arial"/>
          <w:color w:val="000000" w:themeColor="text1"/>
          <w:sz w:val="21"/>
          <w:szCs w:val="21"/>
        </w:rPr>
        <w:t xml:space="preserve">Cuando el artículo 355 autoriza a las entidades estatales a celebrar contratos para </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impulsar</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w:t>
      </w:r>
    </w:p>
    <w:p w14:paraId="5F678D8C" w14:textId="77777777" w:rsidR="00B5434E" w:rsidRDefault="00B5434E" w:rsidP="00B5434E">
      <w:pPr>
        <w:spacing w:after="0" w:line="276" w:lineRule="auto"/>
        <w:ind w:firstLine="708"/>
        <w:jc w:val="both"/>
        <w:rPr>
          <w:rFonts w:ascii="Arial" w:eastAsia="Calibri" w:hAnsi="Arial" w:cs="Arial"/>
          <w:color w:val="000000" w:themeColor="text1"/>
        </w:rPr>
      </w:pPr>
      <w:bookmarkStart w:id="10" w:name="_Hlk95756200"/>
    </w:p>
    <w:p w14:paraId="22AE187D" w14:textId="77777777" w:rsidR="00B5434E" w:rsidRDefault="00B5434E" w:rsidP="00B5434E">
      <w:pPr>
        <w:spacing w:after="0" w:line="276" w:lineRule="auto"/>
        <w:ind w:firstLine="708"/>
        <w:jc w:val="both"/>
        <w:rPr>
          <w:rFonts w:ascii="Arial" w:eastAsia="Calibri" w:hAnsi="Arial" w:cs="Arial"/>
          <w:color w:val="000000" w:themeColor="text1"/>
        </w:rPr>
      </w:pPr>
      <w:r w:rsidRPr="00DE7E39">
        <w:rPr>
          <w:rFonts w:ascii="Arial" w:eastAsia="Calibri" w:hAnsi="Arial"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10"/>
      <w:r w:rsidRPr="00DE7E39">
        <w:rPr>
          <w:rFonts w:ascii="Arial" w:eastAsia="Calibri" w:hAnsi="Arial" w:cs="Arial"/>
          <w:color w:val="000000" w:themeColor="text1"/>
        </w:rPr>
        <w:t>Así lo reconoció la Corte Constitucional en la sentencia C-287 del 18 de abril de 2012, en la que sostuvo lo siguiente:</w:t>
      </w:r>
    </w:p>
    <w:p w14:paraId="0BEE4B14" w14:textId="77777777" w:rsidR="00B5434E" w:rsidRPr="00DE7E39" w:rsidRDefault="00B5434E" w:rsidP="00B5434E">
      <w:pPr>
        <w:spacing w:after="0" w:line="276" w:lineRule="auto"/>
        <w:ind w:firstLine="708"/>
        <w:jc w:val="both"/>
        <w:rPr>
          <w:rFonts w:ascii="Arial" w:eastAsia="Calibri" w:hAnsi="Arial" w:cs="Arial"/>
          <w:color w:val="000000" w:themeColor="text1"/>
        </w:rPr>
      </w:pPr>
    </w:p>
    <w:p w14:paraId="4FC305AC" w14:textId="77777777" w:rsidR="00B5434E" w:rsidRPr="00DE7E39" w:rsidRDefault="00B5434E" w:rsidP="00B5434E">
      <w:pPr>
        <w:spacing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07BD754C" w14:textId="77777777" w:rsidR="00B5434E" w:rsidRPr="00DE7E39" w:rsidRDefault="00B5434E" w:rsidP="00B5434E">
      <w:pPr>
        <w:spacing w:after="0" w:line="240" w:lineRule="auto"/>
        <w:ind w:left="709" w:right="709"/>
        <w:jc w:val="both"/>
        <w:rPr>
          <w:rFonts w:ascii="Arial" w:eastAsia="Calibri" w:hAnsi="Arial" w:cs="Arial"/>
          <w:color w:val="000000" w:themeColor="text1"/>
          <w:sz w:val="21"/>
          <w:szCs w:val="21"/>
        </w:rPr>
      </w:pPr>
      <w:r w:rsidRPr="00DE7E39">
        <w:rPr>
          <w:rFonts w:ascii="Arial" w:eastAsia="Calibri" w:hAnsi="Arial" w:cs="Arial"/>
          <w:i/>
          <w:iCs/>
          <w:color w:val="000000" w:themeColor="text1"/>
          <w:sz w:val="21"/>
          <w:szCs w:val="21"/>
        </w:rPr>
        <w:t xml:space="preserve">Sin embargo, el hecho que no persigan una finalidad </w:t>
      </w:r>
      <w:proofErr w:type="gramStart"/>
      <w:r w:rsidRPr="00DE7E39">
        <w:rPr>
          <w:rFonts w:ascii="Arial" w:eastAsia="Calibri" w:hAnsi="Arial" w:cs="Arial"/>
          <w:i/>
          <w:iCs/>
          <w:color w:val="000000" w:themeColor="text1"/>
          <w:sz w:val="21"/>
          <w:szCs w:val="21"/>
        </w:rPr>
        <w:t>lucrativa,</w:t>
      </w:r>
      <w:proofErr w:type="gramEnd"/>
      <w:r w:rsidRPr="00DE7E39">
        <w:rPr>
          <w:rFonts w:ascii="Arial" w:eastAsia="Calibri" w:hAnsi="Arial" w:cs="Arial"/>
          <w:i/>
          <w:iCs/>
          <w:color w:val="000000" w:themeColor="text1"/>
          <w:sz w:val="21"/>
          <w:szCs w:val="21"/>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DE7E39">
        <w:rPr>
          <w:rFonts w:ascii="Arial" w:eastAsia="Calibri" w:hAnsi="Arial" w:cs="Arial"/>
          <w:color w:val="000000" w:themeColor="text1"/>
          <w:sz w:val="21"/>
          <w:szCs w:val="21"/>
        </w:rPr>
        <w:t xml:space="preserve">. Así, el elemento característico de las corporaciones </w:t>
      </w:r>
      <w:r w:rsidRPr="00DE7E39">
        <w:rPr>
          <w:rFonts w:ascii="Arial" w:eastAsia="Calibri" w:hAnsi="Arial" w:cs="Arial"/>
          <w:color w:val="000000" w:themeColor="text1"/>
          <w:sz w:val="21"/>
          <w:szCs w:val="21"/>
        </w:rPr>
        <w:lastRenderedPageBreak/>
        <w:t>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(Cursivas propias)</w:t>
      </w:r>
    </w:p>
    <w:p w14:paraId="0A49A7F9" w14:textId="77777777" w:rsidR="00B5434E" w:rsidRPr="00DE7E39" w:rsidRDefault="00B5434E" w:rsidP="00B5434E">
      <w:pPr>
        <w:spacing w:after="0" w:line="276" w:lineRule="auto"/>
        <w:ind w:firstLine="709"/>
        <w:jc w:val="both"/>
        <w:rPr>
          <w:rFonts w:ascii="Arial" w:eastAsia="Calibri" w:hAnsi="Arial" w:cs="Arial"/>
          <w:color w:val="000000" w:themeColor="text1"/>
        </w:rPr>
      </w:pPr>
    </w:p>
    <w:p w14:paraId="46BDBA3F" w14:textId="77777777" w:rsidR="00B5434E" w:rsidRDefault="00B5434E" w:rsidP="00B5434E">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779EE4F7" w14:textId="77777777" w:rsidR="00B5434E" w:rsidRDefault="00B5434E" w:rsidP="00B5434E">
      <w:pPr>
        <w:spacing w:after="0" w:line="276" w:lineRule="auto"/>
        <w:ind w:firstLine="709"/>
        <w:jc w:val="both"/>
        <w:rPr>
          <w:rFonts w:ascii="Arial" w:eastAsia="Calibri" w:hAnsi="Arial" w:cs="Arial"/>
          <w:color w:val="000000" w:themeColor="text1"/>
        </w:rPr>
      </w:pPr>
    </w:p>
    <w:p w14:paraId="25C2CF05" w14:textId="77777777" w:rsidR="00B5434E" w:rsidRPr="00D95705" w:rsidRDefault="00B5434E" w:rsidP="00B5434E">
      <w:pPr>
        <w:spacing w:after="0" w:line="276" w:lineRule="auto"/>
        <w:jc w:val="both"/>
        <w:rPr>
          <w:rFonts w:ascii="Arial" w:eastAsia="Calibri" w:hAnsi="Arial" w:cs="Arial"/>
          <w:b/>
          <w:bCs/>
          <w:color w:val="000000" w:themeColor="text1"/>
        </w:rPr>
      </w:pPr>
      <w:r w:rsidRPr="00D95705">
        <w:rPr>
          <w:rFonts w:ascii="Arial" w:eastAsia="Calibri" w:hAnsi="Arial" w:cs="Arial"/>
          <w:b/>
          <w:bCs/>
          <w:color w:val="000000" w:themeColor="text1"/>
        </w:rPr>
        <w:t xml:space="preserve">2. </w:t>
      </w:r>
      <w:r w:rsidRPr="00D95705">
        <w:rPr>
          <w:rFonts w:ascii="Arial" w:hAnsi="Arial" w:cs="Arial"/>
          <w:b/>
          <w:bCs/>
          <w:color w:val="000000" w:themeColor="text1"/>
          <w:lang w:val="es-ES_tradnl"/>
        </w:rPr>
        <w:t>Suspensión provisional de algunas normas del Decreto 092 de 2017</w:t>
      </w:r>
    </w:p>
    <w:p w14:paraId="3D8CACE3" w14:textId="77777777" w:rsidR="00B5434E" w:rsidRDefault="00B5434E" w:rsidP="00B5434E">
      <w:pPr>
        <w:spacing w:after="0" w:line="276" w:lineRule="auto"/>
        <w:jc w:val="both"/>
        <w:rPr>
          <w:rFonts w:ascii="Arial" w:eastAsia="Calibri" w:hAnsi="Arial" w:cs="Arial"/>
          <w:color w:val="000000" w:themeColor="text1"/>
        </w:rPr>
      </w:pPr>
    </w:p>
    <w:p w14:paraId="58D15189" w14:textId="77777777" w:rsidR="00B5434E" w:rsidRPr="00DE7E39" w:rsidRDefault="00B5434E" w:rsidP="00B5434E">
      <w:pPr>
        <w:spacing w:line="276" w:lineRule="auto"/>
        <w:jc w:val="both"/>
        <w:rPr>
          <w:rFonts w:ascii="Arial" w:eastAsia="Calibri" w:hAnsi="Arial" w:cs="Arial"/>
          <w:color w:val="000000" w:themeColor="text1"/>
        </w:rPr>
      </w:pPr>
      <w:r>
        <w:rPr>
          <w:rFonts w:ascii="Arial" w:eastAsia="Calibri" w:hAnsi="Arial" w:cs="Arial"/>
          <w:color w:val="000000" w:themeColor="text1"/>
        </w:rPr>
        <w:t>E</w:t>
      </w:r>
      <w:r w:rsidRPr="00DE7E39">
        <w:rPr>
          <w:rFonts w:ascii="Arial" w:eastAsia="Calibri" w:hAnsi="Arial" w:cs="Arial"/>
          <w:color w:val="000000" w:themeColor="text1"/>
        </w:rPr>
        <w:t>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DE7E39">
        <w:rPr>
          <w:rStyle w:val="Refdenotaalpie"/>
          <w:rFonts w:ascii="Arial" w:eastAsia="Calibri" w:hAnsi="Arial" w:cs="Arial"/>
          <w:color w:val="000000" w:themeColor="text1"/>
        </w:rPr>
        <w:footnoteReference w:id="10"/>
      </w:r>
      <w:r w:rsidRPr="00DE7E39">
        <w:rPr>
          <w:rFonts w:ascii="Arial" w:eastAsia="Calibri" w:hAnsi="Arial" w:cs="Arial"/>
          <w:color w:val="000000" w:themeColor="text1"/>
        </w:rPr>
        <w:t xml:space="preserve">. </w:t>
      </w:r>
      <w:r>
        <w:rPr>
          <w:rFonts w:ascii="Arial" w:eastAsia="Calibri" w:hAnsi="Arial" w:cs="Arial"/>
          <w:color w:val="000000" w:themeColor="text1"/>
        </w:rPr>
        <w:t>C</w:t>
      </w:r>
      <w:r w:rsidRPr="00DE7E39">
        <w:rPr>
          <w:rFonts w:ascii="Arial" w:eastAsia="Calibri" w:hAnsi="Arial" w:cs="Arial"/>
          <w:color w:val="000000" w:themeColor="text1"/>
        </w:rPr>
        <w:t xml:space="preserve">abe precisar que las decisiones adoptadas en el auto indicado fueron mantenidas en su mayoría en el </w:t>
      </w:r>
      <w:r>
        <w:rPr>
          <w:rFonts w:ascii="Arial" w:eastAsia="Calibri" w:hAnsi="Arial" w:cs="Arial"/>
          <w:color w:val="000000" w:themeColor="text1"/>
        </w:rPr>
        <w:t>A</w:t>
      </w:r>
      <w:r w:rsidRPr="00DE7E39">
        <w:rPr>
          <w:rFonts w:ascii="Arial" w:eastAsia="Calibri" w:hAnsi="Arial" w:cs="Arial"/>
          <w:color w:val="000000" w:themeColor="text1"/>
        </w:rPr>
        <w:t>uto del 15 de marzo de 2022 de la Sala Plena del Consejo de Estado</w:t>
      </w:r>
      <w:r w:rsidRPr="00DE7E39">
        <w:rPr>
          <w:rFonts w:ascii="Arial" w:eastAsia="Calibri" w:hAnsi="Arial" w:cs="Arial"/>
          <w:color w:val="000000" w:themeColor="text1"/>
          <w:vertAlign w:val="superscript"/>
        </w:rPr>
        <w:footnoteReference w:id="11"/>
      </w:r>
      <w:r w:rsidRPr="00DE7E39">
        <w:rPr>
          <w:rFonts w:ascii="Arial" w:eastAsia="Calibri" w:hAnsi="Arial"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14:paraId="7131E323" w14:textId="77777777" w:rsidR="00B5434E" w:rsidRPr="00DE7E39" w:rsidRDefault="00B5434E" w:rsidP="00B5434E">
      <w:pPr>
        <w:spacing w:before="120" w:after="0" w:line="276" w:lineRule="auto"/>
        <w:ind w:firstLine="708"/>
        <w:jc w:val="both"/>
        <w:rPr>
          <w:rFonts w:ascii="Arial" w:eastAsia="Calibri" w:hAnsi="Arial" w:cs="Arial"/>
          <w:color w:val="000000" w:themeColor="text1"/>
        </w:rPr>
      </w:pPr>
      <w:r w:rsidRPr="00DE7E39">
        <w:rPr>
          <w:rFonts w:ascii="Arial" w:eastAsia="Calibri" w:hAnsi="Arial" w:cs="Arial"/>
          <w:color w:val="000000" w:themeColor="text1"/>
        </w:rPr>
        <w:t xml:space="preserve">La </w:t>
      </w:r>
      <w:r w:rsidRPr="00DE7E39">
        <w:rPr>
          <w:rFonts w:ascii="Arial" w:eastAsia="Calibri" w:hAnsi="Arial" w:cs="Arial"/>
          <w:i/>
          <w:iCs/>
          <w:color w:val="000000" w:themeColor="text1"/>
        </w:rPr>
        <w:t>primera</w:t>
      </w:r>
      <w:r w:rsidRPr="00DE7E39">
        <w:rPr>
          <w:rFonts w:ascii="Arial" w:eastAsia="Calibri" w:hAnsi="Arial"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w:t>
      </w:r>
      <w:r w:rsidRPr="00DE7E39">
        <w:rPr>
          <w:rFonts w:ascii="Arial" w:eastAsia="Calibri" w:hAnsi="Arial" w:cs="Arial"/>
          <w:color w:val="000000" w:themeColor="text1"/>
        </w:rPr>
        <w:lastRenderedPageBreak/>
        <w:t>2017 se harían de conformidad con la guía que expida la Agencia Nacional de Contratación Pública</w:t>
      </w:r>
      <w:r w:rsidRPr="00DE7E39">
        <w:rPr>
          <w:rStyle w:val="Refdenotaalpie"/>
          <w:rFonts w:ascii="Arial" w:eastAsia="Calibri" w:hAnsi="Arial" w:cs="Arial"/>
          <w:color w:val="000000" w:themeColor="text1"/>
        </w:rPr>
        <w:footnoteReference w:id="12"/>
      </w:r>
      <w:r w:rsidRPr="00DE7E39">
        <w:rPr>
          <w:rFonts w:ascii="Arial" w:eastAsia="Calibri" w:hAnsi="Arial" w:cs="Arial"/>
          <w:color w:val="000000" w:themeColor="text1"/>
        </w:rPr>
        <w:t>. Señaló que esta disposición, así como el inciso segundo del artículo 3 del Decreto 092 de 2017</w:t>
      </w:r>
      <w:r w:rsidRPr="00DE7E39">
        <w:rPr>
          <w:rStyle w:val="Refdenotaalpie"/>
          <w:rFonts w:ascii="Arial" w:eastAsia="Calibri" w:hAnsi="Arial" w:cs="Arial"/>
          <w:color w:val="000000" w:themeColor="text1"/>
        </w:rPr>
        <w:footnoteReference w:id="13"/>
      </w:r>
      <w:r w:rsidRPr="00DE7E39">
        <w:rPr>
          <w:rFonts w:ascii="Arial" w:eastAsia="Calibri" w:hAnsi="Arial"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21E3A4E9" w14:textId="77777777" w:rsidR="00B5434E" w:rsidRPr="00DE7E39" w:rsidRDefault="00B5434E" w:rsidP="00B5434E">
      <w:pPr>
        <w:spacing w:after="0" w:line="276" w:lineRule="auto"/>
        <w:jc w:val="both"/>
        <w:rPr>
          <w:rFonts w:ascii="Arial" w:eastAsia="Calibri" w:hAnsi="Arial" w:cs="Arial"/>
          <w:color w:val="000000" w:themeColor="text1"/>
        </w:rPr>
      </w:pPr>
    </w:p>
    <w:p w14:paraId="353A4767" w14:textId="77777777" w:rsidR="00B5434E" w:rsidRPr="00DE7E39" w:rsidRDefault="00B5434E" w:rsidP="00B5434E">
      <w:pPr>
        <w:tabs>
          <w:tab w:val="left" w:pos="8789"/>
        </w:tabs>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En efecto, dejar espacios </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vacíos</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para que Colombia Compra Eficiente defina el alcance y la interpretación de ciertas expresiones y dicte las </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pautas</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y </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criterios</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w:t>
      </w:r>
    </w:p>
    <w:p w14:paraId="17D1FC35" w14:textId="77777777" w:rsidR="00B5434E" w:rsidRPr="00E07E09" w:rsidRDefault="00B5434E" w:rsidP="00B5434E">
      <w:pPr>
        <w:tabs>
          <w:tab w:val="left" w:pos="8789"/>
        </w:tabs>
        <w:spacing w:after="0" w:line="276" w:lineRule="auto"/>
        <w:ind w:left="708" w:right="709"/>
        <w:jc w:val="both"/>
        <w:rPr>
          <w:rFonts w:ascii="Arial" w:eastAsia="Calibri" w:hAnsi="Arial" w:cs="Arial"/>
          <w:color w:val="000000" w:themeColor="text1"/>
        </w:rPr>
      </w:pPr>
    </w:p>
    <w:p w14:paraId="6DC54329" w14:textId="77777777" w:rsidR="00B5434E" w:rsidRPr="00DE7E39" w:rsidRDefault="00B5434E" w:rsidP="00B5434E">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w:t>
      </w:r>
      <w:r>
        <w:rPr>
          <w:rFonts w:ascii="Arial" w:eastAsia="Calibri" w:hAnsi="Arial" w:cs="Arial"/>
          <w:color w:val="000000" w:themeColor="text1"/>
        </w:rPr>
        <w:t>“</w:t>
      </w:r>
      <w:r w:rsidRPr="00DE7E39">
        <w:rPr>
          <w:rFonts w:ascii="Arial" w:eastAsia="Calibri" w:hAnsi="Arial" w:cs="Arial"/>
          <w:color w:val="000000" w:themeColor="text1"/>
        </w:rPr>
        <w:t>Guía para la contratación con entidades privadas sin ánimo de lucro y de reconocida idoneidad</w:t>
      </w:r>
      <w:r>
        <w:rPr>
          <w:rFonts w:ascii="Arial" w:eastAsia="Calibri" w:hAnsi="Arial" w:cs="Arial"/>
          <w:color w:val="000000" w:themeColor="text1"/>
        </w:rPr>
        <w:t>”</w:t>
      </w:r>
      <w:r w:rsidRPr="00DE7E39">
        <w:rPr>
          <w:rFonts w:ascii="Arial" w:eastAsia="Calibri" w:hAnsi="Arial" w:cs="Arial"/>
          <w:color w:val="000000" w:themeColor="text1"/>
        </w:rPr>
        <w:t>,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14:paraId="43AE67CB" w14:textId="77777777" w:rsidR="00B5434E" w:rsidRPr="00DE7E39" w:rsidRDefault="00B5434E" w:rsidP="00B5434E">
      <w:pPr>
        <w:spacing w:after="0" w:line="276" w:lineRule="auto"/>
        <w:ind w:firstLine="709"/>
        <w:jc w:val="both"/>
        <w:rPr>
          <w:rFonts w:ascii="Arial" w:eastAsia="Calibri" w:hAnsi="Arial" w:cs="Arial"/>
          <w:color w:val="000000" w:themeColor="text1"/>
        </w:rPr>
      </w:pPr>
    </w:p>
    <w:p w14:paraId="14D09FCE" w14:textId="77777777" w:rsidR="00B5434E" w:rsidRPr="00DE7E39" w:rsidRDefault="00B5434E" w:rsidP="00B5434E">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lastRenderedPageBreak/>
        <w:t>“</w:t>
      </w:r>
      <w:r w:rsidRPr="00DE7E39">
        <w:rPr>
          <w:rFonts w:ascii="Arial" w:eastAsia="Calibri" w:hAnsi="Arial" w:cs="Arial"/>
          <w:color w:val="000000" w:themeColor="text1"/>
          <w:sz w:val="21"/>
          <w:szCs w:val="21"/>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w:t>
      </w:r>
    </w:p>
    <w:p w14:paraId="228F5923" w14:textId="77777777" w:rsidR="00B5434E" w:rsidRPr="00E07E09" w:rsidRDefault="00B5434E" w:rsidP="00B5434E">
      <w:pPr>
        <w:spacing w:after="0" w:line="276" w:lineRule="auto"/>
        <w:ind w:left="708" w:right="709"/>
        <w:jc w:val="both"/>
        <w:rPr>
          <w:rFonts w:ascii="Arial" w:eastAsia="Calibri" w:hAnsi="Arial" w:cs="Arial"/>
          <w:color w:val="000000" w:themeColor="text1"/>
        </w:rPr>
      </w:pPr>
    </w:p>
    <w:p w14:paraId="705B4923" w14:textId="77777777" w:rsidR="00B5434E" w:rsidRPr="00DE7E39" w:rsidRDefault="00B5434E" w:rsidP="00B5434E">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7911B11B" w14:textId="77777777" w:rsidR="00B5434E" w:rsidRPr="00DE7E39" w:rsidRDefault="00B5434E" w:rsidP="00B5434E">
      <w:pPr>
        <w:spacing w:after="0" w:line="276" w:lineRule="auto"/>
        <w:ind w:firstLine="709"/>
        <w:jc w:val="both"/>
        <w:rPr>
          <w:rFonts w:ascii="Arial" w:eastAsia="Calibri" w:hAnsi="Arial" w:cs="Arial"/>
          <w:color w:val="000000" w:themeColor="text1"/>
        </w:rPr>
      </w:pPr>
    </w:p>
    <w:p w14:paraId="36C46081" w14:textId="77777777" w:rsidR="00B5434E" w:rsidRPr="00DE7E39" w:rsidRDefault="00B5434E" w:rsidP="00B5434E">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w:t>
      </w:r>
    </w:p>
    <w:p w14:paraId="26B70CE8" w14:textId="77777777" w:rsidR="00B5434E" w:rsidRDefault="00B5434E" w:rsidP="00B5434E">
      <w:pPr>
        <w:spacing w:after="0" w:line="276" w:lineRule="auto"/>
        <w:ind w:firstLine="709"/>
        <w:jc w:val="both"/>
        <w:rPr>
          <w:rFonts w:ascii="Arial" w:eastAsia="Calibri" w:hAnsi="Arial" w:cs="Arial"/>
          <w:color w:val="000000" w:themeColor="text1"/>
        </w:rPr>
      </w:pPr>
    </w:p>
    <w:p w14:paraId="5776E42A" w14:textId="77777777" w:rsidR="00B5434E" w:rsidRPr="00DE7E39" w:rsidRDefault="00B5434E" w:rsidP="00B5434E">
      <w:pPr>
        <w:spacing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Además, en relación con el inciso segundo del artículo 3, que establece que la entidad estatal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DE7E39">
        <w:rPr>
          <w:rStyle w:val="Refdenotaalpie"/>
          <w:rFonts w:ascii="Arial" w:eastAsia="Calibri" w:hAnsi="Arial" w:cs="Arial"/>
          <w:color w:val="000000" w:themeColor="text1"/>
        </w:rPr>
        <w:footnoteReference w:id="14"/>
      </w:r>
      <w:r w:rsidRPr="00DE7E39">
        <w:rPr>
          <w:rFonts w:ascii="Arial" w:eastAsia="Calibri" w:hAnsi="Arial" w:cs="Arial"/>
          <w:color w:val="000000" w:themeColor="text1"/>
        </w:rPr>
        <w:t>.</w:t>
      </w:r>
    </w:p>
    <w:p w14:paraId="071C0ED4" w14:textId="77777777" w:rsidR="00B5434E" w:rsidRPr="00DE7E39" w:rsidRDefault="00B5434E" w:rsidP="00B5434E">
      <w:pPr>
        <w:spacing w:before="12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lastRenderedPageBreak/>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5A71A040" w14:textId="77777777" w:rsidR="00B5434E" w:rsidRPr="00DE7E39" w:rsidRDefault="00B5434E" w:rsidP="00B5434E">
      <w:pPr>
        <w:spacing w:before="120"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La </w:t>
      </w:r>
      <w:r w:rsidRPr="00DE7E39">
        <w:rPr>
          <w:rFonts w:ascii="Arial" w:eastAsia="Calibri" w:hAnsi="Arial" w:cs="Arial"/>
          <w:i/>
          <w:iCs/>
          <w:color w:val="000000" w:themeColor="text1"/>
        </w:rPr>
        <w:t>segunda</w:t>
      </w:r>
      <w:r w:rsidRPr="00DE7E39">
        <w:rPr>
          <w:rFonts w:ascii="Arial" w:eastAsia="Calibri" w:hAnsi="Arial"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DE7E39">
        <w:rPr>
          <w:rStyle w:val="Refdenotaalpie"/>
          <w:rFonts w:ascii="Arial" w:hAnsi="Arial" w:cs="Arial"/>
          <w:color w:val="000000" w:themeColor="text1"/>
        </w:rPr>
        <w:footnoteReference w:id="15"/>
      </w:r>
      <w:r w:rsidRPr="00DE7E39">
        <w:rPr>
          <w:rFonts w:ascii="Arial" w:eastAsia="Calibri" w:hAnsi="Arial" w:cs="Arial"/>
          <w:color w:val="000000" w:themeColor="text1"/>
        </w:rPr>
        <w:t xml:space="preserve">. </w:t>
      </w:r>
      <w:bookmarkStart w:id="11" w:name="_Hlk95756502"/>
      <w:r w:rsidRPr="00DE7E39">
        <w:rPr>
          <w:rFonts w:ascii="Arial" w:eastAsia="Calibri" w:hAnsi="Arial" w:cs="Arial"/>
          <w:color w:val="000000" w:themeColor="text1"/>
        </w:rPr>
        <w:t xml:space="preserve">En relación con esta norma, encontró que el literal a) del artículo 2 establece dos condiciones contrarias al artículo 355 de la Constitución Política: primero, que el objeto tenga que estar </w:t>
      </w:r>
      <w:r>
        <w:rPr>
          <w:rFonts w:ascii="Arial" w:eastAsia="Calibri" w:hAnsi="Arial" w:cs="Arial"/>
          <w:color w:val="000000" w:themeColor="text1"/>
        </w:rPr>
        <w:t>“</w:t>
      </w:r>
      <w:r w:rsidRPr="00DE7E39">
        <w:rPr>
          <w:rFonts w:ascii="Arial" w:eastAsia="Calibri" w:hAnsi="Arial" w:cs="Arial"/>
          <w:color w:val="000000" w:themeColor="text1"/>
        </w:rPr>
        <w:t>directamente</w:t>
      </w:r>
      <w:r>
        <w:rPr>
          <w:rFonts w:ascii="Arial" w:eastAsia="Calibri" w:hAnsi="Arial" w:cs="Arial"/>
          <w:color w:val="000000" w:themeColor="text1"/>
        </w:rPr>
        <w:t>”</w:t>
      </w:r>
      <w:r w:rsidRPr="00DE7E39">
        <w:rPr>
          <w:rFonts w:ascii="Arial" w:eastAsia="Calibri" w:hAnsi="Arial" w:cs="Arial"/>
          <w:color w:val="000000" w:themeColor="text1"/>
        </w:rPr>
        <w:t xml:space="preserve"> en los planes de desarrollo –nacional o territorial– cuando la norma constitucional establece que el objeto debe ser </w:t>
      </w:r>
      <w:r>
        <w:rPr>
          <w:rFonts w:ascii="Arial" w:eastAsia="Calibri" w:hAnsi="Arial" w:cs="Arial"/>
          <w:color w:val="000000" w:themeColor="text1"/>
        </w:rPr>
        <w:t>“</w:t>
      </w:r>
      <w:r w:rsidRPr="00DE7E39">
        <w:rPr>
          <w:rFonts w:ascii="Arial" w:eastAsia="Calibri" w:hAnsi="Arial" w:cs="Arial"/>
          <w:color w:val="000000" w:themeColor="text1"/>
        </w:rPr>
        <w:t>acorde</w:t>
      </w:r>
      <w:r>
        <w:rPr>
          <w:rFonts w:ascii="Arial" w:eastAsia="Calibri" w:hAnsi="Arial" w:cs="Arial"/>
          <w:color w:val="000000" w:themeColor="text1"/>
        </w:rPr>
        <w:t>”</w:t>
      </w:r>
      <w:r w:rsidRPr="00DE7E39">
        <w:rPr>
          <w:rFonts w:ascii="Arial" w:eastAsia="Calibri" w:hAnsi="Arial" w:cs="Arial"/>
          <w:color w:val="000000" w:themeColor="text1"/>
        </w:rPr>
        <w:t xml:space="preserve"> con el plan nacional o seccional de desarrollo, lo que implica que el objeto del contrato no debe estar explícitamente en el plan de desarrollo sino que se encuentre en armonía con este. </w:t>
      </w:r>
      <w:bookmarkEnd w:id="11"/>
      <w:r w:rsidRPr="00DE7E39">
        <w:rPr>
          <w:rFonts w:ascii="Arial" w:eastAsia="Calibri" w:hAnsi="Arial" w:cs="Arial"/>
          <w:color w:val="000000" w:themeColor="text1"/>
        </w:rPr>
        <w:t xml:space="preserve">En relación con lo anterior, el auto del Consejo de Estado explica que: </w:t>
      </w:r>
    </w:p>
    <w:p w14:paraId="541D8ACB" w14:textId="77777777" w:rsidR="00B5434E" w:rsidRPr="00DE7E39" w:rsidRDefault="00B5434E" w:rsidP="00B5434E">
      <w:pPr>
        <w:spacing w:after="0" w:line="276" w:lineRule="auto"/>
        <w:jc w:val="both"/>
        <w:rPr>
          <w:rFonts w:ascii="Arial" w:eastAsia="Calibri" w:hAnsi="Arial" w:cs="Arial"/>
          <w:color w:val="000000" w:themeColor="text1"/>
        </w:rPr>
      </w:pPr>
    </w:p>
    <w:p w14:paraId="0C627BE5" w14:textId="77777777" w:rsidR="00B5434E" w:rsidRPr="00DE7E39" w:rsidRDefault="00B5434E" w:rsidP="00B5434E">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w:t>
      </w:r>
    </w:p>
    <w:p w14:paraId="3937B41E" w14:textId="77777777" w:rsidR="00B5434E" w:rsidRPr="00DE7E39" w:rsidRDefault="00B5434E" w:rsidP="00B5434E">
      <w:pPr>
        <w:spacing w:after="0" w:line="276" w:lineRule="auto"/>
        <w:jc w:val="both"/>
        <w:rPr>
          <w:rFonts w:ascii="Arial" w:eastAsia="Calibri" w:hAnsi="Arial" w:cs="Arial"/>
          <w:color w:val="000000" w:themeColor="text1"/>
        </w:rPr>
      </w:pPr>
    </w:p>
    <w:p w14:paraId="2905B805" w14:textId="77777777" w:rsidR="00B5434E" w:rsidRPr="00DE7E39" w:rsidRDefault="00B5434E" w:rsidP="00B5434E">
      <w:pPr>
        <w:spacing w:after="0" w:line="276" w:lineRule="auto"/>
        <w:ind w:firstLine="708"/>
        <w:jc w:val="both"/>
        <w:rPr>
          <w:rFonts w:ascii="Arial" w:eastAsia="Calibri" w:hAnsi="Arial" w:cs="Arial"/>
          <w:color w:val="000000" w:themeColor="text1"/>
        </w:rPr>
      </w:pPr>
      <w:r w:rsidRPr="00DE7E39">
        <w:rPr>
          <w:rFonts w:ascii="Arial" w:eastAsia="Calibri" w:hAnsi="Arial" w:cs="Arial"/>
          <w:color w:val="000000" w:themeColor="text1"/>
        </w:rPr>
        <w:t>As</w:t>
      </w:r>
      <w:r>
        <w:rPr>
          <w:rFonts w:ascii="Arial" w:eastAsia="Calibri" w:hAnsi="Arial" w:cs="Arial"/>
          <w:color w:val="000000" w:themeColor="text1"/>
        </w:rPr>
        <w:t>i</w:t>
      </w:r>
      <w:r w:rsidRPr="00DE7E39">
        <w:rPr>
          <w:rFonts w:ascii="Arial" w:eastAsia="Calibri" w:hAnsi="Arial" w:cs="Arial"/>
          <w:color w:val="000000" w:themeColor="text1"/>
        </w:rPr>
        <w:t xml:space="preserve">mismo, el Consejo de Estado consideró que el literal a) del artículo 2, al establecer que los programas y actividades de interés público deben buscar la promoción de los derechos de personas en situaciones de debilidad manifiesta o de indefensión, los </w:t>
      </w:r>
      <w:r w:rsidRPr="00DE7E39">
        <w:rPr>
          <w:rFonts w:ascii="Arial" w:eastAsia="Calibri" w:hAnsi="Arial" w:cs="Arial"/>
          <w:color w:val="000000" w:themeColor="text1"/>
        </w:rPr>
        <w:lastRenderedPageBreak/>
        <w:t xml:space="preserve">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5B71587A" w14:textId="77777777" w:rsidR="00B5434E" w:rsidRPr="00DE7E39" w:rsidRDefault="00B5434E" w:rsidP="00B5434E">
      <w:pPr>
        <w:spacing w:after="0" w:line="276" w:lineRule="auto"/>
        <w:jc w:val="both"/>
        <w:rPr>
          <w:rFonts w:ascii="Arial" w:eastAsia="Calibri" w:hAnsi="Arial" w:cs="Arial"/>
          <w:color w:val="000000" w:themeColor="text1"/>
        </w:rPr>
      </w:pPr>
    </w:p>
    <w:p w14:paraId="265C3729" w14:textId="77777777" w:rsidR="00B5434E" w:rsidRPr="00DE7E39" w:rsidRDefault="00B5434E" w:rsidP="00B5434E">
      <w:pPr>
        <w:tabs>
          <w:tab w:val="left" w:pos="8080"/>
        </w:tabs>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causa</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del contrato tenga como finalidad </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impulsar programas y actividades de interés público acordes con el plan de desarrollo</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acorde</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con los planes de desarrollo, que es, en últimas, el propósito de la norma constitucional</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w:t>
      </w:r>
    </w:p>
    <w:p w14:paraId="3ABCD685" w14:textId="77777777" w:rsidR="00B5434E" w:rsidRPr="00DE7E39" w:rsidRDefault="00B5434E" w:rsidP="00B5434E">
      <w:pPr>
        <w:spacing w:after="0" w:line="276" w:lineRule="auto"/>
        <w:jc w:val="both"/>
        <w:rPr>
          <w:rFonts w:ascii="Arial" w:eastAsia="Calibri" w:hAnsi="Arial" w:cs="Arial"/>
          <w:color w:val="000000" w:themeColor="text1"/>
        </w:rPr>
      </w:pPr>
      <w:r w:rsidRPr="00DE7E39">
        <w:rPr>
          <w:rFonts w:ascii="Arial" w:eastAsia="Calibri" w:hAnsi="Arial" w:cs="Arial"/>
          <w:color w:val="000000" w:themeColor="text1"/>
        </w:rPr>
        <w:t xml:space="preserve"> </w:t>
      </w:r>
    </w:p>
    <w:p w14:paraId="797E6FC0" w14:textId="77777777" w:rsidR="00B5434E" w:rsidRPr="00DE7E39" w:rsidRDefault="00B5434E" w:rsidP="00B5434E">
      <w:pPr>
        <w:spacing w:line="276" w:lineRule="auto"/>
        <w:ind w:firstLine="709"/>
        <w:jc w:val="both"/>
        <w:rPr>
          <w:rFonts w:ascii="Arial" w:eastAsia="Calibri" w:hAnsi="Arial" w:cs="Arial"/>
          <w:color w:val="000000" w:themeColor="text1"/>
        </w:rPr>
      </w:pPr>
      <w:bookmarkStart w:id="12" w:name="_Hlk95756534"/>
      <w:r w:rsidRPr="00DE7E39">
        <w:rPr>
          <w:rFonts w:ascii="Arial" w:eastAsia="Calibri" w:hAnsi="Arial"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12"/>
    <w:p w14:paraId="029204E0" w14:textId="77777777" w:rsidR="00B5434E" w:rsidRPr="00DE7E39" w:rsidRDefault="00B5434E" w:rsidP="00B5434E">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El Consejo de Estado, en el auto del 6 de agosto de 2019, en </w:t>
      </w:r>
      <w:r w:rsidRPr="00DE7E39">
        <w:rPr>
          <w:rFonts w:ascii="Arial" w:eastAsia="Calibri" w:hAnsi="Arial" w:cs="Arial"/>
          <w:i/>
          <w:iCs/>
          <w:color w:val="000000" w:themeColor="text1"/>
        </w:rPr>
        <w:t>tercer</w:t>
      </w:r>
      <w:r w:rsidRPr="00DE7E39">
        <w:rPr>
          <w:rFonts w:ascii="Arial" w:eastAsia="Calibri" w:hAnsi="Arial" w:cs="Arial"/>
          <w:color w:val="000000" w:themeColor="text1"/>
        </w:rPr>
        <w:t xml:space="preserve"> lugar, examinó el literal c) y el inciso 5 del artículo 2 del Decreto</w:t>
      </w:r>
      <w:r w:rsidRPr="00DE7E39">
        <w:rPr>
          <w:rStyle w:val="Refdenotaalpie"/>
          <w:rFonts w:ascii="Arial" w:eastAsia="Calibri" w:hAnsi="Arial" w:cs="Arial"/>
          <w:color w:val="000000" w:themeColor="text1"/>
        </w:rPr>
        <w:footnoteReference w:id="16"/>
      </w:r>
      <w:r w:rsidRPr="00DE7E39">
        <w:rPr>
          <w:rFonts w:ascii="Arial" w:eastAsia="Calibri" w:hAnsi="Arial"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36D1BD0C" w14:textId="77777777" w:rsidR="00B5434E" w:rsidRPr="00DE7E39" w:rsidRDefault="00B5434E" w:rsidP="00B5434E">
      <w:pPr>
        <w:spacing w:after="0" w:line="276" w:lineRule="auto"/>
        <w:jc w:val="both"/>
        <w:rPr>
          <w:rFonts w:ascii="Arial" w:eastAsia="Calibri" w:hAnsi="Arial" w:cs="Arial"/>
          <w:color w:val="000000" w:themeColor="text1"/>
        </w:rPr>
      </w:pPr>
    </w:p>
    <w:p w14:paraId="274E4DA1" w14:textId="77777777" w:rsidR="00B5434E" w:rsidRPr="00DE7E39" w:rsidRDefault="00B5434E" w:rsidP="00B5434E">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w:t>
      </w:r>
      <w:r w:rsidRPr="00DE7E39">
        <w:rPr>
          <w:rFonts w:ascii="Arial" w:eastAsia="Calibri" w:hAnsi="Arial" w:cs="Arial"/>
          <w:color w:val="000000" w:themeColor="text1"/>
          <w:sz w:val="21"/>
          <w:szCs w:val="21"/>
        </w:rPr>
        <w:lastRenderedPageBreak/>
        <w:t>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w:t>
      </w:r>
    </w:p>
    <w:p w14:paraId="0204E2EC" w14:textId="77777777" w:rsidR="00B5434E" w:rsidRPr="00DE7E39" w:rsidRDefault="00B5434E" w:rsidP="00B5434E">
      <w:pPr>
        <w:spacing w:after="0" w:line="276" w:lineRule="auto"/>
        <w:jc w:val="both"/>
        <w:rPr>
          <w:rFonts w:ascii="Arial" w:eastAsia="Calibri" w:hAnsi="Arial" w:cs="Arial"/>
          <w:color w:val="000000" w:themeColor="text1"/>
        </w:rPr>
      </w:pPr>
    </w:p>
    <w:p w14:paraId="10822B83" w14:textId="77777777" w:rsidR="00B5434E" w:rsidRPr="00DE7E39" w:rsidRDefault="00B5434E" w:rsidP="00B5434E">
      <w:pPr>
        <w:spacing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6CCC07C6" w14:textId="77777777" w:rsidR="00B5434E" w:rsidRPr="00DE7E39" w:rsidRDefault="00B5434E" w:rsidP="00B5434E">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La </w:t>
      </w:r>
      <w:r w:rsidRPr="00DE7E39">
        <w:rPr>
          <w:rFonts w:ascii="Arial" w:eastAsia="Calibri" w:hAnsi="Arial" w:cs="Arial"/>
          <w:i/>
          <w:iCs/>
          <w:color w:val="000000" w:themeColor="text1"/>
        </w:rPr>
        <w:t>cuarta</w:t>
      </w:r>
      <w:r w:rsidRPr="00DE7E39">
        <w:rPr>
          <w:rFonts w:ascii="Arial" w:eastAsia="Calibri" w:hAnsi="Arial"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DE7E39">
        <w:rPr>
          <w:rStyle w:val="Refdenotaalpie"/>
          <w:rFonts w:ascii="Arial" w:eastAsia="Calibri" w:hAnsi="Arial" w:cs="Arial"/>
          <w:color w:val="000000" w:themeColor="text1"/>
        </w:rPr>
        <w:footnoteReference w:id="17"/>
      </w:r>
      <w:r w:rsidRPr="00DE7E39">
        <w:rPr>
          <w:rFonts w:ascii="Arial" w:eastAsia="Calibri" w:hAnsi="Arial"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6A5316D6" w14:textId="77777777" w:rsidR="00B5434E" w:rsidRPr="00DE7E39" w:rsidRDefault="00B5434E" w:rsidP="00B5434E">
      <w:pPr>
        <w:spacing w:after="0" w:line="276" w:lineRule="auto"/>
        <w:jc w:val="both"/>
        <w:rPr>
          <w:rFonts w:ascii="Arial" w:eastAsia="Calibri" w:hAnsi="Arial" w:cs="Arial"/>
          <w:color w:val="000000" w:themeColor="text1"/>
        </w:rPr>
      </w:pPr>
    </w:p>
    <w:p w14:paraId="109FFCC4" w14:textId="77777777" w:rsidR="00B5434E" w:rsidRPr="00DE7E39" w:rsidRDefault="00B5434E" w:rsidP="00B5434E">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w:t>
      </w:r>
    </w:p>
    <w:p w14:paraId="64B0A9B1" w14:textId="77777777" w:rsidR="00B5434E" w:rsidRPr="00DE7E39" w:rsidRDefault="00B5434E" w:rsidP="00B5434E">
      <w:pPr>
        <w:spacing w:after="0" w:line="276" w:lineRule="auto"/>
        <w:ind w:firstLine="709"/>
        <w:jc w:val="both"/>
        <w:rPr>
          <w:rFonts w:ascii="Arial" w:eastAsia="Calibri" w:hAnsi="Arial" w:cs="Arial"/>
          <w:color w:val="000000" w:themeColor="text1"/>
        </w:rPr>
      </w:pPr>
      <w:bookmarkStart w:id="13" w:name="_Hlk95756891"/>
    </w:p>
    <w:p w14:paraId="686AD7DF" w14:textId="77777777" w:rsidR="00B5434E" w:rsidRPr="00DE7E39" w:rsidRDefault="00B5434E" w:rsidP="00B5434E">
      <w:pPr>
        <w:spacing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lastRenderedPageBreak/>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13"/>
      <w:r w:rsidRPr="00DE7E39">
        <w:rPr>
          <w:rFonts w:ascii="Arial" w:eastAsia="Calibri" w:hAnsi="Arial" w:cs="Arial"/>
          <w:color w:val="000000" w:themeColor="text1"/>
        </w:rPr>
        <w:t xml:space="preserve">En estos procesos, entonces, se debe acudir a los criterios aplicables a los otros negocios jurídicos que regula el Decreto 092 de 2017, particularmente las exigencias del artículo 2 </w:t>
      </w:r>
      <w:r w:rsidRPr="00DE7E39">
        <w:rPr>
          <w:rFonts w:ascii="Arial" w:eastAsia="Calibri" w:hAnsi="Arial" w:cs="Arial"/>
          <w:i/>
          <w:iCs/>
          <w:color w:val="000000" w:themeColor="text1"/>
        </w:rPr>
        <w:t>ibidem</w:t>
      </w:r>
      <w:r w:rsidRPr="00DE7E39">
        <w:rPr>
          <w:rFonts w:ascii="Arial" w:eastAsia="Calibri" w:hAnsi="Arial" w:cs="Arial"/>
          <w:color w:val="000000" w:themeColor="text1"/>
        </w:rPr>
        <w:t xml:space="preserve">. Incluso, habría que tener en cuenta las exigencias del inciso 2 del artículo 4 </w:t>
      </w:r>
      <w:proofErr w:type="spellStart"/>
      <w:r w:rsidRPr="00DE7E39">
        <w:rPr>
          <w:rFonts w:ascii="Arial" w:eastAsia="Calibri" w:hAnsi="Arial" w:cs="Arial"/>
          <w:i/>
          <w:iCs/>
          <w:color w:val="000000" w:themeColor="text1"/>
        </w:rPr>
        <w:t>íbídem</w:t>
      </w:r>
      <w:proofErr w:type="spellEnd"/>
      <w:r w:rsidRPr="00DE7E39">
        <w:rPr>
          <w:rFonts w:ascii="Arial" w:eastAsia="Calibri" w:hAnsi="Arial" w:cs="Arial"/>
          <w:color w:val="000000" w:themeColor="text1"/>
        </w:rPr>
        <w:t>, siempre que se configuren los supuestos de aplicación de dicha normativa, esto es, siempre que exista más de una entidad sin ánimo de lucro de reconocida idoneidad.</w:t>
      </w:r>
    </w:p>
    <w:p w14:paraId="65E8676B" w14:textId="77777777" w:rsidR="00B5434E" w:rsidRPr="00DE7E39" w:rsidRDefault="00B5434E" w:rsidP="00B5434E">
      <w:pPr>
        <w:spacing w:before="120" w:line="276" w:lineRule="auto"/>
        <w:ind w:firstLine="709"/>
        <w:jc w:val="both"/>
        <w:rPr>
          <w:rFonts w:ascii="Arial" w:eastAsia="Calibri" w:hAnsi="Arial" w:cs="Arial"/>
          <w:color w:val="000000" w:themeColor="text1"/>
        </w:rPr>
      </w:pPr>
      <w:bookmarkStart w:id="14" w:name="_Hlk95757095"/>
      <w:r w:rsidRPr="00DE7E39">
        <w:rPr>
          <w:rFonts w:ascii="Arial" w:eastAsia="Calibri" w:hAnsi="Arial" w:cs="Arial"/>
          <w:color w:val="000000" w:themeColor="text1"/>
        </w:rPr>
        <w:t xml:space="preserve">Por último, en </w:t>
      </w:r>
      <w:r w:rsidRPr="00DE7E39">
        <w:rPr>
          <w:rFonts w:ascii="Arial" w:eastAsia="Calibri" w:hAnsi="Arial" w:cs="Arial"/>
          <w:i/>
          <w:iCs/>
          <w:color w:val="000000" w:themeColor="text1"/>
        </w:rPr>
        <w:t xml:space="preserve">quinto </w:t>
      </w:r>
      <w:r w:rsidRPr="00DE7E39">
        <w:rPr>
          <w:rFonts w:ascii="Arial" w:eastAsia="Calibri" w:hAnsi="Arial" w:cs="Arial"/>
          <w:color w:val="000000" w:themeColor="text1"/>
        </w:rPr>
        <w:t>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w:t>
      </w:r>
      <w:r>
        <w:rPr>
          <w:rFonts w:ascii="Arial" w:eastAsia="Calibri" w:hAnsi="Arial" w:cs="Arial"/>
          <w:color w:val="000000" w:themeColor="text1"/>
        </w:rPr>
        <w:t>.</w:t>
      </w:r>
      <w:r w:rsidRPr="00DE7E39">
        <w:rPr>
          <w:rFonts w:ascii="Arial" w:eastAsia="Calibri" w:hAnsi="Arial" w:cs="Arial"/>
          <w:color w:val="000000" w:themeColor="text1"/>
        </w:rPr>
        <w:t xml:space="preserve"> </w:t>
      </w:r>
      <w:r>
        <w:rPr>
          <w:rFonts w:ascii="Arial" w:eastAsia="Calibri" w:hAnsi="Arial" w:cs="Arial"/>
          <w:color w:val="000000" w:themeColor="text1"/>
        </w:rPr>
        <w:t>E</w:t>
      </w:r>
      <w:r w:rsidRPr="00DE7E39">
        <w:rPr>
          <w:rFonts w:ascii="Arial" w:eastAsia="Calibri" w:hAnsi="Arial" w:cs="Arial"/>
          <w:color w:val="000000" w:themeColor="text1"/>
        </w:rPr>
        <w:t xml:space="preserve">n consecuencia negó la solicitud de suspensión provisional, reservando el análisis sobre la legalidad de dicho artículo a la sentencia. </w:t>
      </w:r>
    </w:p>
    <w:p w14:paraId="1FD452CF" w14:textId="77777777" w:rsidR="00B5434E" w:rsidRPr="00DE7E39" w:rsidRDefault="00B5434E" w:rsidP="00B5434E">
      <w:pPr>
        <w:spacing w:before="120" w:after="0" w:line="276" w:lineRule="auto"/>
        <w:ind w:firstLine="709"/>
        <w:jc w:val="both"/>
        <w:rPr>
          <w:rFonts w:ascii="Arial" w:eastAsia="Calibri" w:hAnsi="Arial" w:cs="Arial"/>
          <w:color w:val="000000" w:themeColor="text1"/>
        </w:rPr>
      </w:pPr>
      <w:r w:rsidRPr="005E0360">
        <w:rPr>
          <w:rFonts w:ascii="Arial" w:eastAsia="Calibri" w:hAnsi="Arial" w:cs="Arial"/>
          <w:color w:val="000000" w:themeColor="text1"/>
        </w:rPr>
        <w:t>L</w:t>
      </w:r>
      <w:r w:rsidRPr="00DE7E39">
        <w:rPr>
          <w:rFonts w:ascii="Arial" w:eastAsia="Calibri" w:hAnsi="Arial" w:cs="Arial"/>
          <w:color w:val="000000" w:themeColor="text1"/>
        </w:rPr>
        <w:t>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DE7E39">
        <w:rPr>
          <w:rStyle w:val="Refdenotaalpie"/>
          <w:rFonts w:ascii="Arial" w:eastAsia="Calibri" w:hAnsi="Arial" w:cs="Arial"/>
          <w:color w:val="000000" w:themeColor="text1"/>
        </w:rPr>
        <w:footnoteReference w:id="18"/>
      </w:r>
      <w:r w:rsidRPr="00DE7E39">
        <w:rPr>
          <w:rFonts w:ascii="Arial" w:eastAsia="Calibri" w:hAnsi="Arial" w:cs="Arial"/>
          <w:color w:val="000000" w:themeColor="text1"/>
        </w:rPr>
        <w:t xml:space="preserve">. Por lo demás, respecto al inciso final del artículo 4 </w:t>
      </w:r>
      <w:r w:rsidRPr="00DE7E39">
        <w:rPr>
          <w:rFonts w:ascii="Arial" w:eastAsia="Calibri" w:hAnsi="Arial" w:cs="Arial"/>
          <w:i/>
          <w:iCs/>
          <w:color w:val="000000" w:themeColor="text1"/>
        </w:rPr>
        <w:t>ibidem</w:t>
      </w:r>
      <w:r w:rsidRPr="00DE7E39">
        <w:rPr>
          <w:rFonts w:ascii="Arial" w:eastAsia="Calibri" w:hAnsi="Arial" w:cs="Arial"/>
          <w:color w:val="000000" w:themeColor="text1"/>
        </w:rPr>
        <w:t>, el Consejo de Estado mantiene la medida cautelar al configurarse el cargo de violación del principio de igualdad. Para estos efectos, considera que:</w:t>
      </w:r>
    </w:p>
    <w:p w14:paraId="2F7987FF" w14:textId="77777777" w:rsidR="00B5434E" w:rsidRPr="00DE7E39" w:rsidRDefault="00B5434E" w:rsidP="00B5434E">
      <w:pPr>
        <w:spacing w:after="0" w:line="276" w:lineRule="auto"/>
        <w:ind w:firstLine="709"/>
        <w:jc w:val="both"/>
        <w:rPr>
          <w:rFonts w:ascii="Arial" w:eastAsia="Calibri" w:hAnsi="Arial" w:cs="Arial"/>
          <w:color w:val="000000" w:themeColor="text1"/>
        </w:rPr>
      </w:pPr>
    </w:p>
    <w:p w14:paraId="64630F56" w14:textId="77777777" w:rsidR="00B5434E" w:rsidRPr="00DE7E39" w:rsidRDefault="00B5434E" w:rsidP="00B5434E">
      <w:pPr>
        <w:spacing w:after="120"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47503DF1" w14:textId="77777777" w:rsidR="00B5434E" w:rsidRPr="00DE7E39" w:rsidRDefault="00B5434E" w:rsidP="00B5434E">
      <w:pPr>
        <w:spacing w:after="0" w:line="240" w:lineRule="auto"/>
        <w:ind w:left="709" w:right="709"/>
        <w:jc w:val="both"/>
        <w:rPr>
          <w:rFonts w:ascii="Arial" w:eastAsia="Calibri" w:hAnsi="Arial" w:cs="Arial"/>
          <w:color w:val="000000" w:themeColor="text1"/>
          <w:sz w:val="21"/>
          <w:szCs w:val="21"/>
        </w:rPr>
      </w:pPr>
      <w:r w:rsidRPr="00DE7E39">
        <w:rPr>
          <w:rFonts w:ascii="Arial" w:eastAsia="Calibri" w:hAnsi="Arial" w:cs="Arial"/>
          <w:color w:val="000000" w:themeColor="text1"/>
          <w:sz w:val="21"/>
          <w:szCs w:val="21"/>
        </w:rPr>
        <w:t xml:space="preserve">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w:t>
      </w:r>
      <w:r w:rsidRPr="00DE7E39">
        <w:rPr>
          <w:rFonts w:ascii="Arial" w:eastAsia="Calibri" w:hAnsi="Arial" w:cs="Arial"/>
          <w:color w:val="000000" w:themeColor="text1"/>
          <w:sz w:val="21"/>
          <w:szCs w:val="21"/>
        </w:rPr>
        <w:lastRenderedPageBreak/>
        <w:t>enunciadas en la norma: de índole artística, cultural, deportiva o de promoción de la diversidad étnica</w:t>
      </w:r>
      <w:r>
        <w:rPr>
          <w:rFonts w:ascii="Arial" w:eastAsia="Calibri" w:hAnsi="Arial" w:cs="Arial"/>
          <w:color w:val="000000" w:themeColor="text1"/>
          <w:sz w:val="21"/>
          <w:szCs w:val="21"/>
        </w:rPr>
        <w:t>”</w:t>
      </w:r>
      <w:r w:rsidRPr="00DE7E39">
        <w:rPr>
          <w:rStyle w:val="Refdenotaalpie"/>
          <w:rFonts w:ascii="Arial" w:eastAsia="Calibri" w:hAnsi="Arial" w:cs="Arial"/>
          <w:color w:val="000000" w:themeColor="text1"/>
          <w:sz w:val="21"/>
          <w:szCs w:val="21"/>
        </w:rPr>
        <w:footnoteReference w:id="19"/>
      </w:r>
      <w:r w:rsidRPr="00DE7E39">
        <w:rPr>
          <w:rFonts w:ascii="Arial" w:eastAsia="Calibri" w:hAnsi="Arial" w:cs="Arial"/>
          <w:color w:val="000000" w:themeColor="text1"/>
          <w:sz w:val="21"/>
          <w:szCs w:val="21"/>
        </w:rPr>
        <w:t xml:space="preserve">.  </w:t>
      </w:r>
    </w:p>
    <w:p w14:paraId="6C652F60" w14:textId="77777777" w:rsidR="00B5434E" w:rsidRPr="00DE7E39" w:rsidRDefault="00B5434E" w:rsidP="00B5434E">
      <w:pPr>
        <w:spacing w:after="0" w:line="276" w:lineRule="auto"/>
        <w:ind w:firstLine="709"/>
        <w:jc w:val="both"/>
        <w:rPr>
          <w:rFonts w:ascii="Arial" w:eastAsia="Calibri" w:hAnsi="Arial" w:cs="Arial"/>
          <w:color w:val="000000" w:themeColor="text1"/>
        </w:rPr>
      </w:pPr>
    </w:p>
    <w:p w14:paraId="00D75424" w14:textId="77777777" w:rsidR="00B5434E" w:rsidRPr="00DE7E39" w:rsidRDefault="00B5434E" w:rsidP="00B5434E">
      <w:pPr>
        <w:spacing w:line="276" w:lineRule="auto"/>
        <w:ind w:firstLine="709"/>
        <w:jc w:val="both"/>
        <w:rPr>
          <w:rFonts w:ascii="Arial" w:eastAsia="Calibri" w:hAnsi="Arial" w:cs="Arial"/>
          <w:color w:val="000000" w:themeColor="text1"/>
        </w:rPr>
      </w:pPr>
      <w:bookmarkStart w:id="16" w:name="_Hlk95757157"/>
      <w:bookmarkEnd w:id="14"/>
      <w:r w:rsidRPr="00DE7E39">
        <w:rPr>
          <w:rFonts w:ascii="Arial" w:hAnsi="Arial"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w:t>
      </w:r>
      <w:proofErr w:type="spellStart"/>
      <w:r w:rsidRPr="00DE7E39">
        <w:rPr>
          <w:rFonts w:ascii="Arial" w:hAnsi="Arial" w:cs="Arial"/>
          <w:color w:val="000000" w:themeColor="text1"/>
        </w:rPr>
        <w:t>iv</w:t>
      </w:r>
      <w:proofErr w:type="spellEnd"/>
      <w:r w:rsidRPr="00DE7E39">
        <w:rPr>
          <w:rFonts w:ascii="Arial" w:hAnsi="Arial" w:cs="Arial"/>
          <w:color w:val="000000" w:themeColor="text1"/>
        </w:rPr>
        <w:t>) no puede condicionarse únicamente</w:t>
      </w:r>
      <w:r>
        <w:rPr>
          <w:rFonts w:ascii="Arial" w:hAnsi="Arial" w:cs="Arial"/>
          <w:color w:val="000000" w:themeColor="text1"/>
        </w:rPr>
        <w:t xml:space="preserve"> a</w:t>
      </w:r>
      <w:r w:rsidRPr="00DE7E39">
        <w:rPr>
          <w:rFonts w:ascii="Arial" w:hAnsi="Arial" w:cs="Arial"/>
          <w:color w:val="000000" w:themeColor="text1"/>
        </w:rPr>
        <w:t xml:space="preserv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14:paraId="5FC389AC" w14:textId="77777777" w:rsidR="00B5434E" w:rsidRDefault="00B5434E" w:rsidP="00B5434E">
      <w:pPr>
        <w:spacing w:before="12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Ahora, si se pretende realizar un </w:t>
      </w:r>
      <w:r w:rsidRPr="00DE7E39">
        <w:rPr>
          <w:rFonts w:ascii="Arial" w:eastAsia="Calibri" w:hAnsi="Arial" w:cs="Arial"/>
          <w:i/>
          <w:iCs/>
          <w:color w:val="000000" w:themeColor="text1"/>
        </w:rPr>
        <w:t>convenio de asociación</w:t>
      </w:r>
      <w:r w:rsidRPr="00DE7E39">
        <w:rPr>
          <w:rFonts w:ascii="Arial" w:eastAsia="Calibri" w:hAnsi="Arial" w:cs="Arial"/>
          <w:color w:val="000000" w:themeColor="text1"/>
        </w:rPr>
        <w:t xml:space="preserve"> con ESAL de reconocida idoneidad para el cumplimiento de las funciones que la ley les asigna a las entidades públicas, deberá aplicar</w:t>
      </w:r>
      <w:r>
        <w:rPr>
          <w:rFonts w:ascii="Arial" w:eastAsia="Calibri" w:hAnsi="Arial" w:cs="Arial"/>
          <w:color w:val="000000" w:themeColor="text1"/>
        </w:rPr>
        <w:t>se</w:t>
      </w:r>
      <w:r w:rsidRPr="00DE7E39">
        <w:rPr>
          <w:rFonts w:ascii="Arial" w:eastAsia="Calibri" w:hAnsi="Arial" w:cs="Arial"/>
          <w:color w:val="000000" w:themeColor="text1"/>
        </w:rPr>
        <w:t xml:space="preserve"> lo dispuesto en el artículo 5 del Decreto 092 de 2017. De esta manera, </w:t>
      </w:r>
      <w:bookmarkEnd w:id="16"/>
      <w:r w:rsidRPr="00DE7E39">
        <w:rPr>
          <w:rFonts w:ascii="Arial" w:eastAsia="Calibri" w:hAnsi="Arial" w:cs="Arial"/>
          <w:color w:val="000000" w:themeColor="text1"/>
        </w:rPr>
        <w:t>deben estar sujetos a competencia, salvo en aquellos casos en que una entidad sin ánimo de lucro comprometa recursos en dinero por un valor igual o superior al 30% del valor total del convenio</w:t>
      </w:r>
      <w:r w:rsidRPr="00DE7E39">
        <w:rPr>
          <w:rStyle w:val="Refdenotaalpie"/>
          <w:rFonts w:ascii="Arial" w:hAnsi="Arial" w:cs="Arial"/>
          <w:color w:val="000000" w:themeColor="text1"/>
          <w:sz w:val="20"/>
          <w:szCs w:val="20"/>
        </w:rPr>
        <w:footnoteReference w:id="20"/>
      </w:r>
      <w:r w:rsidRPr="00DE7E39">
        <w:rPr>
          <w:rFonts w:ascii="Arial" w:eastAsia="Calibri" w:hAnsi="Arial" w:cs="Arial"/>
          <w:color w:val="000000" w:themeColor="text1"/>
        </w:rPr>
        <w:t xml:space="preserve">, y siempre que la entidad estatal verifique previamente que no existe ninguna otra entidad sin ánimo de lucro que ofrezca aportes iguales o superiores al 30%. </w:t>
      </w:r>
      <w:r w:rsidRPr="00DE7E39">
        <w:rPr>
          <w:rFonts w:ascii="Arial" w:eastAsia="Calibri" w:hAnsi="Arial" w:cs="Arial"/>
          <w:color w:val="000000"/>
        </w:rPr>
        <w:t>Lo anterior sin perjuicio de las restricciones previstas en el artículo 33 de la Ley de Garantías durante el periodo preelectoral de las elecciones presidenciales para los procesos no competitivos</w:t>
      </w:r>
      <w:r w:rsidRPr="00DE7E39">
        <w:rPr>
          <w:rFonts w:ascii="Arial" w:eastAsia="Calibri" w:hAnsi="Arial" w:cs="Arial"/>
          <w:color w:val="000000" w:themeColor="text1"/>
        </w:rPr>
        <w:t>.</w:t>
      </w:r>
    </w:p>
    <w:p w14:paraId="6B8565D9" w14:textId="77777777" w:rsidR="00B5434E" w:rsidRPr="00DE7E39" w:rsidRDefault="00B5434E" w:rsidP="00B5434E">
      <w:pPr>
        <w:spacing w:before="120" w:line="276" w:lineRule="auto"/>
        <w:ind w:firstLine="709"/>
        <w:jc w:val="both"/>
        <w:rPr>
          <w:rFonts w:ascii="Arial" w:eastAsia="Calibri" w:hAnsi="Arial" w:cs="Arial"/>
          <w:color w:val="000000" w:themeColor="text1"/>
        </w:rPr>
      </w:pPr>
      <w:r>
        <w:rPr>
          <w:rFonts w:ascii="Arial" w:eastAsia="Calibri" w:hAnsi="Arial" w:cs="Arial"/>
          <w:color w:val="000000" w:themeColor="text1"/>
        </w:rPr>
        <w:t>El numeral 16.1 de la versión anterior de la Circular Externa Única disponía lo siguiente: “</w:t>
      </w:r>
      <w:r w:rsidRPr="00644B41">
        <w:rPr>
          <w:rFonts w:ascii="Arial" w:eastAsia="Calibri" w:hAnsi="Arial" w:cs="Arial"/>
          <w:color w:val="000000" w:themeColor="text1"/>
        </w:rPr>
        <w:t>El Decreto 092 de 2017 no es aplicable a las contrataciones que cuentan con una norma especial que las regula. A la fecha se han identificado algunas especiales, no obstante, es posible que las Entidades Estatales en el cumplimiento de sus funciones identifiquen otras adicionales</w:t>
      </w:r>
      <w:r>
        <w:rPr>
          <w:rFonts w:ascii="Arial" w:eastAsia="Calibri" w:hAnsi="Arial" w:cs="Arial"/>
          <w:color w:val="000000" w:themeColor="text1"/>
        </w:rPr>
        <w:t xml:space="preserve">”. Sin embargo, este aparte no se reprodujo en la versión 2, </w:t>
      </w:r>
      <w:r>
        <w:rPr>
          <w:rFonts w:ascii="Arial" w:eastAsia="Calibri" w:hAnsi="Arial" w:cs="Arial"/>
          <w:color w:val="000000" w:themeColor="text1"/>
        </w:rPr>
        <w:lastRenderedPageBreak/>
        <w:t>aprobada el 15 de julio de 2022, la cual no se refiere a la contratación con ESAL</w:t>
      </w:r>
      <w:r>
        <w:rPr>
          <w:rStyle w:val="Refdenotaalpie"/>
          <w:rFonts w:ascii="Arial" w:eastAsia="Calibri" w:hAnsi="Arial" w:cs="Arial"/>
          <w:color w:val="000000" w:themeColor="text1"/>
        </w:rPr>
        <w:footnoteReference w:id="21"/>
      </w:r>
      <w:r>
        <w:rPr>
          <w:rFonts w:ascii="Arial" w:eastAsia="Calibri" w:hAnsi="Arial" w:cs="Arial"/>
          <w:color w:val="000000" w:themeColor="text1"/>
        </w:rPr>
        <w:t xml:space="preserve">. Por lo demás, </w:t>
      </w:r>
      <w:r>
        <w:rPr>
          <w:rFonts w:ascii="Arial" w:hAnsi="Arial" w:cs="Arial"/>
          <w:lang w:val="es-ES"/>
        </w:rPr>
        <w:t>el inciso primero del artículo 16 de la Ley 1219 de 2022 se refiere a la promoción de “</w:t>
      </w:r>
      <w:r w:rsidRPr="00437B0D">
        <w:rPr>
          <w:rFonts w:ascii="Arial" w:hAnsi="Arial" w:cs="Arial"/>
          <w:lang w:val="es-ES"/>
        </w:rPr>
        <w:t>programas especiales</w:t>
      </w:r>
      <w:r>
        <w:rPr>
          <w:rFonts w:ascii="Arial" w:hAnsi="Arial" w:cs="Arial"/>
          <w:lang w:val="es-ES"/>
        </w:rPr>
        <w:t>", sin aludir explícitamente a la suscripción de contratos y convenios, por lo que la Agencia carece de atribuciones para interpretar su alcance.</w:t>
      </w:r>
    </w:p>
    <w:p w14:paraId="77A11D61" w14:textId="77777777" w:rsidR="00B5434E" w:rsidRDefault="00B5434E" w:rsidP="00B5434E">
      <w:pPr>
        <w:spacing w:after="0" w:line="276" w:lineRule="auto"/>
        <w:ind w:firstLine="708"/>
        <w:jc w:val="both"/>
        <w:rPr>
          <w:rFonts w:ascii="Arial" w:hAnsi="Arial" w:cs="Arial"/>
          <w:lang w:val="es-ES"/>
        </w:rPr>
      </w:pPr>
      <w:r>
        <w:rPr>
          <w:rFonts w:ascii="Arial" w:eastAsia="Calibri" w:hAnsi="Arial" w:cs="Arial"/>
          <w:bCs/>
          <w:color w:val="000000"/>
          <w:lang w:eastAsia="es-CO"/>
        </w:rPr>
        <w:t>En este marco</w:t>
      </w:r>
      <w:r w:rsidRPr="00DE7E39">
        <w:rPr>
          <w:rFonts w:ascii="Arial" w:eastAsia="Calibri" w:hAnsi="Arial" w:cs="Arial"/>
          <w:bCs/>
          <w:color w:val="000000"/>
          <w:lang w:eastAsia="es-CO"/>
        </w:rPr>
        <w:t>, corresponde a cada entidad pública, en ejercicio de su competencia y previa valoración de los elementos fácticos y jurídicos, determinar la forma</w:t>
      </w:r>
      <w:r>
        <w:rPr>
          <w:rFonts w:ascii="Arial" w:eastAsia="Calibri" w:hAnsi="Arial" w:cs="Arial"/>
          <w:bCs/>
          <w:color w:val="000000"/>
          <w:lang w:eastAsia="es-CO"/>
        </w:rPr>
        <w:t xml:space="preserve"> de suscribir</w:t>
      </w:r>
      <w:r w:rsidRPr="00DE7E39">
        <w:rPr>
          <w:rFonts w:ascii="Arial" w:eastAsia="Calibri" w:hAnsi="Arial" w:cs="Arial"/>
          <w:bCs/>
          <w:color w:val="000000"/>
          <w:lang w:eastAsia="es-CO"/>
        </w:rPr>
        <w:t xml:space="preserve"> </w:t>
      </w:r>
      <w:r w:rsidRPr="00437B0D">
        <w:rPr>
          <w:rFonts w:ascii="Arial" w:eastAsia="Calibri" w:hAnsi="Arial" w:cs="Arial"/>
          <w:bCs/>
          <w:color w:val="000000"/>
          <w:lang w:eastAsia="es-CO"/>
        </w:rPr>
        <w:t>convenios de asociación con asociaciones campesinas y agropecuari</w:t>
      </w:r>
      <w:r>
        <w:rPr>
          <w:rFonts w:ascii="Arial" w:eastAsia="Calibri" w:hAnsi="Arial" w:cs="Arial"/>
          <w:bCs/>
          <w:color w:val="000000"/>
          <w:lang w:eastAsia="es-CO"/>
        </w:rPr>
        <w:t>a</w:t>
      </w:r>
      <w:r w:rsidRPr="00437B0D">
        <w:rPr>
          <w:rFonts w:ascii="Arial" w:eastAsia="Calibri" w:hAnsi="Arial" w:cs="Arial"/>
          <w:bCs/>
          <w:color w:val="000000"/>
          <w:lang w:eastAsia="es-CO"/>
        </w:rPr>
        <w:t>s</w:t>
      </w:r>
      <w:r w:rsidRPr="00DE7E39">
        <w:rPr>
          <w:rFonts w:ascii="Arial" w:eastAsia="Calibri" w:hAnsi="Arial" w:cs="Arial"/>
          <w:bCs/>
          <w:color w:val="000000"/>
          <w:lang w:eastAsia="es-CO"/>
        </w:rPr>
        <w:t>.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eastAsia="Calibri" w:hAnsi="Arial" w:cs="Arial"/>
          <w:bCs/>
          <w:color w:val="000000"/>
          <w:lang w:eastAsia="es-CO"/>
        </w:rPr>
        <w:t xml:space="preserve"> </w:t>
      </w:r>
      <w:r w:rsidRPr="00DE7E39">
        <w:rPr>
          <w:rFonts w:ascii="Arial" w:hAnsi="Arial" w:cs="Arial"/>
          <w:lang w:val="es-ES"/>
        </w:rPr>
        <w:t xml:space="preserve">Por lo anterior, previo concepto de sus órganos asesores, la solución </w:t>
      </w:r>
      <w:r>
        <w:rPr>
          <w:rFonts w:ascii="Arial" w:hAnsi="Arial" w:cs="Arial"/>
          <w:lang w:val="es-ES"/>
        </w:rPr>
        <w:t>de casos particulares o la interpretación de disposiciones de subsistemas normativos ajenos a las compras públicas</w:t>
      </w:r>
      <w:r w:rsidRPr="00DE7E39">
        <w:rPr>
          <w:rFonts w:ascii="Arial" w:hAnsi="Arial" w:cs="Arial"/>
          <w:lang w:val="es-ES"/>
        </w:rPr>
        <w:t xml:space="preserve"> corresponde</w:t>
      </w:r>
      <w:r>
        <w:rPr>
          <w:rFonts w:ascii="Arial" w:hAnsi="Arial" w:cs="Arial"/>
          <w:lang w:val="es-ES"/>
        </w:rPr>
        <w:t>n</w:t>
      </w:r>
      <w:r w:rsidRPr="00DE7E39">
        <w:rPr>
          <w:rFonts w:ascii="Arial" w:hAnsi="Arial" w:cs="Arial"/>
          <w:lang w:val="es-ES"/>
        </w:rPr>
        <w:t xml:space="preserve"> a la entidad de adoptar la decisión correspondiente y, en caso de conflicto, a las autoridades judiciales, fiscales y disciplinarias.</w:t>
      </w:r>
    </w:p>
    <w:p w14:paraId="0D8B48BB" w14:textId="77777777" w:rsidR="00B5434E" w:rsidRDefault="00B5434E" w:rsidP="008917BC">
      <w:pPr>
        <w:spacing w:after="0" w:line="276" w:lineRule="auto"/>
        <w:jc w:val="both"/>
        <w:rPr>
          <w:rFonts w:ascii="Arial" w:hAnsi="Arial" w:cs="Arial"/>
          <w:lang w:val="es-ES"/>
        </w:rPr>
      </w:pPr>
    </w:p>
    <w:p w14:paraId="3371F2CB" w14:textId="77777777" w:rsidR="00B5434E" w:rsidRPr="00262D58" w:rsidRDefault="00B5434E" w:rsidP="00B5434E">
      <w:pPr>
        <w:tabs>
          <w:tab w:val="left" w:pos="0"/>
        </w:tabs>
        <w:spacing w:after="0"/>
        <w:jc w:val="both"/>
        <w:rPr>
          <w:rFonts w:ascii="Arial" w:eastAsia="Calibri" w:hAnsi="Arial" w:cs="Arial"/>
          <w:b/>
          <w:color w:val="000000" w:themeColor="text1"/>
          <w:lang w:val="es-ES_tradnl"/>
        </w:rPr>
      </w:pPr>
      <w:r w:rsidRPr="00262D58">
        <w:rPr>
          <w:rFonts w:ascii="Arial" w:eastAsia="Calibri" w:hAnsi="Arial" w:cs="Arial"/>
          <w:b/>
          <w:color w:val="000000" w:themeColor="text1"/>
          <w:lang w:val="es-ES_tradnl"/>
        </w:rPr>
        <w:t>3. Respuesta</w:t>
      </w:r>
    </w:p>
    <w:p w14:paraId="357C2CD0" w14:textId="77777777" w:rsidR="00B5434E" w:rsidRDefault="00B5434E" w:rsidP="00B5434E">
      <w:pPr>
        <w:spacing w:after="0" w:line="276" w:lineRule="auto"/>
        <w:jc w:val="both"/>
        <w:rPr>
          <w:rFonts w:ascii="Arial" w:eastAsia="Times New Roman" w:hAnsi="Arial" w:cs="Arial"/>
          <w:lang w:eastAsia="es-CO"/>
        </w:rPr>
      </w:pPr>
    </w:p>
    <w:p w14:paraId="77D003F2" w14:textId="77777777" w:rsidR="00B5434E" w:rsidRDefault="00B5434E" w:rsidP="00B5434E">
      <w:pPr>
        <w:spacing w:after="0" w:line="240" w:lineRule="auto"/>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Conforme a</w:t>
      </w:r>
      <w:r w:rsidRPr="000C5D31">
        <w:rPr>
          <w:rFonts w:ascii="Arial" w:hAnsi="Arial" w:cs="Arial"/>
          <w:color w:val="000000" w:themeColor="text1"/>
          <w:sz w:val="21"/>
          <w:szCs w:val="21"/>
          <w:lang w:val="es-ES_tradnl"/>
        </w:rPr>
        <w:t>l numeral 16.1 de la anterior Circular Externa Única</w:t>
      </w:r>
      <w:r>
        <w:rPr>
          <w:rFonts w:ascii="Arial" w:hAnsi="Arial" w:cs="Arial"/>
          <w:color w:val="000000" w:themeColor="text1"/>
          <w:sz w:val="21"/>
          <w:szCs w:val="21"/>
          <w:lang w:val="es-ES_tradnl"/>
        </w:rPr>
        <w:t>,</w:t>
      </w:r>
      <w:r w:rsidRPr="000C5D31">
        <w:rPr>
          <w:rFonts w:ascii="Arial" w:hAnsi="Arial" w:cs="Arial"/>
          <w:color w:val="000000" w:themeColor="text1"/>
          <w:sz w:val="21"/>
          <w:szCs w:val="21"/>
          <w:lang w:val="es-ES_tradnl"/>
        </w:rPr>
        <w:t xml:space="preserve"> </w:t>
      </w:r>
      <w:r>
        <w:rPr>
          <w:rFonts w:ascii="Arial" w:hAnsi="Arial" w:cs="Arial"/>
          <w:color w:val="000000" w:themeColor="text1"/>
          <w:sz w:val="21"/>
          <w:szCs w:val="21"/>
          <w:lang w:val="es-ES_tradnl"/>
        </w:rPr>
        <w:t xml:space="preserve">usted manifiesta lo siguiente: </w:t>
      </w:r>
      <w:r w:rsidRPr="000C5D31">
        <w:rPr>
          <w:rFonts w:ascii="Arial" w:hAnsi="Arial" w:cs="Arial"/>
          <w:color w:val="000000" w:themeColor="text1"/>
          <w:sz w:val="21"/>
          <w:szCs w:val="21"/>
          <w:lang w:val="es-ES_tradnl"/>
        </w:rPr>
        <w:t>“La Ley 2219 de 2022 [particularmente, el inciso primero del artículo 16] faculta a las entidades para promover convenios de asociación con asociaciones campesinas y agropecuarios (ESAL) en aras de su fortalecimiento. En este sentido ¿Es posible elaborar dichos convenios sin tener que recurrir al decreto 092 de 2017?” (Corchetes fuera de texto)</w:t>
      </w:r>
      <w:r>
        <w:rPr>
          <w:rFonts w:ascii="Arial" w:hAnsi="Arial" w:cs="Arial"/>
          <w:color w:val="000000" w:themeColor="text1"/>
          <w:sz w:val="21"/>
          <w:szCs w:val="21"/>
          <w:lang w:val="es-ES_tradnl"/>
        </w:rPr>
        <w:t>.</w:t>
      </w:r>
    </w:p>
    <w:p w14:paraId="023459B2" w14:textId="77777777" w:rsidR="00B5434E" w:rsidRPr="00262D58" w:rsidRDefault="00B5434E" w:rsidP="00B5434E">
      <w:pPr>
        <w:spacing w:after="0" w:line="276" w:lineRule="auto"/>
        <w:jc w:val="both"/>
        <w:rPr>
          <w:rFonts w:ascii="Arial" w:hAnsi="Arial" w:cs="Arial"/>
          <w:color w:val="000000" w:themeColor="text1"/>
          <w:lang w:val="es-ES_tradnl"/>
        </w:rPr>
      </w:pPr>
    </w:p>
    <w:p w14:paraId="2D61C207" w14:textId="77777777" w:rsidR="00B5434E" w:rsidRPr="00DE7E39" w:rsidRDefault="00B5434E" w:rsidP="00B5434E">
      <w:pPr>
        <w:spacing w:after="120" w:line="276" w:lineRule="auto"/>
        <w:jc w:val="both"/>
        <w:rPr>
          <w:rFonts w:ascii="Arial" w:eastAsia="Calibri" w:hAnsi="Arial" w:cs="Arial"/>
          <w:bCs/>
          <w:lang w:val="es-ES_tradnl"/>
        </w:rPr>
      </w:pPr>
      <w:r>
        <w:rPr>
          <w:rFonts w:ascii="Arial" w:hAnsi="Arial" w:cs="Arial"/>
          <w:bCs/>
        </w:rPr>
        <w:t xml:space="preserve">Conforme a la interpretación de las reglas generales del sistema de compras públicas, </w:t>
      </w:r>
      <w:r>
        <w:rPr>
          <w:rFonts w:ascii="Arial" w:eastAsia="Calibri" w:hAnsi="Arial" w:cs="Arial"/>
          <w:bCs/>
          <w:lang w:val="es-ES_tradnl"/>
        </w:rPr>
        <w:t>e</w:t>
      </w:r>
      <w:r w:rsidRPr="00DE7E39">
        <w:rPr>
          <w:rFonts w:ascii="Arial" w:eastAsia="Calibri" w:hAnsi="Arial" w:cs="Arial"/>
          <w:bCs/>
          <w:lang w:val="es-ES_tradnl"/>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p>
    <w:p w14:paraId="1A5D6183" w14:textId="77777777" w:rsidR="00B5434E" w:rsidRDefault="00B5434E" w:rsidP="00B5434E">
      <w:pPr>
        <w:spacing w:before="120" w:after="120" w:line="276" w:lineRule="auto"/>
        <w:ind w:firstLine="709"/>
        <w:jc w:val="both"/>
        <w:rPr>
          <w:rFonts w:ascii="Arial" w:eastAsia="Calibri" w:hAnsi="Arial" w:cs="Arial"/>
          <w:bCs/>
          <w:lang w:val="es-ES_tradnl"/>
        </w:rPr>
      </w:pPr>
      <w:r w:rsidRPr="00DE7E39">
        <w:rPr>
          <w:rFonts w:ascii="Arial" w:eastAsia="Calibri" w:hAnsi="Arial" w:cs="Arial"/>
          <w:bCs/>
          <w:lang w:val="es-ES_tradnl"/>
        </w:rPr>
        <w:t xml:space="preserve">Los </w:t>
      </w:r>
      <w:r w:rsidRPr="00DE7E39">
        <w:rPr>
          <w:rFonts w:ascii="Arial" w:eastAsia="Calibri" w:hAnsi="Arial" w:cs="Arial"/>
          <w:bCs/>
          <w:i/>
          <w:lang w:val="es-ES_tradnl"/>
        </w:rPr>
        <w:t>contratos del artículo 355 de la Constitución Política</w:t>
      </w:r>
      <w:r w:rsidRPr="00DE7E39">
        <w:rPr>
          <w:rFonts w:ascii="Arial" w:eastAsia="Calibri" w:hAnsi="Arial" w:cs="Arial"/>
          <w:bCs/>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w:t>
      </w:r>
      <w:r w:rsidRPr="00DE7E39">
        <w:rPr>
          <w:rFonts w:ascii="Arial" w:eastAsia="Calibri" w:hAnsi="Arial" w:cs="Arial"/>
          <w:bCs/>
          <w:lang w:val="es-ES_tradnl"/>
        </w:rPr>
        <w:lastRenderedPageBreak/>
        <w:t xml:space="preserve">los sectores de este tipo de acciones de fomento. De otro lado, los </w:t>
      </w:r>
      <w:r w:rsidRPr="00DE7E39">
        <w:rPr>
          <w:rFonts w:ascii="Arial" w:eastAsia="Calibri" w:hAnsi="Arial" w:cs="Arial"/>
          <w:bCs/>
          <w:i/>
          <w:lang w:val="es-ES_tradnl"/>
        </w:rPr>
        <w:t>convenios de asociación</w:t>
      </w:r>
      <w:r w:rsidRPr="00DE7E39">
        <w:rPr>
          <w:rFonts w:ascii="Arial" w:eastAsia="Calibri" w:hAnsi="Arial" w:cs="Arial"/>
          <w:bCs/>
          <w:lang w:val="es-ES_tradnl"/>
        </w:rPr>
        <w:t xml:space="preserve"> </w:t>
      </w:r>
      <w:r>
        <w:rPr>
          <w:rFonts w:ascii="Arial" w:eastAsia="Calibri" w:hAnsi="Arial" w:cs="Arial"/>
          <w:bCs/>
          <w:lang w:val="es-ES_tradnl"/>
        </w:rPr>
        <w:t>t</w:t>
      </w:r>
      <w:r w:rsidRPr="00DE7E39">
        <w:rPr>
          <w:rFonts w:ascii="Arial" w:eastAsia="Calibri" w:hAnsi="Arial" w:cs="Arial"/>
          <w:bCs/>
          <w:lang w:val="es-ES_tradnl"/>
        </w:rPr>
        <w: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p>
    <w:p w14:paraId="0B729657" w14:textId="77777777" w:rsidR="00B5434E" w:rsidRPr="00DE7E39" w:rsidRDefault="00B5434E" w:rsidP="00B5434E">
      <w:pPr>
        <w:spacing w:line="276" w:lineRule="auto"/>
        <w:ind w:firstLine="709"/>
        <w:jc w:val="both"/>
        <w:rPr>
          <w:rFonts w:ascii="Arial" w:eastAsia="Calibri" w:hAnsi="Arial" w:cs="Arial"/>
          <w:color w:val="000000" w:themeColor="text1"/>
        </w:rPr>
      </w:pPr>
      <w:r>
        <w:rPr>
          <w:rFonts w:ascii="Arial" w:hAnsi="Arial" w:cs="Arial"/>
          <w:color w:val="000000" w:themeColor="text1"/>
        </w:rPr>
        <w:t>L</w:t>
      </w:r>
      <w:r w:rsidRPr="00DE7E39">
        <w:rPr>
          <w:rFonts w:ascii="Arial" w:hAnsi="Arial" w:cs="Arial"/>
          <w:color w:val="000000" w:themeColor="text1"/>
        </w:rPr>
        <w:t xml:space="preserve">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w:t>
      </w:r>
      <w:proofErr w:type="spellStart"/>
      <w:r w:rsidRPr="00DE7E39">
        <w:rPr>
          <w:rFonts w:ascii="Arial" w:hAnsi="Arial" w:cs="Arial"/>
          <w:color w:val="000000" w:themeColor="text1"/>
        </w:rPr>
        <w:t>iv</w:t>
      </w:r>
      <w:proofErr w:type="spellEnd"/>
      <w:r w:rsidRPr="00DE7E39">
        <w:rPr>
          <w:rFonts w:ascii="Arial" w:hAnsi="Arial" w:cs="Arial"/>
          <w:color w:val="000000" w:themeColor="text1"/>
        </w:rPr>
        <w:t>) no puede condicionarse únicamente</w:t>
      </w:r>
      <w:r>
        <w:rPr>
          <w:rFonts w:ascii="Arial" w:hAnsi="Arial" w:cs="Arial"/>
          <w:color w:val="000000" w:themeColor="text1"/>
        </w:rPr>
        <w:t xml:space="preserve"> a</w:t>
      </w:r>
      <w:r w:rsidRPr="00DE7E39">
        <w:rPr>
          <w:rFonts w:ascii="Arial" w:hAnsi="Arial" w:cs="Arial"/>
          <w:color w:val="000000" w:themeColor="text1"/>
        </w:rPr>
        <w:t xml:space="preserv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14:paraId="45FE407A" w14:textId="77777777" w:rsidR="00B5434E" w:rsidRDefault="00B5434E" w:rsidP="00B5434E">
      <w:pPr>
        <w:spacing w:before="12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Ahora, si se pretende realizar un </w:t>
      </w:r>
      <w:r w:rsidRPr="00DE7E39">
        <w:rPr>
          <w:rFonts w:ascii="Arial" w:eastAsia="Calibri" w:hAnsi="Arial" w:cs="Arial"/>
          <w:i/>
          <w:iCs/>
          <w:color w:val="000000" w:themeColor="text1"/>
        </w:rPr>
        <w:t>convenio de asociación</w:t>
      </w:r>
      <w:r w:rsidRPr="00DE7E39">
        <w:rPr>
          <w:rFonts w:ascii="Arial" w:eastAsia="Calibri" w:hAnsi="Arial" w:cs="Arial"/>
          <w:color w:val="000000" w:themeColor="text1"/>
        </w:rPr>
        <w:t xml:space="preserve"> con ESAL de reconocida idoneidad para el cumplimiento de las funciones que la ley les asigna a las entidades públicas, deberá aplicar</w:t>
      </w:r>
      <w:r>
        <w:rPr>
          <w:rFonts w:ascii="Arial" w:eastAsia="Calibri" w:hAnsi="Arial" w:cs="Arial"/>
          <w:color w:val="000000" w:themeColor="text1"/>
        </w:rPr>
        <w:t>se</w:t>
      </w:r>
      <w:r w:rsidRPr="00DE7E39">
        <w:rPr>
          <w:rFonts w:ascii="Arial" w:eastAsia="Calibri" w:hAnsi="Arial" w:cs="Arial"/>
          <w:color w:val="000000" w:themeColor="text1"/>
        </w:rPr>
        <w:t xml:space="preserve"> lo dispuesto en el artículo 5 del Decreto 092 de 2017. De esta manera,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w:t>
      </w:r>
      <w:r w:rsidRPr="00DE7E39">
        <w:rPr>
          <w:rFonts w:ascii="Arial" w:eastAsia="Calibri" w:hAnsi="Arial" w:cs="Arial"/>
          <w:color w:val="000000"/>
        </w:rPr>
        <w:t>Lo anterior sin perjuicio de las restricciones previstas en el artículo 33 de la Ley de Garantías durante el periodo preelectoral de las elecciones presidenciales para los procesos no competitivos</w:t>
      </w:r>
      <w:r w:rsidRPr="00DE7E39">
        <w:rPr>
          <w:rFonts w:ascii="Arial" w:eastAsia="Calibri" w:hAnsi="Arial" w:cs="Arial"/>
          <w:color w:val="000000" w:themeColor="text1"/>
        </w:rPr>
        <w:t>.</w:t>
      </w:r>
    </w:p>
    <w:p w14:paraId="45FC5CFD" w14:textId="77777777" w:rsidR="00B5434E" w:rsidRPr="005D69AF" w:rsidRDefault="00B5434E" w:rsidP="00B5434E">
      <w:pPr>
        <w:spacing w:before="120" w:line="276" w:lineRule="auto"/>
        <w:ind w:firstLine="709"/>
        <w:jc w:val="both"/>
        <w:rPr>
          <w:rFonts w:ascii="Arial" w:hAnsi="Arial" w:cs="Arial"/>
          <w:lang w:val="es-ES"/>
        </w:rPr>
      </w:pPr>
      <w:r>
        <w:rPr>
          <w:rFonts w:ascii="Arial" w:eastAsia="Calibri" w:hAnsi="Arial" w:cs="Arial"/>
          <w:color w:val="000000" w:themeColor="text1"/>
        </w:rPr>
        <w:t>El numeral 16.1 de la versión anterior de la Circular Externa Única disponía lo siguiente: “</w:t>
      </w:r>
      <w:r w:rsidRPr="00644B41">
        <w:rPr>
          <w:rFonts w:ascii="Arial" w:eastAsia="Calibri" w:hAnsi="Arial" w:cs="Arial"/>
          <w:color w:val="000000" w:themeColor="text1"/>
        </w:rPr>
        <w:t>El Decreto 092 de 2017 no es aplicable a las contrataciones que cuentan con una norma especial que las regula. A la fecha se han identificado algunas especiales, no obstante, es posible que las Entidades Estatales en el cumplimiento de sus funciones identifiquen otras adicionales</w:t>
      </w:r>
      <w:r>
        <w:rPr>
          <w:rFonts w:ascii="Arial" w:eastAsia="Calibri" w:hAnsi="Arial" w:cs="Arial"/>
          <w:color w:val="000000" w:themeColor="text1"/>
        </w:rPr>
        <w:t xml:space="preserve">”. Sin embargo, este aparte no se reprodujo en la versión 2, aprobada el 15 de julio de 2022, la cual no se refiere a la contratación con ESAL. Por lo </w:t>
      </w:r>
      <w:r>
        <w:rPr>
          <w:rFonts w:ascii="Arial" w:eastAsia="Calibri" w:hAnsi="Arial" w:cs="Arial"/>
          <w:color w:val="000000" w:themeColor="text1"/>
        </w:rPr>
        <w:lastRenderedPageBreak/>
        <w:t xml:space="preserve">demás, </w:t>
      </w:r>
      <w:r>
        <w:rPr>
          <w:rFonts w:ascii="Arial" w:hAnsi="Arial" w:cs="Arial"/>
          <w:lang w:val="es-ES"/>
        </w:rPr>
        <w:t>el inciso primero del artículo 16 de la Ley 1219 de 2022 se refiere a la promoción de “</w:t>
      </w:r>
      <w:r w:rsidRPr="00437B0D">
        <w:rPr>
          <w:rFonts w:ascii="Arial" w:hAnsi="Arial" w:cs="Arial"/>
          <w:lang w:val="es-ES"/>
        </w:rPr>
        <w:t>programas especiales</w:t>
      </w:r>
      <w:r>
        <w:rPr>
          <w:rFonts w:ascii="Arial" w:hAnsi="Arial" w:cs="Arial"/>
          <w:lang w:val="es-ES"/>
        </w:rPr>
        <w:t>", sin aludir explícitamente a la suscripción de contratos y convenios, por lo que la Agencia carece de atribuciones para interpretar su alcance.</w:t>
      </w:r>
    </w:p>
    <w:p w14:paraId="7D88397D" w14:textId="77777777" w:rsidR="00B5434E" w:rsidRDefault="00B5434E" w:rsidP="00B5434E">
      <w:pPr>
        <w:spacing w:after="0" w:line="276" w:lineRule="auto"/>
        <w:ind w:firstLine="708"/>
        <w:jc w:val="both"/>
        <w:rPr>
          <w:rFonts w:ascii="Arial" w:hAnsi="Arial" w:cs="Arial"/>
          <w:lang w:val="es-ES"/>
        </w:rPr>
      </w:pPr>
      <w:r>
        <w:rPr>
          <w:rFonts w:ascii="Arial" w:eastAsia="Calibri" w:hAnsi="Arial" w:cs="Arial"/>
          <w:bCs/>
          <w:color w:val="000000"/>
          <w:lang w:eastAsia="es-CO"/>
        </w:rPr>
        <w:t>En este marco</w:t>
      </w:r>
      <w:r w:rsidRPr="00DE7E39">
        <w:rPr>
          <w:rFonts w:ascii="Arial" w:eastAsia="Calibri" w:hAnsi="Arial" w:cs="Arial"/>
          <w:bCs/>
          <w:color w:val="000000"/>
          <w:lang w:eastAsia="es-CO"/>
        </w:rPr>
        <w:t>, corresponde a cada entidad pública, en ejercicio de su competencia y previa valoración de los elementos fácticos y jurídicos, determinar la forma</w:t>
      </w:r>
      <w:r>
        <w:rPr>
          <w:rFonts w:ascii="Arial" w:eastAsia="Calibri" w:hAnsi="Arial" w:cs="Arial"/>
          <w:bCs/>
          <w:color w:val="000000"/>
          <w:lang w:eastAsia="es-CO"/>
        </w:rPr>
        <w:t xml:space="preserve"> de suscribir</w:t>
      </w:r>
      <w:r w:rsidRPr="00DE7E39">
        <w:rPr>
          <w:rFonts w:ascii="Arial" w:eastAsia="Calibri" w:hAnsi="Arial" w:cs="Arial"/>
          <w:bCs/>
          <w:color w:val="000000"/>
          <w:lang w:eastAsia="es-CO"/>
        </w:rPr>
        <w:t xml:space="preserve"> </w:t>
      </w:r>
      <w:r w:rsidRPr="00437B0D">
        <w:rPr>
          <w:rFonts w:ascii="Arial" w:eastAsia="Calibri" w:hAnsi="Arial" w:cs="Arial"/>
          <w:bCs/>
          <w:color w:val="000000"/>
          <w:lang w:eastAsia="es-CO"/>
        </w:rPr>
        <w:t>convenios de asociación con asociaciones campesinas y agropecuari</w:t>
      </w:r>
      <w:r>
        <w:rPr>
          <w:rFonts w:ascii="Arial" w:eastAsia="Calibri" w:hAnsi="Arial" w:cs="Arial"/>
          <w:bCs/>
          <w:color w:val="000000"/>
          <w:lang w:eastAsia="es-CO"/>
        </w:rPr>
        <w:t>a</w:t>
      </w:r>
      <w:r w:rsidRPr="00437B0D">
        <w:rPr>
          <w:rFonts w:ascii="Arial" w:eastAsia="Calibri" w:hAnsi="Arial" w:cs="Arial"/>
          <w:bCs/>
          <w:color w:val="000000"/>
          <w:lang w:eastAsia="es-CO"/>
        </w:rPr>
        <w:t>s</w:t>
      </w:r>
      <w:r w:rsidRPr="00DE7E39">
        <w:rPr>
          <w:rFonts w:ascii="Arial" w:eastAsia="Calibri" w:hAnsi="Arial" w:cs="Arial"/>
          <w:bCs/>
          <w:color w:val="000000"/>
          <w:lang w:eastAsia="es-CO"/>
        </w:rPr>
        <w:t>.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eastAsia="Calibri" w:hAnsi="Arial" w:cs="Arial"/>
          <w:bCs/>
          <w:color w:val="000000"/>
          <w:lang w:eastAsia="es-CO"/>
        </w:rPr>
        <w:t xml:space="preserve"> </w:t>
      </w:r>
      <w:r w:rsidRPr="00DE7E39">
        <w:rPr>
          <w:rFonts w:ascii="Arial" w:hAnsi="Arial" w:cs="Arial"/>
          <w:lang w:val="es-ES"/>
        </w:rPr>
        <w:t xml:space="preserve">Por lo anterior, previo concepto de sus órganos asesores, la solución </w:t>
      </w:r>
      <w:r>
        <w:rPr>
          <w:rFonts w:ascii="Arial" w:hAnsi="Arial" w:cs="Arial"/>
          <w:lang w:val="es-ES"/>
        </w:rPr>
        <w:t>de casos particulares o la interpretación de disposiciones de subsistemas normativos ajenos a las compras públicas</w:t>
      </w:r>
      <w:r w:rsidRPr="00DE7E39">
        <w:rPr>
          <w:rFonts w:ascii="Arial" w:hAnsi="Arial" w:cs="Arial"/>
          <w:lang w:val="es-ES"/>
        </w:rPr>
        <w:t xml:space="preserve"> corresponde</w:t>
      </w:r>
      <w:r>
        <w:rPr>
          <w:rFonts w:ascii="Arial" w:hAnsi="Arial" w:cs="Arial"/>
          <w:lang w:val="es-ES"/>
        </w:rPr>
        <w:t>n</w:t>
      </w:r>
      <w:r w:rsidRPr="00DE7E39">
        <w:rPr>
          <w:rFonts w:ascii="Arial" w:hAnsi="Arial" w:cs="Arial"/>
          <w:lang w:val="es-ES"/>
        </w:rPr>
        <w:t xml:space="preserve"> a la entidad de adoptar la decisión correspondiente y, en caso de conflicto, a las autoridades judiciales, fiscales y disciplinarias.</w:t>
      </w:r>
    </w:p>
    <w:p w14:paraId="6E12599B" w14:textId="77777777" w:rsidR="00B5434E" w:rsidRPr="00C8114B" w:rsidRDefault="00B5434E" w:rsidP="00B5434E">
      <w:pPr>
        <w:spacing w:after="120" w:line="276" w:lineRule="auto"/>
        <w:jc w:val="both"/>
        <w:rPr>
          <w:rFonts w:ascii="Arial" w:hAnsi="Arial" w:cs="Arial"/>
          <w:color w:val="000000" w:themeColor="text1"/>
          <w:lang w:eastAsia="es-MX"/>
        </w:rPr>
      </w:pPr>
    </w:p>
    <w:p w14:paraId="51049069" w14:textId="77777777" w:rsidR="00B5434E" w:rsidRDefault="00B5434E" w:rsidP="00B5434E">
      <w:pPr>
        <w:widowControl w:val="0"/>
        <w:autoSpaceDE w:val="0"/>
        <w:autoSpaceDN w:val="0"/>
        <w:spacing w:after="0" w:line="276" w:lineRule="auto"/>
        <w:jc w:val="both"/>
        <w:rPr>
          <w:rFonts w:ascii="Arial" w:hAnsi="Arial" w:cs="Arial"/>
          <w:color w:val="000000" w:themeColor="text1"/>
          <w:lang w:val="es-ES_tradnl" w:bidi="es-ES"/>
        </w:rPr>
      </w:pPr>
      <w:r w:rsidRPr="00504597">
        <w:rPr>
          <w:rFonts w:ascii="Arial" w:hAnsi="Arial" w:cs="Arial"/>
          <w:color w:val="000000" w:themeColor="text1"/>
          <w:lang w:val="es-ES_tradnl"/>
        </w:rPr>
        <w:t>Este concepto tiene el alcance previsto en el artículo 28 del Código de Procedimiento Administrativo y de lo Contencioso Administrativo.</w:t>
      </w:r>
    </w:p>
    <w:p w14:paraId="3724E4C9" w14:textId="77777777" w:rsidR="00B5434E" w:rsidRPr="00181816" w:rsidRDefault="00B5434E" w:rsidP="00B5434E">
      <w:pPr>
        <w:widowControl w:val="0"/>
        <w:autoSpaceDE w:val="0"/>
        <w:autoSpaceDN w:val="0"/>
        <w:spacing w:after="0" w:line="276" w:lineRule="auto"/>
        <w:jc w:val="both"/>
        <w:rPr>
          <w:rFonts w:ascii="Arial" w:hAnsi="Arial" w:cs="Arial"/>
          <w:color w:val="000000" w:themeColor="text1"/>
          <w:lang w:val="es-ES_tradnl" w:bidi="es-ES"/>
        </w:rPr>
      </w:pPr>
    </w:p>
    <w:p w14:paraId="1D69C84A" w14:textId="77777777" w:rsidR="00B5434E" w:rsidRPr="000F4A3A" w:rsidRDefault="00B5434E" w:rsidP="00B5434E">
      <w:pPr>
        <w:tabs>
          <w:tab w:val="left" w:pos="426"/>
        </w:tabs>
        <w:spacing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7E358D7B" w14:textId="0C7BC7F7" w:rsidR="00B5434E" w:rsidRPr="00CB70D9" w:rsidRDefault="00761A5C" w:rsidP="00B5434E">
      <w:pPr>
        <w:jc w:val="center"/>
        <w:rPr>
          <w:rFonts w:ascii="Arial" w:eastAsia="Times New Roman" w:hAnsi="Arial" w:cs="Arial"/>
          <w:lang w:eastAsia="es-CO"/>
        </w:rPr>
      </w:pPr>
      <w:r>
        <w:rPr>
          <w:noProof/>
        </w:rPr>
        <w:drawing>
          <wp:inline distT="0" distB="0" distL="0" distR="0" wp14:anchorId="03B30CED" wp14:editId="07038A70">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5434E" w:rsidRPr="003F5F71" w14:paraId="23EA3B89" w14:textId="77777777" w:rsidTr="475BAF38">
        <w:trPr>
          <w:trHeight w:val="409"/>
        </w:trPr>
        <w:tc>
          <w:tcPr>
            <w:tcW w:w="817" w:type="dxa"/>
            <w:tcBorders>
              <w:top w:val="nil"/>
              <w:left w:val="nil"/>
              <w:bottom w:val="nil"/>
              <w:right w:val="nil"/>
            </w:tcBorders>
            <w:vAlign w:val="center"/>
            <w:hideMark/>
          </w:tcPr>
          <w:p w14:paraId="67819647" w14:textId="77777777" w:rsidR="00B5434E" w:rsidRPr="009C1F1A" w:rsidRDefault="00B5434E" w:rsidP="00005EB3">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16EFF87" w14:textId="77777777" w:rsidR="00B5434E" w:rsidRPr="009C1F1A" w:rsidRDefault="00B5434E" w:rsidP="00005EB3">
            <w:pPr>
              <w:spacing w:after="0" w:line="240" w:lineRule="auto"/>
              <w:jc w:val="both"/>
              <w:rPr>
                <w:rFonts w:ascii="Arial" w:hAnsi="Arial" w:cs="Arial"/>
                <w:sz w:val="16"/>
                <w:szCs w:val="16"/>
              </w:rPr>
            </w:pPr>
            <w:r>
              <w:rPr>
                <w:rFonts w:ascii="Arial" w:hAnsi="Arial" w:cs="Arial"/>
                <w:sz w:val="16"/>
                <w:szCs w:val="16"/>
              </w:rPr>
              <w:t>Juan David Montoya Penagos</w:t>
            </w:r>
          </w:p>
          <w:p w14:paraId="4A4DC0CC" w14:textId="77777777" w:rsidR="00B5434E" w:rsidRPr="009C1F1A" w:rsidRDefault="00B5434E" w:rsidP="00005EB3">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B5434E" w:rsidRPr="003F5F71" w14:paraId="4CC2D1B5" w14:textId="77777777" w:rsidTr="475BAF38">
        <w:trPr>
          <w:trHeight w:val="409"/>
        </w:trPr>
        <w:tc>
          <w:tcPr>
            <w:tcW w:w="817" w:type="dxa"/>
            <w:tcBorders>
              <w:top w:val="nil"/>
              <w:left w:val="nil"/>
              <w:right w:val="nil"/>
            </w:tcBorders>
            <w:vAlign w:val="center"/>
          </w:tcPr>
          <w:p w14:paraId="6BFAC00C" w14:textId="77777777" w:rsidR="00B5434E" w:rsidRPr="1CF3ADA9" w:rsidRDefault="00B5434E" w:rsidP="00005EB3">
            <w:pPr>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DA67EEE" w14:textId="77777777" w:rsidR="00B5434E" w:rsidRPr="0025070D" w:rsidRDefault="00B5434E" w:rsidP="00005EB3">
            <w:pPr>
              <w:spacing w:after="0" w:line="240" w:lineRule="auto"/>
              <w:jc w:val="both"/>
              <w:rPr>
                <w:rFonts w:ascii="Arial" w:hAnsi="Arial" w:cs="Arial"/>
                <w:sz w:val="16"/>
                <w:szCs w:val="16"/>
              </w:rPr>
            </w:pPr>
            <w:r w:rsidRPr="0025070D">
              <w:rPr>
                <w:rFonts w:ascii="Arial" w:hAnsi="Arial" w:cs="Arial"/>
                <w:sz w:val="16"/>
                <w:szCs w:val="16"/>
              </w:rPr>
              <w:t>Diana Carolina Armenta Celis</w:t>
            </w:r>
          </w:p>
          <w:p w14:paraId="47601999" w14:textId="729F7463" w:rsidR="00B5434E" w:rsidRPr="009C1F1A" w:rsidRDefault="00B5434E" w:rsidP="475BAF38">
            <w:pPr>
              <w:spacing w:after="0" w:line="240" w:lineRule="auto"/>
              <w:jc w:val="both"/>
              <w:rPr>
                <w:rFonts w:ascii="Arial" w:hAnsi="Arial" w:cs="Arial"/>
                <w:sz w:val="16"/>
                <w:szCs w:val="16"/>
              </w:rPr>
            </w:pPr>
            <w:r w:rsidRPr="475BAF38">
              <w:rPr>
                <w:rFonts w:ascii="Arial" w:hAnsi="Arial" w:cs="Arial"/>
                <w:sz w:val="16"/>
                <w:szCs w:val="16"/>
              </w:rPr>
              <w:t>Contratista de la Subdirección de Gestión Contractual</w:t>
            </w:r>
          </w:p>
        </w:tc>
      </w:tr>
      <w:tr w:rsidR="00B5434E" w:rsidRPr="003F5F71" w14:paraId="61C1692D" w14:textId="77777777" w:rsidTr="475BAF38">
        <w:trPr>
          <w:trHeight w:val="389"/>
        </w:trPr>
        <w:tc>
          <w:tcPr>
            <w:tcW w:w="817" w:type="dxa"/>
            <w:tcBorders>
              <w:top w:val="nil"/>
              <w:left w:val="nil"/>
              <w:bottom w:val="nil"/>
              <w:right w:val="nil"/>
            </w:tcBorders>
            <w:vAlign w:val="center"/>
            <w:hideMark/>
          </w:tcPr>
          <w:p w14:paraId="68F3DF66" w14:textId="77777777" w:rsidR="00B5434E" w:rsidRPr="009C1F1A" w:rsidRDefault="00B5434E" w:rsidP="00005EB3">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ECE334E" w14:textId="77777777" w:rsidR="00B5434E" w:rsidRPr="009C1F1A" w:rsidRDefault="00B5434E" w:rsidP="00005EB3">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77931CB6" w14:textId="77777777" w:rsidR="00B5434E" w:rsidRPr="009C1F1A" w:rsidRDefault="00B5434E" w:rsidP="00005EB3">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53ECD550" w14:textId="77777777" w:rsidR="00B5434E" w:rsidRPr="006219F8" w:rsidRDefault="00B5434E" w:rsidP="00B5434E">
      <w:pPr>
        <w:tabs>
          <w:tab w:val="left" w:pos="0"/>
        </w:tabs>
        <w:spacing w:line="276" w:lineRule="auto"/>
        <w:contextualSpacing/>
        <w:jc w:val="both"/>
        <w:rPr>
          <w:lang w:val="es-MX"/>
        </w:rPr>
      </w:pPr>
    </w:p>
    <w:p w14:paraId="0F293BF4" w14:textId="7BBFAB11" w:rsidR="00127233" w:rsidRPr="007D03D4" w:rsidRDefault="00127233" w:rsidP="007D03D4"/>
    <w:sectPr w:rsidR="00127233" w:rsidRPr="007D03D4"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64CBF" w14:textId="77777777" w:rsidR="0040752E" w:rsidRDefault="0040752E" w:rsidP="004A1847">
      <w:pPr>
        <w:spacing w:after="0" w:line="240" w:lineRule="auto"/>
      </w:pPr>
      <w:r>
        <w:separator/>
      </w:r>
    </w:p>
  </w:endnote>
  <w:endnote w:type="continuationSeparator" w:id="0">
    <w:p w14:paraId="71D2F330" w14:textId="77777777" w:rsidR="0040752E" w:rsidRDefault="0040752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38EC2" w14:textId="77777777" w:rsidR="0040752E" w:rsidRDefault="0040752E" w:rsidP="004A1847">
      <w:pPr>
        <w:spacing w:after="0" w:line="240" w:lineRule="auto"/>
      </w:pPr>
      <w:r>
        <w:separator/>
      </w:r>
    </w:p>
  </w:footnote>
  <w:footnote w:type="continuationSeparator" w:id="0">
    <w:p w14:paraId="1CF9B0A7" w14:textId="77777777" w:rsidR="0040752E" w:rsidRDefault="0040752E" w:rsidP="004A1847">
      <w:pPr>
        <w:spacing w:after="0" w:line="240" w:lineRule="auto"/>
      </w:pPr>
      <w:r>
        <w:continuationSeparator/>
      </w:r>
    </w:p>
  </w:footnote>
  <w:footnote w:id="1">
    <w:p w14:paraId="7907F7B3" w14:textId="77777777" w:rsidR="00B5434E" w:rsidRPr="007C10D0" w:rsidRDefault="00B5434E" w:rsidP="00B5434E">
      <w:pPr>
        <w:pStyle w:val="Textonotapie"/>
        <w:ind w:firstLine="708"/>
        <w:jc w:val="both"/>
        <w:rPr>
          <w:rFonts w:ascii="Arial" w:hAnsi="Arial" w:cs="Arial"/>
          <w:sz w:val="18"/>
          <w:szCs w:val="18"/>
          <w:lang w:val="es-ES"/>
        </w:rPr>
      </w:pPr>
      <w:r w:rsidRPr="007C10D0">
        <w:rPr>
          <w:rStyle w:val="Refdenotaalpie"/>
          <w:rFonts w:ascii="Arial" w:hAnsi="Arial" w:cs="Arial"/>
          <w:sz w:val="18"/>
          <w:szCs w:val="18"/>
        </w:rPr>
        <w:footnoteRef/>
      </w:r>
      <w:r w:rsidRPr="007C10D0">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C10D0">
        <w:rPr>
          <w:rFonts w:ascii="Arial" w:hAnsi="Arial" w:cs="Arial"/>
          <w:i/>
          <w:iCs/>
          <w:sz w:val="18"/>
          <w:szCs w:val="18"/>
        </w:rPr>
        <w:t xml:space="preserve">ibidem </w:t>
      </w:r>
      <w:r w:rsidRPr="007C10D0">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1B68251" w14:textId="77777777" w:rsidR="00B5434E" w:rsidRPr="007C10D0" w:rsidRDefault="00B5434E" w:rsidP="00B5434E">
      <w:pPr>
        <w:pStyle w:val="Textonotapie"/>
        <w:ind w:firstLine="708"/>
        <w:jc w:val="both"/>
        <w:rPr>
          <w:rFonts w:ascii="Arial" w:hAnsi="Arial" w:cs="Arial"/>
          <w:sz w:val="18"/>
          <w:szCs w:val="18"/>
        </w:rPr>
      </w:pPr>
      <w:r w:rsidRPr="007C10D0">
        <w:rPr>
          <w:rStyle w:val="Refdenotaalpie"/>
          <w:rFonts w:ascii="Arial" w:hAnsi="Arial" w:cs="Arial"/>
          <w:sz w:val="18"/>
          <w:szCs w:val="18"/>
        </w:rPr>
        <w:footnoteRef/>
      </w:r>
      <w:r w:rsidRPr="007C10D0">
        <w:rPr>
          <w:rFonts w:ascii="Arial" w:hAnsi="Arial" w:cs="Arial"/>
          <w:sz w:val="18"/>
          <w:szCs w:val="18"/>
        </w:rPr>
        <w:t xml:space="preserve"> </w:t>
      </w:r>
      <w:r>
        <w:rPr>
          <w:rFonts w:ascii="Arial" w:hAnsi="Arial" w:cs="Arial"/>
          <w:sz w:val="18"/>
          <w:szCs w:val="18"/>
        </w:rPr>
        <w:t>E</w:t>
      </w:r>
      <w:r w:rsidRPr="007C10D0">
        <w:rPr>
          <w:rFonts w:ascii="Arial" w:hAnsi="Arial" w:cs="Arial"/>
          <w:sz w:val="18"/>
          <w:szCs w:val="18"/>
        </w:rPr>
        <w:t>l inciso primero del artículo 16 de la Ley 1219 de 2022</w:t>
      </w:r>
      <w:r>
        <w:rPr>
          <w:rFonts w:ascii="Arial" w:hAnsi="Arial" w:cs="Arial"/>
          <w:sz w:val="18"/>
          <w:szCs w:val="18"/>
        </w:rPr>
        <w:t xml:space="preserve"> dispone lo siguiente: “</w:t>
      </w:r>
      <w:r w:rsidRPr="007C10D0">
        <w:rPr>
          <w:rFonts w:ascii="Arial" w:hAnsi="Arial" w:cs="Arial"/>
          <w:sz w:val="18"/>
          <w:szCs w:val="18"/>
        </w:rPr>
        <w:t xml:space="preserve">El Gobierno nacional, los gobiernos departamentales y municipales en el marco de sus competencias y autonomía promoverán </w:t>
      </w:r>
      <w:r w:rsidRPr="007C10D0">
        <w:rPr>
          <w:rFonts w:ascii="Arial" w:hAnsi="Arial" w:cs="Arial"/>
          <w:i/>
          <w:iCs/>
          <w:sz w:val="18"/>
          <w:szCs w:val="18"/>
        </w:rPr>
        <w:t>programas especiales</w:t>
      </w:r>
      <w:r w:rsidRPr="007C10D0">
        <w:rPr>
          <w:rFonts w:ascii="Arial" w:hAnsi="Arial" w:cs="Arial"/>
          <w:sz w:val="18"/>
          <w:szCs w:val="18"/>
        </w:rPr>
        <w:t xml:space="preserve"> para el fortalecimiento de las asociaciones campesinas y agropecuarias, en asuntos relacionados con la organización, capacitación, participación comunitaria, la cultura, el desarrollo de la economía campesina y el ambiente</w:t>
      </w:r>
      <w:r>
        <w:rPr>
          <w:rFonts w:ascii="Arial" w:hAnsi="Arial" w:cs="Arial"/>
          <w:sz w:val="18"/>
          <w:szCs w:val="18"/>
        </w:rPr>
        <w:t>” (Énfasis fuera de texto).</w:t>
      </w:r>
    </w:p>
  </w:footnote>
  <w:footnote w:id="3">
    <w:p w14:paraId="11B233AC" w14:textId="77777777" w:rsidR="00B5434E" w:rsidRPr="007C10D0" w:rsidRDefault="00B5434E" w:rsidP="00B5434E">
      <w:pPr>
        <w:pStyle w:val="Textonotapie"/>
        <w:ind w:firstLine="708"/>
        <w:jc w:val="both"/>
        <w:rPr>
          <w:rFonts w:ascii="Arial" w:hAnsi="Arial" w:cs="Arial"/>
          <w:sz w:val="18"/>
          <w:szCs w:val="18"/>
        </w:rPr>
      </w:pPr>
      <w:r w:rsidRPr="007C10D0">
        <w:rPr>
          <w:rStyle w:val="Refdenotaalpie"/>
          <w:rFonts w:ascii="Arial" w:hAnsi="Arial" w:cs="Arial"/>
          <w:sz w:val="18"/>
          <w:szCs w:val="18"/>
        </w:rPr>
        <w:footnoteRef/>
      </w:r>
      <w:r w:rsidRPr="007C10D0">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7C10D0">
          <w:rPr>
            <w:rStyle w:val="Hipervnculo"/>
            <w:rFonts w:ascii="Arial" w:hAnsi="Arial" w:cs="Arial"/>
            <w:sz w:val="18"/>
            <w:szCs w:val="18"/>
          </w:rPr>
          <w:t>https://relatoria.colombiacompra.gov.co/busqueda/conceptos</w:t>
        </w:r>
      </w:hyperlink>
      <w:r w:rsidRPr="007C10D0">
        <w:rPr>
          <w:rStyle w:val="Hipervnculo"/>
          <w:rFonts w:ascii="Arial" w:hAnsi="Arial" w:cs="Arial"/>
          <w:sz w:val="18"/>
          <w:szCs w:val="18"/>
        </w:rPr>
        <w:t xml:space="preserve">. </w:t>
      </w:r>
      <w:r w:rsidRPr="007C10D0">
        <w:rPr>
          <w:rFonts w:ascii="Arial" w:hAnsi="Arial" w:cs="Arial"/>
          <w:sz w:val="18"/>
          <w:szCs w:val="18"/>
          <w:shd w:val="clear" w:color="auto" w:fill="E6E6E6"/>
        </w:rPr>
        <w:t xml:space="preserve"> </w:t>
      </w:r>
    </w:p>
  </w:footnote>
  <w:footnote w:id="4">
    <w:p w14:paraId="7C750394" w14:textId="77777777" w:rsidR="00B5434E" w:rsidRPr="007C10D0" w:rsidRDefault="00B5434E" w:rsidP="00B5434E">
      <w:pPr>
        <w:pStyle w:val="Textonotapie"/>
        <w:ind w:firstLine="708"/>
        <w:jc w:val="both"/>
        <w:rPr>
          <w:rFonts w:ascii="Arial" w:hAnsi="Arial" w:cs="Arial"/>
          <w:sz w:val="18"/>
          <w:szCs w:val="18"/>
        </w:rPr>
      </w:pPr>
      <w:r w:rsidRPr="007C10D0">
        <w:rPr>
          <w:rStyle w:val="Refdenotaalpie"/>
          <w:rFonts w:ascii="Arial" w:hAnsi="Arial" w:cs="Arial"/>
          <w:sz w:val="18"/>
          <w:szCs w:val="18"/>
        </w:rPr>
        <w:footnoteRef/>
      </w:r>
      <w:r w:rsidRPr="007C10D0">
        <w:rPr>
          <w:rFonts w:ascii="Arial" w:hAnsi="Arial" w:cs="Arial"/>
          <w:sz w:val="18"/>
          <w:szCs w:val="18"/>
        </w:rPr>
        <w:t xml:space="preserve"> Sobre esta norma, consultar los conceptos del 8 de octubre de 2019, con radicado No. 2201913000007532, y del 20 de diciembre de 2019, con radicado No. 4201913000008240.</w:t>
      </w:r>
    </w:p>
  </w:footnote>
  <w:footnote w:id="5">
    <w:p w14:paraId="30174A84" w14:textId="77777777" w:rsidR="00B5434E" w:rsidRPr="007C10D0" w:rsidRDefault="00B5434E" w:rsidP="00B5434E">
      <w:pPr>
        <w:pStyle w:val="Textonotapie"/>
        <w:ind w:firstLine="708"/>
        <w:jc w:val="both"/>
        <w:rPr>
          <w:rFonts w:ascii="Arial" w:hAnsi="Arial" w:cs="Arial"/>
          <w:sz w:val="18"/>
          <w:szCs w:val="18"/>
        </w:rPr>
      </w:pPr>
      <w:r w:rsidRPr="007C10D0">
        <w:rPr>
          <w:rStyle w:val="Refdenotaalpie"/>
          <w:sz w:val="18"/>
          <w:szCs w:val="18"/>
        </w:rPr>
        <w:footnoteRef/>
      </w:r>
      <w:r w:rsidRPr="007C10D0">
        <w:rPr>
          <w:sz w:val="18"/>
          <w:szCs w:val="18"/>
        </w:rPr>
        <w:t xml:space="preserve"> </w:t>
      </w:r>
      <w:r w:rsidRPr="007C10D0">
        <w:rPr>
          <w:rFonts w:ascii="Arial" w:hAnsi="Arial" w:cs="Arial"/>
          <w:sz w:val="18"/>
          <w:szCs w:val="18"/>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8926646" w14:textId="77777777" w:rsidR="00B5434E" w:rsidRPr="005E0360" w:rsidRDefault="00B5434E" w:rsidP="00B5434E">
      <w:pPr>
        <w:pStyle w:val="Textonotapie"/>
        <w:ind w:firstLine="708"/>
        <w:jc w:val="both"/>
        <w:rPr>
          <w:rFonts w:ascii="Arial" w:hAnsi="Arial" w:cs="Arial"/>
          <w:sz w:val="18"/>
          <w:szCs w:val="18"/>
        </w:rPr>
      </w:pPr>
      <w:r w:rsidRPr="007C10D0">
        <w:rPr>
          <w:rFonts w:ascii="Arial" w:hAnsi="Arial" w:cs="Arial"/>
          <w:sz w:val="18"/>
          <w:szCs w:val="18"/>
        </w:rPr>
        <w:t xml:space="preserve">Los convenios de asociación a que se refiere el presente artículo </w:t>
      </w:r>
      <w:bookmarkStart w:id="7" w:name="_Hlk36023315"/>
      <w:r w:rsidRPr="007C10D0">
        <w:rPr>
          <w:rFonts w:ascii="Arial" w:hAnsi="Arial" w:cs="Arial"/>
          <w:sz w:val="18"/>
          <w:szCs w:val="18"/>
        </w:rPr>
        <w:t>se celebrarán de conformidad con lo dispuesto en el artículo 355 de la Constitución Política</w:t>
      </w:r>
      <w:bookmarkEnd w:id="7"/>
      <w:r w:rsidRPr="007C10D0">
        <w:rPr>
          <w:rFonts w:ascii="Arial" w:hAnsi="Arial" w:cs="Arial"/>
          <w:sz w:val="18"/>
          <w:szCs w:val="18"/>
        </w:rPr>
        <w:t>, en ellos se determinará con precisión su objeto, término, obligaciones de las partes, aportes, coordinación y todos aquellos aspectos que se consideren pertinentes”.</w:t>
      </w:r>
    </w:p>
  </w:footnote>
  <w:footnote w:id="6">
    <w:p w14:paraId="736A475F" w14:textId="77777777" w:rsidR="00B5434E" w:rsidRPr="007C10D0" w:rsidRDefault="00B5434E" w:rsidP="00B5434E">
      <w:pPr>
        <w:pStyle w:val="Textonotapie"/>
        <w:ind w:firstLine="708"/>
        <w:jc w:val="both"/>
        <w:rPr>
          <w:rFonts w:ascii="Arial" w:hAnsi="Arial" w:cs="Arial"/>
          <w:sz w:val="18"/>
          <w:szCs w:val="18"/>
        </w:rPr>
      </w:pPr>
      <w:r w:rsidRPr="007C10D0">
        <w:rPr>
          <w:rStyle w:val="Refdenotaalpie"/>
          <w:rFonts w:ascii="Arial" w:hAnsi="Arial" w:cs="Arial"/>
          <w:sz w:val="18"/>
          <w:szCs w:val="18"/>
        </w:rPr>
        <w:footnoteRef/>
      </w:r>
      <w:r w:rsidRPr="007C10D0">
        <w:rPr>
          <w:rFonts w:ascii="Arial" w:hAnsi="Arial" w:cs="Arial"/>
          <w:sz w:val="18"/>
          <w:szCs w:val="18"/>
        </w:rPr>
        <w:t xml:space="preserve"> Concepto del 3 de septiembre de 2019, con radicado No. 2201913000006512.</w:t>
      </w:r>
    </w:p>
  </w:footnote>
  <w:footnote w:id="7">
    <w:p w14:paraId="4F40ED57" w14:textId="77777777" w:rsidR="00B5434E" w:rsidRPr="007C10D0" w:rsidRDefault="00B5434E" w:rsidP="00B5434E">
      <w:pPr>
        <w:pStyle w:val="Textonotapie"/>
        <w:ind w:firstLine="708"/>
        <w:jc w:val="both"/>
        <w:rPr>
          <w:rFonts w:ascii="Arial" w:hAnsi="Arial" w:cs="Arial"/>
          <w:sz w:val="18"/>
          <w:szCs w:val="18"/>
        </w:rPr>
      </w:pPr>
      <w:r w:rsidRPr="007C10D0">
        <w:rPr>
          <w:rStyle w:val="Refdenotaalpie"/>
          <w:rFonts w:ascii="Arial" w:hAnsi="Arial" w:cs="Arial"/>
          <w:sz w:val="18"/>
          <w:szCs w:val="18"/>
        </w:rPr>
        <w:footnoteRef/>
      </w:r>
      <w:r w:rsidRPr="007C10D0">
        <w:rPr>
          <w:rFonts w:ascii="Arial" w:hAnsi="Arial" w:cs="Arial"/>
          <w:sz w:val="18"/>
          <w:szCs w:val="18"/>
        </w:rPr>
        <w:t xml:space="preserve"> Sobre la naturaleza de los convenios de asociación, se reitera lo expuesto en el concepto del 19 de noviembre de 2019, con radicado No. 2201913000008611.</w:t>
      </w:r>
    </w:p>
  </w:footnote>
  <w:footnote w:id="8">
    <w:p w14:paraId="08DDF6C1" w14:textId="77777777" w:rsidR="00B5434E" w:rsidRPr="007C10D0" w:rsidRDefault="00B5434E" w:rsidP="00B5434E">
      <w:pPr>
        <w:pStyle w:val="Textonotapie"/>
        <w:ind w:firstLine="708"/>
        <w:jc w:val="both"/>
        <w:rPr>
          <w:rFonts w:ascii="Arial" w:hAnsi="Arial" w:cs="Arial"/>
          <w:color w:val="000000" w:themeColor="text1"/>
          <w:sz w:val="18"/>
          <w:szCs w:val="18"/>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Cfr. Concepto del 21 de agosto de 2019, dictado dentro del radicado No. 2201913000006047.</w:t>
      </w:r>
    </w:p>
  </w:footnote>
  <w:footnote w:id="9">
    <w:p w14:paraId="464FFCEA" w14:textId="77777777" w:rsidR="00B5434E" w:rsidRPr="007C10D0" w:rsidRDefault="00B5434E" w:rsidP="00B5434E">
      <w:pPr>
        <w:pStyle w:val="Textonotapie"/>
        <w:ind w:firstLine="708"/>
        <w:jc w:val="both"/>
        <w:rPr>
          <w:rFonts w:ascii="Arial" w:hAnsi="Arial" w:cs="Arial"/>
          <w:color w:val="000000" w:themeColor="text1"/>
          <w:sz w:val="18"/>
          <w:szCs w:val="18"/>
          <w:lang w:val="es-ES"/>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Concepto del 24 de febrero de 2005, con radicado No. 1626, C.P. Dra. Gloria Duque Hernández</w:t>
      </w:r>
    </w:p>
  </w:footnote>
  <w:footnote w:id="10">
    <w:p w14:paraId="05A67CB2" w14:textId="77777777" w:rsidR="00B5434E" w:rsidRPr="00D95705" w:rsidRDefault="00B5434E" w:rsidP="00B5434E">
      <w:pPr>
        <w:pStyle w:val="Textonotapie"/>
        <w:ind w:firstLine="708"/>
        <w:jc w:val="both"/>
        <w:rPr>
          <w:rFonts w:ascii="Arial" w:hAnsi="Arial" w:cs="Arial"/>
          <w:color w:val="000000" w:themeColor="text1"/>
          <w:sz w:val="18"/>
          <w:szCs w:val="18"/>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1">
    <w:p w14:paraId="5F0A6A6A" w14:textId="77777777" w:rsidR="00B5434E" w:rsidRPr="007C10D0" w:rsidRDefault="00B5434E" w:rsidP="00B5434E">
      <w:pPr>
        <w:pStyle w:val="Textonotapie"/>
        <w:ind w:firstLine="708"/>
        <w:rPr>
          <w:rFonts w:ascii="Arial" w:hAnsi="Arial" w:cs="Arial"/>
          <w:color w:val="000000" w:themeColor="text1"/>
          <w:sz w:val="18"/>
          <w:szCs w:val="18"/>
        </w:rPr>
      </w:pPr>
      <w:r w:rsidRPr="007C10D0">
        <w:rPr>
          <w:rStyle w:val="Refdenotaalpie"/>
          <w:sz w:val="18"/>
          <w:szCs w:val="18"/>
        </w:rPr>
        <w:footnoteRef/>
      </w:r>
      <w:r w:rsidRPr="007C10D0">
        <w:rPr>
          <w:sz w:val="18"/>
          <w:szCs w:val="18"/>
        </w:rPr>
        <w:t xml:space="preserve"> </w:t>
      </w:r>
      <w:r w:rsidRPr="007C10D0">
        <w:rPr>
          <w:rFonts w:ascii="Arial" w:hAnsi="Arial" w:cs="Arial"/>
          <w:color w:val="000000" w:themeColor="text1"/>
          <w:sz w:val="18"/>
          <w:szCs w:val="18"/>
        </w:rPr>
        <w:t>CONSEJO DE ESTADO. Sala Plena. Auto del 15 de marzo de 2022. Exp. 11001-03-26-000-2018-00113-01 (62.003). C.P. Rocío Araújo Oñate.</w:t>
      </w:r>
    </w:p>
  </w:footnote>
  <w:footnote w:id="12">
    <w:p w14:paraId="2DA155BA" w14:textId="77777777" w:rsidR="00B5434E" w:rsidRPr="007C10D0" w:rsidRDefault="00B5434E" w:rsidP="00B5434E">
      <w:pPr>
        <w:pStyle w:val="Textonotapie"/>
        <w:ind w:firstLine="708"/>
        <w:jc w:val="both"/>
        <w:rPr>
          <w:rFonts w:ascii="Arial" w:eastAsia="Calibri" w:hAnsi="Arial" w:cs="Arial"/>
          <w:color w:val="000000" w:themeColor="text1"/>
          <w:sz w:val="18"/>
          <w:szCs w:val="18"/>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w:t>
      </w:r>
      <w:r w:rsidRPr="007C10D0">
        <w:rPr>
          <w:rFonts w:ascii="Arial" w:eastAsia="Calibri" w:hAnsi="Arial" w:cs="Arial"/>
          <w:color w:val="000000" w:themeColor="text1"/>
          <w:sz w:val="18"/>
          <w:szCs w:val="18"/>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footnote>
  <w:footnote w:id="13">
    <w:p w14:paraId="216285A8" w14:textId="77777777" w:rsidR="00B5434E" w:rsidRPr="005E0360" w:rsidRDefault="00B5434E" w:rsidP="00B5434E">
      <w:pPr>
        <w:pStyle w:val="Textonotapie"/>
        <w:ind w:firstLine="708"/>
        <w:jc w:val="both"/>
        <w:rPr>
          <w:rFonts w:ascii="Arial" w:hAnsi="Arial" w:cs="Arial"/>
          <w:color w:val="000000" w:themeColor="text1"/>
          <w:sz w:val="18"/>
          <w:szCs w:val="18"/>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w:t>
      </w:r>
      <w:r w:rsidRPr="007C10D0">
        <w:rPr>
          <w:rFonts w:ascii="Arial" w:eastAsia="Calibri" w:hAnsi="Arial" w:cs="Arial"/>
          <w:color w:val="000000" w:themeColor="text1"/>
          <w:sz w:val="18"/>
          <w:szCs w:val="18"/>
        </w:rPr>
        <w:t>Decreto 092 de 2017, artículo 3, inciso 2: “</w:t>
      </w:r>
      <w:r w:rsidRPr="007C10D0">
        <w:rPr>
          <w:rFonts w:ascii="Arial" w:hAnsi="Arial" w:cs="Arial"/>
          <w:color w:val="000000" w:themeColor="text1"/>
          <w:sz w:val="18"/>
          <w:szCs w:val="18"/>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4">
    <w:p w14:paraId="5BAE43A3" w14:textId="77777777" w:rsidR="00B5434E" w:rsidRPr="007C10D0" w:rsidRDefault="00B5434E" w:rsidP="00B5434E">
      <w:pPr>
        <w:spacing w:after="0" w:line="240" w:lineRule="auto"/>
        <w:ind w:firstLine="708"/>
        <w:jc w:val="both"/>
        <w:rPr>
          <w:rFonts w:ascii="Arial" w:hAnsi="Arial" w:cs="Arial"/>
          <w:color w:val="000000" w:themeColor="text1"/>
          <w:sz w:val="18"/>
          <w:szCs w:val="18"/>
        </w:rPr>
      </w:pPr>
      <w:r w:rsidRPr="007C10D0">
        <w:rPr>
          <w:rFonts w:ascii="Arial" w:hAnsi="Arial" w:cs="Arial"/>
          <w:color w:val="000000" w:themeColor="text1"/>
          <w:sz w:val="18"/>
          <w:szCs w:val="18"/>
          <w:vertAlign w:val="superscript"/>
        </w:rPr>
        <w:footnoteRef/>
      </w:r>
      <w:r w:rsidRPr="007C10D0">
        <w:rPr>
          <w:rFonts w:ascii="Arial" w:hAnsi="Arial" w:cs="Arial"/>
          <w:color w:val="000000" w:themeColor="text1"/>
          <w:sz w:val="18"/>
          <w:szCs w:val="18"/>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14:paraId="4765BA9A" w14:textId="77777777" w:rsidR="00B5434E" w:rsidRPr="007C10D0" w:rsidRDefault="00B5434E" w:rsidP="00B5434E">
      <w:pPr>
        <w:spacing w:after="0" w:line="240" w:lineRule="auto"/>
        <w:ind w:firstLine="708"/>
        <w:jc w:val="both"/>
        <w:rPr>
          <w:rFonts w:ascii="Arial" w:hAnsi="Arial" w:cs="Arial"/>
          <w:color w:val="000000" w:themeColor="text1"/>
          <w:sz w:val="18"/>
          <w:szCs w:val="18"/>
        </w:rPr>
      </w:pPr>
      <w:r w:rsidRPr="007C10D0">
        <w:rPr>
          <w:rFonts w:ascii="Arial" w:hAnsi="Arial" w:cs="Arial"/>
          <w:color w:val="000000" w:themeColor="text1"/>
          <w:sz w:val="18"/>
          <w:szCs w:val="18"/>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Exp. 11001-03-26-000-2018-00113-01 (62.003). C.P. Rocío Araújo Oñate).</w:t>
      </w:r>
    </w:p>
  </w:footnote>
  <w:footnote w:id="15">
    <w:p w14:paraId="24B47F7D" w14:textId="77777777" w:rsidR="00B5434E" w:rsidRPr="007C10D0" w:rsidRDefault="00B5434E" w:rsidP="00B5434E">
      <w:pPr>
        <w:spacing w:after="0" w:line="240" w:lineRule="auto"/>
        <w:ind w:firstLine="708"/>
        <w:jc w:val="both"/>
        <w:rPr>
          <w:rFonts w:ascii="Arial" w:hAnsi="Arial" w:cs="Arial"/>
          <w:color w:val="000000" w:themeColor="text1"/>
          <w:sz w:val="18"/>
          <w:szCs w:val="18"/>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6">
    <w:p w14:paraId="3B8B9436" w14:textId="77777777" w:rsidR="00B5434E" w:rsidRPr="005E0360" w:rsidRDefault="00B5434E" w:rsidP="00B5434E">
      <w:pPr>
        <w:pStyle w:val="Textonotapie"/>
        <w:ind w:firstLine="708"/>
        <w:jc w:val="both"/>
        <w:rPr>
          <w:rFonts w:ascii="Arial" w:hAnsi="Arial" w:cs="Arial"/>
          <w:color w:val="000000" w:themeColor="text1"/>
          <w:sz w:val="18"/>
          <w:szCs w:val="18"/>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7">
    <w:p w14:paraId="74C19F20" w14:textId="77777777" w:rsidR="00B5434E" w:rsidRPr="007C10D0" w:rsidRDefault="00B5434E" w:rsidP="00B5434E">
      <w:pPr>
        <w:pStyle w:val="Textonotapie"/>
        <w:ind w:firstLine="708"/>
        <w:jc w:val="both"/>
        <w:rPr>
          <w:rFonts w:ascii="Arial" w:hAnsi="Arial" w:cs="Arial"/>
          <w:color w:val="000000" w:themeColor="text1"/>
          <w:sz w:val="18"/>
          <w:szCs w:val="18"/>
          <w:lang w:val="es-ES"/>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8">
    <w:p w14:paraId="430281B7" w14:textId="77777777" w:rsidR="00B5434E" w:rsidRPr="007C10D0" w:rsidRDefault="00B5434E" w:rsidP="00B5434E">
      <w:pPr>
        <w:pStyle w:val="Textonotapie"/>
        <w:ind w:firstLine="708"/>
        <w:jc w:val="both"/>
        <w:rPr>
          <w:rFonts w:ascii="Arial" w:hAnsi="Arial" w:cs="Arial"/>
          <w:sz w:val="18"/>
          <w:szCs w:val="18"/>
        </w:rPr>
      </w:pPr>
      <w:r w:rsidRPr="007C10D0">
        <w:rPr>
          <w:rStyle w:val="Refdenotaalpie"/>
          <w:rFonts w:ascii="Arial" w:hAnsi="Arial" w:cs="Arial"/>
          <w:sz w:val="18"/>
          <w:szCs w:val="18"/>
        </w:rPr>
        <w:footnoteRef/>
      </w:r>
      <w:r w:rsidRPr="007C10D0">
        <w:rPr>
          <w:rFonts w:ascii="Arial" w:hAnsi="Arial" w:cs="Arial"/>
          <w:sz w:val="18"/>
          <w:szCs w:val="18"/>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id="15" w:name="_Hlk102655636"/>
      <w:r w:rsidRPr="007C10D0">
        <w:rPr>
          <w:rFonts w:ascii="Arial" w:hAnsi="Arial" w:cs="Arial"/>
          <w:sz w:val="18"/>
          <w:szCs w:val="18"/>
        </w:rPr>
        <w:t>Auto del 15 de marzo de 2022</w:t>
      </w:r>
      <w:bookmarkEnd w:id="15"/>
      <w:r w:rsidRPr="007C10D0">
        <w:rPr>
          <w:rFonts w:ascii="Arial" w:hAnsi="Arial" w:cs="Arial"/>
          <w:sz w:val="18"/>
          <w:szCs w:val="18"/>
        </w:rPr>
        <w:t>. Exp. 62.003. C.P. Rocío Araújo Oñate).</w:t>
      </w:r>
    </w:p>
  </w:footnote>
  <w:footnote w:id="19">
    <w:p w14:paraId="52372352" w14:textId="77777777" w:rsidR="00B5434E" w:rsidRPr="007C10D0" w:rsidRDefault="00B5434E" w:rsidP="00B5434E">
      <w:pPr>
        <w:pStyle w:val="Textonotapie"/>
        <w:ind w:firstLine="708"/>
        <w:rPr>
          <w:rFonts w:ascii="Arial" w:hAnsi="Arial" w:cs="Arial"/>
          <w:sz w:val="18"/>
          <w:szCs w:val="18"/>
        </w:rPr>
      </w:pPr>
      <w:r w:rsidRPr="007C10D0">
        <w:rPr>
          <w:rStyle w:val="Refdenotaalpie"/>
          <w:rFonts w:ascii="Arial" w:hAnsi="Arial" w:cs="Arial"/>
          <w:sz w:val="18"/>
          <w:szCs w:val="18"/>
        </w:rPr>
        <w:footnoteRef/>
      </w:r>
      <w:r w:rsidRPr="007C10D0">
        <w:rPr>
          <w:rFonts w:ascii="Arial" w:hAnsi="Arial" w:cs="Arial"/>
          <w:sz w:val="18"/>
          <w:szCs w:val="18"/>
        </w:rPr>
        <w:t xml:space="preserve"> </w:t>
      </w:r>
      <w:r w:rsidRPr="007C10D0">
        <w:rPr>
          <w:rFonts w:ascii="Arial" w:hAnsi="Arial" w:cs="Arial"/>
          <w:i/>
          <w:iCs/>
          <w:sz w:val="18"/>
          <w:szCs w:val="18"/>
        </w:rPr>
        <w:t>Ibidem</w:t>
      </w:r>
      <w:r w:rsidRPr="007C10D0">
        <w:rPr>
          <w:rFonts w:ascii="Arial" w:hAnsi="Arial" w:cs="Arial"/>
          <w:sz w:val="18"/>
          <w:szCs w:val="18"/>
        </w:rPr>
        <w:t>.</w:t>
      </w:r>
    </w:p>
  </w:footnote>
  <w:footnote w:id="20">
    <w:p w14:paraId="2852D276" w14:textId="77777777" w:rsidR="00B5434E" w:rsidRPr="005E0360" w:rsidRDefault="00B5434E" w:rsidP="00B5434E">
      <w:pPr>
        <w:pStyle w:val="Textonotapie"/>
        <w:ind w:firstLine="708"/>
        <w:jc w:val="both"/>
        <w:rPr>
          <w:rFonts w:ascii="Arial" w:hAnsi="Arial" w:cs="Arial"/>
          <w:color w:val="000000" w:themeColor="text1"/>
          <w:sz w:val="18"/>
          <w:szCs w:val="18"/>
        </w:rPr>
      </w:pPr>
      <w:r w:rsidRPr="007C10D0">
        <w:rPr>
          <w:rStyle w:val="Refdenotaalpie"/>
          <w:rFonts w:ascii="Arial" w:hAnsi="Arial" w:cs="Arial"/>
          <w:color w:val="000000" w:themeColor="text1"/>
          <w:sz w:val="18"/>
          <w:szCs w:val="18"/>
        </w:rPr>
        <w:footnoteRef/>
      </w:r>
      <w:r w:rsidRPr="007C10D0">
        <w:rPr>
          <w:rFonts w:ascii="Arial" w:hAnsi="Arial" w:cs="Arial"/>
          <w:color w:val="000000" w:themeColor="text1"/>
          <w:sz w:val="18"/>
          <w:szCs w:val="18"/>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21">
    <w:p w14:paraId="0C60D243" w14:textId="77777777" w:rsidR="00B5434E" w:rsidRPr="003C5CFE" w:rsidRDefault="00B5434E" w:rsidP="00B5434E">
      <w:pPr>
        <w:pStyle w:val="Textonotapie"/>
        <w:ind w:firstLine="708"/>
        <w:jc w:val="both"/>
        <w:rPr>
          <w:rFonts w:ascii="Arial" w:hAnsi="Arial" w:cs="Arial"/>
          <w:sz w:val="18"/>
          <w:szCs w:val="18"/>
        </w:rPr>
      </w:pPr>
      <w:r w:rsidRPr="003C5CFE">
        <w:rPr>
          <w:rStyle w:val="Refdenotaalpie"/>
          <w:rFonts w:ascii="Arial" w:hAnsi="Arial" w:cs="Arial"/>
          <w:sz w:val="18"/>
          <w:szCs w:val="18"/>
        </w:rPr>
        <w:footnoteRef/>
      </w:r>
      <w:r w:rsidRPr="003C5CFE">
        <w:rPr>
          <w:rFonts w:ascii="Arial" w:hAnsi="Arial" w:cs="Arial"/>
          <w:sz w:val="18"/>
          <w:szCs w:val="18"/>
        </w:rPr>
        <w:t xml:space="preserve"> </w:t>
      </w:r>
      <w:r>
        <w:rPr>
          <w:rFonts w:ascii="Arial" w:hAnsi="Arial" w:cs="Arial"/>
          <w:sz w:val="18"/>
          <w:szCs w:val="18"/>
        </w:rPr>
        <w:t xml:space="preserve">La nueva versión de la circular se encuentra en el siguiente enlace: </w:t>
      </w:r>
      <w:hyperlink r:id="rId2" w:history="1">
        <w:r w:rsidRPr="000166ED">
          <w:rPr>
            <w:rStyle w:val="Hipervnculo"/>
            <w:rFonts w:ascii="Arial" w:hAnsi="Arial" w:cs="Arial"/>
            <w:sz w:val="18"/>
            <w:szCs w:val="18"/>
          </w:rPr>
          <w:t>https://colombiacompra.gov.co/sites/cce_public/files/cce_circulares/cce-eicp-ma-06_circular_externa_con_comentarios_de_ciudadanos-_v2f_002.pdf</w:t>
        </w:r>
      </w:hyperlink>
      <w:r>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8pt;height:11.8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48832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008E8"/>
    <w:rsid w:val="00125105"/>
    <w:rsid w:val="00127233"/>
    <w:rsid w:val="00130060"/>
    <w:rsid w:val="001E4177"/>
    <w:rsid w:val="001F7DC6"/>
    <w:rsid w:val="00201AE5"/>
    <w:rsid w:val="002421BB"/>
    <w:rsid w:val="002707A2"/>
    <w:rsid w:val="002951A0"/>
    <w:rsid w:val="002962BC"/>
    <w:rsid w:val="002A093D"/>
    <w:rsid w:val="002A0DD0"/>
    <w:rsid w:val="002A49AC"/>
    <w:rsid w:val="002A64FD"/>
    <w:rsid w:val="002C7A84"/>
    <w:rsid w:val="002E4FD9"/>
    <w:rsid w:val="00322A85"/>
    <w:rsid w:val="003448F4"/>
    <w:rsid w:val="00374F5E"/>
    <w:rsid w:val="00377E3E"/>
    <w:rsid w:val="00382C5C"/>
    <w:rsid w:val="003A779E"/>
    <w:rsid w:val="003D0F4D"/>
    <w:rsid w:val="003D5B0D"/>
    <w:rsid w:val="003E0499"/>
    <w:rsid w:val="003E73DE"/>
    <w:rsid w:val="003F3941"/>
    <w:rsid w:val="003F7FF2"/>
    <w:rsid w:val="00406575"/>
    <w:rsid w:val="0040752E"/>
    <w:rsid w:val="0042722E"/>
    <w:rsid w:val="004A1847"/>
    <w:rsid w:val="004A305D"/>
    <w:rsid w:val="004F21C4"/>
    <w:rsid w:val="004F685F"/>
    <w:rsid w:val="005566E8"/>
    <w:rsid w:val="00574867"/>
    <w:rsid w:val="00591460"/>
    <w:rsid w:val="005A2340"/>
    <w:rsid w:val="005C2FA6"/>
    <w:rsid w:val="005C3777"/>
    <w:rsid w:val="005C3E16"/>
    <w:rsid w:val="005C5CDC"/>
    <w:rsid w:val="005D476C"/>
    <w:rsid w:val="00604F25"/>
    <w:rsid w:val="006219F8"/>
    <w:rsid w:val="00665D70"/>
    <w:rsid w:val="006900D9"/>
    <w:rsid w:val="00706C16"/>
    <w:rsid w:val="00722E59"/>
    <w:rsid w:val="00756841"/>
    <w:rsid w:val="00761A5C"/>
    <w:rsid w:val="007649AB"/>
    <w:rsid w:val="00771D0C"/>
    <w:rsid w:val="007833AC"/>
    <w:rsid w:val="007B268C"/>
    <w:rsid w:val="007B7171"/>
    <w:rsid w:val="007C3DC2"/>
    <w:rsid w:val="007D03D4"/>
    <w:rsid w:val="007E5497"/>
    <w:rsid w:val="00806F5F"/>
    <w:rsid w:val="00820278"/>
    <w:rsid w:val="008601B3"/>
    <w:rsid w:val="008843B6"/>
    <w:rsid w:val="008917BC"/>
    <w:rsid w:val="00891928"/>
    <w:rsid w:val="008A446D"/>
    <w:rsid w:val="008D180B"/>
    <w:rsid w:val="008F0EA7"/>
    <w:rsid w:val="00923EEF"/>
    <w:rsid w:val="009419F9"/>
    <w:rsid w:val="00961B09"/>
    <w:rsid w:val="00965334"/>
    <w:rsid w:val="0097093E"/>
    <w:rsid w:val="009C71FA"/>
    <w:rsid w:val="009C72E7"/>
    <w:rsid w:val="009F3A13"/>
    <w:rsid w:val="00A122D3"/>
    <w:rsid w:val="00A17F13"/>
    <w:rsid w:val="00A20739"/>
    <w:rsid w:val="00A33C78"/>
    <w:rsid w:val="00AB02C6"/>
    <w:rsid w:val="00AB0ADB"/>
    <w:rsid w:val="00AB5CB3"/>
    <w:rsid w:val="00B5434E"/>
    <w:rsid w:val="00B72CD3"/>
    <w:rsid w:val="00B72FFF"/>
    <w:rsid w:val="00B92A35"/>
    <w:rsid w:val="00BC3D36"/>
    <w:rsid w:val="00BD7F72"/>
    <w:rsid w:val="00C04FB3"/>
    <w:rsid w:val="00C330EB"/>
    <w:rsid w:val="00C754BE"/>
    <w:rsid w:val="00C76B1C"/>
    <w:rsid w:val="00CB6357"/>
    <w:rsid w:val="00CC1B26"/>
    <w:rsid w:val="00D423A2"/>
    <w:rsid w:val="00D63AC2"/>
    <w:rsid w:val="00D7383B"/>
    <w:rsid w:val="00DA231B"/>
    <w:rsid w:val="00DF5254"/>
    <w:rsid w:val="00E16408"/>
    <w:rsid w:val="00E20894"/>
    <w:rsid w:val="00E245AB"/>
    <w:rsid w:val="00E2764C"/>
    <w:rsid w:val="00E27F2E"/>
    <w:rsid w:val="00E50AFE"/>
    <w:rsid w:val="00E771DC"/>
    <w:rsid w:val="00E8772A"/>
    <w:rsid w:val="00E90F6B"/>
    <w:rsid w:val="00E92C27"/>
    <w:rsid w:val="00E97D30"/>
    <w:rsid w:val="00EA0E3D"/>
    <w:rsid w:val="00EE1AA8"/>
    <w:rsid w:val="00F31EDC"/>
    <w:rsid w:val="00F462B3"/>
    <w:rsid w:val="00F5664F"/>
    <w:rsid w:val="00F666C4"/>
    <w:rsid w:val="00F76AFC"/>
    <w:rsid w:val="00F811D4"/>
    <w:rsid w:val="00FB5DD1"/>
    <w:rsid w:val="00FC2B5D"/>
    <w:rsid w:val="00FC70AA"/>
    <w:rsid w:val="00FF1449"/>
    <w:rsid w:val="0A1D1B98"/>
    <w:rsid w:val="0D1534CA"/>
    <w:rsid w:val="475BAF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B5434E"/>
    <w:rPr>
      <w:sz w:val="16"/>
      <w:szCs w:val="16"/>
    </w:rPr>
  </w:style>
  <w:style w:type="paragraph" w:styleId="Textocomentario">
    <w:name w:val="annotation text"/>
    <w:basedOn w:val="Normal"/>
    <w:link w:val="TextocomentarioCar"/>
    <w:uiPriority w:val="99"/>
    <w:unhideWhenUsed/>
    <w:rsid w:val="00B5434E"/>
    <w:pPr>
      <w:spacing w:line="240" w:lineRule="auto"/>
    </w:pPr>
    <w:rPr>
      <w:sz w:val="20"/>
      <w:szCs w:val="20"/>
    </w:rPr>
  </w:style>
  <w:style w:type="character" w:customStyle="1" w:styleId="TextocomentarioCar">
    <w:name w:val="Texto comentario Car"/>
    <w:basedOn w:val="Fuentedeprrafopredeter"/>
    <w:link w:val="Textocomentario"/>
    <w:uiPriority w:val="99"/>
    <w:rsid w:val="00B5434E"/>
    <w:rPr>
      <w:sz w:val="20"/>
      <w:szCs w:val="20"/>
    </w:rPr>
  </w:style>
  <w:style w:type="paragraph" w:customStyle="1" w:styleId="Appelnotedebasde">
    <w:name w:val="Appel note de bas de..."/>
    <w:basedOn w:val="Normal"/>
    <w:link w:val="Refdenotaalpie"/>
    <w:uiPriority w:val="99"/>
    <w:rsid w:val="00B5434E"/>
    <w:pPr>
      <w:spacing w:line="240" w:lineRule="exact"/>
    </w:pPr>
    <w:rPr>
      <w:vertAlign w:val="superscript"/>
    </w:rPr>
  </w:style>
  <w:style w:type="paragraph" w:styleId="Textoindependiente">
    <w:name w:val="Body Text"/>
    <w:basedOn w:val="Normal"/>
    <w:link w:val="TextoindependienteCar"/>
    <w:uiPriority w:val="99"/>
    <w:unhideWhenUsed/>
    <w:rsid w:val="00B5434E"/>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B5434E"/>
    <w:rPr>
      <w:rFonts w:eastAsiaTheme="minorEastAsia"/>
      <w:lang w:eastAsia="es-CO"/>
    </w:rPr>
  </w:style>
  <w:style w:type="paragraph" w:styleId="Sinespaciado">
    <w:name w:val="No Spacing"/>
    <w:aliases w:val="No Indent"/>
    <w:uiPriority w:val="3"/>
    <w:qFormat/>
    <w:rsid w:val="00B5434E"/>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5434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circulares/cce-eicp-ma-06_circular_externa_con_comentarios_de_ciudadanos-_v2f_0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3792B74-3175-4BDA-8A14-2AEC4EF85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8051</Words>
  <Characters>44284</Characters>
  <Application>Microsoft Office Word</Application>
  <DocSecurity>0</DocSecurity>
  <Lines>369</Lines>
  <Paragraphs>104</Paragraphs>
  <ScaleCrop>false</ScaleCrop>
  <Company/>
  <LinksUpToDate>false</LinksUpToDate>
  <CharactersWithSpaces>52231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2023-11-14T22:44:00Z</dcterms:created>
  <dcterms:modified xsi:type="dcterms:W3CDTF">2023-11-14T22:44:00Z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