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46A19" w14:textId="77777777" w:rsidR="000B2BFA" w:rsidRPr="0037730A" w:rsidRDefault="000B2BFA" w:rsidP="000B2BFA">
      <w:pPr>
        <w:spacing w:after="0"/>
        <w:rPr>
          <w:rFonts w:ascii="Verdana" w:eastAsia="Calibri" w:hAnsi="Verdana" w:cs="Times New Roman"/>
        </w:rPr>
      </w:pPr>
      <w:bookmarkStart w:id="0" w:name="_Hlk143780582"/>
      <w:r w:rsidRPr="0037730A">
        <w:rPr>
          <w:rFonts w:ascii="Verdana" w:eastAsia="Calibri" w:hAnsi="Verdana" w:cs="Times New Roman"/>
          <w:b/>
          <w:bCs/>
          <w:color w:val="000000"/>
        </w:rPr>
        <w:t xml:space="preserve">DOCUMENTOS TIPO – Fundamento normativo – Obligatoriedad </w:t>
      </w:r>
    </w:p>
    <w:p w14:paraId="7357038A" w14:textId="77777777" w:rsidR="000B2BFA" w:rsidRPr="001162C0" w:rsidRDefault="000B2BFA" w:rsidP="000B2BFA">
      <w:pPr>
        <w:spacing w:after="0" w:line="276" w:lineRule="auto"/>
        <w:jc w:val="both"/>
        <w:rPr>
          <w:rFonts w:ascii="Verdana" w:eastAsia="Calibri" w:hAnsi="Verdana" w:cs="Arial"/>
          <w:b/>
          <w:bCs/>
        </w:rPr>
      </w:pPr>
    </w:p>
    <w:p w14:paraId="6C2FC9C1" w14:textId="77777777" w:rsidR="000B2BFA" w:rsidRPr="001162C0" w:rsidRDefault="000B2BFA" w:rsidP="000B2BFA">
      <w:pPr>
        <w:snapToGrid w:val="0"/>
        <w:spacing w:after="0" w:line="240" w:lineRule="auto"/>
        <w:jc w:val="both"/>
        <w:rPr>
          <w:rFonts w:ascii="Verdana" w:eastAsia="Times New Roman" w:hAnsi="Verdana" w:cs="Arial"/>
          <w:sz w:val="20"/>
          <w:szCs w:val="20"/>
          <w:shd w:val="clear" w:color="auto" w:fill="FFFFFF"/>
          <w:lang w:eastAsia="es-ES_tradnl"/>
        </w:rPr>
      </w:pPr>
      <w:r w:rsidRPr="001162C0">
        <w:rPr>
          <w:rFonts w:ascii="Verdana" w:eastAsia="Times New Roman" w:hAnsi="Verdana" w:cs="Arial"/>
          <w:sz w:val="20"/>
          <w:szCs w:val="20"/>
          <w:shd w:val="clear" w:color="auto" w:fill="FFFFFF"/>
          <w:lang w:eastAsia="es-ES_tradnl"/>
        </w:rPr>
        <w:t xml:space="preserve">Los documentos tipo expedidos por la Agencia Nacional de Contratación Pública </w:t>
      </w:r>
      <w:r w:rsidRPr="001162C0">
        <w:rPr>
          <w:rFonts w:ascii="Symbol" w:eastAsia="Symbol" w:hAnsi="Symbol" w:cs="Symbol"/>
          <w:sz w:val="20"/>
          <w:szCs w:val="20"/>
          <w:shd w:val="clear" w:color="auto" w:fill="FFFFFF"/>
          <w:lang w:eastAsia="es-ES_tradnl"/>
        </w:rPr>
        <w:t>-</w:t>
      </w:r>
      <w:r w:rsidRPr="001162C0">
        <w:rPr>
          <w:rFonts w:ascii="Verdana" w:eastAsia="Times New Roman" w:hAnsi="Verdana" w:cs="Arial"/>
          <w:sz w:val="20"/>
          <w:szCs w:val="20"/>
          <w:shd w:val="clear" w:color="auto" w:fill="FFFFFF"/>
          <w:lang w:eastAsia="es-ES_tradn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005BDE70" w14:textId="77777777" w:rsidR="000B2BFA" w:rsidRDefault="000B2BFA" w:rsidP="000B2BFA">
      <w:pPr>
        <w:spacing w:after="0" w:line="276" w:lineRule="auto"/>
        <w:jc w:val="both"/>
        <w:rPr>
          <w:rFonts w:ascii="Verdana" w:eastAsia="Calibri" w:hAnsi="Verdana" w:cs="Arial"/>
          <w:b/>
          <w:bCs/>
        </w:rPr>
      </w:pPr>
    </w:p>
    <w:p w14:paraId="5F7122C3" w14:textId="77777777" w:rsidR="000B2BFA" w:rsidRDefault="000B2BFA" w:rsidP="000B2BFA">
      <w:pPr>
        <w:spacing w:after="0" w:line="276" w:lineRule="auto"/>
        <w:jc w:val="both"/>
        <w:rPr>
          <w:rFonts w:ascii="Verdana" w:eastAsia="Calibri" w:hAnsi="Verdana" w:cs="Arial"/>
          <w:b/>
          <w:bCs/>
        </w:rPr>
      </w:pPr>
      <w:r>
        <w:rPr>
          <w:rFonts w:ascii="Verdana" w:eastAsia="Calibri" w:hAnsi="Verdana" w:cs="Arial"/>
          <w:b/>
          <w:bCs/>
        </w:rPr>
        <w:t>DOCUMENTOS TIPO – Transporte – Versión 4 – Factor de calidad – Descuento de puntaje</w:t>
      </w:r>
    </w:p>
    <w:p w14:paraId="124F75E6" w14:textId="77777777" w:rsidR="000B2BFA" w:rsidRPr="001162C0" w:rsidRDefault="000B2BFA" w:rsidP="000B2BFA">
      <w:pPr>
        <w:spacing w:after="0" w:line="276" w:lineRule="auto"/>
        <w:jc w:val="both"/>
        <w:rPr>
          <w:rFonts w:ascii="Verdana" w:eastAsia="Calibri" w:hAnsi="Verdana" w:cs="Arial"/>
          <w:b/>
          <w:bCs/>
        </w:rPr>
      </w:pPr>
    </w:p>
    <w:p w14:paraId="0D6ABF5E" w14:textId="77777777" w:rsidR="000B2BFA" w:rsidRPr="0037730A" w:rsidRDefault="000B2BFA" w:rsidP="000B2BFA">
      <w:pPr>
        <w:spacing w:after="0" w:line="240" w:lineRule="auto"/>
        <w:jc w:val="both"/>
        <w:rPr>
          <w:rFonts w:ascii="Verdana" w:hAnsi="Verdana" w:cs="Arial"/>
          <w:sz w:val="20"/>
          <w:szCs w:val="20"/>
          <w:lang w:val="es-ES"/>
        </w:rPr>
      </w:pPr>
      <w:r w:rsidRPr="0037730A">
        <w:rPr>
          <w:rFonts w:ascii="Verdana" w:eastAsia="Calibri" w:hAnsi="Verdana" w:cs="Arial"/>
          <w:sz w:val="20"/>
          <w:szCs w:val="20"/>
          <w:lang w:val="es-ES"/>
        </w:rPr>
        <w:t xml:space="preserve">El numeral 4.2 del documento base del documento tipo de licitación de obra pública de infraestructura de transporte – versión 4, como parte de la valoración del factor calidad, dispone que las entidades estatales deberán consultar el Registro Nacional de Obras Civiles Inconclusas, de que trata la Ley 2020 de 2020, y descontar un (1) punto de la sumatoria obtenida en relación con el factor de calidad al proponente que cuente con alguna anotación vigente. </w:t>
      </w:r>
    </w:p>
    <w:p w14:paraId="533C1F36" w14:textId="77777777" w:rsidR="000B2BFA" w:rsidRDefault="000B2BFA" w:rsidP="000B2BFA">
      <w:pPr>
        <w:spacing w:line="276" w:lineRule="auto"/>
        <w:jc w:val="both"/>
        <w:rPr>
          <w:rFonts w:ascii="Verdana" w:eastAsia="Calibri" w:hAnsi="Verdana" w:cs="Arial"/>
          <w:kern w:val="2"/>
          <w:lang w:val="es-MX"/>
          <w14:ligatures w14:val="standardContextual"/>
        </w:rPr>
      </w:pPr>
    </w:p>
    <w:p w14:paraId="44863EF2" w14:textId="77777777" w:rsidR="000B2BFA" w:rsidRDefault="000B2BFA" w:rsidP="000B2BFA">
      <w:pPr>
        <w:spacing w:after="0" w:line="276" w:lineRule="auto"/>
        <w:jc w:val="both"/>
        <w:rPr>
          <w:rFonts w:ascii="Verdana" w:eastAsia="Calibri" w:hAnsi="Verdana" w:cs="Arial"/>
          <w:b/>
          <w:bCs/>
        </w:rPr>
      </w:pPr>
      <w:r>
        <w:rPr>
          <w:rFonts w:ascii="Verdana" w:eastAsia="Calibri" w:hAnsi="Verdana" w:cs="Arial"/>
          <w:b/>
          <w:bCs/>
        </w:rPr>
        <w:t>DOCUMENTOS TIPO –Factor de calidad – Descuento de puntaje – Anotación – Obras civiles inconclusas</w:t>
      </w:r>
    </w:p>
    <w:p w14:paraId="6D29AC11" w14:textId="77777777" w:rsidR="000B2BFA" w:rsidRPr="00CD5003" w:rsidRDefault="000B2BFA" w:rsidP="000B2BFA">
      <w:pPr>
        <w:spacing w:after="0" w:line="276" w:lineRule="auto"/>
        <w:jc w:val="both"/>
        <w:rPr>
          <w:rFonts w:ascii="Verdana" w:eastAsia="Calibri" w:hAnsi="Verdana" w:cs="Arial"/>
          <w:lang w:val="es-MX"/>
        </w:rPr>
      </w:pPr>
    </w:p>
    <w:p w14:paraId="72BB066D" w14:textId="77777777" w:rsidR="000B2BFA" w:rsidRPr="00CD5003" w:rsidRDefault="000B2BFA" w:rsidP="000B2BFA">
      <w:pPr>
        <w:spacing w:after="120" w:line="276" w:lineRule="auto"/>
        <w:jc w:val="both"/>
        <w:rPr>
          <w:rFonts w:ascii="Verdana" w:eastAsia="Calibri" w:hAnsi="Verdana" w:cs="Arial"/>
          <w:sz w:val="20"/>
          <w:szCs w:val="20"/>
          <w:lang w:val="es-MX"/>
        </w:rPr>
      </w:pPr>
      <w:r w:rsidRPr="00CD5003">
        <w:rPr>
          <w:rFonts w:ascii="Verdana" w:eastAsia="Calibri" w:hAnsi="Verdana" w:cs="Arial"/>
          <w:sz w:val="20"/>
          <w:szCs w:val="20"/>
          <w:lang w:val="es-MX"/>
        </w:rPr>
        <w:t xml:space="preserve">El inicio del primer párrafo </w:t>
      </w:r>
      <w:proofErr w:type="gramStart"/>
      <w:r w:rsidRPr="00CD5003">
        <w:rPr>
          <w:rFonts w:ascii="Verdana" w:eastAsia="Calibri" w:hAnsi="Verdana" w:cs="Arial"/>
          <w:sz w:val="20"/>
          <w:szCs w:val="20"/>
          <w:lang w:val="es-MX"/>
        </w:rPr>
        <w:t>señalado,</w:t>
      </w:r>
      <w:proofErr w:type="gramEnd"/>
      <w:r w:rsidRPr="00CD5003">
        <w:rPr>
          <w:rFonts w:ascii="Verdana" w:eastAsia="Calibri" w:hAnsi="Verdana" w:cs="Arial"/>
          <w:sz w:val="20"/>
          <w:szCs w:val="20"/>
          <w:lang w:val="es-MX"/>
        </w:rPr>
        <w:t xml:space="preserve"> prescribe el deber de las entidades estatales de consultar y analizar las anotaciones vigentes que reposan en el Registro Nacional de Obras Civiles Inconclusas, lo cual guarda coherencia con el artículo 6 de la Ley 2020 de 2020. </w:t>
      </w:r>
    </w:p>
    <w:p w14:paraId="0BF2865A" w14:textId="77777777" w:rsidR="000B2BFA" w:rsidRPr="00CD5003" w:rsidRDefault="000B2BFA" w:rsidP="000B2BFA">
      <w:pPr>
        <w:spacing w:after="120" w:line="276" w:lineRule="auto"/>
        <w:jc w:val="both"/>
        <w:rPr>
          <w:rFonts w:ascii="Verdana" w:eastAsia="Calibri" w:hAnsi="Verdana" w:cs="Arial"/>
          <w:sz w:val="20"/>
          <w:szCs w:val="20"/>
          <w:lang w:val="es-MX"/>
        </w:rPr>
      </w:pPr>
      <w:r w:rsidRPr="00CD5003">
        <w:rPr>
          <w:rFonts w:ascii="Verdana" w:eastAsia="Calibri" w:hAnsi="Verdana" w:cs="Arial"/>
          <w:sz w:val="20"/>
          <w:szCs w:val="20"/>
          <w:lang w:val="es-MX"/>
        </w:rPr>
        <w:t>(…)</w:t>
      </w:r>
    </w:p>
    <w:p w14:paraId="7218DCD2" w14:textId="77777777" w:rsidR="000B2BFA" w:rsidRPr="00306D25" w:rsidRDefault="000B2BFA" w:rsidP="000B2BFA">
      <w:pPr>
        <w:spacing w:after="0" w:line="276" w:lineRule="auto"/>
        <w:jc w:val="both"/>
        <w:rPr>
          <w:rFonts w:ascii="Verdana" w:eastAsia="Calibri" w:hAnsi="Verdana" w:cs="Arial"/>
          <w:sz w:val="20"/>
          <w:szCs w:val="20"/>
          <w:lang w:val="es-MX"/>
        </w:rPr>
      </w:pPr>
      <w:r w:rsidRPr="00CD5003">
        <w:rPr>
          <w:rFonts w:ascii="Verdana" w:eastAsia="Calibri" w:hAnsi="Verdana" w:cs="Arial"/>
          <w:sz w:val="20"/>
          <w:szCs w:val="20"/>
          <w:lang w:val="es-MX"/>
        </w:rPr>
        <w:t xml:space="preserve">De esta manera, la connotación de las palabras </w:t>
      </w:r>
      <w:r w:rsidRPr="00CD5003">
        <w:rPr>
          <w:rFonts w:ascii="Verdana" w:eastAsia="Times New Roman" w:hAnsi="Verdana" w:cs="Arial"/>
          <w:sz w:val="20"/>
          <w:szCs w:val="20"/>
          <w:lang w:eastAsia="es-ES_tradnl"/>
        </w:rPr>
        <w:t xml:space="preserve">“consultar y </w:t>
      </w:r>
      <w:r w:rsidRPr="00CD5003">
        <w:rPr>
          <w:rFonts w:ascii="Verdana" w:eastAsia="Calibri" w:hAnsi="Verdana" w:cs="Arial"/>
          <w:sz w:val="20"/>
          <w:szCs w:val="20"/>
          <w:lang w:val="es-MX"/>
        </w:rPr>
        <w:t>analizar</w:t>
      </w:r>
      <w:r w:rsidRPr="00CD5003">
        <w:rPr>
          <w:rFonts w:ascii="Verdana" w:eastAsia="Times New Roman" w:hAnsi="Verdana" w:cs="Arial"/>
          <w:sz w:val="20"/>
          <w:szCs w:val="20"/>
          <w:lang w:eastAsia="es-ES_tradnl"/>
        </w:rPr>
        <w:t xml:space="preserve">” </w:t>
      </w:r>
      <w:r w:rsidRPr="00CD5003">
        <w:rPr>
          <w:rFonts w:ascii="Verdana" w:eastAsia="Calibri" w:hAnsi="Verdana" w:cs="Arial"/>
          <w:sz w:val="20"/>
          <w:szCs w:val="20"/>
          <w:lang w:val="es-MX"/>
        </w:rPr>
        <w:t xml:space="preserve">constituyen el marco respecto del cual se circunscribe el deber de la entidad de tener en cuenta las anotaciones en el Registro Nacional de Obras Civiles Inconclusas, para efectos de la evaluación de los factores de ponderación de calidad. En otras palabras, las expresiones </w:t>
      </w:r>
      <w:r w:rsidRPr="00CD5003">
        <w:rPr>
          <w:rFonts w:ascii="Verdana" w:eastAsia="Times New Roman" w:hAnsi="Verdana" w:cs="Arial"/>
          <w:sz w:val="20"/>
          <w:szCs w:val="20"/>
          <w:lang w:eastAsia="es-ES_tradnl"/>
        </w:rPr>
        <w:t xml:space="preserve">“consultar y </w:t>
      </w:r>
      <w:r w:rsidRPr="00CD5003">
        <w:rPr>
          <w:rFonts w:ascii="Verdana" w:eastAsia="Calibri" w:hAnsi="Verdana" w:cs="Arial"/>
          <w:sz w:val="20"/>
          <w:szCs w:val="20"/>
          <w:lang w:val="es-MX"/>
        </w:rPr>
        <w:t>analizar</w:t>
      </w:r>
      <w:r w:rsidRPr="00CD5003">
        <w:rPr>
          <w:rFonts w:ascii="Verdana" w:eastAsia="Times New Roman" w:hAnsi="Verdana" w:cs="Arial"/>
          <w:sz w:val="20"/>
          <w:szCs w:val="20"/>
          <w:lang w:eastAsia="es-ES_tradnl"/>
        </w:rPr>
        <w:t>”</w:t>
      </w:r>
      <w:r w:rsidRPr="00CD5003">
        <w:rPr>
          <w:rFonts w:ascii="Verdana" w:eastAsia="Calibri" w:hAnsi="Verdana" w:cs="Arial"/>
          <w:sz w:val="20"/>
          <w:szCs w:val="20"/>
          <w:lang w:val="es-MX"/>
        </w:rPr>
        <w:t xml:space="preserve">, determinan el alcance de la interpretación tanto del contenido del artículo 6 de la Ley 2020 de 2020, como en el texto establecido en los Documentos Base, sobre el Registro Nacional de Obras Civiles Inconclusas. En consecuencia, el primer aparte del párrafo del documento base determina el alcance del texto, mientras que el segundo fragmento dispone la consecuencia jurídica, esto es, -descontar un (1) punto de la sumatoria obtenida en relación con el factor de calidad-, por lo que este último no puede desligarse del otro y su interpretación debe realizarse en contexto. </w:t>
      </w:r>
    </w:p>
    <w:p w14:paraId="3EDC51FC" w14:textId="77777777" w:rsidR="000B2BFA" w:rsidRDefault="000B2BFA" w:rsidP="000B2BFA">
      <w:pPr>
        <w:spacing w:after="0" w:line="276" w:lineRule="auto"/>
        <w:jc w:val="both"/>
        <w:rPr>
          <w:rFonts w:ascii="Verdana" w:eastAsia="Calibri" w:hAnsi="Verdana" w:cs="Arial"/>
          <w:kern w:val="2"/>
          <w:lang w:val="es-MX"/>
          <w14:ligatures w14:val="standardContextual"/>
        </w:rPr>
      </w:pPr>
    </w:p>
    <w:p w14:paraId="25420764" w14:textId="77777777" w:rsidR="000B2BFA" w:rsidRDefault="000B2BFA" w:rsidP="000B2BFA">
      <w:pPr>
        <w:spacing w:after="0" w:line="276" w:lineRule="auto"/>
        <w:jc w:val="both"/>
        <w:rPr>
          <w:rFonts w:ascii="Verdana" w:eastAsia="Calibri" w:hAnsi="Verdana" w:cs="Arial"/>
          <w:b/>
          <w:bCs/>
        </w:rPr>
      </w:pPr>
      <w:r>
        <w:rPr>
          <w:rFonts w:ascii="Verdana" w:eastAsia="Calibri" w:hAnsi="Verdana" w:cs="Arial"/>
          <w:b/>
          <w:bCs/>
        </w:rPr>
        <w:lastRenderedPageBreak/>
        <w:t>DOCUMENTOS TIPO – Factor de calidad – Descuento de puntaje – Anotación – Obras civiles inconclusas – No oferte</w:t>
      </w:r>
    </w:p>
    <w:p w14:paraId="71224ECF" w14:textId="77777777" w:rsidR="000B2BFA" w:rsidRDefault="000B2BFA" w:rsidP="000B2BFA">
      <w:pPr>
        <w:pStyle w:val="Prrafodelista"/>
        <w:spacing w:after="0" w:line="276" w:lineRule="auto"/>
        <w:jc w:val="both"/>
        <w:rPr>
          <w:rFonts w:ascii="Verdana" w:eastAsia="Calibri" w:hAnsi="Verdana" w:cs="Arial"/>
          <w:color w:val="000000"/>
          <w:lang w:val="es-ES_tradnl" w:eastAsia="en-GB"/>
        </w:rPr>
      </w:pPr>
    </w:p>
    <w:p w14:paraId="4C363FFA" w14:textId="77777777" w:rsidR="000B2BFA" w:rsidRPr="00306D25" w:rsidRDefault="000B2BFA" w:rsidP="000B2BFA">
      <w:pPr>
        <w:spacing w:after="0" w:line="276" w:lineRule="auto"/>
        <w:jc w:val="both"/>
        <w:rPr>
          <w:rFonts w:ascii="Verdana" w:eastAsia="Calibri" w:hAnsi="Verdana" w:cs="Arial"/>
          <w:color w:val="000000"/>
          <w:sz w:val="20"/>
          <w:szCs w:val="20"/>
          <w:lang w:val="es-ES_tradnl" w:eastAsia="en-GB"/>
        </w:rPr>
      </w:pPr>
      <w:r w:rsidRPr="00306D25">
        <w:rPr>
          <w:rFonts w:ascii="Verdana" w:eastAsia="Calibri" w:hAnsi="Verdana" w:cs="Arial"/>
          <w:sz w:val="20"/>
          <w:szCs w:val="20"/>
          <w:lang w:val="es-MX"/>
        </w:rPr>
        <w:t xml:space="preserve">Ahora bien, el segundo párrafo señalado con anterioridad del numeral 4.2, dispone que, no se descontará el puntaje cuando el proponente no oferte el factor de calidad, por lo que obtendrá cero (0) puntos en ese criterio de evaluación. En esta última circunstancia, la Entidad no podrá reducir el puntaje de la sumatoria obtenida en los demás factores de ponderación. </w:t>
      </w:r>
    </w:p>
    <w:p w14:paraId="58413F7F" w14:textId="77777777" w:rsidR="000B2BFA" w:rsidRPr="001162C0" w:rsidRDefault="000B2BFA" w:rsidP="000B2BFA">
      <w:pPr>
        <w:spacing w:after="0" w:line="240" w:lineRule="auto"/>
        <w:jc w:val="both"/>
        <w:rPr>
          <w:rFonts w:ascii="Verdana" w:eastAsia="Geomanist Light" w:hAnsi="Verdana" w:cs="Arial"/>
        </w:rPr>
      </w:pPr>
    </w:p>
    <w:p w14:paraId="5A2DD7A2" w14:textId="77777777" w:rsidR="000B2BFA" w:rsidRPr="001162C0" w:rsidRDefault="000B2BFA" w:rsidP="000B2BFA">
      <w:pPr>
        <w:spacing w:after="0" w:line="240" w:lineRule="auto"/>
        <w:jc w:val="both"/>
        <w:rPr>
          <w:rFonts w:ascii="Verdana" w:eastAsia="Geomanist Light" w:hAnsi="Verdana" w:cs="Arial"/>
        </w:rPr>
      </w:pPr>
    </w:p>
    <w:p w14:paraId="2BB63C4B" w14:textId="77777777" w:rsidR="000B2BFA" w:rsidRPr="001162C0" w:rsidRDefault="000B2BFA" w:rsidP="000B2BFA">
      <w:pPr>
        <w:spacing w:after="0" w:line="240" w:lineRule="auto"/>
        <w:jc w:val="both"/>
        <w:rPr>
          <w:rFonts w:ascii="Verdana" w:eastAsia="Geomanist Light" w:hAnsi="Verdana" w:cs="Arial"/>
        </w:rPr>
      </w:pPr>
    </w:p>
    <w:p w14:paraId="0933C5F1" w14:textId="77777777" w:rsidR="000B2BFA" w:rsidRPr="001162C0" w:rsidRDefault="000B2BFA" w:rsidP="000B2BFA">
      <w:pPr>
        <w:spacing w:after="0" w:line="240" w:lineRule="auto"/>
        <w:jc w:val="both"/>
        <w:rPr>
          <w:rFonts w:ascii="Verdana" w:eastAsia="Geomanist Light" w:hAnsi="Verdana" w:cs="Arial"/>
        </w:rPr>
      </w:pPr>
    </w:p>
    <w:p w14:paraId="223D66F9" w14:textId="77777777" w:rsidR="000B2BFA" w:rsidRPr="001162C0" w:rsidRDefault="000B2BFA" w:rsidP="000B2BFA">
      <w:pPr>
        <w:spacing w:after="0" w:line="240" w:lineRule="auto"/>
        <w:jc w:val="both"/>
        <w:rPr>
          <w:rFonts w:ascii="Verdana" w:eastAsia="Geomanist Light" w:hAnsi="Verdana" w:cs="Arial"/>
        </w:rPr>
      </w:pPr>
    </w:p>
    <w:p w14:paraId="28A42FAE" w14:textId="77777777" w:rsidR="000B2BFA" w:rsidRPr="001162C0" w:rsidRDefault="000B2BFA" w:rsidP="000B2BFA">
      <w:pPr>
        <w:spacing w:after="0" w:line="240" w:lineRule="auto"/>
        <w:jc w:val="both"/>
        <w:rPr>
          <w:rFonts w:ascii="Verdana" w:eastAsia="Geomanist Light" w:hAnsi="Verdana" w:cs="Arial"/>
        </w:rPr>
      </w:pPr>
    </w:p>
    <w:p w14:paraId="3DC5FC27" w14:textId="77777777" w:rsidR="000B2BFA" w:rsidRPr="001162C0" w:rsidRDefault="000B2BFA" w:rsidP="000B2BFA">
      <w:pPr>
        <w:spacing w:after="0" w:line="240" w:lineRule="auto"/>
        <w:jc w:val="both"/>
        <w:rPr>
          <w:rFonts w:ascii="Verdana" w:eastAsia="Geomanist Light" w:hAnsi="Verdana" w:cs="Arial"/>
        </w:rPr>
      </w:pPr>
    </w:p>
    <w:p w14:paraId="6F674B1E" w14:textId="77777777" w:rsidR="000B2BFA" w:rsidRPr="001162C0" w:rsidRDefault="000B2BFA" w:rsidP="000B2BFA">
      <w:pPr>
        <w:spacing w:after="0" w:line="240" w:lineRule="auto"/>
        <w:jc w:val="both"/>
        <w:rPr>
          <w:rFonts w:ascii="Verdana" w:eastAsia="Geomanist Light" w:hAnsi="Verdana" w:cs="Arial"/>
        </w:rPr>
      </w:pPr>
    </w:p>
    <w:p w14:paraId="68B9ADC4" w14:textId="77777777" w:rsidR="000B2BFA" w:rsidRPr="001162C0" w:rsidRDefault="000B2BFA" w:rsidP="000B2BFA">
      <w:pPr>
        <w:spacing w:after="0" w:line="240" w:lineRule="auto"/>
        <w:jc w:val="both"/>
        <w:rPr>
          <w:rFonts w:ascii="Verdana" w:eastAsia="Geomanist Light" w:hAnsi="Verdana" w:cs="Arial"/>
        </w:rPr>
      </w:pPr>
    </w:p>
    <w:p w14:paraId="364C1963" w14:textId="77777777" w:rsidR="000B2BFA" w:rsidRPr="001162C0" w:rsidRDefault="000B2BFA" w:rsidP="000B2BFA">
      <w:pPr>
        <w:spacing w:after="0" w:line="240" w:lineRule="auto"/>
        <w:jc w:val="both"/>
        <w:rPr>
          <w:rFonts w:ascii="Verdana" w:eastAsia="Geomanist Light" w:hAnsi="Verdana" w:cs="Arial"/>
        </w:rPr>
      </w:pPr>
    </w:p>
    <w:p w14:paraId="2076B4FF" w14:textId="77777777" w:rsidR="000B2BFA" w:rsidRPr="001162C0" w:rsidRDefault="000B2BFA" w:rsidP="000B2BFA">
      <w:pPr>
        <w:spacing w:after="0" w:line="240" w:lineRule="auto"/>
        <w:jc w:val="both"/>
        <w:rPr>
          <w:rFonts w:ascii="Verdana" w:eastAsia="Geomanist Light" w:hAnsi="Verdana" w:cs="Arial"/>
        </w:rPr>
      </w:pPr>
    </w:p>
    <w:p w14:paraId="050A5FCD" w14:textId="77777777" w:rsidR="000B2BFA" w:rsidRPr="001162C0" w:rsidRDefault="000B2BFA" w:rsidP="000B2BFA">
      <w:pPr>
        <w:spacing w:after="0" w:line="240" w:lineRule="auto"/>
        <w:jc w:val="both"/>
        <w:rPr>
          <w:rFonts w:ascii="Verdana" w:eastAsia="Geomanist Light" w:hAnsi="Verdana" w:cs="Arial"/>
        </w:rPr>
      </w:pPr>
    </w:p>
    <w:p w14:paraId="7A09E1AF" w14:textId="77777777" w:rsidR="000B2BFA" w:rsidRPr="001162C0" w:rsidRDefault="000B2BFA" w:rsidP="000B2BFA">
      <w:pPr>
        <w:spacing w:after="0" w:line="240" w:lineRule="auto"/>
        <w:jc w:val="both"/>
        <w:rPr>
          <w:rFonts w:ascii="Verdana" w:eastAsia="Geomanist Light" w:hAnsi="Verdana" w:cs="Arial"/>
        </w:rPr>
      </w:pPr>
    </w:p>
    <w:p w14:paraId="6823E8D6" w14:textId="77777777" w:rsidR="000B2BFA" w:rsidRPr="001162C0" w:rsidRDefault="000B2BFA" w:rsidP="000B2BFA">
      <w:pPr>
        <w:spacing w:after="0" w:line="240" w:lineRule="auto"/>
        <w:jc w:val="both"/>
        <w:rPr>
          <w:rFonts w:ascii="Verdana" w:eastAsia="Geomanist Light" w:hAnsi="Verdana" w:cs="Arial"/>
        </w:rPr>
      </w:pPr>
    </w:p>
    <w:p w14:paraId="44A85A18" w14:textId="77777777" w:rsidR="000B2BFA" w:rsidRPr="001162C0" w:rsidRDefault="000B2BFA" w:rsidP="000B2BFA">
      <w:pPr>
        <w:spacing w:after="0" w:line="240" w:lineRule="auto"/>
        <w:jc w:val="both"/>
        <w:rPr>
          <w:rFonts w:ascii="Verdana" w:eastAsia="Geomanist Light" w:hAnsi="Verdana" w:cs="Arial"/>
        </w:rPr>
      </w:pPr>
    </w:p>
    <w:p w14:paraId="09952A55" w14:textId="77777777" w:rsidR="000B2BFA" w:rsidRPr="001162C0" w:rsidRDefault="000B2BFA" w:rsidP="000B2BFA">
      <w:pPr>
        <w:spacing w:after="0" w:line="240" w:lineRule="auto"/>
        <w:jc w:val="both"/>
        <w:rPr>
          <w:rFonts w:ascii="Verdana" w:eastAsia="Geomanist Light" w:hAnsi="Verdana" w:cs="Arial"/>
        </w:rPr>
      </w:pPr>
    </w:p>
    <w:p w14:paraId="3A85A9AA" w14:textId="77777777" w:rsidR="000B2BFA" w:rsidRPr="001162C0" w:rsidRDefault="000B2BFA" w:rsidP="000B2BFA">
      <w:pPr>
        <w:spacing w:after="0" w:line="240" w:lineRule="auto"/>
        <w:rPr>
          <w:rFonts w:ascii="Verdana" w:eastAsia="Geomanist Light" w:hAnsi="Verdana" w:cs="Arial"/>
        </w:rPr>
      </w:pPr>
    </w:p>
    <w:p w14:paraId="34CAADBC" w14:textId="77777777" w:rsidR="000B2BFA" w:rsidRPr="001162C0" w:rsidRDefault="000B2BFA" w:rsidP="000B2BFA">
      <w:pPr>
        <w:spacing w:after="0" w:line="240" w:lineRule="auto"/>
        <w:rPr>
          <w:rFonts w:ascii="Verdana" w:eastAsia="Geomanist Light" w:hAnsi="Verdana" w:cs="Arial"/>
        </w:rPr>
      </w:pPr>
    </w:p>
    <w:p w14:paraId="5E77CA01" w14:textId="77777777" w:rsidR="000B2BFA" w:rsidRPr="001162C0" w:rsidRDefault="000B2BFA" w:rsidP="000B2BFA">
      <w:pPr>
        <w:spacing w:after="0" w:line="240" w:lineRule="auto"/>
        <w:rPr>
          <w:rFonts w:ascii="Verdana" w:eastAsia="Geomanist Light" w:hAnsi="Verdana" w:cs="Arial"/>
        </w:rPr>
      </w:pPr>
    </w:p>
    <w:p w14:paraId="348D77DC" w14:textId="77777777" w:rsidR="000B2BFA" w:rsidRPr="001162C0" w:rsidRDefault="000B2BFA" w:rsidP="000B2BFA">
      <w:pPr>
        <w:spacing w:after="0" w:line="240" w:lineRule="auto"/>
        <w:rPr>
          <w:rFonts w:ascii="Verdana" w:eastAsia="Geomanist Light" w:hAnsi="Verdana" w:cs="Arial"/>
        </w:rPr>
      </w:pPr>
    </w:p>
    <w:p w14:paraId="323BF130" w14:textId="77777777" w:rsidR="000B2BFA" w:rsidRPr="001162C0" w:rsidRDefault="000B2BFA" w:rsidP="000B2BFA">
      <w:pPr>
        <w:spacing w:after="0" w:line="240" w:lineRule="auto"/>
        <w:rPr>
          <w:rFonts w:ascii="Verdana" w:eastAsia="Geomanist Light" w:hAnsi="Verdana" w:cs="Arial"/>
        </w:rPr>
      </w:pPr>
    </w:p>
    <w:p w14:paraId="40A0961B" w14:textId="77777777" w:rsidR="000B2BFA" w:rsidRDefault="000B2BFA" w:rsidP="000B2BFA">
      <w:pPr>
        <w:spacing w:after="0" w:line="240" w:lineRule="auto"/>
        <w:rPr>
          <w:rFonts w:ascii="Verdana" w:eastAsia="Geomanist Light" w:hAnsi="Verdana" w:cs="Arial"/>
        </w:rPr>
      </w:pPr>
    </w:p>
    <w:p w14:paraId="6BAB5137" w14:textId="77777777" w:rsidR="000B2BFA" w:rsidRDefault="000B2BFA" w:rsidP="000B2BFA">
      <w:pPr>
        <w:spacing w:after="0" w:line="240" w:lineRule="auto"/>
        <w:rPr>
          <w:rFonts w:ascii="Verdana" w:eastAsia="Geomanist Light" w:hAnsi="Verdana" w:cs="Arial"/>
        </w:rPr>
      </w:pPr>
    </w:p>
    <w:p w14:paraId="265788CB" w14:textId="77777777" w:rsidR="000B2BFA" w:rsidRDefault="000B2BFA" w:rsidP="000B2BFA">
      <w:pPr>
        <w:spacing w:after="0" w:line="240" w:lineRule="auto"/>
        <w:rPr>
          <w:rFonts w:ascii="Verdana" w:eastAsia="Geomanist Light" w:hAnsi="Verdana" w:cs="Arial"/>
        </w:rPr>
      </w:pPr>
    </w:p>
    <w:p w14:paraId="0727971C" w14:textId="77777777" w:rsidR="000B2BFA" w:rsidRDefault="000B2BFA" w:rsidP="000B2BFA">
      <w:pPr>
        <w:spacing w:after="0" w:line="240" w:lineRule="auto"/>
        <w:rPr>
          <w:rFonts w:ascii="Verdana" w:eastAsia="Geomanist Light" w:hAnsi="Verdana" w:cs="Arial"/>
        </w:rPr>
      </w:pPr>
    </w:p>
    <w:p w14:paraId="14DCCBF7" w14:textId="77777777" w:rsidR="000B2BFA" w:rsidRPr="001162C0" w:rsidRDefault="000B2BFA" w:rsidP="000B2BFA">
      <w:pPr>
        <w:spacing w:after="0" w:line="240" w:lineRule="auto"/>
        <w:rPr>
          <w:rFonts w:ascii="Verdana" w:eastAsia="Geomanist Light" w:hAnsi="Verdana" w:cs="Arial"/>
        </w:rPr>
      </w:pPr>
    </w:p>
    <w:p w14:paraId="75897E72" w14:textId="77777777" w:rsidR="000B2BFA" w:rsidRPr="001162C0" w:rsidRDefault="000B2BFA" w:rsidP="000B2BFA">
      <w:pPr>
        <w:spacing w:after="0" w:line="240" w:lineRule="auto"/>
        <w:rPr>
          <w:rFonts w:ascii="Verdana" w:eastAsia="Geomanist Light" w:hAnsi="Verdana" w:cs="Arial"/>
        </w:rPr>
      </w:pPr>
    </w:p>
    <w:p w14:paraId="36C4D2B3" w14:textId="77777777" w:rsidR="000B2BFA" w:rsidRPr="001162C0" w:rsidRDefault="000B2BFA" w:rsidP="000B2BFA">
      <w:pPr>
        <w:spacing w:after="0" w:line="240" w:lineRule="auto"/>
        <w:rPr>
          <w:rFonts w:ascii="Verdana" w:eastAsia="Geomanist Light" w:hAnsi="Verdana" w:cs="Arial"/>
        </w:rPr>
      </w:pPr>
    </w:p>
    <w:p w14:paraId="37D3FD76" w14:textId="77777777" w:rsidR="000B2BFA" w:rsidRDefault="000B2BFA" w:rsidP="000B2BFA">
      <w:pPr>
        <w:spacing w:after="0" w:line="240" w:lineRule="auto"/>
        <w:rPr>
          <w:rFonts w:ascii="Verdana" w:eastAsia="Geomanist Light" w:hAnsi="Verdana" w:cs="Arial"/>
        </w:rPr>
      </w:pPr>
    </w:p>
    <w:p w14:paraId="71322530" w14:textId="77777777" w:rsidR="00DC34CF" w:rsidRDefault="00DC34CF" w:rsidP="000B2BFA">
      <w:pPr>
        <w:spacing w:after="0" w:line="240" w:lineRule="auto"/>
        <w:rPr>
          <w:rFonts w:ascii="Verdana" w:eastAsia="Geomanist Light" w:hAnsi="Verdana" w:cs="Arial"/>
        </w:rPr>
      </w:pPr>
    </w:p>
    <w:p w14:paraId="6FB3B34B" w14:textId="77777777" w:rsidR="00DC34CF" w:rsidRDefault="00DC34CF" w:rsidP="000B2BFA">
      <w:pPr>
        <w:spacing w:after="0" w:line="240" w:lineRule="auto"/>
        <w:rPr>
          <w:rFonts w:ascii="Verdana" w:eastAsia="Geomanist Light" w:hAnsi="Verdana" w:cs="Arial"/>
        </w:rPr>
      </w:pPr>
    </w:p>
    <w:p w14:paraId="7624F985" w14:textId="77777777" w:rsidR="00DC34CF" w:rsidRDefault="00DC34CF" w:rsidP="000B2BFA">
      <w:pPr>
        <w:spacing w:after="0" w:line="240" w:lineRule="auto"/>
        <w:rPr>
          <w:rFonts w:ascii="Verdana" w:eastAsia="Geomanist Light" w:hAnsi="Verdana" w:cs="Arial"/>
        </w:rPr>
      </w:pPr>
    </w:p>
    <w:p w14:paraId="30924844" w14:textId="77777777" w:rsidR="00DC34CF" w:rsidRPr="001162C0" w:rsidRDefault="00DC34CF" w:rsidP="000B2BFA">
      <w:pPr>
        <w:spacing w:after="0" w:line="240" w:lineRule="auto"/>
        <w:rPr>
          <w:rFonts w:ascii="Verdana" w:eastAsia="Geomanist Light" w:hAnsi="Verdana" w:cs="Arial"/>
        </w:rPr>
      </w:pPr>
    </w:p>
    <w:p w14:paraId="5AAF68F0" w14:textId="77777777" w:rsidR="000B2BFA" w:rsidRPr="001162C0" w:rsidRDefault="000B2BFA" w:rsidP="000B2BFA">
      <w:pPr>
        <w:spacing w:after="0" w:line="240" w:lineRule="auto"/>
        <w:rPr>
          <w:rFonts w:ascii="Verdana" w:eastAsia="Calibri" w:hAnsi="Verdana" w:cs="Arial"/>
          <w:lang w:eastAsia="es-ES"/>
        </w:rPr>
      </w:pPr>
    </w:p>
    <w:p w14:paraId="1659AD8F" w14:textId="772487D8" w:rsidR="000B2BFA" w:rsidRDefault="000B2BFA" w:rsidP="000B2BFA">
      <w:pPr>
        <w:spacing w:after="0" w:line="240" w:lineRule="auto"/>
        <w:rPr>
          <w:rFonts w:ascii="Verdana" w:eastAsia="Geomanist Light" w:hAnsi="Verdana" w:cs="Arial"/>
        </w:rPr>
      </w:pPr>
      <w:r w:rsidRPr="001162C0">
        <w:rPr>
          <w:rFonts w:ascii="Verdana" w:eastAsia="Geomanist Light" w:hAnsi="Verdana" w:cs="Arial"/>
        </w:rPr>
        <w:lastRenderedPageBreak/>
        <w:t>Bogotá D.C., </w:t>
      </w:r>
      <w:r w:rsidR="001446F8">
        <w:rPr>
          <w:rFonts w:ascii="Verdana" w:eastAsia="Geomanist Light" w:hAnsi="Verdana" w:cs="Arial"/>
        </w:rPr>
        <w:t>28 de abril de 2025</w:t>
      </w:r>
    </w:p>
    <w:p w14:paraId="721CE6BE" w14:textId="77777777" w:rsidR="001446F8" w:rsidRDefault="001446F8" w:rsidP="000B2BFA">
      <w:pPr>
        <w:spacing w:after="0" w:line="240" w:lineRule="auto"/>
        <w:rPr>
          <w:rFonts w:ascii="Verdana" w:eastAsia="Geomanist Light" w:hAnsi="Verdana" w:cs="Arial"/>
        </w:rPr>
      </w:pPr>
    </w:p>
    <w:p w14:paraId="2AB7A117" w14:textId="5F91E19F" w:rsidR="001446F8" w:rsidRPr="001162C0" w:rsidRDefault="001446F8" w:rsidP="001446F8">
      <w:pPr>
        <w:spacing w:after="0" w:line="240" w:lineRule="auto"/>
        <w:jc w:val="right"/>
        <w:rPr>
          <w:rFonts w:ascii="Verdana" w:eastAsia="Calibri" w:hAnsi="Verdana" w:cs="Arial"/>
          <w:lang w:eastAsia="es-ES"/>
        </w:rPr>
      </w:pPr>
      <w:r w:rsidRPr="001446F8">
        <w:rPr>
          <w:rFonts w:ascii="Verdana" w:eastAsia="Calibri" w:hAnsi="Verdana" w:cs="Arial"/>
          <w:lang w:eastAsia="es-ES"/>
        </w:rPr>
        <w:drawing>
          <wp:inline distT="0" distB="0" distL="0" distR="0" wp14:anchorId="7A897ADB" wp14:editId="3F182A0B">
            <wp:extent cx="2505425" cy="762106"/>
            <wp:effectExtent l="0" t="0" r="9525" b="0"/>
            <wp:docPr id="1839851995"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851995" name="Imagen 1" descr="Texto&#10;&#10;El contenido generado por IA puede ser incorrecto."/>
                    <pic:cNvPicPr/>
                  </pic:nvPicPr>
                  <pic:blipFill>
                    <a:blip r:embed="rId10"/>
                    <a:stretch>
                      <a:fillRect/>
                    </a:stretch>
                  </pic:blipFill>
                  <pic:spPr>
                    <a:xfrm>
                      <a:off x="0" y="0"/>
                      <a:ext cx="2505425" cy="762106"/>
                    </a:xfrm>
                    <a:prstGeom prst="rect">
                      <a:avLst/>
                    </a:prstGeom>
                  </pic:spPr>
                </pic:pic>
              </a:graphicData>
            </a:graphic>
          </wp:inline>
        </w:drawing>
      </w:r>
    </w:p>
    <w:p w14:paraId="41ED884C" w14:textId="77777777" w:rsidR="000B2BFA" w:rsidRPr="001162C0" w:rsidRDefault="000B2BFA" w:rsidP="000B2BFA">
      <w:pPr>
        <w:spacing w:after="0" w:line="240" w:lineRule="auto"/>
        <w:rPr>
          <w:rFonts w:ascii="Verdana" w:eastAsia="Calibri" w:hAnsi="Verdana" w:cs="Arial"/>
          <w:lang w:eastAsia="es-ES"/>
        </w:rPr>
      </w:pPr>
      <w:r w:rsidRPr="001162C0">
        <w:rPr>
          <w:rFonts w:ascii="Verdana" w:eastAsia="Calibri" w:hAnsi="Verdana" w:cs="Arial"/>
          <w:lang w:eastAsia="es-ES"/>
        </w:rPr>
        <w:t>Señor</w:t>
      </w:r>
    </w:p>
    <w:p w14:paraId="50929184" w14:textId="77777777" w:rsidR="000B2BFA" w:rsidRPr="001162C0" w:rsidRDefault="000B2BFA" w:rsidP="000B2BFA">
      <w:pPr>
        <w:spacing w:after="0" w:line="240" w:lineRule="auto"/>
        <w:rPr>
          <w:rFonts w:ascii="Verdana" w:eastAsia="Calibri" w:hAnsi="Verdana" w:cs="Arial"/>
          <w:b/>
          <w:bCs/>
          <w:lang w:eastAsia="es-ES"/>
        </w:rPr>
      </w:pPr>
      <w:r w:rsidRPr="001162C0">
        <w:rPr>
          <w:rFonts w:ascii="Verdana" w:eastAsia="Calibri" w:hAnsi="Verdana" w:cs="Arial"/>
          <w:b/>
          <w:bCs/>
          <w:lang w:eastAsia="es-ES"/>
        </w:rPr>
        <w:t>Fernando José Gutiérrez Ibáñez</w:t>
      </w:r>
    </w:p>
    <w:p w14:paraId="21E560DA" w14:textId="77777777" w:rsidR="000B2BFA" w:rsidRPr="001162C0" w:rsidRDefault="000B2BFA" w:rsidP="000B2BFA">
      <w:pPr>
        <w:spacing w:after="0" w:line="240" w:lineRule="auto"/>
        <w:rPr>
          <w:rFonts w:ascii="Verdana" w:eastAsia="Calibri" w:hAnsi="Verdana" w:cs="Arial"/>
          <w:b/>
          <w:bCs/>
          <w:lang w:eastAsia="es-ES_tradnl"/>
        </w:rPr>
      </w:pPr>
      <w:r w:rsidRPr="001162C0">
        <w:rPr>
          <w:rFonts w:ascii="Verdana" w:eastAsia="Calibri" w:hAnsi="Verdana" w:cs="Arial"/>
          <w:lang w:eastAsia="es-ES"/>
        </w:rPr>
        <w:t>Valledupar, Cesar</w:t>
      </w:r>
    </w:p>
    <w:p w14:paraId="77C1543F" w14:textId="77777777" w:rsidR="000B2BFA" w:rsidRPr="001162C0" w:rsidRDefault="000B2BFA" w:rsidP="000B2BFA">
      <w:pPr>
        <w:spacing w:after="0" w:line="240" w:lineRule="auto"/>
        <w:rPr>
          <w:rFonts w:ascii="Verdana" w:eastAsia="Calibri" w:hAnsi="Verdana" w:cs="Arial"/>
          <w:b/>
          <w:bCs/>
          <w:lang w:eastAsia="es-ES_tradnl"/>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2"/>
        <w:gridCol w:w="5831"/>
      </w:tblGrid>
      <w:tr w:rsidR="000B2BFA" w:rsidRPr="001162C0" w14:paraId="138DCF1A" w14:textId="77777777" w:rsidTr="003436CB">
        <w:trPr>
          <w:trHeight w:val="999"/>
        </w:trPr>
        <w:tc>
          <w:tcPr>
            <w:tcW w:w="3402" w:type="dxa"/>
          </w:tcPr>
          <w:p w14:paraId="4EC9F8E9" w14:textId="77777777" w:rsidR="000B2BFA" w:rsidRPr="001162C0" w:rsidRDefault="000B2BFA" w:rsidP="003436CB">
            <w:pPr>
              <w:jc w:val="both"/>
              <w:rPr>
                <w:rFonts w:ascii="Verdana" w:eastAsia="Calibri" w:hAnsi="Verdana" w:cs="Arial"/>
                <w:b/>
                <w:bCs/>
                <w:lang w:eastAsia="es-ES_tradnl"/>
              </w:rPr>
            </w:pPr>
          </w:p>
        </w:tc>
        <w:tc>
          <w:tcPr>
            <w:tcW w:w="5831" w:type="dxa"/>
            <w:hideMark/>
          </w:tcPr>
          <w:p w14:paraId="355EDE95" w14:textId="77777777" w:rsidR="000B2BFA" w:rsidRPr="001162C0" w:rsidRDefault="000B2BFA" w:rsidP="003436CB">
            <w:pPr>
              <w:jc w:val="both"/>
              <w:rPr>
                <w:rFonts w:ascii="Verdana" w:eastAsia="Calibri" w:hAnsi="Verdana" w:cs="Arial"/>
                <w:b/>
                <w:bCs/>
                <w:lang w:eastAsia="es-ES"/>
              </w:rPr>
            </w:pPr>
            <w:r w:rsidRPr="001162C0">
              <w:rPr>
                <w:rFonts w:ascii="Verdana" w:eastAsia="Calibri" w:hAnsi="Verdana" w:cs="Arial"/>
                <w:b/>
                <w:bCs/>
                <w:lang w:eastAsia="es-ES"/>
              </w:rPr>
              <w:t>Concepto C-</w:t>
            </w:r>
            <w:r>
              <w:rPr>
                <w:rFonts w:ascii="Verdana" w:eastAsia="Calibri" w:hAnsi="Verdana" w:cs="Arial"/>
                <w:b/>
                <w:bCs/>
                <w:lang w:eastAsia="es-ES"/>
              </w:rPr>
              <w:t>351</w:t>
            </w:r>
            <w:r w:rsidRPr="001162C0">
              <w:rPr>
                <w:rFonts w:ascii="Verdana" w:eastAsia="Calibri" w:hAnsi="Verdana" w:cs="Arial"/>
                <w:b/>
                <w:bCs/>
                <w:lang w:eastAsia="es-ES"/>
              </w:rPr>
              <w:t xml:space="preserve"> de 2025</w:t>
            </w:r>
          </w:p>
        </w:tc>
      </w:tr>
      <w:tr w:rsidR="000B2BFA" w:rsidRPr="001162C0" w14:paraId="3390752F" w14:textId="77777777" w:rsidTr="003436CB">
        <w:trPr>
          <w:trHeight w:val="999"/>
        </w:trPr>
        <w:tc>
          <w:tcPr>
            <w:tcW w:w="3402" w:type="dxa"/>
            <w:hideMark/>
          </w:tcPr>
          <w:p w14:paraId="424ECB2C" w14:textId="77777777" w:rsidR="000B2BFA" w:rsidRPr="001162C0" w:rsidRDefault="000B2BFA" w:rsidP="003436CB">
            <w:pPr>
              <w:jc w:val="both"/>
              <w:rPr>
                <w:rFonts w:ascii="Verdana" w:eastAsia="Calibri" w:hAnsi="Verdana" w:cs="Arial"/>
                <w:lang w:eastAsia="es-ES_tradnl"/>
              </w:rPr>
            </w:pPr>
            <w:r w:rsidRPr="001162C0">
              <w:rPr>
                <w:rFonts w:ascii="Verdana" w:eastAsia="Calibri" w:hAnsi="Verdana" w:cs="Arial"/>
                <w:b/>
                <w:lang w:eastAsia="es-ES_tradnl"/>
              </w:rPr>
              <w:t>Temas:</w:t>
            </w:r>
            <w:r w:rsidRPr="001162C0">
              <w:rPr>
                <w:rFonts w:ascii="Verdana" w:eastAsia="Calibri" w:hAnsi="Verdana" w:cs="Arial"/>
                <w:lang w:eastAsia="es-ES_tradnl"/>
              </w:rPr>
              <w:t xml:space="preserve">                   </w:t>
            </w:r>
          </w:p>
        </w:tc>
        <w:tc>
          <w:tcPr>
            <w:tcW w:w="5831" w:type="dxa"/>
          </w:tcPr>
          <w:p w14:paraId="63D52FB3" w14:textId="77777777" w:rsidR="000B2BFA" w:rsidRPr="001162C0" w:rsidRDefault="000B2BFA" w:rsidP="003436CB">
            <w:pPr>
              <w:jc w:val="both"/>
              <w:rPr>
                <w:rFonts w:ascii="Arial" w:eastAsia="Calibri" w:hAnsi="Arial" w:cs="Arial"/>
                <w:bCs/>
                <w:color w:val="000000"/>
                <w:lang w:eastAsia="es-ES_tradnl"/>
              </w:rPr>
            </w:pPr>
            <w:r w:rsidRPr="001162C0">
              <w:rPr>
                <w:rFonts w:ascii="Verdana" w:eastAsia="Calibri" w:hAnsi="Verdana" w:cs="Arial"/>
                <w:bCs/>
                <w:lang w:eastAsia="es-ES"/>
              </w:rPr>
              <w:t>DOCUMENTO TIPO – Fundamento normativo /</w:t>
            </w:r>
            <w:r w:rsidRPr="001162C0">
              <w:rPr>
                <w:rFonts w:ascii="Verdana" w:eastAsia="Calibri" w:hAnsi="Verdana" w:cs="Arial"/>
                <w:bCs/>
              </w:rPr>
              <w:t xml:space="preserve"> DOCUMENTOS TIPO – Obligatoriedad / </w:t>
            </w:r>
          </w:p>
          <w:p w14:paraId="0493C245" w14:textId="77777777" w:rsidR="000B2BFA" w:rsidRPr="001162C0" w:rsidRDefault="000B2BFA" w:rsidP="003436CB">
            <w:pPr>
              <w:widowControl w:val="0"/>
              <w:autoSpaceDE w:val="0"/>
              <w:autoSpaceDN w:val="0"/>
              <w:spacing w:line="276" w:lineRule="auto"/>
              <w:jc w:val="both"/>
              <w:rPr>
                <w:rFonts w:ascii="Verdana" w:eastAsia="Times New Roman" w:hAnsi="Verdana" w:cs="Arial"/>
                <w:bCs/>
              </w:rPr>
            </w:pPr>
          </w:p>
        </w:tc>
      </w:tr>
      <w:tr w:rsidR="000B2BFA" w:rsidRPr="001162C0" w14:paraId="5E0130BF" w14:textId="77777777" w:rsidTr="003436CB">
        <w:trPr>
          <w:trHeight w:val="597"/>
        </w:trPr>
        <w:tc>
          <w:tcPr>
            <w:tcW w:w="3402" w:type="dxa"/>
            <w:hideMark/>
          </w:tcPr>
          <w:p w14:paraId="47EC54AE" w14:textId="77777777" w:rsidR="000B2BFA" w:rsidRPr="001162C0" w:rsidRDefault="000B2BFA" w:rsidP="003436CB">
            <w:pPr>
              <w:jc w:val="both"/>
              <w:rPr>
                <w:rFonts w:ascii="Verdana" w:eastAsia="Calibri" w:hAnsi="Verdana" w:cs="Arial"/>
                <w:b/>
                <w:lang w:eastAsia="es-ES_tradnl"/>
              </w:rPr>
            </w:pPr>
            <w:r w:rsidRPr="001162C0">
              <w:rPr>
                <w:rFonts w:ascii="Verdana" w:eastAsia="Calibri" w:hAnsi="Verdana" w:cs="Arial"/>
                <w:b/>
                <w:lang w:eastAsia="es-ES_tradnl"/>
              </w:rPr>
              <w:t>Radicación:</w:t>
            </w:r>
            <w:r w:rsidRPr="001162C0">
              <w:rPr>
                <w:rFonts w:ascii="Verdana" w:eastAsia="Calibri" w:hAnsi="Verdana" w:cs="Arial"/>
                <w:lang w:eastAsia="es-ES_tradnl"/>
              </w:rPr>
              <w:t xml:space="preserve">               </w:t>
            </w:r>
          </w:p>
        </w:tc>
        <w:tc>
          <w:tcPr>
            <w:tcW w:w="5831" w:type="dxa"/>
          </w:tcPr>
          <w:p w14:paraId="5079716D" w14:textId="77777777" w:rsidR="000B2BFA" w:rsidRPr="001162C0" w:rsidRDefault="000B2BFA" w:rsidP="003436CB">
            <w:pPr>
              <w:jc w:val="both"/>
              <w:rPr>
                <w:rFonts w:ascii="Verdana" w:eastAsia="Calibri" w:hAnsi="Verdana" w:cs="Arial"/>
                <w:lang w:eastAsia="es-ES_tradnl"/>
              </w:rPr>
            </w:pPr>
            <w:r w:rsidRPr="001162C0">
              <w:rPr>
                <w:rFonts w:ascii="Verdana" w:eastAsia="Calibri" w:hAnsi="Verdana" w:cs="Arial"/>
                <w:lang w:eastAsia="es-ES_tradnl"/>
              </w:rPr>
              <w:t>Respuesta a consulta con radicado No. P20250323002819</w:t>
            </w:r>
          </w:p>
        </w:tc>
      </w:tr>
    </w:tbl>
    <w:p w14:paraId="6EB7FA88" w14:textId="77777777" w:rsidR="000B2BFA" w:rsidRPr="001162C0" w:rsidRDefault="000B2BFA" w:rsidP="000B2BFA">
      <w:pPr>
        <w:spacing w:after="0" w:line="240" w:lineRule="auto"/>
        <w:jc w:val="both"/>
        <w:rPr>
          <w:rFonts w:ascii="Verdana" w:eastAsia="Calibri" w:hAnsi="Verdana" w:cs="Arial"/>
          <w:lang w:eastAsia="es-ES_tradnl"/>
        </w:rPr>
      </w:pPr>
    </w:p>
    <w:p w14:paraId="231329DF" w14:textId="77777777" w:rsidR="000B2BFA" w:rsidRPr="001162C0" w:rsidRDefault="000B2BFA" w:rsidP="000B2BFA">
      <w:pPr>
        <w:spacing w:after="0" w:line="276" w:lineRule="auto"/>
        <w:jc w:val="both"/>
        <w:rPr>
          <w:rFonts w:ascii="Verdana" w:eastAsia="Calibri" w:hAnsi="Verdana" w:cs="Arial"/>
          <w:lang w:eastAsia="es-ES"/>
        </w:rPr>
      </w:pPr>
      <w:r w:rsidRPr="001162C0">
        <w:rPr>
          <w:rFonts w:ascii="Verdana" w:eastAsia="Calibri" w:hAnsi="Verdana" w:cs="Arial"/>
          <w:lang w:eastAsia="es-ES"/>
        </w:rPr>
        <w:t xml:space="preserve">Estimado señor Gutiérrez Ibáñez:  </w:t>
      </w:r>
    </w:p>
    <w:p w14:paraId="313A0A3B" w14:textId="77777777" w:rsidR="000B2BFA" w:rsidRPr="001162C0" w:rsidRDefault="000B2BFA" w:rsidP="000B2BFA">
      <w:pPr>
        <w:tabs>
          <w:tab w:val="left" w:pos="3768"/>
        </w:tabs>
        <w:spacing w:after="0" w:line="276" w:lineRule="auto"/>
        <w:jc w:val="both"/>
        <w:rPr>
          <w:rFonts w:ascii="Verdana" w:eastAsia="Calibri" w:hAnsi="Verdana" w:cs="Arial"/>
          <w:lang w:eastAsia="es-ES"/>
        </w:rPr>
      </w:pPr>
      <w:r w:rsidRPr="001162C0">
        <w:rPr>
          <w:rFonts w:ascii="Verdana" w:eastAsia="Calibri" w:hAnsi="Verdana" w:cs="Arial"/>
          <w:lang w:eastAsia="es-ES"/>
        </w:rPr>
        <w:tab/>
      </w:r>
    </w:p>
    <w:p w14:paraId="1AA75872" w14:textId="77777777" w:rsidR="000B2BFA" w:rsidRPr="001162C0" w:rsidRDefault="000B2BFA" w:rsidP="000B2BFA">
      <w:pPr>
        <w:spacing w:after="0" w:line="276" w:lineRule="auto"/>
        <w:jc w:val="both"/>
        <w:rPr>
          <w:rFonts w:ascii="Verdana" w:eastAsia="Calibri" w:hAnsi="Verdana" w:cs="Arial"/>
          <w:lang w:eastAsia="es-ES"/>
        </w:rPr>
      </w:pPr>
      <w:r w:rsidRPr="001162C0">
        <w:rPr>
          <w:rFonts w:ascii="Verdana" w:eastAsia="Calibri" w:hAnsi="Verdana" w:cs="Arial"/>
          <w:lang w:eastAsia="es-ES"/>
        </w:rPr>
        <w:t>En ejercicio de la competencia otorgada por los artículos 3, numeral 5º, y 11, numeral 8º, del Decreto Ley 4170 de 2011,</w:t>
      </w:r>
      <w:r w:rsidRPr="001162C0">
        <w:rPr>
          <w:rFonts w:ascii="Verdana" w:eastAsia="Arial MT" w:hAnsi="Verdana" w:cs="Arial MT"/>
          <w:lang w:eastAsia="es-ES"/>
        </w:rPr>
        <w:t xml:space="preserve"> </w:t>
      </w:r>
      <w:r w:rsidRPr="001162C0">
        <w:rPr>
          <w:rFonts w:ascii="Verdana" w:eastAsia="Calibri" w:hAnsi="Verdana" w:cs="Arial"/>
        </w:rPr>
        <w:t xml:space="preserve">así como lo establecido en el artículo 4 de la Resolución 1707 de 2018 expedida por esta Entidad, </w:t>
      </w:r>
      <w:r w:rsidRPr="001162C0">
        <w:rPr>
          <w:rFonts w:ascii="Verdana" w:eastAsia="Calibri" w:hAnsi="Verdana" w:cs="Arial"/>
          <w:lang w:eastAsia="es-ES"/>
        </w:rPr>
        <w:t xml:space="preserve">la Agencia Nacional de Contratación Pública – Colombia Compra Eficiente– responde su solicitud de consulta de fecha de </w:t>
      </w:r>
      <w:r>
        <w:rPr>
          <w:rFonts w:ascii="Verdana" w:eastAsia="Calibri" w:hAnsi="Verdana" w:cs="Arial"/>
          <w:lang w:eastAsia="es-ES"/>
        </w:rPr>
        <w:t>23</w:t>
      </w:r>
      <w:r w:rsidRPr="001162C0">
        <w:rPr>
          <w:rFonts w:ascii="Verdana" w:eastAsia="Calibri" w:hAnsi="Verdana" w:cs="Arial"/>
          <w:lang w:eastAsia="es-ES"/>
        </w:rPr>
        <w:t xml:space="preserve"> de marzo de 2025, en la cuales manifiesta lo siguiente: </w:t>
      </w:r>
      <w:bookmarkStart w:id="1" w:name="_Hlk95313578"/>
    </w:p>
    <w:p w14:paraId="20F8CD2E" w14:textId="77777777" w:rsidR="000B2BFA" w:rsidRPr="001162C0" w:rsidRDefault="000B2BFA" w:rsidP="000B2BFA">
      <w:pPr>
        <w:spacing w:after="0" w:line="276" w:lineRule="auto"/>
        <w:jc w:val="both"/>
        <w:rPr>
          <w:rFonts w:ascii="Verdana" w:eastAsia="Calibri" w:hAnsi="Verdana" w:cs="Arial"/>
          <w:sz w:val="21"/>
          <w:szCs w:val="21"/>
          <w:lang w:eastAsia="es-ES"/>
        </w:rPr>
      </w:pPr>
    </w:p>
    <w:bookmarkEnd w:id="1"/>
    <w:p w14:paraId="03E4274B" w14:textId="77777777" w:rsidR="000B2BFA" w:rsidRPr="001162C0" w:rsidRDefault="000B2BFA" w:rsidP="000B2BFA">
      <w:pPr>
        <w:spacing w:after="0" w:line="240" w:lineRule="auto"/>
        <w:ind w:left="709" w:right="709"/>
        <w:jc w:val="both"/>
        <w:rPr>
          <w:rFonts w:ascii="Verdana" w:eastAsia="Calibri" w:hAnsi="Verdana" w:cs="Arial"/>
          <w:sz w:val="21"/>
          <w:szCs w:val="21"/>
          <w:lang w:eastAsia="es-ES"/>
        </w:rPr>
      </w:pPr>
      <w:r w:rsidRPr="001162C0">
        <w:rPr>
          <w:rFonts w:ascii="Verdana" w:eastAsia="Calibri" w:hAnsi="Verdana" w:cs="Arial"/>
          <w:sz w:val="21"/>
          <w:szCs w:val="21"/>
          <w:lang w:eastAsia="es-ES"/>
        </w:rPr>
        <w:t xml:space="preserve">“en lo pliegos tipo en el factor calidad se estipula lo siguiente "En todo caso, no se descontará el puntaje en los términos previstos en el inciso anterior cuando el Proponente no oferte el factor de calidad, por lo que éste obtendrá cero (0) puntos en este criterio de evaluación. En esta circunstancia, la Entidad no podrá reducir el puntaje de la sumatoria obtenida en los demás factores de ponderación" la consulta es que si no presenta alguno de los </w:t>
      </w:r>
      <w:proofErr w:type="spellStart"/>
      <w:r w:rsidRPr="001162C0">
        <w:rPr>
          <w:rFonts w:ascii="Verdana" w:eastAsia="Calibri" w:hAnsi="Verdana" w:cs="Arial"/>
          <w:sz w:val="21"/>
          <w:szCs w:val="21"/>
          <w:lang w:eastAsia="es-ES"/>
        </w:rPr>
        <w:t>items</w:t>
      </w:r>
      <w:proofErr w:type="spellEnd"/>
      <w:r w:rsidRPr="001162C0">
        <w:rPr>
          <w:rFonts w:ascii="Verdana" w:eastAsia="Calibri" w:hAnsi="Verdana" w:cs="Arial"/>
          <w:sz w:val="21"/>
          <w:szCs w:val="21"/>
          <w:lang w:eastAsia="es-ES"/>
        </w:rPr>
        <w:t xml:space="preserve"> que otorgan puntaje de factor de calidad en vez de descontarlo se otorga 0 puntos en total? y encaso que alguno de los formatos y requisitos presentados no cumpla los requisitos de los diferentes criterios en vez quitarle el punto que corresponde otorgar </w:t>
      </w:r>
      <w:proofErr w:type="spellStart"/>
      <w:r w:rsidRPr="001162C0">
        <w:rPr>
          <w:rFonts w:ascii="Verdana" w:eastAsia="Calibri" w:hAnsi="Verdana" w:cs="Arial"/>
          <w:sz w:val="21"/>
          <w:szCs w:val="21"/>
          <w:lang w:eastAsia="es-ES"/>
        </w:rPr>
        <w:t>tambien</w:t>
      </w:r>
      <w:proofErr w:type="spellEnd"/>
      <w:r w:rsidRPr="001162C0">
        <w:rPr>
          <w:rFonts w:ascii="Verdana" w:eastAsia="Calibri" w:hAnsi="Verdana" w:cs="Arial"/>
          <w:sz w:val="21"/>
          <w:szCs w:val="21"/>
          <w:lang w:eastAsia="es-ES"/>
        </w:rPr>
        <w:t xml:space="preserve"> </w:t>
      </w:r>
      <w:proofErr w:type="spellStart"/>
      <w:r w:rsidRPr="001162C0">
        <w:rPr>
          <w:rFonts w:ascii="Verdana" w:eastAsia="Calibri" w:hAnsi="Verdana" w:cs="Arial"/>
          <w:sz w:val="21"/>
          <w:szCs w:val="21"/>
          <w:lang w:eastAsia="es-ES"/>
        </w:rPr>
        <w:t>quedaria</w:t>
      </w:r>
      <w:proofErr w:type="spellEnd"/>
      <w:r w:rsidRPr="001162C0">
        <w:rPr>
          <w:rFonts w:ascii="Verdana" w:eastAsia="Calibri" w:hAnsi="Verdana" w:cs="Arial"/>
          <w:sz w:val="21"/>
          <w:szCs w:val="21"/>
          <w:lang w:eastAsia="es-ES"/>
        </w:rPr>
        <w:t xml:space="preserve"> en 0 la totalidad debido que no </w:t>
      </w:r>
      <w:proofErr w:type="spellStart"/>
      <w:r w:rsidRPr="001162C0">
        <w:rPr>
          <w:rFonts w:ascii="Verdana" w:eastAsia="Calibri" w:hAnsi="Verdana" w:cs="Arial"/>
          <w:sz w:val="21"/>
          <w:szCs w:val="21"/>
          <w:lang w:eastAsia="es-ES"/>
        </w:rPr>
        <w:t>estaria</w:t>
      </w:r>
      <w:proofErr w:type="spellEnd"/>
      <w:r w:rsidRPr="001162C0">
        <w:rPr>
          <w:rFonts w:ascii="Verdana" w:eastAsia="Calibri" w:hAnsi="Verdana" w:cs="Arial"/>
          <w:sz w:val="21"/>
          <w:szCs w:val="21"/>
          <w:lang w:eastAsia="es-ES"/>
        </w:rPr>
        <w:t xml:space="preserve"> cumpliendo con la </w:t>
      </w:r>
      <w:proofErr w:type="spellStart"/>
      <w:r w:rsidRPr="001162C0">
        <w:rPr>
          <w:rFonts w:ascii="Verdana" w:eastAsia="Calibri" w:hAnsi="Verdana" w:cs="Arial"/>
          <w:sz w:val="21"/>
          <w:szCs w:val="21"/>
          <w:lang w:eastAsia="es-ES"/>
        </w:rPr>
        <w:t>tolalidad</w:t>
      </w:r>
      <w:proofErr w:type="spellEnd"/>
      <w:r w:rsidRPr="001162C0">
        <w:rPr>
          <w:rFonts w:ascii="Verdana" w:eastAsia="Calibri" w:hAnsi="Verdana" w:cs="Arial"/>
          <w:sz w:val="21"/>
          <w:szCs w:val="21"/>
          <w:lang w:eastAsia="es-ES"/>
        </w:rPr>
        <w:t xml:space="preserve"> de factor de calidad?”. (sic)</w:t>
      </w:r>
    </w:p>
    <w:p w14:paraId="62C429F5" w14:textId="77777777" w:rsidR="000B2BFA" w:rsidRPr="001162C0" w:rsidRDefault="000B2BFA" w:rsidP="000B2BFA">
      <w:pPr>
        <w:spacing w:after="0" w:line="240" w:lineRule="auto"/>
        <w:ind w:left="709" w:right="709"/>
        <w:jc w:val="both"/>
        <w:rPr>
          <w:rFonts w:ascii="ArialMT" w:eastAsia="Times New Roman" w:hAnsi="ArialMT" w:cs="Times New Roman"/>
          <w:sz w:val="21"/>
          <w:szCs w:val="21"/>
          <w:lang w:eastAsia="es-CO"/>
        </w:rPr>
      </w:pPr>
    </w:p>
    <w:p w14:paraId="1A8A814F" w14:textId="77777777" w:rsidR="000B2BFA" w:rsidRPr="001162C0" w:rsidRDefault="000B2BFA" w:rsidP="000B2BFA">
      <w:pPr>
        <w:spacing w:after="120" w:line="276" w:lineRule="auto"/>
        <w:ind w:firstLine="709"/>
        <w:jc w:val="both"/>
        <w:rPr>
          <w:rFonts w:ascii="Verdana" w:eastAsia="Calibri" w:hAnsi="Verdana" w:cs="Arial"/>
          <w:lang w:eastAsia="es-ES_tradnl"/>
        </w:rPr>
      </w:pPr>
      <w:r w:rsidRPr="001162C0">
        <w:rPr>
          <w:rFonts w:ascii="Verdana" w:eastAsia="Calibri" w:hAnsi="Verdana" w:cs="Arial"/>
          <w:lang w:eastAsia="es-ES"/>
        </w:rPr>
        <w:lastRenderedPageBreak/>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62C0">
        <w:rPr>
          <w:rFonts w:ascii="Verdana" w:eastAsia="Calibri" w:hAnsi="Verdana" w:cs="Arial"/>
          <w:lang w:eastAsia="es-ES_tradnl"/>
        </w:rPr>
        <w:tab/>
      </w:r>
    </w:p>
    <w:p w14:paraId="4E8F7D5A" w14:textId="77777777" w:rsidR="000B2BFA" w:rsidRPr="001162C0" w:rsidRDefault="000B2BFA" w:rsidP="000B2BFA">
      <w:pPr>
        <w:spacing w:after="0" w:line="276" w:lineRule="auto"/>
        <w:ind w:firstLine="708"/>
        <w:jc w:val="both"/>
        <w:rPr>
          <w:rFonts w:ascii="Verdana" w:eastAsia="Calibri" w:hAnsi="Verdana" w:cs="Arial"/>
          <w:lang w:eastAsia="es-ES"/>
        </w:rPr>
      </w:pPr>
      <w:r w:rsidRPr="001162C0">
        <w:rPr>
          <w:rFonts w:ascii="Verdana" w:eastAsia="Calibri" w:hAnsi="Verdana" w:cs="Arial"/>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71C8D4BC" w14:textId="77777777" w:rsidR="000B2BFA" w:rsidRPr="001162C0" w:rsidRDefault="000B2BFA" w:rsidP="000B2BFA">
      <w:pPr>
        <w:spacing w:after="0" w:line="276" w:lineRule="auto"/>
        <w:ind w:firstLine="709"/>
        <w:jc w:val="both"/>
        <w:rPr>
          <w:rFonts w:ascii="Verdana" w:eastAsia="Calibri" w:hAnsi="Verdana" w:cs="Arial"/>
          <w:lang w:eastAsia="es-ES"/>
        </w:rPr>
      </w:pPr>
    </w:p>
    <w:p w14:paraId="409637D8" w14:textId="77777777" w:rsidR="000B2BFA" w:rsidRPr="001162C0" w:rsidRDefault="000B2BFA" w:rsidP="000B2BFA">
      <w:pPr>
        <w:numPr>
          <w:ilvl w:val="0"/>
          <w:numId w:val="16"/>
        </w:numPr>
        <w:tabs>
          <w:tab w:val="left" w:pos="142"/>
          <w:tab w:val="left" w:pos="284"/>
        </w:tabs>
        <w:spacing w:after="0" w:line="276" w:lineRule="auto"/>
        <w:contextualSpacing/>
        <w:jc w:val="both"/>
        <w:rPr>
          <w:rFonts w:ascii="Verdana" w:eastAsia="Century Gothic" w:hAnsi="Verdana" w:cs="Century Gothic"/>
          <w:b/>
          <w:bCs/>
        </w:rPr>
      </w:pPr>
      <w:r w:rsidRPr="001162C0">
        <w:rPr>
          <w:rFonts w:ascii="Verdana" w:eastAsia="Century Gothic" w:hAnsi="Verdana" w:cs="Century Gothic"/>
          <w:b/>
          <w:bCs/>
        </w:rPr>
        <w:t>Problema planteado:</w:t>
      </w:r>
    </w:p>
    <w:p w14:paraId="5DE92392" w14:textId="77777777" w:rsidR="000B2BFA" w:rsidRPr="001162C0" w:rsidRDefault="000B2BFA" w:rsidP="000B2BFA">
      <w:pPr>
        <w:tabs>
          <w:tab w:val="left" w:pos="426"/>
        </w:tabs>
        <w:spacing w:after="0" w:line="276" w:lineRule="auto"/>
        <w:jc w:val="both"/>
        <w:rPr>
          <w:rFonts w:ascii="Verdana" w:eastAsia="Century Gothic" w:hAnsi="Verdana" w:cs="Century Gothic"/>
        </w:rPr>
      </w:pPr>
    </w:p>
    <w:p w14:paraId="54068A87" w14:textId="77777777" w:rsidR="000B2BFA" w:rsidRPr="001162C0" w:rsidRDefault="000B2BFA" w:rsidP="000B2BFA">
      <w:pPr>
        <w:spacing w:after="0" w:line="276" w:lineRule="auto"/>
        <w:jc w:val="both"/>
        <w:rPr>
          <w:rFonts w:ascii="Verdana" w:eastAsia="Century Gothic" w:hAnsi="Verdana" w:cs="Century Gothic"/>
        </w:rPr>
      </w:pPr>
      <w:r w:rsidRPr="001162C0">
        <w:rPr>
          <w:rFonts w:ascii="Verdana" w:eastAsia="Century Gothic" w:hAnsi="Verdana" w:cs="Century Gothic"/>
        </w:rPr>
        <w:t xml:space="preserve">De acuerdo con el contenido de su solicitud, esta Agencia resolverá el siguiente problema jurídico: en relación con los requisitos de experiencia </w:t>
      </w:r>
      <w:proofErr w:type="gramStart"/>
      <w:r w:rsidRPr="001162C0">
        <w:rPr>
          <w:rFonts w:ascii="Verdana" w:eastAsia="Century Gothic" w:hAnsi="Verdana" w:cs="Century Gothic"/>
        </w:rPr>
        <w:t xml:space="preserve">¿Cuál es el </w:t>
      </w:r>
      <w:r>
        <w:rPr>
          <w:rFonts w:ascii="Verdana" w:eastAsia="Century Gothic" w:hAnsi="Verdana" w:cs="Century Gothic"/>
        </w:rPr>
        <w:t>alcance de los incisos tercero y cuarto, relacionados con el descuento de puntaje por obras civiles inconclusas, contenidos en el numeral 4.</w:t>
      </w:r>
      <w:proofErr w:type="gramEnd"/>
      <w:r>
        <w:rPr>
          <w:rFonts w:ascii="Verdana" w:eastAsia="Century Gothic" w:hAnsi="Verdana" w:cs="Century Gothic"/>
        </w:rPr>
        <w:t xml:space="preserve">2 “Factor de calidad” del documento base de los </w:t>
      </w:r>
      <w:r w:rsidRPr="001162C0">
        <w:rPr>
          <w:rFonts w:ascii="Verdana" w:eastAsia="Century Gothic" w:hAnsi="Verdana" w:cs="Century Gothic"/>
        </w:rPr>
        <w:t xml:space="preserve">documentos tipo de licitación de obra pública de infraestructura </w:t>
      </w:r>
      <w:r>
        <w:rPr>
          <w:rFonts w:ascii="Verdana" w:eastAsia="Century Gothic" w:hAnsi="Verdana" w:cs="Century Gothic"/>
        </w:rPr>
        <w:t>de transporte</w:t>
      </w:r>
      <w:r w:rsidRPr="001162C0">
        <w:rPr>
          <w:rFonts w:ascii="Verdana" w:eastAsia="Century Gothic" w:hAnsi="Verdana" w:cs="Century Gothic"/>
        </w:rPr>
        <w:t xml:space="preserve"> – Versión 4?</w:t>
      </w:r>
    </w:p>
    <w:p w14:paraId="19FD4BDD" w14:textId="77777777" w:rsidR="000B2BFA" w:rsidRPr="001162C0" w:rsidRDefault="000B2BFA" w:rsidP="000B2BFA">
      <w:pPr>
        <w:spacing w:after="0" w:line="276" w:lineRule="auto"/>
        <w:jc w:val="both"/>
        <w:rPr>
          <w:rFonts w:ascii="Verdana" w:eastAsia="Century Gothic" w:hAnsi="Verdana" w:cs="Century Gothic"/>
        </w:rPr>
      </w:pPr>
    </w:p>
    <w:p w14:paraId="25542990" w14:textId="77777777" w:rsidR="000B2BFA" w:rsidRDefault="000B2BFA" w:rsidP="000B2BFA">
      <w:pPr>
        <w:numPr>
          <w:ilvl w:val="0"/>
          <w:numId w:val="16"/>
        </w:numPr>
        <w:tabs>
          <w:tab w:val="left" w:pos="142"/>
          <w:tab w:val="left" w:pos="284"/>
        </w:tabs>
        <w:spacing w:after="0" w:line="276" w:lineRule="auto"/>
        <w:contextualSpacing/>
        <w:jc w:val="both"/>
        <w:rPr>
          <w:rFonts w:ascii="Verdana" w:eastAsia="Century Gothic" w:hAnsi="Verdana" w:cs="Century Gothic"/>
          <w:b/>
          <w:bCs/>
        </w:rPr>
      </w:pPr>
      <w:r w:rsidRPr="001162C0">
        <w:rPr>
          <w:rFonts w:ascii="Verdana" w:eastAsia="Century Gothic" w:hAnsi="Verdana" w:cs="Century Gothic"/>
          <w:b/>
          <w:bCs/>
        </w:rPr>
        <w:t>Respuestas:</w:t>
      </w:r>
    </w:p>
    <w:p w14:paraId="28CB4FB5" w14:textId="77777777" w:rsidR="000B2BFA" w:rsidRPr="001162C0" w:rsidRDefault="000B2BFA" w:rsidP="000B2BFA">
      <w:pPr>
        <w:tabs>
          <w:tab w:val="left" w:pos="142"/>
          <w:tab w:val="left" w:pos="284"/>
        </w:tabs>
        <w:spacing w:after="0" w:line="276" w:lineRule="auto"/>
        <w:ind w:left="360"/>
        <w:contextualSpacing/>
        <w:jc w:val="both"/>
        <w:rPr>
          <w:rFonts w:ascii="Verdana" w:eastAsia="Century Gothic" w:hAnsi="Verdana" w:cs="Century Gothic"/>
          <w:b/>
          <w:bC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B2BFA" w:rsidRPr="001162C0" w14:paraId="715FEB19" w14:textId="77777777" w:rsidTr="2E3D70C6">
        <w:trPr>
          <w:trHeight w:val="2802"/>
        </w:trPr>
        <w:tc>
          <w:tcPr>
            <w:tcW w:w="8828" w:type="dxa"/>
            <w:tcBorders>
              <w:top w:val="dotted" w:sz="4" w:space="0" w:color="auto"/>
              <w:left w:val="dotted" w:sz="4" w:space="0" w:color="auto"/>
              <w:bottom w:val="dotted" w:sz="4" w:space="0" w:color="auto"/>
              <w:right w:val="dotted" w:sz="4" w:space="0" w:color="auto"/>
            </w:tcBorders>
          </w:tcPr>
          <w:p w14:paraId="1ABD96CB" w14:textId="77777777" w:rsidR="000B2BFA" w:rsidRPr="003E5687" w:rsidRDefault="000B2BFA" w:rsidP="003436CB">
            <w:pPr>
              <w:jc w:val="both"/>
              <w:rPr>
                <w:rFonts w:ascii="Verdana" w:eastAsia="Times New Roman" w:hAnsi="Verdana" w:cs="Arial"/>
                <w:lang w:eastAsia="es-ES_tradnl"/>
              </w:rPr>
            </w:pPr>
            <w:r w:rsidRPr="003E5687">
              <w:rPr>
                <w:rFonts w:ascii="Verdana" w:eastAsia="Calibri" w:hAnsi="Verdana" w:cs="Arial"/>
                <w:lang w:val="es-ES"/>
              </w:rPr>
              <w:lastRenderedPageBreak/>
              <w:t>El numeral 4.2 del documento base del documento tipo de licitación de obra pública de infraestructura de transporte – versión 4, como parte de la valoración del factor calidad, dispone que las entidades estatales deberán consultar el Registro Nacional de Obras Civiles Inconclusas, de que trata la Ley 2020 de 2020, y descontar un (1) punto de la sumatoria obtenida en relación con el factor de calidad al proponente que cuente con alguna anotación vigente. Al respecto se dispone lo siguiente:</w:t>
            </w:r>
          </w:p>
          <w:p w14:paraId="764E9A85" w14:textId="77777777" w:rsidR="000B2BFA" w:rsidRPr="003E5687" w:rsidRDefault="000B2BFA" w:rsidP="003436CB">
            <w:pPr>
              <w:spacing w:line="276" w:lineRule="auto"/>
              <w:jc w:val="both"/>
              <w:rPr>
                <w:rFonts w:ascii="Verdana" w:eastAsia="Calibri" w:hAnsi="Verdana" w:cs="Arial"/>
                <w:lang w:val="es-MX"/>
              </w:rPr>
            </w:pPr>
          </w:p>
          <w:p w14:paraId="408AEA09" w14:textId="77777777" w:rsidR="000B2BFA" w:rsidRPr="003E5687" w:rsidRDefault="000B2BFA" w:rsidP="003436CB">
            <w:pPr>
              <w:tabs>
                <w:tab w:val="left" w:pos="709"/>
              </w:tabs>
              <w:ind w:left="709" w:right="567"/>
              <w:jc w:val="both"/>
              <w:rPr>
                <w:rFonts w:ascii="Verdana" w:hAnsi="Verdana" w:cs="Arial"/>
                <w:sz w:val="20"/>
                <w:szCs w:val="20"/>
                <w:lang w:val="es-MX"/>
              </w:rPr>
            </w:pPr>
            <w:r w:rsidRPr="003E5687">
              <w:rPr>
                <w:rFonts w:ascii="Verdana" w:hAnsi="Verdana" w:cs="Arial"/>
                <w:sz w:val="20"/>
                <w:szCs w:val="20"/>
                <w:lang w:val="es-MX"/>
              </w:rPr>
              <w:t>“(…)</w:t>
            </w:r>
          </w:p>
          <w:p w14:paraId="2C412FB7" w14:textId="77777777" w:rsidR="000B2BFA" w:rsidRPr="003E5687" w:rsidRDefault="000B2BFA" w:rsidP="003436CB">
            <w:pPr>
              <w:tabs>
                <w:tab w:val="left" w:pos="709"/>
              </w:tabs>
              <w:ind w:left="709" w:right="567"/>
              <w:jc w:val="both"/>
              <w:rPr>
                <w:rFonts w:ascii="Verdana" w:hAnsi="Verdana" w:cs="Arial"/>
                <w:sz w:val="20"/>
                <w:szCs w:val="20"/>
                <w:lang w:val="es-MX"/>
              </w:rPr>
            </w:pPr>
            <w:r w:rsidRPr="003E5687">
              <w:rPr>
                <w:rFonts w:ascii="Verdana" w:hAnsi="Verdana" w:cs="Arial"/>
                <w:sz w:val="20"/>
                <w:szCs w:val="20"/>
                <w:lang w:val="es-MX"/>
              </w:rPr>
              <w:t xml:space="preserve">Las Entidades Estatales deben consultar y analizar las anotaciones vigentes que reposen en el Registro Nacional de Obras Civiles Inconclusas, de que trata la Ley 2020 de 2020. En el evento que las personas naturales o jurídicas, nacionales o extranjeras domiciliadas o con sucursal en Colombia, o integrantes de Proponentes Plurales, cuenten con alguna anotación vigente de obra civil inconclusa, en el mencionado registro, se descontará un (1) punto de la sumatoria obtenida en relación con el factor de calidad. </w:t>
            </w:r>
          </w:p>
          <w:p w14:paraId="5BD04E27" w14:textId="77777777" w:rsidR="000B2BFA" w:rsidRPr="003E5687" w:rsidRDefault="000B2BFA" w:rsidP="003436CB">
            <w:pPr>
              <w:tabs>
                <w:tab w:val="left" w:pos="709"/>
              </w:tabs>
              <w:ind w:left="709" w:right="567"/>
              <w:jc w:val="both"/>
              <w:rPr>
                <w:rFonts w:ascii="Verdana" w:hAnsi="Verdana" w:cs="Arial"/>
                <w:sz w:val="20"/>
                <w:szCs w:val="20"/>
                <w:lang w:val="es-ES"/>
              </w:rPr>
            </w:pPr>
            <w:r w:rsidRPr="003E5687">
              <w:rPr>
                <w:rFonts w:ascii="Verdana" w:hAnsi="Verdana" w:cs="Arial"/>
                <w:sz w:val="20"/>
                <w:szCs w:val="20"/>
                <w:lang w:val="es-MX"/>
              </w:rPr>
              <w:t xml:space="preserve">En todo caso, no se descontará el puntaje en los términos previstos en el inciso anterior cuando el Proponente no oferte el factor de calidad, por lo que éste obtendrá cero (0) puntos en este criterio de evaluación. En esta circunstancia, la Entidad no podrá reducir el puntaje de la sumatoria obtenida en los demás factores de ponderación”. </w:t>
            </w:r>
          </w:p>
          <w:p w14:paraId="615323BB" w14:textId="77777777" w:rsidR="000B2BFA" w:rsidRPr="003E7076" w:rsidRDefault="000B2BFA" w:rsidP="003436CB">
            <w:pPr>
              <w:pStyle w:val="Prrafodelista"/>
              <w:spacing w:line="276" w:lineRule="auto"/>
              <w:contextualSpacing w:val="0"/>
              <w:jc w:val="both"/>
              <w:rPr>
                <w:rFonts w:ascii="Verdana" w:eastAsia="Calibri" w:hAnsi="Verdana" w:cs="Arial"/>
                <w:lang w:val="es-MX"/>
              </w:rPr>
            </w:pPr>
          </w:p>
          <w:p w14:paraId="4D8E968C" w14:textId="77777777" w:rsidR="000B2BFA" w:rsidRPr="006E3372" w:rsidRDefault="000B2BFA" w:rsidP="003436CB">
            <w:pPr>
              <w:spacing w:line="276" w:lineRule="auto"/>
              <w:jc w:val="both"/>
              <w:rPr>
                <w:rFonts w:ascii="Verdana" w:eastAsia="Calibri" w:hAnsi="Verdana" w:cs="Arial"/>
                <w:lang w:val="es-MX"/>
              </w:rPr>
            </w:pPr>
            <w:r w:rsidRPr="006E3372">
              <w:rPr>
                <w:rFonts w:ascii="Verdana" w:eastAsia="Calibri" w:hAnsi="Verdana" w:cs="Arial"/>
                <w:lang w:val="es-MX"/>
              </w:rPr>
              <w:t xml:space="preserve">El inicio del primer párrafo </w:t>
            </w:r>
            <w:proofErr w:type="gramStart"/>
            <w:r w:rsidRPr="006E3372">
              <w:rPr>
                <w:rFonts w:ascii="Verdana" w:eastAsia="Calibri" w:hAnsi="Verdana" w:cs="Arial"/>
                <w:lang w:val="es-MX"/>
              </w:rPr>
              <w:t>señalado,</w:t>
            </w:r>
            <w:proofErr w:type="gramEnd"/>
            <w:r w:rsidRPr="006E3372">
              <w:rPr>
                <w:rFonts w:ascii="Verdana" w:eastAsia="Calibri" w:hAnsi="Verdana" w:cs="Arial"/>
                <w:lang w:val="es-MX"/>
              </w:rPr>
              <w:t xml:space="preserve"> prescribe el deber de las entidades estatales de consultar y analizar las anotaciones vigentes que reposan en el Registro Nacional de Obras Civiles Inconclusas, lo cual guarda coherencia con el artículo 6 de la Ley 2020 de 2020. </w:t>
            </w:r>
          </w:p>
          <w:p w14:paraId="72325BFD" w14:textId="77777777" w:rsidR="000B2BFA" w:rsidRPr="00370F98" w:rsidRDefault="000B2BFA" w:rsidP="003436CB">
            <w:pPr>
              <w:pStyle w:val="Prrafodelista"/>
              <w:spacing w:line="276" w:lineRule="auto"/>
              <w:contextualSpacing w:val="0"/>
              <w:jc w:val="both"/>
              <w:rPr>
                <w:rFonts w:ascii="Verdana" w:eastAsia="Calibri" w:hAnsi="Verdana" w:cs="Arial"/>
                <w:lang w:val="es-MX"/>
              </w:rPr>
            </w:pPr>
          </w:p>
          <w:p w14:paraId="10FFDEAA" w14:textId="77777777" w:rsidR="000B2BFA" w:rsidRPr="003E5687" w:rsidRDefault="000B2BFA" w:rsidP="003436CB">
            <w:pPr>
              <w:spacing w:line="276" w:lineRule="auto"/>
              <w:jc w:val="both"/>
              <w:rPr>
                <w:rFonts w:ascii="Verdana" w:eastAsia="Calibri" w:hAnsi="Verdana" w:cs="Arial"/>
                <w:lang w:val="es-MX"/>
              </w:rPr>
            </w:pPr>
            <w:r w:rsidRPr="006E3372">
              <w:rPr>
                <w:rFonts w:ascii="Verdana" w:eastAsia="Calibri" w:hAnsi="Verdana" w:cs="Arial"/>
                <w:lang w:val="es-MX"/>
              </w:rPr>
              <w:t>En efecto, este primer aparte del párrafo</w:t>
            </w:r>
            <w:r w:rsidRPr="006E3372">
              <w:rPr>
                <w:rFonts w:ascii="Verdana" w:eastAsia="Times New Roman" w:hAnsi="Verdana" w:cs="Arial"/>
                <w:lang w:eastAsia="es-ES_tradnl"/>
              </w:rPr>
              <w:t xml:space="preserve"> señalado</w:t>
            </w:r>
            <w:r w:rsidRPr="006E3372">
              <w:rPr>
                <w:rFonts w:ascii="Verdana" w:eastAsia="Calibri" w:hAnsi="Verdana" w:cs="Arial"/>
                <w:lang w:val="es-MX"/>
              </w:rPr>
              <w:t xml:space="preserve"> es esencialmente una transcripción del inciso primero del artículo 6, el cual dispone que </w:t>
            </w:r>
            <w:r w:rsidRPr="006E3372">
              <w:rPr>
                <w:rFonts w:ascii="Verdana" w:eastAsia="Times New Roman" w:hAnsi="Verdana" w:cs="Arial"/>
                <w:i/>
                <w:iCs/>
                <w:lang w:eastAsia="es-ES_tradnl"/>
              </w:rPr>
              <w:t>“</w:t>
            </w:r>
            <w:r w:rsidRPr="006E3372">
              <w:rPr>
                <w:rFonts w:ascii="Verdana" w:eastAsia="Calibri" w:hAnsi="Verdana" w:cs="Arial"/>
                <w:i/>
                <w:iCs/>
                <w:lang w:val="es-MX"/>
              </w:rPr>
              <w:t>En los procesos de contratación de obras públicas que adelanten las entidades estatales contratantes, sin importar la cuantía, deberán</w:t>
            </w:r>
            <w:r w:rsidRPr="006E3372">
              <w:rPr>
                <w:rFonts w:ascii="Verdana" w:eastAsia="Calibri" w:hAnsi="Verdana" w:cs="Arial"/>
                <w:b/>
                <w:i/>
                <w:iCs/>
                <w:lang w:val="es-MX"/>
              </w:rPr>
              <w:t xml:space="preserve"> </w:t>
            </w:r>
            <w:r w:rsidRPr="006E3372">
              <w:rPr>
                <w:rFonts w:ascii="Verdana" w:eastAsia="Calibri" w:hAnsi="Verdana" w:cs="Arial"/>
                <w:i/>
                <w:iCs/>
                <w:lang w:val="es-MX"/>
              </w:rPr>
              <w:t>consultar y analizar las anotaciones vigentes que presenten las personas naturales o jurídicas, nacionales o extranjeras domiciliadas o con sucursal en Colombia, en el Registro Nacional de Obras Civiles Inconclusas</w:t>
            </w:r>
            <w:r w:rsidRPr="006E3372">
              <w:rPr>
                <w:rFonts w:ascii="Verdana" w:eastAsia="Times New Roman" w:hAnsi="Verdana" w:cs="Arial"/>
                <w:lang w:eastAsia="es-ES_tradnl"/>
              </w:rPr>
              <w:t>”</w:t>
            </w:r>
            <w:r w:rsidRPr="006E3372">
              <w:rPr>
                <w:rFonts w:ascii="Verdana" w:eastAsia="Calibri" w:hAnsi="Verdana" w:cs="Arial"/>
                <w:lang w:val="es-MX"/>
              </w:rPr>
              <w:t xml:space="preserve">. Nótese que los términos de </w:t>
            </w:r>
            <w:r w:rsidRPr="006E3372">
              <w:rPr>
                <w:rFonts w:ascii="Verdana" w:eastAsia="Times New Roman" w:hAnsi="Verdana" w:cs="Arial"/>
                <w:lang w:eastAsia="es-ES_tradnl"/>
              </w:rPr>
              <w:t>“</w:t>
            </w:r>
            <w:r w:rsidRPr="006E3372">
              <w:rPr>
                <w:rFonts w:ascii="Verdana" w:eastAsia="Calibri" w:hAnsi="Verdana" w:cs="Arial"/>
                <w:lang w:val="es-MX"/>
              </w:rPr>
              <w:t>consultar y analizar</w:t>
            </w:r>
            <w:r w:rsidRPr="006E3372">
              <w:rPr>
                <w:rFonts w:ascii="Verdana" w:eastAsia="Times New Roman" w:hAnsi="Verdana" w:cs="Arial"/>
                <w:lang w:eastAsia="es-ES_tradnl"/>
              </w:rPr>
              <w:t>”</w:t>
            </w:r>
            <w:r w:rsidRPr="006E3372">
              <w:rPr>
                <w:rFonts w:ascii="Verdana" w:eastAsia="Calibri" w:hAnsi="Verdana" w:cs="Arial"/>
                <w:lang w:val="es-MX"/>
              </w:rPr>
              <w:t>, son empleados tanto en el d</w:t>
            </w:r>
            <w:r w:rsidRPr="003E5687">
              <w:rPr>
                <w:rFonts w:ascii="Verdana" w:eastAsia="Calibri" w:hAnsi="Verdana" w:cs="Arial"/>
                <w:lang w:val="es-MX"/>
              </w:rPr>
              <w:t xml:space="preserve">ocumento </w:t>
            </w:r>
            <w:r w:rsidRPr="006E3372">
              <w:rPr>
                <w:rFonts w:ascii="Verdana" w:eastAsia="Calibri" w:hAnsi="Verdana" w:cs="Arial"/>
                <w:lang w:val="es-MX"/>
              </w:rPr>
              <w:t>b</w:t>
            </w:r>
            <w:r w:rsidRPr="003E5687">
              <w:rPr>
                <w:rFonts w:ascii="Verdana" w:eastAsia="Calibri" w:hAnsi="Verdana" w:cs="Arial"/>
                <w:lang w:val="es-MX"/>
              </w:rPr>
              <w:t xml:space="preserve">ase como en la disposición señalada. </w:t>
            </w:r>
          </w:p>
          <w:p w14:paraId="430DED02" w14:textId="77777777" w:rsidR="000B2BFA" w:rsidRPr="003E5687" w:rsidRDefault="000B2BFA" w:rsidP="003436CB">
            <w:pPr>
              <w:spacing w:line="276" w:lineRule="auto"/>
              <w:jc w:val="both"/>
              <w:rPr>
                <w:rFonts w:ascii="Verdana" w:eastAsia="Calibri" w:hAnsi="Verdana" w:cs="Arial"/>
                <w:lang w:val="es-MX"/>
              </w:rPr>
            </w:pPr>
          </w:p>
          <w:p w14:paraId="084A49FC" w14:textId="77777777" w:rsidR="000B2BFA" w:rsidRDefault="000B2BFA" w:rsidP="003436CB">
            <w:pPr>
              <w:spacing w:line="276" w:lineRule="auto"/>
              <w:jc w:val="both"/>
              <w:rPr>
                <w:lang w:val="es-MX"/>
              </w:rPr>
            </w:pPr>
            <w:r w:rsidRPr="006E3372">
              <w:rPr>
                <w:rFonts w:ascii="Verdana" w:eastAsia="Calibri" w:hAnsi="Verdana" w:cs="Arial"/>
                <w:lang w:val="es-MX"/>
              </w:rPr>
              <w:t xml:space="preserve">Estos vocablos revisten especial importancia, pues con base en ese análisis la Entidad Estatal descontará un punto de la sumatoria obtenida en relación con el factor calidad. En otras palabras, en el evento en que las personas naturales </w:t>
            </w:r>
            <w:r w:rsidRPr="006E3372">
              <w:rPr>
                <w:rFonts w:ascii="Verdana" w:eastAsia="Calibri" w:hAnsi="Verdana" w:cs="Arial"/>
                <w:lang w:val="es-MX"/>
              </w:rPr>
              <w:lastRenderedPageBreak/>
              <w:t>o jurídicas, nacionales o extranjeras domiciliadas o con sucursal en Colombia, o integrantes de proponentes plurales, cuenten con una anotación en dicho registro, le corresponde a la entidad examinar la particularidad de la anotación y determinar si la misma es suficiente para descontar el punto de la sumatoria total en relación con el factor de calidad.</w:t>
            </w:r>
            <w:r w:rsidRPr="00370F98">
              <w:rPr>
                <w:lang w:val="es-MX"/>
              </w:rPr>
              <w:t xml:space="preserve"> </w:t>
            </w:r>
          </w:p>
          <w:p w14:paraId="2504FD60" w14:textId="77777777" w:rsidR="000B2BFA" w:rsidRPr="00370F98" w:rsidRDefault="000B2BFA" w:rsidP="003436CB">
            <w:pPr>
              <w:pStyle w:val="Prrafodelista"/>
              <w:spacing w:line="276" w:lineRule="auto"/>
              <w:contextualSpacing w:val="0"/>
              <w:jc w:val="both"/>
              <w:rPr>
                <w:rFonts w:ascii="Verdana" w:eastAsia="Calibri" w:hAnsi="Verdana" w:cs="Arial"/>
                <w:lang w:val="es-MX"/>
              </w:rPr>
            </w:pPr>
          </w:p>
          <w:p w14:paraId="4B790186" w14:textId="77777777" w:rsidR="000B2BFA" w:rsidRPr="006E3372" w:rsidRDefault="000B2BFA" w:rsidP="003436CB">
            <w:pPr>
              <w:spacing w:line="276" w:lineRule="auto"/>
              <w:jc w:val="both"/>
              <w:rPr>
                <w:rFonts w:ascii="Verdana" w:eastAsia="Calibri" w:hAnsi="Verdana" w:cs="Arial"/>
                <w:lang w:val="es-MX"/>
              </w:rPr>
            </w:pPr>
            <w:r w:rsidRPr="006E3372">
              <w:rPr>
                <w:rFonts w:ascii="Verdana" w:eastAsia="Calibri" w:hAnsi="Verdana" w:cs="Arial"/>
                <w:lang w:val="es-MX"/>
              </w:rPr>
              <w:t xml:space="preserve">De esta manera, la connotación de las palabras </w:t>
            </w:r>
            <w:r w:rsidRPr="006E3372">
              <w:rPr>
                <w:rFonts w:ascii="Verdana" w:eastAsia="Times New Roman" w:hAnsi="Verdana" w:cs="Arial"/>
                <w:lang w:eastAsia="es-ES_tradnl"/>
              </w:rPr>
              <w:t xml:space="preserve">“consultar y </w:t>
            </w:r>
            <w:r w:rsidRPr="006E3372">
              <w:rPr>
                <w:rFonts w:ascii="Verdana" w:eastAsia="Calibri" w:hAnsi="Verdana" w:cs="Arial"/>
                <w:lang w:val="es-MX"/>
              </w:rPr>
              <w:t>analizar</w:t>
            </w:r>
            <w:r w:rsidRPr="006E3372">
              <w:rPr>
                <w:rFonts w:ascii="Verdana" w:eastAsia="Times New Roman" w:hAnsi="Verdana" w:cs="Arial"/>
                <w:lang w:eastAsia="es-ES_tradnl"/>
              </w:rPr>
              <w:t xml:space="preserve">” </w:t>
            </w:r>
            <w:r w:rsidRPr="006E3372">
              <w:rPr>
                <w:rFonts w:ascii="Verdana" w:eastAsia="Calibri" w:hAnsi="Verdana" w:cs="Arial"/>
                <w:lang w:val="es-MX"/>
              </w:rPr>
              <w:t xml:space="preserve">constituyen el marco respecto del cual se circunscribe el deber de la entidad de tener en cuenta las anotaciones en el Registro Nacional de Obras Civiles Inconclusas, para efectos de la evaluación de los factores de ponderación de calidad. En otras palabras, las expresiones </w:t>
            </w:r>
            <w:r w:rsidRPr="006E3372">
              <w:rPr>
                <w:rFonts w:ascii="Verdana" w:eastAsia="Times New Roman" w:hAnsi="Verdana" w:cs="Arial"/>
                <w:lang w:eastAsia="es-ES_tradnl"/>
              </w:rPr>
              <w:t xml:space="preserve">“consultar y </w:t>
            </w:r>
            <w:r w:rsidRPr="006E3372">
              <w:rPr>
                <w:rFonts w:ascii="Verdana" w:eastAsia="Calibri" w:hAnsi="Verdana" w:cs="Arial"/>
                <w:lang w:val="es-MX"/>
              </w:rPr>
              <w:t>analizar</w:t>
            </w:r>
            <w:r w:rsidRPr="006E3372">
              <w:rPr>
                <w:rFonts w:ascii="Verdana" w:eastAsia="Times New Roman" w:hAnsi="Verdana" w:cs="Arial"/>
                <w:lang w:eastAsia="es-ES_tradnl"/>
              </w:rPr>
              <w:t>”</w:t>
            </w:r>
            <w:r w:rsidRPr="006E3372">
              <w:rPr>
                <w:rFonts w:ascii="Verdana" w:eastAsia="Calibri" w:hAnsi="Verdana" w:cs="Arial"/>
                <w:lang w:val="es-MX"/>
              </w:rPr>
              <w:t xml:space="preserve">, determinan el alcance de la interpretación tanto del contenido del artículo 6 de la Ley 2020 de 2020, como en el texto establecido en los Documentos Base, sobre el Registro Nacional de Obras Civiles Inconclusas. En consecuencia, el primer aparte del párrafo del documento base determina el alcance del texto, mientras que el segundo fragmento dispone la consecuencia jurídica, esto es, -descontar un (1) punto de la sumatoria obtenida en relación con el factor de calidad-, por lo que este último no puede desligarse del otro y su interpretación debe realizarse en contexto. </w:t>
            </w:r>
          </w:p>
          <w:p w14:paraId="7C3C4D9D" w14:textId="77777777" w:rsidR="000B2BFA" w:rsidRPr="00370F98" w:rsidRDefault="000B2BFA" w:rsidP="003436CB">
            <w:pPr>
              <w:pStyle w:val="Prrafodelista"/>
              <w:spacing w:line="276" w:lineRule="auto"/>
              <w:jc w:val="both"/>
              <w:rPr>
                <w:rFonts w:ascii="Verdana" w:eastAsia="Calibri" w:hAnsi="Verdana" w:cs="Arial"/>
                <w:lang w:val="es-MX"/>
              </w:rPr>
            </w:pPr>
          </w:p>
          <w:p w14:paraId="307A7B5E" w14:textId="77777777" w:rsidR="000B2BFA" w:rsidRPr="006E3372" w:rsidRDefault="000B2BFA" w:rsidP="003436CB">
            <w:pPr>
              <w:spacing w:line="276" w:lineRule="auto"/>
              <w:jc w:val="both"/>
              <w:rPr>
                <w:rFonts w:ascii="Verdana" w:eastAsia="Calibri" w:hAnsi="Verdana" w:cs="Arial"/>
                <w:lang w:val="es-MX"/>
              </w:rPr>
            </w:pPr>
            <w:r w:rsidRPr="006E3372">
              <w:rPr>
                <w:rFonts w:ascii="Verdana" w:eastAsia="Calibri" w:hAnsi="Verdana" w:cs="Arial"/>
                <w:lang w:val="es-MX"/>
              </w:rPr>
              <w:t xml:space="preserve">Bajo estas consideraciones, la interpretación adecuada para lo dispuesto en el numeral 4.2 del documento base, es que para descontar el punto de la sumatoria obtenida en relación con los criterios de evaluación, la entidad deberá consultar y analizar las anotaciones vigentes en el Registro Nacional de Obras Civiles Inconclusas. Con este panorama, la pregunta que surge a continuación es la siguiente: ¿cómo analizar las anotaciones para descontar el punto? Consideramos adecuado, por ejemplo, que en este análisis la entidad verifique si existen anotaciones relacionadas con el incumplimiento del contratista, que permita determinar que la obra no concluyó por razones atribuibles a este, en cuyo caso se descontará el punto. </w:t>
            </w:r>
          </w:p>
          <w:p w14:paraId="65DB9E63" w14:textId="77777777" w:rsidR="000B2BFA" w:rsidRPr="003E5687" w:rsidRDefault="000B2BFA" w:rsidP="003436CB">
            <w:pPr>
              <w:spacing w:line="276" w:lineRule="auto"/>
              <w:jc w:val="both"/>
              <w:rPr>
                <w:rFonts w:ascii="Verdana" w:eastAsia="Calibri" w:hAnsi="Verdana" w:cs="Arial"/>
                <w:lang w:val="es-MX"/>
              </w:rPr>
            </w:pPr>
          </w:p>
          <w:p w14:paraId="3558229E" w14:textId="77777777" w:rsidR="000B2BFA" w:rsidRPr="006E3372" w:rsidRDefault="000B2BFA" w:rsidP="003436CB">
            <w:pPr>
              <w:jc w:val="both"/>
              <w:rPr>
                <w:rFonts w:ascii="Verdana" w:eastAsia="Calibri" w:hAnsi="Verdana" w:cs="Arial"/>
                <w:lang w:val="es-MX"/>
              </w:rPr>
            </w:pPr>
            <w:r w:rsidRPr="003E5687">
              <w:rPr>
                <w:rFonts w:ascii="Verdana" w:eastAsia="Calibri" w:hAnsi="Verdana" w:cs="Arial"/>
                <w:lang w:val="es-MX"/>
              </w:rPr>
              <w:t xml:space="preserve">Se precisa que el descuento del punto de la sumatoria obtenida en relación con el factor de calidad, del que trata el texto de los documentos base adoptados por la Agencia Nacional de Contratación Pública – Colombia Compra Eficiente, deberá efectuarse una vez la entidad realice la consulta y el análisis de las anotaciones vigentes en el Registro Nacional de Obras Civiles Inconclusas y determine si esa anotación se dio por un incumplimiento del </w:t>
            </w:r>
            <w:r w:rsidRPr="003E5687">
              <w:rPr>
                <w:rFonts w:ascii="Verdana" w:eastAsia="Calibri" w:hAnsi="Verdana" w:cs="Arial"/>
                <w:lang w:val="es-MX"/>
              </w:rPr>
              <w:lastRenderedPageBreak/>
              <w:t>contratista, por lo que, dependiendo del supuesto, la entidad descontará el punto.</w:t>
            </w:r>
            <w:r w:rsidRPr="006E3372">
              <w:rPr>
                <w:rFonts w:ascii="Verdana" w:eastAsia="Calibri" w:hAnsi="Verdana" w:cs="Arial"/>
                <w:lang w:val="es-MX"/>
              </w:rPr>
              <w:t xml:space="preserve"> </w:t>
            </w:r>
          </w:p>
          <w:p w14:paraId="1134DB65" w14:textId="77777777" w:rsidR="000B2BFA" w:rsidRPr="003E5687" w:rsidRDefault="000B2BFA" w:rsidP="003436CB">
            <w:pPr>
              <w:pStyle w:val="Prrafodelista"/>
              <w:spacing w:line="276" w:lineRule="auto"/>
              <w:contextualSpacing w:val="0"/>
              <w:jc w:val="both"/>
              <w:rPr>
                <w:rFonts w:ascii="Verdana" w:eastAsia="Calibri" w:hAnsi="Verdana" w:cs="Arial"/>
                <w:lang w:val="es-MX"/>
              </w:rPr>
            </w:pPr>
          </w:p>
          <w:p w14:paraId="33D17CEC" w14:textId="77777777" w:rsidR="000B2BFA" w:rsidRPr="006E3372" w:rsidRDefault="000B2BFA" w:rsidP="003436CB">
            <w:pPr>
              <w:jc w:val="both"/>
              <w:rPr>
                <w:rFonts w:ascii="Verdana" w:eastAsia="Calibri" w:hAnsi="Verdana" w:cs="Arial"/>
                <w:lang w:val="es-MX"/>
              </w:rPr>
            </w:pPr>
            <w:r w:rsidRPr="003E5687">
              <w:rPr>
                <w:rFonts w:ascii="Verdana" w:eastAsia="Calibri" w:hAnsi="Verdana" w:cs="Arial"/>
                <w:lang w:val="es-MX"/>
              </w:rPr>
              <w:t>Debe precisarse que las anotaciones vigentes en el Registro Nacional de Obras Civiles Inconclusas corresponden a las que reposan en este, teniendo en cuenta las actualizaciones que realice la Contraloría General de la República y las entidades estatales, conforme al artículo 3 de la Ley 2020 de 2020. En tal sentido, para efectos del descuento del puntaje establecido en el numeral 4.2 del documento base, la Entidad Estatal –al momento de evaluar– deberá consultar y analizar las anotaciones en el registro con sus respectivas actualizaciones.</w:t>
            </w:r>
            <w:r>
              <w:rPr>
                <w:rFonts w:ascii="Verdana" w:eastAsia="Calibri" w:hAnsi="Verdana" w:cs="Arial"/>
                <w:lang w:val="es-MX"/>
              </w:rPr>
              <w:t xml:space="preserve"> </w:t>
            </w:r>
            <w:r w:rsidRPr="003E5687">
              <w:rPr>
                <w:rFonts w:ascii="Verdana" w:eastAsia="Calibri" w:hAnsi="Verdana" w:cs="Arial"/>
                <w:lang w:val="es-MX"/>
              </w:rPr>
              <w:t>Teniendo en cuenta lo anterior, es pertinente aclarar que el simple hecho de encontrarse incluido en el Registro Nacional de Obras Civiles Inconclusas no da lugar a descontar el punto señalado.</w:t>
            </w:r>
          </w:p>
          <w:p w14:paraId="06B22B4D" w14:textId="77777777" w:rsidR="000B2BFA" w:rsidRDefault="000B2BFA" w:rsidP="003436CB">
            <w:pPr>
              <w:pStyle w:val="Prrafodelista"/>
              <w:spacing w:line="276" w:lineRule="auto"/>
              <w:jc w:val="both"/>
              <w:rPr>
                <w:rFonts w:ascii="Verdana" w:eastAsia="Calibri" w:hAnsi="Verdana" w:cs="Arial"/>
                <w:color w:val="000000"/>
                <w:lang w:val="es-ES_tradnl" w:eastAsia="en-GB"/>
              </w:rPr>
            </w:pPr>
          </w:p>
          <w:p w14:paraId="7C33D9F9" w14:textId="77777777" w:rsidR="000B2BFA" w:rsidRPr="003E5687" w:rsidRDefault="000B2BFA" w:rsidP="003436CB">
            <w:pPr>
              <w:spacing w:line="276" w:lineRule="auto"/>
              <w:jc w:val="both"/>
              <w:rPr>
                <w:rFonts w:ascii="Verdana" w:eastAsia="Calibri" w:hAnsi="Verdana" w:cs="Arial"/>
                <w:color w:val="000000"/>
                <w:lang w:val="es-ES_tradnl" w:eastAsia="en-GB"/>
              </w:rPr>
            </w:pPr>
            <w:r w:rsidRPr="003E5687">
              <w:rPr>
                <w:rFonts w:ascii="Verdana" w:eastAsia="Calibri" w:hAnsi="Verdana" w:cs="Arial"/>
                <w:lang w:val="es-MX"/>
              </w:rPr>
              <w:t xml:space="preserve">Ahora bien, el segundo párrafo señalado con anterioridad del numeral 4.2, dispone que, no se descontará el puntaje cuando el proponente no oferte el factor de calidad, por lo que obtendrá cero (0) puntos en ese criterio de evaluación. En esta última circunstancia, la Entidad no podrá reducir el puntaje de la sumatoria obtenida en los demás factores de ponderación. </w:t>
            </w:r>
          </w:p>
          <w:p w14:paraId="6C3E1DB7" w14:textId="77777777" w:rsidR="000B2BFA" w:rsidRPr="003E5687" w:rsidRDefault="000B2BFA" w:rsidP="003436CB">
            <w:pPr>
              <w:pStyle w:val="Prrafodelista"/>
              <w:spacing w:line="278" w:lineRule="auto"/>
              <w:rPr>
                <w:rFonts w:ascii="Verdana" w:eastAsia="Calibri" w:hAnsi="Verdana" w:cs="Arial"/>
                <w:color w:val="000000"/>
                <w:lang w:val="es-ES_tradnl" w:eastAsia="en-GB"/>
              </w:rPr>
            </w:pPr>
          </w:p>
          <w:p w14:paraId="2606E3DA" w14:textId="77777777" w:rsidR="000B2BFA" w:rsidRPr="006E3372" w:rsidRDefault="000B2BFA" w:rsidP="2E3D70C6">
            <w:pPr>
              <w:spacing w:line="276" w:lineRule="auto"/>
              <w:jc w:val="both"/>
              <w:rPr>
                <w:rFonts w:ascii="Verdana" w:eastAsia="Calibri" w:hAnsi="Verdana" w:cs="Arial"/>
                <w:color w:val="000000"/>
                <w:lang w:val="es-ES" w:eastAsia="en-GB"/>
              </w:rPr>
            </w:pPr>
            <w:r w:rsidRPr="2E3D70C6">
              <w:rPr>
                <w:rFonts w:ascii="Verdana" w:eastAsia="Calibri" w:hAnsi="Verdana" w:cs="Arial"/>
                <w:color w:val="000000" w:themeColor="text1"/>
                <w:lang w:val="es-ES" w:eastAsia="en-GB"/>
              </w:rPr>
              <w:t xml:space="preserve">En este sentido, el supuesto que contempla el párrafo anterior es claro en su aplicación, esto es, cuando el oferente “no oferte el factor de calidad”. Si el proponente no oferta el factor de calidad, no es posible descontar un (1) punto por encontrarse en el registro nacional de obras civiles inconclusas. Por lo tanto, en ese criterio de evaluación “factor de calidad” obtendrá cero (o) puntos. Ahora bien, en otros supuesto diferentes al señalado, la entidad deberá analizar en cada caso concreto si opera o no el régimen de </w:t>
            </w:r>
            <w:proofErr w:type="spellStart"/>
            <w:r w:rsidRPr="2E3D70C6">
              <w:rPr>
                <w:rFonts w:ascii="Verdana" w:eastAsia="Calibri" w:hAnsi="Verdana" w:cs="Arial"/>
                <w:color w:val="000000" w:themeColor="text1"/>
                <w:lang w:val="es-ES" w:eastAsia="en-GB"/>
              </w:rPr>
              <w:t>subsanabilidad</w:t>
            </w:r>
            <w:proofErr w:type="spellEnd"/>
            <w:r w:rsidRPr="2E3D70C6">
              <w:rPr>
                <w:rFonts w:ascii="Verdana" w:eastAsia="Calibri" w:hAnsi="Verdana" w:cs="Arial"/>
                <w:color w:val="000000" w:themeColor="text1"/>
                <w:lang w:val="es-ES" w:eastAsia="en-GB"/>
              </w:rPr>
              <w:t xml:space="preserve"> de las ofertas, aclaraciones o explicaciones, según corresponda en cada caso particular de acuerdo con el ordenamiento jurídico. </w:t>
            </w:r>
          </w:p>
        </w:tc>
      </w:tr>
    </w:tbl>
    <w:p w14:paraId="07CB142C" w14:textId="77777777" w:rsidR="000B2BFA" w:rsidRPr="001162C0" w:rsidRDefault="000B2BFA" w:rsidP="000B2BFA">
      <w:pPr>
        <w:tabs>
          <w:tab w:val="left" w:pos="142"/>
          <w:tab w:val="left" w:pos="284"/>
        </w:tabs>
        <w:spacing w:after="0" w:line="276" w:lineRule="auto"/>
        <w:jc w:val="both"/>
        <w:rPr>
          <w:rFonts w:ascii="Verdana" w:eastAsia="Century Gothic" w:hAnsi="Verdana" w:cs="Century Gothic"/>
          <w:b/>
          <w:bCs/>
        </w:rPr>
      </w:pPr>
    </w:p>
    <w:p w14:paraId="14D199A7" w14:textId="77777777" w:rsidR="000B2BFA" w:rsidRPr="001162C0" w:rsidRDefault="000B2BFA" w:rsidP="000B2BFA">
      <w:pPr>
        <w:numPr>
          <w:ilvl w:val="0"/>
          <w:numId w:val="16"/>
        </w:numPr>
        <w:tabs>
          <w:tab w:val="left" w:pos="142"/>
          <w:tab w:val="left" w:pos="284"/>
        </w:tabs>
        <w:spacing w:after="0" w:line="276" w:lineRule="auto"/>
        <w:contextualSpacing/>
        <w:jc w:val="both"/>
        <w:rPr>
          <w:rFonts w:ascii="Verdana" w:eastAsia="Century Gothic" w:hAnsi="Verdana" w:cs="Century Gothic"/>
          <w:b/>
          <w:bCs/>
        </w:rPr>
      </w:pPr>
      <w:r w:rsidRPr="001162C0">
        <w:rPr>
          <w:rFonts w:ascii="Verdana" w:eastAsia="Century Gothic" w:hAnsi="Verdana" w:cs="Century Gothic"/>
          <w:b/>
          <w:bCs/>
        </w:rPr>
        <w:t>Razones de la respuesta:</w:t>
      </w:r>
    </w:p>
    <w:p w14:paraId="480061F3" w14:textId="77777777" w:rsidR="000B2BFA" w:rsidRPr="001162C0" w:rsidRDefault="000B2BFA" w:rsidP="000B2BFA">
      <w:pPr>
        <w:spacing w:after="0" w:line="276" w:lineRule="auto"/>
        <w:jc w:val="both"/>
        <w:rPr>
          <w:rFonts w:ascii="Verdana" w:eastAsia="Calibri" w:hAnsi="Verdana" w:cs="Arial"/>
        </w:rPr>
      </w:pPr>
    </w:p>
    <w:p w14:paraId="51BA8FA7" w14:textId="77777777" w:rsidR="000B2BFA" w:rsidRPr="001162C0" w:rsidRDefault="000B2BFA" w:rsidP="000B2BFA">
      <w:pPr>
        <w:spacing w:after="0" w:line="276" w:lineRule="auto"/>
        <w:jc w:val="both"/>
        <w:rPr>
          <w:rFonts w:ascii="Verdana" w:eastAsia="Calibri" w:hAnsi="Verdana" w:cs="Arial"/>
        </w:rPr>
      </w:pPr>
      <w:r w:rsidRPr="001162C0">
        <w:rPr>
          <w:rFonts w:ascii="Verdana" w:eastAsia="Calibri" w:hAnsi="Verdana" w:cs="Arial"/>
        </w:rPr>
        <w:t xml:space="preserve">Lo anterior se sustenta en las siguientes consideraciones: </w:t>
      </w:r>
    </w:p>
    <w:p w14:paraId="7D25D47A" w14:textId="77777777" w:rsidR="000B2BFA" w:rsidRPr="001162C0" w:rsidRDefault="000B2BFA" w:rsidP="000B2BFA">
      <w:pPr>
        <w:spacing w:after="0"/>
        <w:rPr>
          <w:rFonts w:ascii="Calibri" w:eastAsia="Calibri" w:hAnsi="Calibri" w:cs="Times New Roman"/>
        </w:rPr>
      </w:pPr>
    </w:p>
    <w:p w14:paraId="2F555238" w14:textId="77777777" w:rsidR="000B2BFA" w:rsidRPr="001162C0" w:rsidRDefault="000B2BFA" w:rsidP="000B2BFA">
      <w:pPr>
        <w:numPr>
          <w:ilvl w:val="0"/>
          <w:numId w:val="17"/>
        </w:numPr>
        <w:snapToGrid w:val="0"/>
        <w:spacing w:after="0" w:line="276" w:lineRule="auto"/>
        <w:jc w:val="both"/>
        <w:rPr>
          <w:rFonts w:ascii="Verdana" w:eastAsia="Calibri" w:hAnsi="Verdana" w:cs="Arial"/>
        </w:rPr>
      </w:pPr>
      <w:r w:rsidRPr="001162C0">
        <w:rPr>
          <w:rFonts w:ascii="Verdana" w:eastAsia="Calibri" w:hAnsi="Verdana" w:cs="Arial"/>
        </w:rPr>
        <w:t xml:space="preserve">Los documentos tipo expedidos por la Agencia Nacional de Contratación Pública </w:t>
      </w:r>
      <w:r w:rsidRPr="001162C0">
        <w:rPr>
          <w:rFonts w:ascii="Symbol" w:eastAsia="Symbol" w:hAnsi="Symbol" w:cs="Symbol"/>
        </w:rPr>
        <w:t>-</w:t>
      </w:r>
      <w:r w:rsidRPr="001162C0">
        <w:rPr>
          <w:rFonts w:ascii="Verdana" w:eastAsia="Calibri" w:hAnsi="Verdana" w:cs="Aria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w:t>
      </w:r>
      <w:r w:rsidRPr="001162C0">
        <w:rPr>
          <w:rFonts w:ascii="Verdana" w:eastAsia="Calibri" w:hAnsi="Verdana" w:cs="Arial"/>
        </w:rPr>
        <w:lastRenderedPageBreak/>
        <w:t xml:space="preserve">aplicar de manera forzosa los documentos tipo para desarrollar los Procesos de Contratación en los objetos y modalidades cobijadas por los Documentos Tipo. </w:t>
      </w:r>
    </w:p>
    <w:p w14:paraId="773FF898" w14:textId="77777777" w:rsidR="000B2BFA" w:rsidRPr="001162C0" w:rsidRDefault="000B2BFA" w:rsidP="000B2BFA">
      <w:pPr>
        <w:spacing w:after="0"/>
        <w:rPr>
          <w:rFonts w:ascii="Verdana" w:eastAsia="Calibri" w:hAnsi="Verdana" w:cs="Arial"/>
          <w:bCs/>
        </w:rPr>
      </w:pPr>
    </w:p>
    <w:p w14:paraId="6C30DFA5" w14:textId="77777777" w:rsidR="000B2BFA" w:rsidRPr="001162C0" w:rsidRDefault="000B2BFA" w:rsidP="000B2BFA">
      <w:pPr>
        <w:numPr>
          <w:ilvl w:val="0"/>
          <w:numId w:val="17"/>
        </w:numPr>
        <w:spacing w:after="0" w:line="276" w:lineRule="auto"/>
        <w:jc w:val="both"/>
        <w:rPr>
          <w:rFonts w:ascii="Verdana" w:eastAsia="Calibri" w:hAnsi="Verdana" w:cs="Arial"/>
          <w:bCs/>
        </w:rPr>
      </w:pPr>
      <w:r w:rsidRPr="001162C0">
        <w:rPr>
          <w:rFonts w:ascii="Verdana" w:eastAsia="Calibri" w:hAnsi="Verdana" w:cs="Times New Roman"/>
        </w:rPr>
        <w:t>La Agencia Nacional de Contratación Pública – Colombia Compra Eficiente ha expedido documentos tipo para los sectores de infraestructura de transporte, agua potable y 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1162C0">
        <w:rPr>
          <w:rFonts w:ascii="Verdana" w:eastAsia="Calibri" w:hAnsi="Verdana" w:cs="Times New Roman"/>
          <w:vertAlign w:val="superscript"/>
        </w:rPr>
        <w:footnoteReference w:id="1"/>
      </w:r>
    </w:p>
    <w:p w14:paraId="2A00A3AB" w14:textId="77777777" w:rsidR="000B2BFA" w:rsidRDefault="000B2BFA" w:rsidP="000B2BFA">
      <w:pPr>
        <w:pStyle w:val="Prrafodelista"/>
        <w:spacing w:after="0"/>
        <w:contextualSpacing w:val="0"/>
        <w:rPr>
          <w:rFonts w:ascii="Verdana" w:eastAsia="Calibri" w:hAnsi="Verdana" w:cs="Arial"/>
          <w:bCs/>
        </w:rPr>
      </w:pPr>
    </w:p>
    <w:p w14:paraId="7593B228" w14:textId="77777777" w:rsidR="000B2BFA" w:rsidRPr="006379C1" w:rsidRDefault="000B2BFA" w:rsidP="000B2BFA">
      <w:pPr>
        <w:pStyle w:val="Prrafodelista"/>
        <w:numPr>
          <w:ilvl w:val="0"/>
          <w:numId w:val="17"/>
        </w:numPr>
        <w:snapToGrid w:val="0"/>
        <w:spacing w:after="0" w:line="276" w:lineRule="auto"/>
        <w:jc w:val="both"/>
        <w:rPr>
          <w:rFonts w:ascii="Verdana" w:eastAsia="Calibri" w:hAnsi="Verdana" w:cs="Times New Roman"/>
        </w:rPr>
      </w:pPr>
      <w:r w:rsidRPr="006379C1">
        <w:rPr>
          <w:rFonts w:ascii="Verdana" w:eastAsia="Calibri" w:hAnsi="Verdana" w:cs="Times New Roman"/>
        </w:rPr>
        <w:t xml:space="preserve">Los Documentos tipo para la contratación de obra pública de infraestructura de transporte fueron modificados después de surtir el procedimiento interno establecido por esta agencia. En relación con los documentos tipo de licitación de obra pública de infraestructura de transporte, mediante la Resolución 465 del 10 de septiembre de 2024, se adoptó la versión 4 de estos documentos. </w:t>
      </w:r>
    </w:p>
    <w:p w14:paraId="3E269CF8" w14:textId="77777777" w:rsidR="000B2BFA" w:rsidRPr="006379C1" w:rsidRDefault="000B2BFA" w:rsidP="000B2BFA">
      <w:pPr>
        <w:pStyle w:val="Prrafodelista"/>
        <w:rPr>
          <w:rFonts w:ascii="Verdana" w:eastAsia="Calibri" w:hAnsi="Verdana" w:cs="Times New Roman"/>
        </w:rPr>
      </w:pPr>
    </w:p>
    <w:p w14:paraId="6A60BA6C" w14:textId="77777777" w:rsidR="000B2BFA" w:rsidRPr="006379C1" w:rsidRDefault="000B2BFA" w:rsidP="000B2BFA">
      <w:pPr>
        <w:pStyle w:val="Prrafodelista"/>
        <w:numPr>
          <w:ilvl w:val="0"/>
          <w:numId w:val="17"/>
        </w:numPr>
        <w:spacing w:after="120" w:line="278" w:lineRule="auto"/>
        <w:jc w:val="both"/>
        <w:rPr>
          <w:rFonts w:ascii="Verdana" w:eastAsia="Calibri" w:hAnsi="Verdana" w:cs="Arial"/>
          <w:color w:val="000000" w:themeColor="text1"/>
        </w:rPr>
      </w:pPr>
      <w:r w:rsidRPr="006379C1">
        <w:rPr>
          <w:rFonts w:ascii="Verdana" w:eastAsia="Calibri" w:hAnsi="Verdana" w:cs="Arial"/>
          <w:color w:val="000000" w:themeColor="text1"/>
        </w:rPr>
        <w:t xml:space="preserve">En el capítulo IV del “Documento Base o Pliego Tipo” de Licitación de Obras de Infraestructura de Transporte  – Versión 4, se señalan los criterios de evaluación, asignación de puntaje y criterios de desempate a aplicarse en el correspondiente proceso de selección, señalándose que la entidad respectiva calificará las ofertas que hayan cumplido con los requisitos habilitantes con los siguientes puntajes: i) oferta económica (48,5 puntos), </w:t>
      </w:r>
      <w:proofErr w:type="spellStart"/>
      <w:r w:rsidRPr="006379C1">
        <w:rPr>
          <w:rFonts w:ascii="Verdana" w:eastAsia="Calibri" w:hAnsi="Verdana" w:cs="Arial"/>
          <w:color w:val="000000" w:themeColor="text1"/>
        </w:rPr>
        <w:t>ii</w:t>
      </w:r>
      <w:proofErr w:type="spellEnd"/>
      <w:r w:rsidRPr="006379C1">
        <w:rPr>
          <w:rFonts w:ascii="Verdana" w:eastAsia="Calibri" w:hAnsi="Verdana" w:cs="Arial"/>
          <w:color w:val="000000" w:themeColor="text1"/>
        </w:rPr>
        <w:t xml:space="preserve">) factor de calidad (30 puntos), </w:t>
      </w:r>
      <w:proofErr w:type="spellStart"/>
      <w:r w:rsidRPr="006379C1">
        <w:rPr>
          <w:rFonts w:ascii="Verdana" w:eastAsia="Calibri" w:hAnsi="Verdana" w:cs="Arial"/>
          <w:color w:val="000000" w:themeColor="text1"/>
        </w:rPr>
        <w:t>iii</w:t>
      </w:r>
      <w:proofErr w:type="spellEnd"/>
      <w:r w:rsidRPr="006379C1">
        <w:rPr>
          <w:rFonts w:ascii="Verdana" w:eastAsia="Calibri" w:hAnsi="Verdana" w:cs="Arial"/>
          <w:color w:val="000000" w:themeColor="text1"/>
        </w:rPr>
        <w:t xml:space="preserve">) apoyo a la industria nacional (20 puntos), </w:t>
      </w:r>
      <w:proofErr w:type="spellStart"/>
      <w:r w:rsidRPr="006379C1">
        <w:rPr>
          <w:rFonts w:ascii="Verdana" w:eastAsia="Calibri" w:hAnsi="Verdana" w:cs="Arial"/>
          <w:color w:val="000000" w:themeColor="text1"/>
        </w:rPr>
        <w:t>iv</w:t>
      </w:r>
      <w:proofErr w:type="spellEnd"/>
      <w:r w:rsidRPr="006379C1">
        <w:rPr>
          <w:rFonts w:ascii="Verdana" w:eastAsia="Calibri" w:hAnsi="Verdana" w:cs="Arial"/>
          <w:color w:val="000000" w:themeColor="text1"/>
        </w:rPr>
        <w:t xml:space="preserve">) vinculación de personas con discapacidad (1 punto), v) emprendimientos y empresas de mujeres (0,25 puntos), y vi) </w:t>
      </w:r>
      <w:proofErr w:type="spellStart"/>
      <w:r w:rsidRPr="006379C1">
        <w:rPr>
          <w:rFonts w:ascii="Verdana" w:eastAsia="Calibri" w:hAnsi="Verdana" w:cs="Arial"/>
          <w:color w:val="000000" w:themeColor="text1"/>
        </w:rPr>
        <w:t>Mipyme</w:t>
      </w:r>
      <w:proofErr w:type="spellEnd"/>
      <w:r w:rsidRPr="006379C1">
        <w:rPr>
          <w:rFonts w:ascii="Verdana" w:eastAsia="Calibri" w:hAnsi="Verdana" w:cs="Arial"/>
          <w:color w:val="000000" w:themeColor="text1"/>
        </w:rPr>
        <w:t xml:space="preserve"> (0,25 puntos). </w:t>
      </w:r>
    </w:p>
    <w:p w14:paraId="1BDCA365" w14:textId="77777777" w:rsidR="000B2BFA" w:rsidRPr="006379C1" w:rsidRDefault="000B2BFA" w:rsidP="000B2BFA">
      <w:pPr>
        <w:pStyle w:val="Prrafodelista"/>
        <w:rPr>
          <w:rFonts w:ascii="Verdana" w:eastAsia="Calibri" w:hAnsi="Verdana" w:cs="Arial"/>
        </w:rPr>
      </w:pPr>
    </w:p>
    <w:p w14:paraId="7A750B37" w14:textId="77777777" w:rsidR="000B2BFA" w:rsidRPr="006379C1" w:rsidRDefault="000B2BFA" w:rsidP="000B2BFA">
      <w:pPr>
        <w:pStyle w:val="Prrafodelista"/>
        <w:numPr>
          <w:ilvl w:val="0"/>
          <w:numId w:val="17"/>
        </w:numPr>
        <w:spacing w:after="120" w:line="278" w:lineRule="auto"/>
        <w:jc w:val="both"/>
        <w:rPr>
          <w:rFonts w:ascii="Verdana" w:eastAsia="Times New Roman" w:hAnsi="Verdana" w:cs="Arial"/>
          <w:lang w:val="es-CO" w:eastAsia="es-ES_tradnl"/>
        </w:rPr>
      </w:pPr>
      <w:r w:rsidRPr="006379C1">
        <w:rPr>
          <w:rFonts w:ascii="Verdana" w:eastAsia="Calibri" w:hAnsi="Verdana" w:cs="Arial"/>
        </w:rPr>
        <w:t xml:space="preserve">De otro lado, el numeral 4.2. establece </w:t>
      </w:r>
      <w:proofErr w:type="gramStart"/>
      <w:r w:rsidRPr="006379C1">
        <w:rPr>
          <w:rFonts w:ascii="Verdana" w:eastAsia="Calibri" w:hAnsi="Verdana" w:cs="Arial"/>
        </w:rPr>
        <w:t>que</w:t>
      </w:r>
      <w:proofErr w:type="gramEnd"/>
      <w:r w:rsidRPr="006379C1">
        <w:rPr>
          <w:rFonts w:ascii="Verdana" w:eastAsia="Calibri" w:hAnsi="Verdana" w:cs="Arial"/>
        </w:rPr>
        <w:t xml:space="preserve"> de acuerdo con la justificación consignada en el estudio del sector, estudios y documentos previos, la entidad contratante deberá elegir una o algunas de las siguientes opciones previstas para evaluar el factor calidad, siendo estas: (i) implementación </w:t>
      </w:r>
      <w:r w:rsidRPr="006379C1">
        <w:rPr>
          <w:rFonts w:ascii="Verdana" w:eastAsia="Calibri" w:hAnsi="Verdana" w:cs="Arial"/>
        </w:rPr>
        <w:lastRenderedPageBreak/>
        <w:t>del programa de gerencia de proyectos; (</w:t>
      </w:r>
      <w:proofErr w:type="spellStart"/>
      <w:r w:rsidRPr="006379C1">
        <w:rPr>
          <w:rFonts w:ascii="Verdana" w:eastAsia="Calibri" w:hAnsi="Verdana" w:cs="Arial"/>
        </w:rPr>
        <w:t>ii</w:t>
      </w:r>
      <w:proofErr w:type="spellEnd"/>
      <w:r w:rsidRPr="006379C1">
        <w:rPr>
          <w:rFonts w:ascii="Verdana" w:eastAsia="Calibri" w:hAnsi="Verdana" w:cs="Arial"/>
        </w:rPr>
        <w:t>) disponibilidad y condiciones funcionales de la maquinaria de obra y (</w:t>
      </w:r>
      <w:proofErr w:type="spellStart"/>
      <w:r w:rsidRPr="006379C1">
        <w:rPr>
          <w:rFonts w:ascii="Verdana" w:eastAsia="Calibri" w:hAnsi="Verdana" w:cs="Arial"/>
        </w:rPr>
        <w:t>iii</w:t>
      </w:r>
      <w:proofErr w:type="spellEnd"/>
      <w:r w:rsidRPr="006379C1">
        <w:rPr>
          <w:rFonts w:ascii="Verdana" w:eastAsia="Calibri" w:hAnsi="Verdana" w:cs="Arial"/>
        </w:rPr>
        <w:t>) presentación de un plan de calidad. Así mismo, se establece que la entidad deberá incluir el criterio ambiental y social, el cual está sujeto al rango de cuantía de acuerdo con el Presupuesto Oficial del Proceso de Contratación.</w:t>
      </w:r>
    </w:p>
    <w:p w14:paraId="773C3FA7" w14:textId="77777777" w:rsidR="000B2BFA" w:rsidRPr="006379C1" w:rsidRDefault="000B2BFA" w:rsidP="000B2BFA">
      <w:pPr>
        <w:pStyle w:val="Prrafodelista"/>
        <w:rPr>
          <w:rFonts w:ascii="Verdana" w:eastAsia="Times New Roman" w:hAnsi="Verdana" w:cs="Arial"/>
          <w:lang w:eastAsia="es-ES_tradnl"/>
        </w:rPr>
      </w:pPr>
    </w:p>
    <w:p w14:paraId="5D62E17A" w14:textId="77777777" w:rsidR="000B2BFA" w:rsidRPr="006379C1" w:rsidRDefault="000B2BFA" w:rsidP="000B2BFA">
      <w:pPr>
        <w:pStyle w:val="Prrafodelista"/>
        <w:numPr>
          <w:ilvl w:val="0"/>
          <w:numId w:val="17"/>
        </w:numPr>
        <w:spacing w:after="120" w:line="278" w:lineRule="auto"/>
        <w:jc w:val="both"/>
        <w:rPr>
          <w:rFonts w:ascii="Verdana" w:eastAsia="Times New Roman" w:hAnsi="Verdana" w:cs="Arial"/>
          <w:lang w:val="es-CO" w:eastAsia="es-ES_tradnl"/>
        </w:rPr>
      </w:pPr>
      <w:r w:rsidRPr="006379C1">
        <w:rPr>
          <w:rFonts w:ascii="Verdana" w:eastAsia="Calibri" w:hAnsi="Verdana" w:cs="Arial"/>
        </w:rPr>
        <w:t>Las opciones mencionadas se identifican en el documento base resaltadas en gris y entre corchetes, aspecto que indica la libertad de la entidad para efectuar la selección de la o las opciones que considerará para la asignación del puntaje del factor calidad, así como el valor de cada una, de acuerdo con las instrucciones que allí se establecen.</w:t>
      </w:r>
    </w:p>
    <w:p w14:paraId="3570F03E" w14:textId="77777777" w:rsidR="000B2BFA" w:rsidRPr="00906AA9" w:rsidRDefault="000B2BFA" w:rsidP="000B2BFA">
      <w:pPr>
        <w:pStyle w:val="Prrafodelista"/>
        <w:rPr>
          <w:rFonts w:ascii="Verdana" w:eastAsia="Times New Roman" w:hAnsi="Verdana" w:cs="Arial"/>
          <w:lang w:eastAsia="es-ES_tradnl"/>
        </w:rPr>
      </w:pPr>
    </w:p>
    <w:p w14:paraId="48BD5C14" w14:textId="77777777" w:rsidR="000B2BFA" w:rsidRPr="006379C1" w:rsidRDefault="000B2BFA" w:rsidP="000B2BFA">
      <w:pPr>
        <w:pStyle w:val="Prrafodelista"/>
        <w:numPr>
          <w:ilvl w:val="0"/>
          <w:numId w:val="17"/>
        </w:numPr>
        <w:spacing w:after="0" w:line="278" w:lineRule="auto"/>
        <w:contextualSpacing w:val="0"/>
        <w:jc w:val="both"/>
        <w:rPr>
          <w:rFonts w:ascii="Verdana" w:eastAsia="Times New Roman" w:hAnsi="Verdana" w:cs="Arial"/>
          <w:lang w:val="es-CO" w:eastAsia="es-ES_tradnl"/>
        </w:rPr>
      </w:pPr>
      <w:r w:rsidRPr="006379C1">
        <w:rPr>
          <w:rFonts w:ascii="Verdana" w:eastAsia="Calibri" w:hAnsi="Verdana" w:cs="Arial"/>
        </w:rPr>
        <w:t>De igual forma, precisa el numeral 4.2 del pliego tipo, como parte de la valoración del factor calidad, que las entidades estatales deberán consultar el Registro Nacional de Obras Civiles Inconclusas, de que trata la Ley 2020 de 2020, y descontar un (1) punto de la sumatoria obtenida en relación con el factor de calidad al proponente que cuente con alguna anotación vigente. Al respecto se dispone lo siguiente:</w:t>
      </w:r>
    </w:p>
    <w:p w14:paraId="23825823" w14:textId="77777777" w:rsidR="000B2BFA" w:rsidRPr="00906AA9" w:rsidRDefault="000B2BFA" w:rsidP="000B2BFA">
      <w:pPr>
        <w:spacing w:after="0" w:line="276" w:lineRule="auto"/>
        <w:jc w:val="both"/>
        <w:rPr>
          <w:rFonts w:ascii="Verdana" w:eastAsia="Calibri" w:hAnsi="Verdana" w:cs="Arial"/>
          <w:lang w:val="es-MX"/>
        </w:rPr>
      </w:pPr>
    </w:p>
    <w:p w14:paraId="5A7C0DA1" w14:textId="77777777" w:rsidR="000B2BFA" w:rsidRPr="003E7076" w:rsidRDefault="000B2BFA" w:rsidP="000B2BFA">
      <w:pPr>
        <w:tabs>
          <w:tab w:val="left" w:pos="709"/>
        </w:tabs>
        <w:spacing w:after="120" w:line="240" w:lineRule="auto"/>
        <w:ind w:left="709" w:right="567"/>
        <w:jc w:val="both"/>
        <w:rPr>
          <w:rFonts w:ascii="Verdana" w:hAnsi="Verdana" w:cs="Arial"/>
          <w:sz w:val="20"/>
          <w:szCs w:val="20"/>
          <w:lang w:val="es-MX"/>
        </w:rPr>
      </w:pPr>
      <w:r w:rsidRPr="003E7076">
        <w:rPr>
          <w:rFonts w:ascii="Verdana" w:hAnsi="Verdana" w:cs="Arial"/>
          <w:sz w:val="20"/>
          <w:szCs w:val="20"/>
          <w:lang w:val="es-MX"/>
        </w:rPr>
        <w:t>“(…)</w:t>
      </w:r>
    </w:p>
    <w:p w14:paraId="6423CE4D" w14:textId="77777777" w:rsidR="000B2BFA" w:rsidRPr="003E7076" w:rsidRDefault="000B2BFA" w:rsidP="000B2BFA">
      <w:pPr>
        <w:tabs>
          <w:tab w:val="left" w:pos="709"/>
        </w:tabs>
        <w:spacing w:after="120" w:line="240" w:lineRule="auto"/>
        <w:ind w:left="709" w:right="567"/>
        <w:jc w:val="both"/>
        <w:rPr>
          <w:rFonts w:ascii="Verdana" w:hAnsi="Verdana" w:cs="Arial"/>
          <w:sz w:val="20"/>
          <w:szCs w:val="20"/>
          <w:lang w:val="es-MX"/>
        </w:rPr>
      </w:pPr>
      <w:r w:rsidRPr="003E7076">
        <w:rPr>
          <w:rFonts w:ascii="Verdana" w:hAnsi="Verdana" w:cs="Arial"/>
          <w:sz w:val="20"/>
          <w:szCs w:val="20"/>
          <w:lang w:val="es-MX"/>
        </w:rPr>
        <w:t xml:space="preserve">Las Entidades Estatales deben consultar y analizar las anotaciones vigentes que reposen en el Registro Nacional de Obras Civiles Inconclusas, de que trata la Ley 2020 de 2020. En el evento que las personas naturales o jurídicas, nacionales o extranjeras domiciliadas o con sucursal en Colombia, o integrantes de Proponentes Plurales, cuenten con alguna anotación vigente de obra civil inconclusa, en el mencionado registro, se descontará un (1) punto de la sumatoria obtenida en relación con el factor de calidad. </w:t>
      </w:r>
    </w:p>
    <w:p w14:paraId="4CAE40A1" w14:textId="77777777" w:rsidR="000B2BFA" w:rsidRPr="003E7076" w:rsidRDefault="000B2BFA" w:rsidP="000B2BFA">
      <w:pPr>
        <w:tabs>
          <w:tab w:val="left" w:pos="709"/>
        </w:tabs>
        <w:spacing w:after="0" w:line="240" w:lineRule="auto"/>
        <w:ind w:left="709" w:right="567"/>
        <w:jc w:val="both"/>
        <w:rPr>
          <w:rFonts w:ascii="Verdana" w:hAnsi="Verdana" w:cs="Arial"/>
          <w:sz w:val="20"/>
          <w:szCs w:val="20"/>
          <w:lang w:val="es-ES"/>
        </w:rPr>
      </w:pPr>
      <w:r w:rsidRPr="003E7076">
        <w:rPr>
          <w:rFonts w:ascii="Verdana" w:hAnsi="Verdana" w:cs="Arial"/>
          <w:sz w:val="20"/>
          <w:szCs w:val="20"/>
          <w:lang w:val="es-MX"/>
        </w:rPr>
        <w:t xml:space="preserve">En todo caso, no se descontará el puntaje en los términos previstos en el inciso anterior cuando el Proponente no oferte el factor de calidad, por lo que éste obtendrá cero (0) puntos en este criterio de evaluación. En esta circunstancia, la Entidad no podrá reducir el puntaje de la sumatoria obtenida en los demás factores de ponderación”. </w:t>
      </w:r>
    </w:p>
    <w:p w14:paraId="53F24677" w14:textId="77777777" w:rsidR="000B2BFA" w:rsidRPr="003E7076" w:rsidRDefault="000B2BFA" w:rsidP="000B2BFA">
      <w:pPr>
        <w:pStyle w:val="Prrafodelista"/>
        <w:spacing w:after="0" w:line="276" w:lineRule="auto"/>
        <w:contextualSpacing w:val="0"/>
        <w:jc w:val="both"/>
        <w:rPr>
          <w:rFonts w:ascii="Verdana" w:eastAsia="Calibri" w:hAnsi="Verdana" w:cs="Arial"/>
          <w:lang w:val="es-MX"/>
        </w:rPr>
      </w:pPr>
    </w:p>
    <w:p w14:paraId="1086253D" w14:textId="77777777" w:rsidR="000B2BFA" w:rsidRPr="00370F98" w:rsidRDefault="000B2BFA" w:rsidP="000B2BFA">
      <w:pPr>
        <w:pStyle w:val="Prrafodelista"/>
        <w:numPr>
          <w:ilvl w:val="0"/>
          <w:numId w:val="17"/>
        </w:numPr>
        <w:spacing w:before="120" w:after="0" w:line="276" w:lineRule="auto"/>
        <w:jc w:val="both"/>
        <w:rPr>
          <w:rFonts w:ascii="Verdana" w:eastAsia="Calibri" w:hAnsi="Verdana" w:cs="Arial"/>
          <w:lang w:val="es-MX"/>
        </w:rPr>
      </w:pPr>
      <w:r>
        <w:rPr>
          <w:rFonts w:ascii="Verdana" w:eastAsia="Calibri" w:hAnsi="Verdana" w:cs="Arial"/>
          <w:lang w:val="es-MX"/>
        </w:rPr>
        <w:t>E</w:t>
      </w:r>
      <w:r w:rsidRPr="00370F98">
        <w:rPr>
          <w:rFonts w:ascii="Verdana" w:eastAsia="Calibri" w:hAnsi="Verdana" w:cs="Arial"/>
          <w:lang w:val="es-MX"/>
        </w:rPr>
        <w:t>l inicio de</w:t>
      </w:r>
      <w:r>
        <w:rPr>
          <w:rFonts w:ascii="Verdana" w:eastAsia="Calibri" w:hAnsi="Verdana" w:cs="Arial"/>
          <w:lang w:val="es-MX"/>
        </w:rPr>
        <w:t>l primer</w:t>
      </w:r>
      <w:r w:rsidRPr="00370F98">
        <w:rPr>
          <w:rFonts w:ascii="Verdana" w:eastAsia="Calibri" w:hAnsi="Verdana" w:cs="Arial"/>
          <w:lang w:val="es-MX"/>
        </w:rPr>
        <w:t xml:space="preserve"> párrafo </w:t>
      </w:r>
      <w:proofErr w:type="gramStart"/>
      <w:r>
        <w:rPr>
          <w:rFonts w:ascii="Verdana" w:eastAsia="Calibri" w:hAnsi="Verdana" w:cs="Arial"/>
          <w:lang w:val="es-MX"/>
        </w:rPr>
        <w:t>señalado</w:t>
      </w:r>
      <w:bookmarkStart w:id="2" w:name="ver_30223091"/>
      <w:r w:rsidRPr="00370F98">
        <w:rPr>
          <w:rFonts w:ascii="Verdana" w:eastAsia="Calibri" w:hAnsi="Verdana" w:cs="Arial"/>
          <w:lang w:val="es-MX"/>
        </w:rPr>
        <w:t>,</w:t>
      </w:r>
      <w:proofErr w:type="gramEnd"/>
      <w:r w:rsidRPr="00370F98">
        <w:rPr>
          <w:rFonts w:ascii="Verdana" w:eastAsia="Calibri" w:hAnsi="Verdana" w:cs="Arial"/>
          <w:lang w:val="es-MX"/>
        </w:rPr>
        <w:t xml:space="preserve"> prescribe el deber de las entidades estatales de consultar y analizar las anotaciones vigentes que reposan en el Registro Nacional de Obras Civiles Inconclusas, lo cual guarda coherencia con el artículo 6 de la Ley 2020 de 2020. </w:t>
      </w:r>
    </w:p>
    <w:p w14:paraId="054F5F1E" w14:textId="77777777" w:rsidR="000B2BFA" w:rsidRPr="00370F98" w:rsidRDefault="000B2BFA" w:rsidP="000B2BFA">
      <w:pPr>
        <w:pStyle w:val="Prrafodelista"/>
        <w:spacing w:before="120" w:after="0" w:line="276" w:lineRule="auto"/>
        <w:jc w:val="both"/>
        <w:rPr>
          <w:rFonts w:ascii="Verdana" w:eastAsia="Calibri" w:hAnsi="Verdana" w:cs="Arial"/>
          <w:lang w:val="es-MX"/>
        </w:rPr>
      </w:pPr>
    </w:p>
    <w:p w14:paraId="5100C017" w14:textId="77777777" w:rsidR="000B2BFA" w:rsidRPr="003E5687" w:rsidRDefault="000B2BFA" w:rsidP="000B2BFA">
      <w:pPr>
        <w:pStyle w:val="Prrafodelista"/>
        <w:numPr>
          <w:ilvl w:val="0"/>
          <w:numId w:val="17"/>
        </w:numPr>
        <w:spacing w:after="0" w:line="276" w:lineRule="auto"/>
        <w:contextualSpacing w:val="0"/>
        <w:jc w:val="both"/>
        <w:rPr>
          <w:rFonts w:ascii="Verdana" w:eastAsia="Calibri" w:hAnsi="Verdana" w:cs="Arial"/>
          <w:lang w:val="es-MX"/>
        </w:rPr>
      </w:pPr>
      <w:r w:rsidRPr="00370F98">
        <w:rPr>
          <w:rFonts w:ascii="Verdana" w:eastAsia="Calibri" w:hAnsi="Verdana" w:cs="Arial"/>
          <w:lang w:val="es-MX"/>
        </w:rPr>
        <w:lastRenderedPageBreak/>
        <w:t>En efecto, este primer aparte del párrafo</w:t>
      </w:r>
      <w:r w:rsidRPr="00370F98">
        <w:rPr>
          <w:rFonts w:ascii="Verdana" w:eastAsia="Times New Roman" w:hAnsi="Verdana" w:cs="Arial"/>
          <w:lang w:eastAsia="es-ES_tradnl"/>
        </w:rPr>
        <w:t xml:space="preserve"> señalado</w:t>
      </w:r>
      <w:r w:rsidRPr="00370F98">
        <w:rPr>
          <w:rFonts w:ascii="Verdana" w:eastAsia="Calibri" w:hAnsi="Verdana" w:cs="Arial"/>
          <w:lang w:val="es-MX"/>
        </w:rPr>
        <w:t xml:space="preserve"> es esencialmente una transcripción del inciso primero del artículo 6, el cual dispone que </w:t>
      </w:r>
      <w:r w:rsidRPr="00370F98">
        <w:rPr>
          <w:rFonts w:ascii="Verdana" w:eastAsia="Times New Roman" w:hAnsi="Verdana" w:cs="Arial"/>
          <w:i/>
          <w:iCs/>
          <w:lang w:eastAsia="es-ES_tradnl"/>
        </w:rPr>
        <w:t>“</w:t>
      </w:r>
      <w:r w:rsidRPr="00370F98">
        <w:rPr>
          <w:rFonts w:ascii="Verdana" w:eastAsia="Calibri" w:hAnsi="Verdana" w:cs="Arial"/>
          <w:i/>
          <w:iCs/>
          <w:lang w:val="es-MX"/>
        </w:rPr>
        <w:t>En los procesos de contratación de obras públicas que adelanten las entidades estatales contratantes, sin importar la cuantía, deberán</w:t>
      </w:r>
      <w:r w:rsidRPr="00370F98">
        <w:rPr>
          <w:rFonts w:ascii="Verdana" w:eastAsia="Calibri" w:hAnsi="Verdana" w:cs="Arial"/>
          <w:b/>
          <w:i/>
          <w:iCs/>
          <w:lang w:val="es-MX"/>
        </w:rPr>
        <w:t xml:space="preserve"> </w:t>
      </w:r>
      <w:r w:rsidRPr="00370F98">
        <w:rPr>
          <w:rFonts w:ascii="Verdana" w:eastAsia="Calibri" w:hAnsi="Verdana" w:cs="Arial"/>
          <w:i/>
          <w:iCs/>
          <w:lang w:val="es-MX"/>
        </w:rPr>
        <w:t>consultar y analizar las anotaciones vigentes que presenten las personas naturales o jurídicas, nacionales o extranjeras domiciliadas o con sucursal en Colombia, en el Registro Nacional de Obras Civiles Inconclusas</w:t>
      </w:r>
      <w:r w:rsidRPr="00370F98">
        <w:rPr>
          <w:rFonts w:ascii="Verdana" w:eastAsia="Times New Roman" w:hAnsi="Verdana" w:cs="Arial"/>
          <w:lang w:eastAsia="es-ES_tradnl"/>
        </w:rPr>
        <w:t>”</w:t>
      </w:r>
      <w:r w:rsidRPr="00370F98">
        <w:rPr>
          <w:rFonts w:ascii="Verdana" w:eastAsia="Calibri" w:hAnsi="Verdana" w:cs="Arial"/>
          <w:lang w:val="es-MX"/>
        </w:rPr>
        <w:t xml:space="preserve">. Nótese que los términos de </w:t>
      </w:r>
      <w:r w:rsidRPr="00370F98">
        <w:rPr>
          <w:rFonts w:ascii="Verdana" w:eastAsia="Times New Roman" w:hAnsi="Verdana" w:cs="Arial"/>
          <w:lang w:eastAsia="es-ES_tradnl"/>
        </w:rPr>
        <w:t>“</w:t>
      </w:r>
      <w:r w:rsidRPr="00370F98">
        <w:rPr>
          <w:rFonts w:ascii="Verdana" w:eastAsia="Calibri" w:hAnsi="Verdana" w:cs="Arial"/>
          <w:lang w:val="es-MX"/>
        </w:rPr>
        <w:t>consultar y analizar</w:t>
      </w:r>
      <w:r w:rsidRPr="00370F98">
        <w:rPr>
          <w:rFonts w:ascii="Verdana" w:eastAsia="Times New Roman" w:hAnsi="Verdana" w:cs="Arial"/>
          <w:lang w:eastAsia="es-ES_tradnl"/>
        </w:rPr>
        <w:t>”</w:t>
      </w:r>
      <w:r w:rsidRPr="00370F98">
        <w:rPr>
          <w:rFonts w:ascii="Verdana" w:eastAsia="Calibri" w:hAnsi="Verdana" w:cs="Arial"/>
          <w:lang w:val="es-MX"/>
        </w:rPr>
        <w:t xml:space="preserve">, son empleados tanto en </w:t>
      </w:r>
      <w:r>
        <w:rPr>
          <w:rFonts w:ascii="Verdana" w:eastAsia="Calibri" w:hAnsi="Verdana" w:cs="Arial"/>
          <w:lang w:val="es-MX"/>
        </w:rPr>
        <w:t>el d</w:t>
      </w:r>
      <w:r w:rsidRPr="003E5687">
        <w:rPr>
          <w:rFonts w:ascii="Verdana" w:eastAsia="Calibri" w:hAnsi="Verdana" w:cs="Arial"/>
          <w:lang w:val="es-MX"/>
        </w:rPr>
        <w:t xml:space="preserve">ocumento </w:t>
      </w:r>
      <w:r>
        <w:rPr>
          <w:rFonts w:ascii="Verdana" w:eastAsia="Calibri" w:hAnsi="Verdana" w:cs="Arial"/>
          <w:lang w:val="es-MX"/>
        </w:rPr>
        <w:t>b</w:t>
      </w:r>
      <w:r w:rsidRPr="003E5687">
        <w:rPr>
          <w:rFonts w:ascii="Verdana" w:eastAsia="Calibri" w:hAnsi="Verdana" w:cs="Arial"/>
          <w:lang w:val="es-MX"/>
        </w:rPr>
        <w:t xml:space="preserve">ase como en la disposición señalada. </w:t>
      </w:r>
    </w:p>
    <w:p w14:paraId="24D6030E" w14:textId="77777777" w:rsidR="000B2BFA" w:rsidRPr="003E5687" w:rsidRDefault="000B2BFA" w:rsidP="000B2BFA">
      <w:pPr>
        <w:spacing w:after="0" w:line="276" w:lineRule="auto"/>
        <w:jc w:val="both"/>
        <w:rPr>
          <w:rFonts w:ascii="Verdana" w:eastAsia="Calibri" w:hAnsi="Verdana" w:cs="Arial"/>
          <w:lang w:val="es-MX"/>
        </w:rPr>
      </w:pPr>
    </w:p>
    <w:p w14:paraId="413FFB9D" w14:textId="77777777" w:rsidR="000B2BFA" w:rsidRDefault="000B2BFA" w:rsidP="000B2BFA">
      <w:pPr>
        <w:pStyle w:val="Prrafodelista"/>
        <w:numPr>
          <w:ilvl w:val="0"/>
          <w:numId w:val="17"/>
        </w:numPr>
        <w:spacing w:after="0" w:line="276" w:lineRule="auto"/>
        <w:contextualSpacing w:val="0"/>
        <w:jc w:val="both"/>
        <w:rPr>
          <w:rFonts w:ascii="Verdana" w:eastAsia="Calibri" w:hAnsi="Verdana" w:cs="Arial"/>
          <w:lang w:val="es-MX"/>
        </w:rPr>
      </w:pPr>
      <w:r w:rsidRPr="00370F98">
        <w:rPr>
          <w:rFonts w:ascii="Verdana" w:eastAsia="Calibri" w:hAnsi="Verdana" w:cs="Arial"/>
          <w:lang w:val="es-MX"/>
        </w:rPr>
        <w:t xml:space="preserve">Estos vocablos revisten especial importancia, pues con base en ese análisis la Entidad Estatal descontará un punto de la sumatoria obtenida en relación con el factor calidad. En otras palabras, en el evento en que las personas naturales o jurídicas, nacionales o extranjeras domiciliadas o con sucursal en Colombia, o integrantes de proponentes plurales, cuenten con una anotación en dicho registro, le corresponde a la entidad examinar la particularidad de la anotación y determinar si la misma es suficiente para descontar el punto de la sumatoria total en relación con el factor de calidad. </w:t>
      </w:r>
    </w:p>
    <w:p w14:paraId="4EA49378" w14:textId="77777777" w:rsidR="000B2BFA" w:rsidRPr="00370F98" w:rsidRDefault="000B2BFA" w:rsidP="000B2BFA">
      <w:pPr>
        <w:pStyle w:val="Prrafodelista"/>
        <w:spacing w:after="0" w:line="276" w:lineRule="auto"/>
        <w:contextualSpacing w:val="0"/>
        <w:jc w:val="both"/>
        <w:rPr>
          <w:rFonts w:ascii="Verdana" w:eastAsia="Calibri" w:hAnsi="Verdana" w:cs="Arial"/>
          <w:lang w:val="es-MX"/>
        </w:rPr>
      </w:pPr>
    </w:p>
    <w:p w14:paraId="1ABA4FD8" w14:textId="77777777" w:rsidR="000B2BFA" w:rsidRPr="00370F98" w:rsidRDefault="000B2BFA" w:rsidP="000B2BFA">
      <w:pPr>
        <w:pStyle w:val="Prrafodelista"/>
        <w:numPr>
          <w:ilvl w:val="0"/>
          <w:numId w:val="17"/>
        </w:numPr>
        <w:spacing w:before="120" w:after="0" w:line="276" w:lineRule="auto"/>
        <w:jc w:val="both"/>
        <w:rPr>
          <w:rFonts w:ascii="Verdana" w:eastAsia="Calibri" w:hAnsi="Verdana" w:cs="Arial"/>
          <w:lang w:val="es-MX"/>
        </w:rPr>
      </w:pPr>
      <w:r w:rsidRPr="00370F98">
        <w:rPr>
          <w:rFonts w:ascii="Verdana" w:eastAsia="Calibri" w:hAnsi="Verdana" w:cs="Arial"/>
          <w:lang w:val="es-MX"/>
        </w:rPr>
        <w:t xml:space="preserve">De esta manera, la connotación de las palabras </w:t>
      </w:r>
      <w:r w:rsidRPr="00370F98">
        <w:rPr>
          <w:rFonts w:ascii="Verdana" w:eastAsia="Times New Roman" w:hAnsi="Verdana" w:cs="Arial"/>
          <w:lang w:eastAsia="es-ES_tradnl"/>
        </w:rPr>
        <w:t xml:space="preserve">“consultar y </w:t>
      </w:r>
      <w:r w:rsidRPr="00370F98">
        <w:rPr>
          <w:rFonts w:ascii="Verdana" w:eastAsia="Calibri" w:hAnsi="Verdana" w:cs="Arial"/>
          <w:lang w:val="es-MX"/>
        </w:rPr>
        <w:t>analizar</w:t>
      </w:r>
      <w:r w:rsidRPr="00370F98">
        <w:rPr>
          <w:rFonts w:ascii="Verdana" w:eastAsia="Times New Roman" w:hAnsi="Verdana" w:cs="Arial"/>
          <w:lang w:eastAsia="es-ES_tradnl"/>
        </w:rPr>
        <w:t xml:space="preserve">” </w:t>
      </w:r>
      <w:r w:rsidRPr="00370F98">
        <w:rPr>
          <w:rFonts w:ascii="Verdana" w:eastAsia="Calibri" w:hAnsi="Verdana" w:cs="Arial"/>
          <w:lang w:val="es-MX"/>
        </w:rPr>
        <w:t xml:space="preserve">constituyen el marco respecto del cual se circunscribe el deber de la entidad de tener en cuenta las anotaciones en el Registro Nacional de Obras Civiles Inconclusas, para efectos de la evaluación de los factores de ponderación de calidad. En otras palabras, las expresiones </w:t>
      </w:r>
      <w:r w:rsidRPr="00370F98">
        <w:rPr>
          <w:rFonts w:ascii="Verdana" w:eastAsia="Times New Roman" w:hAnsi="Verdana" w:cs="Arial"/>
          <w:lang w:eastAsia="es-ES_tradnl"/>
        </w:rPr>
        <w:t xml:space="preserve">“consultar y </w:t>
      </w:r>
      <w:r w:rsidRPr="00370F98">
        <w:rPr>
          <w:rFonts w:ascii="Verdana" w:eastAsia="Calibri" w:hAnsi="Verdana" w:cs="Arial"/>
          <w:lang w:val="es-MX"/>
        </w:rPr>
        <w:t>analizar</w:t>
      </w:r>
      <w:r w:rsidRPr="00370F98">
        <w:rPr>
          <w:rFonts w:ascii="Verdana" w:eastAsia="Times New Roman" w:hAnsi="Verdana" w:cs="Arial"/>
          <w:lang w:eastAsia="es-ES_tradnl"/>
        </w:rPr>
        <w:t>”</w:t>
      </w:r>
      <w:r w:rsidRPr="00370F98">
        <w:rPr>
          <w:rFonts w:ascii="Verdana" w:eastAsia="Calibri" w:hAnsi="Verdana" w:cs="Arial"/>
          <w:lang w:val="es-MX"/>
        </w:rPr>
        <w:t>, determinan el alcance de la interpretación tanto del contenido del artículo 6 de la Ley 2020 de 2020, como en el texto establecido en los Documentos Base, sobre el Registro Nacional de Obras Civiles Inconclusas. En consecuencia, el primer aparte del párrafo del documento base determina el alcance del texto, mientras que el segundo fragmento dispone la consecuencia jurídica,</w:t>
      </w:r>
      <w:r>
        <w:rPr>
          <w:rFonts w:ascii="Verdana" w:eastAsia="Calibri" w:hAnsi="Verdana" w:cs="Arial"/>
          <w:lang w:val="es-MX"/>
        </w:rPr>
        <w:t xml:space="preserve"> esto es, -descontar un (1) punto de la sumatoria obtenida en relación con el factor de calidad-,</w:t>
      </w:r>
      <w:r w:rsidRPr="00370F98">
        <w:rPr>
          <w:rFonts w:ascii="Verdana" w:eastAsia="Calibri" w:hAnsi="Verdana" w:cs="Arial"/>
          <w:lang w:val="es-MX"/>
        </w:rPr>
        <w:t xml:space="preserve"> por lo que este último no puede desligarse del otro y su interpretación debe realizarse en contexto. </w:t>
      </w:r>
    </w:p>
    <w:p w14:paraId="7895BE7F" w14:textId="77777777" w:rsidR="000B2BFA" w:rsidRPr="00370F98" w:rsidRDefault="000B2BFA" w:rsidP="000B2BFA">
      <w:pPr>
        <w:pStyle w:val="Prrafodelista"/>
        <w:spacing w:before="120" w:after="0" w:line="276" w:lineRule="auto"/>
        <w:jc w:val="both"/>
        <w:rPr>
          <w:rFonts w:ascii="Verdana" w:eastAsia="Calibri" w:hAnsi="Verdana" w:cs="Arial"/>
          <w:lang w:val="es-MX"/>
        </w:rPr>
      </w:pPr>
    </w:p>
    <w:p w14:paraId="23BA14B6" w14:textId="77777777" w:rsidR="000B2BFA" w:rsidRPr="00370F98" w:rsidRDefault="000B2BFA" w:rsidP="000B2BFA">
      <w:pPr>
        <w:pStyle w:val="Prrafodelista"/>
        <w:numPr>
          <w:ilvl w:val="0"/>
          <w:numId w:val="17"/>
        </w:numPr>
        <w:spacing w:after="0" w:line="276" w:lineRule="auto"/>
        <w:contextualSpacing w:val="0"/>
        <w:jc w:val="both"/>
        <w:rPr>
          <w:rFonts w:ascii="Verdana" w:eastAsia="Calibri" w:hAnsi="Verdana" w:cs="Arial"/>
          <w:lang w:val="es-MX"/>
        </w:rPr>
      </w:pPr>
      <w:r w:rsidRPr="00370F98">
        <w:rPr>
          <w:rFonts w:ascii="Verdana" w:eastAsia="Calibri" w:hAnsi="Verdana" w:cs="Arial"/>
          <w:lang w:val="es-MX"/>
        </w:rPr>
        <w:t>Bajo estas consideraciones, la interpretación adecuada para lo dispuesto en el</w:t>
      </w:r>
      <w:r>
        <w:rPr>
          <w:rFonts w:ascii="Verdana" w:eastAsia="Calibri" w:hAnsi="Verdana" w:cs="Arial"/>
          <w:lang w:val="es-MX"/>
        </w:rPr>
        <w:t xml:space="preserve"> numeral 4.2 del</w:t>
      </w:r>
      <w:r w:rsidRPr="00370F98">
        <w:rPr>
          <w:rFonts w:ascii="Verdana" w:eastAsia="Calibri" w:hAnsi="Verdana" w:cs="Arial"/>
          <w:lang w:val="es-MX"/>
        </w:rPr>
        <w:t xml:space="preserve"> </w:t>
      </w:r>
      <w:r>
        <w:rPr>
          <w:rFonts w:ascii="Verdana" w:eastAsia="Calibri" w:hAnsi="Verdana" w:cs="Arial"/>
          <w:lang w:val="es-MX"/>
        </w:rPr>
        <w:t>d</w:t>
      </w:r>
      <w:r w:rsidRPr="00370F98">
        <w:rPr>
          <w:rFonts w:ascii="Verdana" w:eastAsia="Calibri" w:hAnsi="Verdana" w:cs="Arial"/>
          <w:lang w:val="es-MX"/>
        </w:rPr>
        <w:t xml:space="preserve">ocumento </w:t>
      </w:r>
      <w:r>
        <w:rPr>
          <w:rFonts w:ascii="Verdana" w:eastAsia="Calibri" w:hAnsi="Verdana" w:cs="Arial"/>
          <w:lang w:val="es-MX"/>
        </w:rPr>
        <w:t>b</w:t>
      </w:r>
      <w:r w:rsidRPr="00370F98">
        <w:rPr>
          <w:rFonts w:ascii="Verdana" w:eastAsia="Calibri" w:hAnsi="Verdana" w:cs="Arial"/>
          <w:lang w:val="es-MX"/>
        </w:rPr>
        <w:t>ase</w:t>
      </w:r>
      <w:r>
        <w:rPr>
          <w:rFonts w:ascii="Verdana" w:eastAsia="Calibri" w:hAnsi="Verdana" w:cs="Arial"/>
          <w:lang w:val="es-MX"/>
        </w:rPr>
        <w:t>,</w:t>
      </w:r>
      <w:r w:rsidRPr="00370F98">
        <w:rPr>
          <w:rFonts w:ascii="Verdana" w:eastAsia="Calibri" w:hAnsi="Verdana" w:cs="Arial"/>
          <w:lang w:val="es-MX"/>
        </w:rPr>
        <w:t xml:space="preserve"> es que para descontar el punto de </w:t>
      </w:r>
      <w:r w:rsidRPr="00370F98">
        <w:rPr>
          <w:rFonts w:ascii="Verdana" w:eastAsia="Calibri" w:hAnsi="Verdana" w:cs="Arial"/>
          <w:lang w:val="es-MX"/>
        </w:rPr>
        <w:lastRenderedPageBreak/>
        <w:t xml:space="preserve">la sumatoria obtenida en relación con los criterios de evaluación, la entidad deberá consultar y analizar las anotaciones vigentes en el Registro Nacional de Obras Civiles Inconclusas. Con este panorama, la pregunta que surge a continuación es la siguiente: ¿cómo analizar las anotaciones para descontar el punto? Consideramos adecuado, por ejemplo, que en este análisis la entidad verifique si existen anotaciones relacionadas con el incumplimiento del contratista, que permita determinar que la obra no concluyó por razones atribuibles a este, en cuyo caso se descontará el punto. </w:t>
      </w:r>
    </w:p>
    <w:p w14:paraId="34B94649" w14:textId="77777777" w:rsidR="000B2BFA" w:rsidRPr="003E5687" w:rsidRDefault="000B2BFA" w:rsidP="000B2BFA">
      <w:pPr>
        <w:spacing w:after="0" w:line="276" w:lineRule="auto"/>
        <w:jc w:val="both"/>
        <w:rPr>
          <w:rFonts w:ascii="Verdana" w:eastAsia="Calibri" w:hAnsi="Verdana" w:cs="Arial"/>
          <w:lang w:val="es-MX"/>
        </w:rPr>
      </w:pPr>
    </w:p>
    <w:p w14:paraId="42CA32E4" w14:textId="77777777" w:rsidR="000B2BFA" w:rsidRDefault="000B2BFA" w:rsidP="000B2BFA">
      <w:pPr>
        <w:pStyle w:val="Prrafodelista"/>
        <w:numPr>
          <w:ilvl w:val="0"/>
          <w:numId w:val="17"/>
        </w:numPr>
        <w:spacing w:before="120" w:after="0" w:line="276" w:lineRule="auto"/>
        <w:jc w:val="both"/>
        <w:rPr>
          <w:rFonts w:ascii="Verdana" w:eastAsia="Calibri" w:hAnsi="Verdana" w:cs="Arial"/>
          <w:lang w:val="es-MX"/>
        </w:rPr>
      </w:pPr>
      <w:bookmarkStart w:id="3" w:name="_Hlk87533626"/>
      <w:r w:rsidRPr="003E5687">
        <w:rPr>
          <w:rFonts w:ascii="Verdana" w:eastAsia="Calibri" w:hAnsi="Verdana" w:cs="Arial"/>
          <w:color w:val="000000"/>
          <w:lang w:val="es-ES_tradnl" w:eastAsia="en-GB"/>
        </w:rPr>
        <w:t xml:space="preserve">Se precisa que el descuento del punto de la sumatoria obtenida en relación con el factor de calidad, del que trata el texto de los documentos base adoptados por la Agencia Nacional de Contratación Pública – Colombia Compra Eficiente, deberá efectuarse una vez la entidad realice la consulta y el análisis de las anotaciones vigentes en el Registro Nacional de Obras Civiles Inconclusas y determine </w:t>
      </w:r>
      <w:r w:rsidRPr="003E5687">
        <w:rPr>
          <w:rFonts w:ascii="Verdana" w:eastAsia="Calibri" w:hAnsi="Verdana" w:cs="Arial"/>
          <w:lang w:val="es-MX"/>
        </w:rPr>
        <w:t>si esa anotación se dio por un incumplimiento del contratista, por lo que, dependiendo del supuesto, la entidad descontará el punto.</w:t>
      </w:r>
      <w:r>
        <w:rPr>
          <w:rFonts w:ascii="Verdana" w:eastAsia="Calibri" w:hAnsi="Verdana" w:cs="Arial"/>
          <w:lang w:val="es-MX"/>
        </w:rPr>
        <w:t xml:space="preserve"> </w:t>
      </w:r>
      <w:bookmarkEnd w:id="3"/>
    </w:p>
    <w:p w14:paraId="620F1C88" w14:textId="77777777" w:rsidR="000B2BFA" w:rsidRPr="003E5687" w:rsidRDefault="000B2BFA" w:rsidP="000B2BFA">
      <w:pPr>
        <w:pStyle w:val="Prrafodelista"/>
        <w:spacing w:before="120" w:after="0" w:line="276" w:lineRule="auto"/>
        <w:jc w:val="both"/>
        <w:rPr>
          <w:rFonts w:ascii="Verdana" w:eastAsia="Calibri" w:hAnsi="Verdana" w:cs="Arial"/>
          <w:lang w:val="es-MX"/>
        </w:rPr>
      </w:pPr>
    </w:p>
    <w:p w14:paraId="78C68716" w14:textId="48A97C4D" w:rsidR="000B2BFA" w:rsidRDefault="000B2BFA" w:rsidP="2E3D70C6">
      <w:pPr>
        <w:pStyle w:val="Prrafodelista"/>
        <w:numPr>
          <w:ilvl w:val="0"/>
          <w:numId w:val="17"/>
        </w:numPr>
        <w:spacing w:before="120" w:after="0" w:line="276" w:lineRule="auto"/>
        <w:jc w:val="both"/>
        <w:rPr>
          <w:rFonts w:ascii="Verdana" w:eastAsia="Calibri" w:hAnsi="Verdana" w:cs="Arial"/>
          <w:color w:val="000000"/>
          <w:lang w:eastAsia="en-GB"/>
        </w:rPr>
      </w:pPr>
      <w:bookmarkStart w:id="4" w:name="_Hlk68164749"/>
      <w:r w:rsidRPr="2E3D70C6">
        <w:rPr>
          <w:rFonts w:ascii="Verdana" w:eastAsia="Calibri" w:hAnsi="Verdana" w:cs="Arial"/>
          <w:color w:val="000000" w:themeColor="text1"/>
          <w:lang w:eastAsia="en-GB"/>
        </w:rPr>
        <w:t xml:space="preserve">Debe precisarse que las anotaciones vigentes en el Registro Nacional de Obras Civiles Inconclusas corresponden a las que reposan en este, teniendo en cuenta las actualizaciones que realice la Contraloría General de la República y las entidades estatales, conforme al artículo 3 de la Ley 2020 de 2020. </w:t>
      </w:r>
      <w:bookmarkStart w:id="5" w:name="_Hlk70876793"/>
      <w:r w:rsidRPr="2E3D70C6">
        <w:rPr>
          <w:rFonts w:ascii="Verdana" w:eastAsia="Calibri" w:hAnsi="Verdana" w:cs="Arial"/>
          <w:color w:val="000000" w:themeColor="text1"/>
          <w:lang w:eastAsia="en-GB"/>
        </w:rPr>
        <w:t>En tal sentido, para efectos del descuento del puntaje establecido en el numeral 4.2 del documento base, la Entidad Estatal –al momento de evaluar– deberá consultar y analizar las anotaciones en el registro con sus respectivas actualizaciones.</w:t>
      </w:r>
      <w:bookmarkEnd w:id="4"/>
      <w:bookmarkEnd w:id="5"/>
      <w:r w:rsidR="006379C1">
        <w:rPr>
          <w:rFonts w:ascii="Verdana" w:eastAsia="Calibri" w:hAnsi="Verdana" w:cs="Arial"/>
          <w:color w:val="000000" w:themeColor="text1"/>
          <w:lang w:eastAsia="en-GB"/>
        </w:rPr>
        <w:t xml:space="preserve"> </w:t>
      </w:r>
      <w:r w:rsidRPr="2E3D70C6">
        <w:rPr>
          <w:rFonts w:ascii="Verdana" w:eastAsia="Calibri" w:hAnsi="Verdana" w:cs="Arial"/>
          <w:color w:val="000000" w:themeColor="text1"/>
          <w:lang w:eastAsia="en-GB"/>
        </w:rPr>
        <w:t>Teniendo en cuenta lo anterior, es pertinente aclarar que el simple hecho de encontrarse incluido en el Registro Nacional de Obras Civiles Inconclusas no da lugar a descontar el punto señalado.</w:t>
      </w:r>
    </w:p>
    <w:p w14:paraId="73395698" w14:textId="77777777" w:rsidR="000B2BFA" w:rsidRDefault="000B2BFA" w:rsidP="000B2BFA">
      <w:pPr>
        <w:pStyle w:val="Prrafodelista"/>
        <w:spacing w:before="120" w:after="0" w:line="276" w:lineRule="auto"/>
        <w:jc w:val="both"/>
        <w:rPr>
          <w:rFonts w:ascii="Verdana" w:eastAsia="Calibri" w:hAnsi="Verdana" w:cs="Arial"/>
          <w:color w:val="000000"/>
          <w:lang w:val="es-ES_tradnl" w:eastAsia="en-GB"/>
        </w:rPr>
      </w:pPr>
    </w:p>
    <w:p w14:paraId="79BBEBF1" w14:textId="77777777" w:rsidR="000B2BFA" w:rsidRPr="003E5687" w:rsidRDefault="000B2BFA" w:rsidP="000B2BFA">
      <w:pPr>
        <w:pStyle w:val="Prrafodelista"/>
        <w:numPr>
          <w:ilvl w:val="0"/>
          <w:numId w:val="17"/>
        </w:numPr>
        <w:spacing w:before="120" w:after="0" w:line="276" w:lineRule="auto"/>
        <w:jc w:val="both"/>
        <w:rPr>
          <w:rFonts w:ascii="Verdana" w:eastAsia="Calibri" w:hAnsi="Verdana" w:cs="Arial"/>
          <w:color w:val="000000"/>
          <w:lang w:val="es-ES_tradnl" w:eastAsia="en-GB"/>
        </w:rPr>
      </w:pPr>
      <w:r w:rsidRPr="003E5687">
        <w:rPr>
          <w:rFonts w:ascii="Verdana" w:eastAsia="Calibri" w:hAnsi="Verdana" w:cs="Arial"/>
          <w:lang w:val="es-MX"/>
        </w:rPr>
        <w:t xml:space="preserve">Ahora bien, el segundo párrafo señalado con anterioridad del numeral 4.2, dispone que, no se descontará el puntaje cuando el proponente no oferte el factor de calidad, por lo que obtendrá cero (0) puntos en ese criterio de evaluación. En esta última circunstancia, la Entidad no podrá reducir el puntaje de la sumatoria obtenida en los demás factores de ponderación. </w:t>
      </w:r>
      <w:bookmarkStart w:id="6" w:name="_Hlk84438253"/>
      <w:bookmarkStart w:id="7" w:name="_Hlk84358273"/>
    </w:p>
    <w:p w14:paraId="39577DF4" w14:textId="77777777" w:rsidR="000B2BFA" w:rsidRPr="003E5687" w:rsidRDefault="000B2BFA" w:rsidP="000B2BFA">
      <w:pPr>
        <w:pStyle w:val="Prrafodelista"/>
        <w:spacing w:line="278" w:lineRule="auto"/>
        <w:rPr>
          <w:rFonts w:ascii="Verdana" w:eastAsia="Calibri" w:hAnsi="Verdana" w:cs="Arial"/>
          <w:color w:val="000000"/>
          <w:lang w:val="es-ES_tradnl" w:eastAsia="en-GB"/>
        </w:rPr>
      </w:pPr>
    </w:p>
    <w:p w14:paraId="6C87C7CA" w14:textId="77777777" w:rsidR="000B2BFA" w:rsidRPr="00FE6548" w:rsidRDefault="000B2BFA" w:rsidP="2E3D70C6">
      <w:pPr>
        <w:pStyle w:val="Prrafodelista"/>
        <w:numPr>
          <w:ilvl w:val="0"/>
          <w:numId w:val="17"/>
        </w:numPr>
        <w:spacing w:after="0" w:line="276" w:lineRule="auto"/>
        <w:jc w:val="both"/>
        <w:rPr>
          <w:rFonts w:ascii="Verdana" w:eastAsia="Calibri" w:hAnsi="Verdana" w:cs="Arial"/>
          <w:color w:val="000000"/>
          <w:lang w:eastAsia="en-GB"/>
        </w:rPr>
      </w:pPr>
      <w:r w:rsidRPr="2E3D70C6">
        <w:rPr>
          <w:rFonts w:ascii="Verdana" w:eastAsia="Calibri" w:hAnsi="Verdana" w:cs="Arial"/>
          <w:color w:val="000000" w:themeColor="text1"/>
          <w:lang w:eastAsia="en-GB"/>
        </w:rPr>
        <w:lastRenderedPageBreak/>
        <w:t xml:space="preserve">En este sentido, el supuesto que contempla el párrafo anterior es claro en su aplicación, esto es, cuando el oferente “no oferte el factor de calidad”. Si el proponente no oferta el factor de calidad, no es posible descontar un (1) punto por encontrarse en el registro nacional de obras civiles inconclusas. Por lo tanto, en ese criterio de evaluación “factor de calidad” obtendrá cero (o) puntos. Ahora bien, en otros supuesto diferentes al señalado, la entidad deberá analizar en cada caso concreto si opera el régimen de </w:t>
      </w:r>
      <w:proofErr w:type="spellStart"/>
      <w:r w:rsidRPr="2E3D70C6">
        <w:rPr>
          <w:rFonts w:ascii="Verdana" w:eastAsia="Calibri" w:hAnsi="Verdana" w:cs="Arial"/>
          <w:color w:val="000000" w:themeColor="text1"/>
          <w:lang w:eastAsia="en-GB"/>
        </w:rPr>
        <w:t>subsanabilidad</w:t>
      </w:r>
      <w:proofErr w:type="spellEnd"/>
      <w:r w:rsidRPr="2E3D70C6">
        <w:rPr>
          <w:rFonts w:ascii="Verdana" w:eastAsia="Calibri" w:hAnsi="Verdana" w:cs="Arial"/>
          <w:color w:val="000000" w:themeColor="text1"/>
          <w:lang w:eastAsia="en-GB"/>
        </w:rPr>
        <w:t xml:space="preserve"> de las ofertas, aclaraciones o explicaciones, según corresponda en cada caso particular de acuerdo con el ordenamiento jurídico. </w:t>
      </w:r>
    </w:p>
    <w:p w14:paraId="30087B88" w14:textId="77777777" w:rsidR="000B2BFA" w:rsidRPr="003E5687" w:rsidRDefault="000B2BFA" w:rsidP="000B2BFA">
      <w:pPr>
        <w:pStyle w:val="Prrafodelista"/>
        <w:spacing w:after="0" w:line="278" w:lineRule="auto"/>
        <w:rPr>
          <w:rFonts w:ascii="Verdana" w:eastAsia="Calibri" w:hAnsi="Verdana" w:cs="Arial"/>
          <w:color w:val="000000"/>
          <w:lang w:val="es-ES_tradnl" w:eastAsia="en-GB"/>
        </w:rPr>
      </w:pPr>
    </w:p>
    <w:bookmarkEnd w:id="2"/>
    <w:bookmarkEnd w:id="6"/>
    <w:bookmarkEnd w:id="7"/>
    <w:p w14:paraId="5077E0A7" w14:textId="77777777" w:rsidR="000B2BFA" w:rsidRPr="001162C0" w:rsidRDefault="000B2BFA" w:rsidP="000B2BFA">
      <w:pPr>
        <w:numPr>
          <w:ilvl w:val="0"/>
          <w:numId w:val="19"/>
        </w:numPr>
        <w:tabs>
          <w:tab w:val="left" w:pos="142"/>
          <w:tab w:val="left" w:pos="284"/>
        </w:tabs>
        <w:spacing w:after="0" w:line="276" w:lineRule="auto"/>
        <w:ind w:left="357" w:hanging="357"/>
        <w:jc w:val="both"/>
        <w:rPr>
          <w:rFonts w:ascii="Verdana" w:eastAsia="Century Gothic" w:hAnsi="Verdana" w:cs="Century Gothic"/>
          <w:b/>
          <w:bCs/>
        </w:rPr>
      </w:pPr>
      <w:r w:rsidRPr="001162C0">
        <w:rPr>
          <w:rFonts w:ascii="Verdana" w:eastAsia="Century Gothic" w:hAnsi="Verdana" w:cs="Century Gothic"/>
          <w:b/>
          <w:bCs/>
        </w:rPr>
        <w:t>Referencias normativas, jurisprudenciales y otras fuentes:</w:t>
      </w:r>
    </w:p>
    <w:p w14:paraId="21F2551D" w14:textId="77777777" w:rsidR="000B2BFA" w:rsidRPr="001162C0" w:rsidRDefault="000B2BFA" w:rsidP="000B2BFA">
      <w:pPr>
        <w:spacing w:after="0"/>
        <w:ind w:left="-15840"/>
        <w:jc w:val="both"/>
        <w:rPr>
          <w:rFonts w:ascii="Verdana" w:eastAsia="Calibri" w:hAnsi="Verdana" w:cs="Arial"/>
          <w:b/>
          <w:bCs/>
        </w:rPr>
      </w:pPr>
      <w:r w:rsidRPr="001162C0">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0B2BFA" w:rsidRPr="001162C0" w14:paraId="5239E47F" w14:textId="77777777" w:rsidTr="003436CB">
        <w:trPr>
          <w:trHeight w:val="870"/>
        </w:trPr>
        <w:tc>
          <w:tcPr>
            <w:tcW w:w="8647" w:type="dxa"/>
            <w:tcBorders>
              <w:top w:val="dotted" w:sz="4" w:space="0" w:color="auto"/>
              <w:left w:val="dotted" w:sz="4" w:space="0" w:color="auto"/>
              <w:bottom w:val="dotted" w:sz="4" w:space="0" w:color="auto"/>
              <w:right w:val="dotted" w:sz="4" w:space="0" w:color="auto"/>
            </w:tcBorders>
          </w:tcPr>
          <w:p w14:paraId="68B80955" w14:textId="77777777" w:rsidR="000B2BFA" w:rsidRPr="001162C0" w:rsidRDefault="000B2BFA" w:rsidP="003436CB">
            <w:pPr>
              <w:ind w:left="720"/>
              <w:contextualSpacing/>
              <w:jc w:val="both"/>
              <w:rPr>
                <w:rFonts w:ascii="Verdana" w:eastAsia="Calibri" w:hAnsi="Verdana" w:cs="Arial"/>
                <w:bCs/>
              </w:rPr>
            </w:pPr>
          </w:p>
          <w:p w14:paraId="774AECE0" w14:textId="77777777" w:rsidR="000B2BFA" w:rsidRPr="001162C0" w:rsidRDefault="000B2BFA" w:rsidP="000B2BFA">
            <w:pPr>
              <w:widowControl w:val="0"/>
              <w:numPr>
                <w:ilvl w:val="0"/>
                <w:numId w:val="18"/>
              </w:numPr>
              <w:autoSpaceDE w:val="0"/>
              <w:autoSpaceDN w:val="0"/>
              <w:spacing w:line="276" w:lineRule="auto"/>
              <w:ind w:left="714" w:hanging="357"/>
              <w:jc w:val="both"/>
              <w:rPr>
                <w:rFonts w:ascii="Verdana" w:eastAsia="Calibri" w:hAnsi="Verdana" w:cs="Arial"/>
              </w:rPr>
            </w:pPr>
            <w:r w:rsidRPr="001162C0">
              <w:rPr>
                <w:rFonts w:ascii="Verdana" w:eastAsia="Calibri" w:hAnsi="Verdana" w:cs="Arial"/>
              </w:rPr>
              <w:t xml:space="preserve">Ley 2022 de 2020, artículo 1. </w:t>
            </w:r>
          </w:p>
          <w:p w14:paraId="106E35E7" w14:textId="77777777" w:rsidR="000B2BFA" w:rsidRPr="001162C0" w:rsidRDefault="000B2BFA" w:rsidP="000B2BFA">
            <w:pPr>
              <w:widowControl w:val="0"/>
              <w:numPr>
                <w:ilvl w:val="0"/>
                <w:numId w:val="18"/>
              </w:numPr>
              <w:autoSpaceDE w:val="0"/>
              <w:autoSpaceDN w:val="0"/>
              <w:spacing w:line="276" w:lineRule="auto"/>
              <w:jc w:val="both"/>
              <w:rPr>
                <w:rFonts w:ascii="Verdana" w:eastAsia="Calibri" w:hAnsi="Verdana" w:cs="Arial"/>
              </w:rPr>
            </w:pPr>
            <w:r w:rsidRPr="001162C0">
              <w:rPr>
                <w:rFonts w:ascii="Verdana" w:eastAsia="Calibri" w:hAnsi="Verdana" w:cs="Arial"/>
              </w:rPr>
              <w:t>Ley 1150 de 2007, artículo 2.</w:t>
            </w:r>
          </w:p>
          <w:p w14:paraId="6F16A160" w14:textId="77777777" w:rsidR="000B2BFA" w:rsidRPr="001162C0" w:rsidRDefault="000B2BFA" w:rsidP="000B2BFA">
            <w:pPr>
              <w:widowControl w:val="0"/>
              <w:numPr>
                <w:ilvl w:val="0"/>
                <w:numId w:val="18"/>
              </w:numPr>
              <w:autoSpaceDE w:val="0"/>
              <w:autoSpaceDN w:val="0"/>
              <w:spacing w:line="276" w:lineRule="auto"/>
              <w:contextualSpacing/>
              <w:jc w:val="both"/>
              <w:rPr>
                <w:rFonts w:ascii="Verdana" w:eastAsia="Calibri" w:hAnsi="Verdana" w:cs="Arial"/>
              </w:rPr>
            </w:pPr>
            <w:r w:rsidRPr="001162C0">
              <w:rPr>
                <w:rFonts w:ascii="Verdana" w:eastAsia="Calibri" w:hAnsi="Verdana" w:cs="Arial"/>
              </w:rPr>
              <w:t xml:space="preserve">Documentos Tipo. Disponibles en: </w:t>
            </w:r>
            <w:hyperlink r:id="rId11" w:history="1">
              <w:r w:rsidRPr="001162C0">
                <w:rPr>
                  <w:rFonts w:ascii="Verdana" w:eastAsia="Calibri" w:hAnsi="Verdana" w:cs="Arial"/>
                  <w:color w:val="0000FF"/>
                  <w:u w:val="single"/>
                </w:rPr>
                <w:t>https://www.colombiacompra.gov.co/documentos-tipo/documentos-tipo</w:t>
              </w:r>
            </w:hyperlink>
            <w:r w:rsidRPr="001162C0">
              <w:rPr>
                <w:rFonts w:ascii="Verdana" w:eastAsia="Calibri" w:hAnsi="Verdana" w:cs="Arial"/>
              </w:rPr>
              <w:t>.</w:t>
            </w:r>
          </w:p>
        </w:tc>
      </w:tr>
    </w:tbl>
    <w:p w14:paraId="11FFC976" w14:textId="77777777" w:rsidR="000B2BFA" w:rsidRPr="001162C0" w:rsidRDefault="000B2BFA" w:rsidP="000B2BFA">
      <w:pPr>
        <w:tabs>
          <w:tab w:val="left" w:pos="142"/>
          <w:tab w:val="left" w:pos="284"/>
        </w:tabs>
        <w:spacing w:after="0" w:line="276" w:lineRule="auto"/>
        <w:jc w:val="both"/>
        <w:rPr>
          <w:rFonts w:ascii="Verdana" w:eastAsia="Calibri" w:hAnsi="Verdana" w:cs="Arial"/>
        </w:rPr>
      </w:pPr>
    </w:p>
    <w:p w14:paraId="1CE067DF" w14:textId="77777777" w:rsidR="000B2BFA" w:rsidRPr="001162C0" w:rsidRDefault="000B2BFA" w:rsidP="000B2BFA">
      <w:pPr>
        <w:tabs>
          <w:tab w:val="left" w:pos="142"/>
          <w:tab w:val="left" w:pos="284"/>
        </w:tabs>
        <w:spacing w:after="0" w:line="276" w:lineRule="auto"/>
        <w:jc w:val="both"/>
        <w:rPr>
          <w:rFonts w:ascii="Verdana" w:eastAsia="Century Gothic" w:hAnsi="Verdana" w:cs="Century Gothic"/>
          <w:b/>
          <w:bCs/>
        </w:rPr>
      </w:pPr>
      <w:r w:rsidRPr="001162C0">
        <w:rPr>
          <w:rFonts w:ascii="Verdana" w:eastAsia="Calibri" w:hAnsi="Verdana" w:cs="Arial"/>
          <w:b/>
          <w:bCs/>
        </w:rPr>
        <w:t>5</w:t>
      </w:r>
      <w:r w:rsidRPr="001162C0">
        <w:rPr>
          <w:rFonts w:ascii="Verdana" w:eastAsia="Calibri" w:hAnsi="Verdana" w:cs="Arial"/>
        </w:rPr>
        <w:t>.</w:t>
      </w:r>
      <w:r w:rsidRPr="001162C0">
        <w:rPr>
          <w:rFonts w:ascii="Verdana" w:eastAsia="Century Gothic" w:hAnsi="Verdana" w:cs="Century Gothic"/>
          <w:b/>
          <w:bCs/>
        </w:rPr>
        <w:t>Doctrina de la Agencia Nacional de Contratación Pública:</w:t>
      </w:r>
    </w:p>
    <w:p w14:paraId="67FD8BBC" w14:textId="77777777" w:rsidR="000B2BFA" w:rsidRPr="001162C0" w:rsidRDefault="000B2BFA" w:rsidP="000B2BFA">
      <w:pPr>
        <w:widowControl w:val="0"/>
        <w:autoSpaceDE w:val="0"/>
        <w:autoSpaceDN w:val="0"/>
        <w:spacing w:after="0" w:line="276" w:lineRule="auto"/>
        <w:jc w:val="both"/>
        <w:rPr>
          <w:rFonts w:ascii="Verdana" w:eastAsia="Calibri" w:hAnsi="Verdana" w:cs="Arial"/>
        </w:rPr>
      </w:pPr>
    </w:p>
    <w:p w14:paraId="04E68E35" w14:textId="77777777" w:rsidR="000B2BFA" w:rsidRPr="001162C0" w:rsidRDefault="000B2BFA" w:rsidP="000B2BFA">
      <w:pPr>
        <w:widowControl w:val="0"/>
        <w:autoSpaceDE w:val="0"/>
        <w:autoSpaceDN w:val="0"/>
        <w:spacing w:after="0" w:line="276" w:lineRule="auto"/>
        <w:jc w:val="both"/>
        <w:rPr>
          <w:rFonts w:ascii="Verdana" w:eastAsia="Times New Roman" w:hAnsi="Verdana" w:cs="Arial"/>
          <w:shd w:val="clear" w:color="auto" w:fill="FFFFFF"/>
        </w:rPr>
      </w:pPr>
      <w:r w:rsidRPr="001162C0">
        <w:rPr>
          <w:rFonts w:ascii="Verdana" w:eastAsia="Calibri" w:hAnsi="Verdana" w:cs="Arial"/>
          <w:shd w:val="clear" w:color="auto" w:fill="FFFFFF"/>
        </w:rPr>
        <w:t xml:space="preserve">La Agencia Nacional de Contratación Pública – Colombia Compra Eficiente, se ha pronunciado sobre el fundamento normativo de los documentos tipo en los conceptos: </w:t>
      </w:r>
      <w:r w:rsidRPr="001162C0">
        <w:rPr>
          <w:rFonts w:ascii="Verdana" w:eastAsia="Times New Roman" w:hAnsi="Verdana" w:cs="Arial"/>
          <w:shd w:val="clear" w:color="auto" w:fill="FFFFFF"/>
        </w:rPr>
        <w:t xml:space="preserve">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w:t>
      </w:r>
      <w:r w:rsidRPr="001162C0">
        <w:rPr>
          <w:rFonts w:ascii="Verdana" w:eastAsia="Times New Roman" w:hAnsi="Verdana" w:cs="Arial"/>
          <w:shd w:val="clear" w:color="auto" w:fill="FFFFFF"/>
        </w:rPr>
        <w:lastRenderedPageBreak/>
        <w:t xml:space="preserve">2023, C-042 del 29 de marzo de 2023, C-051 del 28 de abril de 2023, C-299 del 24 de julio de 2023, C- 272 del 22 de agosto de 2024, C- 516 del 07 de octubre de 2024, C- 481 del 09 de noviembre de 2024, C- 692 del 19 de noviembre de 2024, C-753 del 4 de enero de 2024 y C-133 del 10 de marzo de 2025. </w:t>
      </w:r>
    </w:p>
    <w:p w14:paraId="1BEA31BE" w14:textId="77777777" w:rsidR="000B2BFA" w:rsidRPr="001162C0" w:rsidRDefault="000B2BFA" w:rsidP="000B2BFA">
      <w:pPr>
        <w:widowControl w:val="0"/>
        <w:autoSpaceDE w:val="0"/>
        <w:autoSpaceDN w:val="0"/>
        <w:spacing w:after="0" w:line="276" w:lineRule="auto"/>
        <w:jc w:val="both"/>
        <w:rPr>
          <w:rFonts w:ascii="Verdana" w:eastAsia="Times New Roman" w:hAnsi="Verdana" w:cs="Arial"/>
          <w:shd w:val="clear" w:color="auto" w:fill="FFFFFF"/>
        </w:rPr>
      </w:pPr>
    </w:p>
    <w:p w14:paraId="0282F921" w14:textId="77777777" w:rsidR="000B2BFA" w:rsidRDefault="000B2BFA" w:rsidP="000B2BFA">
      <w:pPr>
        <w:widowControl w:val="0"/>
        <w:autoSpaceDE w:val="0"/>
        <w:autoSpaceDN w:val="0"/>
        <w:spacing w:after="0" w:line="276" w:lineRule="auto"/>
        <w:jc w:val="both"/>
        <w:rPr>
          <w:rFonts w:ascii="Verdana" w:eastAsia="Times New Roman" w:hAnsi="Verdana" w:cs="Arial"/>
          <w:shd w:val="clear" w:color="auto" w:fill="FFFFFF"/>
        </w:rPr>
      </w:pPr>
      <w:r w:rsidRPr="006E3372">
        <w:rPr>
          <w:rFonts w:ascii="Verdana" w:eastAsia="Times New Roman" w:hAnsi="Verdana" w:cs="Arial"/>
          <w:shd w:val="clear" w:color="auto" w:fill="FFFFFF"/>
        </w:rPr>
        <w:t>Por otra parte, la Agencia Nacional de Contratación Pública – Colombia Compra Eficiente se ha pronunciado sobre la acreditación del factor de calidad en procesos de selección regidos por documentos tipo en los conceptos con radicados: 2201913000006967 del 19 de septiembre de 2019, 2201913000008144 del 30 de octubre de 2019, 2201913000008483 del 14 de noviembre de 2019, 2201913000009022 del 6 de diciembre de 2019, 2201913000009573 del 24 de diciembre de 2019, C–039 del 16 de enero de 2020, C─103 del  3 de marzo de 2020, C─119 del 18 de marzo de 2020, C─145 del 31 de marzo de 2020, C─217 del 21 de abril de  2020, C–294 del 18 de mayo de 2020, C–352 del 30 de junio de 2020, C–432 de 2020 del 27 de julio de 2020, C–519 del 3 de agosto de 2020, C–766 del 8 de enero de 2021, C–001 del 10 de febrero de 2021, C‒046 del 8 de marzo de 2021, C-184 del 29 de abril de 2021 y C-301 del 16 de junio de 2021.</w:t>
      </w:r>
    </w:p>
    <w:p w14:paraId="759C15D1" w14:textId="77777777" w:rsidR="000B2BFA" w:rsidRPr="001162C0" w:rsidRDefault="000B2BFA" w:rsidP="000B2BFA">
      <w:pPr>
        <w:widowControl w:val="0"/>
        <w:autoSpaceDE w:val="0"/>
        <w:autoSpaceDN w:val="0"/>
        <w:spacing w:after="0" w:line="276" w:lineRule="auto"/>
        <w:jc w:val="both"/>
        <w:rPr>
          <w:rFonts w:ascii="Verdana" w:eastAsia="Times New Roman" w:hAnsi="Verdana" w:cs="Arial"/>
          <w:shd w:val="clear" w:color="auto" w:fill="FFFFFF"/>
        </w:rPr>
      </w:pPr>
    </w:p>
    <w:bookmarkEnd w:id="0"/>
    <w:p w14:paraId="7FFDE0EB" w14:textId="77777777" w:rsidR="000B2BFA" w:rsidRPr="001162C0" w:rsidRDefault="000B2BFA" w:rsidP="000B2BFA">
      <w:pPr>
        <w:widowControl w:val="0"/>
        <w:autoSpaceDE w:val="0"/>
        <w:autoSpaceDN w:val="0"/>
        <w:spacing w:after="0" w:line="276" w:lineRule="auto"/>
        <w:jc w:val="both"/>
        <w:rPr>
          <w:rFonts w:ascii="Verdana" w:eastAsia="Times New Roman" w:hAnsi="Verdana" w:cs="Arial"/>
          <w:shd w:val="clear" w:color="auto" w:fill="FFFFFF"/>
        </w:rPr>
      </w:pPr>
      <w:r w:rsidRPr="001162C0">
        <w:rPr>
          <w:rFonts w:ascii="Verdana" w:eastAsia="Times New Roman"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1162C0">
          <w:rPr>
            <w:rFonts w:ascii="Verdana" w:eastAsia="Times New Roman" w:hAnsi="Verdana" w:cs="Arial"/>
            <w:shd w:val="clear" w:color="auto" w:fill="FFFFFF"/>
          </w:rPr>
          <w:t>https://relatoria.colombiacompra.gov.co/</w:t>
        </w:r>
      </w:hyperlink>
      <w:r w:rsidRPr="001162C0">
        <w:rPr>
          <w:rFonts w:ascii="Verdana" w:eastAsia="Times New Roman" w:hAnsi="Verdana" w:cs="Arial"/>
          <w:shd w:val="clear" w:color="auto" w:fill="FFFFFF"/>
        </w:rPr>
        <w:t> .</w:t>
      </w:r>
    </w:p>
    <w:p w14:paraId="49AAA12A" w14:textId="77777777" w:rsidR="000B2BFA" w:rsidRPr="001162C0" w:rsidRDefault="000B2BFA" w:rsidP="000B2BFA">
      <w:pPr>
        <w:spacing w:after="0" w:line="240" w:lineRule="auto"/>
        <w:jc w:val="both"/>
        <w:rPr>
          <w:rFonts w:ascii="Verdana" w:eastAsia="Calibri" w:hAnsi="Verdana" w:cs="Arial"/>
          <w:color w:val="000000" w:themeColor="text1"/>
          <w:shd w:val="clear" w:color="auto" w:fill="FFFFFF"/>
        </w:rPr>
      </w:pPr>
    </w:p>
    <w:p w14:paraId="31F5A399" w14:textId="77777777" w:rsidR="000B2BFA" w:rsidRPr="001162C0" w:rsidRDefault="000B2BFA" w:rsidP="000B2BFA">
      <w:pPr>
        <w:shd w:val="clear" w:color="auto" w:fill="FFFFFF"/>
        <w:spacing w:line="240" w:lineRule="auto"/>
        <w:jc w:val="both"/>
        <w:rPr>
          <w:rFonts w:ascii="Verdana" w:hAnsi="Verdana"/>
          <w:color w:val="212121"/>
        </w:rPr>
      </w:pPr>
      <w:r w:rsidRPr="001162C0">
        <w:rPr>
          <w:rFonts w:ascii="Verdana" w:hAnsi="Verdana"/>
          <w:color w:val="000000"/>
        </w:rPr>
        <w:t>Te informamos que ya se encuentra disponible la </w:t>
      </w:r>
      <w:r w:rsidRPr="001162C0">
        <w:rPr>
          <w:rFonts w:ascii="Verdana" w:hAnsi="Verdana"/>
          <w:b/>
          <w:bCs/>
          <w:color w:val="000000"/>
        </w:rPr>
        <w:t>Cartilla para incentivar y fortalecer el acceso a las compras y contratación pública de los pueblos y comunidades étnicas en Colombia.</w:t>
      </w:r>
      <w:r w:rsidRPr="001162C0">
        <w:rPr>
          <w:rFonts w:ascii="Verdana" w:hAnsi="Verdana"/>
          <w:color w:val="000000"/>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3" w:tooltip="Original URL:&#10;https://www.colombiacompra.gov.co/manuales-guias-y-pliegos-tipo/manuales-y-guias/cartilla-para-incentivar-y-fortalecer-el-acceso-las&#10;&#10;Click to follow link." w:history="1">
        <w:r w:rsidRPr="001162C0">
          <w:rPr>
            <w:rFonts w:ascii="Verdana" w:hAnsi="Verdana"/>
            <w:color w:val="467886"/>
            <w:u w:val="single"/>
          </w:rPr>
          <w:t>Cartilla para incentivar y fortalecer el acceso a las compras y contratación pública de los pueblos y comunidades étnicas en Colombia | Colombia Compra Eficiente | Agencia Nacional de Contratación Pública</w:t>
        </w:r>
      </w:hyperlink>
    </w:p>
    <w:p w14:paraId="3791E82B" w14:textId="77777777" w:rsidR="000B2BFA" w:rsidRPr="001162C0" w:rsidRDefault="000B2BFA" w:rsidP="000B2BFA">
      <w:pPr>
        <w:jc w:val="both"/>
        <w:rPr>
          <w:rFonts w:ascii="Verdana" w:hAnsi="Verdana"/>
          <w:color w:val="212121"/>
        </w:rPr>
      </w:pPr>
      <w:r w:rsidRPr="001162C0">
        <w:rPr>
          <w:rFonts w:ascii="Verdana" w:hAnsi="Verdana"/>
          <w:color w:val="000000"/>
        </w:rPr>
        <w:t>De otra parte, te informamos que, con el objetivo de garantizar un conocimiento adecuado de las </w:t>
      </w:r>
      <w:r w:rsidRPr="001162C0">
        <w:rPr>
          <w:rFonts w:ascii="Verdana" w:hAnsi="Verdana"/>
          <w:b/>
          <w:bCs/>
          <w:color w:val="000000"/>
        </w:rPr>
        <w:t>modificaciones y/o actualizaciones realizadas a los Documentos Tipo</w:t>
      </w:r>
      <w:r w:rsidRPr="001162C0">
        <w:rPr>
          <w:rFonts w:ascii="Verdana" w:hAnsi="Verdana"/>
          <w:color w:val="000000"/>
        </w:rPr>
        <w:t>, hemos programado una serie de </w:t>
      </w:r>
      <w:r w:rsidRPr="001162C0">
        <w:rPr>
          <w:rFonts w:ascii="Verdana" w:hAnsi="Verdana"/>
          <w:b/>
          <w:bCs/>
          <w:color w:val="000000"/>
        </w:rPr>
        <w:t>capacitaciones </w:t>
      </w:r>
      <w:r w:rsidRPr="001162C0">
        <w:rPr>
          <w:rFonts w:ascii="Verdana" w:hAnsi="Verdana"/>
          <w:color w:val="000000"/>
        </w:rPr>
        <w:t xml:space="preserve">dirigidas </w:t>
      </w:r>
      <w:r w:rsidRPr="001162C0">
        <w:rPr>
          <w:rFonts w:ascii="Verdana" w:hAnsi="Verdana"/>
          <w:color w:val="000000"/>
        </w:rPr>
        <w:lastRenderedPageBreak/>
        <w:t>a todos los actores involucrados en los procesos de selección. Podrás conocer la programación y realizar tu inscripción a estas capacitaciones a través del siguiente enlace: </w:t>
      </w:r>
      <w:hyperlink r:id="rId14" w:tooltip="Original URL:&#10;https://www.colombiacompra.gov.co/ciudadanos/calendario&#10;&#10;Click to follow link." w:history="1">
        <w:r w:rsidRPr="001162C0">
          <w:rPr>
            <w:rFonts w:ascii="Verdana" w:hAnsi="Verdana"/>
            <w:color w:val="467886"/>
            <w:u w:val="single"/>
          </w:rPr>
          <w:t>Calendario | Colombia Compra Eficiente | Agencia Nacional de Contratación Pública</w:t>
        </w:r>
      </w:hyperlink>
    </w:p>
    <w:p w14:paraId="73848D50" w14:textId="77777777" w:rsidR="000B2BFA" w:rsidRPr="001162C0" w:rsidRDefault="000B2BFA" w:rsidP="000B2BFA">
      <w:pPr>
        <w:spacing w:after="0"/>
        <w:jc w:val="both"/>
        <w:rPr>
          <w:rFonts w:ascii="Verdana" w:hAnsi="Verdana"/>
          <w:color w:val="212121"/>
        </w:rPr>
      </w:pPr>
      <w:r w:rsidRPr="001162C0">
        <w:rPr>
          <w:rFonts w:ascii="Verdana" w:hAnsi="Verdana"/>
          <w:color w:val="000000"/>
        </w:rPr>
        <w:t>También, te contamos que ya publicamos </w:t>
      </w:r>
      <w:r w:rsidRPr="001162C0">
        <w:rPr>
          <w:rFonts w:ascii="Verdana" w:hAnsi="Verdana"/>
          <w:b/>
          <w:bCs/>
          <w:color w:val="000000"/>
        </w:rPr>
        <w:t>la nueva Guía de Contratación Pública Sostenible y Socialmente Responsable</w:t>
      </w:r>
      <w:r w:rsidRPr="001162C0">
        <w:rPr>
          <w:rFonts w:ascii="Verdana" w:hAnsi="Verdana"/>
          <w:color w:val="000000"/>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ooltip="Original URL:&#10;https://www.colombiacompra.gov.co/manuales-guias-y-pliegos-tipo/manuales-y-guias/guia-de-contratacion-publica-sostenible-y-socialmente&#10;&#10;Click to follow link." w:history="1">
        <w:r w:rsidRPr="001162C0">
          <w:rPr>
            <w:rFonts w:ascii="Verdana" w:hAnsi="Verdana"/>
            <w:color w:val="467886"/>
            <w:u w:val="single"/>
          </w:rPr>
          <w:t>Guía de Contratación Pública Sostenible y Socialmente Responsable | Colombia Compra Eficiente | Agencia Nacional de Contratación Pública</w:t>
        </w:r>
      </w:hyperlink>
    </w:p>
    <w:p w14:paraId="3F2E3225" w14:textId="77777777" w:rsidR="000B2BFA" w:rsidRPr="001162C0" w:rsidRDefault="000B2BFA" w:rsidP="000B2BFA">
      <w:pPr>
        <w:spacing w:after="0"/>
        <w:jc w:val="both"/>
        <w:rPr>
          <w:rFonts w:ascii="Verdana" w:hAnsi="Verdana"/>
          <w:color w:val="212121"/>
        </w:rPr>
      </w:pPr>
    </w:p>
    <w:p w14:paraId="6A46877C" w14:textId="77777777" w:rsidR="000B2BFA" w:rsidRPr="001162C0" w:rsidRDefault="000B2BFA" w:rsidP="000B2BFA">
      <w:pPr>
        <w:spacing w:after="0" w:line="240" w:lineRule="auto"/>
        <w:jc w:val="both"/>
        <w:rPr>
          <w:rFonts w:ascii="Verdana" w:eastAsia="Calibri" w:hAnsi="Verdana" w:cs="Times New Roman"/>
        </w:rPr>
      </w:pPr>
      <w:r w:rsidRPr="001162C0">
        <w:rPr>
          <w:rFonts w:ascii="Verdana" w:hAnsi="Verdana"/>
        </w:rPr>
        <w:t xml:space="preserve">Por último, lo invitamos a seguirnos en las redes sociales en las cuales se difunde información institucional: </w:t>
      </w:r>
    </w:p>
    <w:p w14:paraId="2EC89C48" w14:textId="77777777" w:rsidR="000B2BFA" w:rsidRPr="001162C0" w:rsidRDefault="000B2BFA" w:rsidP="000B2BFA">
      <w:pPr>
        <w:spacing w:after="0" w:line="240" w:lineRule="auto"/>
        <w:jc w:val="both"/>
        <w:rPr>
          <w:rFonts w:ascii="Verdana" w:hAnsi="Verdana"/>
        </w:rPr>
      </w:pPr>
    </w:p>
    <w:p w14:paraId="61202FC6" w14:textId="77777777" w:rsidR="000B2BFA" w:rsidRPr="001162C0" w:rsidRDefault="000B2BFA" w:rsidP="000B2BFA">
      <w:pPr>
        <w:spacing w:after="0" w:line="240" w:lineRule="auto"/>
        <w:jc w:val="both"/>
        <w:rPr>
          <w:rFonts w:ascii="Verdana" w:hAnsi="Verdana"/>
        </w:rPr>
      </w:pPr>
      <w:r w:rsidRPr="001162C0">
        <w:rPr>
          <w:rFonts w:ascii="Verdana" w:hAnsi="Verdana"/>
        </w:rPr>
        <w:t xml:space="preserve">Twitter: </w:t>
      </w:r>
      <w:r w:rsidRPr="001162C0">
        <w:rPr>
          <w:rFonts w:ascii="Verdana" w:eastAsia="Calibri" w:hAnsi="Verdana" w:cs="Times New Roman"/>
          <w:color w:val="4472C4" w:themeColor="accent1"/>
          <w:u w:val="single"/>
        </w:rPr>
        <w:t>@colombiacompra</w:t>
      </w:r>
      <w:r w:rsidRPr="001162C0">
        <w:rPr>
          <w:rFonts w:ascii="Verdana" w:eastAsia="Calibri" w:hAnsi="Verdana" w:cs="Times New Roman"/>
          <w:color w:val="4472C4" w:themeColor="accent1"/>
        </w:rPr>
        <w:t xml:space="preserve"> </w:t>
      </w:r>
    </w:p>
    <w:p w14:paraId="2AD5B2EC" w14:textId="77777777" w:rsidR="000B2BFA" w:rsidRPr="001162C0" w:rsidRDefault="000B2BFA" w:rsidP="000B2BFA">
      <w:pPr>
        <w:spacing w:after="0" w:line="240" w:lineRule="auto"/>
        <w:jc w:val="both"/>
        <w:rPr>
          <w:rFonts w:ascii="Verdana" w:hAnsi="Verdana"/>
        </w:rPr>
      </w:pPr>
      <w:r w:rsidRPr="001162C0">
        <w:rPr>
          <w:rFonts w:ascii="Verdana" w:hAnsi="Verdana"/>
        </w:rPr>
        <w:t xml:space="preserve">Facebook: </w:t>
      </w:r>
      <w:proofErr w:type="spellStart"/>
      <w:r w:rsidRPr="001162C0">
        <w:rPr>
          <w:rFonts w:ascii="Verdana" w:eastAsia="Calibri" w:hAnsi="Verdana" w:cs="Times New Roman"/>
          <w:color w:val="4472C4" w:themeColor="accent1"/>
          <w:u w:val="single"/>
        </w:rPr>
        <w:t>ColombiaCompraEficiente</w:t>
      </w:r>
      <w:proofErr w:type="spellEnd"/>
    </w:p>
    <w:p w14:paraId="633DC21A" w14:textId="77777777" w:rsidR="000B2BFA" w:rsidRPr="001162C0" w:rsidRDefault="000B2BFA" w:rsidP="000B2BFA">
      <w:pPr>
        <w:spacing w:after="0" w:line="240" w:lineRule="auto"/>
        <w:jc w:val="both"/>
        <w:rPr>
          <w:rFonts w:ascii="Verdana" w:hAnsi="Verdana"/>
        </w:rPr>
      </w:pPr>
      <w:r w:rsidRPr="001162C0">
        <w:rPr>
          <w:rFonts w:ascii="Verdana" w:hAnsi="Verdana"/>
        </w:rPr>
        <w:t xml:space="preserve">LinkedIn: </w:t>
      </w:r>
      <w:r w:rsidRPr="001162C0">
        <w:rPr>
          <w:rFonts w:ascii="Verdana" w:eastAsia="Calibri" w:hAnsi="Verdana" w:cs="Times New Roman"/>
          <w:color w:val="4472C4" w:themeColor="accent1"/>
          <w:u w:val="single"/>
        </w:rPr>
        <w:t>Agencia Nacional de Contratación Pública - Colombia Compra Eficiente</w:t>
      </w:r>
      <w:r w:rsidRPr="001162C0">
        <w:rPr>
          <w:rFonts w:ascii="Verdana" w:eastAsia="Calibri" w:hAnsi="Verdana" w:cs="Times New Roman"/>
          <w:color w:val="4472C4" w:themeColor="accent1"/>
        </w:rPr>
        <w:t xml:space="preserve"> </w:t>
      </w:r>
      <w:r w:rsidRPr="001162C0">
        <w:rPr>
          <w:rFonts w:ascii="Verdana" w:hAnsi="Verdana"/>
        </w:rPr>
        <w:t xml:space="preserve">Instagram: </w:t>
      </w:r>
      <w:r w:rsidRPr="001162C0">
        <w:rPr>
          <w:rFonts w:ascii="Verdana" w:eastAsia="Calibri" w:hAnsi="Verdana" w:cs="Times New Roman"/>
          <w:color w:val="4472C4" w:themeColor="accent1"/>
          <w:u w:val="single"/>
        </w:rPr>
        <w:t>@colombiacompraeficiente_cce</w:t>
      </w:r>
    </w:p>
    <w:p w14:paraId="534C4C64" w14:textId="77777777" w:rsidR="000B2BFA" w:rsidRPr="001162C0" w:rsidRDefault="000B2BFA" w:rsidP="000B2BFA">
      <w:pPr>
        <w:widowControl w:val="0"/>
        <w:autoSpaceDE w:val="0"/>
        <w:autoSpaceDN w:val="0"/>
        <w:spacing w:after="0" w:line="276" w:lineRule="auto"/>
        <w:jc w:val="both"/>
        <w:rPr>
          <w:rFonts w:ascii="Verdana" w:hAnsi="Verdana"/>
        </w:rPr>
      </w:pPr>
    </w:p>
    <w:p w14:paraId="311B7637" w14:textId="77777777" w:rsidR="000B2BFA" w:rsidRPr="001162C0" w:rsidRDefault="000B2BFA" w:rsidP="000B2BFA">
      <w:pPr>
        <w:widowControl w:val="0"/>
        <w:autoSpaceDE w:val="0"/>
        <w:autoSpaceDN w:val="0"/>
        <w:spacing w:after="0" w:line="276" w:lineRule="auto"/>
        <w:jc w:val="both"/>
        <w:rPr>
          <w:rFonts w:ascii="Verdana" w:eastAsia="Calibri" w:hAnsi="Verdana" w:cs="Arial"/>
        </w:rPr>
      </w:pPr>
      <w:r w:rsidRPr="001162C0">
        <w:rPr>
          <w:rFonts w:ascii="Verdana" w:eastAsia="Calibri" w:hAnsi="Verdana" w:cs="Arial"/>
        </w:rPr>
        <w:t>Este concepto tiene el alcance previsto en el artículo 28 del Código de Procedimiento Administrativo y de lo Contencioso Administrativo.</w:t>
      </w:r>
    </w:p>
    <w:p w14:paraId="0592E650" w14:textId="77777777" w:rsidR="000B2BFA" w:rsidRPr="001162C0" w:rsidRDefault="000B2BFA" w:rsidP="000B2BFA">
      <w:pPr>
        <w:widowControl w:val="0"/>
        <w:autoSpaceDE w:val="0"/>
        <w:autoSpaceDN w:val="0"/>
        <w:spacing w:after="0" w:line="276" w:lineRule="auto"/>
        <w:jc w:val="both"/>
        <w:rPr>
          <w:rFonts w:ascii="Verdana" w:eastAsia="Calibri" w:hAnsi="Verdana" w:cs="Arial"/>
        </w:rPr>
      </w:pPr>
    </w:p>
    <w:p w14:paraId="6F9A45BB" w14:textId="77777777" w:rsidR="000B2BFA" w:rsidRPr="001162C0" w:rsidRDefault="000B2BFA" w:rsidP="000B2BFA">
      <w:pPr>
        <w:spacing w:after="0" w:line="240" w:lineRule="auto"/>
        <w:rPr>
          <w:rFonts w:ascii="Verdana" w:eastAsia="Calibri" w:hAnsi="Verdana" w:cs="Arial"/>
          <w:lang w:eastAsia="es-CO"/>
        </w:rPr>
      </w:pPr>
      <w:r w:rsidRPr="001162C0">
        <w:rPr>
          <w:rFonts w:ascii="Verdana" w:eastAsia="Times New Roman" w:hAnsi="Verdana" w:cs="Arial"/>
          <w:lang w:eastAsia="es-CO"/>
        </w:rPr>
        <w:t>Atentamente,</w:t>
      </w:r>
      <w:r w:rsidRPr="001162C0">
        <w:rPr>
          <w:rFonts w:ascii="Verdana" w:eastAsia="Calibri" w:hAnsi="Verdana" w:cs="Arial"/>
          <w:lang w:eastAsia="es-CO"/>
        </w:rPr>
        <w:t xml:space="preserve"> </w:t>
      </w:r>
    </w:p>
    <w:p w14:paraId="0C71F965" w14:textId="77777777" w:rsidR="000B2BFA" w:rsidRPr="001162C0" w:rsidRDefault="000B2BFA" w:rsidP="000B2BFA">
      <w:pPr>
        <w:tabs>
          <w:tab w:val="left" w:pos="1320"/>
        </w:tabs>
        <w:rPr>
          <w:rFonts w:ascii="Verdana" w:hAnsi="Verdana"/>
        </w:rPr>
      </w:pPr>
    </w:p>
    <w:p w14:paraId="0B793EE2" w14:textId="0248EDE2" w:rsidR="000B2BFA" w:rsidRPr="001162C0" w:rsidRDefault="00FD2E10" w:rsidP="000B2BFA">
      <w:pPr>
        <w:tabs>
          <w:tab w:val="left" w:pos="1320"/>
        </w:tabs>
        <w:jc w:val="center"/>
        <w:rPr>
          <w:rFonts w:ascii="Century Gothic" w:hAnsi="Century Gothic"/>
        </w:rPr>
      </w:pPr>
      <w:r w:rsidRPr="004D5C25">
        <w:rPr>
          <w:rFonts w:ascii="Century Gothic" w:hAnsi="Century Gothic"/>
          <w:noProof/>
        </w:rPr>
        <w:drawing>
          <wp:inline distT="0" distB="0" distL="0" distR="0" wp14:anchorId="42DA95E6" wp14:editId="4A2EC261">
            <wp:extent cx="2781300" cy="1194029"/>
            <wp:effectExtent l="0" t="0" r="0" b="635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2786945" cy="119645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B2BFA" w:rsidRPr="001162C0" w14:paraId="0F6F014B" w14:textId="77777777" w:rsidTr="003436CB">
        <w:trPr>
          <w:trHeight w:val="315"/>
        </w:trPr>
        <w:tc>
          <w:tcPr>
            <w:tcW w:w="893" w:type="dxa"/>
            <w:vAlign w:val="center"/>
            <w:hideMark/>
          </w:tcPr>
          <w:p w14:paraId="456E1781" w14:textId="77777777" w:rsidR="000B2BFA" w:rsidRPr="001162C0" w:rsidRDefault="000B2BFA" w:rsidP="003436CB">
            <w:pPr>
              <w:rPr>
                <w:rFonts w:ascii="Verdana" w:eastAsia="Calibri" w:hAnsi="Verdana" w:cs="Arial"/>
                <w:sz w:val="16"/>
                <w:szCs w:val="16"/>
                <w:lang w:eastAsia="es-ES"/>
              </w:rPr>
            </w:pPr>
            <w:r w:rsidRPr="001162C0">
              <w:rPr>
                <w:rFonts w:ascii="Verdana" w:eastAsia="Calibri" w:hAnsi="Verdana" w:cs="Arial"/>
                <w:sz w:val="16"/>
                <w:szCs w:val="16"/>
                <w:lang w:eastAsia="es-ES"/>
              </w:rPr>
              <w:t>Elaboró:</w:t>
            </w:r>
          </w:p>
        </w:tc>
        <w:tc>
          <w:tcPr>
            <w:tcW w:w="5628" w:type="dxa"/>
            <w:tcBorders>
              <w:top w:val="nil"/>
              <w:left w:val="nil"/>
              <w:bottom w:val="dotted" w:sz="4" w:space="0" w:color="7F7F7F"/>
              <w:right w:val="nil"/>
            </w:tcBorders>
            <w:vAlign w:val="center"/>
            <w:hideMark/>
          </w:tcPr>
          <w:p w14:paraId="2B887A92" w14:textId="77777777" w:rsidR="000B2BFA" w:rsidRPr="001162C0" w:rsidRDefault="000B2BFA" w:rsidP="003436CB">
            <w:pPr>
              <w:rPr>
                <w:rFonts w:ascii="Verdana" w:eastAsia="Arial" w:hAnsi="Verdana" w:cs="Arial"/>
                <w:sz w:val="16"/>
                <w:szCs w:val="16"/>
              </w:rPr>
            </w:pPr>
            <w:r w:rsidRPr="001162C0">
              <w:rPr>
                <w:rFonts w:ascii="Verdana" w:eastAsia="Arial" w:hAnsi="Verdana" w:cs="Arial"/>
                <w:sz w:val="16"/>
                <w:szCs w:val="16"/>
              </w:rPr>
              <w:t xml:space="preserve">Carlos Mario </w:t>
            </w:r>
            <w:proofErr w:type="spellStart"/>
            <w:r w:rsidRPr="001162C0">
              <w:rPr>
                <w:rFonts w:ascii="Verdana" w:eastAsia="Arial" w:hAnsi="Verdana" w:cs="Arial"/>
                <w:sz w:val="16"/>
                <w:szCs w:val="16"/>
              </w:rPr>
              <w:t>Castrillon</w:t>
            </w:r>
            <w:proofErr w:type="spellEnd"/>
            <w:r w:rsidRPr="001162C0">
              <w:rPr>
                <w:rFonts w:ascii="Verdana" w:eastAsia="Arial" w:hAnsi="Verdana" w:cs="Arial"/>
                <w:sz w:val="16"/>
                <w:szCs w:val="16"/>
              </w:rPr>
              <w:t xml:space="preserve"> Endo </w:t>
            </w:r>
          </w:p>
          <w:p w14:paraId="2DD2EA30" w14:textId="77777777" w:rsidR="000B2BFA" w:rsidRPr="001162C0" w:rsidRDefault="000B2BFA" w:rsidP="003436CB">
            <w:pPr>
              <w:rPr>
                <w:rFonts w:ascii="Verdana" w:eastAsia="Arial" w:hAnsi="Verdana" w:cs="Arial"/>
                <w:sz w:val="16"/>
                <w:szCs w:val="16"/>
              </w:rPr>
            </w:pPr>
            <w:r w:rsidRPr="001162C0">
              <w:rPr>
                <w:rFonts w:ascii="Verdana" w:eastAsia="Arial" w:hAnsi="Verdana" w:cs="Arial"/>
                <w:sz w:val="16"/>
                <w:szCs w:val="16"/>
              </w:rPr>
              <w:t>Contratista de la Subdirección de Gestión Contractual</w:t>
            </w:r>
          </w:p>
        </w:tc>
      </w:tr>
      <w:tr w:rsidR="000B2BFA" w:rsidRPr="001162C0" w14:paraId="382F1BA0" w14:textId="77777777" w:rsidTr="003436CB">
        <w:trPr>
          <w:trHeight w:val="330"/>
        </w:trPr>
        <w:tc>
          <w:tcPr>
            <w:tcW w:w="893" w:type="dxa"/>
            <w:vAlign w:val="center"/>
            <w:hideMark/>
          </w:tcPr>
          <w:p w14:paraId="30914329" w14:textId="77777777" w:rsidR="000B2BFA" w:rsidRPr="001162C0" w:rsidRDefault="000B2BFA" w:rsidP="003436CB">
            <w:pPr>
              <w:rPr>
                <w:rFonts w:ascii="Verdana" w:eastAsia="Calibri" w:hAnsi="Verdana" w:cs="Arial"/>
                <w:sz w:val="16"/>
                <w:szCs w:val="16"/>
                <w:lang w:eastAsia="es-ES"/>
              </w:rPr>
            </w:pPr>
            <w:r w:rsidRPr="001162C0">
              <w:rPr>
                <w:rFonts w:ascii="Verdana" w:eastAsia="Calibri" w:hAnsi="Verdana"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4FCA361D" w14:textId="77777777" w:rsidR="000B2BFA" w:rsidRPr="001162C0" w:rsidRDefault="000B2BFA" w:rsidP="003436CB">
            <w:pPr>
              <w:textAlignment w:val="baseline"/>
              <w:rPr>
                <w:rFonts w:ascii="Verdana" w:eastAsia="Times New Roman" w:hAnsi="Verdana" w:cs="Arial"/>
                <w:sz w:val="16"/>
                <w:szCs w:val="16"/>
                <w:lang w:eastAsia="es-ES_tradnl"/>
              </w:rPr>
            </w:pPr>
            <w:r w:rsidRPr="001162C0">
              <w:rPr>
                <w:rFonts w:ascii="Verdana" w:eastAsia="Times New Roman" w:hAnsi="Verdana" w:cs="Arial"/>
                <w:sz w:val="16"/>
                <w:szCs w:val="16"/>
                <w:lang w:eastAsia="es-ES_tradnl"/>
              </w:rPr>
              <w:t>Martha Alicia Romero Vargas</w:t>
            </w:r>
          </w:p>
          <w:p w14:paraId="1B8AD58C" w14:textId="77777777" w:rsidR="000B2BFA" w:rsidRPr="001162C0" w:rsidRDefault="000B2BFA" w:rsidP="003436CB">
            <w:pPr>
              <w:textAlignment w:val="baseline"/>
              <w:rPr>
                <w:rFonts w:ascii="Verdana" w:eastAsia="Times New Roman" w:hAnsi="Verdana" w:cs="Segoe UI"/>
                <w:sz w:val="16"/>
                <w:szCs w:val="16"/>
                <w:lang w:eastAsia="es-ES_tradnl"/>
              </w:rPr>
            </w:pPr>
            <w:r w:rsidRPr="001162C0">
              <w:rPr>
                <w:rFonts w:ascii="Verdana" w:eastAsia="Times New Roman" w:hAnsi="Verdana" w:cs="Arial"/>
                <w:sz w:val="16"/>
                <w:szCs w:val="16"/>
                <w:lang w:eastAsia="es-ES_tradnl"/>
              </w:rPr>
              <w:t>Gestor T1-15 de la Subdirección de Gestión Contractual</w:t>
            </w:r>
          </w:p>
        </w:tc>
      </w:tr>
      <w:tr w:rsidR="000B2BFA" w:rsidRPr="001162C0" w14:paraId="52B57D80" w14:textId="77777777" w:rsidTr="003436CB">
        <w:trPr>
          <w:trHeight w:val="300"/>
        </w:trPr>
        <w:tc>
          <w:tcPr>
            <w:tcW w:w="893" w:type="dxa"/>
            <w:vAlign w:val="center"/>
          </w:tcPr>
          <w:p w14:paraId="024392B5" w14:textId="77777777" w:rsidR="000B2BFA" w:rsidRPr="001162C0" w:rsidRDefault="000B2BFA" w:rsidP="003436CB">
            <w:pPr>
              <w:rPr>
                <w:rFonts w:ascii="Verdana" w:eastAsia="Calibri" w:hAnsi="Verdana" w:cs="Arial"/>
                <w:sz w:val="16"/>
                <w:szCs w:val="16"/>
                <w:lang w:eastAsia="es-ES"/>
              </w:rPr>
            </w:pPr>
            <w:r w:rsidRPr="001162C0">
              <w:rPr>
                <w:rFonts w:ascii="Verdana" w:eastAsia="Calibri" w:hAnsi="Verdana"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755FEB77" w14:textId="77777777" w:rsidR="000B2BFA" w:rsidRPr="001162C0" w:rsidRDefault="000B2BFA" w:rsidP="003436CB">
            <w:pPr>
              <w:rPr>
                <w:rFonts w:ascii="Verdana" w:eastAsia="Calibri" w:hAnsi="Verdana" w:cs="Arial"/>
                <w:sz w:val="16"/>
                <w:szCs w:val="16"/>
                <w:lang w:eastAsia="es-ES"/>
              </w:rPr>
            </w:pPr>
            <w:r w:rsidRPr="001162C0">
              <w:rPr>
                <w:rFonts w:ascii="Verdana" w:eastAsia="Calibri" w:hAnsi="Verdana" w:cs="Arial"/>
                <w:sz w:val="16"/>
                <w:szCs w:val="16"/>
                <w:lang w:eastAsia="es-ES"/>
              </w:rPr>
              <w:t xml:space="preserve">Carolina Quintero </w:t>
            </w:r>
            <w:proofErr w:type="spellStart"/>
            <w:r w:rsidRPr="001162C0">
              <w:rPr>
                <w:rFonts w:ascii="Verdana" w:eastAsia="Calibri" w:hAnsi="Verdana" w:cs="Arial"/>
                <w:sz w:val="16"/>
                <w:szCs w:val="16"/>
                <w:lang w:eastAsia="es-ES"/>
              </w:rPr>
              <w:t>Gacharná</w:t>
            </w:r>
            <w:proofErr w:type="spellEnd"/>
          </w:p>
          <w:p w14:paraId="7BD91988" w14:textId="77777777" w:rsidR="000B2BFA" w:rsidRPr="001162C0" w:rsidRDefault="000B2BFA" w:rsidP="003436CB">
            <w:pPr>
              <w:rPr>
                <w:rFonts w:ascii="Verdana" w:eastAsia="Calibri" w:hAnsi="Verdana" w:cs="Arial"/>
                <w:sz w:val="16"/>
                <w:szCs w:val="16"/>
                <w:lang w:eastAsia="es-ES"/>
              </w:rPr>
            </w:pPr>
            <w:r w:rsidRPr="001162C0">
              <w:rPr>
                <w:rFonts w:ascii="Verdana" w:eastAsia="Calibri" w:hAnsi="Verdana" w:cs="Arial"/>
                <w:sz w:val="16"/>
                <w:szCs w:val="16"/>
                <w:lang w:eastAsia="es-ES"/>
              </w:rPr>
              <w:t>Subdirectora de Gestión Contractual ANCP – CCE</w:t>
            </w:r>
          </w:p>
        </w:tc>
      </w:tr>
    </w:tbl>
    <w:p w14:paraId="6A94C72B" w14:textId="77777777" w:rsidR="000B2BFA" w:rsidRPr="001162C0" w:rsidRDefault="000B2BFA" w:rsidP="000B2BFA">
      <w:pPr>
        <w:widowControl w:val="0"/>
        <w:autoSpaceDE w:val="0"/>
        <w:autoSpaceDN w:val="0"/>
        <w:spacing w:after="0" w:line="276" w:lineRule="auto"/>
        <w:jc w:val="both"/>
      </w:pPr>
    </w:p>
    <w:sectPr w:rsidR="000B2BFA" w:rsidRPr="001162C0"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EE1E8" w14:textId="77777777" w:rsidR="00ED7384" w:rsidRDefault="00ED7384" w:rsidP="004A1847">
      <w:pPr>
        <w:spacing w:after="0" w:line="240" w:lineRule="auto"/>
      </w:pPr>
      <w:r>
        <w:separator/>
      </w:r>
    </w:p>
  </w:endnote>
  <w:endnote w:type="continuationSeparator" w:id="0">
    <w:p w14:paraId="4A7AB4CB" w14:textId="77777777" w:rsidR="00ED7384" w:rsidRDefault="00ED738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rialMT">
    <w:altName w:val="Arial"/>
    <w:panose1 w:val="00000000000000000000"/>
    <w:charset w:val="00"/>
    <w:family w:val="roman"/>
    <w:notTrueType/>
    <w:pitch w:val="default"/>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4B691" w14:textId="77777777" w:rsidR="00ED7384" w:rsidRDefault="00ED7384" w:rsidP="004A1847">
      <w:pPr>
        <w:spacing w:after="0" w:line="240" w:lineRule="auto"/>
      </w:pPr>
      <w:r>
        <w:separator/>
      </w:r>
    </w:p>
  </w:footnote>
  <w:footnote w:type="continuationSeparator" w:id="0">
    <w:p w14:paraId="46133D6B" w14:textId="77777777" w:rsidR="00ED7384" w:rsidRDefault="00ED7384" w:rsidP="004A1847">
      <w:pPr>
        <w:spacing w:after="0" w:line="240" w:lineRule="auto"/>
      </w:pPr>
      <w:r>
        <w:continuationSeparator/>
      </w:r>
    </w:p>
  </w:footnote>
  <w:footnote w:id="1">
    <w:p w14:paraId="6123F16E" w14:textId="77777777" w:rsidR="000B2BFA" w:rsidRPr="001162C0" w:rsidRDefault="000B2BFA" w:rsidP="000B2BFA">
      <w:pPr>
        <w:pStyle w:val="Textonotapie"/>
        <w:rPr>
          <w:rFonts w:ascii="Verdana" w:hAnsi="Verdana"/>
          <w:sz w:val="16"/>
          <w:szCs w:val="16"/>
          <w:lang w:val="es-CO"/>
        </w:rPr>
      </w:pPr>
      <w:r w:rsidRPr="001162C0">
        <w:rPr>
          <w:rStyle w:val="Refdenotaalpie"/>
          <w:rFonts w:ascii="Verdana" w:hAnsi="Verdana"/>
          <w:sz w:val="16"/>
          <w:szCs w:val="16"/>
          <w:lang w:val="es-CO"/>
        </w:rPr>
        <w:footnoteRef/>
      </w:r>
      <w:r w:rsidRPr="001162C0">
        <w:rPr>
          <w:rFonts w:ascii="Verdana" w:hAnsi="Verdana"/>
          <w:sz w:val="16"/>
          <w:szCs w:val="16"/>
          <w:lang w:val="es-CO"/>
        </w:rPr>
        <w:t xml:space="preserve"> Estos Documentos Tipo pueden ser consultados en la página web de Colombia Compra Eficiente, a través del siguiente enlace: </w:t>
      </w:r>
      <w:hyperlink r:id="rId1" w:history="1">
        <w:r w:rsidRPr="001162C0">
          <w:rPr>
            <w:rStyle w:val="Hipervnculo"/>
            <w:rFonts w:ascii="Verdana" w:hAnsi="Verdana"/>
            <w:sz w:val="16"/>
            <w:szCs w:val="16"/>
            <w:lang w:val="es-CO"/>
          </w:rPr>
          <w:t>https://www.colombiacompra.gov.co/documentos-tipo/documentos-tipo</w:t>
        </w:r>
      </w:hyperlink>
      <w:r w:rsidRPr="001162C0">
        <w:rPr>
          <w:rFonts w:ascii="Verdana" w:hAnsi="Verdana"/>
          <w:sz w:val="16"/>
          <w:szCs w:val="16"/>
          <w:lang w:val="es-CO"/>
        </w:rPr>
        <w:t xml:space="preserve"> </w:t>
      </w:r>
    </w:p>
    <w:p w14:paraId="3AF1FE99" w14:textId="77777777" w:rsidR="000B2BFA" w:rsidRPr="001162C0" w:rsidRDefault="000B2BFA" w:rsidP="000B2BFA">
      <w:pPr>
        <w:pStyle w:val="Textonotapie"/>
        <w:rPr>
          <w:rFonts w:ascii="Verdana" w:hAnsi="Verdana"/>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F985D4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859010828" o:spid="_x0000_i1025" type="#_x0000_t75" style="width:11.25pt;height:11.25pt;visibility:visible;mso-wrap-style:square">
            <v:imagedata r:id="rId1" o:title=""/>
          </v:shape>
        </w:pict>
      </mc:Choice>
      <mc:Fallback>
        <w:drawing>
          <wp:inline distT="0" distB="0" distL="0" distR="0" wp14:anchorId="17DC7898" wp14:editId="17DC7899">
            <wp:extent cx="142875" cy="142875"/>
            <wp:effectExtent l="0" t="0" r="0" b="0"/>
            <wp:docPr id="1859010828" name="Imagen 1859010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62902FB"/>
    <w:multiLevelType w:val="hybridMultilevel"/>
    <w:tmpl w:val="FFFFFFFF"/>
    <w:lvl w:ilvl="0" w:tplc="97A661EA">
      <w:start w:val="5"/>
      <w:numFmt w:val="bullet"/>
      <w:lvlText w:val=""/>
      <w:lvlJc w:val="left"/>
      <w:pPr>
        <w:ind w:left="720" w:hanging="360"/>
      </w:pPr>
      <w:rPr>
        <w:rFonts w:ascii="Symbol" w:eastAsia="Times New Roman"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0"/>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567968">
    <w:abstractNumId w:val="11"/>
  </w:num>
  <w:num w:numId="18" w16cid:durableId="827985604">
    <w:abstractNumId w:val="9"/>
  </w:num>
  <w:num w:numId="19" w16cid:durableId="341274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B2BFA"/>
    <w:rsid w:val="000D0334"/>
    <w:rsid w:val="000F6486"/>
    <w:rsid w:val="00125105"/>
    <w:rsid w:val="00127233"/>
    <w:rsid w:val="001446F8"/>
    <w:rsid w:val="001511A0"/>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30A"/>
    <w:rsid w:val="00377E3E"/>
    <w:rsid w:val="003A779E"/>
    <w:rsid w:val="003D0F4D"/>
    <w:rsid w:val="003D5B0D"/>
    <w:rsid w:val="003E0499"/>
    <w:rsid w:val="003F3941"/>
    <w:rsid w:val="00406575"/>
    <w:rsid w:val="00414C74"/>
    <w:rsid w:val="0042722E"/>
    <w:rsid w:val="0044528D"/>
    <w:rsid w:val="00493C2D"/>
    <w:rsid w:val="00495D62"/>
    <w:rsid w:val="004A1847"/>
    <w:rsid w:val="004A305D"/>
    <w:rsid w:val="004F21C4"/>
    <w:rsid w:val="004F685F"/>
    <w:rsid w:val="005566E8"/>
    <w:rsid w:val="00574867"/>
    <w:rsid w:val="00591460"/>
    <w:rsid w:val="005B3816"/>
    <w:rsid w:val="005C3777"/>
    <w:rsid w:val="005C5CDC"/>
    <w:rsid w:val="005D476C"/>
    <w:rsid w:val="006219F8"/>
    <w:rsid w:val="006379C1"/>
    <w:rsid w:val="00665D70"/>
    <w:rsid w:val="006900D9"/>
    <w:rsid w:val="00706C16"/>
    <w:rsid w:val="00756841"/>
    <w:rsid w:val="00764379"/>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B01B1A"/>
    <w:rsid w:val="00B66319"/>
    <w:rsid w:val="00B72CD3"/>
    <w:rsid w:val="00B72FFF"/>
    <w:rsid w:val="00BC3D36"/>
    <w:rsid w:val="00BD7F72"/>
    <w:rsid w:val="00C04FB3"/>
    <w:rsid w:val="00C330EB"/>
    <w:rsid w:val="00C41061"/>
    <w:rsid w:val="00C754BE"/>
    <w:rsid w:val="00C76B1C"/>
    <w:rsid w:val="00CB6357"/>
    <w:rsid w:val="00CC1B26"/>
    <w:rsid w:val="00D423A2"/>
    <w:rsid w:val="00D520D8"/>
    <w:rsid w:val="00D63AC2"/>
    <w:rsid w:val="00D7383B"/>
    <w:rsid w:val="00DA231B"/>
    <w:rsid w:val="00DC34CF"/>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D2E10"/>
    <w:rsid w:val="00FF1449"/>
    <w:rsid w:val="2E3D70C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B2BFA"/>
    <w:pPr>
      <w:spacing w:line="240" w:lineRule="exact"/>
    </w:pPr>
    <w:rPr>
      <w:vertAlign w:val="superscript"/>
    </w:rPr>
  </w:style>
  <w:style w:type="table" w:customStyle="1" w:styleId="Tablaconcuadrcula1">
    <w:name w:val="Tabla con cuadrícula1"/>
    <w:basedOn w:val="Tablanormal"/>
    <w:next w:val="Tablaconcuadrcula"/>
    <w:uiPriority w:val="39"/>
    <w:qFormat/>
    <w:rsid w:val="000B2B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rsid w:val="000B2BFA"/>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carlos.castrillon%40colombiacompra.gov.co%7Ceb0fd05604104aa4d3bc08dd4c4ad35e%7C7b09041e245149d08cb179d5e3d8c1be%7C0%7C0%7C638750606445342495%7CUnknown%7CTWFpbGZsb3d8eyJFbXB0eU1hcGkiOnRydWUsIlYiOiIwLjAuMDAwMCIsIlAiOiJXaW4zMiIsIkFOIjoiTWFpbCIsIldUIjoyfQ%3D%3D%7C0%7C%7C%7C&amp;sdata=QjdkVIaLZrDJ7LHxm%2FQR2RWhmxzNwmEPLnWPN%2BV%2F4jE%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carlos.castrillon%40colombiacompra.gov.co%7Ceb0fd05604104aa4d3bc08dd4c4ad35e%7C7b09041e245149d08cb179d5e3d8c1be%7C0%7C0%7C638750606445402573%7CUnknown%7CTWFpbGZsb3d8eyJFbXB0eU1hcGkiOnRydWUsIlYiOiIwLjAuMDAwMCIsIlAiOiJXaW4zMiIsIkFOIjoiTWFpbCIsIldUIjoyfQ%3D%3D%7C0%7C%7C%7C&amp;sdata=Qg%2Bj2KODoy3mNrtTOL1WJEfzT5QrAdRT2oEKhAgMsdw%3D&amp;reserved=0"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carlos.castrillon%40colombiacompra.gov.co%7Ceb0fd05604104aa4d3bc08dd4c4ad35e%7C7b09041e245149d08cb179d5e3d8c1be%7C0%7C0%7C638750606445381469%7CUnknown%7CTWFpbGZsb3d8eyJFbXB0eU1hcGkiOnRydWUsIlYiOiIwLjAuMDAwMCIsIlAiOiJXaW4zMiIsIkFOIjoiTWFpbCIsIldUIjoyfQ%3D%3D%7C0%7C%7C%7C&amp;sdata=j29N9iGAQKkKYNPvseqiVZ1GlQoAuIdl0ViH4%2FwMNME%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b531b13d-89bf-4629-be1e-22fdf3dd34d4"/>
    <ds:schemaRef ds:uri="http://purl.org/dc/dcmitype/"/>
    <ds:schemaRef ds:uri="http://purl.org/dc/terms/"/>
    <ds:schemaRef ds:uri="http://purl.org/dc/elements/1.1/"/>
    <ds:schemaRef ds:uri="8ae15d26-076e-464e-81a7-6f76a0fb3917"/>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65A306-CEA0-4927-8CB9-4BD0B456FE14}"/>
</file>

<file path=docProps/app.xml><?xml version="1.0" encoding="utf-8"?>
<Properties xmlns="http://schemas.openxmlformats.org/officeDocument/2006/extended-properties" xmlns:vt="http://schemas.openxmlformats.org/officeDocument/2006/docPropsVTypes">
  <Template>Normal</Template>
  <TotalTime>4</TotalTime>
  <Pages>14</Pages>
  <Words>4807</Words>
  <Characters>26442</Characters>
  <Application>Microsoft Office Word</Application>
  <DocSecurity>0</DocSecurity>
  <Lines>220</Lines>
  <Paragraphs>62</Paragraphs>
  <ScaleCrop>false</ScaleCrop>
  <Company/>
  <LinksUpToDate>false</LinksUpToDate>
  <CharactersWithSpaces>31187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Carlos Mario Castrillón Endo</cp:lastModifiedBy>
  <cp:revision>5</cp:revision>
  <cp:lastPrinted>2023-01-10T21:18:00Z</cp:lastPrinted>
  <dcterms:created xsi:type="dcterms:W3CDTF">2025-04-28T21:05:00Z</dcterms:created>
  <dcterms:modified xsi:type="dcterms:W3CDTF">2025-04-29T16:59:00Z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