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5A2D0" w14:textId="77777777" w:rsidR="00C07D0D" w:rsidRPr="00C07D0D" w:rsidRDefault="00C07D0D" w:rsidP="00C07D0D">
      <w:pPr>
        <w:shd w:val="clear" w:color="auto" w:fill="FFFFFF"/>
        <w:spacing w:after="0" w:line="240" w:lineRule="auto"/>
        <w:rPr>
          <w:rFonts w:ascii="Segoe UI" w:eastAsia="Times New Roman" w:hAnsi="Segoe UI" w:cs="Segoe UI"/>
          <w:color w:val="242424"/>
          <w:sz w:val="23"/>
          <w:szCs w:val="23"/>
          <w:lang w:eastAsia="es-CO"/>
        </w:rPr>
      </w:pPr>
      <w:bookmarkStart w:id="0" w:name="_Hlk96417464"/>
      <w:bookmarkStart w:id="1" w:name="_Hlk120036210"/>
      <w:bookmarkStart w:id="2" w:name="_Hlk98867631"/>
      <w:bookmarkStart w:id="3" w:name="_Hlk99546921"/>
      <w:bookmarkStart w:id="4" w:name="_Hlk34951122"/>
      <w:r w:rsidRPr="00C07D0D">
        <w:rPr>
          <w:rFonts w:ascii="Arial" w:eastAsia="Times New Roman" w:hAnsi="Arial" w:cs="Arial"/>
          <w:b/>
          <w:bCs/>
          <w:color w:val="000000"/>
          <w:bdr w:val="none" w:sz="0" w:space="0" w:color="auto" w:frame="1"/>
          <w:lang w:eastAsia="es-CO"/>
        </w:rPr>
        <w:t>INHABILIDADES – Definición – Finalidad – Limitación capacidad contractual </w:t>
      </w:r>
    </w:p>
    <w:p w14:paraId="6F13B06B" w14:textId="77777777" w:rsidR="00C07D0D" w:rsidRPr="00C07D0D" w:rsidRDefault="00C07D0D" w:rsidP="00C07D0D">
      <w:pPr>
        <w:shd w:val="clear" w:color="auto" w:fill="FFFFFF"/>
        <w:spacing w:after="0" w:line="240" w:lineRule="auto"/>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 </w:t>
      </w:r>
    </w:p>
    <w:p w14:paraId="6163F52D"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 </w:t>
      </w:r>
    </w:p>
    <w:p w14:paraId="52C1A660"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b/>
          <w:bCs/>
          <w:color w:val="000000"/>
          <w:bdr w:val="none" w:sz="0" w:space="0" w:color="auto" w:frame="1"/>
          <w:lang w:eastAsia="es-CO"/>
        </w:rPr>
        <w:t> </w:t>
      </w:r>
    </w:p>
    <w:p w14:paraId="6A188159"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b/>
          <w:bCs/>
          <w:color w:val="000000"/>
          <w:bdr w:val="none" w:sz="0" w:space="0" w:color="auto" w:frame="1"/>
          <w:lang w:eastAsia="es-CO"/>
        </w:rPr>
        <w:t>INHABILIDAD – Relación de parentesco – Vínculo natural – Personas naturales </w:t>
      </w:r>
    </w:p>
    <w:p w14:paraId="49271051"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b/>
          <w:bCs/>
          <w:color w:val="000000"/>
          <w:bdr w:val="none" w:sz="0" w:space="0" w:color="auto" w:frame="1"/>
          <w:lang w:eastAsia="es-CO"/>
        </w:rPr>
        <w:t> </w:t>
      </w:r>
    </w:p>
    <w:p w14:paraId="7AA9DD39"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El literal g) del numeral 1 del artículo 8 de la Ley 80 de 1993 determina que son inhábiles para participar en procesos de contratación o suscribir contratos con entidades estatales “Quienes sean cónyuges o compañeros permanentes y quienes se encuentren dentro del segundo grado de consanguinidad o segundo de afinidad con cualquier otra persona que formalmente haya presentado propuesta para una misma licitación”. </w:t>
      </w:r>
    </w:p>
    <w:p w14:paraId="6198BFD4"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 </w:t>
      </w:r>
    </w:p>
    <w:p w14:paraId="3C04060D"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 esto es, sujetos de derechos y obligaciones de la especie humana unidos entre si ya sea por vínculos naturales o jurídicos. </w:t>
      </w:r>
    </w:p>
    <w:p w14:paraId="0168F8FE"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 </w:t>
      </w:r>
    </w:p>
    <w:p w14:paraId="3324DAB4"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b/>
          <w:bCs/>
          <w:color w:val="000000"/>
          <w:bdr w:val="none" w:sz="0" w:space="0" w:color="auto" w:frame="1"/>
          <w:lang w:eastAsia="es-CO"/>
        </w:rPr>
        <w:t>PARENTESCO – Clasificación – Consanguinidad – Afinidad – Grados </w:t>
      </w:r>
    </w:p>
    <w:p w14:paraId="27E6E83C"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bdr w:val="none" w:sz="0" w:space="0" w:color="auto" w:frame="1"/>
          <w:lang w:eastAsia="es-CO"/>
        </w:rPr>
        <w:t> </w:t>
      </w:r>
    </w:p>
    <w:p w14:paraId="606817A8"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De otra parte y en relación al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 El parentesco de afinidad se refiere a la relación surgida entre una persona y los consanguíneos de su esposo, esposa o compañeros permanentes, según el caso. Es preciso señalar que la Corte Constitucional si bien declaró la inexequibilidad del parentesco de afinidad ilegítima, reconoció la vigencia de la denominada afinidad extramatrimonial. </w:t>
      </w:r>
    </w:p>
    <w:p w14:paraId="14605FAA"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 </w:t>
      </w:r>
    </w:p>
    <w:p w14:paraId="5042AD76" w14:textId="77777777" w:rsidR="00C07D0D" w:rsidRPr="00C07D0D" w:rsidRDefault="00C07D0D" w:rsidP="00C07D0D">
      <w:pPr>
        <w:shd w:val="clear" w:color="auto" w:fill="FFFFFF"/>
        <w:spacing w:after="0" w:line="240" w:lineRule="auto"/>
        <w:jc w:val="both"/>
        <w:rPr>
          <w:rFonts w:ascii="Segoe UI" w:eastAsia="Times New Roman" w:hAnsi="Segoe UI" w:cs="Segoe UI"/>
          <w:color w:val="242424"/>
          <w:sz w:val="23"/>
          <w:szCs w:val="23"/>
          <w:lang w:eastAsia="es-CO"/>
        </w:rPr>
      </w:pPr>
      <w:r w:rsidRPr="00C07D0D">
        <w:rPr>
          <w:rFonts w:ascii="Arial" w:eastAsia="Times New Roman" w:hAnsi="Arial" w:cs="Arial"/>
          <w:color w:val="000000"/>
          <w:sz w:val="20"/>
          <w:szCs w:val="20"/>
          <w:bdr w:val="none" w:sz="0" w:space="0" w:color="auto" w:frame="1"/>
          <w:lang w:eastAsia="es-CO"/>
        </w:rPr>
        <w:t>En cuanto a los grados del parentesco se refiere, ya sea de consanguinidad o de afinidad, estos se cuentan en consideración al número de generaciones existentes entre las personas. De esta 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 </w:t>
      </w:r>
    </w:p>
    <w:p w14:paraId="4BEF3307" w14:textId="77777777" w:rsidR="00C07D0D" w:rsidRDefault="00C07D0D" w:rsidP="00D772C9">
      <w:pPr>
        <w:rPr>
          <w:rFonts w:ascii="Arial" w:eastAsia="Geomanist Light" w:hAnsi="Arial" w:cs="Arial"/>
          <w:color w:val="000000" w:themeColor="text1"/>
          <w:lang w:val="es-MX"/>
        </w:rPr>
      </w:pPr>
    </w:p>
    <w:p w14:paraId="55440631" w14:textId="1895F546" w:rsidR="00D772C9" w:rsidRPr="00FD7A7A" w:rsidRDefault="00D772C9" w:rsidP="00D772C9">
      <w:pPr>
        <w:rPr>
          <w:rFonts w:ascii="Arial" w:eastAsia="Geomanist Light" w:hAnsi="Arial" w:cs="Arial"/>
          <w:color w:val="201F1E"/>
          <w:lang w:val="es-MX"/>
        </w:rPr>
      </w:pPr>
      <w:r w:rsidRPr="00FD7A7A">
        <w:rPr>
          <w:rFonts w:ascii="Arial" w:eastAsia="Geomanist Light" w:hAnsi="Arial" w:cs="Arial"/>
          <w:color w:val="000000" w:themeColor="text1"/>
          <w:lang w:val="es-MX"/>
        </w:rPr>
        <w:lastRenderedPageBreak/>
        <w:t>Bogotá D.C., </w:t>
      </w:r>
      <w:r w:rsidRPr="00FD7A7A">
        <w:rPr>
          <w:rFonts w:ascii="Arial" w:eastAsia="Geomanist Light" w:hAnsi="Arial" w:cs="Arial"/>
          <w:color w:val="201F1E"/>
          <w:lang w:val="es-MX"/>
        </w:rPr>
        <w:t>[Día] de [Mes.NombreCapitalizado] de [Año]</w:t>
      </w:r>
    </w:p>
    <w:p w14:paraId="2DAE633D" w14:textId="77777777" w:rsidR="00D772C9" w:rsidRDefault="00D772C9" w:rsidP="00D772C9">
      <w:pPr>
        <w:spacing w:after="0" w:line="240" w:lineRule="auto"/>
        <w:contextualSpacing/>
        <w:jc w:val="both"/>
        <w:rPr>
          <w:rFonts w:ascii="Arial" w:eastAsia="Calibri" w:hAnsi="Arial" w:cs="Arial"/>
        </w:rPr>
      </w:pPr>
    </w:p>
    <w:p w14:paraId="3EB72A53" w14:textId="35A82F57" w:rsidR="0097746A" w:rsidRPr="00FD7A7A" w:rsidRDefault="0097746A" w:rsidP="008632F1">
      <w:pPr>
        <w:spacing w:after="0" w:line="240" w:lineRule="auto"/>
        <w:contextualSpacing/>
        <w:jc w:val="right"/>
        <w:rPr>
          <w:rFonts w:ascii="Arial" w:eastAsia="Calibri" w:hAnsi="Arial" w:cs="Arial"/>
        </w:rPr>
      </w:pPr>
    </w:p>
    <w:p w14:paraId="1621E20C" w14:textId="77777777" w:rsidR="00D772C9" w:rsidRPr="00FD7A7A" w:rsidRDefault="00D772C9" w:rsidP="00D772C9">
      <w:pPr>
        <w:spacing w:after="0" w:line="276" w:lineRule="auto"/>
        <w:contextualSpacing/>
        <w:jc w:val="both"/>
        <w:rPr>
          <w:rFonts w:ascii="Arial" w:eastAsia="Calibri" w:hAnsi="Arial" w:cs="Arial"/>
        </w:rPr>
      </w:pPr>
      <w:r w:rsidRPr="00FD7A7A">
        <w:rPr>
          <w:rFonts w:ascii="Arial" w:eastAsia="Calibri" w:hAnsi="Arial" w:cs="Arial"/>
        </w:rPr>
        <w:t>Señor</w:t>
      </w:r>
    </w:p>
    <w:p w14:paraId="2CE99365" w14:textId="44F0D260" w:rsidR="00D772C9" w:rsidRPr="00FD7A7A" w:rsidRDefault="002D5FA4" w:rsidP="00D772C9">
      <w:pPr>
        <w:spacing w:after="0" w:line="276" w:lineRule="auto"/>
        <w:contextualSpacing/>
        <w:jc w:val="both"/>
        <w:rPr>
          <w:rFonts w:ascii="Arial" w:eastAsia="Calibri" w:hAnsi="Arial" w:cs="Arial"/>
          <w:b/>
          <w:bCs/>
        </w:rPr>
      </w:pPr>
      <w:r>
        <w:rPr>
          <w:rFonts w:ascii="Arial" w:eastAsia="Calibri" w:hAnsi="Arial" w:cs="Arial"/>
          <w:b/>
          <w:bCs/>
        </w:rPr>
        <w:t>Anonimo</w:t>
      </w:r>
    </w:p>
    <w:p w14:paraId="17C8438A" w14:textId="6F496C51" w:rsidR="00D772C9" w:rsidRPr="00FD7A7A" w:rsidRDefault="00C40F5C" w:rsidP="00D772C9">
      <w:pPr>
        <w:spacing w:after="0" w:line="276" w:lineRule="auto"/>
        <w:contextualSpacing/>
        <w:jc w:val="both"/>
        <w:rPr>
          <w:rFonts w:ascii="Arial" w:eastAsia="Calibri" w:hAnsi="Arial" w:cs="Arial"/>
        </w:rPr>
      </w:pPr>
      <w:hyperlink r:id="rId9" w:history="1">
        <w:r w:rsidR="002D5FA4" w:rsidRPr="000222C3">
          <w:rPr>
            <w:rStyle w:val="Hipervnculo"/>
            <w:rFonts w:ascii="ArialMT" w:hAnsi="ArialMT" w:cs="ArialMT"/>
            <w14:ligatures w14:val="standardContextual"/>
          </w:rPr>
          <w:t>gestionmbcd@gmail.com</w:t>
        </w:r>
      </w:hyperlink>
      <w:r w:rsidR="002D5FA4">
        <w:rPr>
          <w:rFonts w:ascii="ArialMT" w:hAnsi="ArialMT" w:cs="ArialMT"/>
          <w14:ligatures w14:val="standardContextual"/>
        </w:rPr>
        <w:t xml:space="preserve">; </w:t>
      </w:r>
      <w:r w:rsidR="00D772C9" w:rsidRPr="00FD7A7A">
        <w:rPr>
          <w:rFonts w:ascii="Arial" w:eastAsia="Calibri" w:hAnsi="Arial" w:cs="Arial"/>
        </w:rPr>
        <w:t xml:space="preserve"> </w:t>
      </w:r>
    </w:p>
    <w:p w14:paraId="78D3C14C" w14:textId="1815BB10" w:rsidR="00D772C9" w:rsidRPr="00FD7A7A" w:rsidRDefault="002D5FA4" w:rsidP="00D772C9">
      <w:pPr>
        <w:spacing w:after="0" w:line="276" w:lineRule="auto"/>
        <w:contextualSpacing/>
        <w:jc w:val="both"/>
        <w:rPr>
          <w:rFonts w:ascii="Arial" w:eastAsia="Calibri" w:hAnsi="Arial" w:cs="Arial"/>
        </w:rPr>
      </w:pPr>
      <w:r>
        <w:rPr>
          <w:rFonts w:ascii="Arial" w:eastAsia="Calibri" w:hAnsi="Arial" w:cs="Arial"/>
        </w:rPr>
        <w:t>Ciudad</w:t>
      </w:r>
    </w:p>
    <w:p w14:paraId="6EAB7B57" w14:textId="77777777" w:rsidR="00D772C9" w:rsidRPr="00FD7A7A" w:rsidRDefault="00D772C9" w:rsidP="00D772C9">
      <w:pPr>
        <w:spacing w:after="0" w:line="240" w:lineRule="auto"/>
        <w:contextualSpacing/>
        <w:jc w:val="both"/>
        <w:rPr>
          <w:rFonts w:ascii="Arial" w:eastAsia="Calibri" w:hAnsi="Arial" w:cs="Arial"/>
        </w:rPr>
      </w:pPr>
    </w:p>
    <w:p w14:paraId="43A7A6D3" w14:textId="5CE044A8" w:rsidR="00D772C9" w:rsidRPr="00FD7A7A" w:rsidRDefault="00D772C9" w:rsidP="00D772C9">
      <w:pPr>
        <w:spacing w:after="0" w:line="240" w:lineRule="auto"/>
        <w:contextualSpacing/>
        <w:jc w:val="both"/>
        <w:rPr>
          <w:rFonts w:ascii="Arial" w:eastAsia="Calibri" w:hAnsi="Arial" w:cs="Arial"/>
        </w:rPr>
      </w:pPr>
      <w:r w:rsidRPr="00FD7A7A">
        <w:rPr>
          <w:rFonts w:ascii="Arial" w:eastAsia="Calibri" w:hAnsi="Arial" w:cs="Arial"/>
        </w:rPr>
        <w:t xml:space="preserve">                                            </w:t>
      </w:r>
      <w:r w:rsidRPr="005223C2">
        <w:rPr>
          <w:rFonts w:ascii="Arial" w:eastAsia="Calibri" w:hAnsi="Arial" w:cs="Arial"/>
          <w:b/>
        </w:rPr>
        <w:t>Concepto C–3</w:t>
      </w:r>
      <w:r w:rsidR="005223C2" w:rsidRPr="005223C2">
        <w:rPr>
          <w:rFonts w:ascii="Arial" w:eastAsia="Calibri" w:hAnsi="Arial" w:cs="Arial"/>
          <w:b/>
        </w:rPr>
        <w:t>52</w:t>
      </w:r>
      <w:r w:rsidRPr="005223C2">
        <w:rPr>
          <w:rFonts w:ascii="Arial" w:eastAsia="Calibri" w:hAnsi="Arial" w:cs="Arial"/>
          <w:b/>
        </w:rPr>
        <w:t xml:space="preserve"> de 2023</w:t>
      </w:r>
    </w:p>
    <w:p w14:paraId="11B7CDFD" w14:textId="77777777" w:rsidR="00D772C9" w:rsidRPr="00FD7A7A" w:rsidRDefault="00D772C9" w:rsidP="00D772C9">
      <w:pPr>
        <w:spacing w:after="0" w:line="240" w:lineRule="auto"/>
        <w:contextualSpacing/>
        <w:jc w:val="both"/>
        <w:rPr>
          <w:rFonts w:ascii="Arial" w:eastAsia="Calibri" w:hAnsi="Arial" w:cs="Arial"/>
          <w:b/>
        </w:rPr>
      </w:pPr>
    </w:p>
    <w:p w14:paraId="53661483" w14:textId="77777777" w:rsidR="00D772C9" w:rsidRPr="00FD7A7A" w:rsidRDefault="00D772C9" w:rsidP="00D772C9">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772C9" w:rsidRPr="00FD7A7A" w14:paraId="539CDA25" w14:textId="77777777" w:rsidTr="00BC1707">
        <w:trPr>
          <w:trHeight w:val="485"/>
        </w:trPr>
        <w:tc>
          <w:tcPr>
            <w:tcW w:w="2689" w:type="dxa"/>
            <w:hideMark/>
          </w:tcPr>
          <w:p w14:paraId="0E2DC8E0" w14:textId="77777777" w:rsidR="00D772C9" w:rsidRPr="00FD7A7A" w:rsidRDefault="00D772C9" w:rsidP="00BC1707">
            <w:pPr>
              <w:rPr>
                <w:rFonts w:ascii="Arial" w:eastAsia="Calibri" w:hAnsi="Arial" w:cs="Arial"/>
                <w:noProof/>
                <w:lang w:val="es-ES_tradnl"/>
              </w:rPr>
            </w:pPr>
            <w:r w:rsidRPr="00FD7A7A">
              <w:rPr>
                <w:rFonts w:ascii="Arial" w:eastAsia="Calibri" w:hAnsi="Arial" w:cs="Arial"/>
                <w:b/>
                <w:noProof/>
                <w:lang w:val="es-ES_tradnl"/>
              </w:rPr>
              <w:t>Temas:</w:t>
            </w:r>
            <w:r w:rsidRPr="00FD7A7A">
              <w:rPr>
                <w:rFonts w:ascii="Arial" w:eastAsia="Calibri" w:hAnsi="Arial" w:cs="Arial"/>
                <w:noProof/>
                <w:lang w:val="es-ES_tradnl"/>
              </w:rPr>
              <w:t xml:space="preserve">        </w:t>
            </w:r>
          </w:p>
        </w:tc>
        <w:tc>
          <w:tcPr>
            <w:tcW w:w="6237" w:type="dxa"/>
            <w:hideMark/>
          </w:tcPr>
          <w:p w14:paraId="0D7FE057" w14:textId="77777777" w:rsidR="00D772C9" w:rsidRPr="00FD7A7A" w:rsidRDefault="00D772C9" w:rsidP="00BC1707">
            <w:pPr>
              <w:ind w:right="703"/>
              <w:jc w:val="both"/>
              <w:rPr>
                <w:rFonts w:ascii="Arial" w:eastAsia="Times New Roman" w:hAnsi="Arial" w:cs="Arial"/>
                <w:lang w:val="es-ES_tradnl" w:eastAsia="es-ES_tradnl"/>
              </w:rPr>
            </w:pPr>
            <w:r w:rsidRPr="00FD7A7A">
              <w:rPr>
                <w:rFonts w:ascii="Arial" w:eastAsia="Times New Roman" w:hAnsi="Arial" w:cs="Arial"/>
                <w:lang w:val="es-ES_tradnl" w:eastAsia="es-ES_tradnl"/>
              </w:rPr>
              <w:t xml:space="preserve">INHABILIDADES – Definición – Finalidad – Limitación capacidad contractual / INHABILIDADES – Relación de parentesco – Vínculo natural – Personas naturales / PARENTESCO – Clasificación – Consanguinidad – Afinidad – Grados </w:t>
            </w:r>
          </w:p>
          <w:p w14:paraId="7DCE2E76" w14:textId="77777777" w:rsidR="00D772C9" w:rsidRPr="00FD7A7A" w:rsidRDefault="00D772C9" w:rsidP="00BC1707">
            <w:pPr>
              <w:ind w:right="703"/>
              <w:jc w:val="both"/>
              <w:rPr>
                <w:rFonts w:ascii="Arial" w:eastAsia="Times New Roman" w:hAnsi="Arial" w:cs="Arial"/>
                <w:bCs/>
                <w:lang w:val="es-ES_tradnl" w:eastAsia="es-ES_tradnl"/>
              </w:rPr>
            </w:pPr>
          </w:p>
          <w:p w14:paraId="69D9624C" w14:textId="77777777" w:rsidR="00D772C9" w:rsidRPr="00FD7A7A" w:rsidRDefault="00D772C9" w:rsidP="00BC1707">
            <w:pPr>
              <w:ind w:right="703"/>
              <w:jc w:val="both"/>
              <w:rPr>
                <w:rFonts w:ascii="Arial" w:eastAsia="Calibri" w:hAnsi="Arial" w:cs="Arial"/>
                <w:bCs/>
                <w:lang w:val="es-MX"/>
              </w:rPr>
            </w:pPr>
          </w:p>
        </w:tc>
      </w:tr>
      <w:tr w:rsidR="00D772C9" w:rsidRPr="00FD7A7A" w14:paraId="6F139025" w14:textId="77777777" w:rsidTr="00BC1707">
        <w:tc>
          <w:tcPr>
            <w:tcW w:w="2689" w:type="dxa"/>
          </w:tcPr>
          <w:p w14:paraId="4369A3CB" w14:textId="77777777" w:rsidR="00D772C9" w:rsidRPr="00FD7A7A" w:rsidRDefault="00D772C9" w:rsidP="00BC1707">
            <w:pPr>
              <w:rPr>
                <w:rFonts w:ascii="Arial" w:eastAsia="Calibri" w:hAnsi="Arial" w:cs="Arial"/>
                <w:b/>
                <w:noProof/>
                <w:lang w:val="es-ES_tradnl"/>
              </w:rPr>
            </w:pPr>
            <w:r w:rsidRPr="00FD7A7A">
              <w:rPr>
                <w:rFonts w:ascii="Arial" w:eastAsia="Calibri" w:hAnsi="Arial" w:cs="Arial"/>
                <w:b/>
                <w:noProof/>
                <w:lang w:val="es-ES_tradnl"/>
              </w:rPr>
              <w:t>Radicación:</w:t>
            </w:r>
            <w:r w:rsidRPr="00FD7A7A">
              <w:rPr>
                <w:rFonts w:ascii="Arial" w:eastAsia="Calibri" w:hAnsi="Arial" w:cs="Arial"/>
                <w:noProof/>
                <w:lang w:val="es-ES_tradnl"/>
              </w:rPr>
              <w:t xml:space="preserve">                              </w:t>
            </w:r>
          </w:p>
        </w:tc>
        <w:tc>
          <w:tcPr>
            <w:tcW w:w="6237" w:type="dxa"/>
          </w:tcPr>
          <w:p w14:paraId="46BD813B" w14:textId="65C32657" w:rsidR="00D772C9" w:rsidRPr="002D5FA4" w:rsidRDefault="00D772C9" w:rsidP="00BC1707">
            <w:pPr>
              <w:jc w:val="both"/>
              <w:rPr>
                <w:rFonts w:ascii="Arial" w:eastAsia="Calibri" w:hAnsi="Arial" w:cs="Arial"/>
                <w:noProof/>
                <w:lang w:val="es-ES_tradnl"/>
              </w:rPr>
            </w:pPr>
            <w:r w:rsidRPr="00FD7A7A">
              <w:rPr>
                <w:rFonts w:ascii="Arial" w:eastAsia="Calibri" w:hAnsi="Arial" w:cs="Arial"/>
                <w:noProof/>
                <w:lang w:val="es-ES_tradnl"/>
              </w:rPr>
              <w:t xml:space="preserve">Respuesta a consulta </w:t>
            </w:r>
            <w:r w:rsidR="002D5FA4">
              <w:rPr>
                <w:rFonts w:ascii="Century Gothic" w:hAnsi="Century Gothic" w:cs="Calibri"/>
                <w:b/>
                <w:bCs/>
              </w:rPr>
              <w:t>P20231201017377</w:t>
            </w:r>
            <w:r w:rsidRPr="00FD7A7A">
              <w:rPr>
                <w:rFonts w:ascii="Arial" w:eastAsia="Calibri" w:hAnsi="Arial" w:cs="Arial"/>
                <w:noProof/>
                <w:lang w:val="es-ES_tradnl"/>
              </w:rPr>
              <w:tab/>
            </w:r>
            <w:r w:rsidRPr="00FD7A7A">
              <w:rPr>
                <w:rFonts w:ascii="Arial" w:eastAsia="Calibri" w:hAnsi="Arial" w:cs="Arial"/>
                <w:noProof/>
                <w:lang w:val="es-ES_tradnl"/>
              </w:rPr>
              <w:tab/>
            </w:r>
          </w:p>
        </w:tc>
      </w:tr>
    </w:tbl>
    <w:p w14:paraId="5C8DC1DE" w14:textId="77777777" w:rsidR="00D772C9" w:rsidRPr="00FD7A7A" w:rsidRDefault="00D772C9" w:rsidP="00D772C9">
      <w:pPr>
        <w:spacing w:after="0" w:line="240" w:lineRule="auto"/>
        <w:contextualSpacing/>
        <w:jc w:val="both"/>
        <w:rPr>
          <w:rFonts w:ascii="Arial" w:eastAsia="Calibri" w:hAnsi="Arial" w:cs="Arial"/>
        </w:rPr>
      </w:pPr>
    </w:p>
    <w:p w14:paraId="4553472D" w14:textId="77777777" w:rsidR="00D772C9" w:rsidRPr="00FD7A7A" w:rsidRDefault="00D772C9" w:rsidP="00D772C9">
      <w:pPr>
        <w:spacing w:after="0" w:line="240" w:lineRule="auto"/>
        <w:contextualSpacing/>
        <w:jc w:val="both"/>
        <w:rPr>
          <w:rFonts w:ascii="Arial" w:eastAsia="Calibri" w:hAnsi="Arial" w:cs="Arial"/>
        </w:rPr>
      </w:pPr>
    </w:p>
    <w:p w14:paraId="26DE67E9" w14:textId="606FA7A6" w:rsidR="00D772C9" w:rsidRPr="00FD7A7A" w:rsidRDefault="00D772C9" w:rsidP="00D772C9">
      <w:pPr>
        <w:spacing w:after="0" w:line="276" w:lineRule="auto"/>
        <w:contextualSpacing/>
        <w:jc w:val="both"/>
        <w:rPr>
          <w:rFonts w:ascii="Arial" w:eastAsia="Calibri" w:hAnsi="Arial" w:cs="Arial"/>
        </w:rPr>
      </w:pPr>
      <w:r w:rsidRPr="00FD7A7A">
        <w:rPr>
          <w:rFonts w:ascii="Arial" w:eastAsia="Calibri" w:hAnsi="Arial" w:cs="Arial"/>
        </w:rPr>
        <w:t>Estimado señor:</w:t>
      </w:r>
    </w:p>
    <w:p w14:paraId="3D4511F6" w14:textId="77777777" w:rsidR="00D772C9" w:rsidRPr="00FD7A7A" w:rsidRDefault="00D772C9" w:rsidP="00D772C9">
      <w:pPr>
        <w:spacing w:after="0" w:line="276" w:lineRule="auto"/>
        <w:ind w:firstLine="709"/>
        <w:contextualSpacing/>
        <w:jc w:val="both"/>
        <w:rPr>
          <w:rFonts w:ascii="Arial" w:eastAsia="Calibri" w:hAnsi="Arial" w:cs="Arial"/>
        </w:rPr>
      </w:pPr>
    </w:p>
    <w:p w14:paraId="1DCEECAD" w14:textId="4BE713EB" w:rsidR="00D772C9" w:rsidRPr="00FD7A7A" w:rsidRDefault="00D772C9" w:rsidP="00D772C9">
      <w:pPr>
        <w:spacing w:after="0" w:line="276" w:lineRule="auto"/>
        <w:contextualSpacing/>
        <w:jc w:val="both"/>
        <w:rPr>
          <w:rFonts w:ascii="Arial" w:eastAsia="Calibri" w:hAnsi="Arial" w:cs="Arial"/>
        </w:rPr>
      </w:pPr>
      <w:r w:rsidRPr="00FD7A7A">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su consulta recibida el 0</w:t>
      </w:r>
      <w:r w:rsidR="00EF3647">
        <w:rPr>
          <w:rFonts w:ascii="Arial" w:eastAsia="Calibri" w:hAnsi="Arial" w:cs="Arial"/>
        </w:rPr>
        <w:t>1</w:t>
      </w:r>
      <w:r w:rsidRPr="00FD7A7A">
        <w:rPr>
          <w:rFonts w:ascii="Arial" w:eastAsia="Calibri" w:hAnsi="Arial" w:cs="Arial"/>
        </w:rPr>
        <w:t xml:space="preserve"> de </w:t>
      </w:r>
      <w:r w:rsidR="00EF3647">
        <w:rPr>
          <w:rFonts w:ascii="Arial" w:eastAsia="Calibri" w:hAnsi="Arial" w:cs="Arial"/>
        </w:rPr>
        <w:t>diciembre</w:t>
      </w:r>
      <w:r w:rsidRPr="00FD7A7A">
        <w:rPr>
          <w:rFonts w:ascii="Arial" w:eastAsia="Calibri" w:hAnsi="Arial" w:cs="Arial"/>
        </w:rPr>
        <w:t xml:space="preserve"> de 2023. </w:t>
      </w:r>
    </w:p>
    <w:p w14:paraId="265A6850" w14:textId="77777777" w:rsidR="00D772C9" w:rsidRPr="00FD7A7A" w:rsidRDefault="00D772C9" w:rsidP="00D772C9">
      <w:pPr>
        <w:spacing w:after="0" w:line="276" w:lineRule="auto"/>
        <w:contextualSpacing/>
        <w:jc w:val="both"/>
        <w:rPr>
          <w:rFonts w:ascii="Arial" w:eastAsia="Calibri" w:hAnsi="Arial" w:cs="Arial"/>
        </w:rPr>
      </w:pPr>
    </w:p>
    <w:p w14:paraId="75609921" w14:textId="77777777" w:rsidR="00D772C9" w:rsidRPr="00FD7A7A" w:rsidRDefault="00D772C9" w:rsidP="00D772C9">
      <w:pPr>
        <w:tabs>
          <w:tab w:val="left" w:pos="284"/>
        </w:tabs>
        <w:spacing w:after="0" w:line="276" w:lineRule="auto"/>
        <w:contextualSpacing/>
        <w:jc w:val="both"/>
        <w:rPr>
          <w:rFonts w:ascii="Arial" w:eastAsia="Calibri" w:hAnsi="Arial" w:cs="Arial"/>
          <w:b/>
        </w:rPr>
      </w:pPr>
      <w:r w:rsidRPr="00FD7A7A">
        <w:rPr>
          <w:rFonts w:ascii="Arial" w:eastAsia="Calibri" w:hAnsi="Arial" w:cs="Arial"/>
          <w:b/>
        </w:rPr>
        <w:t xml:space="preserve">1. Problema planteado </w:t>
      </w:r>
    </w:p>
    <w:p w14:paraId="15DF7F8D" w14:textId="77777777" w:rsidR="00D772C9" w:rsidRPr="00FD7A7A" w:rsidRDefault="00D772C9" w:rsidP="00D772C9">
      <w:pPr>
        <w:tabs>
          <w:tab w:val="left" w:pos="284"/>
        </w:tabs>
        <w:spacing w:after="0" w:line="276" w:lineRule="auto"/>
        <w:ind w:firstLine="709"/>
        <w:contextualSpacing/>
        <w:jc w:val="both"/>
        <w:rPr>
          <w:rFonts w:ascii="Arial" w:eastAsia="Calibri" w:hAnsi="Arial" w:cs="Arial"/>
          <w:b/>
        </w:rPr>
      </w:pPr>
    </w:p>
    <w:p w14:paraId="3A2D01BD" w14:textId="19DDD916" w:rsidR="00D772C9" w:rsidRPr="00FD7A7A" w:rsidRDefault="00D772C9" w:rsidP="00D772C9">
      <w:pPr>
        <w:spacing w:after="0" w:line="276" w:lineRule="auto"/>
        <w:contextualSpacing/>
        <w:jc w:val="both"/>
        <w:rPr>
          <w:rFonts w:ascii="Arial" w:eastAsia="Calibri" w:hAnsi="Arial" w:cs="Arial"/>
        </w:rPr>
      </w:pPr>
      <w:bookmarkStart w:id="5" w:name="_Hlk58917991"/>
      <w:bookmarkStart w:id="6" w:name="_Hlk56103000"/>
      <w:r w:rsidRPr="00FD7A7A">
        <w:rPr>
          <w:rFonts w:ascii="Arial" w:eastAsia="Calibri" w:hAnsi="Arial" w:cs="Arial"/>
        </w:rPr>
        <w:t xml:space="preserve">Usted plantea </w:t>
      </w:r>
      <w:r w:rsidR="002D5FA4">
        <w:rPr>
          <w:rFonts w:ascii="Arial" w:eastAsia="Calibri" w:hAnsi="Arial" w:cs="Arial"/>
        </w:rPr>
        <w:t xml:space="preserve">el </w:t>
      </w:r>
      <w:r w:rsidR="002D5FA4" w:rsidRPr="00FD7A7A">
        <w:rPr>
          <w:rFonts w:ascii="Arial" w:eastAsia="Calibri" w:hAnsi="Arial" w:cs="Arial"/>
        </w:rPr>
        <w:t>siguiente interrogante</w:t>
      </w:r>
      <w:r w:rsidRPr="00FD7A7A">
        <w:rPr>
          <w:rFonts w:ascii="Arial" w:eastAsia="Calibri" w:hAnsi="Arial" w:cs="Arial"/>
        </w:rPr>
        <w:t xml:space="preserve">: </w:t>
      </w:r>
      <w:bookmarkStart w:id="7" w:name="_Hlk116284008"/>
    </w:p>
    <w:p w14:paraId="6BA88E5E" w14:textId="77777777" w:rsidR="00D772C9" w:rsidRPr="00FD7A7A" w:rsidRDefault="00D772C9" w:rsidP="00D772C9">
      <w:pPr>
        <w:spacing w:after="0" w:line="276" w:lineRule="auto"/>
        <w:contextualSpacing/>
        <w:jc w:val="both"/>
        <w:rPr>
          <w:rFonts w:ascii="Arial" w:eastAsia="Calibri" w:hAnsi="Arial" w:cs="Arial"/>
        </w:rPr>
      </w:pPr>
    </w:p>
    <w:p w14:paraId="615C2912" w14:textId="324058A3" w:rsidR="00D772C9" w:rsidRPr="002D5FA4" w:rsidRDefault="002D5FA4" w:rsidP="002D5FA4">
      <w:pPr>
        <w:autoSpaceDE w:val="0"/>
        <w:autoSpaceDN w:val="0"/>
        <w:adjustRightInd w:val="0"/>
        <w:spacing w:after="0" w:line="240" w:lineRule="auto"/>
        <w:ind w:left="709" w:right="709"/>
        <w:jc w:val="both"/>
        <w:rPr>
          <w:rFonts w:ascii="ArialMT" w:hAnsi="ArialMT" w:cs="ArialMT"/>
          <w:sz w:val="21"/>
          <w:szCs w:val="21"/>
          <w14:ligatures w14:val="standardContextual"/>
        </w:rPr>
      </w:pPr>
      <w:bookmarkStart w:id="8" w:name="_Hlk133573383"/>
      <w:r w:rsidRPr="002D5FA4">
        <w:rPr>
          <w:rFonts w:ascii="ArialMT" w:hAnsi="ArialMT" w:cs="ArialMT"/>
          <w:sz w:val="21"/>
          <w:szCs w:val="21"/>
          <w14:ligatures w14:val="standardContextual"/>
        </w:rPr>
        <w:t>“[…] En un proceso de licitacion ¿pueden presentarse hermanos o familiares con diferentes proponente? uno como integrante de un consorcio y el otro</w:t>
      </w:r>
      <w:r>
        <w:rPr>
          <w:rFonts w:ascii="ArialMT" w:hAnsi="ArialMT" w:cs="ArialMT"/>
          <w:sz w:val="21"/>
          <w:szCs w:val="21"/>
          <w14:ligatures w14:val="standardContextual"/>
        </w:rPr>
        <w:t xml:space="preserve"> </w:t>
      </w:r>
      <w:r w:rsidRPr="002D5FA4">
        <w:rPr>
          <w:rFonts w:ascii="ArialMT" w:hAnsi="ArialMT" w:cs="ArialMT"/>
          <w:sz w:val="21"/>
          <w:szCs w:val="21"/>
          <w14:ligatures w14:val="standardContextual"/>
        </w:rPr>
        <w:t>como representante legal suplente de otro consorcio.:</w:t>
      </w:r>
      <w:r w:rsidRPr="002D5FA4">
        <w:rPr>
          <w:rFonts w:ascii="Arial" w:eastAsia="Calibri" w:hAnsi="Arial" w:cs="Arial"/>
          <w:sz w:val="21"/>
          <w:szCs w:val="21"/>
          <w:lang w:val="es-MX"/>
        </w:rPr>
        <w:t xml:space="preserve"> […]” </w:t>
      </w:r>
      <w:r w:rsidR="00D772C9" w:rsidRPr="002D5FA4">
        <w:rPr>
          <w:rFonts w:ascii="Arial" w:eastAsia="Calibri" w:hAnsi="Arial" w:cs="Arial"/>
          <w:sz w:val="21"/>
          <w:szCs w:val="21"/>
          <w:lang w:val="es-MX"/>
        </w:rPr>
        <w:t>[sic]</w:t>
      </w:r>
    </w:p>
    <w:p w14:paraId="27A08DA1" w14:textId="77777777" w:rsidR="00D772C9" w:rsidRPr="00FD7A7A" w:rsidRDefault="00D772C9" w:rsidP="00D772C9">
      <w:pPr>
        <w:spacing w:after="0" w:line="276" w:lineRule="auto"/>
        <w:ind w:left="709" w:right="709"/>
        <w:jc w:val="both"/>
        <w:rPr>
          <w:rFonts w:ascii="Arial" w:eastAsia="Calibri" w:hAnsi="Arial" w:cs="Arial"/>
          <w:lang w:val="es-ES"/>
        </w:rPr>
      </w:pPr>
    </w:p>
    <w:bookmarkEnd w:id="5"/>
    <w:bookmarkEnd w:id="6"/>
    <w:bookmarkEnd w:id="7"/>
    <w:bookmarkEnd w:id="8"/>
    <w:p w14:paraId="55661727" w14:textId="77777777" w:rsidR="00D772C9" w:rsidRPr="00FD7A7A" w:rsidRDefault="00D772C9" w:rsidP="00D772C9">
      <w:pPr>
        <w:tabs>
          <w:tab w:val="left" w:pos="284"/>
        </w:tabs>
        <w:spacing w:after="0" w:line="276" w:lineRule="auto"/>
        <w:contextualSpacing/>
        <w:jc w:val="both"/>
        <w:rPr>
          <w:rFonts w:ascii="Arial" w:eastAsia="Calibri" w:hAnsi="Arial" w:cs="Arial"/>
          <w:b/>
        </w:rPr>
      </w:pPr>
      <w:r w:rsidRPr="00FD7A7A">
        <w:rPr>
          <w:rFonts w:ascii="Arial" w:eastAsia="Calibri" w:hAnsi="Arial" w:cs="Arial"/>
          <w:b/>
        </w:rPr>
        <w:t>2. Consideraciones</w:t>
      </w:r>
    </w:p>
    <w:p w14:paraId="48931FD0" w14:textId="77777777" w:rsidR="00D772C9" w:rsidRPr="00FD7A7A" w:rsidRDefault="00D772C9" w:rsidP="00D772C9">
      <w:pPr>
        <w:tabs>
          <w:tab w:val="left" w:pos="284"/>
        </w:tabs>
        <w:spacing w:after="0" w:line="276" w:lineRule="auto"/>
        <w:contextualSpacing/>
        <w:jc w:val="both"/>
        <w:rPr>
          <w:rFonts w:ascii="Arial" w:eastAsia="Calibri" w:hAnsi="Arial" w:cs="Arial"/>
          <w:b/>
        </w:rPr>
      </w:pPr>
    </w:p>
    <w:p w14:paraId="4F3856F0" w14:textId="77777777" w:rsidR="00D772C9" w:rsidRPr="00FD7A7A" w:rsidRDefault="00D772C9" w:rsidP="00D772C9">
      <w:pPr>
        <w:spacing w:after="120" w:line="276" w:lineRule="auto"/>
        <w:jc w:val="both"/>
        <w:rPr>
          <w:rFonts w:ascii="Arial" w:eastAsia="Calibri" w:hAnsi="Arial" w:cs="Arial"/>
          <w:lang w:val="es-ES"/>
        </w:rPr>
      </w:pPr>
      <w:r w:rsidRPr="00FD7A7A">
        <w:rPr>
          <w:rFonts w:ascii="Arial" w:eastAsia="Calibri" w:hAnsi="Arial" w:cs="Arial"/>
          <w:bCs/>
          <w:lang w:val="es-MX"/>
        </w:rPr>
        <w:t>En ejercicio de las competencias establecidas en los artículos 3, numeral 5° y 11, numeral 8° del Decreto 4170 de 2011, la Agencia Nacional de Contratación Pública – Colombia Compra Eficiente resuelve consultas sobre los asuntos de su competencia, esto es, atinente a las temáticas de la contratación estatal relacionados en los artículos citados.</w:t>
      </w:r>
      <w:r w:rsidRPr="00FD7A7A">
        <w:rPr>
          <w:rFonts w:ascii="Arial" w:eastAsia="Calibri" w:hAnsi="Arial" w:cs="Arial"/>
          <w:lang w:val="es-ES"/>
        </w:rPr>
        <w:t xml:space="preserve"> </w:t>
      </w:r>
      <w:bookmarkStart w:id="9" w:name="_Hlk61701014"/>
      <w:bookmarkStart w:id="10" w:name="_Hlk62136649"/>
      <w:r w:rsidRPr="00FD7A7A">
        <w:rPr>
          <w:rFonts w:ascii="Arial" w:eastAsia="Calibri" w:hAnsi="Arial" w:cs="Arial"/>
          <w:lang w:val="es-ES"/>
        </w:rPr>
        <w:t xml:space="preserve">Es necesario tener en cuenta que </w:t>
      </w:r>
      <w:bookmarkStart w:id="11" w:name="_Hlk61026958"/>
      <w:r w:rsidRPr="00FD7A7A">
        <w:rPr>
          <w:rFonts w:ascii="Arial" w:eastAsia="Calibri" w:hAnsi="Arial" w:cs="Arial"/>
          <w:lang w:val="es-ES"/>
        </w:rPr>
        <w:t xml:space="preserve">esta entidad sólo tiene competencia para responder solicitudes sobre </w:t>
      </w:r>
      <w:r w:rsidRPr="00FD7A7A">
        <w:rPr>
          <w:rFonts w:ascii="Arial" w:eastAsia="Calibri" w:hAnsi="Arial" w:cs="Arial"/>
          <w:lang w:val="es-ES"/>
        </w:rPr>
        <w:lastRenderedPageBreak/>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D7A7A">
        <w:rPr>
          <w:rFonts w:ascii="Arial" w:eastAsia="Calibri" w:hAnsi="Arial" w:cs="Arial"/>
          <w:bCs/>
          <w:lang w:val="es-MX"/>
        </w:rPr>
        <w:t xml:space="preserve"> de todos los partícipes de la contratación estatal.</w:t>
      </w:r>
    </w:p>
    <w:p w14:paraId="3F6C1000" w14:textId="77777777" w:rsidR="00D772C9" w:rsidRPr="00FD7A7A" w:rsidRDefault="00D772C9" w:rsidP="00D772C9">
      <w:pPr>
        <w:spacing w:after="120" w:line="276" w:lineRule="auto"/>
        <w:ind w:firstLine="708"/>
        <w:jc w:val="both"/>
        <w:rPr>
          <w:rFonts w:ascii="Arial" w:eastAsia="Calibri" w:hAnsi="Arial" w:cs="Arial"/>
          <w:lang w:val="es-ES"/>
        </w:rPr>
      </w:pPr>
      <w:r w:rsidRPr="00FD7A7A">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D7A7A">
        <w:rPr>
          <w:rFonts w:ascii="Arial" w:eastAsia="Calibri" w:hAnsi="Arial" w:cs="Arial"/>
          <w:vertAlign w:val="superscript"/>
          <w:lang w:val="es-ES"/>
        </w:rPr>
        <w:footnoteReference w:id="1"/>
      </w:r>
      <w:r w:rsidRPr="00FD7A7A">
        <w:rPr>
          <w:rFonts w:ascii="Arial" w:eastAsia="Calibri" w:hAnsi="Arial" w:cs="Arial"/>
          <w:lang w:val="es-ES"/>
        </w:rPr>
        <w:t>. Esta competencia de interpretación de normas generales, por definición, no puede extenderse a la resolución de controversias, ni a brindar asesorías sobre casos puntuales.</w:t>
      </w:r>
      <w:bookmarkEnd w:id="9"/>
      <w:bookmarkEnd w:id="11"/>
    </w:p>
    <w:bookmarkEnd w:id="10"/>
    <w:p w14:paraId="2FAEAF89" w14:textId="77777777" w:rsidR="00D772C9" w:rsidRPr="00FD7A7A" w:rsidRDefault="00D772C9" w:rsidP="00D772C9">
      <w:pPr>
        <w:spacing w:before="120" w:after="120" w:line="276" w:lineRule="auto"/>
        <w:ind w:firstLine="709"/>
        <w:jc w:val="both"/>
        <w:rPr>
          <w:rFonts w:ascii="Arial" w:eastAsia="Calibri" w:hAnsi="Arial" w:cs="Arial"/>
          <w:lang w:val="es-ES_tradnl" w:eastAsia="es-MX"/>
        </w:rPr>
      </w:pPr>
      <w:r w:rsidRPr="00FD7A7A">
        <w:rPr>
          <w:rFonts w:ascii="Arial" w:eastAsia="Calibri" w:hAnsi="Arial" w:cs="Arial"/>
          <w:lang w:val="es-MX"/>
        </w:rPr>
        <w:t xml:space="preserve">Sin perjuicio de lo anterior, </w:t>
      </w:r>
      <w:r w:rsidRPr="00FD7A7A">
        <w:rPr>
          <w:rFonts w:ascii="Arial" w:eastAsia="Calibri" w:hAnsi="Arial" w:cs="Arial"/>
          <w:lang w:val="es-ES"/>
        </w:rPr>
        <w:t>la Subdirección de Gestión Contractual de esta Agencia dentro de los límites de sus atribuciones –esto es, haciendo abstracción del caso particular expuesto por el peticionario–, resolverá la consulta conforme a las normas generales en materia de contratación estatal</w:t>
      </w:r>
      <w:r w:rsidRPr="00FD7A7A">
        <w:rPr>
          <w:rFonts w:ascii="Arial" w:eastAsia="Calibri" w:hAnsi="Arial" w:cs="Arial"/>
          <w:lang w:val="es-ES_tradnl" w:eastAsia="es-MX"/>
        </w:rPr>
        <w:t xml:space="preserve">. Con este objetivo, se analizarán los siguientes temas: </w:t>
      </w:r>
      <w:r w:rsidRPr="00FD7A7A">
        <w:rPr>
          <w:rFonts w:ascii="Arial" w:hAnsi="Arial" w:cs="Arial"/>
          <w:color w:val="000000" w:themeColor="text1"/>
          <w:lang w:val="es-ES"/>
        </w:rPr>
        <w:t xml:space="preserve">i) régimen de </w:t>
      </w:r>
      <w:r w:rsidRPr="00FD7A7A">
        <w:rPr>
          <w:rFonts w:ascii="Arial" w:hAnsi="Arial" w:cs="Arial"/>
          <w:lang w:val="es-ES"/>
        </w:rPr>
        <w:t xml:space="preserve">inhabilidades e incompatibilidades para contratar con el Estado y ii) </w:t>
      </w:r>
      <w:r w:rsidRPr="00FD7A7A">
        <w:rPr>
          <w:rFonts w:ascii="Arial" w:eastAsia="Calibri" w:hAnsi="Arial" w:cs="Arial"/>
          <w:lang w:val="es-ES_tradnl"/>
        </w:rPr>
        <w:t>la inhabilidad de las personas por vínculos naturales o jurídicos.</w:t>
      </w:r>
      <w:r w:rsidRPr="00FD7A7A">
        <w:rPr>
          <w:rFonts w:ascii="Arial" w:hAnsi="Arial" w:cs="Arial"/>
          <w:lang w:val="es-ES"/>
        </w:rPr>
        <w:t xml:space="preserve"> </w:t>
      </w:r>
    </w:p>
    <w:p w14:paraId="5B90E4F2" w14:textId="77777777" w:rsidR="00D772C9" w:rsidRPr="00FD7A7A" w:rsidRDefault="00D772C9" w:rsidP="00D772C9">
      <w:pPr>
        <w:spacing w:after="0" w:line="276" w:lineRule="auto"/>
        <w:ind w:firstLine="709"/>
        <w:jc w:val="both"/>
        <w:rPr>
          <w:rFonts w:ascii="Arial" w:eastAsia="Arial" w:hAnsi="Arial" w:cs="Arial"/>
          <w:lang w:val="es-MX" w:eastAsia="es-ES_tradnl"/>
        </w:rPr>
      </w:pPr>
      <w:r w:rsidRPr="00FD7A7A">
        <w:rPr>
          <w:rFonts w:ascii="Arial" w:eastAsia="Calibri" w:hAnsi="Arial" w:cs="Arial"/>
          <w:color w:val="000000" w:themeColor="text1"/>
          <w:lang w:val="es-ES"/>
        </w:rPr>
        <w:t xml:space="preserve">La Agencia Nacional de Contratación Pública – Colombia Compra Eficiente, en los Conceptos </w:t>
      </w:r>
      <w:r w:rsidRPr="00FD7A7A">
        <w:rPr>
          <w:rFonts w:ascii="Arial" w:eastAsia="Calibri" w:hAnsi="Arial" w:cs="Arial"/>
          <w:color w:val="000000" w:themeColor="text1"/>
          <w:lang w:val="es-MX"/>
        </w:rPr>
        <w:t xml:space="preserve">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w:t>
      </w:r>
      <w:r w:rsidRPr="00FD7A7A">
        <w:rPr>
          <w:rFonts w:ascii="Arial" w:eastAsia="Calibri" w:hAnsi="Arial" w:cs="Arial"/>
          <w:color w:val="000000" w:themeColor="text1"/>
          <w:lang w:val="es-ES_tradnl"/>
        </w:rPr>
        <w:t xml:space="preserve">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w:t>
      </w:r>
      <w:r w:rsidRPr="00FD7A7A">
        <w:rPr>
          <w:rFonts w:ascii="Arial" w:eastAsia="Calibri" w:hAnsi="Arial" w:cs="Arial"/>
          <w:color w:val="000000" w:themeColor="text1"/>
          <w:lang w:val="es-ES"/>
        </w:rPr>
        <w:t xml:space="preserve">C-028 del 28 de febrero de 2022, C-318 del 18 de mayo de 2022, C-252 del 30 de mayo de 2022, C-001 del 14 de febrero de 2023 y el C-175 del 4 de mayo de 2023, analizó los contornos generales del régimen de inhabilidades </w:t>
      </w:r>
      <w:r w:rsidRPr="00FD7A7A">
        <w:rPr>
          <w:rFonts w:ascii="Arial" w:eastAsia="Calibri" w:hAnsi="Arial" w:cs="Arial"/>
          <w:color w:val="000000" w:themeColor="text1"/>
          <w:lang w:val="es-ES"/>
        </w:rPr>
        <w:lastRenderedPageBreak/>
        <w:t>e incompatibilidades en la contratación estatal</w:t>
      </w:r>
      <w:r w:rsidRPr="00FD7A7A">
        <w:rPr>
          <w:rFonts w:ascii="Arial" w:eastAsia="Calibri" w:hAnsi="Arial" w:cs="Arial"/>
          <w:vertAlign w:val="superscript"/>
        </w:rPr>
        <w:footnoteReference w:id="2"/>
      </w:r>
      <w:r w:rsidRPr="00FD7A7A">
        <w:rPr>
          <w:rFonts w:ascii="Arial" w:eastAsia="Calibri" w:hAnsi="Arial" w:cs="Arial"/>
          <w:color w:val="000000" w:themeColor="text1"/>
          <w:lang w:val="es-ES"/>
        </w:rPr>
        <w:t xml:space="preserve">. </w:t>
      </w:r>
      <w:r w:rsidRPr="00FD7A7A">
        <w:rPr>
          <w:rFonts w:ascii="Arial" w:eastAsia="Calibri" w:hAnsi="Arial" w:cs="Arial"/>
          <w:lang w:val="es-ES_tradnl" w:eastAsia="es-ES_tradnl"/>
        </w:rPr>
        <w:t>Algunas de las consideraciones de estos conceptos se reiteran y se complementan en lo pertinente, teniendo en cuenta lo consultado.</w:t>
      </w:r>
    </w:p>
    <w:p w14:paraId="60AC115F" w14:textId="77777777" w:rsidR="00D772C9" w:rsidRPr="00FD7A7A" w:rsidRDefault="00D772C9" w:rsidP="00D772C9">
      <w:pPr>
        <w:spacing w:after="0" w:line="276" w:lineRule="auto"/>
        <w:ind w:firstLine="709"/>
        <w:jc w:val="both"/>
        <w:rPr>
          <w:rFonts w:ascii="Arial" w:eastAsia="Times New Roman" w:hAnsi="Arial" w:cs="Arial"/>
          <w:b/>
          <w:bCs/>
          <w:iCs/>
          <w:szCs w:val="24"/>
          <w:lang w:val="es-ES_tradnl" w:eastAsia="es-ES_tradnl"/>
        </w:rPr>
      </w:pPr>
    </w:p>
    <w:p w14:paraId="44235436" w14:textId="77777777" w:rsidR="00D772C9" w:rsidRPr="00FD7A7A" w:rsidRDefault="00D772C9" w:rsidP="00D772C9">
      <w:pPr>
        <w:spacing w:after="0" w:line="276" w:lineRule="auto"/>
        <w:jc w:val="both"/>
        <w:rPr>
          <w:rFonts w:ascii="Arial" w:eastAsia="Times New Roman" w:hAnsi="Arial" w:cs="Arial"/>
          <w:b/>
          <w:bCs/>
          <w:iCs/>
          <w:szCs w:val="24"/>
          <w:lang w:val="es-ES_tradnl" w:eastAsia="es-ES_tradnl"/>
        </w:rPr>
      </w:pPr>
      <w:r w:rsidRPr="00FD7A7A">
        <w:rPr>
          <w:rFonts w:ascii="Arial" w:eastAsia="Times New Roman" w:hAnsi="Arial" w:cs="Arial"/>
          <w:b/>
          <w:bCs/>
          <w:iCs/>
          <w:szCs w:val="24"/>
          <w:lang w:val="es-ES_tradnl" w:eastAsia="es-ES_tradnl"/>
        </w:rPr>
        <w:t>2.1. Régimen de inhabilidades e incompatibilidades para contratar con el Estado. Reiteración de línea</w:t>
      </w:r>
    </w:p>
    <w:p w14:paraId="1A626845" w14:textId="77777777" w:rsidR="00D772C9" w:rsidRPr="00FD7A7A" w:rsidRDefault="00D772C9" w:rsidP="00D772C9">
      <w:pPr>
        <w:spacing w:after="0" w:line="240" w:lineRule="auto"/>
        <w:ind w:firstLine="709"/>
        <w:jc w:val="both"/>
        <w:rPr>
          <w:rFonts w:ascii="Arial" w:eastAsia="Times New Roman" w:hAnsi="Arial" w:cs="Arial"/>
          <w:iCs/>
          <w:szCs w:val="24"/>
          <w:lang w:val="es-ES_tradnl" w:eastAsia="es-ES_tradnl"/>
        </w:rPr>
      </w:pPr>
    </w:p>
    <w:p w14:paraId="4C46F1F0" w14:textId="77777777" w:rsidR="00D772C9" w:rsidRPr="00FD7A7A" w:rsidRDefault="00D772C9" w:rsidP="00D772C9">
      <w:pPr>
        <w:spacing w:after="120" w:line="276" w:lineRule="auto"/>
        <w:jc w:val="both"/>
        <w:rPr>
          <w:rFonts w:ascii="Arial" w:hAnsi="Arial" w:cs="Arial"/>
          <w:lang w:val="es-MX"/>
        </w:rPr>
      </w:pPr>
      <w:bookmarkStart w:id="12" w:name="_Hlk103955412"/>
      <w:r w:rsidRPr="00FD7A7A">
        <w:rPr>
          <w:rFonts w:ascii="Arial" w:hAnsi="Arial" w:cs="Arial"/>
          <w:lang w:val="es-MX"/>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58BC59FB" w14:textId="77777777" w:rsidR="00D772C9" w:rsidRPr="00FD7A7A" w:rsidRDefault="00D772C9" w:rsidP="00D772C9">
      <w:pPr>
        <w:spacing w:line="276" w:lineRule="auto"/>
        <w:ind w:firstLine="709"/>
        <w:jc w:val="both"/>
        <w:rPr>
          <w:rFonts w:ascii="Arial" w:hAnsi="Arial" w:cs="Arial"/>
        </w:rPr>
      </w:pPr>
      <w:r w:rsidRPr="00FD7A7A">
        <w:rPr>
          <w:rFonts w:ascii="Arial" w:hAnsi="Arial" w:cs="Arial"/>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FD7A7A">
        <w:rPr>
          <w:rFonts w:ascii="Arial" w:hAnsi="Arial" w:cs="Arial"/>
          <w:vertAlign w:val="superscript"/>
        </w:rPr>
        <w:footnoteReference w:id="3"/>
      </w:r>
      <w:r w:rsidRPr="00FD7A7A">
        <w:rPr>
          <w:rFonts w:ascii="Arial" w:hAnsi="Arial" w:cs="Arial"/>
        </w:rPr>
        <w:t>.</w:t>
      </w:r>
    </w:p>
    <w:p w14:paraId="4CD4CB33" w14:textId="77777777" w:rsidR="00D772C9" w:rsidRPr="00FD7A7A" w:rsidRDefault="00D772C9" w:rsidP="00D772C9">
      <w:pPr>
        <w:spacing w:before="120" w:after="0" w:line="276" w:lineRule="auto"/>
        <w:ind w:firstLine="709"/>
        <w:jc w:val="both"/>
        <w:rPr>
          <w:rFonts w:ascii="Arial" w:hAnsi="Arial" w:cs="Arial"/>
          <w:lang w:val="es-MX"/>
        </w:rPr>
      </w:pPr>
      <w:r w:rsidRPr="00FD7A7A">
        <w:rPr>
          <w:rFonts w:ascii="Arial" w:hAnsi="Arial" w:cs="Arial"/>
          <w:lang w:val="es-MX"/>
        </w:rPr>
        <w:t>La consagración</w:t>
      </w:r>
      <w:r>
        <w:rPr>
          <w:rFonts w:ascii="Arial" w:hAnsi="Arial" w:cs="Arial"/>
          <w:lang w:val="es-MX"/>
        </w:rPr>
        <w:t xml:space="preserve"> de</w:t>
      </w:r>
      <w:r w:rsidRPr="00FD7A7A">
        <w:rPr>
          <w:rFonts w:ascii="Arial" w:hAnsi="Arial" w:cs="Arial"/>
          <w:lang w:val="es-MX"/>
        </w:rPr>
        <w:t xml:space="preserv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1A843547" w14:textId="77777777" w:rsidR="00D772C9" w:rsidRPr="00FD7A7A" w:rsidRDefault="00D772C9" w:rsidP="00D772C9">
      <w:pPr>
        <w:spacing w:after="0" w:line="276" w:lineRule="auto"/>
        <w:jc w:val="both"/>
        <w:rPr>
          <w:rFonts w:ascii="Arial" w:hAnsi="Arial" w:cs="Arial"/>
          <w:lang w:val="es-MX"/>
        </w:rPr>
      </w:pPr>
    </w:p>
    <w:p w14:paraId="5CFC9EC9" w14:textId="77777777" w:rsidR="00D772C9" w:rsidRPr="00FD7A7A" w:rsidRDefault="00D772C9" w:rsidP="00D772C9">
      <w:pPr>
        <w:shd w:val="clear" w:color="auto" w:fill="FFFFFF"/>
        <w:spacing w:after="120" w:line="240" w:lineRule="auto"/>
        <w:ind w:left="709" w:right="709"/>
        <w:jc w:val="both"/>
        <w:rPr>
          <w:rFonts w:ascii="Arial" w:hAnsi="Arial" w:cs="Arial"/>
          <w:sz w:val="21"/>
          <w:szCs w:val="21"/>
          <w:lang w:val="es-ES"/>
        </w:rPr>
      </w:pPr>
      <w:r w:rsidRPr="00FD7A7A">
        <w:rPr>
          <w:rFonts w:ascii="Arial" w:hAnsi="Arial" w:cs="Arial"/>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6264757C" w14:textId="77777777" w:rsidR="00D772C9" w:rsidRPr="00FD7A7A" w:rsidRDefault="00D772C9" w:rsidP="00D772C9">
      <w:pPr>
        <w:shd w:val="clear" w:color="auto" w:fill="FFFFFF"/>
        <w:spacing w:after="0" w:line="240" w:lineRule="auto"/>
        <w:ind w:left="709" w:right="709"/>
        <w:jc w:val="both"/>
        <w:rPr>
          <w:rFonts w:ascii="Arial" w:hAnsi="Arial" w:cs="Arial"/>
          <w:sz w:val="21"/>
          <w:szCs w:val="21"/>
          <w:lang w:val="es-ES"/>
        </w:rPr>
      </w:pPr>
      <w:r w:rsidRPr="00FD7A7A">
        <w:rPr>
          <w:rFonts w:ascii="Arial" w:hAnsi="Arial" w:cs="Arial"/>
          <w:sz w:val="21"/>
          <w:szCs w:val="21"/>
          <w:lang w:val="es-E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w:t>
      </w:r>
      <w:r w:rsidRPr="00FD7A7A">
        <w:rPr>
          <w:rFonts w:ascii="Arial" w:hAnsi="Arial" w:cs="Arial"/>
          <w:sz w:val="21"/>
          <w:szCs w:val="21"/>
          <w:lang w:val="es-ES"/>
        </w:rPr>
        <w:lastRenderedPageBreak/>
        <w:t>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FD7A7A">
        <w:rPr>
          <w:rFonts w:ascii="Arial" w:hAnsi="Arial" w:cs="Arial"/>
          <w:sz w:val="21"/>
          <w:szCs w:val="21"/>
          <w:vertAlign w:val="superscript"/>
          <w:lang w:val="es-ES"/>
        </w:rPr>
        <w:footnoteReference w:id="4"/>
      </w:r>
      <w:r w:rsidRPr="00FD7A7A">
        <w:rPr>
          <w:rFonts w:ascii="Arial" w:hAnsi="Arial" w:cs="Arial"/>
          <w:sz w:val="21"/>
          <w:szCs w:val="21"/>
          <w:lang w:val="es-ES"/>
        </w:rPr>
        <w:t>.</w:t>
      </w:r>
    </w:p>
    <w:p w14:paraId="42FC088A" w14:textId="77777777" w:rsidR="00D772C9" w:rsidRPr="00FD7A7A" w:rsidRDefault="00D772C9" w:rsidP="00D772C9">
      <w:pPr>
        <w:shd w:val="clear" w:color="auto" w:fill="FFFFFF"/>
        <w:spacing w:after="0" w:line="276" w:lineRule="auto"/>
        <w:ind w:left="709" w:right="709"/>
        <w:jc w:val="both"/>
        <w:rPr>
          <w:rFonts w:ascii="Arial" w:hAnsi="Arial" w:cs="Arial"/>
          <w:lang w:val="es-ES"/>
        </w:rPr>
      </w:pPr>
    </w:p>
    <w:p w14:paraId="59E05E96" w14:textId="77777777" w:rsidR="00D772C9" w:rsidRPr="00FD7A7A" w:rsidRDefault="00D772C9" w:rsidP="00D772C9">
      <w:pPr>
        <w:spacing w:after="0" w:line="276" w:lineRule="auto"/>
        <w:ind w:firstLine="709"/>
        <w:jc w:val="both"/>
        <w:rPr>
          <w:rFonts w:ascii="Arial" w:hAnsi="Arial" w:cs="Arial"/>
          <w:lang w:val="es-MX"/>
        </w:rPr>
      </w:pPr>
      <w:r w:rsidRPr="00FD7A7A">
        <w:rPr>
          <w:rFonts w:ascii="Arial" w:hAnsi="Arial"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0F999323" w14:textId="77777777" w:rsidR="00D772C9" w:rsidRPr="00FD7A7A" w:rsidRDefault="00D772C9" w:rsidP="00D772C9">
      <w:pPr>
        <w:spacing w:after="0" w:line="276" w:lineRule="auto"/>
        <w:ind w:firstLine="709"/>
        <w:jc w:val="both"/>
        <w:rPr>
          <w:rFonts w:ascii="Arial" w:hAnsi="Arial" w:cs="Arial"/>
          <w:lang w:val="es-MX"/>
        </w:rPr>
      </w:pPr>
    </w:p>
    <w:p w14:paraId="11AE55BF" w14:textId="77777777" w:rsidR="00D772C9" w:rsidRPr="00FD7A7A" w:rsidRDefault="00D772C9" w:rsidP="00D772C9">
      <w:pPr>
        <w:spacing w:line="240" w:lineRule="auto"/>
        <w:ind w:left="709" w:right="709"/>
        <w:jc w:val="both"/>
        <w:rPr>
          <w:rFonts w:ascii="Arial" w:hAnsi="Arial" w:cs="Arial"/>
          <w:sz w:val="21"/>
          <w:szCs w:val="21"/>
        </w:rPr>
      </w:pPr>
      <w:r w:rsidRPr="00FD7A7A">
        <w:rPr>
          <w:rFonts w:ascii="Arial" w:hAnsi="Arial" w:cs="Arial"/>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681C446B" w14:textId="77777777" w:rsidR="00D772C9" w:rsidRPr="00FD7A7A" w:rsidRDefault="00D772C9" w:rsidP="00D772C9">
      <w:pPr>
        <w:spacing w:after="0" w:line="240" w:lineRule="auto"/>
        <w:ind w:left="709" w:right="709"/>
        <w:jc w:val="both"/>
        <w:rPr>
          <w:rFonts w:ascii="Arial" w:hAnsi="Arial" w:cs="Arial"/>
          <w:sz w:val="21"/>
          <w:szCs w:val="21"/>
        </w:rPr>
      </w:pPr>
      <w:r w:rsidRPr="00FD7A7A">
        <w:rPr>
          <w:rFonts w:ascii="Arial" w:hAnsi="Arial" w:cs="Arial"/>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FD7A7A">
        <w:rPr>
          <w:rFonts w:ascii="Arial" w:hAnsi="Arial" w:cs="Arial"/>
          <w:sz w:val="21"/>
          <w:szCs w:val="21"/>
          <w:vertAlign w:val="superscript"/>
        </w:rPr>
        <w:footnoteReference w:id="5"/>
      </w:r>
      <w:r w:rsidRPr="00FD7A7A">
        <w:rPr>
          <w:rFonts w:ascii="Arial" w:hAnsi="Arial" w:cs="Arial"/>
          <w:sz w:val="21"/>
          <w:szCs w:val="21"/>
        </w:rPr>
        <w:t>.</w:t>
      </w:r>
    </w:p>
    <w:p w14:paraId="1F79BA61" w14:textId="77777777" w:rsidR="00D772C9" w:rsidRPr="00FD7A7A" w:rsidRDefault="00D772C9" w:rsidP="00D772C9">
      <w:pPr>
        <w:spacing w:after="0" w:line="276" w:lineRule="auto"/>
        <w:ind w:right="709"/>
        <w:jc w:val="both"/>
        <w:rPr>
          <w:rFonts w:ascii="Arial" w:hAnsi="Arial" w:cs="Arial"/>
        </w:rPr>
      </w:pPr>
    </w:p>
    <w:p w14:paraId="1BEFD83C" w14:textId="77777777" w:rsidR="00D772C9" w:rsidRPr="00FD7A7A" w:rsidRDefault="00D772C9" w:rsidP="00D772C9">
      <w:pPr>
        <w:spacing w:after="0" w:line="276" w:lineRule="auto"/>
        <w:ind w:firstLine="709"/>
        <w:jc w:val="both"/>
        <w:rPr>
          <w:rFonts w:ascii="Arial" w:hAnsi="Arial" w:cs="Arial"/>
        </w:rPr>
      </w:pPr>
      <w:r w:rsidRPr="00FD7A7A">
        <w:rPr>
          <w:rFonts w:ascii="Arial" w:hAnsi="Arial" w:cs="Arial"/>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14:paraId="5B4723BA" w14:textId="77777777" w:rsidR="00D772C9" w:rsidRPr="00FD7A7A" w:rsidRDefault="00D772C9" w:rsidP="00D772C9">
      <w:pPr>
        <w:tabs>
          <w:tab w:val="left" w:pos="1532"/>
        </w:tabs>
        <w:spacing w:after="0" w:line="276" w:lineRule="auto"/>
        <w:jc w:val="both"/>
        <w:rPr>
          <w:rFonts w:ascii="Arial" w:hAnsi="Arial" w:cs="Arial"/>
          <w:lang w:val="es-MX"/>
        </w:rPr>
      </w:pPr>
    </w:p>
    <w:p w14:paraId="53327DAC" w14:textId="77777777" w:rsidR="00D772C9" w:rsidRPr="00FD7A7A" w:rsidRDefault="00D772C9" w:rsidP="00D772C9">
      <w:pPr>
        <w:spacing w:after="0" w:line="240" w:lineRule="auto"/>
        <w:ind w:left="709" w:right="709"/>
        <w:jc w:val="both"/>
        <w:rPr>
          <w:rFonts w:ascii="Arial" w:hAnsi="Arial" w:cs="Arial"/>
          <w:sz w:val="21"/>
          <w:szCs w:val="21"/>
        </w:rPr>
      </w:pPr>
      <w:r w:rsidRPr="00FD7A7A">
        <w:rPr>
          <w:rFonts w:ascii="Arial" w:hAnsi="Arial" w:cs="Arial"/>
          <w:sz w:val="21"/>
          <w:szCs w:val="21"/>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FD7A7A">
        <w:rPr>
          <w:rFonts w:ascii="Arial" w:hAnsi="Arial" w:cs="Arial"/>
          <w:i/>
          <w:iCs/>
          <w:sz w:val="21"/>
          <w:szCs w:val="21"/>
        </w:rPr>
        <w:t>pro libertate</w:t>
      </w:r>
      <w:r w:rsidRPr="00FD7A7A">
        <w:rPr>
          <w:rFonts w:ascii="Arial" w:hAnsi="Arial" w:cs="Arial"/>
          <w:sz w:val="21"/>
          <w:szCs w:val="21"/>
        </w:rPr>
        <w:t xml:space="preserve">, sino el de legalidad, el que ordena que la función pública debe someterse estrictamente a lo que disponga la Constitución y la ley (CP art. 6). </w:t>
      </w:r>
    </w:p>
    <w:p w14:paraId="530C06ED" w14:textId="77777777" w:rsidR="00D772C9" w:rsidRPr="00FD7A7A" w:rsidRDefault="00D772C9" w:rsidP="00D772C9">
      <w:pPr>
        <w:spacing w:after="120" w:line="240" w:lineRule="auto"/>
        <w:ind w:left="709" w:right="709"/>
        <w:jc w:val="both"/>
        <w:rPr>
          <w:rFonts w:ascii="Arial" w:hAnsi="Arial" w:cs="Arial"/>
          <w:sz w:val="21"/>
          <w:szCs w:val="21"/>
        </w:rPr>
      </w:pPr>
      <w:r w:rsidRPr="00FD7A7A">
        <w:rPr>
          <w:rFonts w:ascii="Arial" w:hAnsi="Arial" w:cs="Arial"/>
          <w:sz w:val="21"/>
          <w:szCs w:val="21"/>
        </w:rPr>
        <w:t xml:space="preserve">[…] </w:t>
      </w:r>
    </w:p>
    <w:p w14:paraId="0F728AF7" w14:textId="77777777" w:rsidR="00D772C9" w:rsidRPr="00FD7A7A" w:rsidRDefault="00D772C9" w:rsidP="00D772C9">
      <w:pPr>
        <w:spacing w:after="0" w:line="240" w:lineRule="auto"/>
        <w:ind w:left="709" w:right="709"/>
        <w:jc w:val="both"/>
        <w:rPr>
          <w:rFonts w:ascii="Arial" w:hAnsi="Arial" w:cs="Arial"/>
          <w:sz w:val="21"/>
          <w:szCs w:val="21"/>
        </w:rPr>
      </w:pPr>
      <w:r w:rsidRPr="00FD7A7A">
        <w:rPr>
          <w:rFonts w:ascii="Arial" w:hAnsi="Arial" w:cs="Arial"/>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FD7A7A">
        <w:rPr>
          <w:rFonts w:ascii="Arial" w:hAnsi="Arial" w:cs="Arial"/>
          <w:sz w:val="21"/>
          <w:szCs w:val="21"/>
          <w:vertAlign w:val="superscript"/>
        </w:rPr>
        <w:footnoteReference w:id="6"/>
      </w:r>
      <w:r w:rsidRPr="00FD7A7A">
        <w:rPr>
          <w:rFonts w:ascii="Arial" w:hAnsi="Arial" w:cs="Arial"/>
          <w:sz w:val="21"/>
          <w:szCs w:val="21"/>
        </w:rPr>
        <w:t>.</w:t>
      </w:r>
    </w:p>
    <w:p w14:paraId="3849E98B" w14:textId="77777777" w:rsidR="00D772C9" w:rsidRPr="00FD7A7A" w:rsidRDefault="00D772C9" w:rsidP="00D772C9">
      <w:pPr>
        <w:spacing w:after="0" w:line="276" w:lineRule="auto"/>
        <w:ind w:left="709" w:right="709"/>
        <w:jc w:val="both"/>
        <w:rPr>
          <w:rFonts w:ascii="Arial" w:hAnsi="Arial" w:cs="Arial"/>
        </w:rPr>
      </w:pPr>
    </w:p>
    <w:p w14:paraId="06913BBD" w14:textId="77777777" w:rsidR="00D772C9" w:rsidRPr="00FD7A7A" w:rsidRDefault="00D772C9" w:rsidP="00D772C9">
      <w:pPr>
        <w:spacing w:after="0" w:line="276" w:lineRule="auto"/>
        <w:ind w:firstLine="709"/>
        <w:jc w:val="both"/>
        <w:rPr>
          <w:rFonts w:ascii="Arial" w:hAnsi="Arial" w:cs="Arial"/>
        </w:rPr>
      </w:pPr>
      <w:r w:rsidRPr="00FD7A7A">
        <w:rPr>
          <w:rFonts w:ascii="Arial" w:hAnsi="Arial" w:cs="Arial"/>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FD7A7A">
        <w:rPr>
          <w:rFonts w:ascii="Arial" w:hAnsi="Arial" w:cs="Arial"/>
          <w:vertAlign w:val="superscript"/>
        </w:rPr>
        <w:footnoteReference w:id="7"/>
      </w:r>
      <w:r w:rsidRPr="00FD7A7A">
        <w:rPr>
          <w:rFonts w:ascii="Arial" w:hAnsi="Arial" w:cs="Arial"/>
        </w:rPr>
        <w:t>.</w:t>
      </w:r>
    </w:p>
    <w:p w14:paraId="0CAD64A8" w14:textId="77777777" w:rsidR="00D772C9" w:rsidRPr="00FD7A7A" w:rsidRDefault="00D772C9" w:rsidP="00D772C9">
      <w:pPr>
        <w:spacing w:before="120" w:after="120" w:line="276" w:lineRule="auto"/>
        <w:ind w:firstLine="709"/>
        <w:jc w:val="both"/>
        <w:rPr>
          <w:rFonts w:ascii="Arial" w:hAnsi="Arial" w:cs="Arial"/>
        </w:rPr>
      </w:pPr>
      <w:r w:rsidRPr="00FD7A7A">
        <w:rPr>
          <w:rFonts w:ascii="Arial" w:hAnsi="Arial" w:cs="Arial"/>
        </w:rPr>
        <w:t>A manera de ejemplo, en materia contractual, los literales c), d) y j) del numeral 1 del artículo 8 de la Ley 80 de 1993</w:t>
      </w:r>
      <w:r w:rsidRPr="00FD7A7A">
        <w:rPr>
          <w:rFonts w:ascii="Arial" w:hAnsi="Arial" w:cs="Arial"/>
          <w:vertAlign w:val="superscript"/>
        </w:rPr>
        <w:footnoteReference w:id="8"/>
      </w:r>
      <w:r w:rsidRPr="00FD7A7A">
        <w:rPr>
          <w:rFonts w:ascii="Arial" w:hAnsi="Arial" w:cs="Arial"/>
        </w:rPr>
        <w:t xml:space="preserve"> establecen inhabilidades-sanción, porque la prohibición </w:t>
      </w:r>
      <w:r w:rsidRPr="00FD7A7A">
        <w:rPr>
          <w:rFonts w:ascii="Arial" w:hAnsi="Arial" w:cs="Arial"/>
        </w:rPr>
        <w:lastRenderedPageBreak/>
        <w:t xml:space="preserve">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13" w:name="_Hlk40976328"/>
      <w:r w:rsidRPr="00FD7A7A">
        <w:rPr>
          <w:rFonts w:ascii="Arial" w:hAnsi="Arial"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13"/>
    </w:p>
    <w:p w14:paraId="72FB2DD6" w14:textId="77777777" w:rsidR="00D772C9" w:rsidRPr="00FD7A7A" w:rsidRDefault="00D772C9" w:rsidP="00D772C9">
      <w:pPr>
        <w:spacing w:after="120" w:line="276" w:lineRule="auto"/>
        <w:ind w:firstLine="708"/>
        <w:jc w:val="both"/>
        <w:rPr>
          <w:rFonts w:ascii="Arial" w:eastAsia="Calibri" w:hAnsi="Arial" w:cs="Arial"/>
          <w:lang w:val="es-ES_tradnl"/>
        </w:rPr>
      </w:pPr>
      <w:r w:rsidRPr="00FD7A7A">
        <w:rPr>
          <w:rFonts w:ascii="Arial" w:eastAsia="Calibri" w:hAnsi="Arial" w:cs="Arial"/>
          <w:i/>
          <w:iCs/>
          <w:lang w:val="es-ES_tradnl"/>
        </w:rPr>
        <w:t>Igualmente</w:t>
      </w:r>
      <w:r w:rsidRPr="00FD7A7A">
        <w:rPr>
          <w:rFonts w:ascii="Arial" w:eastAsia="Calibri" w:hAnsi="Arial" w:cs="Arial"/>
          <w:lang w:val="es-ES_tradnl"/>
        </w:rPr>
        <w:t xml:space="preserve">, en la contratación estatal, la </w:t>
      </w:r>
      <w:r w:rsidRPr="00FD7A7A">
        <w:rPr>
          <w:rFonts w:ascii="Arial" w:eastAsia="Calibri" w:hAnsi="Arial" w:cs="Arial"/>
          <w:i/>
          <w:iCs/>
          <w:lang w:val="es-ES_tradnl"/>
        </w:rPr>
        <w:t>capacidad</w:t>
      </w:r>
      <w:r w:rsidRPr="00FD7A7A">
        <w:rPr>
          <w:rFonts w:ascii="Arial" w:eastAsia="Calibri" w:hAnsi="Arial" w:cs="Arial"/>
          <w:lang w:val="es-ES_tradnl"/>
        </w:rPr>
        <w:t xml:space="preserve"> también es un requisito de validez de los contratos, tanto en el régimen de las entidades sujetas al Estatuto General de Contratación de la Administración Pública</w:t>
      </w:r>
      <w:r w:rsidRPr="00FD7A7A">
        <w:rPr>
          <w:rFonts w:ascii="Arial" w:eastAsia="Calibri" w:hAnsi="Arial" w:cs="Arial"/>
          <w:vertAlign w:val="superscript"/>
          <w:lang w:val="es-ES_tradnl"/>
        </w:rPr>
        <w:footnoteReference w:id="9"/>
      </w:r>
      <w:r w:rsidRPr="00FD7A7A">
        <w:rPr>
          <w:rFonts w:ascii="Arial" w:eastAsia="Calibri" w:hAnsi="Arial" w:cs="Arial"/>
          <w:lang w:val="es-ES_tradnl"/>
        </w:rPr>
        <w:t xml:space="preserve"> como en el de las entidades exceptuadas de aquel</w:t>
      </w:r>
      <w:r w:rsidRPr="00FD7A7A">
        <w:rPr>
          <w:rFonts w:ascii="Arial" w:eastAsia="Calibri" w:hAnsi="Arial" w:cs="Arial"/>
          <w:vertAlign w:val="superscript"/>
          <w:lang w:val="es-ES_tradnl"/>
        </w:rPr>
        <w:footnoteReference w:id="10"/>
      </w:r>
      <w:r w:rsidRPr="00FD7A7A">
        <w:rPr>
          <w:rFonts w:ascii="Arial" w:eastAsia="Calibri" w:hAnsi="Arial"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FD7A7A">
        <w:rPr>
          <w:rFonts w:ascii="Arial" w:eastAsia="Calibri" w:hAnsi="Arial" w:cs="Arial"/>
          <w:vertAlign w:val="superscript"/>
          <w:lang w:val="es-ES_tradnl"/>
        </w:rPr>
        <w:footnoteReference w:id="11"/>
      </w:r>
      <w:r w:rsidRPr="00FD7A7A">
        <w:rPr>
          <w:rFonts w:ascii="Arial" w:eastAsia="Calibri" w:hAnsi="Arial" w:cs="Arial"/>
          <w:lang w:val="es-ES_tradnl"/>
        </w:rPr>
        <w:t xml:space="preserve">–, se destaca el régimen de </w:t>
      </w:r>
      <w:r w:rsidRPr="00FD7A7A">
        <w:rPr>
          <w:rFonts w:ascii="Arial" w:eastAsia="Calibri" w:hAnsi="Arial" w:cs="Arial"/>
          <w:lang w:val="es-ES_tradnl"/>
        </w:rPr>
        <w:lastRenderedPageBreak/>
        <w:t>inhabilidades e incompatibilidades como un conjunto de normas que imponen restricciones para los sujetos que, eventualmente, pretendan participar en los procedimientos de selección o celebrar contratos con las entidades estatales</w:t>
      </w:r>
      <w:r w:rsidRPr="00FD7A7A">
        <w:rPr>
          <w:rFonts w:ascii="Arial" w:eastAsia="Calibri" w:hAnsi="Arial" w:cs="Arial"/>
          <w:vertAlign w:val="superscript"/>
          <w:lang w:val="es-ES_tradnl"/>
        </w:rPr>
        <w:footnoteReference w:id="12"/>
      </w:r>
      <w:r w:rsidRPr="00FD7A7A">
        <w:rPr>
          <w:rFonts w:ascii="Arial" w:eastAsia="Calibri" w:hAnsi="Arial" w:cs="Arial"/>
          <w:lang w:val="es-ES_tradnl"/>
        </w:rPr>
        <w:t>.</w:t>
      </w:r>
    </w:p>
    <w:p w14:paraId="291A5C69" w14:textId="77777777" w:rsidR="00D772C9" w:rsidRPr="00FD7A7A" w:rsidRDefault="00D772C9" w:rsidP="00D772C9">
      <w:pPr>
        <w:spacing w:after="120" w:line="276" w:lineRule="auto"/>
        <w:ind w:firstLine="709"/>
        <w:jc w:val="both"/>
        <w:rPr>
          <w:rFonts w:ascii="Arial" w:eastAsia="Calibri" w:hAnsi="Arial" w:cs="Arial"/>
          <w:lang w:val="es-ES_tradnl"/>
        </w:rPr>
      </w:pPr>
      <w:r w:rsidRPr="00FD7A7A">
        <w:rPr>
          <w:rFonts w:ascii="Arial" w:eastAsia="Calibri" w:hAnsi="Arial" w:cs="Arial"/>
          <w:lang w:val="es-ES_tradnl"/>
        </w:rPr>
        <w:t>Las inhabilidades son prohibiciones para concurrir a los procedimientos de selección y para contratar con el Estado, que se derivan: i) de la existencia de comportamientos reprochables o de sanciones anteriormente impuestas</w:t>
      </w:r>
      <w:r w:rsidRPr="00FD7A7A">
        <w:rPr>
          <w:rFonts w:ascii="Arial" w:eastAsia="Calibri" w:hAnsi="Arial" w:cs="Arial"/>
          <w:vertAlign w:val="superscript"/>
          <w:lang w:val="es-ES_tradnl"/>
        </w:rPr>
        <w:footnoteReference w:id="13"/>
      </w:r>
      <w:r w:rsidRPr="00FD7A7A">
        <w:rPr>
          <w:rFonts w:ascii="Arial" w:eastAsia="Calibri" w:hAnsi="Arial" w:cs="Arial"/>
          <w:lang w:val="es-ES_tradnl"/>
        </w:rPr>
        <w:t>, ii) de vínculos personales relativos al parentesco o al estado civil</w:t>
      </w:r>
      <w:r w:rsidRPr="00FD7A7A">
        <w:rPr>
          <w:rFonts w:ascii="Arial" w:eastAsia="Calibri" w:hAnsi="Arial" w:cs="Arial"/>
          <w:vertAlign w:val="superscript"/>
          <w:lang w:val="es-ES_tradnl"/>
        </w:rPr>
        <w:footnoteReference w:id="14"/>
      </w:r>
      <w:r w:rsidRPr="00FD7A7A">
        <w:rPr>
          <w:rFonts w:ascii="Arial" w:eastAsia="Calibri" w:hAnsi="Arial" w:cs="Arial"/>
          <w:lang w:val="es-ES_tradnl"/>
        </w:rPr>
        <w:t xml:space="preserve"> o iii) de una actividad u oficio que se desempeñó en el pasado</w:t>
      </w:r>
      <w:r w:rsidRPr="00FD7A7A">
        <w:rPr>
          <w:rFonts w:ascii="Arial" w:eastAsia="Calibri" w:hAnsi="Arial" w:cs="Arial"/>
          <w:vertAlign w:val="superscript"/>
          <w:lang w:val="es-ES_tradnl"/>
        </w:rPr>
        <w:footnoteReference w:id="15"/>
      </w:r>
      <w:r w:rsidRPr="00FD7A7A">
        <w:rPr>
          <w:rFonts w:ascii="Arial" w:eastAsia="Calibri" w:hAnsi="Arial" w:cs="Arial"/>
          <w:lang w:val="es-ES_tradnl"/>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FD7A7A">
        <w:rPr>
          <w:rFonts w:ascii="Arial" w:eastAsia="Calibri" w:hAnsi="Arial" w:cs="Arial"/>
          <w:vertAlign w:val="superscript"/>
          <w:lang w:val="es-ES_tradnl"/>
        </w:rPr>
        <w:footnoteReference w:id="16"/>
      </w:r>
      <w:r w:rsidRPr="00FD7A7A">
        <w:rPr>
          <w:rFonts w:ascii="Arial" w:eastAsia="Calibri" w:hAnsi="Arial" w:cs="Arial"/>
          <w:lang w:val="es-ES_tradnl"/>
        </w:rPr>
        <w:t xml:space="preserve">. En todo caso, a pesar de la existencia de distintos criterios para </w:t>
      </w:r>
      <w:r w:rsidRPr="00FD7A7A">
        <w:rPr>
          <w:rFonts w:ascii="Arial" w:eastAsia="Calibri" w:hAnsi="Arial" w:cs="Arial"/>
          <w:lang w:val="es-ES_tradnl"/>
        </w:rPr>
        <w:lastRenderedPageBreak/>
        <w:t>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Pr="00FD7A7A">
        <w:rPr>
          <w:rFonts w:ascii="Arial" w:eastAsia="Calibri" w:hAnsi="Arial" w:cs="Arial"/>
          <w:vertAlign w:val="superscript"/>
          <w:lang w:val="es-ES_tradnl"/>
        </w:rPr>
        <w:footnoteReference w:id="17"/>
      </w:r>
      <w:r w:rsidRPr="00FD7A7A">
        <w:rPr>
          <w:rFonts w:ascii="Arial" w:eastAsia="Calibri" w:hAnsi="Arial" w:cs="Arial"/>
          <w:lang w:val="es-ES_tradnl"/>
        </w:rPr>
        <w:t>.</w:t>
      </w:r>
    </w:p>
    <w:p w14:paraId="7357F0BF" w14:textId="77777777" w:rsidR="00D772C9" w:rsidRPr="00FD7A7A" w:rsidRDefault="00D772C9" w:rsidP="00D772C9">
      <w:pPr>
        <w:spacing w:before="120" w:after="120" w:line="276" w:lineRule="auto"/>
        <w:ind w:firstLine="709"/>
        <w:jc w:val="both"/>
        <w:rPr>
          <w:rFonts w:ascii="Arial" w:eastAsia="Calibri" w:hAnsi="Arial" w:cs="Arial"/>
          <w:lang w:val="es-ES_tradnl"/>
        </w:rPr>
      </w:pPr>
      <w:r w:rsidRPr="00FD7A7A">
        <w:rPr>
          <w:rFonts w:ascii="Arial" w:eastAsia="Calibri" w:hAnsi="Arial" w:cs="Arial"/>
          <w:lang w:val="es-ES_tradnl"/>
        </w:rPr>
        <w:t>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“neopunitiva”</w:t>
      </w:r>
      <w:r w:rsidRPr="00FD7A7A">
        <w:rPr>
          <w:rFonts w:ascii="Arial" w:eastAsia="Calibri" w:hAnsi="Arial" w:cs="Arial"/>
          <w:vertAlign w:val="superscript"/>
          <w:lang w:val="es-ES_tradnl"/>
        </w:rPr>
        <w:footnoteReference w:id="18"/>
      </w:r>
      <w:r w:rsidRPr="00FD7A7A">
        <w:rPr>
          <w:rFonts w:ascii="Arial" w:eastAsia="Calibri" w:hAnsi="Arial" w:cs="Arial"/>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0FBBCFF8" w14:textId="77777777" w:rsidR="00D772C9" w:rsidRPr="00FD7A7A" w:rsidRDefault="00D772C9" w:rsidP="00D772C9">
      <w:pPr>
        <w:spacing w:before="120" w:after="120" w:line="276" w:lineRule="auto"/>
        <w:ind w:firstLine="709"/>
        <w:jc w:val="both"/>
        <w:rPr>
          <w:rFonts w:ascii="Arial" w:eastAsia="Calibri" w:hAnsi="Arial" w:cs="Arial"/>
          <w:lang w:val="es-ES_tradnl"/>
        </w:rPr>
      </w:pPr>
      <w:r w:rsidRPr="00FD7A7A">
        <w:rPr>
          <w:rFonts w:ascii="Arial" w:eastAsia="Calibri" w:hAnsi="Arial"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FD7A7A">
        <w:rPr>
          <w:rFonts w:ascii="Arial" w:eastAsia="Calibri" w:hAnsi="Arial" w:cs="Arial"/>
          <w:i/>
          <w:iCs/>
          <w:lang w:val="es-ES_tradnl"/>
        </w:rPr>
        <w:t>restrictiva</w:t>
      </w:r>
      <w:r w:rsidRPr="00FD7A7A">
        <w:rPr>
          <w:rFonts w:ascii="Arial" w:eastAsia="Calibri" w:hAnsi="Arial" w:cs="Arial"/>
          <w:i/>
          <w:iCs/>
          <w:vertAlign w:val="superscript"/>
          <w:lang w:val="es-ES_tradnl"/>
        </w:rPr>
        <w:footnoteReference w:id="19"/>
      </w:r>
      <w:r w:rsidRPr="00FD7A7A">
        <w:rPr>
          <w:rFonts w:ascii="Arial" w:eastAsia="Calibri" w:hAnsi="Arial" w:cs="Arial"/>
          <w:i/>
          <w:iCs/>
          <w:lang w:val="es-ES_tradnl"/>
        </w:rPr>
        <w:t xml:space="preserve">, </w:t>
      </w:r>
      <w:r w:rsidRPr="00FD7A7A">
        <w:rPr>
          <w:rFonts w:ascii="Arial" w:eastAsia="Calibri" w:hAnsi="Arial"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332604E2" w14:textId="77777777" w:rsidR="00D772C9" w:rsidRPr="00FD7A7A" w:rsidRDefault="00D772C9" w:rsidP="00D772C9">
      <w:pPr>
        <w:spacing w:after="0" w:line="276" w:lineRule="auto"/>
        <w:ind w:firstLine="709"/>
        <w:jc w:val="both"/>
        <w:rPr>
          <w:rFonts w:ascii="Arial" w:eastAsia="Calibri" w:hAnsi="Arial" w:cs="Arial"/>
          <w:lang w:val="es-ES_tradnl"/>
        </w:rPr>
      </w:pPr>
      <w:r w:rsidRPr="00FD7A7A">
        <w:rPr>
          <w:rFonts w:ascii="Arial" w:eastAsia="Calibri" w:hAnsi="Arial" w:cs="Arial"/>
          <w:lang w:val="es-ES_tradnl"/>
        </w:rPr>
        <w:lastRenderedPageBreak/>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FD7A7A">
        <w:rPr>
          <w:rFonts w:ascii="Arial" w:eastAsia="Calibri" w:hAnsi="Arial" w:cs="Arial"/>
          <w:vertAlign w:val="superscript"/>
          <w:lang w:val="es-ES_tradnl"/>
        </w:rPr>
        <w:footnoteReference w:id="20"/>
      </w:r>
      <w:r w:rsidRPr="00FD7A7A">
        <w:rPr>
          <w:rFonts w:ascii="Arial" w:eastAsia="Calibri" w:hAnsi="Arial" w:cs="Arial"/>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FD7A7A">
        <w:rPr>
          <w:rFonts w:ascii="Arial" w:eastAsia="Calibri" w:hAnsi="Arial" w:cs="Arial"/>
          <w:vertAlign w:val="superscript"/>
          <w:lang w:val="es-ES_tradnl"/>
        </w:rPr>
        <w:footnoteReference w:id="21"/>
      </w:r>
      <w:r w:rsidRPr="00FD7A7A">
        <w:rPr>
          <w:rFonts w:ascii="Arial" w:eastAsia="Calibri" w:hAnsi="Arial" w:cs="Arial"/>
          <w:lang w:val="es-ES_tradnl"/>
        </w:rPr>
        <w:t>. En tal sentido, la Sección Tercera ha señalado que:</w:t>
      </w:r>
    </w:p>
    <w:p w14:paraId="549616E3" w14:textId="77777777" w:rsidR="00D772C9" w:rsidRPr="00FD7A7A" w:rsidRDefault="00D772C9" w:rsidP="00D772C9">
      <w:pPr>
        <w:spacing w:after="0"/>
        <w:ind w:firstLine="709"/>
        <w:jc w:val="both"/>
        <w:rPr>
          <w:rFonts w:ascii="Arial" w:eastAsia="Calibri" w:hAnsi="Arial" w:cs="Arial"/>
          <w:lang w:val="es-ES_tradnl"/>
        </w:rPr>
      </w:pPr>
    </w:p>
    <w:p w14:paraId="1CF8D291" w14:textId="77777777" w:rsidR="00D772C9" w:rsidRPr="00FD7A7A" w:rsidRDefault="00D772C9" w:rsidP="00D772C9">
      <w:pPr>
        <w:spacing w:after="0" w:line="240" w:lineRule="auto"/>
        <w:ind w:left="709" w:right="709"/>
        <w:jc w:val="both"/>
        <w:rPr>
          <w:rFonts w:ascii="Arial" w:eastAsia="Calibri" w:hAnsi="Arial" w:cs="Arial"/>
          <w:lang w:val="es-ES_tradnl"/>
        </w:rPr>
      </w:pPr>
      <w:r w:rsidRPr="00FD7A7A">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FD7A7A">
        <w:rPr>
          <w:rFonts w:ascii="Arial" w:hAnsi="Arial" w:cs="Arial"/>
          <w:sz w:val="21"/>
          <w:szCs w:val="21"/>
          <w:vertAlign w:val="superscript"/>
          <w:lang w:val="es-ES_tradnl"/>
        </w:rPr>
        <w:footnoteReference w:id="22"/>
      </w:r>
      <w:r w:rsidRPr="00FD7A7A">
        <w:rPr>
          <w:rFonts w:ascii="Arial" w:hAnsi="Arial" w:cs="Arial"/>
          <w:sz w:val="21"/>
          <w:szCs w:val="21"/>
          <w:lang w:val="es-ES_tradnl"/>
        </w:rPr>
        <w:t>.</w:t>
      </w:r>
    </w:p>
    <w:p w14:paraId="10B2BED3" w14:textId="77777777" w:rsidR="00D772C9" w:rsidRPr="00FD7A7A" w:rsidRDefault="00D772C9" w:rsidP="00D772C9">
      <w:pPr>
        <w:spacing w:after="0" w:line="276" w:lineRule="auto"/>
        <w:ind w:firstLine="709"/>
        <w:jc w:val="both"/>
        <w:rPr>
          <w:rFonts w:ascii="Arial" w:eastAsia="Calibri" w:hAnsi="Arial" w:cs="Arial"/>
          <w:lang w:val="es-ES_tradnl"/>
        </w:rPr>
      </w:pPr>
    </w:p>
    <w:p w14:paraId="344F5655" w14:textId="77777777" w:rsidR="00D772C9" w:rsidRPr="00FD7A7A" w:rsidRDefault="00D772C9" w:rsidP="00D772C9">
      <w:pPr>
        <w:ind w:firstLine="709"/>
        <w:jc w:val="both"/>
        <w:rPr>
          <w:rFonts w:ascii="Arial" w:eastAsia="Calibri" w:hAnsi="Arial" w:cs="Arial"/>
          <w:lang w:val="es-ES_tradnl"/>
        </w:rPr>
      </w:pPr>
      <w:r w:rsidRPr="00FD7A7A">
        <w:rPr>
          <w:rFonts w:ascii="Arial" w:eastAsia="Calibri" w:hAnsi="Arial" w:cs="Arial"/>
          <w:lang w:val="es-ES_tradnl"/>
        </w:rPr>
        <w:t>También ha dicho que:</w:t>
      </w:r>
    </w:p>
    <w:p w14:paraId="62AFBEC3" w14:textId="77777777" w:rsidR="00D772C9" w:rsidRPr="00FD7A7A" w:rsidRDefault="00D772C9" w:rsidP="00D772C9">
      <w:pPr>
        <w:spacing w:after="0" w:line="240" w:lineRule="auto"/>
        <w:ind w:left="709" w:right="616"/>
        <w:jc w:val="both"/>
        <w:rPr>
          <w:rFonts w:ascii="Arial" w:hAnsi="Arial" w:cs="Arial"/>
          <w:sz w:val="21"/>
          <w:szCs w:val="21"/>
          <w:lang w:val="es-ES_tradnl"/>
        </w:rPr>
      </w:pPr>
      <w:r w:rsidRPr="00FD7A7A">
        <w:rPr>
          <w:rFonts w:ascii="Arial" w:hAnsi="Arial" w:cs="Arial"/>
          <w:sz w:val="21"/>
          <w:szCs w:val="21"/>
          <w:lang w:val="es-ES_tradnl"/>
        </w:rPr>
        <w:t xml:space="preserve">“[…] la aplicación de estos preceptos exige una interpretación restrictiva, dado que según el principio hermenéutico </w:t>
      </w:r>
      <w:r w:rsidRPr="00FD7A7A">
        <w:rPr>
          <w:rFonts w:ascii="Arial" w:hAnsi="Arial" w:cs="Arial"/>
          <w:i/>
          <w:iCs/>
          <w:sz w:val="21"/>
          <w:szCs w:val="21"/>
          <w:lang w:val="es-ES_tradnl"/>
        </w:rPr>
        <w:t>pro libertate</w:t>
      </w:r>
      <w:r w:rsidRPr="00FD7A7A">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FD7A7A">
        <w:rPr>
          <w:rFonts w:ascii="Arial" w:hAnsi="Arial" w:cs="Arial"/>
          <w:sz w:val="21"/>
          <w:szCs w:val="21"/>
          <w:vertAlign w:val="superscript"/>
          <w:lang w:val="es-ES_tradnl"/>
        </w:rPr>
        <w:footnoteReference w:id="23"/>
      </w:r>
      <w:r w:rsidRPr="00FD7A7A">
        <w:rPr>
          <w:rFonts w:ascii="Arial" w:hAnsi="Arial" w:cs="Arial"/>
          <w:sz w:val="21"/>
          <w:szCs w:val="21"/>
          <w:lang w:val="es-ES_tradnl"/>
        </w:rPr>
        <w:t>.</w:t>
      </w:r>
    </w:p>
    <w:p w14:paraId="0B362E69" w14:textId="77777777" w:rsidR="00D772C9" w:rsidRPr="00FD7A7A" w:rsidRDefault="00D772C9" w:rsidP="00D772C9">
      <w:pPr>
        <w:spacing w:after="0"/>
        <w:ind w:firstLine="708"/>
        <w:jc w:val="both"/>
        <w:rPr>
          <w:rFonts w:ascii="Arial" w:eastAsia="Arial" w:hAnsi="Arial" w:cs="Arial"/>
          <w:color w:val="000000"/>
          <w:lang w:val="es-ES_tradnl"/>
        </w:rPr>
      </w:pPr>
    </w:p>
    <w:p w14:paraId="389F3761" w14:textId="77777777" w:rsidR="00D772C9" w:rsidRPr="00FD7A7A" w:rsidRDefault="00D772C9" w:rsidP="00D772C9">
      <w:pPr>
        <w:spacing w:after="0" w:line="276" w:lineRule="auto"/>
        <w:ind w:firstLine="708"/>
        <w:jc w:val="both"/>
        <w:rPr>
          <w:rFonts w:ascii="Arial" w:hAnsi="Arial" w:cs="Arial"/>
          <w:color w:val="000000" w:themeColor="text1"/>
        </w:rPr>
      </w:pPr>
      <w:r w:rsidRPr="00FD7A7A">
        <w:rPr>
          <w:rFonts w:ascii="Arial" w:eastAsia="Arial" w:hAnsi="Arial" w:cs="Arial"/>
          <w:color w:val="000000"/>
          <w:lang w:val="es-ES_tradnl"/>
        </w:rPr>
        <w:t xml:space="preserve">Como se aprecia, el principio </w:t>
      </w:r>
      <w:r w:rsidRPr="00FD7A7A">
        <w:rPr>
          <w:rFonts w:ascii="Arial" w:eastAsia="Arial" w:hAnsi="Arial" w:cs="Arial"/>
          <w:i/>
          <w:iCs/>
          <w:color w:val="000000"/>
          <w:lang w:val="es-ES_tradnl"/>
        </w:rPr>
        <w:t>pro libertate</w:t>
      </w:r>
      <w:r w:rsidRPr="00FD7A7A">
        <w:rPr>
          <w:rFonts w:ascii="Arial" w:eastAsia="Arial" w:hAnsi="Arial"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FD7A7A">
        <w:rPr>
          <w:rFonts w:ascii="Arial" w:hAnsi="Arial" w:cs="Arial"/>
          <w:color w:val="000000" w:themeColor="text1"/>
        </w:rPr>
        <w:t xml:space="preserve"> Corte Constitucional ha resaltado que la competencia para determinar qué hechos o situaciones generan inhabilidades o incompatibilidades para contratar con el Estado la tiene el </w:t>
      </w:r>
      <w:r w:rsidRPr="00FD7A7A">
        <w:rPr>
          <w:rFonts w:ascii="Arial" w:hAnsi="Arial" w:cs="Arial"/>
          <w:color w:val="000000" w:themeColor="text1"/>
        </w:rPr>
        <w:lastRenderedPageBreak/>
        <w:t>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FD7A7A">
        <w:rPr>
          <w:rFonts w:ascii="Arial" w:hAnsi="Arial" w:cs="Arial"/>
          <w:color w:val="000000" w:themeColor="text1"/>
          <w:vertAlign w:val="superscript"/>
        </w:rPr>
        <w:footnoteReference w:id="24"/>
      </w:r>
      <w:r w:rsidRPr="00FD7A7A">
        <w:rPr>
          <w:rFonts w:ascii="Arial" w:hAnsi="Arial" w:cs="Arial"/>
          <w:color w:val="000000" w:themeColor="text1"/>
        </w:rPr>
        <w:t>.</w:t>
      </w:r>
    </w:p>
    <w:p w14:paraId="4F1C57C8" w14:textId="77777777" w:rsidR="00D772C9" w:rsidRPr="00FD7A7A" w:rsidRDefault="00D772C9" w:rsidP="00D772C9">
      <w:pPr>
        <w:spacing w:after="0" w:line="276" w:lineRule="auto"/>
        <w:jc w:val="both"/>
        <w:rPr>
          <w:rFonts w:ascii="Arial" w:eastAsia="Calibri" w:hAnsi="Arial" w:cs="Arial"/>
          <w:lang w:val="es-ES_tradnl"/>
        </w:rPr>
      </w:pPr>
    </w:p>
    <w:p w14:paraId="0D6081CE" w14:textId="77777777" w:rsidR="00D772C9" w:rsidRPr="00FD7A7A" w:rsidRDefault="00D772C9" w:rsidP="00D772C9">
      <w:pPr>
        <w:spacing w:after="0" w:line="276" w:lineRule="auto"/>
        <w:jc w:val="both"/>
        <w:rPr>
          <w:rFonts w:ascii="Arial" w:eastAsia="Calibri" w:hAnsi="Arial" w:cs="Arial"/>
          <w:b/>
          <w:bCs/>
          <w:lang w:val="es-ES_tradnl"/>
        </w:rPr>
      </w:pPr>
      <w:r w:rsidRPr="00FD7A7A">
        <w:rPr>
          <w:rFonts w:ascii="Arial" w:eastAsia="Calibri" w:hAnsi="Arial" w:cs="Arial"/>
          <w:b/>
          <w:bCs/>
          <w:lang w:val="es-ES_tradnl"/>
        </w:rPr>
        <w:t xml:space="preserve">2.2. </w:t>
      </w:r>
      <w:bookmarkStart w:id="14" w:name="_Hlk141426805"/>
      <w:r w:rsidRPr="00FD7A7A">
        <w:rPr>
          <w:rFonts w:ascii="Arial" w:eastAsia="Calibri" w:hAnsi="Arial" w:cs="Arial"/>
          <w:b/>
          <w:bCs/>
          <w:lang w:val="es-ES_tradnl"/>
        </w:rPr>
        <w:t>La inhabilidad de las personas por vínculos naturales o jurídicos</w:t>
      </w:r>
      <w:bookmarkEnd w:id="14"/>
      <w:r w:rsidRPr="00FD7A7A">
        <w:rPr>
          <w:rFonts w:ascii="Arial" w:eastAsia="Calibri" w:hAnsi="Arial" w:cs="Arial"/>
          <w:b/>
          <w:bCs/>
          <w:lang w:val="es-ES_tradnl"/>
        </w:rPr>
        <w:t>. Reiteración de línea</w:t>
      </w:r>
    </w:p>
    <w:p w14:paraId="4A606FC3" w14:textId="77777777" w:rsidR="00D772C9" w:rsidRPr="00FD7A7A" w:rsidRDefault="00D772C9" w:rsidP="00D772C9">
      <w:pPr>
        <w:spacing w:after="0" w:line="276" w:lineRule="auto"/>
        <w:jc w:val="both"/>
        <w:rPr>
          <w:rFonts w:ascii="Arial" w:eastAsia="Calibri" w:hAnsi="Arial" w:cs="Arial"/>
          <w:lang w:val="es-ES_tradnl"/>
        </w:rPr>
      </w:pPr>
    </w:p>
    <w:p w14:paraId="70AC60F5" w14:textId="77777777" w:rsidR="00D772C9" w:rsidRPr="00FD7A7A" w:rsidRDefault="00D772C9" w:rsidP="00D772C9">
      <w:pPr>
        <w:spacing w:after="120" w:line="276" w:lineRule="auto"/>
        <w:jc w:val="both"/>
        <w:rPr>
          <w:rFonts w:ascii="Arial" w:hAnsi="Arial" w:cs="Arial"/>
          <w:color w:val="000000"/>
          <w:shd w:val="clear" w:color="auto" w:fill="FFFFFF"/>
        </w:rPr>
      </w:pPr>
      <w:r w:rsidRPr="00FD7A7A">
        <w:rPr>
          <w:rFonts w:ascii="Arial" w:eastAsia="Calibri" w:hAnsi="Arial" w:cs="Arial"/>
          <w:lang w:val="es-ES_tradnl"/>
        </w:rPr>
        <w:t xml:space="preserve">Retomando la línea anterior, la doctrina y la jurisprudencia son pacíficas en considera que la creación de inhabilidades e incompatibilidades es un asunto con reserva de ley, en tanto, </w:t>
      </w:r>
      <w:r w:rsidRPr="00FD7A7A">
        <w:rPr>
          <w:rFonts w:ascii="Arial" w:hAnsi="Arial" w:cs="Arial"/>
          <w:shd w:val="clear" w:color="auto" w:fill="FFFFFF"/>
        </w:rPr>
        <w:t>“[…] su previsión y desarrollo es materia exclusiva del legislador (reserva de ley), quien en virtud del principio democrático debe definir y tipificar expresamente sus causas, vigencia, naturaleza y efectos”</w:t>
      </w:r>
      <w:r w:rsidRPr="00FD7A7A">
        <w:rPr>
          <w:rFonts w:ascii="Arial" w:hAnsi="Arial" w:cs="Arial"/>
          <w:shd w:val="clear" w:color="auto" w:fill="FFFFFF"/>
          <w:vertAlign w:val="superscript"/>
        </w:rPr>
        <w:footnoteReference w:id="25"/>
      </w:r>
      <w:r w:rsidRPr="00FD7A7A">
        <w:rPr>
          <w:rFonts w:ascii="Arial" w:hAnsi="Arial" w:cs="Arial"/>
          <w:shd w:val="clear" w:color="auto" w:fill="FFFFFF"/>
        </w:rPr>
        <w:t xml:space="preserve"> En similar sentido, la Sala de Consulta y Servicio Civil del Consejo de Estado expresó </w:t>
      </w:r>
      <w:r w:rsidRPr="00FD7A7A">
        <w:rPr>
          <w:rFonts w:ascii="Arial" w:hAnsi="Arial" w:cs="Arial"/>
          <w:color w:val="000000"/>
          <w:shd w:val="clear" w:color="auto" w:fill="FFFFFF"/>
        </w:rPr>
        <w:t>que “[…] las causales de inhabilidad e incompatibilidad deben estar expresa y taxativamente establecidas en la Constitución o en la ley y son de aplicación e interpretación restrictivas […]”</w:t>
      </w:r>
      <w:r w:rsidRPr="00FD7A7A">
        <w:rPr>
          <w:rFonts w:ascii="Arial" w:hAnsi="Arial" w:cs="Arial"/>
          <w:color w:val="000000"/>
          <w:shd w:val="clear" w:color="auto" w:fill="FFFFFF"/>
          <w:vertAlign w:val="superscript"/>
        </w:rPr>
        <w:footnoteReference w:id="26"/>
      </w:r>
      <w:r w:rsidRPr="00FD7A7A">
        <w:rPr>
          <w:rFonts w:ascii="Arial" w:hAnsi="Arial" w:cs="Arial"/>
          <w:color w:val="000000"/>
          <w:shd w:val="clear" w:color="auto" w:fill="FFFFFF"/>
        </w:rPr>
        <w:t xml:space="preserve">. En este sentido, como se observa, existe consenso, incluso como lo ha expresado esta Agencia en ocasiones anteriores, que la creación de inhabilidades o incompatibilidades está reservada al constituyente o al legislador. </w:t>
      </w:r>
    </w:p>
    <w:p w14:paraId="20107E08" w14:textId="77777777" w:rsidR="00D772C9" w:rsidRPr="00FD7A7A" w:rsidRDefault="00D772C9" w:rsidP="00D772C9">
      <w:pPr>
        <w:tabs>
          <w:tab w:val="left" w:pos="0"/>
        </w:tabs>
        <w:spacing w:after="120" w:line="276" w:lineRule="auto"/>
        <w:jc w:val="both"/>
        <w:rPr>
          <w:rFonts w:ascii="Arial" w:eastAsia="Calibri" w:hAnsi="Arial" w:cs="Arial"/>
          <w:lang w:val="es-ES_tradnl"/>
        </w:rPr>
      </w:pPr>
      <w:r w:rsidRPr="00FD7A7A">
        <w:rPr>
          <w:rFonts w:ascii="Arial" w:eastAsia="Calibri" w:hAnsi="Arial" w:cs="Arial"/>
          <w:lang w:val="es-ES_tradnl"/>
        </w:rPr>
        <w:tab/>
        <w:t xml:space="preserve">En ese contexto, resulta a bien señalar que el literal g) del numeral 1 del artículo 8 de la Ley 80 de 1993 determina que son inhábiles para participar en Procesos de Contratación o suscribir contratos con Entidades Estatales “Quienes sean cónyuges o compañeros permanentes y quiénes se encuentren dentro del segundo grado de consanguinidad o segundo de afinidad con cualquier otra persona que formalmente haya presentado propuesta para una misma licitación”. Similar prohibición, se encuentra en el literal h) del numeral 1 </w:t>
      </w:r>
      <w:r w:rsidRPr="00FD7A7A">
        <w:rPr>
          <w:rFonts w:ascii="Arial" w:eastAsia="Calibri" w:hAnsi="Arial" w:cs="Arial"/>
          <w:i/>
          <w:iCs/>
          <w:lang w:val="es-ES_tradnl"/>
        </w:rPr>
        <w:t xml:space="preserve">ibidem, </w:t>
      </w:r>
      <w:r w:rsidRPr="00FD7A7A">
        <w:rPr>
          <w:rFonts w:ascii="Arial" w:eastAsia="Calibri" w:hAnsi="Arial" w:cs="Arial"/>
          <w:lang w:val="es-ES_tradnl"/>
        </w:rPr>
        <w:t>cuando la participación simultánea en el proceso es de sociedades, distintas a las sociedades anónimas abiertas.</w:t>
      </w:r>
    </w:p>
    <w:p w14:paraId="33BFC975" w14:textId="77777777" w:rsidR="00D772C9" w:rsidRPr="00FD7A7A" w:rsidRDefault="00D772C9" w:rsidP="00D772C9">
      <w:pPr>
        <w:spacing w:before="120" w:after="0" w:line="276" w:lineRule="auto"/>
        <w:jc w:val="both"/>
        <w:rPr>
          <w:rFonts w:ascii="Arial" w:eastAsia="Calibri" w:hAnsi="Arial" w:cs="Arial"/>
          <w:lang w:val="es-ES_tradnl"/>
        </w:rPr>
      </w:pPr>
      <w:r w:rsidRPr="00FD7A7A">
        <w:rPr>
          <w:rFonts w:ascii="Arial" w:eastAsia="Calibri" w:hAnsi="Arial" w:cs="Arial"/>
          <w:lang w:val="es-ES_tradnl"/>
        </w:rPr>
        <w:tab/>
        <w:t>Dichas inhabilidades tienen fundamento en las relaciones familiares o de parentesco, tales como los cónyuges o compañeros permanentes, así como aquellas personas respecto de las cuales se predican relaciones de consanguinidad o afinidad hasta el segundo grado. Esto implica que las referidas causales de inhabilidad se instituyen, única y exclusivamente, con el propósito de limitar la capacidad en la participación en Procesos de Contratación de las denominadas personas naturales</w:t>
      </w:r>
      <w:r w:rsidRPr="00FD7A7A">
        <w:rPr>
          <w:rFonts w:ascii="Arial" w:eastAsia="Calibri" w:hAnsi="Arial" w:cs="Arial"/>
          <w:vertAlign w:val="superscript"/>
          <w:lang w:val="es-ES"/>
        </w:rPr>
        <w:footnoteReference w:id="27"/>
      </w:r>
      <w:r w:rsidRPr="00FD7A7A">
        <w:rPr>
          <w:rFonts w:ascii="Arial" w:eastAsia="Calibri" w:hAnsi="Arial" w:cs="Arial"/>
          <w:lang w:val="es-ES"/>
        </w:rPr>
        <w:t xml:space="preserve">, esto es, sujetos de derechos y </w:t>
      </w:r>
      <w:r w:rsidRPr="00FD7A7A">
        <w:rPr>
          <w:rFonts w:ascii="Arial" w:eastAsia="Calibri" w:hAnsi="Arial" w:cs="Arial"/>
          <w:lang w:val="es-ES"/>
        </w:rPr>
        <w:lastRenderedPageBreak/>
        <w:t>obligaciones de la especie humana unidos entre sí, ya sea por vínculos naturales o jurídicos</w:t>
      </w:r>
      <w:r w:rsidRPr="00FD7A7A">
        <w:rPr>
          <w:rFonts w:ascii="Arial" w:eastAsia="Calibri" w:hAnsi="Arial" w:cs="Arial"/>
          <w:vertAlign w:val="superscript"/>
          <w:lang w:val="es-ES"/>
        </w:rPr>
        <w:footnoteReference w:id="28"/>
      </w:r>
      <w:r w:rsidRPr="00FD7A7A">
        <w:rPr>
          <w:rFonts w:ascii="Arial" w:eastAsia="Calibri" w:hAnsi="Arial" w:cs="Arial"/>
          <w:lang w:val="es-ES"/>
        </w:rPr>
        <w:t>.</w:t>
      </w:r>
    </w:p>
    <w:p w14:paraId="5FA04B18" w14:textId="77777777" w:rsidR="00D772C9" w:rsidRPr="00FD7A7A" w:rsidRDefault="00D772C9" w:rsidP="00D772C9">
      <w:pPr>
        <w:spacing w:before="120" w:after="0" w:line="276" w:lineRule="auto"/>
        <w:jc w:val="both"/>
        <w:rPr>
          <w:rFonts w:ascii="Arial" w:eastAsia="Calibri" w:hAnsi="Arial" w:cs="Arial"/>
          <w:lang w:val="es-ES_tradnl"/>
        </w:rPr>
      </w:pPr>
      <w:r w:rsidRPr="00FD7A7A">
        <w:rPr>
          <w:rFonts w:ascii="Arial" w:eastAsia="Calibri" w:hAnsi="Arial" w:cs="Arial"/>
          <w:lang w:val="es-ES_tradnl"/>
        </w:rPr>
        <w:tab/>
        <w:t>Los cónyuges son aquellas personas vinculadas entre sí a través del contrato de matrimonio</w:t>
      </w:r>
      <w:r w:rsidRPr="00FD7A7A">
        <w:rPr>
          <w:rFonts w:ascii="Arial" w:eastAsia="Calibri" w:hAnsi="Arial" w:cs="Arial"/>
          <w:vertAlign w:val="superscript"/>
          <w:lang w:val="es-ES_tradnl"/>
        </w:rPr>
        <w:footnoteReference w:id="29"/>
      </w:r>
      <w:r w:rsidRPr="00FD7A7A">
        <w:rPr>
          <w:rFonts w:ascii="Arial" w:eastAsia="Calibri" w:hAnsi="Arial" w:cs="Arial"/>
          <w:lang w:val="es-ES_tradnl"/>
        </w:rPr>
        <w:t>, que puede ser civil o religioso. Mientras que los compañeros permanentes son aquellas personas que integran una comunidad de vida, sin estar casados, denominada unión marital de hecho</w:t>
      </w:r>
      <w:r w:rsidRPr="00FD7A7A">
        <w:rPr>
          <w:rFonts w:ascii="Arial" w:eastAsia="Calibri" w:hAnsi="Arial" w:cs="Arial"/>
          <w:vertAlign w:val="superscript"/>
          <w:lang w:val="es-ES_tradnl"/>
        </w:rPr>
        <w:footnoteReference w:id="30"/>
      </w:r>
      <w:r w:rsidRPr="00FD7A7A">
        <w:rPr>
          <w:rFonts w:ascii="Arial" w:eastAsia="Calibri" w:hAnsi="Arial" w:cs="Arial"/>
          <w:lang w:val="es-ES_tradnl"/>
        </w:rPr>
        <w:t>. Tratándose de compañeros permanentes, la Corte Constitucional extendió los efectos de la inhabilidad objeto de estudio a las parejas del mismo sexo, considerando la protección o salvaguarda del principio de igualdad, para lo cual explicó que:</w:t>
      </w:r>
    </w:p>
    <w:p w14:paraId="236DBD66" w14:textId="77777777" w:rsidR="00D772C9" w:rsidRPr="00FD7A7A" w:rsidRDefault="00D772C9" w:rsidP="00D772C9">
      <w:pPr>
        <w:spacing w:after="0" w:line="276" w:lineRule="auto"/>
        <w:ind w:firstLine="709"/>
        <w:jc w:val="both"/>
        <w:rPr>
          <w:rFonts w:ascii="Arial" w:eastAsia="Calibri" w:hAnsi="Arial" w:cs="Arial"/>
          <w:lang w:val="es-ES_tradnl"/>
        </w:rPr>
      </w:pPr>
    </w:p>
    <w:p w14:paraId="4407B830" w14:textId="77777777" w:rsidR="00D772C9" w:rsidRPr="00FD7A7A" w:rsidRDefault="00D772C9" w:rsidP="00D772C9">
      <w:pPr>
        <w:spacing w:after="120" w:line="240" w:lineRule="auto"/>
        <w:ind w:left="709" w:right="709"/>
        <w:jc w:val="both"/>
        <w:rPr>
          <w:rFonts w:ascii="Arial" w:eastAsia="Calibri" w:hAnsi="Arial" w:cs="Arial"/>
          <w:sz w:val="21"/>
          <w:szCs w:val="21"/>
          <w:lang w:val="es-ES_tradnl"/>
        </w:rPr>
      </w:pPr>
      <w:r w:rsidRPr="00FD7A7A">
        <w:rPr>
          <w:rFonts w:ascii="Arial" w:eastAsia="Calibri" w:hAnsi="Arial" w:cs="Arial"/>
          <w:sz w:val="21"/>
          <w:szCs w:val="21"/>
          <w:lang w:val="es-ES_tradnl"/>
        </w:rPr>
        <w:t>“[…] la situación de los integrantes de las parejas homosexuales es asimilable a la de los compañeros permanentes y no se aprecia ninguna razón para establecer una diferencia de trato.</w:t>
      </w:r>
    </w:p>
    <w:p w14:paraId="7731E3DF" w14:textId="77777777" w:rsidR="00D772C9" w:rsidRPr="00FD7A7A" w:rsidRDefault="00D772C9" w:rsidP="00D772C9">
      <w:pPr>
        <w:spacing w:after="0" w:line="240" w:lineRule="auto"/>
        <w:ind w:left="709" w:right="709"/>
        <w:jc w:val="both"/>
        <w:rPr>
          <w:rFonts w:ascii="Arial" w:eastAsia="Calibri" w:hAnsi="Arial" w:cs="Arial"/>
          <w:lang w:val="es-ES_tradnl"/>
        </w:rPr>
      </w:pPr>
      <w:r w:rsidRPr="00FD7A7A">
        <w:rPr>
          <w:rFonts w:ascii="Arial" w:eastAsia="Calibri" w:hAnsi="Arial" w:cs="Arial"/>
          <w:sz w:val="21"/>
          <w:szCs w:val="21"/>
          <w:lang w:val="es-ES_tradnl"/>
        </w:rPr>
        <w:t>Así, en la medida en que entre los integrantes de parejas del mismo sexo surge un vínculo especial, basado en relaciones de afecto y de apoyo mutuo, y siendo ese el criterio empleado por el legislador en las disposiciones demandadas, la exclusión injustificada de estas personas de entre los destinatarios de tales disposiciones resulta contraria a la Constitución por desconocer el principio de igualdad”</w:t>
      </w:r>
      <w:r w:rsidRPr="00FD7A7A">
        <w:rPr>
          <w:rFonts w:ascii="Arial" w:eastAsia="Calibri" w:hAnsi="Arial" w:cs="Arial"/>
          <w:sz w:val="21"/>
          <w:szCs w:val="21"/>
          <w:vertAlign w:val="superscript"/>
          <w:lang w:val="es-ES_tradnl"/>
        </w:rPr>
        <w:footnoteReference w:id="31"/>
      </w:r>
      <w:r w:rsidRPr="00FD7A7A">
        <w:rPr>
          <w:rFonts w:ascii="Arial" w:eastAsia="Calibri" w:hAnsi="Arial" w:cs="Arial"/>
          <w:sz w:val="21"/>
          <w:szCs w:val="21"/>
          <w:lang w:val="es-ES_tradnl"/>
        </w:rPr>
        <w:t>.</w:t>
      </w:r>
    </w:p>
    <w:p w14:paraId="4FFFEB6E" w14:textId="77777777" w:rsidR="00D772C9" w:rsidRPr="00FD7A7A" w:rsidRDefault="00D772C9" w:rsidP="00D772C9">
      <w:pPr>
        <w:spacing w:after="0" w:line="240" w:lineRule="auto"/>
        <w:ind w:firstLine="709"/>
        <w:jc w:val="both"/>
        <w:rPr>
          <w:rFonts w:ascii="Arial" w:eastAsia="Calibri" w:hAnsi="Arial" w:cs="Arial"/>
          <w:lang w:val="es-ES_tradnl"/>
        </w:rPr>
      </w:pPr>
    </w:p>
    <w:p w14:paraId="27F7B9E6" w14:textId="77777777" w:rsidR="00D772C9" w:rsidRPr="00FD7A7A" w:rsidRDefault="00D772C9" w:rsidP="00D772C9">
      <w:pPr>
        <w:spacing w:after="0" w:line="276" w:lineRule="auto"/>
        <w:jc w:val="both"/>
        <w:rPr>
          <w:rFonts w:ascii="Arial" w:eastAsia="Calibri" w:hAnsi="Arial" w:cs="Arial"/>
          <w:lang w:val="es-ES_tradnl"/>
        </w:rPr>
      </w:pPr>
      <w:r w:rsidRPr="00FD7A7A">
        <w:rPr>
          <w:rFonts w:ascii="Arial" w:eastAsia="Calibri" w:hAnsi="Arial" w:cs="Arial"/>
          <w:lang w:val="es-ES_tradnl"/>
        </w:rPr>
        <w:tab/>
        <w:t xml:space="preserve">De otra parte, en relación con el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 </w:t>
      </w:r>
      <w:r w:rsidRPr="00FD7A7A">
        <w:rPr>
          <w:rFonts w:ascii="Arial" w:eastAsia="Calibri" w:hAnsi="Arial" w:cs="Arial"/>
          <w:vertAlign w:val="superscript"/>
          <w:lang w:val="es-ES_tradnl"/>
        </w:rPr>
        <w:footnoteReference w:id="32"/>
      </w:r>
      <w:r w:rsidRPr="00FD7A7A">
        <w:rPr>
          <w:rFonts w:ascii="Arial" w:eastAsia="Calibri" w:hAnsi="Arial" w:cs="Arial"/>
          <w:lang w:val="es-ES_tradnl"/>
        </w:rPr>
        <w:t>. El parentesco de afinidad se refiere a la relación surgida entre una persona y los consanguíneos de su esposo, esposa o compañeros permanentes, según el caso</w:t>
      </w:r>
      <w:r w:rsidRPr="00FD7A7A">
        <w:rPr>
          <w:rFonts w:ascii="Arial" w:eastAsia="Calibri" w:hAnsi="Arial" w:cs="Arial"/>
          <w:vertAlign w:val="superscript"/>
          <w:lang w:val="es-ES_tradnl"/>
        </w:rPr>
        <w:footnoteReference w:id="33"/>
      </w:r>
      <w:r w:rsidRPr="00FD7A7A">
        <w:rPr>
          <w:rFonts w:ascii="Arial" w:eastAsia="Calibri" w:hAnsi="Arial" w:cs="Arial"/>
          <w:lang w:val="es-ES_tradnl"/>
        </w:rPr>
        <w:t>. Es precio señalar que la Corte Constitucional si bien declaró la inexequibilidad del parentesco de afinidad ilegítima, reconoció la vigencia de la denominada afinidad extramatrimonial. Para estos efectos, sostuvo:</w:t>
      </w:r>
    </w:p>
    <w:p w14:paraId="65A36559" w14:textId="77777777" w:rsidR="00D772C9" w:rsidRPr="00FD7A7A" w:rsidRDefault="00D772C9" w:rsidP="00D772C9">
      <w:pPr>
        <w:spacing w:after="0" w:line="276" w:lineRule="auto"/>
        <w:jc w:val="both"/>
        <w:rPr>
          <w:rFonts w:ascii="Arial" w:eastAsia="Calibri" w:hAnsi="Arial" w:cs="Arial"/>
          <w:lang w:val="es-ES_tradnl"/>
        </w:rPr>
      </w:pPr>
    </w:p>
    <w:p w14:paraId="4873FB65" w14:textId="77777777" w:rsidR="00D772C9" w:rsidRPr="00FD7A7A" w:rsidRDefault="00D772C9" w:rsidP="00D772C9">
      <w:pPr>
        <w:spacing w:after="0" w:line="240" w:lineRule="auto"/>
        <w:ind w:left="709" w:right="709"/>
        <w:jc w:val="both"/>
        <w:rPr>
          <w:rFonts w:ascii="Arial" w:eastAsia="Calibri" w:hAnsi="Arial" w:cs="Arial"/>
          <w:sz w:val="21"/>
          <w:szCs w:val="21"/>
          <w:lang w:val="es-ES_tradnl"/>
        </w:rPr>
      </w:pPr>
      <w:r w:rsidRPr="00FD7A7A">
        <w:rPr>
          <w:rFonts w:ascii="Arial" w:eastAsia="Calibri" w:hAnsi="Arial" w:cs="Arial"/>
          <w:sz w:val="21"/>
          <w:szCs w:val="21"/>
          <w:lang w:val="es-ES_tradnl"/>
        </w:rPr>
        <w:t xml:space="preserve">“En primer lugar, si el inciso primero del artículo 42 de la Constitución reconoce, en un pie de igualdad, la familia constituida por vínculos "naturales o jurídicos", </w:t>
      </w:r>
      <w:r w:rsidRPr="00FD7A7A">
        <w:rPr>
          <w:rFonts w:ascii="Arial" w:eastAsia="Calibri" w:hAnsi="Arial" w:cs="Arial"/>
          <w:sz w:val="21"/>
          <w:szCs w:val="21"/>
          <w:lang w:val="es-ES_tradnl"/>
        </w:rPr>
        <w:lastRenderedPageBreak/>
        <w:t>no se ve cómo la inexistencia del matrimonio origine una "consanguinidad ilegítima", entendiéndose ésta como ilícita.</w:t>
      </w:r>
    </w:p>
    <w:p w14:paraId="24803965" w14:textId="77777777" w:rsidR="00D772C9" w:rsidRPr="00FD7A7A" w:rsidRDefault="00D772C9" w:rsidP="00D772C9">
      <w:pPr>
        <w:spacing w:before="120" w:after="120" w:line="240" w:lineRule="auto"/>
        <w:ind w:left="709" w:right="709"/>
        <w:jc w:val="both"/>
        <w:rPr>
          <w:rFonts w:ascii="Arial" w:eastAsia="Calibri" w:hAnsi="Arial" w:cs="Arial"/>
          <w:sz w:val="21"/>
          <w:szCs w:val="21"/>
          <w:lang w:val="es-ES_tradnl"/>
        </w:rPr>
      </w:pPr>
      <w:r w:rsidRPr="00FD7A7A">
        <w:rPr>
          <w:rFonts w:ascii="Arial" w:eastAsia="Calibri" w:hAnsi="Arial" w:cs="Arial"/>
          <w:sz w:val="21"/>
          <w:szCs w:val="21"/>
          <w:lang w:val="es-ES_tradnl"/>
        </w:rPr>
        <w:t>[…]</w:t>
      </w:r>
    </w:p>
    <w:p w14:paraId="66269A27" w14:textId="77777777" w:rsidR="00D772C9" w:rsidRPr="00FD7A7A" w:rsidRDefault="00D772C9" w:rsidP="00D772C9">
      <w:pPr>
        <w:spacing w:after="0" w:line="240" w:lineRule="auto"/>
        <w:ind w:left="709" w:right="709"/>
        <w:jc w:val="both"/>
        <w:rPr>
          <w:rFonts w:ascii="Arial" w:eastAsia="Calibri" w:hAnsi="Arial" w:cs="Arial"/>
          <w:lang w:val="es-ES_tradnl"/>
        </w:rPr>
      </w:pPr>
      <w:r w:rsidRPr="00FD7A7A">
        <w:rPr>
          <w:rFonts w:ascii="Arial" w:eastAsia="Calibri" w:hAnsi="Arial" w:cs="Arial"/>
          <w:sz w:val="21"/>
          <w:szCs w:val="21"/>
          <w:lang w:val="es-ES_tradnl"/>
        </w:rPr>
        <w:t>Expresamente se advierte que la declaración de inexequibilidad de los artículos 39 y 48 no implica la desaparición de la afinidad extramatrimonial, es decir, la originada en la unión permanente a que se refieren los artículos 126 y 179 de la Constitución, entre otros. Para todos los efectos legales, la afinidad extramatrimonial sigue existiendo</w:t>
      </w:r>
      <w:r w:rsidRPr="00FD7A7A">
        <w:rPr>
          <w:rFonts w:ascii="Arial" w:eastAsia="Calibri" w:hAnsi="Arial" w:cs="Arial"/>
          <w:sz w:val="21"/>
          <w:szCs w:val="21"/>
          <w:vertAlign w:val="superscript"/>
          <w:lang w:val="es-ES_tradnl"/>
        </w:rPr>
        <w:footnoteReference w:id="34"/>
      </w:r>
      <w:r w:rsidRPr="00FD7A7A">
        <w:rPr>
          <w:rFonts w:ascii="Arial" w:eastAsia="Calibri" w:hAnsi="Arial" w:cs="Arial"/>
          <w:sz w:val="21"/>
          <w:szCs w:val="21"/>
          <w:lang w:val="es-ES_tradnl"/>
        </w:rPr>
        <w:t>”.</w:t>
      </w:r>
    </w:p>
    <w:p w14:paraId="71F4A86D" w14:textId="77777777" w:rsidR="00D772C9" w:rsidRPr="00FD7A7A" w:rsidRDefault="00D772C9" w:rsidP="00D772C9">
      <w:pPr>
        <w:spacing w:after="0" w:line="276" w:lineRule="auto"/>
        <w:ind w:left="709" w:right="709"/>
        <w:jc w:val="both"/>
        <w:rPr>
          <w:rFonts w:ascii="Arial" w:eastAsia="Calibri" w:hAnsi="Arial" w:cs="Arial"/>
          <w:lang w:val="es-ES_tradnl"/>
        </w:rPr>
      </w:pPr>
    </w:p>
    <w:p w14:paraId="51EE4AC4" w14:textId="77777777" w:rsidR="00D772C9" w:rsidRPr="00FD7A7A" w:rsidRDefault="00D772C9" w:rsidP="00D772C9">
      <w:pPr>
        <w:spacing w:after="0" w:line="276" w:lineRule="auto"/>
        <w:jc w:val="both"/>
        <w:rPr>
          <w:rFonts w:ascii="Arial" w:eastAsia="Calibri" w:hAnsi="Arial" w:cs="Arial"/>
          <w:lang w:val="es-ES_tradnl"/>
        </w:rPr>
      </w:pPr>
      <w:r w:rsidRPr="00FD7A7A">
        <w:rPr>
          <w:rFonts w:ascii="Arial" w:eastAsia="Calibri" w:hAnsi="Arial" w:cs="Arial"/>
          <w:lang w:val="es-ES_tradnl"/>
        </w:rPr>
        <w:tab/>
        <w:t>En cuanto a los grados del parentesco se refiere, ya sea de consanguinidad o de afinidad</w:t>
      </w:r>
      <w:r w:rsidRPr="00FD7A7A">
        <w:rPr>
          <w:rFonts w:ascii="Arial" w:eastAsia="Calibri" w:hAnsi="Arial" w:cs="Arial"/>
          <w:vertAlign w:val="superscript"/>
          <w:lang w:val="es-ES_tradnl"/>
        </w:rPr>
        <w:footnoteReference w:id="35"/>
      </w:r>
      <w:r w:rsidRPr="00FD7A7A">
        <w:rPr>
          <w:rFonts w:ascii="Arial" w:eastAsia="Calibri" w:hAnsi="Arial" w:cs="Arial"/>
          <w:lang w:val="es-ES_tradnl"/>
        </w:rPr>
        <w:t>, estos se cuentan en consideración al número de generaciones existentes entre las personas. De esta 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w:t>
      </w:r>
    </w:p>
    <w:p w14:paraId="3DB73412" w14:textId="77777777" w:rsidR="00D772C9" w:rsidRPr="00FD7A7A" w:rsidRDefault="00D772C9" w:rsidP="00D772C9">
      <w:pPr>
        <w:spacing w:before="120" w:after="0" w:line="276" w:lineRule="auto"/>
        <w:ind w:firstLine="709"/>
        <w:jc w:val="both"/>
        <w:rPr>
          <w:rFonts w:ascii="Arial" w:eastAsia="Calibri" w:hAnsi="Arial" w:cs="Arial"/>
          <w:lang w:val="es-ES_tradnl" w:eastAsia="es-CO"/>
        </w:rPr>
      </w:pPr>
      <w:r w:rsidRPr="00FD7A7A">
        <w:rPr>
          <w:rFonts w:ascii="Arial" w:eastAsia="Calibri" w:hAnsi="Arial" w:cs="Arial"/>
          <w:lang w:val="es-ES_tradnl" w:eastAsia="es-CO"/>
        </w:rPr>
        <w:t xml:space="preserve">La Corte Constitucional justifica estas inhabilidades en la medida que garantizan la competencia en igualdad de oportunidades para los proponentes que participan en los Procesos de Contratación, así como la selección objetiva del contratista que se traduce en la obtención de mejores condiciones en la celebración del negocio jurídico propuesto por la Entidad Estatal contratante, materializándose los fines de la contratación estatal, especialmente, la satisfacción del interés general. </w:t>
      </w:r>
      <w:r w:rsidRPr="00FD7A7A">
        <w:rPr>
          <w:rFonts w:ascii="Arial" w:eastAsia="Calibri" w:hAnsi="Arial" w:cs="Arial"/>
          <w:i/>
          <w:iCs/>
          <w:lang w:val="es-ES_tradnl" w:eastAsia="es-CO"/>
        </w:rPr>
        <w:t>Contrario sensu</w:t>
      </w:r>
      <w:r w:rsidRPr="00FD7A7A">
        <w:rPr>
          <w:rFonts w:ascii="Arial" w:eastAsia="Calibri" w:hAnsi="Arial" w:cs="Arial"/>
          <w:lang w:val="es-ES_tradnl" w:eastAsia="es-CO"/>
        </w:rPr>
        <w:t>, en virtud de la lealtad e intimidad propias de las relaciones familiares, la participación en Procesos de Contratación de personas unidas por vínculos familiares frustran la igualdad de oportunidades entre los participantes, así como la obtención de mejores condiciones de contratación para el Estado, pues los miembros de una misma familia pueden concertar entre sí con el propósito de hacerse al contrato y obtener un provecho económico, en perjuicio tanto de los demás participantes como del Estado, y en contravía de los principios que rigen la contratación pública y la función administrativa, especialmente, los de transparencia y moralidad. Por esas razones, la jurisprudencia explica que:</w:t>
      </w:r>
    </w:p>
    <w:p w14:paraId="38555B79" w14:textId="77777777" w:rsidR="00D772C9" w:rsidRPr="00FD7A7A" w:rsidRDefault="00D772C9" w:rsidP="00D772C9">
      <w:pPr>
        <w:spacing w:after="0" w:line="240" w:lineRule="auto"/>
        <w:ind w:left="709" w:right="709"/>
        <w:jc w:val="both"/>
        <w:rPr>
          <w:rFonts w:ascii="Arial" w:eastAsia="Times New Roman" w:hAnsi="Arial" w:cs="Arial"/>
          <w:sz w:val="21"/>
          <w:szCs w:val="21"/>
          <w:lang w:eastAsia="es-CO"/>
        </w:rPr>
      </w:pPr>
    </w:p>
    <w:p w14:paraId="3DA30EFE" w14:textId="77777777" w:rsidR="00D772C9" w:rsidRPr="00FD7A7A" w:rsidRDefault="00D772C9" w:rsidP="00D772C9">
      <w:pPr>
        <w:spacing w:after="0" w:line="240" w:lineRule="auto"/>
        <w:ind w:left="709" w:right="709"/>
        <w:jc w:val="both"/>
        <w:rPr>
          <w:rFonts w:ascii="Arial" w:eastAsia="Times New Roman" w:hAnsi="Arial" w:cs="Arial"/>
          <w:sz w:val="21"/>
          <w:szCs w:val="21"/>
          <w:lang w:eastAsia="es-CO"/>
        </w:rPr>
      </w:pPr>
      <w:r w:rsidRPr="00FD7A7A">
        <w:rPr>
          <w:rFonts w:ascii="Arial" w:eastAsia="Times New Roman" w:hAnsi="Arial" w:cs="Arial"/>
          <w:sz w:val="21"/>
          <w:szCs w:val="21"/>
          <w:lang w:eastAsia="es-CO"/>
        </w:rPr>
        <w:t xml:space="preserve">“Concluye la Corte que dado que los intereses de los miembros de una familia, tienen una alta probabilidad de incidir negativamente en la consecución de los objetivos que el Estado se traza al abrir una licitación o concurso, vale decir, obtener las mejores condiciones y promover al máximo la igualdad de acceso de </w:t>
      </w:r>
      <w:r w:rsidRPr="00FD7A7A">
        <w:rPr>
          <w:rFonts w:ascii="Arial" w:eastAsia="Times New Roman" w:hAnsi="Arial" w:cs="Arial"/>
          <w:sz w:val="21"/>
          <w:szCs w:val="21"/>
          <w:lang w:eastAsia="es-CO"/>
        </w:rPr>
        <w:lastRenderedPageBreak/>
        <w:t>los particulares, se justifica que en este caso, en razón del interés general, se dicte una regla que restrinja su participación”</w:t>
      </w:r>
      <w:r w:rsidRPr="00FD7A7A">
        <w:rPr>
          <w:rFonts w:ascii="Arial" w:eastAsia="Calibri" w:hAnsi="Arial" w:cs="Arial"/>
          <w:vertAlign w:val="superscript"/>
          <w:lang w:val="es-ES_tradnl" w:eastAsia="es-CO"/>
        </w:rPr>
        <w:t xml:space="preserve"> </w:t>
      </w:r>
      <w:r w:rsidRPr="00FD7A7A">
        <w:rPr>
          <w:rFonts w:ascii="Arial" w:eastAsia="Calibri" w:hAnsi="Arial" w:cs="Arial"/>
          <w:vertAlign w:val="superscript"/>
          <w:lang w:val="es-ES_tradnl" w:eastAsia="es-CO"/>
        </w:rPr>
        <w:footnoteReference w:id="36"/>
      </w:r>
      <w:r w:rsidRPr="00FD7A7A">
        <w:rPr>
          <w:rFonts w:ascii="Arial" w:eastAsia="Times New Roman" w:hAnsi="Arial" w:cs="Arial"/>
          <w:sz w:val="21"/>
          <w:szCs w:val="21"/>
          <w:lang w:eastAsia="es-CO"/>
        </w:rPr>
        <w:t>.</w:t>
      </w:r>
    </w:p>
    <w:p w14:paraId="3382FE8A" w14:textId="77777777" w:rsidR="00D772C9" w:rsidRPr="00FD7A7A" w:rsidRDefault="00D772C9" w:rsidP="00D772C9">
      <w:pPr>
        <w:spacing w:after="0"/>
        <w:ind w:firstLine="709"/>
        <w:jc w:val="both"/>
        <w:rPr>
          <w:rFonts w:ascii="Arial" w:eastAsia="Calibri" w:hAnsi="Arial" w:cs="Arial"/>
          <w:lang w:val="es-ES_tradnl"/>
        </w:rPr>
      </w:pPr>
    </w:p>
    <w:p w14:paraId="436BCCEC" w14:textId="77777777" w:rsidR="00D772C9" w:rsidRDefault="00D772C9" w:rsidP="00D772C9">
      <w:pPr>
        <w:spacing w:after="120" w:line="276" w:lineRule="auto"/>
        <w:ind w:firstLine="709"/>
        <w:jc w:val="both"/>
        <w:rPr>
          <w:rFonts w:ascii="Arial" w:eastAsia="Calibri" w:hAnsi="Arial" w:cs="Arial"/>
          <w:lang w:val="es-ES_tradnl"/>
        </w:rPr>
      </w:pPr>
      <w:r w:rsidRPr="00FD7A7A">
        <w:rPr>
          <w:rFonts w:ascii="Arial" w:eastAsia="Calibri" w:hAnsi="Arial" w:cs="Arial"/>
          <w:lang w:val="es-ES_tradnl"/>
        </w:rPr>
        <w:t>A su vez, el Consejo de Estado reconoce que, si bien estas inhabilidades son una limitación a la libertad negocial de las personas, las mismas se justifican en la medida que previene la utilización de factores de poder, consecuencia de relaciones familiares, cuyo propósito es obtener un provecho económico individual, en perjuicio del interés general que prevalece en el ejercicio de la función pública</w:t>
      </w:r>
      <w:r w:rsidRPr="00FD7A7A">
        <w:rPr>
          <w:rFonts w:ascii="Arial" w:eastAsia="Calibri" w:hAnsi="Arial" w:cs="Arial"/>
          <w:vertAlign w:val="superscript"/>
          <w:lang w:val="es-ES_tradnl"/>
        </w:rPr>
        <w:footnoteReference w:id="37"/>
      </w:r>
      <w:r w:rsidRPr="00FD7A7A">
        <w:rPr>
          <w:rFonts w:ascii="Arial" w:eastAsia="Calibri" w:hAnsi="Arial" w:cs="Arial"/>
          <w:lang w:val="es-ES_tradnl"/>
        </w:rPr>
        <w:t>.</w:t>
      </w:r>
      <w:r w:rsidRPr="00FD7A7A">
        <w:rPr>
          <w:rFonts w:ascii="Arial" w:eastAsia="Calibri" w:hAnsi="Arial" w:cs="Arial"/>
          <w:lang w:val="es-ES_tradnl"/>
        </w:rPr>
        <w:tab/>
      </w:r>
    </w:p>
    <w:p w14:paraId="19A15CF1" w14:textId="77777777" w:rsidR="00D772C9" w:rsidRPr="00270A52" w:rsidRDefault="00D772C9" w:rsidP="00D772C9">
      <w:pPr>
        <w:spacing w:after="120" w:line="276" w:lineRule="auto"/>
        <w:ind w:firstLine="709"/>
        <w:jc w:val="both"/>
        <w:rPr>
          <w:rFonts w:ascii="Arial" w:eastAsia="Calibri" w:hAnsi="Arial" w:cs="Arial"/>
          <w:lang w:val="es-MX"/>
        </w:rPr>
      </w:pPr>
      <w:r w:rsidRPr="00FD7A7A">
        <w:rPr>
          <w:rFonts w:ascii="Arial" w:eastAsia="Calibri" w:hAnsi="Arial" w:cs="Arial"/>
          <w:lang w:val="es-ES_tradnl"/>
        </w:rPr>
        <w:t xml:space="preserve">Ahora bien, teniendo en cuenta el objeto de la consulta, </w:t>
      </w:r>
      <w:r>
        <w:rPr>
          <w:rFonts w:ascii="Arial" w:eastAsia="Calibri" w:hAnsi="Arial" w:cs="Arial"/>
          <w:lang w:val="es-ES_tradnl"/>
        </w:rPr>
        <w:t>resulta importante aclarar</w:t>
      </w:r>
      <w:r w:rsidRPr="00C87E5C">
        <w:rPr>
          <w:rFonts w:ascii="Arial" w:eastAsia="Calibri" w:hAnsi="Arial" w:cs="Arial"/>
          <w:lang w:val="es-ES_tradnl"/>
        </w:rPr>
        <w:t xml:space="preserve"> </w:t>
      </w:r>
      <w:r>
        <w:rPr>
          <w:rFonts w:ascii="Arial" w:eastAsia="Calibri" w:hAnsi="Arial" w:cs="Arial"/>
          <w:lang w:val="es-ES_tradnl"/>
        </w:rPr>
        <w:t xml:space="preserve">en lo concerniente a los proponentes plurales, que el artículo </w:t>
      </w:r>
      <w:r w:rsidRPr="00270A52">
        <w:rPr>
          <w:rFonts w:ascii="Arial" w:eastAsia="Calibri" w:hAnsi="Arial" w:cs="Arial"/>
          <w:lang w:val="es-MX"/>
        </w:rPr>
        <w:t>7 de la Ley 80 de 1993 define al consorcio y a la unión temporal como la unión de dos o más personas que presentan la misma propuesta para la adjudicación, celebración y ejecución de un contrato, pero su responsabilidad por las obligaciones derivadas de la propuesta y el contrato es diferente</w:t>
      </w:r>
      <w:r w:rsidRPr="00270A52">
        <w:rPr>
          <w:rFonts w:ascii="Arial" w:eastAsia="Calibri" w:hAnsi="Arial" w:cs="Arial"/>
          <w:vertAlign w:val="superscript"/>
          <w:lang w:val="es-MX"/>
        </w:rPr>
        <w:footnoteReference w:id="38"/>
      </w:r>
      <w:r w:rsidRPr="00270A52">
        <w:rPr>
          <w:rFonts w:ascii="Arial" w:eastAsia="Calibri" w:hAnsi="Arial" w:cs="Arial"/>
          <w:lang w:val="es-MX"/>
        </w:rPr>
        <w:t>. Por su parte, la Corte Constitucional señala que el consorcio es una figura propia del derecho privado, utilizado como un instrumento de cooperación entre empresas, que les permita unir esfuerzos para la celebración y ejecución de un contrato con el Estado, sin que por ello pierdan su individualidad jurídica</w:t>
      </w:r>
      <w:r w:rsidRPr="00270A52">
        <w:rPr>
          <w:rFonts w:ascii="Arial" w:eastAsia="Calibri" w:hAnsi="Arial" w:cs="Arial"/>
          <w:vertAlign w:val="superscript"/>
          <w:lang w:val="es-MX"/>
        </w:rPr>
        <w:footnoteReference w:id="39"/>
      </w:r>
      <w:r w:rsidRPr="00270A52">
        <w:rPr>
          <w:rFonts w:ascii="Arial" w:eastAsia="Calibri" w:hAnsi="Arial" w:cs="Arial"/>
          <w:lang w:val="es-MX"/>
        </w:rPr>
        <w:t>.</w:t>
      </w:r>
    </w:p>
    <w:p w14:paraId="5E774FE8" w14:textId="77777777" w:rsidR="00D772C9" w:rsidRPr="00270A52" w:rsidRDefault="00D772C9" w:rsidP="00D772C9">
      <w:pPr>
        <w:spacing w:before="120" w:after="120" w:line="276" w:lineRule="auto"/>
        <w:ind w:firstLine="709"/>
        <w:jc w:val="both"/>
        <w:rPr>
          <w:rFonts w:ascii="Arial" w:eastAsia="Calibri" w:hAnsi="Arial" w:cs="Arial"/>
          <w:lang w:val="es-MX"/>
        </w:rPr>
      </w:pPr>
      <w:r w:rsidRPr="00270A52">
        <w:rPr>
          <w:rFonts w:ascii="Arial" w:eastAsia="Calibri" w:hAnsi="Arial" w:cs="Arial"/>
          <w:lang w:val="es-MX"/>
        </w:rPr>
        <w:t xml:space="preserve">De esta manera, la Ley 80 de 1993 permite que dos o más personas naturales o jurídicas se agrupen para la presentación de una propuesta y la celebración de un contrato con una </w:t>
      </w:r>
      <w:r>
        <w:rPr>
          <w:rFonts w:ascii="Arial" w:eastAsia="Calibri" w:hAnsi="Arial" w:cs="Arial"/>
          <w:lang w:val="es-MX"/>
        </w:rPr>
        <w:t>E</w:t>
      </w:r>
      <w:r w:rsidRPr="00270A52">
        <w:rPr>
          <w:rFonts w:ascii="Arial" w:eastAsia="Calibri" w:hAnsi="Arial" w:cs="Arial"/>
          <w:lang w:val="es-MX"/>
        </w:rPr>
        <w:t xml:space="preserve">ntidad </w:t>
      </w:r>
      <w:r>
        <w:rPr>
          <w:rFonts w:ascii="Arial" w:eastAsia="Calibri" w:hAnsi="Arial" w:cs="Arial"/>
          <w:lang w:val="es-MX"/>
        </w:rPr>
        <w:t>E</w:t>
      </w:r>
      <w:r w:rsidRPr="00270A52">
        <w:rPr>
          <w:rFonts w:ascii="Arial" w:eastAsia="Calibri" w:hAnsi="Arial" w:cs="Arial"/>
          <w:lang w:val="es-MX"/>
        </w:rPr>
        <w:t>statal, conservando su individualidad jurídica, es decir que el proponente plural no es una persona jurídica, y los requisitos habilitantes deben ser evaluados respecto de cada miembro, sin que ello desconozca la finalidad de esta figura, que es unir esfuerzos para la ejecución del objeto contractual.</w:t>
      </w:r>
    </w:p>
    <w:p w14:paraId="224166A0" w14:textId="77777777" w:rsidR="00D772C9" w:rsidRPr="00CD7909" w:rsidRDefault="00D772C9" w:rsidP="00D772C9">
      <w:pPr>
        <w:spacing w:before="120" w:after="0" w:line="276" w:lineRule="auto"/>
        <w:ind w:firstLine="709"/>
        <w:jc w:val="both"/>
        <w:rPr>
          <w:rFonts w:ascii="Arial" w:eastAsia="Calibri" w:hAnsi="Arial" w:cs="Arial"/>
          <w:lang w:val="es-MX"/>
        </w:rPr>
      </w:pPr>
      <w:r w:rsidRPr="00CD7909">
        <w:rPr>
          <w:rFonts w:ascii="Arial" w:eastAsia="Calibri" w:hAnsi="Arial" w:cs="Arial"/>
          <w:lang w:val="es-MX"/>
        </w:rPr>
        <w:t xml:space="preserve">Así pues, respecto de la capacidad jurídica, que es un requisito habilitante, de acuerdo con la Ley 1150 de 2007, y que se relaciona directamente con las inhabilidades e incompatibilidades, teniendo en cuenta que son un límite a la capacidad, que permite ofertar y contratar, esta debe ser evaluada respecto de cada miembro del proponente plural. En consecuencia, </w:t>
      </w:r>
      <w:bookmarkStart w:id="15" w:name="_Hlk21441913"/>
      <w:r w:rsidRPr="00CD7909">
        <w:rPr>
          <w:rFonts w:ascii="Arial" w:eastAsia="Calibri" w:hAnsi="Arial" w:cs="Arial"/>
          <w:lang w:val="es-MX"/>
        </w:rPr>
        <w:t>el Consejo de Estado, Sección Tercera, estableció lo que sucede con un consorcio o unión temporal cuando uno de sus miembros está inhabilitado, es decir que no tenga capacidad para presentar oferta y/o contratar:</w:t>
      </w:r>
    </w:p>
    <w:p w14:paraId="420ADED1" w14:textId="77777777" w:rsidR="00D772C9" w:rsidRPr="00CD7909" w:rsidRDefault="00D772C9" w:rsidP="00D772C9">
      <w:pPr>
        <w:spacing w:after="0" w:line="276" w:lineRule="auto"/>
        <w:jc w:val="both"/>
        <w:rPr>
          <w:rFonts w:ascii="Arial" w:eastAsia="Calibri" w:hAnsi="Arial" w:cs="Arial"/>
          <w:lang w:val="es-MX"/>
        </w:rPr>
      </w:pPr>
    </w:p>
    <w:p w14:paraId="3612D7D6" w14:textId="77777777" w:rsidR="00D772C9" w:rsidRPr="00CD7909" w:rsidRDefault="00D772C9" w:rsidP="00D772C9">
      <w:pPr>
        <w:spacing w:after="120" w:line="240" w:lineRule="auto"/>
        <w:ind w:left="709" w:right="709"/>
        <w:jc w:val="both"/>
        <w:rPr>
          <w:rFonts w:ascii="Arial" w:eastAsia="Calibri" w:hAnsi="Arial" w:cs="Arial"/>
          <w:sz w:val="21"/>
          <w:szCs w:val="21"/>
          <w:lang w:val="es-MX"/>
        </w:rPr>
      </w:pPr>
      <w:r>
        <w:rPr>
          <w:rFonts w:ascii="Arial" w:eastAsia="Calibri" w:hAnsi="Arial" w:cs="Arial"/>
          <w:sz w:val="21"/>
          <w:szCs w:val="21"/>
          <w:lang w:val="es-MX"/>
        </w:rPr>
        <w:t>“</w:t>
      </w:r>
      <w:r w:rsidRPr="00CD7909">
        <w:rPr>
          <w:rFonts w:ascii="Arial" w:eastAsia="Calibri" w:hAnsi="Arial" w:cs="Arial"/>
          <w:sz w:val="21"/>
          <w:szCs w:val="21"/>
          <w:lang w:val="es-MX"/>
        </w:rPr>
        <w:t>Toda vez que el consorcio o la unión temporal no constituye una persona diferente de los miembros que lo conforman, no puede afirmarse, como lo hace la entidad pública demandada, que la inhabilidad que recaía sobre el señor Héctor Tangarife no afectaba al consorcio, toda vez que la capacidad legal para presentar propuestas y para celebrar contratos se predica de todos y cada uno de sus miembros, por cuanto la participación en la licitación mediante la figura del consorcio no puede servir de pretexto para esconder irregularidades.</w:t>
      </w:r>
    </w:p>
    <w:p w14:paraId="0BEEF367" w14:textId="77777777" w:rsidR="00D772C9" w:rsidRPr="00CD7909" w:rsidRDefault="00D772C9" w:rsidP="00D772C9">
      <w:pPr>
        <w:spacing w:after="0" w:line="240" w:lineRule="auto"/>
        <w:ind w:left="709" w:right="709"/>
        <w:jc w:val="both"/>
        <w:rPr>
          <w:rFonts w:ascii="Arial" w:eastAsia="Calibri" w:hAnsi="Arial" w:cs="Arial"/>
          <w:sz w:val="21"/>
          <w:szCs w:val="21"/>
          <w:lang w:val="es-MX"/>
        </w:rPr>
      </w:pPr>
      <w:r w:rsidRPr="00CD7909">
        <w:rPr>
          <w:rFonts w:ascii="Arial" w:eastAsia="Calibri" w:hAnsi="Arial" w:cs="Arial"/>
          <w:sz w:val="21"/>
          <w:szCs w:val="21"/>
          <w:lang w:val="es-MX"/>
        </w:rPr>
        <w:t>Cabe advertir que en tanto alguno de los miembros de un consorcio o de una unión temporal se encuentre en situación de inhabilidad o de incompatibilidad, el consorcio o la unión temporal no puede ser proponente o contratista del Estado</w:t>
      </w:r>
      <w:r>
        <w:rPr>
          <w:rFonts w:ascii="Arial" w:eastAsia="Calibri" w:hAnsi="Arial" w:cs="Arial"/>
          <w:sz w:val="21"/>
          <w:szCs w:val="21"/>
          <w:lang w:val="es-MX"/>
        </w:rPr>
        <w:t>”</w:t>
      </w:r>
      <w:r w:rsidRPr="00CD7909">
        <w:rPr>
          <w:rFonts w:ascii="Arial" w:eastAsia="Calibri" w:hAnsi="Arial" w:cs="Arial"/>
          <w:sz w:val="21"/>
          <w:szCs w:val="21"/>
          <w:vertAlign w:val="superscript"/>
          <w:lang w:val="es-MX"/>
        </w:rPr>
        <w:footnoteReference w:id="40"/>
      </w:r>
      <w:r w:rsidRPr="00CD7909">
        <w:rPr>
          <w:rFonts w:ascii="Arial" w:eastAsia="Calibri" w:hAnsi="Arial" w:cs="Arial"/>
          <w:sz w:val="21"/>
          <w:szCs w:val="21"/>
          <w:lang w:val="es-MX"/>
        </w:rPr>
        <w:t>.</w:t>
      </w:r>
      <w:bookmarkEnd w:id="15"/>
    </w:p>
    <w:p w14:paraId="68FC74E8" w14:textId="77777777" w:rsidR="00D772C9" w:rsidRPr="00CD7909" w:rsidRDefault="00D772C9" w:rsidP="00D772C9">
      <w:pPr>
        <w:spacing w:after="0" w:line="240" w:lineRule="auto"/>
        <w:ind w:left="709" w:right="709"/>
        <w:jc w:val="both"/>
        <w:rPr>
          <w:rFonts w:ascii="Arial" w:eastAsia="Calibri" w:hAnsi="Arial" w:cs="Arial"/>
          <w:lang w:val="es-ES_tradnl"/>
        </w:rPr>
      </w:pPr>
    </w:p>
    <w:p w14:paraId="381DD4DA" w14:textId="77777777" w:rsidR="00D772C9" w:rsidRPr="00CD7909" w:rsidRDefault="00D772C9" w:rsidP="00D772C9">
      <w:pPr>
        <w:spacing w:after="120" w:line="276" w:lineRule="auto"/>
        <w:ind w:firstLine="709"/>
        <w:jc w:val="both"/>
        <w:rPr>
          <w:rFonts w:ascii="Arial" w:eastAsia="Calibri" w:hAnsi="Arial" w:cs="Arial"/>
          <w:lang w:val="es-ES_tradnl"/>
        </w:rPr>
      </w:pPr>
      <w:r>
        <w:rPr>
          <w:rFonts w:ascii="Arial" w:eastAsia="Calibri" w:hAnsi="Arial" w:cs="Arial"/>
          <w:lang w:val="es-ES_tradnl"/>
        </w:rPr>
        <w:t xml:space="preserve">Bajo esa orbita, </w:t>
      </w:r>
      <w:r w:rsidRPr="00CD7909">
        <w:rPr>
          <w:rFonts w:ascii="Arial" w:eastAsia="Calibri" w:hAnsi="Arial" w:cs="Arial"/>
          <w:lang w:val="es-ES_tradnl"/>
        </w:rPr>
        <w:t xml:space="preserve">se precisa que la citada inhabilidad se predica de las personas que ostentan vínculos en los términos expuestos y que presenten formalmente ofertas en un proceso de contratación después que lo ha hecho su esposo, esposa, compañero(a) permanente o algún pariente hasta el segundo grado de consanguinidad o afinidad. Es por eso que en el artículo 2.2.1.1.2.2.5 del Decreto 1082 de 2015, se dispuso que la </w:t>
      </w:r>
      <w:r>
        <w:rPr>
          <w:rFonts w:ascii="Arial" w:eastAsia="Calibri" w:hAnsi="Arial" w:cs="Arial"/>
          <w:lang w:val="es-ES_tradnl"/>
        </w:rPr>
        <w:t>E</w:t>
      </w:r>
      <w:r w:rsidRPr="00CD7909">
        <w:rPr>
          <w:rFonts w:ascii="Arial" w:eastAsia="Calibri" w:hAnsi="Arial" w:cs="Arial"/>
          <w:lang w:val="es-ES_tradnl"/>
        </w:rPr>
        <w:t xml:space="preserve">ntidad </w:t>
      </w:r>
      <w:r>
        <w:rPr>
          <w:rFonts w:ascii="Arial" w:eastAsia="Calibri" w:hAnsi="Arial" w:cs="Arial"/>
          <w:lang w:val="es-ES_tradnl"/>
        </w:rPr>
        <w:t>E</w:t>
      </w:r>
      <w:r w:rsidRPr="00CD7909">
        <w:rPr>
          <w:rFonts w:ascii="Arial" w:eastAsia="Calibri" w:hAnsi="Arial" w:cs="Arial"/>
          <w:lang w:val="es-ES_tradnl"/>
        </w:rPr>
        <w:t xml:space="preserve">statal contratante dejará constancia de la fecha y hora en que recibió las correspondientes ofertas, para establecer cuál fue la primera en el tiempo y/o cual(es) se encuentra(n) inhabilitada(s) acorde al literal g) </w:t>
      </w:r>
      <w:r>
        <w:rPr>
          <w:rFonts w:ascii="Arial" w:eastAsia="Calibri" w:hAnsi="Arial" w:cs="Arial"/>
          <w:lang w:val="es-ES_tradnl"/>
        </w:rPr>
        <w:t xml:space="preserve">y h) </w:t>
      </w:r>
      <w:r w:rsidRPr="00CD7909">
        <w:rPr>
          <w:rFonts w:ascii="Arial" w:eastAsia="Calibri" w:hAnsi="Arial" w:cs="Arial"/>
          <w:lang w:val="es-ES_tradnl"/>
        </w:rPr>
        <w:t>del numeral 1 del artículo 8 de la Ley 80 de 1993.</w:t>
      </w:r>
    </w:p>
    <w:p w14:paraId="6B7B909A" w14:textId="77777777" w:rsidR="00D772C9" w:rsidRPr="00CD7909" w:rsidRDefault="00D772C9" w:rsidP="00D772C9">
      <w:pPr>
        <w:spacing w:before="120" w:after="120" w:line="276" w:lineRule="auto"/>
        <w:ind w:firstLine="709"/>
        <w:jc w:val="both"/>
        <w:rPr>
          <w:rFonts w:ascii="Arial" w:eastAsia="Calibri" w:hAnsi="Arial" w:cs="Arial"/>
          <w:lang w:val="es-ES_tradnl"/>
        </w:rPr>
      </w:pPr>
      <w:r w:rsidRPr="00CD7909">
        <w:rPr>
          <w:rFonts w:ascii="Arial" w:eastAsia="Calibri" w:hAnsi="Arial" w:cs="Arial"/>
          <w:lang w:val="es-ES_tradnl"/>
        </w:rPr>
        <w:t xml:space="preserve">En conclusión, </w:t>
      </w:r>
      <w:bookmarkStart w:id="16" w:name="_Hlk143237097"/>
      <w:r w:rsidRPr="00CD7909">
        <w:rPr>
          <w:rFonts w:ascii="Arial" w:eastAsia="Calibri" w:hAnsi="Arial" w:cs="Arial"/>
          <w:lang w:val="es-ES_tradnl"/>
        </w:rPr>
        <w:t>debido a que el régimen de inhabilidades se interpreta de manera restrictiva, la</w:t>
      </w:r>
      <w:r>
        <w:rPr>
          <w:rFonts w:ascii="Arial" w:eastAsia="Calibri" w:hAnsi="Arial" w:cs="Arial"/>
          <w:lang w:val="es-ES_tradnl"/>
        </w:rPr>
        <w:t>s</w:t>
      </w:r>
      <w:r w:rsidRPr="00CD7909">
        <w:rPr>
          <w:rFonts w:ascii="Arial" w:eastAsia="Calibri" w:hAnsi="Arial" w:cs="Arial"/>
          <w:lang w:val="es-ES_tradnl"/>
        </w:rPr>
        <w:t xml:space="preserve"> causal</w:t>
      </w:r>
      <w:r>
        <w:rPr>
          <w:rFonts w:ascii="Arial" w:eastAsia="Calibri" w:hAnsi="Arial" w:cs="Arial"/>
          <w:lang w:val="es-ES_tradnl"/>
        </w:rPr>
        <w:t>es</w:t>
      </w:r>
      <w:r w:rsidRPr="00CD7909">
        <w:rPr>
          <w:rFonts w:ascii="Arial" w:eastAsia="Calibri" w:hAnsi="Arial" w:cs="Arial"/>
          <w:lang w:val="es-ES_tradnl"/>
        </w:rPr>
        <w:t xml:space="preserve"> de inhabilidad dispuesta</w:t>
      </w:r>
      <w:r>
        <w:rPr>
          <w:rFonts w:ascii="Arial" w:eastAsia="Calibri" w:hAnsi="Arial" w:cs="Arial"/>
          <w:lang w:val="es-ES_tradnl"/>
        </w:rPr>
        <w:t>s</w:t>
      </w:r>
      <w:r w:rsidRPr="00CD7909">
        <w:rPr>
          <w:rFonts w:ascii="Arial" w:eastAsia="Calibri" w:hAnsi="Arial" w:cs="Arial"/>
          <w:lang w:val="es-ES_tradnl"/>
        </w:rPr>
        <w:t xml:space="preserve"> en el literal g) </w:t>
      </w:r>
      <w:r>
        <w:rPr>
          <w:rFonts w:ascii="Arial" w:eastAsia="Calibri" w:hAnsi="Arial" w:cs="Arial"/>
          <w:lang w:val="es-ES_tradnl"/>
        </w:rPr>
        <w:t xml:space="preserve">y h) </w:t>
      </w:r>
      <w:r w:rsidRPr="00CD7909">
        <w:rPr>
          <w:rFonts w:ascii="Arial" w:eastAsia="Calibri" w:hAnsi="Arial" w:cs="Arial"/>
          <w:lang w:val="es-ES_tradnl"/>
        </w:rPr>
        <w:t>del numeral 1 del artículo 8 de la Ley 80 de 1993 se refiere solamente de personas naturales, sin que exista posibilidad de extender su aplicación a personas jurídicas, entendidas estas últimas como sujetos capaces de ejercer derechos y contraer obligaciones</w:t>
      </w:r>
      <w:r w:rsidRPr="00CD7909">
        <w:rPr>
          <w:rFonts w:ascii="Arial" w:eastAsia="Calibri" w:hAnsi="Arial" w:cs="Arial"/>
          <w:vertAlign w:val="superscript"/>
          <w:lang w:val="es-ES_tradnl"/>
        </w:rPr>
        <w:footnoteReference w:id="41"/>
      </w:r>
      <w:r w:rsidRPr="00CD7909">
        <w:rPr>
          <w:rFonts w:ascii="Arial" w:eastAsia="Calibri" w:hAnsi="Arial" w:cs="Arial"/>
          <w:lang w:val="es-ES_tradnl"/>
        </w:rPr>
        <w:t>, cuya capacidad está determinada por su objeto social</w:t>
      </w:r>
      <w:r w:rsidRPr="00CD7909">
        <w:rPr>
          <w:rFonts w:ascii="Arial" w:eastAsia="Calibri" w:hAnsi="Arial" w:cs="Arial"/>
          <w:vertAlign w:val="superscript"/>
          <w:lang w:val="es-ES_tradnl"/>
        </w:rPr>
        <w:footnoteReference w:id="42"/>
      </w:r>
      <w:r w:rsidRPr="00CD7909">
        <w:rPr>
          <w:rFonts w:ascii="Arial" w:eastAsia="Calibri" w:hAnsi="Arial" w:cs="Arial"/>
          <w:lang w:val="es-ES_tradnl"/>
        </w:rPr>
        <w:t>.</w:t>
      </w:r>
    </w:p>
    <w:p w14:paraId="7E6742E0" w14:textId="77777777" w:rsidR="00D772C9" w:rsidRPr="00FD7A7A" w:rsidRDefault="00D772C9" w:rsidP="00D772C9">
      <w:pPr>
        <w:spacing w:before="120" w:after="0" w:line="276" w:lineRule="auto"/>
        <w:ind w:firstLine="709"/>
        <w:jc w:val="both"/>
        <w:rPr>
          <w:rFonts w:ascii="Arial" w:eastAsia="Calibri" w:hAnsi="Arial" w:cs="Arial"/>
          <w:lang w:val="es-ES_tradnl"/>
        </w:rPr>
      </w:pPr>
      <w:r w:rsidRPr="00CD7909">
        <w:rPr>
          <w:rFonts w:ascii="Arial" w:eastAsia="Calibri" w:hAnsi="Arial" w:cs="Arial"/>
          <w:lang w:val="es-ES_tradnl"/>
        </w:rPr>
        <w:t>De igual manera, esa</w:t>
      </w:r>
      <w:r>
        <w:rPr>
          <w:rFonts w:ascii="Arial" w:eastAsia="Calibri" w:hAnsi="Arial" w:cs="Arial"/>
          <w:lang w:val="es-ES_tradnl"/>
        </w:rPr>
        <w:t>s</w:t>
      </w:r>
      <w:r w:rsidRPr="00CD7909">
        <w:rPr>
          <w:rFonts w:ascii="Arial" w:eastAsia="Calibri" w:hAnsi="Arial" w:cs="Arial"/>
          <w:lang w:val="es-ES_tradnl"/>
        </w:rPr>
        <w:t xml:space="preserve"> causal</w:t>
      </w:r>
      <w:r>
        <w:rPr>
          <w:rFonts w:ascii="Arial" w:eastAsia="Calibri" w:hAnsi="Arial" w:cs="Arial"/>
          <w:lang w:val="es-ES_tradnl"/>
        </w:rPr>
        <w:t>es</w:t>
      </w:r>
      <w:r w:rsidRPr="00CD7909">
        <w:rPr>
          <w:rFonts w:ascii="Arial" w:eastAsia="Calibri" w:hAnsi="Arial" w:cs="Arial"/>
          <w:lang w:val="es-ES_tradnl"/>
        </w:rPr>
        <w:t xml:space="preserve"> de inhabilidad también se refiere</w:t>
      </w:r>
      <w:r>
        <w:rPr>
          <w:rFonts w:ascii="Arial" w:eastAsia="Calibri" w:hAnsi="Arial" w:cs="Arial"/>
          <w:lang w:val="es-ES_tradnl"/>
        </w:rPr>
        <w:t>n</w:t>
      </w:r>
      <w:r w:rsidRPr="00CD7909">
        <w:rPr>
          <w:rFonts w:ascii="Arial" w:eastAsia="Calibri" w:hAnsi="Arial" w:cs="Arial"/>
          <w:lang w:val="es-ES_tradnl"/>
        </w:rPr>
        <w:t xml:space="preserve"> a las personas naturales que integran</w:t>
      </w:r>
      <w:r>
        <w:rPr>
          <w:rFonts w:ascii="Arial" w:eastAsia="Calibri" w:hAnsi="Arial" w:cs="Arial"/>
          <w:lang w:val="es-ES_tradnl"/>
        </w:rPr>
        <w:t xml:space="preserve"> sociedades distintas a las anónimas,</w:t>
      </w:r>
      <w:r w:rsidRPr="00CD7909">
        <w:rPr>
          <w:rFonts w:ascii="Arial" w:eastAsia="Calibri" w:hAnsi="Arial" w:cs="Arial"/>
          <w:lang w:val="es-ES_tradnl"/>
        </w:rPr>
        <w:t xml:space="preserve"> proponentes plurales, consorcios o uniones temporales, así como la persona designada como representante de estos, ya que estas formas de asociación no constituyen una persona jurídica diferente o independiente los miembros que los integran, lo cual implica, que</w:t>
      </w:r>
      <w:r>
        <w:rPr>
          <w:rFonts w:ascii="Arial" w:eastAsia="Calibri" w:hAnsi="Arial" w:cs="Arial"/>
          <w:lang w:val="es-ES_tradnl"/>
        </w:rPr>
        <w:t xml:space="preserve"> la sociedad distinta a las anónimas,</w:t>
      </w:r>
      <w:r w:rsidRPr="00CD7909">
        <w:rPr>
          <w:rFonts w:ascii="Arial" w:eastAsia="Calibri" w:hAnsi="Arial" w:cs="Arial"/>
          <w:lang w:val="es-ES_tradnl"/>
        </w:rPr>
        <w:t xml:space="preserve"> el consorcio o unión temporal será</w:t>
      </w:r>
      <w:r>
        <w:rPr>
          <w:rFonts w:ascii="Arial" w:eastAsia="Calibri" w:hAnsi="Arial" w:cs="Arial"/>
          <w:lang w:val="es-ES_tradnl"/>
        </w:rPr>
        <w:t xml:space="preserve">n </w:t>
      </w:r>
      <w:r w:rsidRPr="00CD7909">
        <w:rPr>
          <w:rFonts w:ascii="Arial" w:eastAsia="Calibri" w:hAnsi="Arial" w:cs="Arial"/>
          <w:lang w:val="es-ES_tradnl"/>
        </w:rPr>
        <w:t>inhabilitado</w:t>
      </w:r>
      <w:r>
        <w:rPr>
          <w:rFonts w:ascii="Arial" w:eastAsia="Calibri" w:hAnsi="Arial" w:cs="Arial"/>
          <w:lang w:val="es-ES_tradnl"/>
        </w:rPr>
        <w:t>s</w:t>
      </w:r>
      <w:r w:rsidRPr="00CD7909">
        <w:rPr>
          <w:rFonts w:ascii="Arial" w:eastAsia="Calibri" w:hAnsi="Arial" w:cs="Arial"/>
          <w:lang w:val="es-ES_tradnl"/>
        </w:rPr>
        <w:t xml:space="preserve"> en un proceso de contratación, </w:t>
      </w:r>
      <w:r w:rsidRPr="00CD7909">
        <w:rPr>
          <w:rFonts w:ascii="Arial" w:eastAsia="Calibri" w:hAnsi="Arial" w:cs="Arial"/>
          <w:lang w:val="es-ES_tradnl"/>
        </w:rPr>
        <w:lastRenderedPageBreak/>
        <w:t>cuando uno de sus integrantes o representante designado se encuentra en alguna de las relaciones de parentesco determinadas en la</w:t>
      </w:r>
      <w:r>
        <w:rPr>
          <w:rFonts w:ascii="Arial" w:eastAsia="Calibri" w:hAnsi="Arial" w:cs="Arial"/>
          <w:lang w:val="es-ES_tradnl"/>
        </w:rPr>
        <w:t>s</w:t>
      </w:r>
      <w:r w:rsidRPr="00CD7909">
        <w:rPr>
          <w:rFonts w:ascii="Arial" w:eastAsia="Calibri" w:hAnsi="Arial" w:cs="Arial"/>
          <w:lang w:val="es-ES_tradnl"/>
        </w:rPr>
        <w:t xml:space="preserve"> mencionada</w:t>
      </w:r>
      <w:r>
        <w:rPr>
          <w:rFonts w:ascii="Arial" w:eastAsia="Calibri" w:hAnsi="Arial" w:cs="Arial"/>
          <w:lang w:val="es-ES_tradnl"/>
        </w:rPr>
        <w:t>s</w:t>
      </w:r>
      <w:r w:rsidRPr="00CD7909">
        <w:rPr>
          <w:rFonts w:ascii="Arial" w:eastAsia="Calibri" w:hAnsi="Arial" w:cs="Arial"/>
          <w:lang w:val="es-ES_tradnl"/>
        </w:rPr>
        <w:t xml:space="preserve"> disposici</w:t>
      </w:r>
      <w:r>
        <w:rPr>
          <w:rFonts w:ascii="Arial" w:eastAsia="Calibri" w:hAnsi="Arial" w:cs="Arial"/>
          <w:lang w:val="es-ES_tradnl"/>
        </w:rPr>
        <w:t>o</w:t>
      </w:r>
      <w:r w:rsidRPr="00CD7909">
        <w:rPr>
          <w:rFonts w:ascii="Arial" w:eastAsia="Calibri" w:hAnsi="Arial" w:cs="Arial"/>
          <w:lang w:val="es-ES_tradnl"/>
        </w:rPr>
        <w:t>n</w:t>
      </w:r>
      <w:r>
        <w:rPr>
          <w:rFonts w:ascii="Arial" w:eastAsia="Calibri" w:hAnsi="Arial" w:cs="Arial"/>
          <w:lang w:val="es-ES_tradnl"/>
        </w:rPr>
        <w:t>es</w:t>
      </w:r>
      <w:r w:rsidRPr="00CD7909">
        <w:rPr>
          <w:rFonts w:ascii="Arial" w:eastAsia="Calibri" w:hAnsi="Arial" w:cs="Arial"/>
          <w:lang w:val="es-ES_tradnl"/>
        </w:rPr>
        <w:t>.</w:t>
      </w:r>
      <w:bookmarkEnd w:id="16"/>
      <w:r w:rsidRPr="00FD7A7A">
        <w:rPr>
          <w:rFonts w:ascii="Arial" w:eastAsia="Calibri" w:hAnsi="Arial" w:cs="Arial"/>
          <w:lang w:val="es-ES_tradnl"/>
        </w:rPr>
        <w:tab/>
        <w:t xml:space="preserve"> </w:t>
      </w:r>
    </w:p>
    <w:p w14:paraId="5A7D90F9" w14:textId="77777777" w:rsidR="00D772C9" w:rsidRPr="00FD7A7A" w:rsidRDefault="00D772C9" w:rsidP="00D772C9">
      <w:pPr>
        <w:spacing w:before="120" w:after="0" w:line="276" w:lineRule="auto"/>
        <w:jc w:val="both"/>
        <w:rPr>
          <w:rFonts w:ascii="Arial" w:eastAsia="Calibri" w:hAnsi="Arial" w:cs="Arial"/>
          <w:lang w:val="es-ES_tradnl"/>
        </w:rPr>
      </w:pPr>
      <w:r w:rsidRPr="00FD7A7A">
        <w:rPr>
          <w:rFonts w:ascii="Arial" w:eastAsia="Calibri" w:hAnsi="Arial" w:cs="Arial"/>
          <w:lang w:val="es-ES_tradnl"/>
        </w:rPr>
        <w:tab/>
        <w:t>En ese sentido, para acreditar que los proponentes no se encuentran incursos en inhabilidades, es válido que las Entidades Estatales, al adelantar procesos de selección, exijan a los proponentes, declaraciones en las que, bajo la gravedad de juramento, manifiesten no estar incursos en causales de inhabilidad o incompatibilidad. Ello ciertamente corresponde una forma viable para demostrar el hecho al que se refiere, al ser el juramento un medio de prueba válido a la luz de las normas procesales</w:t>
      </w:r>
      <w:r w:rsidRPr="00FD7A7A">
        <w:rPr>
          <w:rFonts w:ascii="Arial" w:eastAsia="Calibri" w:hAnsi="Arial" w:cs="Arial"/>
          <w:vertAlign w:val="superscript"/>
          <w:lang w:val="es-ES_tradnl"/>
        </w:rPr>
        <w:footnoteReference w:id="43"/>
      </w:r>
      <w:r w:rsidRPr="00FD7A7A">
        <w:rPr>
          <w:rFonts w:ascii="Arial" w:eastAsia="Calibri" w:hAnsi="Arial" w:cs="Arial"/>
          <w:lang w:val="es-ES_tradnl"/>
        </w:rPr>
        <w:t>. La negación en la que consiste tal declaración, siempre que sea formulada de forma fidedigna o general, respecto del régimen de inhabilidades e incompatibilidades, o aludiendo específicamente a a los literales g) y h) del numeral 1 del artículo 8 de la Ley 80 de 1993, cobijan el supuesto de hecho al que se refiere dicha norma. En ese sentido, el proponente mediante tal declaración acredita no estar incurso en las inhabilidades bajo estudio.</w:t>
      </w:r>
    </w:p>
    <w:p w14:paraId="1E2F7534" w14:textId="77777777" w:rsidR="00D772C9" w:rsidRPr="00CD7909" w:rsidRDefault="00D772C9" w:rsidP="00D772C9">
      <w:pPr>
        <w:spacing w:before="120" w:after="0" w:line="276" w:lineRule="auto"/>
        <w:jc w:val="both"/>
        <w:rPr>
          <w:rFonts w:ascii="Arial" w:eastAsia="Calibri" w:hAnsi="Arial" w:cs="Arial"/>
          <w:lang w:val="es-ES_tradnl"/>
        </w:rPr>
      </w:pPr>
      <w:r w:rsidRPr="00FD7A7A">
        <w:rPr>
          <w:rFonts w:ascii="Arial" w:eastAsia="Calibri" w:hAnsi="Arial" w:cs="Arial"/>
          <w:lang w:val="es-ES_tradnl"/>
        </w:rPr>
        <w:tab/>
        <w:t>No obstante, tal declaración no exime a la Entidad Estatal del deber de ejercer la potestad verificadora que le compete, respecto de la acreditación de la capacidad jurídica, en lo atinente a las inhabilidades de los literales g) y h) del numeral 1 del artículo 8</w:t>
      </w:r>
      <w:r w:rsidRPr="00FD7A7A">
        <w:rPr>
          <w:rFonts w:ascii="Arial" w:hAnsi="Arial" w:cs="Arial"/>
          <w:i/>
          <w:iCs/>
        </w:rPr>
        <w:t xml:space="preserve"> ibidem, </w:t>
      </w:r>
      <w:r w:rsidRPr="00FD7A7A">
        <w:rPr>
          <w:rFonts w:ascii="Arial" w:hAnsi="Arial" w:cs="Arial"/>
        </w:rPr>
        <w:t xml:space="preserve">cuando en el marco de la evaluación de las propuestas, se tienen dudas en relación con la configuración de dicha </w:t>
      </w:r>
      <w:r w:rsidRPr="00FD7A7A">
        <w:rPr>
          <w:rFonts w:ascii="Arial" w:eastAsia="Calibri" w:hAnsi="Arial" w:cs="Arial"/>
          <w:lang w:val="es-ES_tradnl"/>
        </w:rPr>
        <w:t>inhabilidad. En ese sentido, en primer lugar, si en el marco de la evaluación de ofertas, antes de la publicación del respectivo informe, la Entidad Estatal tiene conocimiento de circunstancias que le indiquen la eventual configuración de la respectiva inhabilidad, tiene posibilidad de solicitar a los proponentes el esclarecimiento de dicha circunstancia, exigiendo las explicaciones y aclaraciones que sean procedentes.</w:t>
      </w:r>
    </w:p>
    <w:p w14:paraId="1DB01014" w14:textId="77777777" w:rsidR="00D772C9" w:rsidRPr="00FD7A7A" w:rsidRDefault="00D772C9" w:rsidP="00D772C9">
      <w:pPr>
        <w:spacing w:before="120" w:after="0" w:line="276" w:lineRule="auto"/>
        <w:jc w:val="both"/>
        <w:rPr>
          <w:rFonts w:ascii="Arial" w:eastAsia="Calibri" w:hAnsi="Arial" w:cs="Arial"/>
          <w:lang w:val="es-ES_tradnl"/>
        </w:rPr>
      </w:pPr>
      <w:r w:rsidRPr="00FD7A7A">
        <w:rPr>
          <w:rFonts w:ascii="Arial" w:eastAsia="Calibri" w:hAnsi="Arial" w:cs="Arial"/>
          <w:lang w:val="es-ES_tradnl"/>
        </w:rPr>
        <w:tab/>
        <w:t>En ese contexto,</w:t>
      </w:r>
      <w:r>
        <w:rPr>
          <w:rFonts w:ascii="Arial" w:eastAsia="Calibri" w:hAnsi="Arial" w:cs="Arial"/>
          <w:lang w:val="es-ES_tradnl"/>
        </w:rPr>
        <w:t xml:space="preserve"> como se indicó anteriormente, </w:t>
      </w:r>
      <w:r w:rsidRPr="00FD7A7A">
        <w:rPr>
          <w:rFonts w:ascii="Arial" w:eastAsia="Calibri" w:hAnsi="Arial" w:cs="Arial"/>
          <w:lang w:val="es-ES_tradnl"/>
        </w:rPr>
        <w:t>al ser capacidad jurídica un requisito habilitante, ante la ausencia de claridad en su acreditación, procede la regla de subsanabilidad prevista en el parágrafo 1 del artículo 5 de la Ley 1150 de 2007. Conforme a esta, hasta el término de traslado del informe de evaluación, la Entidad Estatal tiene la posibilidad de solicitar a los proponentes los proponentes los medios de prueba necesarios para verificar la configuración o no de las circunstancias y condiciones sancionadas con la inhabilidad, que confirmen o desvirtúen la negación indefinida hecha bajo la gravedad de juramento relativa a no estar incurso en inhabilidades e incompatibilidades.</w:t>
      </w:r>
    </w:p>
    <w:p w14:paraId="06658DFC" w14:textId="77777777" w:rsidR="00D772C9" w:rsidRPr="00FD7A7A" w:rsidRDefault="00D772C9" w:rsidP="00D772C9">
      <w:pPr>
        <w:spacing w:before="120" w:after="0" w:line="276" w:lineRule="auto"/>
        <w:ind w:firstLine="709"/>
        <w:jc w:val="both"/>
        <w:rPr>
          <w:rFonts w:ascii="Arial" w:hAnsi="Arial" w:cs="Arial"/>
          <w:lang w:val="es-ES"/>
        </w:rPr>
      </w:pPr>
      <w:r w:rsidRPr="00FD7A7A">
        <w:rPr>
          <w:rFonts w:ascii="Arial" w:eastAsia="Calibri" w:hAnsi="Arial" w:cs="Arial"/>
          <w:lang w:val="es-ES_tradnl"/>
        </w:rPr>
        <w:lastRenderedPageBreak/>
        <w:t>Sin perjuicio de lo anterior, también es posible que la configuración de la inhabilidad se evidencie en un estado más avanzado del proceso de selección, lo cual tampoco obsta para que la Entidad Estatal ejerza su potestad verificadora y descalifique la oferta del proponente afectado por la inhabilidad. Ello puede suceder si, por ejemplo, en el marco de las observaciones al informe de evaluación algún proponente pone de presente la configuración de la inhabilidad, suministrando información o documentación que así lo indique. En este caso, la entidad también debe verificar la configuración de la inhabilidad</w:t>
      </w:r>
      <w:r>
        <w:rPr>
          <w:rFonts w:ascii="Arial" w:eastAsia="Calibri" w:hAnsi="Arial" w:cs="Arial"/>
          <w:lang w:val="es-ES_tradnl"/>
        </w:rPr>
        <w:t>.</w:t>
      </w:r>
      <w:r w:rsidRPr="00FD7A7A">
        <w:rPr>
          <w:rFonts w:ascii="Arial" w:eastAsia="Calibri" w:hAnsi="Arial" w:cs="Arial"/>
          <w:lang w:val="es-ES_tradnl"/>
        </w:rPr>
        <w:t xml:space="preserve"> </w:t>
      </w:r>
    </w:p>
    <w:bookmarkEnd w:id="12"/>
    <w:p w14:paraId="0104B14D" w14:textId="77777777" w:rsidR="00D772C9" w:rsidRPr="00FD7A7A" w:rsidRDefault="00D772C9" w:rsidP="00D772C9">
      <w:pPr>
        <w:spacing w:after="0" w:line="276" w:lineRule="auto"/>
        <w:ind w:firstLine="709"/>
        <w:jc w:val="both"/>
        <w:rPr>
          <w:rFonts w:ascii="Arial" w:eastAsia="Arial" w:hAnsi="Arial" w:cs="Arial"/>
          <w:bCs/>
          <w:sz w:val="21"/>
          <w:szCs w:val="21"/>
          <w:lang w:val="es-ES"/>
        </w:rPr>
      </w:pPr>
    </w:p>
    <w:p w14:paraId="2C1285A8" w14:textId="77777777" w:rsidR="00D772C9" w:rsidRPr="00FD7A7A" w:rsidRDefault="00D772C9" w:rsidP="00D772C9">
      <w:pPr>
        <w:spacing w:after="0" w:line="276" w:lineRule="auto"/>
        <w:contextualSpacing/>
        <w:jc w:val="both"/>
        <w:rPr>
          <w:rFonts w:ascii="Arial" w:eastAsia="Calibri" w:hAnsi="Arial" w:cs="Arial"/>
          <w:b/>
        </w:rPr>
      </w:pPr>
      <w:r w:rsidRPr="00FD7A7A">
        <w:rPr>
          <w:rFonts w:ascii="Arial" w:eastAsia="Calibri" w:hAnsi="Arial" w:cs="Arial"/>
          <w:b/>
        </w:rPr>
        <w:t>3. Respuesta</w:t>
      </w:r>
    </w:p>
    <w:p w14:paraId="5D9E37BA" w14:textId="77777777" w:rsidR="00D772C9" w:rsidRDefault="00D772C9" w:rsidP="00D772C9">
      <w:pPr>
        <w:spacing w:after="0" w:line="276" w:lineRule="auto"/>
        <w:contextualSpacing/>
        <w:jc w:val="both"/>
        <w:rPr>
          <w:rFonts w:ascii="Arial" w:eastAsia="Calibri" w:hAnsi="Arial" w:cs="Arial"/>
          <w:b/>
        </w:rPr>
      </w:pPr>
    </w:p>
    <w:p w14:paraId="096A481E" w14:textId="1297B6B9" w:rsidR="001339F6" w:rsidRPr="001339F6" w:rsidRDefault="001339F6" w:rsidP="001339F6">
      <w:pPr>
        <w:autoSpaceDE w:val="0"/>
        <w:autoSpaceDN w:val="0"/>
        <w:adjustRightInd w:val="0"/>
        <w:spacing w:after="0" w:line="240" w:lineRule="auto"/>
        <w:ind w:left="709" w:right="709"/>
        <w:jc w:val="both"/>
        <w:rPr>
          <w:rFonts w:ascii="ArialMT" w:hAnsi="ArialMT" w:cs="ArialMT"/>
          <w:sz w:val="21"/>
          <w:szCs w:val="21"/>
          <w14:ligatures w14:val="standardContextual"/>
        </w:rPr>
      </w:pPr>
      <w:r w:rsidRPr="002D5FA4">
        <w:rPr>
          <w:rFonts w:ascii="ArialMT" w:hAnsi="ArialMT" w:cs="ArialMT"/>
          <w:sz w:val="21"/>
          <w:szCs w:val="21"/>
          <w14:ligatures w14:val="standardContextual"/>
        </w:rPr>
        <w:t>“[…] En un proceso de licitacion ¿pueden presentarse hermanos o familiares con diferentes proponente? uno como integrante de un consorcio y el otro</w:t>
      </w:r>
      <w:r>
        <w:rPr>
          <w:rFonts w:ascii="ArialMT" w:hAnsi="ArialMT" w:cs="ArialMT"/>
          <w:sz w:val="21"/>
          <w:szCs w:val="21"/>
          <w14:ligatures w14:val="standardContextual"/>
        </w:rPr>
        <w:t xml:space="preserve"> </w:t>
      </w:r>
      <w:r w:rsidRPr="002D5FA4">
        <w:rPr>
          <w:rFonts w:ascii="ArialMT" w:hAnsi="ArialMT" w:cs="ArialMT"/>
          <w:sz w:val="21"/>
          <w:szCs w:val="21"/>
          <w14:ligatures w14:val="standardContextual"/>
        </w:rPr>
        <w:t>como representante legal suplente de otro consorcio.:</w:t>
      </w:r>
      <w:r w:rsidRPr="002D5FA4">
        <w:rPr>
          <w:rFonts w:ascii="Arial" w:eastAsia="Calibri" w:hAnsi="Arial" w:cs="Arial"/>
          <w:sz w:val="21"/>
          <w:szCs w:val="21"/>
          <w:lang w:val="es-MX"/>
        </w:rPr>
        <w:t xml:space="preserve"> […]” [sic]</w:t>
      </w:r>
    </w:p>
    <w:p w14:paraId="11C63ED6" w14:textId="77777777" w:rsidR="00D772C9" w:rsidRPr="00FD7A7A" w:rsidRDefault="00D772C9" w:rsidP="00D772C9">
      <w:pPr>
        <w:spacing w:after="0" w:line="276" w:lineRule="auto"/>
        <w:jc w:val="both"/>
        <w:rPr>
          <w:rFonts w:ascii="Arial" w:eastAsia="Calibri" w:hAnsi="Arial" w:cs="Arial"/>
          <w:bCs/>
        </w:rPr>
      </w:pPr>
      <w:bookmarkStart w:id="17" w:name="_Hlk57650395"/>
    </w:p>
    <w:p w14:paraId="7D6554A8" w14:textId="77777777" w:rsidR="00D772C9" w:rsidRPr="00FD7A7A" w:rsidRDefault="00D772C9" w:rsidP="00D772C9">
      <w:pPr>
        <w:spacing w:after="0" w:line="276" w:lineRule="auto"/>
        <w:jc w:val="both"/>
        <w:rPr>
          <w:rFonts w:ascii="Arial" w:eastAsia="Calibri" w:hAnsi="Arial" w:cs="Arial"/>
          <w:bCs/>
        </w:rPr>
      </w:pPr>
      <w:r w:rsidRPr="00FD7A7A">
        <w:rPr>
          <w:rFonts w:ascii="Arial" w:hAnsi="Arial" w:cs="Arial"/>
          <w:color w:val="000000"/>
          <w:shd w:val="clear" w:color="auto" w:fill="FFFFFF"/>
          <w:lang w:val="es-ES"/>
        </w:rPr>
        <w:t>De manera preliminar es pertinente indicar, que la Agencia Nacional de Contratación Pública – Colombia Compra Eficiente resuelve consultas sobre asuntos de su competencia, esto es, sobre las temáticas de la contratación y compras públicas relacionadas con la aplicación de normas de carácter general. Por ello, esta competencia no puede extenderse a la resolución de casos particulares, brindar asesorías o validar las actuaciones de las Entidades Estatales, toda vez que ello desborda las atribuciones asignadas a esta entidad por el legislador extraordinario.</w:t>
      </w:r>
      <w:r w:rsidRPr="00FD7A7A">
        <w:rPr>
          <w:rFonts w:ascii="Arial" w:hAnsi="Arial" w:cs="Arial"/>
          <w:color w:val="000000"/>
          <w:shd w:val="clear" w:color="auto" w:fill="FFFFFF"/>
        </w:rPr>
        <w:t> </w:t>
      </w:r>
    </w:p>
    <w:p w14:paraId="336DA4B9" w14:textId="77777777" w:rsidR="00D772C9" w:rsidRDefault="00D772C9" w:rsidP="00D772C9">
      <w:pPr>
        <w:spacing w:before="120" w:after="0" w:line="276" w:lineRule="auto"/>
        <w:jc w:val="both"/>
        <w:rPr>
          <w:rFonts w:ascii="Arial" w:eastAsia="Calibri" w:hAnsi="Arial" w:cs="Arial"/>
          <w:bCs/>
        </w:rPr>
      </w:pPr>
      <w:r w:rsidRPr="00FD7A7A">
        <w:rPr>
          <w:rFonts w:ascii="Arial" w:eastAsia="Calibri" w:hAnsi="Arial" w:cs="Arial"/>
          <w:bCs/>
        </w:rPr>
        <w:tab/>
        <w:t xml:space="preserve">Sin perjuicio de lo anterior, como se indicó en el considerando de este concepto, 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w:t>
      </w:r>
    </w:p>
    <w:p w14:paraId="10551212" w14:textId="77777777" w:rsidR="00D772C9" w:rsidRPr="004325AA" w:rsidRDefault="00D772C9" w:rsidP="00D772C9">
      <w:pPr>
        <w:spacing w:before="120" w:after="0" w:line="276" w:lineRule="auto"/>
        <w:ind w:firstLine="708"/>
        <w:jc w:val="both"/>
        <w:rPr>
          <w:rFonts w:ascii="Arial" w:eastAsia="Calibri" w:hAnsi="Arial" w:cs="Arial"/>
          <w:bCs/>
        </w:rPr>
      </w:pPr>
      <w:r w:rsidRPr="00FD7A7A">
        <w:rPr>
          <w:rFonts w:ascii="Arial" w:eastAsia="Calibri" w:hAnsi="Arial" w:cs="Arial"/>
          <w:bCs/>
        </w:rPr>
        <w:t xml:space="preserve">Bajo esa órbita, </w:t>
      </w:r>
      <w:r w:rsidRPr="004325AA">
        <w:rPr>
          <w:rFonts w:ascii="Arial" w:eastAsia="Calibri" w:hAnsi="Arial" w:cs="Arial"/>
          <w:bCs/>
        </w:rPr>
        <w:t>debido a que el régimen de inhabilidades se interpreta de manera restrictiva, las causales de inhabilidad dispuestas en el literal g) y h) del numeral 1 del artículo 8 de la Ley 80 de 1993 se refiere solamente de personas naturales, sin que exista posibilidad de extender su aplicación a personas jurídicas, entendidas estas últimas como sujetos capaces de ejercer derechos y contraer obligaciones</w:t>
      </w:r>
      <w:r>
        <w:rPr>
          <w:rFonts w:ascii="Arial" w:eastAsia="Calibri" w:hAnsi="Arial" w:cs="Arial"/>
          <w:bCs/>
        </w:rPr>
        <w:t>,</w:t>
      </w:r>
      <w:r w:rsidRPr="004325AA">
        <w:rPr>
          <w:rFonts w:ascii="Arial" w:eastAsia="Calibri" w:hAnsi="Arial" w:cs="Arial"/>
          <w:bCs/>
        </w:rPr>
        <w:t xml:space="preserve"> cuya capacidad está determinada por su objeto social.</w:t>
      </w:r>
    </w:p>
    <w:p w14:paraId="2AA2ED3E" w14:textId="77777777" w:rsidR="00D772C9" w:rsidRDefault="00D772C9" w:rsidP="00D772C9">
      <w:pPr>
        <w:spacing w:before="120" w:after="0" w:line="276" w:lineRule="auto"/>
        <w:ind w:firstLine="708"/>
        <w:jc w:val="both"/>
        <w:rPr>
          <w:rFonts w:ascii="Arial" w:eastAsia="Calibri" w:hAnsi="Arial" w:cs="Arial"/>
          <w:bCs/>
        </w:rPr>
      </w:pPr>
      <w:r>
        <w:rPr>
          <w:rFonts w:ascii="Arial" w:eastAsia="Calibri" w:hAnsi="Arial" w:cs="Arial"/>
          <w:bCs/>
        </w:rPr>
        <w:t>Sin embargo</w:t>
      </w:r>
      <w:r w:rsidRPr="004325AA">
        <w:rPr>
          <w:rFonts w:ascii="Arial" w:eastAsia="Calibri" w:hAnsi="Arial" w:cs="Arial"/>
          <w:bCs/>
        </w:rPr>
        <w:t xml:space="preserve">, esas causales de inhabilidad también se refieren a las personas naturales que integran sociedades distintas a las anónimas, proponentes plurales, consorcios o uniones temporales, así como la persona designada como representante de estos, ya que estas formas de asociación no constituyen una persona jurídica diferente o independiente los miembros que los integran, lo cual implica, que la sociedad distinta a las anónimas, el consorcio o unión temporal serán inhabilitados en un proceso de contratación, </w:t>
      </w:r>
      <w:r w:rsidRPr="004325AA">
        <w:rPr>
          <w:rFonts w:ascii="Arial" w:eastAsia="Calibri" w:hAnsi="Arial" w:cs="Arial"/>
          <w:bCs/>
        </w:rPr>
        <w:lastRenderedPageBreak/>
        <w:t>cuando uno de sus integrantes o representante designado se encuentra en alguna de las relaciones de parentesco determinadas en las mencionadas disposiciones.</w:t>
      </w:r>
    </w:p>
    <w:p w14:paraId="47743FE9" w14:textId="77777777" w:rsidR="00D772C9" w:rsidRPr="00FD7A7A" w:rsidRDefault="00D772C9" w:rsidP="00D772C9">
      <w:pPr>
        <w:spacing w:before="120" w:after="0" w:line="276" w:lineRule="auto"/>
        <w:jc w:val="both"/>
        <w:rPr>
          <w:rFonts w:ascii="Arial" w:eastAsia="Calibri" w:hAnsi="Arial" w:cs="Arial"/>
          <w:bCs/>
        </w:rPr>
      </w:pPr>
      <w:r w:rsidRPr="00FD7A7A">
        <w:rPr>
          <w:rFonts w:ascii="Arial" w:eastAsia="Calibri" w:hAnsi="Arial" w:cs="Arial"/>
          <w:bCs/>
        </w:rPr>
        <w:tab/>
        <w:t>Finalmente, para los efectos se aclara que las Entidades Estatales dentro del marco de sus funciones y competencias, ejercerán su potestad verificadora respecto de la acreditación de la capacidad jurídica, en lo atinente a las inhabilidades dispuestas en los literales g) y h) del numeral 1 del artículo 8 de la Ley 80 de 1993. En ese sentido, la entidad, en el ejercicio de su potestad verificadora, descalificará las ofertas de los proponentes que sí se encuentren afectados por dichas inhabilidades.</w:t>
      </w:r>
    </w:p>
    <w:p w14:paraId="51C4A60F" w14:textId="77777777" w:rsidR="00D772C9" w:rsidRPr="00FD7A7A" w:rsidRDefault="00D772C9" w:rsidP="00D772C9">
      <w:pPr>
        <w:spacing w:after="0" w:line="276" w:lineRule="auto"/>
        <w:jc w:val="both"/>
        <w:rPr>
          <w:rFonts w:ascii="Arial" w:eastAsia="Calibri" w:hAnsi="Arial" w:cs="Arial"/>
          <w:bCs/>
        </w:rPr>
      </w:pPr>
    </w:p>
    <w:p w14:paraId="0023742E" w14:textId="77777777" w:rsidR="00D772C9" w:rsidRPr="00FD7A7A" w:rsidRDefault="00D772C9" w:rsidP="00D772C9">
      <w:pPr>
        <w:widowControl w:val="0"/>
        <w:autoSpaceDE w:val="0"/>
        <w:autoSpaceDN w:val="0"/>
        <w:spacing w:after="0" w:line="276" w:lineRule="auto"/>
        <w:contextualSpacing/>
        <w:jc w:val="both"/>
        <w:rPr>
          <w:rFonts w:ascii="Arial" w:eastAsia="Times New Roman" w:hAnsi="Arial" w:cs="Arial"/>
          <w:lang w:eastAsia="es-ES_tradnl"/>
        </w:rPr>
      </w:pPr>
      <w:r w:rsidRPr="00FD7A7A">
        <w:rPr>
          <w:rFonts w:ascii="Arial" w:eastAsia="Calibri" w:hAnsi="Arial" w:cs="Arial"/>
        </w:rPr>
        <w:t>Este concepto tiene el alcance previsto en el artículo 28 del Código de Procedimiento Administrativo y de lo Contencioso Administrativo</w:t>
      </w:r>
      <w:r w:rsidRPr="00FD7A7A">
        <w:rPr>
          <w:rFonts w:ascii="Arial" w:eastAsia="Calibri" w:hAnsi="Arial" w:cs="Arial"/>
          <w:noProof/>
          <w:lang w:eastAsia="es-CO"/>
        </w:rPr>
        <mc:AlternateContent>
          <mc:Choice Requires="wps">
            <w:drawing>
              <wp:anchor distT="0" distB="0" distL="114300" distR="114300" simplePos="0" relativeHeight="251659264" behindDoc="0" locked="0" layoutInCell="1" allowOverlap="1" wp14:anchorId="0E25D4E9" wp14:editId="5C65A8F0">
                <wp:simplePos x="0" y="0"/>
                <wp:positionH relativeFrom="page">
                  <wp:posOffset>1514475</wp:posOffset>
                </wp:positionH>
                <wp:positionV relativeFrom="paragraph">
                  <wp:posOffset>10160</wp:posOffset>
                </wp:positionV>
                <wp:extent cx="46863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215684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FD7A7A">
        <w:rPr>
          <w:rFonts w:ascii="Arial" w:eastAsia="Calibri" w:hAnsi="Arial" w:cs="Arial"/>
        </w:rPr>
        <w:t xml:space="preserve"> y las expresiones utilizadas con mayúscula inicial deben ser entendidas con el significado que les otorga el artículo 2.2.1.1.1.3.1 del Decreto 1082 de 2015.</w:t>
      </w:r>
    </w:p>
    <w:p w14:paraId="6B2CBD4F" w14:textId="77777777" w:rsidR="00D772C9" w:rsidRPr="00FD7A7A" w:rsidRDefault="00D772C9" w:rsidP="00D772C9">
      <w:pPr>
        <w:spacing w:after="120" w:line="276" w:lineRule="auto"/>
        <w:jc w:val="both"/>
        <w:rPr>
          <w:rFonts w:ascii="Arial" w:eastAsia="Times New Roman" w:hAnsi="Arial" w:cs="Arial"/>
          <w:lang w:eastAsia="es-ES_tradnl"/>
        </w:rPr>
      </w:pPr>
    </w:p>
    <w:p w14:paraId="2E676D2C" w14:textId="77777777" w:rsidR="00D772C9" w:rsidRPr="00FD7A7A" w:rsidRDefault="00D772C9" w:rsidP="00D772C9">
      <w:pPr>
        <w:spacing w:after="200" w:line="276" w:lineRule="auto"/>
        <w:jc w:val="both"/>
        <w:rPr>
          <w:rFonts w:ascii="Arial" w:eastAsia="Times New Roman" w:hAnsi="Arial" w:cs="Arial"/>
          <w:lang w:eastAsia="es-CO"/>
        </w:rPr>
      </w:pPr>
      <w:r w:rsidRPr="00FD7A7A">
        <w:rPr>
          <w:rFonts w:ascii="Arial" w:eastAsia="Times New Roman" w:hAnsi="Arial" w:cs="Arial"/>
          <w:lang w:eastAsia="es-CO"/>
        </w:rPr>
        <w:t>Atentamente,</w:t>
      </w:r>
    </w:p>
    <w:p w14:paraId="50D40162" w14:textId="327BE06F" w:rsidR="00D772C9" w:rsidRPr="00FD7A7A" w:rsidRDefault="00F1786E" w:rsidP="00D772C9">
      <w:pPr>
        <w:spacing w:after="200" w:line="276" w:lineRule="auto"/>
        <w:jc w:val="center"/>
        <w:rPr>
          <w:rFonts w:ascii="Arial" w:eastAsia="Calibri" w:hAnsi="Arial" w:cs="Arial"/>
          <w:b/>
          <w:bCs/>
          <w:sz w:val="20"/>
          <w:szCs w:val="20"/>
          <w:lang w:val="es-MX"/>
        </w:rPr>
      </w:pPr>
      <w:bookmarkStart w:id="18" w:name="_Hlk130981267"/>
      <w:bookmarkEnd w:id="0"/>
      <w:bookmarkEnd w:id="17"/>
      <w:r>
        <w:rPr>
          <w:noProof/>
          <w14:ligatures w14:val="standardContextual"/>
        </w:rPr>
        <w:drawing>
          <wp:inline distT="0" distB="0" distL="0" distR="0" wp14:anchorId="546A27C7" wp14:editId="0784D0C4">
            <wp:extent cx="3161905" cy="1209524"/>
            <wp:effectExtent l="0" t="0" r="635" b="0"/>
            <wp:docPr id="14974430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43095" name="Imagen 1" descr="Texto&#10;&#10;Descripción generada automáticamente"/>
                    <pic:cNvPicPr/>
                  </pic:nvPicPr>
                  <pic:blipFill>
                    <a:blip r:embed="rId10"/>
                    <a:stretch>
                      <a:fillRect/>
                    </a:stretch>
                  </pic:blipFill>
                  <pic:spPr>
                    <a:xfrm>
                      <a:off x="0" y="0"/>
                      <a:ext cx="3161905" cy="1209524"/>
                    </a:xfrm>
                    <a:prstGeom prst="rect">
                      <a:avLst/>
                    </a:prstGeom>
                  </pic:spPr>
                </pic:pic>
              </a:graphicData>
            </a:graphic>
          </wp:inline>
        </w:drawing>
      </w:r>
      <w:r w:rsidR="00D772C9" w:rsidRPr="00FD7A7A">
        <w:rPr>
          <w:rFonts w:ascii="Calibri" w:hAnsi="Calibri" w:cs="Calibri"/>
          <w:color w:val="000000"/>
          <w:shd w:val="clear" w:color="auto" w:fill="FFFFFF"/>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57"/>
      </w:tblGrid>
      <w:tr w:rsidR="00D772C9" w:rsidRPr="00FD7A7A" w14:paraId="3684E956" w14:textId="77777777" w:rsidTr="00BC1707">
        <w:trPr>
          <w:trHeight w:val="315"/>
        </w:trPr>
        <w:tc>
          <w:tcPr>
            <w:tcW w:w="855" w:type="dxa"/>
            <w:vAlign w:val="center"/>
            <w:hideMark/>
          </w:tcPr>
          <w:p w14:paraId="7045E29E" w14:textId="77777777" w:rsidR="00D772C9" w:rsidRPr="00FD7A7A" w:rsidRDefault="00D772C9" w:rsidP="00BC1707">
            <w:pPr>
              <w:rPr>
                <w:rFonts w:ascii="Arial" w:eastAsia="Times New Roman" w:hAnsi="Arial" w:cs="Arial"/>
                <w:sz w:val="16"/>
                <w:szCs w:val="16"/>
                <w:lang w:eastAsia="es-ES"/>
              </w:rPr>
            </w:pPr>
            <w:r w:rsidRPr="00FD7A7A">
              <w:rPr>
                <w:rFonts w:ascii="Arial" w:eastAsia="Times New Roman" w:hAnsi="Arial" w:cs="Arial"/>
                <w:sz w:val="16"/>
                <w:szCs w:val="16"/>
                <w:lang w:eastAsia="es-ES"/>
              </w:rPr>
              <w:t>Elaboró:</w:t>
            </w:r>
          </w:p>
        </w:tc>
        <w:tc>
          <w:tcPr>
            <w:tcW w:w="4957" w:type="dxa"/>
            <w:tcBorders>
              <w:top w:val="nil"/>
              <w:left w:val="nil"/>
              <w:bottom w:val="dotted" w:sz="4" w:space="0" w:color="7F7F7F" w:themeColor="text1" w:themeTint="80"/>
              <w:right w:val="nil"/>
            </w:tcBorders>
            <w:vAlign w:val="center"/>
            <w:hideMark/>
          </w:tcPr>
          <w:p w14:paraId="4413B551" w14:textId="27BD101B" w:rsidR="00D772C9" w:rsidRPr="00FD7A7A" w:rsidRDefault="005223C2" w:rsidP="00BC1707">
            <w:pPr>
              <w:rPr>
                <w:rFonts w:ascii="Arial" w:eastAsia="Times New Roman" w:hAnsi="Arial" w:cs="Arial"/>
                <w:sz w:val="16"/>
                <w:szCs w:val="16"/>
                <w:lang w:eastAsia="es-ES"/>
              </w:rPr>
            </w:pPr>
            <w:r>
              <w:rPr>
                <w:rFonts w:ascii="Arial" w:eastAsia="Times New Roman" w:hAnsi="Arial" w:cs="Arial"/>
                <w:sz w:val="16"/>
                <w:szCs w:val="16"/>
                <w:lang w:eastAsia="es-ES"/>
              </w:rPr>
              <w:t>Richard Andrés Montenegro Siefken</w:t>
            </w:r>
          </w:p>
          <w:p w14:paraId="431FD03F" w14:textId="089E6857" w:rsidR="00D772C9" w:rsidRPr="00FD7A7A" w:rsidRDefault="005223C2" w:rsidP="00BC1707">
            <w:pPr>
              <w:rPr>
                <w:rFonts w:ascii="Arial" w:eastAsia="Times New Roman" w:hAnsi="Arial" w:cs="Arial"/>
                <w:sz w:val="16"/>
                <w:szCs w:val="16"/>
                <w:lang w:eastAsia="es-ES"/>
              </w:rPr>
            </w:pPr>
            <w:r>
              <w:rPr>
                <w:rFonts w:ascii="Arial" w:eastAsia="Times New Roman" w:hAnsi="Arial" w:cs="Arial"/>
                <w:sz w:val="16"/>
                <w:szCs w:val="16"/>
                <w:lang w:eastAsia="es-ES"/>
              </w:rPr>
              <w:t>Contratista</w:t>
            </w:r>
            <w:r w:rsidR="00D772C9" w:rsidRPr="00FD7A7A">
              <w:rPr>
                <w:rFonts w:ascii="Arial" w:eastAsia="Times New Roman" w:hAnsi="Arial" w:cs="Arial"/>
                <w:sz w:val="16"/>
                <w:szCs w:val="16"/>
                <w:lang w:eastAsia="es-ES"/>
              </w:rPr>
              <w:t xml:space="preserve"> de la Subdirección de Gestión Contractual</w:t>
            </w:r>
          </w:p>
        </w:tc>
      </w:tr>
      <w:tr w:rsidR="00D772C9" w:rsidRPr="00FD7A7A" w14:paraId="478FC381" w14:textId="77777777" w:rsidTr="00BC1707">
        <w:trPr>
          <w:trHeight w:val="330"/>
        </w:trPr>
        <w:tc>
          <w:tcPr>
            <w:tcW w:w="855" w:type="dxa"/>
            <w:vAlign w:val="center"/>
            <w:hideMark/>
          </w:tcPr>
          <w:p w14:paraId="23F86A07" w14:textId="77777777" w:rsidR="00D772C9" w:rsidRPr="00FD7A7A" w:rsidRDefault="00D772C9" w:rsidP="00BC1707">
            <w:pPr>
              <w:rPr>
                <w:rFonts w:ascii="Arial" w:eastAsia="Times New Roman" w:hAnsi="Arial" w:cs="Arial"/>
                <w:sz w:val="16"/>
                <w:szCs w:val="16"/>
                <w:lang w:eastAsia="es-ES"/>
              </w:rPr>
            </w:pPr>
            <w:r w:rsidRPr="00FD7A7A">
              <w:rPr>
                <w:rFonts w:ascii="Arial" w:eastAsia="Times New Roman" w:hAnsi="Arial" w:cs="Arial"/>
                <w:sz w:val="16"/>
                <w:szCs w:val="16"/>
                <w:lang w:eastAsia="es-ES"/>
              </w:rPr>
              <w:t>Revisó:</w:t>
            </w:r>
          </w:p>
        </w:tc>
        <w:tc>
          <w:tcPr>
            <w:tcW w:w="4957" w:type="dxa"/>
            <w:tcBorders>
              <w:top w:val="dotted" w:sz="4" w:space="0" w:color="7F7F7F" w:themeColor="text1" w:themeTint="80"/>
              <w:left w:val="nil"/>
              <w:bottom w:val="dotted" w:sz="4" w:space="0" w:color="7F7F7F" w:themeColor="text1" w:themeTint="80"/>
              <w:right w:val="nil"/>
            </w:tcBorders>
            <w:vAlign w:val="center"/>
            <w:hideMark/>
          </w:tcPr>
          <w:p w14:paraId="0C084398" w14:textId="29CF5F4B" w:rsidR="00D772C9" w:rsidRPr="00FD7A7A" w:rsidRDefault="005223C2" w:rsidP="00BC1707">
            <w:pPr>
              <w:rPr>
                <w:rFonts w:ascii="Arial" w:eastAsia="Times New Roman" w:hAnsi="Arial" w:cs="Arial"/>
                <w:sz w:val="16"/>
                <w:szCs w:val="16"/>
                <w:lang w:eastAsia="es-ES"/>
              </w:rPr>
            </w:pPr>
            <w:r>
              <w:rPr>
                <w:rFonts w:ascii="Arial" w:eastAsia="Times New Roman" w:hAnsi="Arial" w:cs="Arial"/>
                <w:sz w:val="16"/>
                <w:szCs w:val="16"/>
                <w:lang w:eastAsia="es-ES"/>
              </w:rPr>
              <w:t>Alejandro Sarmiento Cantillo</w:t>
            </w:r>
          </w:p>
          <w:p w14:paraId="3415E8C6" w14:textId="40157C3D" w:rsidR="00D772C9" w:rsidRPr="00FD7A7A" w:rsidRDefault="00D772C9" w:rsidP="00BC1707">
            <w:pPr>
              <w:rPr>
                <w:rFonts w:ascii="Arial" w:eastAsia="Times New Roman" w:hAnsi="Arial" w:cs="Arial"/>
                <w:sz w:val="16"/>
                <w:szCs w:val="16"/>
                <w:lang w:eastAsia="es-ES"/>
              </w:rPr>
            </w:pPr>
            <w:r w:rsidRPr="00FD7A7A">
              <w:rPr>
                <w:rFonts w:ascii="Arial" w:eastAsia="Times New Roman" w:hAnsi="Arial" w:cs="Arial"/>
                <w:sz w:val="16"/>
                <w:szCs w:val="16"/>
                <w:lang w:eastAsia="es-ES"/>
              </w:rPr>
              <w:t>Gestor T1</w:t>
            </w:r>
            <w:r w:rsidR="005223C2">
              <w:rPr>
                <w:rFonts w:ascii="Arial" w:eastAsia="Times New Roman" w:hAnsi="Arial" w:cs="Arial"/>
                <w:sz w:val="16"/>
                <w:szCs w:val="16"/>
                <w:lang w:eastAsia="es-ES"/>
              </w:rPr>
              <w:t>5</w:t>
            </w:r>
            <w:r w:rsidRPr="00FD7A7A">
              <w:rPr>
                <w:rFonts w:ascii="Arial" w:eastAsia="Times New Roman" w:hAnsi="Arial" w:cs="Arial"/>
                <w:sz w:val="16"/>
                <w:szCs w:val="16"/>
                <w:lang w:eastAsia="es-ES"/>
              </w:rPr>
              <w:t>–11 de la Subdirección de Gestión Contractual</w:t>
            </w:r>
          </w:p>
        </w:tc>
      </w:tr>
      <w:tr w:rsidR="00D772C9" w:rsidRPr="00FD7A7A" w14:paraId="6F924DFA" w14:textId="77777777" w:rsidTr="00BC1707">
        <w:trPr>
          <w:trHeight w:val="300"/>
        </w:trPr>
        <w:tc>
          <w:tcPr>
            <w:tcW w:w="855" w:type="dxa"/>
            <w:vAlign w:val="center"/>
            <w:hideMark/>
          </w:tcPr>
          <w:p w14:paraId="714C01F4" w14:textId="77777777" w:rsidR="00D772C9" w:rsidRPr="00FD7A7A" w:rsidRDefault="00D772C9" w:rsidP="00BC1707">
            <w:pPr>
              <w:rPr>
                <w:rFonts w:ascii="Arial" w:eastAsia="Times New Roman" w:hAnsi="Arial" w:cs="Arial"/>
                <w:sz w:val="16"/>
                <w:szCs w:val="16"/>
                <w:lang w:eastAsia="es-ES"/>
              </w:rPr>
            </w:pPr>
            <w:r w:rsidRPr="00FD7A7A">
              <w:rPr>
                <w:rFonts w:ascii="Arial" w:eastAsia="Times New Roman" w:hAnsi="Arial" w:cs="Arial"/>
                <w:sz w:val="16"/>
                <w:szCs w:val="16"/>
                <w:lang w:eastAsia="es-ES"/>
              </w:rPr>
              <w:t>Aprobó:</w:t>
            </w:r>
          </w:p>
        </w:tc>
        <w:tc>
          <w:tcPr>
            <w:tcW w:w="4957" w:type="dxa"/>
            <w:tcBorders>
              <w:top w:val="dotted" w:sz="4" w:space="0" w:color="7F7F7F" w:themeColor="text1" w:themeTint="80"/>
              <w:left w:val="nil"/>
              <w:bottom w:val="dotted" w:sz="4" w:space="0" w:color="7F7F7F" w:themeColor="text1" w:themeTint="80"/>
              <w:right w:val="nil"/>
            </w:tcBorders>
            <w:vAlign w:val="center"/>
            <w:hideMark/>
          </w:tcPr>
          <w:p w14:paraId="0BF3E288" w14:textId="77777777" w:rsidR="00D772C9" w:rsidRPr="00FD7A7A" w:rsidRDefault="00D772C9" w:rsidP="00BC1707">
            <w:pPr>
              <w:rPr>
                <w:rFonts w:ascii="Arial" w:eastAsia="Times New Roman" w:hAnsi="Arial" w:cs="Arial"/>
                <w:sz w:val="16"/>
                <w:szCs w:val="16"/>
                <w:lang w:eastAsia="es-ES"/>
              </w:rPr>
            </w:pPr>
            <w:r w:rsidRPr="00FD7A7A">
              <w:rPr>
                <w:rFonts w:ascii="Arial" w:eastAsia="Times New Roman" w:hAnsi="Arial" w:cs="Arial"/>
                <w:sz w:val="16"/>
                <w:szCs w:val="16"/>
                <w:lang w:eastAsia="es-ES"/>
              </w:rPr>
              <w:t>Nohelia del Carmen Zawady Palacio</w:t>
            </w:r>
          </w:p>
          <w:p w14:paraId="26463CAC" w14:textId="77777777" w:rsidR="00D772C9" w:rsidRPr="00FD7A7A" w:rsidRDefault="00D772C9" w:rsidP="00BC1707">
            <w:pPr>
              <w:rPr>
                <w:rFonts w:ascii="Arial" w:eastAsia="Times New Roman" w:hAnsi="Arial" w:cs="Arial"/>
                <w:sz w:val="16"/>
                <w:szCs w:val="16"/>
                <w:lang w:eastAsia="es-ES"/>
              </w:rPr>
            </w:pPr>
            <w:r w:rsidRPr="00FD7A7A">
              <w:rPr>
                <w:rFonts w:ascii="Arial" w:eastAsia="Times New Roman" w:hAnsi="Arial" w:cs="Arial"/>
                <w:sz w:val="16"/>
                <w:szCs w:val="16"/>
                <w:lang w:eastAsia="es-ES"/>
              </w:rPr>
              <w:t>Subdirectora de Gestión Contractual ANCP – CCE</w:t>
            </w:r>
          </w:p>
        </w:tc>
      </w:tr>
      <w:bookmarkEnd w:id="1"/>
      <w:bookmarkEnd w:id="2"/>
      <w:bookmarkEnd w:id="3"/>
      <w:bookmarkEnd w:id="4"/>
      <w:bookmarkEnd w:id="18"/>
    </w:tbl>
    <w:p w14:paraId="5AC65233" w14:textId="77777777" w:rsidR="00D772C9" w:rsidRPr="00FD7A7A" w:rsidRDefault="00D772C9" w:rsidP="00D772C9"/>
    <w:p w14:paraId="054C5B67" w14:textId="77777777" w:rsidR="00D772C9" w:rsidRPr="00FD7A7A" w:rsidRDefault="00D772C9" w:rsidP="00D772C9"/>
    <w:p w14:paraId="5D5B2EF8" w14:textId="77777777" w:rsidR="00D772C9" w:rsidRPr="00FD7A7A" w:rsidRDefault="00D772C9" w:rsidP="00D772C9"/>
    <w:p w14:paraId="622000CE" w14:textId="77777777" w:rsidR="008E5C2E" w:rsidRDefault="008E5C2E"/>
    <w:sectPr w:rsidR="008E5C2E" w:rsidSect="00923EEF">
      <w:headerReference w:type="default" r:id="rId11"/>
      <w:footerReference w:type="default" r:id="rId12"/>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5664B" w14:textId="77777777" w:rsidR="00F935F3" w:rsidRDefault="00F935F3" w:rsidP="00D772C9">
      <w:pPr>
        <w:spacing w:after="0" w:line="240" w:lineRule="auto"/>
      </w:pPr>
      <w:r>
        <w:separator/>
      </w:r>
    </w:p>
  </w:endnote>
  <w:endnote w:type="continuationSeparator" w:id="0">
    <w:p w14:paraId="72BF6318" w14:textId="77777777" w:rsidR="00F935F3" w:rsidRDefault="00F935F3" w:rsidP="00D77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charset w:val="4D"/>
    <w:family w:val="auto"/>
    <w:pitch w:val="variable"/>
    <w:sig w:usb0="A000002F" w:usb1="1000004A" w:usb2="00000000" w:usb3="00000000" w:csb0="00000193" w:csb1="00000000"/>
  </w:font>
  <w:font w:name="ArialMT">
    <w:altName w:val="Arial"/>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6C4A" w14:textId="77777777" w:rsidR="00D772C9" w:rsidRDefault="00D772C9">
    <w:pPr>
      <w:pStyle w:val="Piedepgina"/>
    </w:pPr>
    <w:r>
      <w:rPr>
        <w:noProof/>
      </w:rPr>
      <w:drawing>
        <wp:inline distT="0" distB="0" distL="0" distR="0" wp14:anchorId="04354B8A" wp14:editId="0B9F9CA4">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0548F934" wp14:editId="5B8CE72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26AF5CA9"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9A822C2" w14:textId="77777777" w:rsidR="00D772C9" w:rsidRPr="003F3941" w:rsidRDefault="00D772C9"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24A3815" w14:textId="77777777" w:rsidR="00D772C9" w:rsidRPr="003F3941" w:rsidRDefault="00D772C9"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4563BAB" w14:textId="77777777" w:rsidR="00D772C9" w:rsidRPr="003F3941" w:rsidRDefault="00D772C9"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B3BF83F" w14:textId="77777777" w:rsidR="00D772C9" w:rsidRPr="003F3941" w:rsidRDefault="00D772C9"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308275B8" w14:textId="77777777" w:rsidR="00D772C9" w:rsidRDefault="00D772C9"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EBB69" w14:textId="77777777" w:rsidR="00F935F3" w:rsidRDefault="00F935F3" w:rsidP="00D772C9">
      <w:pPr>
        <w:spacing w:after="0" w:line="240" w:lineRule="auto"/>
      </w:pPr>
      <w:r>
        <w:separator/>
      </w:r>
    </w:p>
  </w:footnote>
  <w:footnote w:type="continuationSeparator" w:id="0">
    <w:p w14:paraId="39F8BF30" w14:textId="77777777" w:rsidR="00F935F3" w:rsidRDefault="00F935F3" w:rsidP="00D772C9">
      <w:pPr>
        <w:spacing w:after="0" w:line="240" w:lineRule="auto"/>
      </w:pPr>
      <w:r>
        <w:continuationSeparator/>
      </w:r>
    </w:p>
  </w:footnote>
  <w:footnote w:id="1">
    <w:p w14:paraId="4A7F20A8" w14:textId="77777777" w:rsidR="00D772C9" w:rsidRPr="00AE2707" w:rsidRDefault="00D772C9" w:rsidP="00D772C9">
      <w:pPr>
        <w:pStyle w:val="Textonotapie"/>
        <w:ind w:firstLine="708"/>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E2707">
        <w:rPr>
          <w:rFonts w:ascii="Arial" w:hAnsi="Arial" w:cs="Arial"/>
          <w:i/>
          <w:iCs/>
          <w:sz w:val="12"/>
          <w:szCs w:val="12"/>
        </w:rPr>
        <w:t xml:space="preserve">ibidem </w:t>
      </w:r>
      <w:r w:rsidRPr="00AE2707">
        <w:rPr>
          <w:rFonts w:ascii="Arial" w:hAnsi="Arial" w:cs="Arial"/>
          <w:sz w:val="12"/>
          <w:szCs w:val="12"/>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0A14B197" w14:textId="77777777" w:rsidR="00D772C9" w:rsidRPr="00AE2707" w:rsidRDefault="00D772C9" w:rsidP="00D772C9">
      <w:pPr>
        <w:pStyle w:val="Textonotapie"/>
        <w:ind w:firstLine="708"/>
        <w:jc w:val="both"/>
        <w:rPr>
          <w:rFonts w:ascii="Arial" w:hAnsi="Arial" w:cs="Arial"/>
          <w:sz w:val="12"/>
          <w:szCs w:val="12"/>
          <w:lang w:val="es-ES"/>
        </w:rPr>
      </w:pPr>
    </w:p>
  </w:footnote>
  <w:footnote w:id="2">
    <w:p w14:paraId="56ED9830" w14:textId="77777777" w:rsidR="00D772C9" w:rsidRDefault="00D772C9" w:rsidP="00D772C9">
      <w:pPr>
        <w:pStyle w:val="Textonotapie"/>
        <w:ind w:firstLine="709"/>
        <w:jc w:val="both"/>
        <w:rPr>
          <w:rStyle w:val="Hipervnculo"/>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AE2707">
          <w:rPr>
            <w:rStyle w:val="Hipervnculo"/>
            <w:rFonts w:ascii="Arial" w:hAnsi="Arial" w:cs="Arial"/>
            <w:sz w:val="12"/>
            <w:szCs w:val="12"/>
          </w:rPr>
          <w:t>https://relatoria.colombiacompra.gov.co/busqueda/conceptos</w:t>
        </w:r>
      </w:hyperlink>
    </w:p>
    <w:p w14:paraId="73F45B53" w14:textId="77777777" w:rsidR="00D772C9" w:rsidRPr="00AE2707" w:rsidRDefault="00D772C9" w:rsidP="00D772C9">
      <w:pPr>
        <w:pStyle w:val="Textonotapie"/>
        <w:ind w:firstLine="709"/>
        <w:jc w:val="both"/>
        <w:rPr>
          <w:rFonts w:ascii="Arial" w:hAnsi="Arial" w:cs="Arial"/>
          <w:sz w:val="12"/>
          <w:szCs w:val="12"/>
        </w:rPr>
      </w:pPr>
      <w:r w:rsidRPr="00AE2707">
        <w:rPr>
          <w:rStyle w:val="Hipervnculo"/>
          <w:rFonts w:ascii="Arial" w:hAnsi="Arial" w:cs="Arial"/>
          <w:sz w:val="12"/>
          <w:szCs w:val="12"/>
        </w:rPr>
        <w:t xml:space="preserve"> </w:t>
      </w:r>
      <w:r w:rsidRPr="00AE2707">
        <w:rPr>
          <w:rFonts w:ascii="Arial" w:hAnsi="Arial" w:cs="Arial"/>
          <w:sz w:val="12"/>
          <w:szCs w:val="12"/>
          <w:shd w:val="clear" w:color="auto" w:fill="E6E6E6"/>
        </w:rPr>
        <w:t xml:space="preserve"> </w:t>
      </w:r>
    </w:p>
  </w:footnote>
  <w:footnote w:id="3">
    <w:p w14:paraId="006082F5" w14:textId="77777777" w:rsidR="00D772C9" w:rsidRPr="00AE2707" w:rsidRDefault="00D772C9" w:rsidP="00D772C9">
      <w:pPr>
        <w:pStyle w:val="Textonotapie"/>
        <w:ind w:firstLine="709"/>
        <w:jc w:val="both"/>
        <w:rPr>
          <w:rFonts w:ascii="Arial" w:hAnsi="Arial" w:cs="Arial"/>
          <w:sz w:val="12"/>
          <w:szCs w:val="12"/>
          <w:lang w:val="es-ES_tradnl"/>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pt-BR"/>
        </w:rPr>
        <w:t>CORTE CONSTITUCIONAL. Sentencia C-1016 de 2012. M.P. Jorge Iván Palacio.</w:t>
      </w:r>
    </w:p>
  </w:footnote>
  <w:footnote w:id="4">
    <w:p w14:paraId="118C919A" w14:textId="77777777" w:rsidR="00D772C9" w:rsidRPr="00AE2707" w:rsidRDefault="00D772C9" w:rsidP="00D772C9">
      <w:pPr>
        <w:pStyle w:val="Textonotapie"/>
        <w:ind w:firstLine="709"/>
        <w:jc w:val="both"/>
        <w:rPr>
          <w:rFonts w:ascii="Arial" w:hAnsi="Arial" w:cs="Arial"/>
          <w:sz w:val="12"/>
          <w:szCs w:val="12"/>
          <w:lang w:val="pt-BR"/>
        </w:rPr>
      </w:pPr>
      <w:r w:rsidRPr="00AE2707">
        <w:rPr>
          <w:rStyle w:val="Refdenotaalpie"/>
          <w:rFonts w:ascii="Arial" w:hAnsi="Arial" w:cs="Arial"/>
          <w:sz w:val="12"/>
          <w:szCs w:val="12"/>
        </w:rPr>
        <w:footnoteRef/>
      </w:r>
      <w:r w:rsidRPr="00AE2707">
        <w:rPr>
          <w:rFonts w:ascii="Arial" w:hAnsi="Arial" w:cs="Arial"/>
          <w:sz w:val="12"/>
          <w:szCs w:val="12"/>
        </w:rPr>
        <w:t xml:space="preserve"> CONSEJO DE ESTADO. Sección Tercera. Subsección A. Sentencia del 13 de noviembre de 2013. </w:t>
      </w:r>
      <w:r w:rsidRPr="00AE2707">
        <w:rPr>
          <w:rFonts w:ascii="Arial" w:hAnsi="Arial" w:cs="Arial"/>
          <w:sz w:val="12"/>
          <w:szCs w:val="12"/>
          <w:lang w:val="pt-BR"/>
        </w:rPr>
        <w:t xml:space="preserve">Rad. 25.646. C.P. Mauricio Fajardo Gómez.  </w:t>
      </w:r>
    </w:p>
    <w:p w14:paraId="58BA74F2" w14:textId="77777777" w:rsidR="00D772C9" w:rsidRPr="00AE2707" w:rsidRDefault="00D772C9" w:rsidP="00D772C9">
      <w:pPr>
        <w:pStyle w:val="Textonotapie"/>
        <w:ind w:firstLine="709"/>
        <w:jc w:val="both"/>
        <w:rPr>
          <w:rFonts w:ascii="Arial" w:hAnsi="Arial" w:cs="Arial"/>
          <w:sz w:val="12"/>
          <w:szCs w:val="12"/>
          <w:lang w:val="es-ES_tradnl"/>
        </w:rPr>
      </w:pPr>
    </w:p>
  </w:footnote>
  <w:footnote w:id="5">
    <w:p w14:paraId="0425525F" w14:textId="77777777" w:rsidR="00D772C9" w:rsidRPr="00AE2707" w:rsidRDefault="00D772C9" w:rsidP="00D772C9">
      <w:pPr>
        <w:pStyle w:val="Textonotapie"/>
        <w:ind w:firstLine="709"/>
        <w:jc w:val="both"/>
        <w:rPr>
          <w:rFonts w:ascii="Arial" w:hAnsi="Arial" w:cs="Arial"/>
          <w:sz w:val="12"/>
          <w:szCs w:val="12"/>
          <w:lang w:val="es-ES_tradnl"/>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pt-BR"/>
        </w:rPr>
        <w:t>CORTE CONSTITUCIONAL. Sentencia C-415 de 1994. M.P. Eduardo Cifuentes Muñoz.</w:t>
      </w:r>
    </w:p>
  </w:footnote>
  <w:footnote w:id="6">
    <w:p w14:paraId="26D5C621" w14:textId="77777777" w:rsidR="00D772C9" w:rsidRPr="00AE2707" w:rsidRDefault="00D772C9" w:rsidP="00D772C9">
      <w:pPr>
        <w:pStyle w:val="Textonotapie"/>
        <w:ind w:firstLine="709"/>
        <w:jc w:val="both"/>
        <w:rPr>
          <w:rFonts w:ascii="Arial" w:hAnsi="Arial" w:cs="Arial"/>
          <w:sz w:val="12"/>
          <w:szCs w:val="12"/>
        </w:rPr>
      </w:pPr>
    </w:p>
    <w:p w14:paraId="721E9BA1" w14:textId="77777777" w:rsidR="00D772C9" w:rsidRPr="00AE2707" w:rsidRDefault="00D772C9" w:rsidP="00D772C9">
      <w:pPr>
        <w:pStyle w:val="Textonotapie"/>
        <w:ind w:firstLine="709"/>
        <w:jc w:val="both"/>
        <w:rPr>
          <w:rFonts w:ascii="Arial" w:hAnsi="Arial" w:cs="Arial"/>
          <w:sz w:val="12"/>
          <w:szCs w:val="12"/>
          <w:lang w:val="pt-BR"/>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pt-BR"/>
        </w:rPr>
        <w:t>Ibídem.</w:t>
      </w:r>
    </w:p>
    <w:p w14:paraId="1B455FCF" w14:textId="77777777" w:rsidR="00D772C9" w:rsidRPr="00AE2707" w:rsidRDefault="00D772C9" w:rsidP="00D772C9">
      <w:pPr>
        <w:pStyle w:val="Textonotapie"/>
        <w:ind w:firstLine="709"/>
        <w:jc w:val="both"/>
        <w:rPr>
          <w:rFonts w:ascii="Arial" w:hAnsi="Arial" w:cs="Arial"/>
          <w:sz w:val="12"/>
          <w:szCs w:val="12"/>
          <w:lang w:val="pt-BR"/>
        </w:rPr>
      </w:pPr>
    </w:p>
  </w:footnote>
  <w:footnote w:id="7">
    <w:p w14:paraId="4F794677" w14:textId="77777777" w:rsidR="00D772C9" w:rsidRPr="004D3F6E" w:rsidRDefault="00D772C9" w:rsidP="00D772C9">
      <w:pPr>
        <w:pStyle w:val="Textonotapie"/>
        <w:ind w:firstLine="709"/>
        <w:jc w:val="both"/>
        <w:rPr>
          <w:rFonts w:ascii="Arial" w:hAnsi="Arial" w:cs="Arial"/>
          <w:sz w:val="12"/>
          <w:szCs w:val="12"/>
          <w:lang w:val="es-CO"/>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pt-BR"/>
        </w:rPr>
        <w:t xml:space="preserve">CORTE CONSTITUCIONAL. </w:t>
      </w:r>
      <w:r w:rsidRPr="00AE2707">
        <w:rPr>
          <w:rFonts w:ascii="Arial" w:hAnsi="Arial" w:cs="Arial"/>
          <w:sz w:val="12"/>
          <w:szCs w:val="12"/>
        </w:rPr>
        <w:t xml:space="preserve">Sentencia C-780 de 2001. </w:t>
      </w:r>
      <w:r w:rsidRPr="004D3F6E">
        <w:rPr>
          <w:rFonts w:ascii="Arial" w:hAnsi="Arial" w:cs="Arial"/>
          <w:sz w:val="12"/>
          <w:szCs w:val="12"/>
          <w:lang w:val="es-CO"/>
        </w:rPr>
        <w:t xml:space="preserve">M.P. Jaime Córdoba Triviño. </w:t>
      </w:r>
    </w:p>
  </w:footnote>
  <w:footnote w:id="8">
    <w:p w14:paraId="7A911AE5" w14:textId="77777777" w:rsidR="00D772C9" w:rsidRPr="00AE2707" w:rsidRDefault="00D772C9" w:rsidP="00D772C9">
      <w:pPr>
        <w:pStyle w:val="NormalWeb"/>
        <w:spacing w:after="0"/>
        <w:ind w:firstLine="709"/>
        <w:jc w:val="both"/>
        <w:rPr>
          <w:rFonts w:ascii="Arial" w:hAnsi="Arial" w:cs="Arial"/>
          <w:sz w:val="12"/>
          <w:szCs w:val="12"/>
        </w:rPr>
      </w:pPr>
    </w:p>
    <w:p w14:paraId="2BC1B0F7" w14:textId="77777777" w:rsidR="00D772C9" w:rsidRPr="00AE2707" w:rsidRDefault="00D772C9" w:rsidP="00D772C9">
      <w:pPr>
        <w:pStyle w:val="NormalWeb"/>
        <w:spacing w:after="0"/>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Ley 80 de 1993: “Artículo 8: 1o. Son inhábiles para participar en licitaciones o concursos y para celebrar contratos con las entidades estatales: </w:t>
      </w:r>
    </w:p>
    <w:p w14:paraId="40AEAB41"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a) Las personas que se hallen inhabilitadas para contratar por la Constitución y las leyes. </w:t>
      </w:r>
    </w:p>
    <w:p w14:paraId="07ECA6F2"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b) Quienes participaron en las licitaciones o concursos o celebraron los contratos de que trata el literal anterior estando inhabilitados. </w:t>
      </w:r>
    </w:p>
    <w:p w14:paraId="1CCD4C96" w14:textId="77777777" w:rsidR="00D772C9" w:rsidRPr="00AE2707" w:rsidRDefault="00D772C9" w:rsidP="00D772C9">
      <w:pPr>
        <w:pStyle w:val="NormalWeb"/>
        <w:spacing w:after="0"/>
        <w:ind w:firstLine="709"/>
        <w:jc w:val="both"/>
        <w:rPr>
          <w:rFonts w:ascii="Arial" w:hAnsi="Arial" w:cs="Arial"/>
          <w:sz w:val="12"/>
          <w:szCs w:val="12"/>
          <w:lang w:val="es-ES"/>
        </w:rPr>
      </w:pPr>
      <w:r w:rsidRPr="00AE2707">
        <w:rPr>
          <w:rFonts w:ascii="Arial" w:hAnsi="Arial" w:cs="Arial"/>
          <w:sz w:val="12"/>
          <w:szCs w:val="12"/>
          <w:lang w:val="es-ES"/>
        </w:rPr>
        <w:t>c) Quienes dieron lugar a la declaratoria de caducidad. </w:t>
      </w:r>
    </w:p>
    <w:p w14:paraId="0AFFD297" w14:textId="77777777" w:rsidR="00D772C9" w:rsidRPr="00AE2707" w:rsidRDefault="00D772C9" w:rsidP="00D772C9">
      <w:pPr>
        <w:pStyle w:val="NormalWeb"/>
        <w:spacing w:after="0"/>
        <w:ind w:firstLine="709"/>
        <w:jc w:val="both"/>
        <w:rPr>
          <w:rFonts w:ascii="Arial" w:hAnsi="Arial" w:cs="Arial"/>
          <w:sz w:val="12"/>
          <w:szCs w:val="12"/>
          <w:lang w:val="es-ES"/>
        </w:rPr>
      </w:pPr>
      <w:r w:rsidRPr="00AE2707">
        <w:rPr>
          <w:rFonts w:ascii="Arial" w:hAnsi="Arial" w:cs="Arial"/>
          <w:sz w:val="12"/>
          <w:szCs w:val="12"/>
          <w:lang w:val="es-ES"/>
        </w:rPr>
        <w:t>d) Quienes en sentencia judicial hayan sido condenados a la pena accesoria de interdicción de derechos y funciones públicas y quienes hayan sido sancionados disciplinariamente con destitución. </w:t>
      </w:r>
    </w:p>
    <w:p w14:paraId="133E91E5"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e) Quienes sin justa causa se abstengan de suscribir el contrato estatal adjudicado. </w:t>
      </w:r>
    </w:p>
    <w:p w14:paraId="626FCA04"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f) Los servidores públicos. </w:t>
      </w:r>
    </w:p>
    <w:p w14:paraId="75A5F4C2"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g) Quienes sean cónyuges o compañeros permanentes y quienes se encuentren dentro del segundo grado de consanguinidad o segundo de afinidad con cualquier otra persona que formalmente haya presentado propuesta para una misma licitación o concurso. </w:t>
      </w:r>
    </w:p>
    <w:p w14:paraId="7AABB999" w14:textId="77777777" w:rsidR="00D772C9" w:rsidRPr="00AE2707" w:rsidRDefault="00D772C9" w:rsidP="00D772C9">
      <w:pPr>
        <w:pStyle w:val="NormalWeb"/>
        <w:spacing w:after="0"/>
        <w:ind w:firstLine="709"/>
        <w:jc w:val="both"/>
        <w:rPr>
          <w:rFonts w:ascii="Arial" w:hAnsi="Arial" w:cs="Arial"/>
          <w:sz w:val="12"/>
          <w:szCs w:val="12"/>
          <w:lang w:val="es-ES"/>
        </w:rPr>
      </w:pPr>
      <w:r w:rsidRPr="00AE2707">
        <w:rPr>
          <w:rFonts w:ascii="Arial" w:hAnsi="Arial" w:cs="Arial"/>
          <w:sz w:val="12"/>
          <w:szCs w:val="12"/>
          <w:lang w:val="es-E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28FC1DFE"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i) Los socios de sociedades de personas a las cuales se haya declarado la caducidad, así como las sociedades de personas de las que aquellos formen parte con posterioridad a dicha declaratoria. </w:t>
      </w:r>
    </w:p>
    <w:p w14:paraId="6B17530A" w14:textId="77777777" w:rsidR="00D772C9" w:rsidRPr="00AE2707" w:rsidRDefault="00D772C9" w:rsidP="00D772C9">
      <w:pPr>
        <w:pStyle w:val="NormalWeb"/>
        <w:spacing w:after="0"/>
        <w:ind w:firstLine="709"/>
        <w:jc w:val="both"/>
        <w:rPr>
          <w:rFonts w:ascii="Arial" w:hAnsi="Arial" w:cs="Arial"/>
          <w:sz w:val="12"/>
          <w:szCs w:val="12"/>
          <w:lang w:val="es-ES"/>
        </w:rPr>
      </w:pPr>
      <w:r w:rsidRPr="00AE2707">
        <w:rPr>
          <w:rFonts w:ascii="Arial" w:hAnsi="Arial" w:cs="Arial"/>
          <w:sz w:val="12"/>
          <w:szCs w:val="12"/>
          <w:lang w:val="es-ES"/>
        </w:rPr>
        <w:t>  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78D9A88E"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1244E97"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AE2707">
        <w:rPr>
          <w:rFonts w:ascii="Arial" w:hAnsi="Arial" w:cs="Arial"/>
          <w:sz w:val="12"/>
          <w:szCs w:val="12"/>
          <w:lang w:val="es-E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AE2707">
        <w:rPr>
          <w:rFonts w:ascii="Arial" w:hAnsi="Arial" w:cs="Arial"/>
          <w:sz w:val="12"/>
          <w:szCs w:val="12"/>
          <w:lang w:val="es-ES"/>
        </w:rPr>
        <w:softHyphen/>
        <w:t>cepción de las sociedades anónimas abiertas. También se considerarán inhabilitadas para contratar, las personas jurídicas sobre las cuales se haya ordenado la suspensión de la perso</w:t>
      </w:r>
      <w:r w:rsidRPr="00AE2707">
        <w:rPr>
          <w:rFonts w:ascii="Arial" w:hAnsi="Arial" w:cs="Arial"/>
          <w:sz w:val="12"/>
          <w:szCs w:val="12"/>
          <w:lang w:val="es-ES"/>
        </w:rPr>
        <w:softHyphen/>
        <w:t>nería jurídica en los términos de ley, o cuyos representantes legales, ad</w:t>
      </w:r>
      <w:r w:rsidRPr="00AE2707">
        <w:rPr>
          <w:rFonts w:ascii="Arial" w:hAnsi="Arial" w:cs="Arial"/>
          <w:sz w:val="12"/>
          <w:szCs w:val="12"/>
          <w:lang w:val="es-E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AE2707">
        <w:rPr>
          <w:rFonts w:ascii="Arial" w:hAnsi="Arial" w:cs="Arial"/>
          <w:sz w:val="12"/>
          <w:szCs w:val="12"/>
          <w:lang w:val="es-E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78E7CC32" w14:textId="77777777" w:rsidR="00D772C9" w:rsidRPr="00AE2707" w:rsidRDefault="00D772C9" w:rsidP="00D772C9">
      <w:pPr>
        <w:pStyle w:val="NormalWeb"/>
        <w:spacing w:after="0"/>
        <w:ind w:firstLine="709"/>
        <w:jc w:val="both"/>
        <w:rPr>
          <w:rFonts w:ascii="Arial" w:hAnsi="Arial" w:cs="Arial"/>
          <w:sz w:val="12"/>
          <w:szCs w:val="12"/>
          <w:lang w:val="es-ES"/>
        </w:rPr>
      </w:pPr>
      <w:r w:rsidRPr="00AE2707">
        <w:rPr>
          <w:rFonts w:ascii="Arial" w:hAnsi="Arial" w:cs="Arial"/>
          <w:sz w:val="12"/>
          <w:szCs w:val="12"/>
          <w:lang w:val="es-ES"/>
        </w:rPr>
        <w:t>[…]</w:t>
      </w:r>
    </w:p>
    <w:p w14:paraId="6F919618" w14:textId="77777777" w:rsidR="00D772C9" w:rsidRPr="00AE2707" w:rsidRDefault="00D772C9" w:rsidP="00D772C9">
      <w:pPr>
        <w:pStyle w:val="NormalWeb"/>
        <w:spacing w:after="0"/>
        <w:ind w:firstLine="709"/>
        <w:jc w:val="both"/>
        <w:rPr>
          <w:rFonts w:ascii="Arial" w:hAnsi="Arial" w:cs="Arial"/>
          <w:sz w:val="12"/>
          <w:szCs w:val="12"/>
          <w:lang w:val="es-ES"/>
        </w:rPr>
      </w:pPr>
      <w:r w:rsidRPr="00AE2707">
        <w:rPr>
          <w:rFonts w:ascii="Arial" w:hAnsi="Arial" w:cs="Arial"/>
          <w:sz w:val="12"/>
          <w:szCs w:val="12"/>
          <w:lang w:val="es-ES"/>
        </w:rPr>
        <w:t>2o. Tampoco podrán participar en licitaciones o concursos ni celebrar contratos estatales con la entidad respectiva: </w:t>
      </w:r>
    </w:p>
    <w:p w14:paraId="3F380158"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629852BA"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08AA8789"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c) El cónyuge, compañero o compañera permanente del servidor público en los niveles directivo, asesor, ejecutivo, o de un miembro de la junta o consejo directivo, o de quien ejerza funciones de control interno o de control fiscal. </w:t>
      </w:r>
    </w:p>
    <w:p w14:paraId="111E3DB5"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5031FF4D"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e) Los miembros de las juntas o consejos directivos. Esta incompatibilidad sólo se predica respecto de la entidad a la cual prestan sus servicios y de las del sector administrativo al que la misma esté adscrita o vinculada. </w:t>
      </w:r>
    </w:p>
    <w:p w14:paraId="291C0FCE" w14:textId="77777777" w:rsidR="00D772C9" w:rsidRPr="00AE2707" w:rsidRDefault="00D772C9" w:rsidP="00D772C9">
      <w:pPr>
        <w:pStyle w:val="NormalWeb"/>
        <w:spacing w:after="0"/>
        <w:ind w:firstLine="708"/>
        <w:jc w:val="both"/>
        <w:rPr>
          <w:rFonts w:ascii="Arial" w:hAnsi="Arial" w:cs="Arial"/>
          <w:sz w:val="12"/>
          <w:szCs w:val="12"/>
          <w:lang w:val="es-ES"/>
        </w:rPr>
      </w:pPr>
      <w:r w:rsidRPr="00AE2707">
        <w:rPr>
          <w:rFonts w:ascii="Arial" w:hAnsi="Arial" w:cs="Arial"/>
          <w:sz w:val="12"/>
          <w:szCs w:val="12"/>
          <w:lang w:val="es-E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 </w:t>
      </w:r>
    </w:p>
  </w:footnote>
  <w:footnote w:id="9">
    <w:p w14:paraId="34971BB7"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240F1911" w14:textId="77777777" w:rsidR="00D772C9" w:rsidRPr="00AE2707" w:rsidRDefault="00D772C9" w:rsidP="00D772C9">
      <w:pPr>
        <w:pStyle w:val="Textonotapie"/>
        <w:ind w:firstLine="709"/>
        <w:jc w:val="both"/>
        <w:rPr>
          <w:rFonts w:ascii="Arial" w:hAnsi="Arial" w:cs="Arial"/>
          <w:sz w:val="12"/>
          <w:szCs w:val="12"/>
        </w:rPr>
      </w:pPr>
      <w:r w:rsidRPr="00AE2707">
        <w:rPr>
          <w:rFonts w:ascii="Arial" w:hAnsi="Arial" w:cs="Arial"/>
          <w:sz w:val="12"/>
          <w:szCs w:val="12"/>
        </w:rPr>
        <w:t>Las personas jurídicas nacionales y extranjeras deberán acreditar que su duración no será inferior a la del plazo del contrato y un año más”.</w:t>
      </w:r>
    </w:p>
  </w:footnote>
  <w:footnote w:id="10">
    <w:p w14:paraId="724175FE" w14:textId="77777777" w:rsidR="00D772C9" w:rsidRPr="00AE2707" w:rsidRDefault="00D772C9" w:rsidP="00D772C9">
      <w:pPr>
        <w:pStyle w:val="Textonotapie"/>
        <w:ind w:firstLine="709"/>
        <w:jc w:val="both"/>
        <w:rPr>
          <w:rFonts w:ascii="Arial" w:hAnsi="Arial" w:cs="Arial"/>
          <w:sz w:val="12"/>
          <w:szCs w:val="12"/>
        </w:rPr>
      </w:pPr>
    </w:p>
    <w:p w14:paraId="545882CA"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Código Civil: “Artículo 1502. Requisitos para obligarse. Para que una persona se obligue a otra por un acto o declaración de voluntad, es necesario:</w:t>
      </w:r>
    </w:p>
    <w:p w14:paraId="629E606A" w14:textId="77777777" w:rsidR="00D772C9" w:rsidRPr="00AE2707" w:rsidRDefault="00D772C9" w:rsidP="00D772C9">
      <w:pPr>
        <w:pStyle w:val="Textonotapie"/>
        <w:ind w:firstLine="709"/>
        <w:jc w:val="both"/>
        <w:rPr>
          <w:rFonts w:ascii="Arial" w:hAnsi="Arial" w:cs="Arial"/>
          <w:sz w:val="12"/>
          <w:szCs w:val="12"/>
        </w:rPr>
      </w:pPr>
      <w:r w:rsidRPr="00AE2707">
        <w:rPr>
          <w:rFonts w:ascii="Arial" w:hAnsi="Arial" w:cs="Arial"/>
          <w:sz w:val="12"/>
          <w:szCs w:val="12"/>
        </w:rPr>
        <w:t>1o.) que sea legalmente capaz.</w:t>
      </w:r>
    </w:p>
    <w:p w14:paraId="70E5A4F6" w14:textId="77777777" w:rsidR="00D772C9" w:rsidRPr="00AE2707" w:rsidRDefault="00D772C9" w:rsidP="00D772C9">
      <w:pPr>
        <w:pStyle w:val="Textonotapie"/>
        <w:ind w:firstLine="709"/>
        <w:jc w:val="both"/>
        <w:rPr>
          <w:rFonts w:ascii="Arial" w:hAnsi="Arial" w:cs="Arial"/>
          <w:sz w:val="12"/>
          <w:szCs w:val="12"/>
        </w:rPr>
      </w:pPr>
      <w:r w:rsidRPr="00AE2707">
        <w:rPr>
          <w:rFonts w:ascii="Arial" w:hAnsi="Arial" w:cs="Arial"/>
          <w:sz w:val="12"/>
          <w:szCs w:val="12"/>
        </w:rPr>
        <w:t>[…]</w:t>
      </w:r>
    </w:p>
    <w:p w14:paraId="34F66522" w14:textId="77777777" w:rsidR="00D772C9" w:rsidRPr="00AE2707" w:rsidRDefault="00D772C9" w:rsidP="00D772C9">
      <w:pPr>
        <w:pStyle w:val="Textonotapie"/>
        <w:ind w:firstLine="709"/>
        <w:jc w:val="both"/>
        <w:rPr>
          <w:rFonts w:ascii="Arial" w:hAnsi="Arial" w:cs="Arial"/>
          <w:sz w:val="12"/>
          <w:szCs w:val="12"/>
        </w:rPr>
      </w:pPr>
      <w:r w:rsidRPr="00AE2707">
        <w:rPr>
          <w:rFonts w:ascii="Arial" w:hAnsi="Arial" w:cs="Arial"/>
          <w:sz w:val="12"/>
          <w:szCs w:val="12"/>
        </w:rPr>
        <w:t>La capacidad legal de una persona consiste en poderse obligar por sí misma, sin el ministerio o la autorización de otra”.</w:t>
      </w:r>
    </w:p>
  </w:footnote>
  <w:footnote w:id="11">
    <w:p w14:paraId="6B929540" w14:textId="77777777" w:rsidR="00D772C9" w:rsidRPr="00AE2707" w:rsidRDefault="00D772C9" w:rsidP="00D772C9">
      <w:pPr>
        <w:pStyle w:val="Textonotapie"/>
        <w:ind w:firstLine="709"/>
        <w:jc w:val="both"/>
        <w:rPr>
          <w:rFonts w:ascii="Arial" w:hAnsi="Arial" w:cs="Arial"/>
          <w:sz w:val="12"/>
          <w:szCs w:val="12"/>
        </w:rPr>
      </w:pPr>
    </w:p>
    <w:p w14:paraId="7174B886"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Decreto Ley 19 de 2012: “Artículo 221. El artículo 6 de la Ley 1150 de 2007, quedará así:</w:t>
      </w:r>
    </w:p>
    <w:p w14:paraId="25D7EBAF" w14:textId="77777777" w:rsidR="00D772C9" w:rsidRPr="00AE2707" w:rsidRDefault="00D772C9" w:rsidP="00D772C9">
      <w:pPr>
        <w:pStyle w:val="Textonotapie"/>
        <w:ind w:firstLine="709"/>
        <w:jc w:val="both"/>
        <w:rPr>
          <w:rFonts w:ascii="Arial" w:hAnsi="Arial" w:cs="Arial"/>
          <w:sz w:val="12"/>
          <w:szCs w:val="12"/>
          <w:lang w:val="es-ES"/>
        </w:rPr>
      </w:pPr>
      <w:r w:rsidRPr="00AE2707">
        <w:rPr>
          <w:rFonts w:ascii="Arial" w:hAnsi="Arial" w:cs="Arial"/>
          <w:sz w:val="12"/>
          <w:szCs w:val="12"/>
        </w:rPr>
        <w:t>Artículo 6. De la verificación de las condiciones de los proponentes. T</w:t>
      </w:r>
      <w:r w:rsidRPr="00AE2707">
        <w:rPr>
          <w:rFonts w:ascii="Arial" w:hAnsi="Arial" w:cs="Arial"/>
          <w:sz w:val="12"/>
          <w:szCs w:val="12"/>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7796DEA" w14:textId="77777777" w:rsidR="00D772C9" w:rsidRPr="00AE2707" w:rsidRDefault="00D772C9" w:rsidP="00D772C9">
      <w:pPr>
        <w:pStyle w:val="Textonotapie"/>
        <w:ind w:firstLine="709"/>
        <w:jc w:val="both"/>
        <w:rPr>
          <w:rFonts w:ascii="Arial" w:hAnsi="Arial" w:cs="Arial"/>
          <w:sz w:val="12"/>
          <w:szCs w:val="12"/>
          <w:lang w:val="es-ES"/>
        </w:rPr>
      </w:pPr>
      <w:r w:rsidRPr="00AE2707">
        <w:rPr>
          <w:rFonts w:ascii="Arial" w:hAnsi="Arial" w:cs="Arial"/>
          <w:sz w:val="12"/>
          <w:szCs w:val="12"/>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2">
    <w:p w14:paraId="387AA5F1" w14:textId="77777777" w:rsidR="00D772C9" w:rsidRPr="00AE2707" w:rsidRDefault="00D772C9" w:rsidP="00D772C9">
      <w:pPr>
        <w:pStyle w:val="Textonotapie"/>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AE2707">
        <w:rPr>
          <w:rFonts w:ascii="Arial" w:hAnsi="Arial" w:cs="Arial"/>
          <w:i/>
          <w:iCs/>
          <w:sz w:val="12"/>
          <w:szCs w:val="12"/>
          <w:lang w:val="es-ES"/>
        </w:rPr>
        <w:t>el régimen de inhabilidades e incompatibilidades</w:t>
      </w:r>
      <w:r w:rsidRPr="00AE2707">
        <w:rPr>
          <w:rFonts w:ascii="Arial" w:hAnsi="Arial" w:cs="Arial"/>
          <w:sz w:val="12"/>
          <w:szCs w:val="12"/>
          <w:lang w:val="es-ES"/>
        </w:rPr>
        <w:t xml:space="preserve"> (1) y la obligación de ciertos proponentes de inscribirse en el </w:t>
      </w:r>
      <w:r w:rsidRPr="00AE2707">
        <w:rPr>
          <w:rFonts w:ascii="Arial" w:hAnsi="Arial" w:cs="Arial"/>
          <w:i/>
          <w:iCs/>
          <w:sz w:val="12"/>
          <w:szCs w:val="12"/>
          <w:lang w:val="es-ES"/>
        </w:rPr>
        <w:t>registro único</w:t>
      </w:r>
      <w:r w:rsidRPr="00AE2707">
        <w:rPr>
          <w:rFonts w:ascii="Arial" w:hAnsi="Arial" w:cs="Arial"/>
          <w:sz w:val="12"/>
          <w:szCs w:val="12"/>
          <w:lang w:val="es-ES"/>
        </w:rPr>
        <w:t xml:space="preserve"> (2)” (BENAVIDES, José Luis. El contrato estatal. Entre el Derecho público y el Derecho privado. 2ª ed. Bogotá: Universidad Externado de Colombia, 2004. p. 278). </w:t>
      </w:r>
    </w:p>
  </w:footnote>
  <w:footnote w:id="13">
    <w:p w14:paraId="543CD2A9" w14:textId="77777777" w:rsidR="00D772C9" w:rsidRPr="00AE2707" w:rsidRDefault="00D772C9" w:rsidP="00D772C9">
      <w:pPr>
        <w:spacing w:after="0" w:line="240" w:lineRule="auto"/>
        <w:ind w:firstLine="709"/>
        <w:jc w:val="both"/>
        <w:rPr>
          <w:rFonts w:ascii="Arial" w:hAnsi="Arial" w:cs="Arial"/>
          <w:sz w:val="12"/>
          <w:szCs w:val="12"/>
        </w:rPr>
      </w:pPr>
    </w:p>
    <w:p w14:paraId="3C6A7B81" w14:textId="77777777" w:rsidR="00D772C9" w:rsidRPr="00AE2707" w:rsidRDefault="00D772C9" w:rsidP="00D772C9">
      <w:pPr>
        <w:spacing w:after="0" w:line="240" w:lineRule="auto"/>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footnote>
  <w:footnote w:id="14">
    <w:p w14:paraId="5C10E319" w14:textId="77777777" w:rsidR="00D772C9" w:rsidRPr="00AE2707" w:rsidRDefault="00D772C9" w:rsidP="00D772C9">
      <w:pPr>
        <w:pStyle w:val="Textonotapie"/>
        <w:ind w:firstLine="709"/>
        <w:jc w:val="both"/>
        <w:rPr>
          <w:rFonts w:ascii="Arial" w:hAnsi="Arial" w:cs="Arial"/>
          <w:sz w:val="12"/>
          <w:szCs w:val="12"/>
        </w:rPr>
      </w:pPr>
    </w:p>
    <w:p w14:paraId="0EE50AC1" w14:textId="77777777" w:rsidR="00D772C9" w:rsidRPr="00AE2707" w:rsidRDefault="00D772C9" w:rsidP="00D772C9">
      <w:pPr>
        <w:pStyle w:val="Textonotapie"/>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footnote>
  <w:footnote w:id="15">
    <w:p w14:paraId="03DA4B55" w14:textId="77777777" w:rsidR="00D772C9" w:rsidRPr="00AE2707" w:rsidRDefault="00D772C9" w:rsidP="00D772C9">
      <w:pPr>
        <w:pStyle w:val="Textonotapie"/>
        <w:ind w:firstLine="709"/>
        <w:jc w:val="both"/>
        <w:rPr>
          <w:rFonts w:ascii="Arial" w:hAnsi="Arial" w:cs="Arial"/>
          <w:sz w:val="12"/>
          <w:szCs w:val="12"/>
        </w:rPr>
      </w:pPr>
    </w:p>
    <w:p w14:paraId="6888BEB6" w14:textId="77777777" w:rsidR="00D772C9" w:rsidRDefault="00D772C9" w:rsidP="00D772C9">
      <w:pPr>
        <w:pStyle w:val="Textonotapie"/>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num. 1º, lit. k), Ley 80/93, modificado por el art. 33, Ley 1778/16); “Quienes fueron miembros de la junta o consejo directivo o servidores públicos de la entidad contratante” (art. 8, num. 2º, lit.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w:t>
      </w:r>
    </w:p>
    <w:p w14:paraId="61094D38" w14:textId="77777777" w:rsidR="00D772C9" w:rsidRPr="00AE2707" w:rsidRDefault="00D772C9" w:rsidP="00D772C9">
      <w:pPr>
        <w:pStyle w:val="Textonotapie"/>
        <w:ind w:firstLine="709"/>
        <w:jc w:val="both"/>
        <w:rPr>
          <w:rFonts w:ascii="Arial" w:hAnsi="Arial" w:cs="Arial"/>
          <w:sz w:val="12"/>
          <w:szCs w:val="12"/>
          <w:lang w:val="es-ES"/>
        </w:rPr>
      </w:pPr>
    </w:p>
  </w:footnote>
  <w:footnote w:id="16">
    <w:p w14:paraId="3CE435E9" w14:textId="77777777" w:rsidR="00D772C9" w:rsidRPr="00AE2707" w:rsidRDefault="00D772C9" w:rsidP="00D772C9">
      <w:pPr>
        <w:spacing w:after="0" w:line="240" w:lineRule="auto"/>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17">
    <w:p w14:paraId="19F4F9F2" w14:textId="77777777" w:rsidR="00D772C9" w:rsidRPr="00AE2707" w:rsidRDefault="00D772C9" w:rsidP="00D772C9">
      <w:pPr>
        <w:pStyle w:val="Textonotapie"/>
        <w:ind w:firstLine="709"/>
        <w:jc w:val="both"/>
        <w:rPr>
          <w:rFonts w:ascii="Arial" w:hAnsi="Arial" w:cs="Arial"/>
          <w:sz w:val="12"/>
          <w:szCs w:val="12"/>
        </w:rPr>
      </w:pPr>
    </w:p>
    <w:p w14:paraId="66258BA2"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8">
    <w:p w14:paraId="496AB412" w14:textId="77777777" w:rsidR="00D772C9" w:rsidRPr="00AE2707" w:rsidRDefault="00D772C9" w:rsidP="00D772C9">
      <w:pPr>
        <w:pStyle w:val="Textonotapie"/>
        <w:ind w:firstLine="709"/>
        <w:jc w:val="both"/>
        <w:rPr>
          <w:rFonts w:ascii="Arial" w:hAnsi="Arial" w:cs="Arial"/>
          <w:sz w:val="12"/>
          <w:szCs w:val="12"/>
        </w:rPr>
      </w:pPr>
    </w:p>
    <w:p w14:paraId="1D8AF7CC" w14:textId="77777777" w:rsidR="00D772C9" w:rsidRPr="00AE2707" w:rsidRDefault="00D772C9" w:rsidP="00D772C9">
      <w:pPr>
        <w:pStyle w:val="Textonotapie"/>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19">
    <w:p w14:paraId="77511E1B" w14:textId="77777777" w:rsidR="00D772C9" w:rsidRPr="00AE2707" w:rsidRDefault="00D772C9" w:rsidP="00D772C9">
      <w:pPr>
        <w:pStyle w:val="Textonotapie"/>
        <w:ind w:firstLine="709"/>
        <w:jc w:val="both"/>
        <w:rPr>
          <w:rFonts w:ascii="Arial" w:hAnsi="Arial" w:cs="Arial"/>
          <w:sz w:val="12"/>
          <w:szCs w:val="12"/>
        </w:rPr>
      </w:pPr>
    </w:p>
    <w:p w14:paraId="7DFCD935" w14:textId="77777777" w:rsidR="00D772C9" w:rsidRPr="00AE2707" w:rsidRDefault="00D772C9" w:rsidP="00D772C9">
      <w:pPr>
        <w:pStyle w:val="Textonotapie"/>
        <w:ind w:firstLine="709"/>
        <w:jc w:val="both"/>
        <w:rPr>
          <w:rFonts w:ascii="Arial" w:hAnsi="Arial" w:cs="Arial"/>
          <w:sz w:val="12"/>
          <w:szCs w:val="12"/>
          <w:lang w:val="es-ES_tradnl"/>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Ibídem. p. 69.</w:t>
      </w:r>
    </w:p>
  </w:footnote>
  <w:footnote w:id="20">
    <w:p w14:paraId="6825B991" w14:textId="77777777" w:rsidR="00D772C9" w:rsidRPr="00AE2707" w:rsidRDefault="00D772C9" w:rsidP="00D772C9">
      <w:pPr>
        <w:pStyle w:val="Textonotapie"/>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0A4CDE80" w14:textId="77777777" w:rsidR="00D772C9" w:rsidRPr="00AE2707" w:rsidRDefault="00D772C9" w:rsidP="00D772C9">
      <w:pPr>
        <w:pStyle w:val="Textonotapie"/>
        <w:ind w:firstLine="709"/>
        <w:jc w:val="both"/>
        <w:rPr>
          <w:rFonts w:ascii="Arial" w:hAnsi="Arial" w:cs="Arial"/>
          <w:sz w:val="12"/>
          <w:szCs w:val="12"/>
          <w:lang w:val="es-ES"/>
        </w:rPr>
      </w:pPr>
    </w:p>
  </w:footnote>
  <w:footnote w:id="21">
    <w:p w14:paraId="42007A6A" w14:textId="77777777" w:rsidR="00D772C9" w:rsidRPr="00AE2707" w:rsidRDefault="00D772C9" w:rsidP="00D772C9">
      <w:pPr>
        <w:pStyle w:val="Textonotapie"/>
        <w:ind w:firstLine="709"/>
        <w:jc w:val="both"/>
        <w:rPr>
          <w:rFonts w:ascii="Arial" w:hAnsi="Arial" w:cs="Arial"/>
          <w:sz w:val="12"/>
          <w:szCs w:val="12"/>
          <w:lang w:val="es-ES"/>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es-ES"/>
        </w:rPr>
        <w:t>CONSEJO DE ESTADO. Sala de Consulta y Servicio Civil. Concepto del 30 de abril de 2015. Exp. 2251. C.P. Álvaro Namén Vargas.</w:t>
      </w:r>
    </w:p>
  </w:footnote>
  <w:footnote w:id="22">
    <w:p w14:paraId="27650AE7" w14:textId="77777777" w:rsidR="00D772C9" w:rsidRPr="00AE2707" w:rsidRDefault="00D772C9" w:rsidP="00D772C9">
      <w:pPr>
        <w:pStyle w:val="Textonotapie"/>
        <w:ind w:firstLine="709"/>
        <w:jc w:val="both"/>
        <w:rPr>
          <w:rFonts w:ascii="Arial" w:hAnsi="Arial" w:cs="Arial"/>
          <w:sz w:val="12"/>
          <w:szCs w:val="12"/>
        </w:rPr>
      </w:pPr>
    </w:p>
    <w:p w14:paraId="6A6003F3"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CONSEJO DE ESTADO. Sección Tercera. Subsección A. Sentencia del 24 de junio de 2015. Exp. 40.635. C.P. Hernán Andrade Rincón (E).</w:t>
      </w:r>
    </w:p>
  </w:footnote>
  <w:footnote w:id="23">
    <w:p w14:paraId="00847EC9" w14:textId="77777777" w:rsidR="00D772C9" w:rsidRPr="00AE2707" w:rsidRDefault="00D772C9" w:rsidP="00D772C9">
      <w:pPr>
        <w:pStyle w:val="Textonotapie"/>
        <w:ind w:firstLine="709"/>
        <w:jc w:val="both"/>
        <w:rPr>
          <w:rFonts w:ascii="Arial" w:hAnsi="Arial" w:cs="Arial"/>
          <w:sz w:val="12"/>
          <w:szCs w:val="12"/>
          <w:lang w:val="es-ES_tradnl"/>
        </w:rPr>
      </w:pPr>
      <w:r w:rsidRPr="00AE2707">
        <w:rPr>
          <w:rStyle w:val="Refdenotaalpie"/>
          <w:rFonts w:ascii="Arial" w:hAnsi="Arial" w:cs="Arial"/>
          <w:sz w:val="12"/>
          <w:szCs w:val="12"/>
        </w:rPr>
        <w:footnoteRef/>
      </w:r>
      <w:r w:rsidRPr="00AE2707">
        <w:rPr>
          <w:rFonts w:ascii="Arial" w:hAnsi="Arial" w:cs="Arial"/>
          <w:sz w:val="12"/>
          <w:szCs w:val="12"/>
        </w:rPr>
        <w:t xml:space="preserve"> CONSEJO DE ESTADO. Sección Tercera. Subsección C. Sentencia del 22 de mayo de 2013. Rad. 24.057. C.P. Olga Mélida Valle De De La Hoz. </w:t>
      </w:r>
    </w:p>
  </w:footnote>
  <w:footnote w:id="24">
    <w:p w14:paraId="7600A202" w14:textId="77777777" w:rsidR="00D772C9" w:rsidRPr="00AE2707" w:rsidRDefault="00D772C9" w:rsidP="00D772C9">
      <w:pPr>
        <w:pStyle w:val="Textonotapie"/>
        <w:ind w:firstLine="709"/>
        <w:jc w:val="both"/>
        <w:rPr>
          <w:rFonts w:ascii="Arial" w:hAnsi="Arial" w:cs="Arial"/>
          <w:sz w:val="12"/>
          <w:szCs w:val="12"/>
        </w:rPr>
      </w:pPr>
    </w:p>
    <w:p w14:paraId="11542163" w14:textId="77777777" w:rsidR="00D772C9" w:rsidRPr="00AE2707" w:rsidRDefault="00D772C9" w:rsidP="00D772C9">
      <w:pPr>
        <w:pStyle w:val="Textonotapie"/>
        <w:ind w:firstLine="709"/>
        <w:jc w:val="both"/>
        <w:rPr>
          <w:rFonts w:ascii="Arial" w:hAnsi="Arial" w:cs="Arial"/>
          <w:sz w:val="12"/>
          <w:szCs w:val="12"/>
          <w:lang w:val="pt-BR"/>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sz w:val="12"/>
          <w:szCs w:val="12"/>
          <w:lang w:val="pt-BR"/>
        </w:rPr>
        <w:t>Corte Constitucional. Sentencia C-415 de 1994. M.P. Eduardo Cifuentes Muñoz.</w:t>
      </w:r>
    </w:p>
  </w:footnote>
  <w:footnote w:id="25">
    <w:p w14:paraId="63919F51" w14:textId="77777777" w:rsidR="00D772C9" w:rsidRPr="00AE2707" w:rsidRDefault="00D772C9" w:rsidP="00D772C9">
      <w:pPr>
        <w:pStyle w:val="Textonotapie"/>
        <w:ind w:firstLine="709"/>
        <w:jc w:val="both"/>
        <w:rPr>
          <w:rFonts w:ascii="Arial" w:hAnsi="Arial" w:cs="Arial"/>
          <w:sz w:val="12"/>
          <w:szCs w:val="12"/>
        </w:rPr>
      </w:pPr>
    </w:p>
    <w:p w14:paraId="6499C3C9" w14:textId="77777777" w:rsidR="00D772C9" w:rsidRPr="00AE2707" w:rsidRDefault="00D772C9" w:rsidP="00D772C9">
      <w:pPr>
        <w:pStyle w:val="Textonotapie"/>
        <w:ind w:firstLine="709"/>
        <w:jc w:val="both"/>
        <w:rPr>
          <w:rFonts w:ascii="Arial" w:hAnsi="Arial" w:cs="Arial"/>
          <w:color w:val="000000" w:themeColor="text1"/>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color w:val="000000" w:themeColor="text1"/>
          <w:sz w:val="12"/>
          <w:szCs w:val="12"/>
          <w:lang w:val="pt-BR"/>
        </w:rPr>
        <w:t xml:space="preserve">CONSEJO DE ESTADO. Sala de lo contencioso administrativo. Sentencia del 12 de diciembre de 2014. Exp. 26496. C.P. Ramiro Pazos Guerrero. </w:t>
      </w:r>
      <w:r w:rsidRPr="00AE2707">
        <w:rPr>
          <w:rFonts w:ascii="Arial" w:hAnsi="Arial" w:cs="Arial"/>
          <w:color w:val="000000" w:themeColor="text1"/>
          <w:sz w:val="12"/>
          <w:szCs w:val="12"/>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26">
    <w:p w14:paraId="79F8DC4B" w14:textId="77777777" w:rsidR="00D772C9" w:rsidRPr="00AE2707" w:rsidRDefault="00D772C9" w:rsidP="00D772C9">
      <w:pPr>
        <w:pStyle w:val="Textonotapie"/>
        <w:ind w:firstLine="709"/>
        <w:jc w:val="both"/>
        <w:rPr>
          <w:rFonts w:ascii="Arial" w:hAnsi="Arial" w:cs="Arial"/>
          <w:sz w:val="12"/>
          <w:szCs w:val="12"/>
        </w:rPr>
      </w:pPr>
    </w:p>
    <w:p w14:paraId="5B282720" w14:textId="77777777" w:rsidR="00D772C9" w:rsidRPr="00AE2707" w:rsidRDefault="00D772C9" w:rsidP="00D772C9">
      <w:pPr>
        <w:pStyle w:val="Textonotapie"/>
        <w:ind w:firstLine="709"/>
        <w:jc w:val="both"/>
        <w:rPr>
          <w:rFonts w:ascii="Arial" w:hAnsi="Arial" w:cs="Arial"/>
          <w:sz w:val="12"/>
          <w:szCs w:val="12"/>
          <w:lang w:val="es-ES_tradnl"/>
        </w:rPr>
      </w:pPr>
      <w:r w:rsidRPr="00AE2707">
        <w:rPr>
          <w:rStyle w:val="Refdenotaalpie"/>
          <w:rFonts w:ascii="Arial" w:hAnsi="Arial" w:cs="Arial"/>
          <w:sz w:val="12"/>
          <w:szCs w:val="12"/>
        </w:rPr>
        <w:footnoteRef/>
      </w:r>
      <w:r w:rsidRPr="00AE2707">
        <w:rPr>
          <w:rFonts w:ascii="Arial" w:hAnsi="Arial" w:cs="Arial"/>
          <w:sz w:val="12"/>
          <w:szCs w:val="12"/>
        </w:rPr>
        <w:t xml:space="preserve"> </w:t>
      </w:r>
      <w:r w:rsidRPr="00AE2707">
        <w:rPr>
          <w:rFonts w:ascii="Arial" w:hAnsi="Arial" w:cs="Arial"/>
          <w:color w:val="000000" w:themeColor="text1"/>
          <w:sz w:val="12"/>
          <w:szCs w:val="12"/>
        </w:rPr>
        <w:t>CONSEJO DE ESTADO. Sala de Consulta y Servicio Civil. Concepto del 29 de abril de 1998. Rad. 1097. C.P. Augusto Trejos Jaramillo.</w:t>
      </w:r>
    </w:p>
  </w:footnote>
  <w:footnote w:id="27">
    <w:p w14:paraId="2E71D676"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Código Civil: “Artículo 33. Palabras relacionadas con las personas. La palabra persona en su sentido general se aplica(rá) a la especie humana, sin distinción de sexo”.</w:t>
      </w:r>
    </w:p>
    <w:p w14:paraId="603D2C8E" w14:textId="77777777" w:rsidR="00D772C9" w:rsidRPr="00AE2707" w:rsidRDefault="00D772C9" w:rsidP="00D772C9">
      <w:pPr>
        <w:pStyle w:val="Textonotapie"/>
        <w:ind w:firstLine="709"/>
        <w:jc w:val="both"/>
        <w:rPr>
          <w:rFonts w:ascii="Arial" w:hAnsi="Arial" w:cs="Arial"/>
          <w:sz w:val="12"/>
          <w:szCs w:val="12"/>
          <w:lang w:val="es-CO"/>
        </w:rPr>
      </w:pPr>
    </w:p>
  </w:footnote>
  <w:footnote w:id="28">
    <w:p w14:paraId="25E32C90"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17315626" w14:textId="77777777" w:rsidR="00D772C9" w:rsidRPr="00AE2707" w:rsidRDefault="00D772C9" w:rsidP="00D772C9">
      <w:pPr>
        <w:pStyle w:val="Textonotapie"/>
        <w:ind w:firstLine="709"/>
        <w:jc w:val="both"/>
        <w:rPr>
          <w:rFonts w:ascii="Arial" w:hAnsi="Arial" w:cs="Arial"/>
          <w:sz w:val="12"/>
          <w:szCs w:val="12"/>
          <w:lang w:val="es-CO"/>
        </w:rPr>
      </w:pPr>
    </w:p>
  </w:footnote>
  <w:footnote w:id="29">
    <w:p w14:paraId="5AC2AE5E"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Código Civil: “Artículo 113. Definición. El matrimonio es un contrato solemne por el cual un hombre y una mujer se unen con el fin de vivir juntos, de procrear y de auxiliarse mutuamente”.</w:t>
      </w:r>
    </w:p>
    <w:p w14:paraId="79A83FAF" w14:textId="77777777" w:rsidR="00D772C9" w:rsidRPr="00AE2707" w:rsidRDefault="00D772C9" w:rsidP="00D772C9">
      <w:pPr>
        <w:pStyle w:val="Textonotapie"/>
        <w:ind w:firstLine="709"/>
        <w:jc w:val="both"/>
        <w:rPr>
          <w:rFonts w:ascii="Arial" w:hAnsi="Arial" w:cs="Arial"/>
          <w:sz w:val="12"/>
          <w:szCs w:val="12"/>
          <w:lang w:val="es-CO"/>
        </w:rPr>
      </w:pPr>
    </w:p>
  </w:footnote>
  <w:footnote w:id="30">
    <w:p w14:paraId="46A02039"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Ley 54 de 1990: “Artículo 1. A partir de la vigencia de la presente Ley y para todos los efectos civiles, se denomina Unión Marital de Hecho, la formada entre un hombre y una mujer, que sin estar casados, hacen una comunidad de vida permanente y singular.</w:t>
      </w:r>
    </w:p>
    <w:p w14:paraId="08010A18" w14:textId="77777777" w:rsidR="00D772C9" w:rsidRPr="00AE2707" w:rsidRDefault="00D772C9" w:rsidP="00D772C9">
      <w:pPr>
        <w:pStyle w:val="Textonotapie"/>
        <w:ind w:firstLine="709"/>
        <w:jc w:val="both"/>
        <w:rPr>
          <w:rFonts w:ascii="Arial" w:hAnsi="Arial" w:cs="Arial"/>
          <w:sz w:val="12"/>
          <w:szCs w:val="12"/>
        </w:rPr>
      </w:pPr>
      <w:r w:rsidRPr="00AE2707">
        <w:rPr>
          <w:rFonts w:ascii="Arial" w:hAnsi="Arial" w:cs="Arial"/>
          <w:sz w:val="12"/>
          <w:szCs w:val="12"/>
        </w:rPr>
        <w:t>Igualmente, y para todos los efectos civiles, se denominan compañero y compañera permanente, al hombre y la mujer que forman parte de la unión marital de hecho”.</w:t>
      </w:r>
    </w:p>
    <w:p w14:paraId="2AECF6F6" w14:textId="77777777" w:rsidR="00D772C9" w:rsidRPr="00AE2707" w:rsidRDefault="00D772C9" w:rsidP="00D772C9">
      <w:pPr>
        <w:pStyle w:val="Textonotapie"/>
        <w:ind w:firstLine="709"/>
        <w:jc w:val="both"/>
        <w:rPr>
          <w:rFonts w:ascii="Arial" w:hAnsi="Arial" w:cs="Arial"/>
          <w:sz w:val="12"/>
          <w:szCs w:val="12"/>
          <w:lang w:val="es-CO"/>
        </w:rPr>
      </w:pPr>
    </w:p>
  </w:footnote>
  <w:footnote w:id="31">
    <w:p w14:paraId="5FCB16B4"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CORTE CONSTITUCIONAL. Sentencia C-029 de 2009. M.P. Rodrigo Escobar Gil.</w:t>
      </w:r>
    </w:p>
    <w:p w14:paraId="0D32E158" w14:textId="77777777" w:rsidR="00D772C9" w:rsidRPr="00AE2707" w:rsidRDefault="00D772C9" w:rsidP="00D772C9">
      <w:pPr>
        <w:pStyle w:val="Textonotapie"/>
        <w:ind w:firstLine="709"/>
        <w:jc w:val="both"/>
        <w:rPr>
          <w:rFonts w:ascii="Arial" w:hAnsi="Arial" w:cs="Arial"/>
          <w:sz w:val="12"/>
          <w:szCs w:val="12"/>
          <w:lang w:val="es-CO"/>
        </w:rPr>
      </w:pPr>
    </w:p>
  </w:footnote>
  <w:footnote w:id="32">
    <w:p w14:paraId="73FB9A4C"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Código Civil: “Artículo 36”.</w:t>
      </w:r>
    </w:p>
    <w:p w14:paraId="165B51B2" w14:textId="77777777" w:rsidR="00D772C9" w:rsidRPr="00AE2707" w:rsidRDefault="00D772C9" w:rsidP="00D772C9">
      <w:pPr>
        <w:pStyle w:val="Textonotapie"/>
        <w:ind w:firstLine="709"/>
        <w:jc w:val="both"/>
        <w:rPr>
          <w:rFonts w:ascii="Arial" w:hAnsi="Arial" w:cs="Arial"/>
          <w:sz w:val="12"/>
          <w:szCs w:val="12"/>
          <w:lang w:val="es-CO"/>
        </w:rPr>
      </w:pPr>
    </w:p>
  </w:footnote>
  <w:footnote w:id="33">
    <w:p w14:paraId="4859C559"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Código Civil: “Artículo 36”.</w:t>
      </w:r>
    </w:p>
    <w:p w14:paraId="36F4BD33" w14:textId="77777777" w:rsidR="00D772C9" w:rsidRPr="00AE2707" w:rsidRDefault="00D772C9" w:rsidP="00D772C9">
      <w:pPr>
        <w:pStyle w:val="Textonotapie"/>
        <w:ind w:firstLine="709"/>
        <w:jc w:val="both"/>
        <w:rPr>
          <w:rFonts w:ascii="Arial" w:hAnsi="Arial" w:cs="Arial"/>
          <w:sz w:val="12"/>
          <w:szCs w:val="12"/>
          <w:lang w:val="es-CO"/>
        </w:rPr>
      </w:pPr>
    </w:p>
  </w:footnote>
  <w:footnote w:id="34">
    <w:p w14:paraId="660B2D82"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CORTE CONSTITUCIONAL. Sentencia C ‒ 595 de 1996. M.P. Jorge Arango Mejía.</w:t>
      </w:r>
    </w:p>
    <w:p w14:paraId="55DDC837" w14:textId="77777777" w:rsidR="00D772C9" w:rsidRPr="00AE2707" w:rsidRDefault="00D772C9" w:rsidP="00D772C9">
      <w:pPr>
        <w:pStyle w:val="Textonotapie"/>
        <w:ind w:firstLine="709"/>
        <w:jc w:val="both"/>
        <w:rPr>
          <w:rFonts w:ascii="Arial" w:hAnsi="Arial" w:cs="Arial"/>
          <w:sz w:val="12"/>
          <w:szCs w:val="12"/>
          <w:lang w:val="es-CO"/>
        </w:rPr>
      </w:pPr>
    </w:p>
  </w:footnote>
  <w:footnote w:id="35">
    <w:p w14:paraId="3856C6B7"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Código Civil: “Artículo 37. Grados de consanguinidad. Los grados de consanguinidad entre dos personas se cuentan por el número de generaciones. Así, el nieto está en segundo grado de consanguinidad con el abuelo, y dos primos hermanos en cuarto grado de consanguinidad entre sí”.</w:t>
      </w:r>
    </w:p>
    <w:p w14:paraId="7412210F" w14:textId="77777777" w:rsidR="00D772C9" w:rsidRPr="00AE2707" w:rsidRDefault="00D772C9" w:rsidP="00D772C9">
      <w:pPr>
        <w:pStyle w:val="Textonotapie"/>
        <w:ind w:firstLine="709"/>
        <w:jc w:val="both"/>
        <w:rPr>
          <w:rFonts w:ascii="Arial" w:hAnsi="Arial" w:cs="Arial"/>
          <w:sz w:val="12"/>
          <w:szCs w:val="12"/>
        </w:rPr>
      </w:pPr>
      <w:r w:rsidRPr="00AE2707">
        <w:rPr>
          <w:rFonts w:ascii="Arial" w:hAnsi="Arial" w:cs="Arial"/>
          <w:sz w:val="12"/>
          <w:szCs w:val="12"/>
        </w:rPr>
        <w:t>[…]</w:t>
      </w:r>
    </w:p>
    <w:p w14:paraId="768B40B2" w14:textId="77777777" w:rsidR="00D772C9" w:rsidRPr="00AE2707" w:rsidRDefault="00D772C9" w:rsidP="00D772C9">
      <w:pPr>
        <w:pStyle w:val="Textonotapie"/>
        <w:ind w:firstLine="709"/>
        <w:jc w:val="both"/>
        <w:rPr>
          <w:rFonts w:ascii="Arial" w:hAnsi="Arial" w:cs="Arial"/>
          <w:sz w:val="12"/>
          <w:szCs w:val="12"/>
        </w:rPr>
      </w:pPr>
      <w:r w:rsidRPr="00AE2707">
        <w:rPr>
          <w:rFonts w:ascii="Arial" w:hAnsi="Arial" w:cs="Arial"/>
          <w:sz w:val="12"/>
          <w:szCs w:val="12"/>
        </w:rPr>
        <w:t>“Artículo 47. Afinidad legítima. […] La línea o grado de afinidad legítima de una persona con un consanguíneo de su marido o mujer, se califica por la línea o grado de consanguinidad legítima de dicho marido o mujer con el dicho consanguíneo […]”.</w:t>
      </w:r>
    </w:p>
    <w:p w14:paraId="573DDD6E" w14:textId="77777777" w:rsidR="00D772C9" w:rsidRPr="00AE2707" w:rsidRDefault="00D772C9" w:rsidP="00D772C9">
      <w:pPr>
        <w:pStyle w:val="Textonotapie"/>
        <w:ind w:firstLine="709"/>
        <w:jc w:val="both"/>
        <w:rPr>
          <w:rFonts w:ascii="Arial" w:hAnsi="Arial" w:cs="Arial"/>
          <w:sz w:val="12"/>
          <w:szCs w:val="12"/>
          <w:lang w:val="es-CO"/>
        </w:rPr>
      </w:pPr>
    </w:p>
  </w:footnote>
  <w:footnote w:id="36">
    <w:p w14:paraId="7B64AD08"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CORTE CONSTITUCIONAL. Sentencia C-415 de 1994. M.P. Eduardo Cifuentes Muñoz.</w:t>
      </w:r>
    </w:p>
    <w:p w14:paraId="604F1792" w14:textId="77777777" w:rsidR="00D772C9" w:rsidRPr="00AE2707" w:rsidRDefault="00D772C9" w:rsidP="00D772C9">
      <w:pPr>
        <w:pStyle w:val="Textonotapie"/>
        <w:ind w:firstLine="709"/>
        <w:jc w:val="both"/>
        <w:rPr>
          <w:rFonts w:ascii="Arial" w:hAnsi="Arial" w:cs="Arial"/>
          <w:sz w:val="12"/>
          <w:szCs w:val="12"/>
          <w:lang w:val="es-CO"/>
        </w:rPr>
      </w:pPr>
    </w:p>
  </w:footnote>
  <w:footnote w:id="37">
    <w:p w14:paraId="55482C0E" w14:textId="77777777" w:rsidR="00D772C9" w:rsidRPr="00AE2707" w:rsidRDefault="00D772C9" w:rsidP="00D772C9">
      <w:pPr>
        <w:pStyle w:val="Textonotapie"/>
        <w:ind w:firstLine="709"/>
        <w:jc w:val="both"/>
        <w:rPr>
          <w:rFonts w:ascii="Arial" w:hAnsi="Arial" w:cs="Arial"/>
          <w:sz w:val="12"/>
          <w:szCs w:val="12"/>
        </w:rPr>
      </w:pPr>
      <w:r w:rsidRPr="00AE2707">
        <w:rPr>
          <w:rStyle w:val="Refdenotaalpie"/>
          <w:rFonts w:ascii="Arial" w:hAnsi="Arial" w:cs="Arial"/>
          <w:sz w:val="12"/>
          <w:szCs w:val="12"/>
        </w:rPr>
        <w:footnoteRef/>
      </w:r>
      <w:r w:rsidRPr="00AE2707">
        <w:rPr>
          <w:rFonts w:ascii="Arial" w:hAnsi="Arial" w:cs="Arial"/>
          <w:sz w:val="12"/>
          <w:szCs w:val="12"/>
        </w:rPr>
        <w:t xml:space="preserve"> CONSEJO DE ESTADO. Sección Tercera. Subsección C. Sentencia del 9 de julio de 2014. Rad. 47.830. C.P. Jaime Orlando Santofimio Gamboa.</w:t>
      </w:r>
    </w:p>
    <w:p w14:paraId="4CCF0421" w14:textId="77777777" w:rsidR="00D772C9" w:rsidRPr="00AE2707" w:rsidRDefault="00D772C9" w:rsidP="00D772C9">
      <w:pPr>
        <w:pStyle w:val="Textonotapie"/>
        <w:ind w:firstLine="709"/>
        <w:jc w:val="both"/>
        <w:rPr>
          <w:rFonts w:ascii="Arial" w:hAnsi="Arial" w:cs="Arial"/>
          <w:sz w:val="12"/>
          <w:szCs w:val="12"/>
          <w:lang w:val="es-CO"/>
        </w:rPr>
      </w:pPr>
    </w:p>
  </w:footnote>
  <w:footnote w:id="38">
    <w:p w14:paraId="3CDE472C" w14:textId="77777777" w:rsidR="00D772C9" w:rsidRPr="00B52F1D" w:rsidRDefault="00D772C9" w:rsidP="00D772C9">
      <w:pPr>
        <w:pStyle w:val="Textonotapie"/>
        <w:ind w:firstLine="708"/>
        <w:jc w:val="both"/>
        <w:rPr>
          <w:rFonts w:ascii="Arial" w:hAnsi="Arial" w:cs="Arial"/>
          <w:sz w:val="12"/>
          <w:szCs w:val="12"/>
        </w:rPr>
      </w:pPr>
      <w:r w:rsidRPr="00B52F1D">
        <w:rPr>
          <w:rStyle w:val="Refdenotaalpie"/>
          <w:rFonts w:ascii="Arial" w:hAnsi="Arial" w:cs="Arial"/>
          <w:sz w:val="12"/>
          <w:szCs w:val="12"/>
        </w:rPr>
        <w:footnoteRef/>
      </w:r>
      <w:r w:rsidRPr="00B52F1D">
        <w:rPr>
          <w:rFonts w:ascii="Arial" w:hAnsi="Arial" w:cs="Arial"/>
          <w:sz w:val="12"/>
          <w:szCs w:val="12"/>
        </w:rPr>
        <w:t xml:space="preserve"> Ley 80 de 1993: </w:t>
      </w:r>
      <w:r>
        <w:rPr>
          <w:rFonts w:ascii="Arial" w:hAnsi="Arial" w:cs="Arial"/>
          <w:sz w:val="12"/>
          <w:szCs w:val="12"/>
        </w:rPr>
        <w:t>“</w:t>
      </w:r>
      <w:r w:rsidRPr="00B52F1D">
        <w:rPr>
          <w:rFonts w:ascii="Arial" w:hAnsi="Arial" w:cs="Arial"/>
          <w:sz w:val="12"/>
          <w:szCs w:val="12"/>
        </w:rPr>
        <w:t>Artículo 7. De los consorcios y uniones temporales.</w:t>
      </w:r>
    </w:p>
    <w:p w14:paraId="365D2D04" w14:textId="77777777" w:rsidR="00D772C9" w:rsidRPr="00B52F1D" w:rsidRDefault="00D772C9" w:rsidP="00D772C9">
      <w:pPr>
        <w:pStyle w:val="Textonotapie"/>
        <w:ind w:firstLine="709"/>
        <w:jc w:val="both"/>
        <w:rPr>
          <w:rFonts w:ascii="Arial" w:hAnsi="Arial" w:cs="Arial"/>
          <w:sz w:val="12"/>
          <w:szCs w:val="12"/>
        </w:rPr>
      </w:pPr>
      <w:r w:rsidRPr="00B52F1D">
        <w:rPr>
          <w:rFonts w:ascii="Arial" w:hAnsi="Arial" w:cs="Arial"/>
          <w:sz w:val="12"/>
          <w:szCs w:val="12"/>
        </w:rPr>
        <w:t>Para los efectos de esta ley se entiende por:</w:t>
      </w:r>
    </w:p>
    <w:p w14:paraId="2F94B79D" w14:textId="77777777" w:rsidR="00D772C9" w:rsidRPr="00B52F1D" w:rsidRDefault="00D772C9" w:rsidP="00D772C9">
      <w:pPr>
        <w:pStyle w:val="Textonotapie"/>
        <w:ind w:firstLine="709"/>
        <w:jc w:val="both"/>
        <w:rPr>
          <w:rFonts w:ascii="Arial" w:hAnsi="Arial" w:cs="Arial"/>
          <w:sz w:val="12"/>
          <w:szCs w:val="12"/>
        </w:rPr>
      </w:pPr>
      <w:r w:rsidRPr="00B52F1D">
        <w:rPr>
          <w:rFonts w:ascii="Arial" w:hAnsi="Arial" w:cs="Arial"/>
          <w:sz w:val="12"/>
          <w:szCs w:val="12"/>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7754CE9C" w14:textId="77777777" w:rsidR="00D772C9" w:rsidRPr="00B52F1D" w:rsidRDefault="00D772C9" w:rsidP="00D772C9">
      <w:pPr>
        <w:pStyle w:val="Textonotapie"/>
        <w:ind w:firstLine="709"/>
        <w:jc w:val="both"/>
        <w:rPr>
          <w:rFonts w:ascii="Arial" w:hAnsi="Arial" w:cs="Arial"/>
          <w:sz w:val="12"/>
          <w:szCs w:val="12"/>
        </w:rPr>
      </w:pPr>
      <w:r w:rsidRPr="00B52F1D">
        <w:rPr>
          <w:rFonts w:ascii="Arial" w:hAnsi="Arial" w:cs="Arial"/>
          <w:sz w:val="12"/>
          <w:szCs w:val="12"/>
        </w:rPr>
        <w:t>2. Unión Temporal:</w:t>
      </w:r>
    </w:p>
    <w:p w14:paraId="0B8728F1" w14:textId="77777777" w:rsidR="00D772C9" w:rsidRPr="00B52F1D" w:rsidRDefault="00D772C9" w:rsidP="00D772C9">
      <w:pPr>
        <w:pStyle w:val="Textonotapie"/>
        <w:ind w:firstLine="709"/>
        <w:jc w:val="both"/>
        <w:rPr>
          <w:rFonts w:ascii="Arial" w:hAnsi="Arial" w:cs="Arial"/>
          <w:sz w:val="12"/>
          <w:szCs w:val="12"/>
        </w:rPr>
      </w:pPr>
      <w:r w:rsidRPr="00B52F1D">
        <w:rPr>
          <w:rFonts w:ascii="Arial" w:hAnsi="Arial" w:cs="Arial"/>
          <w:sz w:val="12"/>
          <w:szCs w:val="12"/>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r>
        <w:rPr>
          <w:rFonts w:ascii="Arial" w:hAnsi="Arial" w:cs="Arial"/>
          <w:sz w:val="12"/>
          <w:szCs w:val="12"/>
        </w:rPr>
        <w:t>”</w:t>
      </w:r>
      <w:r w:rsidRPr="00B52F1D">
        <w:rPr>
          <w:rFonts w:ascii="Arial" w:hAnsi="Arial" w:cs="Arial"/>
          <w:sz w:val="12"/>
          <w:szCs w:val="12"/>
        </w:rPr>
        <w:t>.</w:t>
      </w:r>
    </w:p>
    <w:p w14:paraId="5B3A592D" w14:textId="77777777" w:rsidR="00D772C9" w:rsidRPr="00B52F1D" w:rsidRDefault="00D772C9" w:rsidP="00D772C9">
      <w:pPr>
        <w:pStyle w:val="Textonotapie"/>
        <w:jc w:val="both"/>
        <w:rPr>
          <w:rFonts w:ascii="Arial" w:hAnsi="Arial" w:cs="Arial"/>
          <w:sz w:val="12"/>
          <w:szCs w:val="12"/>
        </w:rPr>
      </w:pPr>
    </w:p>
  </w:footnote>
  <w:footnote w:id="39">
    <w:p w14:paraId="687BF2F4" w14:textId="77777777" w:rsidR="00D772C9" w:rsidRPr="00B52F1D" w:rsidRDefault="00D772C9" w:rsidP="00D772C9">
      <w:pPr>
        <w:pStyle w:val="Textonotapie"/>
        <w:ind w:firstLine="708"/>
        <w:jc w:val="both"/>
        <w:rPr>
          <w:rFonts w:ascii="Arial" w:hAnsi="Arial" w:cs="Arial"/>
          <w:sz w:val="12"/>
          <w:szCs w:val="12"/>
        </w:rPr>
      </w:pPr>
      <w:r w:rsidRPr="00B52F1D">
        <w:rPr>
          <w:rFonts w:ascii="Arial" w:hAnsi="Arial" w:cs="Arial"/>
          <w:sz w:val="12"/>
          <w:szCs w:val="12"/>
          <w:vertAlign w:val="superscript"/>
        </w:rPr>
        <w:footnoteRef/>
      </w:r>
      <w:r w:rsidRPr="00B52F1D">
        <w:rPr>
          <w:rFonts w:ascii="Arial" w:hAnsi="Arial" w:cs="Arial"/>
          <w:sz w:val="12"/>
          <w:szCs w:val="12"/>
          <w:lang w:val="pt-BR"/>
        </w:rPr>
        <w:t xml:space="preserve"> CORTE CONSTITUCIONAL. Sentencia C ‒ 414 de 1996. </w:t>
      </w:r>
      <w:r w:rsidRPr="00B52F1D">
        <w:rPr>
          <w:rFonts w:ascii="Arial" w:hAnsi="Arial" w:cs="Arial"/>
          <w:sz w:val="12"/>
          <w:szCs w:val="12"/>
        </w:rPr>
        <w:t>M.P. Antonio Barrera Carbonell.</w:t>
      </w:r>
    </w:p>
    <w:p w14:paraId="76247226" w14:textId="77777777" w:rsidR="00D772C9" w:rsidRPr="00B52F1D" w:rsidRDefault="00D772C9" w:rsidP="00D772C9">
      <w:pPr>
        <w:pStyle w:val="Textonotapie"/>
        <w:jc w:val="both"/>
        <w:rPr>
          <w:rFonts w:ascii="Arial" w:hAnsi="Arial" w:cs="Arial"/>
          <w:sz w:val="12"/>
          <w:szCs w:val="12"/>
          <w:lang w:val="es-ES"/>
        </w:rPr>
      </w:pPr>
    </w:p>
  </w:footnote>
  <w:footnote w:id="40">
    <w:p w14:paraId="6F3C1124" w14:textId="77777777" w:rsidR="00D772C9" w:rsidRPr="00B52F1D" w:rsidRDefault="00D772C9" w:rsidP="00D772C9">
      <w:pPr>
        <w:pStyle w:val="Textonotapie"/>
        <w:ind w:firstLine="709"/>
        <w:jc w:val="both"/>
        <w:rPr>
          <w:rFonts w:ascii="Arial" w:hAnsi="Arial" w:cs="Arial"/>
          <w:sz w:val="12"/>
          <w:szCs w:val="12"/>
          <w:lang w:val="es-CO"/>
        </w:rPr>
      </w:pPr>
      <w:r w:rsidRPr="00B52F1D">
        <w:rPr>
          <w:rStyle w:val="Refdenotaalpie"/>
          <w:rFonts w:ascii="Arial" w:hAnsi="Arial" w:cs="Arial"/>
          <w:sz w:val="12"/>
          <w:szCs w:val="12"/>
        </w:rPr>
        <w:footnoteRef/>
      </w:r>
      <w:r w:rsidRPr="00B52F1D">
        <w:rPr>
          <w:rFonts w:ascii="Arial" w:hAnsi="Arial" w:cs="Arial"/>
          <w:sz w:val="12"/>
          <w:szCs w:val="12"/>
        </w:rPr>
        <w:t xml:space="preserve"> CONSEJO DE ESTADO. Sección Tercera. Subsección A. Sentencia del 10 de febrero de 2011. Rad. 16.306. C.P. Hernán Andrade Rincón.</w:t>
      </w:r>
    </w:p>
  </w:footnote>
  <w:footnote w:id="41">
    <w:p w14:paraId="6E6A7D4C" w14:textId="77777777" w:rsidR="00D772C9" w:rsidRPr="00B52F1D" w:rsidRDefault="00D772C9" w:rsidP="00D772C9">
      <w:pPr>
        <w:pStyle w:val="Textonotapie"/>
        <w:ind w:firstLine="709"/>
        <w:jc w:val="both"/>
        <w:rPr>
          <w:rFonts w:ascii="Arial" w:hAnsi="Arial" w:cs="Arial"/>
          <w:sz w:val="12"/>
          <w:szCs w:val="12"/>
        </w:rPr>
      </w:pPr>
      <w:r w:rsidRPr="00B52F1D">
        <w:rPr>
          <w:rStyle w:val="Refdenotaalpie"/>
          <w:rFonts w:ascii="Arial" w:hAnsi="Arial" w:cs="Arial"/>
          <w:sz w:val="12"/>
          <w:szCs w:val="12"/>
        </w:rPr>
        <w:footnoteRef/>
      </w:r>
      <w:r w:rsidRPr="00B52F1D">
        <w:rPr>
          <w:rFonts w:ascii="Arial" w:hAnsi="Arial" w:cs="Arial"/>
          <w:sz w:val="12"/>
          <w:szCs w:val="12"/>
        </w:rPr>
        <w:t xml:space="preserve"> Código Civil: </w:t>
      </w:r>
      <w:r>
        <w:rPr>
          <w:rFonts w:ascii="Arial" w:hAnsi="Arial" w:cs="Arial"/>
          <w:sz w:val="12"/>
          <w:szCs w:val="12"/>
        </w:rPr>
        <w:t>“</w:t>
      </w:r>
      <w:r w:rsidRPr="00B52F1D">
        <w:rPr>
          <w:rFonts w:ascii="Arial" w:hAnsi="Arial" w:cs="Arial"/>
          <w:sz w:val="12"/>
          <w:szCs w:val="12"/>
        </w:rPr>
        <w:t>Artículo 633. Definición de persona jurídica. Se llama persona jurídica, una persona ficticia, capaz de ejercer derechos y contraer obligaciones civiles, y de ser representada judicial y extrajudicialmente.</w:t>
      </w:r>
    </w:p>
    <w:p w14:paraId="0655CA1E" w14:textId="77777777" w:rsidR="00D772C9" w:rsidRPr="00B52F1D" w:rsidRDefault="00D772C9" w:rsidP="00D772C9">
      <w:pPr>
        <w:pStyle w:val="Textonotapie"/>
        <w:ind w:firstLine="709"/>
        <w:jc w:val="both"/>
        <w:rPr>
          <w:rFonts w:ascii="Arial" w:hAnsi="Arial" w:cs="Arial"/>
          <w:sz w:val="12"/>
          <w:szCs w:val="12"/>
        </w:rPr>
      </w:pPr>
      <w:r w:rsidRPr="00B52F1D">
        <w:rPr>
          <w:rFonts w:ascii="Arial" w:hAnsi="Arial" w:cs="Arial"/>
          <w:sz w:val="12"/>
          <w:szCs w:val="12"/>
        </w:rPr>
        <w:t>Las personas jurídicas son de dos especies: corporaciones y fundaciones de beneficencia pública.</w:t>
      </w:r>
    </w:p>
    <w:p w14:paraId="24379DF8" w14:textId="77777777" w:rsidR="00D772C9" w:rsidRPr="00B52F1D" w:rsidRDefault="00D772C9" w:rsidP="00D772C9">
      <w:pPr>
        <w:pStyle w:val="Textonotapie"/>
        <w:ind w:firstLine="709"/>
        <w:jc w:val="both"/>
        <w:rPr>
          <w:rFonts w:ascii="Arial" w:hAnsi="Arial" w:cs="Arial"/>
          <w:sz w:val="12"/>
          <w:szCs w:val="12"/>
        </w:rPr>
      </w:pPr>
      <w:r w:rsidRPr="00B52F1D">
        <w:rPr>
          <w:rFonts w:ascii="Arial" w:hAnsi="Arial" w:cs="Arial"/>
          <w:sz w:val="12"/>
          <w:szCs w:val="12"/>
        </w:rPr>
        <w:t>Hay personas jurídicas que participan de uno y otro carácter</w:t>
      </w:r>
      <w:r>
        <w:rPr>
          <w:rFonts w:ascii="Arial" w:hAnsi="Arial" w:cs="Arial"/>
          <w:sz w:val="12"/>
          <w:szCs w:val="12"/>
        </w:rPr>
        <w:t>”</w:t>
      </w:r>
      <w:r w:rsidRPr="00B52F1D">
        <w:rPr>
          <w:rFonts w:ascii="Arial" w:hAnsi="Arial" w:cs="Arial"/>
          <w:sz w:val="12"/>
          <w:szCs w:val="12"/>
        </w:rPr>
        <w:t>.</w:t>
      </w:r>
    </w:p>
    <w:p w14:paraId="04B3E7FF" w14:textId="77777777" w:rsidR="00D772C9" w:rsidRPr="00B52F1D" w:rsidRDefault="00D772C9" w:rsidP="00D772C9">
      <w:pPr>
        <w:pStyle w:val="Textonotapie"/>
        <w:ind w:firstLine="709"/>
        <w:jc w:val="both"/>
        <w:rPr>
          <w:rFonts w:ascii="Arial" w:hAnsi="Arial" w:cs="Arial"/>
          <w:sz w:val="12"/>
          <w:szCs w:val="12"/>
          <w:lang w:val="es-CO"/>
        </w:rPr>
      </w:pPr>
    </w:p>
  </w:footnote>
  <w:footnote w:id="42">
    <w:p w14:paraId="04D7DE42" w14:textId="77777777" w:rsidR="00D772C9" w:rsidRDefault="00D772C9" w:rsidP="00D772C9">
      <w:pPr>
        <w:pStyle w:val="Textonotapie"/>
        <w:ind w:firstLine="709"/>
        <w:jc w:val="both"/>
        <w:rPr>
          <w:rFonts w:ascii="Arial" w:hAnsi="Arial" w:cs="Arial"/>
          <w:sz w:val="12"/>
          <w:szCs w:val="12"/>
        </w:rPr>
      </w:pPr>
      <w:r w:rsidRPr="00B52F1D">
        <w:rPr>
          <w:rStyle w:val="Refdenotaalpie"/>
          <w:rFonts w:ascii="Arial" w:hAnsi="Arial" w:cs="Arial"/>
          <w:sz w:val="12"/>
          <w:szCs w:val="12"/>
        </w:rPr>
        <w:footnoteRef/>
      </w:r>
      <w:r w:rsidRPr="00B52F1D">
        <w:rPr>
          <w:rFonts w:ascii="Arial" w:hAnsi="Arial" w:cs="Arial"/>
          <w:sz w:val="12"/>
          <w:szCs w:val="12"/>
        </w:rPr>
        <w:t xml:space="preserve"> Código de Comercio: </w:t>
      </w:r>
      <w:r>
        <w:rPr>
          <w:rFonts w:ascii="Arial" w:hAnsi="Arial" w:cs="Arial"/>
          <w:sz w:val="12"/>
          <w:szCs w:val="12"/>
        </w:rPr>
        <w:t>“</w:t>
      </w:r>
      <w:r w:rsidRPr="00B52F1D">
        <w:rPr>
          <w:rFonts w:ascii="Arial" w:hAnsi="Arial" w:cs="Arial"/>
          <w:sz w:val="12"/>
          <w:szCs w:val="12"/>
        </w:rPr>
        <w:t>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w:t>
      </w:r>
      <w:r>
        <w:rPr>
          <w:rFonts w:ascii="Arial" w:hAnsi="Arial" w:cs="Arial"/>
          <w:sz w:val="12"/>
          <w:szCs w:val="12"/>
        </w:rPr>
        <w:t>”</w:t>
      </w:r>
      <w:r w:rsidRPr="00B52F1D">
        <w:rPr>
          <w:rFonts w:ascii="Arial" w:hAnsi="Arial" w:cs="Arial"/>
          <w:sz w:val="12"/>
          <w:szCs w:val="12"/>
        </w:rPr>
        <w:t>.</w:t>
      </w:r>
    </w:p>
    <w:p w14:paraId="68763B6D" w14:textId="77777777" w:rsidR="00D772C9" w:rsidRPr="00B52F1D" w:rsidRDefault="00D772C9" w:rsidP="00D772C9">
      <w:pPr>
        <w:pStyle w:val="Textonotapie"/>
        <w:ind w:firstLine="709"/>
        <w:jc w:val="both"/>
        <w:rPr>
          <w:rFonts w:ascii="Arial" w:hAnsi="Arial" w:cs="Arial"/>
          <w:sz w:val="12"/>
          <w:szCs w:val="12"/>
          <w:lang w:val="es-CO"/>
        </w:rPr>
      </w:pPr>
      <w:r w:rsidRPr="00B52F1D">
        <w:rPr>
          <w:rFonts w:ascii="Arial" w:hAnsi="Arial" w:cs="Arial"/>
          <w:sz w:val="12"/>
          <w:szCs w:val="12"/>
        </w:rPr>
        <w:t xml:space="preserve"> </w:t>
      </w:r>
    </w:p>
  </w:footnote>
  <w:footnote w:id="43">
    <w:p w14:paraId="1AD2C04F" w14:textId="77777777" w:rsidR="00D772C9" w:rsidRPr="00B52F1D" w:rsidRDefault="00D772C9" w:rsidP="00D772C9">
      <w:pPr>
        <w:pStyle w:val="NormalWeb"/>
        <w:spacing w:after="0"/>
        <w:ind w:firstLine="708"/>
        <w:jc w:val="both"/>
        <w:rPr>
          <w:rFonts w:ascii="Arial" w:hAnsi="Arial" w:cs="Arial"/>
          <w:color w:val="000000"/>
          <w:sz w:val="12"/>
          <w:szCs w:val="12"/>
        </w:rPr>
      </w:pPr>
      <w:r w:rsidRPr="00B52F1D">
        <w:rPr>
          <w:rStyle w:val="Refdenotaalpie"/>
          <w:rFonts w:ascii="Arial" w:hAnsi="Arial" w:cs="Arial"/>
          <w:sz w:val="12"/>
          <w:szCs w:val="12"/>
        </w:rPr>
        <w:footnoteRef/>
      </w:r>
      <w:r w:rsidRPr="00B52F1D">
        <w:rPr>
          <w:rFonts w:ascii="Arial" w:hAnsi="Arial" w:cs="Arial"/>
          <w:sz w:val="12"/>
          <w:szCs w:val="12"/>
        </w:rPr>
        <w:t xml:space="preserve"> En el marco del procedimiento administrativo general, previsto en los artículos 34 y ss. del Código de Procedimiento Administrativo y de lo Contencioso Administrativo, el artículo 40 de dicha norma señala que: “</w:t>
      </w:r>
      <w:r w:rsidRPr="00B52F1D">
        <w:rPr>
          <w:rFonts w:ascii="Arial" w:hAnsi="Arial" w:cs="Arial"/>
          <w:color w:val="000000"/>
          <w:sz w:val="12"/>
          <w:szCs w:val="12"/>
        </w:rPr>
        <w:t>Serán admisibles todos los medios de prueba señalados en el Código de Procedimiento Civil</w:t>
      </w:r>
      <w:r w:rsidRPr="00B52F1D">
        <w:rPr>
          <w:rFonts w:ascii="Arial" w:hAnsi="Arial" w:cs="Arial"/>
          <w:sz w:val="12"/>
          <w:szCs w:val="12"/>
        </w:rPr>
        <w:t>”</w:t>
      </w:r>
      <w:r w:rsidRPr="00B52F1D">
        <w:rPr>
          <w:rFonts w:ascii="Arial" w:hAnsi="Arial" w:cs="Arial"/>
          <w:color w:val="000000"/>
          <w:sz w:val="12"/>
          <w:szCs w:val="12"/>
        </w:rPr>
        <w:t xml:space="preserve">. Al respecto, la Ley 1564 de 2012, que subrogó el Código de Procedimiento Civil adoptando el Código General del Proceso, señala en su artículo 165 que: </w:t>
      </w:r>
      <w:r w:rsidRPr="00B52F1D">
        <w:rPr>
          <w:rFonts w:ascii="Arial" w:hAnsi="Arial" w:cs="Arial"/>
          <w:sz w:val="12"/>
          <w:szCs w:val="12"/>
        </w:rPr>
        <w:t>“</w:t>
      </w:r>
      <w:r w:rsidRPr="00B52F1D">
        <w:rPr>
          <w:rFonts w:ascii="Arial" w:hAnsi="Arial" w:cs="Arial"/>
          <w:color w:val="000000"/>
          <w:sz w:val="12"/>
          <w:szCs w:val="12"/>
        </w:rPr>
        <w:t>Son medios de prueba la declaración de parte, la confesión, el juramento, el testimonio de terceros, el dictamen pericial, la inspección judicial, los documentos, los indicios, los informes y cualesquiera otros medios que sean útiles para la formación del convencimiento del juez. El juez practicará las pruebas no previstas en este código de acuerdo con las disposiciones que regulen medios semejantes o según su prudente juicio, preservando los principios y garantías constitucionales</w:t>
      </w:r>
      <w:r w:rsidRPr="00B52F1D">
        <w:rPr>
          <w:rFonts w:ascii="Arial" w:hAnsi="Arial" w:cs="Arial"/>
          <w:sz w:val="12"/>
          <w:szCs w:val="12"/>
        </w:rPr>
        <w:t>”</w:t>
      </w:r>
      <w:r w:rsidRPr="00B52F1D">
        <w:rPr>
          <w:rFonts w:ascii="Arial" w:hAnsi="Arial" w:cs="Arial"/>
          <w:color w:val="000000"/>
          <w:sz w:val="12"/>
          <w:szCs w:val="12"/>
        </w:rPr>
        <w:t xml:space="preserve">. </w:t>
      </w:r>
    </w:p>
    <w:p w14:paraId="222845E8" w14:textId="77777777" w:rsidR="00D772C9" w:rsidRPr="00B52F1D" w:rsidRDefault="00D772C9" w:rsidP="00D772C9">
      <w:pPr>
        <w:pStyle w:val="NormalWeb"/>
        <w:spacing w:before="120" w:after="0"/>
        <w:ind w:firstLine="709"/>
        <w:jc w:val="both"/>
        <w:rPr>
          <w:rFonts w:ascii="Arial" w:hAnsi="Arial" w:cs="Arial"/>
          <w:sz w:val="12"/>
          <w:szCs w:val="12"/>
        </w:rPr>
      </w:pPr>
      <w:r w:rsidRPr="00B52F1D">
        <w:rPr>
          <w:rFonts w:ascii="Arial" w:hAnsi="Arial" w:cs="Arial"/>
          <w:color w:val="000000"/>
          <w:sz w:val="12"/>
          <w:szCs w:val="12"/>
        </w:rPr>
        <w:t>Es posible acudir a las disposiciones anteriores en relación con los procedimientos administrativos de selección, en virtud de la remisión que realiza el artículo 77 de la Ley 80 de 1993: “</w:t>
      </w:r>
      <w:r w:rsidRPr="00B52F1D">
        <w:rPr>
          <w:rStyle w:val="Textoennegrita"/>
          <w:rFonts w:ascii="Arial" w:hAnsi="Arial" w:cs="Arial"/>
          <w:color w:val="000000"/>
          <w:sz w:val="12"/>
          <w:szCs w:val="12"/>
        </w:rPr>
        <w:t>Artículo 77. De la normatividad aplicable en las actuaciones administrativas.</w:t>
      </w:r>
      <w:r w:rsidRPr="00B52F1D">
        <w:rPr>
          <w:rFonts w:ascii="Arial" w:hAnsi="Arial" w:cs="Arial"/>
          <w:color w:val="000000"/>
          <w:sz w:val="12"/>
          <w:szCs w:val="12"/>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E9963" w14:textId="77777777" w:rsidR="00D772C9" w:rsidRDefault="00D772C9">
    <w:pPr>
      <w:pStyle w:val="Encabezado"/>
    </w:pPr>
    <w:r>
      <w:rPr>
        <w:noProof/>
      </w:rPr>
      <w:drawing>
        <wp:anchor distT="0" distB="0" distL="114300" distR="114300" simplePos="0" relativeHeight="251659264" behindDoc="1" locked="0" layoutInCell="1" allowOverlap="1" wp14:anchorId="28E418D0" wp14:editId="519899A9">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664BC7C7" wp14:editId="043BFFE7">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0CD4F5E5" wp14:editId="60EA15C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F5246FE" wp14:editId="627A2DA0">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111F6F71" w14:textId="77777777" w:rsidR="00D772C9" w:rsidRDefault="00D772C9">
    <w:pPr>
      <w:pStyle w:val="Encabezado"/>
    </w:pPr>
  </w:p>
  <w:p w14:paraId="7E02FAEB" w14:textId="77777777" w:rsidR="00D772C9" w:rsidRDefault="00D772C9">
    <w:pPr>
      <w:pStyle w:val="Encabezado"/>
    </w:pPr>
  </w:p>
  <w:p w14:paraId="53610467" w14:textId="77777777" w:rsidR="00D772C9" w:rsidRPr="004A305D" w:rsidRDefault="00D772C9"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4BF2C726" w14:textId="77777777" w:rsidR="00D772C9" w:rsidRPr="004A305D" w:rsidRDefault="00D772C9"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3BCECD94" w14:textId="77777777" w:rsidR="00D772C9" w:rsidRPr="004A305D" w:rsidRDefault="00D772C9"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07B17944" w14:textId="77777777" w:rsidR="00D772C9" w:rsidRDefault="00D772C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2C9"/>
    <w:rsid w:val="001339F6"/>
    <w:rsid w:val="002D5FA4"/>
    <w:rsid w:val="005223C2"/>
    <w:rsid w:val="005818E2"/>
    <w:rsid w:val="008632F1"/>
    <w:rsid w:val="008E5C2E"/>
    <w:rsid w:val="0097746A"/>
    <w:rsid w:val="00C07D0D"/>
    <w:rsid w:val="00D772C9"/>
    <w:rsid w:val="00EF3647"/>
    <w:rsid w:val="00F1786E"/>
    <w:rsid w:val="00F935F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A8809"/>
  <w15:chartTrackingRefBased/>
  <w15:docId w15:val="{5334F339-137F-45BF-8CCF-6DACF5AA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2C9"/>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772C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772C9"/>
    <w:rPr>
      <w:kern w:val="0"/>
      <w14:ligatures w14:val="none"/>
    </w:rPr>
  </w:style>
  <w:style w:type="paragraph" w:styleId="Piedepgina">
    <w:name w:val="footer"/>
    <w:basedOn w:val="Normal"/>
    <w:link w:val="PiedepginaCar"/>
    <w:uiPriority w:val="99"/>
    <w:unhideWhenUsed/>
    <w:rsid w:val="00D772C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72C9"/>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772C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772C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772C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D772C9"/>
    <w:rPr>
      <w:vertAlign w:val="superscript"/>
    </w:rPr>
  </w:style>
  <w:style w:type="table" w:styleId="Tablaconcuadrcula">
    <w:name w:val="Table Grid"/>
    <w:basedOn w:val="Tablanormal"/>
    <w:uiPriority w:val="39"/>
    <w:rsid w:val="00D772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772C9"/>
    <w:rPr>
      <w:color w:val="0000FF"/>
      <w:u w:val="single"/>
    </w:rPr>
  </w:style>
  <w:style w:type="paragraph" w:customStyle="1" w:styleId="Appelnotedebasde">
    <w:name w:val="Appel note de bas de..."/>
    <w:basedOn w:val="Normal"/>
    <w:link w:val="Refdenotaalpie"/>
    <w:uiPriority w:val="99"/>
    <w:rsid w:val="00D772C9"/>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rsid w:val="00D772C9"/>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772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772C9"/>
    <w:rPr>
      <w:rFonts w:ascii="Times New Roman" w:hAnsi="Times New Roman" w:cs="Times New Roman"/>
      <w:sz w:val="24"/>
      <w:szCs w:val="24"/>
    </w:rPr>
  </w:style>
  <w:style w:type="character" w:styleId="Textoennegrita">
    <w:name w:val="Strong"/>
    <w:basedOn w:val="Fuentedeprrafopredeter"/>
    <w:uiPriority w:val="22"/>
    <w:qFormat/>
    <w:rsid w:val="00D772C9"/>
    <w:rPr>
      <w:b/>
      <w:bCs/>
    </w:rPr>
  </w:style>
  <w:style w:type="character" w:styleId="Mencinsinresolver">
    <w:name w:val="Unresolved Mention"/>
    <w:basedOn w:val="Fuentedeprrafopredeter"/>
    <w:uiPriority w:val="99"/>
    <w:semiHidden/>
    <w:unhideWhenUsed/>
    <w:rsid w:val="002D5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189832">
      <w:bodyDiv w:val="1"/>
      <w:marLeft w:val="0"/>
      <w:marRight w:val="0"/>
      <w:marTop w:val="0"/>
      <w:marBottom w:val="0"/>
      <w:divBdr>
        <w:top w:val="none" w:sz="0" w:space="0" w:color="auto"/>
        <w:left w:val="none" w:sz="0" w:space="0" w:color="auto"/>
        <w:bottom w:val="none" w:sz="0" w:space="0" w:color="auto"/>
        <w:right w:val="none" w:sz="0" w:space="0" w:color="auto"/>
      </w:divBdr>
    </w:div>
    <w:div w:id="69318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gestionmbcd@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050EFB-5657-4DE0-AF5A-3998472F5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11F1B0-2C81-45A8-8291-9D4CC2DDBB90}">
  <ds:schemaRefs>
    <ds:schemaRef ds:uri="http://schemas.microsoft.com/sharepoint/v3/contenttype/forms"/>
  </ds:schemaRefs>
</ds:datastoreItem>
</file>

<file path=customXml/itemProps3.xml><?xml version="1.0" encoding="utf-8"?>
<ds:datastoreItem xmlns:ds="http://schemas.openxmlformats.org/officeDocument/2006/customXml" ds:itemID="{AD09807F-53AE-44C0-A3CB-8FBCCA609C1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6370</Words>
  <Characters>35040</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Santiago Alberto Herrera Morillo</cp:lastModifiedBy>
  <cp:revision>5</cp:revision>
  <dcterms:created xsi:type="dcterms:W3CDTF">2023-12-18T19:25:00Z</dcterms:created>
  <dcterms:modified xsi:type="dcterms:W3CDTF">2024-03-15T19:34:00Z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