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BC03F" w14:textId="77777777" w:rsidR="003C75FF" w:rsidRPr="00760536" w:rsidRDefault="003C75FF" w:rsidP="003C75FF">
      <w:pPr>
        <w:spacing w:after="0" w:line="240" w:lineRule="auto"/>
        <w:jc w:val="both"/>
        <w:rPr>
          <w:rFonts w:ascii="Verdana" w:hAnsi="Verdana" w:cs="Arial"/>
          <w:b/>
        </w:rPr>
      </w:pPr>
      <w:r w:rsidRPr="00760536">
        <w:rPr>
          <w:rFonts w:ascii="Verdana" w:hAnsi="Verdana" w:cs="Arial"/>
          <w:b/>
        </w:rPr>
        <w:t xml:space="preserve">RIESGOS EN LA CONTRATACIÓN ESTATAL – Obligación de las entidades estatales de tipificarlos </w:t>
      </w:r>
    </w:p>
    <w:p w14:paraId="5C7B03AE" w14:textId="77777777" w:rsidR="003C75FF" w:rsidRPr="00760536" w:rsidRDefault="003C75FF" w:rsidP="003C75FF">
      <w:pPr>
        <w:spacing w:after="0" w:line="240" w:lineRule="auto"/>
        <w:jc w:val="both"/>
        <w:rPr>
          <w:rFonts w:ascii="Verdana" w:hAnsi="Verdana" w:cs="Arial"/>
          <w:b/>
          <w:sz w:val="20"/>
          <w:szCs w:val="20"/>
        </w:rPr>
      </w:pPr>
    </w:p>
    <w:p w14:paraId="76491F65" w14:textId="77777777" w:rsidR="003C75FF" w:rsidRPr="00760536" w:rsidRDefault="003C75FF" w:rsidP="003C75FF">
      <w:pPr>
        <w:spacing w:after="0" w:line="240" w:lineRule="auto"/>
        <w:jc w:val="both"/>
        <w:textAlignment w:val="baseline"/>
        <w:rPr>
          <w:rFonts w:ascii="Verdana" w:hAnsi="Verdana" w:cs="Arial"/>
          <w:sz w:val="20"/>
          <w:szCs w:val="20"/>
          <w:lang w:val="es-ES" w:eastAsia="es-CO"/>
        </w:rPr>
      </w:pPr>
      <w:r w:rsidRPr="00760536">
        <w:rPr>
          <w:rFonts w:ascii="Verdana" w:hAnsi="Verdana" w:cs="Arial"/>
          <w:sz w:val="20"/>
          <w:szCs w:val="20"/>
          <w:lang w:val="es-ES" w:eastAsia="es-CO"/>
        </w:rPr>
        <w:t>[…] el Decreto 1082 de 2015 reiteró, en los siguientes términos, la obligación que tienen las entidades estatales de tipificar, estimar y asignar los riesgos previsibles que surjan durante la ejecución contractual dentro del pliego de condiciones. desde la Ley 1150 de 2007 y conforme los decretos reglamentarios de la contratación estatal, se establecieron obligaciones de estimación de riesgos durante la etapa de planeación. Por un lado, por parte de las entidades estatales quienes deben tipificarlos, estimarlos y asignarlos en los pliegos de condiciones, y por otro, los participantes del proceso de selección quienes deberán valorarlos y complementarlos en virtud del deber de colaboración con la administración pública en la construcción de los documentos definitivos, dada su experticia, especialidad y conocimientos. En tal sentido, ellos podrán pronunciarse frente a este contenido de los pliegos de condiciones mediante la presentación de observaciones a los proyectos de pliegos de condiciones y a los pliegos de condiciones definitivos, sin perjuicio de que en los procesos de licitación pública sea obligatoria realizar una audiencia de asignación de riesgos –art. 4 de la Ley 1150 de 2007, artículo 30, numeral 4, de la Ley 80 de 1993 y artículo 2.2.1.2.1.1.2. del Decreto 1082 de 2015–.</w:t>
      </w:r>
    </w:p>
    <w:p w14:paraId="6E466930" w14:textId="77777777" w:rsidR="003C75FF" w:rsidRPr="00760536" w:rsidRDefault="003C75FF" w:rsidP="003C75FF">
      <w:pPr>
        <w:spacing w:after="0" w:line="240" w:lineRule="auto"/>
        <w:jc w:val="both"/>
        <w:textAlignment w:val="baseline"/>
        <w:rPr>
          <w:rFonts w:ascii="Verdana" w:hAnsi="Verdana" w:cs="Arial"/>
          <w:sz w:val="20"/>
          <w:szCs w:val="20"/>
          <w:lang w:val="es-ES" w:eastAsia="es-CO"/>
        </w:rPr>
      </w:pPr>
    </w:p>
    <w:p w14:paraId="1E3E4E40" w14:textId="77777777" w:rsidR="003C75FF" w:rsidRPr="00760536" w:rsidRDefault="003C75FF" w:rsidP="003C75FF">
      <w:pPr>
        <w:spacing w:after="0" w:line="240" w:lineRule="auto"/>
        <w:jc w:val="both"/>
        <w:rPr>
          <w:rFonts w:ascii="Verdana" w:hAnsi="Verdana" w:cs="Arial"/>
          <w:b/>
          <w:lang w:val="es-ES"/>
        </w:rPr>
      </w:pPr>
      <w:r w:rsidRPr="00760536">
        <w:rPr>
          <w:rFonts w:ascii="Verdana" w:hAnsi="Verdana" w:cs="Arial"/>
          <w:b/>
          <w:lang w:val="es-ES"/>
        </w:rPr>
        <w:t xml:space="preserve">MATRIZ DE RIESGOS – identificación y administración de riesgos </w:t>
      </w:r>
    </w:p>
    <w:p w14:paraId="574CB1CF" w14:textId="77777777" w:rsidR="003C75FF" w:rsidRPr="00760536" w:rsidRDefault="003C75FF" w:rsidP="003C75FF">
      <w:pPr>
        <w:spacing w:after="0" w:line="240" w:lineRule="auto"/>
        <w:jc w:val="both"/>
        <w:rPr>
          <w:rFonts w:ascii="Verdana" w:hAnsi="Verdana" w:cs="Arial"/>
          <w:b/>
          <w:sz w:val="20"/>
          <w:szCs w:val="20"/>
          <w:lang w:val="es-ES"/>
        </w:rPr>
      </w:pPr>
    </w:p>
    <w:p w14:paraId="344E33C2" w14:textId="77777777" w:rsidR="003C75FF" w:rsidRPr="00760536" w:rsidRDefault="003C75FF" w:rsidP="003C75FF">
      <w:pPr>
        <w:spacing w:after="0" w:line="240" w:lineRule="auto"/>
        <w:jc w:val="both"/>
        <w:textAlignment w:val="baseline"/>
        <w:rPr>
          <w:rFonts w:ascii="Verdana" w:hAnsi="Verdana" w:cs="Arial"/>
          <w:sz w:val="20"/>
          <w:szCs w:val="20"/>
          <w:lang w:val="es-ES" w:eastAsia="es-CO"/>
        </w:rPr>
      </w:pPr>
      <w:r w:rsidRPr="00760536">
        <w:rPr>
          <w:rFonts w:ascii="Verdana" w:hAnsi="Verdana" w:cs="Arial"/>
          <w:sz w:val="20"/>
          <w:szCs w:val="20"/>
          <w:lang w:val="es-ES" w:eastAsia="es-CO"/>
        </w:rPr>
        <w:t xml:space="preserve">[…] la Agencia de Contratación </w:t>
      </w:r>
      <w:r w:rsidRPr="00760536">
        <w:rPr>
          <w:rFonts w:ascii="Verdana" w:hAnsi="Verdana" w:cs="Arial"/>
          <w:sz w:val="20"/>
          <w:szCs w:val="20"/>
          <w:lang w:val="es-ES"/>
        </w:rPr>
        <w:t xml:space="preserve">Pública – Colombia Compra Eficiente, recomendó a las entidades incluir una matriz de riesgos en los que se incluya todos los riesgos identificados en el proceso contractual y con ello reducir la </w:t>
      </w:r>
      <w:r w:rsidRPr="00760536">
        <w:rPr>
          <w:rFonts w:ascii="Verdana" w:hAnsi="Verdana" w:cs="Arial"/>
          <w:sz w:val="20"/>
          <w:szCs w:val="20"/>
          <w:lang w:val="es-ES" w:eastAsia="es-CO"/>
        </w:rPr>
        <w:t>exposición del Proceso de Contratación frente a los diferentes riesgos que se puedan presentar, por ejemplo, la identificación de aquellos eventos que:</w:t>
      </w:r>
      <w:r>
        <w:rPr>
          <w:rFonts w:ascii="Verdana" w:hAnsi="Verdana" w:cs="Arial"/>
          <w:sz w:val="20"/>
          <w:szCs w:val="20"/>
          <w:lang w:val="es-ES" w:eastAsia="es-CO"/>
        </w:rPr>
        <w:t xml:space="preserve"> </w:t>
      </w:r>
      <w:r w:rsidRPr="00760536">
        <w:rPr>
          <w:rFonts w:ascii="Verdana" w:hAnsi="Verdana" w:cs="Arial"/>
          <w:sz w:val="20"/>
          <w:szCs w:val="20"/>
        </w:rPr>
        <w:t>(a) los eventos que impidan la adjudicación y firma del contrato como resultado del Proceso de Contratación; (b) los eventos que alteren la ejecución del contrato; (c) el equilibrio económico del contrato; (d) la eficacia del Proceso de Contratación, es decir, que la Entidad Estatal pueda satisfacer la necesidad que motivó el Proceso de Contratación; y (e) la reputación y legitimidad de la Entidad Estatal encargada de prestar el bien o servicio.</w:t>
      </w:r>
      <w:r w:rsidRPr="00760536">
        <w:rPr>
          <w:rFonts w:ascii="Verdana" w:hAnsi="Verdana" w:cs="Arial"/>
          <w:sz w:val="20"/>
          <w:szCs w:val="20"/>
          <w:lang w:val="es-ES" w:eastAsia="es-CO"/>
        </w:rPr>
        <w:t xml:space="preserve">Finalmente, una adecuada administración de riesgos, permite: </w:t>
      </w:r>
      <w:r>
        <w:rPr>
          <w:rFonts w:ascii="Verdana" w:hAnsi="Verdana" w:cs="Arial"/>
          <w:sz w:val="20"/>
          <w:szCs w:val="20"/>
        </w:rPr>
        <w:t>“</w:t>
      </w:r>
      <w:r w:rsidRPr="00760536">
        <w:rPr>
          <w:rFonts w:ascii="Verdana" w:hAnsi="Verdana" w:cs="Arial"/>
          <w:sz w:val="20"/>
          <w:szCs w:val="20"/>
          <w:lang w:eastAsia="es-CO"/>
        </w:rPr>
        <w:t>(i) proporcionar un mayor nivel de certeza y conocimiento para la toma de decisiones relacionadas con el Proceso de Contratación; (</w:t>
      </w:r>
      <w:proofErr w:type="spellStart"/>
      <w:r w:rsidRPr="00760536">
        <w:rPr>
          <w:rFonts w:ascii="Verdana" w:hAnsi="Verdana" w:cs="Arial"/>
          <w:sz w:val="20"/>
          <w:szCs w:val="20"/>
          <w:lang w:eastAsia="es-CO"/>
        </w:rPr>
        <w:t>ii</w:t>
      </w:r>
      <w:proofErr w:type="spellEnd"/>
      <w:r w:rsidRPr="00760536">
        <w:rPr>
          <w:rFonts w:ascii="Verdana" w:hAnsi="Verdana" w:cs="Arial"/>
          <w:sz w:val="20"/>
          <w:szCs w:val="20"/>
          <w:lang w:eastAsia="es-CO"/>
        </w:rPr>
        <w:t>) mejorar la planeación de contingencias del Proceso de Contratación; (</w:t>
      </w:r>
      <w:proofErr w:type="spellStart"/>
      <w:r w:rsidRPr="00760536">
        <w:rPr>
          <w:rFonts w:ascii="Verdana" w:hAnsi="Verdana" w:cs="Arial"/>
          <w:sz w:val="20"/>
          <w:szCs w:val="20"/>
          <w:lang w:eastAsia="es-CO"/>
        </w:rPr>
        <w:t>iii</w:t>
      </w:r>
      <w:proofErr w:type="spellEnd"/>
      <w:r w:rsidRPr="00760536">
        <w:rPr>
          <w:rFonts w:ascii="Verdana" w:hAnsi="Verdana" w:cs="Arial"/>
          <w:sz w:val="20"/>
          <w:szCs w:val="20"/>
          <w:lang w:eastAsia="es-CO"/>
        </w:rPr>
        <w:t>) incrementar el grado de confianza entre la partes del Proceso de Contratación; y (</w:t>
      </w:r>
      <w:proofErr w:type="spellStart"/>
      <w:r w:rsidRPr="00760536">
        <w:rPr>
          <w:rFonts w:ascii="Verdana" w:hAnsi="Verdana" w:cs="Arial"/>
          <w:sz w:val="20"/>
          <w:szCs w:val="20"/>
          <w:lang w:eastAsia="es-CO"/>
        </w:rPr>
        <w:t>iv</w:t>
      </w:r>
      <w:proofErr w:type="spellEnd"/>
      <w:r w:rsidRPr="00760536">
        <w:rPr>
          <w:rFonts w:ascii="Verdana" w:hAnsi="Verdana" w:cs="Arial"/>
          <w:sz w:val="20"/>
          <w:szCs w:val="20"/>
          <w:lang w:eastAsia="es-CO"/>
        </w:rPr>
        <w:t>) reducir la posibilidad de litigios; entre otro</w:t>
      </w:r>
      <w:r>
        <w:rPr>
          <w:rFonts w:ascii="Verdana" w:hAnsi="Verdana" w:cs="Arial"/>
          <w:sz w:val="20"/>
          <w:szCs w:val="20"/>
        </w:rPr>
        <w:t>”</w:t>
      </w:r>
      <w:r w:rsidRPr="00760536">
        <w:rPr>
          <w:rFonts w:ascii="Verdana" w:hAnsi="Verdana" w:cs="Arial"/>
          <w:sz w:val="20"/>
          <w:szCs w:val="20"/>
        </w:rPr>
        <w:t>.</w:t>
      </w:r>
    </w:p>
    <w:p w14:paraId="37245FFC" w14:textId="77777777" w:rsidR="003C75FF" w:rsidRPr="00760536" w:rsidRDefault="003C75FF" w:rsidP="003C75FF">
      <w:pPr>
        <w:spacing w:after="0" w:line="240" w:lineRule="auto"/>
        <w:jc w:val="both"/>
        <w:rPr>
          <w:rFonts w:ascii="Verdana" w:eastAsia="Calibri" w:hAnsi="Verdana" w:cs="Arial"/>
          <w:b/>
          <w:color w:val="000000" w:themeColor="text1"/>
          <w:sz w:val="20"/>
          <w:szCs w:val="20"/>
          <w:lang w:val="es-ES"/>
        </w:rPr>
      </w:pPr>
    </w:p>
    <w:p w14:paraId="09831D78" w14:textId="77777777" w:rsidR="003C75FF" w:rsidRPr="00AF1555" w:rsidRDefault="003C75FF" w:rsidP="003C75FF">
      <w:pPr>
        <w:spacing w:after="0" w:line="240" w:lineRule="auto"/>
        <w:jc w:val="both"/>
        <w:rPr>
          <w:rFonts w:ascii="Verdana" w:eastAsia="Calibri" w:hAnsi="Verdana" w:cs="Arial"/>
          <w:b/>
          <w:color w:val="000000" w:themeColor="text1"/>
          <w:lang w:val="es-ES"/>
        </w:rPr>
      </w:pPr>
      <w:r w:rsidRPr="00292198">
        <w:rPr>
          <w:rFonts w:ascii="Verdana" w:eastAsia="Calibri" w:hAnsi="Verdana" w:cs="Arial"/>
          <w:b/>
          <w:color w:val="000000" w:themeColor="text1"/>
          <w:lang w:val="es-ES"/>
        </w:rPr>
        <w:t>PRECIOS UNITARIOS – APU – AIU – Diferencias</w:t>
      </w:r>
      <w:r w:rsidRPr="00AF1555">
        <w:rPr>
          <w:rFonts w:ascii="Verdana" w:eastAsia="Calibri" w:hAnsi="Verdana" w:cs="Arial"/>
          <w:b/>
          <w:color w:val="000000" w:themeColor="text1"/>
          <w:lang w:val="es-ES"/>
        </w:rPr>
        <w:t xml:space="preserve"> </w:t>
      </w:r>
    </w:p>
    <w:p w14:paraId="060E2CAF" w14:textId="77777777" w:rsidR="003C75FF" w:rsidRPr="00AF1555" w:rsidRDefault="003C75FF" w:rsidP="003C75FF">
      <w:pPr>
        <w:spacing w:after="0" w:line="240" w:lineRule="auto"/>
        <w:jc w:val="both"/>
        <w:rPr>
          <w:rFonts w:ascii="Verdana" w:eastAsia="Calibri" w:hAnsi="Verdana" w:cs="Arial"/>
          <w:bCs/>
          <w:color w:val="000000" w:themeColor="text1"/>
          <w:sz w:val="20"/>
          <w:szCs w:val="20"/>
          <w:lang w:val="es-ES"/>
        </w:rPr>
      </w:pPr>
    </w:p>
    <w:p w14:paraId="68D4EFDE" w14:textId="77777777" w:rsidR="003C75FF" w:rsidRPr="00EB0B5F" w:rsidRDefault="003C75FF" w:rsidP="003C75FF">
      <w:pPr>
        <w:spacing w:after="0" w:line="240" w:lineRule="auto"/>
        <w:jc w:val="both"/>
        <w:rPr>
          <w:rFonts w:ascii="Verdana" w:eastAsia="Calibri" w:hAnsi="Verdana" w:cs="Arial"/>
          <w:iCs/>
          <w:color w:val="000000" w:themeColor="text1"/>
          <w:sz w:val="20"/>
          <w:szCs w:val="20"/>
          <w:lang w:eastAsia="es-ES_tradnl"/>
        </w:rPr>
      </w:pPr>
      <w:r>
        <w:rPr>
          <w:rFonts w:ascii="Verdana" w:eastAsia="Calibri" w:hAnsi="Verdana" w:cs="Arial"/>
          <w:bCs/>
          <w:color w:val="000000" w:themeColor="text1"/>
          <w:sz w:val="20"/>
          <w:szCs w:val="20"/>
          <w:lang w:val="es-ES" w:eastAsia="es-ES_tradnl"/>
        </w:rPr>
        <w:t xml:space="preserve">[…] </w:t>
      </w:r>
      <w:r w:rsidRPr="00683260">
        <w:rPr>
          <w:rFonts w:ascii="Verdana" w:eastAsia="Calibri" w:hAnsi="Verdana" w:cs="Arial"/>
          <w:bCs/>
          <w:color w:val="000000" w:themeColor="text1"/>
          <w:sz w:val="20"/>
          <w:szCs w:val="20"/>
          <w:lang w:val="es-ES" w:eastAsia="es-ES_tradnl"/>
        </w:rPr>
        <w:t xml:space="preserve">en los contratos cuyo precio se estructura a partir del sistema de precios unitarios, ha hecho parte de la práctica de los negocios que el contratante le solicite al potencial contratista que separe en su propuesta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–es decir, los que están directamente implicados en la ejecución del objeto–, de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–que equivalen a los rubros que no tienen que ver de manera inmediata con la ejecución de </w:t>
      </w:r>
      <w:r w:rsidRPr="00683260">
        <w:rPr>
          <w:rFonts w:ascii="Verdana" w:eastAsia="Calibri" w:hAnsi="Verdana" w:cs="Arial"/>
          <w:bCs/>
          <w:color w:val="000000" w:themeColor="text1"/>
          <w:sz w:val="20"/>
          <w:szCs w:val="20"/>
          <w:lang w:val="es-ES" w:eastAsia="es-ES_tradnl"/>
        </w:rPr>
        <w:lastRenderedPageBreak/>
        <w:t xml:space="preserve">las actividades contractuales, pero que integran también el precio, bien porque constituyen erogaciones administrativas o contingentes para el contratista o bien porque se dirigen a salvaguardar su ganancia–. En tal sentido, mientras que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se evidencian en el análisis de precios unitarios –APU–, como la sumatoria de los valores de los </w:t>
      </w:r>
      <w:r w:rsidRPr="00683260">
        <w:rPr>
          <w:rFonts w:ascii="Verdana" w:eastAsia="Calibri" w:hAnsi="Verdana" w:cs="Arial"/>
          <w:bCs/>
          <w:i/>
          <w:iCs/>
          <w:color w:val="000000" w:themeColor="text1"/>
          <w:sz w:val="20"/>
          <w:szCs w:val="20"/>
          <w:lang w:val="es-ES" w:eastAsia="es-ES_tradnl"/>
        </w:rPr>
        <w:t>ítems</w:t>
      </w:r>
      <w:r w:rsidRPr="00683260">
        <w:rPr>
          <w:rFonts w:ascii="Verdana" w:eastAsia="Calibri" w:hAnsi="Verdana" w:cs="Arial"/>
          <w:bCs/>
          <w:color w:val="000000" w:themeColor="text1"/>
          <w:sz w:val="20"/>
          <w:szCs w:val="20"/>
          <w:lang w:val="es-ES" w:eastAsia="es-ES_tradnl"/>
        </w:rPr>
        <w:t xml:space="preserve"> según su unidad de medida,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se suelen abreviar en las variables que integran el acrónimo AIU –Administración, Imprevistos y Utilidad–</w:t>
      </w:r>
      <w:r w:rsidRPr="00AF1555">
        <w:rPr>
          <w:rFonts w:ascii="Verdana" w:eastAsia="Calibri" w:hAnsi="Verdana" w:cs="Arial"/>
          <w:color w:val="000000" w:themeColor="text1"/>
          <w:sz w:val="20"/>
          <w:szCs w:val="20"/>
          <w:lang w:val="es-ES_tradnl"/>
        </w:rPr>
        <w:t>.</w:t>
      </w:r>
    </w:p>
    <w:p w14:paraId="4C02FDA0" w14:textId="77777777" w:rsidR="003C75FF" w:rsidRPr="00AF1555" w:rsidRDefault="003C75FF" w:rsidP="003C75FF">
      <w:pPr>
        <w:spacing w:after="0" w:line="240" w:lineRule="auto"/>
        <w:jc w:val="both"/>
        <w:rPr>
          <w:rFonts w:ascii="Verdana" w:eastAsia="Geomanist Light" w:hAnsi="Verdana" w:cs="Arial"/>
          <w:color w:val="000000" w:themeColor="text1"/>
          <w:sz w:val="20"/>
          <w:szCs w:val="20"/>
          <w:lang w:val="es-ES_tradnl"/>
        </w:rPr>
      </w:pPr>
    </w:p>
    <w:p w14:paraId="29C8C522" w14:textId="77777777" w:rsidR="003C75FF" w:rsidRPr="00AF1555" w:rsidRDefault="003C75FF" w:rsidP="003C75FF">
      <w:pPr>
        <w:spacing w:after="0" w:line="240" w:lineRule="auto"/>
        <w:jc w:val="both"/>
        <w:rPr>
          <w:rFonts w:ascii="Verdana" w:eastAsia="Calibri" w:hAnsi="Verdana" w:cs="Arial"/>
          <w:b/>
          <w:lang w:val="es-ES"/>
        </w:rPr>
      </w:pPr>
      <w:r w:rsidRPr="00292198">
        <w:rPr>
          <w:rFonts w:ascii="Verdana" w:eastAsia="Calibri" w:hAnsi="Verdana" w:cs="Arial"/>
          <w:b/>
          <w:lang w:val="es-ES"/>
        </w:rPr>
        <w:t>AIU – Costos indirectos – Finalidad – Ejecución del contrato</w:t>
      </w:r>
    </w:p>
    <w:p w14:paraId="163F734F" w14:textId="77777777" w:rsidR="003C75FF" w:rsidRPr="00AF1555" w:rsidRDefault="003C75FF" w:rsidP="003C75FF">
      <w:pPr>
        <w:spacing w:after="0" w:line="240" w:lineRule="auto"/>
        <w:jc w:val="both"/>
        <w:rPr>
          <w:rFonts w:ascii="Verdana" w:eastAsia="Calibri" w:hAnsi="Verdana" w:cs="Arial"/>
          <w:b/>
          <w:sz w:val="20"/>
          <w:szCs w:val="20"/>
          <w:lang w:val="es-ES"/>
        </w:rPr>
      </w:pPr>
    </w:p>
    <w:p w14:paraId="1B375BE4" w14:textId="77777777" w:rsidR="003C75FF" w:rsidRPr="00683260" w:rsidRDefault="003C75FF" w:rsidP="003C75FF">
      <w:pPr>
        <w:spacing w:after="0" w:line="240" w:lineRule="auto"/>
        <w:jc w:val="both"/>
        <w:rPr>
          <w:rFonts w:ascii="Verdana" w:eastAsia="Calibri" w:hAnsi="Verdana" w:cs="Arial"/>
          <w:bCs/>
          <w:sz w:val="20"/>
          <w:szCs w:val="20"/>
          <w:lang w:val="es-ES"/>
        </w:rPr>
      </w:pPr>
      <w:r w:rsidRPr="00683260">
        <w:rPr>
          <w:rFonts w:ascii="Verdana" w:eastAsia="Calibri" w:hAnsi="Verdana" w:cs="Arial"/>
          <w:bCs/>
          <w:sz w:val="20"/>
          <w:szCs w:val="20"/>
          <w:lang w:val="es-ES"/>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683260">
        <w:rPr>
          <w:rFonts w:ascii="Verdana" w:eastAsia="Calibri" w:hAnsi="Verdana" w:cs="Arial"/>
          <w:bCs/>
          <w:sz w:val="20"/>
          <w:szCs w:val="20"/>
          <w:lang w:val="es-ES"/>
        </w:rPr>
        <w:t>áleas</w:t>
      </w:r>
      <w:proofErr w:type="spellEnd"/>
      <w:r w:rsidRPr="00683260">
        <w:rPr>
          <w:rFonts w:ascii="Verdana" w:eastAsia="Calibri" w:hAnsi="Verdana" w:cs="Arial"/>
          <w:bCs/>
          <w:sz w:val="20"/>
          <w:szCs w:val="20"/>
          <w:lang w:val="es-ES"/>
        </w:rPr>
        <w:t xml:space="preserve"> normales que se presenten en la ejecución del contrato, de manera que, aunque el contratista incurra en mayores costos de los ítems incluidos en la </w:t>
      </w:r>
      <w:r w:rsidRPr="00683260">
        <w:rPr>
          <w:rFonts w:ascii="Verdana" w:eastAsia="Calibri" w:hAnsi="Verdana" w:cs="Arial"/>
          <w:bCs/>
          <w:i/>
          <w:iCs/>
          <w:sz w:val="20"/>
          <w:szCs w:val="20"/>
          <w:lang w:val="es-ES"/>
        </w:rPr>
        <w:t>Administración</w:t>
      </w:r>
      <w:r w:rsidRPr="00683260">
        <w:rPr>
          <w:rFonts w:ascii="Verdana" w:eastAsia="Calibri" w:hAnsi="Verdana" w:cs="Arial"/>
          <w:bCs/>
          <w:sz w:val="20"/>
          <w:szCs w:val="20"/>
          <w:lang w:val="es-ES"/>
        </w:rPr>
        <w:t xml:space="preserve"> o en más gastos de </w:t>
      </w:r>
      <w:r w:rsidRPr="00683260">
        <w:rPr>
          <w:rFonts w:ascii="Verdana" w:eastAsia="Calibri" w:hAnsi="Verdana" w:cs="Arial"/>
          <w:bCs/>
          <w:i/>
          <w:iCs/>
          <w:sz w:val="20"/>
          <w:szCs w:val="20"/>
          <w:lang w:val="es-ES"/>
        </w:rPr>
        <w:t>Imprevistos</w:t>
      </w:r>
      <w:r w:rsidRPr="00683260">
        <w:rPr>
          <w:rFonts w:ascii="Verdana" w:eastAsia="Calibri" w:hAnsi="Verdana" w:cs="Arial"/>
          <w:bCs/>
          <w:sz w:val="20"/>
          <w:szCs w:val="20"/>
          <w:lang w:val="es-ES"/>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683260">
        <w:rPr>
          <w:rFonts w:ascii="Verdana" w:eastAsia="Calibri" w:hAnsi="Verdana" w:cs="Arial"/>
          <w:bCs/>
          <w:i/>
          <w:iCs/>
          <w:sz w:val="20"/>
          <w:szCs w:val="20"/>
          <w:lang w:val="es-ES"/>
        </w:rPr>
        <w:t xml:space="preserve">Administración </w:t>
      </w:r>
      <w:r w:rsidRPr="00683260">
        <w:rPr>
          <w:rFonts w:ascii="Verdana" w:eastAsia="Calibri" w:hAnsi="Verdana" w:cs="Arial"/>
          <w:bCs/>
          <w:sz w:val="20"/>
          <w:szCs w:val="20"/>
          <w:lang w:val="es-ES"/>
        </w:rPr>
        <w:t>o lo</w:t>
      </w:r>
      <w:r w:rsidRPr="00683260">
        <w:rPr>
          <w:rFonts w:ascii="Verdana" w:eastAsia="Calibri" w:hAnsi="Verdana" w:cs="Arial"/>
          <w:bCs/>
          <w:i/>
          <w:iCs/>
          <w:sz w:val="20"/>
          <w:szCs w:val="20"/>
          <w:lang w:val="es-ES"/>
        </w:rPr>
        <w:t>s Imprevistos</w:t>
      </w:r>
      <w:r w:rsidRPr="00683260">
        <w:rPr>
          <w:rFonts w:ascii="Verdana" w:eastAsia="Calibri" w:hAnsi="Verdana" w:cs="Arial"/>
          <w:bCs/>
          <w:sz w:val="20"/>
          <w:szCs w:val="20"/>
          <w:lang w:val="es-ES"/>
        </w:rPr>
        <w:t>, lo que generaría más gastos tanto para la entidad como para el contratista</w:t>
      </w:r>
      <w:r>
        <w:rPr>
          <w:rFonts w:ascii="Verdana" w:eastAsia="Calibri" w:hAnsi="Verdana" w:cs="Arial"/>
          <w:bCs/>
          <w:sz w:val="20"/>
          <w:szCs w:val="20"/>
        </w:rPr>
        <w:t>.</w:t>
      </w:r>
    </w:p>
    <w:p w14:paraId="35CD0A87" w14:textId="77777777" w:rsidR="003C75FF" w:rsidRPr="00AF1555" w:rsidRDefault="003C75FF" w:rsidP="003C75FF">
      <w:pPr>
        <w:spacing w:after="0" w:line="240" w:lineRule="auto"/>
        <w:jc w:val="both"/>
        <w:rPr>
          <w:rFonts w:ascii="Verdana" w:eastAsia="Geomanist Light" w:hAnsi="Verdana" w:cs="Arial"/>
          <w:color w:val="000000" w:themeColor="text1"/>
          <w:sz w:val="20"/>
          <w:szCs w:val="20"/>
          <w:lang w:val="es-ES_tradnl"/>
        </w:rPr>
      </w:pPr>
    </w:p>
    <w:p w14:paraId="1619A893" w14:textId="77777777" w:rsidR="003C75FF" w:rsidRPr="00AF1555" w:rsidRDefault="003C75FF" w:rsidP="003C75FF">
      <w:pPr>
        <w:tabs>
          <w:tab w:val="left" w:pos="426"/>
        </w:tabs>
        <w:spacing w:after="0" w:line="240" w:lineRule="auto"/>
        <w:jc w:val="both"/>
        <w:rPr>
          <w:rFonts w:ascii="Verdana" w:hAnsi="Verdana" w:cs="Arial"/>
          <w:b/>
          <w:lang w:eastAsia="es-CO"/>
        </w:rPr>
      </w:pPr>
      <w:r>
        <w:rPr>
          <w:rFonts w:ascii="Verdana" w:hAnsi="Verdana" w:cs="Arial"/>
          <w:b/>
          <w:lang w:eastAsia="es-CO"/>
        </w:rPr>
        <w:t>AIU – Componentes – Discrecionalidad</w:t>
      </w:r>
    </w:p>
    <w:p w14:paraId="7164C679" w14:textId="77777777" w:rsidR="003C75FF" w:rsidRPr="00AF1555" w:rsidRDefault="003C75FF" w:rsidP="003C75FF">
      <w:pPr>
        <w:tabs>
          <w:tab w:val="left" w:pos="426"/>
        </w:tabs>
        <w:spacing w:after="0" w:line="240" w:lineRule="auto"/>
        <w:jc w:val="both"/>
        <w:rPr>
          <w:rFonts w:ascii="Verdana" w:hAnsi="Verdana" w:cs="Arial"/>
          <w:b/>
          <w:sz w:val="20"/>
          <w:szCs w:val="20"/>
          <w:lang w:eastAsia="es-CO"/>
        </w:rPr>
      </w:pPr>
    </w:p>
    <w:p w14:paraId="421EFD34" w14:textId="77777777" w:rsidR="003C75FF" w:rsidRDefault="003C75FF" w:rsidP="003C75FF">
      <w:pPr>
        <w:spacing w:after="0" w:line="240" w:lineRule="auto"/>
        <w:jc w:val="both"/>
        <w:rPr>
          <w:rFonts w:ascii="Verdana" w:hAnsi="Verdana" w:cs="Arial"/>
          <w:bCs/>
          <w:sz w:val="20"/>
          <w:szCs w:val="20"/>
          <w:lang w:val="es-ES" w:eastAsia="es-CO"/>
        </w:rPr>
      </w:pPr>
      <w:r>
        <w:rPr>
          <w:rFonts w:ascii="Verdana" w:hAnsi="Verdana" w:cs="Arial"/>
          <w:bCs/>
          <w:sz w:val="20"/>
          <w:szCs w:val="20"/>
          <w:lang w:val="es-ES" w:eastAsia="es-CO"/>
        </w:rPr>
        <w:t xml:space="preserve">[…] </w:t>
      </w:r>
      <w:r w:rsidRPr="00683260">
        <w:rPr>
          <w:rFonts w:ascii="Verdana" w:hAnsi="Verdana" w:cs="Arial"/>
          <w:bCs/>
          <w:sz w:val="20"/>
          <w:szCs w:val="20"/>
          <w:lang w:val="es-ES" w:eastAsia="es-CO"/>
        </w:rPr>
        <w:t>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39E48749" w14:textId="77777777" w:rsidR="003C75FF" w:rsidRPr="00683260" w:rsidRDefault="003C75FF" w:rsidP="003C75FF">
      <w:pPr>
        <w:spacing w:after="0" w:line="240" w:lineRule="auto"/>
        <w:jc w:val="both"/>
        <w:rPr>
          <w:rFonts w:ascii="Verdana" w:hAnsi="Verdana" w:cs="Arial"/>
          <w:bCs/>
          <w:sz w:val="20"/>
          <w:szCs w:val="20"/>
          <w:lang w:val="es-ES" w:eastAsia="es-CO"/>
        </w:rPr>
      </w:pPr>
    </w:p>
    <w:p w14:paraId="0F26DBBB" w14:textId="77777777" w:rsidR="003C75FF" w:rsidRPr="000739A2" w:rsidRDefault="003C75FF" w:rsidP="003C75FF">
      <w:pPr>
        <w:spacing w:after="0" w:line="240" w:lineRule="auto"/>
        <w:jc w:val="both"/>
        <w:rPr>
          <w:rFonts w:ascii="Verdana" w:eastAsia="Geomanist Light" w:hAnsi="Verdana" w:cs="Arial"/>
          <w:color w:val="000000" w:themeColor="text1"/>
          <w:lang w:val="es-MX"/>
        </w:rPr>
      </w:pPr>
      <w:r w:rsidRPr="00683260">
        <w:rPr>
          <w:rFonts w:ascii="Verdana" w:hAnsi="Verdana" w:cs="Arial"/>
          <w:bCs/>
          <w:sz w:val="20"/>
          <w:szCs w:val="20"/>
          <w:lang w:val="es-ES" w:eastAsia="es-CO"/>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w:t>
      </w:r>
      <w:r w:rsidRPr="00683260">
        <w:rPr>
          <w:rFonts w:ascii="Verdana" w:hAnsi="Verdana" w:cs="Arial"/>
          <w:bCs/>
          <w:sz w:val="20"/>
          <w:szCs w:val="20"/>
          <w:lang w:val="es-ES" w:eastAsia="es-CO"/>
        </w:rPr>
        <w:lastRenderedPageBreak/>
        <w:t>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60C85119" w14:textId="77777777" w:rsidR="003C75FF" w:rsidRPr="005549AE" w:rsidRDefault="003C75FF" w:rsidP="003C75FF">
      <w:pPr>
        <w:spacing w:after="0" w:line="240" w:lineRule="auto"/>
        <w:jc w:val="both"/>
        <w:rPr>
          <w:rFonts w:ascii="Verdana" w:hAnsi="Verdana"/>
          <w:b/>
          <w:bCs/>
          <w:sz w:val="20"/>
          <w:szCs w:val="20"/>
          <w:lang w:val="es-ES"/>
        </w:rPr>
      </w:pPr>
    </w:p>
    <w:p w14:paraId="7FDC26D0" w14:textId="77777777" w:rsidR="003C75FF" w:rsidRPr="005549AE" w:rsidRDefault="003C75FF" w:rsidP="003C75FF">
      <w:pPr>
        <w:spacing w:after="0" w:line="240" w:lineRule="auto"/>
        <w:jc w:val="both"/>
        <w:rPr>
          <w:rFonts w:ascii="Verdana" w:hAnsi="Verdana"/>
          <w:b/>
        </w:rPr>
      </w:pPr>
      <w:r w:rsidRPr="00660AA2">
        <w:rPr>
          <w:rFonts w:ascii="Verdana" w:hAnsi="Verdana"/>
          <w:b/>
        </w:rPr>
        <w:t>EQUILIBRIO ECONÓMICO – Contrato estatal – Fundamento</w:t>
      </w:r>
    </w:p>
    <w:p w14:paraId="3BC9E7A2" w14:textId="77777777" w:rsidR="003C75FF" w:rsidRPr="005549AE" w:rsidRDefault="003C75FF" w:rsidP="003C75FF">
      <w:pPr>
        <w:spacing w:after="0" w:line="240" w:lineRule="auto"/>
        <w:jc w:val="both"/>
        <w:rPr>
          <w:rFonts w:ascii="Verdana" w:hAnsi="Verdana"/>
          <w:bCs/>
          <w:sz w:val="20"/>
          <w:szCs w:val="20"/>
        </w:rPr>
      </w:pPr>
    </w:p>
    <w:p w14:paraId="4BC8053F" w14:textId="77777777" w:rsidR="003C75FF" w:rsidRPr="00660AA2" w:rsidRDefault="003C75FF" w:rsidP="003C75FF">
      <w:pPr>
        <w:spacing w:after="0" w:line="240" w:lineRule="auto"/>
        <w:jc w:val="both"/>
        <w:rPr>
          <w:rFonts w:ascii="Verdana" w:eastAsia="Calibri" w:hAnsi="Verdana" w:cs="Arial"/>
          <w:sz w:val="20"/>
          <w:szCs w:val="20"/>
          <w:shd w:val="clear" w:color="auto" w:fill="FFFFFF"/>
          <w:lang w:val="es-ES"/>
        </w:rPr>
      </w:pPr>
      <w:r w:rsidRPr="00660AA2">
        <w:rPr>
          <w:rFonts w:ascii="Verdana" w:eastAsia="Calibri" w:hAnsi="Verdana" w:cs="Arial"/>
          <w:sz w:val="20"/>
          <w:szCs w:val="20"/>
          <w:shd w:val="clear" w:color="auto" w:fill="FFFFFF"/>
          <w:lang w:val="es-ES"/>
        </w:rPr>
        <w:t xml:space="preserve">De conformidad con el artículo 3 de la Ley 80 de 1993 la celebración y ejecución de los contratos estatales 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 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537E2218" w14:textId="77777777" w:rsidR="003C75FF" w:rsidRPr="00660AA2" w:rsidRDefault="003C75FF" w:rsidP="003C75FF">
      <w:pPr>
        <w:spacing w:after="0" w:line="240" w:lineRule="auto"/>
        <w:jc w:val="both"/>
        <w:rPr>
          <w:rFonts w:ascii="Verdana" w:eastAsia="Calibri" w:hAnsi="Verdana" w:cs="Arial"/>
          <w:sz w:val="20"/>
          <w:szCs w:val="20"/>
          <w:shd w:val="clear" w:color="auto" w:fill="FFFFFF"/>
          <w:lang w:val="es-ES"/>
        </w:rPr>
      </w:pPr>
    </w:p>
    <w:p w14:paraId="28EED540" w14:textId="77777777" w:rsidR="003C75FF" w:rsidRPr="005549AE" w:rsidRDefault="003C75FF" w:rsidP="003C75FF">
      <w:pPr>
        <w:spacing w:after="0" w:line="240" w:lineRule="auto"/>
        <w:jc w:val="both"/>
        <w:rPr>
          <w:rFonts w:ascii="Verdana" w:eastAsia="Arial MT" w:hAnsi="Verdana" w:cs="Arial"/>
          <w:sz w:val="20"/>
          <w:szCs w:val="20"/>
          <w:lang w:eastAsia="es-ES" w:bidi="es-ES"/>
        </w:rPr>
      </w:pPr>
      <w:r w:rsidRPr="00660AA2">
        <w:rPr>
          <w:rFonts w:ascii="Verdana" w:eastAsia="Calibri" w:hAnsi="Verdana" w:cs="Arial"/>
          <w:sz w:val="20"/>
          <w:szCs w:val="20"/>
          <w:shd w:val="clear" w:color="auto" w:fill="FFFFFF"/>
          <w:lang w:val="es-ES"/>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w:t>
      </w:r>
    </w:p>
    <w:p w14:paraId="6D77CC9E" w14:textId="77777777" w:rsidR="003C75FF" w:rsidRPr="005549AE" w:rsidRDefault="003C75FF" w:rsidP="003C75FF">
      <w:pPr>
        <w:spacing w:after="0" w:line="240" w:lineRule="auto"/>
        <w:jc w:val="both"/>
        <w:rPr>
          <w:rFonts w:ascii="Verdana" w:hAnsi="Verdana"/>
          <w:bCs/>
          <w:sz w:val="20"/>
          <w:szCs w:val="20"/>
        </w:rPr>
      </w:pPr>
    </w:p>
    <w:p w14:paraId="27F1B778" w14:textId="77777777" w:rsidR="003C75FF" w:rsidRPr="005549AE" w:rsidRDefault="003C75FF" w:rsidP="003C75FF">
      <w:pPr>
        <w:spacing w:after="0" w:line="240" w:lineRule="auto"/>
        <w:jc w:val="both"/>
        <w:rPr>
          <w:rFonts w:ascii="Verdana" w:hAnsi="Verdana"/>
          <w:b/>
        </w:rPr>
      </w:pPr>
      <w:r w:rsidRPr="00660AA2">
        <w:rPr>
          <w:rFonts w:ascii="Verdana" w:hAnsi="Verdana"/>
          <w:b/>
        </w:rPr>
        <w:t>EQUILIBRIO ECONÓMICO – Contrato estatal – Concepto</w:t>
      </w:r>
    </w:p>
    <w:p w14:paraId="7F1849FC" w14:textId="77777777" w:rsidR="003C75FF" w:rsidRPr="005549AE" w:rsidRDefault="003C75FF" w:rsidP="003C75FF">
      <w:pPr>
        <w:spacing w:after="0" w:line="240" w:lineRule="auto"/>
        <w:jc w:val="both"/>
        <w:rPr>
          <w:rFonts w:ascii="Verdana" w:hAnsi="Verdana"/>
          <w:bCs/>
          <w:sz w:val="20"/>
          <w:szCs w:val="20"/>
        </w:rPr>
      </w:pPr>
    </w:p>
    <w:p w14:paraId="61DB4F1E" w14:textId="77777777" w:rsidR="003C75FF" w:rsidRPr="005549AE" w:rsidRDefault="003C75FF" w:rsidP="003C75FF">
      <w:pPr>
        <w:spacing w:after="0" w:line="240" w:lineRule="auto"/>
        <w:jc w:val="both"/>
        <w:rPr>
          <w:rFonts w:ascii="Verdana" w:hAnsi="Verdana"/>
          <w:b/>
          <w:bCs/>
          <w:sz w:val="20"/>
          <w:szCs w:val="20"/>
        </w:rPr>
      </w:pPr>
      <w:r w:rsidRPr="00660AA2">
        <w:rPr>
          <w:rFonts w:ascii="Verdana" w:eastAsia="Arial MT" w:hAnsi="Verdana" w:cs="Arial"/>
          <w:sz w:val="20"/>
          <w:szCs w:val="20"/>
          <w:lang w:eastAsia="es-ES" w:bidi="es-ES"/>
        </w:rPr>
        <w:t xml:space="preserve">Sobre el principio del equilibrio financiero del contrato, el Consejo de Estado ha señalado que consiste </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 xml:space="preserve">. En concordancia, la doctrina ha indicado que con este principio, también denominado </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el de la honesta equivalencia de prestaciones</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 xml:space="preserve">, se privilegia el carácter conmutativo o sinalagmático que, por regla general, tiene el contrato estatal, </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w:t>
      </w:r>
    </w:p>
    <w:p w14:paraId="3577146E" w14:textId="77777777" w:rsidR="003C75FF" w:rsidRPr="005549AE" w:rsidRDefault="003C75FF" w:rsidP="003C75FF">
      <w:pPr>
        <w:spacing w:after="0" w:line="240" w:lineRule="auto"/>
        <w:jc w:val="both"/>
        <w:rPr>
          <w:rFonts w:ascii="Verdana" w:hAnsi="Verdana"/>
          <w:b/>
          <w:bCs/>
          <w:sz w:val="20"/>
          <w:szCs w:val="20"/>
        </w:rPr>
      </w:pPr>
    </w:p>
    <w:p w14:paraId="34579455" w14:textId="77777777" w:rsidR="003C75FF" w:rsidRPr="005549AE" w:rsidRDefault="003C75FF" w:rsidP="003C75FF">
      <w:pPr>
        <w:spacing w:after="0" w:line="240" w:lineRule="auto"/>
        <w:jc w:val="both"/>
        <w:rPr>
          <w:rFonts w:ascii="Verdana" w:hAnsi="Verdana"/>
          <w:b/>
          <w:bCs/>
        </w:rPr>
      </w:pPr>
      <w:r w:rsidRPr="00660AA2">
        <w:rPr>
          <w:rFonts w:ascii="Verdana" w:hAnsi="Verdana"/>
          <w:b/>
          <w:bCs/>
        </w:rPr>
        <w:t>EQUILIBRIO ECONÓMICO – Contrato estatal – Restablecimiento – Procedencia – Requisitos</w:t>
      </w:r>
    </w:p>
    <w:p w14:paraId="1EE24896" w14:textId="77777777" w:rsidR="003C75FF" w:rsidRPr="005549AE" w:rsidRDefault="003C75FF" w:rsidP="003C75FF">
      <w:pPr>
        <w:spacing w:after="0" w:line="240" w:lineRule="auto"/>
        <w:jc w:val="both"/>
        <w:rPr>
          <w:rFonts w:ascii="Verdana" w:hAnsi="Verdana"/>
          <w:b/>
          <w:bCs/>
          <w:sz w:val="20"/>
          <w:szCs w:val="20"/>
        </w:rPr>
      </w:pPr>
    </w:p>
    <w:p w14:paraId="6A0775CF" w14:textId="77777777" w:rsidR="003C75FF" w:rsidRPr="00660AA2" w:rsidRDefault="003C75FF" w:rsidP="003C75FF">
      <w:pPr>
        <w:spacing w:after="0" w:line="240" w:lineRule="auto"/>
        <w:jc w:val="both"/>
        <w:rPr>
          <w:rFonts w:ascii="Verdana" w:hAnsi="Verdana"/>
          <w:sz w:val="20"/>
          <w:szCs w:val="20"/>
        </w:rPr>
      </w:pPr>
      <w:r w:rsidRPr="00660AA2">
        <w:rPr>
          <w:rFonts w:ascii="Verdana" w:hAnsi="Verdana"/>
          <w:sz w:val="20"/>
          <w:szCs w:val="20"/>
          <w:lang w:bidi="es-ES"/>
        </w:rPr>
        <w:t xml:space="preserve">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 Además, es necesario que las reclamaciones para el restablecimiento se realicen en la oportunidad debida, de manera que </w:t>
      </w:r>
      <w:r w:rsidRPr="00660AA2">
        <w:rPr>
          <w:rFonts w:ascii="Verdana" w:hAnsi="Verdana"/>
          <w:sz w:val="20"/>
          <w:szCs w:val="20"/>
        </w:rPr>
        <w:t xml:space="preserve">si las solicitudes, o salvedades </w:t>
      </w:r>
      <w:r>
        <w:rPr>
          <w:rFonts w:ascii="Verdana" w:hAnsi="Verdana"/>
          <w:sz w:val="20"/>
          <w:szCs w:val="20"/>
          <w:lang w:val="es-MX"/>
        </w:rPr>
        <w:t>“</w:t>
      </w:r>
      <w:r w:rsidRPr="00660AA2">
        <w:rPr>
          <w:rFonts w:ascii="Verdana" w:hAnsi="Verdana"/>
          <w:sz w:val="20"/>
          <w:szCs w:val="20"/>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Pr>
          <w:rFonts w:ascii="Verdana" w:hAnsi="Verdana"/>
          <w:sz w:val="20"/>
          <w:szCs w:val="20"/>
          <w:lang w:val="es-MX"/>
        </w:rPr>
        <w:t>”</w:t>
      </w:r>
      <w:r w:rsidRPr="00660AA2">
        <w:rPr>
          <w:rFonts w:ascii="Verdana" w:hAnsi="Verdana"/>
          <w:sz w:val="20"/>
          <w:szCs w:val="20"/>
          <w:lang w:val="es-MX"/>
        </w:rPr>
        <w:t xml:space="preserve">. </w:t>
      </w:r>
    </w:p>
    <w:p w14:paraId="3B3F85CD" w14:textId="77777777" w:rsidR="003C75FF" w:rsidRPr="00660AA2" w:rsidRDefault="003C75FF" w:rsidP="003C75FF">
      <w:pPr>
        <w:spacing w:after="0" w:line="240" w:lineRule="auto"/>
        <w:jc w:val="both"/>
        <w:rPr>
          <w:rFonts w:ascii="Verdana" w:hAnsi="Verdana"/>
          <w:sz w:val="20"/>
          <w:szCs w:val="20"/>
          <w:lang w:bidi="es-ES"/>
        </w:rPr>
      </w:pPr>
    </w:p>
    <w:p w14:paraId="0EFCF021" w14:textId="77777777" w:rsidR="003C75FF" w:rsidRPr="00660AA2" w:rsidRDefault="003C75FF" w:rsidP="003C75FF">
      <w:pPr>
        <w:spacing w:after="0" w:line="240" w:lineRule="auto"/>
        <w:jc w:val="both"/>
        <w:rPr>
          <w:rFonts w:ascii="Verdana" w:hAnsi="Verdana"/>
          <w:sz w:val="20"/>
          <w:szCs w:val="20"/>
          <w:lang w:bidi="es-ES"/>
        </w:rPr>
      </w:pPr>
      <w:r w:rsidRPr="00660AA2">
        <w:rPr>
          <w:rFonts w:ascii="Verdana" w:hAnsi="Verdana"/>
          <w:sz w:val="20"/>
          <w:szCs w:val="20"/>
          <w:lang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1894CF9F" w14:textId="77777777" w:rsidR="003C75FF" w:rsidRPr="00660AA2" w:rsidRDefault="003C75FF" w:rsidP="003C75FF">
      <w:pPr>
        <w:spacing w:after="0" w:line="240" w:lineRule="auto"/>
        <w:jc w:val="both"/>
        <w:rPr>
          <w:rFonts w:ascii="Verdana" w:hAnsi="Verdana"/>
          <w:sz w:val="20"/>
          <w:szCs w:val="20"/>
        </w:rPr>
      </w:pPr>
    </w:p>
    <w:p w14:paraId="1FEDD1FE" w14:textId="77777777" w:rsidR="003C75FF" w:rsidRPr="00660AA2" w:rsidRDefault="003C75FF" w:rsidP="003C75FF">
      <w:pPr>
        <w:spacing w:after="0" w:line="240" w:lineRule="auto"/>
        <w:jc w:val="both"/>
        <w:rPr>
          <w:rFonts w:ascii="Verdana" w:hAnsi="Verdana"/>
          <w:sz w:val="20"/>
          <w:szCs w:val="20"/>
        </w:rPr>
      </w:pPr>
      <w:r w:rsidRPr="00660AA2">
        <w:rPr>
          <w:rFonts w:ascii="Verdana" w:hAnsi="Verdana"/>
          <w:sz w:val="20"/>
          <w:szCs w:val="20"/>
          <w:lang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660AA2">
        <w:rPr>
          <w:rFonts w:ascii="Verdana" w:hAnsi="Verdana"/>
          <w:sz w:val="20"/>
          <w:szCs w:val="20"/>
        </w:rPr>
        <w:t xml:space="preserve"> cada caso el contenido del respectivo acuerdo y de sus antecedentes, para determinar el alcance de los otrosíes o de las actas de suspensión correspondientes.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Pr>
          <w:rFonts w:ascii="Verdana" w:hAnsi="Verdana"/>
          <w:sz w:val="20"/>
          <w:szCs w:val="20"/>
          <w:lang w:val="es-MX"/>
        </w:rPr>
        <w:t>“</w:t>
      </w:r>
      <w:r w:rsidRPr="00660AA2">
        <w:rPr>
          <w:rFonts w:ascii="Verdana" w:hAnsi="Verdana"/>
          <w:sz w:val="20"/>
          <w:szCs w:val="20"/>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 de tales situaciones, haya concurrido a suscribirlo, sin dejar alguna manifestación sobre la insuficiencia de ese acuerdo para satisfacer sus reclamaciones</w:t>
      </w:r>
      <w:r>
        <w:rPr>
          <w:rFonts w:ascii="Verdana" w:hAnsi="Verdana"/>
          <w:sz w:val="20"/>
          <w:szCs w:val="20"/>
          <w:lang w:val="es-MX"/>
        </w:rPr>
        <w:t>”</w:t>
      </w:r>
      <w:r w:rsidRPr="00660AA2">
        <w:rPr>
          <w:rFonts w:ascii="Verdana" w:hAnsi="Verdana"/>
          <w:sz w:val="20"/>
          <w:szCs w:val="20"/>
        </w:rPr>
        <w:t>.</w:t>
      </w:r>
    </w:p>
    <w:p w14:paraId="019DBED7" w14:textId="77777777" w:rsidR="003C75FF" w:rsidRPr="005549AE" w:rsidRDefault="003C75FF" w:rsidP="003C75FF">
      <w:pPr>
        <w:spacing w:after="0" w:line="240" w:lineRule="auto"/>
        <w:jc w:val="both"/>
        <w:rPr>
          <w:rFonts w:ascii="Verdana" w:hAnsi="Verdana"/>
          <w:sz w:val="20"/>
          <w:szCs w:val="20"/>
        </w:rPr>
      </w:pPr>
    </w:p>
    <w:p w14:paraId="1BAEEF1C" w14:textId="77777777" w:rsidR="003C75FF" w:rsidRPr="00AF1555" w:rsidRDefault="003C75FF" w:rsidP="003C75FF">
      <w:pPr>
        <w:tabs>
          <w:tab w:val="left" w:pos="426"/>
        </w:tabs>
        <w:spacing w:after="0" w:line="240" w:lineRule="auto"/>
        <w:jc w:val="both"/>
        <w:rPr>
          <w:rFonts w:ascii="Verdana" w:hAnsi="Verdana" w:cs="Arial"/>
          <w:b/>
          <w:lang w:eastAsia="es-CO"/>
        </w:rPr>
      </w:pPr>
      <w:r>
        <w:rPr>
          <w:rFonts w:ascii="Verdana" w:hAnsi="Verdana" w:cs="Arial"/>
          <w:b/>
          <w:lang w:val="es-ES_tradnl" w:eastAsia="es-CO"/>
        </w:rPr>
        <w:t>RESTABLECIMIENTO DE LA ECUACIÓN ECONÓMICA</w:t>
      </w:r>
      <w:r>
        <w:rPr>
          <w:rFonts w:ascii="Verdana" w:hAnsi="Verdana" w:cs="Arial"/>
          <w:b/>
          <w:lang w:eastAsia="es-CO"/>
        </w:rPr>
        <w:t xml:space="preserve"> – Liquidación</w:t>
      </w:r>
      <w:r w:rsidRPr="00AF1555">
        <w:rPr>
          <w:rFonts w:ascii="Verdana" w:hAnsi="Verdana" w:cs="Arial"/>
          <w:b/>
          <w:lang w:eastAsia="es-CO"/>
        </w:rPr>
        <w:t xml:space="preserve">  </w:t>
      </w:r>
    </w:p>
    <w:p w14:paraId="2117D712" w14:textId="77777777" w:rsidR="003C75FF" w:rsidRPr="00AF1555" w:rsidRDefault="003C75FF" w:rsidP="003C75FF">
      <w:pPr>
        <w:tabs>
          <w:tab w:val="left" w:pos="426"/>
        </w:tabs>
        <w:spacing w:after="0" w:line="240" w:lineRule="auto"/>
        <w:jc w:val="both"/>
        <w:rPr>
          <w:rFonts w:ascii="Verdana" w:hAnsi="Verdana" w:cs="Arial"/>
          <w:b/>
          <w:sz w:val="20"/>
          <w:szCs w:val="20"/>
          <w:lang w:eastAsia="es-CO"/>
        </w:rPr>
      </w:pPr>
    </w:p>
    <w:p w14:paraId="2AA2A0F9" w14:textId="77777777" w:rsidR="003C75FF" w:rsidRPr="006F121D" w:rsidRDefault="003C75FF" w:rsidP="003C75FF">
      <w:pPr>
        <w:spacing w:after="0" w:line="240" w:lineRule="auto"/>
        <w:jc w:val="both"/>
        <w:rPr>
          <w:rFonts w:ascii="Verdana" w:hAnsi="Verdana" w:cs="Arial"/>
          <w:bCs/>
          <w:sz w:val="20"/>
          <w:szCs w:val="20"/>
          <w:lang w:eastAsia="es-CO"/>
        </w:rPr>
      </w:pPr>
      <w:r w:rsidRPr="006F121D">
        <w:rPr>
          <w:rFonts w:ascii="Verdana" w:hAnsi="Verdana" w:cs="Arial"/>
          <w:bCs/>
          <w:sz w:val="20"/>
          <w:szCs w:val="20"/>
          <w:lang w:eastAsia="es-CO"/>
        </w:rPr>
        <w:t>De los incisos segundo y tercero del artículo 60 del EGCAP se desprende que en la liquidación “[…] las partes acordarán los ajustes, revisiones y reconocimientos a que haya lugar” y en ella “[…] constarán los acuerdos, conciliaciones y transacciones a que llegaren las partes para poner fin a las divergencias presentadas y poder declararse a paz y salvo”.</w:t>
      </w:r>
      <w:r>
        <w:rPr>
          <w:rFonts w:ascii="Verdana" w:hAnsi="Verdana" w:cs="Arial"/>
          <w:bCs/>
          <w:sz w:val="20"/>
          <w:szCs w:val="20"/>
          <w:lang w:eastAsia="es-CO"/>
        </w:rPr>
        <w:t xml:space="preserve"> </w:t>
      </w:r>
      <w:r w:rsidRPr="00154048">
        <w:rPr>
          <w:rFonts w:ascii="Verdana" w:hAnsi="Verdana" w:cs="Arial"/>
          <w:bCs/>
          <w:sz w:val="20"/>
          <w:szCs w:val="20"/>
          <w:lang w:eastAsia="es-CO"/>
        </w:rPr>
        <w:t xml:space="preserve">Esto hace que la liquidación no sólo sea un mecanismo alternativo de solución de conflictos, sino también un medio para resolver asuntos relacionados con el desequilibrio económico del contrato. Sobre esta última faceta, la norma en comento consagra una posibilidad para que las entidades públicas garanticen el equilibrio </w:t>
      </w:r>
      <w:r w:rsidRPr="00154048">
        <w:rPr>
          <w:rFonts w:ascii="Verdana" w:hAnsi="Verdana" w:cs="Arial"/>
          <w:bCs/>
          <w:sz w:val="20"/>
          <w:szCs w:val="20"/>
          <w:lang w:eastAsia="es-CO"/>
        </w:rPr>
        <w:lastRenderedPageBreak/>
        <w:t>económico si éste resultó afectado en la ejecución del negocio jurídico, así que la liquidación es el momento oportuno para resolver las diferencias existentes</w:t>
      </w:r>
      <w:r>
        <w:rPr>
          <w:rFonts w:ascii="Verdana" w:hAnsi="Verdana" w:cs="Arial"/>
          <w:bCs/>
          <w:sz w:val="20"/>
          <w:szCs w:val="20"/>
          <w:lang w:eastAsia="es-CO"/>
        </w:rPr>
        <w:t>.</w:t>
      </w:r>
    </w:p>
    <w:p w14:paraId="3C0640F8" w14:textId="77777777" w:rsidR="003C75FF" w:rsidRPr="006F121D" w:rsidRDefault="003C75FF" w:rsidP="003C75FF">
      <w:pPr>
        <w:spacing w:after="0" w:line="240" w:lineRule="auto"/>
        <w:jc w:val="both"/>
        <w:rPr>
          <w:rFonts w:ascii="Verdana" w:hAnsi="Verdana" w:cs="Arial"/>
          <w:bCs/>
          <w:sz w:val="20"/>
          <w:szCs w:val="20"/>
          <w:lang w:eastAsia="es-CO"/>
        </w:rPr>
      </w:pPr>
    </w:p>
    <w:p w14:paraId="56F73762" w14:textId="77777777" w:rsidR="003C75FF" w:rsidRPr="00647611" w:rsidRDefault="003C75FF" w:rsidP="003C75FF">
      <w:pPr>
        <w:spacing w:after="0" w:line="240" w:lineRule="auto"/>
        <w:rPr>
          <w:rFonts w:ascii="Verdana" w:hAnsi="Verdana"/>
          <w:sz w:val="20"/>
          <w:szCs w:val="20"/>
        </w:rPr>
      </w:pPr>
    </w:p>
    <w:p w14:paraId="65147F32" w14:textId="77777777" w:rsidR="003C75FF" w:rsidRDefault="003C75FF" w:rsidP="003C75FF">
      <w:pPr>
        <w:spacing w:after="0" w:line="240" w:lineRule="auto"/>
        <w:rPr>
          <w:rFonts w:ascii="Verdana" w:eastAsia="Geomanist Light" w:hAnsi="Verdana" w:cs="Arial"/>
          <w:color w:val="000000" w:themeColor="text1"/>
          <w:lang w:val="es-MX"/>
        </w:rPr>
      </w:pPr>
    </w:p>
    <w:p w14:paraId="5E607DC6" w14:textId="77777777" w:rsidR="003C75FF" w:rsidRDefault="003C75FF" w:rsidP="003C75FF">
      <w:pPr>
        <w:spacing w:after="0" w:line="240" w:lineRule="auto"/>
        <w:rPr>
          <w:rFonts w:ascii="Verdana" w:eastAsia="Geomanist Light" w:hAnsi="Verdana" w:cs="Arial"/>
          <w:color w:val="000000" w:themeColor="text1"/>
          <w:lang w:val="es-MX"/>
        </w:rPr>
      </w:pPr>
    </w:p>
    <w:p w14:paraId="36C60240" w14:textId="77777777" w:rsidR="003C75FF" w:rsidRDefault="003C75FF" w:rsidP="003C75FF">
      <w:pPr>
        <w:spacing w:after="0" w:line="240" w:lineRule="auto"/>
        <w:rPr>
          <w:rFonts w:ascii="Verdana" w:eastAsia="Geomanist Light" w:hAnsi="Verdana" w:cs="Arial"/>
          <w:color w:val="000000" w:themeColor="text1"/>
          <w:lang w:val="es-MX"/>
        </w:rPr>
      </w:pPr>
    </w:p>
    <w:p w14:paraId="65512B9D" w14:textId="77777777" w:rsidR="003C75FF" w:rsidRDefault="003C75FF" w:rsidP="003C75FF">
      <w:pPr>
        <w:spacing w:after="0" w:line="240" w:lineRule="auto"/>
        <w:rPr>
          <w:rFonts w:ascii="Verdana" w:eastAsia="Geomanist Light" w:hAnsi="Verdana" w:cs="Arial"/>
          <w:color w:val="000000" w:themeColor="text1"/>
          <w:lang w:val="es-MX"/>
        </w:rPr>
      </w:pPr>
    </w:p>
    <w:p w14:paraId="7603021E" w14:textId="77777777" w:rsidR="003C75FF" w:rsidRDefault="003C75FF" w:rsidP="003C75FF">
      <w:pPr>
        <w:spacing w:after="0" w:line="240" w:lineRule="auto"/>
        <w:rPr>
          <w:rFonts w:ascii="Verdana" w:eastAsia="Geomanist Light" w:hAnsi="Verdana" w:cs="Arial"/>
          <w:color w:val="000000" w:themeColor="text1"/>
          <w:lang w:val="es-MX"/>
        </w:rPr>
      </w:pPr>
    </w:p>
    <w:p w14:paraId="56697BC0" w14:textId="77777777" w:rsidR="003C75FF" w:rsidRDefault="003C75FF" w:rsidP="00936B0C">
      <w:pPr>
        <w:spacing w:after="0" w:line="240" w:lineRule="auto"/>
        <w:rPr>
          <w:rFonts w:ascii="Verdana" w:eastAsia="Geomanist Light" w:hAnsi="Verdana" w:cs="Arial"/>
          <w:color w:val="000000" w:themeColor="text1"/>
          <w:lang w:val="es-MX"/>
        </w:rPr>
      </w:pPr>
    </w:p>
    <w:p w14:paraId="08DDEEB1" w14:textId="77777777" w:rsidR="003C75FF" w:rsidRDefault="003C75FF" w:rsidP="00936B0C">
      <w:pPr>
        <w:spacing w:after="0" w:line="240" w:lineRule="auto"/>
        <w:rPr>
          <w:rFonts w:ascii="Verdana" w:eastAsia="Geomanist Light" w:hAnsi="Verdana" w:cs="Arial"/>
          <w:color w:val="000000" w:themeColor="text1"/>
          <w:lang w:val="es-MX"/>
        </w:rPr>
      </w:pPr>
    </w:p>
    <w:p w14:paraId="2E73F8D5" w14:textId="77777777" w:rsidR="003C75FF" w:rsidRDefault="003C75FF" w:rsidP="00936B0C">
      <w:pPr>
        <w:spacing w:after="0" w:line="240" w:lineRule="auto"/>
        <w:rPr>
          <w:rFonts w:ascii="Verdana" w:eastAsia="Geomanist Light" w:hAnsi="Verdana" w:cs="Arial"/>
          <w:color w:val="000000" w:themeColor="text1"/>
          <w:lang w:val="es-MX"/>
        </w:rPr>
      </w:pPr>
    </w:p>
    <w:p w14:paraId="3E8021BB" w14:textId="77777777" w:rsidR="003C75FF" w:rsidRDefault="003C75FF" w:rsidP="00936B0C">
      <w:pPr>
        <w:spacing w:after="0" w:line="240" w:lineRule="auto"/>
        <w:rPr>
          <w:rFonts w:ascii="Verdana" w:eastAsia="Geomanist Light" w:hAnsi="Verdana" w:cs="Arial"/>
          <w:color w:val="000000" w:themeColor="text1"/>
          <w:lang w:val="es-MX"/>
        </w:rPr>
      </w:pPr>
    </w:p>
    <w:p w14:paraId="557BB96F" w14:textId="77777777" w:rsidR="003C75FF" w:rsidRDefault="003C75FF" w:rsidP="00936B0C">
      <w:pPr>
        <w:spacing w:after="0" w:line="240" w:lineRule="auto"/>
        <w:rPr>
          <w:rFonts w:ascii="Verdana" w:eastAsia="Geomanist Light" w:hAnsi="Verdana" w:cs="Arial"/>
          <w:color w:val="000000" w:themeColor="text1"/>
          <w:lang w:val="es-MX"/>
        </w:rPr>
      </w:pPr>
    </w:p>
    <w:p w14:paraId="552364D0" w14:textId="77777777" w:rsidR="003C75FF" w:rsidRDefault="003C75FF" w:rsidP="00936B0C">
      <w:pPr>
        <w:spacing w:after="0" w:line="240" w:lineRule="auto"/>
        <w:rPr>
          <w:rFonts w:ascii="Verdana" w:eastAsia="Geomanist Light" w:hAnsi="Verdana" w:cs="Arial"/>
          <w:color w:val="000000" w:themeColor="text1"/>
          <w:lang w:val="es-MX"/>
        </w:rPr>
      </w:pPr>
    </w:p>
    <w:p w14:paraId="195E6B9E" w14:textId="77777777" w:rsidR="003C75FF" w:rsidRDefault="003C75FF" w:rsidP="00936B0C">
      <w:pPr>
        <w:spacing w:after="0" w:line="240" w:lineRule="auto"/>
        <w:rPr>
          <w:rFonts w:ascii="Verdana" w:eastAsia="Geomanist Light" w:hAnsi="Verdana" w:cs="Arial"/>
          <w:color w:val="000000" w:themeColor="text1"/>
          <w:lang w:val="es-MX"/>
        </w:rPr>
      </w:pPr>
    </w:p>
    <w:p w14:paraId="546CD309" w14:textId="77777777" w:rsidR="003C75FF" w:rsidRDefault="003C75FF" w:rsidP="00936B0C">
      <w:pPr>
        <w:spacing w:after="0" w:line="240" w:lineRule="auto"/>
        <w:rPr>
          <w:rFonts w:ascii="Verdana" w:eastAsia="Geomanist Light" w:hAnsi="Verdana" w:cs="Arial"/>
          <w:color w:val="000000" w:themeColor="text1"/>
          <w:lang w:val="es-MX"/>
        </w:rPr>
      </w:pPr>
    </w:p>
    <w:p w14:paraId="1A2688C9" w14:textId="77777777" w:rsidR="003C75FF" w:rsidRDefault="003C75FF" w:rsidP="00936B0C">
      <w:pPr>
        <w:spacing w:after="0" w:line="240" w:lineRule="auto"/>
        <w:rPr>
          <w:rFonts w:ascii="Verdana" w:eastAsia="Geomanist Light" w:hAnsi="Verdana" w:cs="Arial"/>
          <w:color w:val="000000" w:themeColor="text1"/>
          <w:lang w:val="es-MX"/>
        </w:rPr>
      </w:pPr>
    </w:p>
    <w:p w14:paraId="4851E27F" w14:textId="77777777" w:rsidR="003C75FF" w:rsidRDefault="003C75FF" w:rsidP="00936B0C">
      <w:pPr>
        <w:spacing w:after="0" w:line="240" w:lineRule="auto"/>
        <w:rPr>
          <w:rFonts w:ascii="Verdana" w:eastAsia="Geomanist Light" w:hAnsi="Verdana" w:cs="Arial"/>
          <w:color w:val="000000" w:themeColor="text1"/>
          <w:lang w:val="es-MX"/>
        </w:rPr>
      </w:pPr>
    </w:p>
    <w:p w14:paraId="0CC726AF" w14:textId="77777777" w:rsidR="003C75FF" w:rsidRDefault="003C75FF" w:rsidP="00936B0C">
      <w:pPr>
        <w:spacing w:after="0" w:line="240" w:lineRule="auto"/>
        <w:rPr>
          <w:rFonts w:ascii="Verdana" w:eastAsia="Geomanist Light" w:hAnsi="Verdana" w:cs="Arial"/>
          <w:color w:val="000000" w:themeColor="text1"/>
          <w:lang w:val="es-MX"/>
        </w:rPr>
      </w:pPr>
    </w:p>
    <w:p w14:paraId="28EE31D8" w14:textId="77777777" w:rsidR="003C75FF" w:rsidRDefault="003C75FF" w:rsidP="00936B0C">
      <w:pPr>
        <w:spacing w:after="0" w:line="240" w:lineRule="auto"/>
        <w:rPr>
          <w:rFonts w:ascii="Verdana" w:eastAsia="Geomanist Light" w:hAnsi="Verdana" w:cs="Arial"/>
          <w:color w:val="000000" w:themeColor="text1"/>
          <w:lang w:val="es-MX"/>
        </w:rPr>
      </w:pPr>
    </w:p>
    <w:p w14:paraId="3B4CCD4A" w14:textId="77777777" w:rsidR="003C75FF" w:rsidRDefault="003C75FF" w:rsidP="00936B0C">
      <w:pPr>
        <w:spacing w:after="0" w:line="240" w:lineRule="auto"/>
        <w:rPr>
          <w:rFonts w:ascii="Verdana" w:eastAsia="Geomanist Light" w:hAnsi="Verdana" w:cs="Arial"/>
          <w:color w:val="000000" w:themeColor="text1"/>
          <w:lang w:val="es-MX"/>
        </w:rPr>
      </w:pPr>
    </w:p>
    <w:p w14:paraId="336ECEEB" w14:textId="77777777" w:rsidR="003C75FF" w:rsidRDefault="003C75FF" w:rsidP="00936B0C">
      <w:pPr>
        <w:spacing w:after="0" w:line="240" w:lineRule="auto"/>
        <w:rPr>
          <w:rFonts w:ascii="Verdana" w:eastAsia="Geomanist Light" w:hAnsi="Verdana" w:cs="Arial"/>
          <w:color w:val="000000" w:themeColor="text1"/>
          <w:lang w:val="es-MX"/>
        </w:rPr>
      </w:pPr>
    </w:p>
    <w:p w14:paraId="7ED3A38C" w14:textId="77777777" w:rsidR="003C75FF" w:rsidRDefault="003C75FF" w:rsidP="00936B0C">
      <w:pPr>
        <w:spacing w:after="0" w:line="240" w:lineRule="auto"/>
        <w:rPr>
          <w:rFonts w:ascii="Verdana" w:eastAsia="Geomanist Light" w:hAnsi="Verdana" w:cs="Arial"/>
          <w:color w:val="000000" w:themeColor="text1"/>
          <w:lang w:val="es-MX"/>
        </w:rPr>
      </w:pPr>
    </w:p>
    <w:p w14:paraId="703CF7CD" w14:textId="77777777" w:rsidR="003C75FF" w:rsidRDefault="003C75FF" w:rsidP="00936B0C">
      <w:pPr>
        <w:spacing w:after="0" w:line="240" w:lineRule="auto"/>
        <w:rPr>
          <w:rFonts w:ascii="Verdana" w:eastAsia="Geomanist Light" w:hAnsi="Verdana" w:cs="Arial"/>
          <w:color w:val="000000" w:themeColor="text1"/>
          <w:lang w:val="es-MX"/>
        </w:rPr>
      </w:pPr>
    </w:p>
    <w:p w14:paraId="60893CED" w14:textId="77777777" w:rsidR="003C75FF" w:rsidRDefault="003C75FF" w:rsidP="00936B0C">
      <w:pPr>
        <w:spacing w:after="0" w:line="240" w:lineRule="auto"/>
        <w:rPr>
          <w:rFonts w:ascii="Verdana" w:eastAsia="Geomanist Light" w:hAnsi="Verdana" w:cs="Arial"/>
          <w:color w:val="000000" w:themeColor="text1"/>
          <w:lang w:val="es-MX"/>
        </w:rPr>
      </w:pPr>
    </w:p>
    <w:p w14:paraId="0D1AD127" w14:textId="77777777" w:rsidR="003C75FF" w:rsidRDefault="003C75FF" w:rsidP="00936B0C">
      <w:pPr>
        <w:spacing w:after="0" w:line="240" w:lineRule="auto"/>
        <w:rPr>
          <w:rFonts w:ascii="Verdana" w:eastAsia="Geomanist Light" w:hAnsi="Verdana" w:cs="Arial"/>
          <w:color w:val="000000" w:themeColor="text1"/>
          <w:lang w:val="es-MX"/>
        </w:rPr>
      </w:pPr>
    </w:p>
    <w:p w14:paraId="37AE1A4D" w14:textId="77777777" w:rsidR="003C75FF" w:rsidRDefault="003C75FF" w:rsidP="00936B0C">
      <w:pPr>
        <w:spacing w:after="0" w:line="240" w:lineRule="auto"/>
        <w:rPr>
          <w:rFonts w:ascii="Verdana" w:eastAsia="Geomanist Light" w:hAnsi="Verdana" w:cs="Arial"/>
          <w:color w:val="000000" w:themeColor="text1"/>
          <w:lang w:val="es-MX"/>
        </w:rPr>
      </w:pPr>
    </w:p>
    <w:p w14:paraId="3A140D6C" w14:textId="77777777" w:rsidR="003C75FF" w:rsidRDefault="003C75FF" w:rsidP="00936B0C">
      <w:pPr>
        <w:spacing w:after="0" w:line="240" w:lineRule="auto"/>
        <w:rPr>
          <w:rFonts w:ascii="Verdana" w:eastAsia="Geomanist Light" w:hAnsi="Verdana" w:cs="Arial"/>
          <w:color w:val="000000" w:themeColor="text1"/>
          <w:lang w:val="es-MX"/>
        </w:rPr>
      </w:pPr>
    </w:p>
    <w:p w14:paraId="5E6BA305" w14:textId="77777777" w:rsidR="003C75FF" w:rsidRDefault="003C75FF" w:rsidP="00936B0C">
      <w:pPr>
        <w:spacing w:after="0" w:line="240" w:lineRule="auto"/>
        <w:rPr>
          <w:rFonts w:ascii="Verdana" w:eastAsia="Geomanist Light" w:hAnsi="Verdana" w:cs="Arial"/>
          <w:color w:val="000000" w:themeColor="text1"/>
          <w:lang w:val="es-MX"/>
        </w:rPr>
      </w:pPr>
    </w:p>
    <w:p w14:paraId="2EABA068" w14:textId="77777777" w:rsidR="003C75FF" w:rsidRDefault="003C75FF" w:rsidP="00936B0C">
      <w:pPr>
        <w:spacing w:after="0" w:line="240" w:lineRule="auto"/>
        <w:rPr>
          <w:rFonts w:ascii="Verdana" w:eastAsia="Geomanist Light" w:hAnsi="Verdana" w:cs="Arial"/>
          <w:color w:val="000000" w:themeColor="text1"/>
          <w:lang w:val="es-MX"/>
        </w:rPr>
      </w:pPr>
    </w:p>
    <w:p w14:paraId="6421B778" w14:textId="77777777" w:rsidR="003C75FF" w:rsidRDefault="003C75FF" w:rsidP="00936B0C">
      <w:pPr>
        <w:spacing w:after="0" w:line="240" w:lineRule="auto"/>
        <w:rPr>
          <w:rFonts w:ascii="Verdana" w:eastAsia="Geomanist Light" w:hAnsi="Verdana" w:cs="Arial"/>
          <w:color w:val="000000" w:themeColor="text1"/>
          <w:lang w:val="es-MX"/>
        </w:rPr>
      </w:pPr>
    </w:p>
    <w:p w14:paraId="18EF110B" w14:textId="77777777" w:rsidR="003C75FF" w:rsidRDefault="003C75FF" w:rsidP="00936B0C">
      <w:pPr>
        <w:spacing w:after="0" w:line="240" w:lineRule="auto"/>
        <w:rPr>
          <w:rFonts w:ascii="Verdana" w:eastAsia="Geomanist Light" w:hAnsi="Verdana" w:cs="Arial"/>
          <w:color w:val="000000" w:themeColor="text1"/>
          <w:lang w:val="es-MX"/>
        </w:rPr>
      </w:pPr>
    </w:p>
    <w:p w14:paraId="569DF5A8" w14:textId="77777777" w:rsidR="003C75FF" w:rsidRDefault="003C75FF" w:rsidP="00936B0C">
      <w:pPr>
        <w:spacing w:after="0" w:line="240" w:lineRule="auto"/>
        <w:rPr>
          <w:rFonts w:ascii="Verdana" w:eastAsia="Geomanist Light" w:hAnsi="Verdana" w:cs="Arial"/>
          <w:color w:val="000000" w:themeColor="text1"/>
          <w:lang w:val="es-MX"/>
        </w:rPr>
      </w:pPr>
    </w:p>
    <w:p w14:paraId="0A74E8E8" w14:textId="77777777" w:rsidR="003C75FF" w:rsidRDefault="003C75FF" w:rsidP="00936B0C">
      <w:pPr>
        <w:spacing w:after="0" w:line="240" w:lineRule="auto"/>
        <w:rPr>
          <w:rFonts w:ascii="Verdana" w:eastAsia="Geomanist Light" w:hAnsi="Verdana" w:cs="Arial"/>
          <w:color w:val="000000" w:themeColor="text1"/>
          <w:lang w:val="es-MX"/>
        </w:rPr>
      </w:pPr>
    </w:p>
    <w:p w14:paraId="26912B37" w14:textId="77777777" w:rsidR="003C75FF" w:rsidRDefault="003C75FF" w:rsidP="00936B0C">
      <w:pPr>
        <w:spacing w:after="0" w:line="240" w:lineRule="auto"/>
        <w:rPr>
          <w:rFonts w:ascii="Verdana" w:eastAsia="Geomanist Light" w:hAnsi="Verdana" w:cs="Arial"/>
          <w:color w:val="000000" w:themeColor="text1"/>
          <w:lang w:val="es-MX"/>
        </w:rPr>
      </w:pPr>
    </w:p>
    <w:p w14:paraId="1BBD3630" w14:textId="77777777" w:rsidR="003C75FF" w:rsidRDefault="003C75FF" w:rsidP="00936B0C">
      <w:pPr>
        <w:spacing w:after="0" w:line="240" w:lineRule="auto"/>
        <w:rPr>
          <w:rFonts w:ascii="Verdana" w:eastAsia="Geomanist Light" w:hAnsi="Verdana" w:cs="Arial"/>
          <w:color w:val="000000" w:themeColor="text1"/>
          <w:lang w:val="es-MX"/>
        </w:rPr>
      </w:pPr>
    </w:p>
    <w:p w14:paraId="2C4F6766" w14:textId="77777777" w:rsidR="003C75FF" w:rsidRDefault="003C75FF" w:rsidP="00936B0C">
      <w:pPr>
        <w:spacing w:after="0" w:line="240" w:lineRule="auto"/>
        <w:rPr>
          <w:rFonts w:ascii="Verdana" w:eastAsia="Geomanist Light" w:hAnsi="Verdana" w:cs="Arial"/>
          <w:color w:val="000000" w:themeColor="text1"/>
          <w:lang w:val="es-MX"/>
        </w:rPr>
      </w:pPr>
    </w:p>
    <w:p w14:paraId="6249ADB5" w14:textId="77777777" w:rsidR="003C75FF" w:rsidRDefault="003C75FF" w:rsidP="00936B0C">
      <w:pPr>
        <w:spacing w:after="0" w:line="240" w:lineRule="auto"/>
        <w:rPr>
          <w:rFonts w:ascii="Verdana" w:eastAsia="Geomanist Light" w:hAnsi="Verdana" w:cs="Arial"/>
          <w:color w:val="000000" w:themeColor="text1"/>
          <w:lang w:val="es-MX"/>
        </w:rPr>
      </w:pPr>
    </w:p>
    <w:p w14:paraId="27906518" w14:textId="77777777" w:rsidR="003C75FF" w:rsidRDefault="003C75FF" w:rsidP="00936B0C">
      <w:pPr>
        <w:spacing w:after="0" w:line="240" w:lineRule="auto"/>
        <w:rPr>
          <w:rFonts w:ascii="Verdana" w:eastAsia="Geomanist Light" w:hAnsi="Verdana" w:cs="Arial"/>
          <w:color w:val="000000" w:themeColor="text1"/>
          <w:lang w:val="es-MX"/>
        </w:rPr>
      </w:pPr>
    </w:p>
    <w:p w14:paraId="0FDCAD18" w14:textId="77777777" w:rsidR="003C75FF" w:rsidRDefault="003C75FF" w:rsidP="00936B0C">
      <w:pPr>
        <w:spacing w:after="0" w:line="240" w:lineRule="auto"/>
        <w:rPr>
          <w:rFonts w:ascii="Verdana" w:eastAsia="Geomanist Light" w:hAnsi="Verdana" w:cs="Arial"/>
          <w:color w:val="000000" w:themeColor="text1"/>
          <w:lang w:val="es-MX"/>
        </w:rPr>
      </w:pPr>
    </w:p>
    <w:p w14:paraId="4B1F3517" w14:textId="77777777" w:rsidR="00530532" w:rsidRDefault="00530532" w:rsidP="00936B0C">
      <w:pPr>
        <w:spacing w:after="0" w:line="240" w:lineRule="auto"/>
        <w:rPr>
          <w:rFonts w:ascii="Verdana" w:eastAsia="Geomanist Light" w:hAnsi="Verdana" w:cs="Arial"/>
          <w:color w:val="000000" w:themeColor="text1"/>
          <w:lang w:val="es-MX"/>
        </w:rPr>
      </w:pPr>
    </w:p>
    <w:p w14:paraId="21239969" w14:textId="4BF6837D" w:rsidR="00936B0C" w:rsidRPr="00593A5F" w:rsidRDefault="00936B0C" w:rsidP="00936B0C">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693A8A">
        <w:rPr>
          <w:rFonts w:ascii="Verdana" w:eastAsia="Geomanist Light" w:hAnsi="Verdana" w:cs="Arial"/>
          <w:color w:val="000000" w:themeColor="text1"/>
          <w:lang w:val="es-MX"/>
        </w:rPr>
        <w:t>13 de Marzo de 2026</w:t>
      </w:r>
    </w:p>
    <w:p w14:paraId="6DC10A9D" w14:textId="6714B965" w:rsidR="00936B0C" w:rsidRDefault="00936B0C" w:rsidP="00936B0C">
      <w:pPr>
        <w:spacing w:after="0" w:line="240" w:lineRule="auto"/>
        <w:jc w:val="both"/>
        <w:rPr>
          <w:rFonts w:ascii="Verdana" w:eastAsia="Calibri" w:hAnsi="Verdana" w:cs="Arial"/>
          <w:color w:val="000000"/>
          <w:lang w:val="es-ES"/>
        </w:rPr>
      </w:pPr>
    </w:p>
    <w:p w14:paraId="0ACF2FC1" w14:textId="2AFEBFA3" w:rsidR="00D5184F" w:rsidRDefault="00D5184F" w:rsidP="00D5184F">
      <w:pPr>
        <w:spacing w:after="0" w:line="240" w:lineRule="auto"/>
        <w:jc w:val="right"/>
        <w:rPr>
          <w:rFonts w:ascii="Verdana" w:eastAsia="Calibri" w:hAnsi="Verdana" w:cs="Arial"/>
          <w:color w:val="000000"/>
          <w:lang w:val="es-ES"/>
        </w:rPr>
      </w:pPr>
    </w:p>
    <w:p w14:paraId="21C10F17" w14:textId="21193B46" w:rsidR="00936B0C" w:rsidRPr="00593A5F" w:rsidRDefault="00530532" w:rsidP="00936B0C">
      <w:pPr>
        <w:spacing w:after="0" w:line="240" w:lineRule="auto"/>
        <w:jc w:val="both"/>
        <w:rPr>
          <w:rFonts w:ascii="Verdana" w:eastAsia="Calibri" w:hAnsi="Verdana" w:cs="Arial"/>
          <w:color w:val="000000"/>
          <w:lang w:val="es-ES"/>
        </w:rPr>
      </w:pPr>
      <w:r w:rsidRPr="00D5184F">
        <w:rPr>
          <w:rFonts w:ascii="Verdana" w:eastAsia="Calibri" w:hAnsi="Verdana" w:cs="Arial"/>
          <w:noProof/>
          <w:color w:val="000000"/>
          <w:lang w:val="es-ES"/>
        </w:rPr>
        <w:drawing>
          <wp:anchor distT="0" distB="0" distL="114300" distR="114300" simplePos="0" relativeHeight="251658240" behindDoc="0" locked="0" layoutInCell="1" allowOverlap="1" wp14:anchorId="096A968F" wp14:editId="6003AF44">
            <wp:simplePos x="0" y="0"/>
            <wp:positionH relativeFrom="margin">
              <wp:align>right</wp:align>
            </wp:positionH>
            <wp:positionV relativeFrom="paragraph">
              <wp:posOffset>8255</wp:posOffset>
            </wp:positionV>
            <wp:extent cx="2575560" cy="861060"/>
            <wp:effectExtent l="0" t="0" r="0" b="0"/>
            <wp:wrapSquare wrapText="bothSides"/>
            <wp:docPr id="14819897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89783" name=""/>
                    <pic:cNvPicPr/>
                  </pic:nvPicPr>
                  <pic:blipFill>
                    <a:blip r:embed="rId10">
                      <a:extLst>
                        <a:ext uri="{28A0092B-C50C-407E-A947-70E740481C1C}">
                          <a14:useLocalDpi xmlns:a14="http://schemas.microsoft.com/office/drawing/2010/main" val="0"/>
                        </a:ext>
                      </a:extLst>
                    </a:blip>
                    <a:stretch>
                      <a:fillRect/>
                    </a:stretch>
                  </pic:blipFill>
                  <pic:spPr>
                    <a:xfrm>
                      <a:off x="0" y="0"/>
                      <a:ext cx="2575560" cy="861060"/>
                    </a:xfrm>
                    <a:prstGeom prst="rect">
                      <a:avLst/>
                    </a:prstGeom>
                  </pic:spPr>
                </pic:pic>
              </a:graphicData>
            </a:graphic>
            <wp14:sizeRelH relativeFrom="margin">
              <wp14:pctWidth>0</wp14:pctWidth>
            </wp14:sizeRelH>
            <wp14:sizeRelV relativeFrom="margin">
              <wp14:pctHeight>0</wp14:pctHeight>
            </wp14:sizeRelV>
          </wp:anchor>
        </w:drawing>
      </w:r>
    </w:p>
    <w:p w14:paraId="066CA7F8" w14:textId="77777777" w:rsidR="00936B0C" w:rsidRPr="00B96799" w:rsidRDefault="00936B0C" w:rsidP="00936B0C">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11749AEE" w14:textId="77777777" w:rsidR="00936B0C" w:rsidRDefault="00936B0C" w:rsidP="00936B0C">
      <w:pPr>
        <w:spacing w:after="0" w:line="240" w:lineRule="auto"/>
        <w:rPr>
          <w:rFonts w:ascii="Verdana" w:eastAsia="Calibri" w:hAnsi="Verdana" w:cs="Arial"/>
          <w:b/>
          <w:lang w:val="es-ES_tradnl" w:eastAsia="es-ES_tradnl"/>
        </w:rPr>
      </w:pPr>
      <w:r w:rsidRPr="00F702A3">
        <w:rPr>
          <w:rFonts w:ascii="Verdana" w:eastAsia="Calibri" w:hAnsi="Verdana" w:cs="Arial"/>
          <w:b/>
          <w:lang w:val="es-ES_tradnl" w:eastAsia="es-ES_tradnl"/>
        </w:rPr>
        <w:t>Jessica Alejandra Betancur Osorio</w:t>
      </w:r>
    </w:p>
    <w:p w14:paraId="41685B07" w14:textId="77777777" w:rsidR="00936B0C" w:rsidRPr="00F22E3D" w:rsidRDefault="00936B0C" w:rsidP="00936B0C">
      <w:pPr>
        <w:spacing w:after="0" w:line="240" w:lineRule="auto"/>
        <w:rPr>
          <w:rFonts w:ascii="Verdana" w:eastAsia="Calibri" w:hAnsi="Verdana" w:cs="Arial"/>
          <w:lang w:val="es-ES" w:eastAsia="es-ES"/>
        </w:rPr>
      </w:pPr>
      <w:hyperlink r:id="rId11" w:history="1">
        <w:r w:rsidRPr="00F2699C">
          <w:rPr>
            <w:rStyle w:val="Hipervnculo"/>
            <w:rFonts w:ascii="Verdana" w:hAnsi="Verdana"/>
          </w:rPr>
          <w:t>jbetancur@sic.gov.co</w:t>
        </w:r>
      </w:hyperlink>
      <w:r>
        <w:rPr>
          <w:rFonts w:ascii="Verdana" w:hAnsi="Verdana"/>
        </w:rPr>
        <w:t xml:space="preserve">  </w:t>
      </w:r>
      <w:r w:rsidRPr="00F22E3D">
        <w:rPr>
          <w:rFonts w:ascii="Verdana" w:hAnsi="Verdana"/>
        </w:rPr>
        <w:t xml:space="preserve">                </w:t>
      </w:r>
      <w:r w:rsidRPr="00F22E3D">
        <w:rPr>
          <w:rFonts w:ascii="Verdana" w:eastAsia="Calibri" w:hAnsi="Verdana" w:cs="Arial"/>
          <w:lang w:val="es-ES" w:eastAsia="es-ES"/>
        </w:rPr>
        <w:t xml:space="preserve">    </w:t>
      </w:r>
    </w:p>
    <w:p w14:paraId="5B78E8B8" w14:textId="77777777" w:rsidR="00936B0C" w:rsidRDefault="00936B0C" w:rsidP="00936B0C">
      <w:pPr>
        <w:spacing w:after="0" w:line="240" w:lineRule="auto"/>
        <w:rPr>
          <w:rFonts w:ascii="Verdana" w:eastAsia="Calibri" w:hAnsi="Verdana" w:cs="Arial"/>
          <w:lang w:val="es-ES" w:eastAsia="es-ES"/>
        </w:rPr>
      </w:pPr>
      <w:r w:rsidRPr="00112ADF">
        <w:rPr>
          <w:rFonts w:ascii="Verdana" w:eastAsia="Calibri" w:hAnsi="Verdana" w:cs="Arial"/>
          <w:lang w:val="es-ES" w:eastAsia="es-ES"/>
        </w:rPr>
        <w:t>Bogotá D.C.</w:t>
      </w:r>
      <w:r>
        <w:rPr>
          <w:rFonts w:ascii="Verdana" w:eastAsia="Calibri" w:hAnsi="Verdana" w:cs="Arial"/>
          <w:lang w:val="es-ES" w:eastAsia="es-ES"/>
        </w:rPr>
        <w:t xml:space="preserve"> </w:t>
      </w:r>
    </w:p>
    <w:p w14:paraId="4884B821" w14:textId="77777777" w:rsidR="00936B0C" w:rsidRPr="00593A5F" w:rsidRDefault="00936B0C" w:rsidP="00936B0C">
      <w:pPr>
        <w:spacing w:after="0" w:line="240" w:lineRule="auto"/>
        <w:rPr>
          <w:rFonts w:ascii="Verdana" w:eastAsia="Calibri" w:hAnsi="Verdana" w:cs="Arial"/>
          <w:b/>
          <w:bCs/>
          <w:color w:val="000000"/>
          <w:lang w:val="es-ES_tradnl" w:eastAsia="es-ES_tradnl"/>
        </w:rPr>
      </w:pPr>
    </w:p>
    <w:p w14:paraId="2698A94D" w14:textId="77777777" w:rsidR="00936B0C" w:rsidRPr="00593A5F" w:rsidRDefault="00936B0C" w:rsidP="00936B0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36B0C" w:rsidRPr="00593A5F" w14:paraId="3FA4ED8B" w14:textId="77777777" w:rsidTr="008D2F4E">
        <w:trPr>
          <w:trHeight w:val="884"/>
        </w:trPr>
        <w:tc>
          <w:tcPr>
            <w:tcW w:w="2689" w:type="dxa"/>
          </w:tcPr>
          <w:p w14:paraId="49A3A43F" w14:textId="77777777" w:rsidR="00936B0C" w:rsidRPr="00C00976" w:rsidRDefault="00936B0C" w:rsidP="008D2F4E">
            <w:pPr>
              <w:jc w:val="both"/>
              <w:rPr>
                <w:rFonts w:ascii="Verdana" w:eastAsia="Calibri" w:hAnsi="Verdana" w:cs="Arial"/>
                <w:b/>
                <w:bCs/>
                <w:color w:val="7030A0"/>
                <w:lang w:val="es-ES_tradnl" w:eastAsia="es-ES_tradnl"/>
              </w:rPr>
            </w:pPr>
          </w:p>
        </w:tc>
        <w:tc>
          <w:tcPr>
            <w:tcW w:w="6100" w:type="dxa"/>
          </w:tcPr>
          <w:p w14:paraId="25E0E459" w14:textId="77777777" w:rsidR="00936B0C" w:rsidRPr="00C00976" w:rsidRDefault="00936B0C" w:rsidP="008D2F4E">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352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936B0C" w:rsidRPr="00593A5F" w14:paraId="647C592E" w14:textId="77777777" w:rsidTr="008D2F4E">
        <w:trPr>
          <w:trHeight w:val="884"/>
        </w:trPr>
        <w:tc>
          <w:tcPr>
            <w:tcW w:w="2689" w:type="dxa"/>
          </w:tcPr>
          <w:p w14:paraId="3539C4B7" w14:textId="77777777" w:rsidR="00936B0C" w:rsidRPr="00593A5F" w:rsidRDefault="00936B0C" w:rsidP="008D2F4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43C6472" w14:textId="77777777" w:rsidR="00936B0C" w:rsidRPr="00A11406" w:rsidRDefault="00936B0C" w:rsidP="008D2F4E">
            <w:pPr>
              <w:spacing w:line="276" w:lineRule="auto"/>
              <w:jc w:val="both"/>
              <w:rPr>
                <w:rFonts w:ascii="Verdana" w:eastAsia="Calibri" w:hAnsi="Verdana" w:cs="Arial"/>
                <w:lang w:val="es-ES" w:eastAsia="es-ES"/>
              </w:rPr>
            </w:pPr>
            <w:r w:rsidRPr="00E027DE">
              <w:rPr>
                <w:rFonts w:ascii="Verdana" w:eastAsia="Calibri" w:hAnsi="Verdana" w:cs="Arial"/>
                <w:lang w:val="es-ES" w:eastAsia="es-ES"/>
              </w:rPr>
              <w:t>RIESGOS EN LA CONTRATACIÓN ESTATAL – Obligación de las entidades estatales de tipificarlos</w:t>
            </w:r>
            <w:r>
              <w:rPr>
                <w:rFonts w:ascii="Verdana" w:eastAsia="Calibri" w:hAnsi="Verdana" w:cs="Arial"/>
                <w:lang w:val="es-ES" w:eastAsia="es-ES"/>
              </w:rPr>
              <w:t xml:space="preserve"> / </w:t>
            </w:r>
            <w:r w:rsidRPr="00E027DE">
              <w:rPr>
                <w:rFonts w:ascii="Verdana" w:eastAsia="Calibri" w:hAnsi="Verdana" w:cs="Arial"/>
                <w:lang w:val="es-ES" w:eastAsia="es-ES"/>
              </w:rPr>
              <w:t>MATRIZ DE RIESGOS – identificación y administración de riesgos</w:t>
            </w:r>
            <w:r>
              <w:rPr>
                <w:rFonts w:ascii="Verdana" w:eastAsia="Calibri" w:hAnsi="Verdana" w:cs="Arial"/>
                <w:lang w:val="es-ES" w:eastAsia="es-ES"/>
              </w:rPr>
              <w:t xml:space="preserve"> /</w:t>
            </w:r>
            <w:r w:rsidRPr="00E027DE">
              <w:rPr>
                <w:rFonts w:ascii="Verdana" w:eastAsia="Calibri" w:hAnsi="Verdana" w:cs="Arial"/>
                <w:lang w:val="es-ES" w:eastAsia="es-ES"/>
              </w:rPr>
              <w:t xml:space="preserve"> </w:t>
            </w:r>
            <w:r w:rsidRPr="003846D3">
              <w:rPr>
                <w:rFonts w:ascii="Verdana" w:eastAsia="Calibri" w:hAnsi="Verdana" w:cs="Arial"/>
                <w:lang w:val="es-ES" w:eastAsia="es-ES"/>
              </w:rPr>
              <w:t>PRECIOS UNITARIOS – APU – AIU – Diferencias – Configuración / AIU – Costos indirectos – Finalidad – Ejecución del contrato / AIU – Componentes – Discrecionalidad</w:t>
            </w:r>
            <w:r w:rsidRPr="006A662D">
              <w:rPr>
                <w:rFonts w:ascii="Verdana" w:eastAsia="Calibri" w:hAnsi="Verdana" w:cs="Arial"/>
                <w:lang w:val="es-ES" w:eastAsia="es-ES"/>
              </w:rPr>
              <w:t xml:space="preserve"> </w:t>
            </w:r>
            <w:r>
              <w:rPr>
                <w:rFonts w:ascii="Verdana" w:eastAsia="Calibri" w:hAnsi="Verdana" w:cs="Arial"/>
                <w:lang w:val="es-ES" w:eastAsia="es-ES"/>
              </w:rPr>
              <w:t xml:space="preserve">/ </w:t>
            </w:r>
            <w:r w:rsidRPr="0002298C">
              <w:rPr>
                <w:rFonts w:ascii="Verdana" w:eastAsia="Calibri" w:hAnsi="Verdana" w:cs="Arial"/>
                <w:lang w:val="es-ES" w:eastAsia="es-ES"/>
              </w:rPr>
              <w:t>EQUILIBRIO ECONÓMICO – Contrato estatal – Fundamento / EQUILIBRIO ECONÓMICO – Contrato estatal – Concepto / EQUILIBRIO ECONÓMICO – Contrato estatal – Restablecimiento – Procedencia – Requisitos / RESTABLECIMIENTO DE LA ECUACIÓN ECONÓMICA – Liquidación</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BE6133A" w14:textId="77777777" w:rsidR="00936B0C" w:rsidRPr="00593A5F" w:rsidRDefault="00936B0C" w:rsidP="008D2F4E">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936B0C" w:rsidRPr="008E6AD9" w14:paraId="14451A3E" w14:textId="77777777" w:rsidTr="008D2F4E">
        <w:tc>
          <w:tcPr>
            <w:tcW w:w="2689" w:type="dxa"/>
          </w:tcPr>
          <w:p w14:paraId="117633FF" w14:textId="77777777" w:rsidR="00936B0C" w:rsidRPr="008E6AD9" w:rsidRDefault="00936B0C" w:rsidP="008D2F4E">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EB581E5" w14:textId="77777777" w:rsidR="00936B0C" w:rsidRPr="00B92340" w:rsidRDefault="00936B0C" w:rsidP="008D2F4E">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8234E3">
              <w:rPr>
                <w:rFonts w:ascii="Verdana" w:eastAsia="Calibri" w:hAnsi="Verdana" w:cs="Arial"/>
                <w:lang w:val="es-ES_tradnl" w:eastAsia="es-ES_tradnl"/>
              </w:rPr>
              <w:t>1_2026_03_04_003007</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A0C6D27" w14:textId="77777777" w:rsidR="00936B0C" w:rsidRPr="00593A5F" w:rsidRDefault="00936B0C" w:rsidP="00936B0C">
      <w:pPr>
        <w:spacing w:after="0" w:line="240" w:lineRule="auto"/>
        <w:jc w:val="both"/>
        <w:rPr>
          <w:rFonts w:ascii="Verdana" w:eastAsia="Calibri" w:hAnsi="Verdana" w:cs="Arial"/>
          <w:color w:val="000000"/>
          <w:lang w:val="es-ES_tradnl" w:eastAsia="es-ES_tradnl"/>
        </w:rPr>
      </w:pPr>
    </w:p>
    <w:p w14:paraId="09C44697" w14:textId="77777777" w:rsidR="00936B0C" w:rsidRPr="00593A5F" w:rsidRDefault="00936B0C" w:rsidP="00936B0C">
      <w:pPr>
        <w:spacing w:after="0" w:line="240" w:lineRule="auto"/>
        <w:jc w:val="both"/>
        <w:rPr>
          <w:rFonts w:ascii="Verdana" w:eastAsia="Calibri" w:hAnsi="Verdana" w:cs="Arial"/>
          <w:color w:val="000000"/>
          <w:lang w:val="es-ES_tradnl" w:eastAsia="es-ES_tradnl"/>
        </w:rPr>
      </w:pPr>
    </w:p>
    <w:p w14:paraId="49D4C507" w14:textId="77777777" w:rsidR="00936B0C" w:rsidRPr="008E6AD9" w:rsidRDefault="00936B0C" w:rsidP="00936B0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CE7AB6">
        <w:rPr>
          <w:rFonts w:ascii="Verdana" w:eastAsia="Calibri" w:hAnsi="Verdana" w:cs="Arial"/>
          <w:lang w:val="es-ES" w:eastAsia="es-ES"/>
        </w:rPr>
        <w:t>Betancur Osorio</w:t>
      </w:r>
      <w:r w:rsidRPr="008E6AD9">
        <w:rPr>
          <w:rFonts w:ascii="Verdana" w:eastAsia="Calibri" w:hAnsi="Verdana" w:cs="Arial"/>
          <w:lang w:val="es-ES" w:eastAsia="es-ES"/>
        </w:rPr>
        <w:t xml:space="preserve">: </w:t>
      </w:r>
    </w:p>
    <w:p w14:paraId="029783E6" w14:textId="77777777" w:rsidR="00936B0C" w:rsidRDefault="00936B0C" w:rsidP="00936B0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9ABC6AE" w14:textId="77777777" w:rsidR="00936B0C" w:rsidRPr="00593A5F" w:rsidRDefault="00936B0C" w:rsidP="00936B0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3 de marzo de 2026, donde solicita conceptuar sobre los siguientes aspectos</w:t>
      </w:r>
      <w:r w:rsidRPr="008E6AD9">
        <w:rPr>
          <w:rFonts w:ascii="Verdana" w:eastAsia="Calibri" w:hAnsi="Verdana" w:cs="Arial"/>
          <w:lang w:val="es-ES" w:eastAsia="es-ES"/>
        </w:rPr>
        <w:t xml:space="preserve">: </w:t>
      </w:r>
    </w:p>
    <w:p w14:paraId="1DF1B691" w14:textId="77777777" w:rsidR="00936B0C" w:rsidRPr="00272A7B" w:rsidRDefault="00936B0C" w:rsidP="00936B0C">
      <w:pPr>
        <w:pStyle w:val="Prrafodelista"/>
        <w:tabs>
          <w:tab w:val="left" w:pos="142"/>
          <w:tab w:val="left" w:pos="284"/>
        </w:tabs>
        <w:spacing w:after="0" w:line="276" w:lineRule="auto"/>
        <w:ind w:left="0"/>
        <w:jc w:val="both"/>
        <w:rPr>
          <w:rFonts w:ascii="Verdana" w:eastAsia="Century Gothic" w:hAnsi="Verdana" w:cs="Century Gothic"/>
          <w:b/>
          <w:bCs/>
        </w:rPr>
      </w:pPr>
    </w:p>
    <w:p w14:paraId="5CF5895E" w14:textId="77777777" w:rsidR="00936B0C" w:rsidRPr="00214FF2" w:rsidRDefault="00936B0C" w:rsidP="00936B0C">
      <w:pPr>
        <w:spacing w:after="12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t>“</w:t>
      </w:r>
      <w:bookmarkEnd w:id="0"/>
      <w:r w:rsidRPr="00214FF2">
        <w:rPr>
          <w:rFonts w:ascii="Verdana" w:eastAsia="Century Gothic" w:hAnsi="Verdana" w:cs="Century Gothic"/>
          <w:sz w:val="20"/>
          <w:szCs w:val="20"/>
          <w:lang w:val="es-ES"/>
        </w:rPr>
        <w:t>1. El procedimiento que debe adoptarse para efectuar los ajustes en aquellos contratos que, en su clausulado, establece expresamente la actualización del valor con el salario mínimo con el cambio de vigencia, particularmente en contratos de prestación de servicios, vigilancia, aseo, obra o aquellos cuya estructura de costos incluye pago de personal por parte del contratista y que por ende se encuentran directamente vinculadas al SMLMV.</w:t>
      </w:r>
    </w:p>
    <w:p w14:paraId="52A3CEA6" w14:textId="77777777" w:rsidR="00936B0C" w:rsidRPr="001904AF" w:rsidRDefault="00936B0C" w:rsidP="00936B0C">
      <w:pPr>
        <w:spacing w:after="0" w:line="240" w:lineRule="auto"/>
        <w:ind w:left="709" w:right="709"/>
        <w:jc w:val="both"/>
        <w:rPr>
          <w:rFonts w:ascii="Verdana" w:eastAsia="Century Gothic" w:hAnsi="Verdana" w:cs="Century Gothic"/>
          <w:sz w:val="20"/>
          <w:szCs w:val="20"/>
          <w:lang w:val="es-ES"/>
        </w:rPr>
      </w:pPr>
      <w:r w:rsidRPr="00214FF2">
        <w:rPr>
          <w:rFonts w:ascii="Verdana" w:eastAsia="Century Gothic" w:hAnsi="Verdana" w:cs="Century Gothic"/>
          <w:sz w:val="20"/>
          <w:szCs w:val="20"/>
          <w:lang w:val="es-ES"/>
        </w:rPr>
        <w:t>2. La viabilidad jurídica de realizar modificaciones contractuales, adiciones presupuestales o la aplicación de mecanismos de restablecimiento del equilibrio económico del contrato, en aquellos casos en que el incremento del salario mínimo altere de manera significativa la ecuación financiera inicialmente pactada. Esto atendiendo a que podrían</w:t>
      </w:r>
      <w:r>
        <w:rPr>
          <w:rFonts w:ascii="Verdana" w:eastAsia="Century Gothic" w:hAnsi="Verdana" w:cs="Century Gothic"/>
          <w:sz w:val="20"/>
          <w:szCs w:val="20"/>
          <w:lang w:val="es-ES"/>
        </w:rPr>
        <w:t xml:space="preserve"> </w:t>
      </w:r>
      <w:r w:rsidRPr="00B545CA">
        <w:rPr>
          <w:rFonts w:ascii="Verdana" w:eastAsia="Century Gothic" w:hAnsi="Verdana" w:cs="Century Gothic"/>
          <w:sz w:val="20"/>
          <w:szCs w:val="20"/>
          <w:lang w:val="es-ES"/>
        </w:rPr>
        <w:t>generarse múltiples modificaciones cuya proyección atenderá a criterios diferentes que generan incertidumbre en la ejecución contractual, pudiéndose generar costos adicionales en contravía de los lineamientos de austeridad del gasto</w:t>
      </w:r>
      <w:r w:rsidRPr="001904AF">
        <w:rPr>
          <w:rFonts w:ascii="Verdana" w:eastAsia="Century Gothic" w:hAnsi="Verdana" w:cs="Century Gothic"/>
          <w:sz w:val="20"/>
          <w:szCs w:val="20"/>
          <w:lang w:val="es-ES"/>
        </w:rPr>
        <w:t>”.</w:t>
      </w:r>
    </w:p>
    <w:p w14:paraId="713BA353" w14:textId="77777777" w:rsidR="00936B0C" w:rsidRPr="008E6AD9" w:rsidRDefault="00936B0C" w:rsidP="00936B0C">
      <w:pPr>
        <w:pStyle w:val="Prrafodelista"/>
        <w:tabs>
          <w:tab w:val="left" w:pos="142"/>
          <w:tab w:val="left" w:pos="284"/>
        </w:tabs>
        <w:spacing w:after="0" w:line="276" w:lineRule="auto"/>
        <w:ind w:left="0"/>
        <w:jc w:val="both"/>
        <w:rPr>
          <w:rFonts w:ascii="Verdana" w:eastAsia="Century Gothic" w:hAnsi="Verdana" w:cs="Century Gothic"/>
          <w:b/>
          <w:bCs/>
        </w:rPr>
      </w:pPr>
    </w:p>
    <w:p w14:paraId="17F58C02" w14:textId="77777777" w:rsidR="00936B0C" w:rsidRPr="00A652FF" w:rsidRDefault="00936B0C" w:rsidP="00936B0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208EEEF" w14:textId="77777777" w:rsidR="00936B0C" w:rsidRDefault="00936B0C" w:rsidP="00936B0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BC3283B" w14:textId="77777777" w:rsidR="00936B0C" w:rsidRPr="00593A5F" w:rsidRDefault="00936B0C" w:rsidP="00936B0C">
      <w:pPr>
        <w:spacing w:after="0" w:line="276" w:lineRule="auto"/>
        <w:ind w:firstLine="709"/>
        <w:jc w:val="both"/>
        <w:rPr>
          <w:rFonts w:ascii="Verdana" w:eastAsia="Calibri" w:hAnsi="Verdana" w:cs="Arial"/>
          <w:color w:val="000000"/>
          <w:lang w:val="es-ES" w:eastAsia="es-ES"/>
        </w:rPr>
      </w:pPr>
    </w:p>
    <w:p w14:paraId="38EB3E5E" w14:textId="77777777" w:rsidR="00936B0C" w:rsidRPr="00593A5F" w:rsidRDefault="00936B0C" w:rsidP="00936B0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3C47B62" w14:textId="77777777" w:rsidR="00936B0C" w:rsidRPr="00593A5F" w:rsidRDefault="00936B0C" w:rsidP="00936B0C">
      <w:pPr>
        <w:tabs>
          <w:tab w:val="left" w:pos="426"/>
        </w:tabs>
        <w:spacing w:after="0" w:line="276" w:lineRule="auto"/>
        <w:jc w:val="both"/>
        <w:rPr>
          <w:rFonts w:ascii="Verdana" w:eastAsia="Century Gothic" w:hAnsi="Verdana" w:cs="Century Gothic"/>
          <w:lang w:val="es-ES"/>
        </w:rPr>
      </w:pPr>
    </w:p>
    <w:p w14:paraId="13BE3346" w14:textId="77777777" w:rsidR="00936B0C" w:rsidRPr="00593A5F" w:rsidRDefault="00936B0C" w:rsidP="00936B0C">
      <w:pPr>
        <w:spacing w:after="0" w:line="276" w:lineRule="auto"/>
        <w:jc w:val="both"/>
        <w:rPr>
          <w:rFonts w:ascii="Verdana" w:eastAsia="Century Gothic" w:hAnsi="Verdana" w:cs="Century Gothic"/>
        </w:rPr>
      </w:pPr>
      <w:r w:rsidRPr="00906BE9">
        <w:rPr>
          <w:rFonts w:ascii="Verdana" w:eastAsia="Century Gothic" w:hAnsi="Verdana" w:cs="Century Gothic"/>
        </w:rPr>
        <w:lastRenderedPageBreak/>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A56E74">
        <w:rPr>
          <w:rFonts w:ascii="Verdana" w:eastAsia="Century Gothic" w:hAnsi="Verdana" w:cs="Century Gothic"/>
        </w:rPr>
        <w:t>¿qué mecanismos establece el ordenamiento jurídico para promover el equilibrio económico del contrato estatal?</w:t>
      </w:r>
      <w:r>
        <w:rPr>
          <w:rFonts w:ascii="Verdana" w:eastAsia="Century Gothic" w:hAnsi="Verdana" w:cs="Century Gothic"/>
        </w:rPr>
        <w:t xml:space="preserve"> </w:t>
      </w:r>
    </w:p>
    <w:p w14:paraId="02C1C1A6" w14:textId="77777777" w:rsidR="00936B0C" w:rsidRPr="004B140F" w:rsidRDefault="00936B0C" w:rsidP="00936B0C">
      <w:pPr>
        <w:spacing w:after="0" w:line="276" w:lineRule="auto"/>
        <w:jc w:val="both"/>
        <w:rPr>
          <w:rFonts w:ascii="Verdana" w:eastAsia="Calibri" w:hAnsi="Verdana" w:cs="Arial"/>
          <w:color w:val="7030A0"/>
        </w:rPr>
      </w:pPr>
    </w:p>
    <w:p w14:paraId="5E2EC024" w14:textId="77777777" w:rsidR="00936B0C" w:rsidRPr="00593A5F" w:rsidRDefault="00936B0C" w:rsidP="00936B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28DFFD2" w14:textId="77777777" w:rsidR="00936B0C" w:rsidRPr="00593A5F" w:rsidRDefault="00936B0C" w:rsidP="00936B0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36B0C" w:rsidRPr="00593A5F" w14:paraId="711BC895" w14:textId="77777777" w:rsidTr="008D2F4E">
        <w:trPr>
          <w:jc w:val="center"/>
        </w:trPr>
        <w:tc>
          <w:tcPr>
            <w:tcW w:w="8828" w:type="dxa"/>
          </w:tcPr>
          <w:p w14:paraId="5C9BE47E" w14:textId="7384C5A8" w:rsidR="00936B0C" w:rsidRDefault="00936B0C" w:rsidP="008D2F4E">
            <w:pPr>
              <w:spacing w:after="120" w:line="276" w:lineRule="auto"/>
              <w:jc w:val="both"/>
              <w:rPr>
                <w:rFonts w:ascii="Verdana" w:eastAsia="Arial" w:hAnsi="Verdana" w:cs="Arial"/>
                <w:lang w:val="es-MX" w:eastAsia="es-ES" w:bidi="es-ES"/>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frente al</w:t>
            </w:r>
            <w:r w:rsidRPr="007D43D2">
              <w:rPr>
                <w:rFonts w:ascii="Verdana" w:eastAsia="Arial" w:hAnsi="Verdana" w:cs="Arial"/>
                <w:lang w:val="es-MX" w:eastAsia="es-ES" w:bidi="es-ES"/>
              </w:rPr>
              <w:t xml:space="preserve"> ajuste </w:t>
            </w:r>
            <w:r>
              <w:rPr>
                <w:rFonts w:ascii="Verdana" w:eastAsia="Arial" w:hAnsi="Verdana" w:cs="Arial"/>
                <w:lang w:val="es-MX" w:eastAsia="es-ES" w:bidi="es-ES"/>
              </w:rPr>
              <w:t>de los</w:t>
            </w:r>
            <w:r w:rsidRPr="007D43D2">
              <w:rPr>
                <w:rFonts w:ascii="Verdana" w:eastAsia="Arial" w:hAnsi="Verdana" w:cs="Arial"/>
                <w:lang w:val="es-MX" w:eastAsia="es-ES" w:bidi="es-ES"/>
              </w:rPr>
              <w:t xml:space="preserve"> contratos que </w:t>
            </w:r>
            <w:r w:rsidR="00E87A0F" w:rsidRPr="007D43D2">
              <w:rPr>
                <w:rFonts w:ascii="Verdana" w:eastAsia="Arial" w:hAnsi="Verdana" w:cs="Arial"/>
                <w:lang w:val="es-MX" w:eastAsia="es-ES" w:bidi="es-ES"/>
              </w:rPr>
              <w:t>establez</w:t>
            </w:r>
            <w:r w:rsidR="00E87A0F">
              <w:rPr>
                <w:rFonts w:ascii="Verdana" w:eastAsia="Arial" w:hAnsi="Verdana" w:cs="Arial"/>
                <w:lang w:val="es-MX" w:eastAsia="es-ES" w:bidi="es-ES"/>
              </w:rPr>
              <w:t>can</w:t>
            </w:r>
            <w:r w:rsidRPr="007D43D2">
              <w:rPr>
                <w:rFonts w:ascii="Verdana" w:eastAsia="Arial" w:hAnsi="Verdana" w:cs="Arial"/>
                <w:lang w:val="es-MX" w:eastAsia="es-ES" w:bidi="es-ES"/>
              </w:rPr>
              <w:t xml:space="preserve"> </w:t>
            </w:r>
            <w:r>
              <w:rPr>
                <w:rFonts w:ascii="Verdana" w:eastAsia="Arial" w:hAnsi="Verdana" w:cs="Arial"/>
                <w:lang w:val="es-MX" w:eastAsia="es-ES" w:bidi="es-ES"/>
              </w:rPr>
              <w:t>la actualización del</w:t>
            </w:r>
            <w:r w:rsidRPr="007D43D2">
              <w:rPr>
                <w:rFonts w:ascii="Verdana" w:eastAsia="Arial" w:hAnsi="Verdana" w:cs="Arial"/>
                <w:lang w:val="es-MX" w:eastAsia="es-ES" w:bidi="es-ES"/>
              </w:rPr>
              <w:t xml:space="preserve"> salario mínimo </w:t>
            </w:r>
            <w:r>
              <w:rPr>
                <w:rFonts w:ascii="Verdana" w:eastAsia="Arial" w:hAnsi="Verdana" w:cs="Arial"/>
                <w:lang w:val="es-MX" w:eastAsia="es-ES" w:bidi="es-ES"/>
              </w:rPr>
              <w:t xml:space="preserve">debe seguirse las indicaciones de los documentos del proceso, especialmente, en lo relacionado con la matriz de riesgos, el AIU o las cláusulas de reajuste y revisión de precios. </w:t>
            </w:r>
            <w:r w:rsidRPr="00DA5D02">
              <w:rPr>
                <w:rFonts w:ascii="Verdana" w:eastAsia="Arial" w:hAnsi="Verdana" w:cs="Arial"/>
                <w:i/>
                <w:iCs/>
                <w:lang w:val="es-MX" w:eastAsia="es-ES" w:bidi="es-ES"/>
              </w:rPr>
              <w:t>Por un lado</w:t>
            </w:r>
            <w:r>
              <w:rPr>
                <w:rFonts w:ascii="Verdana" w:eastAsia="Arial" w:hAnsi="Verdana" w:cs="Arial"/>
                <w:lang w:val="es-MX" w:eastAsia="es-ES" w:bidi="es-ES"/>
              </w:rPr>
              <w:t xml:space="preserve">, </w:t>
            </w:r>
            <w:r w:rsidRPr="00364005">
              <w:rPr>
                <w:rFonts w:ascii="Verdana" w:hAnsi="Verdana" w:cs="Arial"/>
                <w:lang w:val="es-ES" w:eastAsia="es-CO"/>
              </w:rPr>
              <w:t xml:space="preserve">el artículo 4 </w:t>
            </w:r>
            <w:r>
              <w:rPr>
                <w:rFonts w:ascii="Verdana" w:hAnsi="Verdana" w:cs="Arial"/>
                <w:lang w:val="es-ES" w:eastAsia="es-CO"/>
              </w:rPr>
              <w:t xml:space="preserve">de la Ley 1150 de 2007 </w:t>
            </w:r>
            <w:r w:rsidRPr="00364005">
              <w:rPr>
                <w:rFonts w:ascii="Verdana" w:hAnsi="Verdana" w:cs="Arial"/>
                <w:lang w:val="es-ES" w:eastAsia="es-CO"/>
              </w:rPr>
              <w:t>obliga a las entidades estatales a estimar, tipificar y asignar los riesgos previsibles involucrados en la contratación dentro de los pliegos de condiciones o en sus equivalentes</w:t>
            </w:r>
            <w:r>
              <w:rPr>
                <w:rFonts w:ascii="Verdana" w:hAnsi="Verdana" w:cs="Arial"/>
                <w:lang w:val="es-ES" w:eastAsia="es-CO"/>
              </w:rPr>
              <w:t xml:space="preserve">. </w:t>
            </w:r>
            <w:r w:rsidRPr="00364005">
              <w:rPr>
                <w:rFonts w:ascii="Verdana" w:hAnsi="Verdana" w:cs="Arial"/>
                <w:lang w:eastAsia="es-CO"/>
              </w:rPr>
              <w:t>En este sentido, si bien deben tener en consideración las observaciones formuladas por los interesados al proyecto de pliego de condiciones, al pliego de condiciones definitivo y lo debatido en la audiencia de asignación de riesgos –en los procesos de licitación pública–, corresponde a cada entidad analizar y pronunciarse motivadamente frente a dichas observaciones, correspondiendo a la entidad tomar la decisión final sobre el contenido de los riesgos.</w:t>
            </w:r>
            <w:r>
              <w:rPr>
                <w:rFonts w:ascii="Verdana" w:hAnsi="Verdana" w:cs="Arial"/>
                <w:lang w:eastAsia="es-CO"/>
              </w:rPr>
              <w:t xml:space="preserve"> </w:t>
            </w:r>
            <w:r w:rsidRPr="00364005">
              <w:rPr>
                <w:rFonts w:ascii="Verdana" w:hAnsi="Verdana" w:cs="Arial"/>
                <w:lang w:val="es-ES" w:eastAsia="es-CO"/>
              </w:rPr>
              <w:t>Con fundamento en lo anterior, corresponde a cada entidad efectuar en la fase de planeación el análisis inicial de los riesgos previsibles asociados al procedimiento de selección</w:t>
            </w:r>
            <w:r>
              <w:rPr>
                <w:rFonts w:ascii="Verdana" w:hAnsi="Verdana" w:cs="Arial"/>
                <w:lang w:val="es-ES" w:eastAsia="es-CO"/>
              </w:rPr>
              <w:t>, así como la asignación de los mismo y la forma de mitigarlos</w:t>
            </w:r>
            <w:r w:rsidRPr="00364005">
              <w:rPr>
                <w:rFonts w:ascii="Verdana" w:hAnsi="Verdana" w:cs="Arial"/>
                <w:lang w:val="es-ES" w:eastAsia="es-CO"/>
              </w:rPr>
              <w:t>.</w:t>
            </w:r>
          </w:p>
          <w:p w14:paraId="6399A15E" w14:textId="77777777" w:rsidR="00936B0C" w:rsidRDefault="00936B0C" w:rsidP="008D2F4E">
            <w:pPr>
              <w:spacing w:after="120" w:line="276" w:lineRule="auto"/>
              <w:ind w:firstLine="737"/>
              <w:jc w:val="both"/>
              <w:rPr>
                <w:rFonts w:ascii="Verdana" w:eastAsia="Times New Roman" w:hAnsi="Verdana" w:cs="Arial"/>
                <w:color w:val="000000"/>
                <w:lang w:val="es-ES_tradnl" w:eastAsia="es-ES_tradnl"/>
              </w:rPr>
            </w:pPr>
            <w:r w:rsidRPr="00B61739">
              <w:rPr>
                <w:rFonts w:ascii="Verdana" w:eastAsia="Times New Roman" w:hAnsi="Verdana" w:cs="Arial"/>
                <w:i/>
                <w:iCs/>
                <w:color w:val="000000"/>
                <w:lang w:val="es-ES_tradnl" w:eastAsia="es-ES_tradnl"/>
              </w:rPr>
              <w:t>Por otra parte</w:t>
            </w:r>
            <w:r>
              <w:rPr>
                <w:rFonts w:ascii="Verdana" w:eastAsia="Times New Roman" w:hAnsi="Verdana" w:cs="Arial"/>
                <w:color w:val="000000"/>
                <w:lang w:val="es-ES_tradnl" w:eastAsia="es-ES_tradnl"/>
              </w:rPr>
              <w:t xml:space="preserve">, </w:t>
            </w:r>
            <w:r w:rsidRPr="00301910">
              <w:rPr>
                <w:rFonts w:ascii="Verdana" w:eastAsia="Times New Roman" w:hAnsi="Verdana" w:cs="Arial"/>
                <w:color w:val="000000"/>
                <w:lang w:val="es-ES_tradnl" w:eastAsia="es-ES_tradnl"/>
              </w:rPr>
              <w:t>el AIU hace parte del precio de los contratos cuando se ha pactado esta metodología de cálculo de los costos indirectos, que resulta más común, sobre todo, en los contratos de tracto sucesivo, como los de obra pública a precios unitarios.</w:t>
            </w:r>
            <w:r>
              <w:rPr>
                <w:rFonts w:ascii="Verdana" w:eastAsia="Times New Roman" w:hAnsi="Verdana" w:cs="Arial"/>
                <w:color w:val="000000"/>
                <w:lang w:val="es-ES_tradnl" w:eastAsia="es-ES_tradnl"/>
              </w:rPr>
              <w:t xml:space="preserve"> Al ser </w:t>
            </w:r>
            <w:r w:rsidRPr="00301910">
              <w:rPr>
                <w:rFonts w:ascii="Verdana" w:eastAsia="Times New Roman" w:hAnsi="Verdana" w:cs="Arial"/>
                <w:color w:val="000000"/>
                <w:lang w:val="es-ES_tradnl" w:eastAsia="es-ES_tradnl"/>
              </w:rPr>
              <w:t xml:space="preserve">un elemento que integra el precio que se paga al contratista, este goza, en principio, de libertad en la </w:t>
            </w:r>
            <w:r>
              <w:rPr>
                <w:rFonts w:ascii="Verdana" w:eastAsia="Times New Roman" w:hAnsi="Verdana" w:cs="Arial"/>
                <w:color w:val="000000"/>
                <w:lang w:val="es-ES_tradnl" w:eastAsia="es-ES_tradnl"/>
              </w:rPr>
              <w:t>fijación de sus componentes</w:t>
            </w:r>
            <w:r w:rsidRPr="00301910">
              <w:rPr>
                <w:rFonts w:ascii="Verdana" w:eastAsia="Times New Roman" w:hAnsi="Verdana" w:cs="Arial"/>
                <w:color w:val="000000"/>
                <w:lang w:val="es-ES_tradnl" w:eastAsia="es-ES_tradnl"/>
              </w:rPr>
              <w:t>, salvo que las partes hayan acordado una metodología especial en el contrato, que le imponga al contratista algunas restricciones, en virtud de la autonomía de la voluntad.</w:t>
            </w:r>
          </w:p>
          <w:p w14:paraId="17D08D0F" w14:textId="77777777" w:rsidR="00936B0C" w:rsidRDefault="00936B0C" w:rsidP="008D2F4E">
            <w:pPr>
              <w:spacing w:before="120" w:line="276" w:lineRule="auto"/>
              <w:ind w:firstLine="708"/>
              <w:jc w:val="both"/>
              <w:rPr>
                <w:rFonts w:ascii="Verdana" w:hAnsi="Verdana" w:cs="Arial"/>
                <w:lang w:val="es-ES" w:eastAsia="es-ES"/>
              </w:rPr>
            </w:pPr>
            <w:r w:rsidRPr="00371A1F">
              <w:rPr>
                <w:rFonts w:ascii="Verdana" w:hAnsi="Verdana" w:cs="Arial"/>
                <w:lang w:val="es-ES" w:eastAsia="es-ES"/>
              </w:rPr>
              <w:t xml:space="preserve">Tratándose de los </w:t>
            </w:r>
            <w:r w:rsidRPr="00371A1F">
              <w:rPr>
                <w:rFonts w:ascii="Verdana" w:hAnsi="Verdana" w:cs="Arial"/>
                <w:i/>
                <w:iCs/>
                <w:lang w:val="es-ES" w:eastAsia="es-ES"/>
              </w:rPr>
              <w:t>imprevistos</w:t>
            </w:r>
            <w:r w:rsidRPr="00371A1F">
              <w:rPr>
                <w:rFonts w:ascii="Verdana" w:hAnsi="Verdana" w:cs="Arial"/>
                <w:lang w:val="es-ES" w:eastAsia="es-ES"/>
              </w:rPr>
              <w:t xml:space="preserve">, </w:t>
            </w:r>
            <w:r>
              <w:rPr>
                <w:rFonts w:ascii="Verdana" w:hAnsi="Verdana" w:cs="Arial"/>
                <w:lang w:val="es-ES" w:eastAsia="es-ES"/>
              </w:rPr>
              <w:t>éstos constituyen</w:t>
            </w:r>
            <w:r w:rsidRPr="00494109">
              <w:rPr>
                <w:rFonts w:ascii="Verdana" w:hAnsi="Verdana" w:cs="Arial"/>
                <w:lang w:val="es-ES" w:eastAsia="es-ES"/>
              </w:rPr>
              <w:t xml:space="preserve"> una partida destinada a cubrir gastos no contemplados expresamente en la oferta, pero que suelen presentarse durante la ejecución normal del proyecto</w:t>
            </w:r>
            <w:r>
              <w:rPr>
                <w:rFonts w:ascii="Verdana" w:hAnsi="Verdana" w:cs="Arial"/>
                <w:lang w:val="es-ES" w:eastAsia="es-ES"/>
              </w:rPr>
              <w:t xml:space="preserve">. </w:t>
            </w:r>
            <w:r w:rsidRPr="00494109">
              <w:rPr>
                <w:rFonts w:ascii="Verdana" w:hAnsi="Verdana" w:cs="Arial"/>
                <w:lang w:val="es-ES" w:eastAsia="es-ES"/>
              </w:rPr>
              <w:t xml:space="preserve">Se trata de costos adicionales inherentes al desarrollo ordinario </w:t>
            </w:r>
            <w:r>
              <w:rPr>
                <w:rFonts w:ascii="Verdana" w:hAnsi="Verdana" w:cs="Arial"/>
                <w:lang w:val="es-ES" w:eastAsia="es-ES"/>
              </w:rPr>
              <w:t>de la actividad contratada,</w:t>
            </w:r>
            <w:r w:rsidRPr="00494109">
              <w:rPr>
                <w:rFonts w:ascii="Verdana" w:hAnsi="Verdana" w:cs="Arial"/>
                <w:lang w:val="es-ES" w:eastAsia="es-ES"/>
              </w:rPr>
              <w:t xml:space="preserve"> cuya </w:t>
            </w:r>
            <w:r w:rsidRPr="00494109">
              <w:rPr>
                <w:rFonts w:ascii="Verdana" w:hAnsi="Verdana" w:cs="Arial"/>
                <w:lang w:val="es-ES" w:eastAsia="es-ES"/>
              </w:rPr>
              <w:lastRenderedPageBreak/>
              <w:t xml:space="preserve">ocurrencia </w:t>
            </w:r>
            <w:r>
              <w:rPr>
                <w:rFonts w:ascii="Verdana" w:hAnsi="Verdana" w:cs="Arial"/>
                <w:lang w:val="es-ES" w:eastAsia="es-ES"/>
              </w:rPr>
              <w:t xml:space="preserve">–por ser parte del alea normal del negocio– </w:t>
            </w:r>
            <w:r w:rsidRPr="00494109">
              <w:rPr>
                <w:rFonts w:ascii="Verdana" w:hAnsi="Verdana" w:cs="Arial"/>
                <w:lang w:val="es-ES" w:eastAsia="es-ES"/>
              </w:rPr>
              <w:t xml:space="preserve">es posible y esperada, aunque </w:t>
            </w:r>
            <w:r>
              <w:rPr>
                <w:rFonts w:ascii="Verdana" w:hAnsi="Verdana" w:cs="Arial"/>
                <w:lang w:val="es-ES" w:eastAsia="es-ES"/>
              </w:rPr>
              <w:t>sea incierto tanto el momento en que se causa</w:t>
            </w:r>
            <w:r w:rsidRPr="00494109">
              <w:rPr>
                <w:rFonts w:ascii="Verdana" w:hAnsi="Verdana" w:cs="Arial"/>
                <w:lang w:val="es-ES" w:eastAsia="es-ES"/>
              </w:rPr>
              <w:t xml:space="preserve"> </w:t>
            </w:r>
            <w:r>
              <w:rPr>
                <w:rFonts w:ascii="Verdana" w:hAnsi="Verdana" w:cs="Arial"/>
                <w:lang w:val="es-ES" w:eastAsia="es-ES"/>
              </w:rPr>
              <w:t>como su</w:t>
            </w:r>
            <w:r w:rsidRPr="00494109">
              <w:rPr>
                <w:rFonts w:ascii="Verdana" w:hAnsi="Verdana" w:cs="Arial"/>
                <w:lang w:val="es-ES" w:eastAsia="es-ES"/>
              </w:rPr>
              <w:t xml:space="preserve"> cuantía</w:t>
            </w:r>
            <w:r>
              <w:rPr>
                <w:rFonts w:ascii="Verdana" w:hAnsi="Verdana" w:cs="Arial"/>
                <w:lang w:val="es-ES" w:eastAsia="es-ES"/>
              </w:rPr>
              <w:t xml:space="preserve">. Para la doctrina, “[…] </w:t>
            </w:r>
            <w:r w:rsidRPr="00BB09DB">
              <w:rPr>
                <w:rFonts w:ascii="Verdana" w:hAnsi="Verdana" w:cs="Arial"/>
                <w:lang w:val="es-ES" w:eastAsia="es-ES"/>
              </w:rPr>
              <w:t xml:space="preserve">es el caso de la sobre remuneración que se paga al personal; la adquisición de materiales a un precio mayor al calculado; el pago de conceptos o </w:t>
            </w:r>
            <w:proofErr w:type="spellStart"/>
            <w:r w:rsidRPr="00BB09DB">
              <w:rPr>
                <w:rFonts w:ascii="Verdana" w:hAnsi="Verdana" w:cs="Arial"/>
                <w:lang w:val="es-ES" w:eastAsia="es-ES"/>
              </w:rPr>
              <w:t>experticios</w:t>
            </w:r>
            <w:proofErr w:type="spellEnd"/>
            <w:r w:rsidRPr="00BB09DB">
              <w:rPr>
                <w:rFonts w:ascii="Verdana" w:hAnsi="Verdana" w:cs="Arial"/>
                <w:lang w:val="es-ES" w:eastAsia="es-ES"/>
              </w:rPr>
              <w:t xml:space="preserve"> técnicos necesarios para evaluar una tarea o trabajo no previsto; la reparación de maquinaria; el alquiler de equipos que no se habían contemplado</w:t>
            </w:r>
            <w:r>
              <w:rPr>
                <w:rFonts w:ascii="Verdana" w:hAnsi="Verdana" w:cs="Arial"/>
                <w:lang w:val="es-ES" w:eastAsia="es-ES"/>
              </w:rPr>
              <w:t>, entre otros […]”.</w:t>
            </w:r>
          </w:p>
          <w:p w14:paraId="36C0403B" w14:textId="77777777" w:rsidR="00936B0C" w:rsidRPr="00503CCA" w:rsidRDefault="00936B0C" w:rsidP="008D2F4E">
            <w:pPr>
              <w:spacing w:before="120" w:after="120" w:line="276" w:lineRule="auto"/>
              <w:ind w:firstLine="709"/>
              <w:jc w:val="both"/>
              <w:rPr>
                <w:rFonts w:ascii="Verdana" w:hAnsi="Verdana" w:cs="Arial"/>
                <w:lang w:val="es-ES" w:eastAsia="es-ES"/>
              </w:rPr>
            </w:pPr>
            <w:r>
              <w:rPr>
                <w:rFonts w:ascii="Verdana" w:hAnsi="Verdana" w:cs="Arial"/>
                <w:lang w:val="es-ES" w:eastAsia="es-ES"/>
              </w:rPr>
              <w:t xml:space="preserve">Estos imprevistos son diferentes a las situaciones que corresponden a </w:t>
            </w:r>
            <w:r w:rsidRPr="00312E69">
              <w:rPr>
                <w:rFonts w:ascii="Verdana" w:hAnsi="Verdana" w:cs="Arial"/>
                <w:lang w:val="es-ES" w:eastAsia="es-ES"/>
              </w:rPr>
              <w:t xml:space="preserve">contingencias extraordinarias, imprevisibles y no controlables por las partes </w:t>
            </w:r>
            <w:r>
              <w:rPr>
                <w:rFonts w:ascii="Verdana" w:hAnsi="Verdana" w:cs="Arial"/>
                <w:lang w:val="es-ES" w:eastAsia="es-ES"/>
              </w:rPr>
              <w:t>–</w:t>
            </w:r>
            <w:r w:rsidRPr="00312E69">
              <w:rPr>
                <w:rFonts w:ascii="Verdana" w:hAnsi="Verdana" w:cs="Arial"/>
                <w:lang w:val="es-ES" w:eastAsia="es-ES"/>
              </w:rPr>
              <w:t xml:space="preserve">como </w:t>
            </w:r>
            <w:r>
              <w:rPr>
                <w:rFonts w:ascii="Verdana" w:hAnsi="Verdana" w:cs="Arial"/>
                <w:lang w:val="es-ES" w:eastAsia="es-ES"/>
              </w:rPr>
              <w:t xml:space="preserve">los </w:t>
            </w:r>
            <w:r w:rsidRPr="00312E69">
              <w:rPr>
                <w:rFonts w:ascii="Verdana" w:hAnsi="Verdana" w:cs="Arial"/>
                <w:lang w:val="es-ES" w:eastAsia="es-ES"/>
              </w:rPr>
              <w:t>desastres naturales</w:t>
            </w:r>
            <w:r>
              <w:rPr>
                <w:rFonts w:ascii="Verdana" w:hAnsi="Verdana" w:cs="Arial"/>
                <w:lang w:val="es-ES" w:eastAsia="es-ES"/>
              </w:rPr>
              <w:t>, por ejemplo–</w:t>
            </w:r>
            <w:r w:rsidRPr="00312E69">
              <w:rPr>
                <w:rFonts w:ascii="Verdana" w:hAnsi="Verdana" w:cs="Arial"/>
                <w:lang w:val="es-ES" w:eastAsia="es-ES"/>
              </w:rPr>
              <w:t xml:space="preserve"> que generan un impacto grave y exceden la ejecución ordinaria del contrato</w:t>
            </w:r>
            <w:r>
              <w:rPr>
                <w:rFonts w:ascii="Verdana" w:hAnsi="Verdana" w:cs="Arial"/>
                <w:lang w:val="es-ES" w:eastAsia="es-ES"/>
              </w:rPr>
              <w:t>. Es decir, “[…] l</w:t>
            </w:r>
            <w:r w:rsidRPr="00FD66F1">
              <w:rPr>
                <w:rFonts w:ascii="Verdana" w:hAnsi="Verdana" w:cs="Arial"/>
                <w:lang w:val="es-ES" w:eastAsia="es-ES"/>
              </w:rPr>
              <w:t xml:space="preserve">a I como parte del precio no debe confundirse con los riesgos del contrato que conducen al desequilibrio financiero, porque mientras aquélla se refiere a la parte de los gastos extraordinarios que se presentan en el día a día de una obra, pero que son </w:t>
            </w:r>
            <w:r>
              <w:rPr>
                <w:rFonts w:ascii="Verdana" w:hAnsi="Verdana" w:cs="Arial"/>
                <w:lang w:val="es-ES" w:eastAsia="es-ES"/>
              </w:rPr>
              <w:t>‘</w:t>
            </w:r>
            <w:r w:rsidRPr="00FD66F1">
              <w:rPr>
                <w:rFonts w:ascii="Verdana" w:hAnsi="Verdana" w:cs="Arial"/>
                <w:lang w:val="es-ES" w:eastAsia="es-ES"/>
              </w:rPr>
              <w:t>normales</w:t>
            </w:r>
            <w:r>
              <w:rPr>
                <w:rFonts w:ascii="Verdana" w:hAnsi="Verdana" w:cs="Arial"/>
                <w:lang w:val="es-ES" w:eastAsia="es-ES"/>
              </w:rPr>
              <w:t>’</w:t>
            </w:r>
            <w:r w:rsidRPr="00FD66F1">
              <w:rPr>
                <w:rFonts w:ascii="Verdana" w:hAnsi="Verdana" w:cs="Arial"/>
                <w:lang w:val="es-ES" w:eastAsia="es-ES"/>
              </w:rPr>
              <w:t xml:space="preserve"> en su desarrollo; éstos aluden a las contingencias que exceden la ejecución ordinaria del contrato y la capacidad de soportarlas</w:t>
            </w:r>
            <w:r>
              <w:rPr>
                <w:rFonts w:ascii="Verdana" w:hAnsi="Verdana" w:cs="Arial"/>
                <w:lang w:val="es-ES" w:eastAsia="es-ES"/>
              </w:rPr>
              <w:t xml:space="preserve"> […]”. M</w:t>
            </w:r>
            <w:r w:rsidRPr="00FD66F1">
              <w:rPr>
                <w:rFonts w:ascii="Verdana" w:hAnsi="Verdana" w:cs="Arial"/>
                <w:lang w:val="es-ES" w:eastAsia="es-ES"/>
              </w:rPr>
              <w:t xml:space="preserve">ientras los primeros integran el precio y forman parte del riesgo normal asumido por el contratista, los segundos pueden dar lugar </w:t>
            </w:r>
            <w:r>
              <w:rPr>
                <w:rFonts w:ascii="Verdana" w:hAnsi="Verdana" w:cs="Arial"/>
                <w:lang w:val="es-ES" w:eastAsia="es-ES"/>
              </w:rPr>
              <w:t>restablecimiento de la ecuación económica</w:t>
            </w:r>
            <w:r w:rsidRPr="00FD66F1">
              <w:rPr>
                <w:rFonts w:ascii="Verdana" w:hAnsi="Verdana" w:cs="Arial"/>
                <w:lang w:val="es-ES" w:eastAsia="es-ES"/>
              </w:rPr>
              <w:t>, ya que su asignación no siempre es clara y puede requerir decisión judicial para determinar quién debe asumir su costo.</w:t>
            </w:r>
            <w:r>
              <w:rPr>
                <w:rFonts w:ascii="Verdana" w:hAnsi="Verdana" w:cs="Arial"/>
                <w:lang w:val="es-ES" w:eastAsia="es-ES"/>
              </w:rPr>
              <w:t xml:space="preserve"> </w:t>
            </w:r>
          </w:p>
          <w:p w14:paraId="086CF1BA" w14:textId="77777777" w:rsidR="00936B0C" w:rsidRDefault="00936B0C" w:rsidP="008D2F4E">
            <w:pPr>
              <w:spacing w:after="120" w:line="276" w:lineRule="auto"/>
              <w:ind w:firstLine="731"/>
              <w:jc w:val="both"/>
              <w:rPr>
                <w:rFonts w:ascii="Verdana" w:eastAsia="Arial" w:hAnsi="Verdana" w:cs="Arial"/>
                <w:color w:val="000000"/>
              </w:rPr>
            </w:pPr>
            <w:r w:rsidRPr="00301910">
              <w:rPr>
                <w:rFonts w:ascii="Verdana" w:eastAsia="Arial" w:hAnsi="Verdana" w:cs="Arial"/>
                <w:color w:val="000000"/>
              </w:rPr>
              <w:t xml:space="preserve">Al no estar el AIU regulado normativamente, no existe un deber jurídico consagrado en el Estatuto General de Contratación de la Administración Pública dirigido al contratista, para que este rinda cuentas sobre la destinación de los ítems que componen dicha partida. </w:t>
            </w:r>
            <w:r>
              <w:rPr>
                <w:rFonts w:ascii="Verdana" w:eastAsia="Arial" w:hAnsi="Verdana" w:cs="Arial"/>
                <w:color w:val="000000"/>
              </w:rPr>
              <w:t>L</w:t>
            </w:r>
            <w:r w:rsidRPr="00301910">
              <w:rPr>
                <w:rFonts w:ascii="Verdana" w:eastAsia="Arial" w:hAnsi="Verdana" w:cs="Arial"/>
                <w:color w:val="000000"/>
              </w:rPr>
              <w:t>a metodología de estipulación y administración del AIU ha sido un desarrollo de la costumbre mercantil que se ha venido adoptado voluntariamente por parte de las entidades estatales. Sin embargo, en caso de que el pliego de condiciones o el contrato establezca la obligación de rendir dichas cuentas, deberá respetarse este pacto.</w:t>
            </w:r>
          </w:p>
          <w:p w14:paraId="56821B53" w14:textId="77777777" w:rsidR="00936B0C" w:rsidRDefault="00936B0C" w:rsidP="008D2F4E">
            <w:pPr>
              <w:spacing w:after="120" w:line="276" w:lineRule="auto"/>
              <w:ind w:right="51" w:firstLine="737"/>
              <w:jc w:val="both"/>
              <w:rPr>
                <w:rFonts w:ascii="Verdana" w:eastAsia="Arial" w:hAnsi="Verdana" w:cs="Arial"/>
                <w:color w:val="000000" w:themeColor="text1"/>
                <w:lang w:eastAsia="es-ES" w:bidi="es-ES"/>
              </w:rPr>
            </w:pPr>
            <w:r>
              <w:rPr>
                <w:rFonts w:ascii="Verdana" w:eastAsia="Arial" w:hAnsi="Verdana" w:cs="Arial"/>
                <w:i/>
                <w:iCs/>
                <w:color w:val="000000"/>
              </w:rPr>
              <w:t>Finalmente</w:t>
            </w:r>
            <w:r>
              <w:rPr>
                <w:rFonts w:ascii="Verdana" w:eastAsia="Arial" w:hAnsi="Verdana" w:cs="Arial"/>
                <w:color w:val="000000"/>
              </w:rPr>
              <w:t xml:space="preserve">, </w:t>
            </w:r>
            <w:r>
              <w:rPr>
                <w:rFonts w:ascii="Verdana" w:eastAsia="Calibri" w:hAnsi="Verdana" w:cs="Arial"/>
                <w:bCs/>
                <w:color w:val="000000" w:themeColor="text1"/>
              </w:rPr>
              <w:t>p</w:t>
            </w:r>
            <w:r>
              <w:rPr>
                <w:rFonts w:ascii="Verdana" w:eastAsia="Arial" w:hAnsi="Verdana" w:cs="Arial"/>
                <w:color w:val="000000" w:themeColor="text1"/>
                <w:lang w:eastAsia="es-ES" w:bidi="es-ES"/>
              </w:rPr>
              <w:t xml:space="preserve">or remisión de los artículos 13, 32 y 40 del EGCAP al derecho privado, el contrato es ley para las partes conforme al artículo 1602 del Código Civil. Aunque la </w:t>
            </w:r>
            <w:r w:rsidRPr="00752476">
              <w:rPr>
                <w:rFonts w:ascii="Verdana" w:eastAsia="Arial" w:hAnsi="Verdana" w:cs="Arial"/>
                <w:i/>
                <w:iCs/>
                <w:color w:val="000000" w:themeColor="text1"/>
                <w:lang w:eastAsia="es-ES" w:bidi="es-ES"/>
              </w:rPr>
              <w:t>regla general</w:t>
            </w:r>
            <w:r>
              <w:rPr>
                <w:rFonts w:ascii="Verdana" w:eastAsia="Arial" w:hAnsi="Verdana" w:cs="Arial"/>
                <w:color w:val="000000" w:themeColor="text1"/>
                <w:lang w:eastAsia="es-ES" w:bidi="es-ES"/>
              </w:rPr>
              <w:t xml:space="preserve"> es el cumplimiento de los precios pactados, </w:t>
            </w:r>
            <w:r>
              <w:rPr>
                <w:rFonts w:ascii="Verdana" w:eastAsia="Arial" w:hAnsi="Verdana" w:cs="Arial"/>
                <w:i/>
                <w:iCs/>
                <w:color w:val="000000" w:themeColor="text1"/>
                <w:lang w:eastAsia="es-ES" w:bidi="es-ES"/>
              </w:rPr>
              <w:t>de forma excepcional</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pueden surgir circunstancias imprevistas que</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hagan</w:t>
            </w:r>
            <w:r>
              <w:rPr>
                <w:rFonts w:ascii="Verdana" w:eastAsia="Arial" w:hAnsi="Verdana" w:cs="Arial"/>
                <w:color w:val="000000" w:themeColor="text1"/>
                <w:lang w:eastAsia="es-ES" w:bidi="es-ES"/>
              </w:rPr>
              <w:t xml:space="preserve"> la ejecución</w:t>
            </w:r>
            <w:r w:rsidRPr="00752476">
              <w:rPr>
                <w:rFonts w:ascii="Verdana" w:eastAsia="Arial" w:hAnsi="Verdana" w:cs="Arial"/>
                <w:color w:val="000000" w:themeColor="text1"/>
                <w:lang w:eastAsia="es-ES" w:bidi="es-ES"/>
              </w:rPr>
              <w:t xml:space="preserve"> excesivamente gravos</w:t>
            </w:r>
            <w:r>
              <w:rPr>
                <w:rFonts w:ascii="Verdana" w:eastAsia="Arial" w:hAnsi="Verdana" w:cs="Arial"/>
                <w:color w:val="000000" w:themeColor="text1"/>
                <w:lang w:eastAsia="es-ES" w:bidi="es-ES"/>
              </w:rPr>
              <w:t>a</w:t>
            </w:r>
            <w:r w:rsidRPr="00752476">
              <w:rPr>
                <w:rFonts w:ascii="Verdana" w:eastAsia="Arial" w:hAnsi="Verdana" w:cs="Arial"/>
                <w:color w:val="000000" w:themeColor="text1"/>
                <w:lang w:eastAsia="es-ES" w:bidi="es-ES"/>
              </w:rPr>
              <w:t xml:space="preserve">, por lo que se han creado mecanismos para mantener la equidad y el equilibrio entre las </w:t>
            </w:r>
            <w:r>
              <w:rPr>
                <w:rFonts w:ascii="Verdana" w:eastAsia="Arial" w:hAnsi="Verdana" w:cs="Arial"/>
                <w:color w:val="000000" w:themeColor="text1"/>
                <w:lang w:eastAsia="es-ES" w:bidi="es-ES"/>
              </w:rPr>
              <w:t xml:space="preserve">obligaciones. </w:t>
            </w:r>
          </w:p>
          <w:p w14:paraId="585F262D" w14:textId="77777777" w:rsidR="00936B0C" w:rsidRDefault="00936B0C" w:rsidP="008D2F4E">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Para estos efectos, </w:t>
            </w:r>
            <w:r w:rsidRPr="00E97A27">
              <w:rPr>
                <w:rFonts w:ascii="Verdana" w:eastAsia="Arial" w:hAnsi="Verdana" w:cs="Arial"/>
                <w:color w:val="000000" w:themeColor="text1"/>
                <w:lang w:val="es-ES" w:eastAsia="es-ES" w:bidi="es-ES"/>
              </w:rPr>
              <w:t xml:space="preserve">el numeral 3 del artículo 4 </w:t>
            </w:r>
            <w:r>
              <w:rPr>
                <w:rFonts w:ascii="Verdana" w:eastAsia="Arial" w:hAnsi="Verdana" w:cs="Arial"/>
                <w:color w:val="000000" w:themeColor="text1"/>
                <w:lang w:val="es-ES" w:eastAsia="es-ES" w:bidi="es-ES"/>
              </w:rPr>
              <w:t>del EGCAP</w:t>
            </w:r>
            <w:r w:rsidRPr="00E97A27">
              <w:rPr>
                <w:rFonts w:ascii="Verdana" w:eastAsia="Arial" w:hAnsi="Verdana" w:cs="Arial"/>
                <w:color w:val="000000" w:themeColor="text1"/>
                <w:lang w:val="es-ES" w:eastAsia="es-ES" w:bidi="es-ES"/>
              </w:rPr>
              <w:t xml:space="preserve"> señala que las </w:t>
            </w:r>
            <w:r w:rsidRPr="00E97A27">
              <w:rPr>
                <w:rFonts w:ascii="Verdana" w:eastAsia="Arial" w:hAnsi="Verdana" w:cs="Arial"/>
                <w:color w:val="000000" w:themeColor="text1"/>
                <w:lang w:val="es-ES" w:eastAsia="es-ES" w:bidi="es-ES"/>
              </w:rPr>
              <w:lastRenderedPageBreak/>
              <w:t xml:space="preserve">entidades estatales solicitarán la actualización o la revisión de los precios cuando se produzcan fenómenos que alteren en su contra </w:t>
            </w:r>
            <w:r w:rsidRPr="00E97A27">
              <w:rPr>
                <w:rFonts w:ascii="Verdana" w:eastAsia="Arial" w:hAnsi="Verdana" w:cs="Arial"/>
                <w:i/>
                <w:iCs/>
                <w:color w:val="000000" w:themeColor="text1"/>
                <w:lang w:val="es-ES" w:eastAsia="es-ES" w:bidi="es-ES"/>
              </w:rPr>
              <w:t>el equilibrio económico o financiero</w:t>
            </w:r>
            <w:r w:rsidRPr="00E97A27">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w:t>
            </w:r>
            <w:r>
              <w:rPr>
                <w:rFonts w:ascii="Verdana" w:eastAsia="Arial" w:hAnsi="Verdana" w:cs="Arial"/>
                <w:color w:val="000000" w:themeColor="text1"/>
                <w:lang w:val="es-ES" w:eastAsia="es-ES" w:bidi="es-ES"/>
              </w:rPr>
              <w:t>. De acuerdo con la jurisprudencia:</w:t>
            </w:r>
          </w:p>
          <w:p w14:paraId="5548832F" w14:textId="77777777" w:rsidR="00936B0C" w:rsidRDefault="00936B0C" w:rsidP="008D2F4E">
            <w:pPr>
              <w:widowControl w:val="0"/>
              <w:autoSpaceDE w:val="0"/>
              <w:autoSpaceDN w:val="0"/>
              <w:spacing w:line="276" w:lineRule="auto"/>
              <w:ind w:firstLine="709"/>
              <w:jc w:val="both"/>
              <w:rPr>
                <w:rFonts w:ascii="Verdana" w:eastAsia="Arial" w:hAnsi="Verdana" w:cs="Arial"/>
                <w:color w:val="000000" w:themeColor="text1"/>
                <w:lang w:val="es-ES" w:eastAsia="es-ES" w:bidi="es-ES"/>
              </w:rPr>
            </w:pPr>
          </w:p>
          <w:p w14:paraId="59DD7F0F" w14:textId="77777777" w:rsidR="00936B0C" w:rsidRPr="000E4887" w:rsidRDefault="00936B0C" w:rsidP="008D2F4E">
            <w:pPr>
              <w:widowControl w:val="0"/>
              <w:autoSpaceDE w:val="0"/>
              <w:autoSpaceDN w:val="0"/>
              <w:ind w:left="709" w:right="709"/>
              <w:jc w:val="both"/>
              <w:rPr>
                <w:rFonts w:ascii="Verdana" w:eastAsia="Arial" w:hAnsi="Verdana" w:cs="Arial"/>
                <w:color w:val="000000" w:themeColor="text1"/>
                <w:sz w:val="20"/>
                <w:szCs w:val="20"/>
                <w:lang w:val="es-ES" w:eastAsia="es-ES" w:bidi="es-ES"/>
              </w:rPr>
            </w:pPr>
            <w:r w:rsidRPr="000E4887">
              <w:rPr>
                <w:rFonts w:ascii="Verdana" w:eastAsia="Arial" w:hAnsi="Verdana" w:cs="Arial"/>
                <w:color w:val="000000" w:themeColor="text1"/>
                <w:sz w:val="20"/>
                <w:szCs w:val="20"/>
                <w:lang w:val="es-ES" w:eastAsia="es-ES" w:bidi="es-ES"/>
              </w:rPr>
              <w:t>“[…] la cláusula de estabilización o ajuste de precios resulta ser una medida preventiva frente a una situación previsible que puede afectar el resultado económico final del contrato en contra de cualquiera de las partes, y que se resuelve mediante la inclusión de la respectiva estipulación, normalmente expresada en una fórmula matemática concebida en función de los factores que inciden en los costos de ejecución del contrato. Por tanto, es un mecanismo que tiende a preservar la naturaleza conmutativa de los contratos y a garantizar que la equivalencia inicialmente acordada entre las prestaciones recíprocas se mantenga a lo largo de la ejecución del negocio jurídico, en tal forma que la remuneración recibida finalmente por el contratista corresponda a la que contempló al momento de presentar su propuesta y celebrar el contrato.</w:t>
            </w:r>
          </w:p>
          <w:p w14:paraId="21604C40" w14:textId="77777777" w:rsidR="00936B0C" w:rsidRDefault="00936B0C" w:rsidP="008D2F4E">
            <w:pPr>
              <w:widowControl w:val="0"/>
              <w:autoSpaceDE w:val="0"/>
              <w:autoSpaceDN w:val="0"/>
              <w:spacing w:before="120"/>
              <w:ind w:left="709" w:right="709"/>
              <w:jc w:val="both"/>
              <w:rPr>
                <w:rFonts w:ascii="Verdana" w:eastAsia="Arial" w:hAnsi="Verdana" w:cs="Arial"/>
                <w:color w:val="000000" w:themeColor="text1"/>
                <w:lang w:val="es-ES" w:eastAsia="es-ES" w:bidi="es-ES"/>
              </w:rPr>
            </w:pPr>
            <w:r w:rsidRPr="000E4887">
              <w:rPr>
                <w:rFonts w:ascii="Verdana" w:eastAsia="Arial" w:hAnsi="Verdana" w:cs="Arial"/>
                <w:color w:val="000000" w:themeColor="text1"/>
                <w:sz w:val="20"/>
                <w:szCs w:val="20"/>
                <w:lang w:val="es-ES" w:eastAsia="es-ES" w:bidi="es-ES"/>
              </w:rPr>
              <w:t>De igual modo, paralelamente con la actualización de precios la Ley 80 de 1993 también contempla la figura de la revisión de precios, la cual opera cuando sobrevengan hechos económicos que hagan ineficaz o insuficiente la fórmula de reajuste o cuando las partes no han pactado un sistema de ajuste o actualización de los precios y estos sufren alteración como resultado de los fenómenos económicos mencionados, como la inflación o el alza de precios, eventos estos en los cuales puede solicitarse al juez la corrección de la cláusula de ajuste pactada y la revisión de los precios”.</w:t>
            </w:r>
          </w:p>
          <w:p w14:paraId="0659F903" w14:textId="77777777" w:rsidR="00936B0C" w:rsidRPr="00F74AF6" w:rsidRDefault="00936B0C" w:rsidP="008D2F4E">
            <w:pPr>
              <w:spacing w:line="276" w:lineRule="auto"/>
              <w:ind w:right="51"/>
              <w:jc w:val="both"/>
              <w:rPr>
                <w:rFonts w:ascii="Verdana" w:eastAsia="Arial" w:hAnsi="Verdana" w:cs="Arial"/>
                <w:color w:val="000000" w:themeColor="text1"/>
                <w:lang w:val="es-ES" w:eastAsia="es-ES" w:bidi="es-ES"/>
              </w:rPr>
            </w:pPr>
          </w:p>
          <w:p w14:paraId="44B29FB0" w14:textId="55F019F1" w:rsidR="00936B0C" w:rsidRPr="00324083" w:rsidRDefault="00B12B54" w:rsidP="008D2F4E">
            <w:pPr>
              <w:spacing w:after="120" w:line="276" w:lineRule="auto"/>
              <w:ind w:right="51" w:firstLine="737"/>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Ahora bien, </w:t>
            </w:r>
            <w:r w:rsidR="002370FD">
              <w:rPr>
                <w:rFonts w:ascii="Verdana" w:eastAsia="Times New Roman" w:hAnsi="Verdana" w:cs="Arial"/>
                <w:color w:val="000000"/>
                <w:bdr w:val="none" w:sz="0" w:space="0" w:color="auto" w:frame="1"/>
                <w:shd w:val="clear" w:color="auto" w:fill="FFFFFF"/>
                <w:lang w:eastAsia="es-ES_tradnl"/>
              </w:rPr>
              <w:t>c</w:t>
            </w:r>
            <w:proofErr w:type="spellStart"/>
            <w:r w:rsidR="00936B0C" w:rsidRPr="00E97A27">
              <w:rPr>
                <w:rFonts w:ascii="Verdana" w:eastAsia="Arial" w:hAnsi="Verdana" w:cs="Arial"/>
                <w:color w:val="000000" w:themeColor="text1"/>
                <w:lang w:val="es-ES" w:eastAsia="es-ES" w:bidi="es-ES"/>
              </w:rPr>
              <w:t>uando</w:t>
            </w:r>
            <w:proofErr w:type="spellEnd"/>
            <w:r w:rsidR="00936B0C" w:rsidRPr="00E97A27">
              <w:rPr>
                <w:rFonts w:ascii="Verdana" w:eastAsia="Arial" w:hAnsi="Verdana" w:cs="Arial"/>
                <w:color w:val="000000" w:themeColor="text1"/>
                <w:lang w:val="es-ES" w:eastAsia="es-ES" w:bidi="es-ES"/>
              </w:rPr>
              <w:t xml:space="preserve">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w:t>
            </w:r>
            <w:r w:rsidR="00936B0C">
              <w:rPr>
                <w:rFonts w:ascii="Verdana" w:eastAsia="Arial" w:hAnsi="Verdana" w:cs="Arial"/>
                <w:color w:val="000000" w:themeColor="text1"/>
                <w:lang w:val="es-ES" w:eastAsia="es-ES" w:bidi="es-ES"/>
              </w:rPr>
              <w:t xml:space="preserve"> </w:t>
            </w:r>
            <w:r w:rsidR="00936B0C" w:rsidRPr="00E97A27">
              <w:rPr>
                <w:rFonts w:ascii="Verdana" w:eastAsia="Arial" w:hAnsi="Verdana" w:cs="Arial"/>
                <w:color w:val="000000" w:themeColor="text1"/>
                <w:lang w:val="es-ES" w:eastAsia="es-ES" w:bidi="es-ES"/>
              </w:rPr>
              <w:t xml:space="preserve">Estas medidas podrán materializarse a través de los distintos acuerdos que suscriban las partes como prórrogas, adiciones, </w:t>
            </w:r>
            <w:r w:rsidR="00936B0C" w:rsidRPr="00E97A27">
              <w:rPr>
                <w:rFonts w:ascii="Verdana" w:eastAsia="Arial" w:hAnsi="Verdana" w:cs="Arial"/>
                <w:color w:val="000000" w:themeColor="text1"/>
                <w:lang w:val="es-ES" w:eastAsia="es-ES" w:bidi="es-ES"/>
              </w:rPr>
              <w:lastRenderedPageBreak/>
              <w:t>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w:t>
            </w:r>
          </w:p>
          <w:p w14:paraId="13A4F43D" w14:textId="77777777" w:rsidR="00936B0C" w:rsidRPr="00850F19" w:rsidRDefault="00936B0C" w:rsidP="008D2F4E">
            <w:pPr>
              <w:spacing w:after="120" w:line="276" w:lineRule="auto"/>
              <w:ind w:firstLine="731"/>
              <w:jc w:val="both"/>
              <w:rPr>
                <w:rFonts w:ascii="Verdana" w:eastAsia="Arial" w:hAnsi="Verdana" w:cs="Arial"/>
                <w:color w:val="000000"/>
              </w:rPr>
            </w:pPr>
            <w:r>
              <w:rPr>
                <w:rFonts w:ascii="Verdana" w:eastAsia="Times New Roman" w:hAnsi="Verdana" w:cs="Arial"/>
                <w:color w:val="000000"/>
                <w:bdr w:val="none" w:sz="0" w:space="0" w:color="auto" w:frame="1"/>
                <w:shd w:val="clear" w:color="auto" w:fill="FFFFFF"/>
                <w:lang w:eastAsia="es-ES_tradnl"/>
              </w:rPr>
              <w:t xml:space="preserve">Por lo demás, conforme a los incisos segundo y tercero del artículo 60 del EGCAP, en la liquidación “[…] </w:t>
            </w:r>
            <w:r w:rsidRPr="00D118AB">
              <w:rPr>
                <w:rFonts w:ascii="Verdana" w:eastAsia="Times New Roman" w:hAnsi="Verdana" w:cs="Arial"/>
                <w:color w:val="000000"/>
                <w:bdr w:val="none" w:sz="0" w:space="0" w:color="auto" w:frame="1"/>
                <w:shd w:val="clear" w:color="auto" w:fill="FFFFFF"/>
                <w:lang w:eastAsia="es-ES_tradnl"/>
              </w:rPr>
              <w:t>las partes acordarán los ajustes, revisiones y reconocimientos a que haya lugar</w:t>
            </w:r>
            <w:r>
              <w:rPr>
                <w:rFonts w:ascii="Verdana" w:eastAsia="Times New Roman" w:hAnsi="Verdana" w:cs="Arial"/>
                <w:color w:val="000000"/>
                <w:bdr w:val="none" w:sz="0" w:space="0" w:color="auto" w:frame="1"/>
                <w:shd w:val="clear" w:color="auto" w:fill="FFFFFF"/>
                <w:lang w:eastAsia="es-ES_tradnl"/>
              </w:rPr>
              <w:t xml:space="preserve">” y en ella “[…] </w:t>
            </w:r>
            <w:r w:rsidRPr="00D118AB">
              <w:rPr>
                <w:rFonts w:ascii="Verdana" w:eastAsia="Times New Roman" w:hAnsi="Verdana" w:cs="Arial"/>
                <w:color w:val="000000"/>
                <w:bdr w:val="none" w:sz="0" w:space="0" w:color="auto" w:frame="1"/>
                <w:shd w:val="clear" w:color="auto" w:fill="FFFFFF"/>
                <w:lang w:eastAsia="es-ES_tradnl"/>
              </w:rPr>
              <w:t>constarán los acuerdos, conciliaciones y transacciones a que llegaren las partes para poner fin a las divergencias presentadas y poder declararse a paz y salvo</w:t>
            </w:r>
            <w:r>
              <w:rPr>
                <w:rFonts w:ascii="Verdana" w:eastAsia="Times New Roman" w:hAnsi="Verdana" w:cs="Arial"/>
                <w:color w:val="000000"/>
                <w:bdr w:val="none" w:sz="0" w:space="0" w:color="auto" w:frame="1"/>
                <w:shd w:val="clear" w:color="auto" w:fill="FFFFFF"/>
                <w:lang w:eastAsia="es-ES_tradnl"/>
              </w:rPr>
              <w:t>”</w:t>
            </w:r>
            <w:r w:rsidRPr="00D118AB">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Esto hace que la liquidación no sólo sea un mecanismo alternativo de solución de conflictos, sino también un medio para resolver asuntos relacionados con el desequilibrio económico del contrato.</w:t>
            </w:r>
          </w:p>
          <w:p w14:paraId="3A3A7EB5" w14:textId="77777777" w:rsidR="00936B0C" w:rsidRPr="001941FD" w:rsidRDefault="00936B0C" w:rsidP="008D2F4E">
            <w:pPr>
              <w:spacing w:line="276" w:lineRule="auto"/>
              <w:ind w:right="51" w:firstLine="737"/>
              <w:jc w:val="both"/>
              <w:rPr>
                <w:rFonts w:ascii="Verdana" w:eastAsia="Calibri" w:hAnsi="Verdana" w:cs="Arial"/>
                <w:bCs/>
                <w:color w:val="000000" w:themeColor="text1"/>
              </w:rPr>
            </w:pPr>
            <w:r w:rsidRPr="00F740F0">
              <w:rPr>
                <w:rStyle w:val="s15"/>
                <w:rFonts w:ascii="Verdana" w:hAnsi="Verdana"/>
                <w:color w:val="000000"/>
              </w:rPr>
              <w:t>Al margen de la explicación precedente</w:t>
            </w:r>
            <w:r>
              <w:rPr>
                <w:rStyle w:val="s15"/>
                <w:rFonts w:ascii="Verdana" w:hAnsi="Verdana"/>
                <w:color w:val="000000"/>
              </w:rPr>
              <w:t>,</w:t>
            </w:r>
            <w:r w:rsidRPr="00F740F0">
              <w:rPr>
                <w:rStyle w:val="s15"/>
                <w:rFonts w:ascii="Verdana" w:hAnsi="Verdana"/>
                <w:color w:val="000000"/>
              </w:rPr>
              <w:t xml:space="preserve"> debe advertirse que el análisis requerido para resolver problemas específicos en torno a los reconocimientos económicos derivados del desequilibrio en el contrato debe ser realizado por quienes tengan interés en ello, de acuerdo con lo explicado la aclaración preliminar del presente oficio</w:t>
            </w:r>
            <w:r w:rsidRPr="00007D0A">
              <w:rPr>
                <w:rStyle w:val="s15"/>
                <w:rFonts w:ascii="Verdana" w:hAnsi="Verdana"/>
                <w:color w:val="000000"/>
              </w:rPr>
              <w:t xml:space="preserve">. </w:t>
            </w:r>
            <w:r w:rsidRPr="001A39AD">
              <w:rPr>
                <w:rFonts w:ascii="Verdana" w:hAnsi="Verdana"/>
                <w:bCs/>
                <w:color w:val="000000"/>
              </w:rPr>
              <w:t>Por lo anterior, previo concepto de sus asesores, corresponde a las partes del contrato definir tanto la procedencia de los ajustes contractuales frente a la actualización del salario mínimo legal mensual vigente como la forma de viabilizarlo jurídicamente; motivo por el cual, en caso de conflicto, intervendrán las autoridades judiciales, fiscales y disciplinarias</w:t>
            </w:r>
            <w:r w:rsidRPr="00007D0A">
              <w:rPr>
                <w:rStyle w:val="s15"/>
                <w:rFonts w:ascii="Verdana" w:hAnsi="Verdana"/>
                <w:color w:val="000000"/>
              </w:rPr>
              <w:t>. Así, cada entidad definirá la forma de adelantar su gestión contractual, sin que sea atribución de Colombia Compra Eficiente validar sus actuaciones.</w:t>
            </w:r>
          </w:p>
        </w:tc>
      </w:tr>
    </w:tbl>
    <w:p w14:paraId="51EAEC5F" w14:textId="77777777" w:rsidR="00936B0C" w:rsidRPr="00593A5F" w:rsidRDefault="00936B0C" w:rsidP="00936B0C">
      <w:pPr>
        <w:tabs>
          <w:tab w:val="left" w:pos="142"/>
          <w:tab w:val="left" w:pos="284"/>
        </w:tabs>
        <w:spacing w:after="0" w:line="276" w:lineRule="auto"/>
        <w:jc w:val="both"/>
        <w:rPr>
          <w:rFonts w:ascii="Verdana" w:eastAsia="Century Gothic" w:hAnsi="Verdana" w:cs="Century Gothic"/>
          <w:b/>
          <w:bCs/>
          <w:lang w:val="es-ES"/>
        </w:rPr>
      </w:pPr>
    </w:p>
    <w:bookmarkEnd w:id="1"/>
    <w:p w14:paraId="3C7AD619" w14:textId="77777777" w:rsidR="00936B0C" w:rsidRPr="00593A5F" w:rsidRDefault="00936B0C" w:rsidP="00936B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F7451E6" w14:textId="77777777" w:rsidR="00936B0C" w:rsidRPr="00593A5F" w:rsidRDefault="00936B0C" w:rsidP="00936B0C">
      <w:pPr>
        <w:spacing w:after="0" w:line="276" w:lineRule="auto"/>
        <w:jc w:val="both"/>
        <w:rPr>
          <w:rFonts w:ascii="Verdana" w:eastAsia="Calibri" w:hAnsi="Verdana" w:cs="Arial"/>
          <w:color w:val="7030A0"/>
          <w:lang w:val="es-ES"/>
        </w:rPr>
      </w:pPr>
    </w:p>
    <w:p w14:paraId="3C76D612" w14:textId="77777777" w:rsidR="00936B0C" w:rsidRDefault="00936B0C" w:rsidP="00936B0C">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5FF517F" w14:textId="77777777" w:rsidR="00936B0C" w:rsidRPr="00415608" w:rsidRDefault="00936B0C" w:rsidP="00936B0C">
      <w:pPr>
        <w:spacing w:after="0" w:line="276" w:lineRule="auto"/>
        <w:jc w:val="both"/>
        <w:rPr>
          <w:rFonts w:ascii="Verdana" w:eastAsia="Calibri" w:hAnsi="Verdana" w:cs="Arial"/>
          <w:lang w:val="es-ES"/>
        </w:rPr>
      </w:pPr>
    </w:p>
    <w:p w14:paraId="1EE650A0" w14:textId="77777777" w:rsidR="00936B0C" w:rsidRPr="00364005" w:rsidRDefault="00936B0C" w:rsidP="00936B0C">
      <w:pPr>
        <w:spacing w:after="120" w:line="276" w:lineRule="auto"/>
        <w:jc w:val="both"/>
        <w:textAlignment w:val="baseline"/>
        <w:rPr>
          <w:rFonts w:ascii="Verdana" w:hAnsi="Verdana" w:cs="Arial"/>
          <w:lang w:val="es-ES" w:eastAsia="es-CO"/>
        </w:rPr>
      </w:pPr>
      <w:r w:rsidRPr="00364005">
        <w:rPr>
          <w:rFonts w:ascii="Verdana" w:hAnsi="Verdana" w:cs="Arial"/>
          <w:lang w:val="es-ES" w:eastAsia="es-ES"/>
        </w:rPr>
        <w:t xml:space="preserve">i. </w:t>
      </w:r>
      <w:r w:rsidRPr="00364005">
        <w:rPr>
          <w:rFonts w:ascii="Verdana" w:hAnsi="Verdana" w:cs="Arial"/>
          <w:lang w:val="es-ES" w:eastAsia="es-CO"/>
        </w:rPr>
        <w:t xml:space="preserve">La Real Academia de la Lengua Española – RAE define el riesgo como “1. m. Contingencia o proximidad de un daño. 2. m. Cada una de las contingencias que pueden ser objeto de un contrato de seguro”. La literatura internacional define el riesgo en las adquisiciones como los eventos que pueden afectar la realización </w:t>
      </w:r>
      <w:r w:rsidRPr="00364005">
        <w:rPr>
          <w:rFonts w:ascii="Verdana" w:hAnsi="Verdana" w:cs="Arial"/>
          <w:lang w:val="es-ES" w:eastAsia="es-CO"/>
        </w:rPr>
        <w:lastRenderedPageBreak/>
        <w:t>de la ejecución contractual y cuya ocurrencia no puede ser predicha de manera exacta por las partes involucradas en el Proceso de Contratación</w:t>
      </w:r>
      <w:r w:rsidRPr="00364005">
        <w:rPr>
          <w:rStyle w:val="Refdenotaalpie"/>
          <w:rFonts w:ascii="Verdana" w:hAnsi="Verdana" w:cs="Arial"/>
          <w:lang w:val="es-ES" w:eastAsia="es-CO"/>
        </w:rPr>
        <w:footnoteReference w:id="1"/>
      </w:r>
      <w:r w:rsidRPr="00364005">
        <w:rPr>
          <w:rFonts w:ascii="Verdana" w:hAnsi="Verdana" w:cs="Arial"/>
          <w:lang w:val="es-ES" w:eastAsia="es-CO"/>
        </w:rPr>
        <w:t>.</w:t>
      </w:r>
    </w:p>
    <w:p w14:paraId="04AFDBA7" w14:textId="77777777" w:rsidR="00936B0C" w:rsidRDefault="00936B0C" w:rsidP="00936B0C">
      <w:pPr>
        <w:spacing w:line="276" w:lineRule="auto"/>
        <w:ind w:firstLine="708"/>
        <w:jc w:val="both"/>
        <w:textAlignment w:val="baseline"/>
        <w:rPr>
          <w:rFonts w:ascii="Verdana" w:hAnsi="Verdana" w:cs="Arial"/>
          <w:lang w:val="es-ES" w:eastAsia="es-CO"/>
        </w:rPr>
      </w:pPr>
      <w:r w:rsidRPr="00364005">
        <w:rPr>
          <w:rFonts w:ascii="Verdana" w:hAnsi="Verdana" w:cs="Arial"/>
          <w:lang w:val="es-ES" w:eastAsia="es-CO"/>
        </w:rPr>
        <w:t>Tratándose de la normativa que regula lo relativo a los riesgos, el Decreto 423 de 2001</w:t>
      </w:r>
      <w:r>
        <w:rPr>
          <w:rFonts w:ascii="Verdana" w:hAnsi="Verdana" w:cs="Arial"/>
          <w:lang w:val="es-ES" w:eastAsia="es-CO"/>
        </w:rPr>
        <w:t>,</w:t>
      </w:r>
      <w:r w:rsidRPr="00364005">
        <w:rPr>
          <w:rFonts w:ascii="Verdana" w:hAnsi="Verdana" w:cs="Arial"/>
          <w:lang w:val="es-ES" w:eastAsia="es-CO"/>
        </w:rPr>
        <w:t xml:space="preserve"> por medio del cual se reglamentó parcialmente la Ley 488 de 1998 –compilado actualmente en el Decreto 1068 de 2015–</w:t>
      </w:r>
      <w:r>
        <w:rPr>
          <w:rFonts w:ascii="Verdana" w:hAnsi="Verdana" w:cs="Arial"/>
          <w:lang w:val="es-ES" w:eastAsia="es-CO"/>
        </w:rPr>
        <w:t>,</w:t>
      </w:r>
      <w:r w:rsidRPr="00364005">
        <w:rPr>
          <w:rFonts w:ascii="Verdana" w:hAnsi="Verdana" w:cs="Arial"/>
          <w:lang w:val="es-ES" w:eastAsia="es-CO"/>
        </w:rPr>
        <w:t xml:space="preserve"> estableció que el Consejo de Política Económica y Social orientaría la política de riesgo contractual del Estado a partir del principio en relación con el cual corresponde a las entidades estatales asumir los riesgos propios de su carácter público y del objeto social para el que fueron creadas o autorizadas, y a los contratistas aquellos relacionados con su objeto. Los artículos 14 y 15 del mencionado Decreto establecen:</w:t>
      </w:r>
    </w:p>
    <w:p w14:paraId="698A3AC1" w14:textId="77777777" w:rsidR="00936B0C" w:rsidRPr="00364005" w:rsidRDefault="00936B0C" w:rsidP="00936B0C">
      <w:pPr>
        <w:spacing w:after="0" w:line="276" w:lineRule="auto"/>
        <w:ind w:firstLine="708"/>
        <w:jc w:val="both"/>
        <w:textAlignment w:val="baseline"/>
        <w:rPr>
          <w:rFonts w:ascii="Verdana" w:hAnsi="Verdana" w:cs="Arial"/>
          <w:lang w:val="es-ES" w:eastAsia="es-CO"/>
        </w:rPr>
      </w:pPr>
    </w:p>
    <w:p w14:paraId="76FCFAF1" w14:textId="77777777" w:rsidR="00936B0C" w:rsidRPr="00364005" w:rsidRDefault="00936B0C" w:rsidP="00936B0C">
      <w:pPr>
        <w:pStyle w:val="NormalWeb"/>
        <w:shd w:val="clear" w:color="auto" w:fill="FFFFFF"/>
        <w:spacing w:before="0" w:beforeAutospacing="0" w:after="120" w:afterAutospacing="0"/>
        <w:ind w:left="709" w:right="709"/>
        <w:jc w:val="both"/>
        <w:rPr>
          <w:rFonts w:ascii="Verdana" w:hAnsi="Verdana" w:cs="Arial"/>
          <w:sz w:val="20"/>
          <w:szCs w:val="20"/>
        </w:rPr>
      </w:pPr>
      <w:r w:rsidRPr="00364005">
        <w:rPr>
          <w:rFonts w:ascii="Verdana" w:hAnsi="Verdana" w:cs="Arial"/>
          <w:sz w:val="20"/>
          <w:szCs w:val="20"/>
        </w:rPr>
        <w:t>“Artículo 15. De la política de riesgo contractual del Estado. Las entidades estatales sometidas al régimen aquí previsto, deberán ajustarse a la política de riesgo contractual del Estado, conformada por los principios, pautas e instrucciones que determine el Gobierno Nacional, para la estipulación de obligaciones contingentes a su cargo.</w:t>
      </w:r>
    </w:p>
    <w:p w14:paraId="6233E0EA" w14:textId="77777777" w:rsidR="00936B0C" w:rsidRPr="00364005" w:rsidRDefault="00936B0C" w:rsidP="00936B0C">
      <w:pPr>
        <w:pStyle w:val="NormalWeb"/>
        <w:shd w:val="clear" w:color="auto" w:fill="FFFFFF"/>
        <w:spacing w:before="0" w:beforeAutospacing="0" w:after="0" w:afterAutospacing="0"/>
        <w:ind w:left="709" w:right="709"/>
        <w:jc w:val="both"/>
        <w:rPr>
          <w:rFonts w:ascii="Verdana" w:hAnsi="Verdana" w:cs="Arial"/>
          <w:sz w:val="20"/>
          <w:szCs w:val="20"/>
        </w:rPr>
      </w:pPr>
      <w:r w:rsidRPr="00364005">
        <w:rPr>
          <w:rFonts w:ascii="Verdana" w:hAnsi="Verdana" w:cs="Arial"/>
          <w:sz w:val="20"/>
          <w:szCs w:val="20"/>
        </w:rPr>
        <w:t xml:space="preserve">Artículo 16. Del diseño de la política de riesgo contractual del Estado. El Consejo de Política Económica y Social, </w:t>
      </w:r>
      <w:r>
        <w:rPr>
          <w:rFonts w:ascii="Verdana" w:hAnsi="Verdana" w:cs="Arial"/>
          <w:sz w:val="20"/>
          <w:szCs w:val="20"/>
        </w:rPr>
        <w:t>CONPES</w:t>
      </w:r>
      <w:r w:rsidRPr="00364005">
        <w:rPr>
          <w:rFonts w:ascii="Verdana" w:hAnsi="Verdana" w:cs="Arial"/>
          <w:sz w:val="20"/>
          <w:szCs w:val="20"/>
        </w:rPr>
        <w:t>, orientará la política de riesgo contractual del Estado a partir del principio de que corresponde a las entidades estatales asumir los riesgos propios de su carácter público y del objeto social para el que fueron creadas o autorizadas, y a los contratistas aquéllos determinados por el lucro que constituye el objeto principal de su actividad”.</w:t>
      </w:r>
    </w:p>
    <w:p w14:paraId="7B486A77" w14:textId="77777777" w:rsidR="00936B0C" w:rsidRPr="00364005" w:rsidRDefault="00936B0C" w:rsidP="00936B0C">
      <w:pPr>
        <w:pStyle w:val="NormalWeb"/>
        <w:shd w:val="clear" w:color="auto" w:fill="FFFFFF"/>
        <w:spacing w:before="0" w:beforeAutospacing="0" w:after="0" w:afterAutospacing="0" w:line="276" w:lineRule="auto"/>
        <w:ind w:left="709" w:right="709"/>
        <w:jc w:val="both"/>
        <w:rPr>
          <w:rFonts w:ascii="Verdana" w:hAnsi="Verdana" w:cs="Arial"/>
          <w:sz w:val="22"/>
          <w:szCs w:val="22"/>
        </w:rPr>
      </w:pPr>
    </w:p>
    <w:p w14:paraId="242941EE" w14:textId="77777777" w:rsidR="00936B0C" w:rsidRPr="00364005" w:rsidRDefault="00936B0C" w:rsidP="00936B0C">
      <w:pPr>
        <w:spacing w:after="0" w:line="276" w:lineRule="auto"/>
        <w:ind w:firstLine="705"/>
        <w:jc w:val="both"/>
        <w:textAlignment w:val="baseline"/>
        <w:rPr>
          <w:rFonts w:ascii="Verdana" w:hAnsi="Verdana" w:cs="Arial"/>
          <w:lang w:val="es-ES" w:eastAsia="es-CO"/>
        </w:rPr>
      </w:pPr>
      <w:r w:rsidRPr="00364005">
        <w:rPr>
          <w:rFonts w:ascii="Verdana" w:hAnsi="Verdana" w:cs="Arial"/>
          <w:lang w:val="es-ES" w:eastAsia="es-CO"/>
        </w:rPr>
        <w:t xml:space="preserve">Por su parte, la Ley 1150 de 2007 pretendía que durante la planeación de los procesos de contratación las entidades estatales estimaran de forma anticipada las posibles eventualidades que puedan generarse durante la ejecución del contrato. En tal sentido, la exposición de motivos del proyecto de ley, “Por medio de la cual se modifica la Ley 80 de 1993, Estatuto General de Contratación de la Administración Pública”, hoy Ley 1150 de 2007 explicó que:  </w:t>
      </w:r>
    </w:p>
    <w:p w14:paraId="5DD3141C" w14:textId="77777777" w:rsidR="00936B0C" w:rsidRPr="00233727" w:rsidRDefault="00936B0C" w:rsidP="00936B0C">
      <w:pPr>
        <w:spacing w:after="0" w:line="276" w:lineRule="auto"/>
        <w:ind w:firstLine="705"/>
        <w:jc w:val="both"/>
        <w:textAlignment w:val="baseline"/>
        <w:rPr>
          <w:rFonts w:ascii="Verdana" w:hAnsi="Verdana" w:cs="Arial"/>
          <w:lang w:val="es-ES" w:eastAsia="es-CO"/>
        </w:rPr>
      </w:pPr>
    </w:p>
    <w:p w14:paraId="05B76F69" w14:textId="77777777" w:rsidR="00936B0C" w:rsidRPr="00364005" w:rsidRDefault="00936B0C" w:rsidP="00936B0C">
      <w:pPr>
        <w:spacing w:after="0" w:line="240" w:lineRule="auto"/>
        <w:ind w:left="709" w:right="709"/>
        <w:jc w:val="both"/>
        <w:textAlignment w:val="baseline"/>
        <w:rPr>
          <w:rFonts w:ascii="Verdana" w:hAnsi="Verdana" w:cs="Arial"/>
          <w:sz w:val="20"/>
          <w:szCs w:val="20"/>
          <w:lang w:eastAsia="es-CO"/>
        </w:rPr>
      </w:pPr>
      <w:r w:rsidRPr="00364005">
        <w:rPr>
          <w:rFonts w:ascii="Verdana" w:hAnsi="Verdana" w:cs="Arial"/>
          <w:sz w:val="20"/>
          <w:szCs w:val="20"/>
          <w:lang w:eastAsia="es-CO"/>
        </w:rPr>
        <w:t xml:space="preserve">“En ese panorama y no obstante el tamaño e impacto del gasto que se ejecuta por medio de contratos, se aprecia la ausencia de instrumentos legales que permitan la optimización y el uso eficiente de los recursos públicos involucrados en la contratación. De esta forma, el proyecto que </w:t>
      </w:r>
      <w:r w:rsidRPr="00364005">
        <w:rPr>
          <w:rFonts w:ascii="Verdana" w:hAnsi="Verdana" w:cs="Arial"/>
          <w:sz w:val="20"/>
          <w:szCs w:val="20"/>
          <w:lang w:eastAsia="es-CO"/>
        </w:rPr>
        <w:lastRenderedPageBreak/>
        <w:t xml:space="preserve">se presenta busca orientar a las entidades hacia el fortalecimiento de los procesos de planeación permitiendo la estimación anticipada de las contingencias que puedan producirse en su ejecución, el diseño de procesos adecuados a la naturaleza de los diferentes objetos contractuales, la utilización de mecanismos de contratación que permitan el aprovechamiento de economías de escala, la incorporación de probados mecanismos para </w:t>
      </w:r>
      <w:r>
        <w:rPr>
          <w:rFonts w:ascii="Verdana" w:hAnsi="Verdana" w:cs="Arial"/>
          <w:sz w:val="20"/>
          <w:szCs w:val="20"/>
          <w:lang w:eastAsia="es-CO"/>
        </w:rPr>
        <w:t>‘</w:t>
      </w:r>
      <w:r w:rsidRPr="00364005">
        <w:rPr>
          <w:rFonts w:ascii="Verdana" w:hAnsi="Verdana" w:cs="Arial"/>
          <w:sz w:val="20"/>
          <w:szCs w:val="20"/>
          <w:lang w:eastAsia="es-CO"/>
        </w:rPr>
        <w:t>extraer valor</w:t>
      </w:r>
      <w:r>
        <w:rPr>
          <w:rFonts w:ascii="Verdana" w:hAnsi="Verdana" w:cs="Arial"/>
          <w:sz w:val="20"/>
          <w:szCs w:val="20"/>
          <w:lang w:eastAsia="es-CO"/>
        </w:rPr>
        <w:t>’</w:t>
      </w:r>
      <w:r w:rsidRPr="00364005">
        <w:rPr>
          <w:rFonts w:ascii="Verdana" w:hAnsi="Verdana" w:cs="Arial"/>
          <w:sz w:val="20"/>
          <w:szCs w:val="20"/>
          <w:lang w:eastAsia="es-CO"/>
        </w:rPr>
        <w:t xml:space="preserve"> el proceso contractual (subastas, compra por catálogo, uso de bolsas de productos) y el establecimiento de indicadores para evaluar la utilización eficiente de los recursos (administrativos y presupuestales) involucrados en la ejecución contractual”</w:t>
      </w:r>
      <w:r w:rsidRPr="00364005">
        <w:rPr>
          <w:rStyle w:val="Refdenotaalpie"/>
          <w:rFonts w:ascii="Verdana" w:hAnsi="Verdana" w:cs="Arial"/>
          <w:sz w:val="20"/>
          <w:szCs w:val="20"/>
          <w:lang w:eastAsia="es-CO"/>
        </w:rPr>
        <w:t xml:space="preserve"> </w:t>
      </w:r>
      <w:r w:rsidRPr="00364005">
        <w:rPr>
          <w:rStyle w:val="Refdenotaalpie"/>
          <w:rFonts w:ascii="Verdana" w:hAnsi="Verdana" w:cs="Arial"/>
          <w:sz w:val="20"/>
          <w:szCs w:val="20"/>
          <w:lang w:eastAsia="es-CO"/>
        </w:rPr>
        <w:footnoteReference w:id="2"/>
      </w:r>
      <w:r>
        <w:rPr>
          <w:rFonts w:ascii="Verdana" w:hAnsi="Verdana" w:cs="Arial"/>
          <w:sz w:val="20"/>
          <w:szCs w:val="20"/>
          <w:lang w:eastAsia="es-CO"/>
        </w:rPr>
        <w:t>.</w:t>
      </w:r>
    </w:p>
    <w:p w14:paraId="6939BE92" w14:textId="77777777" w:rsidR="00936B0C" w:rsidRPr="00233727" w:rsidRDefault="00936B0C" w:rsidP="00936B0C">
      <w:pPr>
        <w:spacing w:after="0" w:line="276" w:lineRule="auto"/>
        <w:ind w:left="709" w:right="709"/>
        <w:jc w:val="both"/>
        <w:textAlignment w:val="baseline"/>
        <w:rPr>
          <w:rFonts w:ascii="Verdana" w:hAnsi="Verdana" w:cs="Arial"/>
          <w:lang w:eastAsia="es-CO"/>
        </w:rPr>
      </w:pPr>
    </w:p>
    <w:p w14:paraId="6750E66A" w14:textId="77777777" w:rsidR="00936B0C" w:rsidRDefault="00936B0C" w:rsidP="00936B0C">
      <w:pPr>
        <w:spacing w:after="0" w:line="276" w:lineRule="auto"/>
        <w:ind w:firstLine="705"/>
        <w:jc w:val="both"/>
        <w:textAlignment w:val="baseline"/>
        <w:rPr>
          <w:rFonts w:ascii="Verdana" w:hAnsi="Verdana" w:cs="Arial"/>
          <w:lang w:val="es-ES" w:eastAsia="es-CO"/>
        </w:rPr>
      </w:pPr>
      <w:r w:rsidRPr="00364005">
        <w:rPr>
          <w:rFonts w:ascii="Verdana" w:hAnsi="Verdana" w:cs="Arial"/>
          <w:lang w:val="es-ES" w:eastAsia="es-CO"/>
        </w:rPr>
        <w:t>Como resultado de la promulgación de la Ley 1150 de 2007, en relación con los riesgos, el artículo 4 obliga a las entidades estatales a estimar, tipificar y asignar los riesgos previsibles involucrados en la contratación dentro de los pliegos de condiciones o en sus equivalentes. El mencionado artículo establece:</w:t>
      </w:r>
    </w:p>
    <w:p w14:paraId="25A4689F" w14:textId="77777777" w:rsidR="00936B0C" w:rsidRPr="00364005" w:rsidRDefault="00936B0C" w:rsidP="00936B0C">
      <w:pPr>
        <w:spacing w:after="0" w:line="276" w:lineRule="auto"/>
        <w:ind w:firstLine="705"/>
        <w:jc w:val="both"/>
        <w:textAlignment w:val="baseline"/>
        <w:rPr>
          <w:rFonts w:ascii="Verdana" w:hAnsi="Verdana" w:cs="Arial"/>
          <w:lang w:val="es-ES" w:eastAsia="es-CO"/>
        </w:rPr>
      </w:pPr>
    </w:p>
    <w:p w14:paraId="2F4E55C2" w14:textId="77777777" w:rsidR="00936B0C" w:rsidRPr="00233727" w:rsidRDefault="00936B0C" w:rsidP="00936B0C">
      <w:pPr>
        <w:pStyle w:val="NormalWeb"/>
        <w:spacing w:before="0" w:beforeAutospacing="0" w:after="120" w:afterAutospacing="0"/>
        <w:ind w:left="709" w:right="709"/>
        <w:jc w:val="both"/>
        <w:rPr>
          <w:rFonts w:ascii="Verdana" w:hAnsi="Verdana" w:cs="Arial"/>
          <w:sz w:val="20"/>
          <w:szCs w:val="20"/>
        </w:rPr>
      </w:pPr>
      <w:bookmarkStart w:id="2" w:name="4"/>
      <w:r w:rsidRPr="00233727">
        <w:rPr>
          <w:rFonts w:ascii="Verdana" w:hAnsi="Verdana" w:cs="Arial"/>
          <w:sz w:val="20"/>
          <w:szCs w:val="20"/>
        </w:rPr>
        <w:t>“Artículo 4. De la distribución de riesgos en los contratos estatales.</w:t>
      </w:r>
      <w:bookmarkEnd w:id="2"/>
      <w:r w:rsidRPr="00233727">
        <w:rPr>
          <w:rFonts w:ascii="Verdana" w:hAnsi="Verdana" w:cs="Arial"/>
          <w:sz w:val="20"/>
          <w:szCs w:val="20"/>
        </w:rPr>
        <w:t> Los pliegos de condiciones o sus equivalentes deberán incluir la estimación, tipificación y asignación de los riesgos previsibles involucrados en la contratación.</w:t>
      </w:r>
    </w:p>
    <w:p w14:paraId="6B3CBD94" w14:textId="77777777" w:rsidR="00936B0C" w:rsidRPr="00233727" w:rsidRDefault="00936B0C" w:rsidP="00936B0C">
      <w:pPr>
        <w:pStyle w:val="NormalWeb"/>
        <w:spacing w:before="0" w:beforeAutospacing="0" w:after="0" w:afterAutospacing="0"/>
        <w:ind w:left="709" w:right="709"/>
        <w:jc w:val="both"/>
        <w:rPr>
          <w:rFonts w:ascii="Verdana" w:hAnsi="Verdana" w:cs="Arial"/>
          <w:sz w:val="20"/>
          <w:szCs w:val="20"/>
        </w:rPr>
      </w:pPr>
      <w:r w:rsidRPr="00233727">
        <w:rPr>
          <w:rFonts w:ascii="Verdana" w:hAnsi="Verdana" w:cs="Arial"/>
          <w:sz w:val="20"/>
          <w:szCs w:val="20"/>
        </w:rPr>
        <w:t>En las licitaciones públicas, los pliegos de condiciones de las entidades estatales deberán señalar el momento en el que, con anterioridad a la presentación de las ofertas, los oferentes y la entidad revisarán la asignación de riesgos con el fin de establecer su distribución definitiva”.</w:t>
      </w:r>
    </w:p>
    <w:p w14:paraId="1441C942" w14:textId="77777777" w:rsidR="00936B0C" w:rsidRDefault="00936B0C" w:rsidP="00936B0C">
      <w:pPr>
        <w:spacing w:after="0" w:line="276" w:lineRule="auto"/>
        <w:ind w:firstLine="705"/>
        <w:jc w:val="both"/>
        <w:textAlignment w:val="baseline"/>
        <w:rPr>
          <w:rFonts w:ascii="Verdana" w:hAnsi="Verdana" w:cs="Arial"/>
          <w:lang w:val="es-ES" w:eastAsia="es-CO"/>
        </w:rPr>
      </w:pPr>
    </w:p>
    <w:p w14:paraId="3AD2B16F" w14:textId="77777777" w:rsidR="00936B0C" w:rsidRPr="00364005" w:rsidRDefault="00936B0C" w:rsidP="00936B0C">
      <w:pPr>
        <w:spacing w:after="0" w:line="276" w:lineRule="auto"/>
        <w:ind w:firstLine="705"/>
        <w:jc w:val="both"/>
        <w:textAlignment w:val="baseline"/>
        <w:rPr>
          <w:rFonts w:ascii="Verdana" w:hAnsi="Verdana" w:cs="Arial"/>
          <w:lang w:val="es-ES" w:eastAsia="es-CO"/>
        </w:rPr>
      </w:pPr>
      <w:r w:rsidRPr="00364005">
        <w:rPr>
          <w:rFonts w:ascii="Verdana" w:hAnsi="Verdana" w:cs="Arial"/>
          <w:lang w:val="es-ES" w:eastAsia="es-CO"/>
        </w:rPr>
        <w:t>Posteriormente, con la expedición del CONPES 3107 de 2011 se establecieron lineamientos en materia de “Política de Manejo de Riesgo Contractual del Estado para Procesos de Participación Privada en Infraestructura” para la adecuada estructuración de proyectos y la asignación de riesgos en los procesos de contratación que se desarrollen en los sectores de transporte, energía, comunicaciones y agua potable y saneamiento básico. De tal forma, estableció que en la medida que “una asignación adecuada de los riesgos minimiza el costo de su mitigación” es necesario que los riesgos sean asumidos por quién mejor los controla en la relación contractual, lo que implica que sean asignados e identificados correctamente. Así, al definir el concepto de riesgo determinó:</w:t>
      </w:r>
    </w:p>
    <w:p w14:paraId="3FEDBB9A" w14:textId="77777777" w:rsidR="00936B0C" w:rsidRPr="00364005" w:rsidRDefault="00936B0C" w:rsidP="00936B0C">
      <w:pPr>
        <w:spacing w:after="0"/>
        <w:ind w:left="705" w:right="786"/>
        <w:jc w:val="both"/>
        <w:textAlignment w:val="baseline"/>
        <w:rPr>
          <w:rFonts w:ascii="Verdana" w:hAnsi="Verdana" w:cs="Arial"/>
          <w:sz w:val="21"/>
          <w:szCs w:val="21"/>
          <w:lang w:eastAsia="es-CO"/>
        </w:rPr>
      </w:pPr>
    </w:p>
    <w:p w14:paraId="1E42D957" w14:textId="77777777" w:rsidR="00936B0C" w:rsidRPr="00233727" w:rsidRDefault="00936B0C" w:rsidP="00936B0C">
      <w:pPr>
        <w:spacing w:after="0" w:line="240" w:lineRule="auto"/>
        <w:ind w:left="705" w:right="786"/>
        <w:jc w:val="both"/>
        <w:textAlignment w:val="baseline"/>
        <w:rPr>
          <w:rFonts w:ascii="Verdana" w:hAnsi="Verdana" w:cs="Segoe UI Historic"/>
          <w:sz w:val="20"/>
          <w:szCs w:val="20"/>
          <w:lang w:eastAsia="es-CO"/>
        </w:rPr>
      </w:pPr>
      <w:r w:rsidRPr="00233727">
        <w:rPr>
          <w:rFonts w:ascii="Verdana" w:hAnsi="Verdana" w:cs="Arial"/>
          <w:sz w:val="20"/>
          <w:szCs w:val="20"/>
          <w:lang w:eastAsia="es-CO"/>
        </w:rPr>
        <w:lastRenderedPageBreak/>
        <w:t>“Los riesgos de un proyecto se refieren a los diferentes factores que pueden hacer que no se cumplan los resultados previstos y los respectivos flujos esperados. Para determinar cuáles son los riesgos asociados a un proyecto se debe identificar las principales variables que determinan estos flujos. El concepto de riesgo en proyectos de infraestructura se puede definir como la probabilidad de ocurrencia de eventos aleatorios que afecten el desarrollo del mismo, generando una variación sobre el resultado esperado, tanto en relación con los costos como con los ingresos</w:t>
      </w:r>
      <w:r w:rsidRPr="00233727">
        <w:rPr>
          <w:rFonts w:ascii="Verdana" w:hAnsi="Verdana" w:cs="Segoe UI Historic"/>
          <w:sz w:val="20"/>
          <w:szCs w:val="20"/>
          <w:lang w:eastAsia="es-CO"/>
        </w:rPr>
        <w:t>”</w:t>
      </w:r>
      <w:r>
        <w:rPr>
          <w:rFonts w:ascii="Verdana" w:hAnsi="Verdana" w:cs="Segoe UI Historic"/>
          <w:sz w:val="20"/>
          <w:szCs w:val="20"/>
          <w:lang w:eastAsia="es-CO"/>
        </w:rPr>
        <w:t>.</w:t>
      </w:r>
    </w:p>
    <w:p w14:paraId="0598A2A5" w14:textId="77777777" w:rsidR="00936B0C" w:rsidRPr="00364005" w:rsidRDefault="00936B0C" w:rsidP="00936B0C">
      <w:pPr>
        <w:spacing w:after="0"/>
        <w:ind w:left="705" w:right="786"/>
        <w:jc w:val="both"/>
        <w:textAlignment w:val="baseline"/>
        <w:rPr>
          <w:rFonts w:ascii="Verdana" w:hAnsi="Verdana" w:cs="Segoe UI Historic"/>
          <w:sz w:val="21"/>
          <w:szCs w:val="21"/>
          <w:lang w:eastAsia="es-CO"/>
        </w:rPr>
      </w:pPr>
    </w:p>
    <w:p w14:paraId="4BA444B8" w14:textId="77777777" w:rsidR="00936B0C" w:rsidRPr="00364005" w:rsidRDefault="00936B0C" w:rsidP="00936B0C">
      <w:pPr>
        <w:spacing w:after="120" w:line="276" w:lineRule="auto"/>
        <w:ind w:firstLine="703"/>
        <w:jc w:val="both"/>
        <w:textAlignment w:val="baseline"/>
        <w:rPr>
          <w:rFonts w:ascii="Verdana" w:hAnsi="Verdana" w:cs="Arial"/>
          <w:lang w:val="es-ES" w:eastAsia="es-CO"/>
        </w:rPr>
      </w:pPr>
      <w:bookmarkStart w:id="3" w:name="_Hlk108627685"/>
      <w:r w:rsidRPr="00364005">
        <w:rPr>
          <w:rFonts w:ascii="Verdana" w:hAnsi="Verdana" w:cs="Arial"/>
          <w:lang w:val="es-ES" w:eastAsia="es-CO"/>
        </w:rPr>
        <w:t>Sumado a lo anterior, el CONPES 3107 de 2011 consagra la importancia de realizar un análisis de información que permita determinar la asignación del riesgo basado en información confiable y de calidad, pues “con información de mejor calidad, la percepción de riesgo es menor y se pueden adoptar las medidas para controlar la incidencia de las fuentes de riesgo”, establecer mecanismos de mitigación del impacto y cobertura, instrumentos de protección, así como determinar su asignación a los distintos participes del negocio jurídico</w:t>
      </w:r>
      <w:bookmarkEnd w:id="3"/>
      <w:r w:rsidRPr="00364005">
        <w:rPr>
          <w:rFonts w:ascii="Verdana" w:hAnsi="Verdana" w:cs="Arial"/>
          <w:lang w:val="es-ES" w:eastAsia="es-CO"/>
        </w:rPr>
        <w:t xml:space="preserve">. </w:t>
      </w:r>
    </w:p>
    <w:p w14:paraId="77ED2A32" w14:textId="77777777" w:rsidR="00936B0C" w:rsidRPr="00364005" w:rsidRDefault="00936B0C" w:rsidP="00936B0C">
      <w:pPr>
        <w:spacing w:after="0" w:line="276" w:lineRule="auto"/>
        <w:ind w:firstLine="705"/>
        <w:jc w:val="both"/>
        <w:textAlignment w:val="baseline"/>
        <w:rPr>
          <w:rFonts w:ascii="Verdana" w:hAnsi="Verdana" w:cs="Arial"/>
          <w:lang w:val="es-ES" w:eastAsia="es-CO"/>
        </w:rPr>
      </w:pPr>
      <w:bookmarkStart w:id="4" w:name="_Hlk108627718"/>
      <w:r w:rsidRPr="00364005">
        <w:rPr>
          <w:rFonts w:ascii="Verdana" w:hAnsi="Verdana" w:cs="Arial"/>
          <w:lang w:val="es-ES" w:eastAsia="es-CO"/>
        </w:rPr>
        <w:t xml:space="preserve">En la misma línea, el CONPES 3714 de 2011, definió lineamientos para el entendimiento del concepto de “riesgo previsible” en el marco de los procesos de selección sometidos al Estatuto General de Contratación de la Administración Pública, con el fin de “convertirse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precontractual para el establecimiento de los riesgos previsibles de la contratación”. </w:t>
      </w:r>
      <w:bookmarkEnd w:id="4"/>
      <w:r w:rsidRPr="00364005">
        <w:rPr>
          <w:rFonts w:ascii="Verdana" w:hAnsi="Verdana" w:cs="Arial"/>
          <w:lang w:val="es-ES" w:eastAsia="es-CO"/>
        </w:rPr>
        <w:t xml:space="preserve">En tal sentido, dicho documento de política pública definió el riesgo y el riesgo previsible en el marco de la gestión contractual como: </w:t>
      </w:r>
    </w:p>
    <w:p w14:paraId="6078BAD2" w14:textId="77777777" w:rsidR="00936B0C" w:rsidRPr="00233727" w:rsidRDefault="00936B0C" w:rsidP="00936B0C">
      <w:pPr>
        <w:spacing w:after="0" w:line="276" w:lineRule="auto"/>
        <w:ind w:firstLine="705"/>
        <w:jc w:val="both"/>
        <w:textAlignment w:val="baseline"/>
        <w:rPr>
          <w:rFonts w:ascii="Verdana" w:hAnsi="Verdana" w:cs="Arial"/>
          <w:lang w:val="es-ES" w:eastAsia="es-CO"/>
        </w:rPr>
      </w:pPr>
    </w:p>
    <w:p w14:paraId="12A3F178" w14:textId="77777777" w:rsidR="00936B0C" w:rsidRPr="00233727" w:rsidRDefault="00936B0C" w:rsidP="00936B0C">
      <w:pPr>
        <w:spacing w:after="120" w:line="240" w:lineRule="auto"/>
        <w:ind w:left="703" w:right="646"/>
        <w:jc w:val="both"/>
        <w:textAlignment w:val="baseline"/>
        <w:rPr>
          <w:rFonts w:ascii="Verdana" w:hAnsi="Verdana" w:cs="Arial"/>
          <w:sz w:val="20"/>
          <w:szCs w:val="20"/>
          <w:lang w:eastAsia="es-CO"/>
        </w:rPr>
      </w:pPr>
      <w:r w:rsidRPr="00233727">
        <w:rPr>
          <w:rFonts w:ascii="Verdana" w:hAnsi="Verdana" w:cs="Arial"/>
          <w:sz w:val="20"/>
          <w:szCs w:val="20"/>
          <w:lang w:eastAsia="es-CO"/>
        </w:rPr>
        <w:t>“El riesgo contractual en general es entendido como todas aquellas circunstancias que pueden presentarse durante el desarrollo o ejecución de un contrato y que pueden alterar el equilibrio financiero del mismo y ha tenido una regulación desde cinco ópticas, asociadas con el proceso de gestión que se requiere en cada caso. […]</w:t>
      </w:r>
    </w:p>
    <w:p w14:paraId="367340A4" w14:textId="77777777" w:rsidR="00936B0C" w:rsidRPr="00233727" w:rsidRDefault="00936B0C" w:rsidP="00936B0C">
      <w:pPr>
        <w:spacing w:after="0" w:line="240" w:lineRule="auto"/>
        <w:ind w:left="705" w:right="644"/>
        <w:jc w:val="both"/>
        <w:textAlignment w:val="baseline"/>
        <w:rPr>
          <w:rFonts w:ascii="Verdana" w:hAnsi="Verdana" w:cs="Arial"/>
          <w:sz w:val="20"/>
          <w:szCs w:val="20"/>
          <w:lang w:eastAsia="es-CO"/>
        </w:rPr>
      </w:pPr>
      <w:r w:rsidRPr="00233727">
        <w:rPr>
          <w:rFonts w:ascii="Verdana" w:hAnsi="Verdana" w:cs="Arial"/>
          <w:sz w:val="20"/>
          <w:szCs w:val="20"/>
          <w:lang w:eastAsia="es-CO"/>
        </w:rPr>
        <w:t xml:space="preserve">Así, los </w:t>
      </w:r>
      <w:r>
        <w:rPr>
          <w:rFonts w:ascii="Verdana" w:hAnsi="Verdana" w:cs="Arial"/>
          <w:sz w:val="20"/>
          <w:szCs w:val="20"/>
          <w:lang w:eastAsia="es-CO"/>
        </w:rPr>
        <w:t>‘</w:t>
      </w:r>
      <w:r w:rsidRPr="00233727">
        <w:rPr>
          <w:rFonts w:ascii="Verdana" w:hAnsi="Verdana" w:cs="Arial"/>
          <w:sz w:val="20"/>
          <w:szCs w:val="20"/>
          <w:lang w:eastAsia="es-CO"/>
        </w:rPr>
        <w:t>riesgos previsibles</w:t>
      </w:r>
      <w:r>
        <w:rPr>
          <w:rFonts w:ascii="Verdana" w:hAnsi="Verdana" w:cs="Arial"/>
          <w:sz w:val="20"/>
          <w:szCs w:val="20"/>
          <w:lang w:eastAsia="es-CO"/>
        </w:rPr>
        <w:t>’</w:t>
      </w:r>
      <w:r w:rsidRPr="00233727">
        <w:rPr>
          <w:rFonts w:ascii="Verdana" w:hAnsi="Verdana" w:cs="Arial"/>
          <w:sz w:val="20"/>
          <w:szCs w:val="20"/>
          <w:lang w:eastAsia="es-CO"/>
        </w:rPr>
        <w:t>, son todas aquellas circunstancias que de presentarse durante el desarrollo y ejecución del contrato, tienen la potencialidad de alterar el equilibrio financiero del mismo, siempre que sean identificables y cuantificables en condiciones normales”</w:t>
      </w:r>
      <w:r>
        <w:rPr>
          <w:rFonts w:ascii="Verdana" w:hAnsi="Verdana" w:cs="Arial"/>
          <w:sz w:val="20"/>
          <w:szCs w:val="20"/>
          <w:lang w:eastAsia="es-CO"/>
        </w:rPr>
        <w:t>.</w:t>
      </w:r>
    </w:p>
    <w:p w14:paraId="7E83A852" w14:textId="77777777" w:rsidR="00936B0C" w:rsidRPr="00233727" w:rsidRDefault="00936B0C" w:rsidP="00936B0C">
      <w:pPr>
        <w:spacing w:after="0" w:line="276" w:lineRule="auto"/>
        <w:ind w:left="705" w:right="644"/>
        <w:jc w:val="both"/>
        <w:textAlignment w:val="baseline"/>
        <w:rPr>
          <w:rFonts w:ascii="Verdana" w:hAnsi="Verdana" w:cs="Arial"/>
          <w:lang w:eastAsia="es-CO"/>
        </w:rPr>
      </w:pPr>
    </w:p>
    <w:p w14:paraId="1BDD3C57" w14:textId="77777777" w:rsidR="00936B0C" w:rsidRPr="00364005" w:rsidRDefault="00936B0C" w:rsidP="00936B0C">
      <w:pPr>
        <w:spacing w:after="0"/>
        <w:ind w:firstLine="705"/>
        <w:jc w:val="both"/>
        <w:textAlignment w:val="baseline"/>
        <w:rPr>
          <w:rFonts w:ascii="Verdana" w:hAnsi="Verdana" w:cs="Arial"/>
          <w:lang w:val="es-ES" w:eastAsia="es-CO"/>
        </w:rPr>
      </w:pPr>
      <w:r w:rsidRPr="00364005">
        <w:rPr>
          <w:rFonts w:ascii="Verdana" w:hAnsi="Verdana" w:cs="Arial"/>
          <w:lang w:val="es-ES" w:eastAsia="es-CO"/>
        </w:rPr>
        <w:lastRenderedPageBreak/>
        <w:t>Por su parte, el Decreto 1082 de 2015 reiteró, en los siguientes términos, la obligación que tienen las entidades estatales de tipificar, estimar y asignar los riesgos previsibles que surjan durante la ejecución contractual dentro del pliego de condiciones</w:t>
      </w:r>
      <w:r w:rsidRPr="00364005">
        <w:rPr>
          <w:rStyle w:val="Refdenotaalpie"/>
          <w:rFonts w:ascii="Verdana" w:hAnsi="Verdana" w:cs="Arial"/>
          <w:lang w:val="es-ES" w:eastAsia="es-CO"/>
        </w:rPr>
        <w:footnoteReference w:id="3"/>
      </w:r>
      <w:r w:rsidRPr="00364005">
        <w:rPr>
          <w:rFonts w:ascii="Verdana" w:hAnsi="Verdana" w:cs="Arial"/>
          <w:lang w:val="es-ES" w:eastAsia="es-CO"/>
        </w:rPr>
        <w:t>:</w:t>
      </w:r>
    </w:p>
    <w:p w14:paraId="11609453" w14:textId="77777777" w:rsidR="00936B0C" w:rsidRPr="00364005" w:rsidRDefault="00936B0C" w:rsidP="00936B0C">
      <w:pPr>
        <w:spacing w:after="0"/>
        <w:ind w:firstLine="705"/>
        <w:jc w:val="both"/>
        <w:textAlignment w:val="baseline"/>
        <w:rPr>
          <w:rFonts w:ascii="Verdana" w:hAnsi="Verdana" w:cs="Arial"/>
          <w:lang w:val="es-ES" w:eastAsia="es-CO"/>
        </w:rPr>
      </w:pPr>
    </w:p>
    <w:p w14:paraId="4126E8E7" w14:textId="77777777" w:rsidR="00936B0C" w:rsidRPr="006A03FC" w:rsidRDefault="00936B0C" w:rsidP="00936B0C">
      <w:pPr>
        <w:spacing w:after="0" w:line="240" w:lineRule="auto"/>
        <w:ind w:left="709" w:right="709"/>
        <w:jc w:val="both"/>
        <w:textAlignment w:val="baseline"/>
        <w:rPr>
          <w:rFonts w:ascii="Verdana" w:hAnsi="Verdana" w:cs="Arial"/>
          <w:sz w:val="20"/>
          <w:szCs w:val="20"/>
          <w:lang w:eastAsia="es-CO"/>
        </w:rPr>
      </w:pPr>
      <w:r w:rsidRPr="006A03FC">
        <w:rPr>
          <w:rFonts w:ascii="Verdana" w:hAnsi="Verdana" w:cs="Arial"/>
          <w:sz w:val="20"/>
          <w:szCs w:val="20"/>
          <w:lang w:eastAsia="es-CO"/>
        </w:rPr>
        <w:t>“Artículo 2.2.1.1.2.1.3. Pliegos de condiciones. Los pliegos de condiciones deben contener por lo menos la siguiente información: </w:t>
      </w:r>
    </w:p>
    <w:p w14:paraId="0CC1BAF7" w14:textId="77777777" w:rsidR="00936B0C" w:rsidRPr="006A03FC" w:rsidRDefault="00936B0C" w:rsidP="00936B0C">
      <w:pPr>
        <w:spacing w:after="120" w:line="240" w:lineRule="auto"/>
        <w:ind w:left="709" w:right="709"/>
        <w:jc w:val="both"/>
        <w:textAlignment w:val="baseline"/>
        <w:rPr>
          <w:rFonts w:ascii="Verdana" w:hAnsi="Verdana" w:cs="Arial"/>
          <w:sz w:val="20"/>
          <w:szCs w:val="20"/>
          <w:lang w:eastAsia="es-CO"/>
        </w:rPr>
      </w:pPr>
      <w:r>
        <w:rPr>
          <w:rFonts w:ascii="Verdana" w:hAnsi="Verdana" w:cs="Arial"/>
          <w:sz w:val="20"/>
          <w:szCs w:val="20"/>
          <w:lang w:eastAsia="es-CO"/>
        </w:rPr>
        <w:t>[</w:t>
      </w:r>
      <w:r w:rsidRPr="006A03FC">
        <w:rPr>
          <w:rFonts w:ascii="Verdana" w:hAnsi="Verdana" w:cs="Arial"/>
          <w:sz w:val="20"/>
          <w:szCs w:val="20"/>
          <w:lang w:eastAsia="es-CO"/>
        </w:rPr>
        <w:t>…</w:t>
      </w:r>
      <w:r>
        <w:rPr>
          <w:rFonts w:ascii="Verdana" w:hAnsi="Verdana" w:cs="Arial"/>
          <w:sz w:val="20"/>
          <w:szCs w:val="20"/>
          <w:lang w:eastAsia="es-CO"/>
        </w:rPr>
        <w:t>]</w:t>
      </w:r>
      <w:r w:rsidRPr="006A03FC">
        <w:rPr>
          <w:rFonts w:ascii="Verdana" w:hAnsi="Verdana" w:cs="Arial"/>
          <w:sz w:val="20"/>
          <w:szCs w:val="20"/>
          <w:lang w:eastAsia="es-CO"/>
        </w:rPr>
        <w:t> </w:t>
      </w:r>
    </w:p>
    <w:p w14:paraId="7F2E4F6C" w14:textId="77777777" w:rsidR="00936B0C" w:rsidRPr="006A03FC" w:rsidRDefault="00936B0C" w:rsidP="00936B0C">
      <w:pPr>
        <w:spacing w:after="0" w:line="240" w:lineRule="auto"/>
        <w:ind w:left="709" w:right="709"/>
        <w:jc w:val="both"/>
        <w:textAlignment w:val="baseline"/>
        <w:rPr>
          <w:rFonts w:ascii="Verdana" w:hAnsi="Verdana" w:cs="Arial"/>
          <w:sz w:val="20"/>
          <w:szCs w:val="20"/>
          <w:lang w:eastAsia="es-CO"/>
        </w:rPr>
      </w:pPr>
      <w:r w:rsidRPr="006A03FC">
        <w:rPr>
          <w:rFonts w:ascii="Verdana" w:hAnsi="Verdana" w:cs="Arial"/>
          <w:sz w:val="20"/>
          <w:szCs w:val="20"/>
          <w:lang w:eastAsia="es-CO"/>
        </w:rPr>
        <w:t>8. Los Riesgos asociados al contrato, la forma de mitigarlos y la asignación del Riesgo entre las partes contratantes”</w:t>
      </w:r>
      <w:r>
        <w:rPr>
          <w:rFonts w:ascii="Verdana" w:hAnsi="Verdana" w:cs="Arial"/>
          <w:sz w:val="20"/>
          <w:szCs w:val="20"/>
          <w:lang w:eastAsia="es-CO"/>
        </w:rPr>
        <w:t>.</w:t>
      </w:r>
    </w:p>
    <w:p w14:paraId="2EA9DD31" w14:textId="77777777" w:rsidR="00936B0C" w:rsidRPr="00364005" w:rsidRDefault="00936B0C" w:rsidP="00936B0C">
      <w:pPr>
        <w:spacing w:after="0"/>
        <w:ind w:left="709" w:right="709"/>
        <w:jc w:val="both"/>
        <w:textAlignment w:val="baseline"/>
        <w:rPr>
          <w:rFonts w:ascii="Verdana" w:hAnsi="Verdana" w:cs="Arial"/>
          <w:sz w:val="21"/>
          <w:szCs w:val="21"/>
          <w:lang w:eastAsia="es-CO"/>
        </w:rPr>
      </w:pPr>
      <w:r w:rsidRPr="00364005">
        <w:rPr>
          <w:rFonts w:ascii="Verdana" w:hAnsi="Verdana"/>
          <w:lang w:eastAsia="es-CO"/>
        </w:rPr>
        <w:t> </w:t>
      </w:r>
    </w:p>
    <w:p w14:paraId="45977D7D" w14:textId="77777777" w:rsidR="00936B0C" w:rsidRPr="00364005" w:rsidRDefault="00936B0C" w:rsidP="00936B0C">
      <w:pPr>
        <w:spacing w:line="276" w:lineRule="auto"/>
        <w:ind w:firstLine="705"/>
        <w:jc w:val="both"/>
        <w:textAlignment w:val="baseline"/>
        <w:rPr>
          <w:rFonts w:ascii="Verdana" w:hAnsi="Verdana" w:cs="Arial"/>
          <w:lang w:val="es-ES" w:eastAsia="es-CO"/>
        </w:rPr>
      </w:pPr>
      <w:r w:rsidRPr="00364005">
        <w:rPr>
          <w:rFonts w:ascii="Verdana" w:hAnsi="Verdana" w:cs="Arial"/>
          <w:lang w:val="es-ES" w:eastAsia="es-CO"/>
        </w:rPr>
        <w:t>En suma, desde la Ley 1150 de 2007 y conforme los decretos reglamentarios de la contratación estatal, se establecieron obligaciones de estimación de riesgos durante la etapa de planeación. Por un lado, por parte de las entidades estatales quienes deben tipificarlos, estimarlos y asignarlos en los pliegos de condiciones, y por otro, los participantes del proceso de selección quienes deberán valorarlos y complementarlos en virtud del deber de colaboración con la administración pública en la construcción de los documentos definitivos, dada su experticia, especialidad y conocimientos. En tal sentido, ellos podrán pronunciarse frente a este contenido de los pliegos de condiciones mediante la presentación de observaciones a los proyectos de pliegos de condiciones y a los pliegos de condiciones definitivos, sin perjuicio de que en los procesos de licitación pública sea obligatoria realizar una audiencia de asignación de riesgos –art. 4 de la Ley 1150 de 2007, artículo 30, numeral 4, de la Ley 80 de 1993 y artículo 2.2.1.2.1.1.2. del Decreto 1082 de 2015–.</w:t>
      </w:r>
    </w:p>
    <w:p w14:paraId="5FB5F255" w14:textId="77777777" w:rsidR="00936B0C" w:rsidRPr="00364005" w:rsidRDefault="00936B0C" w:rsidP="00936B0C">
      <w:pPr>
        <w:spacing w:after="0" w:line="276" w:lineRule="auto"/>
        <w:ind w:firstLine="705"/>
        <w:jc w:val="both"/>
        <w:textAlignment w:val="baseline"/>
        <w:rPr>
          <w:rFonts w:ascii="Verdana" w:hAnsi="Verdana" w:cs="Arial"/>
          <w:lang w:val="es-ES" w:eastAsia="es-CO"/>
        </w:rPr>
      </w:pPr>
      <w:r w:rsidRPr="00364005">
        <w:rPr>
          <w:rFonts w:ascii="Verdana" w:hAnsi="Verdana" w:cs="Arial"/>
          <w:lang w:val="es-ES"/>
        </w:rPr>
        <w:t>La Agencia Nacional de Contratación Pública – Colombia Compra Eficiente expidió el “Manual para la identificación y cobertura del Riesgo en los Procesos de Contratación”</w:t>
      </w:r>
      <w:r w:rsidRPr="00364005">
        <w:rPr>
          <w:rStyle w:val="Refdenotaalpie"/>
          <w:rFonts w:ascii="Verdana" w:hAnsi="Verdana" w:cs="Arial"/>
          <w:lang w:val="es-ES"/>
        </w:rPr>
        <w:footnoteReference w:id="4"/>
      </w:r>
      <w:r w:rsidRPr="00364005">
        <w:rPr>
          <w:rFonts w:ascii="Verdana" w:hAnsi="Verdana" w:cs="Arial"/>
          <w:lang w:val="es-ES"/>
        </w:rPr>
        <w:t xml:space="preserve">, y </w:t>
      </w:r>
      <w:r w:rsidRPr="00364005">
        <w:rPr>
          <w:rFonts w:ascii="Verdana" w:hAnsi="Verdana" w:cs="Arial"/>
          <w:lang w:val="es-ES" w:eastAsia="es-CO"/>
        </w:rPr>
        <w:t xml:space="preserve">establece que, para administrar los riesgos en los procesos de contratación del Estado, deben seguirse los siguientes pasos, los cuales coinciden con la organización y/o estructuración del manual en comento: </w:t>
      </w:r>
    </w:p>
    <w:p w14:paraId="621EA37C" w14:textId="77777777" w:rsidR="00936B0C" w:rsidRPr="00364005" w:rsidRDefault="00936B0C" w:rsidP="00936B0C">
      <w:pPr>
        <w:spacing w:after="0" w:line="276" w:lineRule="auto"/>
        <w:ind w:firstLine="705"/>
        <w:jc w:val="both"/>
        <w:textAlignment w:val="baseline"/>
        <w:rPr>
          <w:rFonts w:ascii="Verdana" w:hAnsi="Verdana" w:cs="Arial"/>
          <w:lang w:val="es-ES" w:eastAsia="es-CO"/>
        </w:rPr>
      </w:pPr>
    </w:p>
    <w:p w14:paraId="4C72A882" w14:textId="77777777" w:rsidR="00936B0C" w:rsidRPr="006A03FC" w:rsidRDefault="00936B0C" w:rsidP="00936B0C">
      <w:pPr>
        <w:pStyle w:val="Prrafodelista"/>
        <w:numPr>
          <w:ilvl w:val="0"/>
          <w:numId w:val="18"/>
        </w:numPr>
        <w:spacing w:after="0" w:line="240" w:lineRule="auto"/>
        <w:ind w:left="1134" w:right="709" w:hanging="425"/>
        <w:jc w:val="both"/>
        <w:textAlignment w:val="baseline"/>
        <w:rPr>
          <w:rFonts w:ascii="Verdana" w:hAnsi="Verdana" w:cs="Arial"/>
          <w:sz w:val="20"/>
          <w:szCs w:val="20"/>
          <w:lang w:eastAsia="es-CO"/>
        </w:rPr>
      </w:pPr>
      <w:r w:rsidRPr="006A03FC">
        <w:rPr>
          <w:rFonts w:ascii="Verdana" w:hAnsi="Verdana" w:cs="Arial"/>
          <w:sz w:val="20"/>
          <w:szCs w:val="20"/>
          <w:lang w:eastAsia="es-CO"/>
        </w:rPr>
        <w:t>Establecer el contexto en el cual se adelanta el Proceso de Contratación.  </w:t>
      </w:r>
    </w:p>
    <w:p w14:paraId="65B7629C" w14:textId="77777777" w:rsidR="00936B0C" w:rsidRPr="006A03FC" w:rsidRDefault="00936B0C" w:rsidP="00936B0C">
      <w:pPr>
        <w:pStyle w:val="Prrafodelista"/>
        <w:numPr>
          <w:ilvl w:val="0"/>
          <w:numId w:val="18"/>
        </w:numPr>
        <w:spacing w:after="0" w:line="240" w:lineRule="auto"/>
        <w:ind w:left="1134" w:right="709" w:hanging="425"/>
        <w:jc w:val="both"/>
        <w:textAlignment w:val="baseline"/>
        <w:rPr>
          <w:rFonts w:ascii="Verdana" w:hAnsi="Verdana" w:cs="Arial"/>
          <w:sz w:val="20"/>
          <w:szCs w:val="20"/>
          <w:lang w:eastAsia="es-CO"/>
        </w:rPr>
      </w:pPr>
      <w:r w:rsidRPr="006A03FC">
        <w:rPr>
          <w:rFonts w:ascii="Verdana" w:hAnsi="Verdana" w:cs="Arial"/>
          <w:sz w:val="20"/>
          <w:szCs w:val="20"/>
          <w:lang w:eastAsia="es-CO"/>
        </w:rPr>
        <w:t>Identificar y clasificar los Riesgos del Proceso de Contratación.  </w:t>
      </w:r>
    </w:p>
    <w:p w14:paraId="474EDD47" w14:textId="77777777" w:rsidR="00936B0C" w:rsidRPr="006A03FC" w:rsidRDefault="00936B0C" w:rsidP="00936B0C">
      <w:pPr>
        <w:pStyle w:val="Prrafodelista"/>
        <w:numPr>
          <w:ilvl w:val="0"/>
          <w:numId w:val="18"/>
        </w:numPr>
        <w:spacing w:after="0" w:line="240" w:lineRule="auto"/>
        <w:ind w:left="1134" w:right="709" w:hanging="425"/>
        <w:jc w:val="both"/>
        <w:textAlignment w:val="baseline"/>
        <w:rPr>
          <w:rFonts w:ascii="Verdana" w:hAnsi="Verdana" w:cs="Arial"/>
          <w:sz w:val="20"/>
          <w:szCs w:val="20"/>
          <w:lang w:eastAsia="es-CO"/>
        </w:rPr>
      </w:pPr>
      <w:r w:rsidRPr="006A03FC">
        <w:rPr>
          <w:rFonts w:ascii="Verdana" w:hAnsi="Verdana" w:cs="Arial"/>
          <w:sz w:val="20"/>
          <w:szCs w:val="20"/>
          <w:lang w:eastAsia="es-CO"/>
        </w:rPr>
        <w:t>Evaluar, calificar y estimar los riesgos  </w:t>
      </w:r>
    </w:p>
    <w:p w14:paraId="378BC822" w14:textId="77777777" w:rsidR="00936B0C" w:rsidRPr="006A03FC" w:rsidRDefault="00936B0C" w:rsidP="00936B0C">
      <w:pPr>
        <w:pStyle w:val="Prrafodelista"/>
        <w:numPr>
          <w:ilvl w:val="0"/>
          <w:numId w:val="18"/>
        </w:numPr>
        <w:spacing w:after="0" w:line="240" w:lineRule="auto"/>
        <w:ind w:left="1134" w:right="709" w:hanging="425"/>
        <w:jc w:val="both"/>
        <w:textAlignment w:val="baseline"/>
        <w:rPr>
          <w:rFonts w:ascii="Verdana" w:hAnsi="Verdana" w:cs="Arial"/>
          <w:sz w:val="20"/>
          <w:szCs w:val="20"/>
          <w:lang w:eastAsia="es-CO"/>
        </w:rPr>
      </w:pPr>
      <w:r w:rsidRPr="006A03FC">
        <w:rPr>
          <w:rFonts w:ascii="Verdana" w:hAnsi="Verdana" w:cs="Arial"/>
          <w:sz w:val="20"/>
          <w:szCs w:val="20"/>
          <w:lang w:eastAsia="es-CO"/>
        </w:rPr>
        <w:t>Asignar y tratar los Riesgos.  </w:t>
      </w:r>
    </w:p>
    <w:p w14:paraId="088983F1" w14:textId="77777777" w:rsidR="00936B0C" w:rsidRPr="006A03FC" w:rsidRDefault="00936B0C" w:rsidP="00936B0C">
      <w:pPr>
        <w:pStyle w:val="Prrafodelista"/>
        <w:numPr>
          <w:ilvl w:val="0"/>
          <w:numId w:val="18"/>
        </w:numPr>
        <w:spacing w:after="0" w:line="240" w:lineRule="auto"/>
        <w:ind w:left="1134" w:right="709" w:hanging="425"/>
        <w:jc w:val="both"/>
        <w:textAlignment w:val="baseline"/>
        <w:rPr>
          <w:rFonts w:ascii="Verdana" w:hAnsi="Verdana" w:cs="Arial"/>
          <w:sz w:val="20"/>
          <w:szCs w:val="20"/>
          <w:lang w:eastAsia="es-CO"/>
        </w:rPr>
      </w:pPr>
      <w:r w:rsidRPr="006A03FC">
        <w:rPr>
          <w:rFonts w:ascii="Verdana" w:hAnsi="Verdana" w:cs="Arial"/>
          <w:sz w:val="20"/>
          <w:szCs w:val="20"/>
          <w:lang w:eastAsia="es-CO"/>
        </w:rPr>
        <w:t>Monitorear y revisar la gestión de los Riesgos. </w:t>
      </w:r>
    </w:p>
    <w:p w14:paraId="1E9761E3" w14:textId="77777777" w:rsidR="00936B0C" w:rsidRPr="00364005" w:rsidRDefault="00936B0C" w:rsidP="00936B0C">
      <w:pPr>
        <w:pStyle w:val="Prrafodelista"/>
        <w:spacing w:after="0" w:line="276" w:lineRule="auto"/>
        <w:ind w:left="1065"/>
        <w:jc w:val="both"/>
        <w:textAlignment w:val="baseline"/>
        <w:rPr>
          <w:rFonts w:ascii="Verdana" w:hAnsi="Verdana" w:cs="Arial"/>
          <w:lang w:eastAsia="es-CO"/>
        </w:rPr>
      </w:pPr>
    </w:p>
    <w:p w14:paraId="3092F0D2" w14:textId="77777777" w:rsidR="00936B0C" w:rsidRPr="00364005" w:rsidRDefault="00936B0C" w:rsidP="00936B0C">
      <w:pPr>
        <w:spacing w:after="120" w:line="276" w:lineRule="auto"/>
        <w:ind w:firstLine="705"/>
        <w:jc w:val="both"/>
        <w:textAlignment w:val="baseline"/>
        <w:rPr>
          <w:rFonts w:ascii="Verdana" w:hAnsi="Verdana" w:cs="Arial"/>
          <w:lang w:val="es-ES" w:eastAsia="es-CO"/>
        </w:rPr>
      </w:pPr>
      <w:r w:rsidRPr="00364005">
        <w:rPr>
          <w:rFonts w:ascii="Verdana" w:hAnsi="Verdana" w:cs="Arial"/>
          <w:lang w:val="es-ES" w:eastAsia="es-CO"/>
        </w:rPr>
        <w:t>Así las cosas, para establecer el contexto del Proceso de Contratación, se debe tener en cuenta el objeto, las experiencias pasadas, las condiciones sociales y económicas, el sector, entre otras. Posteriormente se deben identificar y clasificar los riesgos comúnmente asociados y los propios del proceso de contratación. Una vez identificados los riesgos, se recomienda establecer acciones o actividades específicas para responder a cada uno ellos, para lo cual, se sugiere en el Manual, “preparar un plan de tratamiento para documentar cómo se enfrenta cada uno de los Riesgos (ver matriz), incluyendo acciones, cronogramas, recursos (personal, información) y presupuesto, responsabilidades, necesidades de informes y reportes y de monitoreo”. Por último, cuando el manual establece que las entidades estatales deben realizar un monitoreo constante en la medida que los riesgos no son estáticos, hace referencia a que deben monitorear y hacer seguimiento el plan de tratamiento con el fin de identificar los posibles impactos generados por cambios en las circunstancias internas y externas</w:t>
      </w:r>
      <w:r w:rsidRPr="00364005">
        <w:rPr>
          <w:rStyle w:val="Refdenotaalpie"/>
          <w:rFonts w:ascii="Verdana" w:hAnsi="Verdana" w:cs="Arial"/>
          <w:lang w:val="es-ES" w:eastAsia="es-CO"/>
        </w:rPr>
        <w:footnoteReference w:id="5"/>
      </w:r>
      <w:r w:rsidRPr="00364005">
        <w:rPr>
          <w:rFonts w:ascii="Verdana" w:hAnsi="Verdana" w:cs="Arial"/>
          <w:lang w:val="es-ES" w:eastAsia="es-CO"/>
        </w:rPr>
        <w:t>.</w:t>
      </w:r>
    </w:p>
    <w:p w14:paraId="102D7A57" w14:textId="77777777" w:rsidR="00936B0C" w:rsidRDefault="00936B0C" w:rsidP="00936B0C">
      <w:pPr>
        <w:spacing w:after="0" w:line="276" w:lineRule="auto"/>
        <w:ind w:firstLine="705"/>
        <w:jc w:val="both"/>
        <w:textAlignment w:val="baseline"/>
        <w:rPr>
          <w:rFonts w:ascii="Verdana" w:hAnsi="Verdana" w:cs="Arial"/>
          <w:lang w:val="es-ES" w:eastAsia="es-CO"/>
        </w:rPr>
      </w:pPr>
      <w:r w:rsidRPr="00364005">
        <w:rPr>
          <w:rFonts w:ascii="Verdana" w:hAnsi="Verdana" w:cs="Arial"/>
          <w:lang w:val="es-ES" w:eastAsia="es-CO"/>
        </w:rPr>
        <w:t xml:space="preserve">En dicho manual, la Agencia de Contratación </w:t>
      </w:r>
      <w:r w:rsidRPr="00364005">
        <w:rPr>
          <w:rFonts w:ascii="Verdana" w:hAnsi="Verdana" w:cs="Arial"/>
          <w:lang w:val="es-ES"/>
        </w:rPr>
        <w:t xml:space="preserve">Pública – Colombia Compra Eficiente, recomendó a las entidades incluir una matriz de riesgos en los que se incluya todos los riesgos identificados en el proceso contractual y con ello reducir la </w:t>
      </w:r>
      <w:r w:rsidRPr="00364005">
        <w:rPr>
          <w:rFonts w:ascii="Verdana" w:hAnsi="Verdana" w:cs="Arial"/>
          <w:lang w:val="es-ES" w:eastAsia="es-CO"/>
        </w:rPr>
        <w:t>exposición del proceso de contratación frente a los diferentes riesgos que se puedan presentar, por ejemplo, la identificación de:</w:t>
      </w:r>
    </w:p>
    <w:p w14:paraId="3BBB0B1C" w14:textId="77777777" w:rsidR="00936B0C" w:rsidRPr="006A03FC" w:rsidRDefault="00936B0C" w:rsidP="00936B0C">
      <w:pPr>
        <w:spacing w:after="0" w:line="276" w:lineRule="auto"/>
        <w:ind w:firstLine="705"/>
        <w:jc w:val="both"/>
        <w:textAlignment w:val="baseline"/>
        <w:rPr>
          <w:rFonts w:ascii="Verdana" w:hAnsi="Verdana" w:cs="Arial"/>
          <w:lang w:val="es-ES" w:eastAsia="es-CO"/>
        </w:rPr>
      </w:pPr>
    </w:p>
    <w:p w14:paraId="11A61128" w14:textId="77777777" w:rsidR="00936B0C" w:rsidRPr="00364005" w:rsidRDefault="00936B0C" w:rsidP="00936B0C">
      <w:pPr>
        <w:autoSpaceDE w:val="0"/>
        <w:autoSpaceDN w:val="0"/>
        <w:adjustRightInd w:val="0"/>
        <w:spacing w:after="0"/>
        <w:ind w:left="709" w:right="709"/>
        <w:jc w:val="both"/>
        <w:rPr>
          <w:rFonts w:ascii="Verdana" w:hAnsi="Verdana" w:cs="Arial"/>
          <w:sz w:val="21"/>
          <w:szCs w:val="21"/>
        </w:rPr>
      </w:pPr>
      <w:r w:rsidRPr="00364005">
        <w:rPr>
          <w:rFonts w:ascii="Verdana" w:hAnsi="Verdana" w:cs="Arial"/>
          <w:sz w:val="21"/>
          <w:szCs w:val="21"/>
        </w:rPr>
        <w:t xml:space="preserve">“(a) los eventos que impidan la adjudicación y firma del contrato como resultado del Proceso de Contratación; (b) los eventos que alteren la ejecución del contrato; (c) el equilibrio económico del contrato; (d) la eficacia del Proceso de Contratación, es decir, que la Entidad Estatal </w:t>
      </w:r>
      <w:r w:rsidRPr="00364005">
        <w:rPr>
          <w:rFonts w:ascii="Verdana" w:hAnsi="Verdana" w:cs="Arial"/>
          <w:sz w:val="21"/>
          <w:szCs w:val="21"/>
        </w:rPr>
        <w:lastRenderedPageBreak/>
        <w:t>pueda satisfacer la necesidad que motivó el Proceso de Contratación; y (e) la reputación y legitimidad de la Entidad Estatal encargada de prestar el bien o servicio</w:t>
      </w:r>
      <w:r w:rsidRPr="00364005">
        <w:rPr>
          <w:rStyle w:val="Refdenotaalpie"/>
          <w:rFonts w:ascii="Verdana" w:hAnsi="Verdana" w:cs="Arial"/>
          <w:sz w:val="21"/>
          <w:szCs w:val="21"/>
        </w:rPr>
        <w:footnoteReference w:id="6"/>
      </w:r>
      <w:r w:rsidRPr="00364005">
        <w:rPr>
          <w:rFonts w:ascii="Verdana" w:hAnsi="Verdana" w:cs="Arial"/>
          <w:sz w:val="21"/>
          <w:szCs w:val="21"/>
        </w:rPr>
        <w:t>”</w:t>
      </w:r>
      <w:r>
        <w:rPr>
          <w:rFonts w:ascii="Verdana" w:hAnsi="Verdana" w:cs="Arial"/>
          <w:sz w:val="21"/>
          <w:szCs w:val="21"/>
        </w:rPr>
        <w:t>.</w:t>
      </w:r>
    </w:p>
    <w:p w14:paraId="2AECF929" w14:textId="77777777" w:rsidR="00936B0C" w:rsidRPr="006A03FC" w:rsidRDefault="00936B0C" w:rsidP="00936B0C">
      <w:pPr>
        <w:autoSpaceDE w:val="0"/>
        <w:autoSpaceDN w:val="0"/>
        <w:adjustRightInd w:val="0"/>
        <w:spacing w:after="0" w:line="276" w:lineRule="auto"/>
        <w:ind w:left="705"/>
        <w:jc w:val="both"/>
        <w:rPr>
          <w:rFonts w:ascii="Verdana" w:hAnsi="Verdana" w:cs="Arial"/>
        </w:rPr>
      </w:pPr>
    </w:p>
    <w:p w14:paraId="601F5443" w14:textId="77777777" w:rsidR="00936B0C" w:rsidRPr="00364005" w:rsidRDefault="00936B0C" w:rsidP="00936B0C">
      <w:pPr>
        <w:spacing w:after="120" w:line="276" w:lineRule="auto"/>
        <w:jc w:val="both"/>
        <w:textAlignment w:val="baseline"/>
        <w:rPr>
          <w:rFonts w:ascii="Verdana" w:hAnsi="Verdana" w:cs="Arial"/>
        </w:rPr>
      </w:pPr>
      <w:r w:rsidRPr="00364005">
        <w:rPr>
          <w:rFonts w:ascii="Verdana" w:hAnsi="Verdana" w:cs="Arial"/>
          <w:lang w:val="es-ES" w:eastAsia="es-CO"/>
        </w:rPr>
        <w:tab/>
        <w:t xml:space="preserve">Finalmente, una adecuada administración de riesgos permite: </w:t>
      </w:r>
      <w:r w:rsidRPr="00364005">
        <w:rPr>
          <w:rFonts w:ascii="Verdana" w:hAnsi="Verdana" w:cs="Arial"/>
        </w:rPr>
        <w:t>“</w:t>
      </w:r>
      <w:r w:rsidRPr="00364005">
        <w:rPr>
          <w:rFonts w:ascii="Verdana" w:hAnsi="Verdana" w:cs="Arial"/>
          <w:lang w:eastAsia="es-CO"/>
        </w:rPr>
        <w:t>(i) proporcionar un mayor nivel de certeza y conocimiento para la toma de decisiones relacionadas con el Proceso de Contratación; (</w:t>
      </w:r>
      <w:proofErr w:type="spellStart"/>
      <w:r w:rsidRPr="00364005">
        <w:rPr>
          <w:rFonts w:ascii="Verdana" w:hAnsi="Verdana" w:cs="Arial"/>
          <w:lang w:eastAsia="es-CO"/>
        </w:rPr>
        <w:t>ii</w:t>
      </w:r>
      <w:proofErr w:type="spellEnd"/>
      <w:r w:rsidRPr="00364005">
        <w:rPr>
          <w:rFonts w:ascii="Verdana" w:hAnsi="Verdana" w:cs="Arial"/>
          <w:lang w:eastAsia="es-CO"/>
        </w:rPr>
        <w:t>) mejorar la planeación de contingencias del Proceso de Contratación; (</w:t>
      </w:r>
      <w:proofErr w:type="spellStart"/>
      <w:r w:rsidRPr="00364005">
        <w:rPr>
          <w:rFonts w:ascii="Verdana" w:hAnsi="Verdana" w:cs="Arial"/>
          <w:lang w:eastAsia="es-CO"/>
        </w:rPr>
        <w:t>iii</w:t>
      </w:r>
      <w:proofErr w:type="spellEnd"/>
      <w:r w:rsidRPr="00364005">
        <w:rPr>
          <w:rFonts w:ascii="Verdana" w:hAnsi="Verdana" w:cs="Arial"/>
          <w:lang w:eastAsia="es-CO"/>
        </w:rPr>
        <w:t>) incrementar el grado de confianza entre la</w:t>
      </w:r>
      <w:r>
        <w:rPr>
          <w:rFonts w:ascii="Verdana" w:hAnsi="Verdana" w:cs="Arial"/>
          <w:lang w:eastAsia="es-CO"/>
        </w:rPr>
        <w:t>s</w:t>
      </w:r>
      <w:r w:rsidRPr="00364005">
        <w:rPr>
          <w:rFonts w:ascii="Verdana" w:hAnsi="Verdana" w:cs="Arial"/>
          <w:lang w:eastAsia="es-CO"/>
        </w:rPr>
        <w:t xml:space="preserve"> partes del Proceso de Contratación; y (</w:t>
      </w:r>
      <w:proofErr w:type="spellStart"/>
      <w:r w:rsidRPr="00364005">
        <w:rPr>
          <w:rFonts w:ascii="Verdana" w:hAnsi="Verdana" w:cs="Arial"/>
          <w:lang w:eastAsia="es-CO"/>
        </w:rPr>
        <w:t>iv</w:t>
      </w:r>
      <w:proofErr w:type="spellEnd"/>
      <w:r w:rsidRPr="00364005">
        <w:rPr>
          <w:rFonts w:ascii="Verdana" w:hAnsi="Verdana" w:cs="Arial"/>
          <w:lang w:eastAsia="es-CO"/>
        </w:rPr>
        <w:t>) reducir la posibilidad de litigios; entre otro</w:t>
      </w:r>
      <w:r>
        <w:rPr>
          <w:rFonts w:ascii="Verdana" w:hAnsi="Verdana" w:cs="Arial"/>
          <w:lang w:eastAsia="es-CO"/>
        </w:rPr>
        <w:t>s</w:t>
      </w:r>
      <w:r w:rsidRPr="00364005">
        <w:rPr>
          <w:rFonts w:ascii="Verdana" w:hAnsi="Verdana" w:cs="Arial"/>
        </w:rPr>
        <w:t>”</w:t>
      </w:r>
      <w:r w:rsidRPr="00364005">
        <w:rPr>
          <w:rStyle w:val="Refdenotaalpie"/>
          <w:rFonts w:ascii="Verdana" w:hAnsi="Verdana" w:cs="Arial"/>
        </w:rPr>
        <w:footnoteReference w:id="7"/>
      </w:r>
      <w:r w:rsidRPr="00364005">
        <w:rPr>
          <w:rFonts w:ascii="Verdana" w:hAnsi="Verdana" w:cs="Arial"/>
        </w:rPr>
        <w:t>.</w:t>
      </w:r>
    </w:p>
    <w:p w14:paraId="2CF07B49" w14:textId="77777777" w:rsidR="00936B0C" w:rsidRPr="002E2A65" w:rsidRDefault="00936B0C" w:rsidP="00936B0C">
      <w:pPr>
        <w:spacing w:after="0" w:line="276" w:lineRule="auto"/>
        <w:jc w:val="both"/>
        <w:textAlignment w:val="baseline"/>
        <w:rPr>
          <w:rFonts w:ascii="Verdana" w:hAnsi="Verdana" w:cs="Arial"/>
          <w:lang w:eastAsia="es-CO"/>
        </w:rPr>
      </w:pPr>
      <w:r w:rsidRPr="00364005">
        <w:rPr>
          <w:rFonts w:ascii="Verdana" w:hAnsi="Verdana" w:cs="Arial"/>
        </w:rPr>
        <w:tab/>
      </w:r>
      <w:r w:rsidRPr="00364005">
        <w:rPr>
          <w:rFonts w:ascii="Verdana" w:hAnsi="Verdana" w:cs="Arial"/>
          <w:lang w:eastAsia="es-CO"/>
        </w:rPr>
        <w:t>Ahora bien, a las entidades estatales les corresponde, en cada procedimiento de selección, establecer en el pliego de condiciones o documento equivalente la tipificación, estimación y asignación definitiva de los riesgos previsibles involucrados en el proceso de contratación. En este sentido, si bien deben tener en consideración las observaciones formuladas por los interesados al proyecto de pliego de condiciones, al pliego de condiciones definitivo y lo debatido en la audiencia de asignación de riesgos –en los procesos de licitación pública–, corresponde a cada entidad analizar y pronunciarse motivadamente frente a dichas observaciones, correspondiendo a la entidad tomar la decisión final sobre el contenido de los riesgos</w:t>
      </w:r>
      <w:r w:rsidRPr="00364005">
        <w:rPr>
          <w:rStyle w:val="Refdenotaalpie"/>
          <w:rFonts w:ascii="Verdana" w:hAnsi="Verdana" w:cs="Arial"/>
          <w:lang w:eastAsia="es-CO"/>
        </w:rPr>
        <w:footnoteReference w:id="8"/>
      </w:r>
      <w:r w:rsidRPr="00364005">
        <w:rPr>
          <w:rFonts w:ascii="Verdana" w:hAnsi="Verdana" w:cs="Arial"/>
          <w:lang w:eastAsia="es-CO"/>
        </w:rPr>
        <w:t>.</w:t>
      </w:r>
      <w:r>
        <w:rPr>
          <w:rFonts w:ascii="Verdana" w:hAnsi="Verdana" w:cs="Arial"/>
          <w:lang w:eastAsia="es-CO"/>
        </w:rPr>
        <w:t xml:space="preserve"> </w:t>
      </w:r>
      <w:r w:rsidRPr="00364005">
        <w:rPr>
          <w:rFonts w:ascii="Verdana" w:hAnsi="Verdana" w:cs="Arial"/>
          <w:lang w:val="es-ES" w:eastAsia="es-CO"/>
        </w:rPr>
        <w:t>Con fundamento en lo anterior, corresponde a cada entidad efectuar en la fase de planeación el análisis inicial de los riesgos previsibles asociados al procedimiento de selección</w:t>
      </w:r>
      <w:r>
        <w:rPr>
          <w:rFonts w:ascii="Verdana" w:hAnsi="Verdana" w:cs="Arial"/>
          <w:lang w:val="es-ES" w:eastAsia="es-CO"/>
        </w:rPr>
        <w:t>, así como la asignación de los mismo y la forma de mitigarlos</w:t>
      </w:r>
      <w:r w:rsidRPr="00364005">
        <w:rPr>
          <w:rFonts w:ascii="Verdana" w:hAnsi="Verdana" w:cs="Arial"/>
          <w:lang w:val="es-ES" w:eastAsia="es-CO"/>
        </w:rPr>
        <w:t xml:space="preserve">. </w:t>
      </w:r>
    </w:p>
    <w:p w14:paraId="20B67D68" w14:textId="77777777" w:rsidR="00936B0C" w:rsidRDefault="00936B0C" w:rsidP="00936B0C">
      <w:pPr>
        <w:spacing w:after="0" w:line="276" w:lineRule="auto"/>
        <w:jc w:val="both"/>
        <w:rPr>
          <w:rFonts w:ascii="Verdana" w:hAnsi="Verdana" w:cs="Arial"/>
          <w:lang w:val="es-ES" w:eastAsia="es-ES"/>
        </w:rPr>
      </w:pPr>
    </w:p>
    <w:p w14:paraId="13F5C91D" w14:textId="77777777" w:rsidR="00936B0C" w:rsidRPr="00104C20" w:rsidRDefault="00936B0C" w:rsidP="00936B0C">
      <w:pPr>
        <w:spacing w:after="0" w:line="276" w:lineRule="auto"/>
        <w:jc w:val="both"/>
        <w:rPr>
          <w:rFonts w:ascii="Verdana" w:hAnsi="Verdana" w:cs="Arial"/>
          <w:lang w:val="es-ES" w:eastAsia="es-ES"/>
        </w:rPr>
      </w:pPr>
      <w:proofErr w:type="spellStart"/>
      <w:r>
        <w:rPr>
          <w:rFonts w:ascii="Verdana" w:hAnsi="Verdana" w:cs="Arial"/>
          <w:lang w:val="es-ES" w:eastAsia="es-ES"/>
        </w:rPr>
        <w:t>ii</w:t>
      </w:r>
      <w:proofErr w:type="spellEnd"/>
      <w:r>
        <w:rPr>
          <w:rFonts w:ascii="Verdana" w:hAnsi="Verdana" w:cs="Arial"/>
          <w:lang w:val="es-ES" w:eastAsia="es-ES"/>
        </w:rPr>
        <w:t>. Por otra parte</w:t>
      </w:r>
      <w:r w:rsidRPr="2858887B">
        <w:rPr>
          <w:rFonts w:ascii="Verdana" w:hAnsi="Verdana" w:cs="Arial"/>
          <w:lang w:val="es-ES" w:eastAsia="es-ES"/>
        </w:rPr>
        <w:t xml:space="preserve">,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w:t>
      </w:r>
      <w:r w:rsidRPr="2858887B">
        <w:rPr>
          <w:rFonts w:ascii="Verdana" w:hAnsi="Verdana" w:cs="Arial"/>
          <w:lang w:val="es-ES" w:eastAsia="es-ES"/>
        </w:rPr>
        <w:lastRenderedPageBreak/>
        <w:t>para el contratista, porque equivale a la remuneración que la entidad contratante le pagará por la ejecución del objeto contractual.</w:t>
      </w:r>
    </w:p>
    <w:p w14:paraId="57311834" w14:textId="77777777" w:rsidR="00936B0C" w:rsidRPr="00104C20" w:rsidRDefault="00936B0C" w:rsidP="00936B0C">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104C20">
        <w:rPr>
          <w:rFonts w:ascii="Verdana" w:hAnsi="Verdana" w:cs="Arial"/>
          <w:vertAlign w:val="superscript"/>
          <w:lang w:val="es-ES" w:eastAsia="es-ES"/>
        </w:rPr>
        <w:footnoteReference w:id="9"/>
      </w:r>
      <w:r w:rsidRPr="00104C20">
        <w:rPr>
          <w:rFonts w:ascii="Verdana"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104C20">
        <w:rPr>
          <w:rFonts w:ascii="Verdana" w:hAnsi="Verdana" w:cs="Arial"/>
          <w:lang w:val="es-ES" w:eastAsia="es-ES"/>
        </w:rPr>
        <w:t>ii</w:t>
      </w:r>
      <w:proofErr w:type="spellEnd"/>
      <w:r w:rsidRPr="00104C20">
        <w:rPr>
          <w:rFonts w:ascii="Verdana" w:hAnsi="Verdana" w:cs="Arial"/>
          <w:lang w:val="es-ES" w:eastAsia="es-ES"/>
        </w:rPr>
        <w:t xml:space="preserve">) el precio global –que equivale al monto total, sin discriminar unidades–, y </w:t>
      </w:r>
      <w:proofErr w:type="spellStart"/>
      <w:r w:rsidRPr="00104C20">
        <w:rPr>
          <w:rFonts w:ascii="Verdana" w:hAnsi="Verdana" w:cs="Arial"/>
          <w:lang w:val="es-ES" w:eastAsia="es-ES"/>
        </w:rPr>
        <w:t>iii</w:t>
      </w:r>
      <w:proofErr w:type="spellEnd"/>
      <w:r w:rsidRPr="00104C20">
        <w:rPr>
          <w:rFonts w:ascii="Verdana" w:hAnsi="Verdana" w:cs="Arial"/>
          <w:lang w:val="es-ES" w:eastAsia="es-ES"/>
        </w:rPr>
        <w:t>) la administración delegada de recursos –en la que se distinguen los costos de inversión de los honorarios del administrador–.</w:t>
      </w:r>
    </w:p>
    <w:p w14:paraId="117A6559" w14:textId="77777777" w:rsidR="00936B0C" w:rsidRPr="00104C20" w:rsidRDefault="00936B0C" w:rsidP="00936B0C">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8335E8">
        <w:rPr>
          <w:rFonts w:ascii="Verdana" w:hAnsi="Verdana" w:cs="Arial"/>
          <w:i/>
          <w:iCs/>
          <w:lang w:val="es-ES" w:eastAsia="es-ES"/>
        </w:rPr>
        <w:t>costos directos</w:t>
      </w:r>
      <w:r w:rsidRPr="00104C20">
        <w:rPr>
          <w:rFonts w:ascii="Verdana" w:hAnsi="Verdana" w:cs="Arial"/>
          <w:lang w:val="es-ES" w:eastAsia="es-ES"/>
        </w:rPr>
        <w:t xml:space="preserve"> –es decir, los que están directamente implicados en la ejecución </w:t>
      </w:r>
      <w:r w:rsidRPr="00104C20">
        <w:rPr>
          <w:rFonts w:ascii="Verdana" w:hAnsi="Verdana" w:cs="Arial"/>
          <w:lang w:val="es-ES" w:eastAsia="es-ES"/>
        </w:rPr>
        <w:lastRenderedPageBreak/>
        <w:t xml:space="preserve">del objeto–, de los </w:t>
      </w:r>
      <w:r w:rsidRPr="008335E8">
        <w:rPr>
          <w:rFonts w:ascii="Verdana" w:hAnsi="Verdana" w:cs="Arial"/>
          <w:i/>
          <w:iCs/>
          <w:lang w:val="es-ES" w:eastAsia="es-ES"/>
        </w:rPr>
        <w:t>costos indirectos</w:t>
      </w:r>
      <w:r w:rsidRPr="00104C20">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8335E8">
        <w:rPr>
          <w:rFonts w:ascii="Verdana" w:hAnsi="Verdana" w:cs="Arial"/>
          <w:i/>
          <w:iCs/>
          <w:lang w:val="es-ES" w:eastAsia="es-ES"/>
        </w:rPr>
        <w:t>costos directos</w:t>
      </w:r>
      <w:r w:rsidRPr="00104C20">
        <w:rPr>
          <w:rFonts w:ascii="Verdana" w:hAnsi="Verdana" w:cs="Arial"/>
          <w:lang w:val="es-ES" w:eastAsia="es-ES"/>
        </w:rPr>
        <w:t xml:space="preserve"> se evidencian en el análisis de precios unitarios –APU–, como la sumatoria de los valores de los </w:t>
      </w:r>
      <w:r w:rsidRPr="00104C20">
        <w:rPr>
          <w:rFonts w:ascii="Verdana" w:hAnsi="Verdana" w:cs="Arial"/>
          <w:i/>
          <w:iCs/>
          <w:lang w:val="es-ES" w:eastAsia="es-ES"/>
        </w:rPr>
        <w:t>ítems</w:t>
      </w:r>
      <w:r w:rsidRPr="00104C20">
        <w:rPr>
          <w:rFonts w:ascii="Verdana" w:hAnsi="Verdana" w:cs="Arial"/>
          <w:lang w:val="es-ES" w:eastAsia="es-ES"/>
        </w:rPr>
        <w:t xml:space="preserve"> según su unidad de medida, los </w:t>
      </w:r>
      <w:r w:rsidRPr="008335E8">
        <w:rPr>
          <w:rFonts w:ascii="Verdana" w:hAnsi="Verdana" w:cs="Arial"/>
          <w:i/>
          <w:iCs/>
          <w:lang w:val="es-ES" w:eastAsia="es-ES"/>
        </w:rPr>
        <w:t>costos indirectos</w:t>
      </w:r>
      <w:r w:rsidRPr="00104C20">
        <w:rPr>
          <w:rFonts w:ascii="Verdana" w:hAnsi="Verdana" w:cs="Arial"/>
          <w:lang w:val="es-ES" w:eastAsia="es-ES"/>
        </w:rPr>
        <w:t xml:space="preserve"> se suelen abreviar en las variables que integran el acrónimo AIU –Administración, Imprevistos y Utilidad–. </w:t>
      </w:r>
    </w:p>
    <w:p w14:paraId="1F8ED4BC" w14:textId="77777777" w:rsidR="00936B0C" w:rsidRPr="00104C20" w:rsidRDefault="00936B0C" w:rsidP="00936B0C">
      <w:pPr>
        <w:spacing w:before="120" w:after="0" w:line="276" w:lineRule="auto"/>
        <w:ind w:firstLine="709"/>
        <w:jc w:val="both"/>
        <w:rPr>
          <w:rFonts w:ascii="Verdana" w:hAnsi="Verdana" w:cs="Arial"/>
          <w:bCs/>
          <w:szCs w:val="24"/>
          <w:lang w:eastAsia="es-ES_tradnl"/>
        </w:rPr>
      </w:pPr>
      <w:r>
        <w:rPr>
          <w:rFonts w:ascii="Verdana" w:hAnsi="Verdana" w:cs="Arial"/>
          <w:bCs/>
          <w:szCs w:val="24"/>
          <w:lang w:val="es-ES" w:eastAsia="es-ES_tradnl"/>
        </w:rPr>
        <w:t>L</w:t>
      </w:r>
      <w:r w:rsidRPr="00104C20">
        <w:rPr>
          <w:rFonts w:ascii="Verdana" w:hAnsi="Verdana" w:cs="Arial"/>
          <w:bCs/>
          <w:szCs w:val="24"/>
          <w:lang w:val="es-ES_tradnl" w:eastAsia="es-ES_tradnl"/>
        </w:rPr>
        <w:t>a jurisprudencia ha señalado que “</w:t>
      </w:r>
      <w:r>
        <w:rPr>
          <w:rFonts w:ascii="Verdana" w:hAnsi="Verdana" w:cs="Arial"/>
          <w:bCs/>
          <w:szCs w:val="24"/>
          <w:lang w:val="es-ES_tradnl" w:eastAsia="es-ES_tradnl"/>
        </w:rPr>
        <w:t xml:space="preserve">[…] </w:t>
      </w:r>
      <w:r w:rsidRPr="00104C20">
        <w:rPr>
          <w:rFonts w:ascii="Verdana" w:hAnsi="Verdana" w:cs="Arial"/>
          <w:bCs/>
          <w:szCs w:val="24"/>
          <w:lang w:eastAsia="es-ES_tradnl"/>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104C20">
        <w:rPr>
          <w:rFonts w:ascii="Verdana" w:hAnsi="Verdana" w:cs="Arial"/>
          <w:bCs/>
          <w:szCs w:val="24"/>
          <w:lang w:val="es-ES_tradnl" w:eastAsia="es-ES_tradnl"/>
        </w:rPr>
        <w:t>”</w:t>
      </w:r>
      <w:r w:rsidRPr="00104C20">
        <w:rPr>
          <w:rStyle w:val="Refdenotaalpie"/>
          <w:rFonts w:ascii="Verdana" w:hAnsi="Verdana" w:cs="Arial"/>
          <w:bCs/>
          <w:szCs w:val="24"/>
          <w:lang w:val="es-ES_tradnl" w:eastAsia="es-ES_tradnl"/>
        </w:rPr>
        <w:footnoteReference w:id="10"/>
      </w:r>
      <w:r w:rsidRPr="00104C20">
        <w:rPr>
          <w:rFonts w:ascii="Verdana" w:hAnsi="Verdana" w:cs="Arial"/>
          <w:bCs/>
          <w:szCs w:val="24"/>
          <w:lang w:eastAsia="es-ES_tradnl"/>
        </w:rPr>
        <w:t>. En concordancia, la doctrina explica que en la estructuración de los precios unitarios se tendrán en cuenta todos los co</w:t>
      </w:r>
      <w:r>
        <w:rPr>
          <w:rFonts w:ascii="Verdana" w:hAnsi="Verdana" w:cs="Arial"/>
          <w:bCs/>
          <w:szCs w:val="24"/>
          <w:lang w:eastAsia="es-ES_tradnl"/>
        </w:rPr>
        <w:t>st</w:t>
      </w:r>
      <w:r w:rsidRPr="00104C20">
        <w:rPr>
          <w:rFonts w:ascii="Verdana" w:hAnsi="Verdana" w:cs="Arial"/>
          <w:bCs/>
          <w:szCs w:val="24"/>
          <w:lang w:eastAsia="es-ES_tradnl"/>
        </w:rPr>
        <w:t>os directos necesarios para la ejecución del objeto contractual que se multiplicará por al AIU, lo que determina el valor unitario:</w:t>
      </w:r>
    </w:p>
    <w:p w14:paraId="4583FC20" w14:textId="77777777" w:rsidR="00936B0C" w:rsidRPr="00104C20" w:rsidRDefault="00936B0C" w:rsidP="00936B0C">
      <w:pPr>
        <w:spacing w:after="0" w:line="276" w:lineRule="auto"/>
        <w:ind w:firstLine="709"/>
        <w:jc w:val="both"/>
        <w:rPr>
          <w:rFonts w:ascii="Verdana" w:hAnsi="Verdana" w:cs="Arial"/>
          <w:bCs/>
          <w:szCs w:val="24"/>
          <w:lang w:eastAsia="es-ES_tradnl"/>
        </w:rPr>
      </w:pPr>
    </w:p>
    <w:p w14:paraId="736C2A91" w14:textId="77777777" w:rsidR="00936B0C" w:rsidRPr="00BC4483" w:rsidRDefault="00936B0C" w:rsidP="00936B0C">
      <w:pPr>
        <w:tabs>
          <w:tab w:val="left" w:pos="709"/>
        </w:tabs>
        <w:spacing w:after="120" w:line="240" w:lineRule="auto"/>
        <w:ind w:left="709" w:right="709"/>
        <w:jc w:val="both"/>
        <w:rPr>
          <w:rFonts w:ascii="Verdana" w:hAnsi="Verdana" w:cs="Arial"/>
          <w:sz w:val="20"/>
          <w:szCs w:val="20"/>
          <w:lang w:val="es-ES" w:eastAsia="es-ES"/>
        </w:rPr>
      </w:pPr>
      <w:r w:rsidRPr="00BC4483">
        <w:rPr>
          <w:rFonts w:ascii="Verdana" w:hAnsi="Verdana" w:cs="Arial"/>
          <w:sz w:val="20"/>
          <w:szCs w:val="20"/>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17A9FFCE" w14:textId="77777777" w:rsidR="00936B0C" w:rsidRPr="00104C20" w:rsidRDefault="00936B0C" w:rsidP="00936B0C">
      <w:pPr>
        <w:tabs>
          <w:tab w:val="left" w:pos="709"/>
        </w:tabs>
        <w:spacing w:after="0" w:line="240" w:lineRule="auto"/>
        <w:ind w:left="709" w:right="709"/>
        <w:jc w:val="both"/>
        <w:rPr>
          <w:rFonts w:ascii="Verdana" w:hAnsi="Verdana" w:cs="Arial"/>
          <w:sz w:val="21"/>
          <w:szCs w:val="21"/>
          <w:lang w:val="es-ES_tradnl" w:eastAsia="es-ES_tradnl"/>
        </w:rPr>
      </w:pPr>
      <w:r w:rsidRPr="00BC4483">
        <w:rPr>
          <w:rFonts w:ascii="Verdana" w:hAnsi="Verdana" w:cs="Arial"/>
          <w:sz w:val="20"/>
          <w:szCs w:val="20"/>
          <w:lang w:val="es-ES_tradnl" w:eastAsia="es-ES_tradnl"/>
        </w:rPr>
        <w:t xml:space="preserve">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w:t>
      </w:r>
      <w:r w:rsidRPr="00BC4483">
        <w:rPr>
          <w:rFonts w:ascii="Verdana" w:hAnsi="Verdana" w:cs="Arial"/>
          <w:sz w:val="20"/>
          <w:szCs w:val="20"/>
          <w:lang w:val="es-ES_tradnl" w:eastAsia="es-ES_tradnl"/>
        </w:rPr>
        <w:lastRenderedPageBreak/>
        <w:t>deberá cancelar la entidad estatal. Dentro del valor unitario, entonces, están incorporados la totalidad de los gastos en los que incurre el contratista y la utilidad que espera recibir”</w:t>
      </w:r>
      <w:r w:rsidRPr="00BC4483">
        <w:rPr>
          <w:rStyle w:val="Refdenotaalpie"/>
          <w:rFonts w:ascii="Verdana" w:hAnsi="Verdana" w:cs="Arial"/>
          <w:sz w:val="20"/>
          <w:szCs w:val="20"/>
          <w:lang w:val="es-ES_tradnl" w:eastAsia="es-ES_tradnl"/>
        </w:rPr>
        <w:footnoteReference w:id="11"/>
      </w:r>
      <w:r w:rsidRPr="00BC4483">
        <w:rPr>
          <w:rFonts w:ascii="Verdana" w:hAnsi="Verdana" w:cs="Arial"/>
          <w:sz w:val="20"/>
          <w:szCs w:val="20"/>
          <w:lang w:val="es-ES_tradnl" w:eastAsia="es-ES_tradnl"/>
        </w:rPr>
        <w:t xml:space="preserve">. </w:t>
      </w:r>
    </w:p>
    <w:p w14:paraId="6FC7305D" w14:textId="77777777" w:rsidR="00936B0C" w:rsidRPr="00104C20" w:rsidRDefault="00936B0C" w:rsidP="00936B0C">
      <w:pPr>
        <w:tabs>
          <w:tab w:val="left" w:pos="709"/>
        </w:tabs>
        <w:spacing w:after="0" w:line="276" w:lineRule="auto"/>
        <w:ind w:left="709" w:right="760"/>
        <w:jc w:val="both"/>
        <w:rPr>
          <w:rFonts w:ascii="Verdana" w:hAnsi="Verdana" w:cs="Arial"/>
          <w:szCs w:val="24"/>
          <w:lang w:val="es-ES_tradnl" w:eastAsia="es-ES_tradnl"/>
        </w:rPr>
      </w:pPr>
    </w:p>
    <w:p w14:paraId="47975845" w14:textId="77777777" w:rsidR="00936B0C" w:rsidRPr="00104C20" w:rsidRDefault="00936B0C" w:rsidP="00936B0C">
      <w:pPr>
        <w:spacing w:after="0" w:line="276" w:lineRule="auto"/>
        <w:ind w:firstLine="709"/>
        <w:jc w:val="both"/>
        <w:rPr>
          <w:rFonts w:ascii="Verdana" w:hAnsi="Verdana" w:cs="Arial"/>
          <w:szCs w:val="24"/>
          <w:lang w:val="es-ES_tradnl" w:eastAsia="es-ES_tradnl"/>
        </w:rPr>
      </w:pPr>
      <w:r w:rsidRPr="00104C20">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14222BE8" w14:textId="77777777" w:rsidR="00936B0C" w:rsidRPr="00104C20" w:rsidRDefault="00936B0C" w:rsidP="00936B0C">
      <w:pPr>
        <w:spacing w:after="0" w:line="276" w:lineRule="auto"/>
        <w:ind w:firstLine="709"/>
        <w:jc w:val="both"/>
        <w:rPr>
          <w:rFonts w:ascii="Verdana" w:hAnsi="Verdana" w:cs="Arial"/>
          <w:szCs w:val="24"/>
          <w:lang w:val="es-ES_tradnl" w:eastAsia="es-ES_tradnl"/>
        </w:rPr>
      </w:pPr>
    </w:p>
    <w:p w14:paraId="7DFB18C7" w14:textId="77777777" w:rsidR="00936B0C" w:rsidRPr="00BC4483" w:rsidRDefault="00936B0C" w:rsidP="00936B0C">
      <w:pPr>
        <w:tabs>
          <w:tab w:val="left" w:pos="709"/>
        </w:tabs>
        <w:spacing w:after="120" w:line="240" w:lineRule="auto"/>
        <w:ind w:left="709" w:right="709"/>
        <w:jc w:val="both"/>
        <w:rPr>
          <w:rFonts w:ascii="Verdana" w:hAnsi="Verdana" w:cs="Arial"/>
          <w:sz w:val="20"/>
          <w:szCs w:val="20"/>
          <w:lang w:val="es-ES_tradnl" w:eastAsia="es-ES_tradnl"/>
        </w:rPr>
      </w:pPr>
      <w:r w:rsidRPr="00BC4483">
        <w:rPr>
          <w:rFonts w:ascii="Verdana" w:hAnsi="Verdana" w:cs="Arial"/>
          <w:sz w:val="20"/>
          <w:szCs w:val="20"/>
          <w:lang w:val="es-ES_tradnl" w:eastAsia="es-ES_tradnl"/>
        </w:rPr>
        <w:t xml:space="preserve">“[…] el AIU propuesto para el contrato, corresponde a: </w:t>
      </w:r>
    </w:p>
    <w:p w14:paraId="24F27EA9" w14:textId="77777777" w:rsidR="00936B0C" w:rsidRPr="00BC4483" w:rsidRDefault="00936B0C" w:rsidP="00936B0C">
      <w:pPr>
        <w:tabs>
          <w:tab w:val="left" w:pos="709"/>
        </w:tabs>
        <w:spacing w:after="120" w:line="240" w:lineRule="auto"/>
        <w:ind w:left="709" w:right="709"/>
        <w:jc w:val="both"/>
        <w:rPr>
          <w:rFonts w:ascii="Verdana" w:hAnsi="Verdana" w:cs="Arial"/>
          <w:sz w:val="20"/>
          <w:szCs w:val="20"/>
          <w:lang w:val="es-ES_tradnl" w:eastAsia="es-ES_tradnl"/>
        </w:rPr>
      </w:pPr>
      <w:r w:rsidRPr="00BC4483">
        <w:rPr>
          <w:rFonts w:ascii="Verdana"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05F1D052" w14:textId="77777777" w:rsidR="00936B0C" w:rsidRPr="00BC4483" w:rsidRDefault="00936B0C" w:rsidP="00936B0C">
      <w:pPr>
        <w:tabs>
          <w:tab w:val="left" w:pos="709"/>
        </w:tabs>
        <w:spacing w:after="120" w:line="240" w:lineRule="auto"/>
        <w:ind w:left="709" w:right="709"/>
        <w:jc w:val="both"/>
        <w:rPr>
          <w:rFonts w:ascii="Verdana" w:hAnsi="Verdana" w:cs="Arial"/>
          <w:sz w:val="20"/>
          <w:szCs w:val="20"/>
          <w:lang w:val="es-ES" w:eastAsia="es-ES"/>
        </w:rPr>
      </w:pPr>
      <w:proofErr w:type="spellStart"/>
      <w:r w:rsidRPr="00BC4483">
        <w:rPr>
          <w:rFonts w:ascii="Verdana" w:hAnsi="Verdana" w:cs="Arial"/>
          <w:sz w:val="20"/>
          <w:szCs w:val="20"/>
          <w:lang w:val="es-ES" w:eastAsia="es-ES"/>
        </w:rPr>
        <w:t>ii</w:t>
      </w:r>
      <w:proofErr w:type="spellEnd"/>
      <w:r w:rsidRPr="00BC4483">
        <w:rPr>
          <w:rFonts w:ascii="Verdana"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BC4483">
        <w:rPr>
          <w:rFonts w:ascii="Verdana" w:hAnsi="Verdana" w:cs="Arial"/>
          <w:sz w:val="20"/>
          <w:szCs w:val="20"/>
          <w:lang w:val="es-ES" w:eastAsia="es-ES"/>
        </w:rPr>
        <w:t>álea</w:t>
      </w:r>
      <w:proofErr w:type="spellEnd"/>
      <w:r w:rsidRPr="00BC4483">
        <w:rPr>
          <w:rFonts w:ascii="Verdana" w:hAnsi="Verdana" w:cs="Arial"/>
          <w:sz w:val="20"/>
          <w:szCs w:val="20"/>
          <w:lang w:val="es-ES" w:eastAsia="es-ES"/>
        </w:rPr>
        <w:t xml:space="preserve"> normal del contrato: I; </w:t>
      </w:r>
    </w:p>
    <w:p w14:paraId="28D192BC" w14:textId="77777777" w:rsidR="00936B0C" w:rsidRPr="00BC4483" w:rsidRDefault="00936B0C" w:rsidP="00936B0C">
      <w:pPr>
        <w:tabs>
          <w:tab w:val="left" w:pos="709"/>
        </w:tabs>
        <w:spacing w:after="120" w:line="240" w:lineRule="auto"/>
        <w:ind w:left="709" w:right="709"/>
        <w:jc w:val="both"/>
        <w:rPr>
          <w:rFonts w:ascii="Verdana" w:hAnsi="Verdana" w:cs="Arial"/>
          <w:sz w:val="20"/>
          <w:szCs w:val="20"/>
          <w:lang w:val="es-ES" w:eastAsia="es-ES"/>
        </w:rPr>
      </w:pPr>
      <w:proofErr w:type="spellStart"/>
      <w:r w:rsidRPr="00BC4483">
        <w:rPr>
          <w:rFonts w:ascii="Verdana" w:hAnsi="Verdana" w:cs="Arial"/>
          <w:sz w:val="20"/>
          <w:szCs w:val="20"/>
          <w:lang w:val="es-ES" w:eastAsia="es-ES"/>
        </w:rPr>
        <w:t>iii</w:t>
      </w:r>
      <w:proofErr w:type="spellEnd"/>
      <w:r w:rsidRPr="00BC4483">
        <w:rPr>
          <w:rFonts w:ascii="Verdana" w:hAnsi="Verdana" w:cs="Arial"/>
          <w:sz w:val="20"/>
          <w:szCs w:val="20"/>
          <w:lang w:val="es-ES" w:eastAsia="es-ES"/>
        </w:rPr>
        <w:t xml:space="preserve">) la utilidad o el beneficio económico que pretende percibir el contratista por la ejecución del contrato, esto es: U. </w:t>
      </w:r>
    </w:p>
    <w:p w14:paraId="0AF711F0" w14:textId="77777777" w:rsidR="00936B0C" w:rsidRPr="00104C20" w:rsidRDefault="00936B0C" w:rsidP="00936B0C">
      <w:pPr>
        <w:tabs>
          <w:tab w:val="left" w:pos="709"/>
        </w:tabs>
        <w:spacing w:after="0" w:line="240" w:lineRule="auto"/>
        <w:ind w:left="709" w:right="709"/>
        <w:jc w:val="both"/>
        <w:rPr>
          <w:rFonts w:ascii="Verdana" w:hAnsi="Verdana" w:cs="Arial"/>
          <w:sz w:val="21"/>
          <w:szCs w:val="21"/>
          <w:lang w:val="es-ES_tradnl" w:eastAsia="es-ES_tradnl"/>
        </w:rPr>
      </w:pPr>
      <w:r w:rsidRPr="00BC4483">
        <w:rPr>
          <w:rFonts w:ascii="Verdana"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BC4483">
        <w:rPr>
          <w:rFonts w:ascii="Verdana" w:hAnsi="Verdana" w:cs="Arial"/>
          <w:sz w:val="20"/>
          <w:szCs w:val="20"/>
          <w:vertAlign w:val="superscript"/>
          <w:lang w:val="es-ES_tradnl" w:eastAsia="es-ES_tradnl"/>
        </w:rPr>
        <w:footnoteReference w:id="12"/>
      </w:r>
      <w:r w:rsidRPr="00BC4483">
        <w:rPr>
          <w:rFonts w:ascii="Verdana" w:hAnsi="Verdana" w:cs="Arial"/>
          <w:sz w:val="20"/>
          <w:szCs w:val="20"/>
          <w:lang w:val="es-ES_tradnl" w:eastAsia="es-ES_tradnl"/>
        </w:rPr>
        <w:t>.</w:t>
      </w:r>
    </w:p>
    <w:p w14:paraId="4377DD48" w14:textId="77777777" w:rsidR="00936B0C" w:rsidRPr="00104C20" w:rsidRDefault="00936B0C" w:rsidP="00936B0C">
      <w:pPr>
        <w:tabs>
          <w:tab w:val="left" w:pos="709"/>
        </w:tabs>
        <w:spacing w:after="0" w:line="276" w:lineRule="auto"/>
        <w:ind w:left="709" w:right="760"/>
        <w:jc w:val="both"/>
        <w:rPr>
          <w:rFonts w:ascii="Verdana" w:hAnsi="Verdana" w:cs="Arial"/>
          <w:szCs w:val="24"/>
          <w:lang w:val="es-ES_tradnl" w:eastAsia="es-ES_tradnl"/>
        </w:rPr>
      </w:pPr>
    </w:p>
    <w:p w14:paraId="6870FCBA" w14:textId="77777777" w:rsidR="00936B0C" w:rsidRPr="00104C20" w:rsidRDefault="00936B0C" w:rsidP="00936B0C">
      <w:pPr>
        <w:spacing w:after="0" w:line="276" w:lineRule="auto"/>
        <w:ind w:firstLine="709"/>
        <w:jc w:val="both"/>
        <w:rPr>
          <w:rFonts w:ascii="Verdana" w:hAnsi="Verdana" w:cs="Arial"/>
          <w:lang w:val="es-ES" w:eastAsia="es-ES"/>
        </w:rPr>
      </w:pPr>
      <w:r w:rsidRPr="00104C20">
        <w:rPr>
          <w:rFonts w:ascii="Verdana" w:hAnsi="Verdana" w:cs="Arial"/>
          <w:lang w:val="es-ES" w:eastAsia="es-ES"/>
        </w:rPr>
        <w:t>A su turno, la Sala de Consulta y Servicio Civil del Consejo de Estado sostuvo en concepto del 5 de septiembre de 2018</w:t>
      </w:r>
      <w:r w:rsidRPr="00104C20">
        <w:rPr>
          <w:rFonts w:ascii="Verdana" w:hAnsi="Verdana" w:cs="Arial"/>
          <w:vertAlign w:val="superscript"/>
          <w:lang w:val="es-ES" w:eastAsia="es-ES"/>
        </w:rPr>
        <w:footnoteReference w:id="13"/>
      </w:r>
      <w:r w:rsidRPr="00104C20">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la misma</w:t>
      </w:r>
      <w:r w:rsidRPr="00104C20">
        <w:rPr>
          <w:rFonts w:ascii="Verdana" w:hAnsi="Verdana" w:cs="Arial"/>
          <w:vertAlign w:val="superscript"/>
          <w:lang w:val="es-ES" w:eastAsia="es-ES"/>
        </w:rPr>
        <w:footnoteReference w:id="14"/>
      </w:r>
      <w:r w:rsidRPr="00104C20">
        <w:rPr>
          <w:rFonts w:ascii="Verdana" w:hAnsi="Verdana" w:cs="Arial"/>
          <w:lang w:val="es-ES" w:eastAsia="es-ES"/>
        </w:rPr>
        <w:t xml:space="preserve">, sin perjuicio que en otros </w:t>
      </w:r>
      <w:r w:rsidRPr="00104C20">
        <w:rPr>
          <w:rFonts w:ascii="Verdana" w:hAnsi="Verdana" w:cs="Arial"/>
          <w:lang w:val="es-ES" w:eastAsia="es-ES"/>
        </w:rPr>
        <w:lastRenderedPageBreak/>
        <w:t>contratos este valor no aparezca discriminado y se incorpore en el valor de los precios unitarios”</w:t>
      </w:r>
      <w:r w:rsidRPr="00104C20">
        <w:rPr>
          <w:rFonts w:ascii="Verdana" w:hAnsi="Verdana" w:cs="Arial"/>
          <w:vertAlign w:val="superscript"/>
          <w:lang w:val="es-ES" w:eastAsia="es-ES"/>
        </w:rPr>
        <w:footnoteReference w:id="15"/>
      </w:r>
      <w:r w:rsidRPr="00104C20">
        <w:rPr>
          <w:rFonts w:ascii="Verdana" w:hAnsi="Verdana" w:cs="Arial"/>
          <w:lang w:val="es-ES" w:eastAsia="es-ES"/>
        </w:rPr>
        <w:t xml:space="preserve">. </w:t>
      </w:r>
    </w:p>
    <w:p w14:paraId="519C6926" w14:textId="77777777" w:rsidR="00936B0C" w:rsidRPr="00104C20" w:rsidRDefault="00936B0C" w:rsidP="00936B0C">
      <w:pPr>
        <w:spacing w:before="120" w:after="0" w:line="276" w:lineRule="auto"/>
        <w:ind w:firstLine="709"/>
        <w:jc w:val="both"/>
        <w:rPr>
          <w:rFonts w:ascii="Verdana" w:hAnsi="Verdana" w:cs="Arial"/>
          <w:bCs/>
          <w:szCs w:val="24"/>
          <w:lang w:val="es-ES_tradnl" w:eastAsia="es-ES_tradnl"/>
        </w:rPr>
      </w:pPr>
      <w:r w:rsidRPr="00104C20">
        <w:rPr>
          <w:rFonts w:ascii="Verdana"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w:t>
      </w:r>
      <w:r>
        <w:rPr>
          <w:rFonts w:ascii="Verdana" w:hAnsi="Verdana" w:cs="Arial"/>
          <w:bCs/>
          <w:szCs w:val="24"/>
          <w:lang w:val="es-ES_tradnl" w:eastAsia="es-ES_tradnl"/>
        </w:rPr>
        <w:t>:</w:t>
      </w:r>
      <w:r w:rsidRPr="00104C20">
        <w:rPr>
          <w:rFonts w:ascii="Verdana" w:hAnsi="Verdana" w:cs="Arial"/>
          <w:bCs/>
          <w:szCs w:val="24"/>
          <w:lang w:val="es-ES_tradnl" w:eastAsia="es-ES_tradnl"/>
        </w:rPr>
        <w:t xml:space="preserve">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104C20">
        <w:rPr>
          <w:rFonts w:ascii="Verdana" w:hAnsi="Verdana" w:cs="Arial"/>
          <w:bCs/>
          <w:szCs w:val="24"/>
          <w:vertAlign w:val="superscript"/>
          <w:lang w:val="es-ES_tradnl" w:eastAsia="es-ES_tradnl"/>
        </w:rPr>
        <w:footnoteReference w:id="16"/>
      </w:r>
      <w:r w:rsidRPr="00104C20">
        <w:rPr>
          <w:rFonts w:ascii="Verdana" w:hAnsi="Verdana" w:cs="Arial"/>
          <w:bCs/>
          <w:szCs w:val="24"/>
          <w:lang w:val="es-ES_tradnl" w:eastAsia="es-ES_tradnl"/>
        </w:rPr>
        <w:t xml:space="preserve">. De otro lado, quien define el valor de cada </w:t>
      </w:r>
      <w:r w:rsidRPr="00104C20">
        <w:rPr>
          <w:rFonts w:ascii="Verdana" w:hAnsi="Verdana" w:cs="Arial"/>
          <w:bCs/>
          <w:i/>
          <w:iCs/>
          <w:szCs w:val="24"/>
          <w:lang w:val="es-ES_tradnl" w:eastAsia="es-ES_tradnl"/>
        </w:rPr>
        <w:t>letra</w:t>
      </w:r>
      <w:r w:rsidRPr="00104C20">
        <w:rPr>
          <w:rFonts w:ascii="Verdana" w:hAnsi="Verdana" w:cs="Arial"/>
          <w:bCs/>
          <w:szCs w:val="24"/>
          <w:lang w:val="es-ES_tradnl" w:eastAsia="es-ES_tradnl"/>
        </w:rPr>
        <w:t xml:space="preserve"> –AIU– es el proponente, pues goza de libertad empresarial para hacerlo en la elaboración de su oferta</w:t>
      </w:r>
      <w:r w:rsidRPr="00104C20">
        <w:rPr>
          <w:rFonts w:ascii="Verdana" w:hAnsi="Verdana" w:cs="Arial"/>
          <w:bCs/>
          <w:szCs w:val="24"/>
          <w:vertAlign w:val="superscript"/>
          <w:lang w:val="es-ES_tradnl" w:eastAsia="es-ES_tradnl"/>
        </w:rPr>
        <w:footnoteReference w:id="17"/>
      </w:r>
      <w:r w:rsidRPr="00104C20">
        <w:rPr>
          <w:rFonts w:ascii="Verdana" w:hAnsi="Verdana" w:cs="Arial"/>
          <w:bCs/>
          <w:szCs w:val="24"/>
          <w:lang w:val="es-ES_tradnl" w:eastAsia="es-ES_tradnl"/>
        </w:rPr>
        <w:t>.</w:t>
      </w:r>
    </w:p>
    <w:p w14:paraId="787AC120" w14:textId="77777777" w:rsidR="00936B0C" w:rsidRPr="00415D51" w:rsidRDefault="00936B0C" w:rsidP="00936B0C">
      <w:pPr>
        <w:spacing w:before="120" w:after="0" w:line="276" w:lineRule="auto"/>
        <w:ind w:firstLine="709"/>
        <w:jc w:val="both"/>
        <w:rPr>
          <w:rFonts w:ascii="Verdana" w:hAnsi="Verdana" w:cs="Arial"/>
          <w:lang w:val="es-ES" w:eastAsia="es-ES"/>
        </w:rPr>
      </w:pPr>
      <w:r>
        <w:rPr>
          <w:rFonts w:ascii="Verdana" w:hAnsi="Verdana" w:cs="Arial"/>
          <w:lang w:val="es-ES" w:eastAsia="es-ES"/>
        </w:rPr>
        <w:t>De esta manera</w:t>
      </w:r>
      <w:r w:rsidRPr="00104C20">
        <w:rPr>
          <w:rFonts w:ascii="Verdana" w:hAnsi="Verdana" w:cs="Arial"/>
          <w:lang w:val="es-ES" w:eastAsia="es-ES"/>
        </w:rPr>
        <w:t>,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w:t>
      </w:r>
      <w:r>
        <w:rPr>
          <w:rFonts w:ascii="Verdana" w:hAnsi="Verdana" w:cs="Arial"/>
          <w:lang w:val="es-ES" w:eastAsia="es-ES"/>
        </w:rPr>
        <w:t xml:space="preserve"> </w:t>
      </w:r>
      <w:r w:rsidRPr="00104C20">
        <w:rPr>
          <w:rFonts w:ascii="Verdana" w:hAnsi="Verdana" w:cs="Arial"/>
          <w:bCs/>
          <w:szCs w:val="24"/>
          <w:lang w:val="es-ES_tradnl" w:eastAsia="es-ES_tradn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8335E8">
        <w:rPr>
          <w:rFonts w:ascii="Verdana" w:hAnsi="Verdana" w:cs="Arial"/>
          <w:bCs/>
          <w:i/>
          <w:iCs/>
          <w:szCs w:val="24"/>
          <w:lang w:val="es-ES_tradnl" w:eastAsia="es-ES_tradnl"/>
        </w:rPr>
        <w:t>Administración</w:t>
      </w:r>
      <w:r w:rsidRPr="00104C20">
        <w:rPr>
          <w:rFonts w:ascii="Verdana" w:hAnsi="Verdana" w:cs="Arial"/>
          <w:bCs/>
          <w:szCs w:val="24"/>
          <w:lang w:val="es-ES_tradnl" w:eastAsia="es-ES_tradnl"/>
        </w:rPr>
        <w:t xml:space="preserve"> o los </w:t>
      </w:r>
      <w:r w:rsidRPr="008335E8">
        <w:rPr>
          <w:rFonts w:ascii="Verdana" w:hAnsi="Verdana" w:cs="Arial"/>
          <w:bCs/>
          <w:i/>
          <w:iCs/>
          <w:szCs w:val="24"/>
          <w:lang w:val="es-ES_tradnl" w:eastAsia="es-ES_tradnl"/>
        </w:rPr>
        <w:t>Imprevistos</w:t>
      </w:r>
      <w:r w:rsidRPr="00104C20">
        <w:rPr>
          <w:rFonts w:ascii="Verdana" w:hAnsi="Verdana" w:cs="Arial"/>
          <w:bCs/>
          <w:szCs w:val="24"/>
          <w:lang w:val="es-ES_tradnl" w:eastAsia="es-ES_tradnl"/>
        </w:rPr>
        <w:t xml:space="preserve"> s</w:t>
      </w:r>
      <w:r>
        <w:rPr>
          <w:rFonts w:ascii="Verdana" w:hAnsi="Verdana" w:cs="Arial"/>
          <w:bCs/>
          <w:szCs w:val="24"/>
          <w:lang w:val="es-ES_tradnl" w:eastAsia="es-ES_tradnl"/>
        </w:rPr>
        <w:t>ó</w:t>
      </w:r>
      <w:r w:rsidRPr="00104C20">
        <w:rPr>
          <w:rFonts w:ascii="Verdana" w:hAnsi="Verdana" w:cs="Arial"/>
          <w:bCs/>
          <w:szCs w:val="24"/>
          <w:lang w:val="es-ES_tradnl" w:eastAsia="es-ES_tradnl"/>
        </w:rPr>
        <w:t>lo se pagan si el contratista demuestra que incurrió en algun</w:t>
      </w:r>
      <w:r>
        <w:rPr>
          <w:rFonts w:ascii="Verdana" w:hAnsi="Verdana" w:cs="Arial"/>
          <w:bCs/>
          <w:szCs w:val="24"/>
          <w:lang w:val="es-ES_tradnl" w:eastAsia="es-ES_tradnl"/>
        </w:rPr>
        <w:t>a</w:t>
      </w:r>
      <w:r w:rsidRPr="00104C20">
        <w:rPr>
          <w:rFonts w:ascii="Verdana" w:hAnsi="Verdana" w:cs="Arial"/>
          <w:bCs/>
          <w:szCs w:val="24"/>
          <w:lang w:val="es-ES_tradnl" w:eastAsia="es-ES_tradnl"/>
        </w:rPr>
        <w:t xml:space="preserve">s </w:t>
      </w:r>
      <w:r>
        <w:rPr>
          <w:rFonts w:ascii="Verdana" w:hAnsi="Verdana" w:cs="Arial"/>
          <w:bCs/>
          <w:szCs w:val="24"/>
          <w:lang w:val="es-ES_tradnl" w:eastAsia="es-ES_tradnl"/>
        </w:rPr>
        <w:t>situaciones</w:t>
      </w:r>
      <w:r w:rsidRPr="00104C20">
        <w:rPr>
          <w:rFonts w:ascii="Verdana" w:hAnsi="Verdana" w:cs="Arial"/>
          <w:bCs/>
          <w:szCs w:val="24"/>
          <w:lang w:val="es-ES_tradnl" w:eastAsia="es-ES_tradnl"/>
        </w:rPr>
        <w:t xml:space="preserve"> específic</w:t>
      </w:r>
      <w:r>
        <w:rPr>
          <w:rFonts w:ascii="Verdana" w:hAnsi="Verdana" w:cs="Arial"/>
          <w:bCs/>
          <w:szCs w:val="24"/>
          <w:lang w:val="es-ES_tradnl" w:eastAsia="es-ES_tradnl"/>
        </w:rPr>
        <w:t xml:space="preserve">as </w:t>
      </w:r>
      <w:r w:rsidRPr="00104C20">
        <w:rPr>
          <w:rFonts w:ascii="Verdana" w:hAnsi="Verdana" w:cs="Arial"/>
          <w:bCs/>
          <w:szCs w:val="24"/>
          <w:lang w:val="es-ES_tradnl" w:eastAsia="es-ES_tradnl"/>
        </w:rPr>
        <w:t xml:space="preserve">y bajo el monto que este logre demostrar. </w:t>
      </w:r>
    </w:p>
    <w:p w14:paraId="184FDF2A" w14:textId="77777777" w:rsidR="00936B0C" w:rsidRPr="00104C20" w:rsidRDefault="00936B0C" w:rsidP="00936B0C">
      <w:pPr>
        <w:spacing w:before="120" w:after="0" w:line="276" w:lineRule="auto"/>
        <w:jc w:val="both"/>
        <w:rPr>
          <w:rFonts w:ascii="Verdana" w:hAnsi="Verdana" w:cs="Arial"/>
          <w:lang w:val="es-ES" w:eastAsia="es-ES"/>
        </w:rPr>
      </w:pPr>
      <w:r w:rsidRPr="00104C20">
        <w:rPr>
          <w:rFonts w:ascii="Verdana" w:hAnsi="Verdana" w:cs="Arial"/>
          <w:bCs/>
          <w:szCs w:val="24"/>
          <w:lang w:val="es-ES_tradnl" w:eastAsia="es-ES_tradnl"/>
        </w:rPr>
        <w:tab/>
      </w:r>
      <w:r w:rsidRPr="00104C20">
        <w:rPr>
          <w:rFonts w:ascii="Verdana" w:hAnsi="Verdana" w:cs="Arial"/>
          <w:lang w:val="es-ES" w:eastAsia="es-ES"/>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w:t>
      </w:r>
      <w:r w:rsidRPr="00104C20">
        <w:rPr>
          <w:rFonts w:ascii="Verdana" w:hAnsi="Verdana" w:cs="Arial"/>
          <w:lang w:val="es-ES" w:eastAsia="es-ES"/>
        </w:rPr>
        <w:lastRenderedPageBreak/>
        <w:t xml:space="preserve">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Pr>
          <w:rFonts w:ascii="Verdana" w:hAnsi="Verdana" w:cs="Arial"/>
          <w:lang w:val="es-ES" w:eastAsia="es-ES"/>
        </w:rPr>
        <w:t>á</w:t>
      </w:r>
      <w:r w:rsidRPr="00104C20">
        <w:rPr>
          <w:rFonts w:ascii="Verdana" w:hAnsi="Verdana" w:cs="Arial"/>
          <w:lang w:val="es-ES" w:eastAsia="es-ES"/>
        </w:rPr>
        <w:t>leas</w:t>
      </w:r>
      <w:proofErr w:type="spellEnd"/>
      <w:r w:rsidRPr="00104C20">
        <w:rPr>
          <w:rFonts w:ascii="Verdana" w:hAnsi="Verdana" w:cs="Arial"/>
          <w:lang w:val="es-ES" w:eastAsia="es-ES"/>
        </w:rPr>
        <w:t xml:space="preserve"> normales que se presenten en la ejecución del contrato, de manera que</w:t>
      </w:r>
      <w:r>
        <w:rPr>
          <w:rFonts w:ascii="Verdana" w:hAnsi="Verdana" w:cs="Arial"/>
          <w:lang w:val="es-ES" w:eastAsia="es-ES"/>
        </w:rPr>
        <w:t>,</w:t>
      </w:r>
      <w:r w:rsidRPr="00104C20">
        <w:rPr>
          <w:rFonts w:ascii="Verdana" w:hAnsi="Verdana" w:cs="Arial"/>
          <w:lang w:val="es-ES" w:eastAsia="es-ES"/>
        </w:rPr>
        <w:t xml:space="preserve"> aunque el contratista incurra en mayores costos de los ítems incluidos en la </w:t>
      </w:r>
      <w:r w:rsidRPr="00104C20">
        <w:rPr>
          <w:rFonts w:ascii="Verdana" w:hAnsi="Verdana" w:cs="Arial"/>
          <w:i/>
          <w:iCs/>
          <w:lang w:val="es-ES" w:eastAsia="es-ES"/>
        </w:rPr>
        <w:t>Administración</w:t>
      </w:r>
      <w:r w:rsidRPr="00104C20">
        <w:rPr>
          <w:rFonts w:ascii="Verdana" w:hAnsi="Verdana" w:cs="Arial"/>
          <w:lang w:val="es-ES" w:eastAsia="es-ES"/>
        </w:rPr>
        <w:t xml:space="preserve"> </w:t>
      </w:r>
      <w:r>
        <w:rPr>
          <w:rFonts w:ascii="Verdana" w:hAnsi="Verdana" w:cs="Arial"/>
          <w:lang w:val="es-ES" w:eastAsia="es-ES"/>
        </w:rPr>
        <w:t xml:space="preserve">o en más gastos de </w:t>
      </w:r>
      <w:r w:rsidRPr="00415D51">
        <w:rPr>
          <w:rFonts w:ascii="Verdana" w:hAnsi="Verdana" w:cs="Arial"/>
          <w:i/>
          <w:iCs/>
          <w:lang w:val="es-ES" w:eastAsia="es-ES"/>
        </w:rPr>
        <w:t>Imprevistos</w:t>
      </w:r>
      <w:r>
        <w:rPr>
          <w:rFonts w:ascii="Verdana" w:hAnsi="Verdana" w:cs="Arial"/>
          <w:lang w:val="es-ES" w:eastAsia="es-ES"/>
        </w:rPr>
        <w:t xml:space="preserve"> </w:t>
      </w:r>
      <w:r w:rsidRPr="00104C20">
        <w:rPr>
          <w:rFonts w:ascii="Verdana" w:hAnsi="Verdana" w:cs="Arial"/>
          <w:lang w:val="es-ES" w:eastAsia="es-ES"/>
        </w:rPr>
        <w:t xml:space="preserve">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w:t>
      </w:r>
      <w:r>
        <w:rPr>
          <w:rFonts w:ascii="Verdana" w:hAnsi="Verdana" w:cs="Arial"/>
          <w:lang w:val="es-ES" w:eastAsia="es-ES"/>
        </w:rPr>
        <w:t xml:space="preserve">o gasto </w:t>
      </w:r>
      <w:r w:rsidRPr="00104C20">
        <w:rPr>
          <w:rFonts w:ascii="Verdana" w:hAnsi="Verdana" w:cs="Arial"/>
          <w:lang w:val="es-ES" w:eastAsia="es-ES"/>
        </w:rPr>
        <w:t xml:space="preserve">específico asociado a la </w:t>
      </w:r>
      <w:r w:rsidRPr="00104C20">
        <w:rPr>
          <w:rFonts w:ascii="Verdana" w:hAnsi="Verdana" w:cs="Arial"/>
          <w:i/>
          <w:iCs/>
          <w:lang w:val="es-ES" w:eastAsia="es-ES"/>
        </w:rPr>
        <w:t>Administración</w:t>
      </w:r>
      <w:r>
        <w:rPr>
          <w:rFonts w:ascii="Verdana" w:hAnsi="Verdana" w:cs="Arial"/>
          <w:i/>
          <w:iCs/>
          <w:lang w:val="es-ES" w:eastAsia="es-ES"/>
        </w:rPr>
        <w:t xml:space="preserve"> </w:t>
      </w:r>
      <w:r w:rsidRPr="00415D51">
        <w:rPr>
          <w:rFonts w:ascii="Verdana" w:hAnsi="Verdana" w:cs="Arial"/>
          <w:lang w:val="es-ES" w:eastAsia="es-ES"/>
        </w:rPr>
        <w:t>o lo</w:t>
      </w:r>
      <w:r>
        <w:rPr>
          <w:rFonts w:ascii="Verdana" w:hAnsi="Verdana" w:cs="Arial"/>
          <w:i/>
          <w:iCs/>
          <w:lang w:val="es-ES" w:eastAsia="es-ES"/>
        </w:rPr>
        <w:t>s Imprevistos</w:t>
      </w:r>
      <w:r w:rsidRPr="00104C20">
        <w:rPr>
          <w:rFonts w:ascii="Verdana" w:hAnsi="Verdana" w:cs="Arial"/>
          <w:lang w:val="es-ES" w:eastAsia="es-ES"/>
        </w:rPr>
        <w:t>, lo que generaría más gastos tanto para la entidad como para el contratista.</w:t>
      </w:r>
    </w:p>
    <w:p w14:paraId="4B310F5F" w14:textId="77777777" w:rsidR="00936B0C" w:rsidRPr="00104C20" w:rsidRDefault="00936B0C" w:rsidP="00936B0C">
      <w:pPr>
        <w:spacing w:before="120" w:after="0" w:line="276" w:lineRule="auto"/>
        <w:jc w:val="both"/>
        <w:rPr>
          <w:rFonts w:ascii="Verdana" w:hAnsi="Verdana" w:cs="Arial"/>
          <w:bCs/>
          <w:szCs w:val="24"/>
          <w:lang w:val="es-ES_tradnl" w:eastAsia="es-ES_tradnl"/>
        </w:rPr>
      </w:pPr>
      <w:r w:rsidRPr="00104C20">
        <w:rPr>
          <w:rFonts w:ascii="Verdana" w:hAnsi="Verdana" w:cs="Arial"/>
          <w:bCs/>
          <w:szCs w:val="24"/>
          <w:lang w:val="es-ES_tradnl" w:eastAsia="es-ES_tradnl"/>
        </w:rPr>
        <w:tab/>
        <w:t>En este sentido, cuando las entidades estatales incluyen esta forma de desglosar el precio, en los últimos términos indicados, al realizar el estudio de mercado elaboran un presupuesto estimado del valor de la ejecución del contrato</w:t>
      </w:r>
      <w:r>
        <w:rPr>
          <w:rFonts w:ascii="Verdana" w:hAnsi="Verdana" w:cs="Arial"/>
          <w:bCs/>
          <w:szCs w:val="24"/>
          <w:lang w:val="es-ES_tradnl" w:eastAsia="es-ES_tradnl"/>
        </w:rPr>
        <w:t>, el cual supone un análisis técnico de los costos</w:t>
      </w:r>
      <w:r w:rsidRPr="00104C20">
        <w:rPr>
          <w:rFonts w:ascii="Verdana" w:hAnsi="Verdana" w:cs="Arial"/>
          <w:bCs/>
          <w:szCs w:val="24"/>
          <w:lang w:val="es-ES_tradnl" w:eastAsia="es-ES_tradnl"/>
        </w:rPr>
        <w:t xml:space="preserve">. Dicho presupuesto estimado incluye los costos genéricos </w:t>
      </w:r>
      <w:r w:rsidRPr="00104C20">
        <w:rPr>
          <w:rFonts w:ascii="Verdana" w:hAnsi="Verdana" w:cs="Arial"/>
          <w:bCs/>
          <w:i/>
          <w:iCs/>
          <w:szCs w:val="24"/>
          <w:lang w:val="es-ES_tradnl" w:eastAsia="es-ES_tradnl"/>
        </w:rPr>
        <w:t xml:space="preserve">indirectos </w:t>
      </w:r>
      <w:r w:rsidRPr="00104C20">
        <w:rPr>
          <w:rFonts w:ascii="Verdana" w:hAnsi="Verdana" w:cs="Arial"/>
          <w:bCs/>
          <w:szCs w:val="24"/>
          <w:lang w:val="es-ES_tradnl" w:eastAsia="es-ES_tradnl"/>
        </w:rPr>
        <w:t xml:space="preserve">en que incurren los contratistas, entre ellos, los de la </w:t>
      </w:r>
      <w:r w:rsidRPr="00104C20">
        <w:rPr>
          <w:rFonts w:ascii="Verdana" w:hAnsi="Verdana" w:cs="Arial"/>
          <w:bCs/>
          <w:i/>
          <w:iCs/>
          <w:szCs w:val="24"/>
          <w:lang w:val="es-ES_tradnl" w:eastAsia="es-ES_tradnl"/>
        </w:rPr>
        <w:t>Administración</w:t>
      </w:r>
      <w:r>
        <w:rPr>
          <w:rFonts w:ascii="Verdana" w:hAnsi="Verdana" w:cs="Arial"/>
          <w:bCs/>
          <w:i/>
          <w:iCs/>
          <w:szCs w:val="24"/>
          <w:lang w:val="es-ES_tradnl" w:eastAsia="es-ES_tradnl"/>
        </w:rPr>
        <w:t xml:space="preserve"> </w:t>
      </w:r>
      <w:r>
        <w:rPr>
          <w:rFonts w:ascii="Verdana" w:hAnsi="Verdana" w:cs="Arial"/>
          <w:lang w:val="es-ES_tradnl" w:eastAsia="es-ES"/>
        </w:rPr>
        <w:t>y</w:t>
      </w:r>
      <w:r w:rsidRPr="00415D51">
        <w:rPr>
          <w:rFonts w:ascii="Verdana" w:hAnsi="Verdana" w:cs="Arial"/>
          <w:lang w:val="es-ES" w:eastAsia="es-ES"/>
        </w:rPr>
        <w:t xml:space="preserve"> lo</w:t>
      </w:r>
      <w:r>
        <w:rPr>
          <w:rFonts w:ascii="Verdana" w:hAnsi="Verdana" w:cs="Arial"/>
          <w:i/>
          <w:iCs/>
          <w:lang w:val="es-ES" w:eastAsia="es-ES"/>
        </w:rPr>
        <w:t>s Imprevistos</w:t>
      </w:r>
      <w:r w:rsidRPr="00104C20">
        <w:rPr>
          <w:rFonts w:ascii="Verdana" w:hAnsi="Verdana" w:cs="Arial"/>
          <w:bCs/>
          <w:szCs w:val="24"/>
          <w:lang w:val="es-ES_tradnl" w:eastAsia="es-ES_tradnl"/>
        </w:rPr>
        <w:t>, para efectos de definir el porcentaje con el que calculan el presupuesto, pese a que el monto de est</w:t>
      </w:r>
      <w:r>
        <w:rPr>
          <w:rFonts w:ascii="Verdana" w:hAnsi="Verdana" w:cs="Arial"/>
          <w:bCs/>
          <w:szCs w:val="24"/>
          <w:lang w:val="es-ES_tradnl" w:eastAsia="es-ES_tradnl"/>
        </w:rPr>
        <w:t>os</w:t>
      </w:r>
      <w:r w:rsidRPr="00104C20">
        <w:rPr>
          <w:rFonts w:ascii="Verdana" w:hAnsi="Verdana" w:cs="Arial"/>
          <w:bCs/>
          <w:szCs w:val="24"/>
          <w:lang w:val="es-ES_tradnl" w:eastAsia="es-ES_tradnl"/>
        </w:rPr>
        <w:t xml:space="preserve"> componente</w:t>
      </w:r>
      <w:r>
        <w:rPr>
          <w:rFonts w:ascii="Verdana" w:hAnsi="Verdana" w:cs="Arial"/>
          <w:bCs/>
          <w:szCs w:val="24"/>
          <w:lang w:val="es-ES_tradnl" w:eastAsia="es-ES_tradnl"/>
        </w:rPr>
        <w:t>s</w:t>
      </w:r>
      <w:r w:rsidRPr="00104C20">
        <w:rPr>
          <w:rFonts w:ascii="Verdana" w:hAnsi="Verdana" w:cs="Arial"/>
          <w:bCs/>
          <w:szCs w:val="24"/>
          <w:lang w:val="es-ES_tradnl" w:eastAsia="es-ES_tradnl"/>
        </w:rPr>
        <w:t xml:space="preserve"> varía ostensiblemente de un proponente a otro, pues </w:t>
      </w:r>
      <w:r>
        <w:rPr>
          <w:rFonts w:ascii="Verdana" w:hAnsi="Verdana" w:cs="Arial"/>
          <w:bCs/>
          <w:szCs w:val="24"/>
          <w:lang w:val="es-ES_tradnl" w:eastAsia="es-ES_tradnl"/>
        </w:rPr>
        <w:t>su</w:t>
      </w:r>
      <w:r w:rsidRPr="00104C20">
        <w:rPr>
          <w:rFonts w:ascii="Verdana" w:hAnsi="Verdana" w:cs="Arial"/>
          <w:bCs/>
          <w:szCs w:val="24"/>
          <w:lang w:val="es-ES_tradnl" w:eastAsia="es-ES_tradnl"/>
        </w:rPr>
        <w:t xml:space="preserve"> valor real depende de circunstancias particulares de los </w:t>
      </w:r>
      <w:r>
        <w:rPr>
          <w:rFonts w:ascii="Verdana" w:hAnsi="Verdana" w:cs="Arial"/>
          <w:bCs/>
          <w:szCs w:val="24"/>
          <w:lang w:val="es-ES_tradnl" w:eastAsia="es-ES_tradnl"/>
        </w:rPr>
        <w:t>oferentes</w:t>
      </w:r>
      <w:r w:rsidRPr="00104C20">
        <w:rPr>
          <w:rFonts w:ascii="Verdana" w:hAnsi="Verdana" w:cs="Arial"/>
          <w:bCs/>
          <w:szCs w:val="24"/>
          <w:vertAlign w:val="superscript"/>
          <w:lang w:val="es-ES_tradnl" w:eastAsia="es-ES_tradnl"/>
        </w:rPr>
        <w:footnoteReference w:id="18"/>
      </w:r>
      <w:r w:rsidRPr="00104C20">
        <w:rPr>
          <w:rFonts w:ascii="Verdana" w:hAnsi="Verdana" w:cs="Arial"/>
          <w:bCs/>
          <w:szCs w:val="24"/>
          <w:lang w:val="es-ES_tradnl" w:eastAsia="es-ES_tradnl"/>
        </w:rPr>
        <w:t xml:space="preserve">. </w:t>
      </w:r>
      <w:r>
        <w:rPr>
          <w:rFonts w:ascii="Verdana" w:hAnsi="Verdana" w:cs="Arial"/>
          <w:bCs/>
          <w:szCs w:val="24"/>
          <w:lang w:val="es-ES_tradnl" w:eastAsia="es-ES_tradnl"/>
        </w:rPr>
        <w:t>Por tanto, en abstracto, no existe un límite mínimo ni máximo respecto al porcentaje.</w:t>
      </w:r>
    </w:p>
    <w:p w14:paraId="3427836F" w14:textId="77777777" w:rsidR="00936B0C" w:rsidRDefault="00936B0C" w:rsidP="00936B0C">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w:t>
      </w:r>
      <w:r w:rsidRPr="00104C20">
        <w:rPr>
          <w:rFonts w:ascii="Verdana" w:hAnsi="Verdana" w:cs="Arial"/>
          <w:lang w:val="es-ES" w:eastAsia="es-ES"/>
        </w:rPr>
        <w:lastRenderedPageBreak/>
        <w:t xml:space="preserve">porcentaje fijo y estable también puede resultar favorable a la entidad estatal, pues su contraparte no le podrá exigir un monto superior, bajo el argumento de que incurrió en costos </w:t>
      </w:r>
      <w:r>
        <w:rPr>
          <w:rFonts w:ascii="Verdana" w:hAnsi="Verdana" w:cs="Arial"/>
          <w:lang w:val="es-ES" w:eastAsia="es-ES"/>
        </w:rPr>
        <w:t xml:space="preserve">o gastos </w:t>
      </w:r>
      <w:r w:rsidRPr="00104C20">
        <w:rPr>
          <w:rFonts w:ascii="Verdana" w:hAnsi="Verdana" w:cs="Arial"/>
          <w:lang w:val="es-ES" w:eastAsia="es-ES"/>
        </w:rPr>
        <w:t xml:space="preserve">adicionales asociados al componente </w:t>
      </w:r>
      <w:r w:rsidRPr="008335E8">
        <w:rPr>
          <w:rFonts w:ascii="Verdana" w:hAnsi="Verdana" w:cs="Arial"/>
          <w:i/>
          <w:iCs/>
          <w:lang w:val="es-ES" w:eastAsia="es-ES"/>
        </w:rPr>
        <w:t>Administración</w:t>
      </w:r>
      <w:r>
        <w:rPr>
          <w:rFonts w:ascii="Verdana" w:hAnsi="Verdana" w:cs="Arial"/>
          <w:lang w:val="es-ES" w:eastAsia="es-ES"/>
        </w:rPr>
        <w:t xml:space="preserve"> o de </w:t>
      </w:r>
      <w:r w:rsidRPr="008335E8">
        <w:rPr>
          <w:rFonts w:ascii="Verdana" w:hAnsi="Verdana" w:cs="Arial"/>
          <w:i/>
          <w:iCs/>
          <w:lang w:val="es-ES" w:eastAsia="es-ES"/>
        </w:rPr>
        <w:t>Imprevistos</w:t>
      </w:r>
      <w:r w:rsidRPr="00104C20">
        <w:rPr>
          <w:rFonts w:ascii="Verdana" w:hAnsi="Verdana" w:cs="Arial"/>
          <w:lang w:val="es-ES" w:eastAsia="es-ES"/>
        </w:rPr>
        <w:t>.</w:t>
      </w:r>
    </w:p>
    <w:p w14:paraId="6AE9FD95" w14:textId="77777777" w:rsidR="00936B0C" w:rsidRDefault="00936B0C" w:rsidP="00936B0C">
      <w:pPr>
        <w:spacing w:before="120" w:after="0" w:line="276" w:lineRule="auto"/>
        <w:ind w:firstLine="708"/>
        <w:jc w:val="both"/>
        <w:rPr>
          <w:rFonts w:ascii="Verdana" w:hAnsi="Verdana" w:cs="Arial"/>
          <w:lang w:val="es-ES" w:eastAsia="es-ES"/>
        </w:rPr>
      </w:pPr>
      <w:r w:rsidRPr="00371A1F">
        <w:rPr>
          <w:rFonts w:ascii="Verdana" w:hAnsi="Verdana" w:cs="Arial"/>
          <w:lang w:val="es-ES" w:eastAsia="es-ES"/>
        </w:rPr>
        <w:t xml:space="preserve">Tratándose de los </w:t>
      </w:r>
      <w:r w:rsidRPr="00371A1F">
        <w:rPr>
          <w:rFonts w:ascii="Verdana" w:hAnsi="Verdana" w:cs="Arial"/>
          <w:i/>
          <w:iCs/>
          <w:lang w:val="es-ES" w:eastAsia="es-ES"/>
        </w:rPr>
        <w:t>imprevistos</w:t>
      </w:r>
      <w:r w:rsidRPr="00371A1F">
        <w:rPr>
          <w:rFonts w:ascii="Verdana" w:hAnsi="Verdana" w:cs="Arial"/>
          <w:lang w:val="es-ES" w:eastAsia="es-ES"/>
        </w:rPr>
        <w:t xml:space="preserve">, </w:t>
      </w:r>
      <w:r>
        <w:rPr>
          <w:rFonts w:ascii="Verdana" w:hAnsi="Verdana" w:cs="Arial"/>
          <w:lang w:val="es-ES" w:eastAsia="es-ES"/>
        </w:rPr>
        <w:t>éstos constituyen</w:t>
      </w:r>
      <w:r w:rsidRPr="00494109">
        <w:rPr>
          <w:rFonts w:ascii="Verdana" w:hAnsi="Verdana" w:cs="Arial"/>
          <w:lang w:val="es-ES" w:eastAsia="es-ES"/>
        </w:rPr>
        <w:t xml:space="preserve"> una partida destinada a cubrir gastos no contemplados expresamente en la oferta, pero que suelen presentarse durante la ejecución normal del proyecto</w:t>
      </w:r>
      <w:r>
        <w:rPr>
          <w:rFonts w:ascii="Verdana" w:hAnsi="Verdana" w:cs="Arial"/>
          <w:lang w:val="es-ES" w:eastAsia="es-ES"/>
        </w:rPr>
        <w:t xml:space="preserve">. </w:t>
      </w:r>
      <w:r w:rsidRPr="00494109">
        <w:rPr>
          <w:rFonts w:ascii="Verdana" w:hAnsi="Verdana" w:cs="Arial"/>
          <w:lang w:val="es-ES" w:eastAsia="es-ES"/>
        </w:rPr>
        <w:t xml:space="preserve">Se trata de costos adicionales inherentes al desarrollo ordinario </w:t>
      </w:r>
      <w:r>
        <w:rPr>
          <w:rFonts w:ascii="Verdana" w:hAnsi="Verdana" w:cs="Arial"/>
          <w:lang w:val="es-ES" w:eastAsia="es-ES"/>
        </w:rPr>
        <w:t>de la actividad contratada,</w:t>
      </w:r>
      <w:r w:rsidRPr="00494109">
        <w:rPr>
          <w:rFonts w:ascii="Verdana" w:hAnsi="Verdana" w:cs="Arial"/>
          <w:lang w:val="es-ES" w:eastAsia="es-ES"/>
        </w:rPr>
        <w:t xml:space="preserve"> cuya ocurrencia </w:t>
      </w:r>
      <w:r>
        <w:rPr>
          <w:rFonts w:ascii="Verdana" w:hAnsi="Verdana" w:cs="Arial"/>
          <w:lang w:val="es-ES" w:eastAsia="es-ES"/>
        </w:rPr>
        <w:t xml:space="preserve">–por ser parte del alea normal del negocio– </w:t>
      </w:r>
      <w:r w:rsidRPr="00494109">
        <w:rPr>
          <w:rFonts w:ascii="Verdana" w:hAnsi="Verdana" w:cs="Arial"/>
          <w:lang w:val="es-ES" w:eastAsia="es-ES"/>
        </w:rPr>
        <w:t xml:space="preserve">es posible y esperada, aunque </w:t>
      </w:r>
      <w:r>
        <w:rPr>
          <w:rFonts w:ascii="Verdana" w:hAnsi="Verdana" w:cs="Arial"/>
          <w:lang w:val="es-ES" w:eastAsia="es-ES"/>
        </w:rPr>
        <w:t>sea incierto tanto el momento en que se causa</w:t>
      </w:r>
      <w:r w:rsidRPr="00494109">
        <w:rPr>
          <w:rFonts w:ascii="Verdana" w:hAnsi="Verdana" w:cs="Arial"/>
          <w:lang w:val="es-ES" w:eastAsia="es-ES"/>
        </w:rPr>
        <w:t xml:space="preserve"> </w:t>
      </w:r>
      <w:r>
        <w:rPr>
          <w:rFonts w:ascii="Verdana" w:hAnsi="Verdana" w:cs="Arial"/>
          <w:lang w:val="es-ES" w:eastAsia="es-ES"/>
        </w:rPr>
        <w:t>como su</w:t>
      </w:r>
      <w:r w:rsidRPr="00494109">
        <w:rPr>
          <w:rFonts w:ascii="Verdana" w:hAnsi="Verdana" w:cs="Arial"/>
          <w:lang w:val="es-ES" w:eastAsia="es-ES"/>
        </w:rPr>
        <w:t xml:space="preserve"> cuantía</w:t>
      </w:r>
      <w:r>
        <w:rPr>
          <w:rFonts w:ascii="Verdana" w:hAnsi="Verdana" w:cs="Arial"/>
          <w:lang w:val="es-ES" w:eastAsia="es-ES"/>
        </w:rPr>
        <w:t xml:space="preserve">. Para la doctrina, “[…] </w:t>
      </w:r>
      <w:r w:rsidRPr="00BB09DB">
        <w:rPr>
          <w:rFonts w:ascii="Verdana" w:hAnsi="Verdana" w:cs="Arial"/>
          <w:lang w:val="es-ES" w:eastAsia="es-ES"/>
        </w:rPr>
        <w:t xml:space="preserve">es el caso de la sobre remuneración que se paga al personal; la adquisición de materiales a un precio mayor al calculado; el pago de conceptos o </w:t>
      </w:r>
      <w:proofErr w:type="spellStart"/>
      <w:r w:rsidRPr="00BB09DB">
        <w:rPr>
          <w:rFonts w:ascii="Verdana" w:hAnsi="Verdana" w:cs="Arial"/>
          <w:lang w:val="es-ES" w:eastAsia="es-ES"/>
        </w:rPr>
        <w:t>experticios</w:t>
      </w:r>
      <w:proofErr w:type="spellEnd"/>
      <w:r w:rsidRPr="00BB09DB">
        <w:rPr>
          <w:rFonts w:ascii="Verdana" w:hAnsi="Verdana" w:cs="Arial"/>
          <w:lang w:val="es-ES" w:eastAsia="es-ES"/>
        </w:rPr>
        <w:t xml:space="preserve"> técnicos necesarios para evaluar una tarea o trabajo no previsto; la reparación de maquinaria; el alquiler de equipos que no se habían contemplado</w:t>
      </w:r>
      <w:r>
        <w:rPr>
          <w:rFonts w:ascii="Verdana" w:hAnsi="Verdana" w:cs="Arial"/>
          <w:lang w:val="es-ES" w:eastAsia="es-ES"/>
        </w:rPr>
        <w:t>, entre otros […]”</w:t>
      </w:r>
      <w:r>
        <w:rPr>
          <w:rStyle w:val="Refdenotaalpie"/>
          <w:rFonts w:ascii="Verdana" w:hAnsi="Verdana" w:cs="Arial"/>
          <w:lang w:val="es-ES" w:eastAsia="es-ES"/>
        </w:rPr>
        <w:footnoteReference w:id="19"/>
      </w:r>
      <w:r>
        <w:rPr>
          <w:rFonts w:ascii="Verdana" w:hAnsi="Verdana" w:cs="Arial"/>
          <w:lang w:val="es-ES" w:eastAsia="es-ES"/>
        </w:rPr>
        <w:t>.</w:t>
      </w:r>
    </w:p>
    <w:p w14:paraId="2DB2292D" w14:textId="77777777" w:rsidR="00936B0C" w:rsidRDefault="00936B0C" w:rsidP="00936B0C">
      <w:pPr>
        <w:spacing w:before="120" w:after="0" w:line="276" w:lineRule="auto"/>
        <w:ind w:firstLine="708"/>
        <w:jc w:val="both"/>
        <w:rPr>
          <w:rFonts w:ascii="Verdana" w:hAnsi="Verdana" w:cs="Arial"/>
          <w:lang w:eastAsia="es-ES"/>
        </w:rPr>
      </w:pPr>
      <w:r w:rsidRPr="1A02DAE0">
        <w:rPr>
          <w:rFonts w:ascii="Verdana" w:hAnsi="Verdana" w:cs="Arial"/>
          <w:lang w:eastAsia="es-ES"/>
        </w:rPr>
        <w:t>Estos imprevistos son diferentes a las situaciones que corresponden a contingencias extraordinarias, imprevisibles y no controlables por las partes –como los desastres naturales, por ejemplo– que generan un impacto grave y exceden la ejecución ordinaria del contrato. Es decir, “[…] la I como parte del precio no debe confundirse con los riesgos del contrato que conducen al desequilibrio financiero, porque mientras aquélla se refiere a la parte de los gastos extraordinarios que se presentan en el día a día de una obra, pero que son ‘normales’ en su desarrollo; éstos aluden a las contingencias que exceden la ejecución ordinaria del contrato y la capacidad de soportarlas […]”</w:t>
      </w:r>
      <w:r w:rsidRPr="1A02DAE0">
        <w:rPr>
          <w:rStyle w:val="Refdenotaalpie"/>
          <w:rFonts w:ascii="Verdana" w:hAnsi="Verdana" w:cs="Arial"/>
          <w:lang w:eastAsia="es-ES"/>
        </w:rPr>
        <w:footnoteReference w:id="20"/>
      </w:r>
      <w:r w:rsidRPr="1A02DAE0">
        <w:rPr>
          <w:rFonts w:ascii="Verdana" w:hAnsi="Verdana" w:cs="Arial"/>
          <w:lang w:eastAsia="es-ES"/>
        </w:rPr>
        <w:t>. Mientras los primeros integran el precio y forman parte del riesgo normal asumido por el contratista, los segundos pueden dar lugar restablecimiento de la ecuación económica, ya que su asignación no siempre es clara y puede requerir decisión judicial para determinar quién debe asumir su costo</w:t>
      </w:r>
      <w:r w:rsidRPr="1A02DAE0">
        <w:rPr>
          <w:rStyle w:val="Refdenotaalpie"/>
          <w:rFonts w:ascii="Verdana" w:hAnsi="Verdana" w:cs="Arial"/>
          <w:lang w:eastAsia="es-ES"/>
        </w:rPr>
        <w:footnoteReference w:id="21"/>
      </w:r>
      <w:r w:rsidRPr="1A02DAE0">
        <w:rPr>
          <w:rFonts w:ascii="Verdana" w:hAnsi="Verdana" w:cs="Arial"/>
          <w:lang w:eastAsia="es-ES"/>
        </w:rPr>
        <w:t xml:space="preserve">. </w:t>
      </w:r>
    </w:p>
    <w:p w14:paraId="26E27A57" w14:textId="77777777" w:rsidR="00936B0C" w:rsidRPr="00371A1F" w:rsidRDefault="00936B0C" w:rsidP="00936B0C">
      <w:pPr>
        <w:spacing w:before="120" w:after="0" w:line="276" w:lineRule="auto"/>
        <w:ind w:firstLine="708"/>
        <w:jc w:val="both"/>
        <w:rPr>
          <w:rFonts w:ascii="Verdana" w:hAnsi="Verdana" w:cs="Arial"/>
          <w:lang w:val="es-ES" w:eastAsia="es-ES"/>
        </w:rPr>
      </w:pPr>
      <w:r>
        <w:rPr>
          <w:rFonts w:ascii="Verdana" w:hAnsi="Verdana" w:cs="Arial"/>
          <w:lang w:val="es-ES" w:eastAsia="es-ES"/>
        </w:rPr>
        <w:t xml:space="preserve">Asimismo, </w:t>
      </w:r>
      <w:r w:rsidRPr="00371A1F">
        <w:rPr>
          <w:rFonts w:ascii="Verdana" w:hAnsi="Verdana" w:cs="Arial"/>
          <w:lang w:val="es-ES" w:eastAsia="es-ES"/>
        </w:rPr>
        <w:t xml:space="preserve">es necesario tener en cuenta que la Contraloría General de la República replanteó las conclusiones de los Conceptos OJ-0043 y 0J-0075 de 2019, así como del Concepto OJ-130 de 2020. Si bien en ellos sostenía que “[…] los imprevistos no forman parte de la utilidad del contratista, razón por la cual </w:t>
      </w:r>
      <w:r w:rsidRPr="00371A1F">
        <w:rPr>
          <w:rFonts w:ascii="Verdana" w:hAnsi="Verdana" w:cs="Arial"/>
          <w:lang w:val="es-ES" w:eastAsia="es-ES"/>
        </w:rPr>
        <w:lastRenderedPageBreak/>
        <w:t>las entidades públicas, al momento de liquidar los contratos deberán analizar las condiciones de ejecución de los mismos y con base en éstas, determinar si se concretaron o no los riesgos imprevisibles a los que estaba destinado dicho rubro y de ser así en qué proporción fue afectado”, dicha tesis cambió a partir del Concepto OJ-083 de 2022 reiterado en el Concepto OJ 093 de la misma anualidad. Así, la Contraloría General de la República estima que:</w:t>
      </w:r>
    </w:p>
    <w:p w14:paraId="597C3106" w14:textId="77777777" w:rsidR="00936B0C" w:rsidRPr="00371A1F" w:rsidRDefault="00936B0C" w:rsidP="00936B0C">
      <w:pPr>
        <w:spacing w:after="0" w:line="276" w:lineRule="auto"/>
        <w:ind w:firstLine="708"/>
        <w:jc w:val="both"/>
        <w:rPr>
          <w:rFonts w:ascii="Verdana" w:hAnsi="Verdana" w:cs="Arial"/>
          <w:lang w:val="es-ES" w:eastAsia="es-ES"/>
        </w:rPr>
      </w:pPr>
    </w:p>
    <w:p w14:paraId="0C718FB8" w14:textId="77777777" w:rsidR="00936B0C" w:rsidRPr="00BC4483" w:rsidRDefault="00936B0C" w:rsidP="00936B0C">
      <w:pPr>
        <w:spacing w:after="0" w:line="240" w:lineRule="auto"/>
        <w:ind w:left="709" w:right="709"/>
        <w:jc w:val="both"/>
        <w:rPr>
          <w:rFonts w:ascii="Verdana" w:hAnsi="Verdana" w:cs="Arial"/>
          <w:sz w:val="20"/>
          <w:szCs w:val="20"/>
          <w:lang w:val="es-ES" w:eastAsia="es-ES"/>
        </w:rPr>
      </w:pPr>
      <w:r w:rsidRPr="00BC4483">
        <w:rPr>
          <w:rFonts w:ascii="Verdana" w:hAnsi="Verdana" w:cs="Arial"/>
          <w:sz w:val="20"/>
          <w:szCs w:val="20"/>
          <w:lang w:val="es-ES" w:eastAsia="es-ES"/>
        </w:rPr>
        <w:t>“Cuando las entidades públicas deciden incluir en el valor de los contratos los costos de administración imprevistos y utilidad, A.I.U. tienen autonomía para pactar las condiciones para su reconocimiento y pago. En ejercicio de dicha autonomía, las entidades pueden decidir que no se exigirá al contratista que rinda cuentas sobre la partida de imprevistos o que lo haga, en determinadas condiciones.</w:t>
      </w:r>
    </w:p>
    <w:p w14:paraId="7BA345D4" w14:textId="77777777" w:rsidR="00936B0C" w:rsidRPr="00BC4483" w:rsidRDefault="00936B0C" w:rsidP="00936B0C">
      <w:pPr>
        <w:spacing w:after="0" w:line="240" w:lineRule="auto"/>
        <w:ind w:left="709" w:right="709"/>
        <w:jc w:val="both"/>
        <w:rPr>
          <w:rFonts w:ascii="Verdana" w:hAnsi="Verdana" w:cs="Arial"/>
          <w:sz w:val="20"/>
          <w:szCs w:val="20"/>
          <w:lang w:val="es-ES" w:eastAsia="es-ES"/>
        </w:rPr>
      </w:pPr>
      <w:r w:rsidRPr="00BC4483">
        <w:rPr>
          <w:rFonts w:ascii="Verdana" w:hAnsi="Verdana" w:cs="Arial"/>
          <w:sz w:val="20"/>
          <w:szCs w:val="20"/>
          <w:lang w:val="es-ES" w:eastAsia="es-ES"/>
        </w:rPr>
        <w:t>[…]</w:t>
      </w:r>
    </w:p>
    <w:p w14:paraId="41BADADD" w14:textId="77777777" w:rsidR="00936B0C" w:rsidRPr="00BC4483" w:rsidRDefault="00936B0C" w:rsidP="00936B0C">
      <w:pPr>
        <w:spacing w:before="120" w:after="0" w:line="240" w:lineRule="auto"/>
        <w:ind w:left="709" w:right="709"/>
        <w:jc w:val="both"/>
        <w:rPr>
          <w:rFonts w:ascii="Verdana" w:hAnsi="Verdana" w:cs="Arial"/>
          <w:sz w:val="20"/>
          <w:szCs w:val="20"/>
          <w:lang w:val="es-ES" w:eastAsia="es-ES"/>
        </w:rPr>
      </w:pPr>
      <w:r w:rsidRPr="00BC4483">
        <w:rPr>
          <w:rFonts w:ascii="Verdana" w:hAnsi="Verdana" w:cs="Arial"/>
          <w:sz w:val="20"/>
          <w:szCs w:val="20"/>
          <w:lang w:val="es-ES" w:eastAsia="es-ES"/>
        </w:rPr>
        <w:t xml:space="preserve">La obligación del contratista de demostrar si ocurrieron hechos que impacta la partida de imprevistos, dependerá de las condiciones que fueron fijadas en cada caso en el respectivo pliego de condiciones y en el contrato. </w:t>
      </w:r>
    </w:p>
    <w:p w14:paraId="386B2C13" w14:textId="77777777" w:rsidR="00936B0C" w:rsidRPr="00315F83" w:rsidRDefault="00936B0C" w:rsidP="00936B0C">
      <w:pPr>
        <w:spacing w:before="120" w:after="0" w:line="240" w:lineRule="auto"/>
        <w:ind w:left="709" w:right="709"/>
        <w:jc w:val="both"/>
        <w:rPr>
          <w:rFonts w:ascii="Verdana" w:hAnsi="Verdana" w:cs="Arial"/>
          <w:sz w:val="21"/>
          <w:szCs w:val="21"/>
          <w:lang w:val="es-ES" w:eastAsia="es-ES"/>
        </w:rPr>
      </w:pPr>
      <w:r w:rsidRPr="00BC4483">
        <w:rPr>
          <w:rFonts w:ascii="Verdana" w:hAnsi="Verdana" w:cs="Arial"/>
          <w:sz w:val="20"/>
          <w:szCs w:val="20"/>
          <w:lang w:val="es-ES" w:eastAsia="es-ES"/>
        </w:rPr>
        <w:t>Las entidades contratantes deben determinar, en cada caso, según las condiciones que fueron definida para el reconocimiento y pago del A.I.U. si el pago de la partida de imprevistos debe corresponder al porcentaje fijado en la oferta económica para ello”.</w:t>
      </w:r>
    </w:p>
    <w:p w14:paraId="02869BF0" w14:textId="77777777" w:rsidR="00936B0C" w:rsidRDefault="00936B0C" w:rsidP="00936B0C">
      <w:pPr>
        <w:spacing w:after="0" w:line="276" w:lineRule="auto"/>
        <w:jc w:val="both"/>
        <w:rPr>
          <w:rFonts w:ascii="Verdana" w:hAnsi="Verdana" w:cs="Arial"/>
          <w:lang w:val="es-ES" w:eastAsia="es-ES"/>
        </w:rPr>
      </w:pPr>
    </w:p>
    <w:p w14:paraId="01190129" w14:textId="77777777" w:rsidR="00936B0C" w:rsidRDefault="00936B0C" w:rsidP="00936B0C">
      <w:pPr>
        <w:spacing w:after="120" w:line="276" w:lineRule="auto"/>
        <w:ind w:firstLine="709"/>
        <w:jc w:val="both"/>
        <w:rPr>
          <w:rFonts w:ascii="Verdana" w:hAnsi="Verdana" w:cs="Arial"/>
          <w:lang w:val="es-ES" w:eastAsia="es-ES"/>
        </w:rPr>
      </w:pPr>
      <w:r>
        <w:rPr>
          <w:rFonts w:ascii="Verdana" w:hAnsi="Verdana" w:cs="Arial"/>
          <w:lang w:val="es-ES" w:eastAsia="es-ES"/>
        </w:rPr>
        <w:t>Sin embargo, la Contraloría</w:t>
      </w:r>
      <w:r w:rsidRPr="00722538">
        <w:rPr>
          <w:rFonts w:ascii="Verdana" w:hAnsi="Verdana" w:cs="Arial"/>
          <w:lang w:val="es-ES" w:eastAsia="es-ES"/>
        </w:rPr>
        <w:t xml:space="preserve"> </w:t>
      </w:r>
      <w:r>
        <w:rPr>
          <w:rFonts w:ascii="Verdana" w:hAnsi="Verdana" w:cs="Arial"/>
          <w:lang w:val="es-ES" w:eastAsia="es-ES"/>
        </w:rPr>
        <w:t>retoma la línea inicial</w:t>
      </w:r>
      <w:r w:rsidRPr="006474CD">
        <w:rPr>
          <w:rFonts w:ascii="Verdana" w:hAnsi="Verdana" w:cs="Arial"/>
          <w:lang w:val="es-ES" w:eastAsia="es-ES"/>
        </w:rPr>
        <w:t xml:space="preserve"> </w:t>
      </w:r>
      <w:r>
        <w:rPr>
          <w:rFonts w:ascii="Verdana" w:hAnsi="Verdana" w:cs="Arial"/>
          <w:lang w:val="es-ES" w:eastAsia="es-ES"/>
        </w:rPr>
        <w:t>en e</w:t>
      </w:r>
      <w:r w:rsidRPr="00722538">
        <w:rPr>
          <w:rFonts w:ascii="Verdana" w:hAnsi="Verdana" w:cs="Arial"/>
          <w:lang w:val="es-ES" w:eastAsia="es-ES"/>
        </w:rPr>
        <w:t xml:space="preserve">l </w:t>
      </w:r>
      <w:r>
        <w:rPr>
          <w:rFonts w:ascii="Verdana" w:hAnsi="Verdana" w:cs="Arial"/>
          <w:lang w:val="es-ES" w:eastAsia="es-ES"/>
        </w:rPr>
        <w:t>C</w:t>
      </w:r>
      <w:r w:rsidRPr="00722538">
        <w:rPr>
          <w:rFonts w:ascii="Verdana" w:hAnsi="Verdana" w:cs="Arial"/>
          <w:lang w:val="es-ES" w:eastAsia="es-ES"/>
        </w:rPr>
        <w:t>oncepto CGR-OJ-139 de 2025</w:t>
      </w:r>
      <w:r>
        <w:rPr>
          <w:rFonts w:ascii="Verdana" w:hAnsi="Verdana" w:cs="Arial"/>
          <w:lang w:val="es-ES" w:eastAsia="es-ES"/>
        </w:rPr>
        <w:t xml:space="preserve">, por lo que </w:t>
      </w:r>
      <w:r w:rsidRPr="006474CD">
        <w:rPr>
          <w:rFonts w:ascii="Verdana" w:hAnsi="Verdana" w:cs="Arial"/>
          <w:lang w:val="es-ES" w:eastAsia="es-ES"/>
        </w:rPr>
        <w:t>privilegia la demostración de</w:t>
      </w:r>
      <w:r>
        <w:rPr>
          <w:rFonts w:ascii="Verdana" w:hAnsi="Verdana" w:cs="Arial"/>
          <w:lang w:val="es-ES" w:eastAsia="es-ES"/>
        </w:rPr>
        <w:t xml:space="preserve"> </w:t>
      </w:r>
      <w:r w:rsidRPr="006474CD">
        <w:rPr>
          <w:rFonts w:ascii="Verdana" w:hAnsi="Verdana" w:cs="Arial"/>
          <w:lang w:val="es-ES" w:eastAsia="es-ES"/>
        </w:rPr>
        <w:t>l</w:t>
      </w:r>
      <w:r>
        <w:rPr>
          <w:rFonts w:ascii="Verdana" w:hAnsi="Verdana" w:cs="Arial"/>
          <w:lang w:val="es-ES" w:eastAsia="es-ES"/>
        </w:rPr>
        <w:t>os</w:t>
      </w:r>
      <w:r w:rsidRPr="006474CD">
        <w:rPr>
          <w:rFonts w:ascii="Verdana" w:hAnsi="Verdana" w:cs="Arial"/>
          <w:lang w:val="es-ES" w:eastAsia="es-ES"/>
        </w:rPr>
        <w:t xml:space="preserve"> imprevisto</w:t>
      </w:r>
      <w:r>
        <w:rPr>
          <w:rFonts w:ascii="Verdana" w:hAnsi="Verdana" w:cs="Arial"/>
          <w:lang w:val="es-ES" w:eastAsia="es-ES"/>
        </w:rPr>
        <w:t>s</w:t>
      </w:r>
      <w:r w:rsidRPr="006474CD">
        <w:rPr>
          <w:rFonts w:ascii="Verdana" w:hAnsi="Verdana" w:cs="Arial"/>
          <w:lang w:val="es-ES" w:eastAsia="es-ES"/>
        </w:rPr>
        <w:t xml:space="preserve"> como condición para su pago.</w:t>
      </w:r>
      <w:r>
        <w:rPr>
          <w:rFonts w:ascii="Verdana" w:hAnsi="Verdana" w:cs="Arial"/>
          <w:lang w:val="es-ES" w:eastAsia="es-ES"/>
        </w:rPr>
        <w:t xml:space="preserve"> Para estos efectos, estima que “[…] </w:t>
      </w:r>
      <w:r w:rsidRPr="005E5163">
        <w:rPr>
          <w:rFonts w:ascii="Verdana" w:hAnsi="Verdana" w:cs="Arial"/>
          <w:lang w:val="es-ES" w:eastAsia="es-ES"/>
        </w:rPr>
        <w:t>al ser</w:t>
      </w:r>
      <w:r>
        <w:rPr>
          <w:rFonts w:ascii="Verdana" w:hAnsi="Verdana" w:cs="Arial"/>
          <w:lang w:val="es-ES" w:eastAsia="es-ES"/>
        </w:rPr>
        <w:t xml:space="preserve"> </w:t>
      </w:r>
      <w:r w:rsidRPr="005E5163">
        <w:rPr>
          <w:rFonts w:ascii="Verdana" w:hAnsi="Verdana" w:cs="Arial"/>
          <w:lang w:val="es-ES" w:eastAsia="es-ES"/>
        </w:rPr>
        <w:t>independiente y cumplir una función diferente, el componente de Imprevistos, s</w:t>
      </w:r>
      <w:r>
        <w:rPr>
          <w:rFonts w:ascii="Verdana" w:hAnsi="Verdana" w:cs="Arial"/>
          <w:lang w:val="es-ES" w:eastAsia="es-ES"/>
        </w:rPr>
        <w:t>í</w:t>
      </w:r>
      <w:r w:rsidRPr="005E5163">
        <w:rPr>
          <w:rFonts w:ascii="Verdana" w:hAnsi="Verdana" w:cs="Arial"/>
          <w:lang w:val="es-ES" w:eastAsia="es-ES"/>
        </w:rPr>
        <w:t xml:space="preserve"> debe</w:t>
      </w:r>
      <w:r>
        <w:rPr>
          <w:rFonts w:ascii="Verdana" w:hAnsi="Verdana" w:cs="Arial"/>
          <w:lang w:val="es-ES" w:eastAsia="es-ES"/>
        </w:rPr>
        <w:t xml:space="preserve"> </w:t>
      </w:r>
      <w:r w:rsidRPr="005E5163">
        <w:rPr>
          <w:rFonts w:ascii="Verdana" w:hAnsi="Verdana" w:cs="Arial"/>
          <w:lang w:val="es-ES" w:eastAsia="es-ES"/>
        </w:rPr>
        <w:t>ser demostrado, puesto que, la apropiación del mismo, sin justificación técnica, fáctica</w:t>
      </w:r>
      <w:r>
        <w:rPr>
          <w:rFonts w:ascii="Verdana" w:hAnsi="Verdana" w:cs="Arial"/>
          <w:lang w:val="es-ES" w:eastAsia="es-ES"/>
        </w:rPr>
        <w:t xml:space="preserve"> </w:t>
      </w:r>
      <w:r w:rsidRPr="005E5163">
        <w:rPr>
          <w:rFonts w:ascii="Verdana" w:hAnsi="Verdana" w:cs="Arial"/>
          <w:lang w:val="es-ES" w:eastAsia="es-ES"/>
        </w:rPr>
        <w:t>o contractual, iría en contra de los principios de buena fe y equidad en la contratación</w:t>
      </w:r>
      <w:r>
        <w:rPr>
          <w:rFonts w:ascii="Verdana" w:hAnsi="Verdana" w:cs="Arial"/>
          <w:lang w:val="es-ES" w:eastAsia="es-ES"/>
        </w:rPr>
        <w:t xml:space="preserve"> </w:t>
      </w:r>
      <w:r w:rsidRPr="005E5163">
        <w:rPr>
          <w:rFonts w:ascii="Verdana" w:hAnsi="Verdana" w:cs="Arial"/>
          <w:lang w:val="es-ES" w:eastAsia="es-ES"/>
        </w:rPr>
        <w:t>estatal</w:t>
      </w:r>
      <w:r>
        <w:rPr>
          <w:rFonts w:ascii="Verdana" w:hAnsi="Verdana" w:cs="Arial"/>
          <w:lang w:val="es-ES" w:eastAsia="es-ES"/>
        </w:rPr>
        <w:t xml:space="preserve"> […]”</w:t>
      </w:r>
      <w:r w:rsidRPr="005E5163">
        <w:rPr>
          <w:rFonts w:ascii="Verdana" w:hAnsi="Verdana" w:cs="Arial"/>
          <w:lang w:val="es-ES" w:eastAsia="es-ES"/>
        </w:rPr>
        <w:t>.</w:t>
      </w:r>
      <w:r>
        <w:rPr>
          <w:rFonts w:ascii="Verdana" w:hAnsi="Verdana" w:cs="Arial"/>
          <w:lang w:val="es-ES" w:eastAsia="es-ES"/>
        </w:rPr>
        <w:t xml:space="preserve"> </w:t>
      </w:r>
    </w:p>
    <w:p w14:paraId="374E3380" w14:textId="77777777" w:rsidR="00936B0C" w:rsidRDefault="00936B0C" w:rsidP="00936B0C">
      <w:pPr>
        <w:spacing w:after="0" w:line="276" w:lineRule="auto"/>
        <w:ind w:firstLine="709"/>
        <w:jc w:val="both"/>
        <w:rPr>
          <w:rFonts w:ascii="Verdana" w:hAnsi="Verdana" w:cs="Arial"/>
          <w:lang w:val="es-ES" w:eastAsia="es-ES"/>
        </w:rPr>
      </w:pPr>
      <w:r>
        <w:rPr>
          <w:rFonts w:ascii="Verdana" w:hAnsi="Verdana" w:cs="Arial"/>
          <w:lang w:val="es-ES" w:eastAsia="es-ES"/>
        </w:rPr>
        <w:t>Pese a que la postura del órgano de control ha sido cambiante y no se encuentra unificada</w:t>
      </w:r>
      <w:r w:rsidRPr="008335E8">
        <w:rPr>
          <w:rFonts w:ascii="Verdana" w:hAnsi="Verdana" w:cs="Arial"/>
          <w:lang w:val="es-ES" w:eastAsia="es-ES"/>
        </w:rPr>
        <w:t xml:space="preserve">, </w:t>
      </w:r>
      <w:r>
        <w:rPr>
          <w:rFonts w:ascii="Verdana" w:hAnsi="Verdana" w:cs="Arial"/>
          <w:lang w:val="es-ES" w:eastAsia="es-ES"/>
        </w:rPr>
        <w:t xml:space="preserve">Colombia Compra Eficiente considera que </w:t>
      </w:r>
      <w:r w:rsidRPr="008335E8">
        <w:rPr>
          <w:rFonts w:ascii="Verdana" w:hAnsi="Verdana" w:cs="Arial"/>
          <w:lang w:val="es-ES" w:eastAsia="es-ES"/>
        </w:rPr>
        <w:t xml:space="preserve">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w:t>
      </w:r>
      <w:r w:rsidRPr="008335E8">
        <w:rPr>
          <w:rFonts w:ascii="Verdana" w:hAnsi="Verdana" w:cs="Arial"/>
          <w:lang w:val="es-ES" w:eastAsia="es-ES"/>
        </w:rPr>
        <w:lastRenderedPageBreak/>
        <w:t>presupuesto estimado del valor de la ejecución del contrato que, a su vez, sirve de guía para que los proponentes formulen sus ofertas.</w:t>
      </w:r>
    </w:p>
    <w:p w14:paraId="4E1A896A" w14:textId="77777777" w:rsidR="00936B0C" w:rsidRDefault="00936B0C" w:rsidP="00936B0C">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w:t>
      </w:r>
    </w:p>
    <w:p w14:paraId="6B167F06" w14:textId="77777777" w:rsidR="00936B0C" w:rsidRDefault="00936B0C" w:rsidP="00936B0C">
      <w:pPr>
        <w:spacing w:before="120" w:after="0" w:line="276" w:lineRule="auto"/>
        <w:ind w:firstLine="709"/>
        <w:jc w:val="both"/>
        <w:rPr>
          <w:rFonts w:ascii="Verdana" w:hAnsi="Verdana" w:cs="Arial"/>
          <w:lang w:val="es-ES" w:eastAsia="es-ES"/>
        </w:rPr>
      </w:pPr>
      <w:r>
        <w:rPr>
          <w:rFonts w:ascii="Verdana" w:hAnsi="Verdana" w:cs="Arial"/>
          <w:lang w:val="es-ES" w:eastAsia="es-ES"/>
        </w:rPr>
        <w:t xml:space="preserve">Al no existir valores fijos de referencia regulados en la ley o el reglamento, </w:t>
      </w:r>
      <w:r w:rsidRPr="00104C20">
        <w:rPr>
          <w:rFonts w:ascii="Verdana" w:hAnsi="Verdana" w:cs="Arial"/>
          <w:lang w:val="es-ES" w:eastAsia="es-ES"/>
        </w:rPr>
        <w:t>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5913E903" w14:textId="77777777" w:rsidR="00936B0C" w:rsidRDefault="00936B0C" w:rsidP="00936B0C">
      <w:pPr>
        <w:spacing w:after="0" w:line="276" w:lineRule="auto"/>
        <w:ind w:firstLine="709"/>
        <w:jc w:val="both"/>
        <w:rPr>
          <w:rFonts w:ascii="Verdana" w:hAnsi="Verdana" w:cs="Arial"/>
          <w:lang w:val="es-ES" w:eastAsia="es-ES"/>
        </w:rPr>
      </w:pPr>
    </w:p>
    <w:p w14:paraId="6BDEFE37" w14:textId="77777777" w:rsidR="00936B0C" w:rsidRPr="00E97A27" w:rsidRDefault="00936B0C" w:rsidP="00936B0C">
      <w:pPr>
        <w:widowControl w:val="0"/>
        <w:autoSpaceDE w:val="0"/>
        <w:autoSpaceDN w:val="0"/>
        <w:spacing w:after="0" w:line="276" w:lineRule="auto"/>
        <w:jc w:val="both"/>
        <w:rPr>
          <w:rFonts w:ascii="Verdana" w:eastAsia="Arial" w:hAnsi="Verdana" w:cs="Arial"/>
          <w:color w:val="000000" w:themeColor="text1"/>
          <w:lang w:eastAsia="es-ES" w:bidi="es-ES"/>
        </w:rPr>
      </w:pPr>
      <w:proofErr w:type="spellStart"/>
      <w:r>
        <w:rPr>
          <w:rFonts w:ascii="Verdana" w:hAnsi="Verdana" w:cs="Arial"/>
          <w:lang w:val="es-ES" w:eastAsia="es-ES"/>
        </w:rPr>
        <w:t>iii</w:t>
      </w:r>
      <w:proofErr w:type="spellEnd"/>
      <w:r>
        <w:rPr>
          <w:rFonts w:ascii="Verdana" w:hAnsi="Verdana" w:cs="Arial"/>
          <w:lang w:val="es-ES" w:eastAsia="es-ES"/>
        </w:rPr>
        <w:t xml:space="preserve">. </w:t>
      </w:r>
      <w:r>
        <w:rPr>
          <w:rFonts w:ascii="Verdana" w:eastAsia="Arial" w:hAnsi="Verdana" w:cs="Arial"/>
          <w:color w:val="000000" w:themeColor="text1"/>
          <w:lang w:val="es-ES" w:eastAsia="es-ES" w:bidi="es-ES"/>
        </w:rPr>
        <w:t>Finalmente, d</w:t>
      </w:r>
      <w:r w:rsidRPr="00E97A27">
        <w:rPr>
          <w:rFonts w:ascii="Verdana" w:eastAsia="Arial" w:hAnsi="Verdana" w:cs="Arial"/>
          <w:color w:val="000000" w:themeColor="text1"/>
          <w:lang w:val="es-ES" w:eastAsia="es-ES" w:bidi="es-ES"/>
        </w:rPr>
        <w:t>e conformidad con el artículo 3 de la Ley 80 de 1993</w:t>
      </w:r>
      <w:r>
        <w:rPr>
          <w:rFonts w:ascii="Verdana" w:eastAsia="Arial" w:hAnsi="Verdana" w:cs="Arial"/>
          <w:color w:val="000000" w:themeColor="text1"/>
          <w:lang w:val="es-ES" w:eastAsia="es-ES" w:bidi="es-ES"/>
        </w:rPr>
        <w:t>,</w:t>
      </w:r>
      <w:r w:rsidRPr="00E97A27">
        <w:rPr>
          <w:rFonts w:ascii="Verdana" w:eastAsia="Arial" w:hAnsi="Verdana" w:cs="Arial"/>
          <w:color w:val="000000" w:themeColor="text1"/>
          <w:lang w:val="es-ES" w:eastAsia="es-ES" w:bidi="es-ES"/>
        </w:rPr>
        <w:t xml:space="preserve"> la celebración y ejecución de los contratos estatales </w:t>
      </w:r>
      <w:r w:rsidRPr="00E97A27">
        <w:rPr>
          <w:rFonts w:ascii="Verdana" w:eastAsia="Arial" w:hAnsi="Verdana" w:cs="Arial"/>
          <w:color w:val="000000" w:themeColor="text1"/>
          <w:lang w:eastAsia="es-ES" w:bidi="es-ES"/>
        </w:rPr>
        <w:t>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w:t>
      </w:r>
      <w:r w:rsidRPr="00E97A27">
        <w:rPr>
          <w:rFonts w:ascii="Verdana" w:hAnsi="Verdana" w:cs="Arial"/>
          <w:color w:val="4B4949"/>
          <w:sz w:val="18"/>
          <w:szCs w:val="18"/>
        </w:rPr>
        <w:t xml:space="preserve"> </w:t>
      </w:r>
      <w:r w:rsidRPr="00E97A27">
        <w:rPr>
          <w:rFonts w:ascii="Verdana" w:eastAsia="Arial" w:hAnsi="Verdana" w:cs="Arial"/>
          <w:color w:val="000000" w:themeColor="text1"/>
          <w:lang w:eastAsia="es-ES" w:bidi="es-ES"/>
        </w:rPr>
        <w:t xml:space="preserve">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64CB73EC" w14:textId="77777777" w:rsidR="00936B0C" w:rsidRPr="00E97A27"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eastAsia="es-ES" w:bidi="es-ES"/>
        </w:rPr>
        <w:t xml:space="preserve">Por remisión de los artículos 13, 32 y 40 del EGCAP al derecho privado, el contrato es ley para las partes conforme al artículo 1602 del Código Civil. Sin embargo, aunque la </w:t>
      </w:r>
      <w:r w:rsidRPr="00752476">
        <w:rPr>
          <w:rFonts w:ascii="Verdana" w:eastAsia="Arial" w:hAnsi="Verdana" w:cs="Arial"/>
          <w:i/>
          <w:iCs/>
          <w:color w:val="000000" w:themeColor="text1"/>
          <w:lang w:eastAsia="es-ES" w:bidi="es-ES"/>
        </w:rPr>
        <w:t>regla general</w:t>
      </w:r>
      <w:r>
        <w:rPr>
          <w:rFonts w:ascii="Verdana" w:eastAsia="Arial" w:hAnsi="Verdana" w:cs="Arial"/>
          <w:color w:val="000000" w:themeColor="text1"/>
          <w:lang w:eastAsia="es-ES" w:bidi="es-ES"/>
        </w:rPr>
        <w:t xml:space="preserve"> es el cumplimiento de los precios pactados, </w:t>
      </w:r>
      <w:r>
        <w:rPr>
          <w:rFonts w:ascii="Verdana" w:eastAsia="Arial" w:hAnsi="Verdana" w:cs="Arial"/>
          <w:i/>
          <w:iCs/>
          <w:color w:val="000000" w:themeColor="text1"/>
          <w:lang w:eastAsia="es-ES" w:bidi="es-ES"/>
        </w:rPr>
        <w:lastRenderedPageBreak/>
        <w:t>de forma excepcional</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pueden surgir circunstancias imprevistas que</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hagan</w:t>
      </w:r>
      <w:r>
        <w:rPr>
          <w:rFonts w:ascii="Verdana" w:eastAsia="Arial" w:hAnsi="Verdana" w:cs="Arial"/>
          <w:color w:val="000000" w:themeColor="text1"/>
          <w:lang w:eastAsia="es-ES" w:bidi="es-ES"/>
        </w:rPr>
        <w:t xml:space="preserve"> la ejecución</w:t>
      </w:r>
      <w:r w:rsidRPr="00752476">
        <w:rPr>
          <w:rFonts w:ascii="Verdana" w:eastAsia="Arial" w:hAnsi="Verdana" w:cs="Arial"/>
          <w:color w:val="000000" w:themeColor="text1"/>
          <w:lang w:eastAsia="es-ES" w:bidi="es-ES"/>
        </w:rPr>
        <w:t xml:space="preserve"> excesivamente gravos</w:t>
      </w:r>
      <w:r>
        <w:rPr>
          <w:rFonts w:ascii="Verdana" w:eastAsia="Arial" w:hAnsi="Verdana" w:cs="Arial"/>
          <w:color w:val="000000" w:themeColor="text1"/>
          <w:lang w:eastAsia="es-ES" w:bidi="es-ES"/>
        </w:rPr>
        <w:t>a</w:t>
      </w:r>
      <w:r w:rsidRPr="00752476">
        <w:rPr>
          <w:rFonts w:ascii="Verdana" w:eastAsia="Arial" w:hAnsi="Verdana" w:cs="Arial"/>
          <w:color w:val="000000" w:themeColor="text1"/>
          <w:lang w:eastAsia="es-ES" w:bidi="es-ES"/>
        </w:rPr>
        <w:t xml:space="preserve">, por lo que se han creado mecanismos para mantener la equidad y el equilibrio entre las </w:t>
      </w:r>
      <w:r>
        <w:rPr>
          <w:rFonts w:ascii="Verdana" w:eastAsia="Arial" w:hAnsi="Verdana" w:cs="Arial"/>
          <w:color w:val="000000" w:themeColor="text1"/>
          <w:lang w:eastAsia="es-ES" w:bidi="es-ES"/>
        </w:rPr>
        <w:t>obligaciones</w:t>
      </w:r>
      <w:r w:rsidRPr="00752476">
        <w:rPr>
          <w:rFonts w:ascii="Verdana" w:eastAsia="Arial" w:hAnsi="Verdana" w:cs="Arial"/>
          <w:color w:val="000000" w:themeColor="text1"/>
          <w:lang w:eastAsia="es-ES" w:bidi="es-ES"/>
        </w:rPr>
        <w:t>.</w:t>
      </w:r>
      <w:r>
        <w:rPr>
          <w:rFonts w:ascii="Verdana" w:eastAsia="Arial" w:hAnsi="Verdana" w:cs="Arial"/>
          <w:color w:val="000000" w:themeColor="text1"/>
          <w:lang w:eastAsia="es-ES" w:bidi="es-ES"/>
        </w:rPr>
        <w:t xml:space="preserve"> </w:t>
      </w:r>
      <w:r w:rsidRPr="00E97A27">
        <w:rPr>
          <w:rFonts w:ascii="Verdana" w:eastAsia="Arial" w:hAnsi="Verdana" w:cs="Arial"/>
          <w:color w:val="000000" w:themeColor="text1"/>
          <w:lang w:eastAsia="es-ES" w:bidi="es-ES"/>
        </w:rPr>
        <w:t>De esta manera, los contratos estatales deben pactar</w:t>
      </w:r>
      <w:r>
        <w:rPr>
          <w:rFonts w:ascii="Verdana" w:eastAsia="Arial" w:hAnsi="Verdana" w:cs="Arial"/>
          <w:color w:val="000000" w:themeColor="text1"/>
          <w:lang w:eastAsia="es-ES" w:bidi="es-ES"/>
        </w:rPr>
        <w:t>se</w:t>
      </w:r>
      <w:r w:rsidRPr="00E97A27">
        <w:rPr>
          <w:rFonts w:ascii="Verdana" w:eastAsia="Arial" w:hAnsi="Verdana" w:cs="Arial"/>
          <w:color w:val="000000" w:themeColor="text1"/>
          <w:lang w:eastAsia="es-ES" w:bidi="es-ES"/>
        </w:rPr>
        <w:t xml:space="preserve">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6C2B0CCF" w14:textId="77777777" w:rsidR="00936B0C" w:rsidRPr="00E97A27" w:rsidRDefault="00936B0C" w:rsidP="00936B0C">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4A974680" w14:textId="77777777" w:rsidR="00936B0C" w:rsidRPr="00AA6517" w:rsidRDefault="00936B0C" w:rsidP="00936B0C">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2" w:anchor="25" w:history="1">
        <w:r w:rsidRPr="00AA6517">
          <w:rPr>
            <w:rFonts w:ascii="Verdana" w:hAnsi="Verdana" w:cs="Arial"/>
            <w:sz w:val="20"/>
            <w:szCs w:val="20"/>
            <w:lang w:val="es-ES" w:eastAsia="es-ES" w:bidi="es-ES"/>
          </w:rPr>
          <w:t>25</w:t>
        </w:r>
      </w:hyperlink>
      <w:r w:rsidRPr="00AA6517">
        <w:rPr>
          <w:rFonts w:ascii="Verdana" w:eastAsia="Arial" w:hAnsi="Verdana" w:cs="Arial"/>
          <w:color w:val="000000" w:themeColor="text1"/>
          <w:sz w:val="20"/>
          <w:szCs w:val="20"/>
          <w:lang w:val="es-ES" w:eastAsia="es-ES" w:bidi="es-ES"/>
        </w:rPr>
        <w:t>. En todo caso, las entidades deberán adoptar las medidas necesarias que aseguren la efectividad de estos pagos y reconocimientos al contratista en la misma o en la siguiente vigencia de que se trate”.</w:t>
      </w:r>
    </w:p>
    <w:p w14:paraId="28788C85" w14:textId="77777777" w:rsidR="00936B0C" w:rsidRPr="00E97A27" w:rsidRDefault="00936B0C" w:rsidP="00936B0C">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33B392FF" w14:textId="77777777" w:rsidR="00936B0C" w:rsidRPr="00E97A27" w:rsidRDefault="00936B0C" w:rsidP="00936B0C">
      <w:pPr>
        <w:autoSpaceDE w:val="0"/>
        <w:autoSpaceDN w:val="0"/>
        <w:adjustRightInd w:val="0"/>
        <w:spacing w:after="0" w:line="276" w:lineRule="auto"/>
        <w:ind w:firstLine="709"/>
        <w:jc w:val="both"/>
        <w:rPr>
          <w:rFonts w:ascii="Verdana" w:hAnsi="Verdana" w:cs="Arial"/>
        </w:rPr>
      </w:pPr>
      <w:r w:rsidRPr="00E97A27">
        <w:rPr>
          <w:rFonts w:ascii="Verdana" w:eastAsia="Arial" w:hAnsi="Verdana" w:cs="Arial"/>
          <w:color w:val="000000" w:themeColor="text1"/>
          <w:lang w:val="es-ES" w:eastAsia="es-ES" w:bidi="es-ES"/>
        </w:rPr>
        <w:t xml:space="preserve">Sobre el principio del equilibrio financiero del contrato, el Consejo de Estado ha señalado que </w:t>
      </w:r>
      <w:r w:rsidRPr="00E97A27">
        <w:rPr>
          <w:rFonts w:ascii="Verdana" w:eastAsia="Arial" w:hAnsi="Verdana" w:cs="Arial"/>
          <w:color w:val="000000" w:themeColor="text1"/>
          <w:lang w:eastAsia="es-ES" w:bidi="es-ES"/>
        </w:rPr>
        <w:t xml:space="preserve">consiste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22"/>
      </w:r>
      <w:r w:rsidRPr="00E97A27">
        <w:rPr>
          <w:rFonts w:ascii="Verdana" w:eastAsia="Arial" w:hAnsi="Verdana" w:cs="Arial"/>
          <w:color w:val="000000" w:themeColor="text1"/>
          <w:lang w:val="es-MX" w:eastAsia="es-ES" w:bidi="es-ES"/>
        </w:rPr>
        <w:t>. En concordancia, la doctrina ha indicado que con este</w:t>
      </w:r>
      <w:r w:rsidRPr="00E97A27">
        <w:rPr>
          <w:rFonts w:ascii="Verdana" w:hAnsi="Verdana" w:cs="Arial"/>
        </w:rPr>
        <w:t xml:space="preserve"> principio, también denominado </w:t>
      </w:r>
      <w:r>
        <w:rPr>
          <w:rFonts w:ascii="Verdana" w:eastAsia="Arial" w:hAnsi="Verdana" w:cs="Arial"/>
          <w:color w:val="000000" w:themeColor="text1"/>
          <w:lang w:val="es-MX" w:eastAsia="es-ES" w:bidi="es-ES"/>
        </w:rPr>
        <w:t>“</w:t>
      </w:r>
      <w:r w:rsidRPr="00E97A27">
        <w:rPr>
          <w:rFonts w:ascii="Verdana" w:hAnsi="Verdana" w:cs="Arial"/>
        </w:rPr>
        <w:t>el de la honesta equivalencia de prestaciones</w:t>
      </w:r>
      <w:r>
        <w:rPr>
          <w:rFonts w:ascii="Verdana" w:eastAsia="Arial" w:hAnsi="Verdana" w:cs="Arial"/>
          <w:color w:val="000000" w:themeColor="text1"/>
          <w:lang w:val="es-MX" w:eastAsia="es-ES" w:bidi="es-ES"/>
        </w:rPr>
        <w:t>”</w:t>
      </w:r>
      <w:r w:rsidRPr="00E97A27">
        <w:rPr>
          <w:rFonts w:ascii="Verdana" w:hAnsi="Verdana" w:cs="Arial"/>
        </w:rPr>
        <w:t xml:space="preserve">, se privilegia el carácter conmutativo o sinalagmático que, por regla general, tiene el contrato estatal, </w:t>
      </w:r>
      <w:r>
        <w:rPr>
          <w:rFonts w:ascii="Verdana" w:eastAsia="Arial" w:hAnsi="Verdana" w:cs="Arial"/>
          <w:color w:val="000000" w:themeColor="text1"/>
          <w:lang w:val="es-MX" w:eastAsia="es-ES" w:bidi="es-ES"/>
        </w:rPr>
        <w:t>“</w:t>
      </w:r>
      <w:r w:rsidRPr="00E97A27">
        <w:rPr>
          <w:rFonts w:ascii="Verdana" w:hAnsi="Verdana" w:cs="Arial"/>
        </w:rPr>
        <w:t xml:space="preserve">lo que significa que las prestaciones (derechos y obligaciones) asumidas por una parte contractual se entienden como equivalentes a las de la otra parte y obliga a la adopción de medidas tendientes a garantizar que esa igualdad </w:t>
      </w:r>
      <w:r w:rsidRPr="00E97A27">
        <w:rPr>
          <w:rFonts w:ascii="Verdana" w:hAnsi="Verdana" w:cs="Arial"/>
        </w:rPr>
        <w:lastRenderedPageBreak/>
        <w:t>existente en términos económicos al tiempo de su celebración se conserve y permanezca intacta durante su ejecución, y a que se restablezca esa equivalencia en caso de su ruptura por circunstancias o causas sobrevinientes, imprevisibles e imputables o no a ellas</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23"/>
      </w:r>
      <w:r w:rsidRPr="00E97A27">
        <w:rPr>
          <w:rFonts w:ascii="Verdana" w:hAnsi="Verdana" w:cs="Arial"/>
        </w:rPr>
        <w:t xml:space="preserve">.  </w:t>
      </w:r>
    </w:p>
    <w:p w14:paraId="0B1B21D3" w14:textId="77777777" w:rsidR="00936B0C" w:rsidRPr="00E97A27"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MX" w:eastAsia="es-ES" w:bidi="es-ES"/>
        </w:rPr>
        <w:t xml:space="preserve">Conforme a lo anterior el equilibrio financiero del contrato se constituye en un principio medular de la contratación estatal que </w:t>
      </w:r>
      <w:r w:rsidRPr="00E97A27">
        <w:rPr>
          <w:rFonts w:ascii="Verdana" w:eastAsia="Arial" w:hAnsi="Verdana" w:cs="Arial"/>
          <w:color w:val="000000" w:themeColor="text1"/>
          <w:lang w:eastAsia="es-ES" w:bidi="es-ES"/>
        </w:rPr>
        <w:t xml:space="preserve">busca, precisamente, mantener las mismas condiciones </w:t>
      </w:r>
      <w:r w:rsidRPr="00E97A27">
        <w:rPr>
          <w:rFonts w:ascii="Verdana" w:eastAsia="Arial" w:hAnsi="Verdana" w:cs="Arial"/>
          <w:color w:val="000000" w:themeColor="text1"/>
          <w:lang w:val="es-ES" w:eastAsia="es-ES" w:bidi="es-ES"/>
        </w:rPr>
        <w:t>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2AED3F52" w14:textId="77777777" w:rsidR="00936B0C"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sidRPr="00E97A27">
        <w:rPr>
          <w:rFonts w:ascii="Verdana" w:eastAsia="Arial" w:hAnsi="Verdana" w:cs="Arial"/>
          <w:i/>
          <w:iCs/>
          <w:color w:val="000000" w:themeColor="text1"/>
          <w:lang w:val="es-ES" w:eastAsia="es-ES" w:bidi="es-ES"/>
        </w:rPr>
        <w:t>ibidem</w:t>
      </w:r>
      <w:r w:rsidRPr="00E97A27">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E97A27">
        <w:rPr>
          <w:rFonts w:ascii="Verdana" w:eastAsia="Arial" w:hAnsi="Verdana" w:cs="Arial"/>
          <w:i/>
          <w:iCs/>
          <w:color w:val="000000" w:themeColor="text1"/>
          <w:lang w:val="es-ES" w:eastAsia="es-ES" w:bidi="es-ES"/>
        </w:rPr>
        <w:t>el equilibrio económico o financiero</w:t>
      </w:r>
      <w:r w:rsidRPr="00E97A27">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r>
        <w:rPr>
          <w:rFonts w:ascii="Verdana" w:eastAsia="Arial" w:hAnsi="Verdana" w:cs="Arial"/>
          <w:color w:val="000000" w:themeColor="text1"/>
          <w:lang w:val="es-ES" w:eastAsia="es-ES" w:bidi="es-ES"/>
        </w:rPr>
        <w:t>De acuerdo con la jurisprudencia:</w:t>
      </w:r>
    </w:p>
    <w:p w14:paraId="6AA2F1F2" w14:textId="77777777" w:rsidR="00936B0C" w:rsidRDefault="00936B0C" w:rsidP="00936B0C">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0828C3DC" w14:textId="77777777" w:rsidR="00936B0C" w:rsidRPr="000E4887" w:rsidRDefault="00936B0C" w:rsidP="00936B0C">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0E4887">
        <w:rPr>
          <w:rFonts w:ascii="Verdana" w:eastAsia="Arial" w:hAnsi="Verdana" w:cs="Arial"/>
          <w:color w:val="000000" w:themeColor="text1"/>
          <w:sz w:val="20"/>
          <w:szCs w:val="20"/>
          <w:lang w:val="es-ES" w:eastAsia="es-ES" w:bidi="es-ES"/>
        </w:rPr>
        <w:t xml:space="preserve">“[…] la cláusula de estabilización o ajuste de precios resulta ser una medida preventiva frente a una situación previsible que puede afectar el resultado económico final del contrato en contra de cualquiera de las partes, y que se resuelve mediante la inclusión de la respectiva estipulación, normalmente expresada en una fórmula matemática concebida en función de los factores que inciden en los costos de ejecución del contrato. Por tanto, es un mecanismo que tiende a preservar la naturaleza conmutativa de los contratos y a garantizar que la equivalencia inicialmente acordada entre las prestaciones recíprocas se mantenga a lo largo de la ejecución del negocio jurídico, en tal forma que la remuneración </w:t>
      </w:r>
      <w:r w:rsidRPr="000E4887">
        <w:rPr>
          <w:rFonts w:ascii="Verdana" w:eastAsia="Arial" w:hAnsi="Verdana" w:cs="Arial"/>
          <w:color w:val="000000" w:themeColor="text1"/>
          <w:sz w:val="20"/>
          <w:szCs w:val="20"/>
          <w:lang w:val="es-ES" w:eastAsia="es-ES" w:bidi="es-ES"/>
        </w:rPr>
        <w:lastRenderedPageBreak/>
        <w:t>recibida finalmente por el contratista corresponda a la que contempló al momento de presentar su propuesta y celebrar el contrato.</w:t>
      </w:r>
    </w:p>
    <w:p w14:paraId="1EEE7477" w14:textId="77777777" w:rsidR="00936B0C" w:rsidRDefault="00936B0C" w:rsidP="00936B0C">
      <w:pPr>
        <w:widowControl w:val="0"/>
        <w:autoSpaceDE w:val="0"/>
        <w:autoSpaceDN w:val="0"/>
        <w:spacing w:before="120" w:after="0" w:line="240" w:lineRule="auto"/>
        <w:ind w:left="709" w:right="709"/>
        <w:jc w:val="both"/>
        <w:rPr>
          <w:rFonts w:ascii="Verdana" w:eastAsia="Arial" w:hAnsi="Verdana" w:cs="Arial"/>
          <w:color w:val="000000" w:themeColor="text1"/>
          <w:lang w:val="es-ES" w:eastAsia="es-ES" w:bidi="es-ES"/>
        </w:rPr>
      </w:pPr>
      <w:r w:rsidRPr="000E4887">
        <w:rPr>
          <w:rFonts w:ascii="Verdana" w:eastAsia="Arial" w:hAnsi="Verdana" w:cs="Arial"/>
          <w:color w:val="000000" w:themeColor="text1"/>
          <w:sz w:val="20"/>
          <w:szCs w:val="20"/>
          <w:lang w:val="es-ES" w:eastAsia="es-ES" w:bidi="es-ES"/>
        </w:rPr>
        <w:t>De igual modo, paralelamente con la actualización de precios la Ley 80 de 1993 también contempla la figura de la revisión de precios, la cual opera cuando sobrevengan hechos económicos que hagan ineficaz o insuficiente la fórmula de reajuste o cuando las partes no han pactado un sistema de ajuste o actualización de los precios y estos sufren alteración como resultado de los fenómenos económicos mencionados, como la inflación o el alza de precios, eventos estos en los cuales puede solicitarse al juez la corrección de la cláusula de ajuste pactada y la revisión de los precios”</w:t>
      </w:r>
      <w:r>
        <w:rPr>
          <w:rStyle w:val="Refdenotaalpie"/>
          <w:rFonts w:ascii="Verdana" w:eastAsia="Arial" w:hAnsi="Verdana" w:cs="Arial"/>
          <w:color w:val="000000" w:themeColor="text1"/>
          <w:sz w:val="20"/>
          <w:szCs w:val="20"/>
          <w:lang w:val="es-ES" w:eastAsia="es-ES" w:bidi="es-ES"/>
        </w:rPr>
        <w:footnoteReference w:id="24"/>
      </w:r>
      <w:r w:rsidRPr="000E4887">
        <w:rPr>
          <w:rFonts w:ascii="Verdana" w:eastAsia="Arial" w:hAnsi="Verdana" w:cs="Arial"/>
          <w:color w:val="000000" w:themeColor="text1"/>
          <w:sz w:val="20"/>
          <w:szCs w:val="20"/>
          <w:lang w:val="es-ES" w:eastAsia="es-ES" w:bidi="es-ES"/>
        </w:rPr>
        <w:t>.</w:t>
      </w:r>
    </w:p>
    <w:p w14:paraId="3CF6ACC8" w14:textId="77777777" w:rsidR="00936B0C" w:rsidRPr="000E4887" w:rsidRDefault="00936B0C" w:rsidP="00936B0C">
      <w:pPr>
        <w:widowControl w:val="0"/>
        <w:autoSpaceDE w:val="0"/>
        <w:autoSpaceDN w:val="0"/>
        <w:spacing w:after="0" w:line="276" w:lineRule="auto"/>
        <w:jc w:val="both"/>
        <w:rPr>
          <w:rFonts w:ascii="Verdana" w:eastAsia="Arial" w:hAnsi="Verdana" w:cs="Arial"/>
          <w:color w:val="000000" w:themeColor="text1"/>
          <w:lang w:val="es-ES" w:eastAsia="es-ES" w:bidi="es-ES"/>
        </w:rPr>
      </w:pPr>
    </w:p>
    <w:p w14:paraId="5E4F4D4B" w14:textId="77777777" w:rsidR="00936B0C" w:rsidRPr="00E97A27" w:rsidRDefault="00936B0C" w:rsidP="00936B0C">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E97A27">
        <w:rPr>
          <w:rFonts w:ascii="Verdana" w:eastAsia="Arial" w:hAnsi="Verdana" w:cs="Arial"/>
          <w:i/>
          <w:iCs/>
          <w:color w:val="000000" w:themeColor="text1"/>
          <w:lang w:val="es-ES" w:eastAsia="es-ES" w:bidi="es-ES"/>
        </w:rPr>
        <w:t>el equilibrio de la ecuación económica</w:t>
      </w:r>
      <w:r w:rsidRPr="00E97A27">
        <w:rPr>
          <w:rFonts w:ascii="Verdana" w:eastAsia="Arial" w:hAnsi="Verdana" w:cs="Arial"/>
          <w:color w:val="000000" w:themeColor="text1"/>
          <w:lang w:val="es-ES" w:eastAsia="es-ES" w:bidi="es-ES"/>
        </w:rPr>
        <w:t xml:space="preserve"> del contrato por la ocurrencia de situaciones imprevistas que no sean imputables a los contratistas. Si dicho equilibrio se rompe por incumplimiento de la entidad estatal contratante, tendrá que restablecerse la ecuación surgida al momento del nacimiento del contrato.</w:t>
      </w:r>
    </w:p>
    <w:p w14:paraId="235531E1" w14:textId="77777777" w:rsidR="00936B0C" w:rsidRPr="00E97A27" w:rsidRDefault="00936B0C" w:rsidP="00936B0C">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E97A27">
        <w:rPr>
          <w:rFonts w:ascii="Verdana" w:eastAsia="Arial" w:hAnsi="Verdana" w:cs="Arial"/>
          <w:i/>
          <w:iCs/>
          <w:color w:val="000000" w:themeColor="text1"/>
          <w:lang w:val="es-ES" w:eastAsia="es-ES" w:bidi="es-ES"/>
        </w:rPr>
        <w:t>la ecuación o equilibrio inicial.</w:t>
      </w:r>
    </w:p>
    <w:p w14:paraId="16675357" w14:textId="77777777" w:rsidR="00936B0C" w:rsidRDefault="00936B0C" w:rsidP="00936B0C">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14F4F8D7" w14:textId="77777777" w:rsidR="00936B0C" w:rsidRPr="00E97A27" w:rsidRDefault="00936B0C" w:rsidP="00936B0C">
      <w:pPr>
        <w:widowControl w:val="0"/>
        <w:autoSpaceDE w:val="0"/>
        <w:autoSpaceDN w:val="0"/>
        <w:spacing w:after="0" w:line="276" w:lineRule="auto"/>
        <w:ind w:firstLine="708"/>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lastRenderedPageBreak/>
        <w:t xml:space="preserve">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p>
    <w:p w14:paraId="14FB077B" w14:textId="77777777" w:rsidR="00936B0C" w:rsidRPr="00E97A27" w:rsidRDefault="00936B0C" w:rsidP="00936B0C">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7D5AB613" w14:textId="77777777" w:rsidR="00936B0C" w:rsidRPr="00AA6517" w:rsidRDefault="00936B0C" w:rsidP="00936B0C">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1C07E02E" w14:textId="77777777" w:rsidR="00936B0C" w:rsidRPr="00AA6517" w:rsidRDefault="00936B0C" w:rsidP="00936B0C">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75300020" w14:textId="77777777" w:rsidR="00936B0C" w:rsidRPr="00AA6517" w:rsidRDefault="00936B0C" w:rsidP="00936B0C">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c) Factores exógenos a las partes del negocio, o ‘teoría de la imprevisión’, o ‘sujeciones materiales imprevistas’, que involucran circunstancias no imputables al Estado y externas al contrato pero con incidencia en él.</w:t>
      </w:r>
    </w:p>
    <w:p w14:paraId="4D81CD66" w14:textId="77777777" w:rsidR="00936B0C" w:rsidRPr="00E97A27" w:rsidRDefault="00936B0C" w:rsidP="00936B0C">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eastAsia="es-ES" w:bidi="es-ES"/>
        </w:rPr>
      </w:pPr>
      <w:r w:rsidRPr="00AA6517">
        <w:rPr>
          <w:rFonts w:ascii="Verdana" w:eastAsia="Arial" w:hAnsi="Verdana" w:cs="Arial"/>
          <w:color w:val="000000" w:themeColor="text1"/>
          <w:sz w:val="20"/>
          <w:szCs w:val="20"/>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sidRPr="00AA6517">
        <w:rPr>
          <w:rStyle w:val="Refdenotaalpie"/>
          <w:rFonts w:ascii="Verdana" w:eastAsia="Arial" w:hAnsi="Verdana" w:cs="Arial"/>
          <w:color w:val="000000" w:themeColor="text1"/>
          <w:sz w:val="20"/>
          <w:szCs w:val="20"/>
          <w:lang w:val="es-ES" w:eastAsia="es-ES" w:bidi="es-ES"/>
        </w:rPr>
        <w:footnoteReference w:id="25"/>
      </w:r>
      <w:r w:rsidRPr="00AA6517">
        <w:rPr>
          <w:rFonts w:ascii="Verdana" w:eastAsia="Arial" w:hAnsi="Verdana" w:cs="Arial"/>
          <w:color w:val="000000" w:themeColor="text1"/>
          <w:sz w:val="20"/>
          <w:szCs w:val="20"/>
          <w:lang w:val="es-ES" w:eastAsia="es-ES" w:bidi="es-ES"/>
        </w:rPr>
        <w:t>.</w:t>
      </w:r>
    </w:p>
    <w:p w14:paraId="07B1B2FA" w14:textId="77777777" w:rsidR="00936B0C" w:rsidRPr="00E97A27" w:rsidRDefault="00936B0C" w:rsidP="00936B0C">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472BCA08" w14:textId="77777777" w:rsidR="00936B0C" w:rsidRPr="00E97A27" w:rsidRDefault="00936B0C" w:rsidP="00936B0C">
      <w:pPr>
        <w:widowControl w:val="0"/>
        <w:autoSpaceDE w:val="0"/>
        <w:autoSpaceDN w:val="0"/>
        <w:spacing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E97A27">
        <w:rPr>
          <w:rStyle w:val="Refdenotaalpie"/>
          <w:rFonts w:ascii="Verdana" w:eastAsia="Arial" w:hAnsi="Verdana" w:cs="Arial"/>
          <w:color w:val="000000" w:themeColor="text1"/>
          <w:lang w:val="es-ES" w:eastAsia="es-ES" w:bidi="es-ES"/>
        </w:rPr>
        <w:footnoteReference w:id="26"/>
      </w:r>
      <w:r w:rsidRPr="00E97A27">
        <w:rPr>
          <w:rFonts w:ascii="Verdana" w:eastAsia="Arial" w:hAnsi="Verdana" w:cs="Arial"/>
          <w:color w:val="000000" w:themeColor="text1"/>
          <w:lang w:val="es-ES" w:eastAsia="es-ES" w:bidi="es-ES"/>
        </w:rPr>
        <w:t xml:space="preserve">. Además, es necesario que las reclamaciones para el restablecimiento se realicen en la oportunidad debida, de manera que </w:t>
      </w:r>
      <w:r w:rsidRPr="00E97A27">
        <w:rPr>
          <w:rFonts w:ascii="Verdana" w:eastAsia="Arial" w:hAnsi="Verdana" w:cs="Arial"/>
          <w:color w:val="000000" w:themeColor="text1"/>
          <w:lang w:eastAsia="es-ES" w:bidi="es-ES"/>
        </w:rPr>
        <w:t xml:space="preserve">si las solicitudes, o salvedades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 xml:space="preserve">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w:t>
      </w:r>
      <w:r w:rsidRPr="00E97A27">
        <w:rPr>
          <w:rFonts w:ascii="Verdana" w:eastAsia="Arial" w:hAnsi="Verdana" w:cs="Arial"/>
          <w:color w:val="000000" w:themeColor="text1"/>
          <w:lang w:eastAsia="es-ES" w:bidi="es-ES"/>
        </w:rPr>
        <w:lastRenderedPageBreak/>
        <w:t>fe contractual</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27"/>
      </w:r>
      <w:r w:rsidRPr="00E97A27">
        <w:rPr>
          <w:rFonts w:ascii="Verdana" w:eastAsia="Arial" w:hAnsi="Verdana" w:cs="Arial"/>
          <w:color w:val="000000" w:themeColor="text1"/>
          <w:lang w:val="es-MX" w:eastAsia="es-ES" w:bidi="es-ES"/>
        </w:rPr>
        <w:t xml:space="preserve">. </w:t>
      </w:r>
    </w:p>
    <w:p w14:paraId="75F26AFF" w14:textId="77777777" w:rsidR="00936B0C" w:rsidRPr="00E97A27"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6FFFAD86" w14:textId="77777777" w:rsidR="00936B0C" w:rsidRPr="00E97A27"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E97A27">
        <w:rPr>
          <w:rFonts w:ascii="Verdana" w:eastAsia="Arial" w:hAnsi="Verdana" w:cs="Arial"/>
          <w:color w:val="000000" w:themeColor="text1"/>
          <w:lang w:eastAsia="es-ES" w:bidi="es-ES"/>
        </w:rPr>
        <w:t xml:space="preserve"> cada caso el contenido del respectivo acuerdo y de sus antecedentes, para determinar el alcance de los otrosíes o de las actas de suspensión correspondientes</w:t>
      </w:r>
      <w:r w:rsidRPr="00E97A27">
        <w:rPr>
          <w:rStyle w:val="Refdenotaalpie"/>
          <w:rFonts w:ascii="Verdana" w:eastAsia="Arial" w:hAnsi="Verdana" w:cs="Arial"/>
          <w:color w:val="000000" w:themeColor="text1"/>
          <w:lang w:eastAsia="es-ES" w:bidi="es-ES"/>
        </w:rPr>
        <w:footnoteReference w:id="28"/>
      </w:r>
      <w:r w:rsidRPr="00E97A27">
        <w:rPr>
          <w:rFonts w:ascii="Verdana" w:eastAsia="Arial" w:hAnsi="Verdana" w:cs="Arial"/>
          <w:color w:val="000000" w:themeColor="text1"/>
          <w:lang w:eastAsia="es-ES" w:bidi="es-ES"/>
        </w:rPr>
        <w:t xml:space="preserve">.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E97A27">
        <w:rPr>
          <w:rFonts w:ascii="Verdana" w:hAnsi="Verdana" w:cs="Arial"/>
        </w:rPr>
        <w:t xml:space="preserve"> </w:t>
      </w:r>
      <w:r w:rsidRPr="00E97A27">
        <w:rPr>
          <w:rFonts w:ascii="Verdana" w:eastAsia="Arial" w:hAnsi="Verdana" w:cs="Arial"/>
          <w:color w:val="000000" w:themeColor="text1"/>
          <w:lang w:eastAsia="es-ES" w:bidi="es-ES"/>
        </w:rPr>
        <w:t>de tales situaciones, haya concurrido a suscribirlo, sin dejar alguna manifestación sobre la insuficiencia de ese acuerdo para satisfacer sus reclamaciones</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w:t>
      </w:r>
    </w:p>
    <w:p w14:paraId="3EB0D54E" w14:textId="77777777" w:rsidR="00936B0C" w:rsidRPr="00E97A27"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w:t>
      </w:r>
      <w:r w:rsidRPr="00E97A27">
        <w:rPr>
          <w:rFonts w:ascii="Verdana" w:eastAsia="Arial" w:hAnsi="Verdana" w:cs="Arial"/>
          <w:color w:val="000000" w:themeColor="text1"/>
          <w:lang w:val="es-ES" w:eastAsia="es-ES" w:bidi="es-ES"/>
        </w:rPr>
        <w:lastRenderedPageBreak/>
        <w:t xml:space="preserve">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p>
    <w:p w14:paraId="20F3F345" w14:textId="77777777" w:rsidR="00936B0C" w:rsidRPr="00E97A27"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w:t>
      </w:r>
    </w:p>
    <w:p w14:paraId="49C8610D" w14:textId="77777777" w:rsidR="00936B0C" w:rsidRPr="00E97A27"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Aunado a lo expuesto,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sidRPr="00E97A27">
        <w:rPr>
          <w:rFonts w:ascii="Verdana" w:eastAsia="Arial" w:hAnsi="Verdana" w:cs="Arial"/>
          <w:lang w:val="es-ES" w:eastAsia="es-ES" w:bidi="es-ES"/>
        </w:rPr>
        <w:t xml:space="preserve"> es </w:t>
      </w:r>
      <w:r>
        <w:rPr>
          <w:rFonts w:ascii="Verdana" w:eastAsia="Arial" w:hAnsi="Verdana" w:cs="Arial"/>
          <w:color w:val="000000" w:themeColor="text1"/>
          <w:lang w:val="es-MX" w:eastAsia="es-ES" w:bidi="es-ES"/>
        </w:rPr>
        <w:t>“</w:t>
      </w:r>
      <w:r w:rsidRPr="00E97A27">
        <w:rPr>
          <w:rFonts w:ascii="Verdana" w:eastAsia="Arial" w:hAnsi="Verdana" w:cs="Arial"/>
          <w:lang w:val="es-ES" w:eastAsia="es-ES" w:bidi="es-ES"/>
        </w:rPr>
        <w:t>preciso entonces el diseño de reglas que permitan la adaptación y la resolución pacífica de las controversias para evitar el fracaso</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29"/>
      </w:r>
      <w:r w:rsidRPr="00E97A27">
        <w:rPr>
          <w:rFonts w:ascii="Verdana" w:eastAsia="Arial" w:hAnsi="Verdana" w:cs="Arial"/>
          <w:lang w:val="es-ES" w:eastAsia="es-ES" w:bidi="es-ES"/>
        </w:rPr>
        <w:t>.</w:t>
      </w:r>
      <w:r w:rsidRPr="00E97A27">
        <w:rPr>
          <w:rFonts w:ascii="Verdana" w:eastAsia="Arial" w:hAnsi="Verdana" w:cs="Arial"/>
          <w:sz w:val="21"/>
          <w:szCs w:val="21"/>
          <w:lang w:val="es-ES" w:eastAsia="es-ES" w:bidi="es-ES"/>
        </w:rPr>
        <w:t xml:space="preserve"> </w:t>
      </w:r>
    </w:p>
    <w:p w14:paraId="27401866" w14:textId="77777777" w:rsidR="00936B0C" w:rsidRPr="00E97A27" w:rsidRDefault="00936B0C" w:rsidP="00936B0C">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En armonía con lo anterior, la doctrina ha señalado que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val="es-ES" w:eastAsia="es-ES" w:bidi="es-ES"/>
        </w:rPr>
        <w:t xml:space="preserve">durante la vigencia del contrato, esto es, el periodo que comprende el interregno que va desde el perfeccionamiento del contrato (acuerdo sobre el objeto y la contraprestación elevado a escrito al tenor del art. 41 </w:t>
      </w:r>
      <w:proofErr w:type="spellStart"/>
      <w:r w:rsidRPr="00E97A27">
        <w:rPr>
          <w:rFonts w:ascii="Verdana" w:eastAsia="Arial" w:hAnsi="Verdana" w:cs="Arial"/>
          <w:color w:val="000000" w:themeColor="text1"/>
          <w:lang w:val="es-ES" w:eastAsia="es-ES" w:bidi="es-ES"/>
        </w:rPr>
        <w:t>inc</w:t>
      </w:r>
      <w:proofErr w:type="spellEnd"/>
      <w:r w:rsidRPr="00E97A27">
        <w:rPr>
          <w:rFonts w:ascii="Verdana" w:eastAsia="Arial" w:hAnsi="Verdana" w:cs="Arial"/>
          <w:color w:val="000000" w:themeColor="text1"/>
          <w:lang w:val="es-ES" w:eastAsia="es-ES" w:bidi="es-ES"/>
        </w:rPr>
        <w:t xml:space="preserve"> 1° de la Ley 80 de 1993) hasta su liquidación, los contratantes tienen la potestad de pactar lo que consideren necesario a efectos de reequilibrar la ecuación contractual, por ejemplo, pueden ajustar la cuantía, las condiciones de ejecución, las formas de </w:t>
      </w:r>
      <w:r w:rsidRPr="00E97A27">
        <w:rPr>
          <w:rFonts w:ascii="Verdana" w:eastAsia="Arial" w:hAnsi="Verdana" w:cs="Arial"/>
          <w:color w:val="000000" w:themeColor="text1"/>
          <w:lang w:val="es-ES" w:eastAsia="es-ES" w:bidi="es-ES"/>
        </w:rPr>
        <w:lastRenderedPageBreak/>
        <w:t>pago, los costos financieros y los interés, en el evento en que los haya</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ES" w:eastAsia="es-ES" w:bidi="es-ES"/>
        </w:rPr>
        <w:footnoteReference w:id="30"/>
      </w:r>
      <w:r w:rsidRPr="00E97A27">
        <w:rPr>
          <w:rFonts w:ascii="Verdana" w:eastAsia="Arial" w:hAnsi="Verdana" w:cs="Arial"/>
          <w:color w:val="000000" w:themeColor="text1"/>
          <w:lang w:val="es-ES" w:eastAsia="es-ES" w:bidi="es-ES"/>
        </w:rPr>
        <w:t xml:space="preserve">. </w:t>
      </w:r>
    </w:p>
    <w:p w14:paraId="60F4D160" w14:textId="77777777" w:rsidR="00936B0C" w:rsidRDefault="00936B0C" w:rsidP="00936B0C">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Así la cosas, con fundamento en el EGCAP, en la jurisprudencia y en la doctrina puede concluir</w:t>
      </w:r>
      <w:r>
        <w:rPr>
          <w:rFonts w:ascii="Verdana" w:eastAsia="Arial" w:hAnsi="Verdana" w:cs="Arial"/>
          <w:color w:val="000000" w:themeColor="text1"/>
          <w:lang w:val="es-ES" w:eastAsia="es-ES" w:bidi="es-ES"/>
        </w:rPr>
        <w:t>se</w:t>
      </w:r>
      <w:r w:rsidRPr="00E97A27">
        <w:rPr>
          <w:rFonts w:ascii="Verdana" w:eastAsia="Arial" w:hAnsi="Verdana" w:cs="Arial"/>
          <w:color w:val="000000" w:themeColor="text1"/>
          <w:lang w:val="es-ES" w:eastAsia="es-ES" w:bidi="es-ES"/>
        </w:rPr>
        <w:t xml:space="preserve">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p>
    <w:p w14:paraId="2B11454A" w14:textId="77777777" w:rsidR="00936B0C" w:rsidRPr="00B8765E" w:rsidRDefault="00936B0C" w:rsidP="00936B0C">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t>R</w:t>
      </w:r>
      <w:r w:rsidRPr="004474BA">
        <w:rPr>
          <w:rFonts w:ascii="Verdana" w:eastAsia="Times New Roman" w:hAnsi="Verdana" w:cs="Arial"/>
          <w:color w:val="000000"/>
          <w:bdr w:val="none" w:sz="0" w:space="0" w:color="auto" w:frame="1"/>
          <w:shd w:val="clear" w:color="auto" w:fill="FFFFFF"/>
          <w:lang w:eastAsia="es-ES_tradnl"/>
        </w:rPr>
        <w:t>especto al contenido de la liquidación</w:t>
      </w:r>
      <w:r>
        <w:rPr>
          <w:rFonts w:ascii="Verdana" w:eastAsia="Times New Roman" w:hAnsi="Verdana" w:cs="Arial"/>
          <w:color w:val="000000"/>
          <w:bdr w:val="none" w:sz="0" w:space="0" w:color="auto" w:frame="1"/>
          <w:shd w:val="clear" w:color="auto" w:fill="FFFFFF"/>
          <w:lang w:eastAsia="es-ES_tradnl"/>
        </w:rPr>
        <w:t xml:space="preserve">, conforme a los incisos segundo y tercero del artículo 60 del EGCAP, “[…] </w:t>
      </w:r>
      <w:r w:rsidRPr="00D118AB">
        <w:rPr>
          <w:rFonts w:ascii="Verdana" w:eastAsia="Times New Roman" w:hAnsi="Verdana" w:cs="Arial"/>
          <w:color w:val="000000"/>
          <w:bdr w:val="none" w:sz="0" w:space="0" w:color="auto" w:frame="1"/>
          <w:shd w:val="clear" w:color="auto" w:fill="FFFFFF"/>
          <w:lang w:eastAsia="es-ES_tradnl"/>
        </w:rPr>
        <w:t>las partes acordarán los ajustes, revisiones y reconocimientos a que haya lugar</w:t>
      </w:r>
      <w:r>
        <w:rPr>
          <w:rFonts w:ascii="Verdana" w:eastAsia="Times New Roman" w:hAnsi="Verdana" w:cs="Arial"/>
          <w:color w:val="000000"/>
          <w:bdr w:val="none" w:sz="0" w:space="0" w:color="auto" w:frame="1"/>
          <w:shd w:val="clear" w:color="auto" w:fill="FFFFFF"/>
          <w:lang w:eastAsia="es-ES_tradnl"/>
        </w:rPr>
        <w:t xml:space="preserve">” y en ella “[…] </w:t>
      </w:r>
      <w:r w:rsidRPr="00D118AB">
        <w:rPr>
          <w:rFonts w:ascii="Verdana" w:eastAsia="Times New Roman" w:hAnsi="Verdana" w:cs="Arial"/>
          <w:color w:val="000000"/>
          <w:bdr w:val="none" w:sz="0" w:space="0" w:color="auto" w:frame="1"/>
          <w:shd w:val="clear" w:color="auto" w:fill="FFFFFF"/>
          <w:lang w:eastAsia="es-ES_tradnl"/>
        </w:rPr>
        <w:t>constarán los acuerdos, conciliaciones y transacciones a que llegaren las partes para poner fin a las divergencias presentadas y poder declararse a paz y salvo</w:t>
      </w:r>
      <w:r>
        <w:rPr>
          <w:rFonts w:ascii="Verdana" w:eastAsia="Times New Roman" w:hAnsi="Verdana" w:cs="Arial"/>
          <w:color w:val="000000"/>
          <w:bdr w:val="none" w:sz="0" w:space="0" w:color="auto" w:frame="1"/>
          <w:shd w:val="clear" w:color="auto" w:fill="FFFFFF"/>
          <w:lang w:eastAsia="es-ES_tradnl"/>
        </w:rPr>
        <w:t>”</w:t>
      </w:r>
      <w:r w:rsidRPr="00D118AB">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Esto hace que la liquidación no sólo sea un mecanismo alternativo de solución de conflictos, sino también un medio para resolver asuntos relacionados con el desequilibrio económico del contrato. </w:t>
      </w:r>
      <w:r w:rsidRPr="00B8765E">
        <w:rPr>
          <w:rFonts w:ascii="Verdana" w:eastAsia="Times New Roman" w:hAnsi="Verdana" w:cs="Arial"/>
          <w:color w:val="000000"/>
          <w:bdr w:val="none" w:sz="0" w:space="0" w:color="auto" w:frame="1"/>
          <w:shd w:val="clear" w:color="auto" w:fill="FFFFFF"/>
          <w:lang w:eastAsia="es-ES_tradnl"/>
        </w:rPr>
        <w:t>Sobre esta última faceta, la norma en comento consagra una posibilidad para que las entidades públicas garanticen el equilibrio económico si éste resultó afectado en la ejecución del negocio jurídico, así que la liquidación es el momento oportuno para resolver las diferencias existentes</w:t>
      </w:r>
      <w:r w:rsidRPr="00B8765E">
        <w:rPr>
          <w:rStyle w:val="Refdenotaalpie"/>
          <w:rFonts w:ascii="Verdana" w:eastAsia="Times New Roman" w:hAnsi="Verdana" w:cs="Arial"/>
          <w:color w:val="000000"/>
          <w:bdr w:val="none" w:sz="0" w:space="0" w:color="auto" w:frame="1"/>
          <w:shd w:val="clear" w:color="auto" w:fill="FFFFFF"/>
          <w:lang w:eastAsia="es-ES_tradnl"/>
        </w:rPr>
        <w:footnoteReference w:id="31"/>
      </w:r>
      <w:r w:rsidRPr="00B8765E">
        <w:rPr>
          <w:rFonts w:ascii="Verdana" w:eastAsia="Times New Roman" w:hAnsi="Verdana" w:cs="Arial"/>
          <w:color w:val="000000"/>
          <w:bdr w:val="none" w:sz="0" w:space="0" w:color="auto" w:frame="1"/>
          <w:shd w:val="clear" w:color="auto" w:fill="FFFFFF"/>
          <w:lang w:eastAsia="es-ES_tradnl"/>
        </w:rPr>
        <w:t>.</w:t>
      </w:r>
      <w:r w:rsidRPr="00AA6517">
        <w:rPr>
          <w:rFonts w:ascii="Verdana" w:eastAsia="Times New Roman" w:hAnsi="Verdana" w:cs="Arial"/>
          <w:color w:val="000000"/>
          <w:sz w:val="20"/>
          <w:szCs w:val="20"/>
          <w:bdr w:val="none" w:sz="0" w:space="0" w:color="auto" w:frame="1"/>
          <w:shd w:val="clear" w:color="auto" w:fill="FFFFFF"/>
          <w:lang w:eastAsia="es-ES_tradnl"/>
        </w:rPr>
        <w:t xml:space="preserve"> </w:t>
      </w:r>
    </w:p>
    <w:p w14:paraId="509BF38F" w14:textId="77777777" w:rsidR="00936B0C" w:rsidRDefault="00936B0C" w:rsidP="00936B0C">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09DBA053" w14:textId="77777777" w:rsidR="00936B0C" w:rsidRPr="004144DE" w:rsidRDefault="00936B0C" w:rsidP="00936B0C">
      <w:pPr>
        <w:tabs>
          <w:tab w:val="left" w:pos="709"/>
        </w:tabs>
        <w:spacing w:after="180" w:line="276" w:lineRule="auto"/>
        <w:jc w:val="both"/>
        <w:rPr>
          <w:rFonts w:ascii="Verdana" w:eastAsia="Calibri" w:hAnsi="Verdana" w:cs="Arial"/>
          <w:bCs/>
          <w:color w:val="000000" w:themeColor="text1"/>
        </w:rPr>
      </w:pPr>
      <w:proofErr w:type="spellStart"/>
      <w:r>
        <w:rPr>
          <w:rFonts w:ascii="Verdana" w:eastAsia="Times New Roman" w:hAnsi="Verdana" w:cs="Arial"/>
          <w:color w:val="000000"/>
          <w:bdr w:val="none" w:sz="0" w:space="0" w:color="auto" w:frame="1"/>
          <w:shd w:val="clear" w:color="auto" w:fill="FFFFFF"/>
          <w:lang w:eastAsia="es-ES_tradnl"/>
        </w:rPr>
        <w:t>iv</w:t>
      </w:r>
      <w:proofErr w:type="spellEnd"/>
      <w:r>
        <w:rPr>
          <w:rFonts w:ascii="Verdana" w:eastAsia="Times New Roman" w:hAnsi="Verdana" w:cs="Arial"/>
          <w:color w:val="000000"/>
          <w:bdr w:val="none" w:sz="0" w:space="0" w:color="auto" w:frame="1"/>
          <w:shd w:val="clear" w:color="auto" w:fill="FFFFFF"/>
          <w:lang w:eastAsia="es-ES_tradnl"/>
        </w:rPr>
        <w:t xml:space="preserve">. </w:t>
      </w:r>
      <w:r w:rsidRPr="0005409E">
        <w:rPr>
          <w:rFonts w:ascii="Verdana" w:eastAsia="Calibri" w:hAnsi="Verdana" w:cs="Arial"/>
          <w:bCs/>
          <w:color w:val="000000" w:themeColor="text1"/>
        </w:rPr>
        <w:t>Al margen de la explicación precedente</w:t>
      </w:r>
      <w:r>
        <w:rPr>
          <w:rFonts w:ascii="Verdana" w:eastAsia="Calibri" w:hAnsi="Verdana" w:cs="Arial"/>
          <w:bCs/>
          <w:color w:val="000000" w:themeColor="text1"/>
        </w:rPr>
        <w:t>,</w:t>
      </w:r>
      <w:r w:rsidRPr="0005409E">
        <w:rPr>
          <w:rFonts w:ascii="Verdana" w:eastAsia="Calibri" w:hAnsi="Verdana" w:cs="Arial"/>
          <w:bCs/>
          <w:color w:val="000000" w:themeColor="text1"/>
        </w:rPr>
        <w:t xml:space="preserve"> debe advertirse que el análisis requerido para resolver problemas específicos en torno a los reconocimientos económicos derivados del desequilibrio en el contrato debe ser realizado por quienes tengan interés en ello, de acuerdo con lo explicado la aclaración preliminar del presente oficio</w:t>
      </w:r>
      <w:r w:rsidRPr="003A380F">
        <w:rPr>
          <w:rFonts w:ascii="Verdana" w:eastAsia="Calibri" w:hAnsi="Verdana" w:cs="Arial"/>
          <w:bCs/>
          <w:color w:val="000000" w:themeColor="text1"/>
        </w:rPr>
        <w:t xml:space="preserve">. De esta manera, las afirmaciones aquí realizadas no pueden ser interpretadas como juicios de valor sobre circunstancias concretas relacionadas con los hechos que motivan la consulta. </w:t>
      </w:r>
      <w:r w:rsidRPr="004144DE">
        <w:rPr>
          <w:rFonts w:ascii="Verdana" w:eastAsia="Calibri" w:hAnsi="Verdana" w:cs="Arial"/>
          <w:bCs/>
          <w:color w:val="000000" w:themeColor="text1"/>
        </w:rPr>
        <w:t xml:space="preserve">Por lo anterior, previo concepto de sus asesores, corresponde a las partes del contrato definir tanto la </w:t>
      </w:r>
      <w:r w:rsidRPr="004144DE">
        <w:rPr>
          <w:rFonts w:ascii="Verdana" w:eastAsia="Calibri" w:hAnsi="Verdana" w:cs="Arial"/>
          <w:bCs/>
          <w:color w:val="000000" w:themeColor="text1"/>
        </w:rPr>
        <w:lastRenderedPageBreak/>
        <w:t>procedencia de los ajustes contractuales frente a la actualización del salario mínimo legal mensual vigente como la forma de viabilizarlo jurídicamente; motivo por el cual, en caso de conflicto, intervendrán las autoridades judiciales, fiscales y disciplinarias.</w:t>
      </w:r>
    </w:p>
    <w:p w14:paraId="49A24ECB" w14:textId="77777777" w:rsidR="00936B0C" w:rsidRPr="00185EE9" w:rsidRDefault="00936B0C" w:rsidP="00936B0C">
      <w:pPr>
        <w:spacing w:after="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72B595E3" w14:textId="77777777" w:rsidR="00936B0C" w:rsidRPr="00182C89" w:rsidRDefault="00936B0C" w:rsidP="00936B0C">
      <w:pPr>
        <w:tabs>
          <w:tab w:val="left" w:pos="709"/>
        </w:tabs>
        <w:spacing w:after="0" w:line="276" w:lineRule="auto"/>
        <w:jc w:val="both"/>
        <w:rPr>
          <w:rFonts w:ascii="Verdana" w:eastAsia="Calibri" w:hAnsi="Verdana" w:cs="Arial"/>
          <w:color w:val="000000" w:themeColor="text1"/>
        </w:rPr>
      </w:pPr>
    </w:p>
    <w:p w14:paraId="3B4424FE" w14:textId="77777777" w:rsidR="00936B0C" w:rsidRPr="00593A5F" w:rsidRDefault="00936B0C" w:rsidP="00936B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04C03F5" w14:textId="77777777" w:rsidR="00936B0C" w:rsidRPr="00593A5F" w:rsidRDefault="00936B0C" w:rsidP="00936B0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36B0C" w:rsidRPr="002407CE" w14:paraId="5319F520" w14:textId="77777777" w:rsidTr="008D2F4E">
        <w:trPr>
          <w:trHeight w:val="56"/>
          <w:jc w:val="center"/>
        </w:trPr>
        <w:tc>
          <w:tcPr>
            <w:tcW w:w="8647" w:type="dxa"/>
          </w:tcPr>
          <w:p w14:paraId="3F40A61F" w14:textId="77777777" w:rsidR="00936B0C" w:rsidRDefault="00936B0C" w:rsidP="008D2F4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B87E7A">
              <w:rPr>
                <w:rFonts w:ascii="Verdana" w:hAnsi="Verdana" w:cs="Arial"/>
              </w:rPr>
              <w:t xml:space="preserve">Ley 80 de 1993, artículos </w:t>
            </w:r>
            <w:r w:rsidRPr="00AE09C3">
              <w:rPr>
                <w:rFonts w:ascii="Verdana" w:hAnsi="Verdana" w:cs="Arial"/>
              </w:rPr>
              <w:t xml:space="preserve">3, 4, 5, 13, 14, 27, </w:t>
            </w:r>
            <w:r>
              <w:rPr>
                <w:rFonts w:ascii="Verdana" w:hAnsi="Verdana" w:cs="Arial"/>
              </w:rPr>
              <w:t xml:space="preserve">30, </w:t>
            </w:r>
            <w:r w:rsidRPr="00AE09C3">
              <w:rPr>
                <w:rFonts w:ascii="Verdana" w:hAnsi="Verdana" w:cs="Arial"/>
              </w:rPr>
              <w:t>32</w:t>
            </w:r>
            <w:r>
              <w:rPr>
                <w:rFonts w:ascii="Verdana" w:hAnsi="Verdana" w:cs="Arial"/>
              </w:rPr>
              <w:t>,</w:t>
            </w:r>
            <w:r w:rsidRPr="00AE09C3">
              <w:rPr>
                <w:rFonts w:ascii="Verdana" w:hAnsi="Verdana" w:cs="Arial"/>
              </w:rPr>
              <w:t xml:space="preserve"> 40 y 60</w:t>
            </w:r>
            <w:r>
              <w:rPr>
                <w:rFonts w:ascii="Verdana" w:hAnsi="Verdana" w:cs="Arial"/>
              </w:rPr>
              <w:t>.</w:t>
            </w:r>
          </w:p>
          <w:p w14:paraId="2E31BE1E" w14:textId="77777777" w:rsidR="00936B0C" w:rsidRDefault="00936B0C" w:rsidP="008D2F4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4.</w:t>
            </w:r>
          </w:p>
          <w:p w14:paraId="455749FB" w14:textId="77777777" w:rsidR="00936B0C" w:rsidRDefault="00936B0C" w:rsidP="008D2F4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1068 de 2015, artículos </w:t>
            </w:r>
            <w:r w:rsidRPr="00E82089">
              <w:rPr>
                <w:rFonts w:ascii="Verdana" w:hAnsi="Verdana" w:cs="Arial"/>
              </w:rPr>
              <w:t>2.4.1.10</w:t>
            </w:r>
            <w:r>
              <w:rPr>
                <w:rFonts w:ascii="Verdana" w:hAnsi="Verdana" w:cs="Arial"/>
              </w:rPr>
              <w:t xml:space="preserve"> y </w:t>
            </w:r>
            <w:r w:rsidRPr="00E82089">
              <w:rPr>
                <w:rFonts w:ascii="Verdana" w:hAnsi="Verdana" w:cs="Arial"/>
              </w:rPr>
              <w:t>2.4.1.1</w:t>
            </w:r>
            <w:r>
              <w:rPr>
                <w:rFonts w:ascii="Verdana" w:hAnsi="Verdana" w:cs="Arial"/>
              </w:rPr>
              <w:t>1.</w:t>
            </w:r>
          </w:p>
          <w:p w14:paraId="40BE0E28" w14:textId="77777777" w:rsidR="00936B0C" w:rsidRDefault="00936B0C" w:rsidP="008D2F4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artículos </w:t>
            </w:r>
            <w:r w:rsidRPr="00265FF6">
              <w:rPr>
                <w:rFonts w:ascii="Verdana" w:hAnsi="Verdana" w:cs="Arial"/>
              </w:rPr>
              <w:t>2.2.1.1.1.3.1</w:t>
            </w:r>
            <w:r>
              <w:rPr>
                <w:rFonts w:ascii="Verdana" w:hAnsi="Verdana" w:cs="Arial"/>
              </w:rPr>
              <w:t xml:space="preserve">, </w:t>
            </w:r>
            <w:r w:rsidRPr="00265FF6">
              <w:rPr>
                <w:rFonts w:ascii="Verdana" w:hAnsi="Verdana" w:cs="Arial"/>
              </w:rPr>
              <w:t>2.2.1.1.2.1.3</w:t>
            </w:r>
            <w:r>
              <w:rPr>
                <w:rFonts w:ascii="Verdana" w:hAnsi="Verdana" w:cs="Arial"/>
              </w:rPr>
              <w:t xml:space="preserve"> y </w:t>
            </w:r>
            <w:r w:rsidRPr="00A3218F">
              <w:rPr>
                <w:rFonts w:ascii="Verdana" w:hAnsi="Verdana" w:cs="Arial"/>
              </w:rPr>
              <w:t>2.2.1.2.1.1.2</w:t>
            </w:r>
            <w:r>
              <w:rPr>
                <w:rFonts w:ascii="Verdana" w:hAnsi="Verdana" w:cs="Arial"/>
              </w:rPr>
              <w:t xml:space="preserve">. </w:t>
            </w:r>
          </w:p>
          <w:p w14:paraId="5631E48E" w14:textId="77777777" w:rsidR="00936B0C" w:rsidRPr="00B87E7A" w:rsidRDefault="00936B0C" w:rsidP="008D2F4E">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754D53">
              <w:rPr>
                <w:rFonts w:ascii="Verdana" w:hAnsi="Verdana" w:cs="Arial"/>
              </w:rPr>
              <w:t>Código Civil, artículo 1602.</w:t>
            </w:r>
          </w:p>
        </w:tc>
      </w:tr>
    </w:tbl>
    <w:p w14:paraId="25DDA8CA" w14:textId="77777777" w:rsidR="00936B0C" w:rsidRPr="002407CE" w:rsidRDefault="00936B0C" w:rsidP="00936B0C">
      <w:pPr>
        <w:widowControl w:val="0"/>
        <w:autoSpaceDE w:val="0"/>
        <w:autoSpaceDN w:val="0"/>
        <w:spacing w:after="0" w:line="276" w:lineRule="auto"/>
        <w:jc w:val="both"/>
        <w:rPr>
          <w:rFonts w:ascii="Verdana" w:hAnsi="Verdana" w:cs="Arial"/>
        </w:rPr>
      </w:pPr>
    </w:p>
    <w:p w14:paraId="43A110E5" w14:textId="77777777" w:rsidR="00936B0C" w:rsidRPr="00593A5F" w:rsidRDefault="00936B0C" w:rsidP="00936B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511EDEC" w14:textId="77777777" w:rsidR="00936B0C" w:rsidRPr="00593A5F" w:rsidRDefault="00936B0C" w:rsidP="00936B0C">
      <w:pPr>
        <w:widowControl w:val="0"/>
        <w:autoSpaceDE w:val="0"/>
        <w:autoSpaceDN w:val="0"/>
        <w:spacing w:after="0" w:line="276" w:lineRule="auto"/>
        <w:jc w:val="both"/>
        <w:rPr>
          <w:rFonts w:ascii="Verdana" w:hAnsi="Verdana" w:cs="Arial"/>
        </w:rPr>
      </w:pPr>
    </w:p>
    <w:p w14:paraId="6BE12A35" w14:textId="77777777" w:rsidR="00936B0C" w:rsidRPr="00ED0098" w:rsidRDefault="00936B0C" w:rsidP="00936B0C">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en varias ocasiones sobre el AIU en los </w:t>
      </w:r>
      <w:r>
        <w:rPr>
          <w:rStyle w:val="normaltextrun"/>
          <w:rFonts w:ascii="Verdana" w:hAnsi="Verdana" w:cs="Arial"/>
          <w:shd w:val="clear" w:color="auto" w:fill="FFFFFF"/>
        </w:rPr>
        <w:t xml:space="preserve">Conceptos </w:t>
      </w:r>
      <w:r w:rsidRPr="00E278D2">
        <w:rPr>
          <w:rStyle w:val="normaltextrun"/>
          <w:rFonts w:ascii="Verdana" w:hAnsi="Verdana" w:cs="Arial"/>
          <w:shd w:val="clear" w:color="auto" w:fill="FFFFFF"/>
        </w:rPr>
        <w:t>4201714000005136 del 14 de noviembre de 2017; 4201714000006401 del 23 de noviembre de 2017;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4201813000004155 del 9 de mayo de 2018; 4201814000008069 del 27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4201814000007383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4201814000008069 del 13 de noviembre de 2018; 4201912000004214 del 26</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junio de 2019; 4201912000006455 y 4201912000006463 del 19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4201912000007375</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28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4201912000007092 del 29 de noviembre de 2019; 4202012000000093, C–037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 xml:space="preserve">del 28 de enero de 2020, </w:t>
      </w:r>
      <w:r w:rsidRPr="00E278D2">
        <w:rPr>
          <w:rStyle w:val="normaltextrun"/>
          <w:rFonts w:ascii="Verdana" w:hAnsi="Verdana" w:cs="Arial"/>
          <w:shd w:val="clear" w:color="auto" w:fill="FFFFFF"/>
        </w:rPr>
        <w:lastRenderedPageBreak/>
        <w:t>4202012000000664 del 30 de enero de 2020, C-191 del 16 de marzo de 2020,</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C-211 del 8 de abril de 2020, C-714 del 9 de diciembre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2020, C-059 del 10 de marzo de 2021, C-613 del 6 de octubre de 2022, C-716 de 15 de noviembre de 2022, C-802 de 23 de noviembre de 2022, C-854 del 9 de diciembre de 2022, C-914 del 27 de diciembre de 2022</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w:t>
      </w:r>
      <w:r>
        <w:rPr>
          <w:rStyle w:val="normaltextrun"/>
          <w:rFonts w:ascii="Verdana" w:hAnsi="Verdana" w:cs="Arial"/>
          <w:shd w:val="clear" w:color="auto" w:fill="FFFFFF"/>
        </w:rPr>
        <w:t>-</w:t>
      </w:r>
      <w:r w:rsidRPr="00E278D2">
        <w:rPr>
          <w:rStyle w:val="normaltextrun"/>
          <w:rFonts w:ascii="Verdana" w:hAnsi="Verdana" w:cs="Arial"/>
          <w:shd w:val="clear" w:color="auto" w:fill="FFFFFF"/>
        </w:rPr>
        <w:t>361 de septiembre de 2023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C-401 del 27 de septiembre de 202</w:t>
      </w:r>
      <w:r>
        <w:rPr>
          <w:rStyle w:val="normaltextrun"/>
          <w:rFonts w:ascii="Verdana" w:hAnsi="Verdana" w:cs="Arial"/>
          <w:shd w:val="clear" w:color="auto" w:fill="FFFFFF"/>
        </w:rPr>
        <w:t xml:space="preserve">3 y C-455 del 18 de septiembre de 2024, C-248 del 3 de abril de 2025 y C-460 del 18 de junio de 2025. Asimismo, </w:t>
      </w:r>
      <w:r w:rsidRPr="00DA1FE4">
        <w:rPr>
          <w:rFonts w:ascii="Verdana" w:eastAsia="Calibri" w:hAnsi="Verdana" w:cs="Arial"/>
          <w:shd w:val="clear" w:color="auto" w:fill="FFFFFF"/>
        </w:rPr>
        <w:t xml:space="preserve">se pronunció sobre </w:t>
      </w:r>
      <w:r>
        <w:rPr>
          <w:rFonts w:ascii="Verdana" w:eastAsia="Calibri" w:hAnsi="Verdana" w:cs="Arial"/>
          <w:shd w:val="clear" w:color="auto" w:fill="FFFFFF"/>
        </w:rPr>
        <w:t>el equilibrio económico del contrato estatal en los Conceptos C-938 del 27 de diciembre de 2022, C-774 del 20 de noviembre de 2024, C-565 del 10 de junio de 2025, C-1029 del 31 de julio de 2025, C-1035 del 8 de septiembre de 2025 y C-1429 del 21 de octubre de 2025.</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81D2B4A" w14:textId="77777777" w:rsidR="00936B0C" w:rsidRPr="00096788" w:rsidRDefault="00936B0C" w:rsidP="00936B0C">
      <w:pPr>
        <w:widowControl w:val="0"/>
        <w:autoSpaceDE w:val="0"/>
        <w:autoSpaceDN w:val="0"/>
        <w:spacing w:after="0" w:line="276" w:lineRule="auto"/>
        <w:jc w:val="both"/>
        <w:rPr>
          <w:rFonts w:ascii="Verdana" w:hAnsi="Verdana" w:cs="Arial"/>
          <w:color w:val="000000" w:themeColor="text1"/>
          <w:shd w:val="clear" w:color="auto" w:fill="FFFFFF"/>
        </w:rPr>
      </w:pPr>
    </w:p>
    <w:p w14:paraId="52128F46" w14:textId="77777777" w:rsidR="00936B0C" w:rsidRDefault="00936B0C" w:rsidP="00936B0C">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2D0F3EA8" w14:textId="77777777" w:rsidR="00936B0C" w:rsidRPr="009A385A" w:rsidRDefault="00936B0C" w:rsidP="00936B0C">
      <w:pPr>
        <w:spacing w:after="0"/>
        <w:jc w:val="both"/>
        <w:rPr>
          <w:rFonts w:ascii="Verdana" w:hAnsi="Verdana"/>
        </w:rPr>
      </w:pPr>
    </w:p>
    <w:p w14:paraId="3CE37EC9" w14:textId="77777777" w:rsidR="00936B0C" w:rsidRDefault="00936B0C" w:rsidP="00936B0C">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7E83B0FE" w14:textId="77777777" w:rsidR="00936B0C" w:rsidRDefault="00936B0C" w:rsidP="00936B0C">
      <w:pPr>
        <w:spacing w:after="0"/>
        <w:jc w:val="both"/>
        <w:rPr>
          <w:rFonts w:ascii="Verdana" w:hAnsi="Verdana"/>
        </w:rPr>
      </w:pPr>
    </w:p>
    <w:p w14:paraId="1D2A0785" w14:textId="77777777" w:rsidR="00936B0C" w:rsidRPr="008E1CD7" w:rsidRDefault="00936B0C" w:rsidP="00936B0C">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lastRenderedPageBreak/>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06F4DE8" w14:textId="77777777" w:rsidR="00936B0C" w:rsidRDefault="00936B0C" w:rsidP="00936B0C">
      <w:pPr>
        <w:shd w:val="clear" w:color="auto" w:fill="FFFFFF"/>
        <w:spacing w:after="0" w:line="276" w:lineRule="auto"/>
        <w:jc w:val="both"/>
        <w:rPr>
          <w:rFonts w:ascii="Verdana" w:hAnsi="Verdana"/>
          <w:color w:val="000000"/>
          <w:u w:val="single"/>
        </w:rPr>
      </w:pPr>
    </w:p>
    <w:p w14:paraId="790CC041" w14:textId="77777777" w:rsidR="00936B0C" w:rsidRPr="00116940" w:rsidRDefault="00936B0C" w:rsidP="00936B0C">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9386AEE" w14:textId="77777777" w:rsidR="00936B0C" w:rsidRPr="00116940" w:rsidRDefault="00936B0C" w:rsidP="00936B0C">
      <w:pPr>
        <w:spacing w:after="0"/>
        <w:jc w:val="both"/>
        <w:rPr>
          <w:rFonts w:ascii="Verdana" w:hAnsi="Verdana"/>
        </w:rPr>
      </w:pPr>
    </w:p>
    <w:p w14:paraId="046B2D44" w14:textId="77777777" w:rsidR="00936B0C" w:rsidRPr="00116940" w:rsidRDefault="00936B0C" w:rsidP="00936B0C">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EB44679" w14:textId="77777777" w:rsidR="00936B0C" w:rsidRPr="00116940" w:rsidRDefault="00936B0C" w:rsidP="00936B0C">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05004F5A" w14:textId="77777777" w:rsidR="00936B0C" w:rsidRPr="00116940" w:rsidRDefault="00936B0C" w:rsidP="00936B0C">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77F0D66E" w14:textId="77777777" w:rsidR="00936B0C" w:rsidRPr="00116940" w:rsidRDefault="00936B0C" w:rsidP="00936B0C">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6D5F36A4" w14:textId="77777777" w:rsidR="00936B0C" w:rsidRPr="00116940" w:rsidRDefault="00936B0C" w:rsidP="00936B0C">
      <w:pPr>
        <w:spacing w:after="0" w:line="240" w:lineRule="auto"/>
        <w:ind w:left="720"/>
        <w:jc w:val="both"/>
        <w:rPr>
          <w:rFonts w:ascii="Verdana" w:hAnsi="Verdana"/>
        </w:rPr>
      </w:pPr>
    </w:p>
    <w:p w14:paraId="78C01501" w14:textId="77777777" w:rsidR="00936B0C" w:rsidRPr="00116940" w:rsidRDefault="00936B0C" w:rsidP="00936B0C">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7BF2C910" w14:textId="77777777" w:rsidR="00936B0C" w:rsidRPr="00116940" w:rsidRDefault="00936B0C" w:rsidP="00936B0C">
      <w:pPr>
        <w:spacing w:after="0" w:line="240" w:lineRule="auto"/>
        <w:rPr>
          <w:rFonts w:ascii="Verdana" w:hAnsi="Verdana"/>
        </w:rPr>
      </w:pPr>
    </w:p>
    <w:p w14:paraId="2C1854D6" w14:textId="77777777" w:rsidR="00936B0C" w:rsidRPr="00116940" w:rsidRDefault="00936B0C" w:rsidP="00936B0C">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C7B707B" w14:textId="77777777" w:rsidR="00936B0C" w:rsidRPr="00116940" w:rsidRDefault="00936B0C" w:rsidP="00936B0C">
      <w:pPr>
        <w:spacing w:after="0" w:line="240" w:lineRule="auto"/>
        <w:jc w:val="both"/>
        <w:rPr>
          <w:rFonts w:ascii="Verdana" w:hAnsi="Verdana"/>
        </w:rPr>
      </w:pPr>
    </w:p>
    <w:p w14:paraId="6696F73F" w14:textId="77777777" w:rsidR="00936B0C" w:rsidRPr="00116940" w:rsidRDefault="00936B0C" w:rsidP="00936B0C">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898208D" w14:textId="77777777" w:rsidR="00936B0C" w:rsidRPr="00116940" w:rsidRDefault="00936B0C" w:rsidP="00936B0C">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F2593F2" w14:textId="77777777" w:rsidR="00936B0C" w:rsidRPr="00116940" w:rsidRDefault="00936B0C" w:rsidP="00936B0C">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FA972C6" w14:textId="77777777" w:rsidR="00936B0C" w:rsidRPr="009C4035" w:rsidRDefault="00936B0C" w:rsidP="00936B0C">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12A4D0D4" w14:textId="77777777" w:rsidR="00936B0C" w:rsidRPr="00593A5F" w:rsidRDefault="00936B0C" w:rsidP="00936B0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w:t>
      </w:r>
      <w:r w:rsidRPr="00593A5F">
        <w:rPr>
          <w:rFonts w:ascii="Verdana" w:hAnsi="Verdana" w:cs="Arial"/>
        </w:rPr>
        <w:lastRenderedPageBreak/>
        <w:t xml:space="preserve">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7EBFFA6" w14:textId="77777777" w:rsidR="00936B0C" w:rsidRPr="00593A5F" w:rsidRDefault="00936B0C" w:rsidP="00936B0C">
      <w:pPr>
        <w:widowControl w:val="0"/>
        <w:autoSpaceDE w:val="0"/>
        <w:autoSpaceDN w:val="0"/>
        <w:spacing w:after="0" w:line="276" w:lineRule="auto"/>
        <w:jc w:val="both"/>
        <w:rPr>
          <w:rFonts w:ascii="Verdana" w:hAnsi="Verdana" w:cs="Arial"/>
        </w:rPr>
      </w:pPr>
    </w:p>
    <w:p w14:paraId="13BB6AB5" w14:textId="77777777" w:rsidR="00936B0C" w:rsidRPr="00593A5F" w:rsidRDefault="00936B0C" w:rsidP="00936B0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7F96EB5" w14:textId="2B9629F8" w:rsidR="00936B0C" w:rsidRPr="00593A5F" w:rsidRDefault="003C75FF" w:rsidP="00936B0C">
      <w:pPr>
        <w:spacing w:line="276" w:lineRule="auto"/>
        <w:jc w:val="center"/>
        <w:rPr>
          <w:rFonts w:ascii="Verdana" w:hAnsi="Verdana" w:cs="Arial"/>
          <w:color w:val="000000"/>
          <w:lang w:val="es-ES_tradnl" w:eastAsia="es-CO"/>
        </w:rPr>
      </w:pPr>
      <w:r>
        <w:rPr>
          <w:noProof/>
        </w:rPr>
        <w:drawing>
          <wp:inline distT="0" distB="0" distL="0" distR="0" wp14:anchorId="3AD4E0FE" wp14:editId="13C83835">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0"/>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36B0C" w:rsidRPr="00593A5F" w14:paraId="1EABAA54" w14:textId="77777777" w:rsidTr="008D2F4E">
        <w:trPr>
          <w:trHeight w:val="315"/>
        </w:trPr>
        <w:tc>
          <w:tcPr>
            <w:tcW w:w="893" w:type="dxa"/>
            <w:vAlign w:val="center"/>
            <w:hideMark/>
          </w:tcPr>
          <w:p w14:paraId="5718DE22" w14:textId="77777777" w:rsidR="00936B0C" w:rsidRPr="003751C7" w:rsidRDefault="00936B0C" w:rsidP="008D2F4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00EAA05" w14:textId="77777777" w:rsidR="00936B0C" w:rsidRPr="00254A7A" w:rsidRDefault="00936B0C" w:rsidP="008D2F4E">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D9D82B1" w14:textId="77777777" w:rsidR="00936B0C" w:rsidRPr="00254A7A" w:rsidRDefault="00936B0C" w:rsidP="008D2F4E">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936B0C" w:rsidRPr="00593A5F" w14:paraId="06F3AA00" w14:textId="77777777" w:rsidTr="008D2F4E">
        <w:trPr>
          <w:trHeight w:val="330"/>
        </w:trPr>
        <w:tc>
          <w:tcPr>
            <w:tcW w:w="893" w:type="dxa"/>
            <w:vAlign w:val="center"/>
            <w:hideMark/>
          </w:tcPr>
          <w:p w14:paraId="3AB20CE4" w14:textId="77777777" w:rsidR="00936B0C" w:rsidRPr="003751C7" w:rsidRDefault="00936B0C" w:rsidP="008D2F4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A55F64" w14:textId="2311DECB" w:rsidR="00936B0C" w:rsidRPr="00FE00BE" w:rsidRDefault="008D2F4E" w:rsidP="008D2F4E">
            <w:pPr>
              <w:pStyle w:val="paragraph"/>
              <w:spacing w:after="0"/>
              <w:contextualSpacing/>
              <w:textAlignment w:val="baseline"/>
              <w:rPr>
                <w:rStyle w:val="normaltextrun"/>
                <w:rFonts w:ascii="Verdana" w:hAnsi="Verdana" w:cs="Arial"/>
                <w:sz w:val="16"/>
                <w:szCs w:val="16"/>
                <w:lang w:val="es-ES_tradnl"/>
              </w:rPr>
            </w:pPr>
            <w:r w:rsidRPr="008D2F4E">
              <w:rPr>
                <w:rStyle w:val="normaltextrun"/>
                <w:rFonts w:ascii="Verdana" w:hAnsi="Verdana" w:cs="Arial"/>
                <w:sz w:val="16"/>
                <w:szCs w:val="16"/>
                <w:lang w:val="es-ES_tradnl"/>
              </w:rPr>
              <w:t>Martha Alicia Romero Vargas</w:t>
            </w:r>
          </w:p>
          <w:p w14:paraId="724973FD" w14:textId="77777777" w:rsidR="00936B0C" w:rsidRPr="00FE00BE" w:rsidRDefault="00936B0C" w:rsidP="008D2F4E">
            <w:pPr>
              <w:pStyle w:val="paragraph"/>
              <w:spacing w:before="0" w:beforeAutospacing="0" w:after="0" w:afterAutospacing="0"/>
              <w:contextualSpacing/>
              <w:textAlignment w:val="baseline"/>
              <w:rPr>
                <w:rFonts w:ascii="Verdana" w:hAnsi="Verdana" w:cs="Segoe UI"/>
                <w:sz w:val="16"/>
                <w:szCs w:val="16"/>
                <w:lang w:val="es-ES_tradnl"/>
              </w:rPr>
            </w:pPr>
            <w:r w:rsidRPr="00FE00BE">
              <w:rPr>
                <w:rStyle w:val="normaltextrun"/>
                <w:rFonts w:ascii="Verdana" w:hAnsi="Verdana" w:cs="Arial"/>
                <w:sz w:val="16"/>
                <w:szCs w:val="16"/>
                <w:lang w:val="es-ES_tradnl"/>
              </w:rPr>
              <w:t>Gestor T1 ‒ 15 de la Subdirección de Gestión Contractual</w:t>
            </w:r>
          </w:p>
        </w:tc>
      </w:tr>
      <w:tr w:rsidR="00936B0C" w:rsidRPr="00593A5F" w14:paraId="4DFAA665" w14:textId="77777777" w:rsidTr="008D2F4E">
        <w:trPr>
          <w:trHeight w:val="300"/>
        </w:trPr>
        <w:tc>
          <w:tcPr>
            <w:tcW w:w="893" w:type="dxa"/>
            <w:vAlign w:val="center"/>
          </w:tcPr>
          <w:p w14:paraId="4CCD637E" w14:textId="77777777" w:rsidR="00936B0C" w:rsidRPr="003751C7" w:rsidRDefault="00936B0C" w:rsidP="008D2F4E">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6EBA07" w14:textId="77777777" w:rsidR="00936B0C" w:rsidRPr="00FE00BE" w:rsidRDefault="00936B0C" w:rsidP="008D2F4E">
            <w:pPr>
              <w:contextualSpacing/>
              <w:rPr>
                <w:rFonts w:ascii="Verdana" w:eastAsia="Calibri" w:hAnsi="Verdana" w:cs="Arial"/>
                <w:sz w:val="16"/>
                <w:szCs w:val="16"/>
                <w:lang w:val="es-ES" w:eastAsia="es-ES"/>
              </w:rPr>
            </w:pPr>
            <w:r w:rsidRPr="1A02DAE0">
              <w:rPr>
                <w:rFonts w:ascii="Verdana" w:eastAsia="Calibri" w:hAnsi="Verdana" w:cs="Arial"/>
                <w:sz w:val="16"/>
                <w:szCs w:val="16"/>
                <w:lang w:val="es-ES" w:eastAsia="es-ES"/>
              </w:rPr>
              <w:t>Carolina Quintero Gacharná</w:t>
            </w:r>
          </w:p>
          <w:p w14:paraId="78E395E7" w14:textId="77777777" w:rsidR="00936B0C" w:rsidRPr="00FE00BE" w:rsidRDefault="00936B0C" w:rsidP="008D2F4E">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23CE44B0" w14:textId="77777777" w:rsidR="00936B0C" w:rsidRDefault="00936B0C" w:rsidP="00936B0C"/>
    <w:p w14:paraId="3B2DDF2B" w14:textId="577CC245" w:rsidR="00936B0C" w:rsidRPr="00543BFE" w:rsidRDefault="00936B0C" w:rsidP="00936B0C"/>
    <w:p w14:paraId="0F293BF4" w14:textId="548C685B" w:rsidR="00127233" w:rsidRPr="00EA3AD0" w:rsidRDefault="00127233" w:rsidP="00EA3AD0"/>
    <w:sectPr w:rsidR="00127233" w:rsidRPr="00EA3AD0"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A0DB9" w14:textId="77777777" w:rsidR="009042B2" w:rsidRDefault="009042B2" w:rsidP="004A1847">
      <w:pPr>
        <w:spacing w:after="0" w:line="240" w:lineRule="auto"/>
      </w:pPr>
      <w:r>
        <w:separator/>
      </w:r>
    </w:p>
  </w:endnote>
  <w:endnote w:type="continuationSeparator" w:id="0">
    <w:p w14:paraId="73B3932D" w14:textId="77777777" w:rsidR="009042B2" w:rsidRDefault="009042B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AA5D55"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AA5D55">
      <w:rPr>
        <w:rFonts w:ascii="Verdana" w:eastAsia="Verdana" w:hAnsi="Verdana" w:cs="Verdana"/>
        <w:b/>
        <w:color w:val="000000" w:themeColor="text1"/>
        <w:sz w:val="18"/>
        <w:szCs w:val="18"/>
        <w:lang w:val="pt-BR" w:eastAsia="es-CO"/>
      </w:rPr>
      <w:t xml:space="preserve">Código: </w:t>
    </w:r>
    <w:r w:rsidRPr="00AA5D55">
      <w:rPr>
        <w:rFonts w:ascii="Verdana" w:eastAsia="Verdana" w:hAnsi="Verdana" w:cs="Verdana"/>
        <w:color w:val="000000" w:themeColor="text1"/>
        <w:sz w:val="18"/>
        <w:szCs w:val="18"/>
        <w:lang w:val="pt-BR" w:eastAsia="es-CO"/>
      </w:rPr>
      <w:t xml:space="preserve">CCE-REC-FM-17 </w:t>
    </w:r>
    <w:r w:rsidRPr="00AA5D55">
      <w:rPr>
        <w:rFonts w:ascii="Verdana" w:eastAsia="Verdana" w:hAnsi="Verdana" w:cs="Verdana"/>
        <w:b/>
        <w:color w:val="000000" w:themeColor="text1"/>
        <w:sz w:val="18"/>
        <w:szCs w:val="18"/>
        <w:lang w:val="pt-BR" w:eastAsia="es-CO"/>
      </w:rPr>
      <w:t xml:space="preserve">V: </w:t>
    </w:r>
    <w:r w:rsidRPr="00AA5D55">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500E3" w14:textId="77777777" w:rsidR="009042B2" w:rsidRDefault="009042B2" w:rsidP="004A1847">
      <w:pPr>
        <w:spacing w:after="0" w:line="240" w:lineRule="auto"/>
      </w:pPr>
      <w:r>
        <w:separator/>
      </w:r>
    </w:p>
  </w:footnote>
  <w:footnote w:type="continuationSeparator" w:id="0">
    <w:p w14:paraId="49FEE2A2" w14:textId="77777777" w:rsidR="009042B2" w:rsidRDefault="009042B2" w:rsidP="004A1847">
      <w:pPr>
        <w:spacing w:after="0" w:line="240" w:lineRule="auto"/>
      </w:pPr>
      <w:r>
        <w:continuationSeparator/>
      </w:r>
    </w:p>
  </w:footnote>
  <w:footnote w:id="1">
    <w:p w14:paraId="5FDC51DD" w14:textId="77777777" w:rsidR="00936B0C" w:rsidRPr="00364005" w:rsidRDefault="00936B0C" w:rsidP="00936B0C">
      <w:pPr>
        <w:pStyle w:val="Textonotapie"/>
        <w:ind w:firstLine="708"/>
        <w:jc w:val="both"/>
        <w:rPr>
          <w:rFonts w:ascii="Verdana" w:hAnsi="Verdana" w:cs="Arial"/>
          <w:sz w:val="16"/>
          <w:szCs w:val="16"/>
          <w:lang w:val="en-US"/>
        </w:rPr>
      </w:pPr>
      <w:r w:rsidRPr="00364005">
        <w:rPr>
          <w:rStyle w:val="Refdenotaalpie"/>
          <w:rFonts w:ascii="Verdana" w:hAnsi="Verdana" w:cs="Arial"/>
          <w:sz w:val="16"/>
          <w:szCs w:val="16"/>
        </w:rPr>
        <w:footnoteRef/>
      </w:r>
      <w:r w:rsidRPr="00AA5D55">
        <w:rPr>
          <w:rFonts w:ascii="Verdana" w:hAnsi="Verdana" w:cs="Arial"/>
          <w:sz w:val="16"/>
          <w:szCs w:val="16"/>
          <w:lang w:val="it-IT"/>
        </w:rPr>
        <w:t xml:space="preserve"> DIMITRI N., PIGA, G., SPAGNOLO G., Handbook of Procurement. </w:t>
      </w:r>
      <w:r w:rsidRPr="00364005">
        <w:rPr>
          <w:rFonts w:ascii="Verdana" w:hAnsi="Verdana" w:cs="Arial"/>
          <w:sz w:val="16"/>
          <w:szCs w:val="16"/>
          <w:lang w:val="en-US"/>
        </w:rPr>
        <w:t>New York: Cambridge University Press, 2006</w:t>
      </w:r>
      <w:r>
        <w:rPr>
          <w:rFonts w:ascii="Verdana" w:hAnsi="Verdana" w:cs="Arial"/>
          <w:sz w:val="16"/>
          <w:szCs w:val="16"/>
          <w:lang w:val="en-US"/>
        </w:rPr>
        <w:t>.</w:t>
      </w:r>
    </w:p>
  </w:footnote>
  <w:footnote w:id="2">
    <w:p w14:paraId="223D79BB" w14:textId="77777777" w:rsidR="00936B0C" w:rsidRPr="00364005" w:rsidRDefault="00936B0C" w:rsidP="00936B0C">
      <w:pPr>
        <w:pStyle w:val="Textonotapie"/>
        <w:ind w:firstLine="708"/>
        <w:jc w:val="both"/>
        <w:rPr>
          <w:rFonts w:ascii="Verdana" w:hAnsi="Verdana" w:cs="Arial"/>
          <w:sz w:val="16"/>
          <w:szCs w:val="16"/>
          <w:lang w:val="es-ES"/>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hAnsi="Verdana" w:cs="Arial"/>
          <w:sz w:val="16"/>
          <w:szCs w:val="16"/>
          <w:lang w:val="es-ES"/>
        </w:rPr>
        <w:t>Gaceta del Congreso No. 458 del 1 de agosto de 2005.</w:t>
      </w:r>
    </w:p>
  </w:footnote>
  <w:footnote w:id="3">
    <w:p w14:paraId="2B73CABC" w14:textId="77777777" w:rsidR="00936B0C" w:rsidRPr="00364005" w:rsidRDefault="00936B0C" w:rsidP="00936B0C">
      <w:pPr>
        <w:pStyle w:val="Textonotapie"/>
        <w:ind w:firstLine="708"/>
        <w:jc w:val="both"/>
        <w:rPr>
          <w:rFonts w:ascii="Verdana" w:hAnsi="Verdana" w:cs="Arial"/>
          <w:sz w:val="16"/>
          <w:szCs w:val="16"/>
          <w:lang w:val="es-ES"/>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hAnsi="Verdana" w:cs="Arial"/>
          <w:sz w:val="16"/>
          <w:szCs w:val="16"/>
          <w:lang w:val="es-ES"/>
        </w:rPr>
        <w:t>Además de lo anterior, el artículo 2.2.1.1.1.3.1. del Decreto 1082 de 2015, estableció la siguiente definición del concepto riesgo: “Riesgo: Evento que puede generar efectos adversos y de distinta magnitud en el logro de los objetivos del Proceso de Contratación o en la ejecución de un Contrato”.</w:t>
      </w:r>
    </w:p>
  </w:footnote>
  <w:footnote w:id="4">
    <w:p w14:paraId="143552EF" w14:textId="77777777" w:rsidR="00936B0C" w:rsidRPr="00364005" w:rsidRDefault="00936B0C" w:rsidP="00936B0C">
      <w:pPr>
        <w:pStyle w:val="Textoindependiente"/>
        <w:spacing w:after="0" w:line="240" w:lineRule="auto"/>
        <w:ind w:right="49" w:firstLine="708"/>
        <w:jc w:val="both"/>
        <w:rPr>
          <w:rFonts w:ascii="Verdana" w:hAnsi="Verdana"/>
          <w:sz w:val="16"/>
          <w:szCs w:val="16"/>
        </w:rPr>
      </w:pPr>
      <w:r w:rsidRPr="00364005">
        <w:rPr>
          <w:rStyle w:val="Refdenotaalpie"/>
          <w:rFonts w:ascii="Verdana" w:hAnsi="Verdana"/>
          <w:sz w:val="16"/>
          <w:szCs w:val="16"/>
        </w:rPr>
        <w:footnoteRef/>
      </w:r>
      <w:r w:rsidRPr="00364005">
        <w:rPr>
          <w:rFonts w:ascii="Verdana" w:hAnsi="Verdana"/>
          <w:sz w:val="16"/>
          <w:szCs w:val="16"/>
        </w:rPr>
        <w:t xml:space="preserve"> Cabe precisar que el Consejo de Estado en la Sentencia del 11 de abril de 2019. Rad. 2014-00135-00 (52055). Sección Tercera. C.P. María Adriana Marín,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5CBB5CFC" w14:textId="77777777" w:rsidR="00936B0C" w:rsidRPr="00364005" w:rsidRDefault="00936B0C" w:rsidP="00936B0C">
      <w:pPr>
        <w:pStyle w:val="Textonotapie"/>
        <w:jc w:val="both"/>
        <w:rPr>
          <w:rFonts w:ascii="Verdana" w:hAnsi="Verdana" w:cs="Arial"/>
          <w:sz w:val="16"/>
          <w:szCs w:val="16"/>
          <w:lang w:val="es-ES"/>
        </w:rPr>
      </w:pPr>
    </w:p>
  </w:footnote>
  <w:footnote w:id="5">
    <w:p w14:paraId="1AEB184D" w14:textId="77777777" w:rsidR="00936B0C" w:rsidRPr="00364005" w:rsidRDefault="00936B0C" w:rsidP="00936B0C">
      <w:pPr>
        <w:pStyle w:val="Textonotapie"/>
        <w:ind w:firstLine="708"/>
        <w:jc w:val="both"/>
        <w:rPr>
          <w:rFonts w:ascii="Verdana" w:hAnsi="Verdana" w:cs="Arial"/>
          <w:sz w:val="16"/>
          <w:szCs w:val="16"/>
        </w:rPr>
      </w:pPr>
      <w:r w:rsidRPr="00364005">
        <w:rPr>
          <w:rStyle w:val="Refdenotaalpie"/>
          <w:rFonts w:ascii="Verdana" w:hAnsi="Verdana" w:cs="Arial"/>
          <w:sz w:val="16"/>
          <w:szCs w:val="16"/>
        </w:rPr>
        <w:footnoteRef/>
      </w:r>
      <w:r w:rsidRPr="00364005">
        <w:rPr>
          <w:rFonts w:ascii="Verdana" w:hAnsi="Verdana" w:cs="Arial"/>
          <w:sz w:val="16"/>
          <w:szCs w:val="16"/>
        </w:rPr>
        <w:t xml:space="preserve"> Así se establece en el “</w:t>
      </w:r>
      <w:r w:rsidRPr="00364005">
        <w:rPr>
          <w:rFonts w:ascii="Verdana" w:eastAsia="Calibri" w:hAnsi="Verdana" w:cs="Arial"/>
          <w:color w:val="000000" w:themeColor="text1"/>
          <w:sz w:val="16"/>
          <w:szCs w:val="16"/>
        </w:rPr>
        <w:t>Manual para la Identificación y Cobertura del Riesgo en los Procesos de Contratación</w:t>
      </w:r>
      <w:r w:rsidRPr="00364005">
        <w:rPr>
          <w:rFonts w:ascii="Verdana" w:hAnsi="Verdana" w:cs="Arial"/>
          <w:sz w:val="16"/>
          <w:szCs w:val="16"/>
        </w:rPr>
        <w:t>”: “5. Monitorear los Riesgos.</w:t>
      </w:r>
      <w:r>
        <w:rPr>
          <w:rFonts w:ascii="Verdana" w:hAnsi="Verdana" w:cs="Arial"/>
          <w:sz w:val="16"/>
          <w:szCs w:val="16"/>
        </w:rPr>
        <w:t xml:space="preserve"> </w:t>
      </w:r>
      <w:r w:rsidRPr="00364005">
        <w:rPr>
          <w:rFonts w:ascii="Verdana" w:hAnsi="Verdana" w:cs="Arial"/>
          <w:sz w:val="16"/>
          <w:szCs w:val="16"/>
        </w:rPr>
        <w:t xml:space="preserve">La Entidad Estatal debe realizar un monitoreo constante a los Riesgos del Proceso de Contratación pues las circunstancias cambian rápidamente y los Riesgos no son estáticos. La matriz y el plan de tratamiento deben ser revisadas constantemente y </w:t>
      </w:r>
      <w:r w:rsidRPr="00364005">
        <w:rPr>
          <w:rFonts w:ascii="Verdana" w:hAnsi="Verdana" w:cs="Arial"/>
          <w:i/>
          <w:iCs/>
          <w:sz w:val="16"/>
          <w:szCs w:val="16"/>
        </w:rPr>
        <w:t>revisar si es necesario hacer ajustes al plan de tratamiento de acuerdo con las circunstancias</w:t>
      </w:r>
      <w:r w:rsidRPr="00364005">
        <w:rPr>
          <w:rFonts w:ascii="Verdana" w:hAnsi="Verdana" w:cs="Arial"/>
          <w:sz w:val="16"/>
          <w:szCs w:val="16"/>
        </w:rPr>
        <w:t>” (Cursiva fuera del original).</w:t>
      </w:r>
    </w:p>
  </w:footnote>
  <w:footnote w:id="6">
    <w:p w14:paraId="480FF2E7" w14:textId="77777777" w:rsidR="00936B0C" w:rsidRPr="00364005" w:rsidRDefault="00936B0C" w:rsidP="00936B0C">
      <w:pPr>
        <w:pStyle w:val="Textonotapie"/>
        <w:ind w:firstLine="708"/>
        <w:jc w:val="both"/>
        <w:rPr>
          <w:rFonts w:ascii="Verdana" w:hAnsi="Verdana" w:cs="Arial"/>
          <w:sz w:val="16"/>
          <w:szCs w:val="16"/>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hAnsi="Verdana" w:cs="Arial"/>
          <w:sz w:val="16"/>
          <w:szCs w:val="16"/>
          <w:lang w:val="es-ES"/>
        </w:rPr>
        <w:t xml:space="preserve">Manual para la identificación y cobertura del Riesgo en los Procesos de Contratación. </w:t>
      </w:r>
    </w:p>
  </w:footnote>
  <w:footnote w:id="7">
    <w:p w14:paraId="26E652D9" w14:textId="77777777" w:rsidR="00936B0C" w:rsidRPr="00364005" w:rsidRDefault="00936B0C" w:rsidP="00936B0C">
      <w:pPr>
        <w:pStyle w:val="Textonotapie"/>
        <w:ind w:firstLine="708"/>
        <w:jc w:val="both"/>
        <w:rPr>
          <w:rFonts w:ascii="Verdana" w:hAnsi="Verdana" w:cs="Arial"/>
          <w:sz w:val="16"/>
          <w:szCs w:val="16"/>
          <w:lang w:val="es-CO"/>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2E2A65">
        <w:rPr>
          <w:rFonts w:ascii="Verdana" w:hAnsi="Verdana" w:cs="Arial"/>
          <w:i/>
          <w:iCs/>
          <w:sz w:val="16"/>
          <w:szCs w:val="16"/>
          <w:lang w:val="es-ES"/>
        </w:rPr>
        <w:t>Ibidem</w:t>
      </w:r>
      <w:r>
        <w:rPr>
          <w:rFonts w:ascii="Verdana" w:hAnsi="Verdana" w:cs="Arial"/>
          <w:sz w:val="16"/>
          <w:szCs w:val="16"/>
          <w:lang w:val="es-ES"/>
        </w:rPr>
        <w:t>.</w:t>
      </w:r>
      <w:r w:rsidRPr="00364005">
        <w:rPr>
          <w:rFonts w:ascii="Verdana" w:hAnsi="Verdana" w:cs="Arial"/>
          <w:sz w:val="16"/>
          <w:szCs w:val="16"/>
          <w:lang w:val="es-ES"/>
        </w:rPr>
        <w:t xml:space="preserve"> </w:t>
      </w:r>
    </w:p>
  </w:footnote>
  <w:footnote w:id="8">
    <w:p w14:paraId="6D051AE2" w14:textId="77777777" w:rsidR="00936B0C" w:rsidRPr="00364005" w:rsidRDefault="00936B0C" w:rsidP="00936B0C">
      <w:pPr>
        <w:pStyle w:val="Textonotapie"/>
        <w:ind w:firstLine="708"/>
        <w:jc w:val="both"/>
        <w:rPr>
          <w:rFonts w:ascii="Verdana" w:hAnsi="Verdana"/>
          <w:sz w:val="16"/>
          <w:szCs w:val="16"/>
          <w:lang w:val="es-CO"/>
        </w:rPr>
      </w:pPr>
      <w:r w:rsidRPr="00364005">
        <w:rPr>
          <w:rStyle w:val="Refdenotaalpie"/>
          <w:rFonts w:ascii="Verdana" w:hAnsi="Verdana"/>
          <w:sz w:val="16"/>
          <w:szCs w:val="16"/>
        </w:rPr>
        <w:footnoteRef/>
      </w:r>
      <w:r w:rsidRPr="00364005">
        <w:rPr>
          <w:rFonts w:ascii="Verdana" w:hAnsi="Verdana"/>
          <w:sz w:val="16"/>
          <w:szCs w:val="16"/>
        </w:rPr>
        <w:t xml:space="preserve"> </w:t>
      </w:r>
      <w:r w:rsidRPr="00364005">
        <w:rPr>
          <w:rFonts w:ascii="Verdana" w:hAnsi="Verdana" w:cs="Arial"/>
          <w:sz w:val="16"/>
          <w:szCs w:val="16"/>
          <w:lang w:val="es-ES"/>
        </w:rPr>
        <w:t>“[…] resulta que son las entidades públicas sujetas al Estatuto General de Contratación Pública, en cada caso concreto, las encargadas de definir en sus pliegos de condiciones los riesgos relacionados con su actividad contractual, y sólo estarán obligadas a ajustarse a lo que se defina en la ley sobre el particular y a las políticas generales que defina el presidente de la República, en ejercicio de su función reglamentaria” (Consejo de Estado. Sección Tercera Subsección A. Sentencia del 11 de abril de 2019. Exp. 52.055. C.P. María Adriana Marín).</w:t>
      </w:r>
    </w:p>
  </w:footnote>
  <w:footnote w:id="9">
    <w:p w14:paraId="77E537F3" w14:textId="77777777" w:rsidR="00936B0C" w:rsidRPr="00364005" w:rsidRDefault="00936B0C" w:rsidP="00936B0C">
      <w:pPr>
        <w:pStyle w:val="Textonotapie"/>
        <w:ind w:firstLine="709"/>
        <w:jc w:val="both"/>
        <w:rPr>
          <w:rFonts w:ascii="Verdana" w:eastAsia="Calibri" w:hAnsi="Verdana" w:cs="Arial"/>
          <w:sz w:val="16"/>
          <w:szCs w:val="16"/>
          <w:lang w:val="es-ES_tradnl" w:eastAsia="es-ES_tradnl"/>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2FA05C0A" w14:textId="77777777" w:rsidR="00936B0C" w:rsidRPr="00364005" w:rsidRDefault="00936B0C" w:rsidP="00936B0C">
      <w:pPr>
        <w:pStyle w:val="Textonotapie"/>
        <w:ind w:firstLine="709"/>
        <w:jc w:val="both"/>
        <w:rPr>
          <w:rFonts w:ascii="Verdana" w:hAnsi="Verdana" w:cs="Arial"/>
          <w:sz w:val="16"/>
          <w:szCs w:val="16"/>
          <w:lang w:val="es-ES"/>
        </w:rPr>
      </w:pPr>
      <w:r w:rsidRPr="00364005">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0">
    <w:p w14:paraId="35F7C1BA" w14:textId="77777777" w:rsidR="00936B0C" w:rsidRPr="00364005" w:rsidRDefault="00936B0C" w:rsidP="00936B0C">
      <w:pPr>
        <w:pStyle w:val="Textonotapie"/>
        <w:ind w:firstLine="708"/>
        <w:jc w:val="both"/>
        <w:rPr>
          <w:rFonts w:ascii="Verdana" w:hAnsi="Verdana" w:cs="Arial"/>
          <w:sz w:val="16"/>
          <w:szCs w:val="16"/>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CONSEJO DE ESTADO. Sección Tercera. Subsección B. Sentencia del 29 de febrero de 2012. Exp. 16371, C.P. Danilo Rojas Betancourth.</w:t>
      </w:r>
    </w:p>
  </w:footnote>
  <w:footnote w:id="11">
    <w:p w14:paraId="7CCFCB17" w14:textId="77777777" w:rsidR="00936B0C" w:rsidRPr="00364005" w:rsidRDefault="00936B0C" w:rsidP="00936B0C">
      <w:pPr>
        <w:pStyle w:val="Textonotapie"/>
        <w:ind w:firstLine="709"/>
        <w:jc w:val="both"/>
        <w:rPr>
          <w:rFonts w:ascii="Verdana" w:hAnsi="Verdana" w:cs="Arial"/>
          <w:sz w:val="16"/>
          <w:szCs w:val="16"/>
          <w:lang w:val="es-CO"/>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12">
    <w:p w14:paraId="4AAF3F58" w14:textId="77777777" w:rsidR="00936B0C" w:rsidRPr="00364005" w:rsidRDefault="00936B0C" w:rsidP="00936B0C">
      <w:pPr>
        <w:pStyle w:val="Textonotapie"/>
        <w:ind w:firstLine="708"/>
        <w:jc w:val="both"/>
        <w:rPr>
          <w:rFonts w:ascii="Verdana" w:hAnsi="Verdana" w:cs="Arial"/>
          <w:sz w:val="16"/>
          <w:szCs w:val="16"/>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CONSEJO DE ESTADO. Sección Tercera. Subsección B. Sentencia del 14 de octubre de 2011. Exp. 20811, C.P. Ruth Stella Correa Palacio.</w:t>
      </w:r>
    </w:p>
  </w:footnote>
  <w:footnote w:id="13">
    <w:p w14:paraId="401DF4E6" w14:textId="77777777" w:rsidR="00936B0C" w:rsidRPr="00364005" w:rsidRDefault="00936B0C" w:rsidP="00936B0C">
      <w:pPr>
        <w:pStyle w:val="Textonotapie"/>
        <w:ind w:firstLine="708"/>
        <w:jc w:val="both"/>
        <w:rPr>
          <w:rFonts w:ascii="Verdana" w:hAnsi="Verdana" w:cs="Arial"/>
          <w:sz w:val="16"/>
          <w:szCs w:val="16"/>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14">
    <w:p w14:paraId="584904E7" w14:textId="77777777" w:rsidR="00936B0C" w:rsidRPr="00364005" w:rsidRDefault="00936B0C" w:rsidP="00936B0C">
      <w:pPr>
        <w:pStyle w:val="Textonotapie"/>
        <w:ind w:firstLine="708"/>
        <w:jc w:val="both"/>
        <w:rPr>
          <w:rFonts w:ascii="Verdana" w:hAnsi="Verdana" w:cs="Arial"/>
          <w:sz w:val="16"/>
          <w:szCs w:val="16"/>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15">
    <w:p w14:paraId="044DFA99" w14:textId="77777777" w:rsidR="00936B0C" w:rsidRPr="00364005" w:rsidRDefault="00936B0C" w:rsidP="00936B0C">
      <w:pPr>
        <w:pStyle w:val="Textonotapie"/>
        <w:ind w:firstLine="708"/>
        <w:jc w:val="both"/>
        <w:rPr>
          <w:rFonts w:ascii="Verdana" w:hAnsi="Verdana" w:cs="Arial"/>
          <w:sz w:val="16"/>
          <w:szCs w:val="16"/>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364005">
        <w:rPr>
          <w:rFonts w:ascii="Verdana" w:hAnsi="Verdana" w:cs="Arial"/>
          <w:sz w:val="16"/>
          <w:szCs w:val="16"/>
        </w:rPr>
        <w:t xml:space="preserve"> </w:t>
      </w:r>
    </w:p>
  </w:footnote>
  <w:footnote w:id="16">
    <w:p w14:paraId="3E93698B" w14:textId="77777777" w:rsidR="00936B0C" w:rsidRPr="00364005" w:rsidRDefault="00936B0C" w:rsidP="00936B0C">
      <w:pPr>
        <w:pStyle w:val="Textonotapie"/>
        <w:ind w:firstLine="709"/>
        <w:jc w:val="both"/>
        <w:rPr>
          <w:rFonts w:ascii="Verdana" w:eastAsia="Calibri" w:hAnsi="Verdana" w:cs="Arial"/>
          <w:sz w:val="16"/>
          <w:szCs w:val="16"/>
          <w:lang w:val="es-ES_tradnl" w:eastAsia="es-ES_tradnl"/>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MARÍN, Op. Cit., pp. 64-65.</w:t>
      </w:r>
    </w:p>
  </w:footnote>
  <w:footnote w:id="17">
    <w:p w14:paraId="3844C88C" w14:textId="77777777" w:rsidR="00936B0C" w:rsidRPr="00364005" w:rsidRDefault="00936B0C" w:rsidP="00936B0C">
      <w:pPr>
        <w:pStyle w:val="Textonotapie"/>
        <w:ind w:firstLine="709"/>
        <w:jc w:val="both"/>
        <w:rPr>
          <w:rFonts w:ascii="Verdana" w:hAnsi="Verdana" w:cs="Arial"/>
          <w:sz w:val="16"/>
          <w:szCs w:val="16"/>
          <w:lang w:val="es-ES"/>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Ibíd., p. 66.</w:t>
      </w:r>
    </w:p>
  </w:footnote>
  <w:footnote w:id="18">
    <w:p w14:paraId="41CE6E8A" w14:textId="77777777" w:rsidR="00936B0C" w:rsidRPr="00364005" w:rsidRDefault="00936B0C" w:rsidP="00936B0C">
      <w:pPr>
        <w:pStyle w:val="Textonotapie"/>
        <w:ind w:firstLine="708"/>
        <w:jc w:val="both"/>
        <w:rPr>
          <w:rFonts w:ascii="Verdana" w:hAnsi="Verdana" w:cs="Arial"/>
          <w:bCs/>
          <w:sz w:val="16"/>
          <w:szCs w:val="16"/>
          <w:lang w:val="es-ES_tradnl"/>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9">
    <w:p w14:paraId="27736925" w14:textId="77777777" w:rsidR="00936B0C" w:rsidRPr="00364005" w:rsidRDefault="00936B0C" w:rsidP="00936B0C">
      <w:pPr>
        <w:pStyle w:val="Textonotapie"/>
        <w:ind w:firstLine="708"/>
        <w:rPr>
          <w:rFonts w:ascii="Verdana" w:hAnsi="Verdana"/>
          <w:sz w:val="16"/>
          <w:szCs w:val="16"/>
          <w:lang w:val="es-CO"/>
        </w:rPr>
      </w:pPr>
      <w:r w:rsidRPr="00364005">
        <w:rPr>
          <w:rStyle w:val="Refdenotaalpie"/>
          <w:rFonts w:ascii="Verdana" w:hAnsi="Verdana"/>
          <w:sz w:val="16"/>
          <w:szCs w:val="16"/>
        </w:rPr>
        <w:footnoteRef/>
      </w:r>
      <w:r w:rsidRPr="00364005">
        <w:rPr>
          <w:rFonts w:ascii="Verdana" w:hAnsi="Verdana"/>
          <w:sz w:val="16"/>
          <w:szCs w:val="16"/>
        </w:rPr>
        <w:t xml:space="preserve"> MARÍN, Op. Cit., p. 70.</w:t>
      </w:r>
    </w:p>
  </w:footnote>
  <w:footnote w:id="20">
    <w:p w14:paraId="11956F16" w14:textId="77777777" w:rsidR="00936B0C" w:rsidRPr="00364005" w:rsidRDefault="00936B0C" w:rsidP="00936B0C">
      <w:pPr>
        <w:pStyle w:val="Textonotapie"/>
        <w:ind w:firstLine="708"/>
        <w:jc w:val="both"/>
        <w:rPr>
          <w:rFonts w:ascii="Verdana" w:hAnsi="Verdana"/>
          <w:sz w:val="16"/>
          <w:szCs w:val="16"/>
          <w:lang w:val="es-CO"/>
        </w:rPr>
      </w:pPr>
      <w:r w:rsidRPr="00364005">
        <w:rPr>
          <w:rStyle w:val="Refdenotaalpie"/>
          <w:rFonts w:ascii="Verdana" w:hAnsi="Verdana"/>
          <w:sz w:val="16"/>
          <w:szCs w:val="16"/>
        </w:rPr>
        <w:footnoteRef/>
      </w:r>
      <w:r w:rsidRPr="00364005">
        <w:rPr>
          <w:rFonts w:ascii="Verdana" w:hAnsi="Verdana"/>
          <w:sz w:val="16"/>
          <w:szCs w:val="16"/>
        </w:rPr>
        <w:t xml:space="preserve"> </w:t>
      </w:r>
      <w:r w:rsidRPr="00364005">
        <w:rPr>
          <w:rFonts w:ascii="Verdana" w:eastAsia="Calibri" w:hAnsi="Verdana" w:cs="Arial"/>
          <w:sz w:val="16"/>
          <w:szCs w:val="16"/>
          <w:lang w:val="es-ES_tradnl" w:eastAsia="es-ES_tradnl"/>
        </w:rPr>
        <w:t>Ibíd., p. 68.</w:t>
      </w:r>
    </w:p>
  </w:footnote>
  <w:footnote w:id="21">
    <w:p w14:paraId="2CD34CC6" w14:textId="77777777" w:rsidR="00936B0C" w:rsidRPr="00364005" w:rsidRDefault="00936B0C" w:rsidP="00936B0C">
      <w:pPr>
        <w:pStyle w:val="Textonotapie"/>
        <w:ind w:firstLine="708"/>
        <w:jc w:val="both"/>
        <w:rPr>
          <w:rFonts w:ascii="Verdana" w:hAnsi="Verdana"/>
          <w:sz w:val="16"/>
          <w:szCs w:val="16"/>
        </w:rPr>
      </w:pPr>
      <w:r w:rsidRPr="00364005">
        <w:rPr>
          <w:rStyle w:val="Refdenotaalpie"/>
          <w:rFonts w:ascii="Verdana" w:hAnsi="Verdana"/>
          <w:sz w:val="16"/>
          <w:szCs w:val="16"/>
        </w:rPr>
        <w:footnoteRef/>
      </w:r>
      <w:r w:rsidRPr="00364005">
        <w:rPr>
          <w:rFonts w:ascii="Verdana" w:hAnsi="Verdana"/>
          <w:sz w:val="16"/>
          <w:szCs w:val="16"/>
        </w:rPr>
        <w:t xml:space="preserve"> </w:t>
      </w:r>
      <w:r w:rsidRPr="00364005">
        <w:rPr>
          <w:rFonts w:ascii="Verdana" w:eastAsia="Calibri" w:hAnsi="Verdana" w:cs="Arial"/>
          <w:sz w:val="16"/>
          <w:szCs w:val="16"/>
          <w:lang w:val="es-ES_tradnl" w:eastAsia="es-ES_tradnl"/>
        </w:rPr>
        <w:t>Ibíd., p. 71.</w:t>
      </w:r>
    </w:p>
  </w:footnote>
  <w:footnote w:id="22">
    <w:p w14:paraId="41352118" w14:textId="77777777" w:rsidR="00936B0C" w:rsidRPr="00AA5D55" w:rsidRDefault="00936B0C" w:rsidP="00936B0C">
      <w:pPr>
        <w:pStyle w:val="Textonotapie"/>
        <w:ind w:firstLine="709"/>
        <w:jc w:val="both"/>
        <w:rPr>
          <w:rFonts w:ascii="Verdana" w:hAnsi="Verdana" w:cs="Arial"/>
          <w:color w:val="000000" w:themeColor="text1"/>
          <w:sz w:val="16"/>
          <w:szCs w:val="16"/>
          <w:lang w:val="it-IT"/>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hAnsi="Verdana" w:cs="Arial"/>
          <w:color w:val="000000" w:themeColor="text1"/>
          <w:sz w:val="16"/>
          <w:szCs w:val="16"/>
        </w:rPr>
        <w:t xml:space="preserve">Consejo de Estado. Sentencia del 28 de junio de 2012. </w:t>
      </w:r>
      <w:r w:rsidRPr="00AA5D55">
        <w:rPr>
          <w:rFonts w:ascii="Verdana" w:hAnsi="Verdana" w:cs="Arial"/>
          <w:color w:val="000000" w:themeColor="text1"/>
          <w:sz w:val="16"/>
          <w:szCs w:val="16"/>
          <w:lang w:val="it-IT"/>
        </w:rPr>
        <w:t xml:space="preserve">Rad. Nro. 21990. C.P: Ruth Stella Correa Palacio. </w:t>
      </w:r>
    </w:p>
  </w:footnote>
  <w:footnote w:id="23">
    <w:p w14:paraId="2E437567" w14:textId="77777777" w:rsidR="00936B0C" w:rsidRPr="00364005" w:rsidRDefault="00936B0C" w:rsidP="00936B0C">
      <w:pPr>
        <w:pStyle w:val="Textonotapie"/>
        <w:ind w:firstLine="709"/>
        <w:jc w:val="both"/>
        <w:rPr>
          <w:rFonts w:ascii="Verdana" w:hAnsi="Verdana" w:cs="Arial"/>
          <w:iCs/>
          <w:sz w:val="16"/>
          <w:szCs w:val="16"/>
        </w:rPr>
      </w:pPr>
      <w:r w:rsidRPr="00364005">
        <w:rPr>
          <w:rStyle w:val="Refdenotaalpie"/>
          <w:rFonts w:ascii="Verdana" w:hAnsi="Verdana" w:cs="Arial"/>
          <w:sz w:val="16"/>
          <w:szCs w:val="16"/>
        </w:rPr>
        <w:footnoteRef/>
      </w:r>
      <w:r w:rsidRPr="00364005">
        <w:rPr>
          <w:rFonts w:ascii="Verdana" w:hAnsi="Verdana" w:cs="Arial"/>
          <w:sz w:val="16"/>
          <w:szCs w:val="16"/>
        </w:rPr>
        <w:t xml:space="preserve"> </w:t>
      </w:r>
      <w:r w:rsidRPr="00364005">
        <w:rPr>
          <w:rFonts w:ascii="Verdana" w:hAnsi="Verdana" w:cs="Arial"/>
          <w:iCs/>
          <w:sz w:val="16"/>
          <w:szCs w:val="16"/>
          <w:lang w:val="es-CO"/>
        </w:rPr>
        <w:t xml:space="preserve">IBAÑEZ NAJAR, Jorge Enrique. </w:t>
      </w:r>
      <w:r w:rsidRPr="00364005">
        <w:rPr>
          <w:rFonts w:ascii="Verdana" w:hAnsi="Verdana" w:cs="Arial"/>
          <w:iCs/>
          <w:sz w:val="16"/>
          <w:szCs w:val="16"/>
        </w:rPr>
        <w:t xml:space="preserve">La conmutatividad del contrato estatal y su equilibrio económico y financiero. La obligación de conservarlo, su ruptura y la obligación de restablecerlo según la ley </w:t>
      </w:r>
      <w:r w:rsidRPr="00364005">
        <w:rPr>
          <w:rFonts w:ascii="Verdana" w:hAnsi="Verdana" w:cs="Arial"/>
          <w:iCs/>
          <w:sz w:val="16"/>
          <w:szCs w:val="16"/>
          <w:lang w:val="es-CO"/>
        </w:rPr>
        <w:t>y la jurisprudencia. En: PALACIO JARAMILLO, María Teresa (editora académica). Contratos Estatales. Tomo II. 2022. Bogotá: Universidad del Rosario. P. 630</w:t>
      </w:r>
    </w:p>
  </w:footnote>
  <w:footnote w:id="24">
    <w:p w14:paraId="6CFBC888" w14:textId="77777777" w:rsidR="00936B0C" w:rsidRPr="00364005" w:rsidRDefault="00936B0C" w:rsidP="00936B0C">
      <w:pPr>
        <w:pStyle w:val="Textonotapie"/>
        <w:ind w:firstLine="708"/>
        <w:jc w:val="both"/>
        <w:rPr>
          <w:rFonts w:ascii="Verdana" w:hAnsi="Verdana"/>
          <w:sz w:val="16"/>
          <w:szCs w:val="16"/>
          <w:lang w:val="es-CO"/>
        </w:rPr>
      </w:pPr>
      <w:r w:rsidRPr="00364005">
        <w:rPr>
          <w:rStyle w:val="Refdenotaalpie"/>
          <w:rFonts w:ascii="Verdana" w:hAnsi="Verdana"/>
          <w:sz w:val="16"/>
          <w:szCs w:val="16"/>
        </w:rPr>
        <w:footnoteRef/>
      </w:r>
      <w:r w:rsidRPr="00364005">
        <w:rPr>
          <w:rFonts w:ascii="Verdana" w:hAnsi="Verdana"/>
          <w:sz w:val="16"/>
          <w:szCs w:val="16"/>
        </w:rPr>
        <w:t xml:space="preserve"> CONSEJO DE ESTADO. Sección Tercera. Subsección C. Sentencia del 20 de abril de 2022. Exp. 56508. C.P. Nicolás Yepes Corrales.</w:t>
      </w:r>
    </w:p>
  </w:footnote>
  <w:footnote w:id="25">
    <w:p w14:paraId="1248FAA0" w14:textId="77777777" w:rsidR="00936B0C" w:rsidRPr="00364005" w:rsidRDefault="00936B0C" w:rsidP="00936B0C">
      <w:pPr>
        <w:pStyle w:val="Textonotapie"/>
        <w:ind w:firstLine="709"/>
        <w:jc w:val="both"/>
        <w:rPr>
          <w:rFonts w:ascii="Verdana" w:hAnsi="Verdana" w:cs="Arial"/>
          <w:sz w:val="16"/>
          <w:szCs w:val="16"/>
          <w:lang w:val="es-CO"/>
        </w:rPr>
      </w:pPr>
      <w:r w:rsidRPr="00364005">
        <w:rPr>
          <w:rStyle w:val="Refdenotaalpie"/>
          <w:rFonts w:ascii="Verdana" w:hAnsi="Verdana" w:cs="Arial"/>
          <w:sz w:val="16"/>
          <w:szCs w:val="16"/>
        </w:rPr>
        <w:footnoteRef/>
      </w:r>
      <w:r w:rsidRPr="00364005">
        <w:rPr>
          <w:rFonts w:ascii="Verdana" w:hAnsi="Verdana" w:cs="Arial"/>
          <w:sz w:val="16"/>
          <w:szCs w:val="16"/>
        </w:rPr>
        <w:t xml:space="preserve">  Consejo de Estado. Sección Tercera. Sentencia del 31 de agosto de 2011. Exp. 18.080. CP.: Ruth Stella Correa Palacio. Reiterada en </w:t>
      </w:r>
      <w:r w:rsidRPr="00364005">
        <w:rPr>
          <w:rFonts w:ascii="Verdana" w:hAnsi="Verdana" w:cs="Arial"/>
          <w:sz w:val="16"/>
          <w:szCs w:val="16"/>
          <w:lang w:val="es-CO"/>
        </w:rPr>
        <w:t xml:space="preserve">Sentencia del 8 de febrero de 2012. Exp. 20344. </w:t>
      </w:r>
      <w:r w:rsidRPr="00364005">
        <w:rPr>
          <w:rFonts w:ascii="Verdana" w:hAnsi="Verdana" w:cs="Arial"/>
          <w:sz w:val="16"/>
          <w:szCs w:val="16"/>
        </w:rPr>
        <w:t>También ver: Consejo de Estado, Sección Tercera, sentencia de 9 de mayo de 1996, exp. 10.151, reiterada en sentencias de 29 de abril y 21 de julio de 1999, exp. 14.885 y exp. 14.943, C.P. Daniel Suárez Hernández.</w:t>
      </w:r>
    </w:p>
  </w:footnote>
  <w:footnote w:id="26">
    <w:p w14:paraId="14C39149" w14:textId="77777777" w:rsidR="00936B0C" w:rsidRPr="00AA5D55" w:rsidRDefault="00936B0C" w:rsidP="00936B0C">
      <w:pPr>
        <w:pStyle w:val="Textonotapie"/>
        <w:ind w:firstLine="708"/>
        <w:jc w:val="both"/>
        <w:rPr>
          <w:rFonts w:ascii="Verdana" w:hAnsi="Verdana" w:cs="Arial"/>
          <w:sz w:val="16"/>
          <w:szCs w:val="16"/>
          <w:lang w:val="pt-BR"/>
        </w:rPr>
      </w:pPr>
      <w:r w:rsidRPr="00364005">
        <w:rPr>
          <w:rStyle w:val="Refdenotaalpie"/>
          <w:rFonts w:ascii="Verdana" w:hAnsi="Verdana" w:cs="Arial"/>
          <w:sz w:val="16"/>
          <w:szCs w:val="16"/>
        </w:rPr>
        <w:footnoteRef/>
      </w:r>
      <w:r w:rsidRPr="00364005">
        <w:rPr>
          <w:rFonts w:ascii="Verdana" w:hAnsi="Verdana" w:cs="Arial"/>
          <w:sz w:val="16"/>
          <w:szCs w:val="16"/>
        </w:rPr>
        <w:t xml:space="preserve"> Consejo de Estado. Sección Tercera. Sentencia del 29 de enero de 2018. </w:t>
      </w:r>
      <w:r w:rsidRPr="00AA5D55">
        <w:rPr>
          <w:rFonts w:ascii="Verdana" w:hAnsi="Verdana" w:cs="Arial"/>
          <w:sz w:val="16"/>
          <w:szCs w:val="16"/>
          <w:lang w:val="pt-BR"/>
        </w:rPr>
        <w:t>Exp. 52.666 CP.: Jaime Orlando Santofimio Gamboa.</w:t>
      </w:r>
    </w:p>
  </w:footnote>
  <w:footnote w:id="27">
    <w:p w14:paraId="2DA96A19" w14:textId="77777777" w:rsidR="00936B0C" w:rsidRPr="00AA5D55" w:rsidRDefault="00936B0C" w:rsidP="00936B0C">
      <w:pPr>
        <w:pStyle w:val="Textonotapie"/>
        <w:ind w:firstLine="708"/>
        <w:jc w:val="both"/>
        <w:rPr>
          <w:rFonts w:ascii="Verdana" w:hAnsi="Verdana" w:cs="Arial"/>
          <w:sz w:val="16"/>
          <w:szCs w:val="16"/>
          <w:lang w:val="pt-BR"/>
        </w:rPr>
      </w:pPr>
      <w:r w:rsidRPr="00364005">
        <w:rPr>
          <w:rStyle w:val="Refdenotaalpie"/>
          <w:rFonts w:ascii="Verdana" w:hAnsi="Verdana" w:cs="Arial"/>
          <w:sz w:val="16"/>
          <w:szCs w:val="16"/>
        </w:rPr>
        <w:footnoteRef/>
      </w:r>
      <w:r w:rsidRPr="00AA5D55">
        <w:rPr>
          <w:rFonts w:ascii="Verdana" w:hAnsi="Verdana" w:cs="Arial"/>
          <w:sz w:val="16"/>
          <w:szCs w:val="16"/>
          <w:lang w:val="pt-BR"/>
        </w:rPr>
        <w:t xml:space="preserve"> Ibidem </w:t>
      </w:r>
    </w:p>
  </w:footnote>
  <w:footnote w:id="28">
    <w:p w14:paraId="57580CFC" w14:textId="77777777" w:rsidR="00936B0C" w:rsidRPr="00AA5D55" w:rsidRDefault="00936B0C" w:rsidP="00936B0C">
      <w:pPr>
        <w:pStyle w:val="Textonotapie"/>
        <w:ind w:firstLine="708"/>
        <w:jc w:val="both"/>
        <w:rPr>
          <w:rFonts w:ascii="Verdana" w:hAnsi="Verdana" w:cs="Arial"/>
          <w:sz w:val="16"/>
          <w:szCs w:val="16"/>
          <w:lang w:val="pt-BR"/>
        </w:rPr>
      </w:pPr>
      <w:r w:rsidRPr="00364005">
        <w:rPr>
          <w:rStyle w:val="Refdenotaalpie"/>
          <w:rFonts w:ascii="Verdana" w:hAnsi="Verdana" w:cs="Arial"/>
          <w:sz w:val="16"/>
          <w:szCs w:val="16"/>
        </w:rPr>
        <w:footnoteRef/>
      </w:r>
      <w:r w:rsidRPr="00AA5D55">
        <w:rPr>
          <w:rFonts w:ascii="Verdana" w:hAnsi="Verdana" w:cs="Arial"/>
          <w:sz w:val="16"/>
          <w:szCs w:val="16"/>
          <w:lang w:val="pt-BR"/>
        </w:rPr>
        <w:t xml:space="preserve"> Consejo de Estado. </w:t>
      </w:r>
      <w:r w:rsidRPr="00364005">
        <w:rPr>
          <w:rFonts w:ascii="Verdana" w:hAnsi="Verdana" w:cs="Arial"/>
          <w:sz w:val="16"/>
          <w:szCs w:val="16"/>
        </w:rPr>
        <w:t>Sección Tercera.</w:t>
      </w:r>
      <w:r w:rsidRPr="00364005">
        <w:rPr>
          <w:rFonts w:ascii="Verdana" w:hAnsi="Verdana" w:cs="Arial"/>
          <w:sz w:val="16"/>
          <w:szCs w:val="16"/>
          <w:lang w:val="es-CO"/>
        </w:rPr>
        <w:t xml:space="preserve"> Subsección A.</w:t>
      </w:r>
      <w:r w:rsidRPr="00364005">
        <w:rPr>
          <w:rFonts w:ascii="Verdana" w:hAnsi="Verdana" w:cs="Arial"/>
          <w:sz w:val="16"/>
          <w:szCs w:val="16"/>
        </w:rPr>
        <w:t xml:space="preserve"> Sentencia del 6 de julio de 2022. Exp. 54.319 CP.: María Adriana Marín. Ver también: </w:t>
      </w:r>
      <w:r w:rsidRPr="00364005">
        <w:rPr>
          <w:rFonts w:ascii="Verdana" w:hAnsi="Verdana" w:cs="Arial"/>
          <w:sz w:val="16"/>
          <w:szCs w:val="16"/>
          <w:lang w:val="es-CO"/>
        </w:rPr>
        <w:t xml:space="preserve">Consejo de Estado. Sección Tercera. Subsección A. Sentencia del 3 de junio de 2022. Exp. 53299. </w:t>
      </w:r>
      <w:r w:rsidRPr="00AA5D55">
        <w:rPr>
          <w:rFonts w:ascii="Verdana" w:hAnsi="Verdana" w:cs="Arial"/>
          <w:sz w:val="16"/>
          <w:szCs w:val="16"/>
          <w:lang w:val="pt-BR"/>
        </w:rPr>
        <w:t>C.P.: José Roberto Sáchica Méndez</w:t>
      </w:r>
    </w:p>
  </w:footnote>
  <w:footnote w:id="29">
    <w:p w14:paraId="67F6F975" w14:textId="77777777" w:rsidR="00936B0C" w:rsidRPr="00AA5D55" w:rsidRDefault="00936B0C" w:rsidP="00936B0C">
      <w:pPr>
        <w:pStyle w:val="Textonotapie"/>
        <w:ind w:firstLine="709"/>
        <w:jc w:val="both"/>
        <w:rPr>
          <w:rFonts w:ascii="Verdana" w:hAnsi="Verdana" w:cs="Arial"/>
          <w:sz w:val="16"/>
          <w:szCs w:val="16"/>
          <w:lang w:val="pt-BR" w:bidi="es-ES"/>
        </w:rPr>
      </w:pPr>
      <w:r w:rsidRPr="00364005">
        <w:rPr>
          <w:rStyle w:val="Refdenotaalpie"/>
          <w:rFonts w:ascii="Verdana" w:hAnsi="Verdana" w:cs="Arial"/>
          <w:sz w:val="16"/>
          <w:szCs w:val="16"/>
        </w:rPr>
        <w:footnoteRef/>
      </w:r>
      <w:r w:rsidRPr="00AA5D55">
        <w:rPr>
          <w:rFonts w:ascii="Verdana" w:hAnsi="Verdana" w:cs="Arial"/>
          <w:sz w:val="16"/>
          <w:szCs w:val="16"/>
          <w:lang w:val="pt-BR"/>
        </w:rPr>
        <w:t xml:space="preserve"> </w:t>
      </w:r>
      <w:r w:rsidRPr="00AA5D55">
        <w:rPr>
          <w:rFonts w:ascii="Verdana" w:hAnsi="Verdana" w:cs="Arial"/>
          <w:sz w:val="16"/>
          <w:szCs w:val="16"/>
          <w:lang w:val="pt-BR" w:bidi="es-ES"/>
        </w:rPr>
        <w:t xml:space="preserve">Corte Constitucional. Sentencia C-416 de 2012. </w:t>
      </w:r>
    </w:p>
  </w:footnote>
  <w:footnote w:id="30">
    <w:p w14:paraId="08CCFC83" w14:textId="77777777" w:rsidR="00936B0C" w:rsidRPr="00364005" w:rsidRDefault="00936B0C" w:rsidP="00936B0C">
      <w:pPr>
        <w:pStyle w:val="Textonotapie"/>
        <w:ind w:firstLine="709"/>
        <w:jc w:val="both"/>
        <w:rPr>
          <w:rFonts w:ascii="Verdana" w:hAnsi="Verdana" w:cs="Arial"/>
          <w:sz w:val="16"/>
          <w:szCs w:val="16"/>
          <w:lang w:val="es-CO"/>
        </w:rPr>
      </w:pPr>
      <w:r w:rsidRPr="00364005">
        <w:rPr>
          <w:rStyle w:val="Refdenotaalpie"/>
          <w:rFonts w:ascii="Verdana" w:hAnsi="Verdana" w:cs="Arial"/>
          <w:sz w:val="16"/>
          <w:szCs w:val="16"/>
        </w:rPr>
        <w:footnoteRef/>
      </w:r>
      <w:r w:rsidRPr="00364005">
        <w:rPr>
          <w:rFonts w:ascii="Verdana" w:hAnsi="Verdana" w:cs="Arial"/>
          <w:sz w:val="16"/>
          <w:szCs w:val="16"/>
        </w:rPr>
        <w:t xml:space="preserve"> EXPÓSITO VÉLEZ, Juan Carlos. </w:t>
      </w:r>
      <w:r w:rsidRPr="00364005">
        <w:rPr>
          <w:rFonts w:ascii="Verdana" w:hAnsi="Verdana" w:cs="Arial"/>
          <w:sz w:val="16"/>
          <w:szCs w:val="16"/>
          <w:lang w:val="es-CO"/>
        </w:rPr>
        <w:t xml:space="preserve">Formas, formalidades y contenido del contrato estatal. Serie de derecho administrativo Nro. 34. Universidad Externado de Colombia. 2020. </w:t>
      </w:r>
    </w:p>
  </w:footnote>
  <w:footnote w:id="31">
    <w:p w14:paraId="3AFFDC7F" w14:textId="77777777" w:rsidR="00936B0C" w:rsidRPr="00364005" w:rsidRDefault="00936B0C" w:rsidP="00936B0C">
      <w:pPr>
        <w:pStyle w:val="Textonotapie"/>
        <w:ind w:firstLine="708"/>
        <w:jc w:val="both"/>
        <w:rPr>
          <w:rFonts w:ascii="Verdana" w:hAnsi="Verdana"/>
          <w:sz w:val="16"/>
          <w:szCs w:val="16"/>
          <w:lang w:val="es-CO"/>
        </w:rPr>
      </w:pPr>
      <w:r w:rsidRPr="00364005">
        <w:rPr>
          <w:rStyle w:val="Refdenotaalpie"/>
          <w:rFonts w:ascii="Verdana" w:hAnsi="Verdana"/>
          <w:sz w:val="16"/>
          <w:szCs w:val="16"/>
        </w:rPr>
        <w:footnoteRef/>
      </w:r>
      <w:r w:rsidRPr="00364005">
        <w:rPr>
          <w:rFonts w:ascii="Verdana" w:hAnsi="Verdana"/>
          <w:sz w:val="16"/>
          <w:szCs w:val="16"/>
        </w:rPr>
        <w:t xml:space="preserve"> Para la doctrina, “A través de la liquidación de los contratos se busca en especial establecer el equilibrio final en las relaciones suscitadas entre la entidad estatal y el contratista, con el objeto de dejar niveladas las prestaciones y derechos surgidos del negocio jurídico. En este sentido, el principio de la conmutatividad, entendido como la equivalencia obvia que debe existir entre lo que se da o hace por una parte y lo que se recibe por la otra, se torna en regla vinculante e imperativa, que debe ser restablecida al final de la relación jurídica, con el propósito de que el negocio finalmente sea equivalente entre las partes” (Cfr. SANTOFIMIO GAMBOA, Jaime Orlando. Tratado de derecho administrativo: contratación indebida. Tomo IV. Bogotá: Universidad Externado de Colombia, 2004. pp. 388-389).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7.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1330140246">
    <w:abstractNumId w:val="0"/>
  </w:num>
  <w:num w:numId="17" w16cid:durableId="679089576">
    <w:abstractNumId w:val="9"/>
  </w:num>
  <w:num w:numId="18" w16cid:durableId="11690623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0F4"/>
    <w:rsid w:val="00016F78"/>
    <w:rsid w:val="00046945"/>
    <w:rsid w:val="000542B3"/>
    <w:rsid w:val="00061B2A"/>
    <w:rsid w:val="00082362"/>
    <w:rsid w:val="000840F6"/>
    <w:rsid w:val="000A683E"/>
    <w:rsid w:val="000B19B9"/>
    <w:rsid w:val="000D0334"/>
    <w:rsid w:val="000D4284"/>
    <w:rsid w:val="000D5DA7"/>
    <w:rsid w:val="000F6486"/>
    <w:rsid w:val="00116940"/>
    <w:rsid w:val="00125105"/>
    <w:rsid w:val="00127233"/>
    <w:rsid w:val="0015699B"/>
    <w:rsid w:val="00172049"/>
    <w:rsid w:val="001A33BF"/>
    <w:rsid w:val="001E4177"/>
    <w:rsid w:val="001F0B24"/>
    <w:rsid w:val="001F7DC6"/>
    <w:rsid w:val="00212CAD"/>
    <w:rsid w:val="0022400B"/>
    <w:rsid w:val="002370FD"/>
    <w:rsid w:val="002421BB"/>
    <w:rsid w:val="00243DAD"/>
    <w:rsid w:val="0025796E"/>
    <w:rsid w:val="002707A2"/>
    <w:rsid w:val="002951A0"/>
    <w:rsid w:val="002962BC"/>
    <w:rsid w:val="002A093D"/>
    <w:rsid w:val="002A0DD0"/>
    <w:rsid w:val="002A26FA"/>
    <w:rsid w:val="002A49AC"/>
    <w:rsid w:val="002A64FD"/>
    <w:rsid w:val="002B7D2B"/>
    <w:rsid w:val="002C7A84"/>
    <w:rsid w:val="002E2BF8"/>
    <w:rsid w:val="002E4FD9"/>
    <w:rsid w:val="0030657A"/>
    <w:rsid w:val="00322A85"/>
    <w:rsid w:val="00324168"/>
    <w:rsid w:val="00330834"/>
    <w:rsid w:val="0033548D"/>
    <w:rsid w:val="003448F4"/>
    <w:rsid w:val="00374F5E"/>
    <w:rsid w:val="00377E3E"/>
    <w:rsid w:val="003A779E"/>
    <w:rsid w:val="003C75FF"/>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133CA"/>
    <w:rsid w:val="00530532"/>
    <w:rsid w:val="005566E8"/>
    <w:rsid w:val="00574867"/>
    <w:rsid w:val="00591460"/>
    <w:rsid w:val="005A65E0"/>
    <w:rsid w:val="005C3777"/>
    <w:rsid w:val="005C5CDC"/>
    <w:rsid w:val="005D476C"/>
    <w:rsid w:val="006200BF"/>
    <w:rsid w:val="006219F8"/>
    <w:rsid w:val="006302F7"/>
    <w:rsid w:val="00646B9F"/>
    <w:rsid w:val="0066221E"/>
    <w:rsid w:val="00665D70"/>
    <w:rsid w:val="006900D9"/>
    <w:rsid w:val="00693A8A"/>
    <w:rsid w:val="00706C16"/>
    <w:rsid w:val="007340C3"/>
    <w:rsid w:val="0075235A"/>
    <w:rsid w:val="00756841"/>
    <w:rsid w:val="007649AB"/>
    <w:rsid w:val="00771D0C"/>
    <w:rsid w:val="007833AC"/>
    <w:rsid w:val="007B268C"/>
    <w:rsid w:val="007B7171"/>
    <w:rsid w:val="007C0C0F"/>
    <w:rsid w:val="007C38EE"/>
    <w:rsid w:val="007C3DC2"/>
    <w:rsid w:val="007E5497"/>
    <w:rsid w:val="00806F5F"/>
    <w:rsid w:val="00820278"/>
    <w:rsid w:val="008258C9"/>
    <w:rsid w:val="00844AE9"/>
    <w:rsid w:val="00867F95"/>
    <w:rsid w:val="008843B6"/>
    <w:rsid w:val="00891928"/>
    <w:rsid w:val="008A446D"/>
    <w:rsid w:val="008B25F1"/>
    <w:rsid w:val="008D180B"/>
    <w:rsid w:val="008D2F4E"/>
    <w:rsid w:val="008F0EA7"/>
    <w:rsid w:val="009042B2"/>
    <w:rsid w:val="00923EEF"/>
    <w:rsid w:val="00936B0C"/>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E99"/>
    <w:rsid w:val="00A17F13"/>
    <w:rsid w:val="00A20739"/>
    <w:rsid w:val="00A23AF9"/>
    <w:rsid w:val="00A33C78"/>
    <w:rsid w:val="00AA5D55"/>
    <w:rsid w:val="00AB0ADB"/>
    <w:rsid w:val="00B00C0E"/>
    <w:rsid w:val="00B01B1A"/>
    <w:rsid w:val="00B0381D"/>
    <w:rsid w:val="00B12B54"/>
    <w:rsid w:val="00B44A47"/>
    <w:rsid w:val="00B72CD3"/>
    <w:rsid w:val="00B72FFF"/>
    <w:rsid w:val="00BC3D36"/>
    <w:rsid w:val="00BD54A6"/>
    <w:rsid w:val="00BD7F72"/>
    <w:rsid w:val="00BF7425"/>
    <w:rsid w:val="00BF74CF"/>
    <w:rsid w:val="00C04FB3"/>
    <w:rsid w:val="00C11D8B"/>
    <w:rsid w:val="00C15139"/>
    <w:rsid w:val="00C330EB"/>
    <w:rsid w:val="00C50D69"/>
    <w:rsid w:val="00C5365C"/>
    <w:rsid w:val="00C754BE"/>
    <w:rsid w:val="00C76B1C"/>
    <w:rsid w:val="00C925AC"/>
    <w:rsid w:val="00C92693"/>
    <w:rsid w:val="00C97B20"/>
    <w:rsid w:val="00CB6357"/>
    <w:rsid w:val="00CC1B26"/>
    <w:rsid w:val="00CF6FA8"/>
    <w:rsid w:val="00D361FD"/>
    <w:rsid w:val="00D423A2"/>
    <w:rsid w:val="00D44E26"/>
    <w:rsid w:val="00D5184F"/>
    <w:rsid w:val="00D520D8"/>
    <w:rsid w:val="00D63AC2"/>
    <w:rsid w:val="00D7383B"/>
    <w:rsid w:val="00D7788A"/>
    <w:rsid w:val="00DA231B"/>
    <w:rsid w:val="00DC39FC"/>
    <w:rsid w:val="00DF5254"/>
    <w:rsid w:val="00E02524"/>
    <w:rsid w:val="00E16408"/>
    <w:rsid w:val="00E20894"/>
    <w:rsid w:val="00E245AB"/>
    <w:rsid w:val="00E260FC"/>
    <w:rsid w:val="00E2764C"/>
    <w:rsid w:val="00E27F2E"/>
    <w:rsid w:val="00E50AFE"/>
    <w:rsid w:val="00E75C92"/>
    <w:rsid w:val="00E771DC"/>
    <w:rsid w:val="00E8772A"/>
    <w:rsid w:val="00E87A0F"/>
    <w:rsid w:val="00E90F6B"/>
    <w:rsid w:val="00E92C27"/>
    <w:rsid w:val="00EA0E3D"/>
    <w:rsid w:val="00EA3AD0"/>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1A02DAE0"/>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E11F95B-7F3C-FC4A-8F91-A84B45D9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36B0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36B0C"/>
    <w:rPr>
      <w:rFonts w:ascii="Geomanist Light" w:hAnsi="Geomanist Light"/>
      <w:lang w:val="es-ES"/>
    </w:rPr>
  </w:style>
  <w:style w:type="paragraph" w:styleId="Textoindependiente">
    <w:name w:val="Body Text"/>
    <w:basedOn w:val="Normal"/>
    <w:link w:val="TextoindependienteCar"/>
    <w:uiPriority w:val="99"/>
    <w:unhideWhenUsed/>
    <w:rsid w:val="00936B0C"/>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936B0C"/>
    <w:rPr>
      <w:rFonts w:eastAsiaTheme="minorEastAsia"/>
      <w:lang w:eastAsia="es-CO"/>
    </w:rPr>
  </w:style>
  <w:style w:type="character" w:customStyle="1" w:styleId="s15">
    <w:name w:val="s15"/>
    <w:basedOn w:val="Fuentedeprrafopredeter"/>
    <w:rsid w:val="00936B0C"/>
  </w:style>
  <w:style w:type="character" w:customStyle="1" w:styleId="NormalWebCar">
    <w:name w:val="Normal (Web) Car"/>
    <w:link w:val="NormalWeb"/>
    <w:uiPriority w:val="99"/>
    <w:rsid w:val="00936B0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betancur@sic.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F5649126-4071-4536-A1FA-6CFEBBB40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36</Pages>
  <Words>12555</Words>
  <Characters>69054</Characters>
  <Application>Microsoft Office Word</Application>
  <DocSecurity>0</DocSecurity>
  <Lines>575</Lines>
  <Paragraphs>162</Paragraphs>
  <ScaleCrop>false</ScaleCrop>
  <Company/>
  <LinksUpToDate>false</LinksUpToDate>
  <CharactersWithSpaces>81447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2026-03-13T13:41:00Z</dcterms:created>
  <dcterms:modified xsi:type="dcterms:W3CDTF">2026-03-18T22:40:00Z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