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58E7B" w14:textId="77777777" w:rsidR="00BF201C" w:rsidRPr="00366660" w:rsidRDefault="00BF201C" w:rsidP="00BF201C">
      <w:pPr>
        <w:spacing w:after="0" w:line="240" w:lineRule="auto"/>
        <w:jc w:val="both"/>
        <w:rPr>
          <w:rFonts w:ascii="Arial" w:hAnsi="Arial" w:cs="Arial"/>
          <w:lang w:val="es-MX"/>
        </w:rPr>
      </w:pPr>
      <w:bookmarkStart w:id="0" w:name="_Hlk83323805"/>
      <w:bookmarkStart w:id="1" w:name="_Hlk84451806"/>
    </w:p>
    <w:p w14:paraId="56A7D36F" w14:textId="77777777" w:rsidR="00BF201C" w:rsidRPr="00366660" w:rsidRDefault="00BF201C" w:rsidP="00BF201C">
      <w:pPr>
        <w:spacing w:after="0" w:line="240" w:lineRule="auto"/>
        <w:jc w:val="both"/>
        <w:rPr>
          <w:rFonts w:ascii="Arial" w:eastAsia="Calibri" w:hAnsi="Arial" w:cs="Arial"/>
          <w:b/>
          <w:bCs/>
          <w:color w:val="000000" w:themeColor="text1"/>
        </w:rPr>
      </w:pPr>
      <w:r w:rsidRPr="00366660">
        <w:rPr>
          <w:rFonts w:ascii="Arial" w:eastAsia="Calibri" w:hAnsi="Arial" w:cs="Arial"/>
          <w:b/>
          <w:bCs/>
          <w:color w:val="000000" w:themeColor="text1"/>
        </w:rPr>
        <w:t>LICITACIÓN PÚBLICA – Procedimiento – Estructura – Etapas generales</w:t>
      </w:r>
    </w:p>
    <w:p w14:paraId="7F671F7D" w14:textId="77777777" w:rsidR="00BF201C" w:rsidRPr="00FD7669" w:rsidRDefault="00BF201C" w:rsidP="00BF201C">
      <w:pPr>
        <w:spacing w:after="0" w:line="240" w:lineRule="auto"/>
        <w:jc w:val="both"/>
        <w:rPr>
          <w:rFonts w:ascii="Arial" w:eastAsia="Calibri" w:hAnsi="Arial" w:cs="Arial"/>
          <w:color w:val="000000" w:themeColor="text1"/>
          <w:sz w:val="20"/>
          <w:szCs w:val="20"/>
        </w:rPr>
      </w:pPr>
    </w:p>
    <w:p w14:paraId="322FFA45" w14:textId="77777777" w:rsidR="00BF201C" w:rsidRPr="00FD7669" w:rsidRDefault="00BF201C" w:rsidP="00BF201C">
      <w:pPr>
        <w:spacing w:after="0" w:line="240" w:lineRule="auto"/>
        <w:jc w:val="both"/>
        <w:rPr>
          <w:rFonts w:ascii="Arial" w:eastAsia="Calibri" w:hAnsi="Arial" w:cs="Arial"/>
          <w:color w:val="000000" w:themeColor="text1"/>
          <w:sz w:val="20"/>
          <w:szCs w:val="20"/>
        </w:rPr>
      </w:pPr>
      <w:r w:rsidRPr="00FD7669">
        <w:rPr>
          <w:rFonts w:ascii="Arial" w:eastAsia="Calibri" w:hAnsi="Arial" w:cs="Arial"/>
          <w:color w:val="000000" w:themeColor="text1"/>
          <w:sz w:val="20"/>
          <w:szCs w:val="20"/>
        </w:rPr>
        <w:t>En lo que tiene que ver con la licitación pública, procedimiento que constituye la “regla general”, el artículo 30 de la Ley 80 de 1993 establece sus etapas. De la norma es posible diferenciar entre la fase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Además, el numeral 2 del artículo 30 de la Ley 80 de 1993 establece la obligación de elaborar un pliego de condiciones, en los términos del numeral 5 del artículo 24 de la misma ley y del artículo 2.2.1.1.2.1.3 del Decreto 1082 de 2015.</w:t>
      </w:r>
    </w:p>
    <w:p w14:paraId="75A0E648" w14:textId="77777777" w:rsidR="00BF201C" w:rsidRPr="00FD7669" w:rsidRDefault="00BF201C" w:rsidP="00BF201C">
      <w:pPr>
        <w:spacing w:after="0" w:line="240" w:lineRule="auto"/>
        <w:jc w:val="both"/>
        <w:rPr>
          <w:rFonts w:ascii="Arial" w:eastAsia="Calibri" w:hAnsi="Arial" w:cs="Arial"/>
          <w:color w:val="000000" w:themeColor="text1"/>
          <w:sz w:val="20"/>
          <w:szCs w:val="20"/>
        </w:rPr>
      </w:pPr>
    </w:p>
    <w:p w14:paraId="38AF415B" w14:textId="77777777" w:rsidR="00BF201C" w:rsidRPr="00366660" w:rsidRDefault="00BF201C" w:rsidP="00BF201C">
      <w:pPr>
        <w:spacing w:after="0" w:line="240" w:lineRule="auto"/>
        <w:jc w:val="both"/>
        <w:rPr>
          <w:rFonts w:ascii="Arial" w:eastAsia="Calibri" w:hAnsi="Arial" w:cs="Arial"/>
          <w:b/>
          <w:bCs/>
          <w:color w:val="000000" w:themeColor="text1"/>
        </w:rPr>
      </w:pPr>
      <w:r w:rsidRPr="00366660">
        <w:rPr>
          <w:rFonts w:ascii="Arial" w:eastAsia="Calibri" w:hAnsi="Arial" w:cs="Arial"/>
          <w:b/>
          <w:bCs/>
          <w:color w:val="000000" w:themeColor="text1"/>
        </w:rPr>
        <w:t>LICITACIÓN PÚBLICA – Evaluación de ofertas – Observaciones</w:t>
      </w:r>
    </w:p>
    <w:p w14:paraId="366B1ACC" w14:textId="77777777" w:rsidR="00BF201C" w:rsidRDefault="00BF201C" w:rsidP="00BF201C">
      <w:pPr>
        <w:spacing w:after="0" w:line="240" w:lineRule="auto"/>
        <w:jc w:val="both"/>
        <w:rPr>
          <w:rFonts w:ascii="Arial" w:eastAsia="Calibri" w:hAnsi="Arial" w:cs="Arial"/>
          <w:color w:val="000000" w:themeColor="text1"/>
          <w:sz w:val="20"/>
          <w:szCs w:val="20"/>
        </w:rPr>
      </w:pPr>
    </w:p>
    <w:p w14:paraId="45EFDCAD" w14:textId="77777777" w:rsidR="00BF201C" w:rsidRPr="00FD7669" w:rsidRDefault="00BF201C" w:rsidP="00BF201C">
      <w:pPr>
        <w:spacing w:after="0" w:line="240" w:lineRule="auto"/>
        <w:jc w:val="both"/>
        <w:rPr>
          <w:rFonts w:ascii="Arial" w:eastAsia="Calibri" w:hAnsi="Arial" w:cs="Arial"/>
          <w:color w:val="000000" w:themeColor="text1"/>
          <w:sz w:val="20"/>
          <w:szCs w:val="20"/>
        </w:rPr>
      </w:pPr>
      <w:r w:rsidRPr="00FD7669">
        <w:rPr>
          <w:rFonts w:ascii="Arial" w:eastAsia="Calibri" w:hAnsi="Arial" w:cs="Arial"/>
          <w:color w:val="000000" w:themeColor="text1"/>
          <w:sz w:val="20"/>
          <w:szCs w:val="20"/>
        </w:rPr>
        <w:t xml:space="preserve">Una vez precluida la oportunidad para presentar ofertas, en el plazo que señala el pliego de condiciones conforme al artículo 30.7 de la Ley 80 de 1993, el comité evaluador de la entidad realizará “los estudios técnicos, económicos y jurídicos necesarios para la evaluación de las propuestas” 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 </w:t>
      </w:r>
    </w:p>
    <w:p w14:paraId="1DF1A726" w14:textId="77777777" w:rsidR="00BF201C" w:rsidRDefault="00BF201C" w:rsidP="00BF201C">
      <w:pPr>
        <w:spacing w:after="0" w:line="240" w:lineRule="auto"/>
        <w:jc w:val="both"/>
        <w:rPr>
          <w:rFonts w:ascii="Arial" w:eastAsia="Calibri" w:hAnsi="Arial" w:cs="Arial"/>
          <w:color w:val="000000" w:themeColor="text1"/>
          <w:sz w:val="20"/>
          <w:szCs w:val="20"/>
        </w:rPr>
      </w:pPr>
    </w:p>
    <w:p w14:paraId="5AA62F86" w14:textId="77777777" w:rsidR="00BF201C" w:rsidRPr="00366660" w:rsidRDefault="00BF201C" w:rsidP="00BF201C">
      <w:pPr>
        <w:spacing w:after="0" w:line="240" w:lineRule="auto"/>
        <w:jc w:val="both"/>
        <w:rPr>
          <w:rFonts w:ascii="Arial" w:eastAsia="Calibri" w:hAnsi="Arial" w:cs="Arial"/>
          <w:color w:val="000000" w:themeColor="text1"/>
          <w:sz w:val="20"/>
          <w:szCs w:val="20"/>
        </w:rPr>
      </w:pPr>
      <w:r w:rsidRPr="00FD7669">
        <w:rPr>
          <w:rFonts w:ascii="Arial" w:eastAsia="Calibri" w:hAnsi="Arial" w:cs="Arial"/>
          <w:color w:val="000000" w:themeColor="text1"/>
          <w:sz w:val="20"/>
          <w:szCs w:val="20"/>
        </w:rPr>
        <w:t>Evaluadas las propuestas, se deben distinguir dos modos de realizar los traslados de los informes correspondientes: de un lado, las licitaciones públicas para seleccionar contratistas de obra pública y, del otro, cualquier otra licitación pública. En esta segunda hipótesis, la entidad correrá traslado del informe de evaluación, el cual permanecerá en la secretaría por un término de cinco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w:t>
      </w:r>
      <w:r w:rsidRPr="00366660">
        <w:rPr>
          <w:rFonts w:ascii="Arial" w:eastAsia="Calibri" w:hAnsi="Arial" w:cs="Arial"/>
          <w:color w:val="000000" w:themeColor="text1"/>
          <w:sz w:val="20"/>
          <w:szCs w:val="20"/>
        </w:rPr>
        <w:t>.</w:t>
      </w:r>
    </w:p>
    <w:p w14:paraId="347A15E6" w14:textId="77777777" w:rsidR="00BF201C" w:rsidRDefault="00BF201C" w:rsidP="00BF201C">
      <w:pPr>
        <w:spacing w:after="0" w:line="240" w:lineRule="auto"/>
        <w:jc w:val="both"/>
        <w:rPr>
          <w:rFonts w:ascii="Arial" w:eastAsia="Calibri" w:hAnsi="Arial" w:cs="Arial"/>
          <w:b/>
          <w:bCs/>
          <w:color w:val="000000" w:themeColor="text1"/>
        </w:rPr>
      </w:pPr>
    </w:p>
    <w:p w14:paraId="4AA6F9D0" w14:textId="77777777" w:rsidR="00BF201C" w:rsidRPr="00366660" w:rsidRDefault="00BF201C" w:rsidP="00BF201C">
      <w:pPr>
        <w:spacing w:after="0" w:line="240" w:lineRule="auto"/>
        <w:jc w:val="both"/>
        <w:rPr>
          <w:rFonts w:ascii="Arial" w:eastAsia="Calibri" w:hAnsi="Arial" w:cs="Arial"/>
          <w:b/>
          <w:bCs/>
          <w:color w:val="000000" w:themeColor="text1"/>
        </w:rPr>
      </w:pPr>
      <w:r w:rsidRPr="00366660">
        <w:rPr>
          <w:rFonts w:ascii="Arial" w:eastAsia="Calibri" w:hAnsi="Arial" w:cs="Arial"/>
          <w:b/>
          <w:bCs/>
          <w:color w:val="000000" w:themeColor="text1"/>
        </w:rPr>
        <w:t>OBSERVACIONES – Traslado – Término – Ofertas económicas – Proporcionalidad – Razonabilidad</w:t>
      </w:r>
    </w:p>
    <w:p w14:paraId="02CA7190" w14:textId="77777777" w:rsidR="00BF201C" w:rsidRPr="00FD7669" w:rsidRDefault="00BF201C" w:rsidP="00BF201C">
      <w:pPr>
        <w:spacing w:after="0" w:line="240" w:lineRule="auto"/>
        <w:jc w:val="both"/>
        <w:rPr>
          <w:rFonts w:ascii="Arial" w:eastAsia="Calibri" w:hAnsi="Arial" w:cs="Arial"/>
          <w:bCs/>
          <w:color w:val="000000" w:themeColor="text1"/>
          <w:sz w:val="20"/>
          <w:szCs w:val="20"/>
        </w:rPr>
      </w:pPr>
    </w:p>
    <w:p w14:paraId="2B73625A" w14:textId="77777777" w:rsidR="00BF201C" w:rsidRPr="00FD7669" w:rsidRDefault="00BF201C" w:rsidP="00BF201C">
      <w:pPr>
        <w:spacing w:after="0" w:line="240" w:lineRule="auto"/>
        <w:jc w:val="both"/>
        <w:rPr>
          <w:rFonts w:ascii="Arial" w:eastAsia="Calibri" w:hAnsi="Arial" w:cs="Arial"/>
          <w:bCs/>
          <w:color w:val="000000" w:themeColor="text1"/>
          <w:sz w:val="20"/>
          <w:szCs w:val="20"/>
        </w:rPr>
      </w:pPr>
      <w:r w:rsidRPr="00FD7669">
        <w:rPr>
          <w:rFonts w:ascii="Arial" w:eastAsia="Calibri" w:hAnsi="Arial" w:cs="Arial"/>
          <w:bCs/>
          <w:color w:val="000000" w:themeColor="text1"/>
          <w:sz w:val="20"/>
          <w:szCs w:val="20"/>
        </w:rPr>
        <w:t xml:space="preserve">En ese sentido, el término para resolver las observaciones frente a los aspectos económicos de las propuestas de los otros proponentes es el mismo que se consagra para resolver las observaciones frente al informe final de evaluación, esto es, que debe hacerse dentro de la misma diligencia. Esto, adicionalmente, marca un límite para la determinación del término del traslado a los proponentes de las ofertas económicas, pues si las observaciones deben resolverse en la misma diligencia, el término del traslado debe tener como límite la duración de la misma audiencia, de tal forma que el </w:t>
      </w:r>
      <w:r>
        <w:rPr>
          <w:rFonts w:ascii="Arial" w:eastAsia="Calibri" w:hAnsi="Arial" w:cs="Arial"/>
          <w:bCs/>
          <w:color w:val="000000" w:themeColor="text1"/>
          <w:sz w:val="20"/>
          <w:szCs w:val="20"/>
        </w:rPr>
        <w:t>plazo</w:t>
      </w:r>
      <w:r w:rsidRPr="00FD7669">
        <w:rPr>
          <w:rFonts w:ascii="Arial" w:eastAsia="Calibri" w:hAnsi="Arial" w:cs="Arial"/>
          <w:bCs/>
          <w:color w:val="000000" w:themeColor="text1"/>
          <w:sz w:val="20"/>
          <w:szCs w:val="20"/>
        </w:rPr>
        <w:t xml:space="preserve"> concedido no exceda de su duración. Le corresponde, pues, a la entidad establecer el término por el cual dará dicho traslado</w:t>
      </w:r>
      <w:r w:rsidRPr="00FD7669">
        <w:rPr>
          <w:rFonts w:ascii="Arial" w:eastAsia="Calibri" w:hAnsi="Arial" w:cs="Arial"/>
          <w:color w:val="000000" w:themeColor="text1"/>
          <w:sz w:val="20"/>
          <w:szCs w:val="20"/>
        </w:rPr>
        <w:t xml:space="preserve">. En todo caso, los términos legales o reglamentarios, así como </w:t>
      </w:r>
      <w:r w:rsidRPr="00FD7669">
        <w:rPr>
          <w:rFonts w:ascii="Arial" w:eastAsia="Calibri" w:hAnsi="Arial" w:cs="Arial"/>
          <w:color w:val="000000" w:themeColor="text1"/>
          <w:sz w:val="20"/>
          <w:szCs w:val="20"/>
        </w:rPr>
        <w:lastRenderedPageBreak/>
        <w:t xml:space="preserve">también los términos que establece la entidad, encuentran como limitante, por un lado, las garantías constitucionales fundamentales y, por el otro, los principios de proporcionalidad y razonabilidad. </w:t>
      </w:r>
    </w:p>
    <w:p w14:paraId="0490E3A7" w14:textId="77777777" w:rsidR="00BF201C" w:rsidRPr="00FD7669" w:rsidRDefault="00BF201C" w:rsidP="00BF201C">
      <w:pPr>
        <w:spacing w:after="0" w:line="240" w:lineRule="auto"/>
        <w:jc w:val="both"/>
        <w:rPr>
          <w:rFonts w:ascii="Arial" w:eastAsia="Calibri" w:hAnsi="Arial" w:cs="Arial"/>
          <w:color w:val="000000" w:themeColor="text1"/>
          <w:sz w:val="20"/>
          <w:szCs w:val="20"/>
        </w:rPr>
      </w:pPr>
    </w:p>
    <w:p w14:paraId="457A36B0" w14:textId="77777777" w:rsidR="00BF201C" w:rsidRPr="00366660" w:rsidRDefault="00BF201C" w:rsidP="00BF201C">
      <w:pPr>
        <w:spacing w:after="0" w:line="240" w:lineRule="auto"/>
        <w:jc w:val="both"/>
        <w:rPr>
          <w:rFonts w:ascii="Arial" w:eastAsia="Calibri" w:hAnsi="Arial" w:cs="Arial"/>
          <w:b/>
          <w:lang w:val="es-MX"/>
        </w:rPr>
      </w:pPr>
      <w:bookmarkStart w:id="2" w:name="_Hlk65849162"/>
      <w:r w:rsidRPr="00366660">
        <w:rPr>
          <w:rFonts w:ascii="Arial" w:eastAsia="Calibri" w:hAnsi="Arial" w:cs="Arial"/>
          <w:b/>
          <w:lang w:val="es-MX"/>
        </w:rPr>
        <w:t>DOCUMENTOS TIPO – Versión 3 – Licitación Pública - Capacidad residual – Rechazo de la oferta – Causales</w:t>
      </w:r>
    </w:p>
    <w:p w14:paraId="7C90E08A" w14:textId="77777777" w:rsidR="00BF201C" w:rsidRPr="00366660" w:rsidRDefault="00BF201C" w:rsidP="00BF201C">
      <w:pPr>
        <w:spacing w:after="0" w:line="240" w:lineRule="auto"/>
        <w:jc w:val="both"/>
        <w:rPr>
          <w:rFonts w:ascii="Arial" w:eastAsia="Calibri" w:hAnsi="Arial" w:cs="Arial"/>
          <w:sz w:val="20"/>
          <w:szCs w:val="20"/>
          <w:lang w:val="es-MX"/>
        </w:rPr>
      </w:pPr>
    </w:p>
    <w:bookmarkEnd w:id="2"/>
    <w:p w14:paraId="5D030FD5" w14:textId="77777777" w:rsidR="00BF201C" w:rsidRDefault="00BF201C" w:rsidP="00BF201C">
      <w:pPr>
        <w:spacing w:after="0" w:line="240" w:lineRule="auto"/>
        <w:jc w:val="both"/>
        <w:rPr>
          <w:rFonts w:ascii="Arial" w:hAnsi="Arial" w:cs="Arial"/>
          <w:sz w:val="20"/>
          <w:szCs w:val="20"/>
          <w:lang w:val="es-MX"/>
        </w:rPr>
      </w:pPr>
      <w:r w:rsidRPr="00366660">
        <w:rPr>
          <w:rFonts w:ascii="Arial" w:hAnsi="Arial" w:cs="Arial"/>
          <w:sz w:val="20"/>
          <w:szCs w:val="20"/>
          <w:lang w:val="es-MX"/>
        </w:rPr>
        <w:t xml:space="preserve">[…] resulta relevante para el caso reiterar […] que al menos tres causales de rechazo de las que establece el numeral 1.15 de los documentos tipo se relacionan con la capacidad residual como requisito habilitante, esto es, las de los literales E, H y BB de la segunda versión de licitación de los </w:t>
      </w:r>
      <w:r>
        <w:rPr>
          <w:rFonts w:ascii="Arial" w:hAnsi="Arial" w:cs="Arial"/>
          <w:sz w:val="20"/>
          <w:szCs w:val="20"/>
          <w:lang w:val="es-MX"/>
        </w:rPr>
        <w:t>“</w:t>
      </w:r>
      <w:r w:rsidRPr="00366660">
        <w:rPr>
          <w:rFonts w:ascii="Arial" w:hAnsi="Arial" w:cs="Arial"/>
          <w:sz w:val="20"/>
          <w:szCs w:val="20"/>
          <w:lang w:val="es-MX"/>
        </w:rPr>
        <w:t>Pliegos Tipo</w:t>
      </w:r>
      <w:r>
        <w:rPr>
          <w:rFonts w:ascii="Arial" w:hAnsi="Arial" w:cs="Arial"/>
          <w:sz w:val="20"/>
          <w:szCs w:val="20"/>
          <w:lang w:val="es-MX"/>
        </w:rPr>
        <w:t>”</w:t>
      </w:r>
      <w:r w:rsidRPr="00366660">
        <w:rPr>
          <w:rFonts w:ascii="Arial" w:hAnsi="Arial" w:cs="Arial"/>
          <w:sz w:val="20"/>
          <w:szCs w:val="20"/>
          <w:lang w:val="es-MX"/>
        </w:rPr>
        <w:t>.  En la tercera versión de los documentos tipo se refiere a las causales previstas en los literales E, H y Z.</w:t>
      </w:r>
    </w:p>
    <w:p w14:paraId="59834867" w14:textId="77777777" w:rsidR="00BF201C" w:rsidRPr="00366660" w:rsidRDefault="00BF201C" w:rsidP="00BF201C">
      <w:pPr>
        <w:spacing w:after="0" w:line="240" w:lineRule="auto"/>
        <w:jc w:val="both"/>
        <w:rPr>
          <w:rFonts w:ascii="Arial" w:hAnsi="Arial" w:cs="Arial"/>
          <w:sz w:val="20"/>
          <w:szCs w:val="20"/>
          <w:lang w:val="es-MX"/>
        </w:rPr>
      </w:pPr>
    </w:p>
    <w:p w14:paraId="1C7D7215" w14:textId="77777777" w:rsidR="00BF201C" w:rsidRDefault="00BF201C" w:rsidP="00BF201C">
      <w:pPr>
        <w:spacing w:after="0" w:line="240" w:lineRule="auto"/>
        <w:jc w:val="both"/>
        <w:rPr>
          <w:rFonts w:ascii="Arial" w:hAnsi="Arial" w:cs="Arial"/>
          <w:sz w:val="20"/>
          <w:szCs w:val="20"/>
          <w:lang w:val="es-MX"/>
        </w:rPr>
      </w:pPr>
      <w:r w:rsidRPr="00366660">
        <w:rPr>
          <w:rFonts w:ascii="Arial" w:hAnsi="Arial" w:cs="Arial"/>
          <w:i/>
          <w:sz w:val="20"/>
          <w:szCs w:val="20"/>
          <w:lang w:val="es-MX"/>
        </w:rPr>
        <w:t>i)</w:t>
      </w:r>
      <w:r w:rsidRPr="00366660">
        <w:rPr>
          <w:rFonts w:ascii="Arial" w:hAnsi="Arial" w:cs="Arial"/>
          <w:sz w:val="20"/>
          <w:szCs w:val="20"/>
          <w:lang w:val="es-MX"/>
        </w:rPr>
        <w:t xml:space="preserve"> La causal del literal Z del numeral 1.15 –versión 3 de licitación de obra pública– solamente se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En ese orden, la configuración de la causal de rechazo del literal Z del numeral 1.15 –versión 3 de licitación de obra pública– es objetiva, pues solo aplica ante la omisión del proponente de informar el número total de contratos en ejecución antes del cierre.</w:t>
      </w:r>
    </w:p>
    <w:p w14:paraId="138E613B" w14:textId="77777777" w:rsidR="00BF201C" w:rsidRPr="00366660" w:rsidRDefault="00BF201C" w:rsidP="00BF201C">
      <w:pPr>
        <w:spacing w:after="0" w:line="240" w:lineRule="auto"/>
        <w:jc w:val="both"/>
        <w:rPr>
          <w:rFonts w:ascii="Arial" w:hAnsi="Arial" w:cs="Arial"/>
          <w:sz w:val="20"/>
          <w:szCs w:val="20"/>
          <w:lang w:val="es-MX"/>
        </w:rPr>
      </w:pPr>
    </w:p>
    <w:p w14:paraId="5834C07E" w14:textId="77777777" w:rsidR="00BF201C" w:rsidRDefault="00BF201C" w:rsidP="00BF201C">
      <w:pPr>
        <w:spacing w:after="0" w:line="240" w:lineRule="auto"/>
        <w:jc w:val="both"/>
        <w:rPr>
          <w:rFonts w:ascii="Arial" w:hAnsi="Arial" w:cs="Arial"/>
          <w:sz w:val="20"/>
          <w:szCs w:val="20"/>
          <w:lang w:val="es-MX"/>
        </w:rPr>
      </w:pPr>
      <w:proofErr w:type="spellStart"/>
      <w:r w:rsidRPr="00366660">
        <w:rPr>
          <w:rFonts w:ascii="Arial" w:hAnsi="Arial" w:cs="Arial"/>
          <w:i/>
          <w:sz w:val="20"/>
          <w:szCs w:val="20"/>
          <w:lang w:val="es-MX"/>
        </w:rPr>
        <w:t>ii</w:t>
      </w:r>
      <w:proofErr w:type="spellEnd"/>
      <w:r w:rsidRPr="00366660">
        <w:rPr>
          <w:rFonts w:ascii="Arial" w:hAnsi="Arial" w:cs="Arial"/>
          <w:i/>
          <w:sz w:val="20"/>
          <w:szCs w:val="20"/>
          <w:lang w:val="es-MX"/>
        </w:rPr>
        <w:t xml:space="preserve">) </w:t>
      </w:r>
      <w:bookmarkStart w:id="3" w:name="_Hlk141095825"/>
      <w:r w:rsidRPr="00366660">
        <w:rPr>
          <w:rFonts w:ascii="Arial" w:hAnsi="Arial" w:cs="Arial"/>
          <w:sz w:val="20"/>
          <w:szCs w:val="20"/>
          <w:lang w:val="es-MX"/>
        </w:rPr>
        <w:t>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del literal E del numeral 1.15 del documento base –versión 3 de licitación de obra pública–</w:t>
      </w:r>
      <w:bookmarkEnd w:id="3"/>
      <w:r w:rsidRPr="00366660">
        <w:rPr>
          <w:rFonts w:ascii="Arial" w:hAnsi="Arial" w:cs="Arial"/>
          <w:sz w:val="20"/>
          <w:szCs w:val="20"/>
          <w:lang w:val="es-MX"/>
        </w:rPr>
        <w:t>.</w:t>
      </w:r>
    </w:p>
    <w:p w14:paraId="7AC9741E" w14:textId="77777777" w:rsidR="00BF201C" w:rsidRDefault="00BF201C" w:rsidP="00BF201C">
      <w:pPr>
        <w:spacing w:after="0" w:line="240" w:lineRule="auto"/>
        <w:jc w:val="both"/>
        <w:rPr>
          <w:rFonts w:ascii="Arial" w:hAnsi="Arial" w:cs="Arial"/>
          <w:sz w:val="20"/>
          <w:szCs w:val="20"/>
          <w:lang w:val="es-MX"/>
        </w:rPr>
      </w:pPr>
    </w:p>
    <w:p w14:paraId="1D7894A4" w14:textId="77777777" w:rsidR="00BF201C" w:rsidRPr="00366660" w:rsidRDefault="00BF201C" w:rsidP="00BF201C">
      <w:pPr>
        <w:spacing w:after="0" w:line="240" w:lineRule="auto"/>
        <w:jc w:val="both"/>
        <w:rPr>
          <w:rFonts w:ascii="Arial" w:hAnsi="Arial" w:cs="Arial"/>
          <w:sz w:val="20"/>
          <w:szCs w:val="20"/>
          <w:lang w:val="es-MX"/>
        </w:rPr>
      </w:pPr>
      <w:proofErr w:type="spellStart"/>
      <w:r w:rsidRPr="007C3F0C">
        <w:rPr>
          <w:rFonts w:ascii="Arial" w:hAnsi="Arial" w:cs="Arial"/>
          <w:sz w:val="20"/>
          <w:szCs w:val="20"/>
          <w:lang w:val="es-MX"/>
        </w:rPr>
        <w:t>iii</w:t>
      </w:r>
      <w:proofErr w:type="spellEnd"/>
      <w:r w:rsidRPr="007C3F0C">
        <w:rPr>
          <w:rFonts w:ascii="Arial" w:hAnsi="Arial" w:cs="Arial"/>
          <w:sz w:val="20"/>
          <w:szCs w:val="20"/>
          <w:lang w:val="es-MX"/>
        </w:rPr>
        <w:t>) Lo dicho en los numerales precedentes tampoco descarta la posibilidad de que la entidad rechace la oferta si encuentra configurada la causal establecida en el literal H del numeral 1.15, que aplica cuando el proponente aporta información inexacta sobre la cual pueda existir una posible falsedad, de acuerdo con lo señalado en el numeral 1.11. del documento base</w:t>
      </w:r>
    </w:p>
    <w:p w14:paraId="35EB273A" w14:textId="77777777" w:rsidR="00BF201C" w:rsidRPr="00366660" w:rsidRDefault="00BF201C" w:rsidP="00BF201C">
      <w:pPr>
        <w:spacing w:after="0" w:line="240" w:lineRule="auto"/>
        <w:jc w:val="both"/>
        <w:rPr>
          <w:rFonts w:ascii="Arial" w:eastAsia="Calibri" w:hAnsi="Arial" w:cs="Arial"/>
          <w:sz w:val="20"/>
          <w:szCs w:val="20"/>
          <w:lang w:val="es-MX"/>
        </w:rPr>
      </w:pPr>
    </w:p>
    <w:p w14:paraId="194CB922" w14:textId="77777777" w:rsidR="00BF201C" w:rsidRPr="00366660" w:rsidRDefault="00BF201C" w:rsidP="00BF201C">
      <w:pPr>
        <w:spacing w:after="0" w:line="240" w:lineRule="auto"/>
        <w:jc w:val="both"/>
        <w:rPr>
          <w:rFonts w:ascii="Arial" w:eastAsia="Calibri" w:hAnsi="Arial" w:cs="Arial"/>
          <w:b/>
          <w:lang w:val="es-MX"/>
        </w:rPr>
      </w:pPr>
      <w:bookmarkStart w:id="4" w:name="_Hlk65849173"/>
      <w:r w:rsidRPr="00366660">
        <w:rPr>
          <w:rFonts w:ascii="Arial" w:eastAsia="Calibri" w:hAnsi="Arial" w:cs="Arial"/>
          <w:b/>
          <w:lang w:val="es-MX"/>
        </w:rPr>
        <w:t xml:space="preserve">CAPACIDAD RESIDUAL – Rechazo de la oferta – Afectación – </w:t>
      </w:r>
      <w:proofErr w:type="spellStart"/>
      <w:r w:rsidRPr="00366660">
        <w:rPr>
          <w:rFonts w:ascii="Arial" w:eastAsia="Calibri" w:hAnsi="Arial" w:cs="Arial"/>
          <w:b/>
          <w:lang w:val="es-MX"/>
        </w:rPr>
        <w:t>Subsanabilidad</w:t>
      </w:r>
      <w:proofErr w:type="spellEnd"/>
      <w:r w:rsidRPr="00366660">
        <w:rPr>
          <w:rFonts w:ascii="Arial" w:eastAsia="Calibri" w:hAnsi="Arial" w:cs="Arial"/>
          <w:b/>
          <w:lang w:val="es-MX"/>
        </w:rPr>
        <w:t xml:space="preserve"> </w:t>
      </w:r>
    </w:p>
    <w:bookmarkEnd w:id="4"/>
    <w:p w14:paraId="2F6717C2" w14:textId="77777777" w:rsidR="00BF201C" w:rsidRPr="00366660" w:rsidRDefault="00BF201C" w:rsidP="00BF201C">
      <w:pPr>
        <w:spacing w:after="0" w:line="240" w:lineRule="auto"/>
        <w:jc w:val="both"/>
        <w:rPr>
          <w:rFonts w:ascii="Arial" w:eastAsia="Calibri" w:hAnsi="Arial" w:cs="Arial"/>
          <w:b/>
          <w:sz w:val="20"/>
          <w:szCs w:val="20"/>
          <w:lang w:val="es-MX"/>
        </w:rPr>
      </w:pPr>
    </w:p>
    <w:p w14:paraId="21072F1E" w14:textId="77777777" w:rsidR="00BF201C" w:rsidRPr="00366660" w:rsidRDefault="00BF201C" w:rsidP="00BF201C">
      <w:pPr>
        <w:spacing w:after="0" w:line="240" w:lineRule="auto"/>
        <w:jc w:val="both"/>
        <w:rPr>
          <w:rFonts w:ascii="Arial" w:hAnsi="Arial" w:cs="Arial"/>
          <w:sz w:val="20"/>
          <w:szCs w:val="20"/>
        </w:rPr>
      </w:pPr>
      <w:r w:rsidRPr="00366660">
        <w:rPr>
          <w:rFonts w:ascii="Arial" w:hAnsi="Arial" w:cs="Arial"/>
          <w:sz w:val="20"/>
          <w:szCs w:val="20"/>
        </w:rPr>
        <w:t xml:space="preserve">Aunque </w:t>
      </w:r>
      <w:r w:rsidRPr="00E1038B">
        <w:rPr>
          <w:rFonts w:ascii="Arial" w:hAnsi="Arial" w:cs="Arial"/>
          <w:sz w:val="20"/>
          <w:szCs w:val="20"/>
        </w:rPr>
        <w:t>las causales de rechazo del literal E, H y Z del numeral 1.15 de los documentos tipo se relacionan con la capacidad residual como requisito habilitante, estas se aplican en supuestos diferentes, de acuerdo con lo explicado ut supra.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r w:rsidRPr="00366660">
        <w:rPr>
          <w:rFonts w:ascii="Arial" w:hAnsi="Arial" w:cs="Arial"/>
          <w:sz w:val="20"/>
          <w:szCs w:val="20"/>
        </w:rPr>
        <w:t xml:space="preserve">. </w:t>
      </w:r>
    </w:p>
    <w:p w14:paraId="2BA749DF" w14:textId="77777777" w:rsidR="00BF201C" w:rsidRPr="00366660" w:rsidRDefault="00BF201C" w:rsidP="00BF201C">
      <w:pPr>
        <w:spacing w:after="0" w:line="240" w:lineRule="auto"/>
        <w:jc w:val="both"/>
        <w:rPr>
          <w:rFonts w:ascii="Arial" w:eastAsia="Calibri" w:hAnsi="Arial" w:cs="Arial"/>
          <w:sz w:val="20"/>
          <w:szCs w:val="20"/>
          <w:lang w:val="es-MX"/>
        </w:rPr>
      </w:pPr>
    </w:p>
    <w:p w14:paraId="4BC9BDC9" w14:textId="77777777" w:rsidR="00BF201C" w:rsidRPr="00366660" w:rsidRDefault="00BF201C" w:rsidP="00BF201C">
      <w:pPr>
        <w:spacing w:after="0" w:line="240" w:lineRule="auto"/>
        <w:jc w:val="both"/>
        <w:rPr>
          <w:rFonts w:ascii="Arial" w:eastAsia="Calibri" w:hAnsi="Arial" w:cs="Arial"/>
          <w:b/>
          <w:lang w:val="es-MX"/>
        </w:rPr>
      </w:pPr>
      <w:bookmarkStart w:id="5" w:name="_Hlk65849188"/>
      <w:r w:rsidRPr="00366660">
        <w:rPr>
          <w:rFonts w:ascii="Arial" w:eastAsia="Calibri" w:hAnsi="Arial" w:cs="Arial"/>
          <w:b/>
          <w:lang w:val="es-MX"/>
        </w:rPr>
        <w:t xml:space="preserve">RECHAZO DE LA OFERTA – Capacidad residual – Documento Base – Literal Z – Versión 3 – Licitación Pública – </w:t>
      </w:r>
      <w:r w:rsidRPr="00366660">
        <w:rPr>
          <w:rFonts w:ascii="Arial" w:hAnsi="Arial" w:cs="Arial"/>
          <w:b/>
          <w:lang w:val="es-MX"/>
        </w:rPr>
        <w:t>Alcance</w:t>
      </w:r>
      <w:bookmarkEnd w:id="5"/>
    </w:p>
    <w:p w14:paraId="1582B6B1" w14:textId="77777777" w:rsidR="00BF201C" w:rsidRPr="00366660" w:rsidRDefault="00BF201C" w:rsidP="00BF201C">
      <w:pPr>
        <w:spacing w:after="0" w:line="240" w:lineRule="auto"/>
        <w:jc w:val="both"/>
        <w:rPr>
          <w:rFonts w:ascii="Arial" w:eastAsia="Calibri" w:hAnsi="Arial" w:cs="Arial"/>
          <w:b/>
          <w:lang w:val="es-MX"/>
        </w:rPr>
      </w:pPr>
    </w:p>
    <w:p w14:paraId="52A762A4" w14:textId="77777777" w:rsidR="00BF201C" w:rsidRPr="00366660" w:rsidRDefault="00BF201C" w:rsidP="00BF201C">
      <w:pPr>
        <w:spacing w:after="0" w:line="240" w:lineRule="auto"/>
        <w:jc w:val="both"/>
        <w:rPr>
          <w:rFonts w:ascii="Arial" w:hAnsi="Arial" w:cs="Arial"/>
          <w:sz w:val="20"/>
          <w:szCs w:val="20"/>
        </w:rPr>
      </w:pPr>
      <w:r w:rsidRPr="00E1038B">
        <w:rPr>
          <w:rFonts w:ascii="Arial" w:hAnsi="Arial" w:cs="Arial"/>
          <w:sz w:val="20"/>
          <w:szCs w:val="20"/>
        </w:rPr>
        <w:t>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reportado, implica aceptar que ocurrió la causal del literal Z, esto es, que el proponente incumplió su obligación de informar todos los contratos de obra que tenía en ejecución</w:t>
      </w:r>
      <w:r>
        <w:rPr>
          <w:rFonts w:ascii="Arial" w:hAnsi="Arial" w:cs="Arial"/>
          <w:sz w:val="20"/>
          <w:szCs w:val="20"/>
        </w:rPr>
        <w:t xml:space="preserve"> […]  </w:t>
      </w:r>
      <w:r w:rsidRPr="00B51A66">
        <w:rPr>
          <w:rFonts w:ascii="Arial" w:hAnsi="Arial" w:cs="Arial"/>
          <w:sz w:val="20"/>
          <w:szCs w:val="20"/>
        </w:rPr>
        <w:t>Así las cosas, es durante el traslado del informe de evaluación relacionado con los documentos de los requisitos habilitantes –incluido lo relativo a la capacidad residual– y los requisitos que sean objeto de puntuación, diferentes a la oferta económica, que cualquier interesado o la entidad puede advertir que se dejó de incluir, al cierre del proceso, por parte de un proponente, alguna información contractual que afecte su capacidad residual.</w:t>
      </w:r>
    </w:p>
    <w:bookmarkEnd w:id="1"/>
    <w:p w14:paraId="566F3447" w14:textId="77777777" w:rsidR="00BF201C" w:rsidRDefault="00BF201C" w:rsidP="003358A3">
      <w:pPr>
        <w:spacing w:after="0" w:line="240" w:lineRule="auto"/>
        <w:jc w:val="both"/>
        <w:rPr>
          <w:rFonts w:ascii="Arial" w:eastAsia="Calibri" w:hAnsi="Arial" w:cs="Arial"/>
          <w:lang w:val="es-MX"/>
        </w:rPr>
      </w:pPr>
    </w:p>
    <w:p w14:paraId="30B6039F" w14:textId="77777777" w:rsidR="00BF201C" w:rsidRDefault="00BF201C" w:rsidP="003358A3">
      <w:pPr>
        <w:spacing w:after="0" w:line="240" w:lineRule="auto"/>
        <w:jc w:val="both"/>
        <w:rPr>
          <w:rFonts w:ascii="Arial" w:eastAsia="Calibri" w:hAnsi="Arial" w:cs="Arial"/>
          <w:lang w:val="es-MX"/>
        </w:rPr>
      </w:pPr>
    </w:p>
    <w:p w14:paraId="4386A4AA" w14:textId="77777777" w:rsidR="00BF201C" w:rsidRDefault="00BF201C" w:rsidP="003358A3">
      <w:pPr>
        <w:spacing w:after="0" w:line="240" w:lineRule="auto"/>
        <w:jc w:val="both"/>
        <w:rPr>
          <w:rFonts w:ascii="Arial" w:eastAsia="Calibri" w:hAnsi="Arial" w:cs="Arial"/>
          <w:lang w:val="es-MX"/>
        </w:rPr>
      </w:pPr>
    </w:p>
    <w:p w14:paraId="727CCF9C" w14:textId="77777777" w:rsidR="00BF201C" w:rsidRDefault="00BF201C" w:rsidP="003358A3">
      <w:pPr>
        <w:spacing w:after="0" w:line="240" w:lineRule="auto"/>
        <w:jc w:val="both"/>
        <w:rPr>
          <w:rFonts w:ascii="Arial" w:eastAsia="Calibri" w:hAnsi="Arial" w:cs="Arial"/>
          <w:lang w:val="es-MX"/>
        </w:rPr>
      </w:pPr>
    </w:p>
    <w:p w14:paraId="5E13C437" w14:textId="77777777" w:rsidR="00BF201C" w:rsidRDefault="00BF201C" w:rsidP="003358A3">
      <w:pPr>
        <w:spacing w:after="0" w:line="240" w:lineRule="auto"/>
        <w:jc w:val="both"/>
        <w:rPr>
          <w:rFonts w:ascii="Arial" w:eastAsia="Calibri" w:hAnsi="Arial" w:cs="Arial"/>
          <w:lang w:val="es-MX"/>
        </w:rPr>
      </w:pPr>
    </w:p>
    <w:p w14:paraId="4686914B" w14:textId="77777777" w:rsidR="00BF201C" w:rsidRDefault="00BF201C" w:rsidP="003358A3">
      <w:pPr>
        <w:spacing w:after="0" w:line="240" w:lineRule="auto"/>
        <w:jc w:val="both"/>
        <w:rPr>
          <w:rFonts w:ascii="Arial" w:eastAsia="Calibri" w:hAnsi="Arial" w:cs="Arial"/>
          <w:lang w:val="es-MX"/>
        </w:rPr>
      </w:pPr>
    </w:p>
    <w:p w14:paraId="6FD51BCE" w14:textId="77777777" w:rsidR="00BF201C" w:rsidRDefault="00BF201C" w:rsidP="003358A3">
      <w:pPr>
        <w:spacing w:after="0" w:line="240" w:lineRule="auto"/>
        <w:jc w:val="both"/>
        <w:rPr>
          <w:rFonts w:ascii="Arial" w:eastAsia="Calibri" w:hAnsi="Arial" w:cs="Arial"/>
          <w:lang w:val="es-MX"/>
        </w:rPr>
      </w:pPr>
    </w:p>
    <w:p w14:paraId="44653272" w14:textId="77777777" w:rsidR="00BF201C" w:rsidRDefault="00BF201C" w:rsidP="003358A3">
      <w:pPr>
        <w:spacing w:after="0" w:line="240" w:lineRule="auto"/>
        <w:jc w:val="both"/>
        <w:rPr>
          <w:rFonts w:ascii="Arial" w:eastAsia="Calibri" w:hAnsi="Arial" w:cs="Arial"/>
          <w:lang w:val="es-MX"/>
        </w:rPr>
      </w:pPr>
    </w:p>
    <w:p w14:paraId="2094A458" w14:textId="77777777" w:rsidR="00BF201C" w:rsidRDefault="00BF201C" w:rsidP="003358A3">
      <w:pPr>
        <w:spacing w:after="0" w:line="240" w:lineRule="auto"/>
        <w:jc w:val="both"/>
        <w:rPr>
          <w:rFonts w:ascii="Arial" w:eastAsia="Calibri" w:hAnsi="Arial" w:cs="Arial"/>
          <w:lang w:val="es-MX"/>
        </w:rPr>
      </w:pPr>
    </w:p>
    <w:p w14:paraId="7BA0C3D2" w14:textId="77777777" w:rsidR="00BF201C" w:rsidRDefault="00BF201C" w:rsidP="003358A3">
      <w:pPr>
        <w:spacing w:after="0" w:line="240" w:lineRule="auto"/>
        <w:jc w:val="both"/>
        <w:rPr>
          <w:rFonts w:ascii="Arial" w:eastAsia="Calibri" w:hAnsi="Arial" w:cs="Arial"/>
          <w:lang w:val="es-MX"/>
        </w:rPr>
      </w:pPr>
    </w:p>
    <w:p w14:paraId="516CFBE3" w14:textId="77777777" w:rsidR="00BF201C" w:rsidRDefault="00BF201C" w:rsidP="003358A3">
      <w:pPr>
        <w:spacing w:after="0" w:line="240" w:lineRule="auto"/>
        <w:jc w:val="both"/>
        <w:rPr>
          <w:rFonts w:ascii="Arial" w:eastAsia="Calibri" w:hAnsi="Arial" w:cs="Arial"/>
          <w:lang w:val="es-MX"/>
        </w:rPr>
      </w:pPr>
    </w:p>
    <w:p w14:paraId="1AB686B5" w14:textId="77777777" w:rsidR="00BF201C" w:rsidRDefault="00BF201C" w:rsidP="003358A3">
      <w:pPr>
        <w:spacing w:after="0" w:line="240" w:lineRule="auto"/>
        <w:jc w:val="both"/>
        <w:rPr>
          <w:rFonts w:ascii="Arial" w:eastAsia="Calibri" w:hAnsi="Arial" w:cs="Arial"/>
          <w:lang w:val="es-MX"/>
        </w:rPr>
      </w:pPr>
    </w:p>
    <w:p w14:paraId="16D19DF6" w14:textId="77777777" w:rsidR="00BF201C" w:rsidRDefault="00BF201C" w:rsidP="003358A3">
      <w:pPr>
        <w:spacing w:after="0" w:line="240" w:lineRule="auto"/>
        <w:jc w:val="both"/>
        <w:rPr>
          <w:rFonts w:ascii="Arial" w:eastAsia="Calibri" w:hAnsi="Arial" w:cs="Arial"/>
          <w:lang w:val="es-MX"/>
        </w:rPr>
      </w:pPr>
    </w:p>
    <w:p w14:paraId="27509687" w14:textId="77777777" w:rsidR="00BF201C" w:rsidRDefault="00BF201C" w:rsidP="003358A3">
      <w:pPr>
        <w:spacing w:after="0" w:line="240" w:lineRule="auto"/>
        <w:jc w:val="both"/>
        <w:rPr>
          <w:rFonts w:ascii="Arial" w:eastAsia="Calibri" w:hAnsi="Arial" w:cs="Arial"/>
          <w:lang w:val="es-MX"/>
        </w:rPr>
      </w:pPr>
    </w:p>
    <w:p w14:paraId="25517ABD" w14:textId="77777777" w:rsidR="00BF201C" w:rsidRDefault="00BF201C" w:rsidP="003358A3">
      <w:pPr>
        <w:spacing w:after="0" w:line="240" w:lineRule="auto"/>
        <w:jc w:val="both"/>
        <w:rPr>
          <w:rFonts w:ascii="Arial" w:eastAsia="Calibri" w:hAnsi="Arial" w:cs="Arial"/>
          <w:lang w:val="es-MX"/>
        </w:rPr>
      </w:pPr>
    </w:p>
    <w:p w14:paraId="0A0A86D7" w14:textId="77777777" w:rsidR="00BF201C" w:rsidRDefault="00BF201C" w:rsidP="003358A3">
      <w:pPr>
        <w:spacing w:after="0" w:line="240" w:lineRule="auto"/>
        <w:jc w:val="both"/>
        <w:rPr>
          <w:rFonts w:ascii="Arial" w:eastAsia="Calibri" w:hAnsi="Arial" w:cs="Arial"/>
          <w:lang w:val="es-MX"/>
        </w:rPr>
      </w:pPr>
    </w:p>
    <w:p w14:paraId="44CD0EB8" w14:textId="77777777" w:rsidR="00BF201C" w:rsidRDefault="00BF201C" w:rsidP="003358A3">
      <w:pPr>
        <w:spacing w:after="0" w:line="240" w:lineRule="auto"/>
        <w:jc w:val="both"/>
        <w:rPr>
          <w:rFonts w:ascii="Arial" w:eastAsia="Calibri" w:hAnsi="Arial" w:cs="Arial"/>
          <w:lang w:val="es-MX"/>
        </w:rPr>
      </w:pPr>
    </w:p>
    <w:p w14:paraId="50826449" w14:textId="77777777" w:rsidR="00BF201C" w:rsidRDefault="00BF201C" w:rsidP="003358A3">
      <w:pPr>
        <w:spacing w:after="0" w:line="240" w:lineRule="auto"/>
        <w:jc w:val="both"/>
        <w:rPr>
          <w:rFonts w:ascii="Arial" w:eastAsia="Calibri" w:hAnsi="Arial" w:cs="Arial"/>
          <w:lang w:val="es-MX"/>
        </w:rPr>
      </w:pPr>
    </w:p>
    <w:p w14:paraId="0F9C505C" w14:textId="77777777" w:rsidR="00BF201C" w:rsidRDefault="00BF201C" w:rsidP="003358A3">
      <w:pPr>
        <w:spacing w:after="0" w:line="240" w:lineRule="auto"/>
        <w:jc w:val="both"/>
        <w:rPr>
          <w:rFonts w:ascii="Arial" w:eastAsia="Calibri" w:hAnsi="Arial" w:cs="Arial"/>
          <w:lang w:val="es-MX"/>
        </w:rPr>
      </w:pPr>
    </w:p>
    <w:p w14:paraId="3912BB79" w14:textId="77777777" w:rsidR="00BF201C" w:rsidRDefault="00BF201C" w:rsidP="003358A3">
      <w:pPr>
        <w:spacing w:after="0" w:line="240" w:lineRule="auto"/>
        <w:jc w:val="both"/>
        <w:rPr>
          <w:rFonts w:ascii="Arial" w:eastAsia="Calibri" w:hAnsi="Arial" w:cs="Arial"/>
          <w:lang w:val="es-MX"/>
        </w:rPr>
      </w:pPr>
    </w:p>
    <w:p w14:paraId="346488F5" w14:textId="77777777" w:rsidR="00BF201C" w:rsidRDefault="00BF201C" w:rsidP="003358A3">
      <w:pPr>
        <w:spacing w:after="0" w:line="240" w:lineRule="auto"/>
        <w:jc w:val="both"/>
        <w:rPr>
          <w:rFonts w:ascii="Arial" w:eastAsia="Calibri" w:hAnsi="Arial" w:cs="Arial"/>
          <w:lang w:val="es-MX"/>
        </w:rPr>
      </w:pPr>
    </w:p>
    <w:p w14:paraId="2C15FA6F" w14:textId="77777777" w:rsidR="00BF201C" w:rsidRDefault="00BF201C" w:rsidP="003358A3">
      <w:pPr>
        <w:spacing w:after="0" w:line="240" w:lineRule="auto"/>
        <w:jc w:val="both"/>
        <w:rPr>
          <w:rFonts w:ascii="Arial" w:eastAsia="Calibri" w:hAnsi="Arial" w:cs="Arial"/>
          <w:lang w:val="es-MX"/>
        </w:rPr>
      </w:pPr>
    </w:p>
    <w:p w14:paraId="2FBA0D50" w14:textId="77777777" w:rsidR="00BF201C" w:rsidRDefault="00BF201C" w:rsidP="003358A3">
      <w:pPr>
        <w:spacing w:after="0" w:line="240" w:lineRule="auto"/>
        <w:jc w:val="both"/>
        <w:rPr>
          <w:rFonts w:ascii="Arial" w:eastAsia="Calibri" w:hAnsi="Arial" w:cs="Arial"/>
          <w:lang w:val="es-MX"/>
        </w:rPr>
      </w:pPr>
    </w:p>
    <w:p w14:paraId="2A16A90F" w14:textId="77777777" w:rsidR="00BF201C" w:rsidRDefault="00BF201C" w:rsidP="003358A3">
      <w:pPr>
        <w:spacing w:after="0" w:line="240" w:lineRule="auto"/>
        <w:jc w:val="both"/>
        <w:rPr>
          <w:rFonts w:ascii="Arial" w:eastAsia="Calibri" w:hAnsi="Arial" w:cs="Arial"/>
          <w:lang w:val="es-MX"/>
        </w:rPr>
      </w:pPr>
    </w:p>
    <w:p w14:paraId="072AD8FA" w14:textId="77777777" w:rsidR="00BF201C" w:rsidRDefault="00BF201C" w:rsidP="003358A3">
      <w:pPr>
        <w:spacing w:after="0" w:line="240" w:lineRule="auto"/>
        <w:jc w:val="both"/>
        <w:rPr>
          <w:rFonts w:ascii="Arial" w:eastAsia="Calibri" w:hAnsi="Arial" w:cs="Arial"/>
          <w:lang w:val="es-MX"/>
        </w:rPr>
      </w:pPr>
    </w:p>
    <w:p w14:paraId="59F0C089" w14:textId="77777777" w:rsidR="00BF201C" w:rsidRDefault="00BF201C" w:rsidP="003358A3">
      <w:pPr>
        <w:spacing w:after="0" w:line="240" w:lineRule="auto"/>
        <w:jc w:val="both"/>
        <w:rPr>
          <w:rFonts w:ascii="Arial" w:eastAsia="Calibri" w:hAnsi="Arial" w:cs="Arial"/>
          <w:lang w:val="es-MX"/>
        </w:rPr>
      </w:pPr>
    </w:p>
    <w:p w14:paraId="0AB57E34" w14:textId="77777777" w:rsidR="00BF201C" w:rsidRDefault="00BF201C" w:rsidP="003358A3">
      <w:pPr>
        <w:spacing w:after="0" w:line="240" w:lineRule="auto"/>
        <w:jc w:val="both"/>
        <w:rPr>
          <w:rFonts w:ascii="Arial" w:eastAsia="Calibri" w:hAnsi="Arial" w:cs="Arial"/>
          <w:lang w:val="es-MX"/>
        </w:rPr>
      </w:pPr>
    </w:p>
    <w:p w14:paraId="65BDD0B2" w14:textId="77777777" w:rsidR="00BF201C" w:rsidRDefault="00BF201C" w:rsidP="003358A3">
      <w:pPr>
        <w:spacing w:after="0" w:line="240" w:lineRule="auto"/>
        <w:jc w:val="both"/>
        <w:rPr>
          <w:rFonts w:ascii="Arial" w:eastAsia="Calibri" w:hAnsi="Arial" w:cs="Arial"/>
          <w:lang w:val="es-MX"/>
        </w:rPr>
      </w:pPr>
    </w:p>
    <w:p w14:paraId="0F47F2E1" w14:textId="77777777" w:rsidR="00BF201C" w:rsidRDefault="00BF201C" w:rsidP="003358A3">
      <w:pPr>
        <w:spacing w:after="0" w:line="240" w:lineRule="auto"/>
        <w:jc w:val="both"/>
        <w:rPr>
          <w:rFonts w:ascii="Arial" w:eastAsia="Calibri" w:hAnsi="Arial" w:cs="Arial"/>
          <w:lang w:val="es-MX"/>
        </w:rPr>
      </w:pPr>
    </w:p>
    <w:p w14:paraId="0879C1FC" w14:textId="77777777" w:rsidR="00BF201C" w:rsidRDefault="00BF201C" w:rsidP="003358A3">
      <w:pPr>
        <w:spacing w:after="0" w:line="240" w:lineRule="auto"/>
        <w:jc w:val="both"/>
        <w:rPr>
          <w:rFonts w:ascii="Arial" w:eastAsia="Calibri" w:hAnsi="Arial" w:cs="Arial"/>
          <w:lang w:val="es-MX"/>
        </w:rPr>
      </w:pPr>
    </w:p>
    <w:p w14:paraId="0655E282" w14:textId="77777777" w:rsidR="00BF201C" w:rsidRDefault="00BF201C" w:rsidP="003358A3">
      <w:pPr>
        <w:spacing w:after="0" w:line="240" w:lineRule="auto"/>
        <w:jc w:val="both"/>
        <w:rPr>
          <w:rFonts w:ascii="Arial" w:eastAsia="Calibri" w:hAnsi="Arial" w:cs="Arial"/>
          <w:lang w:val="es-MX"/>
        </w:rPr>
      </w:pPr>
    </w:p>
    <w:p w14:paraId="3B933776" w14:textId="77777777" w:rsidR="00BF201C" w:rsidRDefault="00BF201C" w:rsidP="003358A3">
      <w:pPr>
        <w:spacing w:after="0" w:line="240" w:lineRule="auto"/>
        <w:jc w:val="both"/>
        <w:rPr>
          <w:rFonts w:ascii="Arial" w:eastAsia="Calibri" w:hAnsi="Arial" w:cs="Arial"/>
          <w:lang w:val="es-MX"/>
        </w:rPr>
      </w:pPr>
    </w:p>
    <w:p w14:paraId="7A8FA038" w14:textId="77777777" w:rsidR="00BF201C" w:rsidRDefault="00BF201C" w:rsidP="003358A3">
      <w:pPr>
        <w:spacing w:after="0" w:line="240" w:lineRule="auto"/>
        <w:jc w:val="both"/>
        <w:rPr>
          <w:rFonts w:ascii="Arial" w:eastAsia="Calibri" w:hAnsi="Arial" w:cs="Arial"/>
          <w:lang w:val="es-MX"/>
        </w:rPr>
      </w:pPr>
    </w:p>
    <w:p w14:paraId="5C2EBBCD" w14:textId="19C375EC" w:rsidR="003358A3" w:rsidRPr="003358A3" w:rsidRDefault="003358A3" w:rsidP="003358A3">
      <w:pPr>
        <w:spacing w:after="0" w:line="240" w:lineRule="auto"/>
        <w:jc w:val="both"/>
        <w:rPr>
          <w:rFonts w:ascii="Arial" w:hAnsi="Arial" w:cs="Arial"/>
          <w:sz w:val="20"/>
          <w:szCs w:val="20"/>
        </w:rPr>
      </w:pPr>
      <w:r w:rsidRPr="00D033DC">
        <w:rPr>
          <w:rFonts w:ascii="Arial" w:eastAsia="Calibri" w:hAnsi="Arial" w:cs="Arial"/>
          <w:lang w:val="es-MX"/>
        </w:rPr>
        <w:lastRenderedPageBreak/>
        <w:t xml:space="preserve">Bogotá D.C., </w:t>
      </w:r>
      <w:r w:rsidR="00C33038" w:rsidRPr="00C33038">
        <w:rPr>
          <w:rFonts w:ascii="Arial" w:eastAsia="Calibri" w:hAnsi="Arial" w:cs="Arial"/>
          <w:lang w:val="es-MX"/>
        </w:rPr>
        <w:t xml:space="preserve">01 de </w:t>
      </w:r>
      <w:proofErr w:type="gramStart"/>
      <w:r w:rsidR="00C33038" w:rsidRPr="00C33038">
        <w:rPr>
          <w:rFonts w:ascii="Arial" w:eastAsia="Calibri" w:hAnsi="Arial" w:cs="Arial"/>
          <w:lang w:val="es-MX"/>
        </w:rPr>
        <w:t>Agosto</w:t>
      </w:r>
      <w:proofErr w:type="gramEnd"/>
      <w:r w:rsidR="00C33038" w:rsidRPr="00C33038">
        <w:rPr>
          <w:rFonts w:ascii="Arial" w:eastAsia="Calibri" w:hAnsi="Arial" w:cs="Arial"/>
          <w:lang w:val="es-MX"/>
        </w:rPr>
        <w:t xml:space="preserve"> de 2023</w:t>
      </w:r>
    </w:p>
    <w:p w14:paraId="07E7868F" w14:textId="77777777" w:rsidR="003358A3" w:rsidRDefault="003358A3" w:rsidP="003358A3">
      <w:pPr>
        <w:spacing w:after="0" w:line="240" w:lineRule="auto"/>
        <w:rPr>
          <w:rFonts w:ascii="Arial" w:eastAsia="Calibri" w:hAnsi="Arial" w:cs="Arial"/>
          <w:lang w:val="es-MX"/>
        </w:rPr>
      </w:pPr>
    </w:p>
    <w:p w14:paraId="5821E2AE" w14:textId="25AE6377" w:rsidR="003358A3" w:rsidRDefault="00C33038" w:rsidP="00C33038">
      <w:pPr>
        <w:spacing w:after="0" w:line="240" w:lineRule="auto"/>
        <w:jc w:val="right"/>
        <w:rPr>
          <w:rFonts w:ascii="Arial" w:eastAsia="Calibri" w:hAnsi="Arial" w:cs="Arial"/>
          <w:lang w:val="es-MX"/>
        </w:rPr>
      </w:pPr>
      <w:r>
        <w:rPr>
          <w:rFonts w:ascii="Arial" w:eastAsia="Calibri" w:hAnsi="Arial" w:cs="Arial"/>
          <w:noProof/>
          <w:lang w:val="es-MX"/>
        </w:rPr>
        <w:drawing>
          <wp:inline distT="0" distB="0" distL="0" distR="0" wp14:anchorId="33D42E80" wp14:editId="681CACBC">
            <wp:extent cx="2971165" cy="685800"/>
            <wp:effectExtent l="0" t="0" r="635" b="0"/>
            <wp:docPr id="17959540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165" cy="685800"/>
                    </a:xfrm>
                    <a:prstGeom prst="rect">
                      <a:avLst/>
                    </a:prstGeom>
                    <a:noFill/>
                    <a:ln>
                      <a:noFill/>
                    </a:ln>
                  </pic:spPr>
                </pic:pic>
              </a:graphicData>
            </a:graphic>
          </wp:inline>
        </w:drawing>
      </w:r>
    </w:p>
    <w:p w14:paraId="704165D2" w14:textId="77777777" w:rsidR="00C33038" w:rsidRDefault="00C33038" w:rsidP="003358A3">
      <w:pPr>
        <w:spacing w:after="0" w:line="240" w:lineRule="auto"/>
        <w:rPr>
          <w:rFonts w:ascii="Arial" w:eastAsia="Calibri" w:hAnsi="Arial" w:cs="Arial"/>
          <w:lang w:val="es-MX"/>
        </w:rPr>
      </w:pPr>
    </w:p>
    <w:p w14:paraId="27021909" w14:textId="77777777" w:rsidR="003358A3" w:rsidRPr="00366660" w:rsidRDefault="003358A3" w:rsidP="003358A3">
      <w:pPr>
        <w:spacing w:after="0" w:line="240" w:lineRule="auto"/>
        <w:rPr>
          <w:rFonts w:ascii="Arial" w:eastAsia="Calibri" w:hAnsi="Arial" w:cs="Arial"/>
          <w:lang w:val="es-MX"/>
        </w:rPr>
      </w:pPr>
      <w:r w:rsidRPr="00366660">
        <w:rPr>
          <w:rFonts w:ascii="Arial" w:eastAsia="Calibri" w:hAnsi="Arial" w:cs="Arial"/>
          <w:lang w:val="es-MX"/>
        </w:rPr>
        <w:t>Señor</w:t>
      </w:r>
    </w:p>
    <w:p w14:paraId="1687305C" w14:textId="77777777" w:rsidR="003358A3" w:rsidRDefault="003358A3" w:rsidP="003358A3">
      <w:pPr>
        <w:spacing w:after="0" w:line="240" w:lineRule="auto"/>
        <w:rPr>
          <w:rFonts w:ascii="Arial" w:eastAsia="Calibri" w:hAnsi="Arial" w:cs="Arial"/>
          <w:b/>
          <w:bCs/>
          <w:lang w:val="es-MX"/>
        </w:rPr>
      </w:pPr>
      <w:r w:rsidRPr="007237D5">
        <w:rPr>
          <w:rFonts w:ascii="Arial" w:eastAsia="Calibri" w:hAnsi="Arial" w:cs="Arial"/>
          <w:b/>
          <w:bCs/>
          <w:lang w:val="es-MX"/>
        </w:rPr>
        <w:t xml:space="preserve">Jorge </w:t>
      </w:r>
      <w:proofErr w:type="spellStart"/>
      <w:r w:rsidRPr="007237D5">
        <w:rPr>
          <w:rFonts w:ascii="Arial" w:eastAsia="Calibri" w:hAnsi="Arial" w:cs="Arial"/>
          <w:b/>
          <w:bCs/>
          <w:lang w:val="es-MX"/>
        </w:rPr>
        <w:t>Bendek</w:t>
      </w:r>
      <w:proofErr w:type="spellEnd"/>
    </w:p>
    <w:p w14:paraId="5B56F4D7" w14:textId="77777777" w:rsidR="003358A3" w:rsidRDefault="003358A3" w:rsidP="003358A3">
      <w:pPr>
        <w:spacing w:after="0" w:line="240" w:lineRule="auto"/>
        <w:rPr>
          <w:rFonts w:ascii="Arial" w:hAnsi="Arial" w:cs="Arial"/>
          <w:lang w:val="es-MX"/>
        </w:rPr>
      </w:pPr>
      <w:r w:rsidRPr="007237D5">
        <w:rPr>
          <w:rFonts w:ascii="Arial" w:hAnsi="Arial" w:cs="Arial"/>
          <w:lang w:val="es-MX"/>
        </w:rPr>
        <w:t>Bogotá D.C.</w:t>
      </w:r>
    </w:p>
    <w:p w14:paraId="31FBB785" w14:textId="77777777" w:rsidR="003358A3" w:rsidRPr="00366660" w:rsidRDefault="003358A3" w:rsidP="003358A3">
      <w:pPr>
        <w:spacing w:after="0" w:line="240" w:lineRule="auto"/>
        <w:rPr>
          <w:rFonts w:ascii="Arial" w:eastAsia="Calibri" w:hAnsi="Arial" w:cs="Arial"/>
          <w:lang w:val="es-MX"/>
        </w:rPr>
      </w:pPr>
    </w:p>
    <w:p w14:paraId="20BC33DF" w14:textId="77777777" w:rsidR="003358A3" w:rsidRPr="00366660" w:rsidRDefault="003358A3" w:rsidP="003358A3">
      <w:pPr>
        <w:spacing w:after="0" w:line="240" w:lineRule="auto"/>
        <w:rPr>
          <w:rFonts w:ascii="Arial" w:eastAsia="Calibri" w:hAnsi="Arial" w:cs="Arial"/>
          <w:lang w:val="es-MX"/>
        </w:rPr>
      </w:pPr>
    </w:p>
    <w:p w14:paraId="6F1EC195" w14:textId="77777777" w:rsidR="003358A3" w:rsidRPr="00366660" w:rsidRDefault="003358A3" w:rsidP="003358A3">
      <w:pPr>
        <w:spacing w:after="0" w:line="240" w:lineRule="auto"/>
        <w:rPr>
          <w:rFonts w:ascii="Arial" w:eastAsia="Calibri" w:hAnsi="Arial" w:cs="Arial"/>
          <w:b/>
          <w:lang w:val="es-MX"/>
        </w:rPr>
      </w:pPr>
      <w:r w:rsidRPr="00366660">
        <w:rPr>
          <w:rFonts w:ascii="Arial" w:eastAsia="Calibri" w:hAnsi="Arial" w:cs="Arial"/>
          <w:lang w:val="es-MX"/>
        </w:rPr>
        <w:t xml:space="preserve">                                            </w:t>
      </w:r>
      <w:r w:rsidRPr="00366660">
        <w:rPr>
          <w:rFonts w:ascii="Arial" w:eastAsia="Calibri" w:hAnsi="Arial" w:cs="Arial"/>
          <w:b/>
          <w:lang w:val="es-MX"/>
        </w:rPr>
        <w:t xml:space="preserve">Concepto C − </w:t>
      </w:r>
      <w:r>
        <w:rPr>
          <w:rFonts w:ascii="Arial" w:eastAsia="Calibri" w:hAnsi="Arial" w:cs="Arial"/>
          <w:b/>
          <w:lang w:val="es-MX"/>
        </w:rPr>
        <w:t>353</w:t>
      </w:r>
      <w:r w:rsidRPr="00366660">
        <w:rPr>
          <w:rFonts w:ascii="Arial" w:eastAsia="Calibri" w:hAnsi="Arial" w:cs="Arial"/>
          <w:b/>
          <w:lang w:val="es-MX"/>
        </w:rPr>
        <w:t xml:space="preserve"> de 202</w:t>
      </w:r>
      <w:r>
        <w:rPr>
          <w:rFonts w:ascii="Arial" w:eastAsia="Calibri" w:hAnsi="Arial" w:cs="Arial"/>
          <w:b/>
          <w:lang w:val="es-MX"/>
        </w:rPr>
        <w:t>3</w:t>
      </w:r>
    </w:p>
    <w:p w14:paraId="09F56D97" w14:textId="77777777" w:rsidR="003358A3" w:rsidRPr="00366660" w:rsidRDefault="003358A3" w:rsidP="003358A3">
      <w:pPr>
        <w:spacing w:after="0" w:line="240" w:lineRule="auto"/>
        <w:rPr>
          <w:rFonts w:ascii="Arial" w:eastAsia="Calibri" w:hAnsi="Arial" w:cs="Arial"/>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358A3" w:rsidRPr="00366660" w14:paraId="543E12E4" w14:textId="77777777" w:rsidTr="007A09A3">
        <w:tc>
          <w:tcPr>
            <w:tcW w:w="2689" w:type="dxa"/>
            <w:hideMark/>
          </w:tcPr>
          <w:p w14:paraId="2779E218" w14:textId="77777777" w:rsidR="003358A3" w:rsidRPr="00366660" w:rsidRDefault="003358A3" w:rsidP="007A09A3">
            <w:pPr>
              <w:rPr>
                <w:rFonts w:ascii="Arial" w:eastAsia="Calibri" w:hAnsi="Arial" w:cs="Arial"/>
                <w:lang w:val="es-MX"/>
              </w:rPr>
            </w:pPr>
            <w:r w:rsidRPr="00366660">
              <w:rPr>
                <w:rFonts w:ascii="Arial" w:eastAsia="Calibri" w:hAnsi="Arial" w:cs="Arial"/>
                <w:b/>
                <w:lang w:val="es-MX"/>
              </w:rPr>
              <w:t>Temas:</w:t>
            </w:r>
            <w:r w:rsidRPr="00366660">
              <w:rPr>
                <w:rFonts w:ascii="Arial" w:eastAsia="Calibri" w:hAnsi="Arial" w:cs="Arial"/>
                <w:lang w:val="es-MX"/>
              </w:rPr>
              <w:t xml:space="preserve">           </w:t>
            </w:r>
          </w:p>
          <w:p w14:paraId="09E37AF4" w14:textId="77777777" w:rsidR="003358A3" w:rsidRPr="00366660" w:rsidRDefault="003358A3" w:rsidP="007A09A3">
            <w:pPr>
              <w:rPr>
                <w:rFonts w:ascii="Arial" w:eastAsia="Calibri" w:hAnsi="Arial" w:cs="Arial"/>
                <w:lang w:val="es-MX"/>
              </w:rPr>
            </w:pPr>
            <w:r w:rsidRPr="00366660">
              <w:rPr>
                <w:rFonts w:ascii="Arial" w:eastAsia="Calibri" w:hAnsi="Arial" w:cs="Arial"/>
                <w:lang w:val="es-MX"/>
              </w:rPr>
              <w:t xml:space="preserve">                           </w:t>
            </w:r>
          </w:p>
        </w:tc>
        <w:tc>
          <w:tcPr>
            <w:tcW w:w="6237" w:type="dxa"/>
            <w:hideMark/>
          </w:tcPr>
          <w:p w14:paraId="76F09A02" w14:textId="77777777" w:rsidR="003358A3" w:rsidRPr="00366660" w:rsidRDefault="003358A3" w:rsidP="007A09A3">
            <w:pPr>
              <w:spacing w:after="160"/>
              <w:jc w:val="both"/>
              <w:rPr>
                <w:rFonts w:ascii="Arial" w:eastAsia="Calibri" w:hAnsi="Arial" w:cs="Arial"/>
                <w:color w:val="000000" w:themeColor="text1"/>
              </w:rPr>
            </w:pPr>
            <w:r w:rsidRPr="00366660">
              <w:rPr>
                <w:rFonts w:ascii="Arial" w:eastAsia="Calibri" w:hAnsi="Arial" w:cs="Arial"/>
                <w:color w:val="000000" w:themeColor="text1"/>
              </w:rPr>
              <w:t xml:space="preserve">LICITACIÓN PÚBLICA – Procedimiento – Estructura – Etapas generales / </w:t>
            </w:r>
            <w:r w:rsidRPr="00E1038B">
              <w:rPr>
                <w:rFonts w:ascii="Arial" w:eastAsia="Calibri" w:hAnsi="Arial" w:cs="Arial"/>
                <w:color w:val="000000" w:themeColor="text1"/>
              </w:rPr>
              <w:t>LICITACIÓN PÚBLICA – Evaluación de ofertas – Observaciones</w:t>
            </w:r>
            <w:r>
              <w:rPr>
                <w:rFonts w:ascii="Arial" w:eastAsia="Calibri" w:hAnsi="Arial" w:cs="Arial"/>
                <w:color w:val="000000" w:themeColor="text1"/>
              </w:rPr>
              <w:t xml:space="preserve"> / </w:t>
            </w:r>
            <w:r w:rsidRPr="00E1038B">
              <w:rPr>
                <w:rFonts w:ascii="Arial" w:eastAsia="Calibri" w:hAnsi="Arial" w:cs="Arial"/>
                <w:color w:val="000000" w:themeColor="text1"/>
              </w:rPr>
              <w:t>OBSERVACIONES – Traslado – Término – Ofertas económicas – Proporcionalidad – Razonabilidad</w:t>
            </w:r>
            <w:r>
              <w:rPr>
                <w:rFonts w:ascii="Arial" w:eastAsia="Calibri" w:hAnsi="Arial" w:cs="Arial"/>
                <w:color w:val="000000" w:themeColor="text1"/>
              </w:rPr>
              <w:t xml:space="preserve"> / </w:t>
            </w:r>
            <w:r w:rsidRPr="00E1038B">
              <w:rPr>
                <w:rFonts w:ascii="Arial" w:eastAsia="Calibri" w:hAnsi="Arial" w:cs="Arial"/>
                <w:color w:val="000000" w:themeColor="text1"/>
              </w:rPr>
              <w:t>DOCUMENTOS TIPO – Versión 3 – Licitación Pública - Capacidad residual – Rechazo de la oferta – Causales</w:t>
            </w:r>
            <w:r>
              <w:rPr>
                <w:rFonts w:ascii="Arial" w:eastAsia="Calibri" w:hAnsi="Arial" w:cs="Arial"/>
                <w:color w:val="000000" w:themeColor="text1"/>
              </w:rPr>
              <w:t xml:space="preserve"> / </w:t>
            </w:r>
            <w:r w:rsidRPr="00E1038B">
              <w:rPr>
                <w:rFonts w:ascii="Arial" w:eastAsia="Calibri" w:hAnsi="Arial" w:cs="Arial"/>
                <w:color w:val="000000" w:themeColor="text1"/>
              </w:rPr>
              <w:t xml:space="preserve">CAPACIDAD RESIDUAL – Rechazo de la oferta – Afectación – </w:t>
            </w:r>
            <w:proofErr w:type="spellStart"/>
            <w:r w:rsidRPr="00E1038B">
              <w:rPr>
                <w:rFonts w:ascii="Arial" w:eastAsia="Calibri" w:hAnsi="Arial" w:cs="Arial"/>
                <w:color w:val="000000" w:themeColor="text1"/>
              </w:rPr>
              <w:t>Subsanabilidad</w:t>
            </w:r>
            <w:proofErr w:type="spellEnd"/>
            <w:r>
              <w:rPr>
                <w:rFonts w:ascii="Arial" w:eastAsia="Calibri" w:hAnsi="Arial" w:cs="Arial"/>
                <w:color w:val="000000" w:themeColor="text1"/>
              </w:rPr>
              <w:t xml:space="preserve"> / </w:t>
            </w:r>
            <w:r w:rsidRPr="00E1038B">
              <w:rPr>
                <w:rFonts w:ascii="Arial" w:eastAsia="Calibri" w:hAnsi="Arial" w:cs="Arial"/>
                <w:color w:val="000000" w:themeColor="text1"/>
              </w:rPr>
              <w:t>RECHAZO DE LA OFERTA – Capacidad residual – Documento Base – Literal Z – Versión 3 – Licitación Pública – Alcance</w:t>
            </w:r>
          </w:p>
          <w:p w14:paraId="075147D9" w14:textId="77777777" w:rsidR="003358A3" w:rsidRPr="00366660" w:rsidRDefault="003358A3" w:rsidP="007A09A3">
            <w:pPr>
              <w:jc w:val="both"/>
              <w:rPr>
                <w:rFonts w:ascii="Arial" w:hAnsi="Arial" w:cs="Arial"/>
                <w:lang w:val="es-ES"/>
              </w:rPr>
            </w:pPr>
          </w:p>
        </w:tc>
      </w:tr>
      <w:tr w:rsidR="003358A3" w:rsidRPr="00366660" w14:paraId="0A172E66" w14:textId="77777777" w:rsidTr="007A09A3">
        <w:tc>
          <w:tcPr>
            <w:tcW w:w="2689" w:type="dxa"/>
          </w:tcPr>
          <w:p w14:paraId="6C67A478" w14:textId="77777777" w:rsidR="003358A3" w:rsidRPr="00366660" w:rsidRDefault="003358A3" w:rsidP="007A09A3">
            <w:pPr>
              <w:spacing w:before="60"/>
              <w:rPr>
                <w:rFonts w:ascii="Arial" w:eastAsia="Calibri" w:hAnsi="Arial" w:cs="Arial"/>
                <w:b/>
                <w:lang w:val="es-MX"/>
              </w:rPr>
            </w:pPr>
            <w:r w:rsidRPr="00366660">
              <w:rPr>
                <w:rFonts w:ascii="Arial" w:eastAsia="Calibri" w:hAnsi="Arial" w:cs="Arial"/>
                <w:b/>
                <w:lang w:val="es-MX"/>
              </w:rPr>
              <w:t>Radicación:</w:t>
            </w:r>
            <w:r w:rsidRPr="00366660">
              <w:rPr>
                <w:rFonts w:ascii="Arial" w:eastAsia="Calibri" w:hAnsi="Arial" w:cs="Arial"/>
                <w:lang w:val="es-MX"/>
              </w:rPr>
              <w:t xml:space="preserve">                              </w:t>
            </w:r>
          </w:p>
        </w:tc>
        <w:tc>
          <w:tcPr>
            <w:tcW w:w="6237" w:type="dxa"/>
          </w:tcPr>
          <w:p w14:paraId="5F1D8228" w14:textId="77777777" w:rsidR="003358A3" w:rsidRPr="00366660" w:rsidRDefault="003358A3" w:rsidP="007A09A3">
            <w:pPr>
              <w:jc w:val="both"/>
              <w:rPr>
                <w:rFonts w:ascii="Arial" w:eastAsia="Calibri" w:hAnsi="Arial" w:cs="Arial"/>
              </w:rPr>
            </w:pPr>
            <w:r w:rsidRPr="00366660">
              <w:rPr>
                <w:rFonts w:ascii="Arial" w:eastAsia="Calibri" w:hAnsi="Arial" w:cs="Arial"/>
                <w:lang w:val="es-MX"/>
              </w:rPr>
              <w:t xml:space="preserve">Respuesta a la consulta </w:t>
            </w:r>
            <w:r w:rsidRPr="00D033DC">
              <w:rPr>
                <w:rFonts w:ascii="Arial" w:eastAsia="Calibri" w:hAnsi="Arial" w:cs="Arial"/>
                <w:lang w:val="es-MX"/>
              </w:rPr>
              <w:t>P20230715013325</w:t>
            </w:r>
          </w:p>
        </w:tc>
      </w:tr>
    </w:tbl>
    <w:p w14:paraId="365BA7D1" w14:textId="77777777" w:rsidR="003358A3" w:rsidRPr="00366660" w:rsidRDefault="003358A3" w:rsidP="003358A3">
      <w:pPr>
        <w:spacing w:after="0" w:line="240" w:lineRule="auto"/>
        <w:rPr>
          <w:rFonts w:ascii="Arial" w:eastAsia="Calibri" w:hAnsi="Arial" w:cs="Arial"/>
          <w:lang w:val="es-MX"/>
        </w:rPr>
      </w:pPr>
    </w:p>
    <w:p w14:paraId="7541CF92" w14:textId="77777777" w:rsidR="003358A3" w:rsidRPr="00366660" w:rsidRDefault="003358A3" w:rsidP="003358A3">
      <w:pPr>
        <w:spacing w:after="0" w:line="240" w:lineRule="auto"/>
        <w:rPr>
          <w:rFonts w:ascii="Arial" w:eastAsia="Calibri" w:hAnsi="Arial" w:cs="Arial"/>
          <w:lang w:val="es-MX"/>
        </w:rPr>
      </w:pPr>
    </w:p>
    <w:p w14:paraId="78C4FB4A" w14:textId="77777777" w:rsidR="003358A3" w:rsidRPr="00366660" w:rsidRDefault="003358A3" w:rsidP="003358A3">
      <w:pPr>
        <w:spacing w:after="0" w:line="240" w:lineRule="auto"/>
        <w:rPr>
          <w:rFonts w:ascii="Arial" w:eastAsia="Calibri" w:hAnsi="Arial" w:cs="Arial"/>
          <w:lang w:val="es-MX"/>
        </w:rPr>
      </w:pPr>
      <w:r w:rsidRPr="00366660">
        <w:rPr>
          <w:rFonts w:ascii="Arial" w:eastAsia="Calibri" w:hAnsi="Arial" w:cs="Arial"/>
          <w:lang w:val="es-MX"/>
        </w:rPr>
        <w:t xml:space="preserve">Estimado señor </w:t>
      </w:r>
      <w:proofErr w:type="spellStart"/>
      <w:r w:rsidRPr="00D033DC">
        <w:rPr>
          <w:rFonts w:ascii="Arial" w:eastAsia="Calibri" w:hAnsi="Arial" w:cs="Arial"/>
          <w:lang w:val="es-MX"/>
        </w:rPr>
        <w:t>Bendek</w:t>
      </w:r>
      <w:proofErr w:type="spellEnd"/>
      <w:r w:rsidRPr="00366660">
        <w:rPr>
          <w:rFonts w:ascii="Arial" w:eastAsia="Calibri" w:hAnsi="Arial" w:cs="Arial"/>
          <w:lang w:val="es-MX"/>
        </w:rPr>
        <w:t>:</w:t>
      </w:r>
    </w:p>
    <w:p w14:paraId="37E92B69" w14:textId="77777777" w:rsidR="003358A3" w:rsidRPr="00366660" w:rsidRDefault="003358A3" w:rsidP="003358A3">
      <w:pPr>
        <w:spacing w:after="0" w:line="240" w:lineRule="auto"/>
        <w:rPr>
          <w:rFonts w:ascii="Arial" w:eastAsia="Calibri" w:hAnsi="Arial" w:cs="Arial"/>
          <w:lang w:val="es-MX"/>
        </w:rPr>
      </w:pPr>
    </w:p>
    <w:p w14:paraId="073339C8" w14:textId="77777777" w:rsidR="003358A3" w:rsidRPr="00366660" w:rsidRDefault="003358A3" w:rsidP="003358A3">
      <w:pPr>
        <w:spacing w:after="0" w:line="276" w:lineRule="auto"/>
        <w:ind w:right="49"/>
        <w:jc w:val="both"/>
        <w:rPr>
          <w:rFonts w:ascii="Arial" w:eastAsia="Calibri" w:hAnsi="Arial" w:cs="Arial"/>
          <w:lang w:val="es-MX"/>
        </w:rPr>
      </w:pPr>
      <w:r w:rsidRPr="00366660">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la consulta realizada el </w:t>
      </w:r>
      <w:r>
        <w:rPr>
          <w:rFonts w:ascii="Arial" w:eastAsia="Calibri" w:hAnsi="Arial" w:cs="Arial"/>
          <w:lang w:val="es-MX"/>
        </w:rPr>
        <w:t>15 de julio de 2023</w:t>
      </w:r>
      <w:r w:rsidRPr="00366660">
        <w:rPr>
          <w:rFonts w:ascii="Arial" w:eastAsia="Calibri" w:hAnsi="Arial" w:cs="Arial"/>
          <w:lang w:val="es-MX"/>
        </w:rPr>
        <w:t xml:space="preserve">. </w:t>
      </w:r>
    </w:p>
    <w:p w14:paraId="533C70F1" w14:textId="77777777" w:rsidR="003358A3" w:rsidRPr="00366660" w:rsidRDefault="003358A3" w:rsidP="003358A3">
      <w:pPr>
        <w:spacing w:after="0" w:line="276" w:lineRule="auto"/>
        <w:jc w:val="both"/>
        <w:rPr>
          <w:rFonts w:ascii="Arial" w:eastAsia="Calibri" w:hAnsi="Arial" w:cs="Arial"/>
          <w:lang w:val="es-MX"/>
        </w:rPr>
      </w:pPr>
    </w:p>
    <w:p w14:paraId="50C5ABBC" w14:textId="77777777" w:rsidR="003358A3" w:rsidRPr="00366660" w:rsidRDefault="003358A3" w:rsidP="003358A3">
      <w:pPr>
        <w:numPr>
          <w:ilvl w:val="0"/>
          <w:numId w:val="6"/>
        </w:numPr>
        <w:tabs>
          <w:tab w:val="left" w:pos="426"/>
        </w:tabs>
        <w:spacing w:after="0" w:line="276" w:lineRule="auto"/>
        <w:ind w:left="284" w:hanging="284"/>
        <w:contextualSpacing/>
        <w:jc w:val="both"/>
        <w:rPr>
          <w:rFonts w:ascii="Arial" w:eastAsia="Calibri" w:hAnsi="Arial" w:cs="Arial"/>
          <w:b/>
          <w:lang w:val="es-MX"/>
        </w:rPr>
      </w:pPr>
      <w:r w:rsidRPr="00366660">
        <w:rPr>
          <w:rFonts w:ascii="Arial" w:eastAsia="Calibri" w:hAnsi="Arial" w:cs="Arial"/>
          <w:b/>
          <w:lang w:val="es-MX"/>
        </w:rPr>
        <w:t xml:space="preserve">Problemas planteados </w:t>
      </w:r>
    </w:p>
    <w:p w14:paraId="4A5A3180" w14:textId="77777777" w:rsidR="003358A3" w:rsidRPr="00366660" w:rsidRDefault="003358A3" w:rsidP="003358A3">
      <w:pPr>
        <w:tabs>
          <w:tab w:val="left" w:pos="426"/>
        </w:tabs>
        <w:spacing w:after="0" w:line="276" w:lineRule="auto"/>
        <w:jc w:val="both"/>
        <w:rPr>
          <w:rFonts w:ascii="Arial" w:eastAsia="Calibri" w:hAnsi="Arial" w:cs="Arial"/>
          <w:b/>
          <w:lang w:val="es-MX"/>
        </w:rPr>
      </w:pPr>
    </w:p>
    <w:p w14:paraId="0129CC0D" w14:textId="77777777" w:rsidR="003358A3" w:rsidRPr="00366660" w:rsidRDefault="003358A3" w:rsidP="003358A3">
      <w:pPr>
        <w:tabs>
          <w:tab w:val="left" w:pos="426"/>
        </w:tabs>
        <w:spacing w:after="0" w:line="276" w:lineRule="auto"/>
        <w:jc w:val="both"/>
        <w:rPr>
          <w:rFonts w:ascii="Arial" w:hAnsi="Arial" w:cs="Arial"/>
          <w:lang w:val="es-MX"/>
        </w:rPr>
      </w:pPr>
      <w:r>
        <w:rPr>
          <w:rFonts w:ascii="Arial" w:eastAsia="Calibri" w:hAnsi="Arial" w:cs="Arial"/>
          <w:lang w:val="es-MX"/>
        </w:rPr>
        <w:t xml:space="preserve">Respecto a </w:t>
      </w:r>
      <w:r w:rsidRPr="00D033DC">
        <w:rPr>
          <w:rFonts w:ascii="Arial" w:eastAsia="Calibri" w:hAnsi="Arial" w:cs="Arial"/>
          <w:lang w:val="es-MX"/>
        </w:rPr>
        <w:t>los “Documentos Tipo – Versión 3” de licitación de obra pública para infraestructura de transporte</w:t>
      </w:r>
      <w:r>
        <w:rPr>
          <w:rFonts w:ascii="Arial" w:eastAsia="Calibri" w:hAnsi="Arial" w:cs="Arial"/>
          <w:lang w:val="es-MX"/>
        </w:rPr>
        <w:t>,</w:t>
      </w:r>
      <w:r w:rsidRPr="00D033DC">
        <w:rPr>
          <w:rFonts w:ascii="Arial" w:eastAsia="Calibri" w:hAnsi="Arial" w:cs="Arial"/>
          <w:lang w:val="es-MX"/>
        </w:rPr>
        <w:t xml:space="preserve"> </w:t>
      </w:r>
      <w:r>
        <w:rPr>
          <w:rFonts w:ascii="Arial" w:eastAsia="Calibri" w:hAnsi="Arial" w:cs="Arial"/>
          <w:lang w:val="es-MX"/>
        </w:rPr>
        <w:t>usted realiza las siguientes preguntas: i) “</w:t>
      </w:r>
      <w:r w:rsidRPr="00D033DC">
        <w:rPr>
          <w:rFonts w:ascii="Arial" w:eastAsia="Calibri" w:hAnsi="Arial" w:cs="Arial"/>
          <w:lang w:val="es-MX"/>
        </w:rPr>
        <w:t>¿Qué es lo subsanable de la capacidad residual (El Formato 5</w:t>
      </w:r>
      <w:r>
        <w:rPr>
          <w:rFonts w:ascii="Arial" w:eastAsia="Calibri" w:hAnsi="Arial" w:cs="Arial"/>
          <w:lang w:val="es-MX"/>
        </w:rPr>
        <w:t>)</w:t>
      </w:r>
      <w:r w:rsidRPr="00D033DC">
        <w:rPr>
          <w:rFonts w:ascii="Arial" w:eastAsia="Calibri" w:hAnsi="Arial" w:cs="Arial"/>
          <w:lang w:val="es-MX"/>
        </w:rPr>
        <w:t>, cuando no se presenta o cuando se presenta con algún o error u omisión o los soportes de dicho formulario?</w:t>
      </w:r>
      <w:r>
        <w:rPr>
          <w:rFonts w:ascii="Arial" w:eastAsia="Calibri" w:hAnsi="Arial" w:cs="Arial"/>
          <w:lang w:val="es-MX"/>
        </w:rPr>
        <w:t xml:space="preserve">”, </w:t>
      </w:r>
      <w:proofErr w:type="spellStart"/>
      <w:r>
        <w:rPr>
          <w:rFonts w:ascii="Arial" w:eastAsia="Calibri" w:hAnsi="Arial" w:cs="Arial"/>
          <w:lang w:val="es-MX"/>
        </w:rPr>
        <w:t>ii</w:t>
      </w:r>
      <w:proofErr w:type="spellEnd"/>
      <w:r>
        <w:rPr>
          <w:rFonts w:ascii="Arial" w:eastAsia="Calibri" w:hAnsi="Arial" w:cs="Arial"/>
          <w:lang w:val="es-MX"/>
        </w:rPr>
        <w:t>) “</w:t>
      </w:r>
      <w:r w:rsidRPr="00D033DC">
        <w:rPr>
          <w:rFonts w:ascii="Arial" w:eastAsia="Calibri" w:hAnsi="Arial" w:cs="Arial"/>
          <w:lang w:val="es-MX"/>
        </w:rPr>
        <w:t>¿En</w:t>
      </w:r>
      <w:r>
        <w:rPr>
          <w:rFonts w:ascii="Arial" w:eastAsia="Calibri" w:hAnsi="Arial" w:cs="Arial"/>
          <w:lang w:val="es-MX"/>
        </w:rPr>
        <w:t xml:space="preserve"> </w:t>
      </w:r>
      <w:r w:rsidRPr="00D033DC">
        <w:rPr>
          <w:rFonts w:ascii="Arial" w:eastAsia="Calibri" w:hAnsi="Arial" w:cs="Arial"/>
          <w:lang w:val="es-MX"/>
        </w:rPr>
        <w:t xml:space="preserve">la subsanación el proponente puede modificar el Formato 5, incluyendo los </w:t>
      </w:r>
      <w:r w:rsidRPr="00D56921">
        <w:rPr>
          <w:rFonts w:ascii="Arial" w:eastAsia="Calibri" w:hAnsi="Arial" w:cs="Arial"/>
          <w:lang w:val="es-MX"/>
        </w:rPr>
        <w:t>contratos en ejecución que olvidó registrar o, por el contrario, se le debe aplicar de inmediato la causal ‘Y.</w:t>
      </w:r>
      <w:r w:rsidRPr="00D033DC">
        <w:rPr>
          <w:rFonts w:ascii="Arial" w:eastAsia="Calibri" w:hAnsi="Arial" w:cs="Arial"/>
          <w:lang w:val="es-MX"/>
        </w:rPr>
        <w:t xml:space="preserve"> No informar todos los contratos que el proponente tenga en ejecución antes del cierre, </w:t>
      </w:r>
      <w:r w:rsidRPr="00D033DC">
        <w:rPr>
          <w:rFonts w:ascii="Arial" w:eastAsia="Calibri" w:hAnsi="Arial" w:cs="Arial"/>
          <w:lang w:val="es-MX"/>
        </w:rPr>
        <w:lastRenderedPageBreak/>
        <w:t>necesarios para acreditar su capacidad residual conforme a la sección 3.10</w:t>
      </w:r>
      <w:r>
        <w:rPr>
          <w:rFonts w:ascii="Arial" w:eastAsia="Calibri" w:hAnsi="Arial" w:cs="Arial"/>
          <w:lang w:val="es-MX"/>
        </w:rPr>
        <w:t>’</w:t>
      </w:r>
      <w:r w:rsidRPr="00D033DC">
        <w:rPr>
          <w:rFonts w:ascii="Arial" w:eastAsia="Calibri" w:hAnsi="Arial" w:cs="Arial"/>
          <w:lang w:val="es-MX"/>
        </w:rPr>
        <w:t>, sin permitírsele incluirlos en una subsanación?</w:t>
      </w:r>
      <w:r>
        <w:rPr>
          <w:rFonts w:ascii="Arial" w:eastAsia="Calibri" w:hAnsi="Arial" w:cs="Arial"/>
          <w:lang w:val="es-MX"/>
        </w:rPr>
        <w:t xml:space="preserve">”, </w:t>
      </w:r>
      <w:proofErr w:type="spellStart"/>
      <w:r>
        <w:rPr>
          <w:rFonts w:ascii="Arial" w:eastAsia="Calibri" w:hAnsi="Arial" w:cs="Arial"/>
          <w:lang w:val="es-MX"/>
        </w:rPr>
        <w:t>iii</w:t>
      </w:r>
      <w:proofErr w:type="spellEnd"/>
      <w:r>
        <w:rPr>
          <w:rFonts w:ascii="Arial" w:eastAsia="Calibri" w:hAnsi="Arial" w:cs="Arial"/>
          <w:lang w:val="es-MX"/>
        </w:rPr>
        <w:t>) “</w:t>
      </w:r>
      <w:r w:rsidRPr="00C55AE8">
        <w:rPr>
          <w:rFonts w:ascii="Arial" w:eastAsia="Calibri" w:hAnsi="Arial" w:cs="Arial"/>
          <w:lang w:val="es-MX"/>
        </w:rPr>
        <w:t xml:space="preserve">La causal de rechazo: </w:t>
      </w:r>
      <w:r>
        <w:rPr>
          <w:rFonts w:ascii="Arial" w:eastAsia="Calibri" w:hAnsi="Arial" w:cs="Arial"/>
          <w:lang w:val="es-MX"/>
        </w:rPr>
        <w:t>‘</w:t>
      </w:r>
      <w:r w:rsidRPr="00C55AE8">
        <w:rPr>
          <w:rFonts w:ascii="Arial" w:eastAsia="Calibri" w:hAnsi="Arial" w:cs="Arial"/>
          <w:lang w:val="es-MX"/>
        </w:rPr>
        <w:t>Y. No informar todos los contratos que el proponente tenga en ejecución antes del cierre, necesarios para acreditar su capacidad residual conforme a la sección 3.10</w:t>
      </w:r>
      <w:r>
        <w:rPr>
          <w:rFonts w:ascii="Arial" w:eastAsia="Calibri" w:hAnsi="Arial" w:cs="Arial"/>
          <w:lang w:val="es-MX"/>
        </w:rPr>
        <w:t>’</w:t>
      </w:r>
      <w:r w:rsidRPr="00C55AE8">
        <w:rPr>
          <w:rFonts w:ascii="Arial" w:eastAsia="Calibri" w:hAnsi="Arial" w:cs="Arial"/>
          <w:lang w:val="es-MX"/>
        </w:rPr>
        <w:t xml:space="preserve">, se debe aplicar solamente después de la subsanación del Formato 5, teniendo en cuenta que el numeral 3.10 del pliego tipo estipula que solo se aplicará cuando se advierta dicha omisión </w:t>
      </w:r>
      <w:r>
        <w:rPr>
          <w:rFonts w:ascii="Arial" w:eastAsia="Calibri" w:hAnsi="Arial" w:cs="Arial"/>
          <w:lang w:val="es-MX"/>
        </w:rPr>
        <w:t>‘</w:t>
      </w:r>
      <w:r w:rsidRPr="00C55AE8">
        <w:rPr>
          <w:rFonts w:ascii="Arial" w:eastAsia="Calibri" w:hAnsi="Arial" w:cs="Arial"/>
          <w:lang w:val="es-MX"/>
        </w:rPr>
        <w:t>durante el traslado del informe de evaluación</w:t>
      </w:r>
      <w:r>
        <w:rPr>
          <w:rFonts w:ascii="Arial" w:eastAsia="Calibri" w:hAnsi="Arial" w:cs="Arial"/>
          <w:lang w:val="es-MX"/>
        </w:rPr>
        <w:t>’</w:t>
      </w:r>
      <w:r w:rsidRPr="00C55AE8">
        <w:rPr>
          <w:rFonts w:ascii="Arial" w:eastAsia="Calibri" w:hAnsi="Arial" w:cs="Arial"/>
          <w:lang w:val="es-MX"/>
        </w:rPr>
        <w:t>?</w:t>
      </w:r>
      <w:r>
        <w:rPr>
          <w:rFonts w:ascii="Arial" w:eastAsia="Calibri" w:hAnsi="Arial" w:cs="Arial"/>
          <w:lang w:val="es-MX"/>
        </w:rPr>
        <w:t xml:space="preserve">”, </w:t>
      </w:r>
      <w:proofErr w:type="spellStart"/>
      <w:r>
        <w:rPr>
          <w:rFonts w:ascii="Arial" w:eastAsia="Calibri" w:hAnsi="Arial" w:cs="Arial"/>
          <w:lang w:val="es-MX"/>
        </w:rPr>
        <w:t>iv</w:t>
      </w:r>
      <w:proofErr w:type="spellEnd"/>
      <w:r>
        <w:rPr>
          <w:rFonts w:ascii="Arial" w:eastAsia="Calibri" w:hAnsi="Arial" w:cs="Arial"/>
          <w:lang w:val="es-MX"/>
        </w:rPr>
        <w:t>) “</w:t>
      </w:r>
      <w:r w:rsidRPr="00C55AE8">
        <w:rPr>
          <w:rFonts w:ascii="Arial" w:eastAsia="Calibri" w:hAnsi="Arial" w:cs="Arial"/>
          <w:lang w:val="es-MX"/>
        </w:rPr>
        <w:t xml:space="preserve">El rechazo de la causal </w:t>
      </w:r>
      <w:r>
        <w:rPr>
          <w:rFonts w:ascii="Arial" w:eastAsia="Calibri" w:hAnsi="Arial" w:cs="Arial"/>
          <w:lang w:val="es-MX"/>
        </w:rPr>
        <w:t>‘</w:t>
      </w:r>
      <w:r w:rsidRPr="00C55AE8">
        <w:rPr>
          <w:rFonts w:ascii="Arial" w:eastAsia="Calibri" w:hAnsi="Arial" w:cs="Arial"/>
          <w:lang w:val="es-MX"/>
        </w:rPr>
        <w:t>Y</w:t>
      </w:r>
      <w:r>
        <w:rPr>
          <w:rFonts w:ascii="Arial" w:eastAsia="Calibri" w:hAnsi="Arial" w:cs="Arial"/>
          <w:lang w:val="es-MX"/>
        </w:rPr>
        <w:t>’</w:t>
      </w:r>
      <w:r w:rsidRPr="00C55AE8">
        <w:rPr>
          <w:rFonts w:ascii="Arial" w:eastAsia="Calibri" w:hAnsi="Arial" w:cs="Arial"/>
          <w:lang w:val="es-MX"/>
        </w:rPr>
        <w:t xml:space="preserve"> ¿se debe dar si luego de subsanado el Formato 5, se advierte que con los contratos recién incluidos no cumple con la capacidad residual o aun cuando incluyéndolos cumpla con la capacidad de contratación y fue tan sólo una omisión involuntaria, teniendo en cuenta que el requisito habilitante se resume en el pliego tipo en: </w:t>
      </w:r>
      <w:r>
        <w:rPr>
          <w:rFonts w:ascii="Arial" w:eastAsia="Calibri" w:hAnsi="Arial" w:cs="Arial"/>
          <w:lang w:val="es-MX"/>
        </w:rPr>
        <w:t>‘</w:t>
      </w:r>
      <w:r w:rsidRPr="00C55AE8">
        <w:rPr>
          <w:rFonts w:ascii="Arial" w:eastAsia="Calibri" w:hAnsi="Arial" w:cs="Arial"/>
          <w:lang w:val="es-MX"/>
        </w:rPr>
        <w:t>será hábil si su capacidad residual es mayor o igual a la capacidad residual de proceso de contratación</w:t>
      </w:r>
      <w:r>
        <w:rPr>
          <w:rFonts w:ascii="Arial" w:eastAsia="Calibri" w:hAnsi="Arial" w:cs="Arial"/>
          <w:lang w:val="es-MX"/>
        </w:rPr>
        <w:t>’</w:t>
      </w:r>
      <w:r w:rsidRPr="00C55AE8">
        <w:rPr>
          <w:rFonts w:ascii="Arial" w:eastAsia="Calibri" w:hAnsi="Arial" w:cs="Arial"/>
          <w:lang w:val="es-MX"/>
        </w:rPr>
        <w:t>?</w:t>
      </w:r>
      <w:r>
        <w:rPr>
          <w:rFonts w:ascii="Arial" w:eastAsia="Calibri" w:hAnsi="Arial" w:cs="Arial"/>
          <w:lang w:val="es-MX"/>
        </w:rPr>
        <w:t>”, v) “</w:t>
      </w:r>
      <w:r w:rsidRPr="00C55AE8">
        <w:rPr>
          <w:rFonts w:ascii="Arial" w:eastAsia="Calibri" w:hAnsi="Arial" w:cs="Arial"/>
          <w:lang w:val="es-MX"/>
        </w:rPr>
        <w:t xml:space="preserve">Si la capacidad residual es un requisito habilitante y por lo tanto subsanable, por qué se incluye como una causal de rechazo en el pliego tipo no incluir todos los contratos en ejecución en el Formato 5, si la causal de rechazo debería ser incumplir el requisito habilitante que el pliego tipo lo resume en: </w:t>
      </w:r>
      <w:r>
        <w:rPr>
          <w:rFonts w:ascii="Arial" w:eastAsia="Calibri" w:hAnsi="Arial" w:cs="Arial"/>
          <w:lang w:val="es-MX"/>
        </w:rPr>
        <w:t>‘</w:t>
      </w:r>
      <w:r w:rsidRPr="00C55AE8">
        <w:rPr>
          <w:rFonts w:ascii="Arial" w:eastAsia="Calibri" w:hAnsi="Arial" w:cs="Arial"/>
          <w:lang w:val="es-MX"/>
        </w:rPr>
        <w:t>será hábil si su capacidad residual es mayor o igual a la capacidad residual de proceso de contratación</w:t>
      </w:r>
      <w:r>
        <w:rPr>
          <w:rFonts w:ascii="Arial" w:eastAsia="Calibri" w:hAnsi="Arial" w:cs="Arial"/>
          <w:lang w:val="es-MX"/>
        </w:rPr>
        <w:t>’</w:t>
      </w:r>
      <w:r w:rsidRPr="00C55AE8">
        <w:rPr>
          <w:rFonts w:ascii="Arial" w:eastAsia="Calibri" w:hAnsi="Arial" w:cs="Arial"/>
          <w:lang w:val="es-MX"/>
        </w:rPr>
        <w:t>?</w:t>
      </w:r>
      <w:r>
        <w:rPr>
          <w:rFonts w:ascii="Arial" w:eastAsia="Calibri" w:hAnsi="Arial" w:cs="Arial"/>
          <w:lang w:val="es-MX"/>
        </w:rPr>
        <w:t>”, vi) “</w:t>
      </w:r>
      <w:r w:rsidRPr="000D5A19">
        <w:rPr>
          <w:rFonts w:ascii="Arial" w:eastAsia="Calibri" w:hAnsi="Arial" w:cs="Arial"/>
          <w:lang w:val="es-MX"/>
        </w:rPr>
        <w:t>¿Qué debe hacer la Entidad si durante la audiencia de adjudicación advierte, por sí mismo o por observación de algún proponente, que un proponente no incluyó algún contrato en ejecución en el Formato 5? ¿Lo puede requerir para subsanar dado que es un requisito habilitante, le puede solicitar aclarar o debe rechazarlo de plano aún si con dicho contrato omitido cumplía con la capacidad residual de contratación exigida?</w:t>
      </w:r>
      <w:r>
        <w:rPr>
          <w:rFonts w:ascii="Arial" w:eastAsia="Calibri" w:hAnsi="Arial" w:cs="Arial"/>
          <w:lang w:val="es-MX"/>
        </w:rPr>
        <w:t xml:space="preserve">”, </w:t>
      </w:r>
      <w:proofErr w:type="spellStart"/>
      <w:r>
        <w:rPr>
          <w:rFonts w:ascii="Arial" w:eastAsia="Calibri" w:hAnsi="Arial" w:cs="Arial"/>
          <w:lang w:val="es-MX"/>
        </w:rPr>
        <w:t>vii</w:t>
      </w:r>
      <w:proofErr w:type="spellEnd"/>
      <w:r>
        <w:rPr>
          <w:rFonts w:ascii="Arial" w:eastAsia="Calibri" w:hAnsi="Arial" w:cs="Arial"/>
          <w:lang w:val="es-MX"/>
        </w:rPr>
        <w:t>) “</w:t>
      </w:r>
      <w:r w:rsidRPr="000D5A19">
        <w:rPr>
          <w:rFonts w:ascii="Arial" w:eastAsia="Calibri" w:hAnsi="Arial" w:cs="Arial"/>
          <w:lang w:val="es-MX"/>
        </w:rPr>
        <w:t>¿Hasta qué momento la entidad puede aceptar observaciones de los proponentes respecto a la no inclusión de contratos en el Formato 5 de otro proponente?</w:t>
      </w:r>
      <w:r>
        <w:rPr>
          <w:rFonts w:ascii="Arial" w:eastAsia="Calibri" w:hAnsi="Arial" w:cs="Arial"/>
          <w:lang w:val="es-MX"/>
        </w:rPr>
        <w:t xml:space="preserve">”, </w:t>
      </w:r>
      <w:proofErr w:type="spellStart"/>
      <w:r>
        <w:rPr>
          <w:rFonts w:ascii="Arial" w:eastAsia="Calibri" w:hAnsi="Arial" w:cs="Arial"/>
          <w:lang w:val="es-MX"/>
        </w:rPr>
        <w:t>viii</w:t>
      </w:r>
      <w:proofErr w:type="spellEnd"/>
      <w:r>
        <w:rPr>
          <w:rFonts w:ascii="Arial" w:eastAsia="Calibri" w:hAnsi="Arial" w:cs="Arial"/>
          <w:lang w:val="es-MX"/>
        </w:rPr>
        <w:t>) “</w:t>
      </w:r>
      <w:r w:rsidRPr="000D5A19">
        <w:rPr>
          <w:rFonts w:ascii="Arial" w:eastAsia="Calibri" w:hAnsi="Arial" w:cs="Arial"/>
          <w:lang w:val="es-MX"/>
        </w:rPr>
        <w:t>¿En caso de presentarse una observación por parte de un proponente respecto a la no inclusión de contratos en el Formato 5 de otro proponente durante la audiencia de adjudicación cuando ya se ha dado apertura al sobre 2 con las ofertas económicas, se debe tener en cuenta y si es el caso rechazar la oferta del proponente si se evidencia dicha omisión o, por el contrario, se debe rechazar la observación por extemporánea?</w:t>
      </w:r>
      <w:r>
        <w:rPr>
          <w:rFonts w:ascii="Arial" w:eastAsia="Calibri" w:hAnsi="Arial" w:cs="Arial"/>
          <w:lang w:val="es-MX"/>
        </w:rPr>
        <w:t>”.</w:t>
      </w:r>
    </w:p>
    <w:p w14:paraId="3B85CC50" w14:textId="77777777" w:rsidR="003358A3" w:rsidRPr="00366660" w:rsidRDefault="003358A3" w:rsidP="003358A3">
      <w:pPr>
        <w:tabs>
          <w:tab w:val="left" w:pos="426"/>
        </w:tabs>
        <w:spacing w:after="0" w:line="276" w:lineRule="auto"/>
        <w:jc w:val="both"/>
        <w:rPr>
          <w:rFonts w:ascii="Arial" w:eastAsia="Calibri" w:hAnsi="Arial" w:cs="Arial"/>
          <w:lang w:val="es-MX"/>
        </w:rPr>
      </w:pPr>
    </w:p>
    <w:p w14:paraId="16FBFEBF" w14:textId="77777777" w:rsidR="003358A3" w:rsidRPr="00366660" w:rsidRDefault="003358A3" w:rsidP="003358A3">
      <w:pPr>
        <w:numPr>
          <w:ilvl w:val="0"/>
          <w:numId w:val="6"/>
        </w:numPr>
        <w:tabs>
          <w:tab w:val="left" w:pos="426"/>
        </w:tabs>
        <w:spacing w:after="0" w:line="276" w:lineRule="auto"/>
        <w:ind w:left="284" w:hanging="284"/>
        <w:contextualSpacing/>
        <w:jc w:val="both"/>
        <w:rPr>
          <w:rFonts w:ascii="Arial" w:eastAsia="Calibri" w:hAnsi="Arial" w:cs="Arial"/>
          <w:b/>
          <w:lang w:val="es-MX"/>
        </w:rPr>
      </w:pPr>
      <w:r w:rsidRPr="00366660">
        <w:rPr>
          <w:rFonts w:ascii="Arial" w:eastAsia="Calibri" w:hAnsi="Arial" w:cs="Arial"/>
          <w:b/>
          <w:lang w:val="es-MX"/>
        </w:rPr>
        <w:t>Consideraciones</w:t>
      </w:r>
    </w:p>
    <w:p w14:paraId="5C68909E" w14:textId="77777777" w:rsidR="003358A3" w:rsidRPr="00366660" w:rsidRDefault="003358A3" w:rsidP="003358A3">
      <w:pPr>
        <w:tabs>
          <w:tab w:val="left" w:pos="426"/>
        </w:tabs>
        <w:spacing w:after="0" w:line="276" w:lineRule="auto"/>
        <w:contextualSpacing/>
        <w:jc w:val="both"/>
        <w:rPr>
          <w:rFonts w:ascii="Arial" w:eastAsia="Calibri" w:hAnsi="Arial" w:cs="Arial"/>
          <w:b/>
          <w:lang w:val="es-MX"/>
        </w:rPr>
      </w:pPr>
    </w:p>
    <w:p w14:paraId="3280F62F" w14:textId="77777777" w:rsidR="003358A3" w:rsidRPr="00366660" w:rsidRDefault="003358A3" w:rsidP="003358A3">
      <w:pPr>
        <w:tabs>
          <w:tab w:val="left" w:pos="426"/>
        </w:tabs>
        <w:spacing w:after="120" w:line="276" w:lineRule="auto"/>
        <w:contextualSpacing/>
        <w:jc w:val="both"/>
        <w:rPr>
          <w:rFonts w:ascii="Arial" w:hAnsi="Arial" w:cs="Arial"/>
        </w:rPr>
      </w:pPr>
      <w:r w:rsidRPr="00366660">
        <w:rPr>
          <w:rFonts w:ascii="Arial" w:hAnsi="Arial" w:cs="Arial"/>
        </w:rPr>
        <w:t xml:space="preserve">Para resolver el objeto de la consulta, se analizarán los siguientes temas: i) </w:t>
      </w:r>
      <w:r w:rsidRPr="00366660">
        <w:rPr>
          <w:rFonts w:ascii="Arial" w:eastAsia="Calibri" w:hAnsi="Arial" w:cs="Arial"/>
          <w:color w:val="000000" w:themeColor="text1"/>
        </w:rPr>
        <w:t xml:space="preserve">etapas de las actuaciones adelantadas por las entidades estatales, especialmente, la relativa al traslado del informe de evaluación; </w:t>
      </w:r>
      <w:proofErr w:type="spellStart"/>
      <w:r w:rsidRPr="00366660">
        <w:rPr>
          <w:rFonts w:ascii="Arial" w:eastAsia="Calibri" w:hAnsi="Arial" w:cs="Arial"/>
          <w:color w:val="000000" w:themeColor="text1"/>
        </w:rPr>
        <w:t>ii</w:t>
      </w:r>
      <w:proofErr w:type="spellEnd"/>
      <w:r w:rsidRPr="00366660">
        <w:rPr>
          <w:rFonts w:ascii="Arial" w:eastAsia="Calibri" w:hAnsi="Arial" w:cs="Arial"/>
          <w:color w:val="000000" w:themeColor="text1"/>
        </w:rPr>
        <w:t xml:space="preserve">) capacidad residual como requisito del proceso de selección; y </w:t>
      </w:r>
      <w:proofErr w:type="spellStart"/>
      <w:r w:rsidRPr="00366660">
        <w:rPr>
          <w:rFonts w:ascii="Arial" w:eastAsia="Calibri" w:hAnsi="Arial" w:cs="Arial"/>
          <w:color w:val="000000" w:themeColor="text1"/>
        </w:rPr>
        <w:t>iii</w:t>
      </w:r>
      <w:proofErr w:type="spellEnd"/>
      <w:r w:rsidRPr="00366660">
        <w:rPr>
          <w:rFonts w:ascii="Arial" w:eastAsia="Calibri" w:hAnsi="Arial" w:cs="Arial"/>
          <w:color w:val="000000" w:themeColor="text1"/>
        </w:rPr>
        <w:t xml:space="preserve">) </w:t>
      </w:r>
      <w:r w:rsidRPr="00366660">
        <w:rPr>
          <w:rFonts w:ascii="Arial" w:hAnsi="Arial" w:cs="Arial"/>
          <w:color w:val="000000"/>
          <w:shd w:val="clear" w:color="auto" w:fill="FFFFFF"/>
        </w:rPr>
        <w:t>rechazo de propuestas por falta de acreditación del requisito de capacidad residual en</w:t>
      </w:r>
      <w:r w:rsidRPr="00366660">
        <w:rPr>
          <w:rFonts w:ascii="Arial" w:hAnsi="Arial" w:cs="Arial"/>
        </w:rPr>
        <w:t xml:space="preserve"> los </w:t>
      </w:r>
      <w:r w:rsidRPr="00D033DC">
        <w:rPr>
          <w:rFonts w:ascii="Arial" w:eastAsia="Calibri" w:hAnsi="Arial" w:cs="Arial"/>
          <w:lang w:val="es-MX"/>
        </w:rPr>
        <w:t>“Documentos Tipo – Versión 3” de licitación de obra pública para infraestructura de transporte</w:t>
      </w:r>
      <w:r w:rsidRPr="00366660">
        <w:rPr>
          <w:rFonts w:ascii="Arial" w:hAnsi="Arial" w:cs="Arial"/>
        </w:rPr>
        <w:t>.</w:t>
      </w:r>
    </w:p>
    <w:p w14:paraId="18713B6C" w14:textId="77777777" w:rsidR="003358A3" w:rsidRPr="00366660" w:rsidRDefault="003358A3" w:rsidP="003358A3">
      <w:pPr>
        <w:tabs>
          <w:tab w:val="left" w:pos="426"/>
        </w:tabs>
        <w:spacing w:after="120" w:line="276" w:lineRule="auto"/>
        <w:contextualSpacing/>
        <w:jc w:val="both"/>
        <w:rPr>
          <w:rFonts w:ascii="Arial" w:hAnsi="Arial" w:cs="Arial"/>
          <w:sz w:val="12"/>
          <w:szCs w:val="12"/>
        </w:rPr>
      </w:pPr>
    </w:p>
    <w:p w14:paraId="4B01699D" w14:textId="77777777" w:rsidR="003358A3" w:rsidRPr="00366660" w:rsidRDefault="003358A3" w:rsidP="003358A3">
      <w:pPr>
        <w:spacing w:after="120" w:line="276" w:lineRule="auto"/>
        <w:ind w:firstLine="708"/>
        <w:jc w:val="both"/>
        <w:rPr>
          <w:rFonts w:ascii="Arial" w:eastAsia="Calibri" w:hAnsi="Arial" w:cs="Arial"/>
          <w:lang w:val="es-MX"/>
        </w:rPr>
      </w:pPr>
      <w:r w:rsidRPr="00366660">
        <w:rPr>
          <w:rFonts w:ascii="Arial" w:eastAsia="Calibri" w:hAnsi="Arial" w:cs="Arial"/>
          <w:color w:val="000000" w:themeColor="text1"/>
        </w:rPr>
        <w:t xml:space="preserve">La Agencia Nacional de Contratación Pública − Colombia Compra Eficiente se ha pronunciado en diferentes conceptos sobre las etapas de las actuaciones adelantadas por </w:t>
      </w:r>
      <w:r w:rsidRPr="00366660">
        <w:rPr>
          <w:rFonts w:ascii="Arial" w:eastAsia="Calibri" w:hAnsi="Arial" w:cs="Arial"/>
          <w:color w:val="000000" w:themeColor="text1"/>
        </w:rPr>
        <w:lastRenderedPageBreak/>
        <w:t xml:space="preserve">las entidades estatales, en materia contractual. En el concepto C-201 de 2020 lo hizo en relación con las fases o etapas del proceso de selección, y en el concepto del 23 de diciembre de 2019 −radicado No. 2201913000009524−, lo hizo frente a la audiencia de adjudicación en licitaciones púbicas. También </w:t>
      </w:r>
      <w:r w:rsidRPr="00366660">
        <w:rPr>
          <w:rFonts w:ascii="Arial" w:eastAsia="Calibri" w:hAnsi="Arial" w:cs="Arial"/>
          <w:bCs/>
          <w:lang w:val="es-MX"/>
        </w:rPr>
        <w:t>ha desarrollado, desde diferentes perspectivas, el alcance de las causales de rechazo de propuestas en la contratación estatal,</w:t>
      </w:r>
      <w:r w:rsidRPr="00366660">
        <w:rPr>
          <w:sz w:val="24"/>
          <w:lang w:val="es-MX"/>
        </w:rPr>
        <w:t xml:space="preserve"> </w:t>
      </w:r>
      <w:r w:rsidRPr="00366660">
        <w:rPr>
          <w:rFonts w:ascii="Arial" w:eastAsia="Calibri" w:hAnsi="Arial" w:cs="Arial"/>
          <w:bCs/>
          <w:lang w:val="es-MX"/>
        </w:rPr>
        <w:t xml:space="preserve">en los conceptos </w:t>
      </w:r>
      <w:r w:rsidRPr="00366660">
        <w:rPr>
          <w:rFonts w:ascii="Arial" w:eastAsia="Calibri" w:hAnsi="Arial" w:cs="Arial"/>
          <w:lang w:val="es-MX"/>
        </w:rPr>
        <w:t>C-019 del 14 de enero de 2020, C-037 del 28 de enero de 2020, C-033 del 13 de marzo de 2020, C-137 del 26 de marzo de 2020, C-153 del 1 de abril de 2020, C-184 del 2 de abril de 2020,</w:t>
      </w:r>
      <w:r w:rsidRPr="00366660">
        <w:rPr>
          <w:rFonts w:ascii="Arial" w:eastAsia="Calibri" w:hAnsi="Arial" w:cs="Arial"/>
          <w:bCs/>
          <w:lang w:val="es-MX"/>
        </w:rPr>
        <w:t xml:space="preserve"> C</w:t>
      </w:r>
      <w:r w:rsidRPr="00366660">
        <w:rPr>
          <w:rFonts w:ascii="Arial" w:eastAsia="Calibri" w:hAnsi="Arial" w:cs="Arial"/>
          <w:lang w:val="es-MX"/>
        </w:rPr>
        <w:t xml:space="preserve">-016 del 21 de abril de 2020, C-147 del 12 de abril de 2021 y C-460 del 2 de septiembre de 2021. </w:t>
      </w:r>
    </w:p>
    <w:p w14:paraId="103D7B8A" w14:textId="77777777" w:rsidR="003358A3" w:rsidRPr="00366660" w:rsidRDefault="003358A3" w:rsidP="003358A3">
      <w:pPr>
        <w:spacing w:after="0" w:line="276" w:lineRule="auto"/>
        <w:ind w:firstLine="708"/>
        <w:jc w:val="both"/>
        <w:rPr>
          <w:rFonts w:ascii="Arial" w:eastAsia="Calibri" w:hAnsi="Arial" w:cs="Arial"/>
          <w:lang w:val="es-MX"/>
        </w:rPr>
      </w:pPr>
      <w:r w:rsidRPr="00366660">
        <w:rPr>
          <w:rFonts w:ascii="Arial" w:eastAsia="Calibri" w:hAnsi="Arial" w:cs="Arial"/>
          <w:lang w:val="es-MX"/>
        </w:rPr>
        <w:t xml:space="preserve">Por otro lado, en los conceptos del 13, 20 y 25 de septiembre de 2019 −radicados Nos. 2201913000006805, 2201913000007017, 2201913000007009, 2201913000007117, respectivamente−, estudió las causales de rechazo en los documentos tipo. </w:t>
      </w:r>
      <w:r w:rsidRPr="0039329E">
        <w:rPr>
          <w:rFonts w:ascii="Arial" w:eastAsia="Calibri" w:hAnsi="Arial" w:cs="Arial"/>
          <w:lang w:val="es-MX"/>
        </w:rPr>
        <w:t>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 C-042 del 4 de marzo de 2021, C-219 del 19 de mayo de 2021, C-460 del 2 de septiembre de 2021, C-513 del 23 de septiembre de 2021, C-667 del 7 de diciembre de 2021, C-013 del 18 de febrero de 2022, C-173 del 6 de abril de 2022, C-306 del 16 de mayo de 2022, C-463 del 19 de septiembre de 2022, C-672 del 18 de octubre de 2022 y C-053 del 28 de marzo de 2023, analizó el rechazo de propuestas por falta de acreditación del requisito de capacidad residual</w:t>
      </w:r>
      <w:r w:rsidRPr="00E76161">
        <w:rPr>
          <w:rStyle w:val="Refdenotaalpie"/>
          <w:rFonts w:ascii="Arial" w:eastAsia="Calibri" w:hAnsi="Arial" w:cs="Arial"/>
        </w:rPr>
        <w:footnoteReference w:id="2"/>
      </w:r>
      <w:r w:rsidRPr="00366660">
        <w:rPr>
          <w:rFonts w:ascii="Arial" w:eastAsia="Calibri" w:hAnsi="Arial" w:cs="Arial"/>
          <w:lang w:val="es-MX"/>
        </w:rPr>
        <w:t>. La tesis desarrollada en estos conceptos en lo pertinente se reitera a continuación:</w:t>
      </w:r>
    </w:p>
    <w:p w14:paraId="21B905E5" w14:textId="77777777" w:rsidR="003358A3" w:rsidRPr="00366660" w:rsidRDefault="003358A3" w:rsidP="003358A3">
      <w:pPr>
        <w:tabs>
          <w:tab w:val="left" w:pos="426"/>
        </w:tabs>
        <w:spacing w:after="0" w:line="276" w:lineRule="auto"/>
        <w:contextualSpacing/>
        <w:jc w:val="both"/>
        <w:rPr>
          <w:rFonts w:ascii="Arial" w:eastAsia="Calibri" w:hAnsi="Arial" w:cs="Arial"/>
          <w:b/>
          <w:lang w:val="es-MX"/>
        </w:rPr>
      </w:pPr>
    </w:p>
    <w:p w14:paraId="5223F4D6" w14:textId="77777777" w:rsidR="003358A3" w:rsidRPr="00366660" w:rsidRDefault="003358A3" w:rsidP="003358A3">
      <w:pPr>
        <w:tabs>
          <w:tab w:val="left" w:pos="426"/>
        </w:tabs>
        <w:spacing w:after="0" w:line="276" w:lineRule="auto"/>
        <w:contextualSpacing/>
        <w:jc w:val="both"/>
        <w:rPr>
          <w:rFonts w:ascii="Arial" w:eastAsia="Calibri" w:hAnsi="Arial" w:cs="Arial"/>
          <w:b/>
          <w:lang w:val="es-MX"/>
        </w:rPr>
      </w:pPr>
      <w:r w:rsidRPr="00366660">
        <w:rPr>
          <w:rFonts w:ascii="Arial" w:eastAsia="Calibri" w:hAnsi="Arial" w:cs="Arial"/>
          <w:b/>
          <w:lang w:val="es-MX"/>
        </w:rPr>
        <w:t>2.1 Etapas de las actuaciones adelantadas por las entidades estatales</w:t>
      </w:r>
      <w:r>
        <w:rPr>
          <w:rFonts w:ascii="Arial" w:eastAsia="Calibri" w:hAnsi="Arial" w:cs="Arial"/>
          <w:b/>
          <w:lang w:val="es-MX"/>
        </w:rPr>
        <w:t>. Especial referencia al t</w:t>
      </w:r>
      <w:r w:rsidRPr="00366660">
        <w:rPr>
          <w:rFonts w:ascii="Arial" w:eastAsia="Calibri" w:hAnsi="Arial" w:cs="Arial"/>
          <w:b/>
          <w:lang w:val="es-MX"/>
        </w:rPr>
        <w:t>raslado del informe de evaluación</w:t>
      </w:r>
    </w:p>
    <w:p w14:paraId="48749CFE" w14:textId="77777777" w:rsidR="003358A3" w:rsidRPr="00366660" w:rsidRDefault="003358A3" w:rsidP="003358A3">
      <w:pPr>
        <w:tabs>
          <w:tab w:val="left" w:pos="426"/>
        </w:tabs>
        <w:spacing w:after="0" w:line="276" w:lineRule="auto"/>
        <w:contextualSpacing/>
        <w:jc w:val="both"/>
        <w:rPr>
          <w:rFonts w:ascii="Arial" w:eastAsia="Calibri" w:hAnsi="Arial" w:cs="Arial"/>
          <w:b/>
          <w:lang w:val="es-MX"/>
        </w:rPr>
      </w:pPr>
    </w:p>
    <w:p w14:paraId="3CB7A1A7" w14:textId="4A5D5F24" w:rsidR="003358A3" w:rsidRPr="00366660" w:rsidRDefault="003358A3" w:rsidP="003358A3">
      <w:pPr>
        <w:spacing w:line="276" w:lineRule="auto"/>
        <w:jc w:val="both"/>
        <w:rPr>
          <w:rFonts w:ascii="Arial" w:eastAsia="Calibri" w:hAnsi="Arial" w:cs="Arial"/>
          <w:color w:val="000000" w:themeColor="text1"/>
        </w:rPr>
      </w:pPr>
      <w:r>
        <w:rPr>
          <w:rFonts w:ascii="Arial" w:eastAsia="Calibri" w:hAnsi="Arial" w:cs="Arial"/>
          <w:color w:val="000000" w:themeColor="text1"/>
        </w:rPr>
        <w:t>En la adquisición de</w:t>
      </w:r>
      <w:r w:rsidRPr="00366660">
        <w:rPr>
          <w:rFonts w:ascii="Arial" w:eastAsia="Calibri" w:hAnsi="Arial" w:cs="Arial"/>
          <w:color w:val="000000" w:themeColor="text1"/>
        </w:rPr>
        <w:t xml:space="preserve"> bienes o servicios las entidades deben estructurar un procedimiento de contratación reglado, por lo que deben acatarse las normas que lo rigen para determinar adelantarlo. Las principales normas son la Ley 80 de 1993</w:t>
      </w:r>
      <w:r>
        <w:rPr>
          <w:rFonts w:ascii="Arial" w:eastAsia="Calibri" w:hAnsi="Arial" w:cs="Arial"/>
          <w:color w:val="000000" w:themeColor="text1"/>
        </w:rPr>
        <w:t xml:space="preserve"> y</w:t>
      </w:r>
      <w:r w:rsidRPr="00366660">
        <w:rPr>
          <w:rFonts w:ascii="Arial" w:eastAsia="Calibri" w:hAnsi="Arial" w:cs="Arial"/>
          <w:color w:val="000000" w:themeColor="text1"/>
        </w:rPr>
        <w:t xml:space="preserve"> la Ley 1150 de 2007 ─que, entre otras disposiciones, regula las modalidades de selección─</w:t>
      </w:r>
      <w:r>
        <w:rPr>
          <w:rFonts w:ascii="Arial" w:eastAsia="Calibri" w:hAnsi="Arial" w:cs="Arial"/>
          <w:color w:val="000000" w:themeColor="text1"/>
        </w:rPr>
        <w:t>,</w:t>
      </w:r>
      <w:r w:rsidRPr="00366660">
        <w:rPr>
          <w:rFonts w:ascii="Arial" w:eastAsia="Calibri" w:hAnsi="Arial" w:cs="Arial"/>
          <w:color w:val="000000" w:themeColor="text1"/>
        </w:rPr>
        <w:t xml:space="preserve"> así como los artículos</w:t>
      </w:r>
      <w:r w:rsidRPr="00366660">
        <w:rPr>
          <w:rFonts w:ascii="Arial" w:eastAsia="Calibri" w:hAnsi="Arial" w:cs="Arial"/>
          <w:b/>
          <w:bCs/>
          <w:color w:val="000000" w:themeColor="text1"/>
        </w:rPr>
        <w:t xml:space="preserve"> </w:t>
      </w:r>
      <w:r w:rsidRPr="00366660">
        <w:rPr>
          <w:rFonts w:ascii="Arial" w:eastAsia="Calibri" w:hAnsi="Arial" w:cs="Arial"/>
          <w:color w:val="000000" w:themeColor="text1"/>
        </w:rPr>
        <w:t>2.2.1.1.2.1.1 y siguientes del Decreto 1082 de 2015, que concreta</w:t>
      </w:r>
      <w:r>
        <w:rPr>
          <w:rFonts w:ascii="Arial" w:eastAsia="Calibri" w:hAnsi="Arial" w:cs="Arial"/>
          <w:color w:val="000000" w:themeColor="text1"/>
        </w:rPr>
        <w:t>n</w:t>
      </w:r>
      <w:r w:rsidRPr="00366660">
        <w:rPr>
          <w:rFonts w:ascii="Arial" w:eastAsia="Calibri" w:hAnsi="Arial" w:cs="Arial"/>
          <w:color w:val="000000" w:themeColor="text1"/>
        </w:rPr>
        <w:t xml:space="preserve"> cada </w:t>
      </w:r>
      <w:r>
        <w:rPr>
          <w:rFonts w:ascii="Arial" w:eastAsia="Calibri" w:hAnsi="Arial" w:cs="Arial"/>
          <w:color w:val="000000" w:themeColor="text1"/>
        </w:rPr>
        <w:t>procedimiento</w:t>
      </w:r>
      <w:r w:rsidRPr="00366660">
        <w:rPr>
          <w:rFonts w:ascii="Arial" w:eastAsia="Calibri" w:hAnsi="Arial" w:cs="Arial"/>
          <w:color w:val="000000" w:themeColor="text1"/>
        </w:rPr>
        <w:t>, señalando reglas o pasos a seguir para adjudicar y celebrar el contrato estatal.</w:t>
      </w:r>
    </w:p>
    <w:p w14:paraId="6BC1544A" w14:textId="77777777" w:rsidR="003358A3" w:rsidRPr="00366660" w:rsidRDefault="003358A3" w:rsidP="003358A3">
      <w:pPr>
        <w:spacing w:before="120" w:after="120" w:line="276" w:lineRule="auto"/>
        <w:ind w:firstLine="708"/>
        <w:jc w:val="both"/>
        <w:rPr>
          <w:rFonts w:ascii="Arial" w:eastAsia="Calibri" w:hAnsi="Arial" w:cs="Arial"/>
          <w:color w:val="000000" w:themeColor="text1"/>
        </w:rPr>
      </w:pPr>
      <w:r w:rsidRPr="00366660">
        <w:rPr>
          <w:rFonts w:ascii="Arial" w:eastAsia="Calibri" w:hAnsi="Arial" w:cs="Arial"/>
          <w:color w:val="000000" w:themeColor="text1"/>
        </w:rPr>
        <w:lastRenderedPageBreak/>
        <w:t>El artículo 25 de la Ley 80 de 1993 consagra el principio de economía, en virtud del cual las normas de selección y el pliego de condiciones deben establecer términos perentorios y preclusivos para cada una de las etapas de los procesos de selección, a fin de asegurar la selección objetiva del contratista</w:t>
      </w:r>
      <w:r w:rsidRPr="00366660">
        <w:rPr>
          <w:rStyle w:val="Refdenotaalpie"/>
          <w:rFonts w:ascii="Arial" w:eastAsia="Calibri" w:hAnsi="Arial" w:cs="Arial"/>
          <w:color w:val="000000" w:themeColor="text1"/>
        </w:rPr>
        <w:footnoteReference w:id="3"/>
      </w:r>
      <w:r w:rsidRPr="00366660">
        <w:rPr>
          <w:rFonts w:ascii="Arial" w:eastAsia="Calibri" w:hAnsi="Arial" w:cs="Arial"/>
          <w:color w:val="000000" w:themeColor="text1"/>
        </w:rPr>
        <w:t>. De esta manera, la adquisición de bienes y servicios por parte del Estado debe gestionarse, por un lado, dentro de las etapas del proceso contractual, lo cual variará dependiendo de la modalidad de selección de contratistas y, en cierta medida, del objeto del contrato a suscribir, y, por el otro, dentro de los términos establecidos para cada una de esas etapas, bien por la ley, el reglamento o el definido por la entidad contratante.</w:t>
      </w:r>
    </w:p>
    <w:p w14:paraId="72CB85CD" w14:textId="77777777" w:rsidR="003358A3" w:rsidRPr="00366660" w:rsidRDefault="003358A3" w:rsidP="003358A3">
      <w:pPr>
        <w:tabs>
          <w:tab w:val="left" w:pos="851"/>
          <w:tab w:val="left" w:pos="1134"/>
        </w:tabs>
        <w:spacing w:before="120" w:after="120" w:line="276" w:lineRule="auto"/>
        <w:jc w:val="both"/>
        <w:rPr>
          <w:rFonts w:ascii="Arial" w:hAnsi="Arial" w:cs="Arial"/>
          <w:color w:val="000000" w:themeColor="text1"/>
        </w:rPr>
      </w:pPr>
      <w:r w:rsidRPr="00366660">
        <w:rPr>
          <w:rFonts w:ascii="Arial" w:hAnsi="Arial" w:cs="Arial"/>
          <w:color w:val="000000" w:themeColor="text1"/>
        </w:rPr>
        <w:tab/>
        <w:t xml:space="preserve">En lo que tiene que ver con la licitación pública, procedimiento que constituye la </w:t>
      </w:r>
      <w:r>
        <w:rPr>
          <w:rFonts w:ascii="Arial" w:hAnsi="Arial" w:cs="Arial"/>
          <w:color w:val="000000" w:themeColor="text1"/>
        </w:rPr>
        <w:t>“</w:t>
      </w:r>
      <w:r w:rsidRPr="00366660">
        <w:rPr>
          <w:rFonts w:ascii="Arial" w:hAnsi="Arial" w:cs="Arial"/>
          <w:color w:val="000000" w:themeColor="text1"/>
        </w:rPr>
        <w:t>regla general</w:t>
      </w:r>
      <w:r>
        <w:rPr>
          <w:rFonts w:ascii="Arial" w:hAnsi="Arial" w:cs="Arial"/>
          <w:color w:val="000000" w:themeColor="text1"/>
        </w:rPr>
        <w:t>”</w:t>
      </w:r>
      <w:r w:rsidRPr="00366660">
        <w:rPr>
          <w:rFonts w:ascii="Arial" w:hAnsi="Arial" w:cs="Arial"/>
          <w:color w:val="000000" w:themeColor="text1"/>
        </w:rPr>
        <w:t>, el artículo 30 de la Ley 80 de 1993 establec</w:t>
      </w:r>
      <w:r>
        <w:rPr>
          <w:rFonts w:ascii="Arial" w:hAnsi="Arial" w:cs="Arial"/>
          <w:color w:val="000000" w:themeColor="text1"/>
        </w:rPr>
        <w:t xml:space="preserve">e </w:t>
      </w:r>
      <w:r w:rsidRPr="00366660">
        <w:rPr>
          <w:rFonts w:ascii="Arial" w:hAnsi="Arial" w:cs="Arial"/>
          <w:color w:val="000000" w:themeColor="text1"/>
        </w:rPr>
        <w:t xml:space="preserve">sus etapas. De la norma es posible diferenciar entre la </w:t>
      </w:r>
      <w:r>
        <w:rPr>
          <w:rFonts w:ascii="Arial" w:hAnsi="Arial" w:cs="Arial"/>
          <w:color w:val="000000" w:themeColor="text1"/>
        </w:rPr>
        <w:t>fase</w:t>
      </w:r>
      <w:r w:rsidRPr="00366660">
        <w:rPr>
          <w:rFonts w:ascii="Arial" w:hAnsi="Arial" w:cs="Arial"/>
          <w:color w:val="000000" w:themeColor="text1"/>
        </w:rPr>
        <w:t xml:space="preserve">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Además, el numeral 2 del artículo 30 de la Ley 80 de 1993 establece la obligación de elaborar un pliego de condiciones, en los términos del numeral 5 del artículo 24 de la misma ley y del artículo 2.2.1.1.2.1.3 del Decreto 1082 de 2015. </w:t>
      </w:r>
    </w:p>
    <w:p w14:paraId="04D91179" w14:textId="77777777" w:rsidR="003358A3" w:rsidRPr="00366660" w:rsidRDefault="003358A3" w:rsidP="003358A3">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El artículo 30.1 de la Ley 80 establece que el jefe o representante de la entidad ordenará la apertura mediante un acto administrativo, en la forma prevista en el artículo 2.2.1.1.2.1.5 del Decreto 1082 de 2015, y deberá expedirse el pliego de condiciones definitivo. Con este acto de apertura inicia la etapa de licitación propiamente dicha, en la que –previa resolución de las observaciones que se realicen– los interesados podrán presentar ofertas. </w:t>
      </w:r>
      <w:r w:rsidRPr="00366660">
        <w:rPr>
          <w:rStyle w:val="normaltextrun"/>
          <w:rFonts w:ascii="Arial" w:hAnsi="Arial" w:cs="Arial"/>
          <w:color w:val="000000"/>
          <w:shd w:val="clear" w:color="auto" w:fill="FFFFFF"/>
          <w:lang w:val="es-MX"/>
        </w:rPr>
        <w:t>Esta etapa fue denominada por el legislador como </w:t>
      </w:r>
      <w:r w:rsidRPr="00366660">
        <w:rPr>
          <w:rStyle w:val="normaltextrun"/>
          <w:rFonts w:ascii="Arial" w:hAnsi="Arial" w:cs="Arial"/>
          <w:i/>
          <w:iCs/>
          <w:color w:val="000000"/>
          <w:shd w:val="clear" w:color="auto" w:fill="FFFFFF"/>
          <w:lang w:val="es-MX"/>
        </w:rPr>
        <w:t>plazo de licitación, </w:t>
      </w:r>
      <w:r w:rsidRPr="00366660">
        <w:rPr>
          <w:rStyle w:val="normaltextrun"/>
          <w:rFonts w:ascii="Arial" w:hAnsi="Arial" w:cs="Arial"/>
          <w:color w:val="000000"/>
          <w:shd w:val="clear" w:color="auto" w:fill="FFFFFF"/>
          <w:lang w:val="es-MX"/>
        </w:rPr>
        <w:t>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 </w:t>
      </w:r>
    </w:p>
    <w:p w14:paraId="167FF626" w14:textId="77777777" w:rsidR="003358A3" w:rsidRPr="00366660" w:rsidRDefault="003358A3" w:rsidP="003358A3">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lastRenderedPageBreak/>
        <w:t xml:space="preserve">Una vez precluida la oportunidad para presentar ofertas, en el plazo que señala el pliego de condiciones </w:t>
      </w:r>
      <w:r w:rsidRPr="00366660">
        <w:rPr>
          <w:rFonts w:ascii="Arial" w:eastAsia="Calibri" w:hAnsi="Arial" w:cs="Arial"/>
          <w:bCs/>
          <w:color w:val="000000" w:themeColor="text1"/>
        </w:rPr>
        <w:t>conforme al artículo 30.7 de la Ley 80 de 1993</w:t>
      </w:r>
      <w:r w:rsidRPr="00366660">
        <w:rPr>
          <w:rFonts w:ascii="Arial" w:hAnsi="Arial" w:cs="Arial"/>
          <w:bCs/>
          <w:color w:val="000000" w:themeColor="text1"/>
        </w:rPr>
        <w:t>,</w:t>
      </w:r>
      <w:r w:rsidRPr="00366660">
        <w:rPr>
          <w:rFonts w:ascii="Arial" w:hAnsi="Arial" w:cs="Arial"/>
          <w:color w:val="000000" w:themeColor="text1"/>
        </w:rPr>
        <w:t xml:space="preserve"> el comité evaluador de la entidad realizará </w:t>
      </w:r>
      <w:r>
        <w:rPr>
          <w:rFonts w:ascii="Arial" w:hAnsi="Arial" w:cs="Arial"/>
          <w:color w:val="000000" w:themeColor="text1"/>
        </w:rPr>
        <w:t>“</w:t>
      </w:r>
      <w:r w:rsidRPr="00366660">
        <w:rPr>
          <w:rFonts w:ascii="Arial" w:hAnsi="Arial" w:cs="Arial"/>
          <w:color w:val="000000" w:themeColor="text1"/>
        </w:rPr>
        <w:t>los estudios técnicos, económicos y jurídicos necesarios para la evaluación de las propuestas</w:t>
      </w:r>
      <w:r>
        <w:rPr>
          <w:rFonts w:ascii="Arial" w:hAnsi="Arial" w:cs="Arial"/>
          <w:color w:val="000000" w:themeColor="text1"/>
        </w:rPr>
        <w:t>”</w:t>
      </w:r>
      <w:r w:rsidRPr="00366660">
        <w:rPr>
          <w:rFonts w:ascii="Arial" w:hAnsi="Arial" w:cs="Arial"/>
          <w:color w:val="000000" w:themeColor="text1"/>
        </w:rPr>
        <w:t xml:space="preserve"> 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 </w:t>
      </w:r>
    </w:p>
    <w:p w14:paraId="4612C335" w14:textId="77777777" w:rsidR="003358A3" w:rsidRPr="00366660" w:rsidRDefault="003358A3" w:rsidP="003358A3">
      <w:pPr>
        <w:spacing w:line="276" w:lineRule="auto"/>
        <w:jc w:val="both"/>
        <w:rPr>
          <w:rFonts w:ascii="Arial" w:hAnsi="Arial" w:cs="Arial"/>
          <w:color w:val="000000" w:themeColor="text1"/>
        </w:rPr>
      </w:pPr>
      <w:r w:rsidRPr="00366660">
        <w:rPr>
          <w:rFonts w:ascii="Arial" w:hAnsi="Arial" w:cs="Arial"/>
          <w:color w:val="000000" w:themeColor="text1"/>
        </w:rPr>
        <w:t xml:space="preserve"> </w:t>
      </w:r>
      <w:r w:rsidRPr="00366660">
        <w:rPr>
          <w:rFonts w:ascii="Arial" w:hAnsi="Arial" w:cs="Arial"/>
          <w:color w:val="000000" w:themeColor="text1"/>
        </w:rPr>
        <w:tab/>
        <w:t xml:space="preserve">Evaluadas las propuestas, se deben distinguir dos modos de realizar los traslados de los informes correspondientes: de un lado, las licitaciones públicas para seleccionar contratistas de obra pública y, del otro, cualquier otra licitación pública. En esta segunda hipótesis, la entidad correrá traslado del informe de evaluación, el cual permanecerá en la secretaría por un término de cinco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w:t>
      </w:r>
      <w:r>
        <w:rPr>
          <w:rFonts w:ascii="Arial" w:hAnsi="Arial" w:cs="Arial"/>
          <w:color w:val="000000" w:themeColor="text1"/>
        </w:rPr>
        <w:t>“</w:t>
      </w:r>
      <w:r w:rsidRPr="00366660">
        <w:rPr>
          <w:rFonts w:ascii="Arial" w:hAnsi="Arial" w:cs="Arial"/>
          <w:color w:val="000000" w:themeColor="text1"/>
        </w:rPr>
        <w:t>hacerle ver a la entidad los errores que pudo haber cometido en procura de corregirlos y así adoptar la decisión que realmente se ajuste a derecho</w:t>
      </w:r>
      <w:r>
        <w:rPr>
          <w:rFonts w:ascii="Arial" w:hAnsi="Arial" w:cs="Arial"/>
          <w:color w:val="000000" w:themeColor="text1"/>
        </w:rPr>
        <w:t>”</w:t>
      </w:r>
      <w:r w:rsidRPr="00366660">
        <w:rPr>
          <w:rStyle w:val="Refdenotaalpie"/>
          <w:rFonts w:ascii="Arial" w:hAnsi="Arial" w:cs="Arial"/>
          <w:color w:val="000000" w:themeColor="text1"/>
        </w:rPr>
        <w:footnoteReference w:id="4"/>
      </w:r>
      <w:r w:rsidRPr="00366660">
        <w:rPr>
          <w:rFonts w:ascii="Arial" w:hAnsi="Arial" w:cs="Arial"/>
          <w:color w:val="000000" w:themeColor="text1"/>
        </w:rPr>
        <w:t>.</w:t>
      </w:r>
    </w:p>
    <w:p w14:paraId="58D792F5" w14:textId="77777777" w:rsidR="003358A3" w:rsidRPr="00366660" w:rsidRDefault="003358A3" w:rsidP="003358A3">
      <w:pPr>
        <w:spacing w:before="120" w:line="276" w:lineRule="auto"/>
        <w:jc w:val="both"/>
        <w:rPr>
          <w:rFonts w:ascii="Arial" w:hAnsi="Arial" w:cs="Arial"/>
          <w:color w:val="000000" w:themeColor="text1"/>
        </w:rPr>
      </w:pPr>
      <w:r w:rsidRPr="00366660">
        <w:rPr>
          <w:rFonts w:ascii="Arial" w:hAnsi="Arial" w:cs="Arial"/>
          <w:color w:val="000000" w:themeColor="text1"/>
        </w:rPr>
        <w:tab/>
        <w:t xml:space="preserve">En la primera hipótesis, regulada por el parágrafo 3 del artículo 30 de la Ley 80 de 1993, adicionado por el artículo 1 de la Ley 1882 de 2018, la entidad deberá publicar el </w:t>
      </w:r>
      <w:r w:rsidRPr="00366660">
        <w:rPr>
          <w:rFonts w:ascii="Arial" w:hAnsi="Arial" w:cs="Arial"/>
          <w:i/>
          <w:iCs/>
          <w:color w:val="000000" w:themeColor="text1"/>
        </w:rPr>
        <w:t>informe de evaluación</w:t>
      </w:r>
      <w:r w:rsidRPr="00366660">
        <w:rPr>
          <w:rFonts w:ascii="Arial" w:hAnsi="Arial" w:cs="Arial"/>
          <w:color w:val="000000" w:themeColor="text1"/>
        </w:rPr>
        <w:t xml:space="preserve"> relacionado con los documentos de los requisitos habilitantes –incluido lo relativo a la capacidad residual– y los requisitos que sean objeto de puntuación, diferentes a la oferta económica, dentro del plazo establecido en el pliego de condiciones. Este informe debe ser publicado en el SECOP por cinco (5)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de los requisitos habilitantes y los requisitos objeto de puntuación, distintos a la oferta económica.</w:t>
      </w:r>
    </w:p>
    <w:p w14:paraId="612D9E83" w14:textId="77777777" w:rsidR="003358A3" w:rsidRPr="00366660" w:rsidRDefault="003358A3" w:rsidP="003358A3">
      <w:pPr>
        <w:spacing w:before="120" w:line="276" w:lineRule="auto"/>
        <w:ind w:firstLine="708"/>
        <w:jc w:val="both"/>
        <w:rPr>
          <w:rFonts w:ascii="Arial" w:hAnsi="Arial" w:cs="Arial"/>
          <w:color w:val="000000" w:themeColor="text1"/>
        </w:rPr>
      </w:pPr>
      <w:r w:rsidRPr="00366660">
        <w:rPr>
          <w:rFonts w:ascii="Arial" w:hAnsi="Arial" w:cs="Arial"/>
          <w:color w:val="000000" w:themeColor="text1"/>
        </w:rPr>
        <w:t xml:space="preserve">Es del caso precisar que en los procesos de licitación pública para seleccionar contratistas de obra, por disposición del artículo 1 de la Ley 1882 de 2018, la oferta estará conformada por dos sobres: en el primero, se deben incluir los documentos relacionados con el cumplimiento de los requisitos habilitantes –incluido lo relativo a la capacidad residual–, así como los relacionados con los requisitos y documentos a los que se les asigne </w:t>
      </w:r>
      <w:r w:rsidRPr="00366660">
        <w:rPr>
          <w:rFonts w:ascii="Arial" w:hAnsi="Arial" w:cs="Arial"/>
          <w:color w:val="000000" w:themeColor="text1"/>
        </w:rPr>
        <w:lastRenderedPageBreak/>
        <w:t>puntaje, diferentes a la oferta económica.  En el segundo, por otro lado, el proponente tendrá que incluir únicamente la propuesta económica, de conformidad con todos los requisitos exigidos en el pliego de condiciones.</w:t>
      </w:r>
    </w:p>
    <w:p w14:paraId="2E26FBCE" w14:textId="77777777" w:rsidR="003358A3" w:rsidRPr="00366660" w:rsidRDefault="003358A3" w:rsidP="003358A3">
      <w:pPr>
        <w:spacing w:before="120" w:line="276" w:lineRule="auto"/>
        <w:ind w:firstLine="709"/>
        <w:jc w:val="both"/>
        <w:rPr>
          <w:rFonts w:ascii="Arial" w:hAnsi="Arial" w:cs="Arial"/>
          <w:color w:val="000000" w:themeColor="text1"/>
        </w:rPr>
      </w:pPr>
      <w:r w:rsidRPr="00366660">
        <w:rPr>
          <w:rFonts w:ascii="Arial" w:hAnsi="Arial" w:cs="Arial"/>
          <w:color w:val="000000" w:themeColor="text1"/>
        </w:rPr>
        <w:t xml:space="preserve">En cualquiera de las dos hipótesis, vencido el término para presentar observaciones al </w:t>
      </w:r>
      <w:r w:rsidRPr="00366660">
        <w:rPr>
          <w:rFonts w:ascii="Arial" w:hAnsi="Arial" w:cs="Arial"/>
          <w:i/>
          <w:iCs/>
          <w:color w:val="000000" w:themeColor="text1"/>
        </w:rPr>
        <w:t>informe de evaluación</w:t>
      </w:r>
      <w:r w:rsidRPr="00366660">
        <w:rPr>
          <w:rFonts w:ascii="Arial" w:hAnsi="Arial" w:cs="Arial"/>
          <w:color w:val="000000" w:themeColor="text1"/>
        </w:rPr>
        <w:t xml:space="preserve">, empieza a correr el </w:t>
      </w:r>
      <w:r w:rsidRPr="00366660">
        <w:rPr>
          <w:rFonts w:ascii="Arial" w:hAnsi="Arial" w:cs="Arial"/>
          <w:i/>
          <w:color w:val="000000" w:themeColor="text1"/>
        </w:rPr>
        <w:t>plazo para adjudicar el contrato,</w:t>
      </w:r>
      <w:r w:rsidRPr="00366660">
        <w:rPr>
          <w:rFonts w:ascii="Arial" w:hAnsi="Arial" w:cs="Arial"/>
          <w:b/>
          <w:color w:val="000000" w:themeColor="text1"/>
        </w:rPr>
        <w:t xml:space="preserve"> </w:t>
      </w:r>
      <w:r w:rsidRPr="00366660">
        <w:rPr>
          <w:rFonts w:ascii="Arial" w:hAnsi="Arial" w:cs="Arial"/>
          <w:color w:val="000000" w:themeColor="text1"/>
        </w:rPr>
        <w:t xml:space="preserve">que hace referencia a la oportunidad que tiene la entidad para seleccionar o escoger la mejor oferta. Durante este lapso se resuelven las observaciones presentadas por los oferentes, es decir, la entidad responderá las observaciones durante esta oportunidad y a más tardar hasta el momento de la adjudicación. La norma anteriormente citada también permite al jefe de la entidad prorrogar el plazo para la adjudicación y para la firma del contrato, pero antes del vencimiento de dichos plazos y por un término no mayor a la mitad del inicialmente fijado.  </w:t>
      </w:r>
    </w:p>
    <w:p w14:paraId="2896DD1D" w14:textId="77777777" w:rsidR="003358A3" w:rsidRPr="00366660" w:rsidRDefault="003358A3" w:rsidP="003358A3">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Dentro del </w:t>
      </w:r>
      <w:r w:rsidRPr="00366660">
        <w:rPr>
          <w:rFonts w:ascii="Arial" w:hAnsi="Arial" w:cs="Arial"/>
          <w:i/>
          <w:iCs/>
          <w:color w:val="000000" w:themeColor="text1"/>
        </w:rPr>
        <w:t>plazo para adjudicar el contrato</w:t>
      </w:r>
      <w:r w:rsidRPr="00366660">
        <w:rPr>
          <w:rFonts w:ascii="Arial" w:hAnsi="Arial" w:cs="Arial"/>
          <w:color w:val="000000" w:themeColor="text1"/>
        </w:rPr>
        <w:t>, debe celebrarse la audiencia de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levantará un acta en el que se dejará constancia de las deliberaciones y decisiones de esta.</w:t>
      </w:r>
    </w:p>
    <w:p w14:paraId="3EAD5BC1" w14:textId="77777777" w:rsidR="003358A3" w:rsidRPr="00366660" w:rsidRDefault="003358A3" w:rsidP="003358A3">
      <w:pPr>
        <w:spacing w:before="120"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En el caso de las licitaciones públicas para seleccionar contratistas de obra pública, en la </w:t>
      </w:r>
      <w:r w:rsidRPr="00366660">
        <w:rPr>
          <w:rFonts w:ascii="Arial" w:hAnsi="Arial" w:cs="Arial"/>
          <w:i/>
          <w:iCs/>
          <w:color w:val="000000" w:themeColor="text1"/>
        </w:rPr>
        <w:t>audiencia efectiva de adjudicación</w:t>
      </w:r>
      <w:r w:rsidRPr="00366660">
        <w:rPr>
          <w:rFonts w:ascii="Arial" w:hAnsi="Arial" w:cs="Arial"/>
          <w:color w:val="000000" w:themeColor="text1"/>
        </w:rPr>
        <w:t xml:space="preserve">, por disposición del inciso final del parágrafo 3 del artículo 30 de la Ley 80 de 1993, adicionado por el artículo 1 de la Ley 1882 de 2018, se deben llevar a cabo tres actuaciones adicionales a la adjudicación del contrato: </w:t>
      </w:r>
      <w:r w:rsidRPr="00366660">
        <w:rPr>
          <w:rFonts w:ascii="Arial" w:hAnsi="Arial" w:cs="Arial"/>
          <w:i/>
          <w:iCs/>
          <w:color w:val="000000" w:themeColor="text1"/>
        </w:rPr>
        <w:t>primero</w:t>
      </w:r>
      <w:r w:rsidRPr="00366660">
        <w:rPr>
          <w:rFonts w:ascii="Arial" w:hAnsi="Arial" w:cs="Arial"/>
          <w:color w:val="000000" w:themeColor="text1"/>
        </w:rPr>
        <w:t xml:space="preserve">, la entidad debe permitir a los proponentes que realicen observaciones en relación con el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Resulta del caso precisar que a pesar de que la norma en comento hace referencia al </w:t>
      </w:r>
      <w:r w:rsidRPr="00366660">
        <w:rPr>
          <w:rFonts w:ascii="Arial" w:hAnsi="Arial" w:cs="Arial"/>
          <w:i/>
          <w:iCs/>
          <w:color w:val="000000" w:themeColor="text1"/>
        </w:rPr>
        <w:t>informe de evaluación</w:t>
      </w:r>
      <w:r w:rsidRPr="00366660">
        <w:rPr>
          <w:rFonts w:ascii="Arial" w:hAnsi="Arial" w:cs="Arial"/>
          <w:color w:val="000000" w:themeColor="text1"/>
        </w:rPr>
        <w:t xml:space="preserve">, lo cierto es que lo procedente es entender que está haciendo mención </w:t>
      </w:r>
      <w:proofErr w:type="gramStart"/>
      <w:r w:rsidRPr="00366660">
        <w:rPr>
          <w:rFonts w:ascii="Arial" w:hAnsi="Arial" w:cs="Arial"/>
          <w:color w:val="000000" w:themeColor="text1"/>
        </w:rPr>
        <w:t>al</w:t>
      </w:r>
      <w:proofErr w:type="gramEnd"/>
      <w:r w:rsidRPr="00366660">
        <w:rPr>
          <w:rFonts w:ascii="Arial" w:hAnsi="Arial" w:cs="Arial"/>
          <w:color w:val="000000" w:themeColor="text1"/>
        </w:rPr>
        <w:t xml:space="preserve"> </w:t>
      </w:r>
      <w:r w:rsidRPr="00366660">
        <w:rPr>
          <w:rFonts w:ascii="Arial" w:hAnsi="Arial" w:cs="Arial"/>
          <w:i/>
          <w:iCs/>
          <w:color w:val="000000" w:themeColor="text1"/>
        </w:rPr>
        <w:t xml:space="preserve">informe final de evaluación, </w:t>
      </w:r>
      <w:r w:rsidRPr="00366660">
        <w:rPr>
          <w:rFonts w:ascii="Arial" w:hAnsi="Arial" w:cs="Arial"/>
          <w:color w:val="000000" w:themeColor="text1"/>
        </w:rPr>
        <w:t xml:space="preserve">es decir, el que resulte luego de presentadas las observaciones por los proponentes y que sean resueltas por la entidad. Tal interpretación encuentra fundamento en tres argumentos: por un lado, en que la misma norma ya contiene un término para presentar observaciones en relación con el </w:t>
      </w:r>
      <w:r w:rsidRPr="00366660">
        <w:rPr>
          <w:rFonts w:ascii="Arial" w:hAnsi="Arial" w:cs="Arial"/>
          <w:i/>
          <w:iCs/>
          <w:color w:val="000000" w:themeColor="text1"/>
        </w:rPr>
        <w:t xml:space="preserve">informe de evaluación </w:t>
      </w:r>
      <w:r w:rsidRPr="00366660">
        <w:rPr>
          <w:rFonts w:ascii="Arial" w:hAnsi="Arial" w:cs="Arial"/>
          <w:color w:val="000000" w:themeColor="text1"/>
        </w:rPr>
        <w:t xml:space="preserve">–inicial–, esto es, dentro de los cinco días siguientes a su publicación en el SECOP; por otro, que aceptar lo contrario implicaría asumir que es posible reabrir el debate en relación con el </w:t>
      </w:r>
      <w:r w:rsidRPr="00366660">
        <w:rPr>
          <w:rFonts w:ascii="Arial" w:hAnsi="Arial" w:cs="Arial"/>
          <w:i/>
          <w:iCs/>
          <w:color w:val="000000" w:themeColor="text1"/>
        </w:rPr>
        <w:t>informe de evaluación</w:t>
      </w:r>
      <w:r w:rsidRPr="00366660">
        <w:rPr>
          <w:rFonts w:ascii="Arial" w:hAnsi="Arial" w:cs="Arial"/>
          <w:color w:val="000000" w:themeColor="text1"/>
        </w:rPr>
        <w:t xml:space="preserve">, pese a que el mismo se cerró al expedir el </w:t>
      </w:r>
      <w:r w:rsidRPr="00366660">
        <w:rPr>
          <w:rFonts w:ascii="Arial" w:hAnsi="Arial" w:cs="Arial"/>
          <w:i/>
          <w:iCs/>
          <w:color w:val="000000" w:themeColor="text1"/>
        </w:rPr>
        <w:t>informe final de evaluación</w:t>
      </w:r>
      <w:r>
        <w:rPr>
          <w:rFonts w:ascii="Arial" w:hAnsi="Arial" w:cs="Arial"/>
          <w:color w:val="000000" w:themeColor="text1"/>
        </w:rPr>
        <w:t xml:space="preserve">; </w:t>
      </w:r>
      <w:r w:rsidRPr="00366660">
        <w:rPr>
          <w:rFonts w:ascii="Arial" w:hAnsi="Arial" w:cs="Arial"/>
          <w:color w:val="000000" w:themeColor="text1"/>
        </w:rPr>
        <w:t xml:space="preserve">por último, una interpretación literal de la norma implica que no hay una etapa procesal para presentar observaciones en relación con el </w:t>
      </w:r>
      <w:r w:rsidRPr="00366660">
        <w:rPr>
          <w:rFonts w:ascii="Arial" w:hAnsi="Arial" w:cs="Arial"/>
          <w:i/>
          <w:iCs/>
          <w:color w:val="000000" w:themeColor="text1"/>
        </w:rPr>
        <w:t>informe final de evaluación</w:t>
      </w:r>
      <w:r w:rsidRPr="00366660">
        <w:rPr>
          <w:rFonts w:ascii="Arial" w:hAnsi="Arial" w:cs="Arial"/>
          <w:color w:val="000000" w:themeColor="text1"/>
        </w:rPr>
        <w:t>, lo cual, conduce a restringir los derechos de participación que les asiste a todos los proponentes.</w:t>
      </w:r>
    </w:p>
    <w:p w14:paraId="1BA5DA20" w14:textId="77777777" w:rsidR="003358A3" w:rsidRPr="00366660" w:rsidRDefault="003358A3" w:rsidP="003358A3">
      <w:pPr>
        <w:spacing w:before="120" w:after="0" w:line="276" w:lineRule="auto"/>
        <w:ind w:firstLine="709"/>
        <w:jc w:val="both"/>
        <w:rPr>
          <w:rFonts w:ascii="Arial" w:hAnsi="Arial" w:cs="Arial"/>
          <w:color w:val="000000" w:themeColor="text1"/>
        </w:rPr>
      </w:pPr>
      <w:r w:rsidRPr="00366660">
        <w:rPr>
          <w:rFonts w:ascii="Arial" w:hAnsi="Arial" w:cs="Arial"/>
          <w:i/>
          <w:iCs/>
          <w:color w:val="000000" w:themeColor="text1"/>
        </w:rPr>
        <w:lastRenderedPageBreak/>
        <w:t>Segundo</w:t>
      </w:r>
      <w:r w:rsidRPr="00366660">
        <w:rPr>
          <w:rFonts w:ascii="Arial" w:hAnsi="Arial" w:cs="Arial"/>
          <w:color w:val="000000" w:themeColor="text1"/>
        </w:rPr>
        <w:t xml:space="preserve">, se abre el sobre número dos (2), que contienen la oferta económica, y se evalúan las propuestas mediante el método establecido en el pliego de condiciones y, </w:t>
      </w:r>
      <w:r w:rsidRPr="00366660">
        <w:rPr>
          <w:rFonts w:ascii="Arial" w:hAnsi="Arial" w:cs="Arial"/>
          <w:i/>
          <w:iCs/>
          <w:color w:val="000000" w:themeColor="text1"/>
        </w:rPr>
        <w:t xml:space="preserve">tercero, </w:t>
      </w:r>
      <w:r w:rsidRPr="00366660">
        <w:rPr>
          <w:rFonts w:ascii="Arial" w:hAnsi="Arial" w:cs="Arial"/>
          <w:color w:val="000000" w:themeColor="text1"/>
        </w:rPr>
        <w:t xml:space="preserve">a los proponentes habilitados se les corre traslado de la evaluación de las ofertas económicas, solo para la revisión </w:t>
      </w:r>
      <w:r>
        <w:rPr>
          <w:rFonts w:ascii="Arial" w:hAnsi="Arial" w:cs="Arial"/>
          <w:color w:val="000000" w:themeColor="text1"/>
        </w:rPr>
        <w:t>“</w:t>
      </w:r>
      <w:r w:rsidRPr="00366660">
        <w:rPr>
          <w:rFonts w:ascii="Arial" w:hAnsi="Arial" w:cs="Arial"/>
          <w:color w:val="000000" w:themeColor="text1"/>
        </w:rPr>
        <w:t>del aspecto económico</w:t>
      </w:r>
      <w:r>
        <w:rPr>
          <w:rFonts w:ascii="Arial" w:hAnsi="Arial" w:cs="Arial"/>
          <w:color w:val="000000" w:themeColor="text1"/>
        </w:rPr>
        <w:t>”</w:t>
      </w:r>
      <w:r w:rsidRPr="00366660">
        <w:rPr>
          <w:rFonts w:ascii="Arial" w:hAnsi="Arial" w:cs="Arial"/>
          <w:color w:val="000000" w:themeColor="text1"/>
        </w:rPr>
        <w:t xml:space="preserve">, luego de lo cual la entidad debe establecer el </w:t>
      </w:r>
      <w:r w:rsidRPr="00366660">
        <w:rPr>
          <w:rFonts w:ascii="Arial" w:hAnsi="Arial" w:cs="Arial"/>
          <w:i/>
          <w:iCs/>
          <w:color w:val="000000" w:themeColor="text1"/>
        </w:rPr>
        <w:t>orden de elegibilidad</w:t>
      </w:r>
      <w:r w:rsidRPr="00366660">
        <w:rPr>
          <w:rFonts w:ascii="Arial" w:hAnsi="Arial" w:cs="Arial"/>
          <w:color w:val="000000" w:themeColor="text1"/>
        </w:rPr>
        <w:t xml:space="preserve"> y, finalmente, a adjudicar el contrato estatal. En efecto, el parágrafo que se comenta establece lo siguiente:</w:t>
      </w:r>
    </w:p>
    <w:p w14:paraId="44ADBD64" w14:textId="77777777" w:rsidR="003358A3" w:rsidRPr="00366660" w:rsidRDefault="003358A3" w:rsidP="003358A3">
      <w:pPr>
        <w:spacing w:after="0" w:line="276" w:lineRule="auto"/>
        <w:ind w:firstLine="709"/>
        <w:jc w:val="both"/>
        <w:rPr>
          <w:rFonts w:ascii="Arial" w:hAnsi="Arial" w:cs="Arial"/>
          <w:color w:val="000000" w:themeColor="text1"/>
        </w:rPr>
      </w:pPr>
    </w:p>
    <w:p w14:paraId="58476EE8" w14:textId="77777777" w:rsidR="003358A3" w:rsidRPr="00366660" w:rsidRDefault="003358A3" w:rsidP="003358A3">
      <w:pPr>
        <w:spacing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Parágrafo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4776A25B" w14:textId="77777777" w:rsidR="003358A3" w:rsidRPr="00366660" w:rsidRDefault="003358A3" w:rsidP="003358A3">
      <w:pPr>
        <w:spacing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En estos procesos el informe permanecerá publicado en el </w:t>
      </w:r>
      <w:proofErr w:type="spellStart"/>
      <w:r w:rsidRPr="00366660">
        <w:rPr>
          <w:rFonts w:ascii="Arial" w:hAnsi="Arial" w:cs="Arial"/>
          <w:color w:val="000000" w:themeColor="text1"/>
          <w:sz w:val="21"/>
          <w:szCs w:val="21"/>
        </w:rPr>
        <w:t>Secop</w:t>
      </w:r>
      <w:proofErr w:type="spellEnd"/>
      <w:r w:rsidRPr="00366660">
        <w:rPr>
          <w:rFonts w:ascii="Arial" w:hAnsi="Arial" w:cs="Arial"/>
          <w:color w:val="000000" w:themeColor="text1"/>
          <w:sz w:val="21"/>
          <w:szCs w:val="21"/>
        </w:rPr>
        <w:t xml:space="preserve">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p w14:paraId="2D3F625D" w14:textId="77777777" w:rsidR="003358A3" w:rsidRPr="00366660" w:rsidRDefault="003358A3" w:rsidP="003358A3">
      <w:pPr>
        <w:spacing w:after="0"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Para estos procesos, el segundo sobre, que contiene la oferta económica, se mantendrá cerrado hasta la audiencia efectiva de adjudicación, </w:t>
      </w:r>
      <w:r w:rsidRPr="00366660">
        <w:rPr>
          <w:rFonts w:ascii="Arial" w:hAnsi="Arial" w:cs="Arial"/>
          <w:i/>
          <w:iCs/>
          <w:color w:val="000000" w:themeColor="text1"/>
          <w:sz w:val="21"/>
          <w:szCs w:val="21"/>
        </w:rPr>
        <w:t>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sidRPr="00366660">
        <w:rPr>
          <w:rFonts w:ascii="Arial" w:hAnsi="Arial" w:cs="Arial"/>
          <w:color w:val="000000" w:themeColor="text1"/>
          <w:sz w:val="21"/>
          <w:szCs w:val="21"/>
        </w:rPr>
        <w:t xml:space="preserve">. (Énfasis fuera de texto) </w:t>
      </w:r>
    </w:p>
    <w:p w14:paraId="73AD5370" w14:textId="77777777" w:rsidR="003358A3" w:rsidRPr="00366660" w:rsidRDefault="003358A3" w:rsidP="003358A3">
      <w:pPr>
        <w:spacing w:after="0" w:line="276" w:lineRule="auto"/>
        <w:ind w:firstLine="708"/>
        <w:jc w:val="both"/>
        <w:rPr>
          <w:rFonts w:ascii="Arial" w:hAnsi="Arial" w:cs="Arial"/>
          <w:color w:val="000000" w:themeColor="text1"/>
        </w:rPr>
      </w:pPr>
    </w:p>
    <w:p w14:paraId="5B66DEBB" w14:textId="77777777" w:rsidR="003358A3" w:rsidRPr="00366660" w:rsidRDefault="003358A3" w:rsidP="003358A3">
      <w:pPr>
        <w:spacing w:after="120" w:line="276" w:lineRule="auto"/>
        <w:ind w:firstLine="708"/>
        <w:jc w:val="both"/>
        <w:rPr>
          <w:rFonts w:ascii="Arial" w:hAnsi="Arial" w:cs="Arial"/>
          <w:color w:val="000000" w:themeColor="text1"/>
        </w:rPr>
      </w:pPr>
      <w:r w:rsidRPr="00366660">
        <w:rPr>
          <w:rFonts w:ascii="Arial" w:hAnsi="Arial" w:cs="Arial"/>
          <w:color w:val="000000" w:themeColor="text1"/>
        </w:rPr>
        <w:t xml:space="preserve">Nótese que, aunque la norma contempla el término para resolver las observaciones presentadas en relación con el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en el entendido que dispone que deben resolverse </w:t>
      </w:r>
      <w:r>
        <w:rPr>
          <w:rFonts w:ascii="Arial" w:hAnsi="Arial" w:cs="Arial"/>
          <w:color w:val="000000" w:themeColor="text1"/>
        </w:rPr>
        <w:t>“</w:t>
      </w:r>
      <w:r w:rsidRPr="00366660">
        <w:rPr>
          <w:rFonts w:ascii="Arial" w:hAnsi="Arial" w:cs="Arial"/>
          <w:color w:val="000000" w:themeColor="text1"/>
        </w:rPr>
        <w:t>en la misma</w:t>
      </w:r>
      <w:r>
        <w:rPr>
          <w:rFonts w:ascii="Arial" w:hAnsi="Arial" w:cs="Arial"/>
          <w:color w:val="000000" w:themeColor="text1"/>
        </w:rPr>
        <w:t>”</w:t>
      </w:r>
      <w:r w:rsidRPr="00366660">
        <w:rPr>
          <w:rFonts w:ascii="Arial" w:hAnsi="Arial" w:cs="Arial"/>
          <w:color w:val="000000" w:themeColor="text1"/>
        </w:rPr>
        <w:t xml:space="preserve"> audiencia, lo cierto es que no establece un término para pronunciarse en relación con las observaciones presentadas por los proponentes frente a los aspectos económicos de las propuestas de los otros proponentes del proceso.</w:t>
      </w:r>
    </w:p>
    <w:p w14:paraId="147B8D45" w14:textId="77777777" w:rsidR="003358A3" w:rsidRPr="00366660" w:rsidRDefault="003358A3" w:rsidP="003358A3">
      <w:pPr>
        <w:spacing w:before="120" w:after="120" w:line="276" w:lineRule="auto"/>
        <w:jc w:val="both"/>
        <w:rPr>
          <w:rFonts w:ascii="Arial" w:hAnsi="Arial" w:cs="Arial"/>
          <w:color w:val="000000" w:themeColor="text1"/>
        </w:rPr>
      </w:pPr>
      <w:r w:rsidRPr="00366660">
        <w:rPr>
          <w:rFonts w:ascii="Arial" w:hAnsi="Arial" w:cs="Arial"/>
          <w:color w:val="000000" w:themeColor="text1"/>
        </w:rPr>
        <w:tab/>
        <w:t>A juicio de la Agencia Nacional de Contratación</w:t>
      </w:r>
      <w:r>
        <w:rPr>
          <w:rFonts w:ascii="Arial" w:hAnsi="Arial" w:cs="Arial"/>
          <w:color w:val="000000" w:themeColor="text1"/>
        </w:rPr>
        <w:t xml:space="preserve"> Pública</w:t>
      </w:r>
      <w:r w:rsidRPr="00366660">
        <w:rPr>
          <w:rFonts w:ascii="Arial" w:hAnsi="Arial" w:cs="Arial"/>
          <w:color w:val="000000" w:themeColor="text1"/>
        </w:rPr>
        <w:t xml:space="preserve"> tal vacío normativo debe suplirse con la aplicación analógica del término para resolver las observaciones de los proponentes frente al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habida cuenta de que se trata de la misma diligencia y, en esencia, de una actuación similar, esto es, resolver observaciones de los proponentes. Además, si se tiene en cuenta que el objeto principal de la audiencia es la adjudicación, y que esto no se puede hacer sin haber resuelto las observaciones de los </w:t>
      </w:r>
      <w:r w:rsidRPr="00366660">
        <w:rPr>
          <w:rFonts w:ascii="Arial" w:hAnsi="Arial" w:cs="Arial"/>
          <w:color w:val="000000" w:themeColor="text1"/>
        </w:rPr>
        <w:lastRenderedPageBreak/>
        <w:t xml:space="preserve">proponentes, resulta imposible materialmente que el término </w:t>
      </w:r>
      <w:proofErr w:type="gramStart"/>
      <w:r w:rsidRPr="00366660">
        <w:rPr>
          <w:rFonts w:ascii="Arial" w:hAnsi="Arial" w:cs="Arial"/>
          <w:i/>
          <w:iCs/>
          <w:color w:val="000000" w:themeColor="text1"/>
        </w:rPr>
        <w:t>sub lite</w:t>
      </w:r>
      <w:proofErr w:type="gramEnd"/>
      <w:r w:rsidRPr="00366660">
        <w:rPr>
          <w:rFonts w:ascii="Arial" w:hAnsi="Arial" w:cs="Arial"/>
          <w:color w:val="000000" w:themeColor="text1"/>
        </w:rPr>
        <w:t xml:space="preserve"> se extienda más allá de la diligencia.</w:t>
      </w:r>
    </w:p>
    <w:p w14:paraId="62E741AB" w14:textId="77777777" w:rsidR="003358A3" w:rsidRPr="00366660" w:rsidRDefault="003358A3" w:rsidP="003358A3">
      <w:pPr>
        <w:spacing w:before="120" w:after="120" w:line="276" w:lineRule="auto"/>
        <w:ind w:firstLine="708"/>
        <w:jc w:val="both"/>
        <w:rPr>
          <w:rFonts w:ascii="Arial" w:hAnsi="Arial" w:cs="Arial"/>
          <w:color w:val="000000" w:themeColor="text1"/>
        </w:rPr>
      </w:pPr>
      <w:r w:rsidRPr="00366660">
        <w:rPr>
          <w:rFonts w:ascii="Arial" w:hAnsi="Arial" w:cs="Arial"/>
          <w:color w:val="000000" w:themeColor="text1"/>
        </w:rPr>
        <w:t xml:space="preserve">En ese sentido, el término para resolver las observaciones frente a los aspectos económicos de las propuestas de los otros proponentes es el mismo que se consagra para resolver las observaciones frente al </w:t>
      </w:r>
      <w:r w:rsidRPr="00366660">
        <w:rPr>
          <w:rFonts w:ascii="Arial" w:hAnsi="Arial" w:cs="Arial"/>
          <w:i/>
          <w:iCs/>
          <w:color w:val="000000" w:themeColor="text1"/>
        </w:rPr>
        <w:t>informe final de evaluación</w:t>
      </w:r>
      <w:r w:rsidRPr="00366660">
        <w:rPr>
          <w:rFonts w:ascii="Arial" w:hAnsi="Arial" w:cs="Arial"/>
          <w:color w:val="000000" w:themeColor="text1"/>
        </w:rPr>
        <w:t xml:space="preserve">, esto es, que debe hacerse dentro de la misma diligencia. Esto, adicionalmente, marca un límite para la determinación del término del traslado a los proponentes de las ofertas económicas, pues si las observaciones deben resolverse en la misma diligencia, el término del traslado debe tener como límite la duración de la misma audiencia, de tal forma que el </w:t>
      </w:r>
      <w:r>
        <w:rPr>
          <w:rFonts w:ascii="Arial" w:hAnsi="Arial" w:cs="Arial"/>
          <w:color w:val="000000" w:themeColor="text1"/>
        </w:rPr>
        <w:t>plazo</w:t>
      </w:r>
      <w:r w:rsidRPr="00366660">
        <w:rPr>
          <w:rFonts w:ascii="Arial" w:hAnsi="Arial" w:cs="Arial"/>
          <w:color w:val="000000" w:themeColor="text1"/>
        </w:rPr>
        <w:t xml:space="preserve"> concedido no exceda de su duración. Le corresponde, pues, a la entidad establecer el término por el cual dará dicho traslado.</w:t>
      </w:r>
    </w:p>
    <w:p w14:paraId="5CCF2066" w14:textId="77777777" w:rsidR="003358A3" w:rsidRPr="00366660" w:rsidRDefault="003358A3" w:rsidP="003358A3">
      <w:pPr>
        <w:spacing w:before="120" w:after="120" w:line="276" w:lineRule="auto"/>
        <w:jc w:val="both"/>
        <w:rPr>
          <w:rFonts w:ascii="Arial" w:hAnsi="Arial" w:cs="Arial"/>
          <w:color w:val="000000" w:themeColor="text1"/>
        </w:rPr>
      </w:pPr>
      <w:r w:rsidRPr="00366660">
        <w:rPr>
          <w:rFonts w:ascii="Arial" w:hAnsi="Arial" w:cs="Arial"/>
          <w:color w:val="000000" w:themeColor="text1"/>
        </w:rPr>
        <w:tab/>
        <w:t>Es del caso precisar que, pese a que es cierto que el principal llamado a establecer los términos procesales es el legislador</w:t>
      </w:r>
      <w:r w:rsidRPr="00366660">
        <w:rPr>
          <w:rStyle w:val="Refdenotaalpie"/>
          <w:rFonts w:ascii="Arial" w:hAnsi="Arial" w:cs="Arial"/>
          <w:color w:val="000000" w:themeColor="text1"/>
        </w:rPr>
        <w:footnoteReference w:id="5"/>
      </w:r>
      <w:r w:rsidRPr="00366660">
        <w:rPr>
          <w:rFonts w:ascii="Arial" w:hAnsi="Arial" w:cs="Arial"/>
          <w:color w:val="000000" w:themeColor="text1"/>
        </w:rPr>
        <w:t xml:space="preserve">, también lo es que las partes, especialmente la entidad contratante, también han sido habilitada por el mismo legislador para establecer el término de duración de algunas etapas del trámite contractual, como sucede, por ejemplo, con el </w:t>
      </w:r>
      <w:r w:rsidRPr="00366660">
        <w:rPr>
          <w:rFonts w:ascii="Arial" w:hAnsi="Arial" w:cs="Arial"/>
          <w:i/>
          <w:iCs/>
          <w:color w:val="000000" w:themeColor="text1"/>
        </w:rPr>
        <w:t>plazo de la licitación</w:t>
      </w:r>
      <w:r w:rsidRPr="00366660">
        <w:rPr>
          <w:rFonts w:ascii="Arial" w:hAnsi="Arial" w:cs="Arial"/>
          <w:color w:val="000000" w:themeColor="text1"/>
        </w:rPr>
        <w:t>, cuya determinación corresponde a la entidad contratante, o como ocurre con los términos objeto de las presentes consideraciones.</w:t>
      </w:r>
    </w:p>
    <w:p w14:paraId="111ADCBF" w14:textId="77777777" w:rsidR="003358A3" w:rsidRPr="00366660" w:rsidRDefault="003358A3" w:rsidP="003358A3">
      <w:pPr>
        <w:spacing w:after="0" w:line="276" w:lineRule="auto"/>
        <w:ind w:firstLine="709"/>
        <w:jc w:val="both"/>
        <w:rPr>
          <w:rFonts w:ascii="Arial" w:hAnsi="Arial" w:cs="Arial"/>
          <w:color w:val="000000" w:themeColor="text1"/>
        </w:rPr>
      </w:pPr>
      <w:r w:rsidRPr="00366660">
        <w:rPr>
          <w:rFonts w:ascii="Arial" w:hAnsi="Arial" w:cs="Arial"/>
          <w:color w:val="000000" w:themeColor="text1"/>
        </w:rPr>
        <w:t>En todo caso, los términos legales o reglamentarios, así como también los términos que establece la entidad, encuentran como limitante, por un lado, las garantías constitucionales fundamentales y, por el otro, los principios de proporcionalidad y razonabilidad. En relación con los primeros, así lo ha reconocido la Corte Constitucional, entre otras, en las sentencias C-127 de 2011 y C-315 de 2012, mientras que, frente a los segundos, así lo dispone el artículo 44 de la Ley 1437 de 2011</w:t>
      </w:r>
      <w:r w:rsidRPr="00366660">
        <w:rPr>
          <w:rStyle w:val="Refdenotaalpie"/>
          <w:rFonts w:ascii="Arial" w:hAnsi="Arial" w:cs="Arial"/>
          <w:color w:val="000000" w:themeColor="text1"/>
        </w:rPr>
        <w:footnoteReference w:id="6"/>
      </w:r>
      <w:r w:rsidRPr="00366660">
        <w:rPr>
          <w:rFonts w:ascii="Arial" w:hAnsi="Arial" w:cs="Arial"/>
          <w:color w:val="000000" w:themeColor="text1"/>
        </w:rPr>
        <w:t xml:space="preserve">. Incluso, en la Circular Externa Única de Colombia Compra Eficiente, se establece como parámetro la razonabilidad, </w:t>
      </w:r>
      <w:r>
        <w:rPr>
          <w:rFonts w:ascii="Arial" w:hAnsi="Arial" w:cs="Arial"/>
          <w:color w:val="000000" w:themeColor="text1"/>
        </w:rPr>
        <w:t>explicando</w:t>
      </w:r>
      <w:r w:rsidRPr="00366660">
        <w:rPr>
          <w:rFonts w:ascii="Arial" w:hAnsi="Arial" w:cs="Arial"/>
          <w:color w:val="000000" w:themeColor="text1"/>
        </w:rPr>
        <w:t xml:space="preserve"> que:</w:t>
      </w:r>
    </w:p>
    <w:p w14:paraId="4E93503F" w14:textId="77777777" w:rsidR="003358A3" w:rsidRPr="00366660" w:rsidRDefault="003358A3" w:rsidP="003358A3">
      <w:pPr>
        <w:spacing w:after="0" w:line="276" w:lineRule="auto"/>
        <w:ind w:firstLine="709"/>
        <w:jc w:val="both"/>
        <w:rPr>
          <w:rFonts w:ascii="Arial" w:hAnsi="Arial" w:cs="Arial"/>
          <w:color w:val="000000" w:themeColor="text1"/>
        </w:rPr>
      </w:pPr>
    </w:p>
    <w:p w14:paraId="047A57F5" w14:textId="77777777" w:rsidR="003358A3" w:rsidRPr="00366660" w:rsidRDefault="003358A3" w:rsidP="003358A3">
      <w:pPr>
        <w:spacing w:after="0" w:line="240" w:lineRule="auto"/>
        <w:ind w:left="709" w:right="709"/>
        <w:jc w:val="both"/>
        <w:rPr>
          <w:rFonts w:ascii="Arial" w:hAnsi="Arial" w:cs="Arial"/>
          <w:color w:val="000000" w:themeColor="text1"/>
          <w:sz w:val="21"/>
          <w:szCs w:val="21"/>
        </w:rPr>
      </w:pPr>
      <w:r w:rsidRPr="004C5B91">
        <w:rPr>
          <w:rFonts w:ascii="Arial" w:hAnsi="Arial" w:cs="Arial"/>
          <w:color w:val="000000" w:themeColor="text1"/>
          <w:sz w:val="21"/>
          <w:szCs w:val="21"/>
        </w:rPr>
        <w:t>En la audiencia de adjudicación, una vez ha quedado en firme el informe final de evaluación</w:t>
      </w:r>
      <w:r>
        <w:rPr>
          <w:rFonts w:ascii="Arial" w:hAnsi="Arial" w:cs="Arial"/>
          <w:color w:val="000000" w:themeColor="text1"/>
          <w:sz w:val="21"/>
          <w:szCs w:val="21"/>
        </w:rPr>
        <w:t xml:space="preserve"> </w:t>
      </w:r>
      <w:r w:rsidRPr="004C5B91">
        <w:rPr>
          <w:rFonts w:ascii="Arial" w:hAnsi="Arial" w:cs="Arial"/>
          <w:color w:val="000000" w:themeColor="text1"/>
          <w:sz w:val="21"/>
          <w:szCs w:val="21"/>
        </w:rPr>
        <w:t>del primer sobre correspondiente a los requisitos habilitantes y los requisitos objeto de</w:t>
      </w:r>
      <w:r>
        <w:rPr>
          <w:rFonts w:ascii="Arial" w:hAnsi="Arial" w:cs="Arial"/>
          <w:color w:val="000000" w:themeColor="text1"/>
          <w:sz w:val="21"/>
          <w:szCs w:val="21"/>
        </w:rPr>
        <w:t xml:space="preserve"> </w:t>
      </w:r>
      <w:r w:rsidRPr="004C5B91">
        <w:rPr>
          <w:rFonts w:ascii="Arial" w:hAnsi="Arial" w:cs="Arial"/>
          <w:color w:val="000000" w:themeColor="text1"/>
          <w:sz w:val="21"/>
          <w:szCs w:val="21"/>
        </w:rPr>
        <w:t>puntuación distintos de la oferta económica, la Entidad Estatal dará apertura al segundo sobre</w:t>
      </w:r>
      <w:r>
        <w:rPr>
          <w:rFonts w:ascii="Arial" w:hAnsi="Arial" w:cs="Arial"/>
          <w:color w:val="000000" w:themeColor="text1"/>
          <w:sz w:val="21"/>
          <w:szCs w:val="21"/>
        </w:rPr>
        <w:t xml:space="preserve"> </w:t>
      </w:r>
      <w:r w:rsidRPr="004C5B91">
        <w:rPr>
          <w:rFonts w:ascii="Arial" w:hAnsi="Arial" w:cs="Arial"/>
          <w:color w:val="000000" w:themeColor="text1"/>
          <w:sz w:val="21"/>
          <w:szCs w:val="21"/>
        </w:rPr>
        <w:t xml:space="preserve">que contiene la oferta económica. </w:t>
      </w:r>
      <w:r w:rsidRPr="004C5B91">
        <w:rPr>
          <w:rFonts w:ascii="Arial" w:hAnsi="Arial" w:cs="Arial"/>
          <w:i/>
          <w:iCs/>
          <w:color w:val="000000" w:themeColor="text1"/>
          <w:sz w:val="21"/>
          <w:szCs w:val="21"/>
        </w:rPr>
        <w:t>Luego de esto realizará su evaluación respectiva y correrá traslado a los proponentes habilitados dentro de la misma audiencia, por un término razonable, para que realicen observaciones solamente acerca de la evaluación de las ofertas económicas, de manera que con posterioridad se establezca el orden de elegibilidad</w:t>
      </w:r>
      <w:r w:rsidRPr="00366660">
        <w:rPr>
          <w:rFonts w:ascii="Arial" w:hAnsi="Arial" w:cs="Arial"/>
          <w:color w:val="000000" w:themeColor="text1"/>
          <w:sz w:val="21"/>
          <w:szCs w:val="21"/>
        </w:rPr>
        <w:t xml:space="preserve">. (Énfasis fuera de texto) </w:t>
      </w:r>
    </w:p>
    <w:p w14:paraId="648D0806" w14:textId="77777777" w:rsidR="003358A3" w:rsidRPr="00366660" w:rsidRDefault="003358A3" w:rsidP="003358A3">
      <w:pPr>
        <w:spacing w:after="0"/>
        <w:ind w:left="709" w:right="709"/>
        <w:jc w:val="both"/>
        <w:rPr>
          <w:rFonts w:ascii="Arial" w:hAnsi="Arial" w:cs="Arial"/>
          <w:color w:val="000000" w:themeColor="text1"/>
        </w:rPr>
      </w:pPr>
    </w:p>
    <w:p w14:paraId="1179CCF6" w14:textId="77777777" w:rsidR="003358A3" w:rsidRPr="00366660" w:rsidRDefault="003358A3" w:rsidP="003358A3">
      <w:pPr>
        <w:spacing w:after="120" w:line="276" w:lineRule="auto"/>
        <w:ind w:firstLine="709"/>
        <w:jc w:val="both"/>
        <w:rPr>
          <w:rFonts w:ascii="Arial" w:hAnsi="Arial" w:cs="Arial"/>
          <w:color w:val="000000" w:themeColor="text1"/>
        </w:rPr>
      </w:pPr>
      <w:r w:rsidRPr="00366660">
        <w:rPr>
          <w:rFonts w:ascii="Arial" w:hAnsi="Arial" w:cs="Arial"/>
          <w:color w:val="000000" w:themeColor="text1"/>
        </w:rPr>
        <w:t xml:space="preserve">En la práctica, entonces, para establecer el término de duración del traslado para presentar observaciones frente a las ofertas económicas, la entidad debe tener como faro orientador los fines de la norma que lo autoriza −artículo 30, parágrafo 3, inciso 3, de la Ley 80 de 1993−. Esto es, debe permitir que los proponentes presenten sus observaciones frente a los aspectos económicos de las propuestas de los otros oferentes, así como también la proporcionalidad y la razonabilidad del término establecido, lo cual se debe valorar, primero, en cada situación particular y, segundo, atendiendo al análisis de la </w:t>
      </w:r>
      <w:r w:rsidRPr="00366660">
        <w:rPr>
          <w:rFonts w:ascii="Arial" w:hAnsi="Arial" w:cs="Arial"/>
          <w:i/>
          <w:iCs/>
          <w:color w:val="000000" w:themeColor="text1"/>
        </w:rPr>
        <w:t xml:space="preserve">complejidad </w:t>
      </w:r>
      <w:r w:rsidRPr="00366660">
        <w:rPr>
          <w:rFonts w:ascii="Arial" w:hAnsi="Arial" w:cs="Arial"/>
          <w:color w:val="000000" w:themeColor="text1"/>
        </w:rPr>
        <w:t xml:space="preserve">de cada caso. </w:t>
      </w:r>
    </w:p>
    <w:p w14:paraId="08B8B9BC" w14:textId="77777777" w:rsidR="003358A3" w:rsidRPr="00366660" w:rsidRDefault="003358A3" w:rsidP="003358A3">
      <w:pPr>
        <w:spacing w:before="120" w:after="120" w:line="276" w:lineRule="auto"/>
        <w:ind w:firstLine="708"/>
        <w:jc w:val="both"/>
        <w:rPr>
          <w:rFonts w:ascii="Arial" w:hAnsi="Arial" w:cs="Arial"/>
          <w:color w:val="000000" w:themeColor="text1"/>
        </w:rPr>
      </w:pPr>
      <w:r w:rsidRPr="00366660">
        <w:rPr>
          <w:rFonts w:ascii="Arial" w:hAnsi="Arial" w:cs="Arial"/>
          <w:color w:val="000000" w:themeColor="text1"/>
        </w:rPr>
        <w:t xml:space="preserve">Para ello, es necesario que la entidad analice los aspectos técnicos, económicos y jurídicos del proceso de contratación, así como también el número de oferentes habilitados. Esto sin dejar de valorar los principios de celeridad y eficacia, propios de la función administrativa, según el artículo 209 de la Constitución Política, los cuales le imponen la obligación de velar porque los procesos administrativos sean tramitados de forma ágil y expedita y teniendo como horizonte el interés general, por supuesto, sin sacrificar las garantías de los implicados en tales actuaciones. </w:t>
      </w:r>
    </w:p>
    <w:p w14:paraId="31BA15E6" w14:textId="77777777" w:rsidR="003358A3" w:rsidRPr="00366660" w:rsidRDefault="003358A3" w:rsidP="003358A3">
      <w:pPr>
        <w:tabs>
          <w:tab w:val="left" w:pos="709"/>
        </w:tabs>
        <w:spacing w:before="120" w:after="120" w:line="276" w:lineRule="auto"/>
        <w:jc w:val="both"/>
        <w:rPr>
          <w:rFonts w:ascii="Arial" w:hAnsi="Arial" w:cs="Arial"/>
          <w:color w:val="000000" w:themeColor="text1"/>
        </w:rPr>
      </w:pPr>
      <w:r w:rsidRPr="00366660">
        <w:rPr>
          <w:rFonts w:ascii="Arial" w:hAnsi="Arial" w:cs="Arial"/>
          <w:color w:val="000000" w:themeColor="text1"/>
        </w:rPr>
        <w:tab/>
        <w:t xml:space="preserve">No existe, pues, un término genérico al que se le puedan atribuir características de razonabilidad y proporcionalidad. Puede pasar, por ejemplo, que un término de dos horas resulte desproporcionado por tratarse de un caso de complejidad muy baja, pero también puede ocurrir que el mismo término sea proporcional y razonable en otro caso, habida cuenta de la complejidad del proceso contractual. En esa medida, como ya se dijo, la razonabilidad y proporcionalidad del término establecido por la entidad debe valorarse en cada caso, de acuerdo </w:t>
      </w:r>
      <w:r>
        <w:rPr>
          <w:rFonts w:ascii="Arial" w:hAnsi="Arial" w:cs="Arial"/>
          <w:color w:val="000000" w:themeColor="text1"/>
        </w:rPr>
        <w:t>con</w:t>
      </w:r>
      <w:r w:rsidRPr="00366660">
        <w:rPr>
          <w:rFonts w:ascii="Arial" w:hAnsi="Arial" w:cs="Arial"/>
          <w:color w:val="000000" w:themeColor="text1"/>
        </w:rPr>
        <w:t xml:space="preserve"> las particularidades del proceso de contratación.</w:t>
      </w:r>
    </w:p>
    <w:p w14:paraId="4AE6DFA9" w14:textId="77777777" w:rsidR="003358A3" w:rsidRDefault="003358A3" w:rsidP="003358A3">
      <w:pPr>
        <w:tabs>
          <w:tab w:val="left" w:pos="709"/>
        </w:tabs>
        <w:spacing w:before="120" w:after="0" w:line="276" w:lineRule="auto"/>
        <w:jc w:val="both"/>
        <w:rPr>
          <w:rFonts w:ascii="Arial" w:hAnsi="Arial" w:cs="Arial"/>
          <w:color w:val="000000" w:themeColor="text1"/>
        </w:rPr>
      </w:pPr>
      <w:r w:rsidRPr="00366660">
        <w:rPr>
          <w:rFonts w:ascii="Arial" w:hAnsi="Arial" w:cs="Arial"/>
          <w:color w:val="000000" w:themeColor="text1"/>
        </w:rPr>
        <w:tab/>
        <w:t xml:space="preserve">De todas formas, por tratarse de un acto discrecional, el establecimiento del término </w:t>
      </w:r>
      <w:r w:rsidRPr="00366660">
        <w:rPr>
          <w:rFonts w:ascii="Arial" w:hAnsi="Arial" w:cs="Arial"/>
          <w:i/>
          <w:iCs/>
          <w:color w:val="000000" w:themeColor="text1"/>
        </w:rPr>
        <w:t xml:space="preserve">sub examine </w:t>
      </w:r>
      <w:r w:rsidRPr="00366660">
        <w:rPr>
          <w:rFonts w:ascii="Arial" w:hAnsi="Arial" w:cs="Arial"/>
          <w:color w:val="000000" w:themeColor="text1"/>
        </w:rPr>
        <w:t>no puede exceder los límites legales, pues, como bien lo señalan los profesores Eduardo García de Enterría y Tomás-Ramón Fernández</w:t>
      </w:r>
      <w:r w:rsidRPr="00366660">
        <w:rPr>
          <w:rStyle w:val="Refdenotaalpie"/>
          <w:rFonts w:ascii="Arial" w:hAnsi="Arial" w:cs="Arial"/>
          <w:color w:val="000000" w:themeColor="text1"/>
        </w:rPr>
        <w:footnoteReference w:id="7"/>
      </w:r>
      <w:r w:rsidRPr="00366660">
        <w:rPr>
          <w:rFonts w:ascii="Arial" w:hAnsi="Arial" w:cs="Arial"/>
          <w:color w:val="000000" w:themeColor="text1"/>
        </w:rPr>
        <w:t xml:space="preserve">, la discrecionalidad </w:t>
      </w:r>
      <w:r>
        <w:rPr>
          <w:rFonts w:ascii="Arial" w:hAnsi="Arial" w:cs="Arial"/>
          <w:color w:val="000000" w:themeColor="text1"/>
        </w:rPr>
        <w:t>“</w:t>
      </w:r>
      <w:r w:rsidRPr="00366660">
        <w:rPr>
          <w:rFonts w:ascii="Arial" w:hAnsi="Arial" w:cs="Arial"/>
          <w:color w:val="000000" w:themeColor="text1"/>
        </w:rPr>
        <w:t>no es una facultad extralegal</w:t>
      </w:r>
      <w:r>
        <w:rPr>
          <w:rFonts w:ascii="Arial" w:hAnsi="Arial" w:cs="Arial"/>
          <w:color w:val="000000" w:themeColor="text1"/>
        </w:rPr>
        <w:t>”</w:t>
      </w:r>
      <w:r w:rsidRPr="00366660">
        <w:rPr>
          <w:rStyle w:val="Refdenotaalpie"/>
          <w:rFonts w:ascii="Arial" w:hAnsi="Arial" w:cs="Arial"/>
          <w:color w:val="000000" w:themeColor="text1"/>
        </w:rPr>
        <w:footnoteReference w:id="8"/>
      </w:r>
      <w:r w:rsidRPr="00366660">
        <w:rPr>
          <w:rFonts w:ascii="Arial" w:hAnsi="Arial" w:cs="Arial"/>
          <w:color w:val="000000" w:themeColor="text1"/>
        </w:rPr>
        <w:t xml:space="preserve">, lo que significa que no puede ejercerse de forma ilimitada </w:t>
      </w:r>
      <w:r w:rsidRPr="00366660">
        <w:rPr>
          <w:rFonts w:ascii="Arial" w:hAnsi="Arial" w:cs="Arial"/>
          <w:color w:val="000000" w:themeColor="text1"/>
        </w:rPr>
        <w:lastRenderedPageBreak/>
        <w:t>y desbordando los causes establecidos en el ordenamiento jurídico. En ese sentido, la discrecionalidad no puede desconocer los límites establecidos por la ley o el reglamento, en este caso, de la norma que habilitó a la entidad para ejercer la potestad discrecional, esto es, el artículo 30, parágrafo 3, inciso 3, de la Ley 80 de 1993, el cual, como se explicó en los párrafos anteriores, impone que las observaciones de los proponentes en relación con las otras ofertas económicas deban ser resueltas en la</w:t>
      </w:r>
      <w:r w:rsidRPr="00366660">
        <w:rPr>
          <w:rFonts w:ascii="Arial" w:hAnsi="Arial" w:cs="Arial"/>
          <w:i/>
          <w:iCs/>
          <w:color w:val="000000" w:themeColor="text1"/>
        </w:rPr>
        <w:t xml:space="preserve"> audiencia efectiva de adjudicación</w:t>
      </w:r>
      <w:r w:rsidRPr="00366660">
        <w:rPr>
          <w:rFonts w:ascii="Arial" w:hAnsi="Arial" w:cs="Arial"/>
          <w:color w:val="000000" w:themeColor="text1"/>
        </w:rPr>
        <w:t>, lo que implica que el término discrecional que fije la entidad para el traslado a los proponentes no podrá exceder, bajo ninguna circunstancia, la duración de esa diligencia. Al respecto, en concepto del 23 de diciembre de 2019 −radicado No. 2201913000009524−, esta Subdirección consideró y argumentó lo siguiente:</w:t>
      </w:r>
    </w:p>
    <w:p w14:paraId="161F3EB3" w14:textId="77777777" w:rsidR="003358A3" w:rsidRPr="00366660" w:rsidRDefault="003358A3" w:rsidP="003358A3">
      <w:pPr>
        <w:tabs>
          <w:tab w:val="left" w:pos="709"/>
        </w:tabs>
        <w:spacing w:after="0" w:line="276" w:lineRule="auto"/>
        <w:jc w:val="both"/>
        <w:rPr>
          <w:rFonts w:ascii="Arial" w:hAnsi="Arial" w:cs="Arial"/>
          <w:color w:val="000000" w:themeColor="text1"/>
        </w:rPr>
      </w:pPr>
    </w:p>
    <w:p w14:paraId="47B50682" w14:textId="77777777" w:rsidR="003358A3" w:rsidRPr="00366660" w:rsidRDefault="003358A3" w:rsidP="003358A3">
      <w:pPr>
        <w:tabs>
          <w:tab w:val="left" w:pos="709"/>
        </w:tabs>
        <w:spacing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5. cuando la ley dispone que sea “durante” la audiencia cuando se evalúa la oferta económica y posteriormente se establezca el orden de elegibilidad de las ofertas, está señalando que son actos y decisiones que deben surtirse dentro de la audiencia pública y no por fuera de ella.</w:t>
      </w:r>
    </w:p>
    <w:p w14:paraId="06C78CE3" w14:textId="77777777" w:rsidR="003358A3" w:rsidRPr="00366660" w:rsidRDefault="003358A3" w:rsidP="003358A3">
      <w:pPr>
        <w:autoSpaceDE w:val="0"/>
        <w:autoSpaceDN w:val="0"/>
        <w:adjustRightInd w:val="0"/>
        <w:spacing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En el contexto expuesto, esta Subdirección considera que es factible, así mismo, realizar una interpretación armónica y sistemática de las dos normas en cita -artículo 30 de la Ley 57 de 1887-, para entender que las reglas de la audiencia de adjudicación del artículo 2.2.1.2.1.1.2. Decreto 1082 de 2015 y las adicionadas por el artículo 1 de la Ley 1882 de 2018, tratándose de licitación pública para celebrar un contrato de obra, pueden compaginarse, en el entendido de que la suspensión de la audiencia de adjudicación procede aun a instancias del momento posterior a la apertura del segundo sobre que contiene la oferta económica, siempre y cuando, dicha suspensión tenga origen en observaciones de los proponentes habilitados que fueron formuladas con ocasión del traslado previsto en la ley para la revisión del aspecto económico de la evaluación, previo a establecer el orden de elegibilidad.</w:t>
      </w:r>
    </w:p>
    <w:p w14:paraId="307483E8" w14:textId="77777777" w:rsidR="003358A3" w:rsidRPr="00366660" w:rsidRDefault="003358A3" w:rsidP="003358A3">
      <w:pPr>
        <w:tabs>
          <w:tab w:val="left" w:pos="709"/>
        </w:tabs>
        <w:spacing w:after="0" w:line="240" w:lineRule="auto"/>
        <w:ind w:left="709" w:right="709"/>
        <w:jc w:val="both"/>
        <w:rPr>
          <w:rFonts w:ascii="Arial" w:hAnsi="Arial" w:cs="Arial"/>
          <w:color w:val="000000" w:themeColor="text1"/>
          <w:sz w:val="21"/>
          <w:szCs w:val="21"/>
        </w:rPr>
      </w:pPr>
      <w:r w:rsidRPr="00366660">
        <w:rPr>
          <w:rFonts w:ascii="Arial" w:hAnsi="Arial" w:cs="Arial"/>
          <w:color w:val="000000" w:themeColor="text1"/>
          <w:sz w:val="21"/>
          <w:szCs w:val="21"/>
        </w:rPr>
        <w:t xml:space="preserve">De igual manera, </w:t>
      </w:r>
      <w:r w:rsidRPr="00366660">
        <w:rPr>
          <w:rFonts w:ascii="Arial" w:hAnsi="Arial" w:cs="Arial"/>
          <w:i/>
          <w:iCs/>
          <w:color w:val="000000" w:themeColor="text1"/>
          <w:sz w:val="21"/>
          <w:szCs w:val="21"/>
        </w:rPr>
        <w:t>la suspensión de la audiencia no puede efectuarse si los actos que se pretenden realizar son los que la ley prevé que ocurran durante la audiencia, como es el caso de la apertura de segundo sobre que contiene la oferta económica, la evaluación según el método previsto en el pliego de condiciones y la definición del orden de elegibilidad de ofertas para adoptar la decisión de adjudicación de la licitación.</w:t>
      </w:r>
      <w:r w:rsidRPr="00366660">
        <w:rPr>
          <w:rFonts w:ascii="Arial" w:hAnsi="Arial" w:cs="Arial"/>
          <w:color w:val="000000" w:themeColor="text1"/>
          <w:sz w:val="21"/>
          <w:szCs w:val="21"/>
        </w:rPr>
        <w:t xml:space="preserve"> (Énfasis fuera de texto)</w:t>
      </w:r>
    </w:p>
    <w:p w14:paraId="00F531E7" w14:textId="77777777" w:rsidR="003358A3" w:rsidRPr="00366660" w:rsidRDefault="003358A3" w:rsidP="003358A3">
      <w:pPr>
        <w:spacing w:after="0" w:line="276" w:lineRule="auto"/>
        <w:ind w:firstLine="708"/>
        <w:jc w:val="both"/>
        <w:rPr>
          <w:rFonts w:ascii="Arial" w:hAnsi="Arial" w:cs="Arial"/>
          <w:color w:val="000000" w:themeColor="text1"/>
        </w:rPr>
      </w:pPr>
    </w:p>
    <w:p w14:paraId="59881D7E" w14:textId="77777777" w:rsidR="003358A3" w:rsidRPr="00366660" w:rsidRDefault="003358A3" w:rsidP="003358A3">
      <w:pPr>
        <w:spacing w:after="120" w:line="276" w:lineRule="auto"/>
        <w:ind w:firstLine="708"/>
        <w:jc w:val="both"/>
        <w:rPr>
          <w:rFonts w:ascii="Arial" w:hAnsi="Arial" w:cs="Arial"/>
          <w:color w:val="000000" w:themeColor="text1"/>
        </w:rPr>
      </w:pPr>
      <w:r w:rsidRPr="00366660">
        <w:rPr>
          <w:rFonts w:ascii="Arial" w:hAnsi="Arial" w:cs="Arial"/>
          <w:color w:val="000000" w:themeColor="text1"/>
        </w:rPr>
        <w:t xml:space="preserve">Nótese que, según el criterio expuesto previamente por la Agencia Nacional de Contratación Pública, la </w:t>
      </w:r>
      <w:r w:rsidRPr="00366660">
        <w:rPr>
          <w:rFonts w:ascii="Arial" w:hAnsi="Arial" w:cs="Arial"/>
          <w:i/>
          <w:iCs/>
          <w:color w:val="000000" w:themeColor="text1"/>
        </w:rPr>
        <w:t>audiencia de adjudicación</w:t>
      </w:r>
      <w:r w:rsidRPr="00366660">
        <w:rPr>
          <w:rFonts w:ascii="Arial" w:hAnsi="Arial" w:cs="Arial"/>
          <w:color w:val="000000" w:themeColor="text1"/>
        </w:rPr>
        <w:t xml:space="preserve"> no puede suspender</w:t>
      </w:r>
      <w:r>
        <w:rPr>
          <w:rFonts w:ascii="Arial" w:hAnsi="Arial" w:cs="Arial"/>
          <w:color w:val="000000" w:themeColor="text1"/>
        </w:rPr>
        <w:t>se</w:t>
      </w:r>
      <w:r w:rsidRPr="00366660">
        <w:rPr>
          <w:rFonts w:ascii="Arial" w:hAnsi="Arial" w:cs="Arial"/>
          <w:color w:val="000000" w:themeColor="text1"/>
        </w:rPr>
        <w:t xml:space="preserve">, para efectos de realizar una actuación que debe realizarse durante la audiencia, por ejemplo, si el acto que se pretende realizar es la definición del orden de elegibilidad. Tampoco puede hacerse para </w:t>
      </w:r>
      <w:r w:rsidRPr="00366660">
        <w:rPr>
          <w:rFonts w:ascii="Arial" w:hAnsi="Arial" w:cs="Arial"/>
          <w:color w:val="000000" w:themeColor="text1"/>
        </w:rPr>
        <w:lastRenderedPageBreak/>
        <w:t>darle traslado a los proponentes para que presenten sus observaciones frente a las propuestas económicas, las cuales se deben presentar durante el curso de la audiencia.</w:t>
      </w:r>
    </w:p>
    <w:p w14:paraId="55E05BEA" w14:textId="77777777" w:rsidR="003358A3" w:rsidRPr="00366660" w:rsidRDefault="003358A3" w:rsidP="003358A3">
      <w:pPr>
        <w:pStyle w:val="Prrafodelista"/>
        <w:spacing w:line="276" w:lineRule="auto"/>
        <w:ind w:left="0" w:right="51" w:firstLine="708"/>
        <w:contextualSpacing w:val="0"/>
        <w:jc w:val="both"/>
        <w:rPr>
          <w:rFonts w:ascii="Arial" w:hAnsi="Arial" w:cs="Arial"/>
          <w:color w:val="000000" w:themeColor="text1"/>
        </w:rPr>
      </w:pPr>
      <w:r w:rsidRPr="00366660">
        <w:rPr>
          <w:rFonts w:ascii="Arial" w:hAnsi="Arial" w:cs="Arial"/>
          <w:color w:val="000000" w:themeColor="text1"/>
        </w:rPr>
        <w:t xml:space="preserve">Por lo demás, se debe tener en cuenta que, en virtud de principio de economía, consagrado en el artículo 25 de la Ley 80 de 1993, el proceso de contratación estatal debe adelantarse dentro de unas etapas determinadas y respetando los términos procesales establecidos por la ley o el reglamento o los que determine la entidad contratante. Además, en virtud de los principios de preclusión y perentoriedad, establecidos en el inciso primero </w:t>
      </w:r>
      <w:r w:rsidRPr="00366660">
        <w:rPr>
          <w:rFonts w:ascii="Arial" w:hAnsi="Arial" w:cs="Arial"/>
          <w:i/>
          <w:iCs/>
          <w:color w:val="000000" w:themeColor="text1"/>
        </w:rPr>
        <w:t>ibidem</w:t>
      </w:r>
      <w:r w:rsidRPr="00366660">
        <w:rPr>
          <w:rFonts w:ascii="Arial" w:hAnsi="Arial" w:cs="Arial"/>
          <w:color w:val="000000" w:themeColor="text1"/>
        </w:rPr>
        <w:t>, las partes del proceso de contratación, así como los funcionarios públicos, se encuentran obligados a respetar y acatar tales etapas y términos, sin que puedan desconocerlos o pasarlos por alto.</w:t>
      </w:r>
    </w:p>
    <w:p w14:paraId="1B330FF4" w14:textId="77777777" w:rsidR="003358A3" w:rsidRPr="00366660" w:rsidRDefault="003358A3" w:rsidP="003358A3">
      <w:pPr>
        <w:pStyle w:val="Prrafodelista"/>
        <w:spacing w:line="276" w:lineRule="auto"/>
        <w:ind w:left="0" w:right="51"/>
        <w:contextualSpacing w:val="0"/>
        <w:jc w:val="both"/>
        <w:rPr>
          <w:rFonts w:ascii="Arial" w:hAnsi="Arial" w:cs="Arial"/>
          <w:color w:val="000000" w:themeColor="text1"/>
        </w:rPr>
      </w:pPr>
    </w:p>
    <w:p w14:paraId="10F7C55B" w14:textId="77777777" w:rsidR="003358A3" w:rsidRPr="00366660" w:rsidRDefault="003358A3" w:rsidP="003358A3">
      <w:pPr>
        <w:spacing w:after="0" w:line="276" w:lineRule="auto"/>
        <w:jc w:val="both"/>
        <w:rPr>
          <w:rFonts w:ascii="Arial" w:eastAsia="Calibri" w:hAnsi="Arial" w:cs="Arial"/>
          <w:b/>
          <w:bCs/>
          <w:color w:val="000000"/>
          <w:lang w:eastAsia="en-GB"/>
        </w:rPr>
      </w:pPr>
      <w:r w:rsidRPr="00366660">
        <w:rPr>
          <w:rFonts w:ascii="Arial" w:eastAsia="Calibri" w:hAnsi="Arial" w:cs="Arial"/>
          <w:b/>
          <w:bCs/>
          <w:color w:val="000000"/>
          <w:lang w:eastAsia="en-GB"/>
        </w:rPr>
        <w:t>2.2. Capacidad residual como requisito habilitante</w:t>
      </w:r>
    </w:p>
    <w:p w14:paraId="0C5AF300" w14:textId="77777777" w:rsidR="003358A3" w:rsidRPr="00366660" w:rsidRDefault="003358A3" w:rsidP="003358A3">
      <w:pPr>
        <w:spacing w:after="0" w:line="276" w:lineRule="auto"/>
        <w:jc w:val="both"/>
        <w:rPr>
          <w:rFonts w:ascii="Arial" w:eastAsia="Calibri" w:hAnsi="Arial" w:cs="Arial"/>
          <w:b/>
          <w:bCs/>
          <w:color w:val="000000"/>
          <w:lang w:eastAsia="en-GB"/>
        </w:rPr>
      </w:pPr>
    </w:p>
    <w:p w14:paraId="182910A8" w14:textId="77777777" w:rsidR="003358A3" w:rsidRPr="00366660" w:rsidRDefault="003358A3" w:rsidP="003358A3">
      <w:pPr>
        <w:spacing w:line="276" w:lineRule="auto"/>
        <w:jc w:val="both"/>
        <w:rPr>
          <w:rFonts w:ascii="Arial" w:hAnsi="Arial" w:cs="Arial"/>
          <w:color w:val="000000" w:themeColor="text1"/>
          <w:lang w:val="es-MX"/>
        </w:rPr>
      </w:pPr>
      <w:r w:rsidRPr="00366660">
        <w:rPr>
          <w:rFonts w:ascii="Arial" w:hAnsi="Arial" w:cs="Arial"/>
          <w:color w:val="000000" w:themeColor="text1"/>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366660">
        <w:rPr>
          <w:rFonts w:ascii="Arial" w:hAnsi="Arial" w:cs="Arial"/>
          <w:color w:val="000000" w:themeColor="text1"/>
          <w:szCs w:val="20"/>
          <w:vertAlign w:val="superscript"/>
          <w:lang w:val="es-MX"/>
        </w:rPr>
        <w:footnoteReference w:id="9"/>
      </w:r>
      <w:r w:rsidRPr="00366660">
        <w:rPr>
          <w:rFonts w:ascii="Arial" w:hAnsi="Arial" w:cs="Arial"/>
          <w:color w:val="000000" w:themeColor="text1"/>
          <w:lang w:val="es-MX"/>
        </w:rPr>
        <w:t xml:space="preserve">. Por su parte, el Consejo de Estado ha definido la capacidad residual como </w:t>
      </w:r>
      <w:r>
        <w:rPr>
          <w:rFonts w:ascii="Arial" w:hAnsi="Arial" w:cs="Arial"/>
          <w:color w:val="000000" w:themeColor="text1"/>
          <w:lang w:val="es-MX"/>
        </w:rPr>
        <w:t>“</w:t>
      </w:r>
      <w:r w:rsidRPr="00366660">
        <w:rPr>
          <w:rFonts w:ascii="Arial" w:hAnsi="Arial" w:cs="Arial"/>
          <w:color w:val="000000" w:themeColor="text1"/>
          <w:lang w:val="es-MX"/>
        </w:rPr>
        <w:t>la diferencia que existe entre el potencial de contratación que se tiene y los compromisos que haya adquirido y que se encuentren en ejecución, para la fecha de presentación de la oferta</w:t>
      </w:r>
      <w:r>
        <w:rPr>
          <w:rFonts w:ascii="Arial" w:hAnsi="Arial" w:cs="Arial"/>
          <w:color w:val="000000" w:themeColor="text1"/>
          <w:lang w:val="es-MX"/>
        </w:rPr>
        <w:t>”</w:t>
      </w:r>
      <w:r w:rsidRPr="00366660">
        <w:rPr>
          <w:rFonts w:ascii="Arial" w:eastAsia="Calibri" w:hAnsi="Arial" w:cs="Arial"/>
          <w:color w:val="000000" w:themeColor="text1"/>
          <w:vertAlign w:val="superscript"/>
          <w:lang w:val="es-MX"/>
        </w:rPr>
        <w:footnoteReference w:id="10"/>
      </w:r>
      <w:r w:rsidRPr="00366660">
        <w:rPr>
          <w:rFonts w:ascii="Arial" w:hAnsi="Arial" w:cs="Arial"/>
          <w:color w:val="000000" w:themeColor="text1"/>
          <w:lang w:val="es-MX"/>
        </w:rPr>
        <w:t>.</w:t>
      </w:r>
    </w:p>
    <w:p w14:paraId="7A70C5B5" w14:textId="77777777" w:rsidR="003358A3" w:rsidRPr="00366660" w:rsidRDefault="003358A3" w:rsidP="003358A3">
      <w:pPr>
        <w:spacing w:before="120" w:after="0" w:line="276" w:lineRule="auto"/>
        <w:ind w:firstLine="708"/>
        <w:jc w:val="both"/>
        <w:rPr>
          <w:rFonts w:ascii="Arial" w:hAnsi="Arial" w:cs="Arial"/>
          <w:color w:val="000000" w:themeColor="text1"/>
          <w:lang w:val="es-MX"/>
        </w:rPr>
      </w:pPr>
      <w:r w:rsidRPr="00366660">
        <w:rPr>
          <w:rFonts w:ascii="Arial" w:hAnsi="Arial"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535DB84C" w14:textId="77777777" w:rsidR="003358A3" w:rsidRPr="00366660" w:rsidRDefault="003358A3" w:rsidP="003358A3">
      <w:pPr>
        <w:spacing w:after="0" w:line="276" w:lineRule="auto"/>
        <w:ind w:firstLine="708"/>
        <w:jc w:val="both"/>
        <w:rPr>
          <w:rFonts w:ascii="Arial" w:hAnsi="Arial" w:cs="Arial"/>
          <w:color w:val="000000" w:themeColor="text1"/>
          <w:lang w:val="es-MX"/>
        </w:rPr>
      </w:pPr>
    </w:p>
    <w:p w14:paraId="4D742C14" w14:textId="77777777" w:rsidR="003358A3" w:rsidRPr="00366660" w:rsidRDefault="003358A3" w:rsidP="003358A3">
      <w:pPr>
        <w:spacing w:after="120" w:line="240" w:lineRule="auto"/>
        <w:ind w:left="709" w:right="709"/>
        <w:jc w:val="both"/>
        <w:rPr>
          <w:rFonts w:ascii="Arial" w:eastAsia="Calibri" w:hAnsi="Arial" w:cs="Arial"/>
          <w:color w:val="000000" w:themeColor="text1"/>
          <w:sz w:val="21"/>
          <w:szCs w:val="21"/>
          <w:lang w:val="es-MX"/>
        </w:rPr>
      </w:pPr>
      <w:r w:rsidRPr="00366660">
        <w:rPr>
          <w:rFonts w:ascii="Arial" w:eastAsia="Calibri" w:hAnsi="Arial" w:cs="Arial"/>
          <w:color w:val="000000" w:themeColor="text1"/>
          <w:sz w:val="21"/>
          <w:szCs w:val="21"/>
          <w:lang w:val="es-MX"/>
        </w:rPr>
        <w:lastRenderedPageBreak/>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7CCBC764" w14:textId="77777777" w:rsidR="003358A3" w:rsidRPr="00366660" w:rsidRDefault="003358A3" w:rsidP="003358A3">
      <w:pPr>
        <w:spacing w:after="0" w:line="240" w:lineRule="auto"/>
        <w:ind w:left="709" w:right="709"/>
        <w:jc w:val="both"/>
        <w:rPr>
          <w:rFonts w:ascii="Arial" w:eastAsia="Calibri" w:hAnsi="Arial" w:cs="Arial"/>
          <w:color w:val="000000" w:themeColor="text1"/>
          <w:sz w:val="21"/>
          <w:szCs w:val="21"/>
          <w:lang w:val="es-MX"/>
        </w:rPr>
      </w:pPr>
      <w:r w:rsidRPr="00366660">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30AD3626" w14:textId="77777777" w:rsidR="003358A3" w:rsidRPr="00366660" w:rsidRDefault="003358A3" w:rsidP="003358A3">
      <w:pPr>
        <w:spacing w:after="0" w:line="276" w:lineRule="auto"/>
        <w:ind w:right="709"/>
        <w:jc w:val="both"/>
        <w:rPr>
          <w:rFonts w:ascii="Arial" w:eastAsia="Calibri" w:hAnsi="Arial" w:cs="Arial"/>
          <w:color w:val="000000" w:themeColor="text1"/>
          <w:lang w:val="es-MX"/>
        </w:rPr>
      </w:pPr>
    </w:p>
    <w:p w14:paraId="00031C29" w14:textId="77777777" w:rsidR="003358A3" w:rsidRPr="00366660" w:rsidRDefault="003358A3" w:rsidP="003358A3">
      <w:pPr>
        <w:spacing w:line="276" w:lineRule="auto"/>
        <w:ind w:firstLine="709"/>
        <w:jc w:val="both"/>
        <w:rPr>
          <w:rFonts w:ascii="Arial" w:eastAsia="Calibri" w:hAnsi="Arial" w:cs="Arial"/>
          <w:color w:val="000000" w:themeColor="text1"/>
        </w:rPr>
      </w:pPr>
      <w:r w:rsidRPr="00366660">
        <w:rPr>
          <w:rFonts w:ascii="Arial" w:eastAsia="Calibri" w:hAnsi="Arial" w:cs="Arial"/>
          <w:color w:val="000000" w:themeColor="text1"/>
          <w:lang w:val="es-MX"/>
        </w:rPr>
        <w:t xml:space="preserve">De acuerdo con </w:t>
      </w:r>
      <w:r w:rsidRPr="00366660">
        <w:rPr>
          <w:rFonts w:ascii="Arial" w:eastAsia="Calibri" w:hAnsi="Arial" w:cs="Arial"/>
          <w:color w:val="000000" w:themeColor="text1"/>
        </w:rPr>
        <w:t xml:space="preserve">el artículo 72 de la Ley 1682 de 2013, la </w:t>
      </w:r>
      <w:r>
        <w:rPr>
          <w:rFonts w:ascii="Arial" w:eastAsia="Calibri" w:hAnsi="Arial" w:cs="Arial"/>
          <w:color w:val="000000" w:themeColor="text1"/>
        </w:rPr>
        <w:t>“</w:t>
      </w:r>
      <w:r w:rsidRPr="00366660">
        <w:rPr>
          <w:rFonts w:ascii="Arial" w:eastAsia="Calibri" w:hAnsi="Arial" w:cs="Arial"/>
          <w:color w:val="000000" w:themeColor="text1"/>
        </w:rPr>
        <w:t>capacidad residual de contratación cuando se realicen contratos de obra pública se obtendrá de sustraer de la capacidad de contratación, el saldo del valor de los contratos en ejecución</w:t>
      </w:r>
      <w:r>
        <w:rPr>
          <w:rFonts w:ascii="Arial" w:eastAsia="Calibri" w:hAnsi="Arial" w:cs="Arial"/>
          <w:color w:val="000000" w:themeColor="text1"/>
        </w:rPr>
        <w:t>”</w:t>
      </w:r>
      <w:r w:rsidRPr="00366660">
        <w:rPr>
          <w:rFonts w:ascii="Arial" w:eastAsia="Calibri" w:hAnsi="Arial" w:cs="Arial"/>
          <w:color w:val="000000" w:themeColor="text1"/>
        </w:rPr>
        <w:t xml:space="preserve">. La </w:t>
      </w:r>
      <w:r>
        <w:rPr>
          <w:rFonts w:ascii="Arial" w:eastAsia="Calibri" w:hAnsi="Arial" w:cs="Arial"/>
          <w:color w:val="000000" w:themeColor="text1"/>
        </w:rPr>
        <w:t>“</w:t>
      </w:r>
      <w:r w:rsidRPr="00366660">
        <w:rPr>
          <w:rFonts w:ascii="Arial" w:eastAsia="Calibri" w:hAnsi="Arial" w:cs="Arial"/>
          <w:color w:val="000000" w:themeColor="text1"/>
        </w:rPr>
        <w:t>capacidad de contratación</w:t>
      </w:r>
      <w:r>
        <w:rPr>
          <w:rFonts w:ascii="Arial" w:eastAsia="Calibri" w:hAnsi="Arial" w:cs="Arial"/>
          <w:color w:val="000000" w:themeColor="text1"/>
        </w:rPr>
        <w:t>”</w:t>
      </w:r>
      <w:r w:rsidRPr="00366660">
        <w:rPr>
          <w:rFonts w:ascii="Arial" w:eastAsia="Calibri" w:hAnsi="Arial" w:cs="Arial"/>
          <w:color w:val="000000" w:themeColor="text1"/>
        </w:rPr>
        <w:t xml:space="preserve">, según se desprende de la misma disposición, </w:t>
      </w:r>
      <w:r>
        <w:rPr>
          <w:rFonts w:ascii="Arial" w:eastAsia="Calibri" w:hAnsi="Arial" w:cs="Arial"/>
          <w:color w:val="000000" w:themeColor="text1"/>
        </w:rPr>
        <w:t>“</w:t>
      </w:r>
      <w:r w:rsidRPr="00366660">
        <w:rPr>
          <w:rFonts w:ascii="Arial" w:eastAsia="Calibri" w:hAnsi="Arial" w:cs="Arial"/>
          <w:color w:val="000000" w:themeColor="text1"/>
        </w:rPr>
        <w:t>[…] se deberá calcular mediante la evaluación de los siguientes factores: Experiencia (E), Capacidad Financiera (CF), Capacidad Técnica (CT), y Capacidad de Organización (CO)</w:t>
      </w:r>
      <w:r>
        <w:rPr>
          <w:rFonts w:ascii="Arial" w:eastAsia="Calibri" w:hAnsi="Arial" w:cs="Arial"/>
          <w:color w:val="000000" w:themeColor="text1"/>
        </w:rPr>
        <w:t>”</w:t>
      </w:r>
      <w:r w:rsidRPr="00366660">
        <w:rPr>
          <w:rFonts w:ascii="Arial" w:eastAsia="Calibri" w:hAnsi="Arial" w:cs="Arial"/>
          <w:color w:val="000000" w:themeColor="text1"/>
        </w:rPr>
        <w:t>.</w:t>
      </w:r>
    </w:p>
    <w:p w14:paraId="125C07E5" w14:textId="77777777" w:rsidR="003358A3" w:rsidRPr="00366660" w:rsidRDefault="003358A3" w:rsidP="003358A3">
      <w:pPr>
        <w:spacing w:before="120" w:after="120" w:line="276" w:lineRule="auto"/>
        <w:ind w:firstLine="709"/>
        <w:jc w:val="both"/>
        <w:rPr>
          <w:rFonts w:ascii="Arial" w:eastAsia="Calibri" w:hAnsi="Arial" w:cs="Arial"/>
          <w:color w:val="000000" w:themeColor="text1"/>
          <w:lang w:val="es-MX"/>
        </w:rPr>
      </w:pPr>
      <w:r w:rsidRPr="00366660">
        <w:rPr>
          <w:rFonts w:ascii="Arial" w:eastAsia="Calibri" w:hAnsi="Arial" w:cs="Arial"/>
          <w:color w:val="000000" w:themeColor="text1"/>
          <w:lang w:val="es-MX"/>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366660">
        <w:rPr>
          <w:rFonts w:ascii="Arial" w:eastAsia="Calibri" w:hAnsi="Arial" w:cs="Arial"/>
          <w:color w:val="000000" w:themeColor="text1"/>
          <w:lang w:val="es-MX"/>
        </w:rPr>
        <w:t>ii</w:t>
      </w:r>
      <w:proofErr w:type="spellEnd"/>
      <w:r w:rsidRPr="00366660">
        <w:rPr>
          <w:rFonts w:ascii="Arial" w:eastAsia="Calibri" w:hAnsi="Arial" w:cs="Arial"/>
          <w:color w:val="000000" w:themeColor="text1"/>
          <w:lang w:val="es-MX"/>
        </w:rPr>
        <w:t xml:space="preserve">) Capacidad Financiera –CF–, </w:t>
      </w:r>
      <w:proofErr w:type="spellStart"/>
      <w:r w:rsidRPr="00366660">
        <w:rPr>
          <w:rFonts w:ascii="Arial" w:eastAsia="Calibri" w:hAnsi="Arial" w:cs="Arial"/>
          <w:color w:val="000000" w:themeColor="text1"/>
          <w:lang w:val="es-MX"/>
        </w:rPr>
        <w:t>iii</w:t>
      </w:r>
      <w:proofErr w:type="spellEnd"/>
      <w:r w:rsidRPr="00366660">
        <w:rPr>
          <w:rFonts w:ascii="Arial" w:eastAsia="Calibri" w:hAnsi="Arial" w:cs="Arial"/>
          <w:color w:val="000000" w:themeColor="text1"/>
          <w:lang w:val="es-MX"/>
        </w:rPr>
        <w:t xml:space="preserve">) Capacidad Técnica –CT–, </w:t>
      </w:r>
      <w:proofErr w:type="spellStart"/>
      <w:r w:rsidRPr="00366660">
        <w:rPr>
          <w:rFonts w:ascii="Arial" w:eastAsia="Calibri" w:hAnsi="Arial" w:cs="Arial"/>
          <w:color w:val="000000" w:themeColor="text1"/>
          <w:lang w:val="es-MX"/>
        </w:rPr>
        <w:t>iv</w:t>
      </w:r>
      <w:proofErr w:type="spellEnd"/>
      <w:r w:rsidRPr="00366660">
        <w:rPr>
          <w:rFonts w:ascii="Arial" w:eastAsia="Calibri" w:hAnsi="Arial" w:cs="Arial"/>
          <w:color w:val="000000" w:themeColor="text1"/>
          <w:lang w:val="es-MX"/>
        </w:rPr>
        <w:t xml:space="preserve">) Capacidad de Organización y v) los Saldos de los Contratos en Ejecución –SCE–. </w:t>
      </w:r>
    </w:p>
    <w:p w14:paraId="6FA79C1B" w14:textId="77777777" w:rsidR="003358A3" w:rsidRPr="00366660" w:rsidRDefault="003358A3" w:rsidP="003358A3">
      <w:pPr>
        <w:spacing w:before="120" w:after="120" w:line="276" w:lineRule="auto"/>
        <w:ind w:firstLine="709"/>
        <w:jc w:val="both"/>
        <w:rPr>
          <w:rFonts w:ascii="Arial" w:hAnsi="Arial" w:cs="Arial"/>
          <w:szCs w:val="20"/>
          <w:lang w:val="es-MX"/>
        </w:rPr>
      </w:pPr>
      <w:r w:rsidRPr="00366660">
        <w:rPr>
          <w:rFonts w:ascii="Arial" w:eastAsia="Calibri" w:hAnsi="Arial" w:cs="Arial"/>
          <w:color w:val="000000" w:themeColor="text1"/>
          <w:lang w:val="es-MX"/>
        </w:rPr>
        <w:t xml:space="preserve">De igual manera, </w:t>
      </w:r>
      <w:r w:rsidRPr="00366660">
        <w:rPr>
          <w:rFonts w:ascii="Arial" w:hAnsi="Arial" w:cs="Arial"/>
          <w:szCs w:val="20"/>
          <w:lang w:val="es-MX"/>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366660">
        <w:rPr>
          <w:rFonts w:ascii="Arial" w:hAnsi="Arial" w:cs="Arial"/>
          <w:szCs w:val="20"/>
          <w:lang w:val="es-MX"/>
        </w:rPr>
        <w:t>ii</w:t>
      </w:r>
      <w:proofErr w:type="spellEnd"/>
      <w:r w:rsidRPr="00366660">
        <w:rPr>
          <w:rFonts w:ascii="Arial" w:hAnsi="Arial" w:cs="Arial"/>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366660">
        <w:rPr>
          <w:rFonts w:ascii="Arial" w:hAnsi="Arial" w:cs="Arial"/>
          <w:szCs w:val="20"/>
          <w:lang w:val="es-MX"/>
        </w:rPr>
        <w:t>iii</w:t>
      </w:r>
      <w:proofErr w:type="spellEnd"/>
      <w:r w:rsidRPr="00366660">
        <w:rPr>
          <w:rFonts w:ascii="Arial" w:hAnsi="Arial" w:cs="Arial"/>
          <w:szCs w:val="20"/>
          <w:lang w:val="es-MX"/>
        </w:rPr>
        <w:t>) el balance general auditado del año inmediatamente anterior y estado de resultados auditado del año en que haya obtenido el mayor ingreso operacional en los últimos cinco (5) años</w:t>
      </w:r>
      <w:r w:rsidRPr="00366660">
        <w:rPr>
          <w:rFonts w:ascii="Arial" w:hAnsi="Arial" w:cs="Arial"/>
          <w:szCs w:val="20"/>
          <w:vertAlign w:val="superscript"/>
          <w:lang w:val="es-MX"/>
        </w:rPr>
        <w:footnoteReference w:id="11"/>
      </w:r>
      <w:r w:rsidRPr="00366660">
        <w:rPr>
          <w:rFonts w:ascii="Arial" w:hAnsi="Arial" w:cs="Arial"/>
          <w:szCs w:val="20"/>
          <w:lang w:val="es-MX"/>
        </w:rPr>
        <w:t xml:space="preserve">. </w:t>
      </w:r>
    </w:p>
    <w:p w14:paraId="0C1C9D27" w14:textId="77777777" w:rsidR="003358A3" w:rsidRPr="00366660" w:rsidRDefault="003358A3" w:rsidP="003358A3">
      <w:pPr>
        <w:spacing w:before="120" w:after="120" w:line="276" w:lineRule="auto"/>
        <w:ind w:firstLine="709"/>
        <w:jc w:val="both"/>
        <w:rPr>
          <w:rFonts w:ascii="Arial" w:eastAsia="Calibri" w:hAnsi="Arial" w:cs="Arial"/>
          <w:bCs/>
          <w:color w:val="000000" w:themeColor="text1"/>
        </w:rPr>
      </w:pPr>
      <w:r w:rsidRPr="00366660">
        <w:rPr>
          <w:rFonts w:ascii="Arial" w:hAnsi="Arial" w:cs="Arial"/>
          <w:color w:val="000000" w:themeColor="text1"/>
          <w:lang w:val="es-MX"/>
        </w:rPr>
        <w:lastRenderedPageBreak/>
        <w:t xml:space="preserve">De conformidad con lo expuesto, la Agencia Nacional para la Contratación Pública – Colombia Compra Eficiente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w:t>
      </w:r>
      <w:r>
        <w:rPr>
          <w:rFonts w:ascii="Arial" w:hAnsi="Arial" w:cs="Arial"/>
          <w:color w:val="000000" w:themeColor="text1"/>
          <w:lang w:val="es-MX"/>
        </w:rPr>
        <w:t>“</w:t>
      </w:r>
      <w:r w:rsidRPr="00366660">
        <w:rPr>
          <w:rFonts w:ascii="Arial" w:hAnsi="Arial" w:cs="Arial"/>
          <w:color w:val="000000" w:themeColor="text1"/>
          <w:lang w:val="es-MX"/>
        </w:rPr>
        <w:t>CRPC</w:t>
      </w:r>
      <w:r>
        <w:rPr>
          <w:rFonts w:ascii="Arial" w:hAnsi="Arial" w:cs="Arial"/>
          <w:color w:val="000000" w:themeColor="text1"/>
          <w:lang w:val="es-MX"/>
        </w:rPr>
        <w:t>”</w:t>
      </w:r>
      <w:r w:rsidRPr="00366660">
        <w:rPr>
          <w:rFonts w:ascii="Arial" w:hAnsi="Arial" w:cs="Arial"/>
          <w:color w:val="000000" w:themeColor="text1"/>
          <w:lang w:val="es-MX"/>
        </w:rPr>
        <w:t xml:space="preserve"> y, segundo, determinar si los proponentes cumplen con la capacidad residual del proceso de contratación, teniendo en cuenta la información mencionada en el párrafo precedente.</w:t>
      </w:r>
    </w:p>
    <w:p w14:paraId="40C59B3D" w14:textId="77777777" w:rsidR="003358A3" w:rsidRPr="00366660" w:rsidRDefault="003358A3" w:rsidP="003358A3">
      <w:pPr>
        <w:spacing w:line="276" w:lineRule="auto"/>
        <w:ind w:firstLine="709"/>
        <w:jc w:val="both"/>
        <w:rPr>
          <w:rFonts w:ascii="Arial" w:eastAsia="Calibri" w:hAnsi="Arial" w:cs="Arial"/>
          <w:bCs/>
          <w:color w:val="000000" w:themeColor="text1"/>
        </w:rPr>
      </w:pPr>
      <w:r w:rsidRPr="00366660">
        <w:rPr>
          <w:rFonts w:ascii="Arial" w:eastAsia="Calibri" w:hAnsi="Arial" w:cs="Arial"/>
          <w:bCs/>
          <w:color w:val="000000" w:themeColor="text1"/>
        </w:rPr>
        <w:t xml:space="preserve">En relación con el primer aspecto, sobre la determinación de la capacidad residual del proceso de contratación </w:t>
      </w:r>
      <w:r>
        <w:rPr>
          <w:rFonts w:ascii="Arial" w:eastAsia="Calibri" w:hAnsi="Arial" w:cs="Arial"/>
          <w:bCs/>
          <w:color w:val="000000" w:themeColor="text1"/>
        </w:rPr>
        <w:t>“</w:t>
      </w:r>
      <w:r w:rsidRPr="00366660">
        <w:rPr>
          <w:rFonts w:ascii="Arial" w:eastAsia="Calibri" w:hAnsi="Arial" w:cs="Arial"/>
          <w:bCs/>
          <w:color w:val="000000" w:themeColor="text1"/>
        </w:rPr>
        <w:t>CRPC</w:t>
      </w:r>
      <w:r>
        <w:rPr>
          <w:rFonts w:ascii="Arial" w:eastAsia="Calibri" w:hAnsi="Arial" w:cs="Arial"/>
          <w:bCs/>
          <w:color w:val="000000" w:themeColor="text1"/>
        </w:rPr>
        <w:t>”</w:t>
      </w:r>
      <w:r w:rsidRPr="00366660">
        <w:rPr>
          <w:rFonts w:ascii="Arial" w:eastAsia="Calibri" w:hAnsi="Arial" w:cs="Arial"/>
          <w:bCs/>
          <w:color w:val="000000" w:themeColor="text1"/>
        </w:rPr>
        <w:t>,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77E1443B" w14:textId="77777777" w:rsidR="003358A3" w:rsidRPr="00366660" w:rsidRDefault="003358A3" w:rsidP="003358A3">
      <w:pPr>
        <w:spacing w:before="120" w:after="0" w:line="276" w:lineRule="auto"/>
        <w:ind w:firstLine="709"/>
        <w:jc w:val="both"/>
        <w:rPr>
          <w:rFonts w:ascii="Arial" w:eastAsia="Calibri" w:hAnsi="Arial" w:cs="Arial"/>
          <w:bCs/>
          <w:color w:val="000000" w:themeColor="text1"/>
        </w:rPr>
      </w:pPr>
      <w:r w:rsidRPr="00366660">
        <w:rPr>
          <w:rFonts w:ascii="Arial" w:eastAsia="Calibri" w:hAnsi="Arial" w:cs="Arial"/>
          <w:bCs/>
          <w:color w:val="000000" w:themeColor="text1"/>
        </w:rPr>
        <w:t xml:space="preserve">En cuanto al segundo aspecto, sobre la validación de </w:t>
      </w:r>
      <w:bookmarkStart w:id="6" w:name="_Hlk68683272"/>
      <w:r w:rsidRPr="00366660">
        <w:rPr>
          <w:rFonts w:ascii="Arial" w:eastAsia="Calibri" w:hAnsi="Arial" w:cs="Arial"/>
          <w:bCs/>
          <w:color w:val="000000" w:themeColor="text1"/>
        </w:rPr>
        <w:t>que cada proponente cumpla con la CRPC</w:t>
      </w:r>
      <w:bookmarkEnd w:id="6"/>
      <w:r w:rsidRPr="00366660">
        <w:rPr>
          <w:rFonts w:ascii="Arial" w:eastAsia="Calibri" w:hAnsi="Arial" w:cs="Arial"/>
          <w:bCs/>
          <w:color w:val="000000" w:themeColor="text1"/>
        </w:rPr>
        <w:t xml:space="preserve">, la entidad pública debe verificar que la capacidad residual del proponente </w:t>
      </w:r>
      <w:r>
        <w:rPr>
          <w:rFonts w:ascii="Arial" w:eastAsia="Calibri" w:hAnsi="Arial" w:cs="Arial"/>
          <w:bCs/>
          <w:color w:val="000000" w:themeColor="text1"/>
        </w:rPr>
        <w:t>“</w:t>
      </w:r>
      <w:r w:rsidRPr="00366660">
        <w:rPr>
          <w:rFonts w:ascii="Arial" w:eastAsia="Calibri" w:hAnsi="Arial" w:cs="Arial"/>
          <w:bCs/>
          <w:color w:val="000000" w:themeColor="text1"/>
        </w:rPr>
        <w:t>CRP</w:t>
      </w:r>
      <w:r>
        <w:rPr>
          <w:rFonts w:ascii="Arial" w:eastAsia="Calibri" w:hAnsi="Arial" w:cs="Arial"/>
          <w:bCs/>
          <w:color w:val="000000" w:themeColor="text1"/>
        </w:rPr>
        <w:t>”</w:t>
      </w:r>
      <w:r w:rsidRPr="00366660">
        <w:rPr>
          <w:rFonts w:ascii="Arial" w:eastAsia="Calibri" w:hAnsi="Arial" w:cs="Arial"/>
          <w:bCs/>
          <w:color w:val="000000" w:themeColor="text1"/>
        </w:rPr>
        <w:t xml:space="preserve"> sea igual o superior a la capacidad referida en el párrafo precedente. De todas formas, previamente debe establecer la CRP, con fundamento en los siguientes factores: i) experiencia </w:t>
      </w:r>
      <w:r>
        <w:rPr>
          <w:rFonts w:ascii="Arial" w:eastAsia="Calibri" w:hAnsi="Arial" w:cs="Arial"/>
          <w:bCs/>
          <w:color w:val="000000" w:themeColor="text1"/>
        </w:rPr>
        <w:t>“</w:t>
      </w:r>
      <w:r w:rsidRPr="00366660">
        <w:rPr>
          <w:rFonts w:ascii="Arial" w:eastAsia="Calibri" w:hAnsi="Arial" w:cs="Arial"/>
          <w:bCs/>
          <w:color w:val="000000" w:themeColor="text1"/>
        </w:rPr>
        <w:t>E</w:t>
      </w:r>
      <w:r>
        <w:rPr>
          <w:rFonts w:ascii="Arial" w:eastAsia="Calibri" w:hAnsi="Arial" w:cs="Arial"/>
          <w:bCs/>
          <w:color w:val="000000" w:themeColor="text1"/>
        </w:rPr>
        <w:t>”</w:t>
      </w:r>
      <w:r w:rsidRPr="00366660">
        <w:rPr>
          <w:rFonts w:ascii="Arial" w:eastAsia="Calibri" w:hAnsi="Arial" w:cs="Arial"/>
          <w:bCs/>
          <w:color w:val="000000" w:themeColor="text1"/>
        </w:rPr>
        <w:t xml:space="preserve">; </w:t>
      </w:r>
      <w:proofErr w:type="spellStart"/>
      <w:r w:rsidRPr="00366660">
        <w:rPr>
          <w:rFonts w:ascii="Arial" w:eastAsia="Calibri" w:hAnsi="Arial" w:cs="Arial"/>
          <w:bCs/>
          <w:color w:val="000000" w:themeColor="text1"/>
        </w:rPr>
        <w:t>ii</w:t>
      </w:r>
      <w:proofErr w:type="spellEnd"/>
      <w:r w:rsidRPr="00366660">
        <w:rPr>
          <w:rFonts w:ascii="Arial" w:eastAsia="Calibri" w:hAnsi="Arial" w:cs="Arial"/>
          <w:bCs/>
          <w:color w:val="000000" w:themeColor="text1"/>
        </w:rPr>
        <w:t xml:space="preserve">) capacidad financiera </w:t>
      </w:r>
      <w:r>
        <w:rPr>
          <w:rFonts w:ascii="Arial" w:eastAsia="Calibri" w:hAnsi="Arial" w:cs="Arial"/>
          <w:bCs/>
          <w:color w:val="000000" w:themeColor="text1"/>
        </w:rPr>
        <w:t>“</w:t>
      </w:r>
      <w:r w:rsidRPr="00366660">
        <w:rPr>
          <w:rFonts w:ascii="Arial" w:eastAsia="Calibri" w:hAnsi="Arial" w:cs="Arial"/>
          <w:bCs/>
          <w:color w:val="000000" w:themeColor="text1"/>
        </w:rPr>
        <w:t>CF</w:t>
      </w:r>
      <w:r>
        <w:rPr>
          <w:rFonts w:ascii="Arial" w:eastAsia="Calibri" w:hAnsi="Arial" w:cs="Arial"/>
          <w:bCs/>
          <w:color w:val="000000" w:themeColor="text1"/>
        </w:rPr>
        <w:t>”</w:t>
      </w:r>
      <w:r w:rsidRPr="00366660">
        <w:rPr>
          <w:rFonts w:ascii="Arial" w:eastAsia="Calibri" w:hAnsi="Arial" w:cs="Arial"/>
          <w:bCs/>
          <w:color w:val="000000" w:themeColor="text1"/>
        </w:rPr>
        <w:t xml:space="preserve">; </w:t>
      </w:r>
      <w:proofErr w:type="spellStart"/>
      <w:r w:rsidRPr="00366660">
        <w:rPr>
          <w:rFonts w:ascii="Arial" w:eastAsia="Calibri" w:hAnsi="Arial" w:cs="Arial"/>
          <w:bCs/>
          <w:color w:val="000000" w:themeColor="text1"/>
        </w:rPr>
        <w:t>iii</w:t>
      </w:r>
      <w:proofErr w:type="spellEnd"/>
      <w:r w:rsidRPr="00366660">
        <w:rPr>
          <w:rFonts w:ascii="Arial" w:eastAsia="Calibri" w:hAnsi="Arial" w:cs="Arial"/>
          <w:bCs/>
          <w:color w:val="000000" w:themeColor="text1"/>
        </w:rPr>
        <w:t xml:space="preserve">) capacidad técnica </w:t>
      </w:r>
      <w:r>
        <w:rPr>
          <w:rFonts w:ascii="Arial" w:eastAsia="Calibri" w:hAnsi="Arial" w:cs="Arial"/>
          <w:bCs/>
          <w:color w:val="000000" w:themeColor="text1"/>
        </w:rPr>
        <w:t>“</w:t>
      </w:r>
      <w:r w:rsidRPr="00366660">
        <w:rPr>
          <w:rFonts w:ascii="Arial" w:eastAsia="Calibri" w:hAnsi="Arial" w:cs="Arial"/>
          <w:bCs/>
          <w:color w:val="000000" w:themeColor="text1"/>
        </w:rPr>
        <w:t>CT</w:t>
      </w:r>
      <w:r>
        <w:rPr>
          <w:rFonts w:ascii="Arial" w:eastAsia="Calibri" w:hAnsi="Arial" w:cs="Arial"/>
          <w:bCs/>
          <w:color w:val="000000" w:themeColor="text1"/>
        </w:rPr>
        <w:t>”</w:t>
      </w:r>
      <w:r w:rsidRPr="00366660">
        <w:rPr>
          <w:rFonts w:ascii="Arial" w:eastAsia="Calibri" w:hAnsi="Arial" w:cs="Arial"/>
          <w:bCs/>
          <w:color w:val="000000" w:themeColor="text1"/>
        </w:rPr>
        <w:t xml:space="preserve">, </w:t>
      </w:r>
      <w:proofErr w:type="spellStart"/>
      <w:r w:rsidRPr="00366660">
        <w:rPr>
          <w:rFonts w:ascii="Arial" w:eastAsia="Calibri" w:hAnsi="Arial" w:cs="Arial"/>
          <w:bCs/>
          <w:color w:val="000000" w:themeColor="text1"/>
        </w:rPr>
        <w:t>iv</w:t>
      </w:r>
      <w:proofErr w:type="spellEnd"/>
      <w:r w:rsidRPr="00366660">
        <w:rPr>
          <w:rFonts w:ascii="Arial" w:eastAsia="Calibri" w:hAnsi="Arial" w:cs="Arial"/>
          <w:bCs/>
          <w:color w:val="000000" w:themeColor="text1"/>
        </w:rPr>
        <w:t xml:space="preserve">) capacidad de organización </w:t>
      </w:r>
      <w:r>
        <w:rPr>
          <w:rFonts w:ascii="Arial" w:eastAsia="Calibri" w:hAnsi="Arial" w:cs="Arial"/>
          <w:bCs/>
          <w:color w:val="000000" w:themeColor="text1"/>
        </w:rPr>
        <w:t>“</w:t>
      </w:r>
      <w:r w:rsidRPr="00366660">
        <w:rPr>
          <w:rFonts w:ascii="Arial" w:eastAsia="Calibri" w:hAnsi="Arial" w:cs="Arial"/>
          <w:bCs/>
          <w:color w:val="000000" w:themeColor="text1"/>
        </w:rPr>
        <w:t>CO</w:t>
      </w:r>
      <w:r>
        <w:rPr>
          <w:rFonts w:ascii="Arial" w:eastAsia="Calibri" w:hAnsi="Arial" w:cs="Arial"/>
          <w:bCs/>
          <w:color w:val="000000" w:themeColor="text1"/>
        </w:rPr>
        <w:t>”</w:t>
      </w:r>
      <w:r w:rsidRPr="00366660">
        <w:rPr>
          <w:rFonts w:ascii="Arial" w:eastAsia="Calibri" w:hAnsi="Arial" w:cs="Arial"/>
          <w:bCs/>
          <w:color w:val="000000" w:themeColor="text1"/>
        </w:rPr>
        <w:t xml:space="preserve">; y v) los saldos de los contratos en ejecución </w:t>
      </w:r>
      <w:r>
        <w:rPr>
          <w:rFonts w:ascii="Arial" w:eastAsia="Calibri" w:hAnsi="Arial" w:cs="Arial"/>
          <w:bCs/>
          <w:color w:val="000000" w:themeColor="text1"/>
        </w:rPr>
        <w:t>“</w:t>
      </w:r>
      <w:r w:rsidRPr="00366660">
        <w:rPr>
          <w:rFonts w:ascii="Arial" w:eastAsia="Calibri" w:hAnsi="Arial" w:cs="Arial"/>
          <w:bCs/>
          <w:color w:val="000000" w:themeColor="text1"/>
        </w:rPr>
        <w:t>SCE</w:t>
      </w:r>
      <w:r>
        <w:rPr>
          <w:rFonts w:ascii="Arial" w:eastAsia="Calibri" w:hAnsi="Arial" w:cs="Arial"/>
          <w:bCs/>
          <w:color w:val="000000" w:themeColor="text1"/>
        </w:rPr>
        <w:t>”</w:t>
      </w:r>
      <w:r w:rsidRPr="00366660">
        <w:rPr>
          <w:rFonts w:ascii="Arial" w:eastAsia="Calibri" w:hAnsi="Arial" w:cs="Arial"/>
          <w:bCs/>
          <w:color w:val="000000" w:themeColor="text1"/>
        </w:rPr>
        <w:t>, según la siguiente formula:</w:t>
      </w:r>
    </w:p>
    <w:p w14:paraId="180379CE" w14:textId="77777777" w:rsidR="003358A3" w:rsidRPr="00366660" w:rsidRDefault="003358A3" w:rsidP="003358A3">
      <w:pPr>
        <w:spacing w:line="276" w:lineRule="auto"/>
        <w:ind w:firstLine="709"/>
        <w:jc w:val="both"/>
        <w:rPr>
          <w:rFonts w:ascii="Arial" w:eastAsia="Calibri" w:hAnsi="Arial" w:cs="Arial"/>
          <w:bCs/>
          <w:color w:val="000000" w:themeColor="text1"/>
        </w:rPr>
      </w:pPr>
      <w:r w:rsidRPr="00366660">
        <w:rPr>
          <w:rFonts w:ascii="Arial" w:eastAsia="Calibri" w:hAnsi="Arial" w:cs="Arial"/>
          <w:bCs/>
          <w:noProof/>
          <w:color w:val="000000" w:themeColor="text1"/>
        </w:rPr>
        <w:drawing>
          <wp:anchor distT="0" distB="0" distL="0" distR="0" simplePos="0" relativeHeight="251658241" behindDoc="0" locked="0" layoutInCell="1" allowOverlap="1" wp14:anchorId="081E35F4" wp14:editId="0A088F3C">
            <wp:simplePos x="0" y="0"/>
            <wp:positionH relativeFrom="margin">
              <wp:align>center</wp:align>
            </wp:positionH>
            <wp:positionV relativeFrom="paragraph">
              <wp:posOffset>222250</wp:posOffset>
            </wp:positionV>
            <wp:extent cx="4638040" cy="552450"/>
            <wp:effectExtent l="0" t="0" r="0" b="0"/>
            <wp:wrapTopAndBottom/>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1"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58649CBD" w14:textId="77777777" w:rsidR="003358A3" w:rsidRPr="00366660" w:rsidRDefault="003358A3" w:rsidP="003358A3">
      <w:pPr>
        <w:spacing w:after="0" w:line="276" w:lineRule="auto"/>
        <w:jc w:val="both"/>
        <w:rPr>
          <w:rFonts w:ascii="Arial" w:eastAsia="Calibri" w:hAnsi="Arial" w:cs="Arial"/>
          <w:bCs/>
          <w:color w:val="000000" w:themeColor="text1"/>
          <w:lang w:val="es-MX"/>
        </w:rPr>
      </w:pPr>
    </w:p>
    <w:p w14:paraId="26DDF4C0" w14:textId="77777777" w:rsidR="003358A3" w:rsidRPr="00366660" w:rsidRDefault="003358A3" w:rsidP="003358A3">
      <w:pPr>
        <w:spacing w:after="0" w:line="276" w:lineRule="auto"/>
        <w:ind w:firstLine="709"/>
        <w:jc w:val="both"/>
        <w:rPr>
          <w:rFonts w:ascii="Arial" w:hAnsi="Arial" w:cs="Arial"/>
          <w:i/>
          <w:iCs/>
        </w:rPr>
      </w:pPr>
      <w:r w:rsidRPr="00366660">
        <w:rPr>
          <w:rFonts w:ascii="Arial" w:eastAsia="Calibri" w:hAnsi="Arial" w:cs="Arial"/>
          <w:bCs/>
          <w:color w:val="000000" w:themeColor="text1"/>
          <w:lang w:val="es-MX"/>
        </w:rPr>
        <w:t xml:space="preserve">Particularmente, respecto del factor de saldos de los contratos en ejecución </w:t>
      </w:r>
      <w:r>
        <w:rPr>
          <w:rFonts w:ascii="Arial" w:eastAsia="Calibri" w:hAnsi="Arial" w:cs="Arial"/>
          <w:bCs/>
          <w:color w:val="000000" w:themeColor="text1"/>
        </w:rPr>
        <w:t>“</w:t>
      </w:r>
      <w:r w:rsidRPr="00366660">
        <w:rPr>
          <w:rFonts w:ascii="Arial" w:eastAsia="Calibri" w:hAnsi="Arial" w:cs="Arial"/>
          <w:bCs/>
          <w:color w:val="000000" w:themeColor="text1"/>
        </w:rPr>
        <w:t>SCE</w:t>
      </w:r>
      <w:r>
        <w:rPr>
          <w:rFonts w:ascii="Arial" w:eastAsia="Calibri" w:hAnsi="Arial" w:cs="Arial"/>
          <w:bCs/>
          <w:color w:val="000000" w:themeColor="text1"/>
        </w:rPr>
        <w:t>”</w:t>
      </w:r>
      <w:r w:rsidRPr="00366660">
        <w:rPr>
          <w:rFonts w:ascii="Arial" w:eastAsia="Calibri" w:hAnsi="Arial" w:cs="Arial"/>
          <w:bCs/>
          <w:color w:val="000000" w:themeColor="text1"/>
        </w:rPr>
        <w:t>,</w:t>
      </w:r>
      <w:r w:rsidRPr="00366660">
        <w:rPr>
          <w:rFonts w:ascii="Arial" w:hAnsi="Arial" w:cs="Arial"/>
        </w:rPr>
        <w:t xml:space="preserve"> es necesario tener en cuenta que la Guía para Determinar y Verificar la Capacidad Residual del Proponente en los Procesos de Contratación de Obra Pública</w:t>
      </w:r>
      <w:r w:rsidRPr="00366660">
        <w:rPr>
          <w:rFonts w:ascii="Arial" w:hAnsi="Arial" w:cs="Arial"/>
          <w:i/>
          <w:iCs/>
        </w:rPr>
        <w:t xml:space="preserve">, </w:t>
      </w:r>
      <w:r w:rsidRPr="00366660">
        <w:rPr>
          <w:rFonts w:ascii="Arial" w:hAnsi="Arial" w:cs="Arial"/>
        </w:rPr>
        <w:t xml:space="preserve">define a este factor </w:t>
      </w:r>
      <w:r w:rsidRPr="00366660">
        <w:rPr>
          <w:rFonts w:ascii="Arial" w:eastAsia="Calibri" w:hAnsi="Arial" w:cs="Arial"/>
          <w:bCs/>
          <w:color w:val="000000" w:themeColor="text1"/>
        </w:rPr>
        <w:t xml:space="preserve">como </w:t>
      </w:r>
      <w:r>
        <w:rPr>
          <w:rFonts w:ascii="Arial" w:eastAsia="Calibri" w:hAnsi="Arial" w:cs="Arial"/>
          <w:bCs/>
          <w:color w:val="000000" w:themeColor="text1"/>
        </w:rPr>
        <w:t>“</w:t>
      </w:r>
      <w:r w:rsidRPr="00366660">
        <w:rPr>
          <w:rFonts w:ascii="Arial" w:eastAsia="Calibri" w:hAnsi="Arial" w:cs="Arial"/>
          <w:bCs/>
          <w:color w:val="000000" w:themeColor="text1"/>
        </w:rPr>
        <w:t>la suma de los montos por ejecutar de los contratos en ejecución durante los 12 meses siguientes</w:t>
      </w:r>
      <w:r>
        <w:rPr>
          <w:rFonts w:ascii="Arial" w:eastAsia="Calibri" w:hAnsi="Arial" w:cs="Arial"/>
          <w:bCs/>
          <w:color w:val="000000" w:themeColor="text1"/>
        </w:rPr>
        <w:t>”</w:t>
      </w:r>
      <w:r w:rsidRPr="00366660">
        <w:rPr>
          <w:rFonts w:ascii="Arial" w:eastAsia="Calibri" w:hAnsi="Arial" w:cs="Arial"/>
          <w:bCs/>
          <w:color w:val="000000" w:themeColor="text1"/>
        </w:rPr>
        <w:t>. As</w:t>
      </w:r>
      <w:r>
        <w:rPr>
          <w:rFonts w:ascii="Arial" w:eastAsia="Calibri" w:hAnsi="Arial" w:cs="Arial"/>
          <w:bCs/>
          <w:color w:val="000000" w:themeColor="text1"/>
        </w:rPr>
        <w:t>i</w:t>
      </w:r>
      <w:r w:rsidRPr="00366660">
        <w:rPr>
          <w:rFonts w:ascii="Arial" w:eastAsia="Calibri" w:hAnsi="Arial" w:cs="Arial"/>
          <w:bCs/>
          <w:color w:val="000000" w:themeColor="text1"/>
        </w:rPr>
        <w:t>mismo, define los</w:t>
      </w:r>
      <w:r w:rsidRPr="00366660">
        <w:rPr>
          <w:rFonts w:ascii="Arial" w:hAnsi="Arial" w:cs="Arial"/>
        </w:rPr>
        <w:t xml:space="preserve"> </w:t>
      </w:r>
      <w:bookmarkStart w:id="7" w:name="_Hlk78819022"/>
      <w:r w:rsidRPr="00366660">
        <w:rPr>
          <w:rFonts w:ascii="Arial" w:hAnsi="Arial" w:cs="Arial"/>
          <w:i/>
          <w:iCs/>
        </w:rPr>
        <w:t>Contratos en Ejecución</w:t>
      </w:r>
      <w:r w:rsidRPr="00366660">
        <w:rPr>
          <w:rFonts w:ascii="Arial" w:hAnsi="Arial" w:cs="Arial"/>
        </w:rPr>
        <w:t xml:space="preserve"> </w:t>
      </w:r>
      <w:bookmarkEnd w:id="7"/>
      <w:r w:rsidRPr="00366660">
        <w:rPr>
          <w:rFonts w:ascii="Arial" w:hAnsi="Arial" w:cs="Arial"/>
        </w:rPr>
        <w:t xml:space="preserve">de la siguiente manera: </w:t>
      </w:r>
      <w:r w:rsidRPr="00366660">
        <w:rPr>
          <w:rFonts w:ascii="Arial" w:hAnsi="Arial" w:cs="Arial"/>
          <w:i/>
          <w:iCs/>
        </w:rPr>
        <w:t xml:space="preserve"> </w:t>
      </w:r>
    </w:p>
    <w:p w14:paraId="2C03276B" w14:textId="77777777" w:rsidR="003358A3" w:rsidRPr="00366660" w:rsidRDefault="003358A3" w:rsidP="003358A3">
      <w:pPr>
        <w:spacing w:after="0" w:line="276" w:lineRule="auto"/>
        <w:ind w:firstLine="709"/>
        <w:jc w:val="both"/>
        <w:rPr>
          <w:rFonts w:ascii="Arial" w:hAnsi="Arial" w:cs="Arial"/>
        </w:rPr>
      </w:pPr>
    </w:p>
    <w:p w14:paraId="100BFA28" w14:textId="77777777" w:rsidR="003358A3" w:rsidRPr="00366660" w:rsidRDefault="003358A3" w:rsidP="003358A3">
      <w:pPr>
        <w:spacing w:after="0" w:line="240" w:lineRule="auto"/>
        <w:ind w:left="709" w:right="709"/>
        <w:jc w:val="both"/>
        <w:rPr>
          <w:rFonts w:ascii="Arial" w:hAnsi="Arial" w:cs="Arial"/>
        </w:rPr>
      </w:pPr>
      <w:r w:rsidRPr="00366660">
        <w:rPr>
          <w:rFonts w:ascii="Arial" w:hAnsi="Arial" w:cs="Arial"/>
          <w:sz w:val="21"/>
          <w:szCs w:val="21"/>
        </w:rPr>
        <w:t xml:space="preserve">Son los contratos que a la fecha de presentación de la oferta obligan al proponente con Entidades Estatales y con entidades privadas para ejecutar </w:t>
      </w:r>
      <w:r w:rsidRPr="00366660">
        <w:rPr>
          <w:rFonts w:ascii="Arial" w:hAnsi="Arial" w:cs="Arial"/>
          <w:sz w:val="21"/>
          <w:szCs w:val="21"/>
        </w:rPr>
        <w:lastRenderedPageBreak/>
        <w:t>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3688928B" w14:textId="77777777" w:rsidR="003358A3" w:rsidRPr="00366660" w:rsidRDefault="003358A3" w:rsidP="003358A3">
      <w:pPr>
        <w:spacing w:after="0" w:line="276" w:lineRule="auto"/>
        <w:ind w:firstLine="709"/>
        <w:jc w:val="both"/>
        <w:rPr>
          <w:rFonts w:ascii="Arial" w:hAnsi="Arial" w:cs="Arial"/>
        </w:rPr>
      </w:pPr>
    </w:p>
    <w:p w14:paraId="306AB94F" w14:textId="77777777" w:rsidR="003358A3" w:rsidRPr="00366660" w:rsidRDefault="003358A3" w:rsidP="003358A3">
      <w:pPr>
        <w:spacing w:after="120" w:line="276" w:lineRule="auto"/>
        <w:ind w:firstLine="709"/>
        <w:jc w:val="both"/>
        <w:rPr>
          <w:rFonts w:ascii="Arial" w:hAnsi="Arial" w:cs="Arial"/>
        </w:rPr>
      </w:pPr>
      <w:r w:rsidRPr="00366660">
        <w:rPr>
          <w:rFonts w:ascii="Arial" w:hAnsi="Arial" w:cs="Arial"/>
        </w:rPr>
        <w:t xml:space="preserve">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los saldos pendientes por ejecutar de los contratos afectados por una suspensión constituyen, también, información relevante para calcular la capacidad residual del proponente </w:t>
      </w:r>
      <w:r>
        <w:rPr>
          <w:rFonts w:ascii="Arial" w:eastAsia="Calibri" w:hAnsi="Arial" w:cs="Arial"/>
          <w:b/>
          <w:color w:val="000000" w:themeColor="text1"/>
        </w:rPr>
        <w:t>“</w:t>
      </w:r>
      <w:r w:rsidRPr="00366660">
        <w:rPr>
          <w:rFonts w:ascii="Arial" w:eastAsia="Calibri" w:hAnsi="Arial" w:cs="Arial"/>
          <w:bCs/>
          <w:color w:val="000000" w:themeColor="text1"/>
        </w:rPr>
        <w:t>CRP</w:t>
      </w:r>
      <w:r>
        <w:rPr>
          <w:rFonts w:ascii="Arial" w:eastAsia="Calibri" w:hAnsi="Arial" w:cs="Arial"/>
          <w:b/>
          <w:color w:val="000000" w:themeColor="text1"/>
        </w:rPr>
        <w:t>”</w:t>
      </w:r>
      <w:r w:rsidRPr="00366660">
        <w:rPr>
          <w:rFonts w:ascii="Arial" w:hAnsi="Arial" w:cs="Arial"/>
        </w:rPr>
        <w:t xml:space="preserve">. Lo anterior, en la medida en que la ejecución de los contratos en principio suspendidos puede, eventualmente, afectar la aptitud del oferente para cumplir con </w:t>
      </w:r>
      <w:r>
        <w:rPr>
          <w:rFonts w:ascii="Arial" w:hAnsi="Arial" w:cs="Arial"/>
        </w:rPr>
        <w:t>lo ofertado</w:t>
      </w:r>
      <w:r w:rsidRPr="00366660">
        <w:rPr>
          <w:rFonts w:ascii="Arial" w:hAnsi="Arial" w:cs="Arial"/>
        </w:rPr>
        <w:t>, razón por la que, ante la posibilidad de que tales contratos se reanuden, se ha estimado necesario evaluar los saldos pendientes por ejecutar de tales contratos para determinar si el proponente cumple con la capacidad residual requerida.</w:t>
      </w:r>
    </w:p>
    <w:p w14:paraId="0953EB3D" w14:textId="77777777" w:rsidR="003358A3" w:rsidRPr="00366660" w:rsidRDefault="003358A3" w:rsidP="003358A3">
      <w:pPr>
        <w:spacing w:after="0" w:line="276" w:lineRule="auto"/>
        <w:ind w:firstLine="709"/>
        <w:jc w:val="both"/>
        <w:rPr>
          <w:rFonts w:ascii="Arial" w:hAnsi="Arial" w:cs="Arial"/>
        </w:rPr>
      </w:pPr>
      <w:r w:rsidRPr="00366660">
        <w:rPr>
          <w:rFonts w:ascii="Arial" w:hAnsi="Arial" w:cs="Arial"/>
        </w:rPr>
        <w:t xml:space="preserve">De este modo, para acreditar el factor </w:t>
      </w:r>
      <w:r w:rsidRPr="00366660">
        <w:rPr>
          <w:rFonts w:ascii="Arial" w:eastAsia="Calibri" w:hAnsi="Arial" w:cs="Arial"/>
          <w:bCs/>
          <w:color w:val="000000" w:themeColor="text1"/>
          <w:lang w:val="es-MX"/>
        </w:rPr>
        <w:t xml:space="preserve">saldos de los contratos en ejecución </w:t>
      </w:r>
      <w:r>
        <w:rPr>
          <w:rFonts w:ascii="Arial" w:eastAsia="Calibri" w:hAnsi="Arial" w:cs="Arial"/>
          <w:bCs/>
          <w:color w:val="000000" w:themeColor="text1"/>
        </w:rPr>
        <w:t>“</w:t>
      </w:r>
      <w:r w:rsidRPr="00366660">
        <w:rPr>
          <w:rFonts w:ascii="Arial" w:eastAsia="Calibri" w:hAnsi="Arial" w:cs="Arial"/>
          <w:bCs/>
          <w:color w:val="000000" w:themeColor="text1"/>
        </w:rPr>
        <w:t>SCE</w:t>
      </w:r>
      <w:r>
        <w:rPr>
          <w:rFonts w:ascii="Arial" w:eastAsia="Calibri" w:hAnsi="Arial" w:cs="Arial"/>
          <w:bCs/>
          <w:color w:val="000000" w:themeColor="text1"/>
        </w:rPr>
        <w:t>”</w:t>
      </w:r>
      <w:r w:rsidRPr="00366660">
        <w:rPr>
          <w:rFonts w:ascii="Arial" w:hAnsi="Arial" w:cs="Arial"/>
        </w:rPr>
        <w:t xml:space="preserve">  como lo establece la Guía, el proponente debe presentar la lista de contratos de obras civiles en ejecución, tanto a nivel nacional como internacional señalando i) el valor del contrato; </w:t>
      </w:r>
      <w:proofErr w:type="spellStart"/>
      <w:r w:rsidRPr="00366660">
        <w:rPr>
          <w:rFonts w:ascii="Arial" w:hAnsi="Arial" w:cs="Arial"/>
        </w:rPr>
        <w:t>ii</w:t>
      </w:r>
      <w:proofErr w:type="spellEnd"/>
      <w:r w:rsidRPr="00366660">
        <w:rPr>
          <w:rFonts w:ascii="Arial" w:hAnsi="Arial" w:cs="Arial"/>
        </w:rPr>
        <w:t xml:space="preserve">) el plazo del contrato en meses; </w:t>
      </w:r>
      <w:proofErr w:type="spellStart"/>
      <w:r w:rsidRPr="00366660">
        <w:rPr>
          <w:rFonts w:ascii="Arial" w:hAnsi="Arial" w:cs="Arial"/>
        </w:rPr>
        <w:t>iii</w:t>
      </w:r>
      <w:proofErr w:type="spellEnd"/>
      <w:r w:rsidRPr="00366660">
        <w:rPr>
          <w:rFonts w:ascii="Arial" w:hAnsi="Arial" w:cs="Arial"/>
        </w:rPr>
        <w:t xml:space="preserve">) la fecha de inicio de las obras objeto del contrato, día, mes, año; </w:t>
      </w:r>
      <w:proofErr w:type="spellStart"/>
      <w:r w:rsidRPr="00366660">
        <w:rPr>
          <w:rFonts w:ascii="Arial" w:hAnsi="Arial" w:cs="Arial"/>
        </w:rPr>
        <w:t>iv</w:t>
      </w:r>
      <w:proofErr w:type="spellEnd"/>
      <w:r w:rsidRPr="00366660">
        <w:rPr>
          <w:rFonts w:ascii="Arial" w:hAnsi="Arial" w:cs="Arial"/>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Por ello, sobre la acreditación del factor </w:t>
      </w:r>
      <w:r>
        <w:rPr>
          <w:rFonts w:ascii="Arial" w:eastAsia="Calibri" w:hAnsi="Arial" w:cs="Arial"/>
          <w:bCs/>
          <w:color w:val="000000" w:themeColor="text1"/>
        </w:rPr>
        <w:t>“</w:t>
      </w:r>
      <w:r w:rsidRPr="00366660">
        <w:rPr>
          <w:rFonts w:ascii="Arial" w:eastAsia="Calibri" w:hAnsi="Arial" w:cs="Arial"/>
          <w:bCs/>
          <w:color w:val="000000" w:themeColor="text1"/>
        </w:rPr>
        <w:t>SCE</w:t>
      </w:r>
      <w:r>
        <w:rPr>
          <w:rFonts w:ascii="Arial" w:eastAsia="Calibri" w:hAnsi="Arial" w:cs="Arial"/>
          <w:bCs/>
          <w:color w:val="000000" w:themeColor="text1"/>
        </w:rPr>
        <w:t>”</w:t>
      </w:r>
      <w:r w:rsidRPr="00366660">
        <w:rPr>
          <w:rFonts w:ascii="Arial" w:eastAsia="Calibri" w:hAnsi="Arial" w:cs="Arial"/>
          <w:bCs/>
          <w:color w:val="000000" w:themeColor="text1"/>
        </w:rPr>
        <w:t xml:space="preserve"> </w:t>
      </w:r>
      <w:r w:rsidRPr="00366660">
        <w:rPr>
          <w:rFonts w:ascii="Arial" w:hAnsi="Arial" w:cs="Arial"/>
        </w:rPr>
        <w:t>en los documentos tipo de licitación de obra pública para infraestructura de transporte, el literal E del numeral 3.10.2 del documento base señala lo siguiente:</w:t>
      </w:r>
    </w:p>
    <w:p w14:paraId="737426F9" w14:textId="77777777" w:rsidR="003358A3" w:rsidRPr="00366660" w:rsidRDefault="003358A3" w:rsidP="003358A3">
      <w:pPr>
        <w:spacing w:after="0" w:line="276" w:lineRule="auto"/>
        <w:ind w:firstLine="709"/>
        <w:jc w:val="both"/>
        <w:rPr>
          <w:rFonts w:ascii="Arial" w:hAnsi="Arial" w:cs="Arial"/>
        </w:rPr>
      </w:pPr>
    </w:p>
    <w:p w14:paraId="4A0817EA" w14:textId="77777777" w:rsidR="003358A3" w:rsidRPr="00366660" w:rsidRDefault="003358A3" w:rsidP="003358A3">
      <w:pPr>
        <w:spacing w:after="0"/>
        <w:ind w:left="709" w:right="709"/>
        <w:jc w:val="both"/>
        <w:rPr>
          <w:rFonts w:ascii="Arial" w:eastAsia="Arial," w:hAnsi="Arial" w:cs="Arial"/>
          <w:sz w:val="21"/>
          <w:szCs w:val="21"/>
        </w:rPr>
      </w:pPr>
      <w:r w:rsidRPr="00366660">
        <w:rPr>
          <w:rFonts w:ascii="Arial" w:hAnsi="Arial" w:cs="Arial"/>
          <w:sz w:val="21"/>
          <w:szCs w:val="21"/>
        </w:rPr>
        <w:t>Para</w:t>
      </w:r>
      <w:r w:rsidRPr="00366660">
        <w:rPr>
          <w:rFonts w:ascii="Arial" w:eastAsia="Arial," w:hAnsi="Arial" w:cs="Arial"/>
          <w:sz w:val="21"/>
          <w:szCs w:val="21"/>
        </w:rPr>
        <w:t xml:space="preserve"> </w:t>
      </w:r>
      <w:r w:rsidRPr="00366660">
        <w:rPr>
          <w:rFonts w:ascii="Arial" w:hAnsi="Arial" w:cs="Arial"/>
          <w:sz w:val="21"/>
          <w:szCs w:val="21"/>
        </w:rPr>
        <w:t>acreditar</w:t>
      </w:r>
      <w:r w:rsidRPr="00366660">
        <w:rPr>
          <w:rFonts w:ascii="Arial" w:eastAsia="Arial," w:hAnsi="Arial" w:cs="Arial"/>
          <w:sz w:val="21"/>
          <w:szCs w:val="21"/>
        </w:rPr>
        <w:t xml:space="preserve"> </w:t>
      </w:r>
      <w:r w:rsidRPr="00366660">
        <w:rPr>
          <w:rFonts w:ascii="Arial" w:hAnsi="Arial" w:cs="Arial"/>
          <w:sz w:val="21"/>
          <w:szCs w:val="21"/>
        </w:rPr>
        <w:t>el</w:t>
      </w:r>
      <w:r w:rsidRPr="00366660">
        <w:rPr>
          <w:rFonts w:ascii="Arial" w:eastAsia="Arial," w:hAnsi="Arial" w:cs="Arial"/>
          <w:sz w:val="21"/>
          <w:szCs w:val="21"/>
        </w:rPr>
        <w:t xml:space="preserve"> </w:t>
      </w:r>
      <w:r w:rsidRPr="00366660">
        <w:rPr>
          <w:rFonts w:ascii="Arial" w:hAnsi="Arial" w:cs="Arial"/>
          <w:sz w:val="21"/>
          <w:szCs w:val="21"/>
        </w:rPr>
        <w:t>factor</w:t>
      </w:r>
      <w:r w:rsidRPr="00366660">
        <w:rPr>
          <w:rFonts w:ascii="Arial" w:eastAsia="Arial," w:hAnsi="Arial" w:cs="Arial"/>
          <w:sz w:val="21"/>
          <w:szCs w:val="21"/>
        </w:rPr>
        <w:t xml:space="preserve"> </w:t>
      </w:r>
      <w:r w:rsidRPr="00366660">
        <w:rPr>
          <w:rFonts w:ascii="Arial" w:hAnsi="Arial" w:cs="Arial"/>
          <w:sz w:val="21"/>
          <w:szCs w:val="21"/>
        </w:rPr>
        <w:t>(SCE)</w:t>
      </w:r>
      <w:r w:rsidRPr="00366660">
        <w:rPr>
          <w:rFonts w:ascii="Arial" w:eastAsia="Arial," w:hAnsi="Arial" w:cs="Arial"/>
          <w:sz w:val="21"/>
          <w:szCs w:val="21"/>
        </w:rPr>
        <w:t xml:space="preserve"> </w:t>
      </w:r>
      <w:r w:rsidRPr="00366660">
        <w:rPr>
          <w:rFonts w:ascii="Arial" w:hAnsi="Arial" w:cs="Arial"/>
          <w:sz w:val="21"/>
          <w:szCs w:val="21"/>
        </w:rPr>
        <w:t>el</w:t>
      </w:r>
      <w:r w:rsidRPr="00366660">
        <w:rPr>
          <w:rFonts w:ascii="Arial" w:eastAsia="Arial," w:hAnsi="Arial" w:cs="Arial"/>
          <w:sz w:val="21"/>
          <w:szCs w:val="21"/>
        </w:rPr>
        <w:t xml:space="preserve"> </w:t>
      </w:r>
      <w:r w:rsidRPr="00366660">
        <w:rPr>
          <w:rFonts w:ascii="Arial" w:hAnsi="Arial" w:cs="Arial"/>
          <w:sz w:val="21"/>
          <w:szCs w:val="21"/>
        </w:rPr>
        <w:t>Proponente</w:t>
      </w:r>
      <w:r w:rsidRPr="00366660">
        <w:rPr>
          <w:rFonts w:ascii="Arial" w:eastAsia="Arial," w:hAnsi="Arial" w:cs="Arial"/>
          <w:sz w:val="21"/>
          <w:szCs w:val="21"/>
        </w:rPr>
        <w:t xml:space="preserve"> </w:t>
      </w:r>
      <w:r w:rsidRPr="00366660">
        <w:rPr>
          <w:rFonts w:ascii="Arial" w:hAnsi="Arial" w:cs="Arial"/>
          <w:sz w:val="21"/>
          <w:szCs w:val="21"/>
        </w:rPr>
        <w:t>tendrá</w:t>
      </w:r>
      <w:r w:rsidRPr="00366660">
        <w:rPr>
          <w:rFonts w:ascii="Arial" w:eastAsia="Arial," w:hAnsi="Arial" w:cs="Arial"/>
          <w:sz w:val="21"/>
          <w:szCs w:val="21"/>
        </w:rPr>
        <w:t xml:space="preserve"> </w:t>
      </w:r>
      <w:r w:rsidRPr="00366660">
        <w:rPr>
          <w:rFonts w:ascii="Arial" w:hAnsi="Arial" w:cs="Arial"/>
          <w:sz w:val="21"/>
          <w:szCs w:val="21"/>
        </w:rPr>
        <w:t>en</w:t>
      </w:r>
      <w:r w:rsidRPr="00366660">
        <w:rPr>
          <w:rFonts w:ascii="Arial" w:eastAsia="Arial," w:hAnsi="Arial" w:cs="Arial"/>
          <w:sz w:val="21"/>
          <w:szCs w:val="21"/>
        </w:rPr>
        <w:t xml:space="preserve"> </w:t>
      </w:r>
      <w:r w:rsidRPr="00366660">
        <w:rPr>
          <w:rFonts w:ascii="Arial" w:hAnsi="Arial" w:cs="Arial"/>
          <w:sz w:val="21"/>
          <w:szCs w:val="21"/>
        </w:rPr>
        <w:t>cuenta</w:t>
      </w:r>
      <w:r w:rsidRPr="00366660">
        <w:rPr>
          <w:rFonts w:ascii="Arial" w:eastAsia="Arial," w:hAnsi="Arial" w:cs="Arial"/>
          <w:sz w:val="21"/>
          <w:szCs w:val="21"/>
        </w:rPr>
        <w:t xml:space="preserve"> </w:t>
      </w:r>
      <w:r w:rsidRPr="00366660">
        <w:rPr>
          <w:rFonts w:ascii="Arial" w:hAnsi="Arial" w:cs="Arial"/>
          <w:sz w:val="21"/>
          <w:szCs w:val="21"/>
        </w:rPr>
        <w:t>lo</w:t>
      </w:r>
      <w:r w:rsidRPr="00366660">
        <w:rPr>
          <w:rFonts w:ascii="Arial" w:eastAsia="Arial," w:hAnsi="Arial" w:cs="Arial"/>
          <w:sz w:val="21"/>
          <w:szCs w:val="21"/>
        </w:rPr>
        <w:t xml:space="preserve"> </w:t>
      </w:r>
      <w:r w:rsidRPr="00366660">
        <w:rPr>
          <w:rFonts w:ascii="Arial" w:hAnsi="Arial" w:cs="Arial"/>
          <w:sz w:val="21"/>
          <w:szCs w:val="21"/>
        </w:rPr>
        <w:t>siguiente:</w:t>
      </w:r>
      <w:r w:rsidRPr="00366660">
        <w:rPr>
          <w:rFonts w:ascii="Arial" w:eastAsia="Arial," w:hAnsi="Arial" w:cs="Arial"/>
          <w:sz w:val="21"/>
          <w:szCs w:val="21"/>
        </w:rPr>
        <w:t xml:space="preserve"> </w:t>
      </w:r>
    </w:p>
    <w:p w14:paraId="338A56C8" w14:textId="77777777" w:rsidR="003358A3" w:rsidRPr="00366660" w:rsidRDefault="003358A3" w:rsidP="003358A3">
      <w:pPr>
        <w:spacing w:after="0"/>
        <w:ind w:right="709" w:firstLine="709"/>
        <w:jc w:val="both"/>
        <w:rPr>
          <w:rFonts w:ascii="Arial" w:eastAsia="Arial," w:hAnsi="Arial" w:cs="Arial"/>
          <w:sz w:val="21"/>
          <w:szCs w:val="21"/>
        </w:rPr>
      </w:pPr>
      <w:r w:rsidRPr="00366660">
        <w:rPr>
          <w:rFonts w:ascii="Arial" w:eastAsia="Arial," w:hAnsi="Arial" w:cs="Arial"/>
          <w:sz w:val="21"/>
          <w:szCs w:val="21"/>
        </w:rPr>
        <w:t>[…]</w:t>
      </w:r>
    </w:p>
    <w:p w14:paraId="5D300A46" w14:textId="77777777" w:rsidR="003358A3" w:rsidRPr="00366660" w:rsidRDefault="003358A3" w:rsidP="003358A3">
      <w:pPr>
        <w:spacing w:after="0"/>
        <w:ind w:right="709" w:firstLine="709"/>
        <w:jc w:val="both"/>
        <w:rPr>
          <w:rFonts w:ascii="Arial" w:eastAsia="Arial," w:hAnsi="Arial" w:cs="Arial"/>
          <w:sz w:val="21"/>
          <w:szCs w:val="21"/>
        </w:rPr>
      </w:pPr>
    </w:p>
    <w:p w14:paraId="1707148C" w14:textId="77777777" w:rsidR="003358A3" w:rsidRPr="00366660" w:rsidRDefault="003358A3" w:rsidP="003358A3">
      <w:pPr>
        <w:pStyle w:val="Prrafodelista"/>
        <w:ind w:left="1134" w:right="709" w:hanging="425"/>
        <w:contextualSpacing w:val="0"/>
        <w:jc w:val="both"/>
        <w:rPr>
          <w:rFonts w:ascii="Arial" w:eastAsia="Arial" w:hAnsi="Arial" w:cs="Arial"/>
          <w:sz w:val="21"/>
          <w:szCs w:val="21"/>
        </w:rPr>
      </w:pPr>
      <w:r w:rsidRPr="00366660">
        <w:rPr>
          <w:rFonts w:ascii="Arial" w:eastAsia="Arial" w:hAnsi="Arial" w:cs="Arial"/>
          <w:sz w:val="21"/>
          <w:szCs w:val="21"/>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05ABEEAB" w14:textId="77777777" w:rsidR="003358A3" w:rsidRPr="00366660" w:rsidRDefault="003358A3" w:rsidP="003358A3">
      <w:pPr>
        <w:pStyle w:val="Prrafodelista"/>
        <w:ind w:left="1134" w:right="709" w:hanging="425"/>
        <w:contextualSpacing w:val="0"/>
        <w:jc w:val="both"/>
        <w:rPr>
          <w:rFonts w:ascii="Arial" w:eastAsia="Arial" w:hAnsi="Arial" w:cs="Arial"/>
          <w:sz w:val="21"/>
          <w:szCs w:val="21"/>
        </w:rPr>
      </w:pPr>
      <w:r w:rsidRPr="00366660">
        <w:rPr>
          <w:rFonts w:ascii="Arial" w:eastAsia="Arial" w:hAnsi="Arial" w:cs="Arial"/>
          <w:sz w:val="21"/>
          <w:szCs w:val="21"/>
        </w:rPr>
        <w:lastRenderedPageBreak/>
        <w:t>III.  Se tendrán en cuenta los contratos de obras civiles en ejecución suscritos por el proponente o por sociedades, consorcios o uniones temporales en los cuales el proponente tenga participación</w:t>
      </w:r>
    </w:p>
    <w:p w14:paraId="2FEFC541" w14:textId="77777777" w:rsidR="003358A3" w:rsidRPr="00366660" w:rsidRDefault="003358A3" w:rsidP="003358A3">
      <w:pPr>
        <w:pStyle w:val="Prrafodelista"/>
        <w:ind w:left="1134" w:right="709" w:hanging="425"/>
        <w:contextualSpacing w:val="0"/>
        <w:jc w:val="both"/>
        <w:rPr>
          <w:rFonts w:ascii="Arial" w:eastAsia="Arial" w:hAnsi="Arial" w:cs="Arial"/>
          <w:sz w:val="21"/>
          <w:szCs w:val="21"/>
        </w:rPr>
      </w:pPr>
      <w:r w:rsidRPr="00366660">
        <w:rPr>
          <w:rFonts w:ascii="Arial" w:eastAsia="Arial" w:hAnsi="Arial" w:cs="Arial"/>
          <w:sz w:val="21"/>
          <w:szCs w:val="21"/>
        </w:rPr>
        <w:t>IV.  Si</w:t>
      </w:r>
      <w:r w:rsidRPr="00366660">
        <w:rPr>
          <w:rFonts w:ascii="Arial" w:eastAsia="Arial," w:hAnsi="Arial" w:cs="Arial"/>
          <w:sz w:val="21"/>
          <w:szCs w:val="21"/>
        </w:rPr>
        <w:t xml:space="preserve"> </w:t>
      </w:r>
      <w:r w:rsidRPr="00366660">
        <w:rPr>
          <w:rFonts w:ascii="Arial" w:eastAsia="Arial" w:hAnsi="Arial" w:cs="Arial"/>
          <w:sz w:val="21"/>
          <w:szCs w:val="21"/>
        </w:rPr>
        <w:t>un</w:t>
      </w:r>
      <w:r w:rsidRPr="00366660">
        <w:rPr>
          <w:rFonts w:ascii="Arial" w:eastAsia="Arial," w:hAnsi="Arial" w:cs="Arial"/>
          <w:sz w:val="21"/>
          <w:szCs w:val="21"/>
        </w:rPr>
        <w:t xml:space="preserve"> </w:t>
      </w:r>
      <w:r w:rsidRPr="00366660">
        <w:rPr>
          <w:rFonts w:ascii="Arial" w:eastAsia="Arial" w:hAnsi="Arial" w:cs="Arial"/>
          <w:sz w:val="21"/>
          <w:szCs w:val="21"/>
        </w:rPr>
        <w:t>contrato</w:t>
      </w:r>
      <w:r w:rsidRPr="00366660">
        <w:rPr>
          <w:rFonts w:ascii="Arial" w:eastAsia="Arial," w:hAnsi="Arial" w:cs="Arial"/>
          <w:sz w:val="21"/>
          <w:szCs w:val="21"/>
        </w:rPr>
        <w:t xml:space="preserve"> </w:t>
      </w:r>
      <w:r w:rsidRPr="00366660">
        <w:rPr>
          <w:rFonts w:ascii="Arial" w:eastAsia="Arial" w:hAnsi="Arial" w:cs="Arial"/>
          <w:sz w:val="21"/>
          <w:szCs w:val="21"/>
        </w:rPr>
        <w:t>se</w:t>
      </w:r>
      <w:r w:rsidRPr="00366660">
        <w:rPr>
          <w:rFonts w:ascii="Arial" w:eastAsia="Arial," w:hAnsi="Arial" w:cs="Arial"/>
          <w:sz w:val="21"/>
          <w:szCs w:val="21"/>
        </w:rPr>
        <w:t xml:space="preserve"> </w:t>
      </w:r>
      <w:r w:rsidRPr="00366660">
        <w:rPr>
          <w:rFonts w:ascii="Arial" w:eastAsia="Arial" w:hAnsi="Arial" w:cs="Arial"/>
          <w:sz w:val="21"/>
          <w:szCs w:val="21"/>
        </w:rPr>
        <w:t>encuentra</w:t>
      </w:r>
      <w:r w:rsidRPr="00366660">
        <w:rPr>
          <w:rFonts w:ascii="Arial" w:eastAsia="Arial," w:hAnsi="Arial" w:cs="Arial"/>
          <w:sz w:val="21"/>
          <w:szCs w:val="21"/>
        </w:rPr>
        <w:t xml:space="preserve"> </w:t>
      </w:r>
      <w:r w:rsidRPr="00366660">
        <w:rPr>
          <w:rFonts w:ascii="Arial" w:eastAsia="Arial" w:hAnsi="Arial" w:cs="Arial"/>
          <w:sz w:val="21"/>
          <w:szCs w:val="21"/>
        </w:rPr>
        <w:t>suspendido,</w:t>
      </w:r>
      <w:r w:rsidRPr="00366660">
        <w:rPr>
          <w:rFonts w:ascii="Arial" w:eastAsia="Arial," w:hAnsi="Arial" w:cs="Arial"/>
          <w:sz w:val="21"/>
          <w:szCs w:val="21"/>
        </w:rPr>
        <w:t xml:space="preserve"> </w:t>
      </w:r>
      <w:r w:rsidRPr="00366660">
        <w:rPr>
          <w:rFonts w:ascii="Arial" w:eastAsia="Arial" w:hAnsi="Arial" w:cs="Arial"/>
          <w:sz w:val="21"/>
          <w:szCs w:val="21"/>
        </w:rPr>
        <w:t>el</w:t>
      </w:r>
      <w:r w:rsidRPr="00366660">
        <w:rPr>
          <w:rFonts w:ascii="Arial" w:eastAsia="Arial," w:hAnsi="Arial" w:cs="Arial"/>
          <w:sz w:val="21"/>
          <w:szCs w:val="21"/>
        </w:rPr>
        <w:t xml:space="preserve"> </w:t>
      </w:r>
      <w:r w:rsidRPr="00366660">
        <w:rPr>
          <w:rFonts w:ascii="Arial" w:eastAsia="Arial" w:hAnsi="Arial" w:cs="Arial"/>
          <w:sz w:val="21"/>
          <w:szCs w:val="21"/>
        </w:rPr>
        <w:t>cálculo</w:t>
      </w:r>
      <w:r w:rsidRPr="00366660">
        <w:rPr>
          <w:rFonts w:ascii="Arial" w:eastAsia="Arial," w:hAnsi="Arial" w:cs="Arial"/>
          <w:sz w:val="21"/>
          <w:szCs w:val="21"/>
        </w:rPr>
        <w:t xml:space="preserve"> </w:t>
      </w:r>
      <w:r w:rsidRPr="00366660">
        <w:rPr>
          <w:rFonts w:ascii="Arial" w:eastAsia="Arial" w:hAnsi="Arial" w:cs="Arial"/>
          <w:sz w:val="21"/>
          <w:szCs w:val="21"/>
        </w:rPr>
        <w:t>del</w:t>
      </w:r>
      <w:r w:rsidRPr="00366660">
        <w:rPr>
          <w:rFonts w:ascii="Arial" w:eastAsia="Arial," w:hAnsi="Arial" w:cs="Arial"/>
          <w:sz w:val="21"/>
          <w:szCs w:val="21"/>
        </w:rPr>
        <w:t xml:space="preserve"> </w:t>
      </w:r>
      <w:r w:rsidRPr="00366660">
        <w:rPr>
          <w:rFonts w:ascii="Arial" w:eastAsia="Arial" w:hAnsi="Arial" w:cs="Arial"/>
          <w:sz w:val="21"/>
          <w:szCs w:val="21"/>
        </w:rPr>
        <w:t>(SCE)</w:t>
      </w:r>
      <w:r w:rsidRPr="00366660">
        <w:rPr>
          <w:rFonts w:ascii="Arial" w:eastAsia="Arial," w:hAnsi="Arial" w:cs="Arial"/>
          <w:sz w:val="21"/>
          <w:szCs w:val="21"/>
        </w:rPr>
        <w:t xml:space="preserve"> </w:t>
      </w:r>
      <w:r w:rsidRPr="00366660">
        <w:rPr>
          <w:rFonts w:ascii="Arial" w:eastAsia="Arial" w:hAnsi="Arial" w:cs="Arial"/>
          <w:sz w:val="21"/>
          <w:szCs w:val="21"/>
        </w:rPr>
        <w:t>de</w:t>
      </w:r>
      <w:r w:rsidRPr="00366660">
        <w:rPr>
          <w:rFonts w:ascii="Arial" w:eastAsia="Arial," w:hAnsi="Arial" w:cs="Arial"/>
          <w:sz w:val="21"/>
          <w:szCs w:val="21"/>
        </w:rPr>
        <w:t xml:space="preserve"> </w:t>
      </w:r>
      <w:r w:rsidRPr="00366660">
        <w:rPr>
          <w:rFonts w:ascii="Arial" w:eastAsia="Arial" w:hAnsi="Arial" w:cs="Arial"/>
          <w:sz w:val="21"/>
          <w:szCs w:val="21"/>
        </w:rPr>
        <w:t>dicho</w:t>
      </w:r>
      <w:r w:rsidRPr="00366660">
        <w:rPr>
          <w:rFonts w:ascii="Arial" w:eastAsia="Arial," w:hAnsi="Arial" w:cs="Arial"/>
          <w:sz w:val="21"/>
          <w:szCs w:val="21"/>
        </w:rPr>
        <w:t xml:space="preserve"> </w:t>
      </w:r>
      <w:r w:rsidRPr="00366660">
        <w:rPr>
          <w:rFonts w:ascii="Arial" w:eastAsia="Arial" w:hAnsi="Arial" w:cs="Arial"/>
          <w:sz w:val="21"/>
          <w:szCs w:val="21"/>
        </w:rPr>
        <w:t>contrato</w:t>
      </w:r>
      <w:r w:rsidRPr="00366660">
        <w:rPr>
          <w:rFonts w:ascii="Arial" w:eastAsia="Arial," w:hAnsi="Arial" w:cs="Arial"/>
          <w:sz w:val="21"/>
          <w:szCs w:val="21"/>
        </w:rPr>
        <w:t xml:space="preserve"> </w:t>
      </w:r>
      <w:r w:rsidRPr="00366660">
        <w:rPr>
          <w:rFonts w:ascii="Arial" w:eastAsia="Arial" w:hAnsi="Arial" w:cs="Arial"/>
          <w:sz w:val="21"/>
          <w:szCs w:val="21"/>
        </w:rPr>
        <w:t>debe</w:t>
      </w:r>
      <w:r w:rsidRPr="00366660">
        <w:rPr>
          <w:rFonts w:ascii="Arial" w:eastAsia="Arial," w:hAnsi="Arial" w:cs="Arial"/>
          <w:sz w:val="21"/>
          <w:szCs w:val="21"/>
        </w:rPr>
        <w:t xml:space="preserve"> </w:t>
      </w:r>
      <w:r w:rsidRPr="00366660">
        <w:rPr>
          <w:rFonts w:ascii="Arial" w:eastAsia="Arial" w:hAnsi="Arial" w:cs="Arial"/>
          <w:sz w:val="21"/>
          <w:szCs w:val="21"/>
        </w:rPr>
        <w:t>efectuarse</w:t>
      </w:r>
      <w:r w:rsidRPr="00366660">
        <w:rPr>
          <w:rFonts w:ascii="Arial" w:eastAsia="Arial," w:hAnsi="Arial" w:cs="Arial"/>
          <w:sz w:val="21"/>
          <w:szCs w:val="21"/>
        </w:rPr>
        <w:t xml:space="preserve"> </w:t>
      </w:r>
      <w:r w:rsidRPr="00366660">
        <w:rPr>
          <w:rFonts w:ascii="Arial" w:eastAsia="Arial" w:hAnsi="Arial" w:cs="Arial"/>
          <w:sz w:val="21"/>
          <w:szCs w:val="21"/>
        </w:rPr>
        <w:t>asumiendo</w:t>
      </w:r>
      <w:r w:rsidRPr="00366660">
        <w:rPr>
          <w:rFonts w:ascii="Arial" w:eastAsia="Arial," w:hAnsi="Arial" w:cs="Arial"/>
          <w:sz w:val="21"/>
          <w:szCs w:val="21"/>
        </w:rPr>
        <w:t xml:space="preserve"> </w:t>
      </w:r>
      <w:r w:rsidRPr="00366660">
        <w:rPr>
          <w:rFonts w:ascii="Arial" w:eastAsia="Arial" w:hAnsi="Arial" w:cs="Arial"/>
          <w:sz w:val="21"/>
          <w:szCs w:val="21"/>
        </w:rPr>
        <w:t>que</w:t>
      </w:r>
      <w:r w:rsidRPr="00366660">
        <w:rPr>
          <w:rFonts w:ascii="Arial" w:eastAsia="Arial," w:hAnsi="Arial" w:cs="Arial"/>
          <w:sz w:val="21"/>
          <w:szCs w:val="21"/>
        </w:rPr>
        <w:t xml:space="preserve"> </w:t>
      </w:r>
      <w:r w:rsidRPr="00366660">
        <w:rPr>
          <w:rFonts w:ascii="Arial" w:eastAsia="Arial" w:hAnsi="Arial" w:cs="Arial"/>
          <w:sz w:val="21"/>
          <w:szCs w:val="21"/>
        </w:rPr>
        <w:t>lo</w:t>
      </w:r>
      <w:r w:rsidRPr="00366660">
        <w:rPr>
          <w:rFonts w:ascii="Arial" w:eastAsia="Arial," w:hAnsi="Arial" w:cs="Arial"/>
          <w:sz w:val="21"/>
          <w:szCs w:val="21"/>
        </w:rPr>
        <w:t xml:space="preserve"> </w:t>
      </w:r>
      <w:r w:rsidRPr="00366660">
        <w:rPr>
          <w:rFonts w:ascii="Arial" w:eastAsia="Arial" w:hAnsi="Arial" w:cs="Arial"/>
          <w:sz w:val="21"/>
          <w:szCs w:val="21"/>
        </w:rPr>
        <w:t>que</w:t>
      </w:r>
      <w:r w:rsidRPr="00366660">
        <w:rPr>
          <w:rFonts w:ascii="Arial" w:eastAsia="Arial," w:hAnsi="Arial" w:cs="Arial"/>
          <w:sz w:val="21"/>
          <w:szCs w:val="21"/>
        </w:rPr>
        <w:t xml:space="preserve"> </w:t>
      </w:r>
      <w:r w:rsidRPr="00366660">
        <w:rPr>
          <w:rFonts w:ascii="Arial" w:eastAsia="Arial" w:hAnsi="Arial" w:cs="Arial"/>
          <w:sz w:val="21"/>
          <w:szCs w:val="21"/>
        </w:rPr>
        <w:t>falta</w:t>
      </w:r>
      <w:r w:rsidRPr="00366660">
        <w:rPr>
          <w:rFonts w:ascii="Arial" w:eastAsia="Arial," w:hAnsi="Arial" w:cs="Arial"/>
          <w:sz w:val="21"/>
          <w:szCs w:val="21"/>
        </w:rPr>
        <w:t xml:space="preserve"> </w:t>
      </w:r>
      <w:r w:rsidRPr="00366660">
        <w:rPr>
          <w:rFonts w:ascii="Arial" w:eastAsia="Arial" w:hAnsi="Arial" w:cs="Arial"/>
          <w:sz w:val="21"/>
          <w:szCs w:val="21"/>
        </w:rPr>
        <w:t>por</w:t>
      </w:r>
      <w:r w:rsidRPr="00366660">
        <w:rPr>
          <w:rFonts w:ascii="Arial" w:eastAsia="Arial," w:hAnsi="Arial" w:cs="Arial"/>
          <w:sz w:val="21"/>
          <w:szCs w:val="21"/>
        </w:rPr>
        <w:t xml:space="preserve"> </w:t>
      </w:r>
      <w:r w:rsidRPr="00366660">
        <w:rPr>
          <w:rFonts w:ascii="Arial" w:eastAsia="Arial" w:hAnsi="Arial" w:cs="Arial"/>
          <w:sz w:val="21"/>
          <w:szCs w:val="21"/>
        </w:rPr>
        <w:t>ejecutar</w:t>
      </w:r>
      <w:r w:rsidRPr="00366660">
        <w:rPr>
          <w:rFonts w:ascii="Arial" w:eastAsia="Arial," w:hAnsi="Arial" w:cs="Arial"/>
          <w:sz w:val="21"/>
          <w:szCs w:val="21"/>
        </w:rPr>
        <w:t xml:space="preserve"> </w:t>
      </w:r>
      <w:r w:rsidRPr="00366660">
        <w:rPr>
          <w:rFonts w:ascii="Arial" w:eastAsia="Arial" w:hAnsi="Arial" w:cs="Arial"/>
          <w:sz w:val="21"/>
          <w:szCs w:val="21"/>
        </w:rPr>
        <w:t>iniciara</w:t>
      </w:r>
      <w:r w:rsidRPr="00366660">
        <w:rPr>
          <w:rFonts w:ascii="Arial" w:eastAsia="Arial," w:hAnsi="Arial" w:cs="Arial"/>
          <w:sz w:val="21"/>
          <w:szCs w:val="21"/>
        </w:rPr>
        <w:t xml:space="preserve"> </w:t>
      </w:r>
      <w:r w:rsidRPr="00366660">
        <w:rPr>
          <w:rFonts w:ascii="Arial" w:eastAsia="Arial" w:hAnsi="Arial" w:cs="Arial"/>
          <w:sz w:val="21"/>
          <w:szCs w:val="21"/>
        </w:rPr>
        <w:t>en</w:t>
      </w:r>
      <w:r w:rsidRPr="00366660">
        <w:rPr>
          <w:rFonts w:ascii="Arial" w:eastAsia="Arial," w:hAnsi="Arial" w:cs="Arial"/>
          <w:sz w:val="21"/>
          <w:szCs w:val="21"/>
        </w:rPr>
        <w:t xml:space="preserve"> </w:t>
      </w:r>
      <w:r w:rsidRPr="00366660">
        <w:rPr>
          <w:rFonts w:ascii="Arial" w:eastAsia="Arial" w:hAnsi="Arial" w:cs="Arial"/>
          <w:sz w:val="21"/>
          <w:szCs w:val="21"/>
        </w:rPr>
        <w:t>la</w:t>
      </w:r>
      <w:r w:rsidRPr="00366660">
        <w:rPr>
          <w:rFonts w:ascii="Arial" w:eastAsia="Arial," w:hAnsi="Arial" w:cs="Arial"/>
          <w:sz w:val="21"/>
          <w:szCs w:val="21"/>
        </w:rPr>
        <w:t xml:space="preserve"> </w:t>
      </w:r>
      <w:r w:rsidRPr="00366660">
        <w:rPr>
          <w:rFonts w:ascii="Arial" w:eastAsia="Arial" w:hAnsi="Arial" w:cs="Arial"/>
          <w:sz w:val="21"/>
          <w:szCs w:val="21"/>
        </w:rPr>
        <w:t>fecha de</w:t>
      </w:r>
      <w:r w:rsidRPr="00366660">
        <w:rPr>
          <w:rFonts w:ascii="Arial" w:eastAsia="Arial," w:hAnsi="Arial" w:cs="Arial"/>
          <w:sz w:val="21"/>
          <w:szCs w:val="21"/>
        </w:rPr>
        <w:t xml:space="preserve"> </w:t>
      </w:r>
      <w:r w:rsidRPr="00366660">
        <w:rPr>
          <w:rFonts w:ascii="Arial" w:eastAsia="Arial" w:hAnsi="Arial" w:cs="Arial"/>
          <w:sz w:val="21"/>
          <w:szCs w:val="21"/>
        </w:rPr>
        <w:t>presentación</w:t>
      </w:r>
      <w:r w:rsidRPr="00366660">
        <w:rPr>
          <w:rFonts w:ascii="Arial" w:eastAsia="Arial," w:hAnsi="Arial" w:cs="Arial"/>
          <w:sz w:val="21"/>
          <w:szCs w:val="21"/>
        </w:rPr>
        <w:t xml:space="preserve"> </w:t>
      </w:r>
      <w:r w:rsidRPr="00366660">
        <w:rPr>
          <w:rFonts w:ascii="Arial" w:eastAsia="Arial" w:hAnsi="Arial" w:cs="Arial"/>
          <w:sz w:val="21"/>
          <w:szCs w:val="21"/>
        </w:rPr>
        <w:t>de</w:t>
      </w:r>
      <w:r w:rsidRPr="00366660">
        <w:rPr>
          <w:rFonts w:ascii="Arial" w:eastAsia="Arial," w:hAnsi="Arial" w:cs="Arial"/>
          <w:sz w:val="21"/>
          <w:szCs w:val="21"/>
        </w:rPr>
        <w:t xml:space="preserve"> </w:t>
      </w:r>
      <w:r w:rsidRPr="00366660">
        <w:rPr>
          <w:rFonts w:ascii="Arial" w:eastAsia="Arial" w:hAnsi="Arial" w:cs="Arial"/>
          <w:sz w:val="21"/>
          <w:szCs w:val="21"/>
        </w:rPr>
        <w:t>la</w:t>
      </w:r>
      <w:r w:rsidRPr="00366660">
        <w:rPr>
          <w:rFonts w:ascii="Arial" w:eastAsia="Arial," w:hAnsi="Arial" w:cs="Arial"/>
          <w:sz w:val="21"/>
          <w:szCs w:val="21"/>
        </w:rPr>
        <w:t xml:space="preserve"> </w:t>
      </w:r>
      <w:r w:rsidRPr="00366660">
        <w:rPr>
          <w:rFonts w:ascii="Arial" w:eastAsia="Arial" w:hAnsi="Arial" w:cs="Arial"/>
          <w:sz w:val="21"/>
          <w:szCs w:val="21"/>
        </w:rPr>
        <w:t>oferta</w:t>
      </w:r>
      <w:r w:rsidRPr="00366660">
        <w:rPr>
          <w:rFonts w:ascii="Arial" w:eastAsia="Arial," w:hAnsi="Arial" w:cs="Arial"/>
          <w:sz w:val="21"/>
          <w:szCs w:val="21"/>
        </w:rPr>
        <w:t xml:space="preserve"> </w:t>
      </w:r>
      <w:r w:rsidRPr="00366660">
        <w:rPr>
          <w:rFonts w:ascii="Arial" w:eastAsia="Arial" w:hAnsi="Arial" w:cs="Arial"/>
          <w:sz w:val="21"/>
          <w:szCs w:val="21"/>
        </w:rPr>
        <w:t>del</w:t>
      </w:r>
      <w:r w:rsidRPr="00366660">
        <w:rPr>
          <w:rFonts w:ascii="Arial" w:eastAsia="Arial," w:hAnsi="Arial" w:cs="Arial"/>
          <w:sz w:val="21"/>
          <w:szCs w:val="21"/>
        </w:rPr>
        <w:t xml:space="preserve"> </w:t>
      </w:r>
      <w:r w:rsidRPr="00366660">
        <w:rPr>
          <w:rFonts w:ascii="Arial" w:eastAsia="Arial" w:hAnsi="Arial" w:cs="Arial"/>
          <w:sz w:val="21"/>
          <w:szCs w:val="21"/>
        </w:rPr>
        <w:t>Proceso de Contratación.</w:t>
      </w:r>
      <w:r w:rsidRPr="00366660">
        <w:rPr>
          <w:rFonts w:ascii="Arial" w:eastAsia="Arial," w:hAnsi="Arial" w:cs="Arial"/>
          <w:sz w:val="21"/>
          <w:szCs w:val="21"/>
        </w:rPr>
        <w:t xml:space="preserve"> </w:t>
      </w:r>
      <w:r w:rsidRPr="00366660">
        <w:rPr>
          <w:rFonts w:ascii="Arial" w:eastAsia="Arial" w:hAnsi="Arial" w:cs="Arial"/>
          <w:sz w:val="21"/>
          <w:szCs w:val="21"/>
        </w:rPr>
        <w:t>Si</w:t>
      </w:r>
      <w:r w:rsidRPr="00366660">
        <w:rPr>
          <w:rFonts w:ascii="Arial" w:eastAsia="Arial," w:hAnsi="Arial" w:cs="Arial"/>
          <w:sz w:val="21"/>
          <w:szCs w:val="21"/>
        </w:rPr>
        <w:t xml:space="preserve"> </w:t>
      </w:r>
      <w:r w:rsidRPr="00366660">
        <w:rPr>
          <w:rFonts w:ascii="Arial" w:eastAsia="Arial" w:hAnsi="Arial" w:cs="Arial"/>
          <w:sz w:val="21"/>
          <w:szCs w:val="21"/>
        </w:rPr>
        <w:t>el</w:t>
      </w:r>
      <w:r w:rsidRPr="00366660">
        <w:rPr>
          <w:rFonts w:ascii="Arial" w:eastAsia="Arial," w:hAnsi="Arial" w:cs="Arial"/>
          <w:sz w:val="21"/>
          <w:szCs w:val="21"/>
        </w:rPr>
        <w:t xml:space="preserve"> </w:t>
      </w:r>
      <w:r w:rsidRPr="00366660">
        <w:rPr>
          <w:rFonts w:ascii="Arial" w:eastAsia="Arial" w:hAnsi="Arial" w:cs="Arial"/>
          <w:sz w:val="21"/>
          <w:szCs w:val="21"/>
        </w:rPr>
        <w:t>contrato</w:t>
      </w:r>
      <w:r w:rsidRPr="00366660">
        <w:rPr>
          <w:rFonts w:ascii="Arial" w:eastAsia="Arial," w:hAnsi="Arial" w:cs="Arial"/>
          <w:sz w:val="21"/>
          <w:szCs w:val="21"/>
        </w:rPr>
        <w:t xml:space="preserve"> </w:t>
      </w:r>
      <w:r w:rsidRPr="00366660">
        <w:rPr>
          <w:rFonts w:ascii="Arial" w:eastAsia="Arial" w:hAnsi="Arial" w:cs="Arial"/>
          <w:sz w:val="21"/>
          <w:szCs w:val="21"/>
        </w:rPr>
        <w:t>está</w:t>
      </w:r>
      <w:r w:rsidRPr="00366660">
        <w:rPr>
          <w:rFonts w:ascii="Arial" w:eastAsia="Arial," w:hAnsi="Arial" w:cs="Arial"/>
          <w:sz w:val="21"/>
          <w:szCs w:val="21"/>
        </w:rPr>
        <w:t xml:space="preserve"> </w:t>
      </w:r>
      <w:r w:rsidRPr="00366660">
        <w:rPr>
          <w:rFonts w:ascii="Arial" w:eastAsia="Arial" w:hAnsi="Arial" w:cs="Arial"/>
          <w:sz w:val="21"/>
          <w:szCs w:val="21"/>
        </w:rPr>
        <w:t>suspendido</w:t>
      </w:r>
      <w:r w:rsidRPr="00366660">
        <w:rPr>
          <w:rFonts w:ascii="Arial" w:eastAsia="Arial," w:hAnsi="Arial" w:cs="Arial"/>
          <w:sz w:val="21"/>
          <w:szCs w:val="21"/>
        </w:rPr>
        <w:t xml:space="preserve"> </w:t>
      </w:r>
      <w:r w:rsidRPr="00366660">
        <w:rPr>
          <w:rFonts w:ascii="Arial" w:eastAsia="Arial" w:hAnsi="Arial" w:cs="Arial"/>
          <w:sz w:val="21"/>
          <w:szCs w:val="21"/>
        </w:rPr>
        <w:t>el</w:t>
      </w:r>
      <w:r w:rsidRPr="00366660">
        <w:rPr>
          <w:rFonts w:ascii="Arial" w:eastAsia="Arial," w:hAnsi="Arial" w:cs="Arial"/>
          <w:sz w:val="21"/>
          <w:szCs w:val="21"/>
        </w:rPr>
        <w:t xml:space="preserve"> </w:t>
      </w:r>
      <w:r w:rsidRPr="00366660">
        <w:rPr>
          <w:rFonts w:ascii="Arial" w:eastAsia="Arial" w:hAnsi="Arial" w:cs="Arial"/>
          <w:sz w:val="21"/>
          <w:szCs w:val="21"/>
        </w:rPr>
        <w:t>Proponente</w:t>
      </w:r>
      <w:r w:rsidRPr="00366660">
        <w:rPr>
          <w:rFonts w:ascii="Arial" w:eastAsia="Arial," w:hAnsi="Arial" w:cs="Arial"/>
          <w:sz w:val="21"/>
          <w:szCs w:val="21"/>
        </w:rPr>
        <w:t xml:space="preserve"> </w:t>
      </w:r>
      <w:r w:rsidRPr="00366660">
        <w:rPr>
          <w:rFonts w:ascii="Arial" w:eastAsia="Arial" w:hAnsi="Arial" w:cs="Arial"/>
          <w:sz w:val="21"/>
          <w:szCs w:val="21"/>
        </w:rPr>
        <w:t>debe</w:t>
      </w:r>
      <w:r w:rsidRPr="00366660">
        <w:rPr>
          <w:rFonts w:ascii="Arial" w:eastAsia="Arial," w:hAnsi="Arial" w:cs="Arial"/>
          <w:sz w:val="21"/>
          <w:szCs w:val="21"/>
        </w:rPr>
        <w:t xml:space="preserve"> </w:t>
      </w:r>
      <w:r w:rsidRPr="00366660">
        <w:rPr>
          <w:rFonts w:ascii="Arial" w:eastAsia="Arial" w:hAnsi="Arial" w:cs="Arial"/>
          <w:sz w:val="21"/>
          <w:szCs w:val="21"/>
        </w:rPr>
        <w:t>informar</w:t>
      </w:r>
      <w:r w:rsidRPr="00366660">
        <w:rPr>
          <w:rFonts w:ascii="Arial" w:eastAsia="Arial," w:hAnsi="Arial" w:cs="Arial"/>
          <w:sz w:val="21"/>
          <w:szCs w:val="21"/>
        </w:rPr>
        <w:t xml:space="preserve"> </w:t>
      </w:r>
      <w:r w:rsidRPr="00366660">
        <w:rPr>
          <w:rFonts w:ascii="Arial" w:eastAsia="Arial" w:hAnsi="Arial" w:cs="Arial"/>
          <w:sz w:val="21"/>
          <w:szCs w:val="21"/>
        </w:rPr>
        <w:t>el</w:t>
      </w:r>
      <w:r w:rsidRPr="00366660">
        <w:rPr>
          <w:rFonts w:ascii="Arial" w:eastAsia="Arial," w:hAnsi="Arial" w:cs="Arial"/>
          <w:sz w:val="21"/>
          <w:szCs w:val="21"/>
        </w:rPr>
        <w:t xml:space="preserve"> </w:t>
      </w:r>
      <w:r w:rsidRPr="00366660">
        <w:rPr>
          <w:rFonts w:ascii="Arial" w:eastAsia="Arial" w:hAnsi="Arial" w:cs="Arial"/>
          <w:sz w:val="21"/>
          <w:szCs w:val="21"/>
        </w:rPr>
        <w:t>saldo</w:t>
      </w:r>
      <w:r w:rsidRPr="00366660">
        <w:rPr>
          <w:rFonts w:ascii="Arial" w:eastAsia="Arial," w:hAnsi="Arial" w:cs="Arial"/>
          <w:sz w:val="21"/>
          <w:szCs w:val="21"/>
        </w:rPr>
        <w:t xml:space="preserve"> </w:t>
      </w:r>
      <w:r w:rsidRPr="00366660">
        <w:rPr>
          <w:rFonts w:ascii="Arial" w:eastAsia="Arial" w:hAnsi="Arial" w:cs="Arial"/>
          <w:sz w:val="21"/>
          <w:szCs w:val="21"/>
        </w:rPr>
        <w:t>pendiente</w:t>
      </w:r>
      <w:r w:rsidRPr="00366660">
        <w:rPr>
          <w:rFonts w:ascii="Arial" w:eastAsia="Arial," w:hAnsi="Arial" w:cs="Arial"/>
          <w:sz w:val="21"/>
          <w:szCs w:val="21"/>
        </w:rPr>
        <w:t xml:space="preserve"> </w:t>
      </w:r>
      <w:r w:rsidRPr="00366660">
        <w:rPr>
          <w:rFonts w:ascii="Arial" w:eastAsia="Arial" w:hAnsi="Arial" w:cs="Arial"/>
          <w:sz w:val="21"/>
          <w:szCs w:val="21"/>
        </w:rPr>
        <w:t>por</w:t>
      </w:r>
      <w:r w:rsidRPr="00366660">
        <w:rPr>
          <w:rFonts w:ascii="Arial" w:eastAsia="Arial," w:hAnsi="Arial" w:cs="Arial"/>
          <w:sz w:val="21"/>
          <w:szCs w:val="21"/>
        </w:rPr>
        <w:t xml:space="preserve"> </w:t>
      </w:r>
      <w:r w:rsidRPr="00366660">
        <w:rPr>
          <w:rFonts w:ascii="Arial" w:eastAsia="Arial" w:hAnsi="Arial" w:cs="Arial"/>
          <w:sz w:val="21"/>
          <w:szCs w:val="21"/>
        </w:rPr>
        <w:t xml:space="preserve">ejecutar. </w:t>
      </w:r>
    </w:p>
    <w:p w14:paraId="1C6F0BC2" w14:textId="77777777" w:rsidR="003358A3" w:rsidRPr="00366660" w:rsidRDefault="003358A3" w:rsidP="003358A3">
      <w:pPr>
        <w:pStyle w:val="Prrafodelista"/>
        <w:ind w:left="1134" w:right="709" w:hanging="425"/>
        <w:contextualSpacing w:val="0"/>
        <w:jc w:val="both"/>
        <w:rPr>
          <w:rFonts w:ascii="Arial" w:eastAsia="Arial" w:hAnsi="Arial" w:cs="Arial"/>
          <w:sz w:val="21"/>
          <w:szCs w:val="21"/>
        </w:rPr>
      </w:pPr>
      <w:r w:rsidRPr="00366660">
        <w:rPr>
          <w:rFonts w:ascii="Arial" w:eastAsia="Arial" w:hAnsi="Arial" w:cs="Arial"/>
          <w:sz w:val="21"/>
          <w:szCs w:val="21"/>
        </w:rPr>
        <w:t xml:space="preserve">V.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cálculo</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factor</w:t>
      </w:r>
      <w:r w:rsidRPr="00366660">
        <w:rPr>
          <w:rFonts w:ascii="Arial" w:eastAsia="Arial" w:hAnsi="Arial" w:cs="Arial"/>
          <w:sz w:val="21"/>
          <w:szCs w:val="21"/>
          <w:lang w:val="es-CO"/>
        </w:rPr>
        <w:t xml:space="preserve"> </w:t>
      </w:r>
      <w:r w:rsidRPr="00366660">
        <w:rPr>
          <w:rFonts w:ascii="Arial" w:hAnsi="Arial" w:cs="Arial"/>
          <w:sz w:val="21"/>
          <w:szCs w:val="21"/>
          <w:lang w:val="es-CO"/>
        </w:rPr>
        <w:t>(SCE)</w:t>
      </w:r>
      <w:r w:rsidRPr="00366660">
        <w:rPr>
          <w:rFonts w:ascii="Arial" w:eastAsia="Arial" w:hAnsi="Arial" w:cs="Arial"/>
          <w:sz w:val="21"/>
          <w:szCs w:val="21"/>
          <w:lang w:val="es-CO"/>
        </w:rPr>
        <w:t xml:space="preserve"> </w:t>
      </w:r>
      <w:r w:rsidRPr="00366660">
        <w:rPr>
          <w:rFonts w:ascii="Arial" w:hAnsi="Arial" w:cs="Arial"/>
          <w:sz w:val="21"/>
          <w:szCs w:val="21"/>
          <w:lang w:val="es-CO"/>
        </w:rPr>
        <w:t>debe</w:t>
      </w:r>
      <w:r w:rsidRPr="00366660">
        <w:rPr>
          <w:rFonts w:ascii="Arial" w:eastAsia="Arial" w:hAnsi="Arial" w:cs="Arial"/>
          <w:sz w:val="21"/>
          <w:szCs w:val="21"/>
          <w:lang w:val="es-CO"/>
        </w:rPr>
        <w:t xml:space="preserve"> </w:t>
      </w:r>
      <w:r w:rsidRPr="00366660">
        <w:rPr>
          <w:rFonts w:ascii="Arial" w:hAnsi="Arial" w:cs="Arial"/>
          <w:sz w:val="21"/>
          <w:szCs w:val="21"/>
          <w:lang w:val="es-CO"/>
        </w:rPr>
        <w:t>hacerse</w:t>
      </w:r>
      <w:r w:rsidRPr="00366660">
        <w:rPr>
          <w:rFonts w:ascii="Arial" w:eastAsia="Arial" w:hAnsi="Arial" w:cs="Arial"/>
          <w:sz w:val="21"/>
          <w:szCs w:val="21"/>
          <w:lang w:val="es-CO"/>
        </w:rPr>
        <w:t xml:space="preserve"> </w:t>
      </w:r>
      <w:r w:rsidRPr="00366660">
        <w:rPr>
          <w:rFonts w:ascii="Arial" w:hAnsi="Arial" w:cs="Arial"/>
          <w:sz w:val="21"/>
          <w:szCs w:val="21"/>
          <w:lang w:val="es-CO"/>
        </w:rPr>
        <w:t>linealmente</w:t>
      </w:r>
      <w:r w:rsidRPr="00366660">
        <w:rPr>
          <w:rFonts w:ascii="Arial" w:eastAsia="Arial" w:hAnsi="Arial" w:cs="Arial"/>
          <w:sz w:val="21"/>
          <w:szCs w:val="21"/>
          <w:lang w:val="es-CO"/>
        </w:rPr>
        <w:t xml:space="preserve"> </w:t>
      </w:r>
      <w:r w:rsidRPr="00366660">
        <w:rPr>
          <w:rFonts w:ascii="Arial" w:hAnsi="Arial" w:cs="Arial"/>
          <w:sz w:val="21"/>
          <w:szCs w:val="21"/>
          <w:lang w:val="es-CO"/>
        </w:rPr>
        <w:t>calculando</w:t>
      </w:r>
      <w:r w:rsidRPr="00366660">
        <w:rPr>
          <w:rFonts w:ascii="Arial" w:eastAsia="Arial" w:hAnsi="Arial" w:cs="Arial"/>
          <w:sz w:val="21"/>
          <w:szCs w:val="21"/>
          <w:lang w:val="es-CO"/>
        </w:rPr>
        <w:t xml:space="preserve"> </w:t>
      </w:r>
      <w:r w:rsidRPr="00366660">
        <w:rPr>
          <w:rFonts w:ascii="Arial" w:hAnsi="Arial" w:cs="Arial"/>
          <w:sz w:val="21"/>
          <w:szCs w:val="21"/>
          <w:lang w:val="es-CO"/>
        </w:rPr>
        <w:t>una</w:t>
      </w:r>
      <w:r w:rsidRPr="00366660">
        <w:rPr>
          <w:rFonts w:ascii="Arial" w:eastAsia="Arial" w:hAnsi="Arial" w:cs="Arial"/>
          <w:sz w:val="21"/>
          <w:szCs w:val="21"/>
          <w:lang w:val="es-CO"/>
        </w:rPr>
        <w:t xml:space="preserve"> </w:t>
      </w:r>
      <w:r w:rsidRPr="00366660">
        <w:rPr>
          <w:rFonts w:ascii="Arial" w:hAnsi="Arial" w:cs="Arial"/>
          <w:sz w:val="21"/>
          <w:szCs w:val="21"/>
          <w:lang w:val="es-CO"/>
        </w:rPr>
        <w:t>ejecución</w:t>
      </w:r>
      <w:r w:rsidRPr="00366660">
        <w:rPr>
          <w:rFonts w:ascii="Arial" w:eastAsia="Arial" w:hAnsi="Arial" w:cs="Arial"/>
          <w:sz w:val="21"/>
          <w:szCs w:val="21"/>
          <w:lang w:val="es-CO"/>
        </w:rPr>
        <w:t xml:space="preserve"> </w:t>
      </w:r>
      <w:r w:rsidRPr="00366660">
        <w:rPr>
          <w:rFonts w:ascii="Arial" w:hAnsi="Arial" w:cs="Arial"/>
          <w:sz w:val="21"/>
          <w:szCs w:val="21"/>
          <w:lang w:val="es-CO"/>
        </w:rPr>
        <w:t>diaria</w:t>
      </w:r>
      <w:r w:rsidRPr="00366660">
        <w:rPr>
          <w:rFonts w:ascii="Arial" w:eastAsia="Arial" w:hAnsi="Arial" w:cs="Arial"/>
          <w:sz w:val="21"/>
          <w:szCs w:val="21"/>
          <w:lang w:val="es-CO"/>
        </w:rPr>
        <w:t xml:space="preserve"> </w:t>
      </w:r>
      <w:r w:rsidRPr="00366660">
        <w:rPr>
          <w:rFonts w:ascii="Arial" w:hAnsi="Arial" w:cs="Arial"/>
          <w:sz w:val="21"/>
          <w:szCs w:val="21"/>
          <w:lang w:val="es-CO"/>
        </w:rPr>
        <w:t>equivalente</w:t>
      </w:r>
      <w:r w:rsidRPr="00366660">
        <w:rPr>
          <w:rFonts w:ascii="Arial" w:eastAsia="Arial" w:hAnsi="Arial" w:cs="Arial"/>
          <w:sz w:val="21"/>
          <w:szCs w:val="21"/>
          <w:lang w:val="es-CO"/>
        </w:rPr>
        <w:t xml:space="preserve"> </w:t>
      </w:r>
      <w:r w:rsidRPr="00366660">
        <w:rPr>
          <w:rFonts w:ascii="Arial" w:hAnsi="Arial" w:cs="Arial"/>
          <w:sz w:val="21"/>
          <w:szCs w:val="21"/>
          <w:lang w:val="es-CO"/>
        </w:rPr>
        <w:t>al</w:t>
      </w:r>
      <w:r w:rsidRPr="00366660">
        <w:rPr>
          <w:rFonts w:ascii="Arial" w:eastAsia="Arial" w:hAnsi="Arial" w:cs="Arial"/>
          <w:sz w:val="21"/>
          <w:szCs w:val="21"/>
          <w:lang w:val="es-CO"/>
        </w:rPr>
        <w:t xml:space="preserve"> </w:t>
      </w:r>
      <w:r w:rsidRPr="00366660">
        <w:rPr>
          <w:rFonts w:ascii="Arial" w:hAnsi="Arial" w:cs="Arial"/>
          <w:sz w:val="21"/>
          <w:szCs w:val="21"/>
          <w:lang w:val="es-CO"/>
        </w:rPr>
        <w:t>valor</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contrato</w:t>
      </w:r>
      <w:r w:rsidRPr="00366660">
        <w:rPr>
          <w:rFonts w:ascii="Arial" w:eastAsia="Arial" w:hAnsi="Arial" w:cs="Arial"/>
          <w:sz w:val="21"/>
          <w:szCs w:val="21"/>
          <w:lang w:val="es-CO"/>
        </w:rPr>
        <w:t xml:space="preserve"> </w:t>
      </w:r>
      <w:r w:rsidRPr="00366660">
        <w:rPr>
          <w:rFonts w:ascii="Arial" w:hAnsi="Arial" w:cs="Arial"/>
          <w:sz w:val="21"/>
          <w:szCs w:val="21"/>
          <w:lang w:val="es-CO"/>
        </w:rPr>
        <w:t>dividido</w:t>
      </w:r>
      <w:r w:rsidRPr="00366660">
        <w:rPr>
          <w:rFonts w:ascii="Arial" w:eastAsia="Arial" w:hAnsi="Arial" w:cs="Arial"/>
          <w:sz w:val="21"/>
          <w:szCs w:val="21"/>
          <w:lang w:val="es-CO"/>
        </w:rPr>
        <w:t xml:space="preserve"> </w:t>
      </w:r>
      <w:r w:rsidRPr="00366660">
        <w:rPr>
          <w:rFonts w:ascii="Arial" w:hAnsi="Arial" w:cs="Arial"/>
          <w:sz w:val="21"/>
          <w:szCs w:val="21"/>
          <w:lang w:val="es-CO"/>
        </w:rPr>
        <w:t>por</w:t>
      </w:r>
      <w:r w:rsidRPr="00366660">
        <w:rPr>
          <w:rFonts w:ascii="Arial" w:eastAsia="Arial" w:hAnsi="Arial" w:cs="Arial"/>
          <w:sz w:val="21"/>
          <w:szCs w:val="21"/>
          <w:lang w:val="es-CO"/>
        </w:rPr>
        <w:t xml:space="preserve">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plazo</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contrato</w:t>
      </w:r>
      <w:r w:rsidRPr="00366660">
        <w:rPr>
          <w:rFonts w:ascii="Arial" w:eastAsia="Arial" w:hAnsi="Arial" w:cs="Arial"/>
          <w:sz w:val="21"/>
          <w:szCs w:val="21"/>
          <w:lang w:val="es-CO"/>
        </w:rPr>
        <w:t xml:space="preserve"> </w:t>
      </w:r>
      <w:r w:rsidRPr="00366660">
        <w:rPr>
          <w:rFonts w:ascii="Arial" w:hAnsi="Arial" w:cs="Arial"/>
          <w:sz w:val="21"/>
          <w:szCs w:val="21"/>
          <w:lang w:val="es-CO"/>
        </w:rPr>
        <w:t>expresado</w:t>
      </w:r>
      <w:r w:rsidRPr="00366660">
        <w:rPr>
          <w:rFonts w:ascii="Arial" w:eastAsia="Arial" w:hAnsi="Arial" w:cs="Arial"/>
          <w:sz w:val="21"/>
          <w:szCs w:val="21"/>
          <w:lang w:val="es-CO"/>
        </w:rPr>
        <w:t xml:space="preserve"> </w:t>
      </w:r>
      <w:r w:rsidRPr="00366660">
        <w:rPr>
          <w:rFonts w:ascii="Arial" w:hAnsi="Arial" w:cs="Arial"/>
          <w:sz w:val="21"/>
          <w:szCs w:val="21"/>
          <w:lang w:val="es-CO"/>
        </w:rPr>
        <w:t>en</w:t>
      </w:r>
      <w:r w:rsidRPr="00366660">
        <w:rPr>
          <w:rFonts w:ascii="Arial" w:eastAsia="Arial" w:hAnsi="Arial" w:cs="Arial"/>
          <w:sz w:val="21"/>
          <w:szCs w:val="21"/>
          <w:lang w:val="es-CO"/>
        </w:rPr>
        <w:t xml:space="preserve"> </w:t>
      </w:r>
      <w:r w:rsidRPr="00366660">
        <w:rPr>
          <w:rFonts w:ascii="Arial" w:hAnsi="Arial" w:cs="Arial"/>
          <w:sz w:val="21"/>
          <w:szCs w:val="21"/>
          <w:lang w:val="es-CO"/>
        </w:rPr>
        <w:t>días.</w:t>
      </w:r>
      <w:r w:rsidRPr="00366660">
        <w:rPr>
          <w:rFonts w:ascii="Arial" w:eastAsia="Arial" w:hAnsi="Arial" w:cs="Arial"/>
          <w:sz w:val="21"/>
          <w:szCs w:val="21"/>
          <w:lang w:val="es-CO"/>
        </w:rPr>
        <w:t xml:space="preserve"> </w:t>
      </w:r>
      <w:r w:rsidRPr="00366660">
        <w:rPr>
          <w:rFonts w:ascii="Arial" w:hAnsi="Arial" w:cs="Arial"/>
          <w:sz w:val="21"/>
          <w:szCs w:val="21"/>
          <w:lang w:val="es-CO"/>
        </w:rPr>
        <w:t>Este</w:t>
      </w:r>
      <w:r w:rsidRPr="00366660">
        <w:rPr>
          <w:rFonts w:ascii="Arial" w:eastAsia="Arial" w:hAnsi="Arial" w:cs="Arial"/>
          <w:sz w:val="21"/>
          <w:szCs w:val="21"/>
          <w:lang w:val="es-CO"/>
        </w:rPr>
        <w:t xml:space="preserve"> </w:t>
      </w:r>
      <w:r w:rsidRPr="00366660">
        <w:rPr>
          <w:rFonts w:ascii="Arial" w:hAnsi="Arial" w:cs="Arial"/>
          <w:sz w:val="21"/>
          <w:szCs w:val="21"/>
          <w:lang w:val="es-CO"/>
        </w:rPr>
        <w:t>resultado</w:t>
      </w:r>
      <w:r w:rsidRPr="00366660">
        <w:rPr>
          <w:rFonts w:ascii="Arial" w:eastAsia="Arial" w:hAnsi="Arial" w:cs="Arial"/>
          <w:sz w:val="21"/>
          <w:szCs w:val="21"/>
          <w:lang w:val="es-CO"/>
        </w:rPr>
        <w:t xml:space="preserve"> </w:t>
      </w:r>
      <w:r w:rsidRPr="00366660">
        <w:rPr>
          <w:rFonts w:ascii="Arial" w:hAnsi="Arial" w:cs="Arial"/>
          <w:sz w:val="21"/>
          <w:szCs w:val="21"/>
          <w:lang w:val="es-CO"/>
        </w:rPr>
        <w:t>se</w:t>
      </w:r>
      <w:r w:rsidRPr="00366660">
        <w:rPr>
          <w:rFonts w:ascii="Arial" w:eastAsia="Arial" w:hAnsi="Arial" w:cs="Arial"/>
          <w:sz w:val="21"/>
          <w:szCs w:val="21"/>
          <w:lang w:val="es-CO"/>
        </w:rPr>
        <w:t xml:space="preserve"> </w:t>
      </w:r>
      <w:r w:rsidRPr="00366660">
        <w:rPr>
          <w:rFonts w:ascii="Arial" w:hAnsi="Arial" w:cs="Arial"/>
          <w:sz w:val="21"/>
          <w:szCs w:val="21"/>
          <w:lang w:val="es-CO"/>
        </w:rPr>
        <w:t>multiplica</w:t>
      </w:r>
      <w:r w:rsidRPr="00366660">
        <w:rPr>
          <w:rFonts w:ascii="Arial" w:eastAsia="Arial" w:hAnsi="Arial" w:cs="Arial"/>
          <w:sz w:val="21"/>
          <w:szCs w:val="21"/>
          <w:lang w:val="es-CO"/>
        </w:rPr>
        <w:t xml:space="preserve"> </w:t>
      </w:r>
      <w:r w:rsidRPr="00366660">
        <w:rPr>
          <w:rFonts w:ascii="Arial" w:hAnsi="Arial" w:cs="Arial"/>
          <w:sz w:val="21"/>
          <w:szCs w:val="21"/>
          <w:lang w:val="es-CO"/>
        </w:rPr>
        <w:t>por</w:t>
      </w:r>
      <w:r w:rsidRPr="00366660">
        <w:rPr>
          <w:rFonts w:ascii="Arial" w:eastAsia="Arial" w:hAnsi="Arial" w:cs="Arial"/>
          <w:sz w:val="21"/>
          <w:szCs w:val="21"/>
          <w:lang w:val="es-CO"/>
        </w:rPr>
        <w:t xml:space="preserve">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número</w:t>
      </w:r>
      <w:r w:rsidRPr="00366660">
        <w:rPr>
          <w:rFonts w:ascii="Arial" w:eastAsia="Arial" w:hAnsi="Arial" w:cs="Arial"/>
          <w:sz w:val="21"/>
          <w:szCs w:val="21"/>
          <w:lang w:val="es-CO"/>
        </w:rPr>
        <w:t xml:space="preserve"> </w:t>
      </w:r>
      <w:r w:rsidRPr="00366660">
        <w:rPr>
          <w:rFonts w:ascii="Arial" w:hAnsi="Arial" w:cs="Arial"/>
          <w:sz w:val="21"/>
          <w:szCs w:val="21"/>
          <w:lang w:val="es-CO"/>
        </w:rPr>
        <w:t>de</w:t>
      </w:r>
      <w:r w:rsidRPr="00366660">
        <w:rPr>
          <w:rFonts w:ascii="Arial" w:eastAsia="Arial" w:hAnsi="Arial" w:cs="Arial"/>
          <w:sz w:val="21"/>
          <w:szCs w:val="21"/>
          <w:lang w:val="es-CO"/>
        </w:rPr>
        <w:t xml:space="preserve"> </w:t>
      </w:r>
      <w:r w:rsidRPr="00366660">
        <w:rPr>
          <w:rFonts w:ascii="Arial" w:hAnsi="Arial" w:cs="Arial"/>
          <w:sz w:val="21"/>
          <w:szCs w:val="21"/>
          <w:lang w:val="es-CO"/>
        </w:rPr>
        <w:t>días</w:t>
      </w:r>
      <w:r w:rsidRPr="00366660">
        <w:rPr>
          <w:rFonts w:ascii="Arial" w:eastAsia="Arial" w:hAnsi="Arial" w:cs="Arial"/>
          <w:sz w:val="21"/>
          <w:szCs w:val="21"/>
          <w:lang w:val="es-CO"/>
        </w:rPr>
        <w:t xml:space="preserve"> </w:t>
      </w:r>
      <w:r w:rsidRPr="00366660">
        <w:rPr>
          <w:rFonts w:ascii="Arial" w:hAnsi="Arial" w:cs="Arial"/>
          <w:sz w:val="21"/>
          <w:szCs w:val="21"/>
          <w:lang w:val="es-CO"/>
        </w:rPr>
        <w:t>pendientes</w:t>
      </w:r>
      <w:r w:rsidRPr="00366660">
        <w:rPr>
          <w:rFonts w:ascii="Arial" w:eastAsia="Arial" w:hAnsi="Arial" w:cs="Arial"/>
          <w:sz w:val="21"/>
          <w:szCs w:val="21"/>
          <w:lang w:val="es-CO"/>
        </w:rPr>
        <w:t xml:space="preserve"> </w:t>
      </w:r>
      <w:r w:rsidRPr="00366660">
        <w:rPr>
          <w:rFonts w:ascii="Arial" w:hAnsi="Arial" w:cs="Arial"/>
          <w:sz w:val="21"/>
          <w:szCs w:val="21"/>
          <w:lang w:val="es-CO"/>
        </w:rPr>
        <w:t>para</w:t>
      </w:r>
      <w:r w:rsidRPr="00366660">
        <w:rPr>
          <w:rFonts w:ascii="Arial" w:eastAsia="Arial" w:hAnsi="Arial" w:cs="Arial"/>
          <w:sz w:val="21"/>
          <w:szCs w:val="21"/>
          <w:lang w:val="es-CO"/>
        </w:rPr>
        <w:t xml:space="preserve"> </w:t>
      </w:r>
      <w:r w:rsidRPr="00366660">
        <w:rPr>
          <w:rFonts w:ascii="Arial" w:hAnsi="Arial" w:cs="Arial"/>
          <w:sz w:val="21"/>
          <w:szCs w:val="21"/>
          <w:lang w:val="es-CO"/>
        </w:rPr>
        <w:t>cumplir</w:t>
      </w:r>
      <w:r w:rsidRPr="00366660">
        <w:rPr>
          <w:rFonts w:ascii="Arial" w:eastAsia="Arial" w:hAnsi="Arial" w:cs="Arial"/>
          <w:sz w:val="21"/>
          <w:szCs w:val="21"/>
          <w:lang w:val="es-CO"/>
        </w:rPr>
        <w:t xml:space="preserve">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plazo</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contrato</w:t>
      </w:r>
      <w:r w:rsidRPr="00366660">
        <w:rPr>
          <w:rFonts w:ascii="Arial" w:eastAsia="Arial" w:hAnsi="Arial" w:cs="Arial"/>
          <w:sz w:val="21"/>
          <w:szCs w:val="21"/>
          <w:lang w:val="es-CO"/>
        </w:rPr>
        <w:t xml:space="preserve"> </w:t>
      </w:r>
      <w:r w:rsidRPr="00366660">
        <w:rPr>
          <w:rFonts w:ascii="Arial" w:hAnsi="Arial" w:cs="Arial"/>
          <w:sz w:val="21"/>
          <w:szCs w:val="21"/>
          <w:lang w:val="es-CO"/>
        </w:rPr>
        <w:t>y</w:t>
      </w:r>
      <w:r w:rsidRPr="00366660">
        <w:rPr>
          <w:rFonts w:ascii="Arial" w:eastAsia="Arial" w:hAnsi="Arial" w:cs="Arial"/>
          <w:sz w:val="21"/>
          <w:szCs w:val="21"/>
          <w:lang w:val="es-CO"/>
        </w:rPr>
        <w:t xml:space="preserve"> </w:t>
      </w:r>
      <w:r w:rsidRPr="00366660">
        <w:rPr>
          <w:rFonts w:ascii="Arial" w:hAnsi="Arial" w:cs="Arial"/>
          <w:sz w:val="21"/>
          <w:szCs w:val="21"/>
          <w:lang w:val="es-CO"/>
        </w:rPr>
        <w:t>si</w:t>
      </w:r>
      <w:r w:rsidRPr="00366660">
        <w:rPr>
          <w:rFonts w:ascii="Arial" w:eastAsia="Arial" w:hAnsi="Arial" w:cs="Arial"/>
          <w:sz w:val="21"/>
          <w:szCs w:val="21"/>
          <w:lang w:val="es-CO"/>
        </w:rPr>
        <w:t xml:space="preserve"> </w:t>
      </w:r>
      <w:r w:rsidRPr="00366660">
        <w:rPr>
          <w:rFonts w:ascii="Arial" w:hAnsi="Arial" w:cs="Arial"/>
          <w:sz w:val="21"/>
          <w:szCs w:val="21"/>
          <w:lang w:val="es-CO"/>
        </w:rPr>
        <w:t>el</w:t>
      </w:r>
      <w:r w:rsidRPr="00366660">
        <w:rPr>
          <w:rFonts w:ascii="Arial" w:eastAsia="Arial" w:hAnsi="Arial" w:cs="Arial"/>
          <w:sz w:val="21"/>
          <w:szCs w:val="21"/>
          <w:lang w:val="es-CO"/>
        </w:rPr>
        <w:t xml:space="preserve"> </w:t>
      </w:r>
      <w:r w:rsidRPr="00366660">
        <w:rPr>
          <w:rFonts w:ascii="Arial" w:hAnsi="Arial" w:cs="Arial"/>
          <w:sz w:val="21"/>
          <w:szCs w:val="21"/>
          <w:lang w:val="es-CO"/>
        </w:rPr>
        <w:t>contrato</w:t>
      </w:r>
      <w:r w:rsidRPr="00366660">
        <w:rPr>
          <w:rFonts w:ascii="Arial" w:eastAsia="Arial" w:hAnsi="Arial" w:cs="Arial"/>
          <w:sz w:val="21"/>
          <w:szCs w:val="21"/>
          <w:lang w:val="es-CO"/>
        </w:rPr>
        <w:t xml:space="preserve"> </w:t>
      </w:r>
      <w:r w:rsidRPr="00366660">
        <w:rPr>
          <w:rFonts w:ascii="Arial" w:hAnsi="Arial" w:cs="Arial"/>
          <w:sz w:val="21"/>
          <w:szCs w:val="21"/>
          <w:lang w:val="es-CO"/>
        </w:rPr>
        <w:t>es</w:t>
      </w:r>
      <w:r w:rsidRPr="00366660">
        <w:rPr>
          <w:rFonts w:ascii="Arial" w:eastAsia="Arial" w:hAnsi="Arial" w:cs="Arial"/>
          <w:sz w:val="21"/>
          <w:szCs w:val="21"/>
          <w:lang w:val="es-CO"/>
        </w:rPr>
        <w:t xml:space="preserve"> </w:t>
      </w:r>
      <w:r w:rsidRPr="00366660">
        <w:rPr>
          <w:rFonts w:ascii="Arial" w:hAnsi="Arial" w:cs="Arial"/>
          <w:sz w:val="21"/>
          <w:szCs w:val="21"/>
          <w:lang w:val="es-CO"/>
        </w:rPr>
        <w:t>ejecutado</w:t>
      </w:r>
      <w:r w:rsidRPr="00366660">
        <w:rPr>
          <w:rFonts w:ascii="Arial" w:eastAsia="Arial" w:hAnsi="Arial" w:cs="Arial"/>
          <w:sz w:val="21"/>
          <w:szCs w:val="21"/>
          <w:lang w:val="es-CO"/>
        </w:rPr>
        <w:t xml:space="preserve"> </w:t>
      </w:r>
      <w:r w:rsidRPr="00366660">
        <w:rPr>
          <w:rFonts w:ascii="Arial" w:hAnsi="Arial" w:cs="Arial"/>
          <w:sz w:val="21"/>
          <w:szCs w:val="21"/>
          <w:lang w:val="es-CO"/>
        </w:rPr>
        <w:t>por</w:t>
      </w:r>
      <w:r w:rsidRPr="00366660">
        <w:rPr>
          <w:rFonts w:ascii="Arial" w:eastAsia="Arial" w:hAnsi="Arial" w:cs="Arial"/>
          <w:sz w:val="21"/>
          <w:szCs w:val="21"/>
          <w:lang w:val="es-CO"/>
        </w:rPr>
        <w:t xml:space="preserve"> </w:t>
      </w:r>
      <w:r w:rsidRPr="00366660">
        <w:rPr>
          <w:rFonts w:ascii="Arial" w:hAnsi="Arial" w:cs="Arial"/>
          <w:sz w:val="21"/>
          <w:szCs w:val="21"/>
          <w:lang w:val="es-CO"/>
        </w:rPr>
        <w:t>una estructura plural</w:t>
      </w:r>
      <w:r w:rsidRPr="00366660">
        <w:rPr>
          <w:rFonts w:ascii="Arial" w:eastAsia="Arial" w:hAnsi="Arial" w:cs="Arial"/>
          <w:sz w:val="21"/>
          <w:szCs w:val="21"/>
          <w:lang w:val="es-CO"/>
        </w:rPr>
        <w:t xml:space="preserve"> </w:t>
      </w:r>
      <w:r w:rsidRPr="00366660">
        <w:rPr>
          <w:rFonts w:ascii="Arial" w:hAnsi="Arial" w:cs="Arial"/>
          <w:sz w:val="21"/>
          <w:szCs w:val="21"/>
          <w:lang w:val="es-CO"/>
        </w:rPr>
        <w:t>por</w:t>
      </w:r>
      <w:r w:rsidRPr="00366660">
        <w:rPr>
          <w:rFonts w:ascii="Arial" w:eastAsia="Arial" w:hAnsi="Arial" w:cs="Arial"/>
          <w:sz w:val="21"/>
          <w:szCs w:val="21"/>
          <w:lang w:val="es-CO"/>
        </w:rPr>
        <w:t xml:space="preserve"> </w:t>
      </w:r>
      <w:r w:rsidRPr="00366660">
        <w:rPr>
          <w:rFonts w:ascii="Arial" w:hAnsi="Arial" w:cs="Arial"/>
          <w:sz w:val="21"/>
          <w:szCs w:val="21"/>
          <w:lang w:val="es-CO"/>
        </w:rPr>
        <w:t>la</w:t>
      </w:r>
      <w:r w:rsidRPr="00366660">
        <w:rPr>
          <w:rFonts w:ascii="Arial" w:eastAsia="Arial" w:hAnsi="Arial" w:cs="Arial"/>
          <w:sz w:val="21"/>
          <w:szCs w:val="21"/>
          <w:lang w:val="es-CO"/>
        </w:rPr>
        <w:t xml:space="preserve"> </w:t>
      </w:r>
      <w:r w:rsidRPr="00366660">
        <w:rPr>
          <w:rFonts w:ascii="Arial" w:hAnsi="Arial" w:cs="Arial"/>
          <w:sz w:val="21"/>
          <w:szCs w:val="21"/>
          <w:lang w:val="es-CO"/>
        </w:rPr>
        <w:t>participación</w:t>
      </w:r>
      <w:r w:rsidRPr="00366660">
        <w:rPr>
          <w:rFonts w:ascii="Arial" w:eastAsia="Arial" w:hAnsi="Arial" w:cs="Arial"/>
          <w:sz w:val="21"/>
          <w:szCs w:val="21"/>
          <w:lang w:val="es-CO"/>
        </w:rPr>
        <w:t xml:space="preserve"> </w:t>
      </w:r>
      <w:r w:rsidRPr="00366660">
        <w:rPr>
          <w:rFonts w:ascii="Arial" w:hAnsi="Arial" w:cs="Arial"/>
          <w:sz w:val="21"/>
          <w:szCs w:val="21"/>
          <w:lang w:val="es-CO"/>
        </w:rPr>
        <w:t>del</w:t>
      </w:r>
      <w:r w:rsidRPr="00366660">
        <w:rPr>
          <w:rFonts w:ascii="Arial" w:eastAsia="Arial" w:hAnsi="Arial" w:cs="Arial"/>
          <w:sz w:val="21"/>
          <w:szCs w:val="21"/>
          <w:lang w:val="es-CO"/>
        </w:rPr>
        <w:t xml:space="preserve"> </w:t>
      </w:r>
      <w:r w:rsidRPr="00366660">
        <w:rPr>
          <w:rFonts w:ascii="Arial" w:hAnsi="Arial" w:cs="Arial"/>
          <w:sz w:val="21"/>
          <w:szCs w:val="21"/>
          <w:lang w:val="es-CO"/>
        </w:rPr>
        <w:t>Proponente</w:t>
      </w:r>
      <w:r w:rsidRPr="00366660">
        <w:rPr>
          <w:rFonts w:ascii="Arial" w:eastAsia="Arial" w:hAnsi="Arial" w:cs="Arial"/>
          <w:sz w:val="21"/>
          <w:szCs w:val="21"/>
          <w:lang w:val="es-CO"/>
        </w:rPr>
        <w:t xml:space="preserve"> </w:t>
      </w:r>
      <w:r w:rsidRPr="00366660">
        <w:rPr>
          <w:rFonts w:ascii="Arial" w:hAnsi="Arial" w:cs="Arial"/>
          <w:sz w:val="21"/>
          <w:szCs w:val="21"/>
          <w:lang w:val="es-CO"/>
        </w:rPr>
        <w:t>en</w:t>
      </w:r>
      <w:r w:rsidRPr="00366660">
        <w:rPr>
          <w:rFonts w:ascii="Arial" w:eastAsia="Arial" w:hAnsi="Arial" w:cs="Arial"/>
          <w:sz w:val="21"/>
          <w:szCs w:val="21"/>
          <w:lang w:val="es-CO"/>
        </w:rPr>
        <w:t xml:space="preserve"> </w:t>
      </w:r>
      <w:r w:rsidRPr="00366660">
        <w:rPr>
          <w:rFonts w:ascii="Arial" w:hAnsi="Arial" w:cs="Arial"/>
          <w:sz w:val="21"/>
          <w:szCs w:val="21"/>
          <w:lang w:val="es-CO"/>
        </w:rPr>
        <w:t xml:space="preserve">la respectiva estructura. </w:t>
      </w:r>
    </w:p>
    <w:p w14:paraId="6B22CD58" w14:textId="77777777" w:rsidR="003358A3" w:rsidRDefault="003358A3" w:rsidP="003358A3">
      <w:pPr>
        <w:pStyle w:val="Prrafodelista"/>
        <w:spacing w:line="276" w:lineRule="auto"/>
        <w:ind w:left="0" w:firstLine="708"/>
        <w:jc w:val="both"/>
        <w:rPr>
          <w:rFonts w:ascii="Arial" w:eastAsia="Arial," w:hAnsi="Arial" w:cs="Arial"/>
          <w:sz w:val="21"/>
          <w:szCs w:val="21"/>
        </w:rPr>
      </w:pPr>
      <w:r w:rsidRPr="00366660">
        <w:rPr>
          <w:rFonts w:ascii="Arial" w:eastAsia="Arial," w:hAnsi="Arial" w:cs="Arial"/>
          <w:sz w:val="21"/>
          <w:szCs w:val="21"/>
        </w:rPr>
        <w:t>[…]</w:t>
      </w:r>
    </w:p>
    <w:p w14:paraId="312C87D4" w14:textId="77777777" w:rsidR="003358A3" w:rsidRPr="00366660" w:rsidRDefault="003358A3" w:rsidP="003358A3">
      <w:pPr>
        <w:pStyle w:val="Prrafodelista"/>
        <w:spacing w:line="276" w:lineRule="auto"/>
        <w:ind w:left="0" w:firstLine="708"/>
        <w:jc w:val="both"/>
        <w:rPr>
          <w:rFonts w:ascii="Arial" w:eastAsia="Arial," w:hAnsi="Arial" w:cs="Arial"/>
        </w:rPr>
      </w:pPr>
    </w:p>
    <w:p w14:paraId="1463A85C" w14:textId="77777777" w:rsidR="003358A3" w:rsidRPr="00366660" w:rsidRDefault="003358A3" w:rsidP="003358A3">
      <w:pPr>
        <w:spacing w:after="0" w:line="276" w:lineRule="auto"/>
        <w:ind w:firstLine="709"/>
        <w:jc w:val="both"/>
        <w:rPr>
          <w:rFonts w:ascii="Arial" w:hAnsi="Arial" w:cs="Arial"/>
        </w:rPr>
      </w:pPr>
      <w:r w:rsidRPr="00366660">
        <w:rPr>
          <w:rFonts w:ascii="Arial" w:eastAsia="Arial," w:hAnsi="Arial" w:cs="Arial"/>
        </w:rPr>
        <w:t xml:space="preserve">Como se aprecia, los apartados transcritos del documento base están en armonía con lo dispuesto en la </w:t>
      </w:r>
      <w:r w:rsidRPr="00366660">
        <w:rPr>
          <w:rFonts w:ascii="Arial" w:hAnsi="Arial"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366660">
        <w:rPr>
          <w:rFonts w:ascii="Arial" w:eastAsia="Calibri" w:hAnsi="Arial" w:cs="Arial"/>
          <w:color w:val="000000" w:themeColor="text1"/>
          <w:lang w:val="es-MX"/>
        </w:rPr>
        <w:t xml:space="preserve">el artículo 2.2.1.1.1.6.4 del Decreto 1082 de 2015, en virtud del cual, para efectos de </w:t>
      </w:r>
      <w:r w:rsidRPr="00366660">
        <w:rPr>
          <w:rFonts w:ascii="Arial" w:hAnsi="Arial" w:cs="Arial"/>
          <w:szCs w:val="20"/>
          <w:lang w:val="es-MX"/>
        </w:rPr>
        <w:t>acreditar la capacidad residual del proponente, se requiere el listado de contratos de obra civiles en ejecución suscritos con entidades estatales y con entidades privadas.</w:t>
      </w:r>
    </w:p>
    <w:p w14:paraId="4E3E8AD1" w14:textId="77777777" w:rsidR="003358A3" w:rsidRPr="00366660" w:rsidRDefault="003358A3" w:rsidP="003358A3">
      <w:pPr>
        <w:spacing w:after="0" w:line="276" w:lineRule="auto"/>
        <w:ind w:firstLine="709"/>
        <w:jc w:val="both"/>
        <w:rPr>
          <w:rStyle w:val="normaltextrun"/>
          <w:rFonts w:ascii="Arial" w:hAnsi="Arial" w:cs="Arial"/>
        </w:rPr>
      </w:pPr>
    </w:p>
    <w:p w14:paraId="50605302" w14:textId="77777777" w:rsidR="003358A3" w:rsidRPr="00366660" w:rsidRDefault="003358A3" w:rsidP="003358A3">
      <w:pPr>
        <w:tabs>
          <w:tab w:val="left" w:pos="426"/>
        </w:tabs>
        <w:spacing w:after="0" w:line="276" w:lineRule="auto"/>
        <w:jc w:val="both"/>
        <w:rPr>
          <w:rFonts w:ascii="Arial" w:hAnsi="Arial" w:cs="Arial"/>
          <w:b/>
          <w:bCs/>
          <w:szCs w:val="20"/>
          <w:lang w:val="es-MX"/>
        </w:rPr>
      </w:pPr>
      <w:r w:rsidRPr="00366660">
        <w:rPr>
          <w:rFonts w:ascii="Arial" w:eastAsia="Calibri" w:hAnsi="Arial" w:cs="Arial"/>
          <w:b/>
          <w:bCs/>
          <w:color w:val="000000"/>
          <w:lang w:eastAsia="en-GB"/>
        </w:rPr>
        <w:t>2.</w:t>
      </w:r>
      <w:r>
        <w:rPr>
          <w:rFonts w:ascii="Arial" w:eastAsia="Calibri" w:hAnsi="Arial" w:cs="Arial"/>
          <w:b/>
          <w:bCs/>
          <w:color w:val="000000"/>
          <w:lang w:eastAsia="en-GB"/>
        </w:rPr>
        <w:t>3</w:t>
      </w:r>
      <w:r w:rsidRPr="00366660">
        <w:rPr>
          <w:rFonts w:ascii="Arial" w:eastAsia="Calibri" w:hAnsi="Arial" w:cs="Arial"/>
          <w:b/>
          <w:bCs/>
          <w:color w:val="000000"/>
          <w:lang w:eastAsia="en-GB"/>
        </w:rPr>
        <w:t xml:space="preserve">. Capacidad residual </w:t>
      </w:r>
      <w:r w:rsidRPr="00366660">
        <w:rPr>
          <w:rFonts w:ascii="Arial" w:hAnsi="Arial" w:cs="Arial"/>
          <w:b/>
          <w:bCs/>
          <w:szCs w:val="20"/>
          <w:lang w:val="es-MX"/>
        </w:rPr>
        <w:t>y rechazo de la oferta</w:t>
      </w:r>
      <w:r w:rsidRPr="00366660">
        <w:rPr>
          <w:rFonts w:ascii="Arial" w:eastAsia="Calibri" w:hAnsi="Arial" w:cs="Arial"/>
          <w:b/>
          <w:bCs/>
          <w:color w:val="000000"/>
          <w:lang w:eastAsia="en-GB"/>
        </w:rPr>
        <w:t xml:space="preserve"> en los </w:t>
      </w:r>
      <w:r>
        <w:rPr>
          <w:rFonts w:ascii="Arial" w:eastAsia="Calibri" w:hAnsi="Arial" w:cs="Arial"/>
          <w:b/>
          <w:bCs/>
          <w:color w:val="000000"/>
          <w:lang w:eastAsia="en-GB"/>
        </w:rPr>
        <w:t>“</w:t>
      </w:r>
      <w:r w:rsidRPr="00366660">
        <w:rPr>
          <w:rFonts w:ascii="Arial" w:eastAsia="Calibri" w:hAnsi="Arial" w:cs="Arial"/>
          <w:b/>
          <w:bCs/>
          <w:color w:val="000000"/>
          <w:lang w:eastAsia="en-GB"/>
        </w:rPr>
        <w:t>Documentos Tipo – Versión 3</w:t>
      </w:r>
      <w:r>
        <w:rPr>
          <w:rFonts w:ascii="Arial" w:eastAsia="Calibri" w:hAnsi="Arial" w:cs="Arial"/>
          <w:b/>
          <w:bCs/>
          <w:color w:val="000000"/>
          <w:lang w:eastAsia="en-GB"/>
        </w:rPr>
        <w:t>”</w:t>
      </w:r>
      <w:r w:rsidRPr="00366660">
        <w:rPr>
          <w:rFonts w:ascii="Arial" w:eastAsia="Calibri" w:hAnsi="Arial" w:cs="Arial"/>
          <w:b/>
          <w:bCs/>
          <w:color w:val="000000"/>
          <w:lang w:eastAsia="en-GB"/>
        </w:rPr>
        <w:t xml:space="preserve"> </w:t>
      </w:r>
      <w:r w:rsidRPr="00366660">
        <w:rPr>
          <w:rFonts w:ascii="Arial" w:hAnsi="Arial" w:cs="Arial"/>
          <w:b/>
          <w:bCs/>
          <w:szCs w:val="20"/>
          <w:lang w:val="es-MX"/>
        </w:rPr>
        <w:t>de licitación para obra pública de infraestructura de transporte</w:t>
      </w:r>
    </w:p>
    <w:p w14:paraId="1A5D60D3" w14:textId="77777777" w:rsidR="003358A3" w:rsidRPr="00366660" w:rsidRDefault="003358A3" w:rsidP="003358A3">
      <w:pPr>
        <w:tabs>
          <w:tab w:val="left" w:pos="426"/>
        </w:tabs>
        <w:spacing w:after="0" w:line="276" w:lineRule="auto"/>
        <w:jc w:val="both"/>
        <w:rPr>
          <w:rFonts w:ascii="Arial" w:hAnsi="Arial" w:cs="Arial"/>
          <w:b/>
          <w:bCs/>
          <w:szCs w:val="20"/>
          <w:lang w:val="es-MX"/>
        </w:rPr>
      </w:pPr>
    </w:p>
    <w:p w14:paraId="0B58441D" w14:textId="77777777" w:rsidR="003358A3" w:rsidRPr="00366660" w:rsidRDefault="003358A3" w:rsidP="003358A3">
      <w:pPr>
        <w:tabs>
          <w:tab w:val="left" w:pos="426"/>
        </w:tabs>
        <w:spacing w:after="0" w:line="276" w:lineRule="auto"/>
        <w:jc w:val="both"/>
        <w:rPr>
          <w:rFonts w:ascii="Arial" w:eastAsia="Calibri" w:hAnsi="Arial" w:cs="Arial"/>
          <w:b/>
          <w:bCs/>
          <w:color w:val="000000"/>
          <w:lang w:eastAsia="en-GB"/>
        </w:rPr>
      </w:pPr>
      <w:r w:rsidRPr="00366660">
        <w:rPr>
          <w:rFonts w:ascii="Arial" w:hAnsi="Arial" w:cs="Arial"/>
          <w:szCs w:val="20"/>
          <w:lang w:val="es-MX"/>
        </w:rPr>
        <w:t xml:space="preserve">El numeral 3.10 del documento base de obra de licitación para obra pública de infraestructura de transporte –versión 3– establece </w:t>
      </w:r>
      <w:r w:rsidRPr="00366660">
        <w:rPr>
          <w:rFonts w:ascii="Arial" w:hAnsi="Arial" w:cs="Arial"/>
          <w:szCs w:val="20"/>
        </w:rPr>
        <w:t xml:space="preserve">como requisito habilitante la capacidad residual. En este documento tipo, </w:t>
      </w:r>
      <w:r w:rsidRPr="00366660">
        <w:rPr>
          <w:rFonts w:ascii="Arial" w:hAnsi="Arial" w:cs="Arial"/>
          <w:szCs w:val="20"/>
          <w:lang w:val="es-MX"/>
        </w:rPr>
        <w:t>al menos tres causales de rechazo del numeral 1.15 se relacionan con la capacidad residual como requisito habilitante, esto es, los literales E, H y Z. Estas causales disponen lo siguiente:</w:t>
      </w:r>
    </w:p>
    <w:p w14:paraId="5439CE9F" w14:textId="77777777" w:rsidR="003358A3" w:rsidRPr="00366660" w:rsidRDefault="003358A3" w:rsidP="003358A3">
      <w:pPr>
        <w:spacing w:after="0"/>
        <w:ind w:left="709" w:right="709"/>
        <w:jc w:val="both"/>
        <w:rPr>
          <w:rFonts w:ascii="Arial" w:hAnsi="Arial" w:cs="Arial"/>
          <w:b/>
          <w:bCs/>
          <w:sz w:val="21"/>
          <w:szCs w:val="21"/>
        </w:rPr>
      </w:pPr>
    </w:p>
    <w:p w14:paraId="48B88B8B" w14:textId="77777777" w:rsidR="003358A3" w:rsidRPr="00366660" w:rsidRDefault="003358A3" w:rsidP="003358A3">
      <w:pPr>
        <w:spacing w:line="240" w:lineRule="auto"/>
        <w:ind w:left="709" w:right="709"/>
        <w:jc w:val="both"/>
        <w:rPr>
          <w:rFonts w:ascii="Arial" w:hAnsi="Arial" w:cs="Arial"/>
          <w:b/>
          <w:bCs/>
          <w:sz w:val="21"/>
          <w:szCs w:val="21"/>
          <w:lang w:val="es-MX"/>
        </w:rPr>
      </w:pPr>
      <w:r w:rsidRPr="00366660">
        <w:rPr>
          <w:rFonts w:ascii="Arial" w:hAnsi="Arial" w:cs="Arial"/>
          <w:b/>
          <w:bCs/>
          <w:sz w:val="21"/>
          <w:szCs w:val="21"/>
          <w:lang w:val="es-MX"/>
        </w:rPr>
        <w:t>1.15.</w:t>
      </w:r>
      <w:r w:rsidRPr="00366660">
        <w:rPr>
          <w:rFonts w:ascii="Arial" w:hAnsi="Arial" w:cs="Arial"/>
          <w:b/>
          <w:bCs/>
          <w:sz w:val="21"/>
          <w:szCs w:val="21"/>
          <w:lang w:val="es-MX"/>
        </w:rPr>
        <w:tab/>
        <w:t xml:space="preserve">CAUSALES DE RECHAZO </w:t>
      </w:r>
    </w:p>
    <w:p w14:paraId="6ACE2EE8" w14:textId="77777777" w:rsidR="003358A3" w:rsidRPr="00366660" w:rsidRDefault="003358A3" w:rsidP="003358A3">
      <w:pPr>
        <w:spacing w:line="240" w:lineRule="auto"/>
        <w:ind w:left="709" w:right="709"/>
        <w:jc w:val="both"/>
        <w:rPr>
          <w:rFonts w:ascii="Arial" w:hAnsi="Arial" w:cs="Arial"/>
          <w:sz w:val="21"/>
          <w:szCs w:val="21"/>
          <w:lang w:val="es-MX"/>
        </w:rPr>
      </w:pPr>
      <w:r w:rsidRPr="00366660">
        <w:rPr>
          <w:rFonts w:ascii="Arial" w:hAnsi="Arial" w:cs="Arial"/>
          <w:sz w:val="21"/>
          <w:szCs w:val="21"/>
          <w:lang w:val="es-MX"/>
        </w:rPr>
        <w:t>Son causales de rechazo las siguientes [Las Entidades no podrán modificar o incluir causales de rechazo distintas a las señaladas en la presente sección]:</w:t>
      </w:r>
    </w:p>
    <w:p w14:paraId="02EA6B34" w14:textId="77777777" w:rsidR="003358A3" w:rsidRPr="00366660" w:rsidRDefault="003358A3" w:rsidP="003358A3">
      <w:pPr>
        <w:spacing w:after="120" w:line="240" w:lineRule="auto"/>
        <w:ind w:left="709" w:right="709"/>
        <w:jc w:val="both"/>
        <w:rPr>
          <w:rFonts w:ascii="Arial" w:hAnsi="Arial" w:cs="Arial"/>
          <w:sz w:val="21"/>
          <w:szCs w:val="21"/>
          <w:lang w:val="es-MX"/>
        </w:rPr>
      </w:pPr>
      <w:r w:rsidRPr="00366660">
        <w:rPr>
          <w:rFonts w:ascii="Arial" w:hAnsi="Arial" w:cs="Arial"/>
          <w:sz w:val="21"/>
          <w:szCs w:val="21"/>
          <w:lang w:val="es-MX"/>
        </w:rPr>
        <w:t>[…]</w:t>
      </w:r>
    </w:p>
    <w:p w14:paraId="761F532C" w14:textId="77777777" w:rsidR="003358A3" w:rsidRPr="00366660" w:rsidRDefault="003358A3" w:rsidP="003358A3">
      <w:pPr>
        <w:spacing w:line="240" w:lineRule="auto"/>
        <w:ind w:left="709" w:right="709"/>
        <w:jc w:val="both"/>
        <w:rPr>
          <w:rFonts w:ascii="Arial" w:hAnsi="Arial" w:cs="Arial"/>
          <w:sz w:val="21"/>
          <w:szCs w:val="21"/>
          <w:lang w:val="es-MX"/>
        </w:rPr>
      </w:pPr>
      <w:r w:rsidRPr="00366660">
        <w:rPr>
          <w:rFonts w:ascii="Arial" w:hAnsi="Arial" w:cs="Arial"/>
          <w:sz w:val="21"/>
          <w:szCs w:val="21"/>
          <w:lang w:val="es-MX"/>
        </w:rPr>
        <w:lastRenderedPageBreak/>
        <w:t xml:space="preserve">E. </w:t>
      </w:r>
      <w:r w:rsidRPr="001E34AD">
        <w:rPr>
          <w:rFonts w:ascii="Arial" w:hAnsi="Arial" w:cs="Arial"/>
          <w:sz w:val="21"/>
          <w:szCs w:val="21"/>
          <w:lang w:val="es-MX"/>
        </w:rPr>
        <w:t>Que el proponente no aclare, subsane o aporte documentos necesarios para cumplir un requisito habilitante o aportándolos no lo haga de forma correcta, en los términos establecidos en la sección 1.6</w:t>
      </w:r>
      <w:r w:rsidRPr="00366660">
        <w:rPr>
          <w:rFonts w:ascii="Arial" w:hAnsi="Arial" w:cs="Arial"/>
          <w:sz w:val="21"/>
          <w:szCs w:val="21"/>
          <w:lang w:val="es-MX"/>
        </w:rPr>
        <w:t>.</w:t>
      </w:r>
    </w:p>
    <w:p w14:paraId="2AC6C26A" w14:textId="77777777" w:rsidR="003358A3" w:rsidRPr="00366660" w:rsidRDefault="003358A3" w:rsidP="003358A3">
      <w:pPr>
        <w:spacing w:line="240" w:lineRule="auto"/>
        <w:ind w:left="709" w:right="709"/>
        <w:jc w:val="both"/>
        <w:rPr>
          <w:rFonts w:ascii="Arial" w:hAnsi="Arial" w:cs="Arial"/>
          <w:sz w:val="21"/>
          <w:szCs w:val="21"/>
          <w:lang w:val="es-MX"/>
        </w:rPr>
      </w:pPr>
      <w:r w:rsidRPr="00366660">
        <w:rPr>
          <w:rFonts w:ascii="Arial" w:hAnsi="Arial" w:cs="Arial"/>
          <w:sz w:val="21"/>
          <w:szCs w:val="21"/>
          <w:lang w:val="es-MX"/>
        </w:rPr>
        <w:t>[…]</w:t>
      </w:r>
    </w:p>
    <w:p w14:paraId="261D17A1" w14:textId="77777777" w:rsidR="003358A3" w:rsidRPr="00366660" w:rsidRDefault="003358A3" w:rsidP="003358A3">
      <w:pPr>
        <w:spacing w:before="120" w:line="240" w:lineRule="auto"/>
        <w:ind w:left="709" w:right="709"/>
        <w:jc w:val="both"/>
        <w:rPr>
          <w:rFonts w:ascii="Arial" w:hAnsi="Arial" w:cs="Arial"/>
          <w:sz w:val="21"/>
          <w:szCs w:val="21"/>
          <w:lang w:val="es-MX"/>
        </w:rPr>
      </w:pPr>
      <w:r w:rsidRPr="00366660">
        <w:rPr>
          <w:rFonts w:ascii="Arial" w:hAnsi="Arial" w:cs="Arial"/>
          <w:sz w:val="21"/>
          <w:szCs w:val="21"/>
          <w:lang w:val="es-MX"/>
        </w:rPr>
        <w:t>H. Que el Proponente aporte información inexacta sobre la cual pueda existir una posible falsedad en los términos de la sección 1.11.</w:t>
      </w:r>
    </w:p>
    <w:p w14:paraId="45203B07" w14:textId="77777777" w:rsidR="003358A3" w:rsidRPr="00366660" w:rsidRDefault="003358A3" w:rsidP="003358A3">
      <w:pPr>
        <w:spacing w:after="120" w:line="240" w:lineRule="auto"/>
        <w:ind w:left="709" w:right="709"/>
        <w:jc w:val="both"/>
        <w:rPr>
          <w:rFonts w:ascii="Arial" w:hAnsi="Arial" w:cs="Arial"/>
          <w:sz w:val="21"/>
          <w:szCs w:val="21"/>
          <w:lang w:val="es-MX"/>
        </w:rPr>
      </w:pPr>
      <w:r w:rsidRPr="00366660">
        <w:rPr>
          <w:rFonts w:ascii="Arial" w:hAnsi="Arial" w:cs="Arial"/>
          <w:sz w:val="21"/>
          <w:szCs w:val="21"/>
          <w:lang w:val="es-MX"/>
        </w:rPr>
        <w:t>[…]</w:t>
      </w:r>
    </w:p>
    <w:p w14:paraId="00855696" w14:textId="77777777" w:rsidR="003358A3" w:rsidRPr="00366660" w:rsidRDefault="003358A3" w:rsidP="003358A3">
      <w:pPr>
        <w:spacing w:after="0" w:line="240" w:lineRule="auto"/>
        <w:ind w:left="709" w:right="709"/>
        <w:jc w:val="both"/>
        <w:rPr>
          <w:rFonts w:ascii="Arial" w:hAnsi="Arial" w:cs="Arial"/>
          <w:sz w:val="21"/>
          <w:szCs w:val="21"/>
          <w:lang w:val="es-MX"/>
        </w:rPr>
      </w:pPr>
      <w:r w:rsidRPr="00366660">
        <w:rPr>
          <w:rFonts w:ascii="Arial" w:hAnsi="Arial" w:cs="Arial"/>
          <w:sz w:val="21"/>
          <w:szCs w:val="21"/>
          <w:lang w:val="es-MX"/>
        </w:rPr>
        <w:t xml:space="preserve">Z. </w:t>
      </w:r>
      <w:bookmarkStart w:id="8" w:name="_Hlk78878480"/>
      <w:r w:rsidRPr="00366660">
        <w:rPr>
          <w:rFonts w:ascii="Arial" w:hAnsi="Arial" w:cs="Arial"/>
          <w:sz w:val="21"/>
          <w:szCs w:val="21"/>
          <w:lang w:val="es-MX"/>
        </w:rPr>
        <w:t>No informar todos los contratos que el Proponente tenga en ejecución antes del cierre, necesarios para acreditar su capacidad residual conforme a la sección 3.10.</w:t>
      </w:r>
    </w:p>
    <w:bookmarkEnd w:id="8"/>
    <w:p w14:paraId="16576035" w14:textId="77777777" w:rsidR="003358A3" w:rsidRPr="00366660" w:rsidRDefault="003358A3" w:rsidP="003358A3">
      <w:pPr>
        <w:spacing w:after="0"/>
        <w:ind w:left="709" w:right="709"/>
        <w:jc w:val="both"/>
        <w:rPr>
          <w:rFonts w:ascii="Arial" w:hAnsi="Arial" w:cs="Arial"/>
          <w:szCs w:val="20"/>
          <w:lang w:val="es-MX"/>
        </w:rPr>
      </w:pPr>
    </w:p>
    <w:p w14:paraId="31128F12" w14:textId="77777777" w:rsidR="003358A3" w:rsidRPr="00366660" w:rsidRDefault="003358A3" w:rsidP="003358A3">
      <w:pPr>
        <w:spacing w:line="276" w:lineRule="auto"/>
        <w:ind w:firstLine="708"/>
        <w:jc w:val="both"/>
        <w:rPr>
          <w:rFonts w:ascii="Arial" w:hAnsi="Arial" w:cs="Arial"/>
          <w:szCs w:val="20"/>
          <w:lang w:val="es-MX"/>
        </w:rPr>
      </w:pPr>
      <w:r w:rsidRPr="00366660">
        <w:rPr>
          <w:rFonts w:ascii="Arial" w:hAnsi="Arial" w:cs="Arial"/>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30078543" w14:textId="77777777" w:rsidR="003358A3" w:rsidRPr="00366660" w:rsidRDefault="003358A3" w:rsidP="003358A3">
      <w:pPr>
        <w:spacing w:before="120" w:line="276" w:lineRule="auto"/>
        <w:ind w:firstLine="708"/>
        <w:jc w:val="both"/>
        <w:rPr>
          <w:rFonts w:ascii="Arial" w:hAnsi="Arial" w:cs="Arial"/>
          <w:i/>
          <w:iCs/>
          <w:lang w:val="es-MX"/>
        </w:rPr>
      </w:pPr>
      <w:r w:rsidRPr="00366660">
        <w:rPr>
          <w:rFonts w:ascii="Arial" w:hAnsi="Arial" w:cs="Arial"/>
          <w:i/>
          <w:szCs w:val="20"/>
          <w:lang w:val="es-MX"/>
        </w:rPr>
        <w:t>i)</w:t>
      </w:r>
      <w:r w:rsidRPr="00366660">
        <w:rPr>
          <w:rFonts w:ascii="Arial" w:hAnsi="Arial" w:cs="Arial"/>
          <w:szCs w:val="20"/>
          <w:lang w:val="es-MX"/>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w:t>
      </w:r>
      <w:r>
        <w:rPr>
          <w:rFonts w:ascii="Arial" w:hAnsi="Arial" w:cs="Arial"/>
          <w:szCs w:val="20"/>
          <w:lang w:val="es-MX"/>
        </w:rPr>
        <w:t>. Esto excluye</w:t>
      </w:r>
      <w:r w:rsidRPr="00366660">
        <w:rPr>
          <w:rFonts w:ascii="Arial" w:hAnsi="Arial" w:cs="Arial"/>
          <w:szCs w:val="20"/>
          <w:lang w:val="es-MX"/>
        </w:rPr>
        <w:t xml:space="preserve"> la configuración de la causal cuando el proponente comete algún error en la información de los contratos, siempre que los reporte todos. Por tanto, la </w:t>
      </w:r>
      <w:r w:rsidRPr="00366660">
        <w:rPr>
          <w:rFonts w:ascii="Arial" w:hAnsi="Arial" w:cs="Arial"/>
          <w:lang w:val="es-MX"/>
        </w:rPr>
        <w:t>configuración de la causal de rechazo del literal Z es objetiva, pues solo aplica ante la omisión del proponente de informar el número total de contratos en ejecución antes del cierre</w:t>
      </w:r>
      <w:r w:rsidRPr="00366660">
        <w:rPr>
          <w:rFonts w:ascii="Arial" w:hAnsi="Arial" w:cs="Arial"/>
          <w:szCs w:val="20"/>
          <w:lang w:val="es-MX"/>
        </w:rPr>
        <w:t xml:space="preserve">. </w:t>
      </w:r>
    </w:p>
    <w:p w14:paraId="2B9023C2" w14:textId="77777777" w:rsidR="003358A3" w:rsidRPr="00366660" w:rsidRDefault="003358A3" w:rsidP="003358A3">
      <w:pPr>
        <w:spacing w:before="120" w:line="276" w:lineRule="auto"/>
        <w:ind w:firstLine="708"/>
        <w:jc w:val="both"/>
        <w:rPr>
          <w:rFonts w:ascii="Arial" w:hAnsi="Arial" w:cs="Arial"/>
          <w:szCs w:val="20"/>
          <w:lang w:val="es-MX"/>
        </w:rPr>
      </w:pPr>
      <w:proofErr w:type="spellStart"/>
      <w:r w:rsidRPr="00366660">
        <w:rPr>
          <w:rFonts w:ascii="Arial" w:hAnsi="Arial" w:cs="Arial"/>
          <w:i/>
          <w:szCs w:val="20"/>
          <w:lang w:val="es-MX"/>
        </w:rPr>
        <w:t>ii</w:t>
      </w:r>
      <w:proofErr w:type="spellEnd"/>
      <w:r w:rsidRPr="00366660">
        <w:rPr>
          <w:rFonts w:ascii="Arial" w:hAnsi="Arial" w:cs="Arial"/>
          <w:i/>
          <w:szCs w:val="20"/>
          <w:lang w:val="es-MX"/>
        </w:rPr>
        <w:t xml:space="preserve">) </w:t>
      </w:r>
      <w:r w:rsidRPr="00366660">
        <w:rPr>
          <w:rFonts w:ascii="Arial" w:hAnsi="Arial" w:cs="Arial"/>
          <w:szCs w:val="20"/>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53B8A573" w14:textId="77777777" w:rsidR="003358A3" w:rsidRPr="00366660" w:rsidRDefault="003358A3" w:rsidP="003358A3">
      <w:pPr>
        <w:spacing w:before="120" w:after="0" w:line="276" w:lineRule="auto"/>
        <w:ind w:firstLine="708"/>
        <w:jc w:val="both"/>
        <w:rPr>
          <w:rFonts w:ascii="Arial" w:hAnsi="Arial" w:cs="Arial"/>
          <w:szCs w:val="20"/>
          <w:lang w:val="es-MX"/>
        </w:rPr>
      </w:pPr>
      <w:proofErr w:type="spellStart"/>
      <w:r w:rsidRPr="00366660">
        <w:rPr>
          <w:rFonts w:ascii="Arial" w:hAnsi="Arial" w:cs="Arial"/>
          <w:i/>
          <w:szCs w:val="20"/>
          <w:lang w:val="es-MX"/>
        </w:rPr>
        <w:t>iii</w:t>
      </w:r>
      <w:proofErr w:type="spellEnd"/>
      <w:r w:rsidRPr="00366660">
        <w:rPr>
          <w:rFonts w:ascii="Arial" w:hAnsi="Arial" w:cs="Arial"/>
          <w:i/>
          <w:szCs w:val="20"/>
          <w:lang w:val="es-MX"/>
        </w:rPr>
        <w:t xml:space="preserve">) </w:t>
      </w:r>
      <w:r w:rsidRPr="00366660">
        <w:rPr>
          <w:rFonts w:ascii="Arial" w:hAnsi="Arial" w:cs="Arial"/>
          <w:szCs w:val="20"/>
          <w:lang w:val="es-MX"/>
        </w:rPr>
        <w:t xml:space="preserve">Lo dicho en los numerales precedentes tampoco descarta la posibilidad de que la entidad rechace la oferta si encuentra configurada la causal establecida en </w:t>
      </w:r>
      <w:bookmarkStart w:id="9" w:name="_Hlk81383775"/>
      <w:r w:rsidRPr="00366660">
        <w:rPr>
          <w:rFonts w:ascii="Arial" w:hAnsi="Arial" w:cs="Arial"/>
          <w:szCs w:val="20"/>
          <w:lang w:val="es-MX"/>
        </w:rPr>
        <w:t>el literal H del numeral 1.15, que aplica cuando el proponente aporta información inexacta</w:t>
      </w:r>
      <w:r>
        <w:rPr>
          <w:rFonts w:ascii="Arial" w:hAnsi="Arial" w:cs="Arial"/>
          <w:szCs w:val="20"/>
          <w:lang w:val="es-MX"/>
        </w:rPr>
        <w:t xml:space="preserve"> </w:t>
      </w:r>
      <w:r w:rsidRPr="006C0904">
        <w:rPr>
          <w:rFonts w:ascii="Arial" w:hAnsi="Arial" w:cs="Arial"/>
          <w:szCs w:val="20"/>
          <w:lang w:val="es-MX"/>
        </w:rPr>
        <w:t xml:space="preserve">sobre la cual </w:t>
      </w:r>
      <w:r w:rsidRPr="006C0904">
        <w:rPr>
          <w:rFonts w:ascii="Arial" w:hAnsi="Arial" w:cs="Arial"/>
          <w:szCs w:val="20"/>
          <w:lang w:val="es-MX"/>
        </w:rPr>
        <w:lastRenderedPageBreak/>
        <w:t>pueda existir una posible falsedad</w:t>
      </w:r>
      <w:r w:rsidRPr="00366660">
        <w:rPr>
          <w:rFonts w:ascii="Arial" w:hAnsi="Arial" w:cs="Arial"/>
          <w:szCs w:val="20"/>
          <w:lang w:val="es-MX"/>
        </w:rPr>
        <w:t>, de acuerdo con lo señalado en el numeral 1.11. del documento base</w:t>
      </w:r>
      <w:bookmarkEnd w:id="9"/>
      <w:r w:rsidRPr="00366660">
        <w:rPr>
          <w:rFonts w:ascii="Arial" w:hAnsi="Arial" w:cs="Arial"/>
          <w:szCs w:val="20"/>
          <w:lang w:val="es-MX"/>
        </w:rPr>
        <w:t xml:space="preserve">: </w:t>
      </w:r>
    </w:p>
    <w:p w14:paraId="6DB01869" w14:textId="77777777" w:rsidR="003358A3" w:rsidRPr="00366660" w:rsidRDefault="003358A3" w:rsidP="003358A3">
      <w:pPr>
        <w:spacing w:after="0" w:line="276" w:lineRule="auto"/>
        <w:jc w:val="both"/>
        <w:rPr>
          <w:rFonts w:ascii="Arial" w:hAnsi="Arial" w:cs="Arial"/>
          <w:lang w:val="es-MX"/>
        </w:rPr>
      </w:pPr>
    </w:p>
    <w:p w14:paraId="17A55E65" w14:textId="77777777" w:rsidR="003358A3" w:rsidRPr="00366660" w:rsidRDefault="003358A3" w:rsidP="003358A3">
      <w:pPr>
        <w:spacing w:after="120" w:line="240" w:lineRule="auto"/>
        <w:ind w:left="709" w:right="709"/>
        <w:jc w:val="both"/>
        <w:rPr>
          <w:rFonts w:ascii="Arial" w:hAnsi="Arial" w:cs="Arial"/>
          <w:b/>
          <w:bCs/>
          <w:sz w:val="21"/>
          <w:szCs w:val="21"/>
        </w:rPr>
      </w:pPr>
      <w:r w:rsidRPr="00366660">
        <w:rPr>
          <w:rFonts w:ascii="Arial" w:hAnsi="Arial" w:cs="Arial"/>
          <w:b/>
          <w:bCs/>
          <w:sz w:val="21"/>
          <w:szCs w:val="21"/>
        </w:rPr>
        <w:t xml:space="preserve">1.11 INFORMACIÓN INEXACTA </w:t>
      </w:r>
    </w:p>
    <w:p w14:paraId="3E23120C" w14:textId="77777777" w:rsidR="003358A3" w:rsidRPr="00366660" w:rsidRDefault="003358A3" w:rsidP="003358A3">
      <w:pPr>
        <w:spacing w:after="120" w:line="240" w:lineRule="auto"/>
        <w:ind w:left="709" w:right="709"/>
        <w:jc w:val="both"/>
        <w:rPr>
          <w:rFonts w:ascii="Arial" w:hAnsi="Arial" w:cs="Arial"/>
          <w:sz w:val="21"/>
          <w:szCs w:val="21"/>
        </w:rPr>
      </w:pPr>
      <w:r w:rsidRPr="006C0904">
        <w:rPr>
          <w:rFonts w:ascii="Arial" w:hAnsi="Arial" w:cs="Arial"/>
          <w:sz w:val="21"/>
          <w:szCs w:val="21"/>
        </w:rPr>
        <w:t>La entidad se reserva el derecho de verificar integralmente la información aportada por el proponente. Para esto, puede acudir a las autoridades, personas, empresas o entidades respectivas</w:t>
      </w:r>
      <w:r w:rsidRPr="00366660">
        <w:rPr>
          <w:rFonts w:ascii="Arial" w:hAnsi="Arial" w:cs="Arial"/>
          <w:sz w:val="21"/>
          <w:szCs w:val="21"/>
        </w:rPr>
        <w:t xml:space="preserve">. </w:t>
      </w:r>
    </w:p>
    <w:p w14:paraId="62782987" w14:textId="77777777" w:rsidR="003358A3" w:rsidRPr="00366660" w:rsidRDefault="003358A3" w:rsidP="003358A3">
      <w:pPr>
        <w:spacing w:after="120" w:line="240" w:lineRule="auto"/>
        <w:ind w:left="709" w:right="709"/>
        <w:jc w:val="both"/>
        <w:rPr>
          <w:rFonts w:ascii="Arial" w:hAnsi="Arial" w:cs="Arial"/>
          <w:sz w:val="21"/>
          <w:szCs w:val="21"/>
        </w:rPr>
      </w:pPr>
      <w:r w:rsidRPr="006C0904">
        <w:rPr>
          <w:rFonts w:ascii="Arial" w:hAnsi="Arial" w:cs="Arial"/>
          <w:sz w:val="21"/>
          <w:szCs w:val="21"/>
        </w:rPr>
        <w:t>Cuando</w:t>
      </w:r>
      <w:r>
        <w:rPr>
          <w:rFonts w:ascii="Arial" w:hAnsi="Arial" w:cs="Arial"/>
          <w:sz w:val="21"/>
          <w:szCs w:val="21"/>
        </w:rPr>
        <w:t xml:space="preserve"> </w:t>
      </w:r>
      <w:r w:rsidRPr="006C0904">
        <w:rPr>
          <w:rFonts w:ascii="Arial" w:hAnsi="Arial" w:cs="Arial"/>
          <w:sz w:val="21"/>
          <w:szCs w:val="21"/>
        </w:rPr>
        <w:t>exista inconsistencia entre la información suministrada por el proponente y la verificada por la entidad, la información que pretende demostrar el proponente se tendrá por no acreditada</w:t>
      </w:r>
      <w:r w:rsidRPr="00366660">
        <w:rPr>
          <w:rFonts w:ascii="Arial" w:hAnsi="Arial" w:cs="Arial"/>
          <w:sz w:val="21"/>
          <w:szCs w:val="21"/>
        </w:rPr>
        <w:t xml:space="preserve">. </w:t>
      </w:r>
    </w:p>
    <w:p w14:paraId="36DE11B6" w14:textId="77777777" w:rsidR="003358A3" w:rsidRPr="00366660" w:rsidRDefault="003358A3" w:rsidP="003358A3">
      <w:pPr>
        <w:spacing w:after="0" w:line="240" w:lineRule="auto"/>
        <w:ind w:left="709" w:right="709"/>
        <w:jc w:val="both"/>
        <w:rPr>
          <w:rFonts w:ascii="Arial" w:hAnsi="Arial" w:cs="Arial"/>
          <w:sz w:val="21"/>
          <w:szCs w:val="21"/>
        </w:rPr>
      </w:pPr>
      <w:r w:rsidRPr="006C0904">
        <w:rPr>
          <w:rFonts w:ascii="Arial" w:hAnsi="Arial" w:cs="Arial"/>
          <w:sz w:val="21"/>
          <w:szCs w:val="21"/>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r w:rsidRPr="00366660">
        <w:rPr>
          <w:rFonts w:ascii="Arial" w:hAnsi="Arial" w:cs="Arial"/>
          <w:sz w:val="21"/>
          <w:szCs w:val="21"/>
        </w:rPr>
        <w:t xml:space="preserve">. </w:t>
      </w:r>
    </w:p>
    <w:p w14:paraId="005A3BA7" w14:textId="77777777" w:rsidR="003358A3" w:rsidRPr="00366660" w:rsidRDefault="003358A3" w:rsidP="003358A3">
      <w:pPr>
        <w:spacing w:after="0" w:line="240" w:lineRule="auto"/>
        <w:ind w:left="709" w:right="709"/>
        <w:jc w:val="both"/>
        <w:rPr>
          <w:rFonts w:ascii="Arial" w:hAnsi="Arial" w:cs="Arial"/>
          <w:sz w:val="21"/>
          <w:szCs w:val="21"/>
        </w:rPr>
      </w:pPr>
      <w:r w:rsidRPr="00366660">
        <w:rPr>
          <w:rFonts w:ascii="Arial" w:hAnsi="Arial" w:cs="Arial"/>
          <w:sz w:val="21"/>
          <w:szCs w:val="21"/>
        </w:rPr>
        <w:t>[…]</w:t>
      </w:r>
    </w:p>
    <w:p w14:paraId="20AF228D" w14:textId="77777777" w:rsidR="003358A3" w:rsidRPr="00366660" w:rsidRDefault="003358A3" w:rsidP="003358A3">
      <w:pPr>
        <w:spacing w:after="0" w:line="276" w:lineRule="auto"/>
        <w:jc w:val="both"/>
        <w:rPr>
          <w:rFonts w:ascii="Arial" w:hAnsi="Arial" w:cs="Arial"/>
        </w:rPr>
      </w:pPr>
    </w:p>
    <w:p w14:paraId="79CD4D7E" w14:textId="77777777" w:rsidR="003358A3" w:rsidRPr="00366660" w:rsidRDefault="003358A3" w:rsidP="003358A3">
      <w:pPr>
        <w:spacing w:line="276" w:lineRule="auto"/>
        <w:ind w:firstLine="709"/>
        <w:jc w:val="both"/>
        <w:rPr>
          <w:rFonts w:ascii="Arial" w:hAnsi="Arial" w:cs="Arial"/>
        </w:rPr>
      </w:pPr>
      <w:proofErr w:type="gramStart"/>
      <w:r w:rsidRPr="00366660">
        <w:rPr>
          <w:rFonts w:ascii="Arial" w:hAnsi="Arial" w:cs="Arial"/>
        </w:rPr>
        <w:t>Este numeral faculta</w:t>
      </w:r>
      <w:proofErr w:type="gramEnd"/>
      <w:r w:rsidRPr="00366660">
        <w:rPr>
          <w:rFonts w:ascii="Arial" w:hAnsi="Arial" w:cs="Arial"/>
        </w:rPr>
        <w:t xml:space="preserve">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w:t>
      </w:r>
      <w:r>
        <w:rPr>
          <w:rFonts w:ascii="Arial" w:hAnsi="Arial" w:cs="Arial"/>
        </w:rPr>
        <w:t>“</w:t>
      </w:r>
      <w:r w:rsidRPr="00366660">
        <w:rPr>
          <w:rFonts w:ascii="Arial" w:hAnsi="Arial" w:cs="Arial"/>
        </w:rPr>
        <w:t>que se debe manifestar en la presentación completa y veraz de la información que constituye su oferta, así como la lealtad y comportamiento adecuado frente a la entidad estatal y los demás proponentes durante las diferentes etapas del procedimiento de contratación</w:t>
      </w:r>
      <w:r>
        <w:rPr>
          <w:rFonts w:ascii="Arial" w:hAnsi="Arial" w:cs="Arial"/>
        </w:rPr>
        <w:t>”</w:t>
      </w:r>
      <w:r w:rsidRPr="00366660">
        <w:rPr>
          <w:rFonts w:ascii="Arial" w:hAnsi="Arial" w:cs="Arial"/>
          <w:vertAlign w:val="superscript"/>
        </w:rPr>
        <w:footnoteReference w:id="12"/>
      </w:r>
      <w:r w:rsidRPr="00366660">
        <w:rPr>
          <w:rFonts w:ascii="Arial" w:hAnsi="Arial" w:cs="Arial"/>
        </w:rPr>
        <w:t>. Conforme a ello, la prerrogativa de verificación es una herramienta para que la Administración adquiera certeza en el cumplimiento de los requisitos del procedimiento de selección y del comportamiento leal que se exige a los proponentes.</w:t>
      </w:r>
    </w:p>
    <w:p w14:paraId="5422D3EE" w14:textId="77777777" w:rsidR="003358A3" w:rsidRPr="00366660" w:rsidRDefault="003358A3" w:rsidP="003358A3">
      <w:pPr>
        <w:spacing w:before="120" w:line="276" w:lineRule="auto"/>
        <w:ind w:firstLine="708"/>
        <w:jc w:val="both"/>
        <w:rPr>
          <w:rFonts w:ascii="Arial" w:eastAsiaTheme="minorEastAsia" w:hAnsi="Arial" w:cs="Arial"/>
          <w:lang w:val="es-MX" w:eastAsia="es-CO"/>
        </w:rPr>
      </w:pPr>
      <w:r w:rsidRPr="00366660">
        <w:rPr>
          <w:rFonts w:ascii="Arial" w:eastAsiaTheme="minorEastAsia" w:hAnsi="Arial" w:cs="Arial"/>
          <w:lang w:eastAsia="es-CO"/>
        </w:rPr>
        <w:t>Según</w:t>
      </w:r>
      <w:r w:rsidRPr="00366660">
        <w:rPr>
          <w:rFonts w:ascii="Arial" w:eastAsiaTheme="minorEastAsia" w:hAnsi="Arial" w:cs="Arial"/>
          <w:lang w:val="es-MX" w:eastAsia="es-CO"/>
        </w:rPr>
        <w:t xml:space="preserve"> lo expuesto por esta Agencia en el </w:t>
      </w:r>
      <w:r>
        <w:rPr>
          <w:rFonts w:ascii="Arial" w:eastAsiaTheme="minorEastAsia" w:hAnsi="Arial" w:cs="Arial"/>
          <w:lang w:val="es-MX" w:eastAsia="es-CO"/>
        </w:rPr>
        <w:t>C</w:t>
      </w:r>
      <w:r w:rsidRPr="00366660">
        <w:rPr>
          <w:rFonts w:ascii="Arial" w:eastAsiaTheme="minorEastAsia" w:hAnsi="Arial" w:cs="Arial"/>
          <w:lang w:val="es-MX" w:eastAsia="es-CO"/>
        </w:rPr>
        <w:t xml:space="preserve">oncepto 2201913000008148 del 30 de octubre de 2019, la inexactitud –en el contexto de los </w:t>
      </w:r>
      <w:r>
        <w:rPr>
          <w:rFonts w:ascii="Arial" w:eastAsiaTheme="minorEastAsia" w:hAnsi="Arial" w:cs="Arial"/>
          <w:lang w:val="es-MX" w:eastAsia="es-CO"/>
        </w:rPr>
        <w:t>“</w:t>
      </w:r>
      <w:r w:rsidRPr="00366660">
        <w:rPr>
          <w:rFonts w:ascii="Arial" w:eastAsiaTheme="minorEastAsia" w:hAnsi="Arial" w:cs="Arial"/>
          <w:lang w:val="es-MX" w:eastAsia="es-CO"/>
        </w:rPr>
        <w:t>Documentos Tipo</w:t>
      </w:r>
      <w:r>
        <w:rPr>
          <w:rFonts w:ascii="Arial" w:eastAsiaTheme="minorEastAsia" w:hAnsi="Arial" w:cs="Arial"/>
          <w:lang w:val="es-MX" w:eastAsia="es-CO"/>
        </w:rPr>
        <w:t>”</w:t>
      </w:r>
      <w:r w:rsidRPr="00366660">
        <w:rPr>
          <w:rFonts w:ascii="Arial" w:eastAsiaTheme="minorEastAsia" w:hAnsi="Arial" w:cs="Arial"/>
          <w:lang w:val="es-MX" w:eastAsia="es-CO"/>
        </w:rPr>
        <w:t xml:space="preserve">– se entiende como </w:t>
      </w:r>
      <w:r>
        <w:rPr>
          <w:rFonts w:ascii="Arial" w:eastAsiaTheme="minorEastAsia" w:hAnsi="Arial" w:cs="Arial"/>
          <w:lang w:val="es-MX" w:eastAsia="es-CO"/>
        </w:rPr>
        <w:t>“</w:t>
      </w:r>
      <w:r w:rsidRPr="00366660">
        <w:rPr>
          <w:rFonts w:ascii="Arial" w:eastAsiaTheme="minorEastAsia" w:hAnsi="Arial" w:cs="Arial"/>
          <w:lang w:val="es-MX" w:eastAsia="es-CO"/>
        </w:rPr>
        <w:t>la disparidad, imprecisión, disconformidad o falta de precisión que se da de una información a otra</w:t>
      </w:r>
      <w:r>
        <w:rPr>
          <w:rFonts w:ascii="Arial" w:eastAsiaTheme="minorEastAsia" w:hAnsi="Arial" w:cs="Arial"/>
          <w:lang w:val="es-MX" w:eastAsia="es-CO"/>
        </w:rPr>
        <w:t>”</w:t>
      </w:r>
      <w:r w:rsidRPr="00366660">
        <w:rPr>
          <w:rFonts w:ascii="Arial" w:eastAsiaTheme="minorEastAsia" w:hAnsi="Arial" w:cs="Arial"/>
          <w:lang w:val="es-MX" w:eastAsia="es-CO"/>
        </w:rPr>
        <w:t xml:space="preserve">. En este sentido, </w:t>
      </w:r>
      <w:r>
        <w:rPr>
          <w:rFonts w:ascii="Arial" w:eastAsiaTheme="minorEastAsia" w:hAnsi="Arial" w:cs="Arial"/>
          <w:lang w:val="es-MX" w:eastAsia="es-CO"/>
        </w:rPr>
        <w:t>“</w:t>
      </w:r>
      <w:r w:rsidRPr="00366660">
        <w:rPr>
          <w:rFonts w:ascii="Arial" w:eastAsiaTheme="minorEastAsia" w:hAnsi="Arial" w:cs="Arial"/>
          <w:lang w:val="es-MX" w:eastAsia="es-CO"/>
        </w:rPr>
        <w:t>[…] se habla de inexactitud cuando la información que aporta el proponente no concuerda con la que verifica la entidad, lo cual lleva a que esta información se entienda como no acreditada</w:t>
      </w:r>
      <w:r>
        <w:rPr>
          <w:rFonts w:ascii="Arial" w:eastAsiaTheme="minorEastAsia" w:hAnsi="Arial" w:cs="Arial"/>
          <w:lang w:val="es-MX" w:eastAsia="es-CO"/>
        </w:rPr>
        <w:t>”</w:t>
      </w:r>
      <w:r w:rsidRPr="00366660">
        <w:rPr>
          <w:rFonts w:ascii="Arial" w:eastAsiaTheme="minorEastAsia" w:hAnsi="Arial" w:cs="Arial"/>
          <w:lang w:val="es-MX" w:eastAsia="es-CO"/>
        </w:rPr>
        <w:t>.</w:t>
      </w:r>
    </w:p>
    <w:p w14:paraId="572946B9" w14:textId="77777777" w:rsidR="003358A3" w:rsidRPr="00366660" w:rsidRDefault="003358A3" w:rsidP="003358A3">
      <w:pPr>
        <w:spacing w:before="120" w:line="276" w:lineRule="auto"/>
        <w:ind w:firstLine="709"/>
        <w:jc w:val="both"/>
        <w:rPr>
          <w:rFonts w:ascii="Arial" w:hAnsi="Arial" w:cs="Arial"/>
        </w:rPr>
      </w:pPr>
      <w:r w:rsidRPr="00366660">
        <w:rPr>
          <w:rFonts w:ascii="Arial" w:hAnsi="Arial" w:cs="Arial"/>
          <w:lang w:val="es-MX"/>
        </w:rPr>
        <w:t xml:space="preserve">La </w:t>
      </w:r>
      <w:r w:rsidRPr="00366660">
        <w:rPr>
          <w:rFonts w:ascii="Arial" w:hAnsi="Arial" w:cs="Arial"/>
        </w:rPr>
        <w:t>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w:t>
      </w:r>
      <w:r>
        <w:rPr>
          <w:rFonts w:ascii="Arial" w:hAnsi="Arial" w:cs="Arial"/>
        </w:rPr>
        <w:t>.</w:t>
      </w:r>
      <w:r w:rsidRPr="00366660">
        <w:rPr>
          <w:rFonts w:ascii="Arial" w:hAnsi="Arial" w:cs="Arial"/>
        </w:rPr>
        <w:t xml:space="preserve"> </w:t>
      </w:r>
      <w:r w:rsidRPr="00AC3288">
        <w:rPr>
          <w:rFonts w:ascii="Arial" w:hAnsi="Arial" w:cs="Arial"/>
        </w:rPr>
        <w:t>El primero</w:t>
      </w:r>
      <w:r w:rsidRPr="00366660">
        <w:rPr>
          <w:rFonts w:ascii="Arial" w:hAnsi="Arial" w:cs="Arial"/>
        </w:rPr>
        <w:t xml:space="preserve"> señala que una vez verificada la información y </w:t>
      </w:r>
      <w:r w:rsidRPr="00366660">
        <w:rPr>
          <w:rFonts w:ascii="Arial" w:hAnsi="Arial" w:cs="Arial"/>
        </w:rPr>
        <w:lastRenderedPageBreak/>
        <w:t xml:space="preserve">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658B0B4F" w14:textId="77777777" w:rsidR="003358A3" w:rsidRPr="00366660" w:rsidRDefault="003358A3" w:rsidP="003358A3">
      <w:pPr>
        <w:spacing w:before="120" w:line="276" w:lineRule="auto"/>
        <w:ind w:firstLine="709"/>
        <w:jc w:val="both"/>
        <w:rPr>
          <w:rFonts w:ascii="Arial" w:hAnsi="Arial" w:cs="Arial"/>
        </w:rPr>
      </w:pPr>
      <w:r w:rsidRPr="00366660">
        <w:rPr>
          <w:rFonts w:ascii="Arial" w:hAnsi="Arial"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223DC951" w14:textId="77777777" w:rsidR="003358A3" w:rsidRPr="00366660" w:rsidRDefault="003358A3" w:rsidP="003358A3">
      <w:pPr>
        <w:spacing w:before="120" w:line="276" w:lineRule="auto"/>
        <w:ind w:firstLine="708"/>
        <w:jc w:val="both"/>
        <w:rPr>
          <w:rFonts w:ascii="Arial" w:hAnsi="Arial" w:cs="Arial"/>
        </w:rPr>
      </w:pPr>
      <w:r w:rsidRPr="00366660">
        <w:rPr>
          <w:rFonts w:ascii="Arial" w:hAnsi="Arial" w:cs="Arial"/>
        </w:rPr>
        <w:t>Ahora bien, aunque las</w:t>
      </w:r>
      <w:r w:rsidRPr="00366660">
        <w:rPr>
          <w:rFonts w:ascii="Arial" w:hAnsi="Arial" w:cs="Arial"/>
          <w:szCs w:val="20"/>
        </w:rPr>
        <w:t xml:space="preserve"> causales de rechazo del literal E, H y Z del numeral 1.15 de los documentos tipo se relacionan con la capacidad residual como requisito habilitante</w:t>
      </w:r>
      <w:r w:rsidRPr="00366660">
        <w:rPr>
          <w:rFonts w:ascii="Arial" w:hAnsi="Arial" w:cs="Arial"/>
        </w:rPr>
        <w:t xml:space="preserve">, estas se aplican en supuestos diferentes, de acuerdo con lo explicado </w:t>
      </w:r>
      <w:r w:rsidRPr="00366660">
        <w:rPr>
          <w:rFonts w:ascii="Arial" w:hAnsi="Arial" w:cs="Arial"/>
          <w:i/>
        </w:rPr>
        <w:t>ut supra</w:t>
      </w:r>
      <w:r w:rsidRPr="00366660">
        <w:rPr>
          <w:rFonts w:ascii="Arial" w:hAnsi="Arial" w:cs="Arial"/>
        </w:rPr>
        <w:t xml:space="preserve">. La causal del literal H se produce si, por ejemplo, el proponente informó todos los contratos en ejecución, pero advierte que la información es inexacta y, además, que sobre la misma puede </w:t>
      </w:r>
      <w:r>
        <w:rPr>
          <w:rFonts w:ascii="Arial" w:hAnsi="Arial" w:cs="Arial"/>
        </w:rPr>
        <w:t>“</w:t>
      </w:r>
      <w:r w:rsidRPr="00366660">
        <w:rPr>
          <w:rFonts w:ascii="Arial" w:hAnsi="Arial" w:cs="Arial"/>
        </w:rPr>
        <w:t>existir una posible falsedad</w:t>
      </w:r>
      <w:r>
        <w:rPr>
          <w:rFonts w:ascii="Arial" w:hAnsi="Arial" w:cs="Arial"/>
        </w:rPr>
        <w:t>”</w:t>
      </w:r>
      <w:r w:rsidRPr="00366660">
        <w:rPr>
          <w:rFonts w:ascii="Arial" w:hAnsi="Arial" w:cs="Arial"/>
        </w:rPr>
        <w:t>.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3760E651" w14:textId="77777777" w:rsidR="003358A3" w:rsidRPr="00366660" w:rsidRDefault="003358A3" w:rsidP="003358A3">
      <w:pPr>
        <w:spacing w:before="120" w:line="276" w:lineRule="auto"/>
        <w:ind w:firstLine="708"/>
        <w:jc w:val="both"/>
        <w:rPr>
          <w:rFonts w:ascii="Arial" w:hAnsi="Arial" w:cs="Arial"/>
        </w:rPr>
      </w:pPr>
      <w:r w:rsidRPr="00366660">
        <w:rPr>
          <w:rFonts w:ascii="Arial" w:hAnsi="Arial" w:cs="Arial"/>
        </w:rPr>
        <w:t xml:space="preserve">Finalmente, esta distinción también se proyecta sobre las reglas de </w:t>
      </w:r>
      <w:proofErr w:type="spellStart"/>
      <w:r w:rsidRPr="00366660">
        <w:rPr>
          <w:rFonts w:ascii="Arial" w:hAnsi="Arial" w:cs="Arial"/>
        </w:rPr>
        <w:t>subsanabilidad</w:t>
      </w:r>
      <w:proofErr w:type="spellEnd"/>
      <w:r w:rsidRPr="00366660">
        <w:rPr>
          <w:rFonts w:ascii="Arial" w:hAnsi="Arial" w:cs="Arial"/>
        </w:rPr>
        <w:t xml:space="preserve"> de las ofertas de la Ley 1150 de 2007, pues solo habrá lugar a subsanar en los eventos en los que el proponente omite información sobre los contratos </w:t>
      </w:r>
      <w:r>
        <w:rPr>
          <w:rFonts w:ascii="Arial" w:hAnsi="Arial" w:cs="Arial"/>
        </w:rPr>
        <w:t>reportados</w:t>
      </w:r>
      <w:r w:rsidRPr="00366660">
        <w:rPr>
          <w:rFonts w:ascii="Arial" w:hAnsi="Arial" w:cs="Arial"/>
        </w:rPr>
        <w:t xml:space="preserve">, esto es, en el evento de la causal del literal E. Dicho de otra forma, no se puede subsanar cuando se incurre las causales H y Z, eventos en los cuales el rechazo procede de forma automática, es decir, sin permitirle al proponente subsanar la </w:t>
      </w:r>
      <w:r>
        <w:rPr>
          <w:rFonts w:ascii="Arial" w:hAnsi="Arial" w:cs="Arial"/>
        </w:rPr>
        <w:t>“</w:t>
      </w:r>
      <w:r w:rsidRPr="00366660">
        <w:rPr>
          <w:rFonts w:ascii="Arial" w:hAnsi="Arial" w:cs="Arial"/>
        </w:rPr>
        <w:t>inexactitud</w:t>
      </w:r>
      <w:r>
        <w:rPr>
          <w:rFonts w:ascii="Arial" w:hAnsi="Arial" w:cs="Arial"/>
        </w:rPr>
        <w:t>”</w:t>
      </w:r>
      <w:r w:rsidRPr="00366660">
        <w:rPr>
          <w:rFonts w:ascii="Arial" w:hAnsi="Arial" w:cs="Arial"/>
        </w:rPr>
        <w:t xml:space="preserve"> de la oferta o el número de contratos de obra que tenía el deber de reportar.</w:t>
      </w:r>
    </w:p>
    <w:p w14:paraId="1B708C9E" w14:textId="77777777" w:rsidR="003358A3" w:rsidRDefault="003358A3" w:rsidP="003358A3">
      <w:pPr>
        <w:spacing w:before="120" w:line="276" w:lineRule="auto"/>
        <w:ind w:firstLine="708"/>
        <w:jc w:val="both"/>
        <w:rPr>
          <w:rFonts w:ascii="Arial" w:hAnsi="Arial" w:cs="Arial"/>
        </w:rPr>
      </w:pPr>
      <w:r w:rsidRPr="00366660">
        <w:rPr>
          <w:rFonts w:ascii="Arial" w:hAnsi="Arial" w:cs="Arial"/>
          <w:noProof/>
        </w:rPr>
        <w:lastRenderedPageBreak/>
        <w:t>Lo</w:t>
      </w:r>
      <w:r w:rsidRPr="00366660">
        <w:rPr>
          <w:rFonts w:ascii="Arial" w:hAnsi="Arial" w:cs="Arial"/>
        </w:rPr>
        <w:t xml:space="preserve"> expresado en el párrafo precedente no contradice lo dispuesto en el artículo 5, parágrafo 1, de la Ley 1150 de 2007, adicionado por el artículo 5 de la Ley 1882 de 2018, norma que dispone que </w:t>
      </w:r>
      <w:r>
        <w:rPr>
          <w:rFonts w:ascii="Arial" w:hAnsi="Arial" w:cs="Arial"/>
        </w:rPr>
        <w:t>“</w:t>
      </w:r>
      <w:r w:rsidRPr="00366660">
        <w:t xml:space="preserve">[…] </w:t>
      </w:r>
      <w:r w:rsidRPr="00366660">
        <w:rPr>
          <w:rFonts w:ascii="Arial" w:hAnsi="Arial" w:cs="Arial"/>
        </w:rPr>
        <w:t xml:space="preserve">todos aquellos requisitos de la propuesta que no afecten la asignación de </w:t>
      </w:r>
      <w:proofErr w:type="gramStart"/>
      <w:r w:rsidRPr="00366660">
        <w:rPr>
          <w:rFonts w:ascii="Arial" w:hAnsi="Arial" w:cs="Arial"/>
        </w:rPr>
        <w:t>puntaje,</w:t>
      </w:r>
      <w:proofErr w:type="gramEnd"/>
      <w:r w:rsidRPr="00366660">
        <w:rPr>
          <w:rFonts w:ascii="Arial" w:hAnsi="Arial" w:cs="Arial"/>
        </w:rPr>
        <w:t xml:space="preserve"> deberán ser solicitados por las entidades estatales y deberán ser entregados por los proponentes</w:t>
      </w:r>
      <w:r>
        <w:rPr>
          <w:rFonts w:ascii="Arial" w:hAnsi="Arial" w:cs="Arial"/>
        </w:rPr>
        <w:t>”</w:t>
      </w:r>
      <w:r w:rsidRPr="00366660">
        <w:rPr>
          <w:rFonts w:ascii="Arial" w:hAnsi="Arial" w:cs="Arial"/>
        </w:rPr>
        <w:t xml:space="preserve">. Es cierto que la información </w:t>
      </w:r>
      <w:r>
        <w:rPr>
          <w:rFonts w:ascii="Arial" w:hAnsi="Arial" w:cs="Arial"/>
        </w:rPr>
        <w:t>“</w:t>
      </w:r>
      <w:r w:rsidRPr="00366660">
        <w:rPr>
          <w:rFonts w:ascii="Arial" w:hAnsi="Arial" w:cs="Arial"/>
        </w:rPr>
        <w:t>inexacta</w:t>
      </w:r>
      <w:r>
        <w:rPr>
          <w:rFonts w:ascii="Arial" w:hAnsi="Arial" w:cs="Arial"/>
        </w:rPr>
        <w:t>”</w:t>
      </w:r>
      <w:r w:rsidRPr="00366660">
        <w:rPr>
          <w:rFonts w:ascii="Arial" w:hAnsi="Arial" w:cs="Arial"/>
        </w:rPr>
        <w:t xml:space="preserve">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w:t>
      </w:r>
    </w:p>
    <w:p w14:paraId="47CF3F0C" w14:textId="77777777" w:rsidR="003358A3" w:rsidRPr="00366660" w:rsidRDefault="003358A3" w:rsidP="003358A3">
      <w:pPr>
        <w:spacing w:before="120" w:line="276" w:lineRule="auto"/>
        <w:ind w:firstLine="708"/>
        <w:jc w:val="both"/>
        <w:rPr>
          <w:rFonts w:ascii="Arial" w:hAnsi="Arial" w:cs="Arial"/>
        </w:rPr>
      </w:pPr>
      <w:r w:rsidRPr="00A128AA">
        <w:rPr>
          <w:rFonts w:ascii="Arial" w:hAnsi="Arial" w:cs="Arial"/>
        </w:rPr>
        <w:t>La imposibilidad de subsanar se deriva, entonces, del supuesto de hecho de aquellas causales, sin que en esto sea relevante que se otorguen o no puntos a la propuesta por el requisito de capacidad residual. No en vano, desde el punto de vista jurisprudencial, la violación al deber de buena fe en la etapa precontractual justifica el rechazo, pues este tipo de medidas “[…] guardan armonía con principios de rango constitucional y de la contratación estatal, que tienen por finalidad que ningún proponente pueda beneficiarse de información parcial, inexacta o que falta a la verdad. En otras palabras, para la Sala, suministrar información contraria a la realidad en una oferta no puede ser objeto de subsanación dentro de ningún procedimiento de selección”</w:t>
      </w:r>
      <w:r>
        <w:rPr>
          <w:rStyle w:val="Refdenotaalpie"/>
          <w:rFonts w:ascii="Arial" w:hAnsi="Arial" w:cs="Arial"/>
        </w:rPr>
        <w:footnoteReference w:id="13"/>
      </w:r>
      <w:r>
        <w:rPr>
          <w:rFonts w:ascii="Arial" w:hAnsi="Arial" w:cs="Arial"/>
        </w:rPr>
        <w:t>.</w:t>
      </w:r>
      <w:r w:rsidRPr="00366660">
        <w:rPr>
          <w:rFonts w:ascii="Arial" w:hAnsi="Arial" w:cs="Arial"/>
        </w:rPr>
        <w:t xml:space="preserve"> </w:t>
      </w:r>
    </w:p>
    <w:p w14:paraId="74B28B4B" w14:textId="77777777" w:rsidR="003358A3" w:rsidRPr="00366660" w:rsidRDefault="003358A3" w:rsidP="003358A3">
      <w:pPr>
        <w:spacing w:before="120" w:line="276" w:lineRule="auto"/>
        <w:ind w:firstLine="709"/>
        <w:jc w:val="both"/>
        <w:rPr>
          <w:rFonts w:ascii="Arial" w:hAnsi="Arial" w:cs="Arial"/>
        </w:rPr>
      </w:pPr>
      <w:r w:rsidRPr="00366660">
        <w:rPr>
          <w:rFonts w:ascii="Arial" w:hAnsi="Arial" w:cs="Arial"/>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w:t>
      </w:r>
      <w:r>
        <w:rPr>
          <w:rFonts w:ascii="Arial" w:hAnsi="Arial" w:cs="Arial"/>
        </w:rPr>
        <w:t>“</w:t>
      </w:r>
      <w:r w:rsidRPr="00366660">
        <w:rPr>
          <w:rFonts w:ascii="Arial" w:hAnsi="Arial" w:cs="Arial"/>
        </w:rPr>
        <w:t>corrija</w:t>
      </w:r>
      <w:r>
        <w:rPr>
          <w:rFonts w:ascii="Arial" w:hAnsi="Arial" w:cs="Arial"/>
        </w:rPr>
        <w:t>”</w:t>
      </w:r>
      <w:r w:rsidRPr="00366660">
        <w:rPr>
          <w:rFonts w:ascii="Arial" w:hAnsi="Arial" w:cs="Arial"/>
        </w:rPr>
        <w:t xml:space="preserve"> el error e informe la existencia de un contrato no reportado, </w:t>
      </w:r>
      <w:r w:rsidRPr="00366660">
        <w:rPr>
          <w:rFonts w:ascii="Arial" w:hAnsi="Arial" w:cs="Arial"/>
        </w:rPr>
        <w:lastRenderedPageBreak/>
        <w:t xml:space="preserve">implica aceptar que ocurrió la causal del literal Z, esto es, que el proponente incumplió su obligación de informar todos los contratos de obra que tenía en ejecución. </w:t>
      </w:r>
    </w:p>
    <w:p w14:paraId="0096B795" w14:textId="77777777" w:rsidR="003358A3" w:rsidRPr="00366660" w:rsidRDefault="003358A3" w:rsidP="003358A3">
      <w:pPr>
        <w:spacing w:before="120" w:line="276" w:lineRule="auto"/>
        <w:ind w:firstLine="709"/>
        <w:jc w:val="both"/>
        <w:rPr>
          <w:rFonts w:ascii="Arial" w:hAnsi="Arial" w:cs="Arial"/>
        </w:rPr>
      </w:pPr>
      <w:r w:rsidRPr="00366660">
        <w:rPr>
          <w:rFonts w:ascii="Arial" w:hAnsi="Arial" w:cs="Arial"/>
        </w:rPr>
        <w:t xml:space="preserve">Conclusión similar se aplica al literal H del numeral 1.15. del documento base, en el entendido de que el supuesto de hecho de esa causal, esto es, lo que genera el rechazo de la oferta, es la acción del proponente de aportar </w:t>
      </w:r>
      <w:r>
        <w:rPr>
          <w:rFonts w:ascii="Arial" w:hAnsi="Arial" w:cs="Arial"/>
        </w:rPr>
        <w:t>“</w:t>
      </w:r>
      <w:r w:rsidRPr="00366660">
        <w:rPr>
          <w:rFonts w:ascii="Arial" w:hAnsi="Arial" w:cs="Arial"/>
        </w:rPr>
        <w:t>[…] información inexacta sobre la cual pueda existir una posible falsedad […]</w:t>
      </w:r>
      <w:r>
        <w:rPr>
          <w:rFonts w:ascii="Arial" w:hAnsi="Arial" w:cs="Arial"/>
        </w:rPr>
        <w:t>”</w:t>
      </w:r>
      <w:r w:rsidRPr="00366660">
        <w:rPr>
          <w:rFonts w:ascii="Arial" w:hAnsi="Arial" w:cs="Arial"/>
        </w:rPr>
        <w:t xml:space="preserve">,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366660">
        <w:rPr>
          <w:rFonts w:ascii="Arial" w:hAnsi="Arial" w:cs="Arial"/>
          <w:i/>
        </w:rPr>
        <w:t>sub examine</w:t>
      </w:r>
      <w:r w:rsidRPr="00366660">
        <w:rPr>
          <w:rFonts w:ascii="Arial" w:hAnsi="Arial" w:cs="Arial"/>
        </w:rPr>
        <w:t xml:space="preserve"> es desincentivar todas las prácticas delictivas en los procesos de contratación estatal. </w:t>
      </w:r>
    </w:p>
    <w:p w14:paraId="310D8202" w14:textId="77777777" w:rsidR="003358A3" w:rsidRPr="00366660" w:rsidRDefault="003358A3" w:rsidP="003358A3">
      <w:pPr>
        <w:spacing w:before="120" w:line="276" w:lineRule="auto"/>
        <w:ind w:firstLine="709"/>
        <w:jc w:val="both"/>
        <w:rPr>
          <w:rFonts w:ascii="Arial" w:hAnsi="Arial" w:cs="Arial"/>
        </w:rPr>
      </w:pPr>
      <w:r w:rsidRPr="00366660">
        <w:rPr>
          <w:rFonts w:ascii="Arial" w:hAnsi="Arial" w:cs="Arial"/>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conforme a la explicación precedente, no se trata de información inexacta que tenga la connotación de falsedad, por lo que no habría lugar a rechazo de la propuesta por esta </w:t>
      </w:r>
      <w:proofErr w:type="spellStart"/>
      <w:r w:rsidRPr="00366660">
        <w:rPr>
          <w:rFonts w:ascii="Arial" w:hAnsi="Arial" w:cs="Arial"/>
        </w:rPr>
        <w:t>causal</w:t>
      </w:r>
      <w:proofErr w:type="spellEnd"/>
      <w:r w:rsidRPr="00366660">
        <w:rPr>
          <w:rFonts w:ascii="Arial" w:hAnsi="Arial" w:cs="Arial"/>
        </w:rPr>
        <w:t xml:space="preserve">. </w:t>
      </w:r>
      <w:r w:rsidRPr="00A4194D">
        <w:rPr>
          <w:rFonts w:ascii="Arial" w:hAnsi="Arial" w:cs="Arial"/>
        </w:rPr>
        <w:t>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w:t>
      </w:r>
      <w:r w:rsidRPr="00366660">
        <w:rPr>
          <w:rFonts w:ascii="Arial" w:hAnsi="Arial" w:cs="Arial"/>
        </w:rPr>
        <w:t xml:space="preserve">. </w:t>
      </w:r>
    </w:p>
    <w:p w14:paraId="6E414704" w14:textId="77777777" w:rsidR="003358A3" w:rsidRPr="00366660" w:rsidRDefault="003358A3" w:rsidP="003358A3">
      <w:pPr>
        <w:spacing w:before="120" w:line="276" w:lineRule="auto"/>
        <w:ind w:firstLine="709"/>
        <w:jc w:val="both"/>
        <w:rPr>
          <w:rFonts w:ascii="Arial" w:hAnsi="Arial" w:cs="Arial"/>
        </w:rPr>
      </w:pPr>
      <w:r w:rsidRPr="00366660">
        <w:rPr>
          <w:rFonts w:ascii="Arial" w:hAnsi="Arial" w:cs="Arial"/>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594E43F3" w14:textId="77777777" w:rsidR="003358A3" w:rsidRPr="00366660" w:rsidRDefault="003358A3" w:rsidP="003358A3">
      <w:pPr>
        <w:spacing w:after="0" w:line="276" w:lineRule="auto"/>
        <w:ind w:firstLine="708"/>
        <w:jc w:val="both"/>
        <w:rPr>
          <w:rFonts w:ascii="Arial" w:hAnsi="Arial" w:cs="Arial"/>
        </w:rPr>
      </w:pPr>
      <w:r w:rsidRPr="00366660">
        <w:rPr>
          <w:rFonts w:ascii="Arial" w:hAnsi="Arial" w:cs="Arial"/>
        </w:rPr>
        <w:t xml:space="preserve">En relación con la información contractual no incluida que pueda afectar la capacidad residual del proponente, el pliego de condiciones del </w:t>
      </w:r>
      <w:r>
        <w:rPr>
          <w:rFonts w:ascii="Arial" w:hAnsi="Arial" w:cs="Arial"/>
        </w:rPr>
        <w:t>“</w:t>
      </w:r>
      <w:r w:rsidRPr="00366660">
        <w:rPr>
          <w:rFonts w:ascii="Arial" w:hAnsi="Arial" w:cs="Arial"/>
        </w:rPr>
        <w:t>Documento Tipo – Versión 3</w:t>
      </w:r>
      <w:r>
        <w:rPr>
          <w:rFonts w:ascii="Arial" w:hAnsi="Arial" w:cs="Arial"/>
        </w:rPr>
        <w:t>”</w:t>
      </w:r>
      <w:r w:rsidRPr="00366660">
        <w:rPr>
          <w:rFonts w:ascii="Arial" w:hAnsi="Arial" w:cs="Arial"/>
        </w:rPr>
        <w:t xml:space="preserve"> de licitación para obra pública de infraestructura de transporte estableció una regla especial en el numeral 3.10 así: </w:t>
      </w:r>
    </w:p>
    <w:p w14:paraId="2A919B45" w14:textId="77777777" w:rsidR="003358A3" w:rsidRPr="00366660" w:rsidRDefault="003358A3" w:rsidP="003358A3">
      <w:pPr>
        <w:spacing w:after="0" w:line="276" w:lineRule="auto"/>
        <w:ind w:firstLine="709"/>
        <w:jc w:val="both"/>
        <w:rPr>
          <w:rFonts w:ascii="Arial" w:hAnsi="Arial" w:cs="Arial"/>
        </w:rPr>
      </w:pPr>
    </w:p>
    <w:p w14:paraId="2EFE5F50" w14:textId="77777777" w:rsidR="003358A3" w:rsidRPr="00366660" w:rsidRDefault="003358A3" w:rsidP="003358A3">
      <w:pPr>
        <w:pStyle w:val="Capitulo3"/>
        <w:numPr>
          <w:ilvl w:val="0"/>
          <w:numId w:val="0"/>
        </w:numPr>
        <w:spacing w:before="0" w:after="120" w:line="240" w:lineRule="auto"/>
        <w:ind w:left="709" w:right="709"/>
        <w:rPr>
          <w:color w:val="auto"/>
          <w:sz w:val="21"/>
          <w:szCs w:val="21"/>
        </w:rPr>
      </w:pPr>
      <w:bookmarkStart w:id="10" w:name="_Toc32096843"/>
      <w:bookmarkStart w:id="11" w:name="_Toc32144836"/>
      <w:r w:rsidRPr="00366660">
        <w:rPr>
          <w:color w:val="auto"/>
          <w:sz w:val="21"/>
          <w:szCs w:val="21"/>
        </w:rPr>
        <w:t>3.10. CAPACIDAD RESIDUAL</w:t>
      </w:r>
      <w:bookmarkEnd w:id="10"/>
      <w:bookmarkEnd w:id="11"/>
      <w:r w:rsidRPr="00366660">
        <w:rPr>
          <w:color w:val="auto"/>
          <w:sz w:val="21"/>
          <w:szCs w:val="21"/>
        </w:rPr>
        <w:t xml:space="preserve"> </w:t>
      </w:r>
    </w:p>
    <w:p w14:paraId="6F9B5135" w14:textId="77777777" w:rsidR="003358A3" w:rsidRPr="00366660" w:rsidRDefault="003358A3" w:rsidP="003358A3">
      <w:pPr>
        <w:widowControl w:val="0"/>
        <w:spacing w:after="0" w:line="240" w:lineRule="auto"/>
        <w:ind w:left="709" w:right="709"/>
        <w:jc w:val="both"/>
        <w:rPr>
          <w:rFonts w:ascii="Arial" w:eastAsia="Arial" w:hAnsi="Arial" w:cs="Arial"/>
          <w:sz w:val="21"/>
          <w:szCs w:val="21"/>
        </w:rPr>
      </w:pPr>
      <w:r w:rsidRPr="00366660">
        <w:rPr>
          <w:rFonts w:ascii="Arial" w:hAnsi="Arial" w:cs="Arial"/>
          <w:sz w:val="21"/>
          <w:szCs w:val="21"/>
        </w:rPr>
        <w:t>El</w:t>
      </w:r>
      <w:r w:rsidRPr="00366660">
        <w:rPr>
          <w:rFonts w:ascii="Arial" w:eastAsia="Arial" w:hAnsi="Arial" w:cs="Arial"/>
          <w:sz w:val="21"/>
          <w:szCs w:val="21"/>
        </w:rPr>
        <w:t xml:space="preserve"> </w:t>
      </w:r>
      <w:r w:rsidRPr="00366660">
        <w:rPr>
          <w:rFonts w:ascii="Arial" w:hAnsi="Arial" w:cs="Arial"/>
          <w:sz w:val="21"/>
          <w:szCs w:val="21"/>
        </w:rPr>
        <w:t>Proponente</w:t>
      </w:r>
      <w:r w:rsidRPr="00366660">
        <w:rPr>
          <w:rFonts w:ascii="Arial" w:eastAsia="Arial" w:hAnsi="Arial" w:cs="Arial"/>
          <w:sz w:val="21"/>
          <w:szCs w:val="21"/>
        </w:rPr>
        <w:t xml:space="preserve"> </w:t>
      </w:r>
      <w:r w:rsidRPr="00366660">
        <w:rPr>
          <w:rFonts w:ascii="Arial" w:hAnsi="Arial" w:cs="Arial"/>
          <w:sz w:val="21"/>
          <w:szCs w:val="21"/>
        </w:rPr>
        <w:t>será</w:t>
      </w:r>
      <w:r w:rsidRPr="00366660">
        <w:rPr>
          <w:rFonts w:ascii="Arial" w:eastAsia="Arial" w:hAnsi="Arial" w:cs="Arial"/>
          <w:sz w:val="21"/>
          <w:szCs w:val="21"/>
        </w:rPr>
        <w:t xml:space="preserve"> </w:t>
      </w:r>
      <w:r w:rsidRPr="00366660">
        <w:rPr>
          <w:rFonts w:ascii="Arial" w:hAnsi="Arial" w:cs="Arial"/>
          <w:sz w:val="21"/>
          <w:szCs w:val="21"/>
        </w:rPr>
        <w:t>hábil</w:t>
      </w:r>
      <w:r w:rsidRPr="00366660">
        <w:rPr>
          <w:rFonts w:ascii="Arial" w:eastAsia="Arial" w:hAnsi="Arial" w:cs="Arial"/>
          <w:sz w:val="21"/>
          <w:szCs w:val="21"/>
        </w:rPr>
        <w:t xml:space="preserve"> </w:t>
      </w:r>
      <w:r w:rsidRPr="00366660">
        <w:rPr>
          <w:rFonts w:ascii="Arial" w:hAnsi="Arial" w:cs="Arial"/>
          <w:sz w:val="21"/>
          <w:szCs w:val="21"/>
        </w:rPr>
        <w:t>si</w:t>
      </w:r>
      <w:r w:rsidRPr="00366660">
        <w:rPr>
          <w:rFonts w:ascii="Arial" w:eastAsia="Arial" w:hAnsi="Arial" w:cs="Arial"/>
          <w:sz w:val="21"/>
          <w:szCs w:val="21"/>
        </w:rPr>
        <w:t xml:space="preserve"> </w:t>
      </w:r>
      <w:r w:rsidRPr="00366660">
        <w:rPr>
          <w:rFonts w:ascii="Arial" w:hAnsi="Arial" w:cs="Arial"/>
          <w:sz w:val="21"/>
          <w:szCs w:val="21"/>
        </w:rPr>
        <w:t>la</w:t>
      </w:r>
      <w:r w:rsidRPr="00366660">
        <w:rPr>
          <w:rFonts w:ascii="Arial" w:eastAsia="Arial" w:hAnsi="Arial" w:cs="Arial"/>
          <w:sz w:val="21"/>
          <w:szCs w:val="21"/>
        </w:rPr>
        <w:t xml:space="preserve"> </w:t>
      </w:r>
      <w:r w:rsidRPr="00366660">
        <w:rPr>
          <w:rFonts w:ascii="Arial" w:hAnsi="Arial" w:cs="Arial"/>
          <w:sz w:val="21"/>
          <w:szCs w:val="21"/>
        </w:rPr>
        <w:t>capacidad</w:t>
      </w:r>
      <w:r w:rsidRPr="00366660">
        <w:rPr>
          <w:rFonts w:ascii="Arial" w:eastAsia="Arial" w:hAnsi="Arial" w:cs="Arial"/>
          <w:sz w:val="21"/>
          <w:szCs w:val="21"/>
        </w:rPr>
        <w:t xml:space="preserve"> </w:t>
      </w:r>
      <w:r w:rsidRPr="00366660">
        <w:rPr>
          <w:rFonts w:ascii="Arial" w:hAnsi="Arial" w:cs="Arial"/>
          <w:sz w:val="21"/>
          <w:szCs w:val="21"/>
        </w:rPr>
        <w:t>residual</w:t>
      </w:r>
      <w:r w:rsidRPr="00366660">
        <w:rPr>
          <w:rFonts w:ascii="Arial" w:eastAsia="Arial" w:hAnsi="Arial" w:cs="Arial"/>
          <w:sz w:val="21"/>
          <w:szCs w:val="21"/>
        </w:rPr>
        <w:t xml:space="preserve"> </w:t>
      </w:r>
      <w:r w:rsidRPr="00366660">
        <w:rPr>
          <w:rFonts w:ascii="Arial" w:hAnsi="Arial" w:cs="Arial"/>
          <w:sz w:val="21"/>
          <w:szCs w:val="21"/>
        </w:rPr>
        <w:t>del</w:t>
      </w:r>
      <w:r w:rsidRPr="00366660">
        <w:rPr>
          <w:rFonts w:ascii="Arial" w:eastAsia="Arial" w:hAnsi="Arial" w:cs="Arial"/>
          <w:sz w:val="21"/>
          <w:szCs w:val="21"/>
        </w:rPr>
        <w:t xml:space="preserve"> </w:t>
      </w:r>
      <w:r w:rsidRPr="00366660">
        <w:rPr>
          <w:rFonts w:ascii="Arial" w:hAnsi="Arial" w:cs="Arial"/>
          <w:sz w:val="21"/>
          <w:szCs w:val="21"/>
        </w:rPr>
        <w:t>Proponente</w:t>
      </w:r>
      <w:r w:rsidRPr="00366660">
        <w:rPr>
          <w:rFonts w:ascii="Arial" w:eastAsia="Arial" w:hAnsi="Arial" w:cs="Arial"/>
          <w:sz w:val="21"/>
          <w:szCs w:val="21"/>
        </w:rPr>
        <w:t xml:space="preserve"> </w:t>
      </w:r>
      <w:r w:rsidRPr="00366660">
        <w:rPr>
          <w:rFonts w:ascii="Arial" w:hAnsi="Arial" w:cs="Arial"/>
          <w:sz w:val="21"/>
          <w:szCs w:val="21"/>
        </w:rPr>
        <w:t>(CRP)</w:t>
      </w:r>
      <w:r w:rsidRPr="00366660">
        <w:rPr>
          <w:rFonts w:ascii="Arial" w:eastAsia="Arial" w:hAnsi="Arial" w:cs="Arial"/>
          <w:sz w:val="21"/>
          <w:szCs w:val="21"/>
        </w:rPr>
        <w:t xml:space="preserve"> </w:t>
      </w:r>
      <w:r w:rsidRPr="00366660">
        <w:rPr>
          <w:rFonts w:ascii="Arial" w:hAnsi="Arial" w:cs="Arial"/>
          <w:sz w:val="21"/>
          <w:szCs w:val="21"/>
        </w:rPr>
        <w:t>es</w:t>
      </w:r>
      <w:r w:rsidRPr="00366660">
        <w:rPr>
          <w:rFonts w:ascii="Arial" w:eastAsia="Arial" w:hAnsi="Arial" w:cs="Arial"/>
          <w:sz w:val="21"/>
          <w:szCs w:val="21"/>
        </w:rPr>
        <w:t xml:space="preserve"> </w:t>
      </w:r>
      <w:r w:rsidRPr="00366660">
        <w:rPr>
          <w:rFonts w:ascii="Arial" w:hAnsi="Arial" w:cs="Arial"/>
          <w:sz w:val="21"/>
          <w:szCs w:val="21"/>
        </w:rPr>
        <w:t>mayor</w:t>
      </w:r>
      <w:r w:rsidRPr="00366660">
        <w:rPr>
          <w:rFonts w:ascii="Arial" w:eastAsia="Arial" w:hAnsi="Arial" w:cs="Arial"/>
          <w:sz w:val="21"/>
          <w:szCs w:val="21"/>
        </w:rPr>
        <w:t xml:space="preserve"> </w:t>
      </w:r>
      <w:r w:rsidRPr="00366660">
        <w:rPr>
          <w:rFonts w:ascii="Arial" w:hAnsi="Arial" w:cs="Arial"/>
          <w:sz w:val="21"/>
          <w:szCs w:val="21"/>
        </w:rPr>
        <w:t>o</w:t>
      </w:r>
      <w:r w:rsidRPr="00366660">
        <w:rPr>
          <w:rFonts w:ascii="Arial" w:eastAsia="Arial" w:hAnsi="Arial" w:cs="Arial"/>
          <w:sz w:val="21"/>
          <w:szCs w:val="21"/>
        </w:rPr>
        <w:t xml:space="preserve"> </w:t>
      </w:r>
      <w:r w:rsidRPr="00366660">
        <w:rPr>
          <w:rFonts w:ascii="Arial" w:hAnsi="Arial" w:cs="Arial"/>
          <w:sz w:val="21"/>
          <w:szCs w:val="21"/>
        </w:rPr>
        <w:t>igual</w:t>
      </w:r>
      <w:r w:rsidRPr="00366660">
        <w:rPr>
          <w:rFonts w:ascii="Arial" w:eastAsia="Arial" w:hAnsi="Arial" w:cs="Arial"/>
          <w:sz w:val="21"/>
          <w:szCs w:val="21"/>
        </w:rPr>
        <w:t xml:space="preserve"> </w:t>
      </w:r>
      <w:r w:rsidRPr="00366660">
        <w:rPr>
          <w:rFonts w:ascii="Arial" w:hAnsi="Arial" w:cs="Arial"/>
          <w:sz w:val="21"/>
          <w:szCs w:val="21"/>
        </w:rPr>
        <w:t>a</w:t>
      </w:r>
      <w:r w:rsidRPr="00366660">
        <w:rPr>
          <w:rFonts w:ascii="Arial" w:eastAsia="Arial" w:hAnsi="Arial" w:cs="Arial"/>
          <w:sz w:val="21"/>
          <w:szCs w:val="21"/>
        </w:rPr>
        <w:t xml:space="preserve"> </w:t>
      </w:r>
      <w:r w:rsidRPr="00366660">
        <w:rPr>
          <w:rFonts w:ascii="Arial" w:hAnsi="Arial" w:cs="Arial"/>
          <w:sz w:val="21"/>
          <w:szCs w:val="21"/>
        </w:rPr>
        <w:t>la</w:t>
      </w:r>
      <w:r w:rsidRPr="00366660">
        <w:rPr>
          <w:rFonts w:ascii="Arial" w:eastAsia="Arial" w:hAnsi="Arial" w:cs="Arial"/>
          <w:sz w:val="21"/>
          <w:szCs w:val="21"/>
        </w:rPr>
        <w:t xml:space="preserve"> </w:t>
      </w:r>
      <w:r w:rsidRPr="00366660">
        <w:rPr>
          <w:rFonts w:ascii="Arial" w:hAnsi="Arial" w:cs="Arial"/>
          <w:sz w:val="21"/>
          <w:szCs w:val="21"/>
        </w:rPr>
        <w:t>capacidad</w:t>
      </w:r>
      <w:r w:rsidRPr="00366660">
        <w:rPr>
          <w:rFonts w:ascii="Arial" w:eastAsia="Arial" w:hAnsi="Arial" w:cs="Arial"/>
          <w:sz w:val="21"/>
          <w:szCs w:val="21"/>
        </w:rPr>
        <w:t xml:space="preserve"> </w:t>
      </w:r>
      <w:r w:rsidRPr="00366660">
        <w:rPr>
          <w:rFonts w:ascii="Arial" w:hAnsi="Arial" w:cs="Arial"/>
          <w:sz w:val="21"/>
          <w:szCs w:val="21"/>
        </w:rPr>
        <w:t>residual</w:t>
      </w:r>
      <w:r w:rsidRPr="00366660">
        <w:rPr>
          <w:rFonts w:ascii="Arial" w:eastAsia="Arial" w:hAnsi="Arial" w:cs="Arial"/>
          <w:sz w:val="21"/>
          <w:szCs w:val="21"/>
        </w:rPr>
        <w:t xml:space="preserve"> </w:t>
      </w:r>
      <w:r w:rsidRPr="00366660">
        <w:rPr>
          <w:rFonts w:ascii="Arial" w:hAnsi="Arial" w:cs="Arial"/>
          <w:sz w:val="21"/>
          <w:szCs w:val="21"/>
        </w:rPr>
        <w:t>de</w:t>
      </w:r>
      <w:r w:rsidRPr="00366660">
        <w:rPr>
          <w:rFonts w:ascii="Arial" w:eastAsia="Arial" w:hAnsi="Arial" w:cs="Arial"/>
          <w:sz w:val="21"/>
          <w:szCs w:val="21"/>
        </w:rPr>
        <w:t xml:space="preserve"> </w:t>
      </w:r>
      <w:r w:rsidRPr="00366660">
        <w:rPr>
          <w:rFonts w:ascii="Arial" w:hAnsi="Arial" w:cs="Arial"/>
          <w:sz w:val="21"/>
          <w:szCs w:val="21"/>
        </w:rPr>
        <w:t>Proceso de Contratación</w:t>
      </w:r>
      <w:r w:rsidRPr="00366660">
        <w:rPr>
          <w:rFonts w:ascii="Arial" w:eastAsia="Arial" w:hAnsi="Arial" w:cs="Arial"/>
          <w:sz w:val="21"/>
          <w:szCs w:val="21"/>
        </w:rPr>
        <w:t xml:space="preserve"> </w:t>
      </w:r>
      <w:r w:rsidRPr="00366660">
        <w:rPr>
          <w:rFonts w:ascii="Arial" w:hAnsi="Arial" w:cs="Arial"/>
          <w:sz w:val="21"/>
          <w:szCs w:val="21"/>
        </w:rPr>
        <w:t>(CRPC).</w:t>
      </w:r>
      <w:r w:rsidRPr="00366660">
        <w:rPr>
          <w:rFonts w:ascii="Arial" w:eastAsia="Arial" w:hAnsi="Arial" w:cs="Arial"/>
          <w:sz w:val="21"/>
          <w:szCs w:val="21"/>
        </w:rPr>
        <w:t xml:space="preserve"> </w:t>
      </w:r>
      <w:r w:rsidRPr="00366660">
        <w:rPr>
          <w:rFonts w:ascii="Arial" w:hAnsi="Arial" w:cs="Arial"/>
          <w:sz w:val="21"/>
          <w:szCs w:val="21"/>
        </w:rPr>
        <w:t>Así:</w:t>
      </w:r>
      <w:r w:rsidRPr="00366660">
        <w:rPr>
          <w:rFonts w:ascii="Arial" w:eastAsia="Arial" w:hAnsi="Arial" w:cs="Arial"/>
          <w:sz w:val="21"/>
          <w:szCs w:val="21"/>
        </w:rPr>
        <w:t xml:space="preserve"> </w:t>
      </w:r>
    </w:p>
    <w:p w14:paraId="34875398" w14:textId="77777777" w:rsidR="003358A3" w:rsidRPr="00366660" w:rsidRDefault="003358A3" w:rsidP="003358A3">
      <w:pPr>
        <w:widowControl w:val="0"/>
        <w:spacing w:after="0" w:line="240" w:lineRule="auto"/>
        <w:ind w:left="709" w:right="709"/>
        <w:jc w:val="both"/>
        <w:rPr>
          <w:rFonts w:ascii="Arial" w:eastAsia="Arial" w:hAnsi="Arial" w:cs="Arial"/>
          <w:sz w:val="21"/>
          <w:szCs w:val="21"/>
        </w:rPr>
      </w:pPr>
    </w:p>
    <w:p w14:paraId="469EB314" w14:textId="77777777" w:rsidR="003358A3" w:rsidRPr="00366660" w:rsidRDefault="003358A3" w:rsidP="003358A3">
      <w:pPr>
        <w:widowControl w:val="0"/>
        <w:spacing w:after="0" w:line="240" w:lineRule="auto"/>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5148DD55" w14:textId="77777777" w:rsidR="003358A3" w:rsidRPr="00366660" w:rsidRDefault="003358A3" w:rsidP="003358A3">
      <w:pPr>
        <w:widowControl w:val="0"/>
        <w:spacing w:after="0" w:line="240" w:lineRule="auto"/>
        <w:ind w:left="709" w:right="709"/>
        <w:jc w:val="center"/>
        <w:rPr>
          <w:rFonts w:ascii="Arial" w:hAnsi="Arial" w:cs="Arial"/>
          <w:sz w:val="21"/>
          <w:szCs w:val="21"/>
        </w:rPr>
      </w:pPr>
    </w:p>
    <w:p w14:paraId="735FE243" w14:textId="77777777" w:rsidR="003358A3" w:rsidRPr="00366660" w:rsidRDefault="003358A3" w:rsidP="003358A3">
      <w:pPr>
        <w:widowControl w:val="0"/>
        <w:spacing w:after="120" w:line="240" w:lineRule="auto"/>
        <w:ind w:left="709" w:right="709"/>
        <w:jc w:val="both"/>
        <w:rPr>
          <w:rFonts w:ascii="Arial" w:eastAsia="Arial" w:hAnsi="Arial" w:cs="Arial"/>
          <w:sz w:val="21"/>
          <w:szCs w:val="21"/>
        </w:rPr>
      </w:pPr>
      <w:r w:rsidRPr="00366660">
        <w:rPr>
          <w:rFonts w:ascii="Arial" w:hAnsi="Arial" w:cs="Arial"/>
          <w:sz w:val="21"/>
          <w:szCs w:val="21"/>
        </w:rPr>
        <w:lastRenderedPageBreak/>
        <w:t xml:space="preserve">Los Proponentes acreditarán la capacidad residual o K de contratación conforme se describe a continuación. </w:t>
      </w:r>
      <w:r w:rsidRPr="00366660">
        <w:rPr>
          <w:rFonts w:ascii="Arial" w:hAnsi="Arial" w:cs="Arial"/>
          <w:i/>
          <w:iCs/>
          <w:sz w:val="21"/>
          <w:szCs w:val="21"/>
          <w:lang w:val="es-MX"/>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366660">
        <w:rPr>
          <w:rFonts w:ascii="Arial" w:hAnsi="Arial" w:cs="Arial"/>
          <w:sz w:val="21"/>
          <w:szCs w:val="21"/>
        </w:rPr>
        <w:t xml:space="preserve">. </w:t>
      </w:r>
    </w:p>
    <w:p w14:paraId="4078231E" w14:textId="77777777" w:rsidR="003358A3" w:rsidRPr="00366660" w:rsidRDefault="003358A3" w:rsidP="003358A3">
      <w:pPr>
        <w:widowControl w:val="0"/>
        <w:spacing w:after="120" w:line="240" w:lineRule="auto"/>
        <w:ind w:left="709" w:right="709"/>
        <w:jc w:val="both"/>
        <w:rPr>
          <w:rFonts w:ascii="Arial" w:hAnsi="Arial" w:cs="Arial"/>
          <w:sz w:val="21"/>
          <w:szCs w:val="21"/>
        </w:rPr>
      </w:pPr>
      <w:r w:rsidRPr="00366660">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5BE81CA0" w14:textId="77777777" w:rsidR="003358A3" w:rsidRPr="00366660" w:rsidRDefault="003358A3" w:rsidP="003358A3">
      <w:pPr>
        <w:widowControl w:val="0"/>
        <w:spacing w:after="0" w:line="240" w:lineRule="auto"/>
        <w:ind w:left="709" w:right="709"/>
        <w:jc w:val="both"/>
        <w:rPr>
          <w:rFonts w:ascii="Arial" w:hAnsi="Arial" w:cs="Arial"/>
          <w:sz w:val="21"/>
          <w:szCs w:val="21"/>
        </w:rPr>
      </w:pPr>
      <w:r w:rsidRPr="00366660">
        <w:rPr>
          <w:rFonts w:ascii="Arial" w:hAnsi="Arial" w:cs="Arial"/>
          <w:sz w:val="21"/>
          <w:szCs w:val="21"/>
        </w:rPr>
        <w:t xml:space="preserve">[…] (Énfasis fuera de texto) </w:t>
      </w:r>
    </w:p>
    <w:p w14:paraId="729F0116" w14:textId="77777777" w:rsidR="003358A3" w:rsidRPr="00366660" w:rsidRDefault="003358A3" w:rsidP="003358A3">
      <w:pPr>
        <w:widowControl w:val="0"/>
        <w:spacing w:after="0"/>
        <w:ind w:right="709"/>
        <w:jc w:val="both"/>
        <w:rPr>
          <w:rFonts w:ascii="Arial" w:hAnsi="Arial" w:cs="Arial"/>
        </w:rPr>
      </w:pPr>
    </w:p>
    <w:p w14:paraId="58F99676" w14:textId="77777777" w:rsidR="003358A3" w:rsidRPr="00366660" w:rsidRDefault="003358A3" w:rsidP="003358A3">
      <w:pPr>
        <w:spacing w:line="276" w:lineRule="auto"/>
        <w:ind w:firstLine="708"/>
        <w:jc w:val="both"/>
        <w:rPr>
          <w:rFonts w:ascii="Arial" w:hAnsi="Arial" w:cs="Arial"/>
        </w:rPr>
      </w:pPr>
      <w:r w:rsidRPr="00366660">
        <w:rPr>
          <w:rFonts w:ascii="Arial" w:hAnsi="Arial" w:cs="Arial"/>
        </w:rPr>
        <w:t xml:space="preserve">De conformidad con esta regla, </w:t>
      </w:r>
      <w:bookmarkStart w:id="12" w:name="_Hlk81551358"/>
      <w:r w:rsidRPr="00366660">
        <w:rPr>
          <w:rFonts w:ascii="Arial" w:hAnsi="Arial" w:cs="Arial"/>
        </w:rPr>
        <w:t xml:space="preserve">el rechazo de la oferta procede cuando en ejercicio de la potestad verificadora se advierta que se dejó de incluir información que afecta la capacidad residual del proponente, esto es, la referente a contratos de obra en ejecución. Es del caso precisar que la expresión </w:t>
      </w:r>
      <w:r>
        <w:rPr>
          <w:rFonts w:ascii="Arial" w:hAnsi="Arial" w:cs="Arial"/>
        </w:rPr>
        <w:t>“</w:t>
      </w:r>
      <w:r w:rsidRPr="00366660">
        <w:rPr>
          <w:rFonts w:ascii="Arial" w:hAnsi="Arial" w:cs="Arial"/>
        </w:rPr>
        <w:t>afecta la capacidad residual</w:t>
      </w:r>
      <w:r>
        <w:rPr>
          <w:rFonts w:ascii="Arial" w:hAnsi="Arial" w:cs="Arial"/>
        </w:rPr>
        <w:t>”</w:t>
      </w:r>
      <w:r w:rsidRPr="00366660">
        <w:rPr>
          <w:rFonts w:ascii="Arial" w:hAnsi="Arial" w:cs="Arial"/>
        </w:rPr>
        <w:t xml:space="preserve">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12"/>
      <w:r w:rsidRPr="00366660">
        <w:rPr>
          <w:rFonts w:ascii="Arial" w:hAnsi="Arial" w:cs="Arial"/>
        </w:rPr>
        <w:t xml:space="preserve">Esto concuerda con la causal de rechazo prevista en el literal </w:t>
      </w:r>
      <w:r>
        <w:rPr>
          <w:rFonts w:ascii="Arial" w:hAnsi="Arial" w:cs="Arial"/>
        </w:rPr>
        <w:t>“</w:t>
      </w:r>
      <w:r w:rsidRPr="00366660">
        <w:rPr>
          <w:rFonts w:ascii="Arial" w:hAnsi="Arial" w:cs="Arial"/>
        </w:rPr>
        <w:t>H</w:t>
      </w:r>
      <w:r>
        <w:rPr>
          <w:rFonts w:ascii="Arial" w:hAnsi="Arial" w:cs="Arial"/>
        </w:rPr>
        <w:t>”</w:t>
      </w:r>
      <w:r w:rsidRPr="00366660">
        <w:rPr>
          <w:rFonts w:ascii="Arial" w:hAnsi="Arial" w:cs="Arial"/>
        </w:rPr>
        <w:t xml:space="preserve"> del numeral 1.15 del documento base, el cual autoriza el rechazo de la propuesta en el evento en </w:t>
      </w:r>
      <w:r>
        <w:rPr>
          <w:rFonts w:ascii="Arial" w:hAnsi="Arial" w:cs="Arial"/>
        </w:rPr>
        <w:t>“</w:t>
      </w:r>
      <w:r w:rsidRPr="00366660">
        <w:rPr>
          <w:rFonts w:ascii="Arial" w:eastAsia="Arial" w:hAnsi="Arial" w:cs="Arial"/>
          <w:lang w:eastAsia="es-CO"/>
        </w:rPr>
        <w:t>Que</w:t>
      </w:r>
      <w:r w:rsidRPr="00366660">
        <w:rPr>
          <w:rFonts w:ascii="Arial" w:eastAsia="Arial,Calibri" w:hAnsi="Arial" w:cs="Arial"/>
          <w:lang w:eastAsia="es-CO"/>
        </w:rPr>
        <w:t xml:space="preserve"> </w:t>
      </w:r>
      <w:r w:rsidRPr="00366660">
        <w:rPr>
          <w:rFonts w:ascii="Arial" w:eastAsia="Arial" w:hAnsi="Arial" w:cs="Arial"/>
          <w:lang w:eastAsia="es-CO"/>
        </w:rPr>
        <w:t>el</w:t>
      </w:r>
      <w:r w:rsidRPr="00366660">
        <w:rPr>
          <w:rFonts w:ascii="Arial" w:eastAsia="Arial,Calibri" w:hAnsi="Arial" w:cs="Arial"/>
          <w:lang w:eastAsia="es-CO"/>
        </w:rPr>
        <w:t xml:space="preserve"> </w:t>
      </w:r>
      <w:r w:rsidRPr="00366660">
        <w:rPr>
          <w:rFonts w:ascii="Arial" w:eastAsia="Arial" w:hAnsi="Arial" w:cs="Arial"/>
          <w:lang w:eastAsia="es-CO"/>
        </w:rPr>
        <w:t>Proponente</w:t>
      </w:r>
      <w:r w:rsidRPr="00366660">
        <w:rPr>
          <w:rFonts w:ascii="Arial" w:eastAsia="Arial,Calibri" w:hAnsi="Arial" w:cs="Arial"/>
          <w:lang w:eastAsia="es-CO"/>
        </w:rPr>
        <w:t xml:space="preserve"> </w:t>
      </w:r>
      <w:r w:rsidRPr="00366660">
        <w:rPr>
          <w:rFonts w:ascii="Arial" w:eastAsia="Arial" w:hAnsi="Arial" w:cs="Arial"/>
          <w:lang w:eastAsia="es-CO"/>
        </w:rPr>
        <w:t xml:space="preserve">aporte información inexacta </w:t>
      </w:r>
      <w:r w:rsidRPr="00366660">
        <w:rPr>
          <w:rFonts w:ascii="Arial" w:eastAsiaTheme="minorEastAsia" w:hAnsi="Arial" w:cs="Arial"/>
          <w:lang w:eastAsia="es-CO"/>
        </w:rPr>
        <w:t>sobre la cual pueda existir una posible falsedad</w:t>
      </w:r>
      <w:r w:rsidRPr="00366660" w:rsidDel="003061D1">
        <w:rPr>
          <w:rFonts w:ascii="Arial" w:eastAsiaTheme="minorEastAsia" w:hAnsi="Arial" w:cs="Arial"/>
          <w:lang w:eastAsia="es-CO"/>
        </w:rPr>
        <w:t xml:space="preserve"> </w:t>
      </w:r>
      <w:r w:rsidRPr="00366660">
        <w:rPr>
          <w:rFonts w:ascii="Arial" w:eastAsiaTheme="minorEastAsia" w:hAnsi="Arial" w:cs="Arial"/>
          <w:lang w:eastAsia="es-CO"/>
        </w:rPr>
        <w:t>en los términos de la sección 1.11</w:t>
      </w:r>
      <w:r>
        <w:rPr>
          <w:rFonts w:ascii="Arial" w:eastAsiaTheme="minorEastAsia" w:hAnsi="Arial" w:cs="Arial"/>
          <w:lang w:eastAsia="es-CO"/>
        </w:rPr>
        <w:t>”</w:t>
      </w:r>
      <w:r w:rsidRPr="00366660">
        <w:rPr>
          <w:rFonts w:ascii="Arial" w:eastAsiaTheme="minorEastAsia" w:hAnsi="Arial" w:cs="Arial"/>
          <w:lang w:eastAsia="es-CO"/>
        </w:rPr>
        <w:t>.</w:t>
      </w:r>
    </w:p>
    <w:p w14:paraId="7A0E153D" w14:textId="77777777" w:rsidR="003358A3" w:rsidRPr="00366660" w:rsidRDefault="003358A3" w:rsidP="003358A3">
      <w:pPr>
        <w:spacing w:before="120" w:line="276" w:lineRule="auto"/>
        <w:ind w:firstLine="708"/>
        <w:jc w:val="both"/>
        <w:rPr>
          <w:rFonts w:ascii="Arial" w:hAnsi="Arial" w:cs="Arial"/>
        </w:rPr>
      </w:pPr>
      <w:r w:rsidRPr="00366660">
        <w:rPr>
          <w:rFonts w:ascii="Arial" w:hAnsi="Arial" w:cs="Arial"/>
        </w:rPr>
        <w:t xml:space="preserve">Según lo expuesto, al verificarse que el proponente no incluyó información contractual que afecte su capacidad residual, la entidad no estará en posición de solicitar aclaraciones, o acudir al régimen de </w:t>
      </w:r>
      <w:proofErr w:type="spellStart"/>
      <w:r w:rsidRPr="00366660">
        <w:rPr>
          <w:rFonts w:ascii="Arial" w:hAnsi="Arial" w:cs="Arial"/>
        </w:rPr>
        <w:t>subsanabilidad</w:t>
      </w:r>
      <w:proofErr w:type="spellEnd"/>
      <w:r w:rsidRPr="00366660">
        <w:rPr>
          <w:rFonts w:ascii="Arial" w:hAnsi="Arial" w:cs="Arial"/>
        </w:rPr>
        <w:t xml:space="preserve"> de ofertas</w:t>
      </w:r>
      <w:r w:rsidRPr="00366660">
        <w:rPr>
          <w:rStyle w:val="Refdenotaalpie"/>
          <w:rFonts w:ascii="Arial" w:hAnsi="Arial" w:cs="Arial"/>
        </w:rPr>
        <w:footnoteReference w:id="14"/>
      </w:r>
      <w:r w:rsidRPr="00366660">
        <w:rPr>
          <w:rFonts w:ascii="Arial" w:hAnsi="Arial" w:cs="Arial"/>
        </w:rPr>
        <w:t>. Esto en la medida que tal circunstancia constituye una causal de rechazo en los términos de</w:t>
      </w:r>
      <w:r>
        <w:rPr>
          <w:rFonts w:ascii="Arial" w:hAnsi="Arial" w:cs="Arial"/>
        </w:rPr>
        <w:t xml:space="preserve"> los</w:t>
      </w:r>
      <w:r w:rsidRPr="00366660">
        <w:rPr>
          <w:rFonts w:ascii="Arial" w:hAnsi="Arial" w:cs="Arial"/>
        </w:rPr>
        <w:t xml:space="preserve"> </w:t>
      </w:r>
      <w:r>
        <w:rPr>
          <w:rFonts w:ascii="Arial" w:hAnsi="Arial" w:cs="Arial"/>
        </w:rPr>
        <w:t>literales H y</w:t>
      </w:r>
      <w:r w:rsidRPr="00366660">
        <w:rPr>
          <w:rFonts w:ascii="Arial" w:hAnsi="Arial" w:cs="Arial"/>
        </w:rPr>
        <w:t xml:space="preserve"> Z del numeral 1.15 del documento base, </w:t>
      </w:r>
      <w:r>
        <w:rPr>
          <w:rFonts w:ascii="Arial" w:hAnsi="Arial" w:cs="Arial"/>
        </w:rPr>
        <w:t>la</w:t>
      </w:r>
      <w:r w:rsidRPr="00366660">
        <w:rPr>
          <w:rFonts w:ascii="Arial" w:hAnsi="Arial" w:cs="Arial"/>
        </w:rPr>
        <w:t xml:space="preserve"> cual deberán analizar, caso a caso, las entidades contratantes conforme a los parámetros antes mencionados.</w:t>
      </w:r>
    </w:p>
    <w:p w14:paraId="0951C657" w14:textId="77777777" w:rsidR="003358A3" w:rsidRPr="00366660" w:rsidRDefault="003358A3" w:rsidP="003358A3">
      <w:pPr>
        <w:spacing w:before="120" w:line="276" w:lineRule="auto"/>
        <w:jc w:val="both"/>
        <w:rPr>
          <w:rFonts w:ascii="Arial" w:eastAsiaTheme="minorEastAsia" w:hAnsi="Arial" w:cs="Arial"/>
          <w:lang w:eastAsia="es-CO"/>
        </w:rPr>
      </w:pPr>
      <w:r w:rsidRPr="00366660">
        <w:rPr>
          <w:rFonts w:ascii="Arial" w:hAnsi="Arial" w:cs="Arial"/>
        </w:rPr>
        <w:tab/>
      </w:r>
      <w:r>
        <w:rPr>
          <w:rFonts w:ascii="Arial" w:hAnsi="Arial" w:cs="Arial"/>
        </w:rPr>
        <w:t>D</w:t>
      </w:r>
      <w:r w:rsidRPr="00366660">
        <w:rPr>
          <w:rFonts w:ascii="Arial" w:hAnsi="Arial" w:cs="Arial"/>
        </w:rPr>
        <w:t>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366660">
        <w:rPr>
          <w:rFonts w:ascii="Arial" w:hAnsi="Arial" w:cs="Arial"/>
          <w:i/>
          <w:iCs/>
        </w:rPr>
        <w:t xml:space="preserve"> </w:t>
      </w:r>
      <w:r w:rsidRPr="00366660">
        <w:rPr>
          <w:rFonts w:ascii="Arial" w:hAnsi="Arial" w:cs="Arial"/>
        </w:rPr>
        <w:t xml:space="preserve">incluye en la definición de contratos en ejecución aquellos que se encuentren suspendidos y que no tengan acta de inicio. Esta misma se recogió en el numeral 3.10.2, literal E, del </w:t>
      </w:r>
      <w:r w:rsidRPr="00366660">
        <w:rPr>
          <w:rFonts w:ascii="Arial" w:hAnsi="Arial" w:cs="Arial"/>
        </w:rPr>
        <w:lastRenderedPageBreak/>
        <w:t xml:space="preserve">documento base, el cual señaló que para acreditar el factor </w:t>
      </w:r>
      <w:r>
        <w:rPr>
          <w:rFonts w:ascii="Arial" w:hAnsi="Arial" w:cs="Arial"/>
        </w:rPr>
        <w:t>“</w:t>
      </w:r>
      <w:r w:rsidRPr="00366660">
        <w:rPr>
          <w:rFonts w:ascii="Arial" w:hAnsi="Arial" w:cs="Arial"/>
        </w:rPr>
        <w:t>SCE</w:t>
      </w:r>
      <w:r>
        <w:rPr>
          <w:rFonts w:ascii="Arial" w:eastAsiaTheme="minorEastAsia" w:hAnsi="Arial" w:cs="Arial"/>
          <w:lang w:eastAsia="es-CO"/>
        </w:rPr>
        <w:t>”</w:t>
      </w:r>
      <w:r w:rsidRPr="00366660">
        <w:rPr>
          <w:rFonts w:ascii="Arial" w:hAnsi="Arial" w:cs="Arial"/>
        </w:rPr>
        <w:t xml:space="preserve"> el proponente tendrá en cuenta </w:t>
      </w:r>
      <w:r>
        <w:rPr>
          <w:rFonts w:ascii="Arial" w:hAnsi="Arial" w:cs="Arial"/>
        </w:rPr>
        <w:t>“</w:t>
      </w:r>
      <w:r w:rsidRPr="00366660">
        <w:rPr>
          <w:rFonts w:ascii="Arial" w:hAnsi="Arial" w:cs="Arial"/>
        </w:rPr>
        <w:t>los contratos suspendidos y aquellos que no tengan acta de inicio</w:t>
      </w:r>
      <w:r>
        <w:rPr>
          <w:rFonts w:ascii="Arial" w:eastAsiaTheme="minorEastAsia" w:hAnsi="Arial" w:cs="Arial"/>
          <w:lang w:eastAsia="es-CO"/>
        </w:rPr>
        <w:t>”</w:t>
      </w:r>
      <w:r w:rsidRPr="00366660">
        <w:rPr>
          <w:rFonts w:ascii="Arial" w:eastAsiaTheme="minorEastAsia" w:hAnsi="Arial" w:cs="Arial"/>
          <w:lang w:eastAsia="es-CO"/>
        </w:rPr>
        <w:t>.</w:t>
      </w:r>
    </w:p>
    <w:p w14:paraId="2132B0C7" w14:textId="77777777" w:rsidR="003358A3" w:rsidRPr="00366660" w:rsidRDefault="003358A3" w:rsidP="003358A3">
      <w:pPr>
        <w:spacing w:before="120" w:after="0" w:line="276" w:lineRule="auto"/>
        <w:ind w:firstLine="708"/>
        <w:jc w:val="both"/>
        <w:rPr>
          <w:rFonts w:ascii="Arial" w:hAnsi="Arial" w:cs="Arial"/>
        </w:rPr>
      </w:pPr>
      <w:r w:rsidRPr="00366660">
        <w:rPr>
          <w:rFonts w:ascii="Arial" w:hAnsi="Arial" w:cs="Arial"/>
        </w:rPr>
        <w:t xml:space="preserve">En el caso de que el proponente presente la oferta con antelación a la fecha de cierre, informando los contratos que hasta entonces esté ejecutando, pero antes de la fecha de cierre comienza a ejecutar otro nuevo o el que estaba suspendido, está en la obligación de reportarlo a la entidad. De lo contrario estaría informando menos contratos, lo que además de afectar el cálculo de su capacidad residual o </w:t>
      </w:r>
      <w:r w:rsidRPr="00366660">
        <w:rPr>
          <w:rFonts w:ascii="Arial" w:hAnsi="Arial" w:cs="Arial"/>
          <w:i/>
          <w:iCs/>
        </w:rPr>
        <w:t>K</w:t>
      </w:r>
      <w:r w:rsidRPr="00366660">
        <w:rPr>
          <w:rFonts w:ascii="Arial" w:hAnsi="Arial" w:cs="Arial"/>
        </w:rPr>
        <w:t xml:space="preserve"> de contratación, facultaría a la entidad para rechazar su oferta conforme a la causal Z del numeral 1.15 del documento base</w:t>
      </w:r>
      <w:r>
        <w:rPr>
          <w:rFonts w:ascii="Arial" w:hAnsi="Arial" w:cs="Arial"/>
        </w:rPr>
        <w:t xml:space="preserve"> </w:t>
      </w:r>
      <w:r>
        <w:rPr>
          <w:rStyle w:val="normaltextrun"/>
          <w:rFonts w:ascii="Arial" w:hAnsi="Arial" w:cs="Arial"/>
          <w:color w:val="000000"/>
          <w:shd w:val="clear" w:color="auto" w:fill="FFFFFF"/>
        </w:rPr>
        <w:t xml:space="preserve">o, eventualmente, por la causal del literal H </w:t>
      </w:r>
      <w:proofErr w:type="spellStart"/>
      <w:r>
        <w:rPr>
          <w:rStyle w:val="normaltextrun"/>
          <w:rFonts w:ascii="Arial" w:hAnsi="Arial" w:cs="Arial"/>
          <w:i/>
          <w:iCs/>
          <w:color w:val="000000"/>
          <w:shd w:val="clear" w:color="auto" w:fill="FFFFFF"/>
        </w:rPr>
        <w:t>ibídem</w:t>
      </w:r>
      <w:proofErr w:type="spellEnd"/>
      <w:r w:rsidRPr="00366660">
        <w:rPr>
          <w:rFonts w:ascii="Arial" w:hAnsi="Arial" w:cs="Arial"/>
        </w:rPr>
        <w:t>.</w:t>
      </w:r>
    </w:p>
    <w:p w14:paraId="30B48C79" w14:textId="77777777" w:rsidR="003358A3" w:rsidRPr="00366660" w:rsidRDefault="003358A3" w:rsidP="003358A3">
      <w:pPr>
        <w:spacing w:after="0" w:line="276" w:lineRule="auto"/>
        <w:ind w:firstLine="708"/>
        <w:jc w:val="both"/>
        <w:rPr>
          <w:rFonts w:ascii="Arial" w:hAnsi="Arial" w:cs="Arial"/>
        </w:rPr>
      </w:pPr>
    </w:p>
    <w:p w14:paraId="197DD10E" w14:textId="77777777" w:rsidR="003358A3" w:rsidRPr="00366660" w:rsidRDefault="003358A3" w:rsidP="003358A3">
      <w:pPr>
        <w:tabs>
          <w:tab w:val="left" w:pos="284"/>
        </w:tabs>
        <w:spacing w:after="0" w:line="276" w:lineRule="auto"/>
        <w:contextualSpacing/>
        <w:jc w:val="both"/>
        <w:rPr>
          <w:rFonts w:ascii="Arial" w:eastAsia="Calibri" w:hAnsi="Arial" w:cs="Arial"/>
          <w:lang w:val="es-MX"/>
        </w:rPr>
      </w:pPr>
      <w:r>
        <w:rPr>
          <w:rFonts w:ascii="Arial" w:eastAsia="Calibri" w:hAnsi="Arial" w:cs="Arial"/>
          <w:b/>
          <w:lang w:val="es-MX"/>
        </w:rPr>
        <w:t xml:space="preserve">3. </w:t>
      </w:r>
      <w:r w:rsidRPr="00366660">
        <w:rPr>
          <w:rFonts w:ascii="Arial" w:eastAsia="Calibri" w:hAnsi="Arial" w:cs="Arial"/>
          <w:b/>
          <w:lang w:val="es-MX"/>
        </w:rPr>
        <w:t>Respuestas</w:t>
      </w:r>
    </w:p>
    <w:p w14:paraId="0AC9CA6D" w14:textId="77777777" w:rsidR="003358A3" w:rsidRPr="00366660" w:rsidRDefault="003358A3" w:rsidP="003358A3">
      <w:pPr>
        <w:spacing w:after="0" w:line="276" w:lineRule="auto"/>
        <w:ind w:right="709"/>
        <w:jc w:val="both"/>
        <w:rPr>
          <w:rFonts w:ascii="Arial" w:eastAsia="Calibri" w:hAnsi="Arial" w:cs="Arial"/>
          <w:iCs/>
          <w:lang w:val="es-MX"/>
        </w:rPr>
      </w:pPr>
    </w:p>
    <w:p w14:paraId="7A675DE2" w14:textId="77777777" w:rsidR="003358A3" w:rsidRDefault="003358A3" w:rsidP="003358A3">
      <w:pPr>
        <w:spacing w:after="120" w:line="240" w:lineRule="auto"/>
        <w:ind w:left="709" w:right="760"/>
        <w:jc w:val="both"/>
        <w:rPr>
          <w:rFonts w:ascii="Arial" w:eastAsia="Calibri" w:hAnsi="Arial" w:cs="Arial"/>
          <w:color w:val="000000" w:themeColor="text1"/>
          <w:sz w:val="21"/>
          <w:szCs w:val="21"/>
        </w:rPr>
      </w:pPr>
      <w:r w:rsidRPr="004D4CA3">
        <w:rPr>
          <w:rFonts w:ascii="Arial" w:eastAsia="Calibri" w:hAnsi="Arial" w:cs="Arial"/>
          <w:color w:val="000000" w:themeColor="text1"/>
          <w:sz w:val="21"/>
          <w:szCs w:val="21"/>
        </w:rPr>
        <w:t>i) “¿Qué es lo subsanable de la capacidad residual (El Formato 5), cuando no se presenta o cuando se presenta con algún o error u omisión o los soportes de dicho formulario?”</w:t>
      </w:r>
      <w:r>
        <w:rPr>
          <w:rFonts w:ascii="Arial" w:eastAsia="Calibri" w:hAnsi="Arial" w:cs="Arial"/>
          <w:color w:val="000000" w:themeColor="text1"/>
          <w:sz w:val="21"/>
          <w:szCs w:val="21"/>
        </w:rPr>
        <w:t>.</w:t>
      </w:r>
    </w:p>
    <w:p w14:paraId="6A89A055" w14:textId="77777777" w:rsidR="003358A3" w:rsidRDefault="003358A3" w:rsidP="003358A3">
      <w:pPr>
        <w:spacing w:after="120" w:line="240" w:lineRule="auto"/>
        <w:ind w:left="709" w:right="760"/>
        <w:jc w:val="both"/>
        <w:rPr>
          <w:rFonts w:ascii="Arial" w:eastAsia="Calibri" w:hAnsi="Arial" w:cs="Arial"/>
          <w:color w:val="000000" w:themeColor="text1"/>
          <w:sz w:val="21"/>
          <w:szCs w:val="21"/>
        </w:rPr>
      </w:pPr>
      <w:proofErr w:type="spellStart"/>
      <w:r w:rsidRPr="004D4CA3">
        <w:rPr>
          <w:rFonts w:ascii="Arial" w:eastAsia="Calibri" w:hAnsi="Arial" w:cs="Arial"/>
          <w:color w:val="000000" w:themeColor="text1"/>
          <w:sz w:val="21"/>
          <w:szCs w:val="21"/>
        </w:rPr>
        <w:t>ii</w:t>
      </w:r>
      <w:proofErr w:type="spellEnd"/>
      <w:r w:rsidRPr="004D4CA3">
        <w:rPr>
          <w:rFonts w:ascii="Arial" w:eastAsia="Calibri" w:hAnsi="Arial" w:cs="Arial"/>
          <w:color w:val="000000" w:themeColor="text1"/>
          <w:sz w:val="21"/>
          <w:szCs w:val="21"/>
        </w:rPr>
        <w:t>) “¿En la subsanación el proponente puede modificar el Formato 5, incluyendo los contratos en ejecución que olvidó registrar o, por el contrario, se le debe aplicar de inmediato la causal ‘Y. No informar todos los contratos que el proponente tenga en ejecución antes del cierre, necesarios para acreditar su capacidad residual conforme a la sección 3.10’, sin permitírsele incluirlos en una subsanación?”</w:t>
      </w:r>
      <w:r>
        <w:rPr>
          <w:rFonts w:ascii="Arial" w:eastAsia="Calibri" w:hAnsi="Arial" w:cs="Arial"/>
          <w:color w:val="000000" w:themeColor="text1"/>
          <w:sz w:val="21"/>
          <w:szCs w:val="21"/>
        </w:rPr>
        <w:t>.</w:t>
      </w:r>
    </w:p>
    <w:p w14:paraId="3CD8D92F" w14:textId="77777777" w:rsidR="003358A3" w:rsidRDefault="003358A3" w:rsidP="003358A3">
      <w:pPr>
        <w:spacing w:after="120" w:line="240" w:lineRule="auto"/>
        <w:ind w:left="709" w:right="760"/>
        <w:jc w:val="both"/>
        <w:rPr>
          <w:rFonts w:ascii="Arial" w:eastAsia="Calibri" w:hAnsi="Arial" w:cs="Arial"/>
          <w:color w:val="000000" w:themeColor="text1"/>
          <w:sz w:val="21"/>
          <w:szCs w:val="21"/>
        </w:rPr>
      </w:pPr>
      <w:proofErr w:type="spellStart"/>
      <w:r w:rsidRPr="004D4CA3">
        <w:rPr>
          <w:rFonts w:ascii="Arial" w:eastAsia="Calibri" w:hAnsi="Arial" w:cs="Arial"/>
          <w:color w:val="000000" w:themeColor="text1"/>
          <w:sz w:val="21"/>
          <w:szCs w:val="21"/>
        </w:rPr>
        <w:t>iii</w:t>
      </w:r>
      <w:proofErr w:type="spellEnd"/>
      <w:r w:rsidRPr="004D4CA3">
        <w:rPr>
          <w:rFonts w:ascii="Arial" w:eastAsia="Calibri" w:hAnsi="Arial" w:cs="Arial"/>
          <w:color w:val="000000" w:themeColor="text1"/>
          <w:sz w:val="21"/>
          <w:szCs w:val="21"/>
        </w:rPr>
        <w:t>) “La causal de rechazo: ‘Y. No informar todos los contratos que el proponente tenga en ejecución antes del cierre, necesarios para acreditar su capacidad residual conforme a la sección 3.10’, se debe aplicar solamente después de la subsanación del Formato 5, teniendo en cuenta que el numeral 3.10 del pliego tipo estipula que solo se aplicará cuando se advierta dicha omisión ‘durante el traslado del informe de evaluación’?”</w:t>
      </w:r>
      <w:r>
        <w:rPr>
          <w:rFonts w:ascii="Arial" w:eastAsia="Calibri" w:hAnsi="Arial" w:cs="Arial"/>
          <w:color w:val="000000" w:themeColor="text1"/>
          <w:sz w:val="21"/>
          <w:szCs w:val="21"/>
        </w:rPr>
        <w:t>.</w:t>
      </w:r>
    </w:p>
    <w:p w14:paraId="6610C706" w14:textId="77777777" w:rsidR="003358A3" w:rsidRDefault="003358A3" w:rsidP="003358A3">
      <w:pPr>
        <w:spacing w:after="120" w:line="240" w:lineRule="auto"/>
        <w:ind w:left="709" w:right="760"/>
        <w:jc w:val="both"/>
        <w:rPr>
          <w:rFonts w:ascii="Arial" w:eastAsia="Calibri" w:hAnsi="Arial" w:cs="Arial"/>
          <w:color w:val="000000" w:themeColor="text1"/>
          <w:sz w:val="21"/>
          <w:szCs w:val="21"/>
        </w:rPr>
      </w:pPr>
      <w:proofErr w:type="spellStart"/>
      <w:r w:rsidRPr="004D4CA3">
        <w:rPr>
          <w:rFonts w:ascii="Arial" w:eastAsia="Calibri" w:hAnsi="Arial" w:cs="Arial"/>
          <w:color w:val="000000" w:themeColor="text1"/>
          <w:sz w:val="21"/>
          <w:szCs w:val="21"/>
        </w:rPr>
        <w:t>iv</w:t>
      </w:r>
      <w:proofErr w:type="spellEnd"/>
      <w:r w:rsidRPr="004D4CA3">
        <w:rPr>
          <w:rFonts w:ascii="Arial" w:eastAsia="Calibri" w:hAnsi="Arial" w:cs="Arial"/>
          <w:color w:val="000000" w:themeColor="text1"/>
          <w:sz w:val="21"/>
          <w:szCs w:val="21"/>
        </w:rPr>
        <w:t>) “El rechazo de la causal ‘Y’ ¿se debe dar si luego de subsanado el Formato 5, se advierte que con los contratos recién incluidos no cumple con la capacidad residual o aun cuando incluyéndolos cumpla con la capacidad de contratación y fue tan sólo una omisión involuntaria, teniendo en cuenta que el requisito habilitante se resume en el pliego tipo en: ‘será hábil si su capacidad residual es mayor o igual a la capacidad residual de proceso de contratación’?</w:t>
      </w:r>
      <w:r>
        <w:rPr>
          <w:rFonts w:ascii="Arial" w:eastAsia="Calibri" w:hAnsi="Arial" w:cs="Arial"/>
          <w:color w:val="000000" w:themeColor="text1"/>
          <w:sz w:val="21"/>
          <w:szCs w:val="21"/>
        </w:rPr>
        <w:t>”.</w:t>
      </w:r>
    </w:p>
    <w:p w14:paraId="2CB0210D" w14:textId="77777777" w:rsidR="003358A3" w:rsidRPr="00366660" w:rsidRDefault="003358A3" w:rsidP="003358A3">
      <w:pPr>
        <w:spacing w:after="0" w:line="240" w:lineRule="auto"/>
        <w:ind w:left="709" w:right="758"/>
        <w:jc w:val="both"/>
        <w:rPr>
          <w:rFonts w:ascii="Arial" w:eastAsia="Calibri" w:hAnsi="Arial" w:cs="Arial"/>
          <w:color w:val="000000" w:themeColor="text1"/>
          <w:sz w:val="21"/>
          <w:szCs w:val="21"/>
        </w:rPr>
      </w:pPr>
      <w:r w:rsidRPr="004D4CA3">
        <w:rPr>
          <w:rFonts w:ascii="Arial" w:eastAsia="Calibri" w:hAnsi="Arial" w:cs="Arial"/>
          <w:color w:val="000000" w:themeColor="text1"/>
          <w:sz w:val="21"/>
          <w:szCs w:val="21"/>
        </w:rPr>
        <w:t>v) “Si la capacidad residual es un requisito habilitante y por lo tanto subsanable, por qué se incluye como una causal de rechazo en el pliego tipo no incluir todos los contratos en ejecución en el Formato 5, si la causal de rechazo debería ser incumplir el requisito habilitante que el pliego tipo lo resume en: ‘será hábil si su capacidad residual es mayor o igual a la capacidad residual de proceso de contratación’?”</w:t>
      </w:r>
      <w:r w:rsidRPr="00366660">
        <w:rPr>
          <w:rFonts w:ascii="Arial" w:eastAsia="Calibri" w:hAnsi="Arial" w:cs="Arial"/>
          <w:color w:val="000000" w:themeColor="text1"/>
          <w:sz w:val="21"/>
          <w:szCs w:val="21"/>
        </w:rPr>
        <w:t>.</w:t>
      </w:r>
    </w:p>
    <w:p w14:paraId="7BF0AA77" w14:textId="77777777" w:rsidR="003358A3" w:rsidRPr="00366660" w:rsidRDefault="003358A3" w:rsidP="003358A3">
      <w:pPr>
        <w:spacing w:after="0"/>
        <w:ind w:left="709" w:right="758"/>
        <w:jc w:val="both"/>
        <w:rPr>
          <w:rFonts w:ascii="Arial" w:eastAsia="Calibri" w:hAnsi="Arial" w:cs="Arial"/>
          <w:color w:val="000000" w:themeColor="text1"/>
          <w:sz w:val="21"/>
          <w:szCs w:val="21"/>
        </w:rPr>
      </w:pPr>
    </w:p>
    <w:p w14:paraId="5AC880A7" w14:textId="77777777" w:rsidR="003358A3" w:rsidRDefault="003358A3" w:rsidP="003358A3">
      <w:pPr>
        <w:spacing w:after="120" w:line="276" w:lineRule="auto"/>
        <w:jc w:val="both"/>
        <w:rPr>
          <w:rFonts w:ascii="Arial" w:hAnsi="Arial" w:cs="Arial"/>
          <w:szCs w:val="20"/>
          <w:lang w:val="es-MX"/>
        </w:rPr>
      </w:pPr>
      <w:r>
        <w:rPr>
          <w:rFonts w:ascii="Arial" w:eastAsiaTheme="minorEastAsia" w:hAnsi="Arial" w:cs="Arial"/>
          <w:lang w:val="es-MX" w:eastAsia="es-CO"/>
        </w:rPr>
        <w:t xml:space="preserve">De acuerdo con la explicación anterior, </w:t>
      </w:r>
      <w:r>
        <w:rPr>
          <w:rFonts w:ascii="Arial" w:hAnsi="Arial" w:cs="Arial"/>
          <w:szCs w:val="20"/>
          <w:lang w:val="es-MX"/>
        </w:rPr>
        <w:t>l</w:t>
      </w:r>
      <w:r w:rsidRPr="00366660">
        <w:rPr>
          <w:rFonts w:ascii="Arial" w:hAnsi="Arial" w:cs="Arial"/>
          <w:szCs w:val="20"/>
          <w:lang w:val="es-MX"/>
        </w:rPr>
        <w:t xml:space="preserve">a causal del literal Z del numeral 1.15 </w:t>
      </w:r>
      <w:r>
        <w:rPr>
          <w:rFonts w:ascii="Arial" w:hAnsi="Arial" w:cs="Arial"/>
          <w:szCs w:val="20"/>
          <w:lang w:val="es-MX"/>
        </w:rPr>
        <w:t xml:space="preserve">de </w:t>
      </w:r>
      <w:r w:rsidRPr="00D033DC">
        <w:rPr>
          <w:rFonts w:ascii="Arial" w:eastAsia="Calibri" w:hAnsi="Arial" w:cs="Arial"/>
          <w:lang w:val="es-MX"/>
        </w:rPr>
        <w:t xml:space="preserve">los “Documentos Tipo – Versión 3” de licitación de obra pública para infraestructura de </w:t>
      </w:r>
      <w:r w:rsidRPr="00D033DC">
        <w:rPr>
          <w:rFonts w:ascii="Arial" w:eastAsia="Calibri" w:hAnsi="Arial" w:cs="Arial"/>
          <w:lang w:val="es-MX"/>
        </w:rPr>
        <w:lastRenderedPageBreak/>
        <w:t>transporte</w:t>
      </w:r>
      <w:r w:rsidRPr="00366660">
        <w:rPr>
          <w:rFonts w:ascii="Arial" w:hAnsi="Arial" w:cs="Arial"/>
          <w:szCs w:val="20"/>
          <w:lang w:val="es-MX"/>
        </w:rPr>
        <w:t xml:space="preserve">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w:t>
      </w:r>
      <w:r>
        <w:rPr>
          <w:rFonts w:ascii="Arial" w:hAnsi="Arial" w:cs="Arial"/>
          <w:szCs w:val="20"/>
          <w:lang w:val="es-MX"/>
        </w:rPr>
        <w:t xml:space="preserve"> </w:t>
      </w:r>
      <w:r w:rsidRPr="00E1038B">
        <w:rPr>
          <w:rFonts w:ascii="Arial" w:hAnsi="Arial" w:cs="Arial"/>
          <w:szCs w:val="20"/>
          <w:lang w:val="es-MX"/>
        </w:rPr>
        <w:t>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del literal E del numeral 1.15 del documento base –versión 3 de licitación de obra pública–</w:t>
      </w:r>
      <w:r w:rsidRPr="00366660">
        <w:rPr>
          <w:rFonts w:ascii="Arial" w:hAnsi="Arial" w:cs="Arial"/>
          <w:szCs w:val="20"/>
          <w:lang w:val="es-MX"/>
        </w:rPr>
        <w:t xml:space="preserve"> </w:t>
      </w:r>
    </w:p>
    <w:p w14:paraId="58FC7663" w14:textId="77777777" w:rsidR="003358A3" w:rsidRDefault="003358A3" w:rsidP="003358A3">
      <w:pPr>
        <w:spacing w:after="120" w:line="276" w:lineRule="auto"/>
        <w:ind w:firstLine="708"/>
        <w:jc w:val="both"/>
        <w:rPr>
          <w:rFonts w:ascii="Arial" w:hAnsi="Arial" w:cs="Arial"/>
        </w:rPr>
      </w:pPr>
      <w:r w:rsidRPr="00366660">
        <w:rPr>
          <w:rFonts w:ascii="Arial" w:hAnsi="Arial" w:cs="Arial"/>
          <w:szCs w:val="20"/>
          <w:lang w:val="es-MX"/>
        </w:rPr>
        <w:t xml:space="preserve">Por tanto, la </w:t>
      </w:r>
      <w:r w:rsidRPr="00366660">
        <w:rPr>
          <w:rFonts w:ascii="Arial" w:hAnsi="Arial" w:cs="Arial"/>
          <w:lang w:val="es-MX"/>
        </w:rPr>
        <w:t>configuración de la causal de rechazo del literal Z es objetiva, pues solo aplica ante la omisión del proponente de informar el número total de contratos en ejecución antes del cierre</w:t>
      </w:r>
      <w:r>
        <w:rPr>
          <w:rFonts w:ascii="Arial" w:hAnsi="Arial" w:cs="Arial"/>
          <w:lang w:val="es-MX"/>
        </w:rPr>
        <w:t xml:space="preserve">. </w:t>
      </w:r>
      <w:r w:rsidRPr="00366660">
        <w:rPr>
          <w:rFonts w:ascii="Arial" w:hAnsi="Arial" w:cs="Arial"/>
        </w:rPr>
        <w:t xml:space="preserve">En este supuesto, lo que genera el rechazo de la oferta no es la ausencia de la información del contrato omitido, sino el hecho de haberse informado menos contratos de los que tenía en ejecución. Incluso, en el evento en el que el proponente </w:t>
      </w:r>
      <w:r>
        <w:rPr>
          <w:rFonts w:ascii="Arial" w:hAnsi="Arial" w:cs="Arial"/>
        </w:rPr>
        <w:t>“</w:t>
      </w:r>
      <w:r w:rsidRPr="00366660">
        <w:rPr>
          <w:rFonts w:ascii="Arial" w:hAnsi="Arial" w:cs="Arial"/>
        </w:rPr>
        <w:t>corrija</w:t>
      </w:r>
      <w:r>
        <w:rPr>
          <w:rFonts w:ascii="Arial" w:hAnsi="Arial" w:cs="Arial"/>
        </w:rPr>
        <w:t>”</w:t>
      </w:r>
      <w:r w:rsidRPr="00366660">
        <w:rPr>
          <w:rFonts w:ascii="Arial" w:hAnsi="Arial" w:cs="Arial"/>
        </w:rPr>
        <w:t xml:space="preserve"> el error e informe la existencia de un contrato no reportado, implica aceptar que ocurrió la causal del literal Z, esto es, que el proponente incumplió su obligación de informar todos los contratos de obra que tenía en ejecución</w:t>
      </w:r>
      <w:r>
        <w:rPr>
          <w:rFonts w:ascii="Arial" w:hAnsi="Arial" w:cs="Arial"/>
        </w:rPr>
        <w:t>.</w:t>
      </w:r>
    </w:p>
    <w:p w14:paraId="68568722" w14:textId="77777777" w:rsidR="003358A3" w:rsidRPr="00366660" w:rsidRDefault="003358A3" w:rsidP="003358A3">
      <w:pPr>
        <w:spacing w:before="120" w:line="276" w:lineRule="auto"/>
        <w:ind w:firstLine="709"/>
        <w:jc w:val="both"/>
        <w:rPr>
          <w:rFonts w:ascii="Arial" w:hAnsi="Arial" w:cs="Arial"/>
        </w:rPr>
      </w:pPr>
      <w:r w:rsidRPr="00366660">
        <w:rPr>
          <w:rFonts w:ascii="Arial" w:hAnsi="Arial" w:cs="Arial"/>
        </w:rPr>
        <w:t xml:space="preserve">Conclusión similar se aplica al literal H del numeral 1.15. del documento base, en el entendido de que el supuesto de hecho de esa causal, esto es, lo que genera el rechazo de la oferta, es la acción del proponente de aportar </w:t>
      </w:r>
      <w:r>
        <w:rPr>
          <w:rFonts w:ascii="Arial" w:hAnsi="Arial" w:cs="Arial"/>
        </w:rPr>
        <w:t>“</w:t>
      </w:r>
      <w:r w:rsidRPr="00366660">
        <w:rPr>
          <w:rFonts w:ascii="Arial" w:hAnsi="Arial" w:cs="Arial"/>
        </w:rPr>
        <w:t>[…] información inexacta sobre la cual pueda existir una posible falsedad […]</w:t>
      </w:r>
      <w:r>
        <w:rPr>
          <w:rFonts w:ascii="Arial" w:hAnsi="Arial" w:cs="Arial"/>
        </w:rPr>
        <w:t>”</w:t>
      </w:r>
      <w:r w:rsidRPr="00366660">
        <w:rPr>
          <w:rFonts w:ascii="Arial" w:hAnsi="Arial" w:cs="Arial"/>
        </w:rPr>
        <w:t xml:space="preserve">,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366660">
        <w:rPr>
          <w:rFonts w:ascii="Arial" w:hAnsi="Arial" w:cs="Arial"/>
          <w:i/>
        </w:rPr>
        <w:t>sub examine</w:t>
      </w:r>
      <w:r w:rsidRPr="00366660">
        <w:rPr>
          <w:rFonts w:ascii="Arial" w:hAnsi="Arial" w:cs="Arial"/>
        </w:rPr>
        <w:t xml:space="preserve"> es desincentivar todas las prácticas delictivas en los procesos de contratación estatal. </w:t>
      </w:r>
    </w:p>
    <w:p w14:paraId="5A8B1504" w14:textId="77777777" w:rsidR="003358A3" w:rsidRPr="00366660" w:rsidRDefault="003358A3" w:rsidP="003358A3">
      <w:pPr>
        <w:spacing w:before="120" w:line="276" w:lineRule="auto"/>
        <w:ind w:firstLine="709"/>
        <w:jc w:val="both"/>
        <w:rPr>
          <w:rFonts w:ascii="Arial" w:hAnsi="Arial" w:cs="Arial"/>
        </w:rPr>
      </w:pPr>
      <w:r w:rsidRPr="00366660">
        <w:rPr>
          <w:rFonts w:ascii="Arial" w:hAnsi="Arial" w:cs="Arial"/>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conforme a la explicación precedente, no se trata de información inexacta que tenga la connotación de falsedad, por lo que no habría lugar a rechazo de la propuesta por esta </w:t>
      </w:r>
      <w:proofErr w:type="spellStart"/>
      <w:r w:rsidRPr="00366660">
        <w:rPr>
          <w:rFonts w:ascii="Arial" w:hAnsi="Arial" w:cs="Arial"/>
        </w:rPr>
        <w:t>causal</w:t>
      </w:r>
      <w:proofErr w:type="spellEnd"/>
      <w:r w:rsidRPr="00366660">
        <w:rPr>
          <w:rFonts w:ascii="Arial" w:hAnsi="Arial" w:cs="Arial"/>
        </w:rPr>
        <w:t xml:space="preserve">. </w:t>
      </w:r>
      <w:r w:rsidRPr="00A4194D">
        <w:rPr>
          <w:rFonts w:ascii="Arial" w:hAnsi="Arial" w:cs="Arial"/>
        </w:rPr>
        <w:t>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w:t>
      </w:r>
      <w:r w:rsidRPr="00366660">
        <w:rPr>
          <w:rFonts w:ascii="Arial" w:hAnsi="Arial" w:cs="Arial"/>
        </w:rPr>
        <w:t xml:space="preserve">. </w:t>
      </w:r>
    </w:p>
    <w:p w14:paraId="24B22959" w14:textId="77777777" w:rsidR="003358A3" w:rsidRPr="00366660" w:rsidRDefault="003358A3" w:rsidP="003358A3">
      <w:pPr>
        <w:spacing w:before="120" w:line="276" w:lineRule="auto"/>
        <w:ind w:firstLine="708"/>
        <w:jc w:val="both"/>
        <w:rPr>
          <w:rFonts w:ascii="Arial" w:hAnsi="Arial" w:cs="Arial"/>
        </w:rPr>
      </w:pPr>
      <w:r w:rsidRPr="00366660">
        <w:rPr>
          <w:rFonts w:ascii="Arial" w:hAnsi="Arial" w:cs="Arial"/>
        </w:rPr>
        <w:t xml:space="preserve">Finalmente, esta distinción también se proyecta sobre las reglas de </w:t>
      </w:r>
      <w:proofErr w:type="spellStart"/>
      <w:r w:rsidRPr="00366660">
        <w:rPr>
          <w:rFonts w:ascii="Arial" w:hAnsi="Arial" w:cs="Arial"/>
        </w:rPr>
        <w:t>subsanabilidad</w:t>
      </w:r>
      <w:proofErr w:type="spellEnd"/>
      <w:r w:rsidRPr="00366660">
        <w:rPr>
          <w:rFonts w:ascii="Arial" w:hAnsi="Arial" w:cs="Arial"/>
        </w:rPr>
        <w:t xml:space="preserve"> de las ofertas de la Ley 1150 de 2007, pues solo habrá lugar a subsanar en los eventos en </w:t>
      </w:r>
      <w:r w:rsidRPr="00366660">
        <w:rPr>
          <w:rFonts w:ascii="Arial" w:hAnsi="Arial" w:cs="Arial"/>
        </w:rPr>
        <w:lastRenderedPageBreak/>
        <w:t xml:space="preserve">los que el proponente omite información sobre los contratos </w:t>
      </w:r>
      <w:r>
        <w:rPr>
          <w:rFonts w:ascii="Arial" w:hAnsi="Arial" w:cs="Arial"/>
        </w:rPr>
        <w:t>reportados</w:t>
      </w:r>
      <w:r w:rsidRPr="00366660">
        <w:rPr>
          <w:rFonts w:ascii="Arial" w:hAnsi="Arial" w:cs="Arial"/>
        </w:rPr>
        <w:t xml:space="preserve">, esto es, en el evento de la causal del literal E. Dicho de otra forma, no se puede subsanar cuando se incurre las causales H y Z, eventos en los cuales el rechazo procede de forma automática, es decir, sin permitirle al proponente subsanar la </w:t>
      </w:r>
      <w:r>
        <w:rPr>
          <w:rFonts w:ascii="Arial" w:hAnsi="Arial" w:cs="Arial"/>
        </w:rPr>
        <w:t>“</w:t>
      </w:r>
      <w:r w:rsidRPr="00366660">
        <w:rPr>
          <w:rFonts w:ascii="Arial" w:hAnsi="Arial" w:cs="Arial"/>
        </w:rPr>
        <w:t>inexactitud</w:t>
      </w:r>
      <w:r>
        <w:rPr>
          <w:rFonts w:ascii="Arial" w:hAnsi="Arial" w:cs="Arial"/>
        </w:rPr>
        <w:t>”</w:t>
      </w:r>
      <w:r w:rsidRPr="00366660">
        <w:rPr>
          <w:rFonts w:ascii="Arial" w:hAnsi="Arial" w:cs="Arial"/>
        </w:rPr>
        <w:t xml:space="preserve"> de la oferta o el número de contratos de obra que tenía el deber de reportar.</w:t>
      </w:r>
    </w:p>
    <w:p w14:paraId="61E90E93" w14:textId="77777777" w:rsidR="003358A3" w:rsidRDefault="003358A3" w:rsidP="003358A3">
      <w:pPr>
        <w:spacing w:before="120" w:line="276" w:lineRule="auto"/>
        <w:ind w:firstLine="708"/>
        <w:jc w:val="both"/>
        <w:rPr>
          <w:rFonts w:ascii="Arial" w:hAnsi="Arial" w:cs="Arial"/>
        </w:rPr>
      </w:pPr>
      <w:r w:rsidRPr="00366660">
        <w:rPr>
          <w:rFonts w:ascii="Arial" w:hAnsi="Arial" w:cs="Arial"/>
          <w:noProof/>
        </w:rPr>
        <w:t>Lo</w:t>
      </w:r>
      <w:r w:rsidRPr="00366660">
        <w:rPr>
          <w:rFonts w:ascii="Arial" w:hAnsi="Arial" w:cs="Arial"/>
        </w:rPr>
        <w:t xml:space="preserve"> expresado en el párrafo precedente no contradice lo dispuesto en el artículo 5, parágrafo 1, de la Ley 1150 de 2007, adicionado por el artículo 5 de la Ley 1882 de 2018, norma que dispone que </w:t>
      </w:r>
      <w:r>
        <w:rPr>
          <w:rFonts w:ascii="Arial" w:hAnsi="Arial" w:cs="Arial"/>
        </w:rPr>
        <w:t>“</w:t>
      </w:r>
      <w:r w:rsidRPr="00366660">
        <w:t xml:space="preserve">[…] </w:t>
      </w:r>
      <w:r w:rsidRPr="00366660">
        <w:rPr>
          <w:rFonts w:ascii="Arial" w:hAnsi="Arial" w:cs="Arial"/>
        </w:rPr>
        <w:t xml:space="preserve">todos aquellos requisitos de la propuesta que no afecten la asignación de </w:t>
      </w:r>
      <w:proofErr w:type="gramStart"/>
      <w:r w:rsidRPr="00366660">
        <w:rPr>
          <w:rFonts w:ascii="Arial" w:hAnsi="Arial" w:cs="Arial"/>
        </w:rPr>
        <w:t>puntaje,</w:t>
      </w:r>
      <w:proofErr w:type="gramEnd"/>
      <w:r w:rsidRPr="00366660">
        <w:rPr>
          <w:rFonts w:ascii="Arial" w:hAnsi="Arial" w:cs="Arial"/>
        </w:rPr>
        <w:t xml:space="preserve"> deberán ser solicitados por las entidades estatales y deberán ser entregados por los proponentes</w:t>
      </w:r>
      <w:r>
        <w:rPr>
          <w:rFonts w:ascii="Arial" w:hAnsi="Arial" w:cs="Arial"/>
        </w:rPr>
        <w:t>”</w:t>
      </w:r>
      <w:r w:rsidRPr="00366660">
        <w:rPr>
          <w:rFonts w:ascii="Arial" w:hAnsi="Arial" w:cs="Arial"/>
        </w:rPr>
        <w:t xml:space="preserve">. Es cierto que la información </w:t>
      </w:r>
      <w:r>
        <w:rPr>
          <w:rFonts w:ascii="Arial" w:hAnsi="Arial" w:cs="Arial"/>
        </w:rPr>
        <w:t>“</w:t>
      </w:r>
      <w:r w:rsidRPr="00366660">
        <w:rPr>
          <w:rFonts w:ascii="Arial" w:hAnsi="Arial" w:cs="Arial"/>
        </w:rPr>
        <w:t>inexacta</w:t>
      </w:r>
      <w:r>
        <w:rPr>
          <w:rFonts w:ascii="Arial" w:hAnsi="Arial" w:cs="Arial"/>
        </w:rPr>
        <w:t>”</w:t>
      </w:r>
      <w:r w:rsidRPr="00366660">
        <w:rPr>
          <w:rFonts w:ascii="Arial" w:hAnsi="Arial" w:cs="Arial"/>
        </w:rPr>
        <w:t xml:space="preserve">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w:t>
      </w:r>
    </w:p>
    <w:p w14:paraId="44E11609" w14:textId="77777777" w:rsidR="003358A3" w:rsidRPr="00A128AA" w:rsidRDefault="003358A3" w:rsidP="003358A3">
      <w:pPr>
        <w:spacing w:before="120" w:after="0" w:line="276" w:lineRule="auto"/>
        <w:ind w:firstLine="708"/>
        <w:jc w:val="both"/>
        <w:rPr>
          <w:rFonts w:ascii="Arial" w:hAnsi="Arial" w:cs="Arial"/>
        </w:rPr>
      </w:pPr>
      <w:bookmarkStart w:id="13" w:name="_Hlk141094416"/>
      <w:r w:rsidRPr="00366660">
        <w:rPr>
          <w:rFonts w:ascii="Arial" w:hAnsi="Arial" w:cs="Arial"/>
        </w:rPr>
        <w:t>La imposibilidad de subsanar se deriva, entonces, del supuesto de hecho de aquellas causales, sin que en esto sea relevante que se otorguen o no puntos a la propuesta por el requisito de capacidad residual.</w:t>
      </w:r>
      <w:r>
        <w:rPr>
          <w:rFonts w:ascii="Arial" w:hAnsi="Arial" w:cs="Arial"/>
        </w:rPr>
        <w:t xml:space="preserve"> No en vano, desde el punto de vista jurisprudencial, la violación al deber de buena fe en la etapa precontractual justifica el rechazo, pues este tipo de medidas “[…] </w:t>
      </w:r>
      <w:r w:rsidRPr="00D273D2">
        <w:rPr>
          <w:rFonts w:ascii="Arial" w:hAnsi="Arial" w:cs="Arial"/>
        </w:rPr>
        <w:t>guardan armonía con principios de rango constitucional y de la contratación estatal, que tienen por finalidad que ningún proponente pueda beneficiarse de información parcial, inexacta o que falta a la verdad. En otras palabras, para la Sala, suministrar información contraria a la realidad en una oferta no puede ser objeto de subsanación dentro de ningún procedimiento de selección</w:t>
      </w:r>
      <w:r>
        <w:rPr>
          <w:rFonts w:ascii="Arial" w:hAnsi="Arial" w:cs="Arial"/>
        </w:rPr>
        <w:t>”</w:t>
      </w:r>
      <w:bookmarkEnd w:id="13"/>
      <w:r w:rsidRPr="00366660">
        <w:rPr>
          <w:rFonts w:ascii="Arial" w:eastAsiaTheme="minorEastAsia" w:hAnsi="Arial" w:cs="Arial"/>
          <w:lang w:val="es-MX" w:eastAsia="es-CO"/>
        </w:rPr>
        <w:t>.</w:t>
      </w:r>
    </w:p>
    <w:p w14:paraId="0A17420C" w14:textId="77777777" w:rsidR="003358A3" w:rsidRPr="00366660" w:rsidRDefault="003358A3" w:rsidP="003358A3">
      <w:pPr>
        <w:spacing w:after="0" w:line="276" w:lineRule="auto"/>
        <w:ind w:right="709"/>
        <w:jc w:val="both"/>
        <w:rPr>
          <w:rFonts w:ascii="Arial" w:eastAsia="Calibri" w:hAnsi="Arial" w:cs="Arial"/>
          <w:iCs/>
          <w:lang w:val="es-MX"/>
        </w:rPr>
      </w:pPr>
    </w:p>
    <w:p w14:paraId="394D739E" w14:textId="77777777" w:rsidR="003358A3" w:rsidRDefault="003358A3" w:rsidP="003358A3">
      <w:pPr>
        <w:spacing w:after="120" w:line="240" w:lineRule="auto"/>
        <w:ind w:left="709" w:right="760"/>
        <w:jc w:val="both"/>
        <w:rPr>
          <w:rFonts w:ascii="Arial" w:eastAsia="Calibri" w:hAnsi="Arial" w:cs="Arial"/>
          <w:color w:val="000000" w:themeColor="text1"/>
          <w:sz w:val="21"/>
          <w:szCs w:val="21"/>
        </w:rPr>
      </w:pPr>
      <w:r w:rsidRPr="00E90538">
        <w:rPr>
          <w:rFonts w:ascii="Arial" w:eastAsia="Calibri" w:hAnsi="Arial" w:cs="Arial"/>
          <w:color w:val="000000" w:themeColor="text1"/>
          <w:sz w:val="21"/>
          <w:szCs w:val="21"/>
        </w:rPr>
        <w:t>vi) “¿Qué debe hacer la Entidad si durante la audiencia de adjudicación advierte, por sí mismo o por observación de algún proponente, que un proponente no incluyó algún contrato en ejecución en el Formato 5? ¿Lo puede requerir para subsanar dado que es un requisito habilitante, le puede solicitar aclarar o debe rechazarlo de plano aún si con dicho contrato omitido cumplía con la capacidad residual de contratación exigida?”</w:t>
      </w:r>
      <w:r>
        <w:rPr>
          <w:rFonts w:ascii="Arial" w:eastAsia="Calibri" w:hAnsi="Arial" w:cs="Arial"/>
          <w:color w:val="000000" w:themeColor="text1"/>
          <w:sz w:val="21"/>
          <w:szCs w:val="21"/>
        </w:rPr>
        <w:t>.</w:t>
      </w:r>
    </w:p>
    <w:p w14:paraId="6B594325" w14:textId="77777777" w:rsidR="003358A3" w:rsidRDefault="003358A3" w:rsidP="003358A3">
      <w:pPr>
        <w:spacing w:after="120" w:line="240" w:lineRule="auto"/>
        <w:ind w:left="709" w:right="760"/>
        <w:jc w:val="both"/>
        <w:rPr>
          <w:rFonts w:ascii="Arial" w:eastAsia="Calibri" w:hAnsi="Arial" w:cs="Arial"/>
          <w:color w:val="000000" w:themeColor="text1"/>
          <w:sz w:val="21"/>
          <w:szCs w:val="21"/>
        </w:rPr>
      </w:pPr>
      <w:proofErr w:type="spellStart"/>
      <w:r w:rsidRPr="00E90538">
        <w:rPr>
          <w:rFonts w:ascii="Arial" w:eastAsia="Calibri" w:hAnsi="Arial" w:cs="Arial"/>
          <w:color w:val="000000" w:themeColor="text1"/>
          <w:sz w:val="21"/>
          <w:szCs w:val="21"/>
        </w:rPr>
        <w:t>vii</w:t>
      </w:r>
      <w:proofErr w:type="spellEnd"/>
      <w:r w:rsidRPr="00E90538">
        <w:rPr>
          <w:rFonts w:ascii="Arial" w:eastAsia="Calibri" w:hAnsi="Arial" w:cs="Arial"/>
          <w:color w:val="000000" w:themeColor="text1"/>
          <w:sz w:val="21"/>
          <w:szCs w:val="21"/>
        </w:rPr>
        <w:t>) “¿Hasta qué momento la entidad puede aceptar observaciones de los proponentes respecto a la no inclusión de contratos en el Formato 5 de otro proponente?”</w:t>
      </w:r>
      <w:r>
        <w:rPr>
          <w:rFonts w:ascii="Arial" w:eastAsia="Calibri" w:hAnsi="Arial" w:cs="Arial"/>
          <w:color w:val="000000" w:themeColor="text1"/>
          <w:sz w:val="21"/>
          <w:szCs w:val="21"/>
        </w:rPr>
        <w:t>.</w:t>
      </w:r>
    </w:p>
    <w:p w14:paraId="5A71DEF9" w14:textId="77777777" w:rsidR="003358A3" w:rsidRPr="00366660" w:rsidRDefault="003358A3" w:rsidP="003358A3">
      <w:pPr>
        <w:spacing w:after="0" w:line="240" w:lineRule="auto"/>
        <w:ind w:left="709" w:right="758"/>
        <w:jc w:val="both"/>
        <w:rPr>
          <w:rFonts w:ascii="Arial" w:eastAsia="Calibri" w:hAnsi="Arial" w:cs="Arial"/>
          <w:color w:val="000000" w:themeColor="text1"/>
          <w:sz w:val="21"/>
          <w:szCs w:val="21"/>
        </w:rPr>
      </w:pPr>
      <w:proofErr w:type="spellStart"/>
      <w:r w:rsidRPr="00E90538">
        <w:rPr>
          <w:rFonts w:ascii="Arial" w:eastAsia="Calibri" w:hAnsi="Arial" w:cs="Arial"/>
          <w:color w:val="000000" w:themeColor="text1"/>
          <w:sz w:val="21"/>
          <w:szCs w:val="21"/>
        </w:rPr>
        <w:t>viii</w:t>
      </w:r>
      <w:proofErr w:type="spellEnd"/>
      <w:r w:rsidRPr="00E90538">
        <w:rPr>
          <w:rFonts w:ascii="Arial" w:eastAsia="Calibri" w:hAnsi="Arial" w:cs="Arial"/>
          <w:color w:val="000000" w:themeColor="text1"/>
          <w:sz w:val="21"/>
          <w:szCs w:val="21"/>
        </w:rPr>
        <w:t>) “¿En caso de presentarse una observación por parte de un proponente respecto a la no inclusión de contratos en el Formato 5 de otro proponente durante la audiencia de adjudicación cuando ya se ha dado apertura al sobre 2 con las ofertas económicas, se debe tener en cuenta y si es el caso rechazar la oferta del proponente si se evidencia dicha omisión o, por el contrario, se debe rechazar la observación por extemporánea?”</w:t>
      </w:r>
      <w:r w:rsidRPr="00366660">
        <w:rPr>
          <w:rFonts w:ascii="Arial" w:eastAsia="Calibri" w:hAnsi="Arial" w:cs="Arial"/>
          <w:color w:val="000000" w:themeColor="text1"/>
          <w:sz w:val="21"/>
          <w:szCs w:val="21"/>
        </w:rPr>
        <w:t>.</w:t>
      </w:r>
    </w:p>
    <w:p w14:paraId="5D83CC19" w14:textId="77777777" w:rsidR="003358A3" w:rsidRPr="00366660" w:rsidRDefault="003358A3" w:rsidP="003358A3">
      <w:pPr>
        <w:spacing w:after="0"/>
        <w:ind w:left="709" w:right="758"/>
        <w:jc w:val="both"/>
        <w:rPr>
          <w:rFonts w:ascii="Arial" w:eastAsia="Calibri" w:hAnsi="Arial" w:cs="Arial"/>
          <w:color w:val="000000" w:themeColor="text1"/>
          <w:sz w:val="21"/>
          <w:szCs w:val="21"/>
        </w:rPr>
      </w:pPr>
    </w:p>
    <w:p w14:paraId="2439CC87" w14:textId="77777777" w:rsidR="003358A3" w:rsidRPr="00366660" w:rsidRDefault="003358A3" w:rsidP="003358A3">
      <w:pPr>
        <w:spacing w:after="120" w:line="276" w:lineRule="auto"/>
        <w:jc w:val="both"/>
        <w:rPr>
          <w:rFonts w:ascii="Arial" w:eastAsiaTheme="minorEastAsia" w:hAnsi="Arial" w:cs="Arial"/>
          <w:lang w:val="es-MX" w:eastAsia="es-CO"/>
        </w:rPr>
      </w:pPr>
      <w:r w:rsidRPr="00366660">
        <w:rPr>
          <w:rFonts w:ascii="Arial" w:eastAsiaTheme="minorEastAsia" w:hAnsi="Arial" w:cs="Arial"/>
          <w:lang w:val="es-MX" w:eastAsia="es-CO"/>
        </w:rPr>
        <w:t xml:space="preserve">Para efectos de la causal rechazo del literal Z del numeral 1.15 de los </w:t>
      </w:r>
      <w:r>
        <w:rPr>
          <w:rFonts w:ascii="Arial" w:eastAsiaTheme="minorEastAsia" w:hAnsi="Arial" w:cs="Arial"/>
          <w:lang w:val="es-MX" w:eastAsia="es-CO"/>
        </w:rPr>
        <w:t>“</w:t>
      </w:r>
      <w:r w:rsidRPr="00366660">
        <w:rPr>
          <w:rFonts w:ascii="Arial" w:eastAsiaTheme="minorEastAsia" w:hAnsi="Arial" w:cs="Arial"/>
          <w:lang w:val="es-MX" w:eastAsia="es-CO"/>
        </w:rPr>
        <w:t>Documentos Tipo – Versión 3</w:t>
      </w:r>
      <w:r>
        <w:rPr>
          <w:rFonts w:ascii="Arial" w:eastAsiaTheme="minorEastAsia" w:hAnsi="Arial" w:cs="Arial"/>
          <w:lang w:val="es-MX" w:eastAsia="es-CO"/>
        </w:rPr>
        <w:t>”</w:t>
      </w:r>
      <w:r w:rsidRPr="00366660">
        <w:rPr>
          <w:rFonts w:ascii="Arial" w:eastAsiaTheme="minorEastAsia" w:hAnsi="Arial" w:cs="Arial"/>
          <w:lang w:val="es-MX" w:eastAsia="es-CO"/>
        </w:rPr>
        <w:t xml:space="preserve"> de licitación para obra pública de infraestructura de transporte, quien advierte la omisión de alguna información contractual que afecte la capacidad residual de un proponente debe manifestarlo durante el traslado del informe de evaluación, que es precisamente el momento establecido en el ordenamiento jurídico para observar y presentar solicitudes frente a la evaluación realizada por la entidad, no hasta antes de la adjudicación del proceso. Así las cosas, es durante el traslado d</w:t>
      </w:r>
      <w:r w:rsidRPr="00366660">
        <w:rPr>
          <w:rFonts w:ascii="Arial" w:hAnsi="Arial" w:cs="Arial"/>
          <w:color w:val="000000" w:themeColor="text1"/>
        </w:rPr>
        <w:t xml:space="preserve">el </w:t>
      </w:r>
      <w:r w:rsidRPr="00366660">
        <w:rPr>
          <w:rFonts w:ascii="Arial" w:hAnsi="Arial" w:cs="Arial"/>
          <w:i/>
          <w:iCs/>
          <w:color w:val="000000" w:themeColor="text1"/>
        </w:rPr>
        <w:t>informe de evaluación</w:t>
      </w:r>
      <w:r w:rsidRPr="00366660">
        <w:rPr>
          <w:rFonts w:ascii="Arial" w:hAnsi="Arial" w:cs="Arial"/>
          <w:color w:val="000000" w:themeColor="text1"/>
        </w:rPr>
        <w:t xml:space="preserve"> relacionado con los documentos de los requisitos habilitantes –incluido lo relativo a la capacidad residual– </w:t>
      </w:r>
      <w:r w:rsidRPr="00366660">
        <w:rPr>
          <w:rFonts w:ascii="Arial" w:eastAsiaTheme="minorEastAsia" w:hAnsi="Arial" w:cs="Arial"/>
          <w:lang w:val="es-MX" w:eastAsia="es-CO"/>
        </w:rPr>
        <w:t>y los requisitos que sean objeto de puntuación, diferentes a la oferta económica, que cualquier interesado o la entidad puede advertir que se dejó de incluir, al cierre del proceso, por parte de un proponente, alguna información contractual que afecte su capacidad residual.</w:t>
      </w:r>
    </w:p>
    <w:p w14:paraId="58680AAB" w14:textId="77777777" w:rsidR="003358A3" w:rsidRPr="00366660" w:rsidRDefault="003358A3" w:rsidP="003358A3">
      <w:pPr>
        <w:spacing w:after="120" w:line="276" w:lineRule="auto"/>
        <w:ind w:firstLine="708"/>
        <w:jc w:val="both"/>
        <w:rPr>
          <w:rFonts w:ascii="Arial" w:eastAsiaTheme="minorEastAsia" w:hAnsi="Arial" w:cs="Arial"/>
          <w:lang w:val="es-MX" w:eastAsia="es-CO"/>
        </w:rPr>
      </w:pPr>
      <w:r w:rsidRPr="00366660">
        <w:rPr>
          <w:rFonts w:ascii="Arial" w:eastAsiaTheme="minorEastAsia" w:hAnsi="Arial" w:cs="Arial"/>
          <w:lang w:val="es-MX" w:eastAsia="es-CO"/>
        </w:rPr>
        <w:t xml:space="preserve">Por tanto, en ningún caso, </w:t>
      </w:r>
      <w:r w:rsidRPr="00366660">
        <w:rPr>
          <w:rFonts w:ascii="Arial" w:hAnsi="Arial" w:cs="Arial"/>
          <w:color w:val="000000" w:themeColor="text1"/>
        </w:rPr>
        <w:t xml:space="preserve">durante el traslado para la revisión </w:t>
      </w:r>
      <w:r>
        <w:rPr>
          <w:rFonts w:ascii="Arial" w:hAnsi="Arial" w:cs="Arial"/>
          <w:color w:val="000000" w:themeColor="text1"/>
        </w:rPr>
        <w:t>“</w:t>
      </w:r>
      <w:r w:rsidRPr="00366660">
        <w:rPr>
          <w:rFonts w:ascii="Arial" w:hAnsi="Arial" w:cs="Arial"/>
          <w:color w:val="000000" w:themeColor="text1"/>
        </w:rPr>
        <w:t>del aspecto económico</w:t>
      </w:r>
      <w:r>
        <w:rPr>
          <w:rFonts w:ascii="Arial" w:hAnsi="Arial" w:cs="Arial"/>
          <w:color w:val="000000" w:themeColor="text1"/>
        </w:rPr>
        <w:t>”</w:t>
      </w:r>
      <w:r w:rsidRPr="00366660">
        <w:rPr>
          <w:rFonts w:ascii="Arial" w:hAnsi="Arial" w:cs="Arial"/>
          <w:color w:val="000000" w:themeColor="text1"/>
        </w:rPr>
        <w:t xml:space="preserve"> del sobre número dos (2), que contiene la oferta económica, es la oportunidad para que los interesados o la entidad adviertan que </w:t>
      </w:r>
      <w:r w:rsidRPr="00366660">
        <w:rPr>
          <w:rFonts w:ascii="Arial" w:eastAsiaTheme="minorEastAsia" w:hAnsi="Arial" w:cs="Arial"/>
          <w:lang w:val="es-MX" w:eastAsia="es-CO"/>
        </w:rPr>
        <w:t>se dejó de incluir, al cierre del proceso, por parte de un proponente, alguna información contractual que afecte su capacidad residual. Para esto</w:t>
      </w:r>
      <w:r>
        <w:rPr>
          <w:rFonts w:ascii="Arial" w:eastAsiaTheme="minorEastAsia" w:hAnsi="Arial" w:cs="Arial"/>
          <w:lang w:val="es-MX" w:eastAsia="es-CO"/>
        </w:rPr>
        <w:t>s</w:t>
      </w:r>
      <w:r w:rsidRPr="00366660">
        <w:rPr>
          <w:rFonts w:ascii="Arial" w:eastAsiaTheme="minorEastAsia" w:hAnsi="Arial" w:cs="Arial"/>
          <w:lang w:val="es-MX" w:eastAsia="es-CO"/>
        </w:rPr>
        <w:t xml:space="preserve"> efectos, el término perentorio para ello es el estipulado para el traslado del informe de evaluación de los requisitos contenidos en el sobre número uno (1).</w:t>
      </w:r>
      <w:r>
        <w:rPr>
          <w:rFonts w:ascii="Arial" w:eastAsiaTheme="minorEastAsia" w:hAnsi="Arial" w:cs="Arial"/>
          <w:lang w:val="es-MX" w:eastAsia="es-CO"/>
        </w:rPr>
        <w:t xml:space="preserve"> Por lo demás, en lo relacionado con el régimen de </w:t>
      </w:r>
      <w:proofErr w:type="spellStart"/>
      <w:r>
        <w:rPr>
          <w:rFonts w:ascii="Arial" w:eastAsiaTheme="minorEastAsia" w:hAnsi="Arial" w:cs="Arial"/>
          <w:lang w:val="es-MX" w:eastAsia="es-CO"/>
        </w:rPr>
        <w:t>subsanabilidad</w:t>
      </w:r>
      <w:proofErr w:type="spellEnd"/>
      <w:r>
        <w:rPr>
          <w:rFonts w:ascii="Arial" w:eastAsiaTheme="minorEastAsia" w:hAnsi="Arial" w:cs="Arial"/>
          <w:lang w:val="es-MX" w:eastAsia="es-CO"/>
        </w:rPr>
        <w:t xml:space="preserve"> de este requisito, se reitera la respuesta anterior.</w:t>
      </w:r>
    </w:p>
    <w:p w14:paraId="2A6E21BB" w14:textId="77777777" w:rsidR="003358A3" w:rsidRPr="00366660" w:rsidRDefault="003358A3" w:rsidP="003358A3">
      <w:pPr>
        <w:spacing w:after="0" w:line="276" w:lineRule="auto"/>
        <w:ind w:firstLine="708"/>
        <w:jc w:val="both"/>
        <w:rPr>
          <w:rFonts w:ascii="Arial" w:eastAsiaTheme="minorEastAsia" w:hAnsi="Arial" w:cs="Arial"/>
          <w:lang w:val="es-MX" w:eastAsia="es-CO"/>
        </w:rPr>
      </w:pPr>
    </w:p>
    <w:p w14:paraId="5E10D414" w14:textId="77777777" w:rsidR="003358A3" w:rsidRPr="00366660" w:rsidRDefault="003358A3" w:rsidP="003358A3">
      <w:pPr>
        <w:spacing w:after="0" w:line="276" w:lineRule="auto"/>
        <w:jc w:val="both"/>
        <w:rPr>
          <w:rFonts w:ascii="Arial" w:eastAsia="Calibri" w:hAnsi="Arial" w:cs="Arial"/>
          <w:lang w:val="es-MX"/>
        </w:rPr>
      </w:pPr>
      <w:r w:rsidRPr="00366660">
        <w:rPr>
          <w:rFonts w:ascii="Arial" w:eastAsia="Calibri" w:hAnsi="Arial" w:cs="Arial"/>
          <w:lang w:val="es-MX"/>
        </w:rPr>
        <w:t>Este concepto tiene el alcance previsto en el artículo 28 del Código de Procedimiento Administrativo y de lo Contencioso Administrativo.</w:t>
      </w:r>
    </w:p>
    <w:p w14:paraId="46A4F89A" w14:textId="77777777" w:rsidR="003358A3" w:rsidRPr="00366660" w:rsidRDefault="003358A3" w:rsidP="003358A3">
      <w:pPr>
        <w:spacing w:after="0" w:line="240" w:lineRule="auto"/>
        <w:jc w:val="both"/>
        <w:rPr>
          <w:rFonts w:ascii="Arial" w:eastAsia="Calibri" w:hAnsi="Arial" w:cs="Arial"/>
          <w:lang w:val="es-MX"/>
        </w:rPr>
      </w:pPr>
      <w:r w:rsidRPr="00366660">
        <w:rPr>
          <w:noProof/>
          <w:sz w:val="24"/>
          <w:lang w:val="en-US"/>
        </w:rPr>
        <mc:AlternateContent>
          <mc:Choice Requires="wps">
            <w:drawing>
              <wp:anchor distT="0" distB="0" distL="114300" distR="114300" simplePos="0" relativeHeight="251658240" behindDoc="0" locked="0" layoutInCell="1" allowOverlap="1" wp14:anchorId="056BB01D" wp14:editId="0F500EA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843945C" id="Conector recto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41E21705" w14:textId="77777777" w:rsidR="003358A3" w:rsidRPr="00366660" w:rsidRDefault="003358A3" w:rsidP="003358A3">
      <w:pPr>
        <w:spacing w:after="0" w:line="240" w:lineRule="auto"/>
        <w:rPr>
          <w:rFonts w:ascii="Arial" w:eastAsia="Times New Roman" w:hAnsi="Arial" w:cs="Arial"/>
          <w:lang w:val="es-MX" w:eastAsia="es-CO"/>
        </w:rPr>
      </w:pPr>
      <w:r w:rsidRPr="00366660">
        <w:rPr>
          <w:rFonts w:ascii="Arial" w:eastAsia="Times New Roman" w:hAnsi="Arial" w:cs="Arial"/>
          <w:lang w:val="es-MX" w:eastAsia="es-CO"/>
        </w:rPr>
        <w:t>Atentamente,</w:t>
      </w:r>
    </w:p>
    <w:p w14:paraId="1999E3F3" w14:textId="77777777" w:rsidR="003358A3" w:rsidRPr="00366660" w:rsidRDefault="003358A3" w:rsidP="003358A3">
      <w:pPr>
        <w:spacing w:after="0" w:line="240" w:lineRule="auto"/>
        <w:jc w:val="center"/>
        <w:rPr>
          <w:noProof/>
        </w:rPr>
      </w:pPr>
    </w:p>
    <w:p w14:paraId="3FCA9F8B" w14:textId="4E83B906" w:rsidR="003358A3" w:rsidRPr="00366660" w:rsidRDefault="00BD7807" w:rsidP="003358A3">
      <w:pPr>
        <w:spacing w:after="0" w:line="240" w:lineRule="auto"/>
        <w:jc w:val="center"/>
        <w:rPr>
          <w:rFonts w:ascii="Arial" w:eastAsia="Times New Roman" w:hAnsi="Arial" w:cs="Arial"/>
          <w:sz w:val="18"/>
          <w:szCs w:val="20"/>
          <w:lang w:val="es-MX" w:eastAsia="es-CO"/>
        </w:rPr>
      </w:pPr>
      <w:r>
        <w:rPr>
          <w:rFonts w:ascii="Arial" w:hAnsi="Arial" w:cs="Arial"/>
          <w:noProof/>
          <w:lang w:eastAsia="es-CO"/>
        </w:rPr>
        <w:drawing>
          <wp:inline distT="0" distB="0" distL="0" distR="0" wp14:anchorId="2E5DF59F" wp14:editId="65A49174">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p w14:paraId="5B576F29" w14:textId="77777777" w:rsidR="003358A3" w:rsidRPr="00366660" w:rsidRDefault="003358A3" w:rsidP="003358A3">
      <w:pPr>
        <w:spacing w:after="0" w:line="240" w:lineRule="auto"/>
        <w:jc w:val="center"/>
        <w:rPr>
          <w:rFonts w:ascii="Arial" w:eastAsia="Times New Roman" w:hAnsi="Arial" w:cs="Arial"/>
          <w:sz w:val="18"/>
          <w:szCs w:val="20"/>
          <w:lang w:val="es-MX"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358A3" w:rsidRPr="00366660" w14:paraId="06D90A36" w14:textId="77777777" w:rsidTr="007A09A3">
        <w:trPr>
          <w:trHeight w:val="315"/>
        </w:trPr>
        <w:tc>
          <w:tcPr>
            <w:tcW w:w="812" w:type="dxa"/>
            <w:vAlign w:val="center"/>
            <w:hideMark/>
          </w:tcPr>
          <w:p w14:paraId="445065AA" w14:textId="77777777" w:rsidR="003358A3" w:rsidRPr="00366660" w:rsidRDefault="003358A3" w:rsidP="007A09A3">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Elaboró:</w:t>
            </w:r>
          </w:p>
        </w:tc>
        <w:tc>
          <w:tcPr>
            <w:tcW w:w="4413" w:type="dxa"/>
            <w:tcBorders>
              <w:top w:val="nil"/>
              <w:left w:val="nil"/>
              <w:bottom w:val="dotted" w:sz="4" w:space="0" w:color="7F7F7F" w:themeColor="text1" w:themeTint="80"/>
              <w:right w:val="nil"/>
            </w:tcBorders>
            <w:vAlign w:val="center"/>
            <w:hideMark/>
          </w:tcPr>
          <w:p w14:paraId="5B590891" w14:textId="77777777" w:rsidR="003358A3" w:rsidRPr="00366660" w:rsidRDefault="003358A3" w:rsidP="007A09A3">
            <w:pPr>
              <w:rPr>
                <w:rFonts w:ascii="Arial" w:eastAsia="Times New Roman" w:hAnsi="Arial" w:cs="Arial"/>
                <w:sz w:val="16"/>
                <w:szCs w:val="16"/>
                <w:lang w:val="es-MX" w:eastAsia="es-ES"/>
              </w:rPr>
            </w:pPr>
            <w:r>
              <w:rPr>
                <w:rFonts w:ascii="Arial" w:eastAsia="Times New Roman" w:hAnsi="Arial" w:cs="Arial"/>
                <w:sz w:val="16"/>
                <w:szCs w:val="16"/>
                <w:lang w:val="es-MX" w:eastAsia="es-ES"/>
              </w:rPr>
              <w:t>Juan David Montoya Penagos</w:t>
            </w:r>
          </w:p>
          <w:p w14:paraId="01AA8C67" w14:textId="77777777" w:rsidR="003358A3" w:rsidRPr="00366660" w:rsidRDefault="003358A3" w:rsidP="007A09A3">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Contratista de la Subdirección de Gestión Contractual</w:t>
            </w:r>
          </w:p>
        </w:tc>
      </w:tr>
      <w:tr w:rsidR="003358A3" w:rsidRPr="00366660" w14:paraId="66B0AE9E" w14:textId="77777777" w:rsidTr="007A09A3">
        <w:trPr>
          <w:trHeight w:val="330"/>
        </w:trPr>
        <w:tc>
          <w:tcPr>
            <w:tcW w:w="812" w:type="dxa"/>
            <w:vAlign w:val="center"/>
            <w:hideMark/>
          </w:tcPr>
          <w:p w14:paraId="4F697556" w14:textId="77777777" w:rsidR="003358A3" w:rsidRPr="00366660" w:rsidRDefault="003358A3" w:rsidP="007A09A3">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BC74C29" w14:textId="77777777" w:rsidR="003358A3" w:rsidRPr="00CC2173" w:rsidRDefault="003358A3" w:rsidP="007A09A3">
            <w:pPr>
              <w:rPr>
                <w:rFonts w:ascii="Arial" w:hAnsi="Arial" w:cs="Arial"/>
                <w:color w:val="000000" w:themeColor="text1"/>
                <w:sz w:val="16"/>
                <w:szCs w:val="16"/>
                <w:lang w:val="es-ES_tradnl" w:eastAsia="es-ES"/>
              </w:rPr>
            </w:pPr>
            <w:r w:rsidRPr="00CC2173">
              <w:rPr>
                <w:rFonts w:ascii="Arial" w:hAnsi="Arial" w:cs="Arial"/>
                <w:color w:val="000000" w:themeColor="text1"/>
                <w:sz w:val="16"/>
                <w:szCs w:val="16"/>
                <w:lang w:val="es-ES_tradnl" w:eastAsia="es-ES"/>
              </w:rPr>
              <w:t>Diana Carolina Armenta Celis</w:t>
            </w:r>
          </w:p>
          <w:p w14:paraId="47C188FA" w14:textId="33753B82" w:rsidR="003358A3" w:rsidRPr="00D56921" w:rsidRDefault="003358A3" w:rsidP="007A09A3">
            <w:pPr>
              <w:rPr>
                <w:rFonts w:ascii="Arial" w:eastAsia="Times New Roman" w:hAnsi="Arial" w:cs="Arial"/>
                <w:sz w:val="16"/>
                <w:szCs w:val="16"/>
                <w:lang w:eastAsia="es-ES"/>
              </w:rPr>
            </w:pPr>
            <w:r w:rsidRPr="20CD6276">
              <w:rPr>
                <w:rFonts w:ascii="Arial" w:hAnsi="Arial" w:cs="Arial"/>
                <w:color w:val="000000" w:themeColor="text1"/>
                <w:sz w:val="16"/>
                <w:szCs w:val="16"/>
                <w:lang w:val="es-ES" w:eastAsia="es-ES"/>
              </w:rPr>
              <w:t>Contratista de la Subdirección de Gestión Contractual</w:t>
            </w:r>
          </w:p>
        </w:tc>
      </w:tr>
      <w:tr w:rsidR="003358A3" w:rsidRPr="004D3AE0" w14:paraId="5A565439" w14:textId="77777777" w:rsidTr="007A09A3">
        <w:trPr>
          <w:trHeight w:val="300"/>
        </w:trPr>
        <w:tc>
          <w:tcPr>
            <w:tcW w:w="812" w:type="dxa"/>
            <w:vAlign w:val="center"/>
            <w:hideMark/>
          </w:tcPr>
          <w:p w14:paraId="2327CE66" w14:textId="77777777" w:rsidR="003358A3" w:rsidRPr="00366660" w:rsidRDefault="003358A3" w:rsidP="007A09A3">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925E137" w14:textId="77777777" w:rsidR="003358A3" w:rsidRPr="000D5A19" w:rsidRDefault="003358A3" w:rsidP="007A09A3">
            <w:pPr>
              <w:rPr>
                <w:rFonts w:ascii="Arial" w:eastAsia="Times New Roman" w:hAnsi="Arial" w:cs="Arial"/>
                <w:sz w:val="16"/>
                <w:szCs w:val="16"/>
                <w:lang w:val="es-MX" w:eastAsia="es-ES"/>
              </w:rPr>
            </w:pPr>
            <w:r w:rsidRPr="000D5A19">
              <w:rPr>
                <w:rFonts w:ascii="Arial" w:eastAsia="Times New Roman" w:hAnsi="Arial" w:cs="Arial"/>
                <w:sz w:val="16"/>
                <w:szCs w:val="16"/>
                <w:lang w:val="es-MX" w:eastAsia="es-ES"/>
              </w:rPr>
              <w:t xml:space="preserve">Nohelia del Carmen </w:t>
            </w:r>
            <w:proofErr w:type="spellStart"/>
            <w:r w:rsidRPr="000D5A19">
              <w:rPr>
                <w:rFonts w:ascii="Arial" w:eastAsia="Times New Roman" w:hAnsi="Arial" w:cs="Arial"/>
                <w:sz w:val="16"/>
                <w:szCs w:val="16"/>
                <w:lang w:val="es-MX" w:eastAsia="es-ES"/>
              </w:rPr>
              <w:t>Zawady</w:t>
            </w:r>
            <w:proofErr w:type="spellEnd"/>
            <w:r w:rsidRPr="000D5A19">
              <w:rPr>
                <w:rFonts w:ascii="Arial" w:eastAsia="Times New Roman" w:hAnsi="Arial" w:cs="Arial"/>
                <w:sz w:val="16"/>
                <w:szCs w:val="16"/>
                <w:lang w:val="es-MX" w:eastAsia="es-ES"/>
              </w:rPr>
              <w:t xml:space="preserve"> Palacio</w:t>
            </w:r>
          </w:p>
          <w:p w14:paraId="4D3DE3BB" w14:textId="77777777" w:rsidR="003358A3" w:rsidRPr="004D3AE0" w:rsidRDefault="003358A3" w:rsidP="007A09A3">
            <w:pPr>
              <w:rPr>
                <w:rFonts w:ascii="Arial" w:eastAsia="Times New Roman" w:hAnsi="Arial" w:cs="Arial"/>
                <w:sz w:val="16"/>
                <w:szCs w:val="16"/>
                <w:lang w:val="es-MX" w:eastAsia="es-ES"/>
              </w:rPr>
            </w:pPr>
            <w:r w:rsidRPr="000D5A19">
              <w:rPr>
                <w:rFonts w:ascii="Arial" w:eastAsia="Times New Roman" w:hAnsi="Arial" w:cs="Arial"/>
                <w:sz w:val="16"/>
                <w:szCs w:val="16"/>
                <w:lang w:val="es-MX" w:eastAsia="es-ES"/>
              </w:rPr>
              <w:t>Subdirectora de Gestión Contractual ANCP - CCE</w:t>
            </w:r>
          </w:p>
        </w:tc>
      </w:tr>
    </w:tbl>
    <w:p w14:paraId="3CEA0000" w14:textId="77777777" w:rsidR="003358A3" w:rsidRPr="004D3AE0" w:rsidRDefault="003358A3" w:rsidP="003358A3">
      <w:pPr>
        <w:spacing w:after="0" w:line="240" w:lineRule="auto"/>
        <w:rPr>
          <w:rFonts w:ascii="Arial" w:eastAsia="Times New Roman" w:hAnsi="Arial" w:cs="Arial"/>
          <w:color w:val="FF0000"/>
          <w:sz w:val="16"/>
          <w:szCs w:val="16"/>
          <w:lang w:val="es-MX" w:eastAsia="es-ES"/>
        </w:rPr>
      </w:pPr>
    </w:p>
    <w:p w14:paraId="780ECC0D" w14:textId="77777777" w:rsidR="003358A3" w:rsidRPr="004D3AE0" w:rsidRDefault="003358A3" w:rsidP="003358A3">
      <w:pPr>
        <w:spacing w:after="0" w:line="240" w:lineRule="auto"/>
        <w:rPr>
          <w:sz w:val="24"/>
          <w:lang w:val="es-MX"/>
        </w:rPr>
      </w:pPr>
    </w:p>
    <w:bookmarkEnd w:id="0"/>
    <w:p w14:paraId="6AB6F692" w14:textId="77777777" w:rsidR="003358A3" w:rsidRDefault="003358A3" w:rsidP="003358A3"/>
    <w:p w14:paraId="0F293BF4" w14:textId="4E630EB9" w:rsidR="00127233" w:rsidRPr="00AB2F9E" w:rsidRDefault="00E245AB" w:rsidP="00AB2F9E">
      <w:r w:rsidRPr="00AB2F9E">
        <w:t xml:space="preserve"> </w:t>
      </w:r>
    </w:p>
    <w:sectPr w:rsidR="00127233" w:rsidRPr="00AB2F9E"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48CF3" w14:textId="77777777" w:rsidR="00C623E3" w:rsidRDefault="00C623E3" w:rsidP="004A1847">
      <w:pPr>
        <w:spacing w:after="0" w:line="240" w:lineRule="auto"/>
      </w:pPr>
      <w:r>
        <w:separator/>
      </w:r>
    </w:p>
  </w:endnote>
  <w:endnote w:type="continuationSeparator" w:id="0">
    <w:p w14:paraId="4123F6C9" w14:textId="77777777" w:rsidR="00C623E3" w:rsidRDefault="00C623E3" w:rsidP="004A1847">
      <w:pPr>
        <w:spacing w:after="0" w:line="240" w:lineRule="auto"/>
      </w:pPr>
      <w:r>
        <w:continuationSeparator/>
      </w:r>
    </w:p>
  </w:endnote>
  <w:endnote w:type="continuationNotice" w:id="1">
    <w:p w14:paraId="17418E63" w14:textId="77777777" w:rsidR="00C623E3" w:rsidRDefault="00C623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A1102" w14:textId="77777777" w:rsidR="00C623E3" w:rsidRDefault="00C623E3" w:rsidP="004A1847">
      <w:pPr>
        <w:spacing w:after="0" w:line="240" w:lineRule="auto"/>
      </w:pPr>
      <w:r>
        <w:separator/>
      </w:r>
    </w:p>
  </w:footnote>
  <w:footnote w:type="continuationSeparator" w:id="0">
    <w:p w14:paraId="50D47C96" w14:textId="77777777" w:rsidR="00C623E3" w:rsidRDefault="00C623E3" w:rsidP="004A1847">
      <w:pPr>
        <w:spacing w:after="0" w:line="240" w:lineRule="auto"/>
      </w:pPr>
      <w:r>
        <w:continuationSeparator/>
      </w:r>
    </w:p>
  </w:footnote>
  <w:footnote w:type="continuationNotice" w:id="1">
    <w:p w14:paraId="135D654D" w14:textId="77777777" w:rsidR="00C623E3" w:rsidRDefault="00C623E3">
      <w:pPr>
        <w:spacing w:after="0" w:line="240" w:lineRule="auto"/>
      </w:pPr>
    </w:p>
  </w:footnote>
  <w:footnote w:id="2">
    <w:p w14:paraId="2F528226" w14:textId="77777777" w:rsidR="003358A3" w:rsidRPr="005D75B6" w:rsidRDefault="003358A3" w:rsidP="003358A3">
      <w:pPr>
        <w:pStyle w:val="Textonotapie"/>
        <w:ind w:firstLine="708"/>
        <w:jc w:val="both"/>
        <w:rPr>
          <w:rFonts w:ascii="Arial" w:hAnsi="Arial" w:cs="Arial"/>
          <w:sz w:val="18"/>
          <w:szCs w:val="18"/>
        </w:rPr>
      </w:pPr>
      <w:r w:rsidRPr="005D75B6">
        <w:rPr>
          <w:rStyle w:val="Refdenotaalpie"/>
          <w:rFonts w:ascii="Arial" w:hAnsi="Arial" w:cs="Arial"/>
          <w:sz w:val="18"/>
          <w:szCs w:val="18"/>
        </w:rPr>
        <w:footnoteRef/>
      </w:r>
      <w:r w:rsidRPr="005D75B6">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D75B6">
          <w:rPr>
            <w:rStyle w:val="Hipervnculo"/>
            <w:rFonts w:ascii="Arial" w:hAnsi="Arial" w:cs="Arial"/>
            <w:sz w:val="18"/>
            <w:szCs w:val="18"/>
          </w:rPr>
          <w:t>https://relatoria.colombiacompra.gov.co/busqueda/conceptos</w:t>
        </w:r>
      </w:hyperlink>
      <w:r w:rsidRPr="005D75B6">
        <w:rPr>
          <w:rStyle w:val="Hipervnculo"/>
          <w:rFonts w:ascii="Arial" w:hAnsi="Arial" w:cs="Arial"/>
          <w:sz w:val="18"/>
          <w:szCs w:val="18"/>
        </w:rPr>
        <w:t xml:space="preserve">. </w:t>
      </w:r>
      <w:r w:rsidRPr="005D75B6">
        <w:rPr>
          <w:rFonts w:ascii="Arial" w:hAnsi="Arial" w:cs="Arial"/>
          <w:sz w:val="18"/>
          <w:szCs w:val="18"/>
          <w:shd w:val="clear" w:color="auto" w:fill="E6E6E6"/>
        </w:rPr>
        <w:t xml:space="preserve"> </w:t>
      </w:r>
    </w:p>
  </w:footnote>
  <w:footnote w:id="3">
    <w:p w14:paraId="0B57BD08" w14:textId="77777777" w:rsidR="003358A3" w:rsidRPr="005D75B6" w:rsidRDefault="003358A3" w:rsidP="003358A3">
      <w:pPr>
        <w:pStyle w:val="NormalWeb"/>
        <w:spacing w:after="0"/>
        <w:ind w:firstLine="709"/>
        <w:jc w:val="both"/>
        <w:rPr>
          <w:rFonts w:ascii="Arial" w:hAnsi="Arial" w:cs="Arial"/>
          <w:color w:val="000000" w:themeColor="text1"/>
          <w:sz w:val="18"/>
          <w:szCs w:val="18"/>
        </w:rPr>
      </w:pPr>
      <w:r w:rsidRPr="005D75B6">
        <w:rPr>
          <w:rStyle w:val="Refdenotaalpie"/>
          <w:rFonts w:ascii="Arial" w:hAnsi="Arial" w:cs="Arial"/>
          <w:color w:val="000000" w:themeColor="text1"/>
          <w:sz w:val="18"/>
          <w:szCs w:val="18"/>
        </w:rPr>
        <w:footnoteRef/>
      </w:r>
      <w:r w:rsidRPr="005D75B6">
        <w:rPr>
          <w:rFonts w:ascii="Arial" w:hAnsi="Arial" w:cs="Arial"/>
          <w:bCs/>
          <w:color w:val="000000" w:themeColor="text1"/>
          <w:sz w:val="18"/>
          <w:szCs w:val="18"/>
        </w:rPr>
        <w:t xml:space="preserve"> “Artículo 25. Del principio de economía. </w:t>
      </w:r>
      <w:r w:rsidRPr="005D75B6">
        <w:rPr>
          <w:rFonts w:ascii="Arial" w:hAnsi="Arial" w:cs="Arial"/>
          <w:color w:val="000000" w:themeColor="text1"/>
          <w:sz w:val="18"/>
          <w:szCs w:val="18"/>
        </w:rPr>
        <w:t>En virtud de este principio:</w:t>
      </w:r>
    </w:p>
    <w:p w14:paraId="3FFB8B7C" w14:textId="77777777" w:rsidR="003358A3" w:rsidRPr="005D75B6" w:rsidRDefault="003358A3" w:rsidP="003358A3">
      <w:pPr>
        <w:pStyle w:val="NormalWeb"/>
        <w:spacing w:after="0"/>
        <w:ind w:firstLine="709"/>
        <w:jc w:val="both"/>
        <w:rPr>
          <w:rFonts w:ascii="Arial" w:hAnsi="Arial" w:cs="Arial"/>
          <w:color w:val="000000" w:themeColor="text1"/>
          <w:sz w:val="18"/>
          <w:szCs w:val="18"/>
        </w:rPr>
      </w:pPr>
      <w:r w:rsidRPr="005D75B6">
        <w:rPr>
          <w:rFonts w:ascii="Arial" w:hAnsi="Arial" w:cs="Arial"/>
          <w:color w:val="000000" w:themeColor="text1"/>
          <w:sz w:val="18"/>
          <w:szCs w:val="18"/>
        </w:rPr>
        <w:t>[…]</w:t>
      </w:r>
    </w:p>
    <w:p w14:paraId="3022FB00" w14:textId="77777777" w:rsidR="003358A3" w:rsidRPr="005D75B6" w:rsidRDefault="003358A3" w:rsidP="003358A3">
      <w:pPr>
        <w:pStyle w:val="NormalWeb"/>
        <w:spacing w:after="0"/>
        <w:ind w:firstLine="709"/>
        <w:jc w:val="both"/>
        <w:rPr>
          <w:rFonts w:ascii="Arial" w:hAnsi="Arial" w:cs="Arial"/>
          <w:color w:val="000000" w:themeColor="text1"/>
          <w:sz w:val="18"/>
          <w:szCs w:val="18"/>
        </w:rPr>
      </w:pPr>
      <w:r w:rsidRPr="005D75B6">
        <w:rPr>
          <w:rFonts w:ascii="Arial" w:hAnsi="Arial" w:cs="Arial"/>
          <w:color w:val="000000" w:themeColor="text1"/>
          <w:sz w:val="18"/>
          <w:szCs w:val="18"/>
        </w:rPr>
        <w:t>1o.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footnote>
  <w:footnote w:id="4">
    <w:p w14:paraId="4903F881" w14:textId="77777777" w:rsidR="003358A3" w:rsidRPr="005D75B6" w:rsidRDefault="003358A3" w:rsidP="003358A3">
      <w:pPr>
        <w:pStyle w:val="Textonotapie"/>
        <w:tabs>
          <w:tab w:val="left" w:pos="1830"/>
        </w:tabs>
        <w:ind w:firstLine="709"/>
        <w:jc w:val="both"/>
        <w:rPr>
          <w:rFonts w:ascii="Arial" w:hAnsi="Arial" w:cs="Arial"/>
          <w:color w:val="000000" w:themeColor="text1"/>
          <w:sz w:val="18"/>
          <w:szCs w:val="18"/>
          <w:lang w:val="es-CO"/>
        </w:rPr>
      </w:pPr>
      <w:r w:rsidRPr="005D75B6">
        <w:rPr>
          <w:rStyle w:val="Refdenotaalpie"/>
          <w:rFonts w:ascii="Arial" w:hAnsi="Arial" w:cs="Arial"/>
          <w:color w:val="000000" w:themeColor="text1"/>
          <w:sz w:val="18"/>
          <w:szCs w:val="18"/>
        </w:rPr>
        <w:footnoteRef/>
      </w:r>
      <w:r w:rsidRPr="005D75B6">
        <w:rPr>
          <w:rFonts w:ascii="Arial" w:hAnsi="Arial" w:cs="Arial"/>
          <w:color w:val="000000" w:themeColor="text1"/>
          <w:sz w:val="18"/>
          <w:szCs w:val="18"/>
        </w:rPr>
        <w:t xml:space="preserve"> </w:t>
      </w:r>
      <w:r w:rsidRPr="005D75B6">
        <w:rPr>
          <w:rFonts w:ascii="Arial" w:hAnsi="Arial" w:cs="Arial"/>
          <w:color w:val="000000" w:themeColor="text1"/>
          <w:sz w:val="18"/>
          <w:szCs w:val="18"/>
          <w:lang w:val="es-CO"/>
        </w:rPr>
        <w:t xml:space="preserve">DÁVILA VINUEZA, Luis Guillermo. Régimen Jurídico de la Contratación Estatal. Bogotá: Ed. Legis, 2016. P. 440.  </w:t>
      </w:r>
      <w:r w:rsidRPr="005D75B6">
        <w:rPr>
          <w:rFonts w:ascii="Arial" w:hAnsi="Arial" w:cs="Arial"/>
          <w:color w:val="000000" w:themeColor="text1"/>
          <w:sz w:val="18"/>
          <w:szCs w:val="18"/>
          <w:lang w:val="es-CO"/>
        </w:rPr>
        <w:tab/>
      </w:r>
    </w:p>
  </w:footnote>
  <w:footnote w:id="5">
    <w:p w14:paraId="38614DF9" w14:textId="77777777" w:rsidR="003358A3" w:rsidRPr="005D75B6" w:rsidRDefault="003358A3" w:rsidP="003358A3">
      <w:pPr>
        <w:pStyle w:val="Textonotapie"/>
        <w:ind w:firstLine="708"/>
        <w:jc w:val="both"/>
        <w:rPr>
          <w:rFonts w:ascii="Arial" w:hAnsi="Arial" w:cs="Arial"/>
          <w:color w:val="000000" w:themeColor="text1"/>
          <w:sz w:val="18"/>
          <w:szCs w:val="18"/>
        </w:rPr>
      </w:pPr>
      <w:r w:rsidRPr="005D75B6">
        <w:rPr>
          <w:rStyle w:val="Refdenotaalpie"/>
          <w:rFonts w:ascii="Arial" w:hAnsi="Arial" w:cs="Arial"/>
          <w:color w:val="000000" w:themeColor="text1"/>
          <w:sz w:val="18"/>
          <w:szCs w:val="18"/>
        </w:rPr>
        <w:footnoteRef/>
      </w:r>
      <w:r w:rsidRPr="005D75B6">
        <w:rPr>
          <w:rFonts w:ascii="Arial" w:hAnsi="Arial" w:cs="Arial"/>
          <w:color w:val="000000" w:themeColor="text1"/>
          <w:sz w:val="18"/>
          <w:szCs w:val="18"/>
        </w:rPr>
        <w:t xml:space="preserve"> Cfr. </w:t>
      </w:r>
      <w:r w:rsidRPr="005D75B6">
        <w:rPr>
          <w:rFonts w:ascii="Arial" w:hAnsi="Arial" w:cs="Arial"/>
          <w:i/>
          <w:iCs/>
          <w:color w:val="000000" w:themeColor="text1"/>
          <w:sz w:val="18"/>
          <w:szCs w:val="18"/>
        </w:rPr>
        <w:t>Mutatis mutandi,</w:t>
      </w:r>
      <w:r w:rsidRPr="005D75B6">
        <w:rPr>
          <w:rFonts w:ascii="Arial" w:hAnsi="Arial" w:cs="Arial"/>
          <w:color w:val="000000" w:themeColor="text1"/>
          <w:sz w:val="18"/>
          <w:szCs w:val="18"/>
        </w:rPr>
        <w:t xml:space="preserve"> Corte Constitucional. Sentencias C-728 de 2000 y C-437 de 2013. M.P. Eduardo Cifuentes Muñoz y Jorge Ignacio Pretelt Chaljub, respectivamente.</w:t>
      </w:r>
    </w:p>
  </w:footnote>
  <w:footnote w:id="6">
    <w:p w14:paraId="07F90C86" w14:textId="77777777" w:rsidR="003358A3" w:rsidRPr="005D75B6" w:rsidRDefault="003358A3" w:rsidP="003358A3">
      <w:pPr>
        <w:pStyle w:val="Textonotapie"/>
        <w:ind w:firstLine="708"/>
        <w:jc w:val="both"/>
        <w:rPr>
          <w:rFonts w:ascii="Arial" w:hAnsi="Arial" w:cs="Arial"/>
          <w:color w:val="000000" w:themeColor="text1"/>
          <w:sz w:val="18"/>
          <w:szCs w:val="18"/>
        </w:rPr>
      </w:pPr>
      <w:r w:rsidRPr="005D75B6">
        <w:rPr>
          <w:rStyle w:val="Refdenotaalpie"/>
          <w:rFonts w:ascii="Arial" w:hAnsi="Arial" w:cs="Arial"/>
          <w:color w:val="000000" w:themeColor="text1"/>
          <w:sz w:val="18"/>
          <w:szCs w:val="18"/>
        </w:rPr>
        <w:footnoteRef/>
      </w:r>
      <w:r w:rsidRPr="005D75B6">
        <w:rPr>
          <w:rFonts w:ascii="Arial" w:hAnsi="Arial" w:cs="Arial"/>
          <w:color w:val="000000" w:themeColor="text1"/>
          <w:sz w:val="18"/>
          <w:szCs w:val="18"/>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p>
  </w:footnote>
  <w:footnote w:id="7">
    <w:p w14:paraId="78621398" w14:textId="77777777" w:rsidR="003358A3" w:rsidRPr="005D75B6" w:rsidRDefault="003358A3" w:rsidP="003358A3">
      <w:pPr>
        <w:pStyle w:val="Textonotapie"/>
        <w:ind w:firstLine="708"/>
        <w:jc w:val="both"/>
        <w:rPr>
          <w:rFonts w:ascii="Arial" w:hAnsi="Arial" w:cs="Arial"/>
          <w:color w:val="000000" w:themeColor="text1"/>
          <w:sz w:val="18"/>
          <w:szCs w:val="18"/>
        </w:rPr>
      </w:pPr>
      <w:r w:rsidRPr="005D75B6">
        <w:rPr>
          <w:rStyle w:val="Refdenotaalpie"/>
          <w:rFonts w:ascii="Arial" w:hAnsi="Arial" w:cs="Arial"/>
          <w:color w:val="000000" w:themeColor="text1"/>
          <w:sz w:val="18"/>
          <w:szCs w:val="18"/>
        </w:rPr>
        <w:footnoteRef/>
      </w:r>
      <w:r w:rsidRPr="005D75B6">
        <w:rPr>
          <w:rFonts w:ascii="Arial" w:hAnsi="Arial" w:cs="Arial"/>
          <w:color w:val="000000" w:themeColor="text1"/>
          <w:sz w:val="18"/>
          <w:szCs w:val="18"/>
        </w:rPr>
        <w:t xml:space="preserve"> GARCÍA DE ENTERRÍA, Eduardo y FERNÁNDEZ, Tomás-Ramón. Curso de derecho administrativo (16ª Ed.). Tomo I. España. 2013, p. 498.</w:t>
      </w:r>
    </w:p>
  </w:footnote>
  <w:footnote w:id="8">
    <w:p w14:paraId="6596A0C8" w14:textId="77777777" w:rsidR="003358A3" w:rsidRPr="005D75B6" w:rsidRDefault="003358A3" w:rsidP="003358A3">
      <w:pPr>
        <w:pStyle w:val="Textonotapie"/>
        <w:ind w:firstLine="708"/>
        <w:jc w:val="both"/>
        <w:rPr>
          <w:rFonts w:ascii="Arial" w:hAnsi="Arial" w:cs="Arial"/>
          <w:color w:val="000000" w:themeColor="text1"/>
          <w:sz w:val="18"/>
          <w:szCs w:val="18"/>
        </w:rPr>
      </w:pPr>
      <w:r w:rsidRPr="005D75B6">
        <w:rPr>
          <w:rStyle w:val="Refdenotaalpie"/>
          <w:rFonts w:ascii="Arial" w:hAnsi="Arial" w:cs="Arial"/>
          <w:color w:val="000000" w:themeColor="text1"/>
          <w:sz w:val="18"/>
          <w:szCs w:val="18"/>
        </w:rPr>
        <w:footnoteRef/>
      </w:r>
      <w:r w:rsidRPr="005D75B6">
        <w:rPr>
          <w:rFonts w:ascii="Arial" w:hAnsi="Arial" w:cs="Arial"/>
          <w:color w:val="000000" w:themeColor="text1"/>
          <w:sz w:val="18"/>
          <w:szCs w:val="18"/>
        </w:rPr>
        <w:t xml:space="preserve"> </w:t>
      </w:r>
      <w:r w:rsidRPr="005D75B6">
        <w:rPr>
          <w:rFonts w:ascii="Arial" w:hAnsi="Arial" w:cs="Arial"/>
          <w:i/>
          <w:iCs/>
          <w:color w:val="000000" w:themeColor="text1"/>
          <w:sz w:val="18"/>
          <w:szCs w:val="18"/>
        </w:rPr>
        <w:t>Ibidem</w:t>
      </w:r>
      <w:r w:rsidRPr="005D75B6">
        <w:rPr>
          <w:rFonts w:ascii="Arial" w:hAnsi="Arial" w:cs="Arial"/>
          <w:color w:val="000000" w:themeColor="text1"/>
          <w:sz w:val="18"/>
          <w:szCs w:val="18"/>
        </w:rPr>
        <w:t xml:space="preserve">. El argumento completo es el siguiente: “[…] el ejercicio de las potestades discrecionales de la administración comporta un elemento sustancialmente diferente: la inclusión en el proceso aplicativo de la Ley de una estimación subjetiva de la propia administración con la que se completa el cuadro legal que condiciona el ejercicio de la potestad o su contenido particular. Ha de notarse, sin embargo, que esa estimación subjetiva </w:t>
      </w:r>
      <w:r w:rsidRPr="005D75B6">
        <w:rPr>
          <w:rFonts w:ascii="Arial" w:hAnsi="Arial" w:cs="Arial"/>
          <w:i/>
          <w:iCs/>
          <w:color w:val="000000" w:themeColor="text1"/>
          <w:sz w:val="18"/>
          <w:szCs w:val="18"/>
        </w:rPr>
        <w:t>no es una facultad extralegal</w:t>
      </w:r>
      <w:r w:rsidRPr="005D75B6">
        <w:rPr>
          <w:rFonts w:ascii="Arial" w:hAnsi="Arial" w:cs="Arial"/>
          <w:color w:val="000000" w:themeColor="text1"/>
          <w:sz w:val="18"/>
          <w:szCs w:val="18"/>
        </w:rPr>
        <w:t>, que surja de un supuesto poder originario de la Administración anterior o marginal al Derecho; es, por el contrario, una estimación cuya relevancia viene de haber sido llamada expresamente por la Ley que ha configurado la potestad y que se le ha atribuido a la administración justamente con ese carácter. Por eso la discrecionalidad, frente a lo que pretendía la antigua doctrina, no es un supuesto de libertad de la administración frente a la norma; más bien, por el contrario, la discrecionalidad es un caso típico de remisión legal: la norma remite parciamente para completar el cuadro regulativo de la potestad y de sus condiciones de ejercicio a una estimación administrativa, sólo que no realizada […] por vía general, sino analíticamente, caso por caso, mediante una apreciación de circunstancias singulares, realizable a la vez que precede al proceso aplicativo” (cursivas propias).</w:t>
      </w:r>
    </w:p>
  </w:footnote>
  <w:footnote w:id="9">
    <w:p w14:paraId="5EA30E84" w14:textId="77777777" w:rsidR="003358A3" w:rsidRPr="005D75B6" w:rsidRDefault="003358A3" w:rsidP="003358A3">
      <w:pPr>
        <w:pStyle w:val="Textonotapie"/>
        <w:ind w:firstLine="708"/>
        <w:jc w:val="both"/>
        <w:rPr>
          <w:rFonts w:ascii="Arial" w:eastAsia="Calibri" w:hAnsi="Arial" w:cs="Arial"/>
          <w:color w:val="000000" w:themeColor="text1"/>
          <w:sz w:val="18"/>
          <w:szCs w:val="18"/>
        </w:rPr>
      </w:pPr>
      <w:r w:rsidRPr="005D75B6">
        <w:rPr>
          <w:rStyle w:val="Refdenotaalpie"/>
          <w:rFonts w:ascii="Arial" w:hAnsi="Arial" w:cs="Arial"/>
          <w:color w:val="000000" w:themeColor="text1"/>
          <w:sz w:val="18"/>
          <w:szCs w:val="18"/>
        </w:rPr>
        <w:footnoteRef/>
      </w:r>
      <w:r w:rsidRPr="005D75B6">
        <w:rPr>
          <w:rFonts w:ascii="Arial" w:hAnsi="Arial" w:cs="Arial"/>
          <w:color w:val="000000" w:themeColor="text1"/>
          <w:sz w:val="18"/>
          <w:szCs w:val="18"/>
        </w:rPr>
        <w:t xml:space="preserve"> </w:t>
      </w:r>
      <w:r w:rsidRPr="005D75B6">
        <w:rPr>
          <w:rFonts w:ascii="Arial" w:eastAsia="Calibri" w:hAnsi="Arial"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070D371" w14:textId="77777777" w:rsidR="003358A3" w:rsidRPr="005D75B6" w:rsidRDefault="003358A3" w:rsidP="003358A3">
      <w:pPr>
        <w:pStyle w:val="Textonotapie"/>
        <w:ind w:firstLine="708"/>
        <w:jc w:val="both"/>
        <w:rPr>
          <w:rFonts w:ascii="Arial" w:eastAsia="Calibri" w:hAnsi="Arial" w:cs="Arial"/>
          <w:color w:val="000000" w:themeColor="text1"/>
          <w:sz w:val="18"/>
          <w:szCs w:val="18"/>
        </w:rPr>
      </w:pPr>
      <w:r w:rsidRPr="005D75B6">
        <w:rPr>
          <w:rFonts w:ascii="Arial" w:eastAsia="Calibri" w:hAnsi="Arial" w:cs="Arial"/>
          <w:color w:val="000000" w:themeColor="text1"/>
          <w:sz w:val="18"/>
          <w:szCs w:val="18"/>
        </w:rPr>
        <w:t>[…]</w:t>
      </w:r>
    </w:p>
    <w:p w14:paraId="736C68B2" w14:textId="77777777" w:rsidR="003358A3" w:rsidRPr="005D75B6" w:rsidRDefault="003358A3" w:rsidP="003358A3">
      <w:pPr>
        <w:pStyle w:val="Textonotapie"/>
        <w:ind w:firstLine="708"/>
        <w:jc w:val="both"/>
        <w:rPr>
          <w:rFonts w:ascii="Arial" w:hAnsi="Arial" w:cs="Arial"/>
          <w:color w:val="000000" w:themeColor="text1"/>
          <w:sz w:val="18"/>
          <w:szCs w:val="18"/>
          <w:lang w:val="es-CO"/>
        </w:rPr>
      </w:pPr>
      <w:r w:rsidRPr="005D75B6">
        <w:rPr>
          <w:rFonts w:ascii="Arial" w:eastAsia="Calibri" w:hAnsi="Arial" w:cs="Arial"/>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5D75B6">
        <w:rPr>
          <w:rFonts w:ascii="Arial" w:hAnsi="Arial" w:cs="Arial"/>
          <w:color w:val="000000" w:themeColor="text1"/>
          <w:sz w:val="18"/>
          <w:szCs w:val="18"/>
          <w:lang w:val="es-CO"/>
        </w:rPr>
        <w:t xml:space="preserve"> </w:t>
      </w:r>
    </w:p>
  </w:footnote>
  <w:footnote w:id="10">
    <w:p w14:paraId="20F95BEB" w14:textId="77777777" w:rsidR="003358A3" w:rsidRPr="005D75B6" w:rsidRDefault="003358A3" w:rsidP="003358A3">
      <w:pPr>
        <w:pStyle w:val="Textonotapie"/>
        <w:ind w:firstLine="708"/>
        <w:jc w:val="both"/>
        <w:rPr>
          <w:rFonts w:ascii="Arial" w:hAnsi="Arial" w:cs="Arial"/>
          <w:color w:val="000000" w:themeColor="text1"/>
          <w:sz w:val="18"/>
          <w:szCs w:val="18"/>
          <w:lang w:val="es-CO"/>
        </w:rPr>
      </w:pPr>
      <w:r w:rsidRPr="005D75B6">
        <w:rPr>
          <w:rFonts w:ascii="Arial" w:eastAsia="Calibri" w:hAnsi="Arial" w:cs="Arial"/>
          <w:color w:val="000000" w:themeColor="text1"/>
          <w:sz w:val="18"/>
          <w:szCs w:val="18"/>
          <w:vertAlign w:val="superscript"/>
        </w:rPr>
        <w:footnoteRef/>
      </w:r>
      <w:r w:rsidRPr="005D75B6">
        <w:rPr>
          <w:rFonts w:ascii="Arial" w:eastAsia="Calibri" w:hAnsi="Arial" w:cs="Arial"/>
          <w:color w:val="000000" w:themeColor="text1"/>
          <w:sz w:val="18"/>
          <w:szCs w:val="18"/>
          <w:vertAlign w:val="superscript"/>
        </w:rPr>
        <w:t xml:space="preserve"> </w:t>
      </w:r>
      <w:r w:rsidRPr="005D75B6">
        <w:rPr>
          <w:rFonts w:ascii="Arial" w:eastAsia="Calibri" w:hAnsi="Arial" w:cs="Arial"/>
          <w:color w:val="000000" w:themeColor="text1"/>
          <w:sz w:val="18"/>
          <w:szCs w:val="18"/>
        </w:rPr>
        <w:t xml:space="preserve">Consejo de Estado. Sección Tercera. Sentencia del 26 de junio de 2003. Rad. 13.354. C.P: María Elena Giraldo Gómez. </w:t>
      </w:r>
    </w:p>
  </w:footnote>
  <w:footnote w:id="11">
    <w:p w14:paraId="1948058A" w14:textId="77777777" w:rsidR="003358A3" w:rsidRPr="005D75B6" w:rsidRDefault="003358A3" w:rsidP="003358A3">
      <w:pPr>
        <w:pStyle w:val="NormalWeb"/>
        <w:shd w:val="clear" w:color="auto" w:fill="FFFFFF"/>
        <w:spacing w:after="0"/>
        <w:ind w:firstLine="708"/>
        <w:jc w:val="both"/>
        <w:rPr>
          <w:rFonts w:ascii="Arial" w:hAnsi="Arial" w:cs="Arial"/>
          <w:sz w:val="18"/>
          <w:szCs w:val="18"/>
        </w:rPr>
      </w:pPr>
      <w:r w:rsidRPr="005D75B6">
        <w:rPr>
          <w:rStyle w:val="Refdenotaalpie"/>
          <w:rFonts w:ascii="Arial" w:hAnsi="Arial" w:cs="Arial"/>
          <w:sz w:val="18"/>
          <w:szCs w:val="18"/>
          <w:lang w:val="es-MX"/>
        </w:rPr>
        <w:footnoteRef/>
      </w:r>
      <w:r w:rsidRPr="005D75B6">
        <w:rPr>
          <w:rStyle w:val="Refdenotaalpie"/>
          <w:rFonts w:ascii="Arial" w:hAnsi="Arial" w:cs="Arial"/>
          <w:sz w:val="18"/>
          <w:szCs w:val="18"/>
          <w:lang w:val="es-MX"/>
        </w:rPr>
        <w:t xml:space="preserve"> </w:t>
      </w:r>
      <w:r w:rsidRPr="005D75B6">
        <w:rPr>
          <w:rFonts w:ascii="Arial" w:hAnsi="Arial" w:cs="Arial"/>
          <w:sz w:val="18"/>
          <w:szCs w:val="18"/>
        </w:rPr>
        <w:t>“Artículo 2.2.1.1.1.6.4. Capacidad Residual: El interesado en celebrar contratos de obra pública con Entidades Estatales debe acreditar su Capacidad Residual o K de Contratación con los siguientes documentos:</w:t>
      </w:r>
    </w:p>
    <w:p w14:paraId="7B093753" w14:textId="77777777" w:rsidR="003358A3" w:rsidRPr="005D75B6" w:rsidRDefault="003358A3" w:rsidP="003358A3">
      <w:pPr>
        <w:shd w:val="clear" w:color="auto" w:fill="FFFFFF"/>
        <w:spacing w:after="0"/>
        <w:ind w:firstLine="708"/>
        <w:jc w:val="both"/>
        <w:rPr>
          <w:rFonts w:ascii="Arial" w:hAnsi="Arial" w:cs="Arial"/>
          <w:sz w:val="18"/>
          <w:szCs w:val="18"/>
        </w:rPr>
      </w:pPr>
      <w:r w:rsidRPr="005D75B6">
        <w:rPr>
          <w:rFonts w:ascii="Arial" w:hAnsi="Arial"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2B9C7433" w14:textId="77777777" w:rsidR="003358A3" w:rsidRPr="005D75B6" w:rsidRDefault="003358A3" w:rsidP="003358A3">
      <w:pPr>
        <w:shd w:val="clear" w:color="auto" w:fill="FFFFFF"/>
        <w:spacing w:after="0"/>
        <w:ind w:firstLine="708"/>
        <w:jc w:val="both"/>
        <w:rPr>
          <w:rFonts w:ascii="Arial" w:hAnsi="Arial" w:cs="Arial"/>
          <w:sz w:val="18"/>
          <w:szCs w:val="18"/>
        </w:rPr>
      </w:pPr>
      <w:r w:rsidRPr="005D75B6">
        <w:rPr>
          <w:rFonts w:ascii="Arial" w:hAnsi="Arial"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2C22848C" w14:textId="77777777" w:rsidR="003358A3" w:rsidRPr="005D75B6" w:rsidRDefault="003358A3" w:rsidP="003358A3">
      <w:pPr>
        <w:shd w:val="clear" w:color="auto" w:fill="FFFFFF"/>
        <w:spacing w:after="0"/>
        <w:ind w:firstLine="708"/>
        <w:jc w:val="both"/>
        <w:rPr>
          <w:rFonts w:ascii="Arial" w:hAnsi="Arial" w:cs="Arial"/>
          <w:sz w:val="18"/>
          <w:szCs w:val="18"/>
        </w:rPr>
      </w:pPr>
      <w:r w:rsidRPr="005D75B6">
        <w:rPr>
          <w:rFonts w:ascii="Arial" w:hAnsi="Arial"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12">
    <w:p w14:paraId="4343B54B" w14:textId="77777777" w:rsidR="003358A3" w:rsidRPr="005D75B6" w:rsidRDefault="003358A3" w:rsidP="003358A3">
      <w:pPr>
        <w:pStyle w:val="Textonotapie"/>
        <w:ind w:firstLine="708"/>
        <w:jc w:val="both"/>
        <w:rPr>
          <w:rFonts w:ascii="Arial" w:hAnsi="Arial" w:cs="Arial"/>
          <w:sz w:val="18"/>
          <w:szCs w:val="18"/>
        </w:rPr>
      </w:pPr>
      <w:r w:rsidRPr="005D75B6">
        <w:rPr>
          <w:rStyle w:val="Refdenotaalpie"/>
          <w:rFonts w:ascii="Arial" w:hAnsi="Arial" w:cs="Arial"/>
          <w:sz w:val="18"/>
          <w:szCs w:val="18"/>
        </w:rPr>
        <w:footnoteRef/>
      </w:r>
      <w:r w:rsidRPr="005D75B6">
        <w:rPr>
          <w:rFonts w:ascii="Arial" w:hAnsi="Arial" w:cs="Arial"/>
          <w:sz w:val="18"/>
          <w:szCs w:val="18"/>
        </w:rPr>
        <w:t xml:space="preserve"> Colombia Compra Eficiente. Concepto C-297 del 4 de junio de 2020. </w:t>
      </w:r>
    </w:p>
  </w:footnote>
  <w:footnote w:id="13">
    <w:p w14:paraId="178ECE33" w14:textId="77777777" w:rsidR="003358A3" w:rsidRPr="005D75B6" w:rsidRDefault="003358A3" w:rsidP="003358A3">
      <w:pPr>
        <w:pStyle w:val="Textonotapie"/>
        <w:ind w:firstLine="708"/>
        <w:jc w:val="both"/>
        <w:rPr>
          <w:rFonts w:ascii="Arial" w:hAnsi="Arial" w:cs="Arial"/>
          <w:sz w:val="18"/>
          <w:szCs w:val="18"/>
        </w:rPr>
      </w:pPr>
      <w:r w:rsidRPr="005D75B6">
        <w:rPr>
          <w:rStyle w:val="Refdenotaalpie"/>
          <w:rFonts w:ascii="Arial" w:hAnsi="Arial" w:cs="Arial"/>
          <w:sz w:val="18"/>
          <w:szCs w:val="18"/>
        </w:rPr>
        <w:footnoteRef/>
      </w:r>
      <w:r w:rsidRPr="005D75B6">
        <w:rPr>
          <w:rFonts w:ascii="Arial" w:hAnsi="Arial" w:cs="Arial"/>
          <w:sz w:val="18"/>
          <w:szCs w:val="18"/>
        </w:rPr>
        <w:t xml:space="preserve"> Cfr. CONSEJO DE ESTADO. Sección Tercera. Subsección B. Sentencia del 5 de agosto de 2019, Rad. 45118. C.P. Alberto Montaña Plata. Asimismo, ha explicado que “[…] sería inadmisible sostener que la entidad estatal contratante tuviere el deber de adjudicar el procedimiento administrativo de selección a una determinada oferta a sabiendas de que, aunque en apariencia tendría las mejores condiciones, en realidad sería, por su contenido, total o parcialmente, una propuesta mentirosa, fraudulenta, engañosa o proveniente de un proponente que pretende sacar provecho o ventaja, frente a la entidad contratante y/o ante sus competidores, de la manipulación de información errónea, inexacta o falaz, tal como no resultaría válida, de ninguna manera, la adjudicación que se quisiera hacer recaer en un oferente que se encuentre incurso en una causal de inhabilidad o de incompatibilidad, por lo cual resulta plausible que en estos casos la entidad decida rechazar o excluir esa clase de ofertas, independientemente de que así lo haya previsto, o no, el correspondiente pliego de condiciones, decisión que, de todos modos, la entidad estatal contratante está en el deber de motivar de manera clara, precisa, completa y detallada. sí pues, cuando la entidad estatal contratante advierte la ocurrencia de falencias, inconsistencias, inexactitudes o contradicciones en las ofertas, le corresponde efectuar un ejercicio de interpretación para determinar si se trata de errores excusables, configurados en el marco de la Buena Fe, que no impiden la evaluación y comparación de tales propuestas, o si, por el contrario, se trata de errores inaceptables, inadmisibles, incompatibles con la ley y/o los postulados de la Buena Fe” (Subsección A. Sentencia del 3 de diciembre de 2007. Rad. 24059. C.P. Mauricio Fajardo Gómez).</w:t>
      </w:r>
    </w:p>
  </w:footnote>
  <w:footnote w:id="14">
    <w:p w14:paraId="5C8926BC" w14:textId="77777777" w:rsidR="003358A3" w:rsidRPr="005D75B6" w:rsidRDefault="003358A3" w:rsidP="003358A3">
      <w:pPr>
        <w:pStyle w:val="Textonotapie"/>
        <w:ind w:firstLine="708"/>
        <w:jc w:val="both"/>
        <w:rPr>
          <w:rFonts w:ascii="Arial" w:hAnsi="Arial" w:cs="Arial"/>
          <w:sz w:val="18"/>
          <w:szCs w:val="18"/>
        </w:rPr>
      </w:pPr>
      <w:r w:rsidRPr="005D75B6">
        <w:rPr>
          <w:rStyle w:val="Refdenotaalpie"/>
          <w:rFonts w:ascii="Arial" w:hAnsi="Arial" w:cs="Arial"/>
          <w:sz w:val="18"/>
          <w:szCs w:val="18"/>
        </w:rPr>
        <w:footnoteRef/>
      </w:r>
      <w:r w:rsidRPr="005D75B6">
        <w:rPr>
          <w:rFonts w:ascii="Arial" w:hAnsi="Arial" w:cs="Arial"/>
          <w:sz w:val="18"/>
          <w:szCs w:val="18"/>
        </w:rPr>
        <w:t xml:space="preserve"> Concepto C-196 de 2020. Radicado de entrada No. 4202013000001559. Radicado de salida No. 2202013000002534.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4"/>
  </w:num>
  <w:num w:numId="2" w16cid:durableId="19822139">
    <w:abstractNumId w:val="1"/>
  </w:num>
  <w:num w:numId="3" w16cid:durableId="876742304">
    <w:abstractNumId w:val="3"/>
  </w:num>
  <w:num w:numId="4" w16cid:durableId="2451864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3212757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0363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25105"/>
    <w:rsid w:val="00127233"/>
    <w:rsid w:val="00130C06"/>
    <w:rsid w:val="001D1182"/>
    <w:rsid w:val="001E4177"/>
    <w:rsid w:val="002951A0"/>
    <w:rsid w:val="002962BC"/>
    <w:rsid w:val="002A093D"/>
    <w:rsid w:val="002A49AC"/>
    <w:rsid w:val="002A64FD"/>
    <w:rsid w:val="002C7A84"/>
    <w:rsid w:val="003358A3"/>
    <w:rsid w:val="003448F4"/>
    <w:rsid w:val="003A779E"/>
    <w:rsid w:val="003D0F4D"/>
    <w:rsid w:val="003E0499"/>
    <w:rsid w:val="003F3941"/>
    <w:rsid w:val="00400548"/>
    <w:rsid w:val="00487295"/>
    <w:rsid w:val="004A1847"/>
    <w:rsid w:val="004A305D"/>
    <w:rsid w:val="004F21C4"/>
    <w:rsid w:val="004F3065"/>
    <w:rsid w:val="004F685F"/>
    <w:rsid w:val="005566E8"/>
    <w:rsid w:val="00574867"/>
    <w:rsid w:val="005957C4"/>
    <w:rsid w:val="005C5CDC"/>
    <w:rsid w:val="005D476C"/>
    <w:rsid w:val="006219F8"/>
    <w:rsid w:val="00665D70"/>
    <w:rsid w:val="00706C16"/>
    <w:rsid w:val="00756841"/>
    <w:rsid w:val="00756B84"/>
    <w:rsid w:val="007649AB"/>
    <w:rsid w:val="007833AC"/>
    <w:rsid w:val="007B7171"/>
    <w:rsid w:val="007C3DC2"/>
    <w:rsid w:val="007E5497"/>
    <w:rsid w:val="00806F5F"/>
    <w:rsid w:val="00820278"/>
    <w:rsid w:val="008843B6"/>
    <w:rsid w:val="00891928"/>
    <w:rsid w:val="008A446D"/>
    <w:rsid w:val="008C6833"/>
    <w:rsid w:val="008F0EA7"/>
    <w:rsid w:val="00923EEF"/>
    <w:rsid w:val="009419F9"/>
    <w:rsid w:val="00961B09"/>
    <w:rsid w:val="00965334"/>
    <w:rsid w:val="0097093E"/>
    <w:rsid w:val="009C71FA"/>
    <w:rsid w:val="009C72E7"/>
    <w:rsid w:val="00A17F13"/>
    <w:rsid w:val="00A20739"/>
    <w:rsid w:val="00A33C78"/>
    <w:rsid w:val="00AB0ADB"/>
    <w:rsid w:val="00AB2F9E"/>
    <w:rsid w:val="00B72CD3"/>
    <w:rsid w:val="00B72FFF"/>
    <w:rsid w:val="00BD7807"/>
    <w:rsid w:val="00BD7F72"/>
    <w:rsid w:val="00BF16FF"/>
    <w:rsid w:val="00BF201C"/>
    <w:rsid w:val="00C04FB3"/>
    <w:rsid w:val="00C33038"/>
    <w:rsid w:val="00C330EB"/>
    <w:rsid w:val="00C623E3"/>
    <w:rsid w:val="00C754BE"/>
    <w:rsid w:val="00C855CF"/>
    <w:rsid w:val="00CB6357"/>
    <w:rsid w:val="00CC1B26"/>
    <w:rsid w:val="00D423A2"/>
    <w:rsid w:val="00D455C9"/>
    <w:rsid w:val="00D56921"/>
    <w:rsid w:val="00D63AC2"/>
    <w:rsid w:val="00D7383B"/>
    <w:rsid w:val="00DA231B"/>
    <w:rsid w:val="00E05585"/>
    <w:rsid w:val="00E16408"/>
    <w:rsid w:val="00E20894"/>
    <w:rsid w:val="00E245AB"/>
    <w:rsid w:val="00E50AFE"/>
    <w:rsid w:val="00E771DC"/>
    <w:rsid w:val="00E77D79"/>
    <w:rsid w:val="00E8772A"/>
    <w:rsid w:val="00E90F6B"/>
    <w:rsid w:val="00E92C27"/>
    <w:rsid w:val="00EA0E3D"/>
    <w:rsid w:val="00EE1AA8"/>
    <w:rsid w:val="00F204AB"/>
    <w:rsid w:val="00F31EDC"/>
    <w:rsid w:val="00F4760A"/>
    <w:rsid w:val="00F5664F"/>
    <w:rsid w:val="00F656D9"/>
    <w:rsid w:val="00F74ED3"/>
    <w:rsid w:val="00F76AFC"/>
    <w:rsid w:val="00F87769"/>
    <w:rsid w:val="00FB5DD1"/>
    <w:rsid w:val="00FC2B5D"/>
    <w:rsid w:val="00FC7275"/>
    <w:rsid w:val="00FF1449"/>
    <w:rsid w:val="20CD6276"/>
    <w:rsid w:val="5411EC76"/>
    <w:rsid w:val="682F355F"/>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link w:val="NormalWebCar"/>
    <w:uiPriority w:val="99"/>
    <w:unhideWhenUsed/>
    <w:rsid w:val="003358A3"/>
    <w:rPr>
      <w:rFonts w:ascii="Times New Roman" w:hAnsi="Times New Roman" w:cs="Times New Roman"/>
      <w:sz w:val="24"/>
      <w:szCs w:val="24"/>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58A3"/>
    <w:rPr>
      <w:rFonts w:ascii="Geomanist Light" w:hAnsi="Geomanist Light"/>
      <w:lang w:val="es-ES"/>
    </w:rPr>
  </w:style>
  <w:style w:type="paragraph" w:customStyle="1" w:styleId="Appelnotedebasde">
    <w:name w:val="Appel note de bas de..."/>
    <w:basedOn w:val="Normal"/>
    <w:link w:val="Refdenotaalpie"/>
    <w:uiPriority w:val="99"/>
    <w:rsid w:val="003358A3"/>
    <w:pPr>
      <w:spacing w:line="240" w:lineRule="exact"/>
    </w:pPr>
    <w:rPr>
      <w:vertAlign w:val="superscript"/>
    </w:rPr>
  </w:style>
  <w:style w:type="character" w:customStyle="1" w:styleId="NormalWebCar">
    <w:name w:val="Normal (Web) Car"/>
    <w:link w:val="NormalWeb"/>
    <w:uiPriority w:val="99"/>
    <w:rsid w:val="003358A3"/>
    <w:rPr>
      <w:rFonts w:ascii="Times New Roman" w:hAnsi="Times New Roman" w:cs="Times New Roman"/>
      <w:sz w:val="24"/>
      <w:szCs w:val="24"/>
    </w:rPr>
  </w:style>
  <w:style w:type="paragraph" w:customStyle="1" w:styleId="Capitulo3">
    <w:name w:val="Capitulo 3"/>
    <w:basedOn w:val="Normal"/>
    <w:qFormat/>
    <w:rsid w:val="003358A3"/>
    <w:pPr>
      <w:keepNext/>
      <w:numPr>
        <w:numId w:val="7"/>
      </w:numPr>
      <w:spacing w:before="120" w:after="200" w:line="276" w:lineRule="auto"/>
      <w:outlineLvl w:val="1"/>
    </w:pPr>
    <w:rPr>
      <w:rFonts w:ascii="Arial" w:eastAsia="Times New Roman" w:hAnsi="Arial" w:cs="Arial"/>
      <w:b/>
      <w:color w:val="000000"/>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956ADE44-9A17-4379-931A-B5503AE7038F}"/>
</file>

<file path=docProps/app.xml><?xml version="1.0" encoding="utf-8"?>
<Properties xmlns="http://schemas.openxmlformats.org/officeDocument/2006/extended-properties" xmlns:vt="http://schemas.openxmlformats.org/officeDocument/2006/docPropsVTypes">
  <Template>Normal</Template>
  <TotalTime>3</TotalTime>
  <Pages>29</Pages>
  <Words>11380</Words>
  <Characters>62593</Characters>
  <Application>Microsoft Office Word</Application>
  <DocSecurity>0</DocSecurity>
  <Lines>521</Lines>
  <Paragraphs>147</Paragraphs>
  <ScaleCrop>false</ScaleCrop>
  <Company/>
  <LinksUpToDate>false</LinksUpToDate>
  <CharactersWithSpaces>73826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cp:lastPrinted>2023-01-10T21:18:00Z</cp:lastPrinted>
  <dcterms:created xsi:type="dcterms:W3CDTF">2023-08-01T16:19:00Z</dcterms:created>
  <dcterms:modified xsi:type="dcterms:W3CDTF">2023-08-30T17:11:00Z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