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DB749" w14:textId="77777777" w:rsidR="001366E1" w:rsidRPr="001366E1" w:rsidRDefault="001366E1" w:rsidP="004E42C6">
      <w:pPr>
        <w:spacing w:after="0" w:line="240" w:lineRule="auto"/>
        <w:contextualSpacing/>
        <w:jc w:val="right"/>
        <w:rPr>
          <w:rFonts w:ascii="Arial" w:eastAsia="Calibri" w:hAnsi="Arial" w:cs="Arial"/>
          <w:b/>
          <w:bCs/>
          <w:sz w:val="14"/>
          <w:szCs w:val="14"/>
          <w:lang w:val="es-ES" w:eastAsia="es-ES_tradnl"/>
        </w:rPr>
      </w:pPr>
      <w:bookmarkStart w:id="0" w:name="_Hlk28946138"/>
      <w:bookmarkStart w:id="1" w:name="_Hlk29548183"/>
      <w:r w:rsidRPr="001366E1">
        <w:rPr>
          <w:rFonts w:ascii="Arial" w:eastAsia="Times New Roman" w:hAnsi="Arial" w:cs="Arial"/>
          <w:sz w:val="14"/>
          <w:szCs w:val="14"/>
          <w:lang w:val="es-ES" w:eastAsia="es-ES"/>
        </w:rPr>
        <w:t>CCE-DES-FM-17</w:t>
      </w:r>
      <w:bookmarkEnd w:id="0"/>
      <w:bookmarkEnd w:id="1"/>
    </w:p>
    <w:p w14:paraId="2D9D1601" w14:textId="77777777" w:rsidR="001366E1" w:rsidRPr="001366E1" w:rsidRDefault="001366E1" w:rsidP="004E42C6">
      <w:pPr>
        <w:spacing w:after="0" w:line="240" w:lineRule="auto"/>
        <w:contextualSpacing/>
        <w:jc w:val="both"/>
        <w:rPr>
          <w:rFonts w:ascii="Arial" w:eastAsia="Calibri" w:hAnsi="Arial" w:cs="Arial"/>
          <w:b/>
          <w:bCs/>
          <w:sz w:val="20"/>
          <w:szCs w:val="20"/>
          <w:lang w:eastAsia="es-ES_tradnl"/>
        </w:rPr>
      </w:pPr>
    </w:p>
    <w:p w14:paraId="7E61FDD3" w14:textId="77777777" w:rsidR="001366E1" w:rsidRPr="001366E1" w:rsidRDefault="001366E1" w:rsidP="007B0FB1">
      <w:pPr>
        <w:spacing w:after="0" w:line="240" w:lineRule="auto"/>
        <w:contextualSpacing/>
        <w:jc w:val="both"/>
        <w:rPr>
          <w:rFonts w:ascii="Arial" w:eastAsia="Geomanist Light" w:hAnsi="Arial" w:cs="Arial"/>
          <w:b/>
          <w:bCs/>
          <w:lang w:val="es-MX" w:eastAsia="es-ES_tradnl"/>
        </w:rPr>
      </w:pPr>
      <w:r w:rsidRPr="001366E1">
        <w:rPr>
          <w:rFonts w:ascii="Arial" w:eastAsia="Geomanist Light" w:hAnsi="Arial" w:cs="Arial"/>
          <w:b/>
          <w:bCs/>
          <w:lang w:val="es-MX" w:eastAsia="es-ES_tradnl"/>
        </w:rPr>
        <w:t xml:space="preserve">CONTRATOS O CONVENIOS INTERADMINISTRATIVOS – Definición – Criterio orgánico </w:t>
      </w:r>
    </w:p>
    <w:p w14:paraId="10538336" w14:textId="77777777" w:rsidR="001366E1" w:rsidRPr="001366E1" w:rsidRDefault="001366E1" w:rsidP="004E42C6">
      <w:pPr>
        <w:spacing w:after="0" w:line="240" w:lineRule="auto"/>
        <w:contextualSpacing/>
        <w:rPr>
          <w:rFonts w:ascii="Arial" w:eastAsia="Geomanist Light" w:hAnsi="Arial" w:cs="Arial"/>
          <w:b/>
          <w:bCs/>
          <w:sz w:val="20"/>
          <w:szCs w:val="20"/>
          <w:lang w:val="es-MX" w:eastAsia="es-ES_tradnl"/>
        </w:rPr>
      </w:pPr>
    </w:p>
    <w:p w14:paraId="6EDD7652" w14:textId="77777777" w:rsidR="001366E1" w:rsidRDefault="001366E1" w:rsidP="004E42C6">
      <w:pPr>
        <w:spacing w:after="0" w:line="240" w:lineRule="auto"/>
        <w:contextualSpacing/>
        <w:jc w:val="both"/>
        <w:rPr>
          <w:rFonts w:ascii="Arial" w:eastAsiaTheme="minorEastAsia" w:hAnsi="Arial" w:cs="Arial"/>
          <w:sz w:val="20"/>
          <w:szCs w:val="20"/>
          <w:lang w:eastAsia="es-CO"/>
        </w:rPr>
      </w:pPr>
      <w:r w:rsidRPr="001366E1">
        <w:rPr>
          <w:rFonts w:ascii="Arial" w:eastAsiaTheme="minorEastAsia" w:hAnsi="Arial" w:cs="Arial"/>
          <w:sz w:val="20"/>
          <w:szCs w:val="20"/>
          <w:lang w:eastAsia="es-CO"/>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1366E1">
        <w:rPr>
          <w:rFonts w:ascii="Arial" w:eastAsiaTheme="minorEastAsia" w:hAnsi="Arial" w:cs="Arial"/>
          <w:spacing w:val="-6"/>
          <w:sz w:val="20"/>
          <w:szCs w:val="20"/>
          <w:lang w:eastAsia="es-CO"/>
        </w:rPr>
        <w:t xml:space="preserve"> </w:t>
      </w:r>
      <w:r w:rsidRPr="001366E1">
        <w:rPr>
          <w:rFonts w:ascii="Arial" w:eastAsiaTheme="minorEastAsia" w:hAnsi="Arial" w:cs="Arial"/>
          <w:sz w:val="20"/>
          <w:szCs w:val="20"/>
          <w:lang w:eastAsia="es-CO"/>
        </w:rPr>
        <w:t>Estatales.</w:t>
      </w:r>
    </w:p>
    <w:p w14:paraId="295516A8" w14:textId="77777777" w:rsidR="001B2ACD" w:rsidRPr="001366E1" w:rsidRDefault="001B2ACD" w:rsidP="004E42C6">
      <w:pPr>
        <w:spacing w:after="0" w:line="240" w:lineRule="auto"/>
        <w:contextualSpacing/>
        <w:jc w:val="both"/>
        <w:rPr>
          <w:rFonts w:ascii="Arial" w:eastAsiaTheme="minorEastAsia" w:hAnsi="Arial" w:cs="Arial"/>
          <w:sz w:val="20"/>
          <w:szCs w:val="20"/>
          <w:lang w:eastAsia="es-CO"/>
        </w:rPr>
      </w:pPr>
    </w:p>
    <w:p w14:paraId="41112179" w14:textId="77777777" w:rsidR="001366E1" w:rsidRPr="001366E1" w:rsidRDefault="001366E1" w:rsidP="004E42C6">
      <w:pPr>
        <w:spacing w:after="0" w:line="240" w:lineRule="auto"/>
        <w:contextualSpacing/>
        <w:jc w:val="both"/>
        <w:rPr>
          <w:rFonts w:ascii="Arial" w:eastAsiaTheme="minorEastAsia" w:hAnsi="Arial" w:cs="Arial"/>
          <w:sz w:val="20"/>
          <w:szCs w:val="20"/>
          <w:lang w:eastAsia="es-CO"/>
        </w:rPr>
      </w:pPr>
      <w:r w:rsidRPr="001366E1">
        <w:rPr>
          <w:rFonts w:ascii="Arial" w:eastAsiaTheme="minorEastAsia" w:hAnsi="Arial" w:cs="Arial"/>
          <w:sz w:val="20"/>
          <w:szCs w:val="20"/>
          <w:lang w:eastAsia="es-CO"/>
        </w:rPr>
        <w:t>[…]</w:t>
      </w:r>
    </w:p>
    <w:p w14:paraId="493DF832" w14:textId="77777777" w:rsidR="001366E1" w:rsidRPr="001366E1" w:rsidRDefault="001366E1" w:rsidP="004E42C6">
      <w:pPr>
        <w:spacing w:after="0" w:line="240" w:lineRule="auto"/>
        <w:contextualSpacing/>
        <w:jc w:val="both"/>
        <w:rPr>
          <w:rFonts w:ascii="Arial" w:eastAsia="Geomanist Light" w:hAnsi="Arial" w:cs="Arial"/>
          <w:sz w:val="20"/>
          <w:szCs w:val="20"/>
          <w:lang w:eastAsia="es-ES_tradnl"/>
        </w:rPr>
      </w:pPr>
    </w:p>
    <w:p w14:paraId="69677CD0" w14:textId="77777777" w:rsidR="001366E1" w:rsidRPr="001366E1" w:rsidRDefault="001366E1" w:rsidP="004E42C6">
      <w:pPr>
        <w:spacing w:after="0" w:line="240" w:lineRule="auto"/>
        <w:contextualSpacing/>
        <w:jc w:val="both"/>
        <w:rPr>
          <w:rFonts w:ascii="Arial" w:eastAsiaTheme="minorEastAsia" w:hAnsi="Arial" w:cs="Arial"/>
          <w:sz w:val="20"/>
          <w:szCs w:val="20"/>
          <w:lang w:eastAsia="es-CO"/>
        </w:rPr>
      </w:pPr>
      <w:r w:rsidRPr="001366E1">
        <w:rPr>
          <w:rFonts w:ascii="Arial" w:eastAsiaTheme="minorEastAsia" w:hAnsi="Arial" w:cs="Arial"/>
          <w:sz w:val="20"/>
          <w:szCs w:val="20"/>
          <w:lang w:eastAsia="es-CO"/>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w:t>
      </w:r>
      <w:r w:rsidRPr="001366E1">
        <w:rPr>
          <w:rFonts w:ascii="Arial" w:eastAsiaTheme="minorEastAsia" w:hAnsi="Arial" w:cs="Arial"/>
          <w:spacing w:val="-18"/>
          <w:sz w:val="20"/>
          <w:szCs w:val="20"/>
          <w:lang w:eastAsia="es-CO"/>
        </w:rPr>
        <w:t xml:space="preserve"> </w:t>
      </w:r>
      <w:r w:rsidRPr="001366E1">
        <w:rPr>
          <w:rFonts w:ascii="Arial" w:eastAsiaTheme="minorEastAsia" w:hAnsi="Arial" w:cs="Arial"/>
          <w:sz w:val="20"/>
          <w:szCs w:val="20"/>
          <w:lang w:eastAsia="es-CO"/>
        </w:rPr>
        <w:t>interadministrativo.</w:t>
      </w:r>
    </w:p>
    <w:p w14:paraId="422C31EC" w14:textId="77777777" w:rsidR="001366E1" w:rsidRPr="001366E1" w:rsidRDefault="001366E1" w:rsidP="004E42C6">
      <w:pPr>
        <w:spacing w:after="0" w:line="240" w:lineRule="auto"/>
        <w:contextualSpacing/>
        <w:jc w:val="both"/>
        <w:rPr>
          <w:rFonts w:ascii="Arial" w:eastAsia="Geomanist Light" w:hAnsi="Arial" w:cs="Arial"/>
          <w:sz w:val="20"/>
          <w:szCs w:val="20"/>
          <w:lang w:eastAsia="es-ES_tradnl"/>
        </w:rPr>
      </w:pPr>
    </w:p>
    <w:p w14:paraId="3483F5F7" w14:textId="77777777" w:rsidR="001366E1" w:rsidRPr="001366E1" w:rsidRDefault="001366E1" w:rsidP="004E42C6">
      <w:pPr>
        <w:spacing w:after="0" w:line="240" w:lineRule="auto"/>
        <w:contextualSpacing/>
        <w:jc w:val="both"/>
        <w:rPr>
          <w:rFonts w:ascii="Arial" w:eastAsia="Geomanist Light" w:hAnsi="Arial" w:cs="Arial"/>
          <w:b/>
          <w:bCs/>
          <w:lang w:val="es-MX" w:eastAsia="es-ES_tradnl"/>
        </w:rPr>
      </w:pPr>
      <w:r w:rsidRPr="001366E1">
        <w:rPr>
          <w:rFonts w:ascii="Arial" w:eastAsia="Geomanist Light" w:hAnsi="Arial" w:cs="Arial"/>
          <w:b/>
          <w:bCs/>
          <w:lang w:val="es-MX" w:eastAsia="es-ES_tradnl"/>
        </w:rPr>
        <w:t xml:space="preserve">CONTRATOS Y CONVENIOS INTERADMINISTRATIVOS – Diferencias – Similitudes </w:t>
      </w:r>
    </w:p>
    <w:p w14:paraId="457FC64B" w14:textId="77777777" w:rsidR="001366E1" w:rsidRPr="001366E1" w:rsidRDefault="001366E1" w:rsidP="004E42C6">
      <w:pPr>
        <w:spacing w:after="0" w:line="240" w:lineRule="auto"/>
        <w:contextualSpacing/>
        <w:jc w:val="both"/>
        <w:rPr>
          <w:rFonts w:ascii="Arial" w:eastAsia="Geomanist Light" w:hAnsi="Arial" w:cs="Arial"/>
          <w:b/>
          <w:bCs/>
          <w:sz w:val="20"/>
          <w:szCs w:val="20"/>
          <w:lang w:eastAsia="es-ES_tradnl"/>
        </w:rPr>
      </w:pPr>
    </w:p>
    <w:p w14:paraId="51E7029D" w14:textId="77777777" w:rsidR="001366E1" w:rsidRPr="001366E1" w:rsidRDefault="001366E1" w:rsidP="004E42C6">
      <w:pPr>
        <w:spacing w:after="0" w:line="240" w:lineRule="auto"/>
        <w:contextualSpacing/>
        <w:jc w:val="both"/>
        <w:rPr>
          <w:rFonts w:ascii="Arial" w:eastAsia="Times New Roman" w:hAnsi="Arial" w:cs="Arial"/>
          <w:sz w:val="20"/>
          <w:szCs w:val="20"/>
          <w:lang w:eastAsia="es-ES_tradnl"/>
        </w:rPr>
      </w:pPr>
      <w:r w:rsidRPr="001366E1">
        <w:rPr>
          <w:rFonts w:ascii="Arial" w:eastAsia="Calibri" w:hAnsi="Arial" w:cs="Arial"/>
          <w:bCs/>
          <w:sz w:val="20"/>
          <w:szCs w:val="20"/>
          <w:lang w:eastAsia="es-ES_tradnl" w:bidi="es-ES"/>
        </w:rPr>
        <w:t xml:space="preserve">[…] mientras que el </w:t>
      </w:r>
      <w:r w:rsidRPr="001366E1">
        <w:rPr>
          <w:rFonts w:ascii="Arial" w:eastAsia="Calibri" w:hAnsi="Arial" w:cs="Arial"/>
          <w:bCs/>
          <w:i/>
          <w:iCs/>
          <w:sz w:val="20"/>
          <w:szCs w:val="20"/>
          <w:lang w:eastAsia="es-ES_tradnl" w:bidi="es-ES"/>
        </w:rPr>
        <w:t>contrato interadministrativo</w:t>
      </w:r>
      <w:r w:rsidRPr="001366E1">
        <w:rPr>
          <w:rFonts w:ascii="Arial" w:eastAsia="Calibri" w:hAnsi="Arial" w:cs="Arial"/>
          <w:bCs/>
          <w:sz w:val="20"/>
          <w:szCs w:val="20"/>
          <w:lang w:eastAsia="es-ES_tradnl" w:bidi="es-ES"/>
        </w:rPr>
        <w:t xml:space="preserve"> se caracteriza por su naturaleza onerosa, patrimonial y se conforma por intereses básicamente contrapuestos, los </w:t>
      </w:r>
      <w:r w:rsidRPr="001366E1">
        <w:rPr>
          <w:rFonts w:ascii="Arial" w:eastAsia="Calibri" w:hAnsi="Arial" w:cs="Arial"/>
          <w:bCs/>
          <w:i/>
          <w:iCs/>
          <w:sz w:val="20"/>
          <w:szCs w:val="20"/>
          <w:lang w:eastAsia="es-ES_tradnl" w:bidi="es-ES"/>
        </w:rPr>
        <w:t>convenios interadministrativos</w:t>
      </w:r>
      <w:r w:rsidRPr="001366E1">
        <w:rPr>
          <w:rFonts w:ascii="Arial" w:eastAsia="Calibri" w:hAnsi="Arial" w:cs="Arial"/>
          <w:bCs/>
          <w:sz w:val="20"/>
          <w:szCs w:val="20"/>
          <w:lang w:eastAsia="es-ES_tradnl"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w:t>
      </w:r>
      <w:r w:rsidRPr="001366E1">
        <w:rPr>
          <w:rFonts w:ascii="Arial" w:eastAsia="Times New Roman" w:hAnsi="Arial" w:cs="Arial"/>
          <w:sz w:val="20"/>
          <w:szCs w:val="20"/>
          <w:lang w:eastAsia="es-ES_tradnl"/>
        </w:rPr>
        <w:t xml:space="preserve"> </w:t>
      </w:r>
      <w:r w:rsidRPr="001366E1">
        <w:rPr>
          <w:rFonts w:ascii="Arial" w:eastAsia="Calibri" w:hAnsi="Arial" w:cs="Arial"/>
          <w:sz w:val="20"/>
          <w:szCs w:val="20"/>
          <w:lang w:eastAsia="en-GB"/>
        </w:rPr>
        <w:t xml:space="preserve">[…] la distinción también se plantea en el ámbito del derecho privado con la referencia a los contratos de contraprestación y de colaboración;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 </w:t>
      </w:r>
      <w:r w:rsidRPr="001366E1">
        <w:rPr>
          <w:rFonts w:ascii="Arial" w:eastAsia="Times New Roman" w:hAnsi="Arial" w:cs="Arial"/>
          <w:sz w:val="20"/>
          <w:szCs w:val="20"/>
          <w:lang w:eastAsia="es-ES_tradnl"/>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w:t>
      </w:r>
    </w:p>
    <w:p w14:paraId="265C12EF" w14:textId="77777777" w:rsidR="001366E1" w:rsidRPr="001366E1" w:rsidRDefault="001366E1" w:rsidP="004E42C6">
      <w:pPr>
        <w:spacing w:after="0" w:line="240" w:lineRule="auto"/>
        <w:contextualSpacing/>
        <w:jc w:val="both"/>
        <w:rPr>
          <w:rFonts w:ascii="Arial" w:eastAsia="Times New Roman" w:hAnsi="Arial" w:cs="Arial"/>
          <w:sz w:val="20"/>
          <w:szCs w:val="20"/>
          <w:lang w:eastAsia="es-ES_tradnl"/>
        </w:rPr>
      </w:pPr>
    </w:p>
    <w:p w14:paraId="354F22C2" w14:textId="77777777" w:rsidR="001366E1" w:rsidRPr="001366E1" w:rsidRDefault="001366E1" w:rsidP="004E42C6">
      <w:pPr>
        <w:spacing w:after="0" w:line="240" w:lineRule="auto"/>
        <w:contextualSpacing/>
        <w:jc w:val="both"/>
        <w:rPr>
          <w:rFonts w:ascii="Arial" w:eastAsia="Times New Roman" w:hAnsi="Arial" w:cs="Arial"/>
          <w:b/>
          <w:bCs/>
          <w:lang w:eastAsia="es-ES_tradnl"/>
        </w:rPr>
      </w:pPr>
      <w:r w:rsidRPr="001366E1">
        <w:rPr>
          <w:rFonts w:ascii="Arial" w:eastAsia="Times New Roman" w:hAnsi="Arial" w:cs="Arial"/>
          <w:b/>
          <w:bCs/>
          <w:lang w:eastAsia="es-ES_tradnl"/>
        </w:rPr>
        <w:t xml:space="preserve">DOCUMENTOS TIPO – Fundamento normativo – Obligatoriedad – Ámbito de aplicación – Entidades sometidas  </w:t>
      </w:r>
    </w:p>
    <w:p w14:paraId="37F52E57" w14:textId="77777777" w:rsidR="001366E1" w:rsidRPr="001366E1" w:rsidRDefault="001366E1" w:rsidP="004E42C6">
      <w:pPr>
        <w:spacing w:after="0" w:line="240" w:lineRule="auto"/>
        <w:contextualSpacing/>
        <w:jc w:val="both"/>
        <w:rPr>
          <w:rFonts w:ascii="Arial" w:eastAsia="Times New Roman" w:hAnsi="Arial" w:cs="Arial"/>
          <w:b/>
          <w:bCs/>
          <w:sz w:val="20"/>
          <w:szCs w:val="20"/>
          <w:lang w:eastAsia="es-ES_tradnl"/>
        </w:rPr>
      </w:pPr>
    </w:p>
    <w:p w14:paraId="53FF8C7B" w14:textId="33A8646D" w:rsidR="001366E1" w:rsidRPr="001366E1" w:rsidRDefault="001366E1" w:rsidP="004E42C6">
      <w:pPr>
        <w:spacing w:after="0" w:line="240" w:lineRule="auto"/>
        <w:contextualSpacing/>
        <w:jc w:val="both"/>
        <w:rPr>
          <w:rFonts w:ascii="Arial" w:eastAsia="Calibri" w:hAnsi="Arial" w:cs="Arial"/>
          <w:sz w:val="20"/>
          <w:szCs w:val="20"/>
          <w:lang w:val="es-ES_tradnl" w:eastAsia="es-ES"/>
        </w:rPr>
      </w:pPr>
      <w:r w:rsidRPr="001366E1">
        <w:rPr>
          <w:rFonts w:ascii="Arial" w:eastAsia="Calibri" w:hAnsi="Arial" w:cs="Arial"/>
          <w:sz w:val="20"/>
          <w:szCs w:val="20"/>
          <w:lang w:val="es-ES_tradnl" w:eastAsia="es-ES"/>
        </w:rPr>
        <w:t xml:space="preserve">[…] la Ley 2022 de 2020 […] modificó el contenido del parágrafo 7 del artículo 2 de la Ley 1150 de 2007, que había sido adicionado por la Ley 1882 de 2018. Con esta modificación, si bien se mantuvo el mandato de aplicación obligatoria de los </w:t>
      </w:r>
      <w:r w:rsidR="001C6FC5" w:rsidRPr="001366E1">
        <w:rPr>
          <w:rFonts w:ascii="Arial" w:eastAsia="Calibri" w:hAnsi="Arial" w:cs="Arial"/>
          <w:sz w:val="20"/>
          <w:szCs w:val="20"/>
          <w:lang w:val="es-ES_tradnl" w:eastAsia="es-ES"/>
        </w:rPr>
        <w:t xml:space="preserve">Documentos Tipo </w:t>
      </w:r>
      <w:r w:rsidRPr="001366E1">
        <w:rPr>
          <w:rFonts w:ascii="Arial" w:eastAsia="Calibri" w:hAnsi="Arial" w:cs="Arial"/>
          <w:sz w:val="20"/>
          <w:szCs w:val="20"/>
          <w:lang w:val="es-ES_tradnl" w:eastAsia="es-ES"/>
        </w:rPr>
        <w:t xml:space="preserve">por parte de las entidades sometidas al </w:t>
      </w:r>
      <w:r w:rsidRPr="001366E1">
        <w:rPr>
          <w:rFonts w:ascii="Arial" w:eastAsia="Calibri" w:hAnsi="Arial" w:cs="Arial"/>
          <w:bCs/>
          <w:sz w:val="20"/>
          <w:szCs w:val="20"/>
          <w:lang w:val="es-ES_tradnl" w:eastAsia="es-ES_tradnl"/>
        </w:rPr>
        <w:t>EGCAP</w:t>
      </w:r>
      <w:r w:rsidRPr="001366E1">
        <w:rPr>
          <w:rFonts w:ascii="Arial" w:eastAsia="Calibri" w:hAnsi="Arial" w:cs="Arial"/>
          <w:sz w:val="20"/>
          <w:szCs w:val="20"/>
          <w:lang w:val="es-ES_tradnl" w:eastAsia="es-ES"/>
        </w:rPr>
        <w:t xml:space="preserve">, se atribuyó a la </w:t>
      </w:r>
      <w:r w:rsidRPr="001366E1">
        <w:rPr>
          <w:rFonts w:ascii="Arial" w:eastAsia="Calibri" w:hAnsi="Arial" w:cs="Arial"/>
          <w:sz w:val="20"/>
          <w:szCs w:val="20"/>
          <w:lang w:val="es-ES_tradnl" w:eastAsia="es-ES_tradnl"/>
        </w:rPr>
        <w:t xml:space="preserve">Agencia Nacional de Contratación Pública – Colombia Compra Eficiente la competencia para su expedición. </w:t>
      </w:r>
      <w:r w:rsidRPr="001366E1">
        <w:rPr>
          <w:rFonts w:ascii="Arial" w:eastAsia="Calibri" w:hAnsi="Arial" w:cs="Arial"/>
          <w:sz w:val="20"/>
          <w:szCs w:val="20"/>
          <w:lang w:val="es-ES_tradnl" w:eastAsia="es-ES"/>
        </w:rPr>
        <w:t xml:space="preserve">En este marco, con la finalidad de realizar un desarrollo armónico y ajustado de la ley que le otorga la mencionada competencia, esta Agencia expidió la Resolución 160 del 15 de septiembre de 2020, </w:t>
      </w:r>
      <w:r w:rsidRPr="001366E1">
        <w:rPr>
          <w:rFonts w:ascii="Arial" w:eastAsia="Calibri" w:hAnsi="Arial" w:cs="Arial"/>
          <w:i/>
          <w:iCs/>
          <w:sz w:val="20"/>
          <w:szCs w:val="20"/>
          <w:lang w:val="es-ES_tradnl" w:eastAsia="es-ES"/>
        </w:rPr>
        <w:t>“Por la cual se adopta el procedimiento para implementar los documentos tipo y se define el sistema para su revisión”.</w:t>
      </w:r>
      <w:r w:rsidRPr="001366E1">
        <w:rPr>
          <w:rFonts w:ascii="Arial" w:eastAsia="Calibri" w:hAnsi="Arial" w:cs="Arial"/>
          <w:sz w:val="20"/>
          <w:szCs w:val="20"/>
          <w:lang w:val="es-ES_tradnl" w:eastAsia="es-ES"/>
        </w:rPr>
        <w:t xml:space="preserve"> </w:t>
      </w:r>
    </w:p>
    <w:p w14:paraId="0DBD3276" w14:textId="77777777" w:rsidR="001366E1" w:rsidRPr="001366E1" w:rsidRDefault="001366E1" w:rsidP="004E42C6">
      <w:pPr>
        <w:spacing w:after="0" w:line="240" w:lineRule="auto"/>
        <w:contextualSpacing/>
        <w:jc w:val="both"/>
        <w:rPr>
          <w:rFonts w:ascii="Arial" w:eastAsia="Calibri" w:hAnsi="Arial" w:cs="Arial"/>
          <w:sz w:val="20"/>
          <w:szCs w:val="20"/>
          <w:lang w:val="es-ES_tradnl" w:eastAsia="es-ES"/>
        </w:rPr>
      </w:pPr>
    </w:p>
    <w:p w14:paraId="2E45A24C" w14:textId="20A25160" w:rsidR="001366E1" w:rsidRPr="001366E1" w:rsidRDefault="001366E1" w:rsidP="004E42C6">
      <w:pPr>
        <w:spacing w:after="0" w:line="240" w:lineRule="auto"/>
        <w:contextualSpacing/>
        <w:jc w:val="both"/>
        <w:rPr>
          <w:rFonts w:ascii="Arial" w:eastAsia="Calibri" w:hAnsi="Arial" w:cs="Arial"/>
          <w:sz w:val="20"/>
          <w:szCs w:val="20"/>
          <w:lang w:eastAsia="en-GB"/>
        </w:rPr>
      </w:pPr>
      <w:r w:rsidRPr="001366E1">
        <w:rPr>
          <w:rFonts w:ascii="Arial" w:eastAsia="Calibri" w:hAnsi="Arial" w:cs="Arial"/>
          <w:sz w:val="20"/>
          <w:szCs w:val="20"/>
          <w:lang w:eastAsia="es-ES_tradnl"/>
        </w:rPr>
        <w:t xml:space="preserve">De acuerdo con lo expuesto, </w:t>
      </w:r>
      <w:r w:rsidRPr="001366E1">
        <w:rPr>
          <w:rFonts w:ascii="Arial" w:eastAsia="Calibri" w:hAnsi="Arial" w:cs="Arial"/>
          <w:sz w:val="20"/>
          <w:szCs w:val="20"/>
          <w:bdr w:val="none" w:sz="0" w:space="0" w:color="auto" w:frame="1"/>
          <w:lang w:eastAsia="es-ES_tradnl"/>
        </w:rPr>
        <w:t xml:space="preserve">los </w:t>
      </w:r>
      <w:r w:rsidR="001C6FC5" w:rsidRPr="001366E1">
        <w:rPr>
          <w:rFonts w:ascii="Arial" w:eastAsia="Calibri" w:hAnsi="Arial" w:cs="Arial"/>
          <w:sz w:val="20"/>
          <w:szCs w:val="20"/>
          <w:bdr w:val="none" w:sz="0" w:space="0" w:color="auto" w:frame="1"/>
          <w:lang w:eastAsia="es-ES_tradnl"/>
        </w:rPr>
        <w:t xml:space="preserve">Documentos Tipo </w:t>
      </w:r>
      <w:r w:rsidRPr="001366E1">
        <w:rPr>
          <w:rFonts w:ascii="Arial" w:eastAsia="Calibri" w:hAnsi="Arial" w:cs="Arial"/>
          <w:sz w:val="20"/>
          <w:szCs w:val="20"/>
          <w:bdr w:val="none" w:sz="0" w:space="0" w:color="auto" w:frame="1"/>
          <w:lang w:eastAsia="es-ES_tradnl"/>
        </w:rPr>
        <w:t xml:space="preserve">adoptados son obligatorios para las entidades estatales regidas por el </w:t>
      </w:r>
      <w:r w:rsidRPr="001366E1">
        <w:rPr>
          <w:rFonts w:ascii="Arial" w:eastAsia="Calibri" w:hAnsi="Arial" w:cs="Arial"/>
          <w:bCs/>
          <w:sz w:val="20"/>
          <w:szCs w:val="20"/>
          <w:lang w:val="es-ES_tradnl" w:eastAsia="es-ES_tradnl"/>
        </w:rPr>
        <w:t>EGCAP</w:t>
      </w:r>
      <w:r w:rsidRPr="001366E1">
        <w:rPr>
          <w:rFonts w:ascii="Arial" w:eastAsia="Calibri" w:hAnsi="Arial" w:cs="Arial"/>
          <w:sz w:val="20"/>
          <w:szCs w:val="20"/>
          <w:bdr w:val="none" w:sz="0" w:space="0" w:color="auto" w:frame="1"/>
          <w:lang w:eastAsia="es-ES_tradnl"/>
        </w:rPr>
        <w:t xml:space="preserve"> que adelanten procesos de contratación mediante las modalidades de selección y objetos contractuales cobijados por alguno de los </w:t>
      </w:r>
      <w:r w:rsidR="001C6FC5" w:rsidRPr="001366E1">
        <w:rPr>
          <w:rFonts w:ascii="Arial" w:eastAsia="Calibri" w:hAnsi="Arial" w:cs="Arial"/>
          <w:sz w:val="20"/>
          <w:szCs w:val="20"/>
          <w:bdr w:val="none" w:sz="0" w:space="0" w:color="auto" w:frame="1"/>
          <w:lang w:eastAsia="es-ES_tradnl"/>
        </w:rPr>
        <w:t xml:space="preserve">Documentos Tipo </w:t>
      </w:r>
      <w:r w:rsidRPr="001366E1">
        <w:rPr>
          <w:rFonts w:ascii="Arial" w:eastAsia="Calibri" w:hAnsi="Arial" w:cs="Arial"/>
          <w:sz w:val="20"/>
          <w:szCs w:val="20"/>
          <w:bdr w:val="none" w:sz="0" w:space="0" w:color="auto" w:frame="1"/>
          <w:lang w:eastAsia="es-ES_tradnl"/>
        </w:rPr>
        <w:t xml:space="preserve">vigentes en los diferentes sectores. </w:t>
      </w:r>
      <w:r w:rsidRPr="001366E1">
        <w:rPr>
          <w:rFonts w:ascii="Arial" w:eastAsia="Calibri" w:hAnsi="Arial" w:cs="Arial"/>
          <w:sz w:val="20"/>
          <w:szCs w:val="20"/>
          <w:lang w:eastAsia="en-GB"/>
        </w:rPr>
        <w:t xml:space="preserve">La obligatoriedad del contenido de los </w:t>
      </w:r>
      <w:r w:rsidR="001C6FC5" w:rsidRPr="001366E1">
        <w:rPr>
          <w:rFonts w:ascii="Arial" w:eastAsia="Calibri" w:hAnsi="Arial" w:cs="Arial"/>
          <w:sz w:val="20"/>
          <w:szCs w:val="20"/>
          <w:lang w:eastAsia="en-GB"/>
        </w:rPr>
        <w:t xml:space="preserve">Documentos Tipo </w:t>
      </w:r>
      <w:r w:rsidRPr="001366E1">
        <w:rPr>
          <w:rFonts w:ascii="Arial" w:eastAsia="Calibri" w:hAnsi="Arial" w:cs="Arial"/>
          <w:sz w:val="20"/>
          <w:szCs w:val="20"/>
          <w:lang w:eastAsia="en-GB"/>
        </w:rPr>
        <w:t xml:space="preserve">implica que las entidades estatales tengan que adelantar los procesos de contratación ciñéndose a las condiciones establecidas en los </w:t>
      </w:r>
      <w:r w:rsidR="001C6FC5" w:rsidRPr="001366E1">
        <w:rPr>
          <w:rFonts w:ascii="Arial" w:eastAsia="Calibri" w:hAnsi="Arial" w:cs="Arial"/>
          <w:sz w:val="20"/>
          <w:szCs w:val="20"/>
          <w:lang w:eastAsia="en-GB"/>
        </w:rPr>
        <w:t>Documentos Tipo</w:t>
      </w:r>
      <w:r w:rsidRPr="001366E1">
        <w:rPr>
          <w:rFonts w:ascii="Arial" w:eastAsia="Calibri" w:hAnsi="Arial" w:cs="Arial"/>
          <w:sz w:val="20"/>
          <w:szCs w:val="20"/>
          <w:lang w:eastAsia="en-GB"/>
        </w:rPr>
        <w:t>, sin que puedan variarse los requisitos fijados en ellos.</w:t>
      </w:r>
    </w:p>
    <w:p w14:paraId="407017C0" w14:textId="77777777" w:rsidR="001366E1" w:rsidRPr="001366E1" w:rsidRDefault="001366E1" w:rsidP="004E42C6">
      <w:pPr>
        <w:spacing w:after="0" w:line="240" w:lineRule="auto"/>
        <w:contextualSpacing/>
        <w:jc w:val="both"/>
        <w:rPr>
          <w:rFonts w:ascii="Arial" w:eastAsia="Times New Roman" w:hAnsi="Arial" w:cs="Arial"/>
          <w:noProof/>
          <w:sz w:val="20"/>
          <w:szCs w:val="20"/>
          <w:lang w:val="es-ES_tradnl" w:eastAsia="es-ES_tradnl"/>
        </w:rPr>
      </w:pPr>
    </w:p>
    <w:p w14:paraId="274BE7EF"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 xml:space="preserve">LEY 2195 DE 2022 – Artículo 56 – Ámbito de aplicación </w:t>
      </w:r>
    </w:p>
    <w:p w14:paraId="260D84BB" w14:textId="77777777" w:rsidR="001366E1" w:rsidRPr="001366E1" w:rsidRDefault="001366E1" w:rsidP="004E42C6">
      <w:pPr>
        <w:spacing w:after="0" w:line="240" w:lineRule="auto"/>
        <w:contextualSpacing/>
        <w:jc w:val="both"/>
        <w:rPr>
          <w:rFonts w:ascii="Arial" w:eastAsia="Calibri" w:hAnsi="Arial" w:cs="Arial"/>
          <w:bCs/>
          <w:sz w:val="20"/>
          <w:szCs w:val="20"/>
          <w:lang w:val="es-ES_tradnl" w:eastAsia="es-ES_tradnl"/>
        </w:rPr>
      </w:pPr>
    </w:p>
    <w:p w14:paraId="6FA9C9A8" w14:textId="3AEB6353" w:rsidR="001366E1" w:rsidRPr="001366E1" w:rsidRDefault="001366E1" w:rsidP="004E42C6">
      <w:pPr>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bCs/>
          <w:sz w:val="20"/>
          <w:szCs w:val="20"/>
          <w:lang w:val="es-ES_tradnl" w:eastAsia="es-ES_tradnl"/>
        </w:rPr>
        <w:t>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r w:rsidR="001C6FC5">
        <w:rPr>
          <w:rFonts w:ascii="Arial" w:eastAsia="Calibri" w:hAnsi="Arial" w:cs="Arial"/>
          <w:bCs/>
          <w:sz w:val="20"/>
          <w:szCs w:val="20"/>
          <w:lang w:val="es-ES_tradnl" w:eastAsia="es-ES_tradnl"/>
        </w:rPr>
        <w:t>.</w:t>
      </w:r>
    </w:p>
    <w:p w14:paraId="5FAA160F" w14:textId="77777777" w:rsidR="001366E1" w:rsidRPr="001366E1" w:rsidRDefault="001366E1" w:rsidP="004E42C6">
      <w:pPr>
        <w:spacing w:after="0" w:line="240" w:lineRule="auto"/>
        <w:contextualSpacing/>
        <w:jc w:val="both"/>
        <w:rPr>
          <w:rFonts w:ascii="Arial" w:eastAsia="Calibri" w:hAnsi="Arial" w:cs="Arial"/>
          <w:sz w:val="20"/>
          <w:szCs w:val="20"/>
          <w:lang w:val="es-ES_tradnl" w:eastAsia="es-ES_tradnl"/>
        </w:rPr>
      </w:pPr>
      <w:r w:rsidRPr="001366E1">
        <w:rPr>
          <w:rFonts w:ascii="Arial" w:eastAsia="Times New Roman" w:hAnsi="Arial" w:cs="Arial"/>
          <w:sz w:val="20"/>
          <w:szCs w:val="20"/>
          <w:lang w:val="es-ES_tradnl" w:eastAsia="es-ES_tradnl"/>
        </w:rPr>
        <w:t>[…]</w:t>
      </w:r>
    </w:p>
    <w:p w14:paraId="1B1D2A2C" w14:textId="5E233D7A" w:rsidR="001366E1" w:rsidRPr="001366E1" w:rsidRDefault="001366E1" w:rsidP="004E42C6">
      <w:pPr>
        <w:spacing w:after="0" w:line="240" w:lineRule="auto"/>
        <w:contextualSpacing/>
        <w:jc w:val="both"/>
        <w:rPr>
          <w:rFonts w:ascii="Arial" w:eastAsia="Calibri" w:hAnsi="Arial" w:cs="Arial"/>
          <w:sz w:val="20"/>
          <w:szCs w:val="20"/>
          <w:lang w:val="es-ES_tradnl" w:eastAsia="es-ES_tradnl"/>
        </w:rPr>
      </w:pPr>
      <w:r w:rsidRPr="001366E1">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w:t>
      </w:r>
      <w:r w:rsidR="001C6FC5" w:rsidRPr="001366E1">
        <w:rPr>
          <w:rFonts w:ascii="Arial" w:eastAsia="Calibri" w:hAnsi="Arial" w:cs="Arial"/>
          <w:sz w:val="20"/>
          <w:szCs w:val="20"/>
          <w:lang w:val="es-ES_tradnl" w:eastAsia="es-ES_tradnl"/>
        </w:rPr>
        <w:t xml:space="preserve">Documentos Tipo </w:t>
      </w:r>
      <w:r w:rsidRPr="001366E1">
        <w:rPr>
          <w:rFonts w:ascii="Arial" w:eastAsia="Calibri" w:hAnsi="Arial" w:cs="Arial"/>
          <w:sz w:val="20"/>
          <w:szCs w:val="20"/>
          <w:lang w:val="es-ES_tradnl" w:eastAsia="es-ES_tradnl"/>
        </w:rPr>
        <w:t xml:space="preserve">para las entidades sometidas al EGCAP cuando celebren contratos o convenios interadministrativos o de cualquier otra índole </w:t>
      </w:r>
      <w:r w:rsidRPr="001366E1">
        <w:rPr>
          <w:rFonts w:ascii="Arial" w:eastAsia="Times New Roman" w:hAnsi="Arial" w:cs="Arial"/>
          <w:sz w:val="20"/>
          <w:szCs w:val="20"/>
          <w:lang w:val="es-ES_tradnl" w:eastAsia="es-ES_tradnl"/>
        </w:rPr>
        <w:t>[…]</w:t>
      </w:r>
      <w:r w:rsidR="001C6FC5">
        <w:rPr>
          <w:rFonts w:ascii="Arial" w:eastAsia="Times New Roman" w:hAnsi="Arial" w:cs="Arial"/>
          <w:sz w:val="20"/>
          <w:szCs w:val="20"/>
          <w:lang w:val="es-ES_tradnl" w:eastAsia="es-ES_tradnl"/>
        </w:rPr>
        <w:t>.</w:t>
      </w:r>
    </w:p>
    <w:p w14:paraId="48E7A2F7" w14:textId="77777777" w:rsidR="001366E1" w:rsidRPr="001366E1" w:rsidRDefault="001366E1" w:rsidP="004E42C6">
      <w:pPr>
        <w:spacing w:after="0" w:line="240" w:lineRule="auto"/>
        <w:contextualSpacing/>
        <w:jc w:val="both"/>
        <w:rPr>
          <w:rFonts w:ascii="Arial" w:eastAsia="Calibri" w:hAnsi="Arial" w:cs="Arial"/>
          <w:b/>
          <w:sz w:val="20"/>
          <w:szCs w:val="20"/>
          <w:lang w:val="es-ES_tradnl" w:eastAsia="es-ES_tradnl"/>
        </w:rPr>
      </w:pPr>
    </w:p>
    <w:p w14:paraId="7963B46B"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 xml:space="preserve">LEY 2195 DE 2022 – Artículo 56 – Finalidad </w:t>
      </w:r>
    </w:p>
    <w:p w14:paraId="010D7326" w14:textId="77777777" w:rsidR="001366E1" w:rsidRPr="001366E1" w:rsidRDefault="001366E1" w:rsidP="004E42C6">
      <w:pPr>
        <w:spacing w:after="0" w:line="240" w:lineRule="auto"/>
        <w:contextualSpacing/>
        <w:jc w:val="both"/>
        <w:rPr>
          <w:rFonts w:ascii="Arial" w:eastAsia="Times New Roman" w:hAnsi="Arial" w:cs="Arial"/>
          <w:sz w:val="20"/>
          <w:szCs w:val="20"/>
          <w:lang w:val="es-ES_tradnl" w:eastAsia="es-ES_tradnl"/>
        </w:rPr>
      </w:pPr>
    </w:p>
    <w:p w14:paraId="7C071918" w14:textId="77777777" w:rsidR="001366E1" w:rsidRPr="001366E1" w:rsidRDefault="001366E1" w:rsidP="004E42C6">
      <w:pPr>
        <w:spacing w:after="0" w:line="240" w:lineRule="auto"/>
        <w:contextualSpacing/>
        <w:jc w:val="both"/>
        <w:rPr>
          <w:rFonts w:ascii="Arial" w:eastAsia="Times New Roman" w:hAnsi="Arial" w:cs="Arial"/>
          <w:sz w:val="20"/>
          <w:szCs w:val="20"/>
          <w:lang w:eastAsia="es-ES_tradnl"/>
        </w:rPr>
      </w:pPr>
      <w:r w:rsidRPr="001366E1">
        <w:rPr>
          <w:rFonts w:ascii="Arial" w:eastAsia="Times New Roman" w:hAnsi="Arial" w:cs="Arial"/>
          <w:sz w:val="20"/>
          <w:szCs w:val="20"/>
          <w:lang w:val="es-ES_tradnl" w:eastAsia="es-ES_tradnl"/>
        </w:rPr>
        <w:t xml:space="preserve">[…] </w:t>
      </w:r>
      <w:r w:rsidRPr="001366E1">
        <w:rPr>
          <w:rFonts w:ascii="Arial" w:eastAsia="Calibri" w:hAnsi="Arial" w:cs="Arial"/>
          <w:sz w:val="20"/>
          <w:szCs w:val="20"/>
          <w:lang w:val="es-ES_tradnl" w:eastAsia="es-ES_tradnl"/>
        </w:rPr>
        <w:t xml:space="preserve">la adición del articulado en mención tiene como fin </w:t>
      </w:r>
      <w:r w:rsidRPr="001366E1">
        <w:rPr>
          <w:rFonts w:ascii="Arial" w:eastAsia="Times New Roman" w:hAnsi="Arial" w:cs="Arial"/>
          <w:sz w:val="20"/>
          <w:szCs w:val="20"/>
          <w:lang w:eastAsia="es-ES_tradnl"/>
        </w:rPr>
        <w:t xml:space="preserve">“Extender la </w:t>
      </w:r>
      <w:r w:rsidRPr="001366E1">
        <w:rPr>
          <w:rFonts w:ascii="Arial" w:eastAsia="Times New Roman" w:hAnsi="Arial" w:cs="Arial"/>
          <w:i/>
          <w:sz w:val="20"/>
          <w:szCs w:val="20"/>
          <w:lang w:eastAsia="es-ES_tradnl"/>
        </w:rPr>
        <w:t>obligatoriedad de la aplicación del régimen de contratación estatal y pliegos tipo, cuando se celebran convenios interadministrativos</w:t>
      </w:r>
      <w:r w:rsidRPr="001366E1">
        <w:rPr>
          <w:rFonts w:ascii="Arial" w:eastAsia="Times New Roman" w:hAnsi="Arial" w:cs="Arial"/>
          <w:sz w:val="20"/>
          <w:szCs w:val="20"/>
          <w:lang w:eastAsia="es-ES_tradnl"/>
        </w:rPr>
        <w:t xml:space="preserve"> con una entidad que tiene régimen de contratación privada </w:t>
      </w:r>
      <w:r w:rsidRPr="001366E1">
        <w:rPr>
          <w:rFonts w:ascii="Arial" w:eastAsia="Times New Roman" w:hAnsi="Arial" w:cs="Arial"/>
          <w:i/>
          <w:sz w:val="20"/>
          <w:szCs w:val="20"/>
          <w:lang w:eastAsia="es-ES_tradnl"/>
        </w:rPr>
        <w:t>con el fin de evitar la contratación directa con recursos del estado y proveer de mayores garantías al proceso</w:t>
      </w:r>
      <w:r w:rsidRPr="001366E1">
        <w:rPr>
          <w:rFonts w:ascii="Arial" w:eastAsia="Times New Roman" w:hAnsi="Arial" w:cs="Arial"/>
          <w:sz w:val="20"/>
          <w:szCs w:val="20"/>
          <w:lang w:eastAsia="es-ES_tradnl"/>
        </w:rPr>
        <w:t>” (énfasis fuera de texto).En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375AB8F0" w14:textId="77777777"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p>
    <w:p w14:paraId="2E75A0F0" w14:textId="07A338BB"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bCs/>
          <w:sz w:val="20"/>
          <w:szCs w:val="20"/>
          <w:lang w:val="es-ES_tradnl" w:eastAsia="es-ES_tradnl"/>
        </w:rPr>
        <w:t xml:space="preserve">Sin embargo, para segunda ponencia del Senado se propuso eliminar el artículo en mención con motivo a la inconveniencia que podría generar en su aplicación, aceptándose su eliminación. No obstante, para Plenaria de Senado se propuso un nuevo artículo para su trámite ante la Cámara de Representantes </w:t>
      </w:r>
      <w:r w:rsidRPr="001366E1">
        <w:rPr>
          <w:rFonts w:ascii="Arial" w:eastAsia="Times New Roman" w:hAnsi="Arial" w:cs="Arial"/>
          <w:sz w:val="20"/>
          <w:szCs w:val="20"/>
          <w:lang w:val="es-ES_tradnl" w:eastAsia="es-ES_tradnl"/>
        </w:rPr>
        <w:t xml:space="preserve">[…] </w:t>
      </w:r>
      <w:r w:rsidRPr="001366E1">
        <w:rPr>
          <w:rFonts w:ascii="Arial" w:eastAsia="Calibri" w:hAnsi="Arial" w:cs="Arial"/>
          <w:sz w:val="20"/>
          <w:szCs w:val="20"/>
          <w:lang w:val="es-ES_tradnl" w:eastAsia="es-ES_tradnl"/>
        </w:rPr>
        <w:t xml:space="preserve">La mencionada disposición pasó el debate en Cámara de Representantes con algunos ajustes en la redacción del artículo, pero manteniendo su fin principal, y esto es, que los </w:t>
      </w:r>
      <w:r w:rsidR="001C6FC5" w:rsidRPr="001366E1">
        <w:rPr>
          <w:rFonts w:ascii="Arial" w:eastAsia="Calibri" w:hAnsi="Arial" w:cs="Arial"/>
          <w:sz w:val="20"/>
          <w:szCs w:val="20"/>
          <w:lang w:val="es-ES_tradnl" w:eastAsia="es-ES_tradnl"/>
        </w:rPr>
        <w:t>Documentos Tipo</w:t>
      </w:r>
      <w:r w:rsidRPr="001366E1">
        <w:rPr>
          <w:rFonts w:ascii="Arial" w:eastAsia="Calibri" w:hAnsi="Arial" w:cs="Arial"/>
          <w:sz w:val="20"/>
          <w:szCs w:val="20"/>
          <w:lang w:val="es-ES_tradnl" w:eastAsia="es-ES_tradnl"/>
        </w:rPr>
        <w:t xml:space="preserve"> deban ser aplicados en general por todas las entidades sometidas al EGCAP, independientemente de la celebración de contratos o convenios interadministrativos o de cualquier otra índole, con entidades estatales exceptuadas o con régimen especial de contratación, patrimonios autónomos o particulares. Consecuentemente, fue aprobada su redacción en conciliación del texto en ambas cámaras prescribiendo la redacción de la norma hoy día vigente</w:t>
      </w:r>
      <w:r w:rsidR="001C6FC5">
        <w:rPr>
          <w:rFonts w:ascii="Arial" w:eastAsia="Calibri" w:hAnsi="Arial" w:cs="Arial"/>
          <w:sz w:val="20"/>
          <w:szCs w:val="20"/>
          <w:lang w:val="es-ES_tradnl" w:eastAsia="es-ES_tradnl"/>
        </w:rPr>
        <w:t>.</w:t>
      </w:r>
    </w:p>
    <w:p w14:paraId="71ABD12E" w14:textId="77777777" w:rsidR="001366E1" w:rsidRPr="001366E1" w:rsidRDefault="001366E1" w:rsidP="004E42C6">
      <w:pPr>
        <w:spacing w:after="0" w:line="240" w:lineRule="auto"/>
        <w:contextualSpacing/>
        <w:jc w:val="both"/>
        <w:rPr>
          <w:rFonts w:ascii="Arial" w:eastAsia="Calibri" w:hAnsi="Arial" w:cs="Arial"/>
          <w:b/>
          <w:sz w:val="20"/>
          <w:szCs w:val="20"/>
          <w:lang w:val="es-ES_tradnl" w:eastAsia="es-ES_tradnl"/>
        </w:rPr>
      </w:pPr>
    </w:p>
    <w:p w14:paraId="6784C22D"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 xml:space="preserve">LEY 2195 DE 2022 – Artículo 56 – Incisos 1 y 2 – Interpretación conjunta </w:t>
      </w:r>
    </w:p>
    <w:p w14:paraId="6B1A2AE9" w14:textId="77777777"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p>
    <w:p w14:paraId="03D3439F" w14:textId="4C0D989E" w:rsidR="00BA18FC"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bCs/>
          <w:sz w:val="20"/>
          <w:szCs w:val="20"/>
          <w:lang w:val="es-ES_tradnl" w:eastAsia="es-ES_tradnl"/>
        </w:rPr>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w:t>
      </w:r>
      <w:r w:rsidR="001C6FC5" w:rsidRPr="001366E1">
        <w:rPr>
          <w:rFonts w:ascii="Arial" w:eastAsia="Calibri" w:hAnsi="Arial" w:cs="Arial"/>
          <w:bCs/>
          <w:sz w:val="20"/>
          <w:szCs w:val="20"/>
          <w:lang w:val="es-ES_tradnl" w:eastAsia="es-ES_tradnl"/>
        </w:rPr>
        <w:t xml:space="preserve">Documentos Tipo </w:t>
      </w:r>
      <w:r w:rsidRPr="001366E1">
        <w:rPr>
          <w:rFonts w:ascii="Arial" w:eastAsia="Calibri" w:hAnsi="Arial" w:cs="Arial"/>
          <w:bCs/>
          <w:sz w:val="20"/>
          <w:szCs w:val="20"/>
          <w:lang w:val="es-ES_tradnl" w:eastAsia="es-ES_tradnl"/>
        </w:rPr>
        <w:t xml:space="preserve">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w:t>
      </w:r>
      <w:r w:rsidR="001C6FC5" w:rsidRPr="001366E1">
        <w:rPr>
          <w:rFonts w:ascii="Arial" w:eastAsia="Calibri" w:hAnsi="Arial" w:cs="Arial"/>
          <w:bCs/>
          <w:sz w:val="20"/>
          <w:szCs w:val="20"/>
          <w:lang w:val="es-ES_tradnl" w:eastAsia="es-ES_tradnl"/>
        </w:rPr>
        <w:t>Documentos Tipo</w:t>
      </w:r>
      <w:r w:rsidRPr="001366E1">
        <w:rPr>
          <w:rFonts w:ascii="Arial" w:eastAsia="Calibri" w:hAnsi="Arial" w:cs="Arial"/>
          <w:bCs/>
          <w:sz w:val="20"/>
          <w:szCs w:val="20"/>
          <w:lang w:val="es-ES_tradnl" w:eastAsia="es-ES_tradnl"/>
        </w:rPr>
        <w:t>.</w:t>
      </w:r>
    </w:p>
    <w:p w14:paraId="65ED226E" w14:textId="2DD29CB9"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bCs/>
          <w:sz w:val="20"/>
          <w:szCs w:val="20"/>
          <w:lang w:val="es-ES_tradnl" w:eastAsia="es-ES_tradnl"/>
        </w:rPr>
        <w:t xml:space="preserve"> </w:t>
      </w:r>
    </w:p>
    <w:p w14:paraId="554EC47B" w14:textId="5BD1A09F"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sz w:val="20"/>
          <w:szCs w:val="20"/>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w:t>
      </w:r>
      <w:r w:rsidR="001C6FC5" w:rsidRPr="001366E1">
        <w:rPr>
          <w:rFonts w:ascii="Arial" w:eastAsia="Calibri" w:hAnsi="Arial" w:cs="Arial"/>
          <w:sz w:val="20"/>
          <w:szCs w:val="20"/>
          <w:lang w:val="es-ES_tradnl" w:eastAsia="es-ES_tradnl"/>
        </w:rPr>
        <w:t xml:space="preserve">Documentos Tipo </w:t>
      </w:r>
      <w:r w:rsidRPr="001366E1">
        <w:rPr>
          <w:rFonts w:ascii="Arial" w:eastAsia="Calibri" w:hAnsi="Arial" w:cs="Arial"/>
          <w:sz w:val="20"/>
          <w:szCs w:val="20"/>
          <w:lang w:val="es-ES_tradnl" w:eastAsia="es-ES_tradnl"/>
        </w:rPr>
        <w:t xml:space="preserve">para las entidades sometidas al EGCAP cuando celebren contratos o convenios interadministrativos o de cualquier otra índole, y en el marco de la regla de interpretación de la Ley por contexto, conforme al criterio interpretativo del artículo 30 del Código Civil, “Los pasajes oscuros de una ley pueden ser ilustrados por medio de otras leyes, particularmente si versan sobre el mismo asunto” y de una interpretación sobre la extensión de una Ley, consagrada en el artículo 31 del Código Civil, “Lo favorable u odioso de una disposición no se tomará en cuenta para ampliar o restringir su interpretación. La extensión que deba darse a toda ley se determinará por su genuino sentido, y según las reglas de interpretación precedentes”, </w:t>
      </w:r>
      <w:r w:rsidRPr="001366E1">
        <w:rPr>
          <w:rFonts w:ascii="Arial" w:eastAsia="Calibri" w:hAnsi="Arial" w:cs="Arial"/>
          <w:bCs/>
          <w:sz w:val="20"/>
          <w:szCs w:val="20"/>
          <w:lang w:val="es-ES_tradnl" w:eastAsia="es-ES_tradnl"/>
        </w:rPr>
        <w:t>desde esta perspectiva, no pudiera</w:t>
      </w:r>
      <w:r w:rsidRPr="001366E1">
        <w:rPr>
          <w:rFonts w:ascii="Arial" w:eastAsia="Calibri" w:hAnsi="Arial" w:cs="Arial"/>
          <w:sz w:val="20"/>
          <w:szCs w:val="20"/>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w:t>
      </w:r>
      <w:r w:rsidR="001C6FC5" w:rsidRPr="001366E1">
        <w:rPr>
          <w:rFonts w:ascii="Arial" w:eastAsia="Calibri" w:hAnsi="Arial" w:cs="Arial"/>
          <w:sz w:val="20"/>
          <w:szCs w:val="20"/>
          <w:lang w:val="es-ES_tradnl" w:eastAsia="es-ES_tradnl"/>
        </w:rPr>
        <w:t xml:space="preserve">Documentos Tipo </w:t>
      </w:r>
      <w:r w:rsidRPr="001366E1">
        <w:rPr>
          <w:rFonts w:ascii="Arial" w:eastAsia="Calibri" w:hAnsi="Arial" w:cs="Arial"/>
          <w:sz w:val="20"/>
          <w:szCs w:val="20"/>
          <w:lang w:val="es-ES_tradnl" w:eastAsia="es-ES_tradnl"/>
        </w:rPr>
        <w:t>en los procesos de contratación adelantados por las entidades estatales regidas por el EGCAP, es decir,</w:t>
      </w:r>
      <w:r w:rsidRPr="001366E1">
        <w:rPr>
          <w:rFonts w:ascii="Arial" w:eastAsia="Calibri" w:hAnsi="Arial" w:cs="Arial"/>
          <w:bCs/>
          <w:sz w:val="20"/>
          <w:szCs w:val="20"/>
          <w:lang w:val="es-ES_tradnl" w:eastAsia="es-ES_tradnl"/>
        </w:rPr>
        <w:t xml:space="preserve"> </w:t>
      </w:r>
      <w:r w:rsidRPr="001366E1">
        <w:rPr>
          <w:rFonts w:ascii="Arial" w:eastAsia="Calibri" w:hAnsi="Arial" w:cs="Arial"/>
          <w:sz w:val="20"/>
          <w:szCs w:val="20"/>
          <w:lang w:val="es-ES_tradnl" w:eastAsia="es-ES_tradnl"/>
        </w:rPr>
        <w:t xml:space="preserve">la obligatoriedad de utilizar documentos pliego tipo </w:t>
      </w:r>
      <w:r w:rsidRPr="001366E1">
        <w:rPr>
          <w:rFonts w:ascii="Arial" w:eastAsia="Calibri" w:hAnsi="Arial" w:cs="Arial"/>
          <w:bCs/>
          <w:sz w:val="20"/>
          <w:szCs w:val="20"/>
          <w:lang w:val="es-ES_tradnl" w:eastAsia="es-ES_tradnl"/>
        </w:rPr>
        <w:t xml:space="preserve">se extiende </w:t>
      </w:r>
      <w:r w:rsidRPr="001366E1">
        <w:rPr>
          <w:rFonts w:ascii="Arial" w:eastAsia="Calibri" w:hAnsi="Arial" w:cs="Arial"/>
          <w:sz w:val="20"/>
          <w:szCs w:val="20"/>
          <w:lang w:val="es-ES_tradnl" w:eastAsia="es-ES_tradnl"/>
        </w:rPr>
        <w:t xml:space="preserve">en los convenios o contratos interadministrativos o de cualquier otra índole, </w:t>
      </w:r>
      <w:r w:rsidRPr="001366E1">
        <w:rPr>
          <w:rFonts w:ascii="Arial" w:eastAsia="Calibri" w:hAnsi="Arial" w:cs="Arial"/>
          <w:bCs/>
          <w:sz w:val="20"/>
          <w:szCs w:val="20"/>
          <w:lang w:val="es-ES_tradnl" w:eastAsia="es-ES_tradnl"/>
        </w:rPr>
        <w:t xml:space="preserve">y </w:t>
      </w:r>
      <w:r w:rsidRPr="001366E1">
        <w:rPr>
          <w:rFonts w:ascii="Arial" w:eastAsia="Calibri" w:hAnsi="Arial" w:cs="Arial"/>
          <w:sz w:val="20"/>
          <w:szCs w:val="20"/>
          <w:lang w:val="es-ES_tradnl" w:eastAsia="es-ES_tradnl"/>
        </w:rPr>
        <w:t>a las diferentes modalidades de selección de los Procesos de Contratación adelantados por entidades sometidas al EGCAP</w:t>
      </w:r>
      <w:r w:rsidRPr="001366E1">
        <w:rPr>
          <w:rFonts w:ascii="Arial" w:eastAsia="Calibri" w:hAnsi="Arial" w:cs="Arial"/>
          <w:bCs/>
          <w:sz w:val="20"/>
          <w:szCs w:val="20"/>
          <w:lang w:val="es-ES_tradnl" w:eastAsia="es-ES_tradnl"/>
        </w:rPr>
        <w:t>.</w:t>
      </w:r>
    </w:p>
    <w:p w14:paraId="49D47973" w14:textId="77777777" w:rsidR="001366E1" w:rsidRDefault="001366E1" w:rsidP="004E42C6">
      <w:pPr>
        <w:tabs>
          <w:tab w:val="left" w:pos="0"/>
        </w:tabs>
        <w:spacing w:after="0" w:line="240" w:lineRule="auto"/>
        <w:contextualSpacing/>
        <w:jc w:val="both"/>
        <w:rPr>
          <w:rFonts w:ascii="Arial" w:eastAsia="Times New Roman" w:hAnsi="Arial" w:cs="Arial"/>
          <w:sz w:val="20"/>
          <w:szCs w:val="20"/>
          <w:lang w:val="es-ES_tradnl" w:eastAsia="es-ES_tradnl"/>
        </w:rPr>
      </w:pPr>
      <w:r w:rsidRPr="001366E1">
        <w:rPr>
          <w:rFonts w:ascii="Arial" w:eastAsia="Times New Roman" w:hAnsi="Arial" w:cs="Arial"/>
          <w:sz w:val="20"/>
          <w:szCs w:val="20"/>
          <w:lang w:val="es-ES_tradnl" w:eastAsia="es-ES_tradnl"/>
        </w:rPr>
        <w:t>[…]</w:t>
      </w:r>
    </w:p>
    <w:p w14:paraId="58F824A0" w14:textId="77777777" w:rsidR="00BA18FC" w:rsidRPr="001366E1" w:rsidRDefault="00BA18FC" w:rsidP="004E42C6">
      <w:pPr>
        <w:tabs>
          <w:tab w:val="left" w:pos="0"/>
        </w:tabs>
        <w:spacing w:after="0" w:line="240" w:lineRule="auto"/>
        <w:contextualSpacing/>
        <w:jc w:val="both"/>
        <w:rPr>
          <w:rFonts w:ascii="Arial" w:eastAsia="Times New Roman" w:hAnsi="Arial" w:cs="Arial"/>
          <w:sz w:val="20"/>
          <w:szCs w:val="20"/>
          <w:lang w:val="es-ES_tradnl" w:eastAsia="es-ES_tradnl"/>
        </w:rPr>
      </w:pPr>
    </w:p>
    <w:p w14:paraId="774417A7" w14:textId="23EF7DB7" w:rsidR="001366E1" w:rsidRDefault="001366E1" w:rsidP="004E42C6">
      <w:pPr>
        <w:tabs>
          <w:tab w:val="left" w:pos="0"/>
        </w:tabs>
        <w:spacing w:after="0" w:line="240" w:lineRule="auto"/>
        <w:contextualSpacing/>
        <w:jc w:val="both"/>
        <w:rPr>
          <w:rFonts w:ascii="Arial" w:eastAsia="Times New Roman" w:hAnsi="Arial" w:cs="Arial"/>
          <w:sz w:val="20"/>
          <w:szCs w:val="20"/>
          <w:lang w:eastAsia="es-ES_tradnl"/>
        </w:rPr>
      </w:pPr>
      <w:r w:rsidRPr="001366E1">
        <w:rPr>
          <w:rFonts w:ascii="Arial" w:eastAsia="Calibri" w:hAnsi="Arial" w:cs="Arial"/>
          <w:bCs/>
          <w:sz w:val="20"/>
          <w:szCs w:val="20"/>
          <w:lang w:val="es-ES_tradnl" w:eastAsia="es-ES_tradnl"/>
        </w:rPr>
        <w:t xml:space="preserve">El segundo inciso de la norma bajo estudio usa la expresión </w:t>
      </w:r>
      <w:r w:rsidRPr="001366E1">
        <w:rPr>
          <w:rFonts w:ascii="Arial" w:eastAsia="Calibri" w:hAnsi="Arial" w:cs="Arial"/>
          <w:sz w:val="20"/>
          <w:szCs w:val="20"/>
          <w:lang w:val="es-ES_tradnl" w:eastAsia="es-ES_tradnl"/>
        </w:rPr>
        <w:t>“</w:t>
      </w:r>
      <w:r w:rsidRPr="001366E1">
        <w:rPr>
          <w:rFonts w:ascii="Arial" w:eastAsia="Times New Roman" w:hAnsi="Arial" w:cs="Arial"/>
          <w:sz w:val="20"/>
          <w:szCs w:val="20"/>
          <w:lang w:eastAsia="es-ES_tradnl"/>
        </w:rPr>
        <w:t xml:space="preserve">los procedimientos de selección y </w:t>
      </w:r>
      <w:r w:rsidRPr="001366E1">
        <w:rPr>
          <w:rFonts w:ascii="Arial" w:eastAsia="Times New Roman" w:hAnsi="Arial" w:cs="Arial"/>
          <w:i/>
          <w:iCs/>
          <w:sz w:val="20"/>
          <w:szCs w:val="20"/>
          <w:lang w:eastAsia="es-ES_tradnl"/>
        </w:rPr>
        <w:t>contratos que realicen en desarrollo de los anteriores negocios jurídicos</w:t>
      </w:r>
      <w:r w:rsidRPr="001366E1">
        <w:rPr>
          <w:rFonts w:ascii="Arial" w:eastAsia="Calibri" w:hAnsi="Arial" w:cs="Arial"/>
          <w:sz w:val="20"/>
          <w:szCs w:val="20"/>
          <w:lang w:val="es-ES_tradnl" w:eastAsia="es-ES_tradnl"/>
        </w:rPr>
        <w:t>”</w:t>
      </w:r>
      <w:r w:rsidRPr="001366E1">
        <w:rPr>
          <w:rFonts w:ascii="Arial" w:eastAsia="Times New Roman" w:hAnsi="Arial" w:cs="Arial"/>
          <w:sz w:val="20"/>
          <w:szCs w:val="20"/>
          <w:lang w:eastAsia="es-ES_tradnl"/>
        </w:rPr>
        <w:t xml:space="preserve"> se pudiera entender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 en un objeto del que se desprende el suministro de un bien, obra o servicio cobijada por un documento tipo.  En ese sentido, la norma parte de la base de que para </w:t>
      </w:r>
      <w:r w:rsidRPr="001366E1">
        <w:rPr>
          <w:rFonts w:ascii="Arial" w:eastAsia="Times New Roman" w:hAnsi="Arial" w:cs="Arial"/>
          <w:i/>
          <w:iCs/>
          <w:sz w:val="20"/>
          <w:szCs w:val="20"/>
          <w:lang w:eastAsia="es-ES_tradnl"/>
        </w:rPr>
        <w:t>desarrollar</w:t>
      </w:r>
      <w:r w:rsidRPr="001366E1">
        <w:rPr>
          <w:rFonts w:ascii="Arial" w:eastAsia="Times New Roman" w:hAnsi="Arial" w:cs="Arial"/>
          <w:sz w:val="20"/>
          <w:szCs w:val="20"/>
          <w:lang w:eastAsia="es-ES_tradnl"/>
        </w:rPr>
        <w:t xml:space="preserve"> tales negocios jurídicos la Entidad Estatal sometida necesariamente debe adelantar un procedimiento de selección y suscribir un contrato elevado a escrito, lo que, en atención al artículo 56 deberá hacerlo aplicando </w:t>
      </w:r>
      <w:r w:rsidR="001C6FC5" w:rsidRPr="001366E1">
        <w:rPr>
          <w:rFonts w:ascii="Arial" w:eastAsia="Times New Roman" w:hAnsi="Arial" w:cs="Arial"/>
          <w:sz w:val="20"/>
          <w:szCs w:val="20"/>
          <w:lang w:eastAsia="es-ES_tradnl"/>
        </w:rPr>
        <w:t xml:space="preserve">Documentos Tipo </w:t>
      </w:r>
      <w:r w:rsidRPr="001366E1">
        <w:rPr>
          <w:rFonts w:ascii="Arial" w:eastAsia="Times New Roman" w:hAnsi="Arial" w:cs="Arial"/>
          <w:sz w:val="20"/>
          <w:szCs w:val="20"/>
          <w:lang w:eastAsia="es-ES_tradnl"/>
        </w:rPr>
        <w:t xml:space="preserve">y con sujeción al EGCAP. </w:t>
      </w:r>
    </w:p>
    <w:p w14:paraId="17E1CB63" w14:textId="77777777" w:rsidR="00754F96" w:rsidRPr="001366E1" w:rsidRDefault="00754F96" w:rsidP="004E42C6">
      <w:pPr>
        <w:tabs>
          <w:tab w:val="left" w:pos="0"/>
        </w:tabs>
        <w:spacing w:after="0" w:line="240" w:lineRule="auto"/>
        <w:contextualSpacing/>
        <w:jc w:val="both"/>
        <w:rPr>
          <w:rFonts w:ascii="Arial" w:eastAsia="Times New Roman" w:hAnsi="Arial" w:cs="Arial"/>
          <w:sz w:val="20"/>
          <w:szCs w:val="20"/>
          <w:lang w:eastAsia="es-ES_tradnl"/>
        </w:rPr>
      </w:pPr>
    </w:p>
    <w:p w14:paraId="0A4C4A92" w14:textId="7B9BFB53"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Calibri" w:hAnsi="Arial" w:cs="Arial"/>
          <w:bCs/>
          <w:sz w:val="20"/>
          <w:szCs w:val="20"/>
          <w:lang w:val="es-ES_tradnl" w:eastAsia="es-ES_tradnl"/>
        </w:rPr>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r w:rsidR="001C6FC5">
        <w:rPr>
          <w:rFonts w:ascii="Arial" w:eastAsia="Calibri" w:hAnsi="Arial" w:cs="Arial"/>
          <w:bCs/>
          <w:sz w:val="20"/>
          <w:szCs w:val="20"/>
          <w:lang w:val="es-ES_tradnl" w:eastAsia="es-ES_tradnl"/>
        </w:rPr>
        <w:t>.</w:t>
      </w:r>
    </w:p>
    <w:p w14:paraId="2BD581E8" w14:textId="77777777"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p>
    <w:p w14:paraId="38E563F8"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LEY 2195 DE 2022 – Artículo 56 – Aplicación del estatuto general de contratación de la administración pública</w:t>
      </w:r>
    </w:p>
    <w:p w14:paraId="5338EDE5" w14:textId="77777777"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p>
    <w:p w14:paraId="4A0B4B00" w14:textId="77777777" w:rsidR="001366E1" w:rsidRPr="001366E1" w:rsidRDefault="001366E1" w:rsidP="004E42C6">
      <w:pPr>
        <w:tabs>
          <w:tab w:val="left" w:pos="0"/>
        </w:tabs>
        <w:spacing w:after="0" w:line="240" w:lineRule="auto"/>
        <w:contextualSpacing/>
        <w:jc w:val="both"/>
        <w:rPr>
          <w:rFonts w:ascii="Arial" w:eastAsia="Calibri" w:hAnsi="Arial" w:cs="Arial"/>
          <w:sz w:val="20"/>
          <w:szCs w:val="20"/>
          <w:lang w:val="es-ES_tradnl" w:eastAsia="es-ES_tradnl"/>
        </w:rPr>
      </w:pPr>
      <w:r w:rsidRPr="001366E1">
        <w:rPr>
          <w:rFonts w:ascii="Arial" w:eastAsia="Calibri" w:hAnsi="Arial" w:cs="Arial"/>
          <w:bCs/>
          <w:sz w:val="20"/>
          <w:szCs w:val="20"/>
          <w:lang w:val="es-ES_tradnl" w:eastAsia="es-ES_tradnl"/>
        </w:rPr>
        <w:lastRenderedPageBreak/>
        <w:t xml:space="preserve">Por tanto, el hecho de que la norma esté dirigida a las entidades sometidas al EGCAP, , no tiene otro fin más que el de indicar que la obligación de emplear los documentos pliego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pliego tipo en virtud de lo regulado en al parágrafo 7 del artículo 2 de la Ley 1150 de 2007, modificado por la Ley 2022 de 2020. </w:t>
      </w:r>
    </w:p>
    <w:p w14:paraId="2E490C8D" w14:textId="77777777" w:rsidR="001366E1" w:rsidRPr="001366E1" w:rsidRDefault="001366E1" w:rsidP="004E42C6">
      <w:pPr>
        <w:spacing w:after="0" w:line="240" w:lineRule="auto"/>
        <w:contextualSpacing/>
        <w:jc w:val="both"/>
        <w:rPr>
          <w:rFonts w:ascii="Arial" w:eastAsia="Calibri" w:hAnsi="Arial" w:cs="Arial"/>
          <w:b/>
          <w:sz w:val="20"/>
          <w:szCs w:val="20"/>
          <w:lang w:val="es-ES_tradnl" w:eastAsia="es-ES_tradnl"/>
        </w:rPr>
      </w:pPr>
    </w:p>
    <w:p w14:paraId="437356FD"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 xml:space="preserve">LEY 2195 DE 2022 – Artículo 56 – Parágrafo – Excepciones – Giro ordinario </w:t>
      </w:r>
    </w:p>
    <w:p w14:paraId="3ADCF29D" w14:textId="77777777" w:rsidR="001366E1" w:rsidRPr="001366E1" w:rsidRDefault="001366E1" w:rsidP="004E42C6">
      <w:pPr>
        <w:tabs>
          <w:tab w:val="left" w:pos="0"/>
        </w:tabs>
        <w:spacing w:after="0" w:line="240" w:lineRule="auto"/>
        <w:contextualSpacing/>
        <w:jc w:val="both"/>
        <w:rPr>
          <w:rFonts w:ascii="Arial" w:eastAsia="Times New Roman" w:hAnsi="Arial" w:cs="Arial"/>
          <w:sz w:val="20"/>
          <w:szCs w:val="20"/>
          <w:lang w:eastAsia="es-ES_tradnl"/>
        </w:rPr>
      </w:pPr>
    </w:p>
    <w:p w14:paraId="49544E8C" w14:textId="77777777" w:rsidR="001366E1" w:rsidRPr="001366E1" w:rsidRDefault="001366E1" w:rsidP="004E42C6">
      <w:pPr>
        <w:tabs>
          <w:tab w:val="left" w:pos="0"/>
        </w:tabs>
        <w:spacing w:after="0" w:line="240" w:lineRule="auto"/>
        <w:contextualSpacing/>
        <w:jc w:val="both"/>
        <w:rPr>
          <w:rFonts w:ascii="Arial" w:eastAsia="Calibri" w:hAnsi="Arial" w:cs="Arial"/>
          <w:bCs/>
          <w:sz w:val="20"/>
          <w:szCs w:val="20"/>
          <w:lang w:val="es-ES_tradnl" w:eastAsia="es-ES_tradnl"/>
        </w:rPr>
      </w:pPr>
      <w:r w:rsidRPr="001366E1">
        <w:rPr>
          <w:rFonts w:ascii="Arial" w:eastAsia="Times New Roman" w:hAnsi="Arial" w:cs="Arial"/>
          <w:sz w:val="20"/>
          <w:szCs w:val="20"/>
          <w:lang w:eastAsia="es-ES_tradnl"/>
        </w:rPr>
        <w:t>De otra parte,</w:t>
      </w:r>
      <w:r w:rsidRPr="001366E1">
        <w:rPr>
          <w:rFonts w:ascii="Arial" w:eastAsia="Calibri" w:hAnsi="Arial" w:cs="Arial"/>
          <w:bCs/>
          <w:sz w:val="20"/>
          <w:szCs w:val="20"/>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1366E1">
        <w:rPr>
          <w:rFonts w:ascii="Arial" w:eastAsia="Calibri" w:hAnsi="Arial" w:cs="Arial"/>
          <w:bCs/>
          <w:i/>
          <w:iCs/>
          <w:sz w:val="20"/>
          <w:szCs w:val="20"/>
          <w:lang w:val="es-ES_tradnl" w:eastAsia="es-ES_tradnl"/>
        </w:rPr>
        <w:t>giro ordinario</w:t>
      </w:r>
      <w:r w:rsidRPr="001366E1">
        <w:rPr>
          <w:rFonts w:ascii="Arial" w:eastAsia="Calibri" w:hAnsi="Arial" w:cs="Arial"/>
          <w:bCs/>
          <w:sz w:val="20"/>
          <w:szCs w:val="20"/>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1366E1">
        <w:rPr>
          <w:rFonts w:ascii="Arial" w:eastAsia="Calibri" w:hAnsi="Arial" w:cs="Arial"/>
          <w:bCs/>
          <w:i/>
          <w:iCs/>
          <w:sz w:val="20"/>
          <w:szCs w:val="20"/>
          <w:lang w:val="es-ES_tradnl" w:eastAsia="es-ES_tradnl"/>
        </w:rPr>
        <w:t>giro ordinario.</w:t>
      </w:r>
      <w:r w:rsidRPr="001366E1">
        <w:rPr>
          <w:rFonts w:ascii="Arial" w:eastAsia="Calibri" w:hAnsi="Arial" w:cs="Arial"/>
          <w:bCs/>
          <w:sz w:val="20"/>
          <w:szCs w:val="20"/>
          <w:lang w:val="es-ES_tradnl" w:eastAsia="es-ES_tradnl"/>
        </w:rPr>
        <w:t xml:space="preserve"> Esto significa que, en la contratación asociada a su </w:t>
      </w:r>
      <w:r w:rsidRPr="001366E1">
        <w:rPr>
          <w:rFonts w:ascii="Arial" w:eastAsia="Calibri" w:hAnsi="Arial" w:cs="Arial"/>
          <w:bCs/>
          <w:i/>
          <w:iCs/>
          <w:sz w:val="20"/>
          <w:szCs w:val="20"/>
          <w:lang w:val="es-ES_tradnl" w:eastAsia="es-ES_tradnl"/>
        </w:rPr>
        <w:t xml:space="preserve">giro ordinario, </w:t>
      </w:r>
      <w:r w:rsidRPr="001366E1">
        <w:rPr>
          <w:rFonts w:ascii="Arial" w:eastAsia="Calibri" w:hAnsi="Arial" w:cs="Arial"/>
          <w:bCs/>
          <w:sz w:val="20"/>
          <w:szCs w:val="20"/>
          <w:lang w:val="es-ES_tradnl" w:eastAsia="es-ES_tradnl"/>
        </w:rPr>
        <w:t>estos tipos de entidades no tendrían que aplicar, de manera obligatoria, los documentos tipo, ni tampoco el EGCAP.</w:t>
      </w:r>
      <w:r w:rsidRPr="001366E1">
        <w:rPr>
          <w:rFonts w:ascii="Arial" w:eastAsia="Times New Roman" w:hAnsi="Arial" w:cs="Arial"/>
          <w:sz w:val="20"/>
          <w:szCs w:val="20"/>
          <w:lang w:eastAsia="es-ES_tradnl"/>
        </w:rPr>
        <w:t xml:space="preserve"> es decir, si entidades estatales exceptuadas pretenden ser adjudicatarias de estos contratos, no deben someterse a un proceso de selección en el que se apliquen documentos tipo expedidos por esta Agencia. </w:t>
      </w:r>
      <w:r w:rsidRPr="001366E1">
        <w:rPr>
          <w:rFonts w:ascii="Arial" w:eastAsia="Calibri" w:hAnsi="Arial" w:cs="Arial"/>
          <w:bCs/>
          <w:sz w:val="20"/>
          <w:szCs w:val="20"/>
          <w:lang w:val="es-ES_tradnl" w:eastAsia="es-ES_tradnl"/>
        </w:rPr>
        <w:t xml:space="preserve">En este caso la norma se limita a fomentar la implementación de documentos tipo a modo de buena práctica contractual, en los casos en los que se estime conveniente. </w:t>
      </w:r>
    </w:p>
    <w:p w14:paraId="42561EB6" w14:textId="77777777" w:rsidR="001366E1" w:rsidRPr="001366E1" w:rsidRDefault="001366E1" w:rsidP="004E42C6">
      <w:pPr>
        <w:spacing w:after="0" w:line="240" w:lineRule="auto"/>
        <w:contextualSpacing/>
        <w:jc w:val="both"/>
        <w:rPr>
          <w:rFonts w:ascii="Arial" w:eastAsia="Calibri" w:hAnsi="Arial" w:cs="Arial"/>
          <w:b/>
          <w:sz w:val="20"/>
          <w:szCs w:val="20"/>
          <w:lang w:val="es-ES_tradnl" w:eastAsia="es-ES_tradnl"/>
        </w:rPr>
      </w:pPr>
    </w:p>
    <w:p w14:paraId="7CE4FB63" w14:textId="77777777" w:rsidR="001366E1" w:rsidRPr="001366E1" w:rsidRDefault="001366E1" w:rsidP="004E42C6">
      <w:pPr>
        <w:spacing w:after="0" w:line="240" w:lineRule="auto"/>
        <w:contextualSpacing/>
        <w:jc w:val="both"/>
        <w:rPr>
          <w:rFonts w:ascii="Arial" w:eastAsia="Calibri" w:hAnsi="Arial" w:cs="Arial"/>
          <w:b/>
          <w:lang w:val="es-ES_tradnl" w:eastAsia="es-ES_tradnl"/>
        </w:rPr>
      </w:pPr>
      <w:r w:rsidRPr="001366E1">
        <w:rPr>
          <w:rFonts w:ascii="Arial" w:eastAsia="Calibri" w:hAnsi="Arial" w:cs="Arial"/>
          <w:b/>
          <w:lang w:val="es-ES_tradnl" w:eastAsia="es-ES_tradnl"/>
        </w:rPr>
        <w:t xml:space="preserve">LEY 2195 DE 2022 – Artículo 56 – Subcontratación – Contratación derivada </w:t>
      </w:r>
    </w:p>
    <w:p w14:paraId="778D0BE8" w14:textId="77777777" w:rsidR="001366E1" w:rsidRPr="001366E1" w:rsidRDefault="001366E1" w:rsidP="004E42C6">
      <w:pPr>
        <w:spacing w:after="0" w:line="240" w:lineRule="auto"/>
        <w:contextualSpacing/>
        <w:jc w:val="both"/>
        <w:rPr>
          <w:rFonts w:ascii="Arial" w:eastAsia="Times New Roman" w:hAnsi="Arial" w:cs="Arial"/>
          <w:sz w:val="20"/>
          <w:szCs w:val="20"/>
          <w:lang w:val="es-ES" w:eastAsia="es-ES_tradnl"/>
        </w:rPr>
      </w:pPr>
    </w:p>
    <w:p w14:paraId="790EC8BA" w14:textId="77777777" w:rsidR="001366E1" w:rsidRPr="001366E1" w:rsidRDefault="001366E1" w:rsidP="004E42C6">
      <w:pPr>
        <w:spacing w:after="0" w:line="240" w:lineRule="auto"/>
        <w:contextualSpacing/>
        <w:jc w:val="both"/>
        <w:rPr>
          <w:rFonts w:ascii="Arial" w:eastAsia="Times New Roman" w:hAnsi="Arial" w:cs="Arial"/>
          <w:sz w:val="20"/>
          <w:szCs w:val="20"/>
          <w:lang w:eastAsia="es-ES_tradnl"/>
        </w:rPr>
      </w:pPr>
      <w:r w:rsidRPr="001366E1">
        <w:rPr>
          <w:rFonts w:ascii="Arial" w:eastAsia="Times New Roman" w:hAnsi="Arial" w:cs="Arial"/>
          <w:sz w:val="20"/>
          <w:szCs w:val="20"/>
          <w:lang w:val="es-ES" w:eastAsia="es-ES_tradnl"/>
        </w:rPr>
        <w:t>Teniendo en cuenta lo expuesto, l</w:t>
      </w:r>
      <w:r w:rsidRPr="001366E1">
        <w:rPr>
          <w:rFonts w:ascii="Arial" w:eastAsia="Times New Roman" w:hAnsi="Arial" w:cs="Arial"/>
          <w:sz w:val="20"/>
          <w:szCs w:val="20"/>
          <w:lang w:eastAsia="es-ES_tradnl"/>
        </w:rPr>
        <w:t>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473774BE" w14:textId="77777777" w:rsidR="001366E1" w:rsidRPr="001366E1" w:rsidRDefault="001366E1" w:rsidP="004E42C6">
      <w:pPr>
        <w:spacing w:after="0" w:line="240" w:lineRule="auto"/>
        <w:contextualSpacing/>
        <w:jc w:val="both"/>
        <w:rPr>
          <w:rFonts w:ascii="Arial" w:eastAsia="Times New Roman" w:hAnsi="Arial" w:cs="Arial"/>
          <w:sz w:val="20"/>
          <w:szCs w:val="20"/>
          <w:lang w:eastAsia="es-ES_tradnl"/>
        </w:rPr>
      </w:pPr>
    </w:p>
    <w:p w14:paraId="35866987" w14:textId="77777777" w:rsidR="001366E1" w:rsidRPr="001366E1" w:rsidRDefault="001366E1" w:rsidP="004E42C6">
      <w:pPr>
        <w:spacing w:after="0" w:line="240" w:lineRule="auto"/>
        <w:contextualSpacing/>
        <w:jc w:val="both"/>
        <w:rPr>
          <w:rFonts w:ascii="Arial" w:eastAsia="Calibri" w:hAnsi="Arial" w:cs="Arial"/>
          <w:b/>
          <w:sz w:val="20"/>
          <w:szCs w:val="20"/>
          <w:lang w:val="es-ES_tradnl" w:eastAsia="es-ES_tradnl"/>
        </w:rPr>
      </w:pPr>
      <w:r w:rsidRPr="001366E1">
        <w:rPr>
          <w:rFonts w:ascii="Arial" w:eastAsia="Times New Roman" w:hAnsi="Arial" w:cs="Arial"/>
          <w:sz w:val="20"/>
          <w:szCs w:val="20"/>
          <w:lang w:eastAsia="es-ES_tradnl"/>
        </w:rPr>
        <w:t>Con base en estos elementos, debe tenerse en cuenta que la situación de los subcontratistas no hace parte de aquella circunstancia que quiso regular el artículo objeto de estudio. E</w:t>
      </w:r>
      <w:r w:rsidRPr="001366E1">
        <w:rPr>
          <w:rFonts w:ascii="Arial" w:eastAsia="Calibri" w:hAnsi="Arial" w:cs="Arial"/>
          <w:sz w:val="20"/>
          <w:szCs w:val="20"/>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w:t>
      </w:r>
    </w:p>
    <w:p w14:paraId="223CD60E" w14:textId="77777777" w:rsidR="001366E1" w:rsidRDefault="001366E1">
      <w:pPr>
        <w:rPr>
          <w:rFonts w:ascii="Arial" w:hAnsi="Arial" w:cs="Arial"/>
        </w:rPr>
      </w:pPr>
      <w:r>
        <w:rPr>
          <w:rFonts w:ascii="Arial" w:hAnsi="Arial" w:cs="Arial"/>
        </w:rPr>
        <w:br w:type="page"/>
      </w:r>
    </w:p>
    <w:p w14:paraId="3FE2184B" w14:textId="27C3EBE1" w:rsidR="00E245AB" w:rsidRPr="00283724" w:rsidRDefault="00E245AB" w:rsidP="00CB2B9A">
      <w:pPr>
        <w:spacing w:after="0" w:line="240" w:lineRule="auto"/>
        <w:contextualSpacing/>
        <w:rPr>
          <w:rFonts w:ascii="Arial" w:hAnsi="Arial" w:cs="Arial"/>
        </w:rPr>
      </w:pPr>
      <w:r w:rsidRPr="00283724">
        <w:rPr>
          <w:rFonts w:ascii="Arial" w:hAnsi="Arial" w:cs="Arial"/>
        </w:rPr>
        <w:lastRenderedPageBreak/>
        <w:t xml:space="preserve">Bogotá D.C., </w:t>
      </w:r>
      <w:r w:rsidR="00571C21">
        <w:rPr>
          <w:rFonts w:ascii="Arial" w:hAnsi="Arial" w:cs="Arial"/>
        </w:rPr>
        <w:t>06 Septiembre de 2023</w:t>
      </w:r>
    </w:p>
    <w:p w14:paraId="4628154F" w14:textId="3F7EB680" w:rsidR="00BC5810" w:rsidRPr="00283724" w:rsidRDefault="00964AD5" w:rsidP="00964AD5">
      <w:pPr>
        <w:spacing w:after="0" w:line="240" w:lineRule="auto"/>
        <w:contextualSpacing/>
        <w:jc w:val="right"/>
        <w:rPr>
          <w:rFonts w:ascii="Arial" w:eastAsia="Times New Roman" w:hAnsi="Arial" w:cs="Arial"/>
          <w:noProof/>
          <w:lang w:val="es-ES_tradnl" w:eastAsia="es-ES_tradnl"/>
        </w:rPr>
      </w:pPr>
      <w:r>
        <w:rPr>
          <w:noProof/>
        </w:rPr>
        <w:drawing>
          <wp:inline distT="0" distB="0" distL="0" distR="0" wp14:anchorId="7B2C1B9F" wp14:editId="188F97CC">
            <wp:extent cx="3225888" cy="962107"/>
            <wp:effectExtent l="0" t="0" r="0" b="9525"/>
            <wp:docPr id="81570750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707506" name="Imagen 1" descr="Texto&#10;&#10;Descripción generada automáticamente"/>
                    <pic:cNvPicPr/>
                  </pic:nvPicPr>
                  <pic:blipFill>
                    <a:blip r:embed="rId11"/>
                    <a:stretch>
                      <a:fillRect/>
                    </a:stretch>
                  </pic:blipFill>
                  <pic:spPr>
                    <a:xfrm>
                      <a:off x="0" y="0"/>
                      <a:ext cx="3234616" cy="964710"/>
                    </a:xfrm>
                    <a:prstGeom prst="rect">
                      <a:avLst/>
                    </a:prstGeom>
                  </pic:spPr>
                </pic:pic>
              </a:graphicData>
            </a:graphic>
          </wp:inline>
        </w:drawing>
      </w:r>
    </w:p>
    <w:p w14:paraId="0AC66386" w14:textId="77777777" w:rsidR="00BC5810" w:rsidRPr="00283724" w:rsidRDefault="00BC5810" w:rsidP="00CB2B9A">
      <w:pPr>
        <w:spacing w:after="0" w:line="240" w:lineRule="auto"/>
        <w:contextualSpacing/>
        <w:jc w:val="both"/>
        <w:rPr>
          <w:rFonts w:ascii="Arial" w:eastAsia="Calibri" w:hAnsi="Arial" w:cs="Arial"/>
          <w:lang w:val="es-ES" w:eastAsia="es-ES_tradnl"/>
        </w:rPr>
      </w:pPr>
      <w:r w:rsidRPr="00283724">
        <w:rPr>
          <w:rFonts w:ascii="Arial" w:eastAsia="Calibri" w:hAnsi="Arial" w:cs="Arial"/>
          <w:lang w:val="es-ES" w:eastAsia="es-ES_tradnl"/>
        </w:rPr>
        <w:t>Señor</w:t>
      </w:r>
    </w:p>
    <w:p w14:paraId="77E4CDC3" w14:textId="77777777" w:rsidR="00BC5810" w:rsidRPr="00283724" w:rsidRDefault="00BC5810" w:rsidP="00CB2B9A">
      <w:pPr>
        <w:spacing w:after="0" w:line="240" w:lineRule="auto"/>
        <w:contextualSpacing/>
        <w:rPr>
          <w:rFonts w:ascii="Arial" w:eastAsia="Calibri" w:hAnsi="Arial" w:cs="Arial"/>
          <w:b/>
          <w:bCs/>
          <w:lang w:val="es-ES" w:eastAsia="es-ES_tradnl"/>
        </w:rPr>
      </w:pPr>
      <w:r w:rsidRPr="00283724">
        <w:rPr>
          <w:rFonts w:ascii="Arial" w:eastAsia="Calibri" w:hAnsi="Arial" w:cs="Arial"/>
          <w:b/>
          <w:bCs/>
          <w:lang w:val="es-ES" w:eastAsia="es-ES_tradnl"/>
        </w:rPr>
        <w:t>Miguel Cruz Ramírez</w:t>
      </w:r>
    </w:p>
    <w:p w14:paraId="1FB6B9FD" w14:textId="77777777" w:rsidR="00BC5810" w:rsidRPr="00283724" w:rsidRDefault="00BC5810" w:rsidP="00CB2B9A">
      <w:pPr>
        <w:spacing w:after="0" w:line="240" w:lineRule="auto"/>
        <w:contextualSpacing/>
        <w:rPr>
          <w:rFonts w:ascii="Arial" w:eastAsia="Calibri" w:hAnsi="Arial" w:cs="Arial"/>
          <w:lang w:val="es-ES_tradnl" w:eastAsia="es-ES_tradnl"/>
        </w:rPr>
      </w:pPr>
      <w:r w:rsidRPr="00283724">
        <w:rPr>
          <w:rFonts w:ascii="Arial" w:eastAsia="Calibri" w:hAnsi="Arial" w:cs="Arial"/>
          <w:bCs/>
          <w:lang w:val="es-ES_tradnl" w:eastAsia="es-ES_tradnl"/>
        </w:rPr>
        <w:t xml:space="preserve">Bogotá D.C. </w:t>
      </w:r>
    </w:p>
    <w:p w14:paraId="4009D409" w14:textId="77777777" w:rsidR="00BC5810" w:rsidRPr="00283724" w:rsidRDefault="00BC5810" w:rsidP="00CB2B9A">
      <w:pPr>
        <w:spacing w:after="0" w:line="240" w:lineRule="auto"/>
        <w:contextualSpacing/>
        <w:rPr>
          <w:rFonts w:ascii="Arial" w:eastAsia="Calibri" w:hAnsi="Arial" w:cs="Arial"/>
          <w:lang w:val="es-ES_tradnl" w:eastAsia="es-ES_tradnl"/>
        </w:rPr>
      </w:pPr>
    </w:p>
    <w:p w14:paraId="54182ECA" w14:textId="77777777" w:rsidR="00BC5810" w:rsidRPr="00283724" w:rsidRDefault="00BC5810" w:rsidP="00CB2B9A">
      <w:pPr>
        <w:spacing w:after="0" w:line="240" w:lineRule="auto"/>
        <w:ind w:left="2694"/>
        <w:contextualSpacing/>
        <w:rPr>
          <w:rFonts w:ascii="Arial" w:eastAsia="Calibri" w:hAnsi="Arial" w:cs="Arial"/>
          <w:b/>
          <w:bCs/>
          <w:lang w:val="es-ES" w:eastAsia="es-ES_tradnl"/>
        </w:rPr>
      </w:pPr>
      <w:r w:rsidRPr="00283724">
        <w:rPr>
          <w:rFonts w:ascii="Arial" w:eastAsia="Calibri" w:hAnsi="Arial" w:cs="Arial"/>
          <w:b/>
          <w:bCs/>
          <w:lang w:val="es-ES" w:eastAsia="es-ES_tradnl"/>
        </w:rPr>
        <w:t>Concepto C-354 de 2023</w:t>
      </w:r>
    </w:p>
    <w:p w14:paraId="3EC7ED33" w14:textId="77777777" w:rsidR="00BC5810" w:rsidRPr="00283724" w:rsidRDefault="00BC5810" w:rsidP="00CB2B9A">
      <w:pPr>
        <w:spacing w:after="0" w:line="240" w:lineRule="auto"/>
        <w:contextualSpacing/>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283724" w:rsidRPr="00283724" w14:paraId="2CF08750" w14:textId="77777777" w:rsidTr="00A57D81">
        <w:trPr>
          <w:jc w:val="right"/>
        </w:trPr>
        <w:tc>
          <w:tcPr>
            <w:tcW w:w="1838" w:type="dxa"/>
          </w:tcPr>
          <w:p w14:paraId="16E393FF" w14:textId="77777777" w:rsidR="00BC5810" w:rsidRPr="00283724" w:rsidRDefault="00BC5810" w:rsidP="00CB2B9A">
            <w:pPr>
              <w:contextualSpacing/>
              <w:jc w:val="center"/>
              <w:rPr>
                <w:rFonts w:ascii="Arial" w:eastAsia="Calibri" w:hAnsi="Arial" w:cs="Arial"/>
                <w:lang w:val="es-ES_tradnl" w:eastAsia="es-ES_tradnl"/>
              </w:rPr>
            </w:pPr>
            <w:r w:rsidRPr="00283724">
              <w:rPr>
                <w:rFonts w:ascii="Arial" w:eastAsia="Calibri" w:hAnsi="Arial" w:cs="Arial"/>
                <w:b/>
                <w:lang w:val="es-ES_tradnl" w:eastAsia="es-ES_tradnl"/>
              </w:rPr>
              <w:t>Temas:</w:t>
            </w:r>
          </w:p>
        </w:tc>
        <w:tc>
          <w:tcPr>
            <w:tcW w:w="6237" w:type="dxa"/>
          </w:tcPr>
          <w:p w14:paraId="33B168A4" w14:textId="77777777" w:rsidR="00BC5810" w:rsidRPr="00283724" w:rsidRDefault="00BC5810" w:rsidP="00CB2B9A">
            <w:pPr>
              <w:contextualSpacing/>
              <w:jc w:val="both"/>
              <w:rPr>
                <w:rFonts w:ascii="Arial" w:eastAsia="Calibri" w:hAnsi="Arial" w:cs="Arial"/>
                <w:bCs/>
                <w:lang w:val="es-ES_tradnl" w:eastAsia="es-ES_tradnl"/>
              </w:rPr>
            </w:pPr>
            <w:r w:rsidRPr="00283724">
              <w:rPr>
                <w:rFonts w:ascii="Arial" w:eastAsia="Calibri" w:hAnsi="Arial" w:cs="Arial"/>
                <w:bCs/>
                <w:lang w:val="es-ES_tradnl" w:eastAsia="es-ES_tradnl"/>
              </w:rPr>
              <w:t xml:space="preserve">CONTRATOS O CONVENIOS INTERADMINISTRATIVOS – Definición – Criterio orgánico / CONTRATOS Y CONVENIOS INTERADMINISTRATIVOS – Diferencias – Similitudes / DOCUMENTOS TIPO – Fundamento normativo – Obligatoriedad – Ámbito de aplicación – Entidades sometidas / LEY 2195 DE 2022 – Artículo 56 – Ámbito de aplicación / LEY 2195 DE 2022 – Artículo 56 – Finalidad / LEY 2195 DE 2022 – Artículo 56 – Incisos 1 y 2 – Interpretación conjunta / LEY 2195 DE 2022 – Artículo 56 – Aplicación del estatuto general de contratación de la administración pública / LEY 2195 DE 2022 – Artículo 56 – Parágrafo – Excepciones – Giro ordinario / LEY 2195 DE 2022 – Artículo 56 – Subcontratación – Contratación derivada </w:t>
            </w:r>
          </w:p>
          <w:p w14:paraId="38082E99" w14:textId="77777777" w:rsidR="00BC5810" w:rsidRPr="00283724" w:rsidRDefault="00BC5810" w:rsidP="00CB2B9A">
            <w:pPr>
              <w:contextualSpacing/>
              <w:jc w:val="both"/>
              <w:rPr>
                <w:rFonts w:ascii="Arial" w:eastAsia="Times New Roman" w:hAnsi="Arial" w:cs="Arial"/>
                <w:lang w:val="es-ES_tradnl" w:eastAsia="es-ES_tradnl"/>
              </w:rPr>
            </w:pPr>
          </w:p>
        </w:tc>
      </w:tr>
      <w:tr w:rsidR="00283724" w:rsidRPr="00283724" w14:paraId="3C39697A" w14:textId="77777777" w:rsidTr="00A57D81">
        <w:trPr>
          <w:jc w:val="right"/>
        </w:trPr>
        <w:tc>
          <w:tcPr>
            <w:tcW w:w="1838" w:type="dxa"/>
          </w:tcPr>
          <w:p w14:paraId="2283D8D6" w14:textId="77777777" w:rsidR="00BC5810" w:rsidRPr="00283724" w:rsidRDefault="00BC5810" w:rsidP="00CB2B9A">
            <w:pPr>
              <w:contextualSpacing/>
              <w:jc w:val="center"/>
              <w:rPr>
                <w:rFonts w:ascii="Arial" w:eastAsia="Calibri" w:hAnsi="Arial" w:cs="Arial"/>
                <w:b/>
                <w:lang w:val="es-ES" w:eastAsia="es-ES_tradnl"/>
              </w:rPr>
            </w:pPr>
            <w:r w:rsidRPr="00283724">
              <w:rPr>
                <w:rFonts w:ascii="Arial" w:eastAsia="Calibri" w:hAnsi="Arial" w:cs="Arial"/>
                <w:b/>
                <w:lang w:val="es-ES" w:eastAsia="es-ES_tradnl"/>
              </w:rPr>
              <w:t>Radicación:</w:t>
            </w:r>
          </w:p>
        </w:tc>
        <w:tc>
          <w:tcPr>
            <w:tcW w:w="6237" w:type="dxa"/>
          </w:tcPr>
          <w:p w14:paraId="37225C3D" w14:textId="77777777" w:rsidR="00BC5810" w:rsidRPr="00283724" w:rsidRDefault="00BC5810" w:rsidP="00CB2B9A">
            <w:pPr>
              <w:contextualSpacing/>
              <w:jc w:val="both"/>
              <w:rPr>
                <w:rFonts w:ascii="Arial" w:eastAsia="Times New Roman" w:hAnsi="Arial" w:cs="Arial"/>
                <w:lang w:eastAsia="es-CO"/>
              </w:rPr>
            </w:pPr>
            <w:r w:rsidRPr="00283724">
              <w:rPr>
                <w:rFonts w:ascii="Arial" w:eastAsia="Calibri" w:hAnsi="Arial" w:cs="Arial"/>
                <w:lang w:val="es-ES" w:eastAsia="es-ES_tradnl"/>
              </w:rPr>
              <w:t xml:space="preserve">Respuesta a consulta </w:t>
            </w:r>
            <w:r w:rsidRPr="00283724">
              <w:rPr>
                <w:rFonts w:ascii="Arial" w:eastAsia="Times New Roman" w:hAnsi="Arial" w:cs="Arial"/>
                <w:lang w:eastAsia="es-ES_tradnl"/>
              </w:rPr>
              <w:t>P20230716013332</w:t>
            </w:r>
          </w:p>
        </w:tc>
      </w:tr>
    </w:tbl>
    <w:p w14:paraId="01903495" w14:textId="77777777" w:rsidR="00BC5810" w:rsidRPr="00283724" w:rsidRDefault="00BC5810" w:rsidP="00BC5810">
      <w:pPr>
        <w:spacing w:after="0" w:line="276" w:lineRule="auto"/>
        <w:contextualSpacing/>
        <w:jc w:val="both"/>
        <w:rPr>
          <w:rFonts w:ascii="Arial" w:eastAsia="Calibri" w:hAnsi="Arial" w:cs="Arial"/>
          <w:lang w:val="es-ES_tradnl" w:eastAsia="es-ES_tradnl"/>
        </w:rPr>
      </w:pPr>
    </w:p>
    <w:p w14:paraId="143DE1A4" w14:textId="2714516C" w:rsidR="00BC5810" w:rsidRPr="00283724" w:rsidRDefault="00BC5810" w:rsidP="00BC5810">
      <w:pPr>
        <w:spacing w:after="0" w:line="276" w:lineRule="auto"/>
        <w:jc w:val="both"/>
        <w:rPr>
          <w:rFonts w:ascii="Arial" w:eastAsia="Calibri" w:hAnsi="Arial" w:cs="Arial"/>
          <w:bCs/>
          <w:lang w:val="es-ES_tradnl" w:eastAsia="es-ES_tradnl"/>
        </w:rPr>
      </w:pPr>
      <w:r w:rsidRPr="00283724">
        <w:rPr>
          <w:rFonts w:ascii="Arial" w:eastAsia="Calibri" w:hAnsi="Arial" w:cs="Arial"/>
          <w:lang w:val="es-ES_tradnl" w:eastAsia="es-ES_tradnl"/>
        </w:rPr>
        <w:t xml:space="preserve">Estimado señor </w:t>
      </w:r>
      <w:r w:rsidRPr="00283724">
        <w:rPr>
          <w:rFonts w:ascii="Arial" w:eastAsia="Calibri" w:hAnsi="Arial" w:cs="Arial"/>
          <w:bCs/>
          <w:lang w:val="es-ES_tradnl" w:eastAsia="es-ES_tradnl"/>
        </w:rPr>
        <w:t>Cruz Ram</w:t>
      </w:r>
      <w:r w:rsidR="006A728F" w:rsidRPr="00283724">
        <w:rPr>
          <w:rFonts w:ascii="Arial" w:eastAsia="Calibri" w:hAnsi="Arial" w:cs="Arial"/>
          <w:bCs/>
          <w:lang w:val="es-ES_tradnl" w:eastAsia="es-ES_tradnl"/>
        </w:rPr>
        <w:t>í</w:t>
      </w:r>
      <w:r w:rsidRPr="00283724">
        <w:rPr>
          <w:rFonts w:ascii="Arial" w:eastAsia="Calibri" w:hAnsi="Arial" w:cs="Arial"/>
          <w:bCs/>
          <w:lang w:val="es-ES_tradnl" w:eastAsia="es-ES_tradnl"/>
        </w:rPr>
        <w:t>rez:</w:t>
      </w:r>
    </w:p>
    <w:p w14:paraId="25061C2F" w14:textId="77777777" w:rsidR="00BC5810" w:rsidRPr="00283724" w:rsidRDefault="00BC5810" w:rsidP="00BC5810">
      <w:pPr>
        <w:spacing w:after="0" w:line="276" w:lineRule="auto"/>
        <w:jc w:val="both"/>
        <w:rPr>
          <w:rFonts w:ascii="Arial" w:eastAsia="Calibri" w:hAnsi="Arial" w:cs="Arial"/>
          <w:lang w:val="es-ES_tradnl" w:eastAsia="es-ES_tradnl"/>
        </w:rPr>
      </w:pPr>
    </w:p>
    <w:p w14:paraId="7674009D" w14:textId="77777777" w:rsidR="00BC5810" w:rsidRPr="00283724" w:rsidRDefault="00BC5810" w:rsidP="00BC5810">
      <w:pPr>
        <w:spacing w:after="0" w:line="276" w:lineRule="auto"/>
        <w:jc w:val="both"/>
        <w:rPr>
          <w:rFonts w:ascii="Arial" w:eastAsia="Calibri" w:hAnsi="Arial" w:cs="Arial"/>
          <w:lang w:val="es-ES" w:eastAsia="es-ES_tradnl"/>
        </w:rPr>
      </w:pPr>
      <w:r w:rsidRPr="00283724">
        <w:rPr>
          <w:rFonts w:ascii="Arial" w:eastAsia="Calibri" w:hAnsi="Arial" w:cs="Arial"/>
          <w:lang w:val="es-ES" w:eastAsia="es-ES_tradnl"/>
        </w:rPr>
        <w:t>En ejercicio de la competencia otorgada por el numeral 8° del artículo 11 y el numeral 5° del artículo 3 del Decreto Ley 4170 de 2011</w:t>
      </w:r>
      <w:r w:rsidRPr="00283724">
        <w:rPr>
          <w:rFonts w:ascii="Arial" w:eastAsia="Calibri" w:hAnsi="Arial" w:cs="Arial"/>
          <w:lang w:eastAsia="es-ES_tradnl"/>
        </w:rPr>
        <w:t xml:space="preserve">, </w:t>
      </w:r>
      <w:r w:rsidRPr="00283724">
        <w:rPr>
          <w:rFonts w:ascii="Arial" w:eastAsia="Times New Roman" w:hAnsi="Arial" w:cs="Arial"/>
          <w:lang w:eastAsia="es-ES_tradnl"/>
        </w:rPr>
        <w:t>así como lo establecido en la Resolución 1707 de 2018 expedida por esta Entidad</w:t>
      </w:r>
      <w:r w:rsidRPr="00283724">
        <w:rPr>
          <w:rFonts w:ascii="Arial" w:eastAsia="Calibri" w:hAnsi="Arial" w:cs="Arial"/>
          <w:lang w:val="es-ES" w:eastAsia="es-ES_tradnl"/>
        </w:rPr>
        <w:t>, la Agencia Nacional de Contratación Pública ― Colombia Compra Eficiente responde su consulta del 16 de julio de 2023.</w:t>
      </w:r>
    </w:p>
    <w:p w14:paraId="5B487ECF" w14:textId="77777777" w:rsidR="00BC5810" w:rsidRPr="00283724" w:rsidRDefault="00BC5810" w:rsidP="00BC5810">
      <w:pPr>
        <w:spacing w:after="0" w:line="276" w:lineRule="auto"/>
        <w:jc w:val="both"/>
        <w:rPr>
          <w:rFonts w:ascii="Arial" w:eastAsia="Calibri" w:hAnsi="Arial" w:cs="Arial"/>
          <w:b/>
          <w:lang w:val="es-ES_tradnl" w:eastAsia="es-ES_tradnl"/>
        </w:rPr>
      </w:pPr>
    </w:p>
    <w:p w14:paraId="07359F7F" w14:textId="77777777" w:rsidR="00BC5810" w:rsidRPr="00283724" w:rsidRDefault="00BC5810" w:rsidP="00BC5810">
      <w:pPr>
        <w:numPr>
          <w:ilvl w:val="0"/>
          <w:numId w:val="6"/>
        </w:numPr>
        <w:tabs>
          <w:tab w:val="left" w:pos="0"/>
          <w:tab w:val="left" w:pos="142"/>
          <w:tab w:val="left" w:pos="284"/>
        </w:tabs>
        <w:spacing w:after="0" w:line="276" w:lineRule="auto"/>
        <w:ind w:left="0" w:firstLine="0"/>
        <w:jc w:val="both"/>
        <w:rPr>
          <w:rFonts w:ascii="Arial" w:eastAsia="Calibri" w:hAnsi="Arial" w:cs="Arial"/>
          <w:b/>
          <w:lang w:val="es-ES_tradnl"/>
        </w:rPr>
      </w:pPr>
      <w:r w:rsidRPr="00283724">
        <w:rPr>
          <w:rFonts w:ascii="Arial" w:eastAsia="Calibri" w:hAnsi="Arial" w:cs="Arial"/>
          <w:b/>
          <w:lang w:val="es-ES_tradnl"/>
        </w:rPr>
        <w:t xml:space="preserve">Problema planteado </w:t>
      </w:r>
    </w:p>
    <w:p w14:paraId="2F348BE0" w14:textId="77777777" w:rsidR="00BC5810" w:rsidRPr="00283724" w:rsidRDefault="00BC5810" w:rsidP="00BC5810">
      <w:pPr>
        <w:spacing w:after="0" w:line="276" w:lineRule="auto"/>
        <w:jc w:val="both"/>
        <w:rPr>
          <w:rFonts w:ascii="Arial" w:eastAsia="Times New Roman" w:hAnsi="Arial" w:cs="Arial"/>
          <w:lang w:eastAsia="es-ES_tradnl"/>
        </w:rPr>
      </w:pPr>
    </w:p>
    <w:p w14:paraId="0DE6E7D2" w14:textId="77777777" w:rsidR="00BC5810" w:rsidRPr="00283724" w:rsidRDefault="00BC5810" w:rsidP="00BC5810">
      <w:pPr>
        <w:spacing w:after="0" w:line="276" w:lineRule="auto"/>
        <w:jc w:val="both"/>
        <w:rPr>
          <w:rFonts w:ascii="Arial" w:eastAsia="Times New Roman" w:hAnsi="Arial" w:cs="Arial"/>
          <w:lang w:eastAsia="es-ES_tradnl"/>
        </w:rPr>
      </w:pPr>
      <w:r w:rsidRPr="00283724">
        <w:rPr>
          <w:rFonts w:ascii="Arial" w:eastAsia="Times New Roman" w:hAnsi="Arial" w:cs="Arial"/>
          <w:lang w:eastAsia="es-ES_tradnl"/>
        </w:rPr>
        <w:t xml:space="preserve">Usted formula las siguientes consultas: </w:t>
      </w:r>
    </w:p>
    <w:p w14:paraId="6E5815CA" w14:textId="77777777" w:rsidR="00BC5810" w:rsidRPr="00283724" w:rsidRDefault="00BC5810" w:rsidP="00BC5810">
      <w:pPr>
        <w:spacing w:after="0" w:line="276" w:lineRule="auto"/>
        <w:jc w:val="both"/>
        <w:rPr>
          <w:rFonts w:ascii="Arial" w:eastAsia="Times New Roman" w:hAnsi="Arial" w:cs="Arial"/>
          <w:lang w:val="es-ES_tradnl" w:eastAsia="es-ES_tradnl"/>
        </w:rPr>
      </w:pPr>
    </w:p>
    <w:p w14:paraId="4448D08E" w14:textId="77777777" w:rsidR="00BC5810" w:rsidRPr="00283724" w:rsidRDefault="00BC5810" w:rsidP="00BC5810">
      <w:pPr>
        <w:spacing w:after="0" w:line="240"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t xml:space="preserve">“1. </w:t>
      </w:r>
      <w:bookmarkStart w:id="2" w:name="_Hlk144108224"/>
      <w:r w:rsidRPr="00283724">
        <w:rPr>
          <w:rFonts w:ascii="Arial" w:eastAsia="Times New Roman" w:hAnsi="Arial" w:cs="Arial"/>
          <w:sz w:val="20"/>
          <w:szCs w:val="20"/>
          <w:lang w:eastAsia="es-ES_tradnl"/>
        </w:rPr>
        <w:t>En el caso que se encuentre vigente la aplicación de un pliego tipo, la entidad estatal que se rige por la Ley 80 de 1993, ¿puede celebrar contratos o convenios interadministrativos para satisfacer la necesidad?</w:t>
      </w:r>
    </w:p>
    <w:p w14:paraId="3875C043" w14:textId="77777777" w:rsidR="00BC5810" w:rsidRPr="00283724" w:rsidRDefault="00BC5810" w:rsidP="00BC5810">
      <w:pPr>
        <w:spacing w:after="0" w:line="240" w:lineRule="auto"/>
        <w:ind w:left="709" w:right="709"/>
        <w:jc w:val="both"/>
        <w:rPr>
          <w:rFonts w:ascii="Arial" w:eastAsia="Times New Roman" w:hAnsi="Arial" w:cs="Arial"/>
          <w:sz w:val="20"/>
          <w:szCs w:val="20"/>
          <w:lang w:eastAsia="es-ES_tradnl"/>
        </w:rPr>
      </w:pPr>
    </w:p>
    <w:p w14:paraId="185D9AAA" w14:textId="77777777" w:rsidR="00BC5810" w:rsidRPr="00283724" w:rsidRDefault="00BC5810" w:rsidP="00BC5810">
      <w:pPr>
        <w:spacing w:after="0" w:line="240"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lastRenderedPageBreak/>
        <w:t>2. La entidad estatal que se rige por la Ley 80 de 1993, ¿puede celebrar contratos o convenios interadministrativos cuyo objeto sea obra pública? ¿podría la entidad contratada subcontrartar la obra?” [SIC].</w:t>
      </w:r>
    </w:p>
    <w:bookmarkEnd w:id="2"/>
    <w:p w14:paraId="5A033ACE" w14:textId="77777777" w:rsidR="00BC5810" w:rsidRPr="00283724" w:rsidRDefault="00BC5810" w:rsidP="00BC5810">
      <w:pPr>
        <w:spacing w:after="0" w:line="276" w:lineRule="auto"/>
        <w:jc w:val="both"/>
        <w:rPr>
          <w:rFonts w:ascii="Arial" w:eastAsia="Times New Roman" w:hAnsi="Arial" w:cs="Arial"/>
          <w:szCs w:val="24"/>
          <w:lang w:val="es-ES_tradnl" w:eastAsia="es-ES_tradnl"/>
        </w:rPr>
      </w:pPr>
    </w:p>
    <w:p w14:paraId="48F3E2E0" w14:textId="77777777" w:rsidR="00BC5810" w:rsidRPr="00283724" w:rsidRDefault="00BC5810" w:rsidP="00BC5810">
      <w:pPr>
        <w:numPr>
          <w:ilvl w:val="0"/>
          <w:numId w:val="6"/>
        </w:numPr>
        <w:tabs>
          <w:tab w:val="left" w:pos="0"/>
          <w:tab w:val="left" w:pos="284"/>
        </w:tabs>
        <w:spacing w:after="0" w:line="276" w:lineRule="auto"/>
        <w:ind w:left="0" w:firstLine="0"/>
        <w:jc w:val="both"/>
        <w:rPr>
          <w:rFonts w:ascii="Arial" w:eastAsia="Calibri" w:hAnsi="Arial" w:cs="Arial"/>
          <w:b/>
          <w:lang w:val="es-ES_tradnl"/>
        </w:rPr>
      </w:pPr>
      <w:r w:rsidRPr="00283724">
        <w:rPr>
          <w:rFonts w:ascii="Arial" w:eastAsia="Calibri" w:hAnsi="Arial" w:cs="Arial"/>
          <w:b/>
          <w:lang w:val="es-ES_tradnl"/>
        </w:rPr>
        <w:t>Consideraciones</w:t>
      </w:r>
    </w:p>
    <w:p w14:paraId="4F5396BF" w14:textId="77777777" w:rsidR="00BC5810" w:rsidRPr="00283724" w:rsidRDefault="00BC5810" w:rsidP="00BC5810">
      <w:pPr>
        <w:tabs>
          <w:tab w:val="left" w:pos="0"/>
          <w:tab w:val="left" w:pos="284"/>
        </w:tabs>
        <w:spacing w:after="0" w:line="276" w:lineRule="auto"/>
        <w:jc w:val="both"/>
        <w:rPr>
          <w:rFonts w:ascii="Arial" w:eastAsia="Calibri" w:hAnsi="Arial" w:cs="Arial"/>
          <w:b/>
          <w:lang w:val="es-ES_tradnl"/>
        </w:rPr>
      </w:pPr>
    </w:p>
    <w:p w14:paraId="54CB0264" w14:textId="77777777" w:rsidR="00BC5810" w:rsidRPr="00283724" w:rsidRDefault="00BC5810" w:rsidP="00BC5810">
      <w:pPr>
        <w:spacing w:after="120" w:line="276" w:lineRule="auto"/>
        <w:jc w:val="both"/>
        <w:rPr>
          <w:rFonts w:ascii="Arial" w:eastAsia="Times New Roman" w:hAnsi="Arial" w:cs="Arial"/>
          <w:lang w:val="es-ES" w:eastAsia="es-ES_tradnl"/>
        </w:rPr>
      </w:pPr>
      <w:r w:rsidRPr="00283724">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283724">
        <w:rPr>
          <w:rFonts w:ascii="Arial" w:eastAsia="Times New Roman" w:hAnsi="Arial" w:cs="Arial"/>
          <w:shd w:val="clear" w:color="auto" w:fill="E6E6E6"/>
          <w:lang w:eastAsia="es-ES_tradnl"/>
        </w:rPr>
        <w:t xml:space="preserve"> </w:t>
      </w:r>
      <w:r w:rsidRPr="00283724">
        <w:rPr>
          <w:rFonts w:ascii="Arial" w:eastAsia="Times New Roman" w:hAnsi="Arial" w:cs="Arial"/>
          <w:lang w:val="es-ES" w:eastAsia="es-ES_tradnl"/>
        </w:rPr>
        <w:t xml:space="preserve">Es necesario tener en cuenta que </w:t>
      </w:r>
      <w:bookmarkStart w:id="5" w:name="_Hlk61026958"/>
      <w:r w:rsidRPr="00283724">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283724">
        <w:rPr>
          <w:rFonts w:ascii="Arial" w:eastAsia="Times New Roman" w:hAnsi="Arial" w:cs="Arial"/>
          <w:lang w:eastAsia="es-ES_tradnl"/>
        </w:rPr>
        <w:t xml:space="preserve"> de todos los partícipes de la contratación estatal.</w:t>
      </w:r>
    </w:p>
    <w:p w14:paraId="0B278A7A" w14:textId="77777777" w:rsidR="00BC5810" w:rsidRPr="00283724" w:rsidRDefault="00BC5810" w:rsidP="00BC5810">
      <w:pPr>
        <w:spacing w:after="120" w:line="276" w:lineRule="auto"/>
        <w:ind w:firstLine="708"/>
        <w:jc w:val="both"/>
        <w:rPr>
          <w:rFonts w:ascii="Arial" w:eastAsia="Times New Roman" w:hAnsi="Arial" w:cs="Arial"/>
          <w:lang w:val="es-ES" w:eastAsia="es-ES_tradnl"/>
        </w:rPr>
      </w:pPr>
      <w:r w:rsidRPr="00283724">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83724">
        <w:rPr>
          <w:rFonts w:ascii="Arial" w:eastAsia="Times New Roman" w:hAnsi="Arial" w:cs="Arial"/>
          <w:vertAlign w:val="superscript"/>
          <w:lang w:val="es-ES" w:eastAsia="es-ES_tradnl"/>
        </w:rPr>
        <w:footnoteReference w:id="2"/>
      </w:r>
      <w:r w:rsidRPr="00283724">
        <w:rPr>
          <w:rFonts w:ascii="Arial" w:eastAsia="Times New Roman" w:hAnsi="Arial" w:cs="Arial"/>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283724">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06F81D20" w14:textId="3868FAD1" w:rsidR="00BC5810" w:rsidRPr="00283724" w:rsidRDefault="00BC5810" w:rsidP="00BC5810">
      <w:pPr>
        <w:tabs>
          <w:tab w:val="left" w:pos="426"/>
        </w:tabs>
        <w:spacing w:after="120" w:line="276" w:lineRule="auto"/>
        <w:jc w:val="both"/>
        <w:rPr>
          <w:rFonts w:ascii="Arial" w:eastAsia="Times New Roman" w:hAnsi="Arial" w:cs="Arial"/>
          <w:bCs/>
          <w:lang w:val="es-ES" w:eastAsia="es-ES_tradnl"/>
        </w:rPr>
      </w:pPr>
      <w:r w:rsidRPr="00283724">
        <w:rPr>
          <w:rFonts w:ascii="Arial" w:eastAsia="Times New Roman" w:hAnsi="Arial" w:cs="Arial"/>
          <w:lang w:eastAsia="es-ES_tradnl"/>
        </w:rPr>
        <w:tab/>
      </w:r>
      <w:r w:rsidRPr="00283724">
        <w:rPr>
          <w:rFonts w:ascii="Arial" w:eastAsia="Times New Roman" w:hAnsi="Arial" w:cs="Arial"/>
          <w:lang w:eastAsia="es-ES_tradnl"/>
        </w:rPr>
        <w:tab/>
        <w:t xml:space="preserve">Conforme lo anterior, la Subdirección –dentro de los límites de sus atribuciones– resolverá la consulta conforme a las normas generales en materia de contratación estatal. Con este objetivo se analizarán </w:t>
      </w:r>
      <w:r w:rsidRPr="00283724">
        <w:rPr>
          <w:rFonts w:ascii="Arial" w:eastAsia="Calibri" w:hAnsi="Arial" w:cs="Arial"/>
          <w:lang w:val="es-ES" w:eastAsia="es-ES_tradnl"/>
        </w:rPr>
        <w:t>los siguientes temas</w:t>
      </w:r>
      <w:r w:rsidRPr="00283724">
        <w:rPr>
          <w:rFonts w:ascii="Arial" w:eastAsia="Times New Roman" w:hAnsi="Arial" w:cs="Arial"/>
          <w:lang w:val="es-ES" w:eastAsia="es-ES_tradnl"/>
        </w:rPr>
        <w:t xml:space="preserve">: </w:t>
      </w:r>
      <w:r w:rsidRPr="00283724">
        <w:rPr>
          <w:rFonts w:ascii="Arial" w:eastAsia="Calibri" w:hAnsi="Arial" w:cs="Arial"/>
          <w:lang w:val="es-ES_tradnl" w:eastAsia="es-ES_tradnl"/>
        </w:rPr>
        <w:t xml:space="preserve">i) régimen de los contratos o convenios interadministrativos en el ordenamiento jurídico colombiano; ii) fundamento normativo y ámbito de aplicación de los Documentos Tipo; iii) </w:t>
      </w:r>
      <w:r w:rsidR="00CB2B9A" w:rsidRPr="00283724">
        <w:rPr>
          <w:rFonts w:ascii="Arial" w:eastAsia="Calibri" w:hAnsi="Arial" w:cs="Arial"/>
          <w:lang w:val="es-ES"/>
        </w:rPr>
        <w:t xml:space="preserve">obligatoriedad de los Documentos Tipo en los Procesos Contractuales adelantados por las entidades sometidas </w:t>
      </w:r>
      <w:r w:rsidR="00CB2B9A" w:rsidRPr="00283724">
        <w:rPr>
          <w:rFonts w:ascii="Arial" w:eastAsia="Calibri" w:hAnsi="Arial" w:cs="Arial"/>
          <w:lang w:val="es-ES"/>
        </w:rPr>
        <w:lastRenderedPageBreak/>
        <w:t xml:space="preserve">al EGCAP; iv) </w:t>
      </w:r>
      <w:r w:rsidRPr="00283724">
        <w:rPr>
          <w:rFonts w:ascii="Arial" w:eastAsia="Calibri" w:hAnsi="Arial" w:cs="Arial"/>
          <w:lang w:val="es-ES_tradnl" w:eastAsia="es-ES_tradnl"/>
        </w:rPr>
        <w:t>alcance del artículo 56 de la Ley 2195 de 2022 frente a la implementación obligatoria del Estatuto General de Contratación de la Administración Pública y de los Documentos Tipo en la celebración de convenios o contratos interadministrativos o de cualquier otra índole con Entidades Estatales exceptuadas y particulares; v) aplicación prevalente del Estatuto General de Contratación de la Administración Pública en los contratos o convenios celebrados con entidades exceptuadas. Aparente tensión con el literal c) del artículo 2, numeral 4, de la Ley 1150 de 2007; v</w:t>
      </w:r>
      <w:r w:rsidR="00CB2B9A" w:rsidRPr="00283724">
        <w:rPr>
          <w:rFonts w:ascii="Arial" w:eastAsia="Calibri" w:hAnsi="Arial" w:cs="Arial"/>
          <w:lang w:val="es-ES_tradnl" w:eastAsia="es-ES_tradnl"/>
        </w:rPr>
        <w:t>i</w:t>
      </w:r>
      <w:r w:rsidRPr="00283724">
        <w:rPr>
          <w:rFonts w:ascii="Arial" w:eastAsia="Calibri" w:hAnsi="Arial" w:cs="Arial"/>
          <w:lang w:val="es-ES_tradnl" w:eastAsia="es-ES_tradnl"/>
        </w:rPr>
        <w:t>)</w:t>
      </w:r>
      <w:r w:rsidRPr="00283724">
        <w:rPr>
          <w:rFonts w:ascii="Arial" w:eastAsia="Times New Roman" w:hAnsi="Arial" w:cs="Arial"/>
          <w:lang w:eastAsia="es-ES_tradnl"/>
        </w:rPr>
        <w:t xml:space="preserve"> </w:t>
      </w:r>
      <w:r w:rsidRPr="00283724">
        <w:rPr>
          <w:rFonts w:ascii="Arial" w:eastAsia="Calibri" w:hAnsi="Arial" w:cs="Arial"/>
          <w:lang w:val="es-ES_tradnl" w:eastAsia="es-ES_tradnl"/>
        </w:rPr>
        <w:t xml:space="preserve">excepciones a la aplicación del artículo 56 de la Ley 2195 de 2022: alcance de la expresión </w:t>
      </w:r>
      <w:r w:rsidRPr="00283724">
        <w:rPr>
          <w:rFonts w:ascii="Arial" w:eastAsia="Calibri" w:hAnsi="Arial" w:cs="Arial"/>
          <w:i/>
          <w:iCs/>
          <w:lang w:val="es-ES_tradnl" w:eastAsia="es-ES_tradnl"/>
        </w:rPr>
        <w:t xml:space="preserve">“giro ordinario” </w:t>
      </w:r>
      <w:r w:rsidRPr="00283724">
        <w:rPr>
          <w:rFonts w:ascii="Arial" w:eastAsia="Calibri" w:hAnsi="Arial" w:cs="Arial"/>
          <w:lang w:val="es-ES_tradnl" w:eastAsia="es-ES_tradnl"/>
        </w:rPr>
        <w:t>contenida en el parágrafo de la norma; v</w:t>
      </w:r>
      <w:r w:rsidR="00CB2B9A" w:rsidRPr="00283724">
        <w:rPr>
          <w:rFonts w:ascii="Arial" w:eastAsia="Calibri" w:hAnsi="Arial" w:cs="Arial"/>
          <w:lang w:val="es-ES_tradnl" w:eastAsia="es-ES_tradnl"/>
        </w:rPr>
        <w:t>i</w:t>
      </w:r>
      <w:r w:rsidRPr="00283724">
        <w:rPr>
          <w:rFonts w:ascii="Arial" w:eastAsia="Calibri" w:hAnsi="Arial" w:cs="Arial"/>
          <w:lang w:val="es-ES_tradnl" w:eastAsia="es-ES_tradnl"/>
        </w:rPr>
        <w:t xml:space="preserve">i) efectos respecto de la subcontratación realizada por Entidades Estatales exceptuadas, patrimonios autónomos, personas naturales o jurídicas que sean contratistas del Estado. </w:t>
      </w:r>
    </w:p>
    <w:p w14:paraId="77820DF1" w14:textId="38995022" w:rsidR="00BC5810" w:rsidRPr="00283724" w:rsidRDefault="00BC5810" w:rsidP="00BC5810">
      <w:pPr>
        <w:spacing w:after="0" w:line="276" w:lineRule="auto"/>
        <w:ind w:firstLine="709"/>
        <w:jc w:val="both"/>
        <w:rPr>
          <w:rFonts w:ascii="Arial" w:eastAsia="Calibri" w:hAnsi="Arial" w:cs="Arial"/>
          <w:lang w:val="es-ES" w:eastAsia="es-ES_tradnl"/>
        </w:rPr>
      </w:pPr>
      <w:r w:rsidRPr="00283724">
        <w:rPr>
          <w:rFonts w:ascii="Arial" w:eastAsia="Calibri" w:hAnsi="Arial" w:cs="Arial"/>
          <w:lang w:val="es-ES" w:eastAsia="es-ES_tradnl"/>
        </w:rPr>
        <w:t xml:space="preserve">La Agencia Nacional de Contratación Pública – Colombia Compra Eficiente, en los </w:t>
      </w:r>
      <w:r w:rsidR="00F00C28" w:rsidRPr="00283724">
        <w:rPr>
          <w:rFonts w:ascii="Arial" w:eastAsia="Calibri" w:hAnsi="Arial" w:cs="Arial"/>
          <w:lang w:val="es-ES" w:eastAsia="es-ES_tradnl"/>
        </w:rPr>
        <w:t>c</w:t>
      </w:r>
      <w:r w:rsidRPr="00283724">
        <w:rPr>
          <w:rFonts w:ascii="Arial" w:eastAsia="Calibri" w:hAnsi="Arial" w:cs="Arial"/>
          <w:lang w:val="es-ES" w:eastAsia="es-ES_tradnl"/>
        </w:rPr>
        <w:t xml:space="preserve">onceptos </w:t>
      </w:r>
      <w:r w:rsidRPr="00283724">
        <w:rPr>
          <w:rFonts w:ascii="Arial" w:eastAsia="Calibri" w:hAnsi="Arial" w:cs="Arial"/>
          <w:lang w:eastAsia="en-GB"/>
        </w:rPr>
        <w:t xml:space="preserve">C-168 del 14 de abril de 2021, </w:t>
      </w:r>
      <w:r w:rsidRPr="00283724">
        <w:rPr>
          <w:rFonts w:ascii="Arial" w:eastAsia="Calibri" w:hAnsi="Arial" w:cs="Arial"/>
          <w:lang w:val="es-ES" w:eastAsia="es-ES_tradnl"/>
        </w:rPr>
        <w:t xml:space="preserve">C-585 de 15 de octubre de 2021, C-639 del 14 de marzo de 2021, </w:t>
      </w:r>
      <w:r w:rsidRPr="00283724">
        <w:rPr>
          <w:rFonts w:ascii="Arial" w:eastAsia="Calibri" w:hAnsi="Arial" w:cs="Arial"/>
          <w:lang w:eastAsia="en-GB"/>
        </w:rPr>
        <w:t xml:space="preserve">C-664 del 1° de septiembre de 2022, </w:t>
      </w:r>
      <w:r w:rsidRPr="00283724">
        <w:rPr>
          <w:rFonts w:ascii="Arial" w:eastAsia="Calibri" w:hAnsi="Arial" w:cs="Arial"/>
          <w:lang w:val="es-ES" w:eastAsia="es-ES_tradnl"/>
        </w:rPr>
        <w:t>C-771 del 29 de diciembre de 2022, analizó el régimen de los contratos o convenios interadministrativos. Asimismo,</w:t>
      </w:r>
      <w:r w:rsidRPr="00283724">
        <w:rPr>
          <w:rFonts w:ascii="Arial" w:eastAsia="Times New Roman" w:hAnsi="Arial" w:cs="Arial"/>
          <w:lang w:val="es-ES_tradnl" w:eastAsia="es-ES_tradnl"/>
        </w:rPr>
        <w:t xml:space="preserve"> se ha pronunciado sobre </w:t>
      </w:r>
      <w:r w:rsidRPr="00283724">
        <w:rPr>
          <w:rFonts w:ascii="Arial" w:eastAsia="Times New Roman" w:hAnsi="Arial" w:cs="Arial"/>
          <w:lang w:eastAsia="es-ES_tradnl"/>
        </w:rPr>
        <w:t xml:space="preserve">el alcance del artículo 56 de la Ley 2195 de 2022, específicamente, a partir del </w:t>
      </w:r>
      <w:r w:rsidR="006447BF" w:rsidRPr="00283724">
        <w:rPr>
          <w:rFonts w:ascii="Arial" w:eastAsia="Times New Roman" w:hAnsi="Arial" w:cs="Arial"/>
          <w:lang w:eastAsia="es-ES_tradnl"/>
        </w:rPr>
        <w:t>c</w:t>
      </w:r>
      <w:r w:rsidRPr="00283724">
        <w:rPr>
          <w:rFonts w:ascii="Arial" w:eastAsia="Times New Roman" w:hAnsi="Arial" w:cs="Arial"/>
          <w:lang w:eastAsia="es-ES_tradnl"/>
        </w:rPr>
        <w:t xml:space="preserve">oncepto C-066 del 28 de enero de 2022, cuya tesis se desarrolló y complementó los </w:t>
      </w:r>
      <w:r w:rsidR="006447BF" w:rsidRPr="00283724">
        <w:rPr>
          <w:rFonts w:ascii="Arial" w:eastAsia="Times New Roman" w:hAnsi="Arial" w:cs="Arial"/>
          <w:lang w:eastAsia="es-ES_tradnl"/>
        </w:rPr>
        <w:t>c</w:t>
      </w:r>
      <w:r w:rsidRPr="00283724">
        <w:rPr>
          <w:rFonts w:ascii="Arial" w:eastAsia="Times New Roman" w:hAnsi="Arial" w:cs="Arial"/>
          <w:lang w:eastAsia="es-ES_tradnl"/>
        </w:rPr>
        <w:t xml:space="preserve">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C-532 del 22 de agosto de 2022, C-341 del 27 de mayo de 2022, C-382 del 27 de mayo de 2022, C-449 del 25 de julio de 2022, C-453 del 14 de julio de 2022,  C-488 del 29 de julio de 2022, C-494 del 28 de julio de 2022 y C-501 del del 29 de julio de 2022. El mismo tema ha sido estudiado por esta Subdirección en los </w:t>
      </w:r>
      <w:r w:rsidR="006447BF" w:rsidRPr="00283724">
        <w:rPr>
          <w:rFonts w:ascii="Arial" w:eastAsia="Times New Roman" w:hAnsi="Arial" w:cs="Arial"/>
          <w:lang w:eastAsia="es-ES_tradnl"/>
        </w:rPr>
        <w:t>c</w:t>
      </w:r>
      <w:r w:rsidRPr="00283724">
        <w:rPr>
          <w:rFonts w:ascii="Arial" w:eastAsia="Times New Roman" w:hAnsi="Arial" w:cs="Arial"/>
          <w:lang w:eastAsia="es-ES_tradnl"/>
        </w:rPr>
        <w:t>onceptos C-486 del 2 de septiembre de 2022, C-671 del 19 de octubre de 2022, C-576 del 25 de octubre de 2022, C-042 del 29 de marzo de 2023 y C-056 del 26 de abril de 2023</w:t>
      </w:r>
      <w:r w:rsidRPr="00283724">
        <w:rPr>
          <w:rFonts w:ascii="Arial" w:eastAsia="Calibri" w:hAnsi="Arial" w:cs="Arial"/>
          <w:vertAlign w:val="superscript"/>
          <w:lang w:val="es-ES" w:eastAsia="es-ES_tradnl"/>
        </w:rPr>
        <w:footnoteReference w:id="3"/>
      </w:r>
      <w:r w:rsidRPr="00283724">
        <w:rPr>
          <w:rFonts w:ascii="Arial" w:eastAsia="Calibri" w:hAnsi="Arial" w:cs="Arial"/>
          <w:lang w:val="es-ES" w:eastAsia="es-ES_tradnl"/>
        </w:rPr>
        <w:t xml:space="preserve">. Las tesis expuestas en estos conceptos se reiteran a continuación y se complementan en lo pertinente, teniendo en cuenta los interrogantes planteados. </w:t>
      </w:r>
    </w:p>
    <w:p w14:paraId="535DD507" w14:textId="77777777" w:rsidR="00BC5810" w:rsidRPr="00283724" w:rsidRDefault="00BC5810" w:rsidP="00BC5810">
      <w:pPr>
        <w:spacing w:after="0" w:line="276" w:lineRule="auto"/>
        <w:ind w:firstLine="709"/>
        <w:jc w:val="both"/>
        <w:rPr>
          <w:rFonts w:ascii="Arial" w:eastAsia="Times New Roman" w:hAnsi="Arial" w:cs="Arial"/>
          <w:lang w:val="es-ES" w:eastAsia="es-ES_tradnl"/>
        </w:rPr>
      </w:pPr>
      <w:bookmarkStart w:id="6" w:name="_Hlk117695077"/>
    </w:p>
    <w:p w14:paraId="51C25EC2" w14:textId="77777777" w:rsidR="00BC5810" w:rsidRPr="00283724" w:rsidRDefault="00BC5810" w:rsidP="00BC5810">
      <w:pPr>
        <w:spacing w:after="0" w:line="276" w:lineRule="auto"/>
        <w:jc w:val="both"/>
        <w:rPr>
          <w:rFonts w:ascii="Arial" w:eastAsia="Arial" w:hAnsi="Arial" w:cs="Arial"/>
          <w:b/>
          <w:bCs/>
          <w:lang w:val="es-ES_tradnl" w:eastAsia="es-ES_tradnl"/>
        </w:rPr>
      </w:pPr>
      <w:r w:rsidRPr="00283724">
        <w:rPr>
          <w:rFonts w:ascii="Arial" w:eastAsia="Arial" w:hAnsi="Arial" w:cs="Arial"/>
          <w:b/>
          <w:bCs/>
          <w:lang w:val="es-ES_tradnl" w:eastAsia="es-ES_tradnl"/>
        </w:rPr>
        <w:t xml:space="preserve">2.1. Marco normativo de los contratos o convenios interadministrativos </w:t>
      </w:r>
    </w:p>
    <w:p w14:paraId="28BA23ED" w14:textId="77777777" w:rsidR="00BC5810" w:rsidRPr="00283724" w:rsidRDefault="00BC5810" w:rsidP="00BC5810">
      <w:pPr>
        <w:spacing w:after="0" w:line="276" w:lineRule="auto"/>
        <w:jc w:val="both"/>
        <w:rPr>
          <w:rFonts w:ascii="Arial" w:eastAsia="Arial" w:hAnsi="Arial" w:cs="Arial"/>
          <w:b/>
          <w:bCs/>
          <w:lang w:val="es-ES_tradnl" w:eastAsia="es-ES_tradnl"/>
        </w:rPr>
      </w:pPr>
    </w:p>
    <w:p w14:paraId="080100B6" w14:textId="77777777" w:rsidR="00BC5810" w:rsidRPr="00283724" w:rsidRDefault="00BC5810" w:rsidP="00BC5810">
      <w:pPr>
        <w:spacing w:after="120" w:line="276" w:lineRule="auto"/>
        <w:jc w:val="both"/>
        <w:rPr>
          <w:rFonts w:ascii="Arial" w:eastAsiaTheme="minorEastAsia" w:hAnsi="Arial" w:cs="Arial"/>
          <w:lang w:eastAsia="es-CO"/>
        </w:rPr>
      </w:pPr>
      <w:bookmarkStart w:id="7" w:name="_Hlk78820161"/>
      <w:r w:rsidRPr="00283724">
        <w:rPr>
          <w:rFonts w:ascii="Arial" w:eastAsiaTheme="minorEastAsia" w:hAnsi="Arial" w:cs="Arial"/>
          <w:lang w:eastAsia="es-CO"/>
        </w:rPr>
        <w:lastRenderedPageBreak/>
        <w:t>La tipología del contrato o convenio interadministrativo fue creada en la Ley 80 de 1993, y el Decreto 1082 de 2015 la califica como aquella contratación entre Entidades Estatales</w:t>
      </w:r>
      <w:r w:rsidRPr="00283724">
        <w:rPr>
          <w:rFonts w:ascii="Arial" w:eastAsiaTheme="minorEastAsia" w:hAnsi="Arial" w:cs="Arial"/>
          <w:vertAlign w:val="superscript"/>
          <w:lang w:eastAsia="es-CO"/>
        </w:rPr>
        <w:footnoteReference w:id="4"/>
      </w:r>
      <w:r w:rsidRPr="00283724">
        <w:rPr>
          <w:rFonts w:ascii="Arial" w:eastAsiaTheme="minorEastAsia" w:hAnsi="Arial" w:cs="Arial"/>
          <w:lang w:eastAsia="es-CO"/>
        </w:rPr>
        <w:t>. De acuerdo con lo anterior</w:t>
      </w:r>
      <w:bookmarkStart w:id="9" w:name="_Hlk144078675"/>
      <w:r w:rsidRPr="00283724">
        <w:rPr>
          <w:rFonts w:ascii="Arial" w:eastAsiaTheme="minorEastAsia" w:hAnsi="Arial" w:cs="Arial"/>
          <w:lang w:eastAsia="es-CO"/>
        </w:rPr>
        <w:t xml:space="preserve">, el contrato o el convenio interadministrativo es el acuerdo donde concurre la voluntad de dos o más personas jurídicas de derecho </w:t>
      </w:r>
      <w:bookmarkStart w:id="10" w:name="_Hlk144108542"/>
      <w:r w:rsidRPr="00283724">
        <w:rPr>
          <w:rFonts w:ascii="Arial" w:eastAsiaTheme="minorEastAsia" w:hAnsi="Arial" w:cs="Arial"/>
          <w:lang w:eastAsia="es-CO"/>
        </w:rPr>
        <w:t xml:space="preserve">público con la finalidad de cumplir, en el marco de sus objetivos misionales y sus competencias, con los fines del Estado. </w:t>
      </w:r>
      <w:bookmarkEnd w:id="10"/>
      <w:r w:rsidRPr="00283724">
        <w:rPr>
          <w:rFonts w:ascii="Arial" w:eastAsiaTheme="minorEastAsia" w:hAnsi="Arial" w:cs="Arial"/>
          <w:lang w:eastAsia="es-CO"/>
        </w:rPr>
        <w:t>Es decir, los contratos o convenios interadministrativos están determinados por un criterio orgánico, pues es necesario que los extremos de la relación contractual sean Entidades</w:t>
      </w:r>
      <w:r w:rsidRPr="00283724">
        <w:rPr>
          <w:rFonts w:ascii="Arial" w:eastAsiaTheme="minorEastAsia" w:hAnsi="Arial" w:cs="Arial"/>
          <w:spacing w:val="-6"/>
          <w:lang w:eastAsia="es-CO"/>
        </w:rPr>
        <w:t xml:space="preserve"> </w:t>
      </w:r>
      <w:r w:rsidRPr="00283724">
        <w:rPr>
          <w:rFonts w:ascii="Arial" w:eastAsiaTheme="minorEastAsia" w:hAnsi="Arial" w:cs="Arial"/>
          <w:lang w:eastAsia="es-CO"/>
        </w:rPr>
        <w:t>Estatales.</w:t>
      </w:r>
    </w:p>
    <w:p w14:paraId="2984EFC7" w14:textId="77777777" w:rsidR="00BC5810" w:rsidRPr="00283724" w:rsidRDefault="00BC5810" w:rsidP="00BC5810">
      <w:pPr>
        <w:spacing w:after="120" w:line="276" w:lineRule="auto"/>
        <w:ind w:firstLine="707"/>
        <w:jc w:val="both"/>
        <w:rPr>
          <w:rFonts w:ascii="Arial" w:eastAsiaTheme="minorEastAsia" w:hAnsi="Arial" w:cs="Arial"/>
          <w:lang w:eastAsia="es-CO"/>
        </w:rPr>
      </w:pPr>
      <w:bookmarkStart w:id="11" w:name="_Hlk78820654"/>
      <w:bookmarkEnd w:id="7"/>
      <w:bookmarkEnd w:id="9"/>
      <w:r w:rsidRPr="00283724">
        <w:rPr>
          <w:rFonts w:ascii="Arial" w:eastAsiaTheme="minorEastAsia" w:hAnsi="Arial" w:cs="Arial"/>
          <w:lang w:eastAsia="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1"/>
    <w:p w14:paraId="6BEF7ED4" w14:textId="77777777" w:rsidR="00BC5810" w:rsidRPr="00283724" w:rsidRDefault="00BC5810" w:rsidP="00BC5810">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283724">
        <w:rPr>
          <w:rFonts w:ascii="Arial" w:eastAsiaTheme="minorEastAsia" w:hAnsi="Arial" w:cs="Arial"/>
          <w:vertAlign w:val="superscript"/>
          <w:lang w:eastAsia="es-CO"/>
        </w:rPr>
        <w:footnoteReference w:id="5"/>
      </w:r>
      <w:r w:rsidRPr="00283724">
        <w:rPr>
          <w:rFonts w:ascii="Arial" w:eastAsiaTheme="minorEastAsia" w:hAnsi="Arial" w:cs="Arial"/>
          <w:lang w:eastAsia="es-CO"/>
        </w:rPr>
        <w:t>. Nótese que, en este caso, lo que cambia es la modalidad de selección y no la naturaleza de contrato</w:t>
      </w:r>
      <w:r w:rsidRPr="00283724">
        <w:rPr>
          <w:rFonts w:ascii="Arial" w:eastAsiaTheme="minorEastAsia" w:hAnsi="Arial" w:cs="Arial"/>
          <w:spacing w:val="-18"/>
          <w:lang w:eastAsia="es-CO"/>
        </w:rPr>
        <w:t xml:space="preserve"> </w:t>
      </w:r>
      <w:r w:rsidRPr="00283724">
        <w:rPr>
          <w:rFonts w:ascii="Arial" w:eastAsiaTheme="minorEastAsia" w:hAnsi="Arial" w:cs="Arial"/>
          <w:lang w:eastAsia="es-CO"/>
        </w:rPr>
        <w:t>interadministrativo.</w:t>
      </w:r>
    </w:p>
    <w:p w14:paraId="5DE18D8A" w14:textId="77777777" w:rsidR="00BC5810" w:rsidRPr="00283724" w:rsidRDefault="00BC5810" w:rsidP="00BC5810">
      <w:pPr>
        <w:spacing w:after="0" w:line="276" w:lineRule="auto"/>
        <w:ind w:firstLine="709"/>
        <w:jc w:val="both"/>
        <w:rPr>
          <w:rFonts w:ascii="Arial" w:eastAsiaTheme="minorEastAsia" w:hAnsi="Arial" w:cs="Arial"/>
          <w:lang w:eastAsia="es-CO"/>
        </w:rPr>
      </w:pPr>
      <w:r w:rsidRPr="00283724">
        <w:rPr>
          <w:rFonts w:ascii="Arial" w:eastAsiaTheme="minorEastAsia" w:hAnsi="Arial"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283724">
        <w:rPr>
          <w:rFonts w:ascii="Arial" w:eastAsiaTheme="minorEastAsia" w:hAnsi="Arial" w:cs="Arial"/>
          <w:spacing w:val="-13"/>
          <w:lang w:eastAsia="es-CO"/>
        </w:rPr>
        <w:t xml:space="preserve"> </w:t>
      </w:r>
      <w:r w:rsidRPr="00283724">
        <w:rPr>
          <w:rFonts w:ascii="Arial" w:eastAsiaTheme="minorEastAsia" w:hAnsi="Arial" w:cs="Arial"/>
          <w:lang w:eastAsia="es-CO"/>
        </w:rPr>
        <w:t>que:</w:t>
      </w:r>
    </w:p>
    <w:p w14:paraId="30FFD128" w14:textId="77777777" w:rsidR="00BC5810" w:rsidRPr="00283724" w:rsidRDefault="00BC5810" w:rsidP="00BC5810">
      <w:pPr>
        <w:spacing w:after="0" w:line="276" w:lineRule="auto"/>
        <w:ind w:firstLine="709"/>
        <w:jc w:val="both"/>
        <w:rPr>
          <w:rFonts w:ascii="Arial" w:eastAsiaTheme="minorEastAsia" w:hAnsi="Arial" w:cs="Arial"/>
          <w:lang w:eastAsia="es-CO"/>
        </w:rPr>
      </w:pPr>
    </w:p>
    <w:p w14:paraId="6107C631" w14:textId="77777777" w:rsidR="00BC5810" w:rsidRPr="00283724" w:rsidRDefault="00BC5810" w:rsidP="00BC5810">
      <w:pPr>
        <w:spacing w:after="0" w:line="240"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t xml:space="preserve">“[…] se puede señalar que los convenios o contratos interadministrativos tienen como características principales las siguientes: (i) constituyen verdaderos contratos en los términos del Código de Comercio cuando su objeto lo constituyen obligaciones patrimoniales; (ii) </w:t>
      </w:r>
      <w:bookmarkStart w:id="12" w:name="_Hlk144078695"/>
      <w:r w:rsidRPr="00283724">
        <w:rPr>
          <w:rFonts w:ascii="Arial" w:eastAsia="Times New Roman" w:hAnsi="Arial" w:cs="Arial"/>
          <w:sz w:val="20"/>
          <w:szCs w:val="20"/>
          <w:lang w:eastAsia="es-ES_tradnl"/>
        </w:rPr>
        <w:t>tienen como fuente la autonomía contractual</w:t>
      </w:r>
      <w:bookmarkEnd w:id="12"/>
      <w:r w:rsidRPr="00283724">
        <w:rPr>
          <w:rFonts w:ascii="Arial" w:eastAsia="Times New Roman" w:hAnsi="Arial" w:cs="Arial"/>
          <w:sz w:val="20"/>
          <w:szCs w:val="20"/>
          <w:lang w:eastAsia="es-ES_tradnl"/>
        </w:rPr>
        <w:t>;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283724">
        <w:rPr>
          <w:rFonts w:ascii="Arial" w:eastAsia="Times New Roman" w:hAnsi="Arial" w:cs="Arial"/>
          <w:sz w:val="20"/>
          <w:szCs w:val="20"/>
          <w:vertAlign w:val="superscript"/>
          <w:lang w:eastAsia="es-ES_tradnl"/>
        </w:rPr>
        <w:footnoteReference w:id="6"/>
      </w:r>
      <w:r w:rsidRPr="00283724">
        <w:rPr>
          <w:rFonts w:ascii="Arial" w:eastAsia="Times New Roman" w:hAnsi="Arial" w:cs="Arial"/>
          <w:sz w:val="20"/>
          <w:szCs w:val="20"/>
          <w:lang w:eastAsia="es-ES_tradnl"/>
        </w:rPr>
        <w:t>.</w:t>
      </w:r>
    </w:p>
    <w:p w14:paraId="024B3DC4" w14:textId="77777777" w:rsidR="00BC5810" w:rsidRPr="00283724" w:rsidRDefault="00BC5810" w:rsidP="00BC5810">
      <w:pPr>
        <w:spacing w:after="0" w:line="276" w:lineRule="auto"/>
        <w:ind w:left="709" w:right="709"/>
        <w:jc w:val="both"/>
        <w:rPr>
          <w:rFonts w:ascii="Arial" w:eastAsia="Times New Roman" w:hAnsi="Arial" w:cs="Arial"/>
          <w:lang w:eastAsia="es-ES_tradnl"/>
        </w:rPr>
      </w:pPr>
    </w:p>
    <w:p w14:paraId="1B8D3443" w14:textId="01982B1D" w:rsidR="00BC5810" w:rsidRPr="00283724" w:rsidRDefault="00BC5810" w:rsidP="00BC5810">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 en adelante EGCAP – establece la contratación directa como la modalidad de selección aplicable, por regla general, a la celebración de los contratos interadministrativos</w:t>
      </w:r>
      <w:r w:rsidR="003B0510" w:rsidRPr="00283724">
        <w:rPr>
          <w:rFonts w:ascii="Arial" w:eastAsiaTheme="minorEastAsia" w:hAnsi="Arial" w:cs="Arial"/>
          <w:lang w:eastAsia="es-CO"/>
        </w:rPr>
        <w:t xml:space="preserve">, no </w:t>
      </w:r>
      <w:r w:rsidR="00E51A10" w:rsidRPr="00283724">
        <w:rPr>
          <w:rFonts w:ascii="Arial" w:eastAsiaTheme="minorEastAsia" w:hAnsi="Arial" w:cs="Arial"/>
          <w:lang w:eastAsia="es-CO"/>
        </w:rPr>
        <w:t>obstante,</w:t>
      </w:r>
      <w:r w:rsidR="003B0510" w:rsidRPr="00283724">
        <w:rPr>
          <w:rFonts w:ascii="Arial" w:eastAsiaTheme="minorEastAsia" w:hAnsi="Arial" w:cs="Arial"/>
          <w:lang w:eastAsia="es-CO"/>
        </w:rPr>
        <w:t xml:space="preserve"> como se verá más adelante existen algunas excepciones</w:t>
      </w:r>
      <w:r w:rsidRPr="00283724">
        <w:rPr>
          <w:rFonts w:ascii="Arial" w:eastAsiaTheme="minorEastAsia" w:hAnsi="Arial" w:cs="Arial"/>
          <w:lang w:eastAsia="es-CO"/>
        </w:rPr>
        <w:t>.</w:t>
      </w:r>
    </w:p>
    <w:p w14:paraId="131AC0B1" w14:textId="77777777" w:rsidR="00BC5810" w:rsidRPr="00283724" w:rsidRDefault="00BC5810" w:rsidP="00BC5810">
      <w:pPr>
        <w:spacing w:after="120" w:line="276" w:lineRule="auto"/>
        <w:ind w:firstLine="707"/>
        <w:jc w:val="both"/>
        <w:rPr>
          <w:rFonts w:ascii="Arial" w:eastAsiaTheme="minorEastAsia" w:hAnsi="Arial" w:cs="Arial"/>
          <w:lang w:eastAsia="es-CO"/>
        </w:rPr>
      </w:pPr>
      <w:r w:rsidRPr="00283724">
        <w:rPr>
          <w:rFonts w:ascii="Arial" w:eastAsiaTheme="minorEastAsia" w:hAnsi="Arial" w:cs="Arial"/>
          <w:lang w:eastAsia="es-CO"/>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plausible que se celebren contratos interadministrativos en el marco de un proceso donde sea posible la participación de los interesados en ofertar, es decir, a través de las otras modalidades de selección previstas en la Ley 1150 de 2007 diferentes a la de contratación directa. Como se indicó, la existencia de un contrato interadministrativo no está determinada por la modalidad de selección sino, entre otras cosas, por la calidad de las partes que lo suscriben, es decir, debe tratarse de Entidades</w:t>
      </w:r>
      <w:r w:rsidRPr="00283724">
        <w:rPr>
          <w:rFonts w:ascii="Arial" w:eastAsiaTheme="minorEastAsia" w:hAnsi="Arial" w:cs="Arial"/>
          <w:spacing w:val="-3"/>
          <w:lang w:eastAsia="es-CO"/>
        </w:rPr>
        <w:t xml:space="preserve"> </w:t>
      </w:r>
      <w:r w:rsidRPr="00283724">
        <w:rPr>
          <w:rFonts w:ascii="Arial" w:eastAsiaTheme="minorEastAsia" w:hAnsi="Arial" w:cs="Arial"/>
          <w:lang w:eastAsia="es-CO"/>
        </w:rPr>
        <w:t>Estatales.</w:t>
      </w:r>
    </w:p>
    <w:p w14:paraId="045F0253" w14:textId="77777777" w:rsidR="00BC5810" w:rsidRPr="00283724" w:rsidRDefault="00BC5810" w:rsidP="00BC5810">
      <w:pPr>
        <w:spacing w:after="120" w:line="276" w:lineRule="auto"/>
        <w:ind w:firstLine="709"/>
        <w:jc w:val="both"/>
        <w:rPr>
          <w:rFonts w:ascii="Arial" w:eastAsiaTheme="minorEastAsia" w:hAnsi="Arial" w:cs="Arial"/>
          <w:lang w:eastAsia="es-CO"/>
        </w:rPr>
      </w:pPr>
      <w:r w:rsidRPr="00283724">
        <w:rPr>
          <w:rFonts w:ascii="Arial" w:eastAsiaTheme="minorEastAsia" w:hAnsi="Arial" w:cs="Arial"/>
          <w:lang w:eastAsia="es-CO"/>
        </w:rPr>
        <w:t xml:space="preserve">Además, es necesario tener en cuenta que </w:t>
      </w:r>
      <w:bookmarkStart w:id="13" w:name="_Hlk144078745"/>
      <w:r w:rsidRPr="00283724">
        <w:rPr>
          <w:rFonts w:ascii="Arial" w:eastAsiaTheme="minorEastAsia" w:hAnsi="Arial" w:cs="Arial"/>
          <w:lang w:eastAsia="es-CO"/>
        </w:rPr>
        <w:t xml:space="preserve">para que un contrato o convenio interadministrativo exista, debe cumplir con los siguientes elementos: acuerdo sobre el </w:t>
      </w:r>
      <w:r w:rsidRPr="00283724">
        <w:rPr>
          <w:rFonts w:ascii="Arial" w:eastAsiaTheme="minorEastAsia" w:hAnsi="Arial" w:cs="Arial"/>
          <w:lang w:eastAsia="es-CO"/>
        </w:rPr>
        <w:lastRenderedPageBreak/>
        <w:t>objeto y la contraprestación, y que se eleve a escrito</w:t>
      </w:r>
      <w:bookmarkEnd w:id="13"/>
      <w:r w:rsidRPr="00283724">
        <w:rPr>
          <w:rFonts w:ascii="Arial" w:eastAsiaTheme="minorEastAsia" w:hAnsi="Arial" w:cs="Arial"/>
          <w:lang w:eastAsia="es-CO"/>
        </w:rPr>
        <w:t>.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283724">
        <w:rPr>
          <w:rFonts w:ascii="Arial" w:eastAsiaTheme="minorEastAsia" w:hAnsi="Arial" w:cs="Arial"/>
          <w:spacing w:val="-4"/>
          <w:lang w:eastAsia="es-CO"/>
        </w:rPr>
        <w:t xml:space="preserve"> </w:t>
      </w:r>
      <w:r w:rsidRPr="00283724">
        <w:rPr>
          <w:rFonts w:ascii="Arial" w:eastAsiaTheme="minorEastAsia" w:hAnsi="Arial" w:cs="Arial"/>
          <w:lang w:eastAsia="es-CO"/>
        </w:rPr>
        <w:t>estatales.</w:t>
      </w:r>
    </w:p>
    <w:p w14:paraId="4BE8CA39" w14:textId="77777777" w:rsidR="00BC5810" w:rsidRPr="00283724" w:rsidRDefault="00BC5810" w:rsidP="00BC5810">
      <w:pPr>
        <w:spacing w:after="120" w:line="276" w:lineRule="auto"/>
        <w:ind w:firstLine="708"/>
        <w:jc w:val="both"/>
        <w:rPr>
          <w:rFonts w:ascii="Arial" w:eastAsiaTheme="minorEastAsia" w:hAnsi="Arial" w:cs="Arial"/>
          <w:lang w:eastAsia="es-CO"/>
        </w:rPr>
      </w:pPr>
      <w:r w:rsidRPr="00283724">
        <w:rPr>
          <w:rFonts w:ascii="Arial" w:eastAsiaTheme="minorEastAsia" w:hAnsi="Arial" w:cs="Arial"/>
          <w:lang w:eastAsia="es-CO"/>
        </w:rPr>
        <w:t>Es conveniente destacar que el Decreto 1082 de 2015 dispone que los convenios o contratos interadministrativos, así denominados en su artículo 2.2.1.2.1.4.4, se contratan directamente, por lo que representan figuras similares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CA2BCA8" w14:textId="77777777" w:rsidR="00BC5810" w:rsidRPr="00283724" w:rsidRDefault="00BC5810" w:rsidP="00BC5810">
      <w:pPr>
        <w:spacing w:after="120" w:line="276" w:lineRule="auto"/>
        <w:ind w:firstLine="708"/>
        <w:jc w:val="both"/>
        <w:rPr>
          <w:rFonts w:ascii="Arial" w:eastAsiaTheme="minorEastAsia" w:hAnsi="Arial" w:cs="Arial"/>
          <w:lang w:eastAsia="es-CO"/>
        </w:rPr>
      </w:pPr>
      <w:r w:rsidRPr="00283724">
        <w:rPr>
          <w:rFonts w:ascii="Arial" w:eastAsiaTheme="minorEastAsia" w:hAnsi="Arial" w:cs="Arial"/>
          <w:lang w:eastAsia="es-CO"/>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283724">
        <w:rPr>
          <w:rFonts w:ascii="Arial" w:eastAsiaTheme="minorEastAsia" w:hAnsi="Arial" w:cs="Arial"/>
          <w:spacing w:val="-4"/>
          <w:lang w:eastAsia="es-CO"/>
        </w:rPr>
        <w:t xml:space="preserve"> </w:t>
      </w:r>
      <w:r w:rsidRPr="00283724">
        <w:rPr>
          <w:rFonts w:ascii="Arial" w:eastAsiaTheme="minorEastAsia" w:hAnsi="Arial" w:cs="Arial"/>
          <w:lang w:eastAsia="es-CO"/>
        </w:rPr>
        <w:t>[…]”</w:t>
      </w:r>
      <w:r w:rsidRPr="00283724">
        <w:rPr>
          <w:rFonts w:ascii="Arial" w:eastAsiaTheme="minorEastAsia" w:hAnsi="Arial" w:cs="Arial"/>
          <w:vertAlign w:val="superscript"/>
          <w:lang w:eastAsia="es-CO"/>
        </w:rPr>
        <w:footnoteReference w:id="7"/>
      </w:r>
      <w:r w:rsidRPr="00283724">
        <w:rPr>
          <w:rFonts w:ascii="Arial" w:eastAsiaTheme="minorEastAsia" w:hAnsi="Arial" w:cs="Arial"/>
          <w:lang w:eastAsia="es-CO"/>
        </w:rPr>
        <w:t>.</w:t>
      </w:r>
    </w:p>
    <w:p w14:paraId="4A2C4B9A" w14:textId="77777777" w:rsidR="00BC5810" w:rsidRPr="00283724" w:rsidRDefault="00BC5810" w:rsidP="00BC5810">
      <w:pPr>
        <w:snapToGrid w:val="0"/>
        <w:spacing w:before="120" w:after="0" w:line="276" w:lineRule="auto"/>
        <w:ind w:firstLine="709"/>
        <w:jc w:val="both"/>
        <w:rPr>
          <w:rFonts w:ascii="Arial" w:eastAsia="Calibri" w:hAnsi="Arial" w:cs="Arial"/>
          <w:bCs/>
          <w:lang w:eastAsia="es-ES_tradnl" w:bidi="es-ES"/>
        </w:rPr>
      </w:pPr>
      <w:r w:rsidRPr="00283724">
        <w:rPr>
          <w:rFonts w:ascii="Arial" w:eastAsia="Calibri" w:hAnsi="Arial" w:cs="Arial"/>
          <w:bCs/>
          <w:lang w:eastAsia="es-ES_tradnl" w:bidi="es-ES"/>
        </w:rPr>
        <w:t>Si bien tanto los contratos como convenios comparten características comunes explicadas en los párrafos precedentes, difieren en cuanto a ciertos aspectos esenciales</w:t>
      </w:r>
      <w:r w:rsidRPr="00283724">
        <w:rPr>
          <w:rFonts w:ascii="Arial" w:eastAsia="Calibri" w:hAnsi="Arial" w:cs="Arial"/>
          <w:lang w:eastAsia="es-ES_tradnl" w:bidi="es-ES"/>
        </w:rPr>
        <w:t xml:space="preserve">. </w:t>
      </w:r>
      <w:r w:rsidRPr="00283724">
        <w:rPr>
          <w:rFonts w:ascii="Arial" w:eastAsia="Calibri" w:hAnsi="Arial" w:cs="Arial"/>
          <w:bCs/>
          <w:lang w:eastAsia="es-ES_tradnl" w:bidi="es-ES"/>
        </w:rPr>
        <w:t xml:space="preserve">Así, mientras que el </w:t>
      </w:r>
      <w:r w:rsidRPr="00283724">
        <w:rPr>
          <w:rFonts w:ascii="Arial" w:eastAsia="Calibri" w:hAnsi="Arial" w:cs="Arial"/>
          <w:bCs/>
          <w:i/>
          <w:iCs/>
          <w:lang w:eastAsia="es-ES_tradnl" w:bidi="es-ES"/>
        </w:rPr>
        <w:t>contrato interadministrativo</w:t>
      </w:r>
      <w:r w:rsidRPr="00283724">
        <w:rPr>
          <w:rFonts w:ascii="Arial" w:eastAsia="Calibri" w:hAnsi="Arial" w:cs="Arial"/>
          <w:bCs/>
          <w:lang w:eastAsia="es-ES_tradnl" w:bidi="es-ES"/>
        </w:rPr>
        <w:t xml:space="preserve"> se caracteriza por su naturaleza onerosa, patrimonial y se conforma por intereses básicamente contrapuestos, los </w:t>
      </w:r>
      <w:r w:rsidRPr="00283724">
        <w:rPr>
          <w:rFonts w:ascii="Arial" w:eastAsia="Calibri" w:hAnsi="Arial" w:cs="Arial"/>
          <w:bCs/>
          <w:i/>
          <w:iCs/>
          <w:lang w:eastAsia="es-ES_tradnl" w:bidi="es-ES"/>
        </w:rPr>
        <w:t>convenios interadministrativos</w:t>
      </w:r>
      <w:r w:rsidRPr="00283724">
        <w:rPr>
          <w:rFonts w:ascii="Arial" w:eastAsia="Calibri" w:hAnsi="Arial" w:cs="Arial"/>
          <w:bCs/>
          <w:lang w:eastAsia="es-ES_tradnl" w:bidi="es-ES"/>
        </w:rPr>
        <w:t xml:space="preserve">,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w:t>
      </w:r>
      <w:r w:rsidRPr="00283724">
        <w:rPr>
          <w:rFonts w:ascii="Arial" w:eastAsia="Calibri" w:hAnsi="Arial" w:cs="Arial"/>
          <w:bCs/>
          <w:lang w:eastAsia="es-ES_tradnl" w:bidi="es-ES"/>
        </w:rPr>
        <w:lastRenderedPageBreak/>
        <w:t>el régimen jurídico aplicable a ciertas situaciones específicas del convenio interadministrativo que se separan del régimen jurídico común:</w:t>
      </w:r>
    </w:p>
    <w:p w14:paraId="205D333B" w14:textId="77777777" w:rsidR="00BC5810" w:rsidRPr="00283724" w:rsidRDefault="00BC5810" w:rsidP="00BC5810">
      <w:pPr>
        <w:spacing w:after="0" w:line="276" w:lineRule="auto"/>
        <w:ind w:firstLine="709"/>
        <w:rPr>
          <w:rFonts w:ascii="Arial" w:eastAsia="Calibri" w:hAnsi="Arial" w:cs="Arial"/>
          <w:bCs/>
          <w:lang w:eastAsia="es-ES_tradnl" w:bidi="es-ES"/>
        </w:rPr>
      </w:pPr>
    </w:p>
    <w:p w14:paraId="32832192" w14:textId="77777777" w:rsidR="00BC5810" w:rsidRPr="00283724" w:rsidRDefault="00BC5810" w:rsidP="00BC5810">
      <w:pPr>
        <w:spacing w:after="0" w:line="240" w:lineRule="auto"/>
        <w:ind w:left="709" w:right="709"/>
        <w:contextualSpacing/>
        <w:jc w:val="both"/>
        <w:rPr>
          <w:rFonts w:ascii="Arial" w:eastAsia="Calibri" w:hAnsi="Arial" w:cs="Arial"/>
          <w:bCs/>
          <w:sz w:val="20"/>
          <w:szCs w:val="20"/>
          <w:lang w:eastAsia="es-ES_tradnl" w:bidi="es-ES"/>
        </w:rPr>
      </w:pPr>
      <w:r w:rsidRPr="00283724">
        <w:rPr>
          <w:rFonts w:ascii="Arial" w:eastAsia="Calibri" w:hAnsi="Arial" w:cs="Arial"/>
          <w:bCs/>
          <w:sz w:val="20"/>
          <w:szCs w:val="20"/>
          <w:lang w:eastAsia="es-ES_tradnl"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6BABAE49" w14:textId="77777777" w:rsidR="00BC5810" w:rsidRPr="00283724" w:rsidRDefault="00BC5810" w:rsidP="00BC5810">
      <w:pPr>
        <w:spacing w:after="0" w:line="240" w:lineRule="auto"/>
        <w:ind w:left="709" w:right="709"/>
        <w:contextualSpacing/>
        <w:jc w:val="both"/>
        <w:rPr>
          <w:rFonts w:ascii="Arial" w:eastAsia="Calibri" w:hAnsi="Arial" w:cs="Arial"/>
          <w:bCs/>
          <w:sz w:val="20"/>
          <w:szCs w:val="20"/>
          <w:lang w:eastAsia="es-ES_tradnl" w:bidi="es-ES"/>
        </w:rPr>
      </w:pPr>
    </w:p>
    <w:p w14:paraId="344A14F7" w14:textId="77777777" w:rsidR="00BC5810" w:rsidRPr="00283724" w:rsidRDefault="00BC5810" w:rsidP="00BC5810">
      <w:pPr>
        <w:spacing w:after="0" w:line="240" w:lineRule="auto"/>
        <w:ind w:left="709" w:right="709"/>
        <w:contextualSpacing/>
        <w:jc w:val="both"/>
        <w:rPr>
          <w:rFonts w:ascii="Arial" w:eastAsia="Calibri" w:hAnsi="Arial" w:cs="Arial"/>
          <w:bCs/>
          <w:sz w:val="20"/>
          <w:szCs w:val="20"/>
          <w:lang w:eastAsia="es-ES_tradnl" w:bidi="es-ES"/>
        </w:rPr>
      </w:pPr>
      <w:r w:rsidRPr="00283724">
        <w:rPr>
          <w:rFonts w:ascii="Arial" w:eastAsia="Calibri" w:hAnsi="Arial" w:cs="Arial"/>
          <w:bCs/>
          <w:sz w:val="20"/>
          <w:szCs w:val="20"/>
          <w:lang w:eastAsia="es-ES_tradnl" w:bidi="es-ES"/>
        </w:rPr>
        <w:t>Ahora, dada la naturaleza jurídica explicada de los convenios interadministrativos</w:t>
      </w:r>
      <w:r w:rsidRPr="00283724">
        <w:rPr>
          <w:rFonts w:ascii="Arial" w:eastAsia="Calibri" w:hAnsi="Arial" w:cs="Arial"/>
          <w:bCs/>
          <w:i/>
          <w:iCs/>
          <w:sz w:val="20"/>
          <w:szCs w:val="20"/>
          <w:lang w:eastAsia="es-ES_tradnl"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283724">
        <w:rPr>
          <w:rFonts w:ascii="Arial" w:eastAsia="Calibri" w:hAnsi="Arial" w:cs="Arial"/>
          <w:bCs/>
          <w:sz w:val="20"/>
          <w:szCs w:val="20"/>
          <w:lang w:eastAsia="es-ES_tradnl" w:bidi="es-ES"/>
        </w:rPr>
        <w:t>.</w:t>
      </w:r>
      <w:r w:rsidRPr="00283724">
        <w:rPr>
          <w:rFonts w:ascii="Arial" w:eastAsia="Calibri" w:hAnsi="Arial" w:cs="Arial"/>
          <w:bCs/>
          <w:sz w:val="20"/>
          <w:szCs w:val="20"/>
          <w:vertAlign w:val="superscript"/>
          <w:lang w:eastAsia="es-ES_tradnl" w:bidi="es-ES"/>
        </w:rPr>
        <w:footnoteReference w:id="8"/>
      </w:r>
      <w:r w:rsidRPr="00283724">
        <w:rPr>
          <w:rFonts w:ascii="Arial" w:eastAsia="Calibri" w:hAnsi="Arial" w:cs="Arial"/>
          <w:bCs/>
          <w:sz w:val="20"/>
          <w:szCs w:val="20"/>
          <w:lang w:eastAsia="es-ES_tradnl" w:bidi="es-ES"/>
        </w:rPr>
        <w:t xml:space="preserve"> (Énfasis fuera del texto original) </w:t>
      </w:r>
    </w:p>
    <w:p w14:paraId="191317AF" w14:textId="77777777" w:rsidR="00BC5810" w:rsidRPr="00283724" w:rsidRDefault="00BC5810" w:rsidP="00BC5810">
      <w:pPr>
        <w:tabs>
          <w:tab w:val="left" w:pos="426"/>
        </w:tabs>
        <w:spacing w:after="0" w:line="276" w:lineRule="auto"/>
        <w:jc w:val="both"/>
        <w:rPr>
          <w:rFonts w:ascii="Arial" w:eastAsia="Calibri" w:hAnsi="Arial" w:cs="Arial"/>
          <w:lang w:eastAsia="en-GB"/>
        </w:rPr>
      </w:pPr>
    </w:p>
    <w:p w14:paraId="0C8040C9" w14:textId="77777777" w:rsidR="00BC5810" w:rsidRPr="00283724" w:rsidRDefault="00BC5810" w:rsidP="00BC5810">
      <w:pPr>
        <w:tabs>
          <w:tab w:val="left" w:pos="426"/>
        </w:tabs>
        <w:spacing w:after="120" w:line="276" w:lineRule="auto"/>
        <w:jc w:val="both"/>
        <w:rPr>
          <w:rFonts w:ascii="Arial" w:eastAsia="Calibri" w:hAnsi="Arial" w:cs="Arial"/>
          <w:lang w:eastAsia="en-GB"/>
        </w:rPr>
      </w:pPr>
      <w:r w:rsidRPr="00283724">
        <w:rPr>
          <w:rFonts w:ascii="Arial" w:eastAsia="Calibri" w:hAnsi="Arial" w:cs="Arial"/>
          <w:lang w:eastAsia="en-GB"/>
        </w:rPr>
        <w:tab/>
      </w:r>
      <w:r w:rsidRPr="00283724">
        <w:rPr>
          <w:rFonts w:ascii="Arial" w:eastAsia="Calibri" w:hAnsi="Arial" w:cs="Arial"/>
          <w:lang w:eastAsia="en-GB"/>
        </w:rPr>
        <w:tab/>
        <w:t>De hecho, la distinción también se plantea en el ámbito del derecho privado con la referencia a los contratos de contraprestación y de colaboración</w:t>
      </w:r>
      <w:r w:rsidRPr="00283724">
        <w:rPr>
          <w:rFonts w:ascii="Arial" w:eastAsia="Calibri" w:hAnsi="Arial" w:cs="Arial"/>
          <w:vertAlign w:val="superscript"/>
          <w:lang w:eastAsia="en-GB"/>
        </w:rPr>
        <w:footnoteReference w:id="9"/>
      </w:r>
      <w:r w:rsidRPr="00283724">
        <w:rPr>
          <w:rFonts w:ascii="Arial" w:eastAsia="Calibri" w:hAnsi="Arial" w:cs="Arial"/>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283724">
        <w:rPr>
          <w:rFonts w:ascii="Arial" w:eastAsia="Calibri" w:hAnsi="Arial" w:cs="Arial"/>
          <w:vertAlign w:val="superscript"/>
          <w:lang w:eastAsia="en-GB"/>
        </w:rPr>
        <w:footnoteReference w:id="10"/>
      </w:r>
      <w:r w:rsidRPr="00283724">
        <w:rPr>
          <w:rFonts w:ascii="Arial" w:eastAsia="Calibri" w:hAnsi="Arial" w:cs="Arial"/>
          <w:lang w:eastAsia="en-GB"/>
        </w:rPr>
        <w:t xml:space="preserve">. </w:t>
      </w:r>
    </w:p>
    <w:p w14:paraId="2F4218F1" w14:textId="77777777" w:rsidR="00BC5810" w:rsidRPr="00283724" w:rsidRDefault="00BC5810" w:rsidP="00BC5810">
      <w:pPr>
        <w:spacing w:after="120" w:line="276" w:lineRule="auto"/>
        <w:ind w:firstLine="709"/>
        <w:jc w:val="both"/>
        <w:rPr>
          <w:rFonts w:ascii="Arial" w:eastAsiaTheme="minorEastAsia" w:hAnsi="Arial" w:cs="Arial"/>
          <w:lang w:eastAsia="es-CO"/>
        </w:rPr>
      </w:pPr>
      <w:r w:rsidRPr="00283724">
        <w:rPr>
          <w:rFonts w:ascii="Arial" w:eastAsiaTheme="minorEastAsia" w:hAnsi="Arial" w:cs="Arial"/>
          <w:lang w:eastAsia="es-CO"/>
        </w:rPr>
        <w:lastRenderedPageBreak/>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7098B806" w14:textId="6CA3FE5E" w:rsidR="00301F40" w:rsidRPr="00283724" w:rsidRDefault="00BC5810" w:rsidP="00CB2B9A">
      <w:pPr>
        <w:spacing w:after="12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En atención a las consultas planteadas, es importante señalar que, en virtud del principio de autonomía de la voluntad de las partes, reconocido en los artículos 13, 32 y 40 de la Ley 80 de 1993, así como lo dispuesto en el artículo 1602 del Código Civil, es viable que las Entidades Estatales celebren contratos y convenios interadministrativos para satisfacer sus necesidades. En consecuencia, si una Entidad Estatal requiere contratar la ejecución de una obra con otra Entidad Pública podrá celebrar un contrato o convenio interadministrativo, con la finalidad de cumplir, en el marco de sus objetivos misionales y sus competencias, con los fines del Estado. En todo caso, para la celebración de los contratos y convenios interadministrativos es indispensable que la entidad ejecutora cuente con un objeto que, de acuerdo con la ley o el reglamento, sea idóneo para la ejecución de la actividad contratada</w:t>
      </w:r>
      <w:r w:rsidR="00F56BAF" w:rsidRPr="00283724">
        <w:rPr>
          <w:rFonts w:ascii="Arial" w:eastAsia="Times New Roman" w:hAnsi="Arial" w:cs="Arial"/>
          <w:lang w:eastAsia="es-ES_tradnl"/>
        </w:rPr>
        <w:t xml:space="preserve">. </w:t>
      </w:r>
      <w:r w:rsidR="000D331B" w:rsidRPr="00283724">
        <w:rPr>
          <w:rFonts w:ascii="Arial" w:eastAsia="Times New Roman" w:hAnsi="Arial" w:cs="Arial"/>
          <w:lang w:eastAsia="es-ES_tradnl"/>
        </w:rPr>
        <w:t>Asimismo, debe tenerse en cuenta que,</w:t>
      </w:r>
      <w:r w:rsidR="0003224E" w:rsidRPr="00283724">
        <w:rPr>
          <w:rFonts w:ascii="Arial" w:eastAsia="Times New Roman" w:hAnsi="Arial" w:cs="Arial"/>
          <w:lang w:eastAsia="es-ES_tradnl"/>
        </w:rPr>
        <w:t xml:space="preserve"> conforme el inciso </w:t>
      </w:r>
      <w:r w:rsidR="00B0164B" w:rsidRPr="00283724">
        <w:rPr>
          <w:rFonts w:ascii="Arial" w:eastAsia="Times New Roman" w:hAnsi="Arial" w:cs="Arial"/>
          <w:lang w:eastAsia="es-ES_tradnl"/>
        </w:rPr>
        <w:t>4 del literal c</w:t>
      </w:r>
      <w:r w:rsidR="0029057C" w:rsidRPr="00283724">
        <w:rPr>
          <w:rFonts w:ascii="Arial" w:eastAsia="Times New Roman" w:hAnsi="Arial" w:cs="Arial"/>
          <w:lang w:eastAsia="es-ES_tradnl"/>
        </w:rPr>
        <w:t>),</w:t>
      </w:r>
      <w:r w:rsidR="00B0164B" w:rsidRPr="00283724">
        <w:rPr>
          <w:rFonts w:ascii="Arial" w:eastAsia="Times New Roman" w:hAnsi="Arial" w:cs="Arial"/>
          <w:lang w:eastAsia="es-ES_tradnl"/>
        </w:rPr>
        <w:t xml:space="preserve"> del numeral 4</w:t>
      </w:r>
      <w:r w:rsidR="0029057C" w:rsidRPr="00283724">
        <w:rPr>
          <w:rFonts w:ascii="Arial" w:eastAsia="Times New Roman" w:hAnsi="Arial" w:cs="Arial"/>
          <w:lang w:eastAsia="es-ES_tradnl"/>
        </w:rPr>
        <w:t>,</w:t>
      </w:r>
      <w:r w:rsidR="00B0164B" w:rsidRPr="00283724">
        <w:rPr>
          <w:rFonts w:ascii="Arial" w:eastAsia="Times New Roman" w:hAnsi="Arial" w:cs="Arial"/>
          <w:lang w:eastAsia="es-ES_tradnl"/>
        </w:rPr>
        <w:t xml:space="preserve"> del artículo 2 de la Ley 1150 de 2007</w:t>
      </w:r>
      <w:r w:rsidR="000D331B" w:rsidRPr="00283724">
        <w:rPr>
          <w:rFonts w:ascii="Arial" w:eastAsia="Times New Roman" w:hAnsi="Arial" w:cs="Arial"/>
          <w:lang w:eastAsia="es-ES_tradnl"/>
        </w:rPr>
        <w:t xml:space="preserve">, se encuentran </w:t>
      </w:r>
      <w:r w:rsidR="00354447" w:rsidRPr="00283724">
        <w:rPr>
          <w:rFonts w:ascii="Arial" w:hAnsi="Arial" w:cs="Arial"/>
        </w:rPr>
        <w:t xml:space="preserve">exceptuados de la figura del contrato interadministrativo, los contratos de seguro de las </w:t>
      </w:r>
      <w:r w:rsidR="000D331B" w:rsidRPr="00283724">
        <w:rPr>
          <w:rFonts w:ascii="Arial" w:hAnsi="Arial" w:cs="Arial"/>
        </w:rPr>
        <w:t>Entidades Estatales.</w:t>
      </w:r>
    </w:p>
    <w:p w14:paraId="0E80D682" w14:textId="1B63277A" w:rsidR="00301F40" w:rsidRPr="00283724" w:rsidRDefault="00BC5810" w:rsidP="00CB2B9A">
      <w:pPr>
        <w:spacing w:after="12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 xml:space="preserve">Ahora bien, </w:t>
      </w:r>
      <w:r w:rsidR="00354447" w:rsidRPr="00283724">
        <w:rPr>
          <w:rFonts w:ascii="Arial" w:eastAsia="Times New Roman" w:hAnsi="Arial" w:cs="Arial"/>
          <w:lang w:eastAsia="es-ES_tradnl"/>
        </w:rPr>
        <w:t>es menester tener en cuenta que, el inciso 2 del del literal c</w:t>
      </w:r>
      <w:r w:rsidR="00EA1ABB" w:rsidRPr="00283724">
        <w:rPr>
          <w:rFonts w:ascii="Arial" w:eastAsia="Times New Roman" w:hAnsi="Arial" w:cs="Arial"/>
          <w:lang w:eastAsia="es-ES_tradnl"/>
        </w:rPr>
        <w:t>)</w:t>
      </w:r>
      <w:r w:rsidR="00354447" w:rsidRPr="00283724">
        <w:rPr>
          <w:rFonts w:ascii="Arial" w:eastAsia="Times New Roman" w:hAnsi="Arial" w:cs="Arial"/>
          <w:lang w:eastAsia="es-ES_tradnl"/>
        </w:rPr>
        <w:t xml:space="preserve"> del numeral 4 del artículo 2 de la Ley 1150 de 2007 </w:t>
      </w:r>
      <w:r w:rsidR="003B3E25" w:rsidRPr="00283724">
        <w:rPr>
          <w:rFonts w:ascii="Arial" w:eastAsia="Times New Roman" w:hAnsi="Arial" w:cs="Arial"/>
          <w:lang w:eastAsia="es-ES_tradnl"/>
        </w:rPr>
        <w:t xml:space="preserve">establece una excepción a la modalidad de selección </w:t>
      </w:r>
      <w:r w:rsidR="00024CDE" w:rsidRPr="00283724">
        <w:rPr>
          <w:rFonts w:ascii="Arial" w:eastAsia="Times New Roman" w:hAnsi="Arial" w:cs="Arial"/>
          <w:lang w:eastAsia="es-ES_tradnl"/>
        </w:rPr>
        <w:t xml:space="preserve">de contratación directa para </w:t>
      </w:r>
      <w:r w:rsidR="007149E9" w:rsidRPr="00283724">
        <w:rPr>
          <w:rFonts w:ascii="Arial" w:eastAsia="Times New Roman" w:hAnsi="Arial" w:cs="Arial"/>
          <w:lang w:eastAsia="es-ES_tradnl"/>
        </w:rPr>
        <w:t>la</w:t>
      </w:r>
      <w:r w:rsidR="00024CDE" w:rsidRPr="00283724">
        <w:rPr>
          <w:rFonts w:ascii="Arial" w:eastAsia="Times New Roman" w:hAnsi="Arial" w:cs="Arial"/>
          <w:lang w:eastAsia="es-ES_tradnl"/>
        </w:rPr>
        <w:t xml:space="preserve"> celebración de convenios y contratos interadministrativos, al </w:t>
      </w:r>
      <w:r w:rsidR="00354447" w:rsidRPr="00283724">
        <w:rPr>
          <w:rFonts w:ascii="Arial" w:eastAsia="Times New Roman" w:hAnsi="Arial" w:cs="Arial"/>
          <w:lang w:eastAsia="es-ES_tradnl"/>
        </w:rPr>
        <w:t>señala</w:t>
      </w:r>
      <w:r w:rsidR="00024CDE" w:rsidRPr="00283724">
        <w:rPr>
          <w:rFonts w:ascii="Arial" w:eastAsia="Times New Roman" w:hAnsi="Arial" w:cs="Arial"/>
          <w:lang w:eastAsia="es-ES_tradnl"/>
        </w:rPr>
        <w:t>r</w:t>
      </w:r>
      <w:r w:rsidR="00354447" w:rsidRPr="00283724">
        <w:rPr>
          <w:rFonts w:ascii="Arial" w:eastAsia="Times New Roman" w:hAnsi="Arial" w:cs="Arial"/>
          <w:lang w:eastAsia="es-ES_tradnl"/>
        </w:rPr>
        <w:t xml:space="preserve"> que </w:t>
      </w:r>
      <w:r w:rsidR="00793A56" w:rsidRPr="00283724">
        <w:rPr>
          <w:rFonts w:ascii="Arial" w:hAnsi="Arial" w:cs="Arial"/>
        </w:rPr>
        <w:t>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podrán ser ejecutados por las mismas, siempre que participen en procesos de licitación pública o contratación abreviada</w:t>
      </w:r>
      <w:r w:rsidR="00FC3E94" w:rsidRPr="00283724">
        <w:rPr>
          <w:rFonts w:ascii="Arial" w:hAnsi="Arial" w:cs="Arial"/>
        </w:rPr>
        <w:t>.</w:t>
      </w:r>
    </w:p>
    <w:p w14:paraId="398C6BB1" w14:textId="0C4CD60F" w:rsidR="00FE006B" w:rsidRPr="00283724" w:rsidRDefault="00FC3E94" w:rsidP="00BC5810">
      <w:pPr>
        <w:spacing w:after="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 xml:space="preserve">Explicado lo anterior, </w:t>
      </w:r>
      <w:r w:rsidR="0080506B" w:rsidRPr="00283724">
        <w:rPr>
          <w:rFonts w:ascii="Arial" w:eastAsia="Times New Roman" w:hAnsi="Arial" w:cs="Arial"/>
          <w:lang w:eastAsia="es-ES_tradnl"/>
        </w:rPr>
        <w:t>para esta Agencia es</w:t>
      </w:r>
      <w:r w:rsidR="00BC5810" w:rsidRPr="00283724">
        <w:rPr>
          <w:rFonts w:ascii="Arial" w:eastAsia="Times New Roman" w:hAnsi="Arial" w:cs="Arial"/>
          <w:lang w:eastAsia="es-ES_tradnl"/>
        </w:rPr>
        <w:t xml:space="preserve"> indispensable determinar los supuestos frente a los cuales resultaría obligatoria la aplicación los Documentos Tipo para la celebración de convenios y contratos interadministrativos, tema que se analizará a continuación.</w:t>
      </w:r>
    </w:p>
    <w:p w14:paraId="5181D282" w14:textId="77777777" w:rsidR="00FD09D3" w:rsidRPr="00283724" w:rsidRDefault="00FD09D3" w:rsidP="00BC5810">
      <w:pPr>
        <w:spacing w:after="0" w:line="276" w:lineRule="auto"/>
        <w:jc w:val="both"/>
        <w:rPr>
          <w:rFonts w:ascii="Arial" w:eastAsia="Arial" w:hAnsi="Arial" w:cs="Arial"/>
          <w:b/>
          <w:bCs/>
          <w:lang w:val="es-ES_tradnl" w:eastAsia="es-ES_tradnl"/>
        </w:rPr>
      </w:pPr>
    </w:p>
    <w:p w14:paraId="2F3AC185" w14:textId="2009DA77" w:rsidR="00BC5810" w:rsidRPr="00283724" w:rsidRDefault="00BC5810" w:rsidP="00BC5810">
      <w:pPr>
        <w:spacing w:after="0" w:line="276" w:lineRule="auto"/>
        <w:jc w:val="both"/>
        <w:rPr>
          <w:rFonts w:ascii="Arial" w:eastAsia="Arial" w:hAnsi="Arial" w:cs="Arial"/>
          <w:b/>
          <w:bCs/>
          <w:lang w:val="es-ES_tradnl" w:eastAsia="es-ES_tradnl"/>
        </w:rPr>
      </w:pPr>
      <w:r w:rsidRPr="00283724">
        <w:rPr>
          <w:rFonts w:ascii="Arial" w:eastAsia="Arial" w:hAnsi="Arial" w:cs="Arial"/>
          <w:b/>
          <w:bCs/>
          <w:lang w:val="es-ES_tradnl" w:eastAsia="es-ES_tradnl"/>
        </w:rPr>
        <w:t xml:space="preserve">2.2. </w:t>
      </w:r>
      <w:bookmarkStart w:id="15" w:name="_Hlk110852287"/>
      <w:r w:rsidRPr="00283724">
        <w:rPr>
          <w:rFonts w:ascii="Arial" w:eastAsia="Arial" w:hAnsi="Arial" w:cs="Arial"/>
          <w:b/>
          <w:bCs/>
          <w:lang w:val="es-ES_tradnl" w:eastAsia="es-ES_tradnl"/>
        </w:rPr>
        <w:t xml:space="preserve">Fundamento normativo de los Documentos Tipo </w:t>
      </w:r>
      <w:bookmarkEnd w:id="15"/>
    </w:p>
    <w:p w14:paraId="7C1EDB1D" w14:textId="77777777" w:rsidR="00BC5810" w:rsidRPr="00283724" w:rsidRDefault="00BC5810" w:rsidP="00BC5810">
      <w:pPr>
        <w:spacing w:after="0" w:line="276" w:lineRule="auto"/>
        <w:jc w:val="both"/>
        <w:rPr>
          <w:rFonts w:ascii="Arial" w:eastAsia="Arial" w:hAnsi="Arial" w:cs="Arial"/>
          <w:b/>
          <w:bCs/>
          <w:lang w:val="es-ES_tradnl" w:eastAsia="es-ES_tradnl"/>
        </w:rPr>
      </w:pPr>
    </w:p>
    <w:p w14:paraId="46C8D288" w14:textId="008CD071" w:rsidR="00BC5810" w:rsidRPr="00283724" w:rsidRDefault="00BC5810" w:rsidP="00BC5810">
      <w:pPr>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La adopción de los Documentos Tipo obligatorios en el ordenamiento jurídico colombiano se incluyó por primera vez en el parágrafo 3 del artículo 2 de la Ley 1150 de 2007</w:t>
      </w:r>
      <w:r w:rsidRPr="00283724">
        <w:rPr>
          <w:rFonts w:ascii="Arial" w:eastAsia="Calibri" w:hAnsi="Arial" w:cs="Arial"/>
          <w:vertAlign w:val="superscript"/>
          <w:lang w:val="es-ES_tradnl" w:eastAsia="es-ES_tradnl"/>
        </w:rPr>
        <w:footnoteReference w:id="11"/>
      </w:r>
      <w:r w:rsidRPr="00283724">
        <w:rPr>
          <w:rFonts w:ascii="Arial" w:eastAsia="Calibri" w:hAnsi="Arial" w:cs="Arial"/>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214193EF" w14:textId="77777777" w:rsidR="00BC5810" w:rsidRPr="00283724" w:rsidRDefault="00BC5810" w:rsidP="00BC5810">
      <w:pPr>
        <w:spacing w:after="120" w:line="276" w:lineRule="auto"/>
        <w:ind w:firstLine="709"/>
        <w:jc w:val="both"/>
        <w:rPr>
          <w:rFonts w:ascii="Arial" w:eastAsia="Calibri" w:hAnsi="Arial" w:cs="Arial"/>
          <w:lang w:val="es-ES_tradnl" w:eastAsia="es-ES_tradnl"/>
        </w:rPr>
      </w:pPr>
      <w:r w:rsidRPr="00283724">
        <w:rPr>
          <w:rFonts w:ascii="Arial" w:eastAsia="Calibri" w:hAnsi="Arial" w:cs="Arial"/>
          <w:lang w:val="es-ES_tradnl" w:eastAsia="es-ES_tradnl"/>
        </w:rPr>
        <w:t xml:space="preserve">Debido a lo anterior, el artículo 4 de la Ley 1882 de 2018 se convierte en el antecedente más relevante respecto a los Documentos Tipo. A partir de esta norma, se definió un mandato de obligatoria observancia por parte de todas las entidades sometidas al </w:t>
      </w:r>
      <w:r w:rsidRPr="00283724">
        <w:rPr>
          <w:rFonts w:ascii="Arial" w:eastAsia="Calibri" w:hAnsi="Arial" w:cs="Arial"/>
          <w:bCs/>
          <w:lang w:val="es-ES_tradnl" w:eastAsia="es-ES_tradnl"/>
        </w:rPr>
        <w:t xml:space="preserve">EGCAP en </w:t>
      </w:r>
      <w:r w:rsidRPr="00283724">
        <w:rPr>
          <w:rFonts w:ascii="Arial" w:eastAsia="Calibri" w:hAnsi="Arial" w:cs="Arial"/>
          <w:lang w:val="es-ES_tradnl" w:eastAsia="es-ES_tradnl"/>
        </w:rPr>
        <w:t>la aplicación de los Documentos Tipo adoptados por el Gobierno Nacional para la contratación de obra pública y su respectiva interventoría, así como la interventoría para consultoría de estudios y diseños para obras públicas y consultoría en ingeniería para obras, los cuales debían ser utilizados en los procesos de selección que adelantaran</w:t>
      </w:r>
      <w:r w:rsidRPr="00283724">
        <w:rPr>
          <w:rFonts w:ascii="Arial" w:eastAsia="Calibri" w:hAnsi="Arial" w:cs="Arial"/>
          <w:vertAlign w:val="superscript"/>
          <w:lang w:val="es-ES_tradnl" w:eastAsia="es-ES_tradnl"/>
        </w:rPr>
        <w:footnoteReference w:id="12"/>
      </w:r>
      <w:r w:rsidRPr="00283724">
        <w:rPr>
          <w:rFonts w:ascii="Arial" w:eastAsia="Calibri" w:hAnsi="Arial" w:cs="Arial"/>
          <w:lang w:val="es-ES_tradnl" w:eastAsia="es-ES_tradnl"/>
        </w:rPr>
        <w:t>.</w:t>
      </w:r>
    </w:p>
    <w:p w14:paraId="6BD4FA35" w14:textId="77777777" w:rsidR="00BC5810" w:rsidRPr="00283724" w:rsidRDefault="00BC5810" w:rsidP="00BC5810">
      <w:pPr>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w:t>
      </w:r>
    </w:p>
    <w:p w14:paraId="648FC0E8" w14:textId="77777777" w:rsidR="00BC5810" w:rsidRPr="00283724" w:rsidRDefault="00BC5810" w:rsidP="00BC5810">
      <w:pPr>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r>
      <w:bookmarkStart w:id="16" w:name="_Hlk113022874"/>
      <w:r w:rsidRPr="00283724">
        <w:rPr>
          <w:rFonts w:ascii="Arial" w:eastAsia="Calibri" w:hAnsi="Arial" w:cs="Arial"/>
          <w:lang w:val="es-ES_tradnl" w:eastAsia="es-ES_tradnl"/>
        </w:rPr>
        <w:t xml:space="preserve">De la norma descrita se concluía lo siguiente: i) la adopción de los Documentos Tipo estaba en cabeza del Gobierno Nacional; ii) estos debían relacionarse con procesos de obras públicas, interventoría para las obras públicas, interventoría para consultoría de estudios y diseños y, finalmente, consultoría en ingeniería para obras; iii) eran de obligatorio cumplimiento por parte de todas las entidades sometidas al </w:t>
      </w:r>
      <w:r w:rsidRPr="00283724">
        <w:rPr>
          <w:rFonts w:ascii="Arial" w:eastAsia="Calibri" w:hAnsi="Arial" w:cs="Arial"/>
          <w:bCs/>
          <w:lang w:val="es-ES_tradnl" w:eastAsia="es-ES_tradnl"/>
        </w:rPr>
        <w:t>EGCAP</w:t>
      </w:r>
      <w:r w:rsidRPr="00283724">
        <w:rPr>
          <w:rFonts w:ascii="Arial" w:eastAsia="Calibri" w:hAnsi="Arial" w:cs="Arial"/>
          <w:lang w:val="es-ES_tradnl" w:eastAsia="es-ES_tradnl"/>
        </w:rPr>
        <w:t xml:space="preserve">; iv) en los Documentos </w:t>
      </w:r>
      <w:r w:rsidRPr="00283724">
        <w:rPr>
          <w:rFonts w:ascii="Arial" w:eastAsia="Calibri" w:hAnsi="Arial" w:cs="Arial"/>
          <w:lang w:val="es-ES_tradnl" w:eastAsia="es-ES_tradnl"/>
        </w:rPr>
        <w:lastRenderedPageBreak/>
        <w:t>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w:t>
      </w:r>
    </w:p>
    <w:bookmarkEnd w:id="16"/>
    <w:p w14:paraId="79E875A5" w14:textId="77777777" w:rsidR="00BC5810" w:rsidRPr="00283724" w:rsidRDefault="00BC5810" w:rsidP="00BC5810">
      <w:pPr>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t xml:space="preserve">Esta norma fue estudiada por la Corte Constitucional en la sentencia C-119 de 2020. Al respecto, el Alto Tribunal indicó que la adopción de los Documentos Tipo no afectaba la autonomía de las entidades territoriales, en cuanto la estandarización se predicaba únicamente de los requisitos habilitantes </w:t>
      </w:r>
      <w:bookmarkStart w:id="17" w:name="_Hlk48665985"/>
      <w:r w:rsidRPr="00283724">
        <w:rPr>
          <w:rFonts w:ascii="Arial" w:eastAsia="Calibri" w:hAnsi="Arial" w:cs="Arial"/>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17"/>
      <w:r w:rsidRPr="00283724">
        <w:rPr>
          <w:rFonts w:ascii="Arial" w:eastAsia="Calibri" w:hAnsi="Arial" w:cs="Arial"/>
          <w:lang w:val="es-ES_tradnl" w:eastAsia="es-ES_tradnl"/>
        </w:rPr>
        <w:t>. De igual manera, se establece que esta autonomía se garantiza con la identificación autónoma de sus necesidades y la configuración de los elementos del contrato</w:t>
      </w:r>
      <w:r w:rsidRPr="00283724">
        <w:rPr>
          <w:rFonts w:ascii="Arial" w:eastAsia="Calibri" w:hAnsi="Arial" w:cs="Arial"/>
          <w:vertAlign w:val="superscript"/>
          <w:lang w:val="es-ES_tradnl" w:eastAsia="es-ES_tradnl"/>
        </w:rPr>
        <w:footnoteReference w:id="13"/>
      </w:r>
      <w:r w:rsidRPr="00283724">
        <w:rPr>
          <w:rFonts w:ascii="Arial" w:eastAsia="Calibri" w:hAnsi="Arial" w:cs="Arial"/>
          <w:lang w:val="es-ES_tradnl" w:eastAsia="es-ES_tradnl"/>
        </w:rPr>
        <w:t>.</w:t>
      </w:r>
    </w:p>
    <w:p w14:paraId="65F63453" w14:textId="77777777" w:rsidR="00BC5810" w:rsidRPr="00283724" w:rsidRDefault="00BC5810" w:rsidP="00BC5810">
      <w:pPr>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cuestiones en los que el legislador tiene amplia libertad de configuración legislativa y, por tanto, puede atribuir dicha regulación al Gobierno Nacional. Ahora bien, la referida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14237E2" w14:textId="77777777" w:rsidR="00BC5810" w:rsidRPr="00283724" w:rsidRDefault="00BC5810" w:rsidP="00BC5810">
      <w:pPr>
        <w:spacing w:after="120" w:line="276" w:lineRule="auto"/>
        <w:ind w:firstLine="709"/>
        <w:jc w:val="both"/>
        <w:rPr>
          <w:rFonts w:ascii="Arial" w:eastAsia="Calibri" w:hAnsi="Arial" w:cs="Arial"/>
          <w:lang w:val="es-ES_tradnl" w:eastAsia="es-ES"/>
        </w:rPr>
      </w:pPr>
      <w:bookmarkStart w:id="18" w:name="_Hlk113022941"/>
      <w:r w:rsidRPr="00283724">
        <w:rPr>
          <w:rFonts w:ascii="Arial" w:eastAsia="Calibri" w:hAnsi="Arial" w:cs="Arial"/>
          <w:lang w:val="es-ES_tradnl" w:eastAsia="es-ES"/>
        </w:rPr>
        <w:t>Posteriormente, se expidió la Ley 2022 de 2020, norma que modificó el contenido del parágrafo 7 del artículo 2 de la Ley 1150 de 2007, que había sido adicionado por la Ley 1882 de 2018</w:t>
      </w:r>
      <w:r w:rsidRPr="00283724">
        <w:rPr>
          <w:rFonts w:ascii="Arial" w:eastAsia="Calibri" w:hAnsi="Arial" w:cs="Arial"/>
          <w:vertAlign w:val="superscript"/>
          <w:lang w:val="es-ES_tradnl" w:eastAsia="es-ES"/>
        </w:rPr>
        <w:footnoteReference w:id="14"/>
      </w:r>
      <w:r w:rsidRPr="00283724">
        <w:rPr>
          <w:rFonts w:ascii="Arial" w:eastAsia="Calibri" w:hAnsi="Arial" w:cs="Arial"/>
          <w:lang w:val="es-ES_tradnl" w:eastAsia="es-ES"/>
        </w:rPr>
        <w:t xml:space="preserve">. Con esta modificación, si bien se mantuvo el mandato de aplicación </w:t>
      </w:r>
      <w:r w:rsidRPr="00283724">
        <w:rPr>
          <w:rFonts w:ascii="Arial" w:eastAsia="Calibri" w:hAnsi="Arial" w:cs="Arial"/>
          <w:lang w:val="es-ES_tradnl" w:eastAsia="es-ES"/>
        </w:rPr>
        <w:lastRenderedPageBreak/>
        <w:t xml:space="preserve">obligatoria de los Documentos Tipo por parte de las entidades sometidas al </w:t>
      </w:r>
      <w:r w:rsidRPr="00283724">
        <w:rPr>
          <w:rFonts w:ascii="Arial" w:eastAsia="Calibri" w:hAnsi="Arial" w:cs="Arial"/>
          <w:bCs/>
          <w:lang w:val="es-ES_tradnl" w:eastAsia="es-ES_tradnl"/>
        </w:rPr>
        <w:t>EGCAP</w:t>
      </w:r>
      <w:r w:rsidRPr="00283724">
        <w:rPr>
          <w:rFonts w:ascii="Arial" w:eastAsia="Calibri" w:hAnsi="Arial" w:cs="Arial"/>
          <w:lang w:val="es-ES_tradnl" w:eastAsia="es-ES"/>
        </w:rPr>
        <w:t xml:space="preserve">, se atribuyó a la </w:t>
      </w:r>
      <w:r w:rsidRPr="00283724">
        <w:rPr>
          <w:rFonts w:ascii="Arial" w:eastAsia="Calibri" w:hAnsi="Arial" w:cs="Arial"/>
          <w:lang w:val="es-ES_tradnl" w:eastAsia="es-ES_tradnl"/>
        </w:rPr>
        <w:t xml:space="preserve">Agencia Nacional de Contratación Pública – Colombia Compra Eficiente la competencia para su expedición. </w:t>
      </w:r>
      <w:r w:rsidRPr="00283724">
        <w:rPr>
          <w:rFonts w:ascii="Arial" w:eastAsia="Calibri" w:hAnsi="Arial" w:cs="Arial"/>
          <w:lang w:val="es-ES_tradnl" w:eastAsia="es-ES"/>
        </w:rPr>
        <w:t xml:space="preserve">En este marco, con la finalidad de realizar un desarrollo armónico y ajustado de la ley que le otorga la mencionada competencia, esta Agencia expidió la Resolución 160 del 15 de septiembre de 2020, </w:t>
      </w:r>
      <w:r w:rsidRPr="00283724">
        <w:rPr>
          <w:rFonts w:ascii="Arial" w:eastAsia="Calibri" w:hAnsi="Arial" w:cs="Arial"/>
          <w:i/>
          <w:iCs/>
          <w:lang w:val="es-ES_tradnl" w:eastAsia="es-ES"/>
        </w:rPr>
        <w:t>“Por la cual se adopta el procedimiento para implementar los documentos tipo y se define el sistema para su revisión”.</w:t>
      </w:r>
      <w:r w:rsidRPr="00283724">
        <w:rPr>
          <w:rFonts w:ascii="Arial" w:eastAsia="Calibri" w:hAnsi="Arial" w:cs="Arial"/>
          <w:lang w:val="es-ES_tradnl" w:eastAsia="es-ES"/>
        </w:rPr>
        <w:t xml:space="preserve"> </w:t>
      </w:r>
    </w:p>
    <w:p w14:paraId="5466A9E0" w14:textId="77777777" w:rsidR="00BC5810" w:rsidRPr="00283724" w:rsidRDefault="00BC5810" w:rsidP="00BC5810">
      <w:pPr>
        <w:shd w:val="clear" w:color="auto" w:fill="FFFFFF"/>
        <w:spacing w:after="0" w:line="276" w:lineRule="auto"/>
        <w:ind w:firstLine="709"/>
        <w:jc w:val="both"/>
        <w:textAlignment w:val="baseline"/>
        <w:rPr>
          <w:rFonts w:ascii="Arial" w:eastAsia="Calibri" w:hAnsi="Arial" w:cs="Arial"/>
          <w:lang w:eastAsia="en-GB"/>
        </w:rPr>
      </w:pPr>
      <w:r w:rsidRPr="00283724">
        <w:rPr>
          <w:rFonts w:ascii="Arial" w:eastAsia="Calibri" w:hAnsi="Arial" w:cs="Arial"/>
          <w:lang w:eastAsia="es-ES_tradnl"/>
        </w:rPr>
        <w:t xml:space="preserve">De acuerdo con lo expuesto, </w:t>
      </w:r>
      <w:bookmarkStart w:id="19" w:name="_Hlk144073402"/>
      <w:r w:rsidRPr="00283724">
        <w:rPr>
          <w:rFonts w:ascii="Arial" w:eastAsia="Calibri" w:hAnsi="Arial" w:cs="Arial"/>
          <w:bdr w:val="none" w:sz="0" w:space="0" w:color="auto" w:frame="1"/>
          <w:lang w:eastAsia="es-ES_tradnl"/>
        </w:rPr>
        <w:t xml:space="preserve">los Documentos Tipo adoptados son obligatorios para las Entidades Estatales regidas por el </w:t>
      </w:r>
      <w:r w:rsidRPr="00283724">
        <w:rPr>
          <w:rFonts w:ascii="Arial" w:eastAsia="Calibri" w:hAnsi="Arial" w:cs="Arial"/>
          <w:bCs/>
          <w:lang w:val="es-ES_tradnl" w:eastAsia="es-ES_tradnl"/>
        </w:rPr>
        <w:t>EGCAP</w:t>
      </w:r>
      <w:r w:rsidRPr="00283724">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283724">
        <w:rPr>
          <w:rFonts w:ascii="Arial" w:eastAsia="Calibri" w:hAnsi="Arial" w:cs="Arial"/>
          <w:bdr w:val="none" w:sz="0" w:space="0" w:color="auto" w:frame="1"/>
          <w:vertAlign w:val="superscript"/>
          <w:lang w:eastAsia="es-ES_tradnl"/>
        </w:rPr>
        <w:footnoteReference w:id="15"/>
      </w:r>
      <w:r w:rsidRPr="00283724">
        <w:rPr>
          <w:rFonts w:ascii="Arial" w:eastAsia="Calibri" w:hAnsi="Arial" w:cs="Arial"/>
          <w:bdr w:val="none" w:sz="0" w:space="0" w:color="auto" w:frame="1"/>
          <w:lang w:eastAsia="es-ES_tradnl"/>
        </w:rPr>
        <w:t xml:space="preserve">. </w:t>
      </w:r>
      <w:r w:rsidRPr="00283724">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bookmarkEnd w:id="18"/>
    <w:bookmarkEnd w:id="19"/>
    <w:p w14:paraId="018FC8E0" w14:textId="77777777" w:rsidR="00BC5810" w:rsidRPr="00283724" w:rsidRDefault="00BC5810" w:rsidP="00BC5810">
      <w:pPr>
        <w:tabs>
          <w:tab w:val="left" w:pos="0"/>
        </w:tabs>
        <w:spacing w:after="0" w:line="276" w:lineRule="auto"/>
        <w:jc w:val="both"/>
        <w:rPr>
          <w:rFonts w:ascii="Arial" w:eastAsia="Calibri" w:hAnsi="Arial" w:cs="Arial"/>
          <w:b/>
          <w:lang w:val="es-ES_tradnl" w:eastAsia="es-ES_tradnl"/>
        </w:rPr>
      </w:pPr>
      <w:r w:rsidRPr="00283724">
        <w:rPr>
          <w:rFonts w:ascii="Arial" w:eastAsia="Calibri" w:hAnsi="Arial" w:cs="Arial"/>
          <w:lang w:eastAsia="en-GB"/>
        </w:rPr>
        <w:t xml:space="preserve"> </w:t>
      </w:r>
    </w:p>
    <w:p w14:paraId="51E27AB9" w14:textId="5A8A2363" w:rsidR="00A51631" w:rsidRPr="00283724" w:rsidRDefault="00A51631" w:rsidP="00A51631">
      <w:pPr>
        <w:spacing w:line="276" w:lineRule="auto"/>
        <w:contextualSpacing/>
        <w:jc w:val="both"/>
        <w:rPr>
          <w:rFonts w:ascii="Arial" w:eastAsia="Calibri" w:hAnsi="Arial" w:cs="Arial"/>
          <w:b/>
          <w:bCs/>
          <w:lang w:val="es-ES"/>
        </w:rPr>
      </w:pPr>
      <w:r w:rsidRPr="00283724">
        <w:rPr>
          <w:rFonts w:ascii="Arial" w:eastAsia="Calibri" w:hAnsi="Arial" w:cs="Arial"/>
          <w:b/>
          <w:bCs/>
          <w:lang w:val="es-ES"/>
        </w:rPr>
        <w:t>2.</w:t>
      </w:r>
      <w:r w:rsidR="00CD4FAF" w:rsidRPr="00283724">
        <w:rPr>
          <w:rFonts w:ascii="Arial" w:eastAsia="Calibri" w:hAnsi="Arial" w:cs="Arial"/>
          <w:b/>
          <w:bCs/>
          <w:lang w:val="es-ES"/>
        </w:rPr>
        <w:t>3</w:t>
      </w:r>
      <w:r w:rsidRPr="00283724">
        <w:rPr>
          <w:rFonts w:ascii="Arial" w:eastAsia="Calibri" w:hAnsi="Arial" w:cs="Arial"/>
          <w:b/>
          <w:bCs/>
          <w:lang w:val="es-ES"/>
        </w:rPr>
        <w:t xml:space="preserve">. Obligatoriedad de los </w:t>
      </w:r>
      <w:r w:rsidR="00CD4FAF" w:rsidRPr="00283724">
        <w:rPr>
          <w:rFonts w:ascii="Arial" w:eastAsia="Calibri" w:hAnsi="Arial" w:cs="Arial"/>
          <w:b/>
          <w:bCs/>
          <w:lang w:val="es-ES"/>
        </w:rPr>
        <w:t xml:space="preserve">Documentos Tipo </w:t>
      </w:r>
      <w:r w:rsidRPr="00283724">
        <w:rPr>
          <w:rFonts w:ascii="Arial" w:eastAsia="Calibri" w:hAnsi="Arial" w:cs="Arial"/>
          <w:b/>
          <w:bCs/>
          <w:lang w:val="es-ES"/>
        </w:rPr>
        <w:t xml:space="preserve">en los </w:t>
      </w:r>
      <w:r w:rsidR="00184C2E" w:rsidRPr="00283724">
        <w:rPr>
          <w:rFonts w:ascii="Arial" w:eastAsia="Calibri" w:hAnsi="Arial" w:cs="Arial"/>
          <w:b/>
          <w:bCs/>
          <w:lang w:val="es-ES"/>
        </w:rPr>
        <w:t xml:space="preserve">Procesos Contractuales </w:t>
      </w:r>
      <w:r w:rsidRPr="00283724">
        <w:rPr>
          <w:rFonts w:ascii="Arial" w:eastAsia="Calibri" w:hAnsi="Arial" w:cs="Arial"/>
          <w:b/>
          <w:bCs/>
          <w:lang w:val="es-ES"/>
        </w:rPr>
        <w:t>adelantados por las entidades sometidas al EGCAP</w:t>
      </w:r>
    </w:p>
    <w:p w14:paraId="788AE26C" w14:textId="77777777" w:rsidR="00A51631" w:rsidRPr="00283724" w:rsidRDefault="00A51631" w:rsidP="00A51631">
      <w:pPr>
        <w:spacing w:line="276" w:lineRule="auto"/>
        <w:contextualSpacing/>
        <w:jc w:val="both"/>
        <w:rPr>
          <w:rFonts w:ascii="Arial" w:eastAsia="Calibri" w:hAnsi="Arial" w:cs="Arial"/>
          <w:sz w:val="18"/>
          <w:szCs w:val="18"/>
        </w:rPr>
      </w:pPr>
    </w:p>
    <w:p w14:paraId="031D3390" w14:textId="420BD12E" w:rsidR="00A51631" w:rsidRPr="00283724" w:rsidRDefault="00CD4FAF" w:rsidP="00A51631">
      <w:pPr>
        <w:spacing w:after="120" w:line="276" w:lineRule="auto"/>
        <w:jc w:val="both"/>
        <w:rPr>
          <w:rFonts w:ascii="Arial" w:eastAsia="Calibri" w:hAnsi="Arial" w:cs="Arial"/>
        </w:rPr>
      </w:pPr>
      <w:bookmarkStart w:id="20" w:name="_Hlk104104496"/>
      <w:r w:rsidRPr="00283724">
        <w:rPr>
          <w:rFonts w:ascii="Arial" w:eastAsia="Calibri" w:hAnsi="Arial" w:cs="Arial"/>
        </w:rPr>
        <w:t xml:space="preserve">Conforme lo expuesto en el numeral anterior, </w:t>
      </w:r>
      <w:r w:rsidR="00A51631" w:rsidRPr="00283724">
        <w:rPr>
          <w:rFonts w:ascii="Arial" w:eastAsia="Calibri" w:hAnsi="Arial" w:cs="Arial"/>
        </w:rPr>
        <w:t>La Ley 2022 de 2020 señala, en su artículo 1</w:t>
      </w:r>
      <w:r w:rsidR="00A51631" w:rsidRPr="00283724">
        <w:rPr>
          <w:rStyle w:val="Refdenotaalpie"/>
          <w:rFonts w:ascii="Arial" w:hAnsi="Arial" w:cs="Arial"/>
          <w:bdr w:val="none" w:sz="0" w:space="0" w:color="auto" w:frame="1"/>
          <w:lang w:eastAsia="es-CO"/>
        </w:rPr>
        <w:footnoteReference w:id="16"/>
      </w:r>
      <w:r w:rsidR="00A51631" w:rsidRPr="00283724">
        <w:rPr>
          <w:rFonts w:ascii="Arial" w:eastAsia="Calibri" w:hAnsi="Arial" w:cs="Arial"/>
        </w:rPr>
        <w:t xml:space="preserve">, que los </w:t>
      </w:r>
      <w:r w:rsidR="00184C2E" w:rsidRPr="00283724">
        <w:rPr>
          <w:rFonts w:ascii="Arial" w:eastAsia="Calibri" w:hAnsi="Arial" w:cs="Arial"/>
        </w:rPr>
        <w:t xml:space="preserve">Documentos Tipo </w:t>
      </w:r>
      <w:r w:rsidR="00A51631" w:rsidRPr="00283724">
        <w:rPr>
          <w:rFonts w:ascii="Arial" w:eastAsia="Calibri" w:hAnsi="Arial" w:cs="Arial"/>
        </w:rPr>
        <w:t xml:space="preserve">adoptados por la Agencia Nacional de Contratación Pública </w:t>
      </w:r>
      <w:r w:rsidRPr="00283724">
        <w:rPr>
          <w:rFonts w:ascii="Arial" w:eastAsia="Calibri" w:hAnsi="Arial" w:cs="Arial"/>
        </w:rPr>
        <w:t xml:space="preserve">– Colombia Compra Eficiente </w:t>
      </w:r>
      <w:r w:rsidR="00A51631" w:rsidRPr="00283724">
        <w:rPr>
          <w:rFonts w:ascii="Arial" w:eastAsia="Calibri" w:hAnsi="Arial" w:cs="Arial"/>
        </w:rPr>
        <w:t xml:space="preserve">son de </w:t>
      </w:r>
      <w:r w:rsidR="00A51631" w:rsidRPr="00283724">
        <w:rPr>
          <w:rFonts w:ascii="Arial" w:eastAsia="Calibri" w:hAnsi="Arial" w:cs="Arial"/>
          <w:i/>
        </w:rPr>
        <w:t>obligatorio</w:t>
      </w:r>
      <w:r w:rsidR="00A51631" w:rsidRPr="00283724">
        <w:rPr>
          <w:rFonts w:ascii="Arial" w:eastAsia="Calibri" w:hAnsi="Arial" w:cs="Arial"/>
        </w:rPr>
        <w:t xml:space="preserve"> cumplimiento por todas las </w:t>
      </w:r>
      <w:r w:rsidRPr="00283724">
        <w:rPr>
          <w:rFonts w:ascii="Arial" w:eastAsia="Calibri" w:hAnsi="Arial" w:cs="Arial"/>
        </w:rPr>
        <w:t xml:space="preserve">Entidades </w:t>
      </w:r>
      <w:r w:rsidRPr="00283724">
        <w:rPr>
          <w:rFonts w:ascii="Arial" w:eastAsia="Calibri" w:hAnsi="Arial" w:cs="Arial"/>
        </w:rPr>
        <w:lastRenderedPageBreak/>
        <w:t>Públicas</w:t>
      </w:r>
      <w:r w:rsidR="00A51631" w:rsidRPr="00283724">
        <w:rPr>
          <w:rFonts w:ascii="Arial" w:eastAsia="Calibri" w:hAnsi="Arial" w:cs="Arial"/>
        </w:rPr>
        <w:t xml:space="preserve">, cuyo régimen de contratación sea el EGCAP. Esta obligatoriedad implica, a su vez, que las </w:t>
      </w:r>
      <w:r w:rsidR="00184C2E" w:rsidRPr="00283724">
        <w:rPr>
          <w:rFonts w:ascii="Arial" w:eastAsia="Calibri" w:hAnsi="Arial" w:cs="Arial"/>
        </w:rPr>
        <w:t xml:space="preserve">Entidades Estatales </w:t>
      </w:r>
      <w:r w:rsidR="00A51631" w:rsidRPr="00283724">
        <w:rPr>
          <w:rFonts w:ascii="Arial" w:eastAsia="Calibri" w:hAnsi="Arial" w:cs="Arial"/>
        </w:rPr>
        <w:t xml:space="preserve">tengan que adelantar los </w:t>
      </w:r>
      <w:r w:rsidR="00B661FD" w:rsidRPr="00283724">
        <w:rPr>
          <w:rFonts w:ascii="Arial" w:eastAsia="Calibri" w:hAnsi="Arial" w:cs="Arial"/>
        </w:rPr>
        <w:t xml:space="preserve">Procesos </w:t>
      </w:r>
      <w:r w:rsidR="00A51631" w:rsidRPr="00283724">
        <w:rPr>
          <w:rFonts w:ascii="Arial" w:eastAsia="Calibri" w:hAnsi="Arial" w:cs="Arial"/>
        </w:rPr>
        <w:t xml:space="preserve">de </w:t>
      </w:r>
      <w:r w:rsidR="00B661FD" w:rsidRPr="00283724">
        <w:rPr>
          <w:rFonts w:ascii="Arial" w:eastAsia="Calibri" w:hAnsi="Arial" w:cs="Arial"/>
        </w:rPr>
        <w:t xml:space="preserve">Contratación </w:t>
      </w:r>
      <w:r w:rsidR="00A51631" w:rsidRPr="00283724">
        <w:rPr>
          <w:rFonts w:ascii="Arial" w:eastAsia="Calibri" w:hAnsi="Arial" w:cs="Arial"/>
        </w:rPr>
        <w:t xml:space="preserve">bajo las condiciones establecidas en los </w:t>
      </w:r>
      <w:r w:rsidR="00762654" w:rsidRPr="00283724">
        <w:rPr>
          <w:rFonts w:ascii="Arial" w:eastAsia="Calibri" w:hAnsi="Arial" w:cs="Arial"/>
        </w:rPr>
        <w:t xml:space="preserve">Documentos Tipo </w:t>
      </w:r>
      <w:r w:rsidR="00A51631" w:rsidRPr="00283724">
        <w:rPr>
          <w:rFonts w:ascii="Arial" w:eastAsia="Calibri" w:hAnsi="Arial" w:cs="Arial"/>
        </w:rPr>
        <w:t xml:space="preserve">que rijan para el objeto a contratar y el procedimiento de selección aplicables, sin que puedan variarse los requisitos fijados en ellos. Lo anterior, por cuanto los </w:t>
      </w:r>
      <w:r w:rsidR="003B1BE0" w:rsidRPr="00283724">
        <w:rPr>
          <w:rFonts w:ascii="Arial" w:eastAsia="Calibri" w:hAnsi="Arial" w:cs="Arial"/>
        </w:rPr>
        <w:t xml:space="preserve">Documentos Tipo </w:t>
      </w:r>
      <w:r w:rsidR="00A51631" w:rsidRPr="00283724">
        <w:rPr>
          <w:rFonts w:ascii="Arial" w:eastAsia="Calibri" w:hAnsi="Arial" w:cs="Arial"/>
        </w:rPr>
        <w:t xml:space="preserve">se caracterizan por ser inalterables, es decir, que las </w:t>
      </w:r>
      <w:r w:rsidR="004E0532" w:rsidRPr="00283724">
        <w:rPr>
          <w:rFonts w:ascii="Arial" w:eastAsia="Calibri" w:hAnsi="Arial" w:cs="Arial"/>
        </w:rPr>
        <w:t xml:space="preserve">Entidades Públicas </w:t>
      </w:r>
      <w:r w:rsidR="00A51631" w:rsidRPr="00283724">
        <w:rPr>
          <w:rFonts w:ascii="Arial" w:eastAsia="Calibri" w:hAnsi="Arial" w:cs="Arial"/>
        </w:rPr>
        <w:t xml:space="preserve">carecen de la facultad de modificarlos, con excepción de aquellos aspectos que pueden diligenciar, que son las descripciones que están incluidas entre corchetes y resaltadas en gris en cada uno de los </w:t>
      </w:r>
      <w:r w:rsidR="004E0532" w:rsidRPr="00283724">
        <w:rPr>
          <w:rFonts w:ascii="Arial" w:eastAsia="Calibri" w:hAnsi="Arial" w:cs="Arial"/>
        </w:rPr>
        <w:t>Documentos Tipo</w:t>
      </w:r>
      <w:r w:rsidR="00A51631" w:rsidRPr="00283724">
        <w:rPr>
          <w:rFonts w:ascii="Arial" w:eastAsia="Calibri" w:hAnsi="Arial" w:cs="Arial"/>
        </w:rPr>
        <w:t xml:space="preserve">. </w:t>
      </w:r>
    </w:p>
    <w:bookmarkEnd w:id="20"/>
    <w:p w14:paraId="124FC533" w14:textId="25FD35AA" w:rsidR="00A51631" w:rsidRPr="00283724" w:rsidRDefault="00A51631" w:rsidP="00A51631">
      <w:pPr>
        <w:spacing w:after="120" w:line="276" w:lineRule="auto"/>
        <w:ind w:firstLine="709"/>
        <w:jc w:val="both"/>
        <w:rPr>
          <w:rFonts w:ascii="Arial" w:eastAsia="Calibri" w:hAnsi="Arial" w:cs="Arial"/>
          <w:lang w:val="es-ES"/>
        </w:rPr>
      </w:pPr>
      <w:r w:rsidRPr="00283724">
        <w:rPr>
          <w:rFonts w:ascii="Arial" w:eastAsia="Calibri" w:hAnsi="Arial" w:cs="Arial"/>
          <w:shd w:val="clear" w:color="auto" w:fill="FFFFFF"/>
          <w:lang w:val="es-ES"/>
        </w:rPr>
        <w:t xml:space="preserve">De acuerdo con lo expuesto, </w:t>
      </w:r>
      <w:r w:rsidRPr="00283724">
        <w:rPr>
          <w:rFonts w:ascii="Arial" w:eastAsia="Calibri" w:hAnsi="Arial" w:cs="Arial"/>
          <w:lang w:val="es-ES"/>
        </w:rPr>
        <w:t xml:space="preserve">las </w:t>
      </w:r>
      <w:r w:rsidR="004E0532" w:rsidRPr="00283724">
        <w:rPr>
          <w:rFonts w:ascii="Arial" w:eastAsia="Calibri" w:hAnsi="Arial" w:cs="Arial"/>
          <w:lang w:val="es-ES"/>
        </w:rPr>
        <w:t xml:space="preserve">Entidades Estatales </w:t>
      </w:r>
      <w:r w:rsidRPr="00283724">
        <w:rPr>
          <w:rFonts w:ascii="Arial" w:eastAsia="Calibri" w:hAnsi="Arial" w:cs="Arial"/>
          <w:lang w:val="es-ES"/>
        </w:rPr>
        <w:t xml:space="preserve">regidas por el </w:t>
      </w:r>
      <w:r w:rsidR="004E0532" w:rsidRPr="00283724">
        <w:rPr>
          <w:rFonts w:ascii="Arial" w:eastAsia="Calibri" w:hAnsi="Arial" w:cs="Arial"/>
          <w:lang w:val="es-ES"/>
        </w:rPr>
        <w:t>EGCAP</w:t>
      </w:r>
      <w:r w:rsidRPr="00283724">
        <w:rPr>
          <w:rFonts w:ascii="Arial" w:eastAsia="Calibri" w:hAnsi="Arial" w:cs="Arial"/>
          <w:lang w:val="es-ES"/>
        </w:rPr>
        <w:t xml:space="preserve">, de conformidad con el parágrafo 7 del artículo 2 de la Ley 1150 de 2007, adicionado por la Ley 1882 de 2018 y modificado por la Ley 2022 de 2020, se encuentran obligadas a aplicar los </w:t>
      </w:r>
      <w:r w:rsidR="00CE56B8" w:rsidRPr="00283724">
        <w:rPr>
          <w:rFonts w:ascii="Arial" w:eastAsia="Calibri" w:hAnsi="Arial" w:cs="Arial"/>
          <w:lang w:val="es-ES"/>
        </w:rPr>
        <w:t xml:space="preserve">Documentos Tipo </w:t>
      </w:r>
      <w:r w:rsidRPr="00283724">
        <w:rPr>
          <w:rFonts w:ascii="Arial" w:eastAsia="Calibri" w:hAnsi="Arial" w:cs="Arial"/>
          <w:lang w:val="es-ES"/>
        </w:rPr>
        <w:t xml:space="preserve">implementados por esta Agencia para adelantar los </w:t>
      </w:r>
      <w:r w:rsidR="000B4EB3" w:rsidRPr="00283724">
        <w:rPr>
          <w:rFonts w:ascii="Arial" w:eastAsia="Calibri" w:hAnsi="Arial" w:cs="Arial"/>
          <w:lang w:val="es-ES"/>
        </w:rPr>
        <w:t xml:space="preserve">Procesos </w:t>
      </w:r>
      <w:r w:rsidRPr="00283724">
        <w:rPr>
          <w:rFonts w:ascii="Arial" w:eastAsia="Calibri" w:hAnsi="Arial" w:cs="Arial"/>
          <w:lang w:val="es-ES"/>
        </w:rPr>
        <w:t xml:space="preserve">de </w:t>
      </w:r>
      <w:r w:rsidR="000B4EB3" w:rsidRPr="00283724">
        <w:rPr>
          <w:rFonts w:ascii="Arial" w:eastAsia="Calibri" w:hAnsi="Arial" w:cs="Arial"/>
          <w:lang w:val="es-ES"/>
        </w:rPr>
        <w:t xml:space="preserve">Contratación </w:t>
      </w:r>
      <w:r w:rsidRPr="00283724">
        <w:rPr>
          <w:rFonts w:ascii="Arial" w:eastAsia="Calibri" w:hAnsi="Arial" w:cs="Arial"/>
          <w:lang w:val="es-ES"/>
        </w:rPr>
        <w:t xml:space="preserve">que se encuentren cobijados por los </w:t>
      </w:r>
      <w:r w:rsidR="000B4EB3" w:rsidRPr="00283724">
        <w:rPr>
          <w:rFonts w:ascii="Arial" w:eastAsia="Calibri" w:hAnsi="Arial" w:cs="Arial"/>
          <w:lang w:val="es-ES"/>
        </w:rPr>
        <w:t xml:space="preserve">Documentos Tipo </w:t>
      </w:r>
      <w:r w:rsidRPr="00283724">
        <w:rPr>
          <w:rFonts w:ascii="Arial" w:eastAsia="Calibri" w:hAnsi="Arial" w:cs="Arial"/>
          <w:lang w:val="es-ES"/>
        </w:rPr>
        <w:t xml:space="preserve">expedidos. Sin embargo, si el objeto contractual no se relaciona con actividades u objetos contractuales descritos en los </w:t>
      </w:r>
      <w:r w:rsidR="00CE56B8" w:rsidRPr="00283724">
        <w:rPr>
          <w:rFonts w:ascii="Arial" w:eastAsia="Calibri" w:hAnsi="Arial" w:cs="Arial"/>
          <w:lang w:val="es-ES"/>
        </w:rPr>
        <w:t xml:space="preserve">Documentos Tipo </w:t>
      </w:r>
      <w:r w:rsidRPr="00283724">
        <w:rPr>
          <w:rFonts w:ascii="Arial" w:eastAsia="Calibri" w:hAnsi="Arial" w:cs="Arial"/>
          <w:lang w:val="es-ES"/>
        </w:rPr>
        <w:t xml:space="preserve">que han sido expedidos por Colombia Compra Eficiente, o estos no aplican a la modalidad de escogencia aplicable, no será obligatorio aplicar los </w:t>
      </w:r>
      <w:r w:rsidR="002643F2" w:rsidRPr="00283724">
        <w:rPr>
          <w:rFonts w:ascii="Arial" w:eastAsia="Calibri" w:hAnsi="Arial" w:cs="Arial"/>
          <w:lang w:val="es-ES"/>
        </w:rPr>
        <w:t>Pliegos Tipo</w:t>
      </w:r>
      <w:r w:rsidRPr="00283724">
        <w:rPr>
          <w:rFonts w:ascii="Arial" w:eastAsia="Calibri" w:hAnsi="Arial" w:cs="Arial"/>
          <w:lang w:val="es-ES"/>
        </w:rPr>
        <w:t xml:space="preserve">. </w:t>
      </w:r>
    </w:p>
    <w:p w14:paraId="194CFD9D" w14:textId="6A624A11" w:rsidR="00A51631" w:rsidRPr="00283724" w:rsidRDefault="00A51631" w:rsidP="00A51631">
      <w:pPr>
        <w:spacing w:after="120" w:line="276" w:lineRule="auto"/>
        <w:ind w:firstLine="709"/>
        <w:jc w:val="both"/>
        <w:rPr>
          <w:rFonts w:ascii="Arial" w:eastAsia="Calibri" w:hAnsi="Arial" w:cs="Arial"/>
          <w:lang w:val="es-ES_tradnl"/>
        </w:rPr>
      </w:pPr>
      <w:r w:rsidRPr="00283724">
        <w:rPr>
          <w:rFonts w:ascii="Arial" w:eastAsia="Calibri" w:hAnsi="Arial" w:cs="Arial"/>
          <w:lang w:val="es-ES"/>
        </w:rPr>
        <w:t xml:space="preserve">Además del objeto y la modalidad de escogencia aplicable, para delimitar de forma más precisa el ámbito de aplicación de cada uno de los </w:t>
      </w:r>
      <w:r w:rsidR="00AF3CC7" w:rsidRPr="00283724">
        <w:rPr>
          <w:rFonts w:ascii="Arial" w:eastAsia="Calibri" w:hAnsi="Arial" w:cs="Arial"/>
          <w:lang w:val="es-ES"/>
        </w:rPr>
        <w:t xml:space="preserve">Documentos Tipo </w:t>
      </w:r>
      <w:r w:rsidRPr="00283724">
        <w:rPr>
          <w:rFonts w:ascii="Arial" w:eastAsia="Calibri" w:hAnsi="Arial" w:cs="Arial"/>
          <w:lang w:val="es-ES"/>
        </w:rPr>
        <w:t xml:space="preserve">será necesario analizar la matriz de experiencia asociada a cada uno de ellos, pues estos aplicarán a los proyectos y/o actividades específicas contempladas en cada una de dichas matrices de experiencia. En este sentido, la matriz de experiencia de cada uno de los </w:t>
      </w:r>
      <w:r w:rsidR="00AF3508" w:rsidRPr="00283724">
        <w:rPr>
          <w:rFonts w:ascii="Arial" w:eastAsia="Calibri" w:hAnsi="Arial" w:cs="Arial"/>
          <w:lang w:val="es-ES"/>
        </w:rPr>
        <w:t>Documentos Tipo</w:t>
      </w:r>
      <w:r w:rsidRPr="00283724">
        <w:rPr>
          <w:rFonts w:ascii="Arial" w:eastAsia="Calibri" w:hAnsi="Arial" w:cs="Arial"/>
          <w:lang w:val="es-ES"/>
        </w:rPr>
        <w:t xml:space="preserve">, además de estandarizar este importante requisito en los procedimientos de selección, delimita o precisa el ámbito de aplicación de </w:t>
      </w:r>
      <w:r w:rsidR="00594C43" w:rsidRPr="00283724">
        <w:rPr>
          <w:rFonts w:ascii="Arial" w:eastAsia="Calibri" w:hAnsi="Arial" w:cs="Arial"/>
          <w:lang w:val="es-ES"/>
        </w:rPr>
        <w:t>estos</w:t>
      </w:r>
      <w:r w:rsidRPr="00283724">
        <w:rPr>
          <w:rFonts w:ascii="Arial" w:eastAsia="Calibri" w:hAnsi="Arial" w:cs="Arial"/>
          <w:lang w:val="es-ES"/>
        </w:rPr>
        <w:t>, por lo que aplicarán a las actividades establecidas en cada una de estas matrices</w:t>
      </w:r>
      <w:r w:rsidRPr="00283724">
        <w:rPr>
          <w:rStyle w:val="Refdenotaalpie"/>
          <w:rFonts w:ascii="Arial" w:eastAsia="Calibri" w:hAnsi="Arial" w:cs="Arial"/>
          <w:lang w:val="es-ES"/>
        </w:rPr>
        <w:footnoteReference w:id="17"/>
      </w:r>
      <w:r w:rsidRPr="00283724">
        <w:rPr>
          <w:rFonts w:ascii="Arial" w:eastAsia="Calibri" w:hAnsi="Arial" w:cs="Arial"/>
          <w:lang w:val="es-ES"/>
        </w:rPr>
        <w:t>.</w:t>
      </w:r>
    </w:p>
    <w:p w14:paraId="39AA3079" w14:textId="1C4E917D" w:rsidR="00A51631" w:rsidRPr="00283724" w:rsidRDefault="00A51631" w:rsidP="00A51631">
      <w:pPr>
        <w:spacing w:after="120" w:line="276" w:lineRule="auto"/>
        <w:jc w:val="both"/>
        <w:rPr>
          <w:rFonts w:ascii="Arial" w:hAnsi="Arial" w:cs="Arial"/>
          <w:lang w:val="es-ES"/>
        </w:rPr>
      </w:pPr>
      <w:r w:rsidRPr="00283724">
        <w:rPr>
          <w:rFonts w:ascii="Arial" w:hAnsi="Arial" w:cs="Arial"/>
          <w:lang w:val="es-ES"/>
        </w:rPr>
        <w:tab/>
      </w:r>
      <w:bookmarkStart w:id="21" w:name="_Hlk104104535"/>
      <w:r w:rsidRPr="00283724">
        <w:rPr>
          <w:rFonts w:ascii="Arial" w:hAnsi="Arial" w:cs="Arial"/>
          <w:lang w:val="es-ES"/>
        </w:rPr>
        <w:t xml:space="preserve">En conclusión, la definición de si a un </w:t>
      </w:r>
      <w:r w:rsidR="00A32BB5" w:rsidRPr="00283724">
        <w:rPr>
          <w:rFonts w:ascii="Arial" w:hAnsi="Arial" w:cs="Arial"/>
          <w:lang w:val="es-ES"/>
        </w:rPr>
        <w:t xml:space="preserve">Proceso </w:t>
      </w:r>
      <w:r w:rsidRPr="00283724">
        <w:rPr>
          <w:rFonts w:ascii="Arial" w:hAnsi="Arial" w:cs="Arial"/>
          <w:lang w:val="es-ES"/>
        </w:rPr>
        <w:t xml:space="preserve">de </w:t>
      </w:r>
      <w:r w:rsidR="00A32BB5" w:rsidRPr="00283724">
        <w:rPr>
          <w:rFonts w:ascii="Arial" w:hAnsi="Arial" w:cs="Arial"/>
          <w:lang w:val="es-ES"/>
        </w:rPr>
        <w:t xml:space="preserve">Contratación </w:t>
      </w:r>
      <w:r w:rsidRPr="00283724">
        <w:rPr>
          <w:rFonts w:ascii="Arial" w:hAnsi="Arial" w:cs="Arial"/>
          <w:lang w:val="es-ES"/>
        </w:rPr>
        <w:t xml:space="preserve">le aplican los </w:t>
      </w:r>
      <w:r w:rsidR="00F522EF" w:rsidRPr="00283724">
        <w:rPr>
          <w:rFonts w:ascii="Arial" w:hAnsi="Arial" w:cs="Arial"/>
          <w:lang w:val="es-ES"/>
        </w:rPr>
        <w:t>Documentos Tipo</w:t>
      </w:r>
      <w:r w:rsidRPr="00283724">
        <w:rPr>
          <w:rFonts w:ascii="Arial" w:hAnsi="Arial" w:cs="Arial"/>
          <w:lang w:val="es-ES"/>
        </w:rPr>
        <w:t xml:space="preserve"> radicará en si el contrato a ejecutar se enmarca dentro de las actividades establecidas en la matriz de experiencia del </w:t>
      </w:r>
      <w:r w:rsidR="00E84EC0" w:rsidRPr="00283724">
        <w:rPr>
          <w:rFonts w:ascii="Arial" w:hAnsi="Arial" w:cs="Arial"/>
          <w:lang w:val="es-ES"/>
        </w:rPr>
        <w:t>Documento Tipo</w:t>
      </w:r>
      <w:r w:rsidRPr="00283724">
        <w:rPr>
          <w:rFonts w:ascii="Arial" w:hAnsi="Arial" w:cs="Arial"/>
          <w:lang w:val="es-ES"/>
        </w:rPr>
        <w:t xml:space="preserve">, de modo que las </w:t>
      </w:r>
      <w:r w:rsidR="00E84EC0" w:rsidRPr="00283724">
        <w:rPr>
          <w:rFonts w:ascii="Arial" w:hAnsi="Arial" w:cs="Arial"/>
          <w:lang w:val="es-ES"/>
        </w:rPr>
        <w:t xml:space="preserve">Entidades Estatales </w:t>
      </w:r>
      <w:r w:rsidRPr="00283724">
        <w:rPr>
          <w:rFonts w:ascii="Arial" w:hAnsi="Arial" w:cs="Arial"/>
          <w:lang w:val="es-ES"/>
        </w:rPr>
        <w:t xml:space="preserve">sometidas al </w:t>
      </w:r>
      <w:r w:rsidR="00E84EC0" w:rsidRPr="00283724">
        <w:rPr>
          <w:rFonts w:ascii="Arial" w:hAnsi="Arial" w:cs="Arial"/>
          <w:lang w:val="es-ES"/>
        </w:rPr>
        <w:t>EGCAP</w:t>
      </w:r>
      <w:r w:rsidRPr="00283724">
        <w:rPr>
          <w:rFonts w:ascii="Arial" w:hAnsi="Arial" w:cs="Arial"/>
          <w:lang w:val="es-ES"/>
        </w:rPr>
        <w:t xml:space="preserve"> deberán aplicar los </w:t>
      </w:r>
      <w:r w:rsidR="00D116A7" w:rsidRPr="00283724">
        <w:rPr>
          <w:rFonts w:ascii="Arial" w:hAnsi="Arial" w:cs="Arial"/>
          <w:lang w:val="es-ES"/>
        </w:rPr>
        <w:t xml:space="preserve">Documentos Tipo </w:t>
      </w:r>
      <w:r w:rsidRPr="00283724">
        <w:rPr>
          <w:rFonts w:ascii="Arial" w:hAnsi="Arial" w:cs="Arial"/>
          <w:lang w:val="es-ES"/>
        </w:rPr>
        <w:t xml:space="preserve">en dichos supuestos. En todo caso, independientemente de la correspondencia entre el objeto a contratar y alguna de las actividades tipificadas en las matrices de experiencia, la aplicación del </w:t>
      </w:r>
      <w:r w:rsidR="00D116A7" w:rsidRPr="00283724">
        <w:rPr>
          <w:rFonts w:ascii="Arial" w:hAnsi="Arial" w:cs="Arial"/>
          <w:lang w:val="es-ES"/>
        </w:rPr>
        <w:t xml:space="preserve">Documento Tipo </w:t>
      </w:r>
      <w:r w:rsidRPr="00283724">
        <w:rPr>
          <w:rFonts w:ascii="Arial" w:hAnsi="Arial" w:cs="Arial"/>
          <w:lang w:val="es-ES"/>
        </w:rPr>
        <w:t xml:space="preserve">solo será forzosa, si además el correspondiente </w:t>
      </w:r>
      <w:r w:rsidR="00D116A7" w:rsidRPr="00283724">
        <w:rPr>
          <w:rFonts w:ascii="Arial" w:hAnsi="Arial" w:cs="Arial"/>
          <w:lang w:val="es-ES"/>
        </w:rPr>
        <w:t>Documento Ti</w:t>
      </w:r>
      <w:r w:rsidRPr="00283724">
        <w:rPr>
          <w:rFonts w:ascii="Arial" w:hAnsi="Arial" w:cs="Arial"/>
          <w:lang w:val="es-ES"/>
        </w:rPr>
        <w:t xml:space="preserve">po ha sido expedido para la modalidad de escogencia en la que se debe adelantar el proceso de selección. </w:t>
      </w:r>
    </w:p>
    <w:p w14:paraId="3D17B75F" w14:textId="09497417" w:rsidR="00A51631" w:rsidRPr="00283724" w:rsidRDefault="00A51631" w:rsidP="00DF2AD5">
      <w:pPr>
        <w:spacing w:after="0" w:line="276" w:lineRule="auto"/>
        <w:jc w:val="both"/>
        <w:rPr>
          <w:rFonts w:ascii="Arial" w:hAnsi="Arial" w:cs="Arial"/>
          <w:lang w:val="es-ES"/>
        </w:rPr>
      </w:pPr>
      <w:bookmarkStart w:id="22" w:name="_Hlk104104642"/>
      <w:bookmarkEnd w:id="21"/>
      <w:r w:rsidRPr="00283724">
        <w:rPr>
          <w:rFonts w:ascii="Arial" w:hAnsi="Arial" w:cs="Arial"/>
          <w:lang w:val="es-ES"/>
        </w:rPr>
        <w:lastRenderedPageBreak/>
        <w:tab/>
        <w:t xml:space="preserve">Según lo explicado en el numeral anterior, esta Agencia ha expedido diversos grupos de </w:t>
      </w:r>
      <w:r w:rsidR="00D116A7" w:rsidRPr="00283724">
        <w:rPr>
          <w:rFonts w:ascii="Arial" w:hAnsi="Arial" w:cs="Arial"/>
          <w:lang w:val="es-ES"/>
        </w:rPr>
        <w:t xml:space="preserve">Documentos Tipo </w:t>
      </w:r>
      <w:r w:rsidRPr="00283724">
        <w:rPr>
          <w:rFonts w:ascii="Arial" w:hAnsi="Arial" w:cs="Arial"/>
          <w:lang w:val="es-ES"/>
        </w:rPr>
        <w:t xml:space="preserve">aplicables principalmente a la contratación de obras públicas de infraestructura de transporte, agua potable, saneamiento básico y social, pero también para interventoría y consultoría de estudios de ingeniería. De conformidad con las modalidades de selección establecidas en el artículo 2 de la Ley 1150 de 2007, estos </w:t>
      </w:r>
      <w:r w:rsidR="00A97838" w:rsidRPr="00283724">
        <w:rPr>
          <w:rFonts w:ascii="Arial" w:hAnsi="Arial" w:cs="Arial"/>
          <w:lang w:val="es-ES"/>
        </w:rPr>
        <w:t xml:space="preserve">Documentos Tipo </w:t>
      </w:r>
      <w:r w:rsidRPr="00283724">
        <w:rPr>
          <w:rFonts w:ascii="Arial" w:hAnsi="Arial" w:cs="Arial"/>
          <w:lang w:val="es-ES"/>
        </w:rPr>
        <w:t xml:space="preserve">se han expedido para las modalidades de selección de licitación pública, selección abreviada de menor cuantía y concurso de méritos. </w:t>
      </w:r>
      <w:r w:rsidR="00A97838" w:rsidRPr="00283724">
        <w:rPr>
          <w:rFonts w:ascii="Arial" w:hAnsi="Arial" w:cs="Arial"/>
          <w:lang w:val="es-ES"/>
        </w:rPr>
        <w:t>Asimismo, l</w:t>
      </w:r>
      <w:r w:rsidRPr="00283724">
        <w:rPr>
          <w:rFonts w:ascii="Arial" w:hAnsi="Arial" w:cs="Arial"/>
          <w:lang w:val="es-ES"/>
        </w:rPr>
        <w:t xml:space="preserve">a Agencia también ha expedido documentos tipo para la modalidad de selección de contratación directa, reglamentada en la Subsección 4 de la Sección 1 del Capítulo 2 del Decreto 1082 de 2015, concretamente, los expedidos mediante la Resolución 269 de 2020, </w:t>
      </w:r>
      <w:r w:rsidR="004E437A" w:rsidRPr="00283724">
        <w:rPr>
          <w:rFonts w:ascii="Arial" w:hAnsi="Arial" w:cs="Arial"/>
          <w:lang w:val="es-ES"/>
        </w:rPr>
        <w:t>“</w:t>
      </w:r>
      <w:r w:rsidRPr="00283724">
        <w:rPr>
          <w:rFonts w:ascii="Arial" w:hAnsi="Arial" w:cs="Arial"/>
          <w:lang w:val="es-ES"/>
        </w:rPr>
        <w:t>Por la cual se adopta el documento tipo para los procesos de gestión catastral con enfoque multipropósito que se celebren a través de contratos interadministrativos</w:t>
      </w:r>
      <w:bookmarkStart w:id="23" w:name="_1fob9te" w:colFirst="0" w:colLast="0"/>
      <w:bookmarkEnd w:id="22"/>
      <w:bookmarkEnd w:id="23"/>
      <w:r w:rsidR="004E437A" w:rsidRPr="00283724">
        <w:rPr>
          <w:rFonts w:ascii="Arial" w:hAnsi="Arial" w:cs="Arial"/>
          <w:lang w:val="es-ES"/>
        </w:rPr>
        <w:t>”</w:t>
      </w:r>
      <w:r w:rsidR="00B47855" w:rsidRPr="00283724">
        <w:rPr>
          <w:rFonts w:ascii="Arial" w:hAnsi="Arial" w:cs="Arial"/>
          <w:lang w:val="es-ES"/>
        </w:rPr>
        <w:t xml:space="preserve"> y </w:t>
      </w:r>
      <w:r w:rsidR="00DF2AD5" w:rsidRPr="00283724">
        <w:rPr>
          <w:rFonts w:ascii="Arial" w:hAnsi="Arial" w:cs="Arial"/>
          <w:lang w:val="es-ES"/>
        </w:rPr>
        <w:t xml:space="preserve">la </w:t>
      </w:r>
      <w:r w:rsidR="00DF2AD5" w:rsidRPr="00283724">
        <w:rPr>
          <w:rFonts w:ascii="Arial" w:hAnsi="Arial" w:cs="Arial"/>
          <w:shd w:val="clear" w:color="auto" w:fill="FFFFFF"/>
        </w:rPr>
        <w:t>Resolución 358 del 30 de junio de 2023 “Por la cual se adopta el documento tipo para la contratación directa de convenios solidarios para la ejecución de obras hasta la menor cuantía con organismos de acción comunal”.</w:t>
      </w:r>
    </w:p>
    <w:p w14:paraId="507F6ACF" w14:textId="77777777" w:rsidR="004E437A" w:rsidRPr="00283724" w:rsidRDefault="004E437A" w:rsidP="00CB2B9A">
      <w:pPr>
        <w:spacing w:after="0" w:line="276" w:lineRule="auto"/>
        <w:jc w:val="both"/>
        <w:rPr>
          <w:rFonts w:ascii="Arial" w:eastAsia="Calibri" w:hAnsi="Arial" w:cs="Arial"/>
          <w:b/>
          <w:lang w:val="es-ES_tradnl" w:eastAsia="es-ES_tradnl"/>
        </w:rPr>
      </w:pPr>
    </w:p>
    <w:p w14:paraId="0419EC55" w14:textId="7A11669D" w:rsidR="00BC5810" w:rsidRPr="00283724" w:rsidRDefault="00BC5810" w:rsidP="00BC5810">
      <w:pPr>
        <w:tabs>
          <w:tab w:val="left" w:pos="0"/>
        </w:tabs>
        <w:spacing w:after="0" w:line="276" w:lineRule="auto"/>
        <w:jc w:val="both"/>
        <w:rPr>
          <w:rFonts w:ascii="Arial" w:eastAsia="Calibri" w:hAnsi="Arial" w:cs="Arial"/>
          <w:b/>
          <w:lang w:val="es-ES_tradnl" w:eastAsia="es-ES_tradnl"/>
        </w:rPr>
      </w:pPr>
      <w:r w:rsidRPr="00283724">
        <w:rPr>
          <w:rFonts w:ascii="Arial" w:eastAsia="Calibri" w:hAnsi="Arial" w:cs="Arial"/>
          <w:b/>
          <w:lang w:val="es-ES_tradnl" w:eastAsia="es-ES_tradnl"/>
        </w:rPr>
        <w:t>2.</w:t>
      </w:r>
      <w:r w:rsidR="0034669D" w:rsidRPr="00283724">
        <w:rPr>
          <w:rFonts w:ascii="Arial" w:eastAsia="Calibri" w:hAnsi="Arial" w:cs="Arial"/>
          <w:b/>
          <w:lang w:val="es-ES_tradnl" w:eastAsia="es-ES_tradnl"/>
        </w:rPr>
        <w:t>4</w:t>
      </w:r>
      <w:r w:rsidRPr="00283724">
        <w:rPr>
          <w:rFonts w:ascii="Arial" w:eastAsia="Calibri" w:hAnsi="Arial" w:cs="Arial"/>
          <w:b/>
          <w:lang w:val="es-ES_tradnl" w:eastAsia="es-ES_tradnl"/>
        </w:rPr>
        <w:t xml:space="preserve">. </w:t>
      </w:r>
      <w:bookmarkStart w:id="24" w:name="_Hlk95322387"/>
      <w:r w:rsidRPr="00283724">
        <w:rPr>
          <w:rFonts w:ascii="Arial" w:eastAsia="Calibri" w:hAnsi="Arial" w:cs="Arial"/>
          <w:b/>
          <w:lang w:val="es-ES_tradnl" w:eastAsia="es-ES_tradnl"/>
        </w:rPr>
        <w:t>Alcance del artículo 56 de la Ley 2195 de 2022 frente a la implementación obligatoria del EGCAP y de los Documentos Tipo en la celebración de convenios o contratos interadministrativos o de cualquier otra índole con Entidades Estatales exceptuadas y particulares</w:t>
      </w:r>
    </w:p>
    <w:bookmarkEnd w:id="24"/>
    <w:p w14:paraId="718C19C5"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26C59C4D"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 xml:space="preserve">Conforme se explicó en el acápite anterior,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060A089F" w14:textId="61F751C6"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
          <w:lang w:val="es-ES_tradnl" w:eastAsia="es-ES_tradnl"/>
        </w:rPr>
        <w:tab/>
      </w:r>
      <w:bookmarkStart w:id="25" w:name="_Hlk113023000"/>
      <w:r w:rsidRPr="00283724">
        <w:rPr>
          <w:rFonts w:ascii="Arial" w:eastAsia="Calibri" w:hAnsi="Arial" w:cs="Arial"/>
          <w:bCs/>
          <w:lang w:val="es-ES_tradnl" w:eastAsia="es-ES_tradnl"/>
        </w:rPr>
        <w:t xml:space="preserve">En este contexto, se expidió la Ley 2195 de 2022, </w:t>
      </w:r>
      <w:r w:rsidRPr="00283724">
        <w:rPr>
          <w:rFonts w:ascii="Arial" w:eastAsia="Calibri" w:hAnsi="Arial" w:cs="Arial"/>
          <w:bCs/>
          <w:i/>
          <w:iCs/>
          <w:lang w:val="es-ES_tradnl" w:eastAsia="es-ES_tradnl"/>
        </w:rPr>
        <w:t>“Por medio de la cual se adoptan medidas en materia de transparencia, prevención y lucha contra la corrupción y se dictan otras disposiciones”</w:t>
      </w:r>
      <w:r w:rsidRPr="00283724">
        <w:rPr>
          <w:rFonts w:ascii="Arial" w:eastAsia="Calibri" w:hAnsi="Arial" w:cs="Arial"/>
          <w:bCs/>
          <w:lang w:val="es-ES_tradnl" w:eastAsia="es-ES_tradnl"/>
        </w:rPr>
        <w:t xml:space="preserve">. Según su artículo 1, este cuerpo normativo </w:t>
      </w:r>
      <w:r w:rsidRPr="00283724">
        <w:rPr>
          <w:rFonts w:ascii="Arial" w:eastAsia="Calibri" w:hAnsi="Arial" w:cs="Arial"/>
          <w:lang w:val="es-ES_tradnl" w:eastAsia="es-ES_tradnl"/>
        </w:rPr>
        <w:t>“</w:t>
      </w:r>
      <w:r w:rsidRPr="00283724">
        <w:rPr>
          <w:rFonts w:ascii="Arial" w:eastAsia="Times New Roman" w:hAnsi="Arial" w:cs="Arial"/>
          <w:lang w:val="es-ES_tradnl" w:eastAsia="es-ES_tradnl"/>
        </w:rPr>
        <w:t xml:space="preserve">[…] </w:t>
      </w:r>
      <w:r w:rsidRPr="00283724">
        <w:rPr>
          <w:rFonts w:ascii="Arial" w:eastAsia="Calibri" w:hAnsi="Arial" w:cs="Arial"/>
          <w:lang w:val="es-ES_tradnl" w:eastAsia="es-ES_tradnl"/>
        </w:rPr>
        <w:t>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 Dentro del capítulo VIII de la Ley en mención, que lleva por título “</w:t>
      </w:r>
      <w:r w:rsidRPr="00283724">
        <w:rPr>
          <w:rFonts w:ascii="Arial" w:eastAsia="Calibri" w:hAnsi="Arial" w:cs="Arial"/>
          <w:i/>
          <w:iCs/>
          <w:lang w:val="es-ES_tradnl" w:eastAsia="es-ES_tradnl"/>
        </w:rPr>
        <w:t>Disposiciones en materia contractual para la moralización y la transparencia</w:t>
      </w:r>
      <w:r w:rsidRPr="00283724">
        <w:rPr>
          <w:rFonts w:ascii="Arial" w:eastAsia="Calibri" w:hAnsi="Arial" w:cs="Arial"/>
          <w:lang w:val="es-ES_tradnl" w:eastAsia="es-ES_tradnl"/>
        </w:rPr>
        <w:t xml:space="preserve">”, se </w:t>
      </w:r>
      <w:r w:rsidRPr="00283724">
        <w:rPr>
          <w:rFonts w:ascii="Arial" w:eastAsia="Calibri" w:hAnsi="Arial" w:cs="Arial"/>
          <w:bCs/>
          <w:lang w:val="es-ES_tradnl" w:eastAsia="es-ES_tradnl"/>
        </w:rPr>
        <w:t xml:space="preserve">destaca el artículo 56, norma sobre la que versa la presente consulta. </w:t>
      </w:r>
    </w:p>
    <w:p w14:paraId="49F97CA6"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lastRenderedPageBreak/>
        <w:tab/>
        <w:t>Para comenzar el análisis del contenido de la referida disposición, es pertinente iniciar estudiando su trámite legislativo. Al respecto, el Proyecto de Ley No. 341 de 2020</w:t>
      </w:r>
      <w:r w:rsidRPr="00283724">
        <w:rPr>
          <w:rFonts w:ascii="Arial" w:eastAsia="Calibri" w:hAnsi="Arial" w:cs="Arial"/>
          <w:bCs/>
          <w:vertAlign w:val="superscript"/>
          <w:lang w:val="es-ES_tradnl" w:eastAsia="es-ES_tradnl"/>
        </w:rPr>
        <w:footnoteReference w:id="18"/>
      </w:r>
      <w:r w:rsidRPr="00283724">
        <w:rPr>
          <w:rFonts w:ascii="Arial" w:eastAsia="Calibri" w:hAnsi="Arial" w:cs="Arial"/>
          <w:bCs/>
          <w:lang w:val="es-ES_tradnl" w:eastAsia="es-ES_tradnl"/>
        </w:rPr>
        <w:t xml:space="preserve"> radicado el 20 de octubre de 2020 por el Gobierno Nacional ante el Congreso de la República no previó en su articulado norma que sea igual o similar al contenido que actualmente observamos en el artículo 56 de la Ley 2195 de 2022, pues este fue agregado con posterioridad en plenaria del Senado y después fue complementada y ajustada en el debate legislativo que cursó en Cámara de Representantes mediante Proyecto de Ley No.369 de 2021</w:t>
      </w:r>
      <w:r w:rsidRPr="00283724">
        <w:rPr>
          <w:rFonts w:ascii="Arial" w:eastAsia="Calibri" w:hAnsi="Arial" w:cs="Arial"/>
          <w:bCs/>
          <w:vertAlign w:val="superscript"/>
          <w:lang w:val="es-ES_tradnl" w:eastAsia="es-ES_tradnl"/>
        </w:rPr>
        <w:footnoteReference w:id="19"/>
      </w:r>
      <w:r w:rsidRPr="00283724">
        <w:rPr>
          <w:rFonts w:ascii="Arial" w:eastAsia="Calibri" w:hAnsi="Arial" w:cs="Arial"/>
          <w:bCs/>
          <w:lang w:val="es-ES_tradnl" w:eastAsia="es-ES_tradnl"/>
        </w:rPr>
        <w:t xml:space="preserve"> y a continuación conciliado por ambas cámaras el 16 y 15 de diciembre de 2021, respectivamente.</w:t>
      </w:r>
    </w:p>
    <w:p w14:paraId="032FD1B0" w14:textId="77777777" w:rsidR="00BC5810" w:rsidRPr="00283724" w:rsidRDefault="00BC5810" w:rsidP="00BC5810">
      <w:pPr>
        <w:tabs>
          <w:tab w:val="left" w:pos="0"/>
        </w:tabs>
        <w:spacing w:after="120" w:line="276" w:lineRule="auto"/>
        <w:jc w:val="both"/>
        <w:rPr>
          <w:rFonts w:ascii="Arial" w:eastAsia="Calibri" w:hAnsi="Arial" w:cs="Arial"/>
          <w:lang w:val="es-ES_tradnl" w:eastAsia="es-ES_tradnl"/>
        </w:rPr>
      </w:pPr>
      <w:r w:rsidRPr="00283724">
        <w:rPr>
          <w:rFonts w:ascii="Arial" w:eastAsia="Calibri" w:hAnsi="Arial" w:cs="Arial"/>
          <w:bCs/>
          <w:lang w:val="es-ES_tradnl" w:eastAsia="es-ES_tradnl"/>
        </w:rPr>
        <w:tab/>
        <w:t xml:space="preserve">Sobre el tema, es importante indicar que, en el informe de ponencia para primer debate legislativo en Senado, previo a la intervención realizada por la Subdirección de Gestión Contractual de la Agencia, </w:t>
      </w:r>
      <w:r w:rsidRPr="00283724">
        <w:rPr>
          <w:rFonts w:ascii="Arial" w:eastAsia="Calibri" w:hAnsi="Arial" w:cs="Arial"/>
          <w:lang w:val="es-ES_tradnl" w:eastAsia="es-ES_tradnl"/>
        </w:rPr>
        <w:t xml:space="preserve">en audiencia pública realizada por la </w:t>
      </w:r>
      <w:r w:rsidRPr="00283724">
        <w:rPr>
          <w:rFonts w:ascii="Arial" w:eastAsia="Times New Roman" w:hAnsi="Arial" w:cs="Arial"/>
          <w:lang w:eastAsia="es-ES_tradnl"/>
        </w:rPr>
        <w:t xml:space="preserve">Comisión Primera del Senado </w:t>
      </w:r>
      <w:r w:rsidRPr="00283724">
        <w:rPr>
          <w:rFonts w:ascii="Arial" w:eastAsia="Calibri" w:hAnsi="Arial" w:cs="Arial"/>
          <w:lang w:val="es-ES_tradnl" w:eastAsia="es-ES_tradnl"/>
        </w:rPr>
        <w:t xml:space="preserve">el día </w:t>
      </w:r>
      <w:r w:rsidRPr="00283724">
        <w:rPr>
          <w:rFonts w:ascii="Arial" w:eastAsia="Times New Roman" w:hAnsi="Arial" w:cs="Arial"/>
          <w:lang w:eastAsia="es-ES_tradnl"/>
        </w:rPr>
        <w:t xml:space="preserve">14 de diciembre de 2020, </w:t>
      </w:r>
      <w:r w:rsidRPr="00283724">
        <w:rPr>
          <w:rFonts w:ascii="Arial" w:eastAsia="Calibri" w:hAnsi="Arial" w:cs="Arial"/>
          <w:bCs/>
          <w:lang w:val="es-ES_tradnl" w:eastAsia="es-ES_tradnl"/>
        </w:rPr>
        <w:t xml:space="preserve">se incluyeron disposiciones en el proyecto de Ley relacionadas por ejemplo con: </w:t>
      </w:r>
      <w:r w:rsidRPr="00283724">
        <w:rPr>
          <w:rFonts w:ascii="Arial" w:eastAsia="Calibri" w:hAnsi="Arial" w:cs="Arial"/>
          <w:lang w:val="es-ES_tradnl" w:eastAsia="es-ES_tradnl"/>
        </w:rPr>
        <w:t>“impedir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 algunos objetos que tienen un régimen especial y a los patrimonios autónomos, así como a las empresas de servicios públicos; y finalmente, hacer obligatorio que las entidades exceptuadas de la contratación estén obligadas a publicar los documentos en el SECOP”</w:t>
      </w:r>
      <w:r w:rsidRPr="00283724">
        <w:rPr>
          <w:rFonts w:ascii="Arial" w:eastAsia="Calibri" w:hAnsi="Arial" w:cs="Arial"/>
          <w:vertAlign w:val="superscript"/>
          <w:lang w:val="es-ES_tradnl" w:eastAsia="es-ES_tradnl"/>
        </w:rPr>
        <w:footnoteReference w:id="20"/>
      </w:r>
      <w:r w:rsidRPr="00283724">
        <w:rPr>
          <w:rFonts w:ascii="Arial" w:eastAsia="Calibri" w:hAnsi="Arial" w:cs="Arial"/>
          <w:lang w:val="es-ES_tradnl" w:eastAsia="es-ES_tradnl"/>
        </w:rPr>
        <w:t xml:space="preserve">. </w:t>
      </w:r>
    </w:p>
    <w:p w14:paraId="5C8BF732" w14:textId="77777777" w:rsidR="00BC5810" w:rsidRPr="00283724" w:rsidRDefault="00BC5810" w:rsidP="00BC5810">
      <w:pPr>
        <w:tabs>
          <w:tab w:val="left" w:pos="0"/>
        </w:tabs>
        <w:spacing w:after="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r>
      <w:r w:rsidRPr="00283724">
        <w:rPr>
          <w:rFonts w:ascii="Arial" w:eastAsia="Calibri" w:hAnsi="Arial" w:cs="Arial"/>
          <w:lang w:val="es-ES" w:eastAsia="es-ES"/>
        </w:rPr>
        <w:t xml:space="preserve">En ese orden de ideas, se incorporó en el informe para primer debate legislativo el artículo 85, denominado </w:t>
      </w:r>
      <w:r w:rsidRPr="00283724">
        <w:rPr>
          <w:rFonts w:ascii="Arial" w:eastAsia="Calibri" w:hAnsi="Arial" w:cs="Arial"/>
          <w:i/>
          <w:lang w:val="es-ES" w:eastAsia="es-ES"/>
        </w:rPr>
        <w:t>“Aplicación del Régimen de Contratación Pública en Entidades del Régimen Privado o Especial”,</w:t>
      </w:r>
      <w:r w:rsidRPr="00283724">
        <w:rPr>
          <w:rFonts w:ascii="Arial" w:eastAsia="Calibri" w:hAnsi="Arial" w:cs="Arial"/>
          <w:lang w:val="es-ES" w:eastAsia="es-ES"/>
        </w:rPr>
        <w:t xml:space="preserve"> que disponía: </w:t>
      </w:r>
    </w:p>
    <w:p w14:paraId="00972418" w14:textId="77777777" w:rsidR="00BC5810" w:rsidRPr="00283724" w:rsidRDefault="00BC5810" w:rsidP="00BC5810">
      <w:pPr>
        <w:spacing w:after="0" w:line="276" w:lineRule="auto"/>
        <w:jc w:val="both"/>
        <w:rPr>
          <w:rFonts w:ascii="Arial" w:eastAsia="Calibri" w:hAnsi="Arial" w:cs="Arial"/>
          <w:lang w:val="es-ES" w:eastAsia="es-ES"/>
        </w:rPr>
      </w:pPr>
    </w:p>
    <w:p w14:paraId="4150588D" w14:textId="77777777" w:rsidR="00BC5810" w:rsidRPr="00283724" w:rsidRDefault="00BC5810" w:rsidP="00BC5810">
      <w:pPr>
        <w:tabs>
          <w:tab w:val="left" w:pos="0"/>
        </w:tabs>
        <w:spacing w:after="0" w:line="240" w:lineRule="auto"/>
        <w:ind w:left="709" w:right="709"/>
        <w:jc w:val="both"/>
        <w:rPr>
          <w:rFonts w:ascii="Arial" w:eastAsia="Calibri" w:hAnsi="Arial" w:cs="Arial"/>
          <w:bCs/>
          <w:sz w:val="20"/>
          <w:szCs w:val="20"/>
          <w:lang w:val="es-ES_tradnl" w:eastAsia="es-ES_tradnl"/>
        </w:rPr>
      </w:pPr>
      <w:r w:rsidRPr="00283724">
        <w:rPr>
          <w:rFonts w:ascii="Arial" w:eastAsia="Calibri" w:hAnsi="Arial" w:cs="Arial"/>
          <w:bCs/>
          <w:sz w:val="20"/>
          <w:szCs w:val="20"/>
          <w:lang w:val="es-ES_tradnl" w:eastAsia="es-ES_tradnl"/>
        </w:rPr>
        <w:t xml:space="preserve">“En los casos en que las entidades estatales sometidas al Estatuto General de Contratación de la Administración Pública celebren contratos o convenios interadministrativos o de cualquier otra índole, con personas naturales o jurídicas de derecho público o privado, patrimonios autónomos, o cualquier otra clase de Entidad Estatal con capacidad para contratar, cuyo régimen de contratación sea especial o de derecho privado, para la adquisición de bienes, obras o servicios a través de estas entidades, el régimen aplicable a los procedimientos de selección y los contratos que realicen en desarrollo de los anteriores negocios jurídicos también será el Estatuto General de Contratación de la Administración Pública”. </w:t>
      </w:r>
    </w:p>
    <w:p w14:paraId="4261FD07" w14:textId="77777777" w:rsidR="00BC5810" w:rsidRPr="00283724" w:rsidRDefault="00BC5810" w:rsidP="00BC5810">
      <w:pPr>
        <w:tabs>
          <w:tab w:val="left" w:pos="0"/>
        </w:tabs>
        <w:spacing w:after="0" w:line="240" w:lineRule="auto"/>
        <w:ind w:left="709" w:right="709"/>
        <w:jc w:val="both"/>
        <w:rPr>
          <w:rFonts w:ascii="Arial" w:eastAsia="Calibri" w:hAnsi="Arial" w:cs="Arial"/>
          <w:bCs/>
          <w:sz w:val="20"/>
          <w:szCs w:val="20"/>
          <w:lang w:val="es-ES_tradnl" w:eastAsia="es-ES_tradnl"/>
        </w:rPr>
      </w:pPr>
    </w:p>
    <w:p w14:paraId="4434D8C0" w14:textId="77777777" w:rsidR="00BC5810" w:rsidRPr="00283724" w:rsidRDefault="00BC5810" w:rsidP="00BC5810">
      <w:pPr>
        <w:spacing w:after="0" w:line="240" w:lineRule="auto"/>
        <w:ind w:left="709" w:right="709"/>
        <w:jc w:val="both"/>
        <w:rPr>
          <w:rFonts w:ascii="Arial" w:eastAsia="Calibri" w:hAnsi="Arial" w:cs="Arial"/>
          <w:sz w:val="20"/>
          <w:szCs w:val="20"/>
          <w:lang w:val="es-ES" w:eastAsia="es-ES"/>
        </w:rPr>
      </w:pPr>
      <w:r w:rsidRPr="00283724">
        <w:rPr>
          <w:rFonts w:ascii="Arial" w:eastAsia="Calibri" w:hAnsi="Arial" w:cs="Arial"/>
          <w:sz w:val="20"/>
          <w:szCs w:val="20"/>
          <w:lang w:val="es-ES" w:eastAsia="es-ES"/>
        </w:rPr>
        <w:t xml:space="preserve">Parágrafo: Para los casos descritos en el inciso anterior, también serán obligatorios los documentos tipo adoptados por la Agencia Nacional de Contratación Pública – </w:t>
      </w:r>
      <w:r w:rsidRPr="00283724">
        <w:rPr>
          <w:rFonts w:ascii="Arial" w:eastAsia="Calibri" w:hAnsi="Arial" w:cs="Arial"/>
          <w:sz w:val="20"/>
          <w:szCs w:val="20"/>
          <w:lang w:val="es-ES" w:eastAsia="es-ES"/>
        </w:rPr>
        <w:lastRenderedPageBreak/>
        <w:t>Colombia Compra Eficiente- o quien haga sus veces, conforme al parágrafo 7 del artículo 2 de la Ley 1150 de 2007 o las normas que lo modifiquen o sustituyan”.</w:t>
      </w:r>
      <w:r w:rsidRPr="00283724">
        <w:rPr>
          <w:rFonts w:ascii="Arial" w:eastAsia="Calibri" w:hAnsi="Arial" w:cs="Arial"/>
          <w:sz w:val="20"/>
          <w:szCs w:val="20"/>
          <w:vertAlign w:val="superscript"/>
          <w:lang w:val="es-ES" w:eastAsia="es-ES"/>
        </w:rPr>
        <w:footnoteReference w:id="21"/>
      </w:r>
    </w:p>
    <w:p w14:paraId="3A6C041C" w14:textId="77777777" w:rsidR="00BC5810" w:rsidRPr="00283724" w:rsidRDefault="00BC5810" w:rsidP="00BC5810">
      <w:pPr>
        <w:spacing w:after="0" w:line="276" w:lineRule="auto"/>
        <w:ind w:left="709" w:right="709" w:firstLine="709"/>
        <w:jc w:val="both"/>
        <w:rPr>
          <w:rFonts w:ascii="Arial" w:eastAsia="Calibri" w:hAnsi="Arial" w:cs="Arial"/>
          <w:lang w:val="es-ES" w:eastAsia="es-ES"/>
        </w:rPr>
      </w:pPr>
    </w:p>
    <w:p w14:paraId="5CE66F27" w14:textId="77777777" w:rsidR="00BC5810" w:rsidRPr="00283724" w:rsidRDefault="00BC5810" w:rsidP="00BC5810">
      <w:pPr>
        <w:tabs>
          <w:tab w:val="left" w:pos="0"/>
        </w:tabs>
        <w:spacing w:after="120" w:line="276" w:lineRule="auto"/>
        <w:jc w:val="both"/>
        <w:rPr>
          <w:rFonts w:ascii="Arial" w:eastAsia="Times New Roman" w:hAnsi="Arial" w:cs="Arial"/>
          <w:lang w:eastAsia="es-ES_tradnl"/>
        </w:rPr>
      </w:pPr>
      <w:r w:rsidRPr="00283724">
        <w:rPr>
          <w:rFonts w:ascii="Arial" w:eastAsia="Calibri" w:hAnsi="Arial" w:cs="Arial"/>
          <w:bCs/>
          <w:lang w:val="es-ES_tradnl" w:eastAsia="es-ES_tradnl"/>
        </w:rPr>
        <w:tab/>
      </w:r>
      <w:r w:rsidRPr="00283724">
        <w:rPr>
          <w:rFonts w:ascii="Arial" w:eastAsia="Calibri" w:hAnsi="Arial" w:cs="Arial"/>
          <w:lang w:val="es-ES_tradnl" w:eastAsia="es-ES_tradnl"/>
        </w:rPr>
        <w:t xml:space="preserve">Conforme a lo expuesto en el pliego de modificaciones al proyecto de Ley, la adición del articulado en mención tiene como fin: </w:t>
      </w:r>
      <w:r w:rsidRPr="00283724">
        <w:rPr>
          <w:rFonts w:ascii="Arial" w:eastAsia="Times New Roman" w:hAnsi="Arial" w:cs="Arial"/>
          <w:lang w:eastAsia="es-ES_tradnl"/>
        </w:rPr>
        <w:t xml:space="preserve">“Extender la </w:t>
      </w:r>
      <w:r w:rsidRPr="00283724">
        <w:rPr>
          <w:rFonts w:ascii="Arial" w:eastAsia="Times New Roman" w:hAnsi="Arial" w:cs="Arial"/>
          <w:i/>
          <w:lang w:eastAsia="es-ES_tradnl"/>
        </w:rPr>
        <w:t>obligatoriedad de la aplicación del régimen de contratación estatal y pliegos tipo, cuando se celebran convenios interadministrativos</w:t>
      </w:r>
      <w:r w:rsidRPr="00283724">
        <w:rPr>
          <w:rFonts w:ascii="Arial" w:eastAsia="Times New Roman" w:hAnsi="Arial" w:cs="Arial"/>
          <w:lang w:eastAsia="es-ES_tradnl"/>
        </w:rPr>
        <w:t xml:space="preserve"> con una entidad que tiene régimen de contratación privada </w:t>
      </w:r>
      <w:r w:rsidRPr="00283724">
        <w:rPr>
          <w:rFonts w:ascii="Arial" w:eastAsia="Times New Roman" w:hAnsi="Arial" w:cs="Arial"/>
          <w:i/>
          <w:lang w:eastAsia="es-ES_tradnl"/>
        </w:rPr>
        <w:t>con el fin de evitar la contratación directa con recursos del estado y proveer de mayores garantías al proceso</w:t>
      </w:r>
      <w:r w:rsidRPr="00283724">
        <w:rPr>
          <w:rFonts w:ascii="Arial" w:eastAsia="Times New Roman" w:hAnsi="Arial" w:cs="Arial"/>
          <w:lang w:eastAsia="es-ES_tradnl"/>
        </w:rPr>
        <w:t>”</w:t>
      </w:r>
      <w:r w:rsidRPr="00283724">
        <w:rPr>
          <w:rFonts w:ascii="Arial" w:eastAsia="Times New Roman" w:hAnsi="Arial" w:cs="Arial"/>
          <w:vertAlign w:val="superscript"/>
          <w:lang w:eastAsia="es-ES_tradnl"/>
        </w:rPr>
        <w:footnoteReference w:id="22"/>
      </w:r>
      <w:r w:rsidRPr="00283724">
        <w:rPr>
          <w:rFonts w:ascii="Arial" w:eastAsia="Times New Roman" w:hAnsi="Arial" w:cs="Arial"/>
          <w:lang w:eastAsia="es-ES_tradnl"/>
        </w:rPr>
        <w:t xml:space="preserve"> (Énfasis fuera del texto original). En ese orden de ideas, es claro que la incorporación de este articulado por parte del legislador tiene como fin principal que las entidades sometidas al EGCAP, obligadas a aplicar Pliego Tipo, lo realicen también cuando celebran convenios interadministrativos con entidades o personas cuyo régimen de contratación es el privado y así proveer de mayor garantías al Proceso de Contratación, sin que por ello se piense que su fin es evitar o eliminar este tipo de contratación, pues lo que se busca es evitar la contratación directa con recursos del Estado en el marco de dichos convenios.</w:t>
      </w:r>
    </w:p>
    <w:p w14:paraId="0F4301DD"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Sin embargo, para segunda ponencia del Senado</w:t>
      </w:r>
      <w:r w:rsidRPr="00283724">
        <w:rPr>
          <w:rFonts w:ascii="Arial" w:eastAsia="Calibri" w:hAnsi="Arial" w:cs="Arial"/>
          <w:bCs/>
          <w:vertAlign w:val="superscript"/>
          <w:lang w:val="es-ES_tradnl" w:eastAsia="es-ES_tradnl"/>
        </w:rPr>
        <w:footnoteReference w:id="23"/>
      </w:r>
      <w:r w:rsidRPr="00283724">
        <w:rPr>
          <w:rFonts w:ascii="Arial" w:eastAsia="Calibri" w:hAnsi="Arial" w:cs="Arial"/>
          <w:bCs/>
          <w:lang w:val="es-ES_tradnl" w:eastAsia="es-ES_tradnl"/>
        </w:rPr>
        <w:t xml:space="preserve"> se propuso eliminar el artículo en mención con motivo a la inconveniencia que podría generar en su aplicación, aceptándose su eliminación. No obstante, para Plenaria de Senado se propuso un nuevo artículo para su trámite ante la Cámara de Representantes, que dispone lo siguiente:</w:t>
      </w:r>
    </w:p>
    <w:p w14:paraId="18AB34D5"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7B169608" w14:textId="77777777" w:rsidR="00BC5810" w:rsidRPr="00283724" w:rsidRDefault="00BC5810" w:rsidP="00BC5810">
      <w:pPr>
        <w:tabs>
          <w:tab w:val="left" w:pos="0"/>
        </w:tabs>
        <w:spacing w:after="0" w:line="240"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t>“ARTÍCULO 62 (NUEVO).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Los procedimientos de selección y los contratos que realicen en desarrollo de los anteriores negocios jurídicos, donde apliquen los documentos tipo se regirán por el Estatuto General de Contratación de la Administración Pública.”</w:t>
      </w:r>
    </w:p>
    <w:p w14:paraId="2C86BC20" w14:textId="77777777" w:rsidR="00BC5810" w:rsidRPr="00283724" w:rsidRDefault="00BC5810" w:rsidP="00BC5810">
      <w:pPr>
        <w:tabs>
          <w:tab w:val="left" w:pos="0"/>
        </w:tabs>
        <w:spacing w:after="0" w:line="240" w:lineRule="auto"/>
        <w:ind w:left="709" w:right="709"/>
        <w:jc w:val="both"/>
        <w:rPr>
          <w:rFonts w:ascii="Arial" w:eastAsia="Times New Roman" w:hAnsi="Arial" w:cs="Arial"/>
          <w:sz w:val="20"/>
          <w:szCs w:val="20"/>
          <w:lang w:eastAsia="es-ES_tradnl"/>
        </w:rPr>
      </w:pPr>
    </w:p>
    <w:p w14:paraId="47EBDDFC" w14:textId="77777777" w:rsidR="00BC5810" w:rsidRPr="00283724" w:rsidRDefault="00BC5810" w:rsidP="00BC5810">
      <w:pPr>
        <w:tabs>
          <w:tab w:val="left" w:pos="0"/>
        </w:tabs>
        <w:spacing w:after="0" w:line="240" w:lineRule="auto"/>
        <w:ind w:left="709" w:right="709"/>
        <w:jc w:val="both"/>
        <w:rPr>
          <w:rFonts w:ascii="Arial" w:eastAsia="Calibri" w:hAnsi="Arial" w:cs="Arial"/>
          <w:bCs/>
          <w:sz w:val="20"/>
          <w:szCs w:val="20"/>
          <w:lang w:val="es-ES_tradnl" w:eastAsia="es-ES_tradnl"/>
        </w:rPr>
      </w:pPr>
      <w:r w:rsidRPr="00283724">
        <w:rPr>
          <w:rFonts w:ascii="Arial" w:eastAsia="Times New Roman" w:hAnsi="Arial" w:cs="Arial"/>
          <w:sz w:val="20"/>
          <w:szCs w:val="20"/>
          <w:lang w:eastAsia="es-ES_tradnl"/>
        </w:rPr>
        <w:t xml:space="preserve">Parágrafo: Se exceptúan del presente artículo las Universidades, las empresas sociales del estado, las sociedades de economía mixta y las empresas industriales y comerciales del Estado en cuanto a las actividades propias del servicio que prestan </w:t>
      </w:r>
      <w:r w:rsidRPr="00283724">
        <w:rPr>
          <w:rFonts w:ascii="Arial" w:eastAsia="Times New Roman" w:hAnsi="Arial" w:cs="Arial"/>
          <w:sz w:val="20"/>
          <w:szCs w:val="20"/>
          <w:lang w:eastAsia="es-ES_tradnl"/>
        </w:rPr>
        <w:lastRenderedPageBreak/>
        <w:t>o de su objeto social. En estas entidades se fomentará como buena práctica la aplicación de los pliegos tipo”.</w:t>
      </w:r>
      <w:r w:rsidRPr="00283724">
        <w:rPr>
          <w:rFonts w:ascii="Arial" w:eastAsia="Times New Roman" w:hAnsi="Arial" w:cs="Arial"/>
          <w:sz w:val="20"/>
          <w:szCs w:val="20"/>
          <w:vertAlign w:val="superscript"/>
          <w:lang w:eastAsia="es-ES_tradnl"/>
        </w:rPr>
        <w:footnoteReference w:id="24"/>
      </w:r>
    </w:p>
    <w:p w14:paraId="3EAFD587"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r w:rsidRPr="00283724">
        <w:rPr>
          <w:rFonts w:ascii="Arial" w:eastAsia="Calibri" w:hAnsi="Arial" w:cs="Arial"/>
          <w:bCs/>
          <w:sz w:val="24"/>
          <w:szCs w:val="24"/>
          <w:lang w:val="es-ES_tradnl" w:eastAsia="es-ES_tradnl"/>
        </w:rPr>
        <w:tab/>
      </w:r>
    </w:p>
    <w:p w14:paraId="7A9F72BB"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r>
      <w:r w:rsidRPr="00283724">
        <w:rPr>
          <w:rFonts w:ascii="Arial" w:eastAsia="Calibri" w:hAnsi="Arial" w:cs="Arial"/>
          <w:lang w:val="es-ES_tradnl" w:eastAsia="es-ES_tradnl"/>
        </w:rPr>
        <w:t>La mencionada disposición pasó el debate en Cámara de Representantes con algunos ajustes en la redacción del artículo</w:t>
      </w:r>
      <w:r w:rsidRPr="00283724">
        <w:rPr>
          <w:rFonts w:ascii="Arial" w:eastAsia="Calibri" w:hAnsi="Arial" w:cs="Arial"/>
          <w:vertAlign w:val="superscript"/>
          <w:lang w:val="es-ES_tradnl" w:eastAsia="es-ES_tradnl"/>
        </w:rPr>
        <w:footnoteReference w:id="25"/>
      </w:r>
      <w:r w:rsidRPr="00283724">
        <w:rPr>
          <w:rFonts w:ascii="Arial" w:eastAsia="Calibri" w:hAnsi="Arial" w:cs="Arial"/>
          <w:lang w:val="es-ES_tradnl" w:eastAsia="es-ES_tradnl"/>
        </w:rPr>
        <w:t xml:space="preserve">, pero manteniendo su fin principal, y esto es, que los Documentos Tipo deban ser aplicados en general por todas las entidades sometidas al EGCAP, independientemente de la celebración de contratos o convenios interadministrativos o de cualquier otra índole, </w:t>
      </w:r>
      <w:bookmarkEnd w:id="25"/>
      <w:r w:rsidRPr="00283724">
        <w:rPr>
          <w:rFonts w:ascii="Arial" w:eastAsia="Calibri" w:hAnsi="Arial" w:cs="Arial"/>
          <w:lang w:val="es-ES_tradnl" w:eastAsia="es-ES_tradnl"/>
        </w:rPr>
        <w:t>con Entidades Estatales exceptuadas o con régimen especial de contratación, patrimonios autónomos o particulares. Consecuentemente, fue aprobada su redacción en conciliación del texto en ambas cámaras</w:t>
      </w:r>
      <w:r w:rsidRPr="00283724">
        <w:rPr>
          <w:rFonts w:ascii="Arial" w:eastAsia="Times New Roman" w:hAnsi="Arial" w:cs="Arial"/>
          <w:vertAlign w:val="superscript"/>
          <w:lang w:val="es-ES_tradnl" w:eastAsia="es-ES_tradnl"/>
        </w:rPr>
        <w:footnoteReference w:id="26"/>
      </w:r>
      <w:r w:rsidRPr="00283724">
        <w:rPr>
          <w:rFonts w:ascii="Arial" w:eastAsia="Calibri" w:hAnsi="Arial" w:cs="Arial"/>
          <w:lang w:val="es-ES_tradnl" w:eastAsia="es-ES_tradnl"/>
        </w:rPr>
        <w:t xml:space="preserve"> prescribiendo la redacción de la norma hoy día vigente, en los siguientes términos:</w:t>
      </w:r>
      <w:r w:rsidRPr="00283724">
        <w:rPr>
          <w:rFonts w:ascii="Arial" w:eastAsia="Calibri" w:hAnsi="Arial" w:cs="Arial"/>
          <w:bCs/>
          <w:lang w:val="es-ES_tradnl" w:eastAsia="es-ES_tradnl"/>
        </w:rPr>
        <w:t xml:space="preserve"> </w:t>
      </w:r>
    </w:p>
    <w:p w14:paraId="52017634"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1D2095EA" w14:textId="77777777" w:rsidR="00BC5810" w:rsidRPr="00283724" w:rsidRDefault="00BC5810" w:rsidP="00BC5810">
      <w:pPr>
        <w:tabs>
          <w:tab w:val="left" w:pos="0"/>
        </w:tabs>
        <w:spacing w:after="0" w:line="240" w:lineRule="auto"/>
        <w:ind w:left="709" w:right="709"/>
        <w:contextualSpacing/>
        <w:jc w:val="both"/>
        <w:rPr>
          <w:rFonts w:ascii="Arial" w:eastAsia="Times New Roman" w:hAnsi="Arial" w:cs="Arial"/>
          <w:sz w:val="20"/>
          <w:szCs w:val="20"/>
          <w:lang w:val="es-ES_tradnl" w:eastAsia="es-ES_tradnl"/>
        </w:rPr>
      </w:pPr>
      <w:r w:rsidRPr="00283724">
        <w:rPr>
          <w:rFonts w:ascii="Arial" w:eastAsia="Times New Roman" w:hAnsi="Arial"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0623F080" w14:textId="77777777" w:rsidR="00BC5810" w:rsidRPr="00283724" w:rsidRDefault="00BC5810" w:rsidP="00BC5810">
      <w:pPr>
        <w:tabs>
          <w:tab w:val="left" w:pos="0"/>
        </w:tabs>
        <w:spacing w:after="0" w:line="240" w:lineRule="auto"/>
        <w:ind w:left="709" w:right="709"/>
        <w:contextualSpacing/>
        <w:jc w:val="both"/>
        <w:rPr>
          <w:rFonts w:ascii="Arial" w:eastAsia="Times New Roman" w:hAnsi="Arial" w:cs="Arial"/>
          <w:sz w:val="20"/>
          <w:szCs w:val="20"/>
          <w:lang w:val="es-ES_tradnl" w:eastAsia="es-ES_tradnl"/>
        </w:rPr>
      </w:pPr>
    </w:p>
    <w:p w14:paraId="2BCE24B6" w14:textId="77777777" w:rsidR="00BC5810" w:rsidRPr="00283724" w:rsidRDefault="00BC5810" w:rsidP="00BC5810">
      <w:pPr>
        <w:tabs>
          <w:tab w:val="left" w:pos="0"/>
        </w:tabs>
        <w:spacing w:after="0" w:line="240" w:lineRule="auto"/>
        <w:ind w:left="709" w:right="709"/>
        <w:contextualSpacing/>
        <w:jc w:val="both"/>
        <w:rPr>
          <w:rFonts w:ascii="Arial" w:eastAsia="Times New Roman" w:hAnsi="Arial" w:cs="Arial"/>
          <w:sz w:val="20"/>
          <w:szCs w:val="20"/>
          <w:lang w:val="es-ES_tradnl" w:eastAsia="es-ES_tradnl"/>
        </w:rPr>
      </w:pPr>
      <w:r w:rsidRPr="00283724">
        <w:rPr>
          <w:rFonts w:ascii="Arial" w:eastAsia="Times New Roman" w:hAnsi="Arial"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1E63152A" w14:textId="77777777" w:rsidR="00BC5810" w:rsidRPr="00283724" w:rsidRDefault="00BC5810" w:rsidP="00BC5810">
      <w:pPr>
        <w:tabs>
          <w:tab w:val="left" w:pos="0"/>
        </w:tabs>
        <w:spacing w:after="0" w:line="240" w:lineRule="auto"/>
        <w:ind w:left="709" w:right="709"/>
        <w:contextualSpacing/>
        <w:jc w:val="both"/>
        <w:rPr>
          <w:rFonts w:ascii="Arial" w:eastAsia="Times New Roman" w:hAnsi="Arial" w:cs="Arial"/>
          <w:sz w:val="20"/>
          <w:szCs w:val="20"/>
          <w:lang w:val="es-ES_tradnl" w:eastAsia="es-ES_tradnl"/>
        </w:rPr>
      </w:pPr>
    </w:p>
    <w:p w14:paraId="5A2FA4D4" w14:textId="77777777" w:rsidR="00BC5810" w:rsidRPr="00283724" w:rsidRDefault="00BC5810" w:rsidP="00BC5810">
      <w:pPr>
        <w:tabs>
          <w:tab w:val="left" w:pos="0"/>
        </w:tabs>
        <w:spacing w:after="0" w:line="240" w:lineRule="auto"/>
        <w:ind w:left="709" w:right="709"/>
        <w:contextualSpacing/>
        <w:jc w:val="both"/>
        <w:rPr>
          <w:rFonts w:ascii="Arial" w:eastAsia="Calibri" w:hAnsi="Arial" w:cs="Arial"/>
          <w:bCs/>
          <w:sz w:val="20"/>
          <w:szCs w:val="20"/>
          <w:lang w:val="es-ES_tradnl" w:eastAsia="es-ES_tradnl"/>
        </w:rPr>
      </w:pPr>
      <w:r w:rsidRPr="00283724">
        <w:rPr>
          <w:rFonts w:ascii="Arial" w:eastAsia="Times New Roman" w:hAnsi="Arial" w:cs="Arial"/>
          <w:sz w:val="20"/>
          <w:szCs w:val="20"/>
          <w:lang w:val="es-ES_tradnl" w:eastAsia="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70D3382C" w14:textId="77777777" w:rsidR="00BC5810" w:rsidRPr="00283724" w:rsidRDefault="00BC5810" w:rsidP="00BC5810">
      <w:pPr>
        <w:tabs>
          <w:tab w:val="left" w:pos="0"/>
        </w:tabs>
        <w:spacing w:after="0" w:line="276" w:lineRule="auto"/>
        <w:contextualSpacing/>
        <w:jc w:val="both"/>
        <w:rPr>
          <w:rFonts w:ascii="Arial" w:eastAsia="Calibri" w:hAnsi="Arial" w:cs="Arial"/>
          <w:bCs/>
          <w:lang w:val="es-ES_tradnl" w:eastAsia="es-ES_tradnl"/>
        </w:rPr>
      </w:pPr>
    </w:p>
    <w:p w14:paraId="721EE40C"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Las implicaciones del texto conforme al cual fue expedida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Por esto </w:t>
      </w:r>
      <w:r w:rsidRPr="00283724">
        <w:rPr>
          <w:rFonts w:ascii="Arial" w:eastAsia="Calibri" w:hAnsi="Arial" w:cs="Arial"/>
          <w:bCs/>
          <w:lang w:val="es-ES_tradnl" w:eastAsia="es-ES_tradnl"/>
        </w:rPr>
        <w:lastRenderedPageBreak/>
        <w:t>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w:t>
      </w:r>
    </w:p>
    <w:p w14:paraId="261F8823"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Como se desprende de la frase inicial de la norma citada, es claro que el primer y principal mandato de la norma únicamente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22B67039" w14:textId="77777777" w:rsidR="00BC5810" w:rsidRPr="00283724" w:rsidRDefault="00BC5810" w:rsidP="00BC5810">
      <w:pPr>
        <w:tabs>
          <w:tab w:val="left" w:pos="0"/>
        </w:tabs>
        <w:spacing w:after="120" w:line="276" w:lineRule="auto"/>
        <w:jc w:val="both"/>
        <w:rPr>
          <w:rFonts w:ascii="Arial" w:eastAsia="Calibri" w:hAnsi="Arial" w:cs="Arial"/>
          <w:lang w:val="es-ES_tradnl" w:eastAsia="es-ES_tradnl"/>
        </w:rPr>
      </w:pPr>
      <w:r w:rsidRPr="00283724">
        <w:rPr>
          <w:rFonts w:ascii="Arial" w:eastAsia="Calibri" w:hAnsi="Arial" w:cs="Arial"/>
          <w:bCs/>
          <w:lang w:val="es-ES_tradnl" w:eastAsia="es-ES_tradnl"/>
        </w:rPr>
        <w:tab/>
      </w:r>
      <w:r w:rsidRPr="00283724">
        <w:rPr>
          <w:rFonts w:ascii="Arial" w:eastAsia="Calibri" w:hAnsi="Arial" w:cs="Arial"/>
          <w:lang w:val="es-ES_tradnl" w:eastAsia="es-ES_tradnl"/>
        </w:rPr>
        <w:t xml:space="preserve">De acuerdo con lo anterior, el 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cuando celebren contratos o convenios interadministrativos o de cualquier otra índole, y en el marco de la regla de interpretación por contexto conforme al criterio hermenéutico del artículo 30 del Código Civil, según el cual “Los pasajes oscuros de una ley pueden ser ilustrados por medio de otras leyes, particularmente si versan sobre el mismo asunto”, y de interpretación por extensión de una ley consagrada en el artículo 31 </w:t>
      </w:r>
      <w:r w:rsidRPr="00283724">
        <w:rPr>
          <w:rFonts w:ascii="Arial" w:eastAsia="Calibri" w:hAnsi="Arial" w:cs="Arial"/>
          <w:i/>
          <w:iCs/>
          <w:lang w:val="es-ES_tradnl" w:eastAsia="es-ES_tradnl"/>
        </w:rPr>
        <w:t>ibidem</w:t>
      </w:r>
      <w:r w:rsidRPr="00283724">
        <w:rPr>
          <w:rFonts w:ascii="Arial" w:eastAsia="Calibri" w:hAnsi="Arial" w:cs="Arial"/>
          <w:lang w:val="es-ES_tradnl" w:eastAsia="es-ES_tradnl"/>
        </w:rPr>
        <w:t xml:space="preserve">, conforme al cual “Lo favorable u odioso de una disposición no se tomará en cuenta para ampliar o restringir su interpretación. La extensión que deba darse a toda ley se determinará por su genuino sentido, y según las reglas de interpretación precedentes”. </w:t>
      </w:r>
    </w:p>
    <w:p w14:paraId="4BFBF573" w14:textId="77777777" w:rsidR="00BC5810" w:rsidRPr="00283724" w:rsidRDefault="00BC5810" w:rsidP="00BC5810">
      <w:pPr>
        <w:tabs>
          <w:tab w:val="left" w:pos="0"/>
        </w:tabs>
        <w:spacing w:after="120" w:line="276" w:lineRule="auto"/>
        <w:jc w:val="both"/>
        <w:rPr>
          <w:rFonts w:ascii="Arial" w:eastAsia="Calibri" w:hAnsi="Arial" w:cs="Arial"/>
          <w:lang w:val="es-ES_tradnl" w:eastAsia="es-ES_tradnl"/>
        </w:rPr>
      </w:pPr>
      <w:r w:rsidRPr="00283724">
        <w:rPr>
          <w:rFonts w:ascii="Arial" w:eastAsia="Calibri" w:hAnsi="Arial" w:cs="Arial"/>
          <w:lang w:val="es-ES_tradnl" w:eastAsia="es-ES_tradnl"/>
        </w:rPr>
        <w:tab/>
      </w:r>
      <w:bookmarkStart w:id="26" w:name="_Hlk144075290"/>
      <w:r w:rsidRPr="00283724">
        <w:rPr>
          <w:rFonts w:ascii="Arial" w:eastAsia="Calibri" w:hAnsi="Arial" w:cs="Arial"/>
          <w:bCs/>
          <w:lang w:val="es-ES_tradnl" w:eastAsia="es-ES_tradnl"/>
        </w:rPr>
        <w:t>Desde esta perspectiva, no pudiera</w:t>
      </w:r>
      <w:r w:rsidRPr="00283724">
        <w:rPr>
          <w:rFonts w:ascii="Arial" w:eastAsia="Calibri" w:hAnsi="Arial" w:cs="Arial"/>
          <w:lang w:val="es-ES_tradnl" w:eastAsia="es-ES_tradnl"/>
        </w:rPr>
        <w:t xml:space="preserve"> pensarse entonces que se extiende la aplicación a particulares y a entidades con régimen de contratación especial la obligatoriedad de adelantar procesos de selección y suscribir contratos sometidos al EGCAP, puesto que el texto de la Ley 2022 de 2020 establece con claridad la regla de aplicación obligatoria de los Documentos Tipo en los Procesos de Contratación adelantados por las Entidades Estatales regidas por el EGCAP, es decir,</w:t>
      </w:r>
      <w:r w:rsidRPr="00283724">
        <w:rPr>
          <w:rFonts w:ascii="Arial" w:eastAsia="Calibri" w:hAnsi="Arial" w:cs="Arial"/>
          <w:bCs/>
          <w:lang w:val="es-ES_tradnl" w:eastAsia="es-ES_tradnl"/>
        </w:rPr>
        <w:t xml:space="preserve"> </w:t>
      </w:r>
      <w:r w:rsidRPr="00283724">
        <w:rPr>
          <w:rFonts w:ascii="Arial" w:eastAsia="Calibri" w:hAnsi="Arial" w:cs="Arial"/>
          <w:lang w:val="es-ES_tradnl" w:eastAsia="es-ES_tradnl"/>
        </w:rPr>
        <w:t xml:space="preserve">la obligatoriedad de utilizar Documentos Tipo </w:t>
      </w:r>
      <w:r w:rsidRPr="00283724">
        <w:rPr>
          <w:rFonts w:ascii="Arial" w:eastAsia="Calibri" w:hAnsi="Arial" w:cs="Arial"/>
          <w:bCs/>
          <w:lang w:val="es-ES_tradnl" w:eastAsia="es-ES_tradnl"/>
        </w:rPr>
        <w:t xml:space="preserve">se extiende </w:t>
      </w:r>
      <w:r w:rsidRPr="00283724">
        <w:rPr>
          <w:rFonts w:ascii="Arial" w:eastAsia="Calibri" w:hAnsi="Arial" w:cs="Arial"/>
          <w:lang w:val="es-ES_tradnl" w:eastAsia="es-ES_tradnl"/>
        </w:rPr>
        <w:t xml:space="preserve">en los convenios o contratos interadministrativos o de cualquier otra índole, </w:t>
      </w:r>
      <w:r w:rsidRPr="00283724">
        <w:rPr>
          <w:rFonts w:ascii="Arial" w:eastAsia="Calibri" w:hAnsi="Arial" w:cs="Arial"/>
          <w:bCs/>
          <w:lang w:val="es-ES_tradnl" w:eastAsia="es-ES_tradnl"/>
        </w:rPr>
        <w:t xml:space="preserve">y </w:t>
      </w:r>
      <w:r w:rsidRPr="00283724">
        <w:rPr>
          <w:rFonts w:ascii="Arial" w:eastAsia="Calibri" w:hAnsi="Arial" w:cs="Arial"/>
          <w:lang w:val="es-ES_tradnl" w:eastAsia="es-ES_tradnl"/>
        </w:rPr>
        <w:t>a las diferentes modalidades de selección de los Procesos de Contratación adelantados por entidades sometidas al EGCAP</w:t>
      </w:r>
      <w:r w:rsidRPr="00283724">
        <w:rPr>
          <w:rFonts w:ascii="Arial" w:eastAsia="Calibri" w:hAnsi="Arial" w:cs="Arial"/>
          <w:bCs/>
          <w:lang w:val="es-ES_tradnl" w:eastAsia="es-ES_tradnl"/>
        </w:rPr>
        <w:t>.</w:t>
      </w:r>
    </w:p>
    <w:p w14:paraId="1C042634" w14:textId="2B41A3FA"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Antes de la expedición del artículo 56 de la Ley 2022 de 2020, ya se había establecido el mandato de aplicación obligatoria de los Documentos Tipo para las Entidades Estatales sometidas al EGCAP, atribuyendo a esta Agencia la competencia para expedirlos. Esta norma imperativa debía observarse siempre y cuando el objeto </w:t>
      </w:r>
      <w:r w:rsidR="003E7B7F" w:rsidRPr="00283724">
        <w:rPr>
          <w:rFonts w:ascii="Arial" w:eastAsia="Calibri" w:hAnsi="Arial" w:cs="Arial"/>
          <w:bCs/>
          <w:lang w:val="es-ES_tradnl" w:eastAsia="es-ES_tradnl"/>
        </w:rPr>
        <w:t xml:space="preserve">a </w:t>
      </w:r>
      <w:r w:rsidRPr="00283724">
        <w:rPr>
          <w:rFonts w:ascii="Arial" w:eastAsia="Calibri" w:hAnsi="Arial" w:cs="Arial"/>
          <w:bCs/>
          <w:lang w:val="es-ES_tradnl" w:eastAsia="es-ES_tradnl"/>
        </w:rPr>
        <w:t xml:space="preserve">contratar este </w:t>
      </w:r>
      <w:r w:rsidRPr="00283724">
        <w:rPr>
          <w:rFonts w:ascii="Arial" w:eastAsia="Calibri" w:hAnsi="Arial" w:cs="Arial"/>
          <w:bCs/>
          <w:lang w:val="es-ES_tradnl" w:eastAsia="es-ES_tradnl"/>
        </w:rPr>
        <w:lastRenderedPageBreak/>
        <w:t>cobijado por algún Documento Tipo vigente, no obstante, si la Entidad Estatal optaba bajo la modalidad de selección de contratación directa, celebrar convenios o contratos interadministrativos, o de cualquier otra índole, con entidades con regímenes especiales o de derecho privado era un asunto que escapaba del ámbito de aplicación de lo establecido por la Ley 2022 de 2020, incluso tratándose de obras o servicios para cuya contratación le fuese aplicable los Documentos Tipo vigentes.</w:t>
      </w:r>
    </w:p>
    <w:bookmarkEnd w:id="26"/>
    <w:p w14:paraId="663A622B"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r>
      <w:bookmarkStart w:id="27" w:name="_Hlk144075366"/>
      <w:r w:rsidRPr="00283724">
        <w:rPr>
          <w:rFonts w:ascii="Arial" w:eastAsia="Calibri" w:hAnsi="Arial" w:cs="Arial"/>
          <w:lang w:val="es-ES_tradnl" w:eastAsia="es-ES_tradnl"/>
        </w:rPr>
        <w:t>Ahora,</w:t>
      </w:r>
      <w:r w:rsidRPr="00283724">
        <w:rPr>
          <w:rFonts w:ascii="Arial" w:eastAsia="Calibri" w:hAnsi="Arial" w:cs="Arial"/>
          <w:bCs/>
          <w:lang w:val="es-ES_tradnl" w:eastAsia="es-ES_tradnl"/>
        </w:rPr>
        <w:t xml:space="preserve"> con la entrada en vigencia del artículo 56 de la Ley 2195 de 2022, la aplicación de Documentos Pliego Tipo resulta obligatoria cuando la Entidad Estatal opta por celebrar convenios o contratos interadministrativos, o de cualquier otra índole, sin que por ello implique que las entidades de regímenes especiales de contratación, patrimonios autónomos o personas naturales o jurídicas de derecho privado se las haya habilitado legalmente para que apliquen Documentos Pliego Tipo en su contratación privada, por cuanto, la norma parte de la premisa fundamental de que la aplicación de estos solo es procedente para entidades cuyo régimen contractual corresponde al EGCAP. Esto en la medida en que, </w:t>
      </w:r>
      <w:bookmarkStart w:id="28" w:name="_Hlk109963698"/>
      <w:r w:rsidRPr="00283724">
        <w:rPr>
          <w:rFonts w:ascii="Arial" w:eastAsia="Calibri" w:hAnsi="Arial" w:cs="Arial"/>
          <w:bCs/>
          <w:lang w:val="es-ES_tradnl" w:eastAsia="es-ES_tradnl"/>
        </w:rPr>
        <w:t>el parágrafo 7 del artículo 2 de la Ley 1150 de 2007, modificado por la Ley 2022 de 2020, solo se refiere a la obligación de aplicar los Documentos Tipo en los Procesos de Contratación que adelanten las entidades sometidas al EGCAP.</w:t>
      </w:r>
      <w:r w:rsidRPr="00283724">
        <w:rPr>
          <w:rFonts w:ascii="Arial" w:eastAsia="Calibri" w:hAnsi="Arial" w:cs="Arial"/>
          <w:bCs/>
          <w:strike/>
          <w:lang w:val="es-ES_tradnl" w:eastAsia="es-ES_tradnl"/>
        </w:rPr>
        <w:t xml:space="preserve"> </w:t>
      </w:r>
      <w:bookmarkEnd w:id="28"/>
    </w:p>
    <w:p w14:paraId="68D4FE2F" w14:textId="77777777" w:rsidR="00BC5810" w:rsidRPr="00283724" w:rsidRDefault="00BC5810" w:rsidP="00BC5810">
      <w:pPr>
        <w:spacing w:after="120" w:line="276" w:lineRule="auto"/>
        <w:ind w:firstLine="708"/>
        <w:jc w:val="both"/>
        <w:rPr>
          <w:rFonts w:ascii="Arial" w:eastAsia="Calibri" w:hAnsi="Arial" w:cs="Arial"/>
          <w:lang w:val="es-ES" w:eastAsia="es-ES"/>
        </w:rPr>
      </w:pPr>
      <w:bookmarkStart w:id="29" w:name="_Hlk144075437"/>
      <w:bookmarkEnd w:id="27"/>
      <w:r w:rsidRPr="00283724">
        <w:rPr>
          <w:rFonts w:ascii="Arial" w:eastAsia="Times New Roman" w:hAnsi="Arial" w:cs="Arial"/>
          <w:lang w:eastAsia="es-ES_tradnl"/>
        </w:rPr>
        <w:t xml:space="preserve">Esta Agencia ha considerado, como se explicó </w:t>
      </w:r>
      <w:r w:rsidRPr="00283724">
        <w:rPr>
          <w:rFonts w:ascii="Arial" w:eastAsia="Times New Roman" w:hAnsi="Arial" w:cs="Arial"/>
          <w:i/>
          <w:iCs/>
          <w:lang w:eastAsia="es-ES_tradnl"/>
        </w:rPr>
        <w:t>ut supra</w:t>
      </w:r>
      <w:r w:rsidRPr="00283724">
        <w:rPr>
          <w:rFonts w:ascii="Arial" w:eastAsia="Times New Roman" w:hAnsi="Arial" w:cs="Arial"/>
          <w:lang w:eastAsia="es-ES_tradnl"/>
        </w:rPr>
        <w:t xml:space="preserve">, que </w:t>
      </w:r>
      <w:r w:rsidRPr="00283724">
        <w:rPr>
          <w:rFonts w:ascii="Arial" w:eastAsia="Calibri" w:hAnsi="Arial"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283724">
        <w:rPr>
          <w:rFonts w:ascii="Arial" w:eastAsia="Calibri" w:hAnsi="Arial" w:cs="Arial"/>
          <w:vertAlign w:val="superscript"/>
          <w:lang w:val="es-ES" w:eastAsia="es-ES"/>
        </w:rPr>
        <w:footnoteReference w:id="27"/>
      </w:r>
      <w:r w:rsidRPr="00283724">
        <w:rPr>
          <w:rFonts w:ascii="Arial" w:eastAsia="Calibri" w:hAnsi="Arial" w:cs="Arial"/>
          <w:lang w:val="es-ES" w:eastAsia="es-ES"/>
        </w:rPr>
        <w:t xml:space="preserve">, ahora deberán tenerse en cuenta las siguientes reglas: i) </w:t>
      </w:r>
      <w:r w:rsidRPr="00283724">
        <w:rPr>
          <w:rFonts w:ascii="Arial" w:eastAsia="Calibri" w:hAnsi="Arial" w:cs="Arial"/>
          <w:i/>
          <w:lang w:val="es-ES" w:eastAsia="es-ES"/>
        </w:rPr>
        <w:t>en el caso de los convenios interadministrativos o de cualquier otra índole:</w:t>
      </w:r>
      <w:r w:rsidRPr="00283724">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00283724">
        <w:rPr>
          <w:rFonts w:ascii="Arial" w:eastAsia="Calibri" w:hAnsi="Arial" w:cs="Arial"/>
          <w:i/>
          <w:lang w:val="es-ES" w:eastAsia="es-ES"/>
        </w:rPr>
        <w:t>en el caso de los contratos interadministrativos</w:t>
      </w:r>
      <w:r w:rsidRPr="00283724">
        <w:rPr>
          <w:rFonts w:ascii="Arial" w:eastAsia="Calibri" w:hAnsi="Arial" w:cs="Arial"/>
          <w:lang w:val="es-ES" w:eastAsia="es-ES"/>
        </w:rPr>
        <w:t xml:space="preserve"> </w:t>
      </w:r>
      <w:r w:rsidRPr="00283724">
        <w:rPr>
          <w:rFonts w:ascii="Arial" w:eastAsia="Calibri" w:hAnsi="Arial" w:cs="Arial"/>
          <w:i/>
          <w:lang w:val="es-ES" w:eastAsia="es-ES"/>
        </w:rPr>
        <w:t>o de cualquier otra índole</w:t>
      </w:r>
      <w:r w:rsidRPr="00283724">
        <w:rPr>
          <w:rFonts w:ascii="Arial" w:eastAsia="Calibri" w:hAnsi="Arial" w:cs="Arial"/>
          <w:lang w:val="es-ES" w:eastAsia="es-ES"/>
        </w:rPr>
        <w:t xml:space="preserve">: </w:t>
      </w:r>
      <w:r w:rsidRPr="00283724">
        <w:rPr>
          <w:rFonts w:ascii="Arial" w:eastAsia="Times New Roman" w:hAnsi="Arial" w:cs="Arial"/>
          <w:lang w:eastAsia="es-ES"/>
        </w:rPr>
        <w:t xml:space="preserve">implica que si las Entidades Estatales exceptuadas, los patrimonios autónomos y las personas naturales o jurídicas de </w:t>
      </w:r>
      <w:r w:rsidRPr="00283724">
        <w:rPr>
          <w:rFonts w:ascii="Arial" w:eastAsia="Times New Roman" w:hAnsi="Arial" w:cs="Arial"/>
          <w:lang w:eastAsia="es-ES"/>
        </w:rPr>
        <w:lastRenderedPageBreak/>
        <w:t xml:space="preserve">derecho privado pretenden ser adjudicatarias de estos contratos, deben someterse a un proceso de selección en el que se apliquen Documentos Tipo expedidos por esta Agencia a cargo de la </w:t>
      </w:r>
      <w:r w:rsidRPr="00283724">
        <w:rPr>
          <w:rFonts w:ascii="Arial" w:eastAsia="Calibri" w:hAnsi="Arial" w:cs="Arial"/>
          <w:lang w:val="es-ES" w:eastAsia="es-ES"/>
        </w:rPr>
        <w:t>entidad sometida al EGCAP.</w:t>
      </w:r>
    </w:p>
    <w:bookmarkEnd w:id="29"/>
    <w:p w14:paraId="4E2846DC"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 </w:t>
      </w:r>
      <w:bookmarkStart w:id="31" w:name="_Hlk113023365"/>
      <w:r w:rsidRPr="00283724">
        <w:rPr>
          <w:rFonts w:ascii="Arial" w:eastAsia="Calibri" w:hAnsi="Arial" w:cs="Arial"/>
          <w:bCs/>
          <w:lang w:val="es-ES_tradnl" w:eastAsia="es-ES_tradnl"/>
        </w:rPr>
        <w:t xml:space="preserve">El segundo inciso de la norma bajo estudio usa la expresión </w:t>
      </w:r>
      <w:r w:rsidRPr="00283724">
        <w:rPr>
          <w:rFonts w:ascii="Arial" w:eastAsia="Calibri" w:hAnsi="Arial" w:cs="Arial"/>
          <w:lang w:val="es-ES_tradnl" w:eastAsia="es-ES_tradnl"/>
        </w:rPr>
        <w:t>“</w:t>
      </w:r>
      <w:r w:rsidRPr="00283724">
        <w:rPr>
          <w:rFonts w:ascii="Arial" w:eastAsia="Times New Roman" w:hAnsi="Arial" w:cs="Arial"/>
          <w:lang w:eastAsia="es-ES_tradnl"/>
        </w:rPr>
        <w:t xml:space="preserve">los procedimientos de selección y </w:t>
      </w:r>
      <w:r w:rsidRPr="00283724">
        <w:rPr>
          <w:rFonts w:ascii="Arial" w:eastAsia="Times New Roman" w:hAnsi="Arial" w:cs="Arial"/>
          <w:i/>
          <w:iCs/>
          <w:lang w:eastAsia="es-ES_tradnl"/>
        </w:rPr>
        <w:t>contratos que realicen en desarrollo de los anteriores negocios jurídicos</w:t>
      </w:r>
      <w:r w:rsidRPr="00283724">
        <w:rPr>
          <w:rFonts w:ascii="Arial" w:eastAsia="Calibri" w:hAnsi="Arial" w:cs="Arial"/>
          <w:lang w:val="es-ES_tradnl" w:eastAsia="es-ES_tradnl"/>
        </w:rPr>
        <w:t>”</w:t>
      </w:r>
      <w:r w:rsidRPr="00283724">
        <w:rPr>
          <w:rFonts w:ascii="Arial" w:eastAsia="Times New Roman" w:hAnsi="Arial" w:cs="Arial"/>
          <w:lang w:eastAsia="es-ES_tradnl"/>
        </w:rPr>
        <w:t xml:space="preserve">. Pudiera entenderse que alude a los negocios jurídicos descritos en el primer inciso, es decir, aquellos a través de los cuales una Entidad Estatal sometida al EGCAP contrata o coopera con un sujeto de derecho privado –entidad exceptuada, patrimonio autónomo o persona natural o jurídica de derecho privado– en un objeto del que se desprende el suministro de un bien, obra o servicio cobijada por un Documento Tipo.  En ese sentido, la norma parte de la base de que para </w:t>
      </w:r>
      <w:r w:rsidRPr="00283724">
        <w:rPr>
          <w:rFonts w:ascii="Arial" w:eastAsia="Times New Roman" w:hAnsi="Arial" w:cs="Arial"/>
          <w:i/>
          <w:iCs/>
          <w:lang w:eastAsia="es-ES_tradnl"/>
        </w:rPr>
        <w:t>desarrollar</w:t>
      </w:r>
      <w:r w:rsidRPr="00283724">
        <w:rPr>
          <w:rFonts w:ascii="Arial" w:eastAsia="Times New Roman" w:hAnsi="Arial" w:cs="Arial"/>
          <w:lang w:eastAsia="es-ES_tradnl"/>
        </w:rPr>
        <w:t xml:space="preserve"> tales negocios jurídicos la Entidad Estatal sometida necesariamente debe adelantar un procedimiento de selección y suscribir un contrato elevado a escrito, lo que –en atención al artículo 56– deberá hacerlo aplicando Documentos Tipo y con sujeción al EGCAP. </w:t>
      </w:r>
    </w:p>
    <w:p w14:paraId="7A335470"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Sobre esto es necesario considerar que, las entidades sometidas al EGCAP, por lo general, se encuentran obligadas a agotar un procedimiento de selección conforme las normas aplicables para celebrar contratos estatales, a diferencia de los negocios jurídicos regidos por el derecho privado, los cuales, generalmente, se perfeccionan con el acuerdo de voluntades, salvo que la ley exija alguna solemnidad adicional</w:t>
      </w:r>
      <w:bookmarkStart w:id="32" w:name="_Hlk113023433"/>
      <w:bookmarkEnd w:id="31"/>
      <w:r w:rsidRPr="00283724">
        <w:rPr>
          <w:rFonts w:ascii="Arial" w:eastAsia="Calibri" w:hAnsi="Arial" w:cs="Arial"/>
          <w:bCs/>
          <w:lang w:val="es-ES_tradnl" w:eastAsia="es-ES_tradnl"/>
        </w:rPr>
        <w:t xml:space="preserve">. De esto se desprende que el propósito del legislador con la expedición de la norma objeto de análisis,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w:t>
      </w:r>
      <w:bookmarkEnd w:id="32"/>
    </w:p>
    <w:p w14:paraId="1E3B49D2" w14:textId="77777777" w:rsidR="00BC5810" w:rsidRPr="00283724" w:rsidRDefault="00BC5810" w:rsidP="00BC5810">
      <w:pPr>
        <w:tabs>
          <w:tab w:val="left" w:pos="0"/>
        </w:tabs>
        <w:spacing w:after="0" w:line="276" w:lineRule="auto"/>
        <w:jc w:val="both"/>
        <w:rPr>
          <w:rFonts w:ascii="Arial" w:eastAsia="Calibri" w:hAnsi="Arial" w:cs="Arial"/>
          <w:lang w:val="es-ES_tradnl" w:eastAsia="es-ES_tradnl"/>
        </w:rPr>
      </w:pPr>
      <w:r w:rsidRPr="00283724">
        <w:rPr>
          <w:rFonts w:ascii="Arial" w:eastAsia="Calibri" w:hAnsi="Arial" w:cs="Arial"/>
          <w:bCs/>
          <w:lang w:val="es-ES_tradnl" w:eastAsia="es-ES_tradnl"/>
        </w:rPr>
        <w:tab/>
        <w:t xml:space="preserve">Por tanto, el hecho de que la norma esté dirigida a las entidades sometidas al EGCAP, no tiene otro fin más que el de indicar que la obligación de emplear los Documentos Tipo en el marco de un contrato o convenio interadministrativo, o de cualquier otra índole, recae sobre la misma, pues sólo así puede garantizarse que el mandato imperativo dispuesto en el literal segundo del artículo en cita, tenga un efecto jurídico, pues estas entidades deben realizar procesos de selección y celebrar contratos con sujeción al EGCAP, requerido para la aplicación de Documentos Tipo en virtud de lo regulado en el parágrafo 7 del artículo 2 de la Ley 1150 de 2007, modificado por la Ley 2022 de 2020. </w:t>
      </w:r>
    </w:p>
    <w:p w14:paraId="638BBDF3"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03030A1E" w14:textId="1911C4D7" w:rsidR="00BC5810" w:rsidRPr="00283724" w:rsidRDefault="00BC5810" w:rsidP="00BC5810">
      <w:pPr>
        <w:spacing w:after="0" w:line="276" w:lineRule="auto"/>
        <w:jc w:val="both"/>
        <w:rPr>
          <w:rFonts w:ascii="Arial" w:eastAsia="Calibri" w:hAnsi="Arial" w:cs="Arial"/>
          <w:lang w:val="es-ES" w:eastAsia="es-ES"/>
        </w:rPr>
      </w:pPr>
      <w:bookmarkStart w:id="33" w:name="_Hlk109963871"/>
      <w:r w:rsidRPr="00283724">
        <w:rPr>
          <w:rFonts w:ascii="Arial" w:eastAsia="Calibri" w:hAnsi="Arial" w:cs="Arial"/>
          <w:b/>
          <w:lang w:val="es-ES" w:eastAsia="es-ES"/>
        </w:rPr>
        <w:t>2.</w:t>
      </w:r>
      <w:r w:rsidR="00017873" w:rsidRPr="00283724">
        <w:rPr>
          <w:rFonts w:ascii="Arial" w:eastAsia="Calibri" w:hAnsi="Arial" w:cs="Arial"/>
          <w:b/>
          <w:lang w:val="es-ES" w:eastAsia="es-ES"/>
        </w:rPr>
        <w:t>5</w:t>
      </w:r>
      <w:r w:rsidRPr="00283724">
        <w:rPr>
          <w:rFonts w:ascii="Arial" w:eastAsia="Calibri" w:hAnsi="Arial" w:cs="Arial"/>
          <w:b/>
          <w:lang w:val="es-ES" w:eastAsia="es-ES"/>
        </w:rPr>
        <w:t>.</w:t>
      </w:r>
      <w:r w:rsidRPr="00283724">
        <w:rPr>
          <w:rFonts w:ascii="Arial" w:eastAsia="Calibri" w:hAnsi="Arial" w:cs="Arial"/>
          <w:b/>
          <w:i/>
          <w:lang w:val="es-ES" w:eastAsia="es-ES"/>
        </w:rPr>
        <w:t xml:space="preserve"> </w:t>
      </w:r>
      <w:r w:rsidRPr="00283724">
        <w:rPr>
          <w:rFonts w:ascii="Arial" w:eastAsia="Calibri" w:hAnsi="Arial" w:cs="Arial"/>
          <w:b/>
          <w:lang w:val="es-ES" w:eastAsia="es-ES"/>
        </w:rPr>
        <w:t xml:space="preserve">Aplicación prevalente del EGCAP en los contratos celebrados con entidades exceptuadas. Aparente tensión con el literal c) del artículo 2, numeral 4, de la Ley 1150 de 2007 </w:t>
      </w:r>
    </w:p>
    <w:p w14:paraId="26A7D786"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1003F31F"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lastRenderedPageBreak/>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aplicadas a lo dispuesto en esta última norma, se entendía que debía aplicarse el EGCAP y los Documentos Tipo. </w:t>
      </w:r>
    </w:p>
    <w:p w14:paraId="0292A2AA"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4E77024A"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469FA302"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w:t>
      </w:r>
      <w:r w:rsidRPr="00283724">
        <w:rPr>
          <w:rFonts w:ascii="Arial" w:eastAsia="Calibri" w:hAnsi="Arial" w:cs="Arial"/>
          <w:bCs/>
          <w:lang w:val="es-ES_tradnl" w:eastAsia="es-ES_tradnl"/>
        </w:rPr>
        <w:lastRenderedPageBreak/>
        <w:t xml:space="preserve">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753D5133"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Conforme a lo explicado en el acápite anterior, </w:t>
      </w:r>
      <w:bookmarkStart w:id="34" w:name="_Hlk113023497"/>
      <w:r w:rsidRPr="00283724">
        <w:rPr>
          <w:rFonts w:ascii="Arial" w:eastAsia="Calibri" w:hAnsi="Arial" w:cs="Arial"/>
          <w:bCs/>
          <w:lang w:val="es-ES_tradnl" w:eastAsia="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en los casos en los que el objeto contractual que se pretende contratar esté sometido a algún Documento Tipo, esto </w:t>
      </w:r>
      <w:r w:rsidRPr="00283724">
        <w:rPr>
          <w:rFonts w:ascii="Arial" w:eastAsia="Times New Roman" w:hAnsi="Arial" w:cs="Arial"/>
          <w:lang w:eastAsia="es-ES_tradnl"/>
        </w:rPr>
        <w:t xml:space="preserve">implica que si las Entidades Estatales exceptuadas pretenden ser adjudicatarias de estos contratos, deben someterse a un proceso de selección en el que se apliquen Documentos Tipo expedidos por esta Agencia a cargo de la </w:t>
      </w:r>
      <w:r w:rsidRPr="00283724">
        <w:rPr>
          <w:rFonts w:ascii="Arial" w:eastAsia="Calibri" w:hAnsi="Arial" w:cs="Arial"/>
          <w:bCs/>
          <w:lang w:val="es-ES_tradnl" w:eastAsia="es-ES_tradnl"/>
        </w:rPr>
        <w:t>entidad sometida al EGCAP.</w:t>
      </w:r>
    </w:p>
    <w:bookmarkEnd w:id="34"/>
    <w:p w14:paraId="4C610AB0" w14:textId="77777777" w:rsidR="00BC5810" w:rsidRPr="00283724" w:rsidRDefault="00BC5810" w:rsidP="00BC5810">
      <w:pPr>
        <w:tabs>
          <w:tab w:val="left" w:pos="0"/>
        </w:tabs>
        <w:spacing w:after="0" w:line="276" w:lineRule="auto"/>
        <w:jc w:val="both"/>
        <w:rPr>
          <w:rFonts w:ascii="Arial" w:eastAsia="Times New Roman" w:hAnsi="Arial" w:cs="Arial"/>
          <w:lang w:eastAsia="es-ES_tradnl"/>
        </w:rPr>
      </w:pPr>
      <w:r w:rsidRPr="00283724">
        <w:rPr>
          <w:rFonts w:ascii="Arial" w:eastAsia="Times New Roman" w:hAnsi="Arial" w:cs="Arial"/>
          <w:lang w:eastAsia="es-ES_tradnl"/>
        </w:rPr>
        <w:tab/>
      </w:r>
      <w:bookmarkEnd w:id="33"/>
    </w:p>
    <w:p w14:paraId="41E3D0D6" w14:textId="25D84A41" w:rsidR="00BC5810" w:rsidRPr="00283724" w:rsidRDefault="00BC5810" w:rsidP="00BC5810">
      <w:pPr>
        <w:tabs>
          <w:tab w:val="left" w:pos="0"/>
        </w:tabs>
        <w:spacing w:after="0" w:line="276" w:lineRule="auto"/>
        <w:jc w:val="both"/>
        <w:rPr>
          <w:rFonts w:ascii="Arial" w:eastAsia="Times New Roman" w:hAnsi="Arial" w:cs="Arial"/>
          <w:b/>
          <w:bCs/>
          <w:lang w:eastAsia="es-ES_tradnl"/>
        </w:rPr>
      </w:pPr>
      <w:r w:rsidRPr="00283724">
        <w:rPr>
          <w:rFonts w:ascii="Arial" w:eastAsia="Times New Roman" w:hAnsi="Arial" w:cs="Arial"/>
          <w:b/>
          <w:bCs/>
          <w:lang w:eastAsia="es-ES_tradnl"/>
        </w:rPr>
        <w:t>2.</w:t>
      </w:r>
      <w:r w:rsidR="00017873" w:rsidRPr="00283724">
        <w:rPr>
          <w:rFonts w:ascii="Arial" w:eastAsia="Times New Roman" w:hAnsi="Arial" w:cs="Arial"/>
          <w:b/>
          <w:bCs/>
          <w:lang w:eastAsia="es-ES_tradnl"/>
        </w:rPr>
        <w:t>6</w:t>
      </w:r>
      <w:r w:rsidRPr="00283724">
        <w:rPr>
          <w:rFonts w:ascii="Arial" w:eastAsia="Times New Roman" w:hAnsi="Arial" w:cs="Arial"/>
          <w:b/>
          <w:bCs/>
          <w:lang w:eastAsia="es-ES_tradnl"/>
        </w:rPr>
        <w:t xml:space="preserve">. Excepciones a la aplicación del artículo 56 de la Ley 2195 de 2022. Alcance de la expresión </w:t>
      </w:r>
      <w:r w:rsidRPr="00283724">
        <w:rPr>
          <w:rFonts w:ascii="Arial" w:eastAsia="Times New Roman" w:hAnsi="Arial" w:cs="Arial"/>
          <w:b/>
          <w:bCs/>
          <w:i/>
          <w:iCs/>
          <w:lang w:eastAsia="es-ES_tradnl"/>
        </w:rPr>
        <w:t>“giro ordinario”</w:t>
      </w:r>
      <w:r w:rsidRPr="00283724">
        <w:rPr>
          <w:rFonts w:ascii="Arial" w:eastAsia="Times New Roman" w:hAnsi="Arial" w:cs="Arial"/>
          <w:b/>
          <w:bCs/>
          <w:lang w:eastAsia="es-ES_tradnl"/>
        </w:rPr>
        <w:t xml:space="preserve"> contenida en el parágrafo de la norma.</w:t>
      </w:r>
    </w:p>
    <w:p w14:paraId="5BCF85D8" w14:textId="77777777" w:rsidR="00BC5810" w:rsidRPr="00283724" w:rsidRDefault="00BC5810" w:rsidP="00BC5810">
      <w:pPr>
        <w:tabs>
          <w:tab w:val="left" w:pos="0"/>
        </w:tabs>
        <w:spacing w:after="0" w:line="276" w:lineRule="auto"/>
        <w:jc w:val="both"/>
        <w:rPr>
          <w:rFonts w:ascii="Arial" w:eastAsia="Times New Roman" w:hAnsi="Arial" w:cs="Arial"/>
          <w:lang w:eastAsia="es-ES_tradnl"/>
        </w:rPr>
      </w:pPr>
    </w:p>
    <w:p w14:paraId="434EA315"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Times New Roman" w:hAnsi="Arial" w:cs="Arial"/>
          <w:lang w:eastAsia="es-ES_tradnl"/>
        </w:rPr>
        <w:t>De otra parte,</w:t>
      </w:r>
      <w:bookmarkStart w:id="35" w:name="_Hlk113023556"/>
      <w:r w:rsidRPr="00283724">
        <w:rPr>
          <w:rFonts w:ascii="Arial" w:eastAsia="Calibri" w:hAnsi="Arial" w:cs="Arial"/>
          <w:bCs/>
          <w:lang w:val="es-ES_tradnl" w:eastAsia="es-ES_tradnl"/>
        </w:rPr>
        <w:t xml:space="preserve"> es necesario precisar el alcance del parágrafo del artículo 56 de la Ley 2195 de 2022 y lo dispuesto en los dos primeros incisos del mencionado artículo, del cual se excluye, a cierto tipo de entidades, en lo relacionado con la contratación de su </w:t>
      </w:r>
      <w:r w:rsidRPr="00283724">
        <w:rPr>
          <w:rFonts w:ascii="Arial" w:eastAsia="Calibri" w:hAnsi="Arial" w:cs="Arial"/>
          <w:bCs/>
          <w:i/>
          <w:iCs/>
          <w:lang w:val="es-ES_tradnl" w:eastAsia="es-ES_tradnl"/>
        </w:rPr>
        <w:t>giro ordinario</w:t>
      </w:r>
      <w:r w:rsidRPr="00283724">
        <w:rPr>
          <w:rFonts w:ascii="Arial" w:eastAsia="Calibri" w:hAnsi="Arial" w:cs="Arial"/>
          <w:bCs/>
          <w:lang w:val="es-ES_tradnl" w:eastAsia="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283724">
        <w:rPr>
          <w:rFonts w:ascii="Arial" w:eastAsia="Calibri" w:hAnsi="Arial" w:cs="Arial"/>
          <w:bCs/>
          <w:i/>
          <w:iCs/>
          <w:lang w:val="es-ES_tradnl" w:eastAsia="es-ES_tradnl"/>
        </w:rPr>
        <w:t>giro ordinario.</w:t>
      </w:r>
      <w:r w:rsidRPr="00283724">
        <w:rPr>
          <w:rFonts w:ascii="Arial" w:eastAsia="Calibri" w:hAnsi="Arial" w:cs="Arial"/>
          <w:bCs/>
          <w:lang w:val="es-ES_tradnl" w:eastAsia="es-ES_tradnl"/>
        </w:rPr>
        <w:t xml:space="preserve"> Esto significa que, en la contratación asociada a su </w:t>
      </w:r>
      <w:r w:rsidRPr="00283724">
        <w:rPr>
          <w:rFonts w:ascii="Arial" w:eastAsia="Calibri" w:hAnsi="Arial" w:cs="Arial"/>
          <w:bCs/>
          <w:i/>
          <w:iCs/>
          <w:lang w:val="es-ES_tradnl" w:eastAsia="es-ES_tradnl"/>
        </w:rPr>
        <w:t xml:space="preserve">giro ordinario, </w:t>
      </w:r>
      <w:r w:rsidRPr="00283724">
        <w:rPr>
          <w:rFonts w:ascii="Arial" w:eastAsia="Calibri" w:hAnsi="Arial" w:cs="Arial"/>
          <w:bCs/>
          <w:lang w:val="es-ES_tradnl" w:eastAsia="es-ES_tradnl"/>
        </w:rPr>
        <w:t>estos tipos de entidades no tendrían que aplicar, de manera obligatoria, los Documentos Tipo, ni tampoco el EGCAP.</w:t>
      </w:r>
      <w:r w:rsidRPr="00283724">
        <w:rPr>
          <w:rFonts w:ascii="Arial" w:eastAsia="Times New Roman" w:hAnsi="Arial"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283724">
        <w:rPr>
          <w:rFonts w:ascii="Arial" w:eastAsia="Calibri" w:hAnsi="Arial" w:cs="Arial"/>
          <w:bCs/>
          <w:lang w:val="es-ES_tradnl" w:eastAsia="es-ES_tradnl"/>
        </w:rPr>
        <w:t xml:space="preserve">En este caso la norma se limita a fomentar la implementación de Documentos Tipo a modo de buena práctica contractual, en los casos en los que se estime conveniente. </w:t>
      </w:r>
    </w:p>
    <w:bookmarkEnd w:id="35"/>
    <w:p w14:paraId="3AD340E2" w14:textId="77777777" w:rsidR="00BC5810" w:rsidRPr="00283724" w:rsidRDefault="00BC5810" w:rsidP="00BC5810">
      <w:pPr>
        <w:tabs>
          <w:tab w:val="left" w:pos="0"/>
        </w:tabs>
        <w:spacing w:after="120" w:line="276" w:lineRule="auto"/>
        <w:jc w:val="both"/>
        <w:rPr>
          <w:rFonts w:ascii="Arial" w:eastAsia="Arial" w:hAnsi="Arial" w:cs="Arial"/>
          <w:lang w:val="es-ES_tradnl" w:eastAsia="es-ES_tradnl"/>
        </w:rPr>
      </w:pPr>
      <w:r w:rsidRPr="00283724">
        <w:rPr>
          <w:rFonts w:ascii="Arial" w:eastAsia="Calibri" w:hAnsi="Arial" w:cs="Arial"/>
          <w:bCs/>
          <w:lang w:val="es-ES_tradnl" w:eastAsia="es-ES_tradnl"/>
        </w:rPr>
        <w:tab/>
        <w:t xml:space="preserve">Ahora, es importante tener en cuenta que cuando la norma se refiere a la contratación del </w:t>
      </w:r>
      <w:r w:rsidRPr="00283724">
        <w:rPr>
          <w:rFonts w:ascii="Arial" w:eastAsia="Calibri" w:hAnsi="Arial" w:cs="Arial"/>
          <w:bCs/>
          <w:i/>
          <w:iCs/>
          <w:lang w:val="es-ES_tradnl" w:eastAsia="es-ES_tradnl"/>
        </w:rPr>
        <w:t>giro ordinario</w:t>
      </w:r>
      <w:r w:rsidRPr="00283724">
        <w:rPr>
          <w:rFonts w:ascii="Arial" w:eastAsia="Calibri" w:hAnsi="Arial" w:cs="Arial"/>
          <w:bCs/>
          <w:lang w:val="es-ES_tradnl" w:eastAsia="es-ES_tradnl"/>
        </w:rPr>
        <w:t>, emplea un concepto jurídico indeterminado</w:t>
      </w:r>
      <w:r w:rsidRPr="00283724">
        <w:rPr>
          <w:rFonts w:ascii="Arial" w:eastAsia="Calibri" w:hAnsi="Arial" w:cs="Arial"/>
          <w:vertAlign w:val="superscript"/>
          <w:lang w:eastAsia="es-ES_tradnl"/>
        </w:rPr>
        <w:footnoteReference w:id="28"/>
      </w:r>
      <w:r w:rsidRPr="00283724">
        <w:rPr>
          <w:rFonts w:ascii="Arial" w:eastAsia="Calibri" w:hAnsi="Arial" w:cs="Arial"/>
          <w:bCs/>
          <w:lang w:val="es-ES_tradnl" w:eastAsia="es-ES_tradnl"/>
        </w:rPr>
        <w:t xml:space="preserve">. </w:t>
      </w:r>
      <w:r w:rsidRPr="00283724">
        <w:rPr>
          <w:rFonts w:ascii="Arial" w:eastAsia="Arial" w:hAnsi="Arial" w:cs="Arial"/>
          <w:lang w:val="es-ES_tradnl" w:eastAsia="es-ES_tradnl"/>
        </w:rPr>
        <w:t xml:space="preserve">Un concepto </w:t>
      </w:r>
      <w:r w:rsidRPr="00283724">
        <w:rPr>
          <w:rFonts w:ascii="Arial" w:eastAsia="Arial" w:hAnsi="Arial" w:cs="Arial"/>
          <w:lang w:val="es-ES_tradnl" w:eastAsia="es-ES_tradnl"/>
        </w:rPr>
        <w:lastRenderedPageBreak/>
        <w:t xml:space="preserve">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283724">
        <w:rPr>
          <w:rFonts w:ascii="Arial" w:eastAsia="Arial" w:hAnsi="Arial" w:cs="Arial"/>
          <w:i/>
          <w:iCs/>
          <w:lang w:val="es-ES_tradnl" w:eastAsia="es-ES_tradnl"/>
        </w:rPr>
        <w:t>giro ordinario</w:t>
      </w:r>
      <w:r w:rsidRPr="00283724">
        <w:rPr>
          <w:rFonts w:ascii="Arial" w:eastAsia="Arial" w:hAnsi="Arial" w:cs="Arial"/>
          <w:lang w:val="es-ES_tradnl" w:eastAsia="es-ES_tradnl"/>
        </w:rPr>
        <w:t xml:space="preserve"> de sus negocios. </w:t>
      </w:r>
    </w:p>
    <w:p w14:paraId="556CF94A" w14:textId="77777777" w:rsidR="00BC5810" w:rsidRPr="00283724" w:rsidRDefault="00BC5810" w:rsidP="00BC5810">
      <w:pPr>
        <w:tabs>
          <w:tab w:val="left" w:pos="0"/>
        </w:tabs>
        <w:spacing w:after="0" w:line="276" w:lineRule="auto"/>
        <w:ind w:firstLine="709"/>
        <w:jc w:val="both"/>
        <w:rPr>
          <w:rFonts w:ascii="Arial" w:eastAsia="Calibri" w:hAnsi="Arial" w:cs="Arial"/>
          <w:bCs/>
          <w:lang w:val="es-ES_tradnl" w:eastAsia="es-ES_tradnl"/>
        </w:rPr>
      </w:pPr>
      <w:r w:rsidRPr="00283724">
        <w:rPr>
          <w:rFonts w:ascii="Arial" w:eastAsia="Arial" w:hAnsi="Arial" w:cs="Arial"/>
          <w:lang w:val="es-ES_tradnl" w:eastAsia="es-ES_tradnl"/>
        </w:rPr>
        <w:t>La Corte Constitucional</w:t>
      </w:r>
      <w:r w:rsidRPr="00283724">
        <w:rPr>
          <w:rFonts w:ascii="Arial" w:eastAsia="Arial" w:hAnsi="Arial" w:cs="Arial"/>
          <w:vertAlign w:val="superscript"/>
          <w:lang w:eastAsia="es-ES_tradnl"/>
        </w:rPr>
        <w:footnoteReference w:id="29"/>
      </w:r>
      <w:r w:rsidRPr="00283724">
        <w:rPr>
          <w:rFonts w:ascii="Arial" w:eastAsia="Arial" w:hAnsi="Arial"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283724">
        <w:rPr>
          <w:rFonts w:ascii="Arial" w:eastAsia="Calibri" w:hAnsi="Arial" w:cs="Arial"/>
          <w:bCs/>
          <w:lang w:val="es-ES_tradnl" w:eastAsia="es-ES_tradnl"/>
        </w:rPr>
        <w:t xml:space="preserve"> 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283724">
        <w:rPr>
          <w:rFonts w:ascii="Arial" w:eastAsia="Calibri" w:hAnsi="Arial" w:cs="Arial"/>
          <w:bCs/>
          <w:i/>
          <w:iCs/>
          <w:lang w:val="es-ES_tradnl" w:eastAsia="es-ES_tradnl"/>
        </w:rPr>
        <w:t xml:space="preserve">giro ordinario </w:t>
      </w:r>
      <w:r w:rsidRPr="00283724">
        <w:rPr>
          <w:rFonts w:ascii="Arial" w:eastAsia="Calibri" w:hAnsi="Arial" w:cs="Arial"/>
          <w:bCs/>
          <w:lang w:val="es-ES_tradnl" w:eastAsia="es-ES_tradnl"/>
        </w:rPr>
        <w:t>incluida en la redacción original del parágrafo 1° del artículo 32 de la Ley 80 de 1993</w:t>
      </w:r>
      <w:r w:rsidRPr="00283724">
        <w:rPr>
          <w:rFonts w:ascii="Arial" w:eastAsia="Calibri" w:hAnsi="Arial" w:cs="Arial"/>
          <w:vertAlign w:val="superscript"/>
          <w:lang w:eastAsia="es-ES_tradnl"/>
        </w:rPr>
        <w:footnoteReference w:id="30"/>
      </w:r>
      <w:r w:rsidRPr="00283724">
        <w:rPr>
          <w:rFonts w:ascii="Arial" w:eastAsia="Calibri" w:hAnsi="Arial" w:cs="Arial"/>
          <w:bCs/>
          <w:lang w:val="es-ES_tradnl" w:eastAsia="es-ES_tradnl"/>
        </w:rPr>
        <w:t xml:space="preserve">, la Sección Tercera manifestó lo siguiente: </w:t>
      </w:r>
    </w:p>
    <w:p w14:paraId="50A467E5"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4E329821" w14:textId="77777777" w:rsidR="00BC5810" w:rsidRPr="00283724" w:rsidRDefault="00BC5810" w:rsidP="00BC5810">
      <w:pPr>
        <w:spacing w:after="0" w:line="240" w:lineRule="auto"/>
        <w:ind w:left="709" w:right="709"/>
        <w:jc w:val="both"/>
        <w:rPr>
          <w:rFonts w:ascii="Arial" w:eastAsia="Times New Roman" w:hAnsi="Arial" w:cs="Arial"/>
          <w:sz w:val="20"/>
          <w:szCs w:val="20"/>
          <w:lang w:val="es-ES_tradnl" w:eastAsia="es-CO"/>
        </w:rPr>
      </w:pPr>
      <w:r w:rsidRPr="00283724">
        <w:rPr>
          <w:rFonts w:ascii="Arial" w:eastAsia="Times New Roman" w:hAnsi="Arial" w:cs="Arial"/>
          <w:sz w:val="20"/>
          <w:szCs w:val="20"/>
          <w:lang w:val="es-ES_tradnl" w:eastAsia="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283724">
        <w:rPr>
          <w:rFonts w:ascii="Arial" w:eastAsia="Times New Roman" w:hAnsi="Arial" w:cs="Arial"/>
          <w:sz w:val="20"/>
          <w:szCs w:val="20"/>
          <w:vertAlign w:val="superscript"/>
          <w:lang w:eastAsia="es-ES_tradnl"/>
        </w:rPr>
        <w:footnoteReference w:id="31"/>
      </w:r>
      <w:r w:rsidRPr="00283724">
        <w:rPr>
          <w:rFonts w:ascii="Arial" w:eastAsia="Times New Roman" w:hAnsi="Arial" w:cs="Arial"/>
          <w:sz w:val="20"/>
          <w:szCs w:val="20"/>
          <w:lang w:val="es-ES_tradnl" w:eastAsia="es-ES_tradnl"/>
        </w:rPr>
        <w:t>.</w:t>
      </w:r>
    </w:p>
    <w:p w14:paraId="0602FEF6" w14:textId="77777777" w:rsidR="00BC5810" w:rsidRPr="00283724" w:rsidRDefault="00BC5810" w:rsidP="00BC5810">
      <w:pPr>
        <w:tabs>
          <w:tab w:val="left" w:pos="0"/>
        </w:tabs>
        <w:spacing w:after="0" w:line="276" w:lineRule="auto"/>
        <w:jc w:val="both"/>
        <w:rPr>
          <w:rFonts w:ascii="Arial" w:eastAsia="Calibri" w:hAnsi="Arial" w:cs="Arial"/>
          <w:bCs/>
          <w:i/>
          <w:iCs/>
          <w:lang w:val="es-ES_tradnl" w:eastAsia="es-ES_tradnl"/>
        </w:rPr>
      </w:pPr>
    </w:p>
    <w:p w14:paraId="3BFBD618"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t xml:space="preserve">En el mismo sentido se pronunció recientemente el Alto Tribunal de lo Contencioso Administrativo, reiterando las anteriores consideraciones, al expresar que el concepto de </w:t>
      </w:r>
      <w:r w:rsidRPr="00283724">
        <w:rPr>
          <w:rFonts w:ascii="Arial" w:eastAsia="Calibri" w:hAnsi="Arial" w:cs="Arial"/>
          <w:i/>
          <w:lang w:val="es-ES_tradnl" w:eastAsia="es-ES_tradnl"/>
        </w:rPr>
        <w:lastRenderedPageBreak/>
        <w:t xml:space="preserve">“giro ordinario de los negocios” </w:t>
      </w:r>
      <w:r w:rsidRPr="00283724">
        <w:rPr>
          <w:rFonts w:ascii="Arial" w:eastAsia="Calibri" w:hAnsi="Arial" w:cs="Arial"/>
          <w:bCs/>
          <w:lang w:val="es-ES_tradnl" w:eastAsia="es-ES_tradnl"/>
        </w:rPr>
        <w:t>se refiere a aquellas actividades compatibles con el objeto social, funciones previstas en la ley, o en las normas de creación y en sus estatutos internos de las personas</w:t>
      </w:r>
      <w:r w:rsidRPr="00283724">
        <w:rPr>
          <w:rFonts w:ascii="Arial" w:eastAsia="Calibri" w:hAnsi="Arial" w:cs="Arial"/>
          <w:vertAlign w:val="superscript"/>
          <w:lang w:eastAsia="es-ES_tradnl"/>
        </w:rPr>
        <w:footnoteReference w:id="32"/>
      </w:r>
      <w:r w:rsidRPr="00283724">
        <w:rPr>
          <w:rFonts w:ascii="Arial" w:eastAsia="Calibri" w:hAnsi="Arial" w:cs="Arial"/>
          <w:bCs/>
          <w:lang w:val="es-ES_tradnl" w:eastAsia="es-ES_tradnl"/>
        </w:rPr>
        <w:t xml:space="preserve"> y la doctrina societaria</w:t>
      </w:r>
      <w:r w:rsidRPr="00283724">
        <w:rPr>
          <w:rFonts w:ascii="Arial" w:eastAsia="Calibri" w:hAnsi="Arial" w:cs="Arial"/>
          <w:bCs/>
          <w:vertAlign w:val="superscript"/>
          <w:lang w:val="es-ES_tradnl" w:eastAsia="es-ES_tradnl"/>
        </w:rPr>
        <w:footnoteReference w:id="33"/>
      </w:r>
      <w:r w:rsidRPr="00283724">
        <w:rPr>
          <w:rFonts w:ascii="Arial" w:eastAsia="Calibri" w:hAnsi="Arial" w:cs="Arial"/>
          <w:bCs/>
          <w:lang w:val="es-ES_tradnl" w:eastAsia="es-ES_tradnl"/>
        </w:rPr>
        <w:t xml:space="preserve">. </w:t>
      </w:r>
    </w:p>
    <w:p w14:paraId="47512F6F" w14:textId="77777777" w:rsidR="00BC5810" w:rsidRPr="00283724" w:rsidRDefault="00BC5810" w:rsidP="00BC5810">
      <w:pPr>
        <w:spacing w:after="120" w:line="276" w:lineRule="auto"/>
        <w:jc w:val="both"/>
        <w:rPr>
          <w:rFonts w:ascii="Arial" w:eastAsia="Calibri" w:hAnsi="Arial" w:cs="Arial"/>
          <w:lang w:val="es-ES" w:eastAsia="es-ES"/>
        </w:rPr>
      </w:pPr>
      <w:r w:rsidRPr="00283724">
        <w:rPr>
          <w:rFonts w:ascii="Arial" w:eastAsia="Calibri" w:hAnsi="Arial" w:cs="Arial"/>
          <w:bCs/>
          <w:lang w:val="es-ES_tradnl" w:eastAsia="es-ES_tradnl"/>
        </w:rPr>
        <w:tab/>
      </w:r>
      <w:r w:rsidRPr="00283724">
        <w:rPr>
          <w:rFonts w:ascii="Arial" w:eastAsia="Calibri" w:hAnsi="Arial" w:cs="Arial"/>
          <w:lang w:val="es-ES" w:eastAsia="es-ES"/>
        </w:rPr>
        <w:t xml:space="preserve">Conforme con lo expresado, el </w:t>
      </w:r>
      <w:r w:rsidRPr="00283724">
        <w:rPr>
          <w:rFonts w:ascii="Arial" w:eastAsia="Calibri" w:hAnsi="Arial" w:cs="Arial"/>
          <w:i/>
          <w:lang w:val="es-ES" w:eastAsia="es-ES"/>
        </w:rPr>
        <w:t xml:space="preserve">giro ordinario </w:t>
      </w:r>
      <w:r w:rsidRPr="00283724">
        <w:rPr>
          <w:rFonts w:ascii="Arial" w:eastAsia="Calibri" w:hAnsi="Arial"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283724">
        <w:rPr>
          <w:rFonts w:ascii="Arial" w:eastAsia="Times New Roman" w:hAnsi="Arial" w:cs="Arial"/>
          <w:lang w:val="es-ES" w:eastAsia="es-ES"/>
        </w:rPr>
        <w:t>S]e</w:t>
      </w:r>
      <w:r w:rsidRPr="00283724">
        <w:rPr>
          <w:rFonts w:ascii="Arial" w:eastAsia="Calibri" w:hAnsi="Arial"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283724">
        <w:rPr>
          <w:rFonts w:ascii="Arial" w:eastAsia="Calibri" w:hAnsi="Arial" w:cs="Arial"/>
          <w:vertAlign w:val="superscript"/>
          <w:lang w:eastAsia="es-ES"/>
        </w:rPr>
        <w:footnoteReference w:id="34"/>
      </w:r>
    </w:p>
    <w:p w14:paraId="10959190"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r>
      <w:bookmarkStart w:id="36" w:name="_Hlk109966084"/>
      <w:bookmarkStart w:id="37" w:name="_Hlk95322109"/>
      <w:r w:rsidRPr="00283724">
        <w:rPr>
          <w:rFonts w:ascii="Arial" w:eastAsia="Calibri" w:hAnsi="Arial" w:cs="Arial"/>
          <w:bCs/>
          <w:lang w:val="es-ES_tradnl" w:eastAsia="es-ES_tradnl"/>
        </w:rPr>
        <w:t xml:space="preserve">En relación con la aplicación de lo dispuesto en el parágrafo del artículo 56 de la Ley 2195 de 2022, conviene aclarar que, a juicio de esta Agencia, la expresión </w:t>
      </w:r>
      <w:r w:rsidRPr="00283724">
        <w:rPr>
          <w:rFonts w:ascii="Arial" w:eastAsia="Calibri" w:hAnsi="Arial" w:cs="Arial"/>
          <w:bCs/>
          <w:i/>
          <w:iCs/>
          <w:lang w:val="es-ES_tradnl" w:eastAsia="es-ES_tradnl"/>
        </w:rPr>
        <w:t xml:space="preserve">giro ordinario </w:t>
      </w:r>
      <w:r w:rsidRPr="00283724">
        <w:rPr>
          <w:rFonts w:ascii="Arial" w:eastAsia="Calibri" w:hAnsi="Arial" w:cs="Arial"/>
          <w:bCs/>
          <w:lang w:val="es-ES_tradnl" w:eastAsia="es-ES_tradnl"/>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283724">
        <w:rPr>
          <w:rFonts w:ascii="Arial" w:eastAsia="Calibri" w:hAnsi="Arial" w:cs="Arial"/>
          <w:bCs/>
          <w:i/>
          <w:iCs/>
          <w:lang w:val="es-ES_tradnl" w:eastAsia="es-ES_tradnl"/>
        </w:rPr>
        <w:t>giro ordinario</w:t>
      </w:r>
      <w:r w:rsidRPr="00283724">
        <w:rPr>
          <w:rFonts w:ascii="Arial" w:eastAsia="Calibri" w:hAnsi="Arial" w:cs="Arial"/>
          <w:bCs/>
          <w:lang w:val="es-ES_tradnl" w:eastAsia="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283724">
        <w:rPr>
          <w:rFonts w:ascii="Arial" w:eastAsia="Calibri" w:hAnsi="Arial" w:cs="Arial"/>
          <w:bCs/>
          <w:i/>
          <w:iCs/>
          <w:lang w:val="es-ES_tradnl" w:eastAsia="es-ES_tradnl"/>
        </w:rPr>
        <w:t>ejusdem</w:t>
      </w:r>
      <w:r w:rsidRPr="00283724">
        <w:rPr>
          <w:rFonts w:ascii="Arial" w:eastAsia="Calibri" w:hAnsi="Arial" w:cs="Arial"/>
          <w:bCs/>
          <w:lang w:val="es-ES_tradnl" w:eastAsia="es-ES_tradnl"/>
        </w:rPr>
        <w:t xml:space="preserve"> se limita a enunciar algunos tipos de Entidades Estatales, las cuales no solo difieren en su naturaleza jurídica, sino también en las actividades que realizan. </w:t>
      </w:r>
    </w:p>
    <w:bookmarkEnd w:id="36"/>
    <w:p w14:paraId="54FE0BCA" w14:textId="77777777" w:rsidR="00BC5810" w:rsidRPr="00283724" w:rsidRDefault="00BC5810" w:rsidP="00BC5810">
      <w:pPr>
        <w:tabs>
          <w:tab w:val="left" w:pos="0"/>
        </w:tabs>
        <w:spacing w:after="120" w:line="276" w:lineRule="auto"/>
        <w:ind w:firstLine="709"/>
        <w:jc w:val="both"/>
        <w:rPr>
          <w:rFonts w:ascii="Arial" w:eastAsia="Calibri" w:hAnsi="Arial" w:cs="Arial"/>
          <w:bCs/>
          <w:lang w:val="es-ES_tradnl" w:eastAsia="es-ES_tradnl"/>
        </w:rPr>
      </w:pPr>
      <w:r w:rsidRPr="00283724">
        <w:rPr>
          <w:rFonts w:ascii="Arial" w:eastAsia="Calibri" w:hAnsi="Arial" w:cs="Arial"/>
          <w:bCs/>
          <w:lang w:val="es-ES_tradnl" w:eastAsia="es-ES_tradnl"/>
        </w:rPr>
        <w:t xml:space="preserve">Esto impide que la Agencia Nacional de Contratación Pública – Colombia Compra Eficiente, en sede consultiva, pueda determinar, con un criterio universal y absoluto, qué </w:t>
      </w:r>
      <w:r w:rsidRPr="00283724">
        <w:rPr>
          <w:rFonts w:ascii="Arial" w:eastAsia="Calibri" w:hAnsi="Arial" w:cs="Arial"/>
          <w:bCs/>
          <w:lang w:val="es-ES_tradnl" w:eastAsia="es-ES_tradnl"/>
        </w:rPr>
        <w:lastRenderedPageBreak/>
        <w:t xml:space="preserve">actividades específicas hacen parte del giro ordinario de los negocios de dichas entidades y cuáles escapan de este, pues, como se indicó, al explicar la naturaleza de los conceptos jurídicos indeterminados, la concreción del alcance de la expresión </w:t>
      </w:r>
      <w:r w:rsidRPr="00283724">
        <w:rPr>
          <w:rFonts w:ascii="Arial" w:eastAsia="Calibri" w:hAnsi="Arial" w:cs="Arial"/>
          <w:bCs/>
          <w:i/>
          <w:iCs/>
          <w:lang w:val="es-ES_tradnl" w:eastAsia="es-ES_tradnl"/>
        </w:rPr>
        <w:t>giro ordinario</w:t>
      </w:r>
      <w:r w:rsidRPr="00283724">
        <w:rPr>
          <w:rFonts w:ascii="Arial" w:eastAsia="Calibri" w:hAnsi="Arial" w:cs="Arial"/>
          <w:bCs/>
          <w:lang w:val="es-ES_tradnl" w:eastAsia="es-ES_tradnl"/>
        </w:rPr>
        <w:t xml:space="preserve"> debe hacerse en el caso concreto, empleando un criterio de interpretación restrictiva. Ello en la medida en que el parágrafo del artículo 56 consagra una excepción a una regla general. </w:t>
      </w:r>
    </w:p>
    <w:bookmarkEnd w:id="37"/>
    <w:p w14:paraId="3117335A"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bCs/>
          <w:lang w:val="es-ES_tradnl" w:eastAsia="es-ES_tradnl"/>
        </w:rPr>
        <w:tab/>
      </w:r>
      <w:r w:rsidRPr="00283724">
        <w:rPr>
          <w:rFonts w:ascii="Arial" w:eastAsia="Calibri" w:hAnsi="Arial" w:cs="Arial"/>
          <w:lang w:val="es-ES_tradnl" w:eastAsia="es-ES_tradnl"/>
        </w:rPr>
        <w:t>Esta interpretación, a juicio de la Agencia, se desprende de la literalidad del texto de la norma en comento, además, está en armonía con la voluntad del órgano legislativo. Al respecto se estima que, si bien es cierto que entre los propósitos del artículo es la aplicación de Pliegos Tipo en convenios o contratos interadministrativos o de cualquier otra índole–a través de las cuales se podría estar eludiendo la aplicación de Documentos Tipo</w:t>
      </w:r>
      <w:r w:rsidRPr="00283724">
        <w:rPr>
          <w:rFonts w:ascii="Arial" w:eastAsia="Calibri" w:hAnsi="Arial" w:cs="Arial"/>
          <w:vertAlign w:val="superscript"/>
          <w:lang w:eastAsia="es-ES_tradnl"/>
        </w:rPr>
        <w:footnoteReference w:id="35"/>
      </w:r>
      <w:r w:rsidRPr="00283724">
        <w:rPr>
          <w:rFonts w:ascii="Arial" w:eastAsia="Calibri" w:hAnsi="Arial" w:cs="Arial"/>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283724">
        <w:rPr>
          <w:rFonts w:ascii="Arial" w:eastAsia="Calibri" w:hAnsi="Arial" w:cs="Arial"/>
          <w:vertAlign w:val="superscript"/>
          <w:lang w:eastAsia="es-ES_tradnl"/>
        </w:rPr>
        <w:footnoteReference w:id="36"/>
      </w:r>
      <w:r w:rsidRPr="00283724">
        <w:rPr>
          <w:rFonts w:ascii="Arial" w:eastAsia="Calibri" w:hAnsi="Arial" w:cs="Arial"/>
          <w:lang w:val="es-ES_tradnl" w:eastAsia="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A esto se suma el hecho de que el parágrafo bajo estudio es una norma restrictiva, por lo que, en virtud de dicho carácter, amerita una interpretación apegada a lo que literalmente se desprende del texto. Lo anterior en virtud del criterio de interpretación sobre la extensión de una Ley contemplada en el artículo 31 del Código civil, según la cual: “Lo favorable u odioso de una disposición no se tomará en cuenta para ampliar o restringir su interpretación (…)”. En ese mismo sentido, el Consejo de Estado, indicó “[…] de conformidad con la jurisprudencia uniforme y reiterada de esta Corporación, la aplicación de las normas que contemplan […] prohibiciones o limitaciones, deben responder a una </w:t>
      </w:r>
      <w:r w:rsidRPr="00283724">
        <w:rPr>
          <w:rFonts w:ascii="Arial" w:eastAsia="Calibri" w:hAnsi="Arial" w:cs="Arial"/>
          <w:lang w:val="es-ES_tradnl" w:eastAsia="es-ES_tradnl"/>
        </w:rPr>
        <w:lastRenderedPageBreak/>
        <w:t>interpretación restrictiva que no permite su extensión, por vía de la figura de la analogía, a supuestos no contemplados por el ordenamiento”</w:t>
      </w:r>
      <w:r w:rsidRPr="00283724">
        <w:rPr>
          <w:rFonts w:ascii="Arial" w:eastAsia="Calibri" w:hAnsi="Arial" w:cs="Arial"/>
          <w:vertAlign w:val="superscript"/>
          <w:lang w:eastAsia="es-ES_tradnl"/>
        </w:rPr>
        <w:footnoteReference w:id="37"/>
      </w:r>
      <w:r w:rsidRPr="00283724">
        <w:rPr>
          <w:rFonts w:ascii="Arial" w:eastAsia="Calibri" w:hAnsi="Arial" w:cs="Arial"/>
          <w:lang w:val="es-ES_tradnl" w:eastAsia="es-ES_tradnl"/>
        </w:rPr>
        <w:t>.</w:t>
      </w:r>
    </w:p>
    <w:p w14:paraId="6219DDE8" w14:textId="77777777" w:rsidR="00BC5810" w:rsidRPr="00283724" w:rsidRDefault="00BC5810" w:rsidP="00BC5810">
      <w:pPr>
        <w:tabs>
          <w:tab w:val="left" w:pos="0"/>
        </w:tabs>
        <w:spacing w:after="120" w:line="276" w:lineRule="auto"/>
        <w:ind w:firstLine="709"/>
        <w:jc w:val="both"/>
        <w:rPr>
          <w:rFonts w:ascii="Arial" w:eastAsia="Calibri" w:hAnsi="Arial" w:cs="Arial"/>
          <w:bCs/>
          <w:lang w:val="es-ES_tradnl" w:eastAsia="es-ES_tradnl"/>
        </w:rPr>
      </w:pPr>
      <w:r w:rsidRPr="00283724">
        <w:rPr>
          <w:rFonts w:ascii="Arial" w:eastAsia="Calibri" w:hAnsi="Arial" w:cs="Arial"/>
          <w:bCs/>
          <w:lang w:val="es-ES_tradnl" w:eastAsia="es-ES_tradnl"/>
        </w:rPr>
        <w:t>A criterio</w:t>
      </w:r>
      <w:r w:rsidRPr="00283724">
        <w:rPr>
          <w:rFonts w:ascii="Arial" w:eastAsia="Calibri" w:hAnsi="Arial" w:cs="Arial"/>
          <w:lang w:val="es-ES_tradnl" w:eastAsia="es-ES_tradnl"/>
        </w:rPr>
        <w:t xml:space="preserve"> de esta Agencia</w:t>
      </w:r>
      <w:r w:rsidRPr="00283724">
        <w:rPr>
          <w:rFonts w:ascii="Arial" w:eastAsia="Calibri" w:hAnsi="Arial" w:cs="Arial"/>
          <w:bCs/>
          <w:lang w:val="es-ES_tradnl" w:eastAsia="es-ES_tradnl"/>
        </w:rPr>
        <w:t>,</w:t>
      </w:r>
      <w:r w:rsidRPr="00283724">
        <w:rPr>
          <w:rFonts w:ascii="Arial" w:eastAsia="Calibri" w:hAnsi="Arial" w:cs="Arial"/>
          <w:lang w:val="es-ES_tradnl" w:eastAsia="es-ES_tradnl"/>
        </w:rPr>
        <w:t xml:space="preserve"> lo dispuesto en el parágrafo del artículo 56 de la Ley 2195 de 2022 es una manifestación de la voluntad del Legislador de relevar de la aplicación obligatoria de Pliegos Tipo en convenios o contratos interadministrativos, o de cualquier otra índole, con instituciones de educación superior públicas, las empresas sociales del Estado, las sociedades de economía mixta y las empresas industriales y comerciales del Estado, únicamente en lo que tiene que ver con su </w:t>
      </w:r>
      <w:r w:rsidRPr="00283724">
        <w:rPr>
          <w:rFonts w:ascii="Arial" w:eastAsia="Calibri" w:hAnsi="Arial" w:cs="Arial"/>
          <w:i/>
          <w:lang w:val="es-ES_tradnl" w:eastAsia="es-ES_tradnl"/>
        </w:rPr>
        <w:t>giro ordinario</w:t>
      </w:r>
      <w:r w:rsidRPr="00283724">
        <w:rPr>
          <w:rFonts w:ascii="Arial" w:eastAsia="Calibri" w:hAnsi="Arial" w:cs="Arial"/>
          <w:lang w:val="es-ES_tradnl" w:eastAsia="es-ES_tradnl"/>
        </w:rPr>
        <w:t xml:space="preserve">. Esto significa que, cuando Entidad Estatal sometida al EGCAP pretenda celebrar un contrato o convenio para la adquisición de bienes, obras o servicios con alguno de los tipos entidades mencionadas en el parágrafo de la norma, que se enmarque dentro del </w:t>
      </w:r>
      <w:r w:rsidRPr="00283724">
        <w:rPr>
          <w:rFonts w:ascii="Arial" w:eastAsia="Calibri" w:hAnsi="Arial" w:cs="Arial"/>
          <w:i/>
          <w:iCs/>
          <w:lang w:val="es-ES_tradnl" w:eastAsia="es-ES_tradnl"/>
        </w:rPr>
        <w:t>giro ordinario</w:t>
      </w:r>
      <w:r w:rsidRPr="00283724">
        <w:rPr>
          <w:rFonts w:ascii="Arial" w:eastAsia="Calibri" w:hAnsi="Arial" w:cs="Arial"/>
          <w:lang w:val="es-ES_tradnl" w:eastAsia="es-ES_tradnl"/>
        </w:rPr>
        <w:t xml:space="preserve"> de la entidad exceptuada, eventualmente, el respectivo contrato podrá sujetarse a normas de derecho privado –de cumplirse los presupuestos del inciso tercero del literal c) del artículo 2-4 de la Ley 1150 de 2007–, sin importar si el objeto se encuentra cobijado por Documentos Tipo, los cuales tampoco resultaran de aplicación forzosa en ese caso.</w:t>
      </w:r>
    </w:p>
    <w:p w14:paraId="156301CC" w14:textId="67A16F47" w:rsidR="00BC5810" w:rsidRPr="00283724" w:rsidRDefault="00BC5810" w:rsidP="00BC5810">
      <w:pPr>
        <w:tabs>
          <w:tab w:val="left" w:pos="0"/>
        </w:tabs>
        <w:spacing w:after="0" w:line="276" w:lineRule="auto"/>
        <w:ind w:firstLine="709"/>
        <w:jc w:val="both"/>
        <w:rPr>
          <w:rFonts w:ascii="Arial" w:eastAsia="Calibri" w:hAnsi="Arial" w:cs="Arial"/>
          <w:bCs/>
          <w:lang w:val="es-ES_tradnl" w:eastAsia="es-ES_tradnl"/>
        </w:rPr>
      </w:pPr>
      <w:r w:rsidRPr="00283724">
        <w:rPr>
          <w:rFonts w:ascii="Arial" w:eastAsia="Calibri" w:hAnsi="Arial" w:cs="Arial"/>
          <w:lang w:val="es-ES_tradnl" w:eastAsia="es-ES_tradnl"/>
        </w:rPr>
        <w:t>En conclusión, no deberá entonces, en estos casos, la entidad sometida al EGCAP  reservarse la obligación de llevar a cabo la selección de los Procesos de Contratación y celebrar los respectivos contratos para adquirir aquellas de obras o servicios para cuya contratación le fuese aplicable los Documentos Tipo vigentes, que deban contratarse en el marco de un convenio interadministrativo, y tampoco es necesario que</w:t>
      </w:r>
      <w:r w:rsidRPr="00283724">
        <w:rPr>
          <w:rFonts w:ascii="Arial" w:eastAsia="Times New Roman" w:hAnsi="Arial" w:cs="Arial"/>
          <w:lang w:eastAsia="es-ES_tradnl"/>
        </w:rPr>
        <w:t xml:space="preserve"> </w:t>
      </w:r>
      <w:r w:rsidRPr="00283724">
        <w:rPr>
          <w:rFonts w:ascii="Arial" w:eastAsia="Calibri" w:hAnsi="Arial" w:cs="Arial"/>
          <w:lang w:val="es-ES_tradnl" w:eastAsia="es-ES_tradnl"/>
        </w:rPr>
        <w:t xml:space="preserve">las instituciones de educación superior públicas, las empresas sociales del Estado, las sociedades de economía mixta y las empresas industriales y comerciales del Estado, que </w:t>
      </w:r>
      <w:r w:rsidRPr="00283724">
        <w:rPr>
          <w:rFonts w:ascii="Arial" w:eastAsia="Times New Roman" w:hAnsi="Arial" w:cs="Arial"/>
          <w:lang w:eastAsia="es-ES_tradnl"/>
        </w:rPr>
        <w:t xml:space="preserve">pretenden ser adjudicatarias de contratos que versen </w:t>
      </w:r>
      <w:r w:rsidRPr="00283724">
        <w:rPr>
          <w:rFonts w:ascii="Arial" w:eastAsia="Calibri" w:hAnsi="Arial" w:cs="Arial"/>
          <w:lang w:val="es-ES_tradnl" w:eastAsia="es-ES_tradnl"/>
        </w:rPr>
        <w:t xml:space="preserve">únicamente, en la contratación relacionada con su </w:t>
      </w:r>
      <w:r w:rsidRPr="00283724">
        <w:rPr>
          <w:rFonts w:ascii="Arial" w:eastAsia="Calibri" w:hAnsi="Arial" w:cs="Arial"/>
          <w:i/>
          <w:lang w:val="es-ES_tradnl" w:eastAsia="es-ES_tradnl"/>
        </w:rPr>
        <w:t>giro ordinario</w:t>
      </w:r>
      <w:r w:rsidRPr="00283724">
        <w:rPr>
          <w:rFonts w:ascii="Arial" w:eastAsia="Times New Roman" w:hAnsi="Arial" w:cs="Arial"/>
          <w:lang w:eastAsia="es-ES_tradnl"/>
        </w:rPr>
        <w:t xml:space="preserve">, </w:t>
      </w:r>
      <w:r w:rsidR="00B0314A" w:rsidRPr="00283724">
        <w:rPr>
          <w:rFonts w:ascii="Arial" w:eastAsia="Times New Roman" w:hAnsi="Arial" w:cs="Arial"/>
          <w:lang w:eastAsia="es-ES_tradnl"/>
        </w:rPr>
        <w:t xml:space="preserve">se sometan </w:t>
      </w:r>
      <w:r w:rsidRPr="00283724">
        <w:rPr>
          <w:rFonts w:ascii="Arial" w:eastAsia="Times New Roman" w:hAnsi="Arial" w:cs="Arial"/>
          <w:lang w:eastAsia="es-ES_tradnl"/>
        </w:rPr>
        <w:t xml:space="preserve">a un proceso de selección en el que se apliquen Documentos Tipo expedidos por esta Agencia a cargo de la </w:t>
      </w:r>
      <w:r w:rsidRPr="00283724">
        <w:rPr>
          <w:rFonts w:ascii="Arial" w:eastAsia="Calibri" w:hAnsi="Arial" w:cs="Arial"/>
          <w:lang w:val="es-ES_tradnl" w:eastAsia="es-ES_tradnl"/>
        </w:rPr>
        <w:t xml:space="preserve">entidad sometida al EGCAP. Por el contrario, si el objeto contractual se encuentra por fuera del </w:t>
      </w:r>
      <w:r w:rsidRPr="00283724">
        <w:rPr>
          <w:rFonts w:ascii="Arial" w:eastAsia="Calibri" w:hAnsi="Arial" w:cs="Arial"/>
          <w:i/>
          <w:iCs/>
          <w:lang w:val="es-ES_tradnl" w:eastAsia="es-ES_tradnl"/>
        </w:rPr>
        <w:t>giro ordinario</w:t>
      </w:r>
      <w:r w:rsidRPr="00283724">
        <w:rPr>
          <w:rFonts w:ascii="Arial" w:eastAsia="Calibri" w:hAnsi="Arial" w:cs="Arial"/>
          <w:lang w:val="es-ES_tradnl" w:eastAsia="es-ES_tradnl"/>
        </w:rPr>
        <w:t xml:space="preserve"> de la entidad ejecutora, y el objeto se encuentra dentro del ámbito de aplicación de algún Documento Tipo, la aplicación del mismo en conjunto con el EGCAP resulta de obligatoria observancia, al no quedar dicho supuesto cobijado por el parágrafo.</w:t>
      </w:r>
      <w:r w:rsidRPr="00283724">
        <w:rPr>
          <w:rFonts w:ascii="Arial" w:eastAsia="Calibri" w:hAnsi="Arial" w:cs="Arial"/>
          <w:bCs/>
          <w:lang w:val="es-ES_tradnl" w:eastAsia="es-ES_tradnl"/>
        </w:rPr>
        <w:t xml:space="preserve"> </w:t>
      </w:r>
    </w:p>
    <w:p w14:paraId="1248B3E6" w14:textId="77777777" w:rsidR="00BC5810" w:rsidRPr="00283724" w:rsidRDefault="00BC5810" w:rsidP="00BC5810">
      <w:pPr>
        <w:tabs>
          <w:tab w:val="left" w:pos="0"/>
        </w:tabs>
        <w:spacing w:after="0" w:line="276" w:lineRule="auto"/>
        <w:jc w:val="both"/>
        <w:rPr>
          <w:rFonts w:ascii="Arial" w:eastAsia="Calibri" w:hAnsi="Arial" w:cs="Arial"/>
          <w:b/>
          <w:lang w:val="es-ES_tradnl" w:eastAsia="es-ES_tradnl"/>
        </w:rPr>
      </w:pPr>
    </w:p>
    <w:p w14:paraId="0A2A284B" w14:textId="316150E7" w:rsidR="00BC5810" w:rsidRPr="00283724" w:rsidRDefault="00BC5810" w:rsidP="00BC5810">
      <w:pPr>
        <w:tabs>
          <w:tab w:val="left" w:pos="0"/>
        </w:tabs>
        <w:spacing w:after="0" w:line="276" w:lineRule="auto"/>
        <w:jc w:val="both"/>
        <w:rPr>
          <w:rFonts w:ascii="Arial" w:eastAsia="Calibri" w:hAnsi="Arial" w:cs="Arial"/>
          <w:b/>
          <w:lang w:val="es-ES_tradnl" w:eastAsia="es-ES_tradnl"/>
        </w:rPr>
      </w:pPr>
      <w:r w:rsidRPr="00283724">
        <w:rPr>
          <w:rFonts w:ascii="Arial" w:eastAsia="Calibri" w:hAnsi="Arial" w:cs="Arial"/>
          <w:b/>
          <w:lang w:val="es-ES_tradnl" w:eastAsia="es-ES_tradnl"/>
        </w:rPr>
        <w:t>2.</w:t>
      </w:r>
      <w:bookmarkStart w:id="38" w:name="_Hlk130800261"/>
      <w:r w:rsidR="00017873" w:rsidRPr="00283724">
        <w:rPr>
          <w:rFonts w:ascii="Arial" w:eastAsia="Calibri" w:hAnsi="Arial" w:cs="Arial"/>
          <w:b/>
          <w:lang w:val="es-ES_tradnl" w:eastAsia="es-ES_tradnl"/>
        </w:rPr>
        <w:t>7</w:t>
      </w:r>
      <w:r w:rsidRPr="00283724">
        <w:rPr>
          <w:rFonts w:ascii="Arial" w:eastAsia="Calibri" w:hAnsi="Arial" w:cs="Arial"/>
          <w:b/>
          <w:lang w:val="es-ES_tradnl" w:eastAsia="es-ES_tradnl"/>
        </w:rPr>
        <w:t>. Efectos del artículo 56 de la Ley 2195 respecto de la subcontratación realizada por entidades estatales exceptuadas, patrimonios autónomos, personas naturales o jurídicas que sean contratistas del Estado</w:t>
      </w:r>
    </w:p>
    <w:bookmarkEnd w:id="38"/>
    <w:p w14:paraId="0E587F65" w14:textId="77777777" w:rsidR="00BC5810" w:rsidRPr="00283724" w:rsidRDefault="00BC5810" w:rsidP="00BC5810">
      <w:pPr>
        <w:tabs>
          <w:tab w:val="left" w:pos="0"/>
        </w:tabs>
        <w:spacing w:after="0" w:line="276" w:lineRule="auto"/>
        <w:jc w:val="both"/>
        <w:rPr>
          <w:rFonts w:ascii="Arial" w:eastAsia="Calibri" w:hAnsi="Arial" w:cs="Arial"/>
          <w:bCs/>
          <w:lang w:val="es-ES_tradnl" w:eastAsia="es-ES_tradnl"/>
        </w:rPr>
      </w:pPr>
    </w:p>
    <w:p w14:paraId="741BF75E" w14:textId="77777777" w:rsidR="00BC5810" w:rsidRPr="00283724" w:rsidRDefault="00BC5810" w:rsidP="00BC5810">
      <w:pPr>
        <w:tabs>
          <w:tab w:val="left" w:pos="0"/>
        </w:tabs>
        <w:spacing w:after="120" w:line="276" w:lineRule="auto"/>
        <w:jc w:val="both"/>
        <w:rPr>
          <w:rFonts w:ascii="Arial" w:eastAsia="Calibri" w:hAnsi="Arial" w:cs="Arial"/>
          <w:bCs/>
          <w:lang w:val="es-ES_tradnl" w:eastAsia="es-ES_tradnl"/>
        </w:rPr>
      </w:pPr>
      <w:r w:rsidRPr="00283724">
        <w:rPr>
          <w:rFonts w:ascii="Arial" w:eastAsia="Calibri" w:hAnsi="Arial" w:cs="Arial"/>
          <w:lang w:val="es-ES_tradnl" w:eastAsia="es-ES_tradnl"/>
        </w:rPr>
        <w:t xml:space="preserve">Conforme a la postura hermenéutica explicada en el presente concepto, el mandato de aplicación de los Documentos Tipo contenido en el artículo 56 de la Ley 2195 de 2022 está dirigido, en primera medida, a las entidades sometidas al EGCAP, particularmente, a los </w:t>
      </w:r>
      <w:r w:rsidRPr="00283724">
        <w:rPr>
          <w:rFonts w:ascii="Arial" w:eastAsia="Calibri" w:hAnsi="Arial" w:cs="Arial"/>
          <w:lang w:val="es-ES_tradnl" w:eastAsia="es-ES_tradnl"/>
        </w:rPr>
        <w:lastRenderedPageBreak/>
        <w:t xml:space="preserve">negocios jurídicos que para la adquisición de bienes, obras o servicios celebren con otras Entidades Estatales exceptuadas, patrimonios autónomos, personas naturales o jurídicas de derecho privado. Por lo tanto, es posible afirmar que los efectos de la norma se proyectan a los negocios jurídicos descritos en el primer inciso, comoquiera que la norma no alude a procesos de selección o contratos diferentes de los requeridos para perfeccionar el negocio jurídico entre la Entidad Estatal sometida al EGCAP y el respectivo sujeto derecho privado. </w:t>
      </w:r>
    </w:p>
    <w:p w14:paraId="6FEDBB65" w14:textId="77777777" w:rsidR="00BC5810" w:rsidRPr="00283724" w:rsidRDefault="00BC5810" w:rsidP="00BC5810">
      <w:pPr>
        <w:tabs>
          <w:tab w:val="left" w:pos="0"/>
        </w:tabs>
        <w:spacing w:after="120" w:line="276" w:lineRule="auto"/>
        <w:jc w:val="both"/>
        <w:rPr>
          <w:rFonts w:ascii="Arial" w:eastAsia="Times New Roman" w:hAnsi="Arial" w:cs="Arial"/>
          <w:lang w:eastAsia="es-ES_tradnl"/>
        </w:rPr>
      </w:pPr>
      <w:r w:rsidRPr="00283724">
        <w:rPr>
          <w:rFonts w:ascii="Arial" w:eastAsia="Calibri" w:hAnsi="Arial" w:cs="Arial"/>
          <w:bCs/>
          <w:lang w:val="es-ES_tradnl" w:eastAsia="es-ES_tradnl"/>
        </w:rPr>
        <w:tab/>
      </w:r>
      <w:r w:rsidRPr="00283724">
        <w:rPr>
          <w:rFonts w:ascii="Arial" w:eastAsia="Calibri" w:hAnsi="Arial" w:cs="Arial"/>
          <w:lang w:val="es-ES_tradnl" w:eastAsia="es-ES_tradnl"/>
        </w:rPr>
        <w:t>Ahora bien, r</w:t>
      </w:r>
      <w:r w:rsidRPr="00283724">
        <w:rPr>
          <w:rFonts w:ascii="Arial" w:eastAsia="Times New Roman" w:hAnsi="Arial" w:cs="Arial"/>
          <w:lang w:eastAsia="es-ES_tradnl"/>
        </w:rPr>
        <w:t xml:space="preserve">especto de la subcontratación debe indicarse que, </w:t>
      </w:r>
      <w:r w:rsidRPr="00283724">
        <w:rPr>
          <w:rFonts w:ascii="Arial" w:eastAsia="Times New Roman" w:hAnsi="Arial" w:cs="Arial"/>
          <w:lang w:val="es-ES" w:eastAsia="es-ES_tradnl"/>
        </w:rPr>
        <w:t>aunque en materia de contratación estatal hay algunas referencias a esta institución en las Leyes 80 de 1993</w:t>
      </w:r>
      <w:r w:rsidRPr="00283724">
        <w:rPr>
          <w:rFonts w:ascii="Arial" w:eastAsia="Times New Roman" w:hAnsi="Arial" w:cs="Arial"/>
          <w:vertAlign w:val="superscript"/>
          <w:lang w:val="es-ES" w:eastAsia="es-ES_tradnl"/>
        </w:rPr>
        <w:footnoteReference w:id="38"/>
      </w:r>
      <w:r w:rsidRPr="00283724">
        <w:rPr>
          <w:rFonts w:ascii="Arial" w:eastAsia="Times New Roman" w:hAnsi="Arial" w:cs="Arial"/>
          <w:lang w:val="es-ES" w:eastAsia="es-ES_tradnl"/>
        </w:rPr>
        <w:t xml:space="preserve"> y 1150 de 2007</w:t>
      </w:r>
      <w:r w:rsidRPr="00283724">
        <w:rPr>
          <w:rFonts w:ascii="Arial" w:eastAsia="Times New Roman" w:hAnsi="Arial" w:cs="Arial"/>
          <w:vertAlign w:val="superscript"/>
          <w:lang w:val="es-ES" w:eastAsia="es-ES_tradnl"/>
        </w:rPr>
        <w:footnoteReference w:id="39"/>
      </w:r>
      <w:r w:rsidRPr="00283724">
        <w:rPr>
          <w:rFonts w:ascii="Arial" w:eastAsia="Times New Roman" w:hAnsi="Arial" w:cs="Arial"/>
          <w:lang w:val="es-ES" w:eastAsia="es-ES_tradnl"/>
        </w:rPr>
        <w:t xml:space="preserve"> y en el Decreto 1082 de 2015</w:t>
      </w:r>
      <w:r w:rsidRPr="00283724">
        <w:rPr>
          <w:rFonts w:ascii="Arial" w:eastAsia="Times New Roman" w:hAnsi="Arial" w:cs="Arial"/>
          <w:vertAlign w:val="superscript"/>
          <w:lang w:val="es-ES" w:eastAsia="es-ES_tradnl"/>
        </w:rPr>
        <w:footnoteReference w:id="40"/>
      </w:r>
      <w:r w:rsidRPr="00283724">
        <w:rPr>
          <w:rFonts w:ascii="Arial" w:eastAsia="Times New Roman" w:hAnsi="Arial" w:cs="Arial"/>
          <w:lang w:val="es-ES" w:eastAsia="es-ES_tradnl"/>
        </w:rPr>
        <w:t xml:space="preserve">, el ordenamiento jurídico adolece de una disposición legal que brinde una definición de subcontratación. Sin embargo, la jurisprudencia y la doctrina se han encargado de estudiar y analizar la naturaleza de esta figura y han construido los elementos y características propias de la subcontratación. Por un lado, la doctrina ha señalado que </w:t>
      </w:r>
      <w:r w:rsidRPr="00283724">
        <w:rPr>
          <w:rFonts w:ascii="Arial" w:eastAsia="Times New Roman" w:hAnsi="Arial" w:cs="Arial"/>
          <w:lang w:eastAsia="es-ES_tradnl"/>
        </w:rPr>
        <w:t>“La subcontratación supone la celebración de un contrato eventual y accesorio, entre un contratista del Estado y un tercero, sin que aquel tenga el deber, por regla general, de agotar un previo procedimiento de selección, por medio del cual el segundo sustituye parcial y materialmente al primero, quien conserva la dirección general del proyecto y es responsable ante la Entidad Estatal contratante por el cumplimiento íntegro de las obligaciones derivadas del contrato adjudicado”</w:t>
      </w:r>
      <w:r w:rsidRPr="00283724">
        <w:rPr>
          <w:rFonts w:ascii="Arial" w:eastAsia="Times New Roman" w:hAnsi="Arial" w:cs="Arial"/>
          <w:vertAlign w:val="superscript"/>
          <w:lang w:eastAsia="es-ES_tradnl"/>
        </w:rPr>
        <w:footnoteReference w:id="41"/>
      </w:r>
      <w:r w:rsidRPr="00283724">
        <w:rPr>
          <w:rFonts w:ascii="Arial" w:eastAsia="Times New Roman" w:hAnsi="Arial" w:cs="Arial"/>
          <w:lang w:eastAsia="es-ES_tradnl"/>
        </w:rPr>
        <w:t>.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283724">
        <w:rPr>
          <w:rFonts w:ascii="Arial" w:eastAsia="Times New Roman" w:hAnsi="Arial" w:cs="Arial"/>
          <w:vertAlign w:val="superscript"/>
          <w:lang w:eastAsia="es-ES_tradnl"/>
        </w:rPr>
        <w:footnoteReference w:id="42"/>
      </w:r>
      <w:r w:rsidRPr="00283724">
        <w:rPr>
          <w:rFonts w:ascii="Arial" w:eastAsia="Times New Roman" w:hAnsi="Arial" w:cs="Arial"/>
          <w:lang w:eastAsia="es-ES_tradnl"/>
        </w:rPr>
        <w:t>.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w:t>
      </w:r>
      <w:r w:rsidRPr="00283724">
        <w:rPr>
          <w:rFonts w:ascii="Arial" w:eastAsia="Times New Roman" w:hAnsi="Arial" w:cs="Arial"/>
          <w:vertAlign w:val="superscript"/>
          <w:lang w:eastAsia="es-ES_tradnl"/>
        </w:rPr>
        <w:footnoteReference w:id="43"/>
      </w:r>
      <w:r w:rsidRPr="00283724">
        <w:rPr>
          <w:rFonts w:ascii="Arial" w:eastAsia="Times New Roman" w:hAnsi="Arial" w:cs="Arial"/>
          <w:lang w:eastAsia="es-ES_tradnl"/>
        </w:rPr>
        <w:t xml:space="preserve">. </w:t>
      </w:r>
    </w:p>
    <w:p w14:paraId="0E3B016A" w14:textId="77777777" w:rsidR="00BC5810" w:rsidRPr="00283724" w:rsidRDefault="00BC5810" w:rsidP="00BC5810">
      <w:pPr>
        <w:spacing w:after="12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 xml:space="preserve">De lo expuesto se resaltan como características esenciales de la subcontratación las siguientes: i) es un contrato eventual, en la medida en que depende de una regulación </w:t>
      </w:r>
      <w:r w:rsidRPr="00283724">
        <w:rPr>
          <w:rFonts w:ascii="Arial" w:eastAsia="Times New Roman" w:hAnsi="Arial" w:cs="Arial"/>
          <w:lang w:eastAsia="es-ES_tradnl"/>
        </w:rPr>
        <w:lastRenderedPageBreak/>
        <w:t xml:space="preserve">previa a su celebración en el Pliego de Condiciones o en el contrato estatal, ii) es un contrato accesorio, pues asegura el cumplimiento de la obligación principal, iii) la relación jurídica que surge entre el contratista del estado y el tercero es independiente y autónoma de la entidad contratante, </w:t>
      </w:r>
      <w:r w:rsidRPr="00283724">
        <w:rPr>
          <w:rFonts w:ascii="Arial" w:eastAsia="Times New Roman" w:hAnsi="Arial" w:cs="Arial"/>
          <w:bCs/>
          <w:lang w:val="es-ES" w:eastAsia="es-ES_tradnl"/>
        </w:rPr>
        <w:t>iv) la sustitución es parcial, lo que significa que no podrán subcontratar la ejecución total del contrato principal y vi) la sustitución es material y no jurídica, por lo tanto, no relevará al contratista del estado de las responsabilidades emanadas del contrato principal.</w:t>
      </w:r>
    </w:p>
    <w:p w14:paraId="08B1EC65" w14:textId="77777777" w:rsidR="00BC5810" w:rsidRPr="00283724" w:rsidRDefault="00BC5810" w:rsidP="00BC5810">
      <w:pPr>
        <w:spacing w:after="120" w:line="276" w:lineRule="auto"/>
        <w:ind w:firstLine="709"/>
        <w:jc w:val="both"/>
        <w:rPr>
          <w:rFonts w:ascii="Arial" w:eastAsia="Times New Roman" w:hAnsi="Arial" w:cs="Arial"/>
          <w:lang w:eastAsia="es-ES_tradnl"/>
        </w:rPr>
      </w:pPr>
      <w:bookmarkStart w:id="39" w:name="_Hlk144078794"/>
      <w:r w:rsidRPr="00283724">
        <w:rPr>
          <w:rFonts w:ascii="Arial" w:eastAsia="Times New Roman" w:hAnsi="Arial" w:cs="Arial"/>
          <w:lang w:val="es-ES" w:eastAsia="es-ES_tradnl"/>
        </w:rPr>
        <w:t>Teniendo en cuenta lo expuesto, l</w:t>
      </w:r>
      <w:r w:rsidRPr="00283724">
        <w:rPr>
          <w:rFonts w:ascii="Arial" w:eastAsia="Times New Roman" w:hAnsi="Arial" w:cs="Arial"/>
          <w:lang w:eastAsia="es-ES_tradnl"/>
        </w:rPr>
        <w:t>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mecanismo de ejecución de un proyecto que obedece a la autonomía técnica y administrativa con la cual el contratista desarrolla su modelo de negocio.</w:t>
      </w:r>
    </w:p>
    <w:p w14:paraId="2CC68A9A" w14:textId="77777777" w:rsidR="00BC5810" w:rsidRPr="00283724" w:rsidRDefault="00BC5810" w:rsidP="00BC5810">
      <w:pPr>
        <w:spacing w:after="12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En atención a la pregunta planteada en relación con la posibilidad de que la Entidad Estatal contratada, en el marco de un convenio o contrato interadministrativo subcontrate la ejecución de la obra o proyecto, debe señalarse que de conformidad con el inciso 4 del literal c) del numeral 4 del artículo 2 de la Ley 1150 de 2007</w:t>
      </w:r>
      <w:r w:rsidRPr="00283724">
        <w:rPr>
          <w:rFonts w:ascii="Arial" w:eastAsia="Times New Roman" w:hAnsi="Arial" w:cs="Arial"/>
          <w:vertAlign w:val="superscript"/>
          <w:lang w:eastAsia="es-ES_tradnl"/>
        </w:rPr>
        <w:footnoteReference w:id="44"/>
      </w:r>
      <w:r w:rsidRPr="00283724">
        <w:rPr>
          <w:rFonts w:ascii="Arial" w:eastAsia="Times New Roman" w:hAnsi="Arial" w:cs="Arial"/>
          <w:lang w:eastAsia="es-ES_tradnl"/>
        </w:rPr>
        <w:t>, es factible que en los contratos interadministrativos la Entidad Estatal ejecutora deba subcontratar algunas de las actividades derivadas del contrato principal, pero no podrá subcontratar la ejecución de todo el contrato principal.</w:t>
      </w:r>
    </w:p>
    <w:p w14:paraId="57BFFA5B" w14:textId="77777777" w:rsidR="00BC5810" w:rsidRPr="00283724" w:rsidRDefault="00BC5810" w:rsidP="00BC5810">
      <w:pPr>
        <w:spacing w:after="120" w:line="276" w:lineRule="auto"/>
        <w:ind w:firstLine="709"/>
        <w:jc w:val="both"/>
        <w:rPr>
          <w:rFonts w:ascii="Arial" w:eastAsia="Calibri" w:hAnsi="Arial" w:cs="Arial"/>
          <w:bCs/>
          <w:lang w:val="es-ES_tradnl" w:eastAsia="es-ES_tradnl"/>
        </w:rPr>
      </w:pPr>
      <w:r w:rsidRPr="00283724">
        <w:rPr>
          <w:rFonts w:ascii="Arial" w:eastAsia="Times New Roman" w:hAnsi="Arial" w:cs="Arial"/>
          <w:lang w:eastAsia="es-ES_tradnl"/>
        </w:rPr>
        <w:t>Ahora bien, frente a la aplicación de los Documentos Tipo para la escogencia del subcontratista, es menester indicar que, con base en los elementos desarrollados en este concepto, debe tenerse en cuenta que la situación de los subcontratistas no hace parte de aquella circunstancia que quiso regular el artículo objeto de estudio. E</w:t>
      </w:r>
      <w:r w:rsidRPr="00283724">
        <w:rPr>
          <w:rFonts w:ascii="Arial" w:eastAsia="Calibri" w:hAnsi="Arial" w:cs="Arial"/>
          <w:lang w:val="es-ES_tradnl" w:eastAsia="es-ES_tradnl"/>
        </w:rPr>
        <w:t xml:space="preserve">l propósito del legislador con la expedición del artículo 56 de la Ley 2195 de 2022,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w:t>
      </w:r>
      <w:r w:rsidRPr="00283724">
        <w:rPr>
          <w:rFonts w:ascii="Arial" w:eastAsia="Calibri" w:hAnsi="Arial" w:cs="Arial"/>
          <w:lang w:val="es-ES_tradnl" w:eastAsia="es-ES_tradnl"/>
        </w:rPr>
        <w:lastRenderedPageBreak/>
        <w:t>contratación derivada de aquellos. Tampoco se observa que la norma aprobada faculte a los mencionados sujetos de derecho privado a fungir como Entidades Estatales en estos subcontratos, ejerciendo potestades unilaterales o exorbitantes.</w:t>
      </w:r>
      <w:r w:rsidRPr="00283724">
        <w:rPr>
          <w:rFonts w:ascii="Arial" w:eastAsia="Calibri" w:hAnsi="Arial" w:cs="Arial"/>
          <w:bCs/>
          <w:lang w:val="es-ES_tradnl" w:eastAsia="es-ES_tradnl"/>
        </w:rPr>
        <w:t xml:space="preserve">  </w:t>
      </w:r>
    </w:p>
    <w:p w14:paraId="7AF448AD" w14:textId="3736DE6B" w:rsidR="00BC5810" w:rsidRPr="00283724" w:rsidRDefault="00BC5810" w:rsidP="00BC5810">
      <w:pPr>
        <w:tabs>
          <w:tab w:val="left" w:pos="0"/>
        </w:tabs>
        <w:spacing w:after="0" w:line="276" w:lineRule="auto"/>
        <w:jc w:val="both"/>
        <w:rPr>
          <w:rFonts w:ascii="Arial" w:eastAsia="Times New Roman" w:hAnsi="Arial" w:cs="Arial"/>
          <w:lang w:val="es-ES_tradnl" w:eastAsia="es-ES_tradnl"/>
        </w:rPr>
      </w:pPr>
      <w:r w:rsidRPr="00283724">
        <w:rPr>
          <w:rFonts w:ascii="Arial" w:eastAsia="Times New Roman" w:hAnsi="Arial" w:cs="Arial"/>
          <w:lang w:val="es-ES_tradnl" w:eastAsia="es-ES_tradnl"/>
        </w:rPr>
        <w:tab/>
      </w:r>
      <w:bookmarkStart w:id="40" w:name="_Hlk113023769"/>
      <w:r w:rsidRPr="00283724">
        <w:rPr>
          <w:rFonts w:ascii="Arial" w:eastAsia="Times New Roman" w:hAnsi="Arial" w:cs="Arial"/>
          <w:lang w:val="es-ES_tradnl" w:eastAsia="es-ES_tradnl"/>
        </w:rPr>
        <w:t xml:space="preserve">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w:t>
      </w:r>
      <w:r w:rsidR="00444298" w:rsidRPr="00283724">
        <w:rPr>
          <w:rFonts w:ascii="Arial" w:eastAsia="Times New Roman" w:hAnsi="Arial" w:cs="Arial"/>
          <w:lang w:val="es-ES_tradnl" w:eastAsia="es-ES_tradnl"/>
        </w:rPr>
        <w:t>ya que</w:t>
      </w:r>
      <w:r w:rsidRPr="00283724">
        <w:rPr>
          <w:rFonts w:ascii="Arial" w:eastAsia="Times New Roman" w:hAnsi="Arial" w:cs="Arial"/>
          <w:lang w:val="es-ES_tradnl" w:eastAsia="es-ES_tradnl"/>
        </w:rPr>
        <w:t xml:space="preserve">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sobre la extensión de una Ley previamente explicada</w:t>
      </w:r>
      <w:bookmarkEnd w:id="39"/>
      <w:bookmarkEnd w:id="40"/>
      <w:r w:rsidRPr="00283724">
        <w:rPr>
          <w:rFonts w:ascii="Arial" w:eastAsia="Times New Roman" w:hAnsi="Arial" w:cs="Arial"/>
          <w:vertAlign w:val="superscript"/>
          <w:lang w:val="es-ES_tradnl" w:eastAsia="es-ES_tradnl"/>
        </w:rPr>
        <w:footnoteReference w:id="45"/>
      </w:r>
      <w:r w:rsidRPr="00283724">
        <w:rPr>
          <w:rFonts w:ascii="Arial" w:eastAsia="Times New Roman" w:hAnsi="Arial" w:cs="Arial"/>
          <w:lang w:val="es-ES_tradnl" w:eastAsia="es-ES_tradnl"/>
        </w:rPr>
        <w:t>.</w:t>
      </w:r>
    </w:p>
    <w:p w14:paraId="089509F7" w14:textId="77777777" w:rsidR="00BC5810" w:rsidRPr="00283724" w:rsidRDefault="00BC5810" w:rsidP="00BC5810">
      <w:pPr>
        <w:tabs>
          <w:tab w:val="left" w:pos="0"/>
        </w:tabs>
        <w:spacing w:after="0" w:line="276" w:lineRule="auto"/>
        <w:jc w:val="both"/>
        <w:rPr>
          <w:rFonts w:ascii="Arial" w:eastAsia="Calibri" w:hAnsi="Arial" w:cs="Arial"/>
          <w:b/>
          <w:lang w:val="es-ES_tradnl" w:eastAsia="es-ES_tradnl"/>
        </w:rPr>
      </w:pPr>
    </w:p>
    <w:p w14:paraId="58ABF89C" w14:textId="77777777" w:rsidR="00BC5810" w:rsidRPr="00283724" w:rsidRDefault="00BC5810" w:rsidP="00BC5810">
      <w:pPr>
        <w:tabs>
          <w:tab w:val="left" w:pos="0"/>
        </w:tabs>
        <w:spacing w:after="0" w:line="276" w:lineRule="auto"/>
        <w:jc w:val="both"/>
        <w:rPr>
          <w:rFonts w:ascii="Arial" w:eastAsia="Calibri" w:hAnsi="Arial" w:cs="Arial"/>
          <w:b/>
          <w:szCs w:val="24"/>
          <w:lang w:val="es-ES_tradnl" w:eastAsia="es-ES_tradnl"/>
        </w:rPr>
      </w:pPr>
      <w:r w:rsidRPr="00283724">
        <w:rPr>
          <w:rFonts w:ascii="Arial" w:eastAsia="Calibri" w:hAnsi="Arial" w:cs="Arial"/>
          <w:b/>
          <w:szCs w:val="24"/>
          <w:lang w:val="es-ES_tradnl" w:eastAsia="es-ES_tradnl"/>
        </w:rPr>
        <w:t>3. Respuesta</w:t>
      </w:r>
    </w:p>
    <w:p w14:paraId="586D5522" w14:textId="77777777" w:rsidR="00BC5810" w:rsidRPr="00283724" w:rsidRDefault="00BC5810" w:rsidP="00BC5810">
      <w:pPr>
        <w:tabs>
          <w:tab w:val="left" w:pos="0"/>
        </w:tabs>
        <w:spacing w:after="0" w:line="276" w:lineRule="auto"/>
        <w:jc w:val="both"/>
        <w:rPr>
          <w:rFonts w:ascii="Arial" w:eastAsia="Calibri" w:hAnsi="Arial" w:cs="Arial"/>
          <w:szCs w:val="24"/>
          <w:lang w:val="es-ES_tradnl" w:eastAsia="es-ES_tradnl"/>
        </w:rPr>
      </w:pPr>
    </w:p>
    <w:p w14:paraId="7567D8BB" w14:textId="77777777" w:rsidR="00BC5810" w:rsidRPr="00283724" w:rsidRDefault="00BC5810" w:rsidP="00BC5810">
      <w:pPr>
        <w:spacing w:after="0" w:line="240" w:lineRule="auto"/>
        <w:ind w:left="709" w:right="709"/>
        <w:jc w:val="both"/>
        <w:rPr>
          <w:rFonts w:ascii="Arial" w:eastAsia="Times New Roman" w:hAnsi="Arial" w:cs="Arial"/>
          <w:sz w:val="20"/>
          <w:szCs w:val="20"/>
          <w:lang w:eastAsia="es-ES_tradnl"/>
        </w:rPr>
      </w:pPr>
      <w:r w:rsidRPr="00283724">
        <w:rPr>
          <w:rFonts w:ascii="Arial" w:eastAsia="Times New Roman" w:hAnsi="Arial" w:cs="Arial"/>
          <w:sz w:val="20"/>
          <w:szCs w:val="20"/>
          <w:lang w:eastAsia="es-ES_tradnl"/>
        </w:rPr>
        <w:t>“1. En el caso que se encuentre vigente la aplicación de un pliego tipo, la entidad estatal que se rige por la Ley 80 de 1993, ¿puede celebrar contratos o convenios interadministrativos para satisfacer la necesidad?”</w:t>
      </w:r>
    </w:p>
    <w:p w14:paraId="2BF286E7" w14:textId="77777777" w:rsidR="00BC5810" w:rsidRPr="00283724" w:rsidRDefault="00BC5810" w:rsidP="00BC5810">
      <w:pPr>
        <w:spacing w:after="0" w:line="276" w:lineRule="auto"/>
        <w:ind w:left="709" w:right="709"/>
        <w:jc w:val="both"/>
        <w:rPr>
          <w:rFonts w:ascii="Arial" w:eastAsia="Times New Roman" w:hAnsi="Arial" w:cs="Arial"/>
          <w:lang w:eastAsia="es-ES_tradnl"/>
        </w:rPr>
      </w:pPr>
    </w:p>
    <w:p w14:paraId="122E2742" w14:textId="77777777" w:rsidR="00BC5810" w:rsidRPr="00283724" w:rsidRDefault="00BC5810" w:rsidP="00BC5810">
      <w:pPr>
        <w:spacing w:after="120" w:line="276" w:lineRule="auto"/>
        <w:jc w:val="both"/>
        <w:rPr>
          <w:rFonts w:ascii="Arial" w:eastAsiaTheme="minorEastAsia" w:hAnsi="Arial" w:cs="Arial"/>
          <w:lang w:eastAsia="es-CO"/>
        </w:rPr>
      </w:pPr>
      <w:r w:rsidRPr="00283724">
        <w:rPr>
          <w:rFonts w:ascii="Arial" w:eastAsiaTheme="minorEastAsia" w:hAnsi="Arial" w:cs="Arial"/>
          <w:lang w:val="es-ES" w:eastAsia="es-ES"/>
        </w:rPr>
        <w:t xml:space="preserve">Conforme lo expuesto a lo largo del presente concepto, </w:t>
      </w:r>
      <w:r w:rsidRPr="00283724">
        <w:rPr>
          <w:rFonts w:ascii="Arial" w:eastAsiaTheme="minorEastAsia" w:hAnsi="Arial" w:cs="Arial"/>
          <w:lang w:eastAsia="es-CO"/>
        </w:rPr>
        <w:t>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283724">
        <w:rPr>
          <w:rFonts w:ascii="Arial" w:eastAsiaTheme="minorEastAsia" w:hAnsi="Arial" w:cs="Arial"/>
          <w:spacing w:val="-6"/>
          <w:lang w:eastAsia="es-CO"/>
        </w:rPr>
        <w:t xml:space="preserve"> </w:t>
      </w:r>
      <w:r w:rsidRPr="00283724">
        <w:rPr>
          <w:rFonts w:ascii="Arial" w:eastAsiaTheme="minorEastAsia" w:hAnsi="Arial" w:cs="Arial"/>
          <w:lang w:eastAsia="es-CO"/>
        </w:rPr>
        <w:t>Estatales.</w:t>
      </w:r>
    </w:p>
    <w:p w14:paraId="0FA4D291" w14:textId="77777777" w:rsidR="00BC5810" w:rsidRPr="00283724" w:rsidRDefault="00BC5810" w:rsidP="00BC5810">
      <w:pPr>
        <w:shd w:val="clear" w:color="auto" w:fill="FFFFFF"/>
        <w:spacing w:after="120" w:line="276" w:lineRule="auto"/>
        <w:ind w:firstLine="708"/>
        <w:jc w:val="both"/>
        <w:textAlignment w:val="baseline"/>
        <w:rPr>
          <w:rFonts w:ascii="Arial" w:eastAsia="Calibri" w:hAnsi="Arial" w:cs="Arial"/>
          <w:lang w:val="es-ES" w:eastAsia="es-ES"/>
        </w:rPr>
      </w:pPr>
      <w:r w:rsidRPr="00283724">
        <w:rPr>
          <w:rFonts w:ascii="Arial" w:eastAsia="Times New Roman" w:hAnsi="Arial" w:cs="Arial"/>
          <w:lang w:eastAsia="es-ES_tradnl"/>
        </w:rPr>
        <w:t>Precisamente, en virtud del principio de autonomía de la voluntad de las partes, reconocido en los artículos 13, 32 y 40 de la Ley 80 de 1993, así como lo dispuesto en el artículo 1602 del Código Civil, es viable que las Entidades Estatales celebren contratos y convenios interadministrativos para satisfacer sus necesidades. En consecuencia, si una Entidad Estatal requiere contratar la ejecución de una obra con otra Entidad Pública podrá celebrar un contrato o convenio interadministrativo. En todo caso, para la celebración de los contratos y convenios interadministrativos se deben cumplir con los siguientes elementos: i) acuerdo sobre el objeto y la contraprestación, y ii) que se eleve a escrito. Asimismo, es indispensable que la entidad ejecutora cuente con un objeto que, de acuerdo con la ley o el reglamento, sea idóneo para la ejecución de la actividad contratada.</w:t>
      </w:r>
    </w:p>
    <w:p w14:paraId="412EB202" w14:textId="77777777" w:rsidR="00BC5810" w:rsidRPr="00283724" w:rsidRDefault="00BC5810" w:rsidP="00BC5810">
      <w:pPr>
        <w:spacing w:after="120" w:line="276" w:lineRule="auto"/>
        <w:ind w:firstLine="708"/>
        <w:jc w:val="both"/>
        <w:rPr>
          <w:rFonts w:ascii="Arial" w:eastAsia="Calibri" w:hAnsi="Arial" w:cs="Arial"/>
          <w:lang w:val="es-ES" w:eastAsia="es-ES"/>
        </w:rPr>
      </w:pPr>
      <w:r w:rsidRPr="00283724">
        <w:rPr>
          <w:rFonts w:ascii="Arial" w:eastAsia="Times New Roman" w:hAnsi="Arial" w:cs="Arial"/>
          <w:lang w:eastAsia="es-ES_tradnl"/>
        </w:rPr>
        <w:t xml:space="preserve">Ahora bien, en atención a que en su consulta hace referencia a los Documentos Tipo, resulta indispensable determinar los supuestos frente a los cuales resultaría </w:t>
      </w:r>
      <w:r w:rsidRPr="00283724">
        <w:rPr>
          <w:rFonts w:ascii="Arial" w:eastAsia="Times New Roman" w:hAnsi="Arial" w:cs="Arial"/>
          <w:lang w:eastAsia="es-ES_tradnl"/>
        </w:rPr>
        <w:lastRenderedPageBreak/>
        <w:t xml:space="preserve">obligatoria la aplicación los Documentos Tipo para la celebración de convenios y contratos interadministrativos. </w:t>
      </w:r>
    </w:p>
    <w:p w14:paraId="376FCC72" w14:textId="77777777" w:rsidR="00BC5810" w:rsidRPr="00283724" w:rsidRDefault="00BC5810" w:rsidP="00BC5810">
      <w:pPr>
        <w:shd w:val="clear" w:color="auto" w:fill="FFFFFF"/>
        <w:spacing w:after="120" w:line="276" w:lineRule="auto"/>
        <w:ind w:firstLine="708"/>
        <w:jc w:val="both"/>
        <w:textAlignment w:val="baseline"/>
        <w:rPr>
          <w:rFonts w:ascii="Arial" w:eastAsia="Calibri" w:hAnsi="Arial" w:cs="Arial"/>
          <w:lang w:val="es-ES" w:eastAsia="es-ES"/>
        </w:rPr>
      </w:pPr>
      <w:r w:rsidRPr="00283724">
        <w:rPr>
          <w:rFonts w:ascii="Arial" w:hAnsi="Arial" w:cs="Arial"/>
          <w:shd w:val="clear" w:color="auto" w:fill="FFFFFF"/>
          <w:lang w:val="es-ES"/>
        </w:rPr>
        <w:t>Los Documentos Tipo expedidos por la Agencia Nacional de Contratación Pública – Colombia Compra Eficiente son de aplicación obligatoria para las Entidades Estatales sometidas al EGCAP</w:t>
      </w:r>
      <w:r w:rsidRPr="00283724">
        <w:rPr>
          <w:rFonts w:ascii="Arial" w:eastAsia="Calibri" w:hAnsi="Arial"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283724">
        <w:rPr>
          <w:rFonts w:ascii="Arial" w:eastAsia="Calibri" w:hAnsi="Arial" w:cs="Arial"/>
          <w:lang w:eastAsia="en-GB"/>
        </w:rPr>
        <w:t xml:space="preserve">La obligatoriedad del contenido de los Documentos Tipo implica que las Entidades Estatales tengan que adelantar los Procesos de Contratación ciñéndose a las condiciones establecidas en los Documentos Tipo, sin que puedan variarse los requisitos fijados en ellos. </w:t>
      </w:r>
    </w:p>
    <w:p w14:paraId="57030376" w14:textId="77777777" w:rsidR="00BC5810" w:rsidRPr="00283724" w:rsidRDefault="00BC5810" w:rsidP="00BC5810">
      <w:pPr>
        <w:spacing w:after="120" w:line="276" w:lineRule="auto"/>
        <w:ind w:firstLine="708"/>
        <w:jc w:val="both"/>
        <w:rPr>
          <w:rFonts w:ascii="Arial" w:eastAsia="Calibri" w:hAnsi="Arial" w:cs="Arial"/>
          <w:lang w:val="es-ES" w:eastAsia="es-ES"/>
        </w:rPr>
      </w:pPr>
      <w:r w:rsidRPr="00283724">
        <w:rPr>
          <w:rFonts w:ascii="Arial" w:hAnsi="Arial" w:cs="Arial"/>
          <w:shd w:val="clear" w:color="auto" w:fill="FFFFFF"/>
          <w:lang w:val="es-ES"/>
        </w:rPr>
        <w:t xml:space="preserve">En ese sentido, </w:t>
      </w:r>
      <w:r w:rsidRPr="00283724">
        <w:rPr>
          <w:rFonts w:ascii="Arial" w:eastAsia="Calibri" w:hAnsi="Arial" w:cs="Arial"/>
          <w:lang w:val="es-ES" w:eastAsia="es-ES"/>
        </w:rPr>
        <w:t xml:space="preserve">con la entrada en vigencia del artículo 56 de la Ley 2195 de 2022, la aplicación de Documentos Tipo resulta ser obligatoria también cuando la Entidad Estatal opta por celebrar convenios o contratos interadministrativos, o de cualquier otra índole, comoquiera que sus efectos suponen que la celebración de tales negocios jurídicos no puedan ser un mecanismo para eludir la aplicación de los Documentos Tipo y las normas de contratación pública. </w:t>
      </w:r>
    </w:p>
    <w:p w14:paraId="29A89BBD" w14:textId="77777777" w:rsidR="00BC5810" w:rsidRPr="00283724" w:rsidRDefault="00BC5810" w:rsidP="00BC5810">
      <w:pPr>
        <w:spacing w:after="120" w:line="276" w:lineRule="auto"/>
        <w:ind w:firstLine="708"/>
        <w:jc w:val="both"/>
        <w:rPr>
          <w:rFonts w:ascii="Arial" w:eastAsia="Calibri" w:hAnsi="Arial" w:cs="Arial"/>
          <w:lang w:val="es-ES" w:eastAsia="es-ES"/>
        </w:rPr>
      </w:pPr>
      <w:r w:rsidRPr="00283724">
        <w:rPr>
          <w:rFonts w:ascii="Arial" w:eastAsia="Times New Roman" w:hAnsi="Arial" w:cs="Arial"/>
          <w:lang w:eastAsia="es-ES_tradnl"/>
        </w:rPr>
        <w:t xml:space="preserve">Esta Agencia ha considerado, como se explicó </w:t>
      </w:r>
      <w:r w:rsidRPr="00283724">
        <w:rPr>
          <w:rFonts w:ascii="Arial" w:eastAsia="Times New Roman" w:hAnsi="Arial" w:cs="Arial"/>
          <w:i/>
          <w:iCs/>
          <w:lang w:eastAsia="es-ES_tradnl"/>
        </w:rPr>
        <w:t>ut supra</w:t>
      </w:r>
      <w:r w:rsidRPr="00283724">
        <w:rPr>
          <w:rFonts w:ascii="Arial" w:eastAsia="Times New Roman" w:hAnsi="Arial" w:cs="Arial"/>
          <w:lang w:eastAsia="es-ES_tradnl"/>
        </w:rPr>
        <w:t xml:space="preserve">, que </w:t>
      </w:r>
      <w:r w:rsidRPr="00283724">
        <w:rPr>
          <w:rFonts w:ascii="Arial" w:eastAsia="Calibri" w:hAnsi="Arial" w:cs="Arial"/>
          <w:lang w:val="es-ES" w:eastAsia="es-ES"/>
        </w:rPr>
        <w:t>el artículo 56 de la Ley 2195 de 2022 surge como una disposición complementaria de la Ley 2022 de 2020, en la medida en que la norma busca extender la aplicación obligatoria de los Documentos Tipo para las entidades regidas por EGCAP cuando celebren contratos o convenios interadministrativos o de otra índole. Por lo tanto, ante la presencia de estos negocios jurídicos que, antes de la expedición de la norma en comento, estaban relevados de aplicar los Documentos Tipo, debido a la existencia de disposiciones como la contenida en el inciso 2 del literal c) del artículo 2-4 de la Ley 1150 de 2007</w:t>
      </w:r>
      <w:r w:rsidRPr="00283724">
        <w:rPr>
          <w:rFonts w:ascii="Arial" w:eastAsia="Calibri" w:hAnsi="Arial" w:cs="Arial"/>
          <w:vertAlign w:val="superscript"/>
          <w:lang w:val="es-ES" w:eastAsia="es-ES"/>
        </w:rPr>
        <w:footnoteReference w:id="46"/>
      </w:r>
      <w:r w:rsidRPr="00283724">
        <w:rPr>
          <w:rFonts w:ascii="Arial" w:eastAsia="Calibri" w:hAnsi="Arial" w:cs="Arial"/>
          <w:lang w:val="es-ES" w:eastAsia="es-ES"/>
        </w:rPr>
        <w:t xml:space="preserve">, ahora deberán tenerse en cuenta las siguientes reglas: i) </w:t>
      </w:r>
      <w:r w:rsidRPr="00283724">
        <w:rPr>
          <w:rFonts w:ascii="Arial" w:eastAsia="Calibri" w:hAnsi="Arial" w:cs="Arial"/>
          <w:i/>
          <w:lang w:val="es-ES" w:eastAsia="es-ES"/>
        </w:rPr>
        <w:t>en el caso de los convenios interadministrativos o de cualquier otra índole:</w:t>
      </w:r>
      <w:r w:rsidRPr="00283724">
        <w:rPr>
          <w:rFonts w:ascii="Arial" w:eastAsia="Calibri" w:hAnsi="Arial" w:cs="Arial"/>
          <w:lang w:val="es-ES" w:eastAsia="es-ES"/>
        </w:rPr>
        <w:t xml:space="preserve"> la obligación de llevar a cabo la selección de los Procesos de Contratación y celebrar los respectivos contratos para adquirir aquellas obras o servicios para cuya contratación le fuese aplicable los Documentos Tipo vigentes y que deban contratarse en el marco del convenio, deberán ser adelantados por la entidad sometida al EGCAP; y, ii) </w:t>
      </w:r>
      <w:r w:rsidRPr="00283724">
        <w:rPr>
          <w:rFonts w:ascii="Arial" w:eastAsia="Calibri" w:hAnsi="Arial" w:cs="Arial"/>
          <w:i/>
          <w:lang w:val="es-ES" w:eastAsia="es-ES"/>
        </w:rPr>
        <w:t>en el caso de los contratos interadministrativos</w:t>
      </w:r>
      <w:r w:rsidRPr="00283724">
        <w:rPr>
          <w:rFonts w:ascii="Arial" w:eastAsia="Calibri" w:hAnsi="Arial" w:cs="Arial"/>
          <w:lang w:val="es-ES" w:eastAsia="es-ES"/>
        </w:rPr>
        <w:t xml:space="preserve"> </w:t>
      </w:r>
      <w:r w:rsidRPr="00283724">
        <w:rPr>
          <w:rFonts w:ascii="Arial" w:eastAsia="Calibri" w:hAnsi="Arial" w:cs="Arial"/>
          <w:i/>
          <w:lang w:val="es-ES" w:eastAsia="es-ES"/>
        </w:rPr>
        <w:t>o de cualquier otra índole</w:t>
      </w:r>
      <w:r w:rsidRPr="00283724">
        <w:rPr>
          <w:rFonts w:ascii="Arial" w:eastAsia="Calibri" w:hAnsi="Arial" w:cs="Arial"/>
          <w:lang w:val="es-ES" w:eastAsia="es-ES"/>
        </w:rPr>
        <w:t xml:space="preserve">: </w:t>
      </w:r>
      <w:r w:rsidRPr="00283724">
        <w:rPr>
          <w:rFonts w:ascii="Arial" w:eastAsia="Times New Roman" w:hAnsi="Arial" w:cs="Arial"/>
          <w:lang w:eastAsia="es-ES"/>
        </w:rPr>
        <w:t xml:space="preserve">implica que si las Entidades Estatales exceptuadas, los patrimonios autónomos y las personas naturales o jurídicas de derecho privado pretenden ser adjudicatarias de estos contratos, deben someterse a un </w:t>
      </w:r>
      <w:r w:rsidRPr="00283724">
        <w:rPr>
          <w:rFonts w:ascii="Arial" w:eastAsia="Times New Roman" w:hAnsi="Arial" w:cs="Arial"/>
          <w:lang w:eastAsia="es-ES"/>
        </w:rPr>
        <w:lastRenderedPageBreak/>
        <w:t xml:space="preserve">proceso de selección en el que se apliquen documentos tipo expedidos por esta Agencia a cargo de la </w:t>
      </w:r>
      <w:r w:rsidRPr="00283724">
        <w:rPr>
          <w:rFonts w:ascii="Arial" w:eastAsia="Calibri" w:hAnsi="Arial" w:cs="Arial"/>
          <w:lang w:val="es-ES" w:eastAsia="es-ES"/>
        </w:rPr>
        <w:t>entidad sometida al EGCAP.</w:t>
      </w:r>
    </w:p>
    <w:p w14:paraId="446B5B48" w14:textId="0C1C6011" w:rsidR="00BC5810" w:rsidRPr="00283724" w:rsidRDefault="00BC5810" w:rsidP="00BC5810">
      <w:pPr>
        <w:spacing w:after="120" w:line="276" w:lineRule="auto"/>
        <w:jc w:val="both"/>
        <w:rPr>
          <w:rFonts w:ascii="Arial" w:eastAsia="Times New Roman" w:hAnsi="Arial" w:cs="Arial"/>
          <w:lang w:eastAsia="es-CO"/>
        </w:rPr>
      </w:pPr>
      <w:r w:rsidRPr="00283724">
        <w:rPr>
          <w:rFonts w:ascii="Arial" w:eastAsia="Calibri" w:hAnsi="Arial" w:cs="Arial"/>
          <w:bCs/>
          <w:lang w:val="es-ES_tradnl" w:eastAsia="es-ES_tradnl"/>
        </w:rPr>
        <w:tab/>
      </w:r>
      <w:r w:rsidRPr="00283724">
        <w:rPr>
          <w:rFonts w:ascii="Arial" w:eastAsia="Calibri" w:hAnsi="Arial" w:cs="Arial"/>
          <w:lang w:val="es-ES" w:eastAsia="es-ES"/>
        </w:rPr>
        <w:t>Estima esta Subdirección que solo es posible comprender lo</w:t>
      </w:r>
      <w:r w:rsidR="00101796" w:rsidRPr="00283724">
        <w:rPr>
          <w:rFonts w:ascii="Arial" w:eastAsia="Calibri" w:hAnsi="Arial" w:cs="Arial"/>
          <w:lang w:val="es-ES" w:eastAsia="es-ES"/>
        </w:rPr>
        <w:t>s</w:t>
      </w:r>
      <w:r w:rsidRPr="00283724">
        <w:rPr>
          <w:rFonts w:ascii="Arial" w:eastAsia="Calibri" w:hAnsi="Arial" w:cs="Arial"/>
          <w:lang w:val="es-ES" w:eastAsia="es-ES"/>
        </w:rPr>
        <w:t xml:space="preserve"> verdaderos efectos de la norma bajo estudio interpretando de manera conjunta en los diferentes apartes el artículo 56 de la Ley 2195 de 2020. Esto comoquiera que, lo ordenado por el segundo inciso de la norma, en referencia a los procedimientos de selección y contratos que deban celebrarse en desarrollo de los negocios jurídicos </w:t>
      </w:r>
      <w:r w:rsidRPr="00283724">
        <w:rPr>
          <w:rFonts w:ascii="Arial" w:eastAsia="Times New Roman" w:hAnsi="Arial" w:cs="Arial"/>
          <w:lang w:eastAsia="es-ES"/>
        </w:rPr>
        <w:t xml:space="preserve">alude a los descritos en el primer inciso, es decir, aquellos a través de los cuales una Entidad Estatal sometida al EGCAP contrata a un sujeto de derecho privado –entidad exceptuada, patrimonio autónomo o persona natural o jurídica de derecho privado – con un objeto del que se deprende el suministro de un bien, obra o servicio cobijado por un Documentos Tipo. </w:t>
      </w:r>
      <w:r w:rsidRPr="00283724">
        <w:rPr>
          <w:rFonts w:ascii="Arial" w:eastAsia="Times New Roman" w:hAnsi="Arial" w:cs="Arial"/>
          <w:lang w:eastAsia="es-CO"/>
        </w:rPr>
        <w:t xml:space="preserve">En ese sentido, la norma parte de la base de que para </w:t>
      </w:r>
      <w:r w:rsidRPr="00283724">
        <w:rPr>
          <w:rFonts w:ascii="Arial" w:eastAsia="Times New Roman" w:hAnsi="Arial" w:cs="Arial"/>
          <w:i/>
          <w:iCs/>
          <w:lang w:eastAsia="es-CO"/>
        </w:rPr>
        <w:t>desarrollar</w:t>
      </w:r>
      <w:r w:rsidRPr="00283724">
        <w:rPr>
          <w:rFonts w:ascii="Arial" w:eastAsia="Times New Roman" w:hAnsi="Arial" w:cs="Arial"/>
          <w:lang w:eastAsia="es-CO"/>
        </w:rPr>
        <w:t xml:space="preserve"> tales negocios jurídicos la Entidad Estatal sometida, necesariamente debe adelantar un procedimiento de selección y suscribir un contrato elevado a escrito, lo que, en atención al artículo 56 deberá hacer aplicando Documentos Tipo y con sujeción al EGCAP.</w:t>
      </w:r>
    </w:p>
    <w:p w14:paraId="6599A6C8" w14:textId="77777777" w:rsidR="00BC5810" w:rsidRPr="00283724" w:rsidRDefault="00BC5810" w:rsidP="00BC5810">
      <w:pPr>
        <w:spacing w:after="0" w:line="276" w:lineRule="auto"/>
        <w:ind w:firstLine="709"/>
        <w:jc w:val="both"/>
        <w:rPr>
          <w:rFonts w:ascii="Arial" w:eastAsia="Arial" w:hAnsi="Arial" w:cs="Arial"/>
        </w:rPr>
      </w:pPr>
      <w:r w:rsidRPr="00283724">
        <w:rPr>
          <w:rFonts w:ascii="Arial" w:eastAsia="Calibri" w:hAnsi="Arial" w:cs="Arial"/>
          <w:bCs/>
          <w:lang w:val="es-ES_tradnl" w:eastAsia="es-ES_tradnl"/>
        </w:rPr>
        <w:t xml:space="preserve">Conforme a lo explicado en este escrito, 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en los casos en los que el objeto contractual que se pretende contratar esté sometido a algún Documento Tipo, esto </w:t>
      </w:r>
      <w:r w:rsidRPr="00283724">
        <w:rPr>
          <w:rFonts w:ascii="Arial" w:eastAsia="Times New Roman" w:hAnsi="Arial" w:cs="Arial"/>
          <w:lang w:eastAsia="es-ES_tradnl"/>
        </w:rPr>
        <w:t xml:space="preserve">implica que si las Entidades Estatales exceptuadas pretenden ser adjudicatarias de estos contratos, deben someterse a un proceso de selección en el que se apliquen Documentos Tipo expedidos por esta Agencia a cargo de la </w:t>
      </w:r>
      <w:r w:rsidRPr="00283724">
        <w:rPr>
          <w:rFonts w:ascii="Arial" w:eastAsia="Calibri" w:hAnsi="Arial" w:cs="Arial"/>
          <w:bCs/>
          <w:lang w:val="es-ES_tradnl" w:eastAsia="es-ES_tradnl"/>
        </w:rPr>
        <w:t>entidad sometida al EGCAP.</w:t>
      </w:r>
    </w:p>
    <w:p w14:paraId="52A02763" w14:textId="77777777" w:rsidR="00BC5810" w:rsidRPr="00283724" w:rsidRDefault="00BC5810" w:rsidP="00BC5810">
      <w:pPr>
        <w:spacing w:after="0" w:line="276" w:lineRule="auto"/>
        <w:ind w:left="709" w:right="709"/>
        <w:jc w:val="both"/>
        <w:rPr>
          <w:rFonts w:ascii="Arial" w:eastAsia="Times New Roman" w:hAnsi="Arial" w:cs="Arial"/>
          <w:lang w:eastAsia="es-ES_tradnl"/>
        </w:rPr>
      </w:pPr>
    </w:p>
    <w:p w14:paraId="6513EDE9" w14:textId="77777777" w:rsidR="00BC5810" w:rsidRPr="00283724" w:rsidRDefault="00BC5810" w:rsidP="00BC5810">
      <w:pPr>
        <w:spacing w:after="0" w:line="240" w:lineRule="auto"/>
        <w:ind w:left="709" w:right="709"/>
        <w:jc w:val="both"/>
        <w:rPr>
          <w:rFonts w:ascii="Arial" w:eastAsia="Times New Roman" w:hAnsi="Arial" w:cs="Arial"/>
          <w:sz w:val="20"/>
          <w:szCs w:val="20"/>
          <w:shd w:val="clear" w:color="auto" w:fill="E6E6E6"/>
          <w:lang w:eastAsia="es-ES_tradnl"/>
        </w:rPr>
      </w:pPr>
      <w:r w:rsidRPr="00283724">
        <w:rPr>
          <w:rFonts w:ascii="Arial" w:eastAsia="Times New Roman" w:hAnsi="Arial" w:cs="Arial"/>
          <w:sz w:val="20"/>
          <w:szCs w:val="20"/>
          <w:lang w:eastAsia="es-ES_tradnl"/>
        </w:rPr>
        <w:t>“2. La entidad estatal que se rige por la Ley 80 de 1993, ¿puede celebrar contratos o convenios interadministrativos cuyo objeto sea obra pública? ¿podría la entidad contratada subcontrartar la obra?” [SIC]</w:t>
      </w:r>
      <w:r w:rsidRPr="00283724">
        <w:rPr>
          <w:rFonts w:ascii="Arial" w:eastAsia="Times New Roman" w:hAnsi="Arial" w:cs="Arial"/>
          <w:sz w:val="20"/>
          <w:szCs w:val="20"/>
          <w:shd w:val="clear" w:color="auto" w:fill="E6E6E6"/>
          <w:lang w:eastAsia="es-ES_tradnl"/>
        </w:rPr>
        <w:t>.</w:t>
      </w:r>
    </w:p>
    <w:p w14:paraId="489AE188" w14:textId="77777777" w:rsidR="00BC5810" w:rsidRPr="00283724" w:rsidRDefault="00BC5810" w:rsidP="00BC5810">
      <w:pPr>
        <w:spacing w:after="0" w:line="276" w:lineRule="auto"/>
        <w:ind w:left="709" w:right="709"/>
        <w:jc w:val="both"/>
        <w:rPr>
          <w:rFonts w:ascii="Arial" w:eastAsia="Times New Roman" w:hAnsi="Arial" w:cs="Arial"/>
          <w:shd w:val="clear" w:color="auto" w:fill="E6E6E6"/>
          <w:lang w:eastAsia="es-ES_tradnl"/>
        </w:rPr>
      </w:pPr>
    </w:p>
    <w:p w14:paraId="78CAE8BB" w14:textId="77777777" w:rsidR="00BC5810" w:rsidRPr="00283724" w:rsidRDefault="00BC5810" w:rsidP="00BC5810">
      <w:pPr>
        <w:spacing w:after="120" w:line="276" w:lineRule="auto"/>
        <w:jc w:val="both"/>
        <w:rPr>
          <w:rFonts w:ascii="Arial" w:eastAsia="Times New Roman" w:hAnsi="Arial" w:cs="Arial"/>
          <w:lang w:val="es-ES" w:eastAsia="es-ES_tradnl"/>
        </w:rPr>
      </w:pPr>
      <w:r w:rsidRPr="00283724">
        <w:rPr>
          <w:rFonts w:ascii="Arial" w:eastAsia="Times New Roman" w:hAnsi="Arial" w:cs="Arial"/>
          <w:lang w:val="es-ES" w:eastAsia="es-ES_tradnl"/>
        </w:rPr>
        <w:t xml:space="preserve">La primera parte de la pregunta número 2 fue respondida en el numeral anterior, por lo cual a continuación se hará referencia a la posibilidad de subcontratar en el marco de un convenio o contrato interadministrativo. </w:t>
      </w:r>
    </w:p>
    <w:p w14:paraId="1B4F5555" w14:textId="77777777" w:rsidR="00BC5810" w:rsidRPr="00283724" w:rsidRDefault="00BC5810" w:rsidP="00BC5810">
      <w:pPr>
        <w:spacing w:after="120" w:line="276" w:lineRule="auto"/>
        <w:ind w:firstLine="708"/>
        <w:jc w:val="both"/>
        <w:rPr>
          <w:rFonts w:ascii="Arial" w:eastAsia="Times New Roman" w:hAnsi="Arial" w:cs="Arial"/>
          <w:lang w:eastAsia="es-ES_tradnl"/>
        </w:rPr>
      </w:pPr>
      <w:r w:rsidRPr="00283724">
        <w:rPr>
          <w:rFonts w:ascii="Arial" w:eastAsia="Times New Roman" w:hAnsi="Arial" w:cs="Arial"/>
          <w:lang w:eastAsia="es-ES_tradnl"/>
        </w:rPr>
        <w:t xml:space="preserve">La subcontratación supone la celebración de un contrato eventual y accesorio, entre un contratista del Estado y un tercero, sin que aquel tenga el deber, por regla general, de agotar un procedimiento previo de selección y, por medio, del cual el segundo sustituye parcial y materialmente al primero, quien conserva la dirección general del proyecto y es responsable ante la Entidad Estatal contratante por el cumplimiento íntegro de las obligaciones derivadas del contrato adjudicado. Así mismo, la subcontratación es un </w:t>
      </w:r>
      <w:r w:rsidRPr="00283724">
        <w:rPr>
          <w:rFonts w:ascii="Arial" w:eastAsia="Times New Roman" w:hAnsi="Arial" w:cs="Arial"/>
          <w:lang w:eastAsia="es-ES_tradnl"/>
        </w:rPr>
        <w:lastRenderedPageBreak/>
        <w:t>mecanismo de ejecución de un proyecto que obedece a la autonomía técnica y administrativa con la cual el contratista desarrolla su modelo de negocio.</w:t>
      </w:r>
    </w:p>
    <w:p w14:paraId="4D895A0C" w14:textId="77777777" w:rsidR="00BC5810" w:rsidRPr="00283724" w:rsidRDefault="00BC5810" w:rsidP="00BC5810">
      <w:pPr>
        <w:spacing w:after="120" w:line="276" w:lineRule="auto"/>
        <w:ind w:firstLine="709"/>
        <w:jc w:val="both"/>
        <w:rPr>
          <w:rFonts w:ascii="Arial" w:eastAsia="Times New Roman" w:hAnsi="Arial" w:cs="Arial"/>
          <w:lang w:eastAsia="es-ES_tradnl"/>
        </w:rPr>
      </w:pPr>
      <w:r w:rsidRPr="00283724">
        <w:rPr>
          <w:rFonts w:ascii="Arial" w:eastAsia="Times New Roman" w:hAnsi="Arial" w:cs="Arial"/>
          <w:lang w:eastAsia="es-ES_tradnl"/>
        </w:rPr>
        <w:t>En atención a la pregunta planteada en relación con la posibilidad de que la Entidad Estatal contratada, en el marco de un convenio o contrato interadministrativo, subcontrate la ejecución de la obra o proyecto, debe señalarse que de conformidad con el inciso 4 del literal c) del numeral 4 del artículo 2 de la Ley 1150 de 2007, es factible que en los contratos interadministrativos la Entidad Estatal ejecutora deba subcontratar algunas de las actividades derivadas del contrato principal, pero no podrá subcontratar la ejecución de todo el contrato principal.</w:t>
      </w:r>
    </w:p>
    <w:p w14:paraId="295052BB" w14:textId="77777777" w:rsidR="00BC5810" w:rsidRPr="00283724" w:rsidRDefault="00BC5810" w:rsidP="00BC5810">
      <w:pPr>
        <w:spacing w:after="120" w:line="276" w:lineRule="auto"/>
        <w:ind w:firstLine="708"/>
        <w:jc w:val="both"/>
        <w:rPr>
          <w:rFonts w:ascii="Arial" w:eastAsia="Calibri" w:hAnsi="Arial" w:cs="Arial"/>
          <w:bCs/>
          <w:lang w:val="es-ES_tradnl" w:eastAsia="es-ES_tradnl"/>
        </w:rPr>
      </w:pPr>
      <w:r w:rsidRPr="00283724">
        <w:rPr>
          <w:rFonts w:ascii="Arial" w:eastAsia="Times New Roman" w:hAnsi="Arial" w:cs="Arial"/>
          <w:lang w:eastAsia="es-ES_tradnl"/>
        </w:rPr>
        <w:t>Ahora bien, frente a la aplicación de los Documentos Tipo para la escogencia del subcontratista, es menester indicar que la situación de los subcontratistas no hace parte de aquella circunstancia que quiso regular el artículo objeto de estudio. E</w:t>
      </w:r>
      <w:r w:rsidRPr="00283724">
        <w:rPr>
          <w:rFonts w:ascii="Arial" w:eastAsia="Calibri" w:hAnsi="Arial" w:cs="Arial"/>
          <w:lang w:val="es-ES_tradnl" w:eastAsia="es-ES_tradnl"/>
        </w:rPr>
        <w:t>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con entidades exceptuadas o particulares sometidos al derecho privado. No obstante, la norma solo se refiere a los negocios jurídicos suscritos entre la entidad sometida al régimen general de contratación pública con el respectivo sujeto de derecho privado, sin mencionar en ningún momento a los subcontratos o la contratación derivada de aquellos. Tampoco se observa que la norma aprobada faculte a los mencionados sujetos de derecho privado a fungir como Entidades Estatales en estos subcontratos, ejerciendo potestades unilaterales o exorbitantes.</w:t>
      </w:r>
      <w:r w:rsidRPr="00283724">
        <w:rPr>
          <w:rFonts w:ascii="Arial" w:eastAsia="Calibri" w:hAnsi="Arial" w:cs="Arial"/>
          <w:bCs/>
          <w:lang w:val="es-ES_tradnl" w:eastAsia="es-ES_tradnl"/>
        </w:rPr>
        <w:t xml:space="preserve">  </w:t>
      </w:r>
    </w:p>
    <w:p w14:paraId="098297A5" w14:textId="4EFF90BA" w:rsidR="00BC5810" w:rsidRPr="00283724" w:rsidRDefault="00BC5810" w:rsidP="005E416E">
      <w:pPr>
        <w:spacing w:after="0" w:line="276" w:lineRule="auto"/>
        <w:jc w:val="both"/>
        <w:rPr>
          <w:rFonts w:ascii="Arial" w:eastAsia="Times New Roman" w:hAnsi="Arial" w:cs="Arial"/>
          <w:lang w:eastAsia="es-ES_tradnl"/>
        </w:rPr>
      </w:pPr>
      <w:r w:rsidRPr="00283724">
        <w:rPr>
          <w:rFonts w:ascii="Arial" w:eastAsia="Times New Roman" w:hAnsi="Arial" w:cs="Arial"/>
          <w:lang w:val="es-ES_tradnl" w:eastAsia="es-ES_tradnl"/>
        </w:rPr>
        <w:tab/>
        <w:t xml:space="preserve">Conforme a lo expuesto, estando planteados los efectos de la norma en tales términos, no es posible afirmar que la consecuencia jurídica de la misma respecto de los sujetos de derecho privado que menciona corresponda a un mandato de aplicar Documentos Tipo y/o el EGCAP en la contratación derivada o en la subcontratación, por cuanto tales efectos no se desprenden del texto de la norma. Lo anterior </w:t>
      </w:r>
      <w:r w:rsidR="00740461" w:rsidRPr="00283724">
        <w:rPr>
          <w:rFonts w:ascii="Arial" w:eastAsia="Times New Roman" w:hAnsi="Arial" w:cs="Arial"/>
          <w:lang w:val="es-ES_tradnl" w:eastAsia="es-ES_tradnl"/>
        </w:rPr>
        <w:t>ya que</w:t>
      </w:r>
      <w:r w:rsidRPr="00283724">
        <w:rPr>
          <w:rFonts w:ascii="Arial" w:eastAsia="Times New Roman" w:hAnsi="Arial" w:cs="Arial"/>
          <w:lang w:val="es-ES_tradnl" w:eastAsia="es-ES_tradnl"/>
        </w:rPr>
        <w:t xml:space="preserve"> la norma se refiere exclusivamente a un negocio jurídico en particular, al igual que al proceso de selección y el contrato estatal que hacen falta para concretarlo, sin que resulte posible extender los efectos de la norma más allá de lo que la misma norma consagra, en atención a la regla interpretativa sobre la extensión de una Ley previamente explicada</w:t>
      </w:r>
      <w:r w:rsidR="00740461" w:rsidRPr="00283724">
        <w:rPr>
          <w:rFonts w:ascii="Arial" w:eastAsia="Times New Roman" w:hAnsi="Arial" w:cs="Arial"/>
          <w:lang w:val="es-ES_tradnl" w:eastAsia="es-ES_tradnl"/>
        </w:rPr>
        <w:t>.</w:t>
      </w:r>
    </w:p>
    <w:p w14:paraId="720041E5" w14:textId="77777777" w:rsidR="00BC5810" w:rsidRPr="00283724" w:rsidRDefault="00BC5810" w:rsidP="00BC5810">
      <w:pPr>
        <w:spacing w:after="0" w:line="276" w:lineRule="auto"/>
        <w:jc w:val="both"/>
        <w:rPr>
          <w:rFonts w:ascii="Arial" w:eastAsia="Times New Roman" w:hAnsi="Arial" w:cs="Arial"/>
          <w:lang w:val="es-ES_tradnl" w:eastAsia="es-ES_tradnl"/>
        </w:rPr>
      </w:pPr>
    </w:p>
    <w:p w14:paraId="0EECEDCC" w14:textId="77777777" w:rsidR="00BC5810" w:rsidRPr="00283724" w:rsidRDefault="00BC5810" w:rsidP="00BC5810">
      <w:pPr>
        <w:spacing w:after="0" w:line="276" w:lineRule="auto"/>
        <w:jc w:val="both"/>
        <w:rPr>
          <w:rFonts w:ascii="Arial" w:eastAsia="Times New Roman" w:hAnsi="Arial" w:cs="Arial"/>
          <w:lang w:val="es-ES_tradnl" w:eastAsia="es-ES_tradnl"/>
        </w:rPr>
      </w:pPr>
      <w:r w:rsidRPr="00283724">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26B6B79" w14:textId="77777777" w:rsidR="00BC5810" w:rsidRPr="00283724" w:rsidRDefault="00BC5810" w:rsidP="00BC5810">
      <w:pPr>
        <w:spacing w:after="0" w:line="276" w:lineRule="auto"/>
        <w:jc w:val="both"/>
        <w:rPr>
          <w:rFonts w:ascii="Arial" w:eastAsia="Times New Roman" w:hAnsi="Arial" w:cs="Arial"/>
          <w:lang w:val="es-ES_tradnl" w:eastAsia="es-CO"/>
        </w:rPr>
      </w:pPr>
    </w:p>
    <w:p w14:paraId="5E06DBEB" w14:textId="77777777" w:rsidR="00BC5810" w:rsidRPr="00283724" w:rsidRDefault="00BC5810" w:rsidP="00BC5810">
      <w:pPr>
        <w:spacing w:after="0" w:line="276" w:lineRule="auto"/>
        <w:jc w:val="both"/>
        <w:rPr>
          <w:rFonts w:ascii="Arial" w:eastAsia="Times New Roman" w:hAnsi="Arial" w:cs="Arial"/>
          <w:lang w:val="es-ES_tradnl" w:eastAsia="es-CO"/>
        </w:rPr>
      </w:pPr>
      <w:r w:rsidRPr="00283724">
        <w:rPr>
          <w:rFonts w:ascii="Arial" w:eastAsia="Times New Roman" w:hAnsi="Arial" w:cs="Arial"/>
          <w:lang w:val="es-ES_tradnl" w:eastAsia="es-CO"/>
        </w:rPr>
        <w:t>Atentamente,</w:t>
      </w:r>
    </w:p>
    <w:p w14:paraId="482FB3D7" w14:textId="2EE8B8FA" w:rsidR="00BC5810" w:rsidRPr="00283724" w:rsidRDefault="00AD18DE" w:rsidP="00BC5810">
      <w:pPr>
        <w:spacing w:before="240" w:after="120" w:line="276" w:lineRule="auto"/>
        <w:jc w:val="center"/>
        <w:rPr>
          <w:rFonts w:ascii="Arial" w:eastAsia="Calibri" w:hAnsi="Arial" w:cs="Arial"/>
          <w:sz w:val="24"/>
          <w:szCs w:val="24"/>
          <w:lang w:eastAsia="es-ES_tradnl"/>
        </w:rPr>
      </w:pPr>
      <w:r>
        <w:rPr>
          <w:noProof/>
        </w:rPr>
        <w:lastRenderedPageBreak/>
        <w:drawing>
          <wp:inline distT="0" distB="0" distL="0" distR="0" wp14:anchorId="310D1747" wp14:editId="5E42CB12">
            <wp:extent cx="2964815" cy="1138555"/>
            <wp:effectExtent l="0" t="0" r="6985" b="4445"/>
            <wp:docPr id="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815" cy="1138555"/>
                    </a:xfrm>
                    <a:prstGeom prst="rect">
                      <a:avLst/>
                    </a:prstGeom>
                    <a:noFill/>
                    <a:ln>
                      <a:noFill/>
                    </a:ln>
                  </pic:spPr>
                </pic:pic>
              </a:graphicData>
            </a:graphic>
          </wp:inline>
        </w:drawing>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83724" w:rsidRPr="00283724" w14:paraId="33083F76" w14:textId="77777777" w:rsidTr="00A57D81">
        <w:trPr>
          <w:trHeight w:val="286"/>
        </w:trPr>
        <w:tc>
          <w:tcPr>
            <w:tcW w:w="817" w:type="dxa"/>
            <w:vAlign w:val="center"/>
          </w:tcPr>
          <w:p w14:paraId="69132767"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Elaboró:</w:t>
            </w:r>
          </w:p>
        </w:tc>
        <w:tc>
          <w:tcPr>
            <w:tcW w:w="4445" w:type="dxa"/>
            <w:tcBorders>
              <w:bottom w:val="dotted" w:sz="4" w:space="0" w:color="7F7F7F"/>
            </w:tcBorders>
            <w:vAlign w:val="center"/>
          </w:tcPr>
          <w:p w14:paraId="1EDB94A1" w14:textId="77777777" w:rsidR="00BC5810" w:rsidRPr="00283724" w:rsidRDefault="00BC5810" w:rsidP="00BC5810">
            <w:pPr>
              <w:textAlignment w:val="baseline"/>
              <w:rPr>
                <w:rFonts w:ascii="Arial" w:eastAsia="Times New Roman" w:hAnsi="Arial" w:cs="Arial"/>
                <w:sz w:val="18"/>
                <w:szCs w:val="18"/>
                <w:lang w:eastAsia="es-CO"/>
              </w:rPr>
            </w:pPr>
            <w:r w:rsidRPr="00283724">
              <w:rPr>
                <w:rFonts w:ascii="Arial" w:eastAsia="Times New Roman" w:hAnsi="Arial" w:cs="Arial"/>
                <w:sz w:val="16"/>
                <w:szCs w:val="16"/>
                <w:lang w:eastAsia="es-CO"/>
              </w:rPr>
              <w:t>Diana Lucia Saavedra Castañeda</w:t>
            </w:r>
          </w:p>
          <w:p w14:paraId="68E1A1C7" w14:textId="77777777" w:rsidR="00BC5810" w:rsidRPr="00283724" w:rsidRDefault="00BC5810" w:rsidP="00BC5810">
            <w:pPr>
              <w:textAlignment w:val="baseline"/>
              <w:rPr>
                <w:rFonts w:ascii="Arial" w:eastAsia="Times New Roman" w:hAnsi="Arial" w:cs="Arial"/>
                <w:sz w:val="18"/>
                <w:szCs w:val="18"/>
                <w:lang w:eastAsia="es-CO"/>
              </w:rPr>
            </w:pPr>
            <w:r w:rsidRPr="00283724">
              <w:rPr>
                <w:rFonts w:ascii="Arial" w:eastAsia="Times New Roman" w:hAnsi="Arial" w:cs="Arial"/>
                <w:sz w:val="16"/>
                <w:szCs w:val="16"/>
                <w:lang w:eastAsia="es-CO"/>
              </w:rPr>
              <w:t>Contratista de la Subdirección de Gestión Contractual</w:t>
            </w:r>
          </w:p>
        </w:tc>
      </w:tr>
      <w:tr w:rsidR="00283724" w:rsidRPr="00283724" w14:paraId="2F05456B" w14:textId="77777777" w:rsidTr="00A57D81">
        <w:trPr>
          <w:trHeight w:val="286"/>
        </w:trPr>
        <w:tc>
          <w:tcPr>
            <w:tcW w:w="817" w:type="dxa"/>
            <w:vAlign w:val="center"/>
          </w:tcPr>
          <w:p w14:paraId="5E77687C"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Revisó:</w:t>
            </w:r>
          </w:p>
        </w:tc>
        <w:tc>
          <w:tcPr>
            <w:tcW w:w="4445" w:type="dxa"/>
            <w:tcBorders>
              <w:bottom w:val="dotted" w:sz="4" w:space="0" w:color="7F7F7F"/>
            </w:tcBorders>
            <w:vAlign w:val="center"/>
          </w:tcPr>
          <w:p w14:paraId="25F035FD" w14:textId="77777777" w:rsidR="00BC5810" w:rsidRPr="00283724" w:rsidRDefault="00BC5810" w:rsidP="00BC5810">
            <w:pPr>
              <w:textAlignment w:val="baseline"/>
              <w:rPr>
                <w:rFonts w:ascii="Arial" w:eastAsia="Times New Roman" w:hAnsi="Arial" w:cs="Arial"/>
                <w:sz w:val="18"/>
                <w:szCs w:val="18"/>
                <w:lang w:eastAsia="es-CO"/>
              </w:rPr>
            </w:pPr>
            <w:r w:rsidRPr="00283724">
              <w:rPr>
                <w:rFonts w:ascii="Arial" w:eastAsia="Times New Roman" w:hAnsi="Arial" w:cs="Arial"/>
                <w:sz w:val="16"/>
                <w:szCs w:val="16"/>
                <w:lang w:eastAsia="es-CO"/>
              </w:rPr>
              <w:t>Ximena Ríos López</w:t>
            </w:r>
          </w:p>
          <w:p w14:paraId="0B53F5B1"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Gestor T1-11 de la Subdirección de Gestión Contractual</w:t>
            </w:r>
          </w:p>
        </w:tc>
      </w:tr>
      <w:tr w:rsidR="00283724" w:rsidRPr="00283724" w14:paraId="2FD9B26F" w14:textId="77777777" w:rsidTr="00A57D81">
        <w:trPr>
          <w:trHeight w:val="299"/>
        </w:trPr>
        <w:tc>
          <w:tcPr>
            <w:tcW w:w="817" w:type="dxa"/>
            <w:vAlign w:val="center"/>
          </w:tcPr>
          <w:p w14:paraId="7844E399"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Aprobó:</w:t>
            </w:r>
          </w:p>
        </w:tc>
        <w:tc>
          <w:tcPr>
            <w:tcW w:w="4445" w:type="dxa"/>
            <w:tcBorders>
              <w:top w:val="dotted" w:sz="4" w:space="0" w:color="7F7F7F"/>
              <w:bottom w:val="dotted" w:sz="4" w:space="0" w:color="7F7F7F"/>
            </w:tcBorders>
            <w:vAlign w:val="center"/>
          </w:tcPr>
          <w:p w14:paraId="05DC5A99"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Nohelia Del Carmen Zawady Palacio</w:t>
            </w:r>
          </w:p>
          <w:p w14:paraId="718C565A" w14:textId="77777777" w:rsidR="00BC5810" w:rsidRPr="00283724" w:rsidRDefault="00BC5810" w:rsidP="00BC5810">
            <w:pPr>
              <w:rPr>
                <w:rFonts w:ascii="Arial" w:eastAsia="Times New Roman" w:hAnsi="Arial" w:cs="Arial"/>
                <w:sz w:val="16"/>
                <w:szCs w:val="16"/>
                <w:lang w:eastAsia="es-ES_tradnl"/>
              </w:rPr>
            </w:pPr>
            <w:r w:rsidRPr="00283724">
              <w:rPr>
                <w:rFonts w:ascii="Arial" w:eastAsia="Times New Roman" w:hAnsi="Arial" w:cs="Arial"/>
                <w:sz w:val="16"/>
                <w:szCs w:val="16"/>
                <w:lang w:eastAsia="es-ES_tradnl"/>
              </w:rPr>
              <w:t xml:space="preserve">Subdirectora de Gestión Contractual ANCP – CCE </w:t>
            </w:r>
          </w:p>
        </w:tc>
      </w:tr>
    </w:tbl>
    <w:p w14:paraId="4D9F09FD" w14:textId="77777777" w:rsidR="00BC5810" w:rsidRPr="00283724" w:rsidRDefault="00BC5810" w:rsidP="00BC5810">
      <w:pPr>
        <w:tabs>
          <w:tab w:val="left" w:pos="3795"/>
        </w:tabs>
        <w:spacing w:after="0" w:line="240" w:lineRule="auto"/>
        <w:rPr>
          <w:rFonts w:ascii="Arial" w:eastAsia="Times New Roman" w:hAnsi="Arial" w:cs="Arial"/>
          <w:sz w:val="24"/>
          <w:szCs w:val="24"/>
          <w:lang w:val="es-ES_tradnl" w:eastAsia="es-ES_tradnl"/>
        </w:rPr>
      </w:pPr>
    </w:p>
    <w:p w14:paraId="694F1B8E" w14:textId="77777777" w:rsidR="00BC5810" w:rsidRPr="00283724" w:rsidRDefault="00BC5810" w:rsidP="00BC5810">
      <w:pPr>
        <w:spacing w:after="0" w:line="240" w:lineRule="auto"/>
        <w:rPr>
          <w:rFonts w:ascii="Arial" w:eastAsia="Times New Roman" w:hAnsi="Arial" w:cs="Arial"/>
          <w:sz w:val="24"/>
          <w:szCs w:val="24"/>
          <w:lang w:eastAsia="es-ES_tradnl"/>
        </w:rPr>
      </w:pPr>
    </w:p>
    <w:bookmarkEnd w:id="6"/>
    <w:p w14:paraId="1AE0FEF7" w14:textId="77777777" w:rsidR="00BC5810" w:rsidRPr="00283724" w:rsidRDefault="00BC5810" w:rsidP="00BC5810">
      <w:pPr>
        <w:spacing w:after="0" w:line="240" w:lineRule="auto"/>
        <w:rPr>
          <w:rFonts w:ascii="Arial" w:eastAsia="Times New Roman" w:hAnsi="Arial" w:cs="Arial"/>
          <w:sz w:val="24"/>
          <w:szCs w:val="24"/>
          <w:lang w:eastAsia="es-ES_tradnl"/>
        </w:rPr>
      </w:pPr>
    </w:p>
    <w:p w14:paraId="6DC88B2F" w14:textId="77777777" w:rsidR="00BC5810" w:rsidRPr="00283724" w:rsidRDefault="00BC5810" w:rsidP="00E245AB">
      <w:pPr>
        <w:spacing w:after="0"/>
        <w:rPr>
          <w:rFonts w:ascii="Century Gothic" w:hAnsi="Century Gothic"/>
        </w:rPr>
      </w:pPr>
    </w:p>
    <w:sectPr w:rsidR="00BC5810" w:rsidRPr="00283724"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38754" w14:textId="77777777" w:rsidR="003867D8" w:rsidRDefault="003867D8" w:rsidP="004A1847">
      <w:pPr>
        <w:spacing w:after="0" w:line="240" w:lineRule="auto"/>
      </w:pPr>
      <w:r>
        <w:separator/>
      </w:r>
    </w:p>
  </w:endnote>
  <w:endnote w:type="continuationSeparator" w:id="0">
    <w:p w14:paraId="08B678AF" w14:textId="77777777" w:rsidR="003867D8" w:rsidRDefault="003867D8" w:rsidP="004A1847">
      <w:pPr>
        <w:spacing w:after="0" w:line="240" w:lineRule="auto"/>
      </w:pPr>
      <w:r>
        <w:continuationSeparator/>
      </w:r>
    </w:p>
  </w:endnote>
  <w:endnote w:type="continuationNotice" w:id="1">
    <w:p w14:paraId="577BFB87" w14:textId="77777777" w:rsidR="003867D8" w:rsidRDefault="003867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91905" w14:textId="77777777" w:rsidR="003867D8" w:rsidRDefault="003867D8" w:rsidP="004A1847">
      <w:pPr>
        <w:spacing w:after="0" w:line="240" w:lineRule="auto"/>
      </w:pPr>
      <w:r>
        <w:separator/>
      </w:r>
    </w:p>
  </w:footnote>
  <w:footnote w:type="continuationSeparator" w:id="0">
    <w:p w14:paraId="58313DF5" w14:textId="77777777" w:rsidR="003867D8" w:rsidRDefault="003867D8" w:rsidP="004A1847">
      <w:pPr>
        <w:spacing w:after="0" w:line="240" w:lineRule="auto"/>
      </w:pPr>
      <w:r>
        <w:continuationSeparator/>
      </w:r>
    </w:p>
  </w:footnote>
  <w:footnote w:type="continuationNotice" w:id="1">
    <w:p w14:paraId="74B8F432" w14:textId="77777777" w:rsidR="003867D8" w:rsidRDefault="003867D8">
      <w:pPr>
        <w:spacing w:after="0" w:line="240" w:lineRule="auto"/>
      </w:pPr>
    </w:p>
  </w:footnote>
  <w:footnote w:id="2">
    <w:p w14:paraId="5E12DD10" w14:textId="77777777" w:rsidR="00BC5810" w:rsidRPr="00BB3A66" w:rsidRDefault="00BC5810" w:rsidP="00BC5810">
      <w:pPr>
        <w:pStyle w:val="Textonotapie"/>
        <w:ind w:firstLine="708"/>
        <w:contextualSpacing/>
        <w:jc w:val="both"/>
        <w:rPr>
          <w:rFonts w:ascii="Arial" w:eastAsia="Calibri" w:hAnsi="Arial" w:cs="Arial"/>
          <w:sz w:val="14"/>
          <w:szCs w:val="14"/>
          <w:lang w:val="es-ES" w:eastAsia="es-ES_tradnl"/>
        </w:rPr>
      </w:pPr>
      <w:r w:rsidRPr="00BB3A66">
        <w:rPr>
          <w:rFonts w:ascii="Arial" w:eastAsia="Calibri" w:hAnsi="Arial" w:cs="Arial"/>
          <w:sz w:val="14"/>
          <w:szCs w:val="14"/>
          <w:vertAlign w:val="superscript"/>
          <w:lang w:val="es-ES" w:eastAsia="es-ES_tradnl"/>
        </w:rPr>
        <w:footnoteRef/>
      </w:r>
      <w:r w:rsidRPr="00BB3A66">
        <w:rPr>
          <w:rFonts w:ascii="Arial" w:eastAsia="Calibri" w:hAnsi="Arial" w:cs="Arial"/>
          <w:sz w:val="14"/>
          <w:szCs w:val="14"/>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88B69C2" w14:textId="77777777" w:rsidR="00BC5810" w:rsidRPr="00BB3A66" w:rsidRDefault="00BC5810" w:rsidP="00BC5810">
      <w:pPr>
        <w:pStyle w:val="Textonotapie"/>
        <w:ind w:firstLine="708"/>
        <w:contextualSpacing/>
        <w:jc w:val="both"/>
        <w:rPr>
          <w:rFonts w:ascii="Arial" w:hAnsi="Arial" w:cs="Arial"/>
          <w:sz w:val="14"/>
          <w:szCs w:val="14"/>
          <w:lang w:val="es-ES"/>
        </w:rPr>
      </w:pPr>
    </w:p>
  </w:footnote>
  <w:footnote w:id="3">
    <w:p w14:paraId="14B7A846" w14:textId="77777777" w:rsidR="00BC5810" w:rsidRPr="00BB3A66" w:rsidRDefault="00BC5810" w:rsidP="00BC5810">
      <w:pPr>
        <w:pStyle w:val="Textonotapie"/>
        <w:ind w:firstLine="708"/>
        <w:contextualSpacing/>
        <w:jc w:val="both"/>
        <w:rPr>
          <w:rFonts w:ascii="Arial" w:hAnsi="Arial" w:cs="Arial"/>
          <w:sz w:val="14"/>
          <w:szCs w:val="14"/>
          <w:shd w:val="clear" w:color="auto" w:fill="E6E6E6"/>
        </w:rPr>
      </w:pPr>
      <w:r w:rsidRPr="00BB3A66">
        <w:rPr>
          <w:rFonts w:ascii="Arial" w:hAnsi="Arial" w:cs="Arial"/>
          <w:sz w:val="14"/>
          <w:szCs w:val="14"/>
          <w:vertAlign w:val="superscript"/>
        </w:rPr>
        <w:footnoteRef/>
      </w:r>
      <w:r w:rsidRPr="00BB3A66">
        <w:rPr>
          <w:rFonts w:ascii="Arial" w:hAnsi="Arial"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B3A66">
          <w:rPr>
            <w:rStyle w:val="Hipervnculo"/>
            <w:rFonts w:ascii="Arial" w:hAnsi="Arial" w:cs="Arial"/>
            <w:sz w:val="14"/>
            <w:szCs w:val="14"/>
          </w:rPr>
          <w:t>https://relatoria.colombiacompra.gov.co/busqueda/conceptos</w:t>
        </w:r>
      </w:hyperlink>
      <w:r w:rsidRPr="00BB3A66">
        <w:rPr>
          <w:rFonts w:ascii="Arial" w:hAnsi="Arial" w:cs="Arial"/>
          <w:sz w:val="14"/>
          <w:szCs w:val="14"/>
          <w:shd w:val="clear" w:color="auto" w:fill="E6E6E6"/>
        </w:rPr>
        <w:t xml:space="preserve"> </w:t>
      </w:r>
    </w:p>
    <w:p w14:paraId="299E6410" w14:textId="77777777" w:rsidR="00BC5810" w:rsidRPr="00BB3A66" w:rsidRDefault="00BC5810" w:rsidP="00BC5810">
      <w:pPr>
        <w:pStyle w:val="Textonotapie"/>
        <w:ind w:firstLine="708"/>
        <w:contextualSpacing/>
        <w:jc w:val="both"/>
        <w:rPr>
          <w:rFonts w:ascii="Arial" w:hAnsi="Arial" w:cs="Arial"/>
          <w:sz w:val="14"/>
          <w:szCs w:val="14"/>
        </w:rPr>
      </w:pPr>
    </w:p>
  </w:footnote>
  <w:footnote w:id="4">
    <w:p w14:paraId="64BF49C3" w14:textId="77777777" w:rsidR="00BC5810" w:rsidRPr="00BB3A66" w:rsidRDefault="00BC5810" w:rsidP="00BC5810">
      <w:pPr>
        <w:spacing w:after="0" w:line="240" w:lineRule="auto"/>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Decreto 1082 de 2015: “Artículo </w:t>
      </w:r>
      <w:bookmarkStart w:id="8" w:name="_Hlk132977831"/>
      <w:r w:rsidRPr="00BB3A66">
        <w:rPr>
          <w:rFonts w:ascii="Arial" w:hAnsi="Arial" w:cs="Arial"/>
          <w:sz w:val="14"/>
          <w:szCs w:val="14"/>
        </w:rPr>
        <w:t>2.2.1.2.1.4.4</w:t>
      </w:r>
      <w:bookmarkEnd w:id="8"/>
      <w:r w:rsidRPr="00BB3A66">
        <w:rPr>
          <w:rFonts w:ascii="Arial" w:hAnsi="Arial" w:cs="Arial"/>
          <w:sz w:val="14"/>
          <w:szCs w:val="14"/>
        </w:rPr>
        <w:t>. Convenios o contratos interadministrativos. La modalidad de selección para la contratación entre Entidades Estatales es la contratación directa; y en consecuencia, le es aplicable lo establecido en el artículo 2.2.1.2.1.4.1 del presente decreto.</w:t>
      </w:r>
    </w:p>
    <w:p w14:paraId="197DB0DC" w14:textId="77777777" w:rsidR="00BC5810" w:rsidRPr="00BB3A66" w:rsidRDefault="00BC5810" w:rsidP="00BC5810">
      <w:pPr>
        <w:spacing w:after="0" w:line="240" w:lineRule="auto"/>
        <w:ind w:firstLine="709"/>
        <w:contextualSpacing/>
        <w:jc w:val="both"/>
        <w:rPr>
          <w:rFonts w:ascii="Arial" w:hAnsi="Arial" w:cs="Arial"/>
          <w:sz w:val="14"/>
          <w:szCs w:val="14"/>
        </w:rPr>
      </w:pPr>
      <w:r w:rsidRPr="00BB3A66">
        <w:rPr>
          <w:rFonts w:ascii="Arial" w:hAnsi="Arial"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BB3A66">
        <w:rPr>
          <w:rFonts w:ascii="Arial" w:hAnsi="Arial" w:cs="Arial"/>
          <w:spacing w:val="-1"/>
          <w:sz w:val="14"/>
          <w:szCs w:val="14"/>
        </w:rPr>
        <w:t xml:space="preserve"> </w:t>
      </w:r>
      <w:r w:rsidRPr="00BB3A66">
        <w:rPr>
          <w:rFonts w:ascii="Arial" w:hAnsi="Arial" w:cs="Arial"/>
          <w:sz w:val="14"/>
          <w:szCs w:val="14"/>
        </w:rPr>
        <w:t>Estatales”.</w:t>
      </w:r>
    </w:p>
    <w:p w14:paraId="3D3AF402" w14:textId="77777777" w:rsidR="00DD42C1" w:rsidRPr="00BB3A66" w:rsidRDefault="00DD42C1" w:rsidP="00BC5810">
      <w:pPr>
        <w:spacing w:after="0" w:line="240" w:lineRule="auto"/>
        <w:ind w:firstLine="709"/>
        <w:contextualSpacing/>
        <w:jc w:val="both"/>
        <w:rPr>
          <w:rFonts w:ascii="Arial" w:hAnsi="Arial" w:cs="Arial"/>
          <w:sz w:val="14"/>
          <w:szCs w:val="14"/>
        </w:rPr>
      </w:pPr>
    </w:p>
  </w:footnote>
  <w:footnote w:id="5">
    <w:p w14:paraId="05F6946F" w14:textId="77777777" w:rsidR="00BC5810" w:rsidRPr="00BB3A66" w:rsidRDefault="00BC5810" w:rsidP="00BC5810">
      <w:pPr>
        <w:spacing w:after="0" w:line="240" w:lineRule="auto"/>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BB3A66">
        <w:rPr>
          <w:rFonts w:ascii="Arial" w:hAnsi="Arial" w:cs="Arial"/>
          <w:spacing w:val="-6"/>
          <w:sz w:val="14"/>
          <w:szCs w:val="14"/>
        </w:rPr>
        <w:t xml:space="preserve"> </w:t>
      </w:r>
      <w:r w:rsidRPr="00BB3A66">
        <w:rPr>
          <w:rFonts w:ascii="Arial" w:hAnsi="Arial" w:cs="Arial"/>
          <w:sz w:val="14"/>
          <w:szCs w:val="14"/>
        </w:rPr>
        <w:t>artículo”.</w:t>
      </w:r>
    </w:p>
    <w:p w14:paraId="1B5D3A0C" w14:textId="77777777" w:rsidR="00DD42C1" w:rsidRPr="00BB3A66" w:rsidRDefault="00DD42C1" w:rsidP="00BC5810">
      <w:pPr>
        <w:spacing w:after="0" w:line="240" w:lineRule="auto"/>
        <w:ind w:firstLine="709"/>
        <w:contextualSpacing/>
        <w:jc w:val="both"/>
        <w:rPr>
          <w:rFonts w:ascii="Arial" w:hAnsi="Arial" w:cs="Arial"/>
          <w:sz w:val="14"/>
          <w:szCs w:val="14"/>
        </w:rPr>
      </w:pPr>
    </w:p>
  </w:footnote>
  <w:footnote w:id="6">
    <w:p w14:paraId="5FA915C1" w14:textId="77777777" w:rsidR="00BC5810" w:rsidRPr="00BB3A66" w:rsidRDefault="00BC5810" w:rsidP="00BC5810">
      <w:pPr>
        <w:spacing w:after="0" w:line="240" w:lineRule="auto"/>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position w:val="7"/>
          <w:sz w:val="14"/>
          <w:szCs w:val="14"/>
        </w:rPr>
        <w:t xml:space="preserve"> </w:t>
      </w:r>
      <w:r w:rsidRPr="00BB3A66">
        <w:rPr>
          <w:rFonts w:ascii="Arial" w:hAnsi="Arial" w:cs="Arial"/>
          <w:sz w:val="14"/>
          <w:szCs w:val="14"/>
        </w:rPr>
        <w:t>Consejo de Estado. Sección Tercera. Sentencia del 23 de junio de 2010. Radicación No. 66001-23-31-000-1998-00261-01(17.860). Consejero Ponente: Mauricio Fajardo Gómez.</w:t>
      </w:r>
    </w:p>
    <w:p w14:paraId="4063C49B" w14:textId="77777777" w:rsidR="002B1AD7" w:rsidRPr="00BB3A66" w:rsidRDefault="002B1AD7" w:rsidP="00BC5810">
      <w:pPr>
        <w:spacing w:after="0" w:line="240" w:lineRule="auto"/>
        <w:ind w:firstLine="709"/>
        <w:contextualSpacing/>
        <w:jc w:val="both"/>
        <w:rPr>
          <w:rFonts w:ascii="Arial" w:hAnsi="Arial" w:cs="Arial"/>
          <w:sz w:val="14"/>
          <w:szCs w:val="14"/>
        </w:rPr>
      </w:pPr>
    </w:p>
  </w:footnote>
  <w:footnote w:id="7">
    <w:p w14:paraId="74B46620" w14:textId="77777777" w:rsidR="00BC5810" w:rsidRPr="00BB3A66" w:rsidRDefault="00BC5810" w:rsidP="00BC5810">
      <w:pPr>
        <w:spacing w:after="0" w:line="240" w:lineRule="auto"/>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Consejo de Estado. Sección Tercera. Subsección C. Sentencia del 11 de diciembre de 2019. Exp. 46.986. C.P. Jaime Enrique Rodríguez Navas.</w:t>
      </w:r>
    </w:p>
    <w:p w14:paraId="66E0F3B5" w14:textId="77777777" w:rsidR="002517C9" w:rsidRPr="00BB3A66" w:rsidRDefault="002517C9" w:rsidP="00BC5810">
      <w:pPr>
        <w:spacing w:after="0" w:line="240" w:lineRule="auto"/>
        <w:ind w:firstLine="709"/>
        <w:contextualSpacing/>
        <w:jc w:val="both"/>
        <w:rPr>
          <w:rFonts w:ascii="Arial" w:hAnsi="Arial" w:cs="Arial"/>
          <w:sz w:val="14"/>
          <w:szCs w:val="14"/>
        </w:rPr>
      </w:pPr>
    </w:p>
  </w:footnote>
  <w:footnote w:id="8">
    <w:p w14:paraId="47BED1BC" w14:textId="77777777"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CONSEJO DE ESTADO. Sala de Consulta y Servicio Civil. Concepto 26 de julio de 2016. Exp. 2.257. C.P. Álvaro Namén Vargas. </w:t>
      </w:r>
      <w:r w:rsidRPr="00BB3A66">
        <w:rPr>
          <w:rFonts w:ascii="Arial" w:hAnsi="Arial" w:cs="Arial"/>
          <w:sz w:val="14"/>
          <w:szCs w:val="14"/>
          <w:lang w:val="es-CO"/>
        </w:rPr>
        <w:t>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organizatoria,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p w14:paraId="27327DB5" w14:textId="77777777" w:rsidR="002517C9" w:rsidRPr="00BB3A66" w:rsidRDefault="002517C9" w:rsidP="00BC5810">
      <w:pPr>
        <w:pStyle w:val="Textonotapie"/>
        <w:ind w:firstLine="708"/>
        <w:contextualSpacing/>
        <w:jc w:val="both"/>
        <w:rPr>
          <w:rFonts w:ascii="Arial" w:hAnsi="Arial" w:cs="Arial"/>
          <w:sz w:val="14"/>
          <w:szCs w:val="14"/>
        </w:rPr>
      </w:pPr>
    </w:p>
  </w:footnote>
  <w:footnote w:id="9">
    <w:p w14:paraId="7E80F9BA"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Por ejemplo, </w:t>
      </w:r>
      <w:bookmarkStart w:id="14" w:name="_Hlk131016907"/>
      <w:r w:rsidRPr="00BB3A66">
        <w:rPr>
          <w:rFonts w:ascii="Arial" w:hAnsi="Arial" w:cs="Arial"/>
          <w:sz w:val="14"/>
          <w:szCs w:val="14"/>
        </w:rPr>
        <w:t xml:space="preserve">Peña Nossa </w:t>
      </w:r>
      <w:bookmarkEnd w:id="14"/>
      <w:r w:rsidRPr="00BB3A66">
        <w:rPr>
          <w:rFonts w:ascii="Arial" w:hAnsi="Arial" w:cs="Arial"/>
          <w:sz w:val="14"/>
          <w:szCs w:val="14"/>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34F94C02"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r w:rsidRPr="00BB3A66">
        <w:rPr>
          <w:rFonts w:ascii="Arial" w:hAnsi="Arial" w:cs="Arial"/>
          <w:i/>
          <w:sz w:val="14"/>
          <w:szCs w:val="14"/>
        </w:rPr>
        <w:t>joint venture,</w:t>
      </w:r>
      <w:r w:rsidRPr="00BB3A66">
        <w:rPr>
          <w:rFonts w:ascii="Arial" w:hAnsi="Arial" w:cs="Arial"/>
          <w:sz w:val="14"/>
          <w:szCs w:val="14"/>
        </w:rPr>
        <w:t xml:space="preserve"> etc.” (Cfr. </w:t>
      </w:r>
      <w:r w:rsidRPr="00BB3A66">
        <w:rPr>
          <w:rFonts w:ascii="Arial" w:hAnsi="Arial" w:cs="Arial"/>
          <w:sz w:val="14"/>
          <w:szCs w:val="14"/>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BB3A66">
        <w:rPr>
          <w:rFonts w:ascii="Arial" w:hAnsi="Arial" w:cs="Arial"/>
          <w:sz w:val="14"/>
          <w:szCs w:val="14"/>
        </w:rPr>
        <w:t xml:space="preserve">  </w:t>
      </w:r>
    </w:p>
    <w:p w14:paraId="2B1A133F" w14:textId="77777777" w:rsidR="00D65E53" w:rsidRPr="00BB3A66" w:rsidRDefault="00D65E53" w:rsidP="00BC5810">
      <w:pPr>
        <w:pStyle w:val="Textonotapie"/>
        <w:ind w:firstLine="708"/>
        <w:contextualSpacing/>
        <w:jc w:val="both"/>
        <w:rPr>
          <w:rFonts w:ascii="Arial" w:hAnsi="Arial" w:cs="Arial"/>
          <w:sz w:val="14"/>
          <w:szCs w:val="14"/>
        </w:rPr>
      </w:pPr>
    </w:p>
  </w:footnote>
  <w:footnote w:id="10">
    <w:p w14:paraId="5AE5B0E2"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PLANIOL, Marcel &amp; RIPERT, Jeorge. Tratado práctico de derecho civil francés. Tomo VI. La Habana: Cultural SA, 1940. p. 24. </w:t>
      </w:r>
    </w:p>
  </w:footnote>
  <w:footnote w:id="11">
    <w:p w14:paraId="38BFA4DF"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7FE3A4B" w14:textId="77777777" w:rsidR="00B065A6" w:rsidRPr="00BB3A66" w:rsidRDefault="00B065A6" w:rsidP="00BC5810">
      <w:pPr>
        <w:pStyle w:val="Textonotapie"/>
        <w:ind w:firstLine="709"/>
        <w:contextualSpacing/>
        <w:jc w:val="both"/>
        <w:rPr>
          <w:rFonts w:ascii="Arial" w:hAnsi="Arial" w:cs="Arial"/>
          <w:sz w:val="14"/>
          <w:szCs w:val="14"/>
          <w:lang w:val="es-CO"/>
        </w:rPr>
      </w:pPr>
    </w:p>
  </w:footnote>
  <w:footnote w:id="12">
    <w:p w14:paraId="2B24BF87"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sz w:val="14"/>
          <w:szCs w:val="14"/>
          <w:lang w:val="es-CO"/>
        </w:rPr>
        <w:t xml:space="preserve">Ley 1882 de 2018: “Artículo 4. </w:t>
      </w:r>
      <w:r w:rsidRPr="00BB3A66">
        <w:rPr>
          <w:rFonts w:ascii="Arial" w:hAnsi="Arial" w:cs="Arial"/>
          <w:sz w:val="14"/>
          <w:szCs w:val="14"/>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BD46094" w14:textId="77777777" w:rsidR="00BC5810" w:rsidRPr="00BB3A66" w:rsidRDefault="00BC5810" w:rsidP="00BC5810">
      <w:pPr>
        <w:pStyle w:val="Textonotapie"/>
        <w:ind w:firstLine="709"/>
        <w:contextualSpacing/>
        <w:jc w:val="both"/>
        <w:rPr>
          <w:rFonts w:ascii="Arial" w:hAnsi="Arial" w:cs="Arial"/>
          <w:sz w:val="14"/>
          <w:szCs w:val="14"/>
          <w:lang w:val="es-CO"/>
        </w:rPr>
      </w:pPr>
      <w:r w:rsidRPr="00BB3A66">
        <w:rPr>
          <w:rFonts w:ascii="Arial" w:hAnsi="Arial" w:cs="Arial"/>
          <w:sz w:val="14"/>
          <w:szCs w:val="14"/>
          <w:lang w:val="es-CO"/>
        </w:rPr>
        <w:t>La facultad de adoptar documentos tipo la tendrá el Gobierno nacional, cuando lo considere necesario, en relación con otros contratos o procesos de selección.</w:t>
      </w:r>
    </w:p>
    <w:p w14:paraId="5D89F2FE" w14:textId="77777777" w:rsidR="00BC5810" w:rsidRPr="00BB3A66" w:rsidRDefault="00BC5810" w:rsidP="00BC5810">
      <w:pPr>
        <w:pStyle w:val="Textonotapie"/>
        <w:ind w:firstLine="709"/>
        <w:contextualSpacing/>
        <w:jc w:val="both"/>
        <w:rPr>
          <w:rFonts w:ascii="Arial" w:hAnsi="Arial" w:cs="Arial"/>
          <w:sz w:val="14"/>
          <w:szCs w:val="14"/>
          <w:lang w:val="es-CO"/>
        </w:rPr>
      </w:pPr>
      <w:r w:rsidRPr="00BB3A66">
        <w:rPr>
          <w:rFonts w:ascii="Arial" w:hAnsi="Arial" w:cs="Arial"/>
          <w:sz w:val="14"/>
          <w:szCs w:val="14"/>
          <w:lang w:val="es-CO"/>
        </w:rPr>
        <w:t>Los pliegos tipo se adoptarán por categorías de acuerdo con la cuantía de la contratación, según la reglamentación que expida el Gobierno nacional”.</w:t>
      </w:r>
    </w:p>
    <w:p w14:paraId="39579B03" w14:textId="77777777" w:rsidR="00B065A6" w:rsidRPr="00BB3A66" w:rsidRDefault="00B065A6" w:rsidP="00BC5810">
      <w:pPr>
        <w:pStyle w:val="Textonotapie"/>
        <w:ind w:firstLine="709"/>
        <w:contextualSpacing/>
        <w:jc w:val="both"/>
        <w:rPr>
          <w:rFonts w:ascii="Arial" w:hAnsi="Arial" w:cs="Arial"/>
          <w:sz w:val="14"/>
          <w:szCs w:val="14"/>
          <w:lang w:val="es-CO"/>
        </w:rPr>
      </w:pPr>
    </w:p>
  </w:footnote>
  <w:footnote w:id="13">
    <w:p w14:paraId="103BE353"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CORTE CONSTITUCIONAL, sentencia C-119 de 2020. M.P. Alejandro Linares Cantillo. En dicha oportunidad se indicó que: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ED6A445" w14:textId="77777777" w:rsidR="00A563F9" w:rsidRPr="00BB3A66" w:rsidRDefault="00A563F9" w:rsidP="00BC5810">
      <w:pPr>
        <w:pStyle w:val="Textonotapie"/>
        <w:ind w:firstLine="709"/>
        <w:contextualSpacing/>
        <w:jc w:val="both"/>
        <w:rPr>
          <w:rFonts w:ascii="Arial" w:hAnsi="Arial" w:cs="Arial"/>
          <w:sz w:val="14"/>
          <w:szCs w:val="14"/>
        </w:rPr>
      </w:pPr>
    </w:p>
  </w:footnote>
  <w:footnote w:id="14">
    <w:p w14:paraId="648CB3F4"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Style w:val="Refdenotaalpie"/>
          <w:rFonts w:ascii="Arial" w:eastAsiaTheme="majorEastAsia" w:hAnsi="Arial" w:cs="Arial"/>
          <w:sz w:val="14"/>
          <w:szCs w:val="14"/>
        </w:rPr>
        <w:footnoteRef/>
      </w:r>
      <w:r w:rsidRPr="00BB3A66">
        <w:rPr>
          <w:rFonts w:ascii="Arial" w:hAnsi="Arial" w:cs="Arial"/>
          <w:sz w:val="14"/>
          <w:szCs w:val="14"/>
        </w:rPr>
        <w:t xml:space="preserve"> Ley 2022 de 2020: “</w:t>
      </w:r>
      <w:r w:rsidRPr="00BB3A66">
        <w:rPr>
          <w:rStyle w:val="Textoennegrita"/>
          <w:rFonts w:ascii="Arial" w:hAnsi="Arial" w:cs="Arial"/>
          <w:sz w:val="14"/>
          <w:szCs w:val="14"/>
        </w:rPr>
        <w:t>Artículo 1º.</w:t>
      </w:r>
      <w:r w:rsidRPr="00BB3A66">
        <w:rPr>
          <w:rFonts w:ascii="Arial" w:hAnsi="Arial" w:cs="Arial"/>
          <w:sz w:val="14"/>
          <w:szCs w:val="14"/>
        </w:rPr>
        <w:t> Modifíquese el artículo 4º de la Ley 1882 de 2018, el cual quedará así:</w:t>
      </w:r>
    </w:p>
    <w:p w14:paraId="04E07874"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Style w:val="Textoennegrita"/>
          <w:rFonts w:ascii="Arial" w:hAnsi="Arial" w:cs="Arial"/>
          <w:sz w:val="14"/>
          <w:szCs w:val="14"/>
        </w:rPr>
        <w:t>“Artículo 4º.</w:t>
      </w:r>
      <w:r w:rsidRPr="00BB3A66">
        <w:rPr>
          <w:rFonts w:ascii="Arial" w:hAnsi="Arial" w:cs="Arial"/>
          <w:sz w:val="14"/>
          <w:szCs w:val="14"/>
        </w:rPr>
        <w:t> Adiciónese el siguiente parágrafo al artículo 2º de la Ley 1150 de 2007.</w:t>
      </w:r>
    </w:p>
    <w:p w14:paraId="3279A154"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Style w:val="Textoennegrita"/>
          <w:rFonts w:ascii="Arial" w:hAnsi="Arial" w:cs="Arial"/>
          <w:sz w:val="14"/>
          <w:szCs w:val="14"/>
        </w:rPr>
        <w:t>Parágrafo 7º.</w:t>
      </w:r>
      <w:r w:rsidRPr="00BB3A66">
        <w:rPr>
          <w:rFonts w:ascii="Arial" w:hAnsi="Arial" w:cs="Arial"/>
          <w:sz w:val="14"/>
          <w:szCs w:val="14"/>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F2EED47"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Fonts w:ascii="Arial" w:hAnsi="Arial" w:cs="Arial"/>
          <w:sz w:val="14"/>
          <w:szCs w:val="14"/>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651ADDC"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Fonts w:ascii="Arial" w:hAnsi="Arial" w:cs="Arial"/>
          <w:sz w:val="14"/>
          <w:szCs w:val="14"/>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687AE82"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Fonts w:ascii="Arial" w:hAnsi="Arial" w:cs="Arial"/>
          <w:sz w:val="14"/>
          <w:szCs w:val="14"/>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E3E860B" w14:textId="77777777" w:rsidR="00BC5810" w:rsidRPr="00BB3A66" w:rsidRDefault="00BC5810" w:rsidP="00BC5810">
      <w:pPr>
        <w:pStyle w:val="NormalWeb"/>
        <w:spacing w:before="0" w:beforeAutospacing="0" w:after="0" w:afterAutospacing="0"/>
        <w:ind w:firstLine="708"/>
        <w:contextualSpacing/>
        <w:jc w:val="both"/>
        <w:rPr>
          <w:rFonts w:ascii="Arial" w:hAnsi="Arial" w:cs="Arial"/>
          <w:sz w:val="14"/>
          <w:szCs w:val="14"/>
        </w:rPr>
      </w:pPr>
      <w:r w:rsidRPr="00BB3A66">
        <w:rPr>
          <w:rFonts w:ascii="Arial" w:hAnsi="Arial" w:cs="Arial"/>
          <w:sz w:val="14"/>
          <w:szCs w:val="14"/>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05428623" w14:textId="77777777" w:rsidR="00003676" w:rsidRPr="00BB3A66" w:rsidRDefault="00003676" w:rsidP="00BC5810">
      <w:pPr>
        <w:pStyle w:val="NormalWeb"/>
        <w:spacing w:before="0" w:beforeAutospacing="0" w:after="0" w:afterAutospacing="0"/>
        <w:ind w:firstLine="708"/>
        <w:contextualSpacing/>
        <w:jc w:val="both"/>
        <w:rPr>
          <w:rFonts w:ascii="Arial" w:hAnsi="Arial" w:cs="Arial"/>
          <w:sz w:val="14"/>
          <w:szCs w:val="14"/>
        </w:rPr>
      </w:pPr>
    </w:p>
  </w:footnote>
  <w:footnote w:id="15">
    <w:p w14:paraId="1FA94584"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Los Documentos Tipo expedidos por la Agencia Nacional de Contratación Pública – Colombia Compra Eficiente pueden ser consultados en el siguiente enlace: </w:t>
      </w:r>
      <w:hyperlink r:id="rId2" w:history="1">
        <w:r w:rsidRPr="00BB3A66">
          <w:rPr>
            <w:rStyle w:val="Hipervnculo"/>
            <w:rFonts w:ascii="Arial" w:hAnsi="Arial" w:cs="Arial"/>
            <w:sz w:val="14"/>
            <w:szCs w:val="14"/>
          </w:rPr>
          <w:t>https://www.colombiacompra.gov.co/documentos-tipo/documentos-tipo</w:t>
        </w:r>
      </w:hyperlink>
      <w:r w:rsidRPr="00BB3A66">
        <w:rPr>
          <w:rFonts w:ascii="Arial" w:hAnsi="Arial" w:cs="Arial"/>
          <w:sz w:val="14"/>
          <w:szCs w:val="14"/>
        </w:rPr>
        <w:t xml:space="preserve"> </w:t>
      </w:r>
    </w:p>
    <w:p w14:paraId="3606C93C" w14:textId="77777777" w:rsidR="00003676" w:rsidRPr="00BB3A66" w:rsidRDefault="00003676" w:rsidP="00BC5810">
      <w:pPr>
        <w:pStyle w:val="Textonotapie"/>
        <w:ind w:firstLine="708"/>
        <w:contextualSpacing/>
        <w:jc w:val="both"/>
        <w:rPr>
          <w:rFonts w:ascii="Arial" w:hAnsi="Arial" w:cs="Arial"/>
          <w:sz w:val="14"/>
          <w:szCs w:val="14"/>
        </w:rPr>
      </w:pPr>
    </w:p>
  </w:footnote>
  <w:footnote w:id="16">
    <w:p w14:paraId="05C9783E" w14:textId="3D6011F4" w:rsidR="00A51631" w:rsidRPr="00BB3A66" w:rsidRDefault="00A51631" w:rsidP="00A51631">
      <w:pPr>
        <w:shd w:val="clear" w:color="auto" w:fill="FFFFFF"/>
        <w:ind w:firstLine="709"/>
        <w:contextualSpacing/>
        <w:jc w:val="both"/>
        <w:textAlignment w:val="baseline"/>
        <w:rPr>
          <w:rFonts w:ascii="Arial" w:hAnsi="Arial" w:cs="Arial"/>
          <w:color w:val="000000"/>
          <w:sz w:val="14"/>
          <w:szCs w:val="14"/>
          <w:lang w:eastAsia="es-CO"/>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color w:val="000000"/>
          <w:sz w:val="14"/>
          <w:szCs w:val="14"/>
          <w:bdr w:val="none" w:sz="0" w:space="0" w:color="auto" w:frame="1"/>
          <w:lang w:eastAsia="es-CO"/>
        </w:rPr>
        <w:t xml:space="preserve">El artículo 1 de la Ley 2022 de 2020 modifica el artículo 4 de la Ley 1882 de 2018, el cual adiciona el parágrafo 7 al artículo 2 de la Ley 1150 de 2007 y dispone que: </w:t>
      </w:r>
      <w:r w:rsidR="00BB241B" w:rsidRPr="00BB3A66">
        <w:rPr>
          <w:rFonts w:ascii="Arial" w:hAnsi="Arial" w:cs="Arial"/>
          <w:color w:val="000000"/>
          <w:sz w:val="14"/>
          <w:szCs w:val="14"/>
          <w:bdr w:val="none" w:sz="0" w:space="0" w:color="auto" w:frame="1"/>
          <w:lang w:eastAsia="es-CO"/>
        </w:rPr>
        <w:t>“</w:t>
      </w:r>
      <w:r w:rsidRPr="00BB3A66">
        <w:rPr>
          <w:rFonts w:ascii="Arial" w:hAnsi="Arial" w:cs="Arial"/>
          <w:color w:val="000000"/>
          <w:sz w:val="14"/>
          <w:szCs w:val="14"/>
          <w:bdr w:val="none" w:sz="0" w:space="0" w:color="auto" w:frame="1"/>
          <w:lang w:eastAsia="es-CO"/>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D168C7C" w14:textId="4B7A3163" w:rsidR="00A51631" w:rsidRPr="00BB3A66" w:rsidRDefault="00A51631" w:rsidP="00A51631">
      <w:pPr>
        <w:shd w:val="clear" w:color="auto" w:fill="FFFFFF"/>
        <w:ind w:firstLine="709"/>
        <w:contextualSpacing/>
        <w:jc w:val="both"/>
        <w:textAlignment w:val="baseline"/>
        <w:rPr>
          <w:rFonts w:ascii="Arial" w:hAnsi="Arial" w:cs="Arial"/>
          <w:color w:val="000000"/>
          <w:sz w:val="14"/>
          <w:szCs w:val="14"/>
          <w:lang w:eastAsia="es-CO"/>
        </w:rPr>
      </w:pPr>
      <w:r w:rsidRPr="00BB3A66">
        <w:rPr>
          <w:rFonts w:ascii="Arial" w:hAnsi="Arial" w:cs="Arial"/>
          <w:color w:val="000000"/>
          <w:sz w:val="14"/>
          <w:szCs w:val="14"/>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0518401A" w14:textId="299D8413" w:rsidR="00A51631" w:rsidRPr="00BB3A66" w:rsidRDefault="00A51631" w:rsidP="00A51631">
      <w:pPr>
        <w:shd w:val="clear" w:color="auto" w:fill="FFFFFF"/>
        <w:ind w:firstLine="709"/>
        <w:contextualSpacing/>
        <w:jc w:val="both"/>
        <w:textAlignment w:val="baseline"/>
        <w:rPr>
          <w:rFonts w:ascii="Arial" w:hAnsi="Arial" w:cs="Arial"/>
          <w:color w:val="000000"/>
          <w:sz w:val="14"/>
          <w:szCs w:val="14"/>
          <w:lang w:eastAsia="es-CO"/>
        </w:rPr>
      </w:pPr>
      <w:r w:rsidRPr="00BB3A66">
        <w:rPr>
          <w:rFonts w:ascii="Arial" w:hAnsi="Arial" w:cs="Arial"/>
          <w:color w:val="000000"/>
          <w:sz w:val="14"/>
          <w:szCs w:val="14"/>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E5FCAC3" w14:textId="1AE09CDA" w:rsidR="00A51631" w:rsidRPr="00BB3A66" w:rsidRDefault="00A51631" w:rsidP="00A51631">
      <w:pPr>
        <w:shd w:val="clear" w:color="auto" w:fill="FFFFFF"/>
        <w:ind w:firstLine="709"/>
        <w:contextualSpacing/>
        <w:jc w:val="both"/>
        <w:textAlignment w:val="baseline"/>
        <w:rPr>
          <w:rFonts w:ascii="Arial" w:hAnsi="Arial" w:cs="Arial"/>
          <w:color w:val="000000"/>
          <w:sz w:val="14"/>
          <w:szCs w:val="14"/>
          <w:lang w:eastAsia="es-CO"/>
        </w:rPr>
      </w:pPr>
      <w:r w:rsidRPr="00BB3A66">
        <w:rPr>
          <w:rFonts w:ascii="Arial" w:hAnsi="Arial" w:cs="Arial"/>
          <w:color w:val="000000"/>
          <w:sz w:val="14"/>
          <w:szCs w:val="14"/>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0BF25FDA" w14:textId="0215928D" w:rsidR="00A51631" w:rsidRPr="00BB3A66" w:rsidRDefault="00A51631" w:rsidP="00A51631">
      <w:pPr>
        <w:shd w:val="clear" w:color="auto" w:fill="FFFFFF"/>
        <w:ind w:firstLine="708"/>
        <w:contextualSpacing/>
        <w:jc w:val="both"/>
        <w:textAlignment w:val="baseline"/>
        <w:rPr>
          <w:rFonts w:ascii="Arial" w:hAnsi="Arial" w:cs="Arial"/>
          <w:color w:val="000000"/>
          <w:sz w:val="14"/>
          <w:szCs w:val="14"/>
          <w:bdr w:val="none" w:sz="0" w:space="0" w:color="auto" w:frame="1"/>
          <w:lang w:eastAsia="es-CO"/>
        </w:rPr>
      </w:pPr>
      <w:r w:rsidRPr="00BB3A66">
        <w:rPr>
          <w:rFonts w:ascii="Arial" w:hAnsi="Arial" w:cs="Arial"/>
          <w:color w:val="000000"/>
          <w:sz w:val="14"/>
          <w:szCs w:val="14"/>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BB241B" w:rsidRPr="00BB3A66">
        <w:rPr>
          <w:rFonts w:ascii="Arial" w:hAnsi="Arial" w:cs="Arial"/>
          <w:color w:val="000000"/>
          <w:sz w:val="14"/>
          <w:szCs w:val="14"/>
          <w:bdr w:val="none" w:sz="0" w:space="0" w:color="auto" w:frame="1"/>
          <w:lang w:eastAsia="es-CO"/>
        </w:rPr>
        <w:t>”.</w:t>
      </w:r>
    </w:p>
  </w:footnote>
  <w:footnote w:id="17">
    <w:p w14:paraId="6C53ECD5" w14:textId="77777777" w:rsidR="00A51631" w:rsidRPr="00BB3A66" w:rsidRDefault="00A51631" w:rsidP="00A51631">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8">
    <w:p w14:paraId="3BDC938C"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CONGRESO DE LA REPÚBLICA., Gaceta legislativa No. 1249 de 4 de noviembre de 2020 – Senado.</w:t>
      </w:r>
    </w:p>
    <w:p w14:paraId="1324D1B1" w14:textId="77777777" w:rsidR="00A8287F" w:rsidRPr="00BB3A66" w:rsidRDefault="00A8287F" w:rsidP="00BC5810">
      <w:pPr>
        <w:pStyle w:val="Textonotapie"/>
        <w:ind w:firstLine="708"/>
        <w:contextualSpacing/>
        <w:jc w:val="both"/>
        <w:rPr>
          <w:rFonts w:ascii="Arial" w:hAnsi="Arial" w:cs="Arial"/>
          <w:sz w:val="14"/>
          <w:szCs w:val="14"/>
        </w:rPr>
      </w:pPr>
    </w:p>
  </w:footnote>
  <w:footnote w:id="19">
    <w:p w14:paraId="18153D59" w14:textId="77777777"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CONGRESO DE LA REPÚBLICA., </w:t>
      </w:r>
      <w:r w:rsidRPr="00BB3A66">
        <w:rPr>
          <w:rFonts w:ascii="Arial" w:hAnsi="Arial" w:cs="Arial"/>
          <w:sz w:val="14"/>
          <w:szCs w:val="14"/>
          <w:lang w:val="es-CO"/>
        </w:rPr>
        <w:t>Gaceta legislativa No.1677 de 23 de noviembre de 2021 – Cámara de Representantes.</w:t>
      </w:r>
    </w:p>
  </w:footnote>
  <w:footnote w:id="20">
    <w:p w14:paraId="01DF50DC"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sz w:val="14"/>
          <w:szCs w:val="14"/>
          <w:lang w:val="es-CO"/>
        </w:rPr>
        <w:t xml:space="preserve">Intervención realizada por </w:t>
      </w:r>
      <w:r w:rsidRPr="00BB3A66">
        <w:rPr>
          <w:rFonts w:ascii="Arial" w:eastAsia="Calibri" w:hAnsi="Arial" w:cs="Arial"/>
          <w:sz w:val="14"/>
          <w:szCs w:val="14"/>
          <w:lang w:val="es-ES_tradnl" w:eastAsia="es-ES_tradnl"/>
        </w:rPr>
        <w:t xml:space="preserve">el subdirector de Gestión Contractual de la Agencia, en ese entonces, el abogado Jorge Tirado, que reposa en la gaceta legislativa No. 274 del 13 de abril de 2021 - </w:t>
      </w:r>
      <w:r w:rsidRPr="00BB3A66">
        <w:rPr>
          <w:rFonts w:ascii="Arial" w:hAnsi="Arial" w:cs="Arial"/>
          <w:sz w:val="14"/>
          <w:szCs w:val="14"/>
        </w:rPr>
        <w:t>Senado del Congreso de la República.</w:t>
      </w:r>
    </w:p>
    <w:p w14:paraId="19E200D5" w14:textId="77777777" w:rsidR="006351B1" w:rsidRPr="00BB3A66" w:rsidRDefault="006351B1" w:rsidP="00BC5810">
      <w:pPr>
        <w:pStyle w:val="Textonotapie"/>
        <w:ind w:firstLine="708"/>
        <w:contextualSpacing/>
        <w:jc w:val="both"/>
        <w:rPr>
          <w:rFonts w:ascii="Arial" w:hAnsi="Arial" w:cs="Arial"/>
          <w:sz w:val="14"/>
          <w:szCs w:val="14"/>
          <w:lang w:val="es-CO"/>
        </w:rPr>
      </w:pPr>
    </w:p>
  </w:footnote>
  <w:footnote w:id="21">
    <w:p w14:paraId="6F2DAD02" w14:textId="77777777"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Ver articulado propuesto en el informe de ponencia para primer debate del </w:t>
      </w:r>
      <w:r w:rsidRPr="00BB3A66">
        <w:rPr>
          <w:rFonts w:ascii="Arial" w:eastAsia="Calibri" w:hAnsi="Arial" w:cs="Arial"/>
          <w:sz w:val="14"/>
          <w:szCs w:val="14"/>
          <w:lang w:val="es-ES_tradnl" w:eastAsia="es-ES_tradnl"/>
        </w:rPr>
        <w:t>Proyecto de Ley No. 341 de 2020</w:t>
      </w:r>
      <w:r w:rsidRPr="00BB3A66">
        <w:rPr>
          <w:rFonts w:ascii="Arial" w:hAnsi="Arial" w:cs="Arial"/>
          <w:sz w:val="14"/>
          <w:szCs w:val="14"/>
        </w:rPr>
        <w:t xml:space="preserve">del </w:t>
      </w:r>
      <w:r w:rsidRPr="00BB3A66">
        <w:rPr>
          <w:rFonts w:ascii="Arial" w:eastAsia="Calibri" w:hAnsi="Arial" w:cs="Arial"/>
          <w:sz w:val="14"/>
          <w:szCs w:val="14"/>
          <w:lang w:val="es-ES_tradnl" w:eastAsia="es-ES_tradnl"/>
        </w:rPr>
        <w:t xml:space="preserve">gaceta legislativa No. 274 del 13 de abril de 2021 - </w:t>
      </w:r>
      <w:r w:rsidRPr="00BB3A66">
        <w:rPr>
          <w:rFonts w:ascii="Arial" w:hAnsi="Arial" w:cs="Arial"/>
          <w:sz w:val="14"/>
          <w:szCs w:val="14"/>
        </w:rPr>
        <w:t>Senado del Congreso de la República.</w:t>
      </w:r>
    </w:p>
  </w:footnote>
  <w:footnote w:id="22">
    <w:p w14:paraId="0434FBBC" w14:textId="77777777" w:rsidR="006351B1" w:rsidRPr="00BB3A66" w:rsidRDefault="006351B1" w:rsidP="00BC5810">
      <w:pPr>
        <w:pStyle w:val="Textonotapie"/>
        <w:ind w:firstLine="708"/>
        <w:contextualSpacing/>
        <w:jc w:val="both"/>
        <w:rPr>
          <w:rFonts w:ascii="Arial" w:hAnsi="Arial" w:cs="Arial"/>
          <w:sz w:val="14"/>
          <w:szCs w:val="14"/>
        </w:rPr>
      </w:pPr>
    </w:p>
    <w:p w14:paraId="4653228F" w14:textId="63064FEC"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Ver aparte de pliego de modificaciones en el informe de ponencia para primer debate del </w:t>
      </w:r>
      <w:r w:rsidRPr="00BB3A66">
        <w:rPr>
          <w:rFonts w:ascii="Arial" w:eastAsia="Calibri" w:hAnsi="Arial" w:cs="Arial"/>
          <w:sz w:val="14"/>
          <w:szCs w:val="14"/>
          <w:lang w:val="es-ES_tradnl" w:eastAsia="es-ES_tradnl"/>
        </w:rPr>
        <w:t>Proyecto de Ley No. 341 de 2020</w:t>
      </w:r>
      <w:r w:rsidRPr="00BB3A66">
        <w:rPr>
          <w:rFonts w:ascii="Arial" w:hAnsi="Arial" w:cs="Arial"/>
          <w:sz w:val="14"/>
          <w:szCs w:val="14"/>
        </w:rPr>
        <w:t xml:space="preserve">del </w:t>
      </w:r>
      <w:r w:rsidRPr="00BB3A66">
        <w:rPr>
          <w:rFonts w:ascii="Arial" w:eastAsia="Calibri" w:hAnsi="Arial" w:cs="Arial"/>
          <w:sz w:val="14"/>
          <w:szCs w:val="14"/>
          <w:lang w:val="es-ES_tradnl" w:eastAsia="es-ES_tradnl"/>
        </w:rPr>
        <w:t xml:space="preserve">gaceta legislativa No. 274 del 13 de abril de 2021 - </w:t>
      </w:r>
      <w:r w:rsidRPr="00BB3A66">
        <w:rPr>
          <w:rFonts w:ascii="Arial" w:hAnsi="Arial" w:cs="Arial"/>
          <w:sz w:val="14"/>
          <w:szCs w:val="14"/>
        </w:rPr>
        <w:t>Senado del Congreso de la República.</w:t>
      </w:r>
    </w:p>
    <w:p w14:paraId="17C8AC42" w14:textId="77777777" w:rsidR="00D77D8D" w:rsidRPr="00BB3A66" w:rsidRDefault="00D77D8D" w:rsidP="00BC5810">
      <w:pPr>
        <w:pStyle w:val="Textonotapie"/>
        <w:ind w:firstLine="708"/>
        <w:contextualSpacing/>
        <w:jc w:val="both"/>
        <w:rPr>
          <w:rFonts w:ascii="Arial" w:hAnsi="Arial" w:cs="Arial"/>
          <w:sz w:val="14"/>
          <w:szCs w:val="14"/>
        </w:rPr>
      </w:pPr>
    </w:p>
  </w:footnote>
  <w:footnote w:id="23">
    <w:p w14:paraId="7E61AA07"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CONGRESO DE LA REPÚBLICA., Gaceta legislativa No. 1160 del 9 de septiembre de 2021</w:t>
      </w:r>
      <w:r w:rsidRPr="00BB3A66">
        <w:rPr>
          <w:rFonts w:ascii="Arial" w:eastAsia="Calibri" w:hAnsi="Arial" w:cs="Arial"/>
          <w:sz w:val="14"/>
          <w:szCs w:val="14"/>
          <w:lang w:val="es-ES_tradnl" w:eastAsia="es-ES_tradnl"/>
        </w:rPr>
        <w:t xml:space="preserve">- </w:t>
      </w:r>
      <w:r w:rsidRPr="00BB3A66">
        <w:rPr>
          <w:rFonts w:ascii="Arial" w:hAnsi="Arial" w:cs="Arial"/>
          <w:sz w:val="14"/>
          <w:szCs w:val="14"/>
        </w:rPr>
        <w:t>Senado.</w:t>
      </w:r>
    </w:p>
    <w:p w14:paraId="75C87058" w14:textId="77777777" w:rsidR="00D77D8D" w:rsidRPr="00BB3A66" w:rsidRDefault="00D77D8D" w:rsidP="00BC5810">
      <w:pPr>
        <w:pStyle w:val="Textonotapie"/>
        <w:ind w:firstLine="708"/>
        <w:contextualSpacing/>
        <w:jc w:val="both"/>
        <w:rPr>
          <w:rFonts w:ascii="Arial" w:hAnsi="Arial" w:cs="Arial"/>
          <w:sz w:val="14"/>
          <w:szCs w:val="14"/>
          <w:lang w:val="es-CO"/>
        </w:rPr>
      </w:pPr>
    </w:p>
  </w:footnote>
  <w:footnote w:id="24">
    <w:p w14:paraId="03C4C5D5" w14:textId="77777777"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CONGRESO DE LA REPÚBLICA., </w:t>
      </w:r>
      <w:r w:rsidRPr="00BB3A66">
        <w:rPr>
          <w:rFonts w:ascii="Arial" w:hAnsi="Arial" w:cs="Arial"/>
          <w:sz w:val="14"/>
          <w:szCs w:val="14"/>
          <w:lang w:val="es-CO"/>
        </w:rPr>
        <w:t>Gaceta legislativa No. 1589 del 9 de noviembre de 2021 – Senado.</w:t>
      </w:r>
    </w:p>
    <w:p w14:paraId="42246C14" w14:textId="77777777" w:rsidR="00D77D8D" w:rsidRPr="00BB3A66" w:rsidRDefault="00D77D8D" w:rsidP="00BC5810">
      <w:pPr>
        <w:pStyle w:val="Textonotapie"/>
        <w:ind w:firstLine="708"/>
        <w:contextualSpacing/>
        <w:jc w:val="both"/>
        <w:rPr>
          <w:rFonts w:ascii="Arial" w:hAnsi="Arial" w:cs="Arial"/>
          <w:sz w:val="14"/>
          <w:szCs w:val="14"/>
          <w:lang w:val="es-CO"/>
        </w:rPr>
      </w:pPr>
    </w:p>
  </w:footnote>
  <w:footnote w:id="25">
    <w:p w14:paraId="2EE63673" w14:textId="467F1623"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sz w:val="14"/>
          <w:szCs w:val="14"/>
          <w:lang w:val="es-CO"/>
        </w:rPr>
        <w:t>Ver gacetas legislativas No. 1677 de 23 de noviembre de 2021, No. 1752 de 1 de diciembre de 2021 y No. 1828 del 14 de diciembre – Cámara de Representantes del Congreso de la República</w:t>
      </w:r>
      <w:r w:rsidR="005F7941" w:rsidRPr="00BB3A66">
        <w:rPr>
          <w:rFonts w:ascii="Arial" w:hAnsi="Arial" w:cs="Arial"/>
          <w:sz w:val="14"/>
          <w:szCs w:val="14"/>
          <w:lang w:val="es-CO"/>
        </w:rPr>
        <w:t>.</w:t>
      </w:r>
      <w:r w:rsidRPr="00BB3A66">
        <w:rPr>
          <w:rFonts w:ascii="Arial" w:hAnsi="Arial" w:cs="Arial"/>
          <w:sz w:val="14"/>
          <w:szCs w:val="14"/>
          <w:lang w:val="es-CO"/>
        </w:rPr>
        <w:t xml:space="preserve"> </w:t>
      </w:r>
    </w:p>
    <w:p w14:paraId="198208F3" w14:textId="77777777" w:rsidR="005F7941" w:rsidRPr="00BB3A66" w:rsidRDefault="005F7941" w:rsidP="00BC5810">
      <w:pPr>
        <w:pStyle w:val="Textonotapie"/>
        <w:ind w:firstLine="708"/>
        <w:contextualSpacing/>
        <w:jc w:val="both"/>
        <w:rPr>
          <w:rFonts w:ascii="Arial" w:hAnsi="Arial" w:cs="Arial"/>
          <w:sz w:val="14"/>
          <w:szCs w:val="14"/>
          <w:lang w:val="es-CO"/>
        </w:rPr>
      </w:pPr>
    </w:p>
  </w:footnote>
  <w:footnote w:id="26">
    <w:p w14:paraId="50C3AAD9" w14:textId="77777777" w:rsidR="00BC5810" w:rsidRPr="00BB3A66" w:rsidRDefault="00BC5810" w:rsidP="00BC5810">
      <w:pPr>
        <w:pStyle w:val="Textonotapie"/>
        <w:ind w:firstLine="708"/>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CONGRESO DE LA REPÚBLICA., Gacetas</w:t>
      </w:r>
      <w:r w:rsidRPr="00BB3A66">
        <w:rPr>
          <w:rFonts w:ascii="Arial" w:hAnsi="Arial" w:cs="Arial"/>
          <w:sz w:val="14"/>
          <w:szCs w:val="14"/>
          <w:lang w:val="es-CO"/>
        </w:rPr>
        <w:t xml:space="preserve"> legislativas No. 1860 y 1861 de 2021, de Cámara de Representantes y Senado, respectivamente.</w:t>
      </w:r>
    </w:p>
  </w:footnote>
  <w:footnote w:id="27">
    <w:p w14:paraId="7D7E3533"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w:t>
      </w:r>
      <w:bookmarkStart w:id="30" w:name="2"/>
      <w:r w:rsidRPr="00BB3A66">
        <w:rPr>
          <w:rFonts w:ascii="Arial" w:hAnsi="Arial" w:cs="Arial"/>
          <w:sz w:val="14"/>
          <w:szCs w:val="14"/>
        </w:rPr>
        <w:t>“Artículo 2o. De las modalidades de selección.</w:t>
      </w:r>
      <w:bookmarkEnd w:id="30"/>
      <w:r w:rsidRPr="00BB3A66">
        <w:rPr>
          <w:rFonts w:ascii="Arial" w:hAnsi="Arial" w:cs="Arial"/>
          <w:sz w:val="14"/>
          <w:szCs w:val="14"/>
        </w:rPr>
        <w:t> La escogencia del contratista se efectuará con arreglo a las modalidades de selección de licitación pública, selección abreviada, concurso de méritos y contratación directa, con base en las siguientes reglas:</w:t>
      </w:r>
    </w:p>
    <w:p w14:paraId="6DCBD4B8"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w:t>
      </w:r>
    </w:p>
    <w:p w14:paraId="3FAC85F6"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“4. </w:t>
      </w:r>
      <w:r w:rsidRPr="00BB3A66">
        <w:rPr>
          <w:rStyle w:val="baj"/>
          <w:rFonts w:ascii="Arial" w:hAnsi="Arial" w:cs="Arial"/>
          <w:sz w:val="14"/>
          <w:szCs w:val="14"/>
        </w:rPr>
        <w:t>Contratación directa. </w:t>
      </w:r>
      <w:r w:rsidRPr="00BB3A66">
        <w:rPr>
          <w:rFonts w:ascii="Arial" w:hAnsi="Arial" w:cs="Arial"/>
          <w:sz w:val="14"/>
          <w:szCs w:val="14"/>
        </w:rPr>
        <w:t>La modalidad de selección de contratación directa solamente procederá en los siguientes casos:</w:t>
      </w:r>
    </w:p>
    <w:p w14:paraId="589C1697"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w:t>
      </w:r>
    </w:p>
    <w:p w14:paraId="771B9218"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“C. […]</w:t>
      </w:r>
    </w:p>
    <w:p w14:paraId="77C08A7E"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“Inciso 2o. modificado por el artículo 95 de la Ley 1474 de 2011–</w:t>
      </w:r>
      <w:r w:rsidRPr="00BB3A66" w:rsidDel="002C5C6D">
        <w:rPr>
          <w:rFonts w:ascii="Arial" w:hAnsi="Arial" w:cs="Arial"/>
          <w:sz w:val="14"/>
          <w:szCs w:val="14"/>
        </w:rPr>
        <w:t xml:space="preserve"> </w:t>
      </w:r>
      <w:r w:rsidRPr="00BB3A66">
        <w:rPr>
          <w:rFonts w:ascii="Arial" w:hAnsi="Arial" w:cs="Arial"/>
          <w:sz w:val="14"/>
          <w:szCs w:val="14"/>
        </w:rPr>
        <w:t xml:space="preserv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28">
    <w:p w14:paraId="308DF3A5" w14:textId="77777777" w:rsidR="00BC5810" w:rsidRPr="00BB3A66" w:rsidRDefault="00BC5810" w:rsidP="00BC5810">
      <w:pPr>
        <w:pStyle w:val="Textonotapie"/>
        <w:ind w:firstLine="709"/>
        <w:contextualSpacing/>
        <w:jc w:val="both"/>
        <w:rPr>
          <w:rFonts w:ascii="Arial" w:hAnsi="Arial" w:cs="Arial"/>
          <w:sz w:val="14"/>
          <w:szCs w:val="14"/>
          <w:lang w:val="es-ES"/>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sz w:val="14"/>
          <w:szCs w:val="14"/>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353B47D3" w14:textId="77777777" w:rsidR="00132177" w:rsidRPr="00BB3A66" w:rsidRDefault="00132177" w:rsidP="00BC5810">
      <w:pPr>
        <w:pStyle w:val="Textonotapie"/>
        <w:ind w:firstLine="709"/>
        <w:contextualSpacing/>
        <w:jc w:val="both"/>
        <w:rPr>
          <w:rFonts w:ascii="Arial" w:hAnsi="Arial" w:cs="Arial"/>
          <w:sz w:val="14"/>
          <w:szCs w:val="14"/>
          <w:lang w:val="es-ES"/>
        </w:rPr>
      </w:pPr>
    </w:p>
  </w:footnote>
  <w:footnote w:id="29">
    <w:p w14:paraId="50C8BBC2"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CORTE CONSTITUCIONAL, Sentencia C-382 de 2019, M.P. Alejandro Linares Cantillo.</w:t>
      </w:r>
    </w:p>
    <w:p w14:paraId="688C2927" w14:textId="77777777" w:rsidR="00132177" w:rsidRPr="00BB3A66" w:rsidRDefault="00132177" w:rsidP="00BC5810">
      <w:pPr>
        <w:pStyle w:val="Textonotapie"/>
        <w:ind w:firstLine="709"/>
        <w:contextualSpacing/>
        <w:jc w:val="both"/>
        <w:rPr>
          <w:rFonts w:ascii="Arial" w:hAnsi="Arial" w:cs="Arial"/>
          <w:sz w:val="14"/>
          <w:szCs w:val="14"/>
        </w:rPr>
      </w:pPr>
    </w:p>
  </w:footnote>
  <w:footnote w:id="30">
    <w:p w14:paraId="3FD7F1DF"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p w14:paraId="55A7882F" w14:textId="77777777" w:rsidR="00132177" w:rsidRPr="00BB3A66" w:rsidRDefault="00132177" w:rsidP="00BC5810">
      <w:pPr>
        <w:pStyle w:val="Textonotapie"/>
        <w:ind w:firstLine="709"/>
        <w:contextualSpacing/>
        <w:jc w:val="both"/>
        <w:rPr>
          <w:rFonts w:ascii="Arial" w:hAnsi="Arial" w:cs="Arial"/>
          <w:sz w:val="14"/>
          <w:szCs w:val="14"/>
        </w:rPr>
      </w:pPr>
    </w:p>
  </w:footnote>
  <w:footnote w:id="31">
    <w:p w14:paraId="5A66BD2B"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CONSEJO DE ESTADO. Sección Tercera. Subsección B. Sentencia del 12 de octubre de 2011. Exp. No. 20070. C.P. Danilo Rojas Betancourt.</w:t>
      </w:r>
    </w:p>
    <w:p w14:paraId="532C1645" w14:textId="77777777" w:rsidR="001F2BBC" w:rsidRPr="00BB3A66" w:rsidRDefault="001F2BBC" w:rsidP="00BC5810">
      <w:pPr>
        <w:pStyle w:val="Textonotapie"/>
        <w:ind w:firstLine="709"/>
        <w:contextualSpacing/>
        <w:jc w:val="both"/>
        <w:rPr>
          <w:rFonts w:ascii="Arial" w:hAnsi="Arial" w:cs="Arial"/>
          <w:sz w:val="14"/>
          <w:szCs w:val="14"/>
          <w:lang w:val="es-ES"/>
        </w:rPr>
      </w:pPr>
    </w:p>
  </w:footnote>
  <w:footnote w:id="32">
    <w:p w14:paraId="32740D90" w14:textId="77777777" w:rsidR="00BC5810" w:rsidRPr="00BB3A66" w:rsidRDefault="00BC5810" w:rsidP="00BC5810">
      <w:pPr>
        <w:tabs>
          <w:tab w:val="left" w:pos="0"/>
        </w:tabs>
        <w:spacing w:after="0" w:line="240" w:lineRule="auto"/>
        <w:contextualSpacing/>
        <w:jc w:val="both"/>
        <w:rPr>
          <w:rFonts w:ascii="Arial" w:eastAsia="Calibri" w:hAnsi="Arial" w:cs="Arial"/>
          <w:sz w:val="14"/>
          <w:szCs w:val="14"/>
          <w:lang w:val="es-ES_tradnl" w:eastAsia="es-ES_tradnl"/>
        </w:rPr>
      </w:pPr>
      <w:r w:rsidRPr="00BB3A66">
        <w:rPr>
          <w:rFonts w:ascii="Arial" w:hAnsi="Arial" w:cs="Arial"/>
          <w:sz w:val="14"/>
          <w:szCs w:val="14"/>
        </w:rPr>
        <w:tab/>
      </w:r>
      <w:r w:rsidRPr="00BB3A66">
        <w:rPr>
          <w:rStyle w:val="Refdenotaalpie"/>
          <w:rFonts w:ascii="Arial" w:hAnsi="Arial" w:cs="Arial"/>
          <w:sz w:val="14"/>
          <w:szCs w:val="14"/>
        </w:rPr>
        <w:footnoteRef/>
      </w:r>
      <w:r w:rsidRPr="00BB3A66">
        <w:rPr>
          <w:rFonts w:ascii="Arial" w:hAnsi="Arial" w:cs="Arial"/>
          <w:sz w:val="14"/>
          <w:szCs w:val="14"/>
        </w:rPr>
        <w:t xml:space="preserve"> CONSEJO DE ESTADO. Sección Tercera. Subsección A. Sentencia del 3 de marzo de 2021. Exp. No. 51373. C.P. José Roberto Sáchica Méndez. </w:t>
      </w:r>
      <w:r w:rsidRPr="00BB3A66">
        <w:rPr>
          <w:rFonts w:ascii="Arial" w:eastAsia="Calibri" w:hAnsi="Arial" w:cs="Arial"/>
          <w:sz w:val="14"/>
          <w:szCs w:val="14"/>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2FF27ACC" w14:textId="77777777" w:rsidR="001F2BBC" w:rsidRPr="00BB3A66" w:rsidRDefault="001F2BBC" w:rsidP="00BC5810">
      <w:pPr>
        <w:tabs>
          <w:tab w:val="left" w:pos="0"/>
        </w:tabs>
        <w:spacing w:after="0" w:line="240" w:lineRule="auto"/>
        <w:contextualSpacing/>
        <w:jc w:val="both"/>
        <w:rPr>
          <w:rFonts w:ascii="Arial" w:hAnsi="Arial" w:cs="Arial"/>
          <w:sz w:val="14"/>
          <w:szCs w:val="14"/>
        </w:rPr>
      </w:pPr>
    </w:p>
  </w:footnote>
  <w:footnote w:id="33">
    <w:p w14:paraId="29391937"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696DA63D" w14:textId="77777777" w:rsidR="001F2BBC" w:rsidRPr="00BB3A66" w:rsidRDefault="001F2BBC" w:rsidP="00BC5810">
      <w:pPr>
        <w:pStyle w:val="Textonotapie"/>
        <w:ind w:firstLine="708"/>
        <w:contextualSpacing/>
        <w:jc w:val="both"/>
        <w:rPr>
          <w:rFonts w:ascii="Arial" w:hAnsi="Arial" w:cs="Arial"/>
          <w:sz w:val="14"/>
          <w:szCs w:val="14"/>
          <w:lang w:val="es-ES_tradnl"/>
        </w:rPr>
      </w:pPr>
    </w:p>
  </w:footnote>
  <w:footnote w:id="34">
    <w:p w14:paraId="0E892CE6"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F8C25D5" w14:textId="77777777" w:rsidR="00BC5810" w:rsidRPr="00BB3A66" w:rsidRDefault="00BC5810" w:rsidP="00BC5810">
      <w:pPr>
        <w:pStyle w:val="Textonotapie"/>
        <w:ind w:firstLine="709"/>
        <w:contextualSpacing/>
        <w:jc w:val="both"/>
        <w:rPr>
          <w:rFonts w:ascii="Arial" w:hAnsi="Arial" w:cs="Arial"/>
          <w:sz w:val="14"/>
          <w:szCs w:val="14"/>
        </w:rPr>
      </w:pPr>
      <w:r w:rsidRPr="00BB3A66">
        <w:rPr>
          <w:rFonts w:ascii="Arial" w:hAnsi="Arial" w:cs="Arial"/>
          <w:sz w:val="14"/>
          <w:szCs w:val="14"/>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35">
    <w:p w14:paraId="7E9431A5"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p>
    <w:p w14:paraId="3FB3EBE5" w14:textId="77777777" w:rsidR="00C93902" w:rsidRPr="00BB3A66" w:rsidRDefault="00C93902" w:rsidP="00BC5810">
      <w:pPr>
        <w:pStyle w:val="Textonotapie"/>
        <w:ind w:firstLine="709"/>
        <w:contextualSpacing/>
        <w:jc w:val="both"/>
        <w:rPr>
          <w:rFonts w:ascii="Arial" w:hAnsi="Arial" w:cs="Arial"/>
          <w:sz w:val="14"/>
          <w:szCs w:val="14"/>
        </w:rPr>
      </w:pPr>
    </w:p>
  </w:footnote>
  <w:footnote w:id="36">
    <w:p w14:paraId="16417BE8"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Al respecto ha señalado la CORTE CONSTITUCIONAL: “En relación con el ámbito de configuración del legislador en materia contractual la jurisprudencia constitucional ha señalado los siguientes criterios:</w:t>
      </w:r>
    </w:p>
    <w:p w14:paraId="693B3B96" w14:textId="77777777" w:rsidR="00BC5810" w:rsidRPr="00BB3A66" w:rsidRDefault="00BC5810" w:rsidP="00BC5810">
      <w:pPr>
        <w:pStyle w:val="Textonotapie"/>
        <w:ind w:firstLine="709"/>
        <w:contextualSpacing/>
        <w:jc w:val="both"/>
        <w:rPr>
          <w:rFonts w:ascii="Arial" w:hAnsi="Arial" w:cs="Arial"/>
          <w:sz w:val="14"/>
          <w:szCs w:val="14"/>
        </w:rPr>
      </w:pPr>
      <w:r w:rsidRPr="00BB3A66">
        <w:rPr>
          <w:rFonts w:ascii="Arial" w:hAnsi="Arial" w:cs="Arial"/>
          <w:sz w:val="14"/>
          <w:szCs w:val="14"/>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2069CE33" w14:textId="77777777" w:rsidR="00BC5810" w:rsidRPr="00BB3A66" w:rsidRDefault="00BC5810" w:rsidP="00BC5810">
      <w:pPr>
        <w:pStyle w:val="Textonotapie"/>
        <w:ind w:firstLine="709"/>
        <w:contextualSpacing/>
        <w:jc w:val="both"/>
        <w:rPr>
          <w:rFonts w:ascii="Arial" w:hAnsi="Arial" w:cs="Arial"/>
          <w:sz w:val="14"/>
          <w:szCs w:val="14"/>
        </w:rPr>
      </w:pPr>
      <w:r w:rsidRPr="00BB3A66">
        <w:rPr>
          <w:rFonts w:ascii="Arial" w:hAnsi="Arial" w:cs="Arial"/>
          <w:sz w:val="14"/>
          <w:szCs w:val="14"/>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161832CD" w14:textId="77777777" w:rsidR="00BC5810" w:rsidRPr="00BB3A66" w:rsidRDefault="00BC5810" w:rsidP="00BC5810">
      <w:pPr>
        <w:pStyle w:val="Textonotapie"/>
        <w:ind w:firstLine="709"/>
        <w:contextualSpacing/>
        <w:jc w:val="both"/>
        <w:rPr>
          <w:rFonts w:ascii="Arial" w:hAnsi="Arial" w:cs="Arial"/>
          <w:sz w:val="14"/>
          <w:szCs w:val="14"/>
        </w:rPr>
      </w:pPr>
      <w:r w:rsidRPr="00BB3A66">
        <w:rPr>
          <w:rFonts w:ascii="Arial" w:hAnsi="Arial" w:cs="Arial"/>
          <w:sz w:val="14"/>
          <w:szCs w:val="14"/>
        </w:rPr>
        <w:t xml:space="preserve">(iii)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 </w:t>
      </w:r>
    </w:p>
    <w:p w14:paraId="6730FBE1" w14:textId="77777777" w:rsidR="0087743A" w:rsidRPr="00BB3A66" w:rsidRDefault="0087743A" w:rsidP="00BC5810">
      <w:pPr>
        <w:pStyle w:val="Textonotapie"/>
        <w:ind w:firstLine="709"/>
        <w:contextualSpacing/>
        <w:jc w:val="both"/>
        <w:rPr>
          <w:rFonts w:ascii="Arial" w:hAnsi="Arial" w:cs="Arial"/>
          <w:sz w:val="14"/>
          <w:szCs w:val="14"/>
        </w:rPr>
      </w:pPr>
    </w:p>
  </w:footnote>
  <w:footnote w:id="37">
    <w:p w14:paraId="3961A5C2"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CONSEJO DE ESTADO. Sección Tercera. Subsección A. Sentencia del 24 de junio de 2015. Exp. 40.635. Consejero Ponente: Hernán Andrade Rincón (E).</w:t>
      </w:r>
    </w:p>
  </w:footnote>
  <w:footnote w:id="38">
    <w:p w14:paraId="7220E1A9"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El inciso final del numeral 5 “encargos fiduciarios y fiducia pública” del artículo 32 de la Ley 80 de 1993 señala lo siguiente: “So pena de nulidad no podrá celebrarse contratos de fiducia o subcontratos en contravención del artículo 355 de la Constitución Política. Si tal evento se diese, la entidad fideicomitente deberá repetir contra la persona, natural o jurídica, adjudicataria del respectivo contrato”.</w:t>
      </w:r>
    </w:p>
    <w:p w14:paraId="42221BFB" w14:textId="77777777" w:rsidR="00241E86" w:rsidRPr="00BB3A66" w:rsidRDefault="00241E86" w:rsidP="00BC5810">
      <w:pPr>
        <w:pStyle w:val="Textonotapie"/>
        <w:ind w:firstLine="709"/>
        <w:contextualSpacing/>
        <w:jc w:val="both"/>
        <w:rPr>
          <w:rFonts w:ascii="Arial" w:hAnsi="Arial" w:cs="Arial"/>
          <w:sz w:val="14"/>
          <w:szCs w:val="14"/>
        </w:rPr>
      </w:pPr>
    </w:p>
  </w:footnote>
  <w:footnote w:id="39">
    <w:p w14:paraId="727DF698" w14:textId="77777777" w:rsidR="00BC5810" w:rsidRPr="00BB3A66" w:rsidRDefault="00BC5810" w:rsidP="00BC5810">
      <w:pPr>
        <w:pStyle w:val="Textonotapie"/>
        <w:ind w:firstLine="709"/>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El literal c del numeral 4 del artículo 2 de la Ley 1150 de 2007 dispone que: “</w:t>
      </w:r>
      <w:r w:rsidRPr="00BB3A66">
        <w:rPr>
          <w:rFonts w:ascii="Arial" w:hAnsi="Arial" w:cs="Arial"/>
          <w:sz w:val="14"/>
          <w:szCs w:val="14"/>
          <w:lang w:val="es-CO"/>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r w:rsidRPr="00BB3A66">
        <w:rPr>
          <w:rFonts w:ascii="Arial" w:hAnsi="Arial" w:cs="Arial"/>
          <w:sz w:val="14"/>
          <w:szCs w:val="14"/>
        </w:rPr>
        <w:t>”</w:t>
      </w:r>
      <w:r w:rsidRPr="00BB3A66">
        <w:rPr>
          <w:rFonts w:ascii="Arial" w:hAnsi="Arial" w:cs="Arial"/>
          <w:sz w:val="14"/>
          <w:szCs w:val="14"/>
          <w:lang w:val="es-CO"/>
        </w:rPr>
        <w:t>.</w:t>
      </w:r>
    </w:p>
    <w:p w14:paraId="2BAF6297" w14:textId="77777777" w:rsidR="00DE465E" w:rsidRPr="00BB3A66" w:rsidRDefault="00DE465E" w:rsidP="00BC5810">
      <w:pPr>
        <w:pStyle w:val="Textonotapie"/>
        <w:ind w:firstLine="709"/>
        <w:contextualSpacing/>
        <w:jc w:val="both"/>
        <w:rPr>
          <w:rFonts w:ascii="Arial" w:hAnsi="Arial" w:cs="Arial"/>
          <w:sz w:val="14"/>
          <w:szCs w:val="14"/>
          <w:lang w:val="es-CO"/>
        </w:rPr>
      </w:pPr>
    </w:p>
  </w:footnote>
  <w:footnote w:id="40">
    <w:p w14:paraId="7D3D56D4" w14:textId="77777777" w:rsidR="00DE465E" w:rsidRPr="00BB3A66" w:rsidRDefault="00BC5810" w:rsidP="00BC5810">
      <w:pPr>
        <w:pStyle w:val="Textonotapie"/>
        <w:ind w:firstLine="709"/>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El artículo 2.2.1.2.3.1.5 del Decreto 1082 de 2015 hace mención a la subcontratación en lo relacionado con las garantías, particularmente en l</w:t>
      </w:r>
      <w:r w:rsidRPr="00BB3A66">
        <w:rPr>
          <w:rFonts w:ascii="Arial" w:hAnsi="Arial" w:cs="Arial"/>
          <w:sz w:val="14"/>
          <w:szCs w:val="14"/>
          <w:lang w:val="es-CO"/>
        </w:rPr>
        <w:t>os riesgos a los que se encuentran expuestas las entidades estatales, derivados de la responsabilidad extracontractual que pueda surgir por las actuaciones, hechos u omisiones de sus contratistas y subcontratistas.</w:t>
      </w:r>
    </w:p>
    <w:p w14:paraId="656A1C21" w14:textId="77045BA9" w:rsidR="00BC5810" w:rsidRPr="00BB3A66" w:rsidRDefault="00BC5810" w:rsidP="00BC5810">
      <w:pPr>
        <w:pStyle w:val="Textonotapie"/>
        <w:ind w:firstLine="709"/>
        <w:contextualSpacing/>
        <w:jc w:val="both"/>
        <w:rPr>
          <w:rFonts w:ascii="Arial" w:hAnsi="Arial" w:cs="Arial"/>
          <w:sz w:val="14"/>
          <w:szCs w:val="14"/>
          <w:lang w:val="es-CO"/>
        </w:rPr>
      </w:pPr>
      <w:r w:rsidRPr="00BB3A66">
        <w:rPr>
          <w:rFonts w:ascii="Arial" w:hAnsi="Arial" w:cs="Arial"/>
          <w:sz w:val="14"/>
          <w:szCs w:val="14"/>
          <w:lang w:val="es-CO"/>
        </w:rPr>
        <w:t xml:space="preserve"> </w:t>
      </w:r>
    </w:p>
  </w:footnote>
  <w:footnote w:id="41">
    <w:p w14:paraId="32C60205" w14:textId="77777777" w:rsidR="00BC5810" w:rsidRPr="00BB3A66" w:rsidRDefault="00BC5810" w:rsidP="00BC5810">
      <w:pPr>
        <w:pStyle w:val="Textonotapie"/>
        <w:ind w:firstLine="709"/>
        <w:contextualSpacing/>
        <w:jc w:val="both"/>
        <w:rPr>
          <w:rFonts w:ascii="Arial" w:hAnsi="Arial" w:cs="Arial"/>
          <w:sz w:val="14"/>
          <w:szCs w:val="14"/>
          <w:lang w:val="es-CO"/>
        </w:rPr>
      </w:pPr>
      <w:r w:rsidRPr="00BB3A66">
        <w:rPr>
          <w:rStyle w:val="Refdenotaalpie"/>
          <w:rFonts w:ascii="Arial" w:hAnsi="Arial" w:cs="Arial"/>
          <w:sz w:val="14"/>
          <w:szCs w:val="14"/>
        </w:rPr>
        <w:footnoteRef/>
      </w:r>
      <w:r w:rsidRPr="00BB3A66">
        <w:rPr>
          <w:rFonts w:ascii="Arial" w:hAnsi="Arial" w:cs="Arial"/>
          <w:sz w:val="14"/>
          <w:szCs w:val="14"/>
        </w:rPr>
        <w:t xml:space="preserve"> </w:t>
      </w:r>
      <w:r w:rsidRPr="00BB3A66">
        <w:rPr>
          <w:rFonts w:ascii="Arial" w:hAnsi="Arial" w:cs="Arial"/>
          <w:sz w:val="14"/>
          <w:szCs w:val="14"/>
          <w:lang w:val="es-CO"/>
        </w:rPr>
        <w:t xml:space="preserve">RAMÍREZ GRISALES, Richard Steve. La Subcontratación. Serie: Las cláusulas del contrato estatal. Librería Jurídica Sánchez R. Ltda. y Centro de Estudios de Derecho Administrativo –CEDA-, Medellín, 2012, p. 26. </w:t>
      </w:r>
    </w:p>
  </w:footnote>
  <w:footnote w:id="42">
    <w:p w14:paraId="71484019"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TRABALÓN Cristóbal. Tratado Legal de Construcción. Editorial Tébar Flores. Madrid. 2015.</w:t>
      </w:r>
    </w:p>
    <w:p w14:paraId="2A33628C" w14:textId="77777777" w:rsidR="00DE465E" w:rsidRPr="00BB3A66" w:rsidRDefault="00DE465E" w:rsidP="00BC5810">
      <w:pPr>
        <w:pStyle w:val="Textonotapie"/>
        <w:ind w:firstLine="709"/>
        <w:contextualSpacing/>
        <w:jc w:val="both"/>
        <w:rPr>
          <w:rFonts w:ascii="Arial" w:hAnsi="Arial" w:cs="Arial"/>
          <w:sz w:val="14"/>
          <w:szCs w:val="14"/>
        </w:rPr>
      </w:pPr>
    </w:p>
  </w:footnote>
  <w:footnote w:id="43">
    <w:p w14:paraId="7BCFE774" w14:textId="77777777" w:rsidR="00BC5810" w:rsidRPr="00BB3A66" w:rsidRDefault="00BC5810" w:rsidP="00BC5810">
      <w:pPr>
        <w:pStyle w:val="Textonotapie"/>
        <w:ind w:firstLine="709"/>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Ibidem </w:t>
      </w:r>
    </w:p>
    <w:p w14:paraId="14D9313F" w14:textId="77777777" w:rsidR="00DE465E" w:rsidRPr="00BB3A66" w:rsidRDefault="00DE465E" w:rsidP="00BC5810">
      <w:pPr>
        <w:pStyle w:val="Textonotapie"/>
        <w:ind w:firstLine="709"/>
        <w:contextualSpacing/>
        <w:jc w:val="both"/>
        <w:rPr>
          <w:rFonts w:ascii="Arial" w:hAnsi="Arial" w:cs="Arial"/>
          <w:sz w:val="14"/>
          <w:szCs w:val="14"/>
        </w:rPr>
      </w:pPr>
    </w:p>
  </w:footnote>
  <w:footnote w:id="44">
    <w:p w14:paraId="71EF4E64"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Ley 1150 de 2011. Artículo 2: </w:t>
      </w:r>
    </w:p>
    <w:p w14:paraId="049F38E9"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w:t>
      </w:r>
    </w:p>
    <w:p w14:paraId="6B56E961" w14:textId="77777777" w:rsidR="00BC5810" w:rsidRPr="00BB3A66" w:rsidRDefault="00BC5810" w:rsidP="00BC5810">
      <w:pPr>
        <w:pStyle w:val="Textonotapie"/>
        <w:ind w:firstLine="708"/>
        <w:contextualSpacing/>
        <w:jc w:val="both"/>
        <w:rPr>
          <w:rStyle w:val="Textoennegrita"/>
          <w:rFonts w:ascii="Arial" w:hAnsi="Arial" w:cs="Arial"/>
          <w:b w:val="0"/>
          <w:bCs w:val="0"/>
          <w:color w:val="000000"/>
          <w:sz w:val="14"/>
          <w:szCs w:val="14"/>
        </w:rPr>
      </w:pPr>
      <w:r w:rsidRPr="00BB3A66">
        <w:rPr>
          <w:rFonts w:ascii="Arial" w:hAnsi="Arial" w:cs="Arial"/>
          <w:color w:val="000000"/>
          <w:sz w:val="14"/>
          <w:szCs w:val="14"/>
        </w:rPr>
        <w:t>4. </w:t>
      </w:r>
      <w:r w:rsidRPr="00BB3A66">
        <w:rPr>
          <w:rStyle w:val="Textoennegrita"/>
          <w:rFonts w:ascii="Arial" w:hAnsi="Arial" w:cs="Arial"/>
          <w:color w:val="000000"/>
          <w:sz w:val="14"/>
          <w:szCs w:val="14"/>
        </w:rPr>
        <w:t>Contratación directa.</w:t>
      </w:r>
    </w:p>
    <w:p w14:paraId="00442AEC" w14:textId="77777777" w:rsidR="00BC5810" w:rsidRPr="00BB3A66" w:rsidRDefault="00BC5810" w:rsidP="00BC5810">
      <w:pPr>
        <w:pStyle w:val="Textonotapie"/>
        <w:ind w:firstLine="708"/>
        <w:contextualSpacing/>
        <w:jc w:val="both"/>
        <w:rPr>
          <w:rStyle w:val="Textoennegrita"/>
          <w:rFonts w:ascii="Arial" w:hAnsi="Arial" w:cs="Arial"/>
          <w:b w:val="0"/>
          <w:bCs w:val="0"/>
          <w:color w:val="000000"/>
          <w:sz w:val="14"/>
          <w:szCs w:val="14"/>
        </w:rPr>
      </w:pPr>
      <w:r w:rsidRPr="00BB3A66">
        <w:rPr>
          <w:rStyle w:val="Textoennegrita"/>
          <w:rFonts w:ascii="Arial" w:hAnsi="Arial" w:cs="Arial"/>
          <w:b w:val="0"/>
          <w:bCs w:val="0"/>
          <w:color w:val="000000"/>
          <w:sz w:val="14"/>
          <w:szCs w:val="14"/>
        </w:rPr>
        <w:t>[…]</w:t>
      </w:r>
    </w:p>
    <w:p w14:paraId="522F5CCD" w14:textId="77777777" w:rsidR="00BC5810" w:rsidRPr="00BB3A66" w:rsidRDefault="00BC5810" w:rsidP="00BC5810">
      <w:pPr>
        <w:pStyle w:val="Textonotapie"/>
        <w:ind w:firstLine="708"/>
        <w:contextualSpacing/>
        <w:jc w:val="both"/>
        <w:rPr>
          <w:rFonts w:ascii="Arial" w:hAnsi="Arial" w:cs="Arial"/>
          <w:color w:val="000000"/>
          <w:sz w:val="14"/>
          <w:szCs w:val="14"/>
        </w:rPr>
      </w:pPr>
      <w:r w:rsidRPr="00BB3A66">
        <w:rPr>
          <w:rFonts w:ascii="Arial" w:hAnsi="Arial" w:cs="Arial"/>
          <w:color w:val="000000"/>
          <w:sz w:val="14"/>
          <w:szCs w:val="14"/>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648CF67D" w14:textId="77777777" w:rsidR="008112E9" w:rsidRPr="00BB3A66" w:rsidRDefault="008112E9" w:rsidP="00BC5810">
      <w:pPr>
        <w:pStyle w:val="Textonotapie"/>
        <w:ind w:firstLine="708"/>
        <w:contextualSpacing/>
        <w:jc w:val="both"/>
        <w:rPr>
          <w:rFonts w:ascii="Arial" w:hAnsi="Arial" w:cs="Arial"/>
          <w:sz w:val="14"/>
          <w:szCs w:val="14"/>
        </w:rPr>
      </w:pPr>
    </w:p>
  </w:footnote>
  <w:footnote w:id="45">
    <w:p w14:paraId="7E07FFBC"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Código Civil. Artículo 31.</w:t>
      </w:r>
    </w:p>
  </w:footnote>
  <w:footnote w:id="46">
    <w:p w14:paraId="13EAC0AB" w14:textId="77777777" w:rsidR="00BC5810" w:rsidRPr="00BB3A66" w:rsidRDefault="00BC5810" w:rsidP="00BC5810">
      <w:pPr>
        <w:pStyle w:val="Textonotapie"/>
        <w:ind w:firstLine="708"/>
        <w:contextualSpacing/>
        <w:jc w:val="both"/>
        <w:rPr>
          <w:rFonts w:ascii="Arial" w:hAnsi="Arial" w:cs="Arial"/>
          <w:sz w:val="14"/>
          <w:szCs w:val="14"/>
        </w:rPr>
      </w:pPr>
      <w:r w:rsidRPr="00BB3A66">
        <w:rPr>
          <w:rStyle w:val="Refdenotaalpie"/>
          <w:rFonts w:ascii="Arial" w:hAnsi="Arial" w:cs="Arial"/>
          <w:sz w:val="14"/>
          <w:szCs w:val="14"/>
        </w:rPr>
        <w:footnoteRef/>
      </w:r>
      <w:r w:rsidRPr="00BB3A66">
        <w:rPr>
          <w:rFonts w:ascii="Arial" w:hAnsi="Arial" w:cs="Arial"/>
          <w:sz w:val="14"/>
          <w:szCs w:val="14"/>
        </w:rPr>
        <w:t xml:space="preserve"> “Artículo 2o. De las modalidades de selección. La escogencia del contratista se efectuará con arreglo a las modalidades de selección de licitación pública, selección abreviada, concurso de méritos y contratación directa, con base en las siguientes reglas:</w:t>
      </w:r>
    </w:p>
    <w:p w14:paraId="2FEE0CDB"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w:t>
      </w:r>
    </w:p>
    <w:p w14:paraId="5A6FF1E4"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“4. </w:t>
      </w:r>
      <w:r w:rsidRPr="00BB3A66">
        <w:rPr>
          <w:rStyle w:val="baj"/>
          <w:rFonts w:ascii="Arial" w:hAnsi="Arial" w:cs="Arial"/>
          <w:sz w:val="14"/>
          <w:szCs w:val="14"/>
        </w:rPr>
        <w:t>Contratación directa. </w:t>
      </w:r>
      <w:r w:rsidRPr="00BB3A66">
        <w:rPr>
          <w:rFonts w:ascii="Arial" w:hAnsi="Arial" w:cs="Arial"/>
          <w:sz w:val="14"/>
          <w:szCs w:val="14"/>
        </w:rPr>
        <w:t>La modalidad de selección de contratación directa solamente procederá en los siguientes casos:</w:t>
      </w:r>
    </w:p>
    <w:p w14:paraId="139FAAD9"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w:t>
      </w:r>
    </w:p>
    <w:p w14:paraId="6F69F356"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“C. […]</w:t>
      </w:r>
    </w:p>
    <w:p w14:paraId="4EA92666" w14:textId="77777777" w:rsidR="00BC5810" w:rsidRPr="00BB3A66" w:rsidRDefault="00BC5810" w:rsidP="00BC5810">
      <w:pPr>
        <w:pStyle w:val="Textonotapie"/>
        <w:ind w:firstLine="708"/>
        <w:contextualSpacing/>
        <w:jc w:val="both"/>
        <w:rPr>
          <w:rFonts w:ascii="Arial" w:hAnsi="Arial" w:cs="Arial"/>
          <w:sz w:val="14"/>
          <w:szCs w:val="14"/>
        </w:rPr>
      </w:pPr>
      <w:r w:rsidRPr="00BB3A66">
        <w:rPr>
          <w:rFonts w:ascii="Arial" w:hAnsi="Arial" w:cs="Arial"/>
          <w:sz w:val="14"/>
          <w:szCs w:val="14"/>
        </w:rPr>
        <w:t>“Inciso 2o. modificado por el artículo 95 de la Ley 1474 de 2011–</w:t>
      </w:r>
      <w:r w:rsidRPr="00BB3A66" w:rsidDel="002C5C6D">
        <w:rPr>
          <w:rFonts w:ascii="Arial" w:hAnsi="Arial" w:cs="Arial"/>
          <w:sz w:val="14"/>
          <w:szCs w:val="14"/>
        </w:rPr>
        <w:t xml:space="preserve"> </w:t>
      </w:r>
      <w:r w:rsidRPr="00BB3A66">
        <w:rPr>
          <w:rFonts w:ascii="Arial" w:hAnsi="Arial" w:cs="Arial"/>
          <w:sz w:val="14"/>
          <w:szCs w:val="14"/>
        </w:rPr>
        <w:t xml:space="preserve"> 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0C128675"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65514291">
    <w:abstractNumId w:val="3"/>
  </w:num>
  <w:num w:numId="2" w16cid:durableId="751005732">
    <w:abstractNumId w:val="1"/>
  </w:num>
  <w:num w:numId="3" w16cid:durableId="2121757085">
    <w:abstractNumId w:val="2"/>
  </w:num>
  <w:num w:numId="4" w16cid:durableId="19352871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3869988">
    <w:abstractNumId w:val="1"/>
  </w:num>
  <w:num w:numId="6" w16cid:durableId="1248461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676"/>
    <w:rsid w:val="00011E30"/>
    <w:rsid w:val="00017873"/>
    <w:rsid w:val="00024CDE"/>
    <w:rsid w:val="0003224E"/>
    <w:rsid w:val="000A65C1"/>
    <w:rsid w:val="000A683E"/>
    <w:rsid w:val="000B19B9"/>
    <w:rsid w:val="000B4EB3"/>
    <w:rsid w:val="000D0334"/>
    <w:rsid w:val="000D331B"/>
    <w:rsid w:val="000F6486"/>
    <w:rsid w:val="00101796"/>
    <w:rsid w:val="00105171"/>
    <w:rsid w:val="00125105"/>
    <w:rsid w:val="00127233"/>
    <w:rsid w:val="00132177"/>
    <w:rsid w:val="001366E1"/>
    <w:rsid w:val="0015406E"/>
    <w:rsid w:val="00184C2E"/>
    <w:rsid w:val="001B2ACD"/>
    <w:rsid w:val="001C6FC5"/>
    <w:rsid w:val="001E4177"/>
    <w:rsid w:val="001F2BBC"/>
    <w:rsid w:val="00241E86"/>
    <w:rsid w:val="002517C9"/>
    <w:rsid w:val="002643F2"/>
    <w:rsid w:val="00283724"/>
    <w:rsid w:val="0029057C"/>
    <w:rsid w:val="002951A0"/>
    <w:rsid w:val="002962BC"/>
    <w:rsid w:val="002A093D"/>
    <w:rsid w:val="002A49AC"/>
    <w:rsid w:val="002A64FD"/>
    <w:rsid w:val="002B1AD7"/>
    <w:rsid w:val="002C7A84"/>
    <w:rsid w:val="002E31E2"/>
    <w:rsid w:val="00301F40"/>
    <w:rsid w:val="003120FF"/>
    <w:rsid w:val="003448F4"/>
    <w:rsid w:val="0034669D"/>
    <w:rsid w:val="00354447"/>
    <w:rsid w:val="00357460"/>
    <w:rsid w:val="003719DF"/>
    <w:rsid w:val="003867D8"/>
    <w:rsid w:val="003A700F"/>
    <w:rsid w:val="003A779E"/>
    <w:rsid w:val="003B0510"/>
    <w:rsid w:val="003B1BE0"/>
    <w:rsid w:val="003B3DC1"/>
    <w:rsid w:val="003B3E25"/>
    <w:rsid w:val="003D0F4D"/>
    <w:rsid w:val="003E0499"/>
    <w:rsid w:val="003E7B7F"/>
    <w:rsid w:val="003F3941"/>
    <w:rsid w:val="00400548"/>
    <w:rsid w:val="00405AB2"/>
    <w:rsid w:val="00444298"/>
    <w:rsid w:val="004740C5"/>
    <w:rsid w:val="004A1847"/>
    <w:rsid w:val="004A305D"/>
    <w:rsid w:val="004A6F4F"/>
    <w:rsid w:val="004E0532"/>
    <w:rsid w:val="004E42C6"/>
    <w:rsid w:val="004E437A"/>
    <w:rsid w:val="004F21C4"/>
    <w:rsid w:val="004F685F"/>
    <w:rsid w:val="00530787"/>
    <w:rsid w:val="00533E8F"/>
    <w:rsid w:val="00535C5F"/>
    <w:rsid w:val="005566E8"/>
    <w:rsid w:val="0056517A"/>
    <w:rsid w:val="00571C21"/>
    <w:rsid w:val="00574867"/>
    <w:rsid w:val="00576C7A"/>
    <w:rsid w:val="005819CE"/>
    <w:rsid w:val="00594C43"/>
    <w:rsid w:val="005A5250"/>
    <w:rsid w:val="005B1A4B"/>
    <w:rsid w:val="005B5D8B"/>
    <w:rsid w:val="005C5CDC"/>
    <w:rsid w:val="005D476C"/>
    <w:rsid w:val="005E416E"/>
    <w:rsid w:val="005F7941"/>
    <w:rsid w:val="006219F8"/>
    <w:rsid w:val="00633F4C"/>
    <w:rsid w:val="006351B1"/>
    <w:rsid w:val="006447BF"/>
    <w:rsid w:val="006517A0"/>
    <w:rsid w:val="00665D70"/>
    <w:rsid w:val="00683926"/>
    <w:rsid w:val="006A728F"/>
    <w:rsid w:val="00706C16"/>
    <w:rsid w:val="00710386"/>
    <w:rsid w:val="007149E9"/>
    <w:rsid w:val="007301FE"/>
    <w:rsid w:val="00740461"/>
    <w:rsid w:val="00754F96"/>
    <w:rsid w:val="00756841"/>
    <w:rsid w:val="00762654"/>
    <w:rsid w:val="007649AB"/>
    <w:rsid w:val="007833AC"/>
    <w:rsid w:val="00783890"/>
    <w:rsid w:val="00786829"/>
    <w:rsid w:val="00793A56"/>
    <w:rsid w:val="007A303F"/>
    <w:rsid w:val="007B0FB1"/>
    <w:rsid w:val="007B7171"/>
    <w:rsid w:val="007C3DC2"/>
    <w:rsid w:val="007D0C9B"/>
    <w:rsid w:val="007E5497"/>
    <w:rsid w:val="0080506B"/>
    <w:rsid w:val="00806F5F"/>
    <w:rsid w:val="008112E9"/>
    <w:rsid w:val="00820278"/>
    <w:rsid w:val="00833941"/>
    <w:rsid w:val="008770D9"/>
    <w:rsid w:val="0087743A"/>
    <w:rsid w:val="008843B6"/>
    <w:rsid w:val="00891928"/>
    <w:rsid w:val="008A446D"/>
    <w:rsid w:val="008D55D8"/>
    <w:rsid w:val="008F0EA7"/>
    <w:rsid w:val="00906D9D"/>
    <w:rsid w:val="00923EEF"/>
    <w:rsid w:val="009419F9"/>
    <w:rsid w:val="00961B09"/>
    <w:rsid w:val="00964AD5"/>
    <w:rsid w:val="00965334"/>
    <w:rsid w:val="0097093E"/>
    <w:rsid w:val="00977782"/>
    <w:rsid w:val="009C71FA"/>
    <w:rsid w:val="009C72E7"/>
    <w:rsid w:val="009C7974"/>
    <w:rsid w:val="009D6367"/>
    <w:rsid w:val="00A17F13"/>
    <w:rsid w:val="00A20739"/>
    <w:rsid w:val="00A2117F"/>
    <w:rsid w:val="00A32BB5"/>
    <w:rsid w:val="00A33C78"/>
    <w:rsid w:val="00A51631"/>
    <w:rsid w:val="00A563F9"/>
    <w:rsid w:val="00A71597"/>
    <w:rsid w:val="00A71634"/>
    <w:rsid w:val="00A75BA2"/>
    <w:rsid w:val="00A8287F"/>
    <w:rsid w:val="00A97838"/>
    <w:rsid w:val="00AB0ADB"/>
    <w:rsid w:val="00AC327D"/>
    <w:rsid w:val="00AD18DE"/>
    <w:rsid w:val="00AF3508"/>
    <w:rsid w:val="00AF3CC7"/>
    <w:rsid w:val="00B0164B"/>
    <w:rsid w:val="00B0314A"/>
    <w:rsid w:val="00B03E33"/>
    <w:rsid w:val="00B065A6"/>
    <w:rsid w:val="00B47855"/>
    <w:rsid w:val="00B661FD"/>
    <w:rsid w:val="00B72CD3"/>
    <w:rsid w:val="00B72FFF"/>
    <w:rsid w:val="00BA18FC"/>
    <w:rsid w:val="00BB241B"/>
    <w:rsid w:val="00BB3A66"/>
    <w:rsid w:val="00BC5810"/>
    <w:rsid w:val="00BD2E7A"/>
    <w:rsid w:val="00BD7F72"/>
    <w:rsid w:val="00BF5ED8"/>
    <w:rsid w:val="00C04FB3"/>
    <w:rsid w:val="00C109F9"/>
    <w:rsid w:val="00C32879"/>
    <w:rsid w:val="00C330EB"/>
    <w:rsid w:val="00C754BE"/>
    <w:rsid w:val="00C8633A"/>
    <w:rsid w:val="00C867D7"/>
    <w:rsid w:val="00C927D3"/>
    <w:rsid w:val="00C93902"/>
    <w:rsid w:val="00CB2B9A"/>
    <w:rsid w:val="00CB6357"/>
    <w:rsid w:val="00CC1B26"/>
    <w:rsid w:val="00CD4FAF"/>
    <w:rsid w:val="00CE56B8"/>
    <w:rsid w:val="00D0161D"/>
    <w:rsid w:val="00D116A7"/>
    <w:rsid w:val="00D33B28"/>
    <w:rsid w:val="00D423A2"/>
    <w:rsid w:val="00D63AC2"/>
    <w:rsid w:val="00D65E53"/>
    <w:rsid w:val="00D7383B"/>
    <w:rsid w:val="00D77D8D"/>
    <w:rsid w:val="00DA231B"/>
    <w:rsid w:val="00DC147C"/>
    <w:rsid w:val="00DD42C1"/>
    <w:rsid w:val="00DE465E"/>
    <w:rsid w:val="00DF2AD5"/>
    <w:rsid w:val="00DF6864"/>
    <w:rsid w:val="00E12959"/>
    <w:rsid w:val="00E16408"/>
    <w:rsid w:val="00E20894"/>
    <w:rsid w:val="00E245AB"/>
    <w:rsid w:val="00E50AFE"/>
    <w:rsid w:val="00E50FBD"/>
    <w:rsid w:val="00E51A10"/>
    <w:rsid w:val="00E771DC"/>
    <w:rsid w:val="00E84EC0"/>
    <w:rsid w:val="00E8772A"/>
    <w:rsid w:val="00E90F6B"/>
    <w:rsid w:val="00E92C27"/>
    <w:rsid w:val="00E930CE"/>
    <w:rsid w:val="00EA0E3D"/>
    <w:rsid w:val="00EA1ABB"/>
    <w:rsid w:val="00EC3694"/>
    <w:rsid w:val="00EE07B7"/>
    <w:rsid w:val="00EE1AA8"/>
    <w:rsid w:val="00F00C28"/>
    <w:rsid w:val="00F204AB"/>
    <w:rsid w:val="00F31EDC"/>
    <w:rsid w:val="00F522EF"/>
    <w:rsid w:val="00F557C6"/>
    <w:rsid w:val="00F5664F"/>
    <w:rsid w:val="00F56BAF"/>
    <w:rsid w:val="00F613A2"/>
    <w:rsid w:val="00F76AFC"/>
    <w:rsid w:val="00F83CA9"/>
    <w:rsid w:val="00F968C6"/>
    <w:rsid w:val="00FB5DD1"/>
    <w:rsid w:val="00FC2B5D"/>
    <w:rsid w:val="00FC3E94"/>
    <w:rsid w:val="00FD09D3"/>
    <w:rsid w:val="00FE006B"/>
    <w:rsid w:val="00FF1449"/>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numbering" w:customStyle="1" w:styleId="Sinlista1">
    <w:name w:val="Sin lista1"/>
    <w:next w:val="Sinlista"/>
    <w:uiPriority w:val="99"/>
    <w:semiHidden/>
    <w:unhideWhenUsed/>
    <w:rsid w:val="00BC5810"/>
  </w:style>
  <w:style w:type="paragraph" w:styleId="NormalWeb">
    <w:name w:val="Normal (Web)"/>
    <w:basedOn w:val="Normal"/>
    <w:link w:val="NormalWebCar"/>
    <w:uiPriority w:val="99"/>
    <w:unhideWhenUsed/>
    <w:rsid w:val="00BC5810"/>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uiPriority w:val="3"/>
    <w:qFormat/>
    <w:rsid w:val="00BC5810"/>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C5810"/>
    <w:rPr>
      <w:rFonts w:ascii="Geomanist Light" w:hAnsi="Geomanist Light"/>
      <w:lang w:val="es-ES"/>
    </w:rPr>
  </w:style>
  <w:style w:type="table" w:customStyle="1" w:styleId="Tablaconcuadrcula1">
    <w:name w:val="Tabla con cuadrícula1"/>
    <w:basedOn w:val="Tablanormal"/>
    <w:next w:val="Tablaconcuadrcula"/>
    <w:uiPriority w:val="59"/>
    <w:rsid w:val="00BC581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C5810"/>
    <w:pPr>
      <w:spacing w:line="240" w:lineRule="exact"/>
    </w:pPr>
    <w:rPr>
      <w:vertAlign w:val="superscript"/>
    </w:rPr>
  </w:style>
  <w:style w:type="character" w:styleId="Textoennegrita">
    <w:name w:val="Strong"/>
    <w:basedOn w:val="Fuentedeprrafopredeter"/>
    <w:uiPriority w:val="22"/>
    <w:qFormat/>
    <w:rsid w:val="00BC5810"/>
    <w:rPr>
      <w:b/>
      <w:bCs/>
    </w:rPr>
  </w:style>
  <w:style w:type="character" w:customStyle="1" w:styleId="NormalWebCar">
    <w:name w:val="Normal (Web) Car"/>
    <w:link w:val="NormalWeb"/>
    <w:uiPriority w:val="99"/>
    <w:rsid w:val="00BC5810"/>
    <w:rPr>
      <w:rFonts w:ascii="Times New Roman" w:eastAsia="Times New Roman" w:hAnsi="Times New Roman" w:cs="Times New Roman"/>
      <w:sz w:val="24"/>
      <w:szCs w:val="24"/>
      <w:lang w:eastAsia="es-CO"/>
    </w:rPr>
  </w:style>
  <w:style w:type="paragraph" w:styleId="Revisin">
    <w:name w:val="Revision"/>
    <w:hidden/>
    <w:uiPriority w:val="99"/>
    <w:semiHidden/>
    <w:rsid w:val="00BC5810"/>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C5810"/>
    <w:rPr>
      <w:sz w:val="16"/>
      <w:szCs w:val="16"/>
    </w:rPr>
  </w:style>
  <w:style w:type="paragraph" w:styleId="Textocomentario">
    <w:name w:val="annotation text"/>
    <w:basedOn w:val="Normal"/>
    <w:link w:val="TextocomentarioCar"/>
    <w:uiPriority w:val="99"/>
    <w:unhideWhenUsed/>
    <w:rsid w:val="00BC5810"/>
    <w:pPr>
      <w:spacing w:after="0" w:line="240" w:lineRule="auto"/>
    </w:pPr>
    <w:rPr>
      <w:rFonts w:ascii="Times New Roman" w:eastAsia="Times New Roman" w:hAnsi="Times New Roman" w:cs="Times New Roman"/>
      <w:sz w:val="20"/>
      <w:szCs w:val="20"/>
      <w:lang w:eastAsia="es-ES_tradnl"/>
    </w:rPr>
  </w:style>
  <w:style w:type="character" w:customStyle="1" w:styleId="TextocomentarioCar">
    <w:name w:val="Texto comentario Car"/>
    <w:basedOn w:val="Fuentedeprrafopredeter"/>
    <w:link w:val="Textocomentario"/>
    <w:uiPriority w:val="99"/>
    <w:rsid w:val="00BC5810"/>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C5810"/>
    <w:rPr>
      <w:b/>
      <w:bCs/>
    </w:rPr>
  </w:style>
  <w:style w:type="character" w:customStyle="1" w:styleId="AsuntodelcomentarioCar">
    <w:name w:val="Asunto del comentario Car"/>
    <w:basedOn w:val="TextocomentarioCar"/>
    <w:link w:val="Asuntodelcomentario"/>
    <w:uiPriority w:val="99"/>
    <w:semiHidden/>
    <w:rsid w:val="00BC5810"/>
    <w:rPr>
      <w:rFonts w:ascii="Times New Roman" w:eastAsia="Times New Roman" w:hAnsi="Times New Roman" w:cs="Times New Roman"/>
      <w:b/>
      <w:bCs/>
      <w:sz w:val="20"/>
      <w:szCs w:val="20"/>
      <w:lang w:eastAsia="es-ES_tradnl"/>
    </w:rPr>
  </w:style>
  <w:style w:type="character" w:styleId="Mencinsinresolver">
    <w:name w:val="Unresolved Mention"/>
    <w:basedOn w:val="Fuentedeprrafopredeter"/>
    <w:uiPriority w:val="99"/>
    <w:semiHidden/>
    <w:unhideWhenUsed/>
    <w:rsid w:val="00BC5810"/>
    <w:rPr>
      <w:color w:val="605E5C"/>
      <w:shd w:val="clear" w:color="auto" w:fill="E1DFDD"/>
    </w:rPr>
  </w:style>
  <w:style w:type="character" w:styleId="Mencionar">
    <w:name w:val="Mention"/>
    <w:basedOn w:val="Fuentedeprrafopredeter"/>
    <w:uiPriority w:val="99"/>
    <w:unhideWhenUsed/>
    <w:rsid w:val="00BC5810"/>
    <w:rPr>
      <w:color w:val="2B579A"/>
      <w:shd w:val="clear" w:color="auto" w:fill="E6E6E6"/>
    </w:rPr>
  </w:style>
  <w:style w:type="paragraph" w:customStyle="1" w:styleId="paragraph">
    <w:name w:val="paragraph"/>
    <w:basedOn w:val="Normal"/>
    <w:rsid w:val="00BC581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C5810"/>
  </w:style>
  <w:style w:type="character" w:customStyle="1" w:styleId="baj">
    <w:name w:val="b_aj"/>
    <w:basedOn w:val="Fuentedeprrafopredeter"/>
    <w:rsid w:val="00BC5810"/>
  </w:style>
  <w:style w:type="character" w:customStyle="1" w:styleId="markedcontent">
    <w:name w:val="markedcontent"/>
    <w:basedOn w:val="Fuentedeprrafopredeter"/>
    <w:rsid w:val="00BC5810"/>
  </w:style>
  <w:style w:type="paragraph" w:styleId="Textoindependiente">
    <w:name w:val="Body Text"/>
    <w:basedOn w:val="Normal"/>
    <w:link w:val="TextoindependienteCar"/>
    <w:uiPriority w:val="99"/>
    <w:unhideWhenUsed/>
    <w:rsid w:val="00BC5810"/>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BC5810"/>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92524">
      <w:bodyDiv w:val="1"/>
      <w:marLeft w:val="0"/>
      <w:marRight w:val="0"/>
      <w:marTop w:val="0"/>
      <w:marBottom w:val="0"/>
      <w:divBdr>
        <w:top w:val="none" w:sz="0" w:space="0" w:color="auto"/>
        <w:left w:val="none" w:sz="0" w:space="0" w:color="auto"/>
        <w:bottom w:val="none" w:sz="0" w:space="0" w:color="auto"/>
        <w:right w:val="none" w:sz="0" w:space="0" w:color="auto"/>
      </w:divBdr>
      <w:divsChild>
        <w:div w:id="1979994125">
          <w:marLeft w:val="0"/>
          <w:marRight w:val="0"/>
          <w:marTop w:val="0"/>
          <w:marBottom w:val="0"/>
          <w:divBdr>
            <w:top w:val="single" w:sz="6" w:space="3" w:color="808080"/>
            <w:left w:val="single" w:sz="6" w:space="15" w:color="808080"/>
            <w:bottom w:val="single" w:sz="6" w:space="8" w:color="808080"/>
            <w:right w:val="single" w:sz="6" w:space="15" w:color="808080"/>
          </w:divBdr>
          <w:divsChild>
            <w:div w:id="1108507660">
              <w:marLeft w:val="0"/>
              <w:marRight w:val="0"/>
              <w:marTop w:val="0"/>
              <w:marBottom w:val="0"/>
              <w:divBdr>
                <w:top w:val="none" w:sz="0" w:space="0" w:color="auto"/>
                <w:left w:val="none" w:sz="0" w:space="0" w:color="auto"/>
                <w:bottom w:val="none" w:sz="0" w:space="0" w:color="auto"/>
                <w:right w:val="none" w:sz="0" w:space="0" w:color="auto"/>
              </w:divBdr>
            </w:div>
          </w:divsChild>
        </w:div>
        <w:div w:id="326129175">
          <w:marLeft w:val="0"/>
          <w:marRight w:val="0"/>
          <w:marTop w:val="0"/>
          <w:marBottom w:val="0"/>
          <w:divBdr>
            <w:top w:val="none" w:sz="0" w:space="0" w:color="auto"/>
            <w:left w:val="none" w:sz="0" w:space="0" w:color="auto"/>
            <w:bottom w:val="none" w:sz="0" w:space="0" w:color="auto"/>
            <w:right w:val="none" w:sz="0" w:space="0" w:color="auto"/>
          </w:divBdr>
        </w:div>
        <w:div w:id="1936473689">
          <w:marLeft w:val="0"/>
          <w:marRight w:val="0"/>
          <w:marTop w:val="0"/>
          <w:marBottom w:val="0"/>
          <w:divBdr>
            <w:top w:val="none" w:sz="0" w:space="0" w:color="auto"/>
            <w:left w:val="none" w:sz="0" w:space="0" w:color="auto"/>
            <w:bottom w:val="none" w:sz="0" w:space="0" w:color="auto"/>
            <w:right w:val="none" w:sz="0" w:space="0" w:color="auto"/>
          </w:divBdr>
        </w:div>
        <w:div w:id="481970788">
          <w:marLeft w:val="0"/>
          <w:marRight w:val="0"/>
          <w:marTop w:val="0"/>
          <w:marBottom w:val="0"/>
          <w:divBdr>
            <w:top w:val="none" w:sz="0" w:space="0" w:color="auto"/>
            <w:left w:val="none" w:sz="0" w:space="0" w:color="auto"/>
            <w:bottom w:val="none" w:sz="0" w:space="0" w:color="auto"/>
            <w:right w:val="none" w:sz="0" w:space="0" w:color="auto"/>
          </w:divBdr>
        </w:div>
        <w:div w:id="996688018">
          <w:marLeft w:val="0"/>
          <w:marRight w:val="0"/>
          <w:marTop w:val="0"/>
          <w:marBottom w:val="0"/>
          <w:divBdr>
            <w:top w:val="none" w:sz="0" w:space="0" w:color="auto"/>
            <w:left w:val="none" w:sz="0" w:space="0" w:color="auto"/>
            <w:bottom w:val="none" w:sz="0" w:space="0" w:color="auto"/>
            <w:right w:val="none" w:sz="0" w:space="0" w:color="auto"/>
          </w:divBdr>
        </w:div>
        <w:div w:id="2011909965">
          <w:marLeft w:val="0"/>
          <w:marRight w:val="0"/>
          <w:marTop w:val="0"/>
          <w:marBottom w:val="0"/>
          <w:divBdr>
            <w:top w:val="none" w:sz="0" w:space="0" w:color="auto"/>
            <w:left w:val="none" w:sz="0" w:space="0" w:color="auto"/>
            <w:bottom w:val="none" w:sz="0" w:space="0" w:color="auto"/>
            <w:right w:val="none" w:sz="0" w:space="0" w:color="auto"/>
          </w:divBdr>
        </w:div>
        <w:div w:id="1068765439">
          <w:marLeft w:val="0"/>
          <w:marRight w:val="0"/>
          <w:marTop w:val="0"/>
          <w:marBottom w:val="0"/>
          <w:divBdr>
            <w:top w:val="none" w:sz="0" w:space="0" w:color="auto"/>
            <w:left w:val="none" w:sz="0" w:space="0" w:color="auto"/>
            <w:bottom w:val="none" w:sz="0" w:space="0" w:color="auto"/>
            <w:right w:val="none" w:sz="0" w:space="0" w:color="auto"/>
          </w:divBdr>
        </w:div>
        <w:div w:id="275790537">
          <w:marLeft w:val="0"/>
          <w:marRight w:val="0"/>
          <w:marTop w:val="0"/>
          <w:marBottom w:val="0"/>
          <w:divBdr>
            <w:top w:val="none" w:sz="0" w:space="0" w:color="auto"/>
            <w:left w:val="none" w:sz="0" w:space="0" w:color="auto"/>
            <w:bottom w:val="none" w:sz="0" w:space="0" w:color="auto"/>
            <w:right w:val="none" w:sz="0" w:space="0" w:color="auto"/>
          </w:divBdr>
        </w:div>
        <w:div w:id="221989072">
          <w:marLeft w:val="0"/>
          <w:marRight w:val="0"/>
          <w:marTop w:val="0"/>
          <w:marBottom w:val="0"/>
          <w:divBdr>
            <w:top w:val="none" w:sz="0" w:space="0" w:color="auto"/>
            <w:left w:val="none" w:sz="0" w:space="0" w:color="auto"/>
            <w:bottom w:val="none" w:sz="0" w:space="0" w:color="auto"/>
            <w:right w:val="none" w:sz="0" w:space="0" w:color="auto"/>
          </w:divBdr>
        </w:div>
        <w:div w:id="1943682413">
          <w:marLeft w:val="0"/>
          <w:marRight w:val="0"/>
          <w:marTop w:val="0"/>
          <w:marBottom w:val="0"/>
          <w:divBdr>
            <w:top w:val="none" w:sz="0" w:space="0" w:color="auto"/>
            <w:left w:val="none" w:sz="0" w:space="0" w:color="auto"/>
            <w:bottom w:val="none" w:sz="0" w:space="0" w:color="auto"/>
            <w:right w:val="none" w:sz="0" w:space="0" w:color="auto"/>
          </w:divBdr>
        </w:div>
        <w:div w:id="912740673">
          <w:marLeft w:val="0"/>
          <w:marRight w:val="0"/>
          <w:marTop w:val="0"/>
          <w:marBottom w:val="0"/>
          <w:divBdr>
            <w:top w:val="none" w:sz="0" w:space="0" w:color="auto"/>
            <w:left w:val="none" w:sz="0" w:space="0" w:color="auto"/>
            <w:bottom w:val="none" w:sz="0" w:space="0" w:color="auto"/>
            <w:right w:val="none" w:sz="0" w:space="0" w:color="auto"/>
          </w:divBdr>
        </w:div>
        <w:div w:id="784882032">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02E9508-8514-4E13-A812-3ACA92687A75}">
  <ds:schemaRefs>
    <ds:schemaRef ds:uri="http://schemas.openxmlformats.org/officeDocument/2006/bibliography"/>
  </ds:schemaRefs>
</ds:datastoreItem>
</file>

<file path=customXml/itemProps3.xml><?xml version="1.0" encoding="utf-8"?>
<ds:datastoreItem xmlns:ds="http://schemas.openxmlformats.org/officeDocument/2006/customXml" ds:itemID="{5BF3A33C-61B0-442C-AD1F-52AF1A36302E}"/>
</file>

<file path=customXml/itemProps4.xml><?xml version="1.0" encoding="utf-8"?>
<ds:datastoreItem xmlns:ds="http://schemas.openxmlformats.org/officeDocument/2006/customXml" ds:itemID="{163618BE-28CB-4D69-955E-CDA788483BED}">
  <ds:schemaRefs>
    <ds:schemaRef ds:uri="http://schemas.openxmlformats.org/package/2006/metadata/core-properties"/>
    <ds:schemaRef ds:uri="http://purl.org/dc/dcmitype/"/>
    <ds:schemaRef ds:uri="http://schemas.microsoft.com/office/2006/metadata/properties"/>
    <ds:schemaRef ds:uri="http://purl.org/dc/terms/"/>
    <ds:schemaRef ds:uri="cabc2350-70b2-4dba-bb42-96a3175f4d5a"/>
    <ds:schemaRef ds:uri="http://www.w3.org/XML/1998/namespace"/>
    <ds:schemaRef ds:uri="http://schemas.microsoft.com/office/2006/documentManagement/types"/>
    <ds:schemaRef ds:uri="http://schemas.microsoft.com/office/infopath/2007/PartnerControls"/>
    <ds:schemaRef ds:uri="8ae15d26-076e-464e-81a7-6f76a0fb3917"/>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36</Pages>
  <Words>14621</Words>
  <Characters>80416</Characters>
  <Application>Microsoft Office Word</Application>
  <DocSecurity>0</DocSecurity>
  <Lines>670</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13</cp:revision>
  <cp:lastPrinted>2023-01-10T21:18:00Z</cp:lastPrinted>
  <dcterms:created xsi:type="dcterms:W3CDTF">2023-09-06T23:36:00Z</dcterms:created>
  <dcterms:modified xsi:type="dcterms:W3CDTF">2023-09-07T15:26:00Z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