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28BDF" w14:textId="77777777" w:rsidR="00F8377E" w:rsidRPr="0029294F" w:rsidRDefault="00F8377E" w:rsidP="00F8377E">
      <w:pPr>
        <w:spacing w:after="0" w:line="240" w:lineRule="auto"/>
        <w:jc w:val="both"/>
        <w:rPr>
          <w:rFonts w:ascii="Verdana" w:eastAsia="Calibri" w:hAnsi="Verdana" w:cs="Arial"/>
          <w:color w:val="000000"/>
          <w:lang w:val="es-ES_tradnl"/>
        </w:rPr>
      </w:pPr>
      <w:r w:rsidRPr="0029294F">
        <w:rPr>
          <w:rFonts w:ascii="Verdana" w:eastAsia="Calibri" w:hAnsi="Verdana" w:cs="Arial"/>
          <w:b/>
          <w:color w:val="000000"/>
          <w:lang w:val="es-ES_tradnl"/>
        </w:rPr>
        <w:t>REQUISITOS HABILITANTES – Contenido</w:t>
      </w:r>
    </w:p>
    <w:p w14:paraId="50AC8DC0" w14:textId="77777777" w:rsidR="00F8377E" w:rsidRPr="0029294F" w:rsidRDefault="00F8377E" w:rsidP="00F8377E">
      <w:pPr>
        <w:spacing w:after="0" w:line="240" w:lineRule="auto"/>
        <w:jc w:val="both"/>
        <w:rPr>
          <w:rFonts w:ascii="Verdana" w:eastAsia="Calibri" w:hAnsi="Verdana" w:cs="Arial"/>
          <w:color w:val="000000"/>
          <w:lang w:val="es-ES_tradnl"/>
        </w:rPr>
      </w:pPr>
    </w:p>
    <w:p w14:paraId="06C6F13F" w14:textId="77777777" w:rsidR="00F8377E" w:rsidRPr="0029294F" w:rsidRDefault="00F8377E" w:rsidP="00F8377E">
      <w:pPr>
        <w:spacing w:after="0" w:line="240" w:lineRule="auto"/>
        <w:jc w:val="both"/>
        <w:rPr>
          <w:rFonts w:ascii="Verdana" w:eastAsia="Calibri" w:hAnsi="Verdana" w:cs="Arial"/>
          <w:color w:val="000000"/>
          <w:sz w:val="20"/>
          <w:lang w:val="es-ES_tradnl"/>
        </w:rPr>
      </w:pPr>
      <w:r w:rsidRPr="0029294F">
        <w:rPr>
          <w:rFonts w:ascii="Verdana" w:eastAsia="Calibri" w:hAnsi="Verdana" w:cs="Arial"/>
          <w:color w:val="000000"/>
          <w:sz w:val="20"/>
          <w:lang w:val="es-ES_tradnl"/>
        </w:rPr>
        <w:t>[…]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habilitantes 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r w:rsidRPr="0029294F">
        <w:rPr>
          <w:rFonts w:ascii="Verdana" w:eastAsia="Calibri" w:hAnsi="Verdana" w:cs="Arial"/>
          <w:color w:val="000000"/>
          <w:sz w:val="20"/>
          <w:lang w:val="es-ES_tradnl"/>
        </w:rPr>
        <w:tab/>
      </w:r>
    </w:p>
    <w:p w14:paraId="19219FFB" w14:textId="77777777" w:rsidR="00F8377E" w:rsidRPr="0029294F" w:rsidRDefault="00F8377E" w:rsidP="00F8377E">
      <w:pPr>
        <w:spacing w:after="0" w:line="240" w:lineRule="auto"/>
        <w:jc w:val="both"/>
        <w:rPr>
          <w:rFonts w:ascii="Verdana" w:eastAsia="Calibri" w:hAnsi="Verdana" w:cs="Arial"/>
          <w:color w:val="000000"/>
          <w:lang w:val="es-ES_tradnl"/>
        </w:rPr>
      </w:pPr>
    </w:p>
    <w:p w14:paraId="3A032C76" w14:textId="77777777" w:rsidR="00F8377E" w:rsidRPr="0029294F" w:rsidRDefault="00F8377E" w:rsidP="00F8377E">
      <w:pPr>
        <w:spacing w:after="0" w:line="240" w:lineRule="auto"/>
        <w:jc w:val="both"/>
        <w:rPr>
          <w:rFonts w:ascii="Verdana" w:eastAsia="Calibri" w:hAnsi="Verdana" w:cs="Arial"/>
          <w:b/>
          <w:color w:val="000000"/>
          <w:lang w:val="es-ES"/>
        </w:rPr>
      </w:pPr>
      <w:r w:rsidRPr="0029294F">
        <w:rPr>
          <w:rFonts w:ascii="Verdana" w:eastAsia="Calibri" w:hAnsi="Verdana" w:cs="Arial"/>
          <w:b/>
          <w:color w:val="000000"/>
          <w:lang w:val="es-ES"/>
        </w:rPr>
        <w:t>SELECCIÓN OBJETIVA – Requisitos de ponderación – Asignación de puntaje – Comparación de ofertas</w:t>
      </w:r>
    </w:p>
    <w:p w14:paraId="26CD8143" w14:textId="77777777" w:rsidR="00F8377E" w:rsidRPr="0029294F" w:rsidRDefault="00F8377E" w:rsidP="00F8377E">
      <w:pPr>
        <w:spacing w:after="0" w:line="240" w:lineRule="auto"/>
        <w:jc w:val="both"/>
        <w:rPr>
          <w:rFonts w:ascii="Verdana" w:eastAsia="Calibri" w:hAnsi="Verdana" w:cs="Arial"/>
          <w:color w:val="000000"/>
          <w:lang w:val="es-ES_tradnl"/>
        </w:rPr>
      </w:pPr>
    </w:p>
    <w:p w14:paraId="34E4AB60" w14:textId="77777777" w:rsidR="00F8377E" w:rsidRPr="0029294F" w:rsidRDefault="00F8377E" w:rsidP="00F8377E">
      <w:pPr>
        <w:spacing w:after="120" w:line="240" w:lineRule="auto"/>
        <w:jc w:val="both"/>
        <w:rPr>
          <w:rFonts w:ascii="Verdana" w:eastAsia="Calibri" w:hAnsi="Verdana" w:cs="Arial"/>
          <w:sz w:val="20"/>
          <w:szCs w:val="20"/>
          <w:lang w:val="es-MX"/>
        </w:rPr>
      </w:pPr>
      <w:r w:rsidRPr="0029294F">
        <w:rPr>
          <w:rFonts w:ascii="Verdana" w:eastAsia="Calibri" w:hAnsi="Verdana" w:cs="Arial"/>
          <w:sz w:val="20"/>
          <w:szCs w:val="20"/>
          <w:lang w:val="es-MX"/>
        </w:rPr>
        <w:t xml:space="preserve">[…]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w:t>
      </w:r>
      <w:r>
        <w:rPr>
          <w:rFonts w:ascii="Verdana" w:eastAsia="Calibri" w:hAnsi="Verdana" w:cs="Arial"/>
          <w:sz w:val="20"/>
          <w:szCs w:val="20"/>
          <w:lang w:val="es-ES_tradnl"/>
        </w:rPr>
        <w:t>“</w:t>
      </w:r>
      <w:r w:rsidRPr="0029294F">
        <w:rPr>
          <w:rFonts w:ascii="Verdana" w:eastAsia="Calibri" w:hAnsi="Verdana" w:cs="Arial"/>
          <w:sz w:val="20"/>
          <w:szCs w:val="20"/>
          <w:lang w:val="es-ES_tradnl"/>
        </w:rPr>
        <w:t>[…]</w:t>
      </w:r>
      <w:r w:rsidRPr="0029294F">
        <w:rPr>
          <w:rFonts w:ascii="Verdana" w:eastAsia="Calibri" w:hAnsi="Verdana" w:cs="Arial"/>
          <w:sz w:val="20"/>
          <w:szCs w:val="20"/>
          <w:lang w:val="es-MX"/>
        </w:rPr>
        <w:t xml:space="preserve"> aquellas condiciones de la oferta y no de quien la presenta, que sí entrarán a ser evaluadas por la Administración y </w:t>
      </w:r>
      <w:proofErr w:type="gramStart"/>
      <w:r w:rsidRPr="0029294F">
        <w:rPr>
          <w:rFonts w:ascii="Verdana" w:eastAsia="Calibri" w:hAnsi="Verdana" w:cs="Arial"/>
          <w:sz w:val="20"/>
          <w:szCs w:val="20"/>
          <w:lang w:val="es-MX"/>
        </w:rPr>
        <w:t>que</w:t>
      </w:r>
      <w:proofErr w:type="gramEnd"/>
      <w:r w:rsidRPr="0029294F">
        <w:rPr>
          <w:rFonts w:ascii="Verdana" w:eastAsia="Calibri" w:hAnsi="Verdana" w:cs="Arial"/>
          <w:sz w:val="20"/>
          <w:szCs w:val="20"/>
          <w:lang w:val="es-MX"/>
        </w:rPr>
        <w:t xml:space="preserve"> en consecuencia, darán lugar a la escogencia objetiva de la mejor propuesta para la entidad</w:t>
      </w:r>
      <w:r>
        <w:rPr>
          <w:rFonts w:ascii="Verdana" w:eastAsia="Calibri" w:hAnsi="Verdana" w:cs="Arial"/>
          <w:sz w:val="20"/>
          <w:szCs w:val="20"/>
          <w:lang w:val="es-MX"/>
        </w:rPr>
        <w:t>”</w:t>
      </w:r>
      <w:r w:rsidRPr="0029294F">
        <w:rPr>
          <w:rFonts w:ascii="Verdana" w:eastAsia="Calibri" w:hAnsi="Verdana" w:cs="Arial"/>
          <w:sz w:val="20"/>
          <w:szCs w:val="20"/>
          <w:lang w:val="es-MX"/>
        </w:rPr>
        <w:t xml:space="preserve">. Todas estas categorías designan los </w:t>
      </w:r>
      <w:r>
        <w:rPr>
          <w:rFonts w:ascii="Verdana" w:eastAsia="Calibri" w:hAnsi="Verdana" w:cs="Arial"/>
          <w:sz w:val="20"/>
          <w:szCs w:val="20"/>
          <w:lang w:val="es-ES_tradnl"/>
        </w:rPr>
        <w:t>“</w:t>
      </w:r>
      <w:r w:rsidRPr="0029294F">
        <w:rPr>
          <w:rFonts w:ascii="Verdana" w:eastAsia="Calibri" w:hAnsi="Verdana" w:cs="Arial"/>
          <w:sz w:val="20"/>
          <w:szCs w:val="20"/>
          <w:lang w:val="es-ES_tradnl"/>
        </w:rPr>
        <w:t>[…]</w:t>
      </w:r>
      <w:r w:rsidRPr="0029294F">
        <w:rPr>
          <w:rFonts w:ascii="Verdana" w:eastAsia="Calibri" w:hAnsi="Verdana" w:cs="Arial"/>
          <w:sz w:val="20"/>
          <w:szCs w:val="20"/>
          <w:lang w:val="es-MX"/>
        </w:rPr>
        <w:t xml:space="preserve"> factores a los cuales cabe otorgarles puntajes o que pueden ser ponderados, precisamente, pues estos son los factores que en últimas permiten una comparación de ofertas y una diferenciación entre ellas</w:t>
      </w:r>
      <w:r>
        <w:rPr>
          <w:rFonts w:ascii="Verdana" w:eastAsia="Calibri" w:hAnsi="Verdana" w:cs="Arial"/>
          <w:sz w:val="20"/>
          <w:szCs w:val="20"/>
          <w:lang w:val="es-MX"/>
        </w:rPr>
        <w:t>”</w:t>
      </w:r>
      <w:r w:rsidRPr="0029294F">
        <w:rPr>
          <w:rFonts w:ascii="Verdana" w:eastAsia="Calibri" w:hAnsi="Verdana" w:cs="Arial"/>
          <w:sz w:val="20"/>
          <w:szCs w:val="20"/>
          <w:lang w:val="es-MX"/>
        </w:rPr>
        <w:t xml:space="preserve"> […].</w:t>
      </w:r>
    </w:p>
    <w:p w14:paraId="438F5904" w14:textId="77777777" w:rsidR="00F8377E" w:rsidRPr="0029294F" w:rsidRDefault="00F8377E" w:rsidP="00F8377E">
      <w:pPr>
        <w:spacing w:after="0" w:line="240" w:lineRule="auto"/>
        <w:jc w:val="both"/>
        <w:rPr>
          <w:rFonts w:ascii="Verdana" w:eastAsia="Calibri" w:hAnsi="Verdana" w:cs="Arial"/>
          <w:color w:val="000000"/>
          <w:sz w:val="20"/>
          <w:szCs w:val="20"/>
          <w:lang w:val="es-ES_tradnl"/>
        </w:rPr>
      </w:pPr>
      <w:r w:rsidRPr="0029294F">
        <w:rPr>
          <w:rFonts w:ascii="Verdana" w:eastAsia="Calibri" w:hAnsi="Verdana" w:cs="Arial"/>
          <w:color w:val="000000"/>
          <w:sz w:val="20"/>
          <w:szCs w:val="20"/>
          <w:lang w:val="es-ES_tradnl"/>
        </w:rPr>
        <w:t>[…]</w:t>
      </w:r>
    </w:p>
    <w:p w14:paraId="6D56D1CE" w14:textId="77777777" w:rsidR="00F8377E" w:rsidRPr="0029294F" w:rsidRDefault="00F8377E" w:rsidP="00F8377E">
      <w:pPr>
        <w:spacing w:after="120" w:line="240" w:lineRule="auto"/>
        <w:jc w:val="both"/>
        <w:rPr>
          <w:rFonts w:ascii="Verdana" w:eastAsia="Calibri" w:hAnsi="Verdana" w:cs="Arial"/>
          <w:sz w:val="20"/>
          <w:szCs w:val="20"/>
          <w:lang w:val="es-MX"/>
        </w:rPr>
      </w:pPr>
      <w:r w:rsidRPr="0029294F">
        <w:rPr>
          <w:rFonts w:ascii="Verdana" w:eastAsia="Calibri" w:hAnsi="Verdana" w:cs="Arial"/>
          <w:sz w:val="20"/>
          <w:szCs w:val="20"/>
          <w:lang w:val="es-MX"/>
        </w:rPr>
        <w:t>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w:t>
      </w:r>
    </w:p>
    <w:p w14:paraId="36BBC67F" w14:textId="77777777" w:rsidR="00F8377E" w:rsidRDefault="00F8377E" w:rsidP="00F8377E">
      <w:pPr>
        <w:spacing w:after="0" w:line="240" w:lineRule="auto"/>
        <w:jc w:val="both"/>
        <w:rPr>
          <w:rFonts w:ascii="Verdana" w:eastAsia="Calibri" w:hAnsi="Verdana" w:cs="Arial"/>
          <w:sz w:val="20"/>
          <w:szCs w:val="20"/>
          <w:lang w:val="es-MX"/>
        </w:rPr>
      </w:pPr>
      <w:r w:rsidRPr="0029294F">
        <w:rPr>
          <w:rFonts w:ascii="Verdana" w:eastAsia="Calibri" w:hAnsi="Verdana" w:cs="Arial"/>
          <w:sz w:val="20"/>
          <w:szCs w:val="20"/>
          <w:lang w:val="es-MX"/>
        </w:rPr>
        <w:t xml:space="preserve">En ese sentido, la asignación de puntaje es un mecanismo mediante el cual las entidades ponderan los factores de calificación </w:t>
      </w:r>
      <w:r w:rsidRPr="0029294F">
        <w:rPr>
          <w:rFonts w:ascii="Arial" w:eastAsia="Calibri" w:hAnsi="Arial" w:cs="Arial"/>
          <w:sz w:val="20"/>
          <w:szCs w:val="20"/>
          <w:lang w:val="es-MX"/>
        </w:rPr>
        <w:t>ꟷ</w:t>
      </w:r>
      <w:r w:rsidRPr="0029294F">
        <w:rPr>
          <w:rFonts w:ascii="Verdana" w:eastAsia="Calibri" w:hAnsi="Verdana" w:cs="Arial"/>
          <w:i/>
          <w:sz w:val="20"/>
          <w:szCs w:val="20"/>
          <w:lang w:val="es-MX"/>
        </w:rPr>
        <w:t>v.g.</w:t>
      </w:r>
      <w:r w:rsidRPr="0029294F">
        <w:rPr>
          <w:rFonts w:ascii="Verdana" w:eastAsia="Calibri" w:hAnsi="Verdana" w:cs="Arial"/>
          <w:sz w:val="20"/>
          <w:szCs w:val="20"/>
          <w:lang w:val="es-MX"/>
        </w:rPr>
        <w:t xml:space="preserve"> técnicos y económicos, de calidad y precio</w:t>
      </w:r>
      <w:r w:rsidRPr="0029294F">
        <w:rPr>
          <w:rFonts w:ascii="Verdana" w:eastAsia="Calibri" w:hAnsi="Verdana" w:cs="Arial"/>
          <w:sz w:val="20"/>
          <w:szCs w:val="20"/>
          <w:lang w:val="es-MX"/>
        </w:rPr>
        <w:softHyphen/>
        <w:t>, etc.</w:t>
      </w:r>
      <w:r w:rsidRPr="0029294F">
        <w:rPr>
          <w:rFonts w:ascii="Arial" w:eastAsia="Calibri" w:hAnsi="Arial" w:cs="Arial"/>
          <w:sz w:val="20"/>
          <w:szCs w:val="20"/>
          <w:lang w:val="es-MX"/>
        </w:rPr>
        <w:t>ꟷ</w:t>
      </w:r>
      <w:r w:rsidRPr="0029294F">
        <w:rPr>
          <w:rFonts w:ascii="Verdana" w:eastAsia="Calibri" w:hAnsi="Verdana" w:cs="Arial"/>
          <w:sz w:val="20"/>
          <w:szCs w:val="20"/>
          <w:lang w:val="es-MX"/>
        </w:rPr>
        <w:t xml:space="preserve"> en un determinado proceso de selecci</w:t>
      </w:r>
      <w:r w:rsidRPr="0029294F">
        <w:rPr>
          <w:rFonts w:ascii="Verdana" w:eastAsia="Calibri" w:hAnsi="Verdana" w:cs="Verdana"/>
          <w:sz w:val="20"/>
          <w:szCs w:val="20"/>
          <w:lang w:val="es-MX"/>
        </w:rPr>
        <w:t>ó</w:t>
      </w:r>
      <w:r w:rsidRPr="0029294F">
        <w:rPr>
          <w:rFonts w:ascii="Verdana" w:eastAsia="Calibri" w:hAnsi="Verdana" w:cs="Arial"/>
          <w:sz w:val="20"/>
          <w:szCs w:val="20"/>
          <w:lang w:val="es-MX"/>
        </w:rPr>
        <w:t>n, como se desprende del literal a) del numeral 2 del art</w:t>
      </w:r>
      <w:r w:rsidRPr="0029294F">
        <w:rPr>
          <w:rFonts w:ascii="Verdana" w:eastAsia="Calibri" w:hAnsi="Verdana" w:cs="Verdana"/>
          <w:sz w:val="20"/>
          <w:szCs w:val="20"/>
          <w:lang w:val="es-MX"/>
        </w:rPr>
        <w:t>í</w:t>
      </w:r>
      <w:r w:rsidRPr="0029294F">
        <w:rPr>
          <w:rFonts w:ascii="Verdana" w:eastAsia="Calibri" w:hAnsi="Verdana" w:cs="Arial"/>
          <w:sz w:val="20"/>
          <w:szCs w:val="20"/>
          <w:lang w:val="es-MX"/>
        </w:rPr>
        <w:t xml:space="preserve">culo 5 de la Ley 1150 de 2007, en el que expresamente se alude al puntaje. Sin embargo, no es este el </w:t>
      </w:r>
      <w:r w:rsidRPr="0029294F">
        <w:rPr>
          <w:rFonts w:ascii="Verdana" w:eastAsia="Calibri" w:hAnsi="Verdana" w:cs="Verdana"/>
          <w:sz w:val="20"/>
          <w:szCs w:val="20"/>
          <w:lang w:val="es-MX"/>
        </w:rPr>
        <w:t>ú</w:t>
      </w:r>
      <w:r w:rsidRPr="0029294F">
        <w:rPr>
          <w:rFonts w:ascii="Verdana" w:eastAsia="Calibri" w:hAnsi="Verdana" w:cs="Arial"/>
          <w:sz w:val="20"/>
          <w:szCs w:val="20"/>
          <w:lang w:val="es-MX"/>
        </w:rPr>
        <w:t>nico mecanismo de ponderaci</w:t>
      </w:r>
      <w:r w:rsidRPr="0029294F">
        <w:rPr>
          <w:rFonts w:ascii="Verdana" w:eastAsia="Calibri" w:hAnsi="Verdana" w:cs="Verdana"/>
          <w:sz w:val="20"/>
          <w:szCs w:val="20"/>
          <w:lang w:val="es-MX"/>
        </w:rPr>
        <w:t>ó</w:t>
      </w:r>
      <w:r w:rsidRPr="0029294F">
        <w:rPr>
          <w:rFonts w:ascii="Verdana" w:eastAsia="Calibri" w:hAnsi="Verdana" w:cs="Arial"/>
          <w:sz w:val="20"/>
          <w:szCs w:val="20"/>
          <w:lang w:val="es-MX"/>
        </w:rPr>
        <w:t>n que tienen a su alcance las entidades estatales para determinar el ofrecimiento m</w:t>
      </w:r>
      <w:r w:rsidRPr="0029294F">
        <w:rPr>
          <w:rFonts w:ascii="Verdana" w:eastAsia="Calibri" w:hAnsi="Verdana" w:cs="Verdana"/>
          <w:sz w:val="20"/>
          <w:szCs w:val="20"/>
          <w:lang w:val="es-MX"/>
        </w:rPr>
        <w:t>á</w:t>
      </w:r>
      <w:r w:rsidRPr="0029294F">
        <w:rPr>
          <w:rFonts w:ascii="Verdana" w:eastAsia="Calibri" w:hAnsi="Verdana" w:cs="Arial"/>
          <w:sz w:val="20"/>
          <w:szCs w:val="20"/>
          <w:lang w:val="es-MX"/>
        </w:rPr>
        <w:t xml:space="preserve">s favorable, ya que </w:t>
      </w:r>
      <w:r w:rsidRPr="0029294F">
        <w:rPr>
          <w:rFonts w:ascii="Verdana" w:eastAsia="Calibri" w:hAnsi="Verdana" w:cs="Arial"/>
          <w:sz w:val="20"/>
          <w:szCs w:val="20"/>
          <w:lang w:val="es-MX"/>
        </w:rPr>
        <w:lastRenderedPageBreak/>
        <w:t>el propio literal b) del art</w:t>
      </w:r>
      <w:r w:rsidRPr="0029294F">
        <w:rPr>
          <w:rFonts w:ascii="Verdana" w:eastAsia="Calibri" w:hAnsi="Verdana" w:cs="Verdana"/>
          <w:sz w:val="20"/>
          <w:szCs w:val="20"/>
          <w:lang w:val="es-MX"/>
        </w:rPr>
        <w:t>í</w:t>
      </w:r>
      <w:r w:rsidRPr="0029294F">
        <w:rPr>
          <w:rFonts w:ascii="Verdana" w:eastAsia="Calibri" w:hAnsi="Verdana" w:cs="Arial"/>
          <w:sz w:val="20"/>
          <w:szCs w:val="20"/>
          <w:lang w:val="es-MX"/>
        </w:rPr>
        <w:t>culo 5.2 posibilita que el ofrecimiento m</w:t>
      </w:r>
      <w:r w:rsidRPr="0029294F">
        <w:rPr>
          <w:rFonts w:ascii="Verdana" w:eastAsia="Calibri" w:hAnsi="Verdana" w:cs="Verdana"/>
          <w:sz w:val="20"/>
          <w:szCs w:val="20"/>
          <w:lang w:val="es-MX"/>
        </w:rPr>
        <w:t>á</w:t>
      </w:r>
      <w:r w:rsidRPr="0029294F">
        <w:rPr>
          <w:rFonts w:ascii="Verdana" w:eastAsia="Calibri" w:hAnsi="Verdana" w:cs="Arial"/>
          <w:sz w:val="20"/>
          <w:szCs w:val="20"/>
          <w:lang w:val="es-MX"/>
        </w:rPr>
        <w:t>s favorable se determine con un an</w:t>
      </w:r>
      <w:r w:rsidRPr="0029294F">
        <w:rPr>
          <w:rFonts w:ascii="Verdana" w:eastAsia="Calibri" w:hAnsi="Verdana" w:cs="Verdana"/>
          <w:sz w:val="20"/>
          <w:szCs w:val="20"/>
          <w:lang w:val="es-MX"/>
        </w:rPr>
        <w:t>á</w:t>
      </w:r>
      <w:r w:rsidRPr="0029294F">
        <w:rPr>
          <w:rFonts w:ascii="Verdana" w:eastAsia="Calibri" w:hAnsi="Verdana" w:cs="Arial"/>
          <w:sz w:val="20"/>
          <w:szCs w:val="20"/>
          <w:lang w:val="es-MX"/>
        </w:rPr>
        <w:t>lisis de la relaci</w:t>
      </w:r>
      <w:r w:rsidRPr="0029294F">
        <w:rPr>
          <w:rFonts w:ascii="Verdana" w:eastAsia="Calibri" w:hAnsi="Verdana" w:cs="Verdana"/>
          <w:sz w:val="20"/>
          <w:szCs w:val="20"/>
          <w:lang w:val="es-MX"/>
        </w:rPr>
        <w:t>ó</w:t>
      </w:r>
      <w:r w:rsidRPr="0029294F">
        <w:rPr>
          <w:rFonts w:ascii="Verdana" w:eastAsia="Calibri" w:hAnsi="Verdana" w:cs="Arial"/>
          <w:sz w:val="20"/>
          <w:szCs w:val="20"/>
          <w:lang w:val="es-MX"/>
        </w:rPr>
        <w:t>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5CBAB6F3" w14:textId="77777777" w:rsidR="00F8377E" w:rsidRDefault="00F8377E" w:rsidP="00F8377E">
      <w:pPr>
        <w:spacing w:after="0" w:line="240" w:lineRule="auto"/>
        <w:jc w:val="both"/>
        <w:rPr>
          <w:rFonts w:ascii="Verdana" w:eastAsia="Calibri" w:hAnsi="Verdana" w:cs="Arial"/>
          <w:sz w:val="20"/>
          <w:szCs w:val="20"/>
          <w:lang w:val="es-MX"/>
        </w:rPr>
      </w:pPr>
    </w:p>
    <w:p w14:paraId="020966B1" w14:textId="77777777" w:rsidR="00F8377E" w:rsidRPr="00505991" w:rsidRDefault="00F8377E" w:rsidP="00F8377E">
      <w:pPr>
        <w:spacing w:after="0" w:line="240" w:lineRule="auto"/>
        <w:jc w:val="both"/>
        <w:rPr>
          <w:rFonts w:ascii="Verdana" w:eastAsia="Calibri" w:hAnsi="Verdana" w:cs="Arial"/>
          <w:b/>
          <w:bCs/>
          <w:color w:val="000000" w:themeColor="text1"/>
          <w:lang w:val="es-ES_tradnl"/>
        </w:rPr>
      </w:pPr>
      <w:r w:rsidRPr="00505991">
        <w:rPr>
          <w:rFonts w:ascii="Verdana" w:eastAsia="Calibri" w:hAnsi="Verdana" w:cs="Arial"/>
          <w:b/>
          <w:bCs/>
          <w:color w:val="000000" w:themeColor="text1"/>
          <w:lang w:val="es-ES_tradnl"/>
        </w:rPr>
        <w:t>REQUISITOS HABILITANTES – Ley 1150 DE 2007 – Carácter enunciativo</w:t>
      </w:r>
    </w:p>
    <w:p w14:paraId="3DB542AF" w14:textId="77777777" w:rsidR="00F8377E" w:rsidRPr="00505991" w:rsidRDefault="00F8377E" w:rsidP="00F8377E">
      <w:pPr>
        <w:spacing w:after="0" w:line="240" w:lineRule="auto"/>
        <w:rPr>
          <w:rFonts w:ascii="Verdana" w:eastAsia="Calibri" w:hAnsi="Verdana" w:cs="Arial"/>
          <w:b/>
          <w:bCs/>
          <w:color w:val="000000" w:themeColor="text1"/>
          <w:sz w:val="20"/>
          <w:szCs w:val="20"/>
          <w:lang w:val="es-ES_tradnl"/>
        </w:rPr>
      </w:pPr>
    </w:p>
    <w:p w14:paraId="6DCBF7C2" w14:textId="77777777" w:rsidR="00F8377E" w:rsidRPr="00505991" w:rsidRDefault="00F8377E" w:rsidP="00F8377E">
      <w:pPr>
        <w:spacing w:after="0" w:line="240" w:lineRule="auto"/>
        <w:jc w:val="both"/>
        <w:rPr>
          <w:rFonts w:ascii="Verdana" w:eastAsia="Calibri" w:hAnsi="Verdana" w:cs="Arial"/>
          <w:b/>
          <w:bCs/>
          <w:color w:val="000000" w:themeColor="text1"/>
          <w:sz w:val="20"/>
          <w:szCs w:val="20"/>
          <w:lang w:val="es-ES_tradnl"/>
        </w:rPr>
      </w:pPr>
      <w:r w:rsidRPr="00505991">
        <w:rPr>
          <w:rFonts w:ascii="Verdana" w:eastAsia="Calibri" w:hAnsi="Verdana" w:cs="Arial"/>
          <w:color w:val="000000" w:themeColor="text1"/>
          <w:sz w:val="20"/>
          <w:szCs w:val="20"/>
          <w:lang w:val="es-ES"/>
        </w:rPr>
        <w:t>Ahora bien, en este punto vale la pena preguntarse si los cuatro requisitos habilitantes establecidos en el artículo 5, numeral 1, de la Ley 1150 de 2007, cuyo alcance fue explicado previamente, son taxativos, esto es, si son los únicos requisitos habilitantes que puede exigirles una entidad a los proponentes. Esta pregunta tiene, al menos, dos respuestas posibles. Por un lado, que sí lo son, ya que la norma no hace referencia a otros diferentes y,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w:t>
      </w:r>
    </w:p>
    <w:p w14:paraId="44ECC98F" w14:textId="77777777" w:rsidR="00F8377E" w:rsidRPr="0029294F" w:rsidRDefault="00F8377E" w:rsidP="00F8377E">
      <w:pPr>
        <w:spacing w:after="0" w:line="240" w:lineRule="auto"/>
        <w:jc w:val="both"/>
        <w:rPr>
          <w:rFonts w:ascii="Verdana" w:eastAsia="Calibri" w:hAnsi="Verdana" w:cs="Arial"/>
          <w:color w:val="000000"/>
          <w:sz w:val="20"/>
          <w:szCs w:val="20"/>
          <w:lang w:val="es-ES_tradnl"/>
        </w:rPr>
      </w:pPr>
    </w:p>
    <w:p w14:paraId="4AFD44FF" w14:textId="77777777" w:rsidR="00F8377E" w:rsidRPr="0029294F" w:rsidRDefault="00F8377E" w:rsidP="00F8377E">
      <w:pPr>
        <w:spacing w:after="0" w:line="240" w:lineRule="auto"/>
        <w:jc w:val="both"/>
        <w:rPr>
          <w:rFonts w:ascii="Verdana" w:eastAsia="Calibri" w:hAnsi="Verdana" w:cs="Arial"/>
          <w:color w:val="000000"/>
          <w:sz w:val="20"/>
          <w:lang w:val="es-ES_tradnl"/>
        </w:rPr>
      </w:pPr>
    </w:p>
    <w:p w14:paraId="714CC080" w14:textId="77777777" w:rsidR="00F8377E" w:rsidRPr="008C52F1" w:rsidRDefault="00F8377E" w:rsidP="00F8377E">
      <w:pPr>
        <w:spacing w:after="0"/>
        <w:jc w:val="both"/>
        <w:rPr>
          <w:rFonts w:ascii="Verdana" w:eastAsia="Geomanist Light" w:hAnsi="Verdana" w:cs="Arial"/>
          <w:b/>
          <w:bCs/>
          <w:lang w:val="es-MX"/>
        </w:rPr>
      </w:pPr>
      <w:r w:rsidRPr="008C52F1">
        <w:rPr>
          <w:rFonts w:ascii="Verdana" w:eastAsia="Geomanist Light" w:hAnsi="Verdana" w:cs="Arial"/>
          <w:b/>
          <w:bCs/>
          <w:lang w:val="es-MX"/>
        </w:rPr>
        <w:t xml:space="preserve">SUBSANALIDAD Y ACLARACIÓN DE LA OFERTA – Diferencias </w:t>
      </w:r>
    </w:p>
    <w:p w14:paraId="2881F4D9" w14:textId="77777777" w:rsidR="00F8377E" w:rsidRPr="008C52F1" w:rsidRDefault="00F8377E" w:rsidP="00F8377E">
      <w:pPr>
        <w:spacing w:after="0"/>
        <w:jc w:val="both"/>
        <w:rPr>
          <w:rFonts w:ascii="Verdana" w:eastAsia="Geomanist Light" w:hAnsi="Verdana" w:cs="Arial"/>
          <w:b/>
          <w:bCs/>
          <w:lang w:val="es-MX"/>
        </w:rPr>
      </w:pPr>
    </w:p>
    <w:p w14:paraId="1C9AF689" w14:textId="77777777" w:rsidR="00F8377E" w:rsidRPr="008C52F1" w:rsidRDefault="00F8377E" w:rsidP="00F8377E">
      <w:pPr>
        <w:spacing w:after="0" w:line="240" w:lineRule="auto"/>
        <w:jc w:val="both"/>
        <w:rPr>
          <w:rFonts w:ascii="Verdana" w:hAnsi="Verdana" w:cs="Arial"/>
          <w:bCs/>
          <w:sz w:val="20"/>
          <w:szCs w:val="20"/>
        </w:rPr>
      </w:pPr>
      <w:r w:rsidRPr="008C52F1">
        <w:rPr>
          <w:rFonts w:ascii="Verdana" w:hAnsi="Verdana" w:cs="Arial"/>
          <w:bCs/>
          <w:sz w:val="20"/>
          <w:szCs w:val="20"/>
        </w:rPr>
        <w:t>“[…]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Finalmente, como dispone el artículo 30.7 de la Ley 80 de 1993, la aclaración de las propuestas se realiza durante la evaluación de estas, pues es necesario esclarecer los aspectos dudosos de las ofertas antes de la adjudicación. Por ello, la jurisprudencia también explica que “[…] el proponente debe acogerse al tiempo que le otorga la administración para subsanar o aclarar la oferta, lapso que la entidad no puede extender más allá de la adjudicación […]”. De esta manera, “lo ideal en un proceso de selección es que las aclaraciones y explicaciones se anticipen y soliciten durante la etapa de evaluación, lo más pronto posible, es decir, antes de que la entidad elabore el informe respectivo, de tal manera que las tenga en cuenta para producir ese acto administrativo”.</w:t>
      </w:r>
    </w:p>
    <w:p w14:paraId="7FF0A71A" w14:textId="77777777" w:rsidR="00F8377E" w:rsidRPr="00505991" w:rsidRDefault="00F8377E" w:rsidP="00F8377E">
      <w:pPr>
        <w:spacing w:after="0" w:line="240" w:lineRule="auto"/>
        <w:jc w:val="both"/>
        <w:rPr>
          <w:rFonts w:ascii="Verdana" w:eastAsia="Times New Roman" w:hAnsi="Verdana" w:cs="Arial"/>
          <w:noProof/>
          <w:lang w:eastAsia="es-ES_tradnl"/>
        </w:rPr>
      </w:pPr>
    </w:p>
    <w:p w14:paraId="4E479FA2" w14:textId="77777777" w:rsidR="00F8377E" w:rsidRDefault="00F8377E" w:rsidP="00F8377E">
      <w:pPr>
        <w:spacing w:after="0" w:line="240" w:lineRule="auto"/>
        <w:jc w:val="both"/>
        <w:rPr>
          <w:rFonts w:ascii="Verdana" w:eastAsia="Times New Roman" w:hAnsi="Verdana" w:cs="Arial"/>
          <w:noProof/>
          <w:lang w:val="es-ES_tradnl" w:eastAsia="es-ES_tradnl"/>
        </w:rPr>
      </w:pPr>
    </w:p>
    <w:p w14:paraId="2CC3E830" w14:textId="77777777" w:rsidR="00F8377E" w:rsidRPr="00262582" w:rsidRDefault="00F8377E" w:rsidP="00F8377E">
      <w:pPr>
        <w:spacing w:after="0" w:line="240" w:lineRule="auto"/>
        <w:jc w:val="both"/>
        <w:rPr>
          <w:rFonts w:ascii="Verdana" w:eastAsia="Times New Roman" w:hAnsi="Verdana" w:cs="Arial"/>
          <w:noProof/>
          <w:lang w:val="es-ES_tradnl" w:eastAsia="es-ES_tradnl"/>
        </w:rPr>
      </w:pPr>
      <w:r w:rsidRPr="00262582">
        <w:rPr>
          <w:rFonts w:ascii="Verdana" w:eastAsia="Times New Roman" w:hAnsi="Verdana" w:cs="Arial"/>
          <w:noProof/>
          <w:lang w:val="es-ES_tradnl" w:eastAsia="es-ES_tradnl"/>
        </w:rPr>
        <w:lastRenderedPageBreak/>
        <w:t>Bogotá D.C., [Día] de [Mes.NombreCapitalizado] de [Año]</w:t>
      </w:r>
    </w:p>
    <w:p w14:paraId="72AF4736" w14:textId="77777777" w:rsidR="00F8377E" w:rsidRPr="00262582" w:rsidRDefault="00F8377E" w:rsidP="00F8377E">
      <w:pPr>
        <w:spacing w:after="0" w:line="240" w:lineRule="auto"/>
        <w:jc w:val="both"/>
        <w:rPr>
          <w:rFonts w:ascii="Verdana" w:eastAsia="Times New Roman" w:hAnsi="Verdana" w:cs="Arial"/>
          <w:noProof/>
          <w:lang w:val="es-ES_tradnl" w:eastAsia="es-ES_tradnl"/>
        </w:rPr>
      </w:pPr>
    </w:p>
    <w:p w14:paraId="494BD149" w14:textId="4B556716" w:rsidR="00F8377E" w:rsidRPr="00262582" w:rsidRDefault="009428AE" w:rsidP="00F8377E">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26609900" wp14:editId="5D5DE61D">
            <wp:extent cx="3260090" cy="958850"/>
            <wp:effectExtent l="0" t="0" r="0" b="0"/>
            <wp:docPr id="228681669"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81669" name="Imagen 1" descr="Interfaz de usuario gráfica, Aplicación, Word&#10;&#10;Descripción generada automáticamente"/>
                    <pic:cNvPicPr/>
                  </pic:nvPicPr>
                  <pic:blipFill rotWithShape="1">
                    <a:blip r:embed="rId10"/>
                    <a:srcRect l="10523" t="37476" r="52931" b="26195"/>
                    <a:stretch/>
                  </pic:blipFill>
                  <pic:spPr bwMode="auto">
                    <a:xfrm>
                      <a:off x="0" y="0"/>
                      <a:ext cx="3261669" cy="959314"/>
                    </a:xfrm>
                    <a:prstGeom prst="rect">
                      <a:avLst/>
                    </a:prstGeom>
                    <a:ln>
                      <a:noFill/>
                    </a:ln>
                    <a:extLst>
                      <a:ext uri="{53640926-AAD7-44D8-BBD7-CCE9431645EC}">
                        <a14:shadowObscured xmlns:a14="http://schemas.microsoft.com/office/drawing/2010/main"/>
                      </a:ext>
                    </a:extLst>
                  </pic:spPr>
                </pic:pic>
              </a:graphicData>
            </a:graphic>
          </wp:inline>
        </w:drawing>
      </w:r>
    </w:p>
    <w:p w14:paraId="7CA8C24B" w14:textId="77777777" w:rsidR="00F8377E" w:rsidRPr="00262582" w:rsidRDefault="00F8377E" w:rsidP="00F8377E">
      <w:pPr>
        <w:spacing w:after="0" w:line="240" w:lineRule="auto"/>
        <w:jc w:val="both"/>
        <w:rPr>
          <w:rFonts w:ascii="Verdana" w:eastAsia="Calibri" w:hAnsi="Verdana" w:cs="Arial"/>
          <w:lang w:val="es-ES" w:eastAsia="es-ES_tradnl"/>
        </w:rPr>
      </w:pPr>
      <w:r w:rsidRPr="00262582">
        <w:rPr>
          <w:rFonts w:ascii="Verdana" w:eastAsia="Calibri" w:hAnsi="Verdana" w:cs="Arial"/>
          <w:lang w:val="es-ES" w:eastAsia="es-ES_tradnl"/>
        </w:rPr>
        <w:t>Señora</w:t>
      </w:r>
    </w:p>
    <w:p w14:paraId="7132C336" w14:textId="77777777" w:rsidR="00F8377E" w:rsidRPr="00262582" w:rsidRDefault="00F8377E" w:rsidP="00F8377E">
      <w:pPr>
        <w:spacing w:after="0" w:line="240" w:lineRule="auto"/>
        <w:rPr>
          <w:rFonts w:ascii="Verdana" w:eastAsia="Calibri" w:hAnsi="Verdana" w:cs="Arial"/>
          <w:b/>
          <w:bCs/>
          <w:lang w:val="es-ES" w:eastAsia="es-ES_tradnl"/>
        </w:rPr>
      </w:pPr>
      <w:proofErr w:type="spellStart"/>
      <w:r>
        <w:rPr>
          <w:rFonts w:ascii="Verdana" w:eastAsia="Calibri" w:hAnsi="Verdana" w:cs="Arial"/>
          <w:b/>
          <w:bCs/>
          <w:lang w:val="es-ES" w:eastAsia="es-ES_tradnl"/>
        </w:rPr>
        <w:t>Nicolle</w:t>
      </w:r>
      <w:proofErr w:type="spellEnd"/>
      <w:r>
        <w:rPr>
          <w:rFonts w:ascii="Verdana" w:eastAsia="Calibri" w:hAnsi="Verdana" w:cs="Arial"/>
          <w:b/>
          <w:bCs/>
          <w:lang w:val="es-ES" w:eastAsia="es-ES_tradnl"/>
        </w:rPr>
        <w:t xml:space="preserve"> Daniela Rueda </w:t>
      </w:r>
      <w:proofErr w:type="spellStart"/>
      <w:r>
        <w:rPr>
          <w:rFonts w:ascii="Verdana" w:eastAsia="Calibri" w:hAnsi="Verdana" w:cs="Arial"/>
          <w:b/>
          <w:bCs/>
          <w:lang w:val="es-ES" w:eastAsia="es-ES_tradnl"/>
        </w:rPr>
        <w:t>Fernandez</w:t>
      </w:r>
      <w:proofErr w:type="spellEnd"/>
    </w:p>
    <w:p w14:paraId="4377D425" w14:textId="77777777" w:rsidR="00F8377E" w:rsidRPr="00262582" w:rsidRDefault="00F8377E" w:rsidP="00F8377E">
      <w:pPr>
        <w:spacing w:after="0" w:line="240" w:lineRule="auto"/>
        <w:rPr>
          <w:rFonts w:ascii="Verdana" w:eastAsia="Calibri" w:hAnsi="Verdana" w:cs="Arial"/>
          <w:lang w:val="es-ES_tradnl" w:eastAsia="es-ES_tradnl"/>
        </w:rPr>
      </w:pPr>
      <w:r w:rsidRPr="00262582">
        <w:rPr>
          <w:rFonts w:ascii="Verdana" w:eastAsia="Calibri" w:hAnsi="Verdana" w:cs="Arial"/>
          <w:bCs/>
          <w:lang w:val="es-ES_tradnl" w:eastAsia="es-ES_tradnl"/>
        </w:rPr>
        <w:t>Ciudad</w:t>
      </w:r>
    </w:p>
    <w:p w14:paraId="67126E13" w14:textId="77777777" w:rsidR="00F8377E" w:rsidRPr="00262582" w:rsidRDefault="00F8377E" w:rsidP="00F8377E">
      <w:pPr>
        <w:spacing w:after="0" w:line="240" w:lineRule="auto"/>
        <w:rPr>
          <w:rFonts w:ascii="Verdana" w:eastAsia="Calibri" w:hAnsi="Verdana" w:cs="Arial"/>
          <w:lang w:val="es-ES_tradnl" w:eastAsia="es-ES_tradnl"/>
        </w:rPr>
      </w:pPr>
    </w:p>
    <w:p w14:paraId="4915B88D" w14:textId="77777777" w:rsidR="00F8377E" w:rsidRPr="00262582" w:rsidRDefault="00F8377E" w:rsidP="00F8377E">
      <w:pPr>
        <w:spacing w:after="0" w:line="240" w:lineRule="auto"/>
        <w:rPr>
          <w:rFonts w:ascii="Verdana" w:eastAsia="Calibri" w:hAnsi="Verdana" w:cs="Arial"/>
          <w:lang w:val="es-ES_tradnl" w:eastAsia="es-ES_tradnl"/>
        </w:rPr>
      </w:pPr>
    </w:p>
    <w:p w14:paraId="6155D768" w14:textId="77777777" w:rsidR="00F8377E" w:rsidRPr="00262582" w:rsidRDefault="00F8377E" w:rsidP="00F8377E">
      <w:pPr>
        <w:spacing w:after="0" w:line="240" w:lineRule="auto"/>
        <w:ind w:left="2694"/>
        <w:rPr>
          <w:rFonts w:ascii="Verdana" w:eastAsia="Calibri" w:hAnsi="Verdana" w:cs="Arial"/>
          <w:b/>
          <w:bCs/>
          <w:lang w:val="es-ES" w:eastAsia="es-ES_tradnl"/>
        </w:rPr>
      </w:pPr>
      <w:r w:rsidRPr="00262582">
        <w:rPr>
          <w:rFonts w:ascii="Verdana" w:eastAsia="Calibri" w:hAnsi="Verdana" w:cs="Arial"/>
          <w:b/>
          <w:bCs/>
          <w:lang w:val="es-ES" w:eastAsia="es-ES_tradnl"/>
        </w:rPr>
        <w:t>Concepto C-3</w:t>
      </w:r>
      <w:r>
        <w:rPr>
          <w:rFonts w:ascii="Verdana" w:eastAsia="Calibri" w:hAnsi="Verdana" w:cs="Arial"/>
          <w:b/>
          <w:bCs/>
          <w:lang w:val="es-ES" w:eastAsia="es-ES_tradnl"/>
        </w:rPr>
        <w:t>54</w:t>
      </w:r>
      <w:r w:rsidRPr="00262582">
        <w:rPr>
          <w:rFonts w:ascii="Verdana" w:eastAsia="Calibri" w:hAnsi="Verdana" w:cs="Arial"/>
          <w:b/>
          <w:bCs/>
          <w:lang w:val="es-ES" w:eastAsia="es-ES_tradnl"/>
        </w:rPr>
        <w:t xml:space="preserve"> de 2024</w:t>
      </w:r>
    </w:p>
    <w:p w14:paraId="353596FC" w14:textId="77777777" w:rsidR="00F8377E" w:rsidRPr="00262582" w:rsidRDefault="00F8377E" w:rsidP="00F8377E">
      <w:pPr>
        <w:spacing w:after="0" w:line="240" w:lineRule="auto"/>
        <w:jc w:val="both"/>
        <w:rPr>
          <w:rFonts w:ascii="Verdana" w:eastAsia="Calibri" w:hAnsi="Verdana" w:cs="Arial"/>
          <w:lang w:val="es-ES_tradnl"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F8377E" w:rsidRPr="00262582" w14:paraId="09C1DA2A" w14:textId="77777777" w:rsidTr="00A92350">
        <w:trPr>
          <w:jc w:val="right"/>
        </w:trPr>
        <w:tc>
          <w:tcPr>
            <w:tcW w:w="2547" w:type="dxa"/>
          </w:tcPr>
          <w:p w14:paraId="63EE1218" w14:textId="77777777" w:rsidR="00F8377E" w:rsidRPr="00262582" w:rsidRDefault="00F8377E" w:rsidP="00A92350">
            <w:pPr>
              <w:rPr>
                <w:rFonts w:ascii="Verdana" w:eastAsia="Calibri" w:hAnsi="Verdana" w:cs="Arial"/>
                <w:lang w:val="es-ES_tradnl" w:eastAsia="es-ES_tradnl"/>
              </w:rPr>
            </w:pPr>
            <w:r w:rsidRPr="00262582">
              <w:rPr>
                <w:rFonts w:ascii="Verdana" w:eastAsia="Calibri" w:hAnsi="Verdana" w:cs="Arial"/>
                <w:b/>
                <w:lang w:val="es-ES_tradnl" w:eastAsia="es-ES_tradnl"/>
              </w:rPr>
              <w:t>Temas:</w:t>
            </w:r>
          </w:p>
        </w:tc>
        <w:tc>
          <w:tcPr>
            <w:tcW w:w="6237" w:type="dxa"/>
          </w:tcPr>
          <w:p w14:paraId="3F3906AC" w14:textId="2413A440" w:rsidR="00F8377E" w:rsidRPr="00262582" w:rsidRDefault="00F8377E" w:rsidP="00A92350">
            <w:pPr>
              <w:jc w:val="both"/>
              <w:textAlignment w:val="baseline"/>
              <w:rPr>
                <w:rFonts w:ascii="Verdana" w:eastAsia="Times New Roman" w:hAnsi="Verdana" w:cs="Arial"/>
                <w:lang w:val="es-ES" w:eastAsia="es-ES_tradnl"/>
              </w:rPr>
            </w:pPr>
            <w:r w:rsidRPr="00505991">
              <w:rPr>
                <w:rFonts w:ascii="Verdana" w:eastAsia="Calibri" w:hAnsi="Verdana" w:cs="Arial"/>
                <w:color w:val="000000" w:themeColor="text1"/>
                <w:szCs w:val="24"/>
                <w:lang w:eastAsia="es-ES_tradnl"/>
              </w:rPr>
              <w:t>REQUISITOS HABILITANTES – Contenido / SELECCIÓN OBJETIVA – Requisitos de ponderación – Asignación de puntaje – Comparación de ofertas / REQUISITOS HABILITANTES – Ley 1150 DE 2007 – Carácter enunciativo</w:t>
            </w:r>
            <w:r>
              <w:rPr>
                <w:rFonts w:ascii="Verdana" w:eastAsia="Calibri" w:hAnsi="Verdana" w:cs="Arial"/>
                <w:color w:val="000000" w:themeColor="text1"/>
                <w:szCs w:val="24"/>
                <w:lang w:eastAsia="es-ES_tradnl"/>
              </w:rPr>
              <w:t xml:space="preserve"> / </w:t>
            </w:r>
            <w:r w:rsidR="00EC7744" w:rsidRPr="00505991">
              <w:rPr>
                <w:rFonts w:ascii="Verdana" w:eastAsia="Calibri" w:hAnsi="Verdana" w:cs="Arial"/>
                <w:color w:val="000000" w:themeColor="text1"/>
                <w:szCs w:val="24"/>
                <w:lang w:eastAsia="es-ES_tradnl"/>
              </w:rPr>
              <w:t>SUBSANALIDAD Y ACLARACIÓN DE LA OFERTA</w:t>
            </w:r>
            <w:r w:rsidRPr="00505991">
              <w:rPr>
                <w:rFonts w:ascii="Verdana" w:eastAsia="Calibri" w:hAnsi="Verdana" w:cs="Arial"/>
                <w:color w:val="000000" w:themeColor="text1"/>
                <w:szCs w:val="24"/>
                <w:lang w:eastAsia="es-ES_tradnl"/>
              </w:rPr>
              <w:t xml:space="preserve"> – Diferencias</w:t>
            </w:r>
          </w:p>
        </w:tc>
      </w:tr>
      <w:tr w:rsidR="00F8377E" w:rsidRPr="00262582" w14:paraId="6BA99B55" w14:textId="77777777" w:rsidTr="00A92350">
        <w:trPr>
          <w:jc w:val="right"/>
        </w:trPr>
        <w:tc>
          <w:tcPr>
            <w:tcW w:w="2547" w:type="dxa"/>
          </w:tcPr>
          <w:p w14:paraId="6CDB4363" w14:textId="77777777" w:rsidR="00F8377E" w:rsidRPr="00262582" w:rsidRDefault="00F8377E" w:rsidP="00A92350">
            <w:pPr>
              <w:rPr>
                <w:rFonts w:ascii="Verdana" w:eastAsia="Calibri" w:hAnsi="Verdana" w:cs="Arial"/>
                <w:b/>
                <w:lang w:val="es-ES" w:eastAsia="es-ES_tradnl"/>
              </w:rPr>
            </w:pPr>
            <w:r w:rsidRPr="00262582">
              <w:rPr>
                <w:rFonts w:ascii="Verdana" w:eastAsia="Calibri" w:hAnsi="Verdana" w:cs="Arial"/>
                <w:b/>
                <w:lang w:val="es-ES" w:eastAsia="es-ES_tradnl"/>
              </w:rPr>
              <w:t>Radicación:</w:t>
            </w:r>
          </w:p>
        </w:tc>
        <w:tc>
          <w:tcPr>
            <w:tcW w:w="6237" w:type="dxa"/>
          </w:tcPr>
          <w:p w14:paraId="32B52DC5" w14:textId="77777777" w:rsidR="00F8377E" w:rsidRPr="00262582" w:rsidRDefault="00F8377E" w:rsidP="00A92350">
            <w:pPr>
              <w:jc w:val="both"/>
              <w:rPr>
                <w:rFonts w:ascii="Verdana" w:eastAsia="Calibri" w:hAnsi="Verdana" w:cs="Arial"/>
                <w:lang w:val="es-ES" w:eastAsia="es-ES_tradnl"/>
              </w:rPr>
            </w:pPr>
            <w:r w:rsidRPr="00262582">
              <w:rPr>
                <w:rFonts w:ascii="Verdana" w:eastAsia="Calibri" w:hAnsi="Verdana" w:cs="Arial"/>
                <w:lang w:val="es-ES" w:eastAsia="es-ES_tradnl"/>
              </w:rPr>
              <w:t xml:space="preserve">Respuesta a consulta radicado No. </w:t>
            </w:r>
            <w:r w:rsidRPr="00FE3B77">
              <w:rPr>
                <w:rFonts w:ascii="Verdana" w:eastAsia="Times New Roman" w:hAnsi="Verdana" w:cs="Arial"/>
                <w:lang w:eastAsia="es-ES_tradnl"/>
              </w:rPr>
              <w:t>P20240717007315</w:t>
            </w:r>
          </w:p>
        </w:tc>
      </w:tr>
    </w:tbl>
    <w:p w14:paraId="64B8F1A1" w14:textId="77777777" w:rsidR="00F8377E" w:rsidRPr="00262582" w:rsidRDefault="00F8377E" w:rsidP="00F8377E">
      <w:pPr>
        <w:spacing w:after="0" w:line="240" w:lineRule="auto"/>
        <w:jc w:val="both"/>
        <w:rPr>
          <w:rFonts w:ascii="Verdana" w:eastAsia="Calibri" w:hAnsi="Verdana" w:cs="Arial"/>
          <w:lang w:val="es-ES_tradnl" w:eastAsia="es-ES_tradnl"/>
        </w:rPr>
      </w:pPr>
    </w:p>
    <w:p w14:paraId="261AA11B" w14:textId="77777777" w:rsidR="00F8377E" w:rsidRPr="00262582" w:rsidRDefault="00F8377E" w:rsidP="00F8377E">
      <w:pPr>
        <w:spacing w:after="0" w:line="240" w:lineRule="auto"/>
        <w:jc w:val="both"/>
        <w:rPr>
          <w:rFonts w:ascii="Verdana" w:eastAsia="Calibri" w:hAnsi="Verdana" w:cs="Arial"/>
          <w:lang w:val="es-ES_tradnl" w:eastAsia="es-ES_tradnl"/>
        </w:rPr>
      </w:pPr>
    </w:p>
    <w:p w14:paraId="66A346B3" w14:textId="77777777" w:rsidR="00F8377E" w:rsidRPr="00262582" w:rsidRDefault="00F8377E" w:rsidP="00F8377E">
      <w:pPr>
        <w:spacing w:after="0" w:line="276" w:lineRule="auto"/>
        <w:contextualSpacing/>
        <w:jc w:val="both"/>
        <w:rPr>
          <w:rFonts w:ascii="Verdana" w:eastAsia="Calibri" w:hAnsi="Verdana" w:cs="Arial"/>
          <w:bCs/>
          <w:lang w:val="es-ES_tradnl" w:eastAsia="es-ES_tradnl"/>
        </w:rPr>
      </w:pPr>
      <w:r w:rsidRPr="00262582">
        <w:rPr>
          <w:rFonts w:ascii="Verdana" w:eastAsia="Calibri" w:hAnsi="Verdana" w:cs="Arial"/>
          <w:lang w:val="es-ES_tradnl" w:eastAsia="es-ES_tradnl"/>
        </w:rPr>
        <w:t xml:space="preserve">Estimada señora </w:t>
      </w:r>
      <w:r>
        <w:rPr>
          <w:rFonts w:ascii="Verdana" w:eastAsia="Calibri" w:hAnsi="Verdana" w:cs="Arial"/>
          <w:lang w:val="es-ES_tradnl" w:eastAsia="es-ES_tradnl"/>
        </w:rPr>
        <w:t>Rueda</w:t>
      </w:r>
      <w:r w:rsidRPr="00262582">
        <w:rPr>
          <w:rFonts w:ascii="Verdana" w:eastAsia="Calibri" w:hAnsi="Verdana" w:cs="Arial"/>
          <w:bCs/>
          <w:lang w:val="es-ES_tradnl" w:eastAsia="es-ES_tradnl"/>
        </w:rPr>
        <w:t>:</w:t>
      </w:r>
    </w:p>
    <w:p w14:paraId="20DC1C38" w14:textId="77777777" w:rsidR="00F8377E" w:rsidRPr="00262582" w:rsidRDefault="00F8377E" w:rsidP="00F8377E">
      <w:pPr>
        <w:spacing w:after="0" w:line="276" w:lineRule="auto"/>
        <w:contextualSpacing/>
        <w:jc w:val="both"/>
        <w:rPr>
          <w:rFonts w:ascii="Verdana" w:eastAsia="Calibri" w:hAnsi="Verdana" w:cs="Arial"/>
          <w:lang w:val="es-ES_tradnl" w:eastAsia="es-ES_tradnl"/>
        </w:rPr>
      </w:pPr>
    </w:p>
    <w:p w14:paraId="373345FE" w14:textId="77777777" w:rsidR="00F8377E" w:rsidRPr="00262582" w:rsidRDefault="00F8377E" w:rsidP="00F8377E">
      <w:pPr>
        <w:spacing w:after="0" w:line="276" w:lineRule="auto"/>
        <w:contextualSpacing/>
        <w:jc w:val="both"/>
        <w:rPr>
          <w:rFonts w:ascii="Verdana" w:eastAsia="Calibri" w:hAnsi="Verdana" w:cs="Arial"/>
          <w:lang w:val="es-ES" w:eastAsia="es-ES_tradnl"/>
        </w:rPr>
      </w:pPr>
      <w:r w:rsidRPr="00262582">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17</w:t>
      </w:r>
      <w:r w:rsidRPr="00262582">
        <w:rPr>
          <w:rFonts w:ascii="Verdana" w:eastAsia="Calibri" w:hAnsi="Verdana" w:cs="Arial"/>
          <w:lang w:val="es-ES" w:eastAsia="es-ES_tradnl"/>
        </w:rPr>
        <w:t xml:space="preserve"> de julio de 2024, en la cual manifiesta lo siguiente:</w:t>
      </w:r>
    </w:p>
    <w:p w14:paraId="4510FD36" w14:textId="77777777" w:rsidR="00F8377E" w:rsidRPr="00262582" w:rsidRDefault="00F8377E" w:rsidP="00F8377E">
      <w:pPr>
        <w:spacing w:after="0" w:line="276" w:lineRule="auto"/>
        <w:contextualSpacing/>
        <w:jc w:val="both"/>
        <w:rPr>
          <w:rFonts w:ascii="Verdana" w:eastAsia="Calibri" w:hAnsi="Verdana" w:cs="Arial"/>
          <w:b/>
          <w:szCs w:val="24"/>
          <w:lang w:val="es-ES_tradnl" w:eastAsia="es-ES_tradnl"/>
        </w:rPr>
      </w:pPr>
    </w:p>
    <w:p w14:paraId="37CED596" w14:textId="77777777" w:rsidR="00F8377E" w:rsidRPr="00534A2A"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w:t>
      </w:r>
      <w:r w:rsidRPr="00534A2A">
        <w:rPr>
          <w:rFonts w:ascii="Verdana" w:eastAsia="Times New Roman" w:hAnsi="Verdana" w:cs="Arial"/>
          <w:sz w:val="21"/>
          <w:szCs w:val="21"/>
          <w:lang w:eastAsia="es-ES_tradnl"/>
        </w:rPr>
        <w:t xml:space="preserve">¿Cuáles son los requisitos de la futura contratación?  </w:t>
      </w:r>
    </w:p>
    <w:p w14:paraId="14E4B496" w14:textId="77777777" w:rsidR="00F8377E" w:rsidRPr="00534A2A"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534A2A">
        <w:rPr>
          <w:rFonts w:ascii="Verdana" w:eastAsia="Times New Roman" w:hAnsi="Verdana" w:cs="Arial"/>
          <w:sz w:val="21"/>
          <w:szCs w:val="21"/>
          <w:lang w:eastAsia="es-ES_tradnl"/>
        </w:rPr>
        <w:t xml:space="preserve">¿Cuáles son los requisitos no necesarios para la comparación de las ofertas?  </w:t>
      </w:r>
    </w:p>
    <w:p w14:paraId="24F090D9" w14:textId="77777777" w:rsidR="00F8377E" w:rsidRPr="00534A2A"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534A2A">
        <w:rPr>
          <w:rFonts w:ascii="Verdana" w:eastAsia="Times New Roman" w:hAnsi="Verdana" w:cs="Arial"/>
          <w:sz w:val="21"/>
          <w:szCs w:val="21"/>
          <w:lang w:eastAsia="es-ES_tradnl"/>
        </w:rPr>
        <w:t xml:space="preserve">¿Cuáles son los requisitos ponderables existentes y vigentes?  </w:t>
      </w:r>
    </w:p>
    <w:p w14:paraId="3BF18AB5" w14:textId="77777777" w:rsidR="00F8377E" w:rsidRPr="00534A2A"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534A2A">
        <w:rPr>
          <w:rFonts w:ascii="Verdana" w:eastAsia="Times New Roman" w:hAnsi="Verdana" w:cs="Arial"/>
          <w:sz w:val="21"/>
          <w:szCs w:val="21"/>
          <w:lang w:eastAsia="es-ES_tradnl"/>
        </w:rPr>
        <w:t>¿</w:t>
      </w:r>
      <w:r>
        <w:rPr>
          <w:rFonts w:ascii="Verdana" w:eastAsia="Times New Roman" w:hAnsi="Verdana" w:cs="Arial"/>
          <w:sz w:val="21"/>
          <w:szCs w:val="21"/>
          <w:lang w:eastAsia="es-ES_tradnl"/>
        </w:rPr>
        <w:t>C</w:t>
      </w:r>
      <w:r w:rsidRPr="00534A2A">
        <w:rPr>
          <w:rFonts w:ascii="Verdana" w:eastAsia="Times New Roman" w:hAnsi="Verdana" w:cs="Arial"/>
          <w:sz w:val="21"/>
          <w:szCs w:val="21"/>
          <w:lang w:eastAsia="es-ES_tradnl"/>
        </w:rPr>
        <w:t xml:space="preserve">uáles son los requisitos habilitantes vigente dentro de nuestra legislación colombiana? </w:t>
      </w:r>
    </w:p>
    <w:p w14:paraId="3C630C3C" w14:textId="77777777" w:rsidR="00F8377E" w:rsidRPr="00534A2A"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534A2A">
        <w:rPr>
          <w:rFonts w:ascii="Verdana" w:eastAsia="Times New Roman" w:hAnsi="Verdana" w:cs="Arial"/>
          <w:sz w:val="21"/>
          <w:szCs w:val="21"/>
          <w:lang w:eastAsia="es-ES_tradnl"/>
        </w:rPr>
        <w:t xml:space="preserve">¿La oferta económica es un requisito ponderable y es un requisito necesario para comparación de las ofertas? </w:t>
      </w:r>
    </w:p>
    <w:p w14:paraId="3ED92267" w14:textId="77777777" w:rsidR="00F8377E" w:rsidRPr="00534A2A"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534A2A">
        <w:rPr>
          <w:rFonts w:ascii="Verdana" w:eastAsia="Times New Roman" w:hAnsi="Verdana" w:cs="Arial"/>
          <w:sz w:val="21"/>
          <w:szCs w:val="21"/>
          <w:lang w:eastAsia="es-ES_tradnl"/>
        </w:rPr>
        <w:t xml:space="preserve">¿La oferta económica es corregible?  </w:t>
      </w:r>
    </w:p>
    <w:p w14:paraId="2B09A3A2" w14:textId="77777777" w:rsidR="00F8377E" w:rsidRPr="00262582" w:rsidRDefault="00F8377E" w:rsidP="00F8377E">
      <w:pPr>
        <w:spacing w:after="0" w:line="240" w:lineRule="auto"/>
        <w:ind w:left="709" w:right="709"/>
        <w:contextualSpacing/>
        <w:jc w:val="both"/>
        <w:rPr>
          <w:rFonts w:ascii="Verdana" w:eastAsia="Times New Roman" w:hAnsi="Verdana" w:cs="Arial"/>
          <w:sz w:val="21"/>
          <w:szCs w:val="21"/>
          <w:lang w:eastAsia="es-ES_tradnl"/>
        </w:rPr>
      </w:pPr>
      <w:r w:rsidRPr="00534A2A">
        <w:rPr>
          <w:rFonts w:ascii="Verdana" w:eastAsia="Times New Roman" w:hAnsi="Verdana" w:cs="Arial"/>
          <w:sz w:val="21"/>
          <w:szCs w:val="21"/>
          <w:lang w:eastAsia="es-ES_tradnl"/>
        </w:rPr>
        <w:t xml:space="preserve">¿Qué errores en la oferta económica son </w:t>
      </w:r>
      <w:proofErr w:type="spellStart"/>
      <w:r w:rsidRPr="00534A2A">
        <w:rPr>
          <w:rFonts w:ascii="Verdana" w:eastAsia="Times New Roman" w:hAnsi="Verdana" w:cs="Arial"/>
          <w:sz w:val="21"/>
          <w:szCs w:val="21"/>
          <w:lang w:eastAsia="es-ES_tradnl"/>
        </w:rPr>
        <w:t>saneables</w:t>
      </w:r>
      <w:proofErr w:type="spellEnd"/>
      <w:r w:rsidRPr="00534A2A">
        <w:rPr>
          <w:rFonts w:ascii="Verdana" w:eastAsia="Times New Roman" w:hAnsi="Verdana" w:cs="Arial"/>
          <w:sz w:val="21"/>
          <w:szCs w:val="21"/>
          <w:lang w:eastAsia="es-ES_tradnl"/>
        </w:rPr>
        <w:t xml:space="preserve"> y cuáles no?</w:t>
      </w:r>
      <w:r w:rsidRPr="00262582">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(SIC)</w:t>
      </w:r>
      <w:r w:rsidRPr="00262582">
        <w:rPr>
          <w:rFonts w:ascii="Verdana" w:eastAsia="Times New Roman" w:hAnsi="Verdana" w:cs="Arial"/>
          <w:sz w:val="21"/>
          <w:szCs w:val="21"/>
          <w:lang w:eastAsia="es-ES_tradnl"/>
        </w:rPr>
        <w:t>.</w:t>
      </w:r>
    </w:p>
    <w:p w14:paraId="2BD74C01" w14:textId="77777777" w:rsidR="00F8377E" w:rsidRPr="00262582" w:rsidRDefault="00F8377E" w:rsidP="00F8377E">
      <w:pPr>
        <w:spacing w:after="0" w:line="240" w:lineRule="auto"/>
        <w:ind w:left="709" w:right="709"/>
        <w:contextualSpacing/>
        <w:jc w:val="both"/>
        <w:rPr>
          <w:rFonts w:ascii="Verdana" w:eastAsia="Times New Roman" w:hAnsi="Verdana" w:cs="Arial"/>
          <w:sz w:val="21"/>
          <w:szCs w:val="21"/>
          <w:lang w:eastAsia="es-ES_tradnl"/>
        </w:rPr>
      </w:pPr>
    </w:p>
    <w:p w14:paraId="7D8B8725" w14:textId="77777777" w:rsidR="00F8377E" w:rsidRPr="00262582" w:rsidRDefault="00F8377E" w:rsidP="00F8377E">
      <w:pPr>
        <w:spacing w:after="120" w:line="276" w:lineRule="auto"/>
        <w:ind w:firstLine="709"/>
        <w:jc w:val="both"/>
        <w:rPr>
          <w:rFonts w:ascii="Verdana" w:eastAsia="Calibri" w:hAnsi="Verdana" w:cs="Arial"/>
          <w:color w:val="000000"/>
          <w:szCs w:val="24"/>
          <w:lang w:val="es-ES_tradnl" w:eastAsia="es-ES_tradnl"/>
        </w:rPr>
      </w:pPr>
      <w:r w:rsidRPr="00262582">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62582">
        <w:rPr>
          <w:rFonts w:ascii="Verdana" w:eastAsia="Calibri" w:hAnsi="Verdana" w:cs="Arial"/>
          <w:color w:val="000000"/>
          <w:szCs w:val="24"/>
          <w:lang w:val="es-ES_tradnl" w:eastAsia="es-ES_tradnl"/>
        </w:rPr>
        <w:tab/>
      </w:r>
    </w:p>
    <w:p w14:paraId="6CCC8CE7" w14:textId="77777777" w:rsidR="00F8377E" w:rsidRPr="00262582" w:rsidRDefault="00F8377E" w:rsidP="00F8377E">
      <w:pPr>
        <w:spacing w:after="0" w:line="276" w:lineRule="auto"/>
        <w:ind w:firstLine="709"/>
        <w:jc w:val="both"/>
        <w:rPr>
          <w:rFonts w:ascii="Verdana" w:eastAsia="Calibri" w:hAnsi="Verdana" w:cs="Arial"/>
          <w:lang w:val="es-ES" w:eastAsia="es-ES"/>
        </w:rPr>
      </w:pPr>
      <w:r w:rsidRPr="0026258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E465A7F" w14:textId="77777777" w:rsidR="00F8377E" w:rsidRPr="00262582" w:rsidRDefault="00F8377E" w:rsidP="00F8377E">
      <w:pPr>
        <w:spacing w:after="0" w:line="276" w:lineRule="auto"/>
        <w:contextualSpacing/>
        <w:jc w:val="both"/>
        <w:rPr>
          <w:rFonts w:ascii="Verdana" w:eastAsia="Times New Roman" w:hAnsi="Verdana" w:cs="Arial"/>
          <w:szCs w:val="24"/>
          <w:lang w:val="es-ES_tradnl" w:eastAsia="es-ES_tradnl"/>
        </w:rPr>
      </w:pPr>
    </w:p>
    <w:p w14:paraId="6C0ABF95" w14:textId="77777777" w:rsidR="00F8377E" w:rsidRPr="00262582" w:rsidRDefault="00F8377E" w:rsidP="00F8377E">
      <w:pPr>
        <w:tabs>
          <w:tab w:val="left" w:pos="0"/>
          <w:tab w:val="left" w:pos="284"/>
        </w:tabs>
        <w:spacing w:after="0" w:line="276" w:lineRule="auto"/>
        <w:contextualSpacing/>
        <w:jc w:val="both"/>
        <w:rPr>
          <w:rFonts w:ascii="Verdana" w:eastAsia="Calibri" w:hAnsi="Verdana" w:cs="Arial"/>
          <w:b/>
          <w:lang w:val="es-ES_tradnl"/>
        </w:rPr>
      </w:pPr>
      <w:r w:rsidRPr="00262582">
        <w:rPr>
          <w:rFonts w:ascii="Verdana" w:eastAsia="Calibri" w:hAnsi="Verdana" w:cs="Arial"/>
          <w:b/>
          <w:lang w:val="es-ES_tradnl"/>
        </w:rPr>
        <w:t>1. Problema</w:t>
      </w:r>
      <w:r>
        <w:rPr>
          <w:rFonts w:ascii="Verdana" w:eastAsia="Calibri" w:hAnsi="Verdana" w:cs="Arial"/>
          <w:b/>
          <w:lang w:val="es-ES_tradnl"/>
        </w:rPr>
        <w:t>s</w:t>
      </w:r>
      <w:r w:rsidRPr="00262582">
        <w:rPr>
          <w:rFonts w:ascii="Verdana" w:eastAsia="Calibri" w:hAnsi="Verdana" w:cs="Arial"/>
          <w:b/>
          <w:lang w:val="es-ES_tradnl"/>
        </w:rPr>
        <w:t xml:space="preserve"> planteado</w:t>
      </w:r>
      <w:r>
        <w:rPr>
          <w:rFonts w:ascii="Verdana" w:eastAsia="Calibri" w:hAnsi="Verdana" w:cs="Arial"/>
          <w:b/>
          <w:lang w:val="es-ES_tradnl"/>
        </w:rPr>
        <w:t>s</w:t>
      </w:r>
      <w:r w:rsidRPr="00262582">
        <w:rPr>
          <w:rFonts w:ascii="Verdana" w:eastAsia="Calibri" w:hAnsi="Verdana" w:cs="Arial"/>
          <w:b/>
          <w:lang w:val="es-ES_tradnl"/>
        </w:rPr>
        <w:t>:</w:t>
      </w:r>
    </w:p>
    <w:p w14:paraId="7364A44C" w14:textId="77777777" w:rsidR="00F8377E" w:rsidRPr="00262582" w:rsidRDefault="00F8377E" w:rsidP="00F8377E">
      <w:pPr>
        <w:tabs>
          <w:tab w:val="left" w:pos="0"/>
          <w:tab w:val="left" w:pos="284"/>
        </w:tabs>
        <w:spacing w:after="0" w:line="276" w:lineRule="auto"/>
        <w:contextualSpacing/>
        <w:jc w:val="both"/>
        <w:rPr>
          <w:rFonts w:ascii="Verdana" w:eastAsia="Calibri" w:hAnsi="Verdana" w:cs="Arial"/>
          <w:b/>
          <w:lang w:val="es-ES_tradnl"/>
        </w:rPr>
      </w:pPr>
    </w:p>
    <w:p w14:paraId="76FFEA79" w14:textId="77777777" w:rsidR="00F8377E" w:rsidRPr="00262582" w:rsidRDefault="00F8377E" w:rsidP="00F8377E">
      <w:pPr>
        <w:spacing w:after="0" w:line="276" w:lineRule="auto"/>
        <w:jc w:val="both"/>
        <w:rPr>
          <w:rFonts w:ascii="Verdana" w:eastAsia="Century Gothic" w:hAnsi="Verdana" w:cs="Century Gothic"/>
        </w:rPr>
      </w:pPr>
      <w:r w:rsidRPr="00262582">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¿Cuáles son los</w:t>
      </w:r>
      <w:r w:rsidRPr="009069E7">
        <w:rPr>
          <w:rFonts w:ascii="Verdana" w:eastAsia="Century Gothic" w:hAnsi="Verdana" w:cs="Century Gothic"/>
        </w:rPr>
        <w:t xml:space="preserve"> requisitos </w:t>
      </w:r>
      <w:r>
        <w:rPr>
          <w:rFonts w:ascii="Verdana" w:eastAsia="Century Gothic" w:hAnsi="Verdana" w:cs="Century Gothic"/>
        </w:rPr>
        <w:t>habilitantes y criterios evaluables en un Proceso de Contratación</w:t>
      </w:r>
      <w:r w:rsidRPr="00765A7D">
        <w:rPr>
          <w:rFonts w:ascii="Verdana" w:eastAsia="Century Gothic" w:hAnsi="Verdana" w:cs="Century Gothic"/>
        </w:rPr>
        <w:t>?</w:t>
      </w:r>
      <w:r>
        <w:rPr>
          <w:rFonts w:ascii="Verdana" w:eastAsia="Century Gothic" w:hAnsi="Verdana" w:cs="Century Gothic"/>
        </w:rPr>
        <w:t xml:space="preserve"> ¿Se puede subsanar la oferta económica por parte del oferente en un proceso de selección</w:t>
      </w:r>
      <w:r w:rsidRPr="00765A7D">
        <w:rPr>
          <w:rFonts w:ascii="Verdana" w:eastAsia="Century Gothic" w:hAnsi="Verdana" w:cs="Century Gothic"/>
        </w:rPr>
        <w:t>?</w:t>
      </w:r>
    </w:p>
    <w:p w14:paraId="52D30F54" w14:textId="77777777" w:rsidR="00F8377E" w:rsidRPr="00262582" w:rsidRDefault="00F8377E" w:rsidP="00F8377E">
      <w:pPr>
        <w:spacing w:after="0" w:line="276" w:lineRule="auto"/>
        <w:ind w:firstLine="709"/>
        <w:jc w:val="both"/>
        <w:rPr>
          <w:rFonts w:ascii="Verdana" w:eastAsia="Calibri" w:hAnsi="Verdana" w:cs="Arial"/>
          <w:lang w:val="es-ES" w:eastAsia="es-ES_tradnl"/>
        </w:rPr>
      </w:pPr>
    </w:p>
    <w:p w14:paraId="05FFEE99" w14:textId="77777777" w:rsidR="00F8377E" w:rsidRPr="00262582" w:rsidRDefault="00F8377E" w:rsidP="00F8377E">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2. Respuesta</w:t>
      </w:r>
      <w:r>
        <w:rPr>
          <w:rFonts w:ascii="Verdana" w:eastAsia="Century Gothic" w:hAnsi="Verdana" w:cs="Century Gothic"/>
          <w:b/>
          <w:bCs/>
        </w:rPr>
        <w:t>s</w:t>
      </w:r>
      <w:r w:rsidRPr="00262582">
        <w:rPr>
          <w:rFonts w:ascii="Verdana" w:eastAsia="Century Gothic" w:hAnsi="Verdana" w:cs="Century Gothic"/>
          <w:b/>
          <w:bCs/>
        </w:rPr>
        <w:t>:</w:t>
      </w:r>
    </w:p>
    <w:p w14:paraId="46711855" w14:textId="77777777" w:rsidR="00F8377E" w:rsidRPr="00262582" w:rsidRDefault="00F8377E" w:rsidP="00F8377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377E" w:rsidRPr="00262582" w14:paraId="7FA82580" w14:textId="77777777" w:rsidTr="00A92350">
        <w:tc>
          <w:tcPr>
            <w:tcW w:w="8828" w:type="dxa"/>
            <w:shd w:val="clear" w:color="auto" w:fill="auto"/>
          </w:tcPr>
          <w:p w14:paraId="7BBF49EB" w14:textId="77777777" w:rsidR="00F8377E" w:rsidRPr="00366F9F" w:rsidRDefault="00F8377E" w:rsidP="00A92350">
            <w:pPr>
              <w:spacing w:before="120" w:after="120" w:line="276" w:lineRule="auto"/>
              <w:jc w:val="both"/>
              <w:rPr>
                <w:rFonts w:ascii="Verdana" w:hAnsi="Verdana" w:cs="Arial"/>
                <w:color w:val="000000" w:themeColor="text1"/>
                <w:lang w:val="es-ES"/>
              </w:rPr>
            </w:pPr>
            <w:r w:rsidRPr="00366F9F">
              <w:rPr>
                <w:rFonts w:ascii="Verdana" w:eastAsia="Times New Roman" w:hAnsi="Verdana" w:cs="Arial"/>
                <w:color w:val="000000" w:themeColor="text1"/>
                <w:lang w:eastAsia="es-CO"/>
              </w:rPr>
              <w:t xml:space="preserve">Al respecto, el numeral 1 del </w:t>
            </w:r>
            <w:r w:rsidRPr="00366F9F">
              <w:rPr>
                <w:rFonts w:ascii="Verdana" w:hAnsi="Verdana" w:cs="Arial"/>
                <w:color w:val="000000" w:themeColor="text1"/>
                <w:lang w:val="es-ES"/>
              </w:rPr>
              <w:t xml:space="preserve">artículo 5 de la Ley 1150 de 2007 especifica que en los procesos de selección las Entidades Estatales establecerán en los pliegos de condiciones o sus equivalentes como requisitos habilitantes los siguientes: i) la capacidad jurídica, </w:t>
            </w:r>
            <w:proofErr w:type="spellStart"/>
            <w:r w:rsidRPr="00366F9F">
              <w:rPr>
                <w:rFonts w:ascii="Verdana" w:hAnsi="Verdana" w:cs="Arial"/>
                <w:color w:val="000000" w:themeColor="text1"/>
                <w:lang w:val="es-ES"/>
              </w:rPr>
              <w:t>ii</w:t>
            </w:r>
            <w:proofErr w:type="spellEnd"/>
            <w:r w:rsidRPr="00366F9F">
              <w:rPr>
                <w:rFonts w:ascii="Verdana" w:hAnsi="Verdana" w:cs="Arial"/>
                <w:color w:val="000000" w:themeColor="text1"/>
                <w:lang w:val="es-ES"/>
              </w:rPr>
              <w:t xml:space="preserve">) la experiencia, </w:t>
            </w:r>
            <w:proofErr w:type="spellStart"/>
            <w:r w:rsidRPr="00366F9F">
              <w:rPr>
                <w:rFonts w:ascii="Verdana" w:hAnsi="Verdana" w:cs="Arial"/>
                <w:color w:val="000000" w:themeColor="text1"/>
                <w:lang w:val="es-ES"/>
              </w:rPr>
              <w:t>iii</w:t>
            </w:r>
            <w:proofErr w:type="spellEnd"/>
            <w:r w:rsidRPr="00366F9F">
              <w:rPr>
                <w:rFonts w:ascii="Verdana" w:hAnsi="Verdana" w:cs="Arial"/>
                <w:color w:val="000000" w:themeColor="text1"/>
                <w:lang w:val="es-ES"/>
              </w:rPr>
              <w:t xml:space="preserve">) la capacidad financiera y iv) la capacidad de organización. En todo caso, no son taxativos y, por lo tanto, la Entidad Estatal podrá exigir requisitos adicionales, debido a que la norma no contiene una expresión como “únicamente” o “solo”, al referirse a estos. Ahora, bajo una interpretación integral de las normas que regulan la contratación estatal, es fácil concluir que existen otras condiciones que deben </w:t>
            </w:r>
            <w:r w:rsidRPr="00366F9F">
              <w:rPr>
                <w:rFonts w:ascii="Verdana" w:hAnsi="Verdana" w:cs="Arial"/>
                <w:color w:val="000000" w:themeColor="text1"/>
                <w:lang w:val="es-ES"/>
              </w:rPr>
              <w:lastRenderedPageBreak/>
              <w:t>cumplirse para la contratación con una Entidad Estatal, como pasa, por ejemplo, con la capacidad residual a la que se refiere el artículo 6º, parágrafo 1, de la Ley 1150 de 2007.</w:t>
            </w:r>
          </w:p>
          <w:p w14:paraId="7483C2CA" w14:textId="77777777" w:rsidR="00F8377E" w:rsidRPr="00366F9F" w:rsidRDefault="00F8377E" w:rsidP="00A92350">
            <w:pPr>
              <w:spacing w:before="120" w:after="120" w:line="276" w:lineRule="auto"/>
              <w:jc w:val="both"/>
              <w:rPr>
                <w:rFonts w:ascii="Verdana" w:eastAsia="Calibri" w:hAnsi="Verdana" w:cs="Arial"/>
                <w:lang w:val="es-ES_tradnl"/>
              </w:rPr>
            </w:pPr>
            <w:r w:rsidRPr="00366F9F">
              <w:rPr>
                <w:rFonts w:ascii="Verdana" w:eastAsia="Calibri" w:hAnsi="Verdana" w:cs="Arial"/>
              </w:rPr>
              <w:t xml:space="preserve">Ahora bien, respecto de los requisitos ponderables o evaluables, es </w:t>
            </w:r>
            <w:r w:rsidRPr="00366F9F">
              <w:rPr>
                <w:rFonts w:ascii="Verdana" w:hAnsi="Verdana" w:cs="Arial"/>
                <w:color w:val="000000" w:themeColor="text1"/>
                <w:lang w:val="es-ES"/>
              </w:rPr>
              <w:t xml:space="preserve">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366F9F">
              <w:rPr>
                <w:rFonts w:ascii="Verdana" w:hAnsi="Verdana" w:cs="Arial"/>
                <w:color w:val="000000" w:themeColor="text1"/>
                <w:lang w:val="es-ES"/>
              </w:rPr>
              <w:t>ii</w:t>
            </w:r>
            <w:proofErr w:type="spellEnd"/>
            <w:r w:rsidRPr="00366F9F">
              <w:rPr>
                <w:rFonts w:ascii="Verdana" w:hAnsi="Verdana" w:cs="Arial"/>
                <w:color w:val="000000" w:themeColor="text1"/>
                <w:lang w:val="es-ES"/>
              </w:rPr>
              <w:t xml:space="preserve">) las condiciones técnicas adicionales que representan ventajas de calidad o de funcionamiento; </w:t>
            </w:r>
            <w:proofErr w:type="spellStart"/>
            <w:r w:rsidRPr="00366F9F">
              <w:rPr>
                <w:rFonts w:ascii="Verdana" w:hAnsi="Verdana" w:cs="Arial"/>
                <w:color w:val="000000" w:themeColor="text1"/>
                <w:lang w:val="es-ES"/>
              </w:rPr>
              <w:t>iii</w:t>
            </w:r>
            <w:proofErr w:type="spellEnd"/>
            <w:r w:rsidRPr="00366F9F">
              <w:rPr>
                <w:rFonts w:ascii="Verdana" w:hAnsi="Verdana" w:cs="Arial"/>
                <w:color w:val="000000" w:themeColor="text1"/>
                <w:lang w:val="es-ES"/>
              </w:rPr>
              <w:t xml:space="preserve">) las condiciones económicas adicionales que representen ventajas en términos de economía, eficiencia y eficacia; y iv) el valor en dinero que la entidad estatal asigna a cada ofrecimiento técnico o económico adicional. </w:t>
            </w:r>
          </w:p>
          <w:p w14:paraId="7DD4BA7D" w14:textId="77777777" w:rsidR="00F8377E" w:rsidRPr="00366F9F" w:rsidRDefault="00F8377E" w:rsidP="00A92350">
            <w:pPr>
              <w:spacing w:after="120" w:line="276" w:lineRule="auto"/>
              <w:jc w:val="both"/>
              <w:rPr>
                <w:rFonts w:ascii="Verdana" w:hAnsi="Verdana" w:cs="Arial"/>
                <w:color w:val="000000" w:themeColor="text1"/>
              </w:rPr>
            </w:pPr>
            <w:r w:rsidRPr="00366F9F">
              <w:rPr>
                <w:rFonts w:ascii="Verdana" w:hAnsi="Verdana" w:cs="Arial"/>
                <w:color w:val="000000" w:themeColor="text1"/>
                <w:lang w:val="es-ES"/>
              </w:rPr>
              <w:t>Ahora bien, en cuanto a la subsanación de las propuestas, es posible señalar que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Con dicha afirmación, es que se puede establecer si lo presentado en el trámite para corregir la oferta mejora la misma, o si es un documento que demuestra una condición previamente consolidada.</w:t>
            </w:r>
          </w:p>
          <w:p w14:paraId="65033808" w14:textId="77777777" w:rsidR="00F8377E" w:rsidRPr="00366F9F" w:rsidRDefault="00F8377E" w:rsidP="00A92350">
            <w:pPr>
              <w:spacing w:after="120" w:line="276" w:lineRule="auto"/>
              <w:jc w:val="both"/>
              <w:rPr>
                <w:rFonts w:ascii="Verdana" w:hAnsi="Verdana" w:cs="Arial"/>
                <w:color w:val="000000" w:themeColor="text1"/>
                <w:lang w:val="es-ES"/>
              </w:rPr>
            </w:pPr>
            <w:r w:rsidRPr="00366F9F">
              <w:rPr>
                <w:rFonts w:ascii="Verdana" w:hAnsi="Verdana" w:cs="Arial"/>
                <w:color w:val="000000" w:themeColor="text1"/>
              </w:rPr>
              <w:t>En este sentido, dado que la oferta económica es un criterio ponderable y se asigna un puntaje, no es susceptible de subsanación. Sin embargo, según lo expuesto anteriormente, se pueden realizar aclaraciones sobre aspectos meramente formales, pero no sobre requisitos esenciales del pliego de condiciones ni sobre factores calificables, como es el componente económico.</w:t>
            </w:r>
          </w:p>
          <w:p w14:paraId="47897707" w14:textId="77777777" w:rsidR="00F8377E" w:rsidRPr="00366F9F" w:rsidRDefault="00F8377E" w:rsidP="00A92350">
            <w:pPr>
              <w:spacing w:after="120" w:line="276" w:lineRule="auto"/>
              <w:jc w:val="both"/>
              <w:rPr>
                <w:rFonts w:ascii="Verdana" w:eastAsia="Calibri" w:hAnsi="Verdana" w:cs="Arial"/>
                <w:color w:val="7030A0"/>
                <w:lang w:val="es-ES"/>
              </w:rPr>
            </w:pPr>
            <w:r w:rsidRPr="00366F9F">
              <w:rPr>
                <w:rFonts w:ascii="Verdana" w:hAnsi="Verdana" w:cs="Arial"/>
                <w:color w:val="000000" w:themeColor="text1"/>
                <w:lang w:val="es-ES"/>
              </w:rPr>
              <w:lastRenderedPageBreak/>
              <w:t>En todo caso, la implementación y evaluación de este tipo de criterios está sometida a la autonomía de las entidades estatales contratantes, quienes podrán implementarlos cuando lo encuentren justificado en virtud de su relacionamiento con el objeto del contrato y según las reglas que se incluyan en los pliegos de condiciones.</w:t>
            </w:r>
          </w:p>
        </w:tc>
      </w:tr>
    </w:tbl>
    <w:p w14:paraId="70B39728" w14:textId="77777777" w:rsidR="00F8377E" w:rsidRPr="00262582" w:rsidRDefault="00F8377E" w:rsidP="00F8377E">
      <w:pPr>
        <w:spacing w:after="0" w:line="276" w:lineRule="auto"/>
        <w:contextualSpacing/>
        <w:jc w:val="both"/>
        <w:rPr>
          <w:rFonts w:ascii="Verdana" w:eastAsia="Times New Roman" w:hAnsi="Verdana" w:cs="Arial"/>
          <w:lang w:eastAsia="es-ES_tradnl"/>
        </w:rPr>
      </w:pPr>
    </w:p>
    <w:p w14:paraId="34BADCE2" w14:textId="77777777" w:rsidR="00F8377E" w:rsidRPr="00262582" w:rsidRDefault="00F8377E" w:rsidP="00F837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3. Razones de la respuesta:</w:t>
      </w:r>
    </w:p>
    <w:p w14:paraId="7FB88D9C" w14:textId="77777777" w:rsidR="00F8377E" w:rsidRPr="00262582" w:rsidRDefault="00F8377E" w:rsidP="00F8377E">
      <w:pPr>
        <w:spacing w:after="0" w:line="276" w:lineRule="auto"/>
        <w:jc w:val="both"/>
        <w:rPr>
          <w:rFonts w:ascii="Verdana" w:eastAsia="Calibri" w:hAnsi="Verdana" w:cs="Arial"/>
          <w:color w:val="7030A0"/>
          <w:lang w:val="es-ES"/>
        </w:rPr>
      </w:pPr>
    </w:p>
    <w:p w14:paraId="661D8CC2" w14:textId="77777777" w:rsidR="00F8377E" w:rsidRPr="00262582" w:rsidRDefault="00F8377E" w:rsidP="00F8377E">
      <w:pPr>
        <w:spacing w:after="0" w:line="276" w:lineRule="auto"/>
        <w:jc w:val="both"/>
        <w:rPr>
          <w:rFonts w:ascii="Verdana" w:eastAsia="Calibri" w:hAnsi="Verdana" w:cs="Arial"/>
          <w:lang w:val="es-ES"/>
        </w:rPr>
      </w:pPr>
      <w:r w:rsidRPr="00262582">
        <w:rPr>
          <w:rFonts w:ascii="Verdana" w:eastAsia="Calibri" w:hAnsi="Verdana" w:cs="Arial"/>
          <w:lang w:val="es-ES"/>
        </w:rPr>
        <w:t xml:space="preserve">Lo anterior se sustenta en las siguientes consideraciones: </w:t>
      </w:r>
    </w:p>
    <w:p w14:paraId="16ADEEAF" w14:textId="77777777" w:rsidR="00F8377E" w:rsidRPr="00262582" w:rsidRDefault="00F8377E" w:rsidP="00F8377E">
      <w:pPr>
        <w:spacing w:after="0" w:line="276" w:lineRule="auto"/>
        <w:jc w:val="both"/>
        <w:rPr>
          <w:rFonts w:ascii="Verdana" w:eastAsia="Calibri" w:hAnsi="Verdana" w:cs="Arial"/>
          <w:lang w:val="es-ES"/>
        </w:rPr>
      </w:pPr>
    </w:p>
    <w:p w14:paraId="29AA5AE2" w14:textId="77777777" w:rsidR="00F8377E" w:rsidRPr="00403B1E" w:rsidRDefault="00F8377E" w:rsidP="00F8377E">
      <w:pPr>
        <w:pStyle w:val="Prrafodelista"/>
        <w:numPr>
          <w:ilvl w:val="0"/>
          <w:numId w:val="2"/>
        </w:numPr>
        <w:tabs>
          <w:tab w:val="left" w:pos="0"/>
        </w:tabs>
        <w:spacing w:after="120" w:line="276" w:lineRule="auto"/>
        <w:jc w:val="both"/>
        <w:rPr>
          <w:rFonts w:ascii="Verdana" w:eastAsia="Calibri" w:hAnsi="Verdana" w:cs="Arial"/>
        </w:rPr>
      </w:pPr>
      <w:bookmarkStart w:id="0" w:name="_Hlk75296202"/>
      <w:r>
        <w:rPr>
          <w:rFonts w:ascii="Verdana" w:eastAsia="Calibri" w:hAnsi="Verdana" w:cs="Arial"/>
        </w:rPr>
        <w:t>El</w:t>
      </w:r>
      <w:r w:rsidRPr="00403B1E">
        <w:rPr>
          <w:rFonts w:ascii="Verdana" w:eastAsia="Calibri" w:hAnsi="Verdana" w:cs="Arial"/>
        </w:rPr>
        <w:t xml:space="preserve">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w:t>
      </w:r>
      <w:r w:rsidRPr="00403B1E">
        <w:rPr>
          <w:rFonts w:ascii="Verdana" w:eastAsia="Calibri" w:hAnsi="Verdana" w:cs="Arial"/>
          <w:bCs/>
        </w:rPr>
        <w:t>,</w:t>
      </w:r>
      <w:r w:rsidRPr="00403B1E">
        <w:rPr>
          <w:rFonts w:ascii="Verdana" w:eastAsia="Calibri" w:hAnsi="Verdana" w:cs="Arial"/>
        </w:rPr>
        <w:t xml:space="preserve"> excepcionalmente</w:t>
      </w:r>
      <w:r w:rsidRPr="00403B1E">
        <w:rPr>
          <w:rFonts w:ascii="Verdana" w:eastAsia="Calibri" w:hAnsi="Verdana" w:cs="Arial"/>
          <w:bCs/>
        </w:rPr>
        <w:t>,</w:t>
      </w:r>
      <w:r w:rsidRPr="00403B1E">
        <w:rPr>
          <w:rFonts w:ascii="Verdana" w:eastAsia="Calibri" w:hAnsi="Verdana" w:cs="Arial"/>
        </w:rPr>
        <w:t xml:space="preserve"> se permita lo contrario. Esto comoquiera que estos, no se refieren a la oferta misma sino a la idoneidad del oferente para asumir adecuadamente la ejecución del contrato</w:t>
      </w:r>
      <w:r w:rsidRPr="00403B1E">
        <w:rPr>
          <w:rStyle w:val="Refdenotaalpie"/>
          <w:rFonts w:ascii="Verdana" w:eastAsia="Calibri" w:hAnsi="Verdana" w:cs="Arial"/>
        </w:rPr>
        <w:footnoteReference w:id="1"/>
      </w:r>
      <w:r w:rsidRPr="00403B1E">
        <w:rPr>
          <w:rFonts w:ascii="Verdana" w:eastAsia="Calibri" w:hAnsi="Verdana" w:cs="Arial"/>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403B1E">
        <w:rPr>
          <w:rFonts w:ascii="Verdana" w:eastAsia="Calibri" w:hAnsi="Verdana" w:cs="Arial"/>
          <w:i/>
        </w:rPr>
        <w:t xml:space="preserve">habilitantes </w:t>
      </w:r>
      <w:r w:rsidRPr="00403B1E">
        <w:rPr>
          <w:rFonts w:ascii="Verdana" w:eastAsia="Calibri" w:hAnsi="Verdana" w:cs="Aria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0"/>
    </w:p>
    <w:p w14:paraId="076D697F" w14:textId="77777777" w:rsidR="00F8377E" w:rsidRPr="00403B1E" w:rsidRDefault="00F8377E" w:rsidP="00F8377E">
      <w:pPr>
        <w:pStyle w:val="Prrafodelista"/>
        <w:tabs>
          <w:tab w:val="left" w:pos="0"/>
        </w:tabs>
        <w:spacing w:after="120" w:line="276" w:lineRule="auto"/>
        <w:jc w:val="both"/>
        <w:rPr>
          <w:rFonts w:ascii="Verdana" w:hAnsi="Verdana" w:cs="Arial"/>
        </w:rPr>
      </w:pPr>
    </w:p>
    <w:p w14:paraId="0B74D501" w14:textId="77777777" w:rsidR="00F8377E" w:rsidRPr="00403B1E" w:rsidRDefault="00F8377E" w:rsidP="00F8377E">
      <w:pPr>
        <w:pStyle w:val="Prrafodelista"/>
        <w:numPr>
          <w:ilvl w:val="0"/>
          <w:numId w:val="2"/>
        </w:numPr>
        <w:tabs>
          <w:tab w:val="left" w:pos="0"/>
        </w:tabs>
        <w:spacing w:after="120" w:line="276" w:lineRule="auto"/>
        <w:jc w:val="both"/>
        <w:rPr>
          <w:rFonts w:ascii="Verdana" w:hAnsi="Verdana" w:cs="Arial"/>
        </w:rPr>
      </w:pPr>
      <w:r>
        <w:rPr>
          <w:rFonts w:ascii="Verdana" w:eastAsia="Calibri" w:hAnsi="Verdana" w:cs="Arial"/>
        </w:rPr>
        <w:t>Por otra parte</w:t>
      </w:r>
      <w:r w:rsidRPr="00403B1E">
        <w:rPr>
          <w:rFonts w:ascii="Verdana" w:eastAsia="Calibri" w:hAnsi="Verdana" w:cs="Arial"/>
        </w:rPr>
        <w:t xml:space="preserve">,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w:t>
      </w:r>
      <w:r w:rsidRPr="00403B1E">
        <w:rPr>
          <w:rFonts w:ascii="Verdana" w:hAnsi="Verdana" w:cs="Arial"/>
        </w:rPr>
        <w:t xml:space="preserve">los factores técnicos y económicos de escogencia, de acuerdo con los parámetros establecidos </w:t>
      </w:r>
      <w:r w:rsidRPr="00403B1E">
        <w:rPr>
          <w:rFonts w:ascii="Verdana" w:hAnsi="Verdana" w:cs="Arial"/>
        </w:rPr>
        <w:lastRenderedPageBreak/>
        <w:t xml:space="preserve">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1C1C2CC1" w14:textId="77777777" w:rsidR="00F8377E" w:rsidRDefault="00F8377E" w:rsidP="00F8377E">
      <w:pPr>
        <w:pStyle w:val="Prrafodelista"/>
        <w:tabs>
          <w:tab w:val="left" w:pos="0"/>
        </w:tabs>
        <w:spacing w:after="120" w:line="276" w:lineRule="auto"/>
        <w:jc w:val="both"/>
        <w:rPr>
          <w:rFonts w:ascii="Verdana" w:hAnsi="Verdana" w:cs="Arial"/>
        </w:rPr>
      </w:pPr>
    </w:p>
    <w:p w14:paraId="7FEDB416" w14:textId="77777777" w:rsidR="00F8377E" w:rsidRPr="00403B1E" w:rsidRDefault="00F8377E" w:rsidP="00F8377E">
      <w:pPr>
        <w:pStyle w:val="Prrafodelista"/>
        <w:numPr>
          <w:ilvl w:val="0"/>
          <w:numId w:val="2"/>
        </w:numPr>
        <w:tabs>
          <w:tab w:val="left" w:pos="0"/>
        </w:tabs>
        <w:spacing w:after="120" w:line="276" w:lineRule="auto"/>
        <w:jc w:val="both"/>
        <w:rPr>
          <w:rFonts w:ascii="Verdana" w:hAnsi="Verdana" w:cs="Arial"/>
        </w:rPr>
      </w:pPr>
      <w:r w:rsidRPr="00403B1E">
        <w:rPr>
          <w:rFonts w:ascii="Verdana" w:hAnsi="Verdana" w:cs="Arial"/>
        </w:rPr>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5D22B73C" w14:textId="77777777" w:rsidR="00F8377E" w:rsidRDefault="00F8377E" w:rsidP="00F8377E">
      <w:pPr>
        <w:pStyle w:val="Prrafodelista"/>
        <w:tabs>
          <w:tab w:val="left" w:pos="0"/>
        </w:tabs>
        <w:spacing w:after="0" w:line="276" w:lineRule="auto"/>
        <w:jc w:val="both"/>
        <w:rPr>
          <w:rFonts w:ascii="Verdana" w:hAnsi="Verdana" w:cs="Arial"/>
        </w:rPr>
      </w:pPr>
    </w:p>
    <w:p w14:paraId="17DC73C2" w14:textId="77777777" w:rsidR="00F8377E" w:rsidRPr="00403B1E" w:rsidRDefault="00F8377E" w:rsidP="00F8377E">
      <w:pPr>
        <w:pStyle w:val="Prrafodelista"/>
        <w:numPr>
          <w:ilvl w:val="0"/>
          <w:numId w:val="2"/>
        </w:numPr>
        <w:tabs>
          <w:tab w:val="left" w:pos="0"/>
        </w:tabs>
        <w:spacing w:after="120" w:line="276" w:lineRule="auto"/>
        <w:jc w:val="both"/>
        <w:rPr>
          <w:rFonts w:ascii="Verdana" w:eastAsia="Calibri" w:hAnsi="Verdana" w:cs="Arial"/>
        </w:rPr>
      </w:pPr>
      <w:r w:rsidRPr="00403B1E">
        <w:rPr>
          <w:rFonts w:ascii="Verdana" w:eastAsia="Calibri" w:hAnsi="Verdana" w:cs="Arial"/>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7F518FB9" w14:textId="77777777" w:rsidR="00F8377E" w:rsidRDefault="00F8377E" w:rsidP="00F8377E">
      <w:pPr>
        <w:pStyle w:val="Prrafodelista"/>
        <w:tabs>
          <w:tab w:val="left" w:pos="0"/>
        </w:tabs>
        <w:spacing w:after="120" w:line="276" w:lineRule="auto"/>
        <w:jc w:val="both"/>
        <w:rPr>
          <w:rFonts w:ascii="Verdana" w:eastAsia="Calibri" w:hAnsi="Verdana" w:cs="Arial"/>
        </w:rPr>
      </w:pPr>
    </w:p>
    <w:p w14:paraId="77039986" w14:textId="77777777" w:rsidR="00F8377E" w:rsidRPr="00EE06B2" w:rsidRDefault="00F8377E" w:rsidP="00F8377E">
      <w:pPr>
        <w:pStyle w:val="Prrafodelista"/>
        <w:numPr>
          <w:ilvl w:val="0"/>
          <w:numId w:val="2"/>
        </w:numPr>
        <w:spacing w:after="120" w:line="276" w:lineRule="auto"/>
        <w:jc w:val="both"/>
        <w:rPr>
          <w:rFonts w:ascii="Verdana" w:hAnsi="Verdana" w:cs="Arial"/>
          <w:lang w:eastAsia="es-CO"/>
        </w:rPr>
      </w:pPr>
      <w:r w:rsidRPr="00403B1E">
        <w:rPr>
          <w:rFonts w:ascii="Verdana" w:eastAsia="Calibri" w:hAnsi="Verdana" w:cs="Arial"/>
        </w:rPr>
        <w:t>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w:t>
      </w:r>
      <w:r w:rsidRPr="00403B1E">
        <w:rPr>
          <w:rFonts w:ascii="Verdana" w:eastAsia="Calibri" w:hAnsi="Verdana" w:cs="Arial"/>
        </w:rPr>
        <w:softHyphen/>
        <w:t>.2 de la Ley 1150 de 2007, disponiendo unas pautas para la p</w:t>
      </w:r>
      <w:r w:rsidRPr="00403B1E">
        <w:rPr>
          <w:rFonts w:ascii="Verdana" w:hAnsi="Verdana" w:cs="Arial"/>
        </w:rPr>
        <w:t xml:space="preserve">onderación de los elementos de calidad y precio que representen la mejor relación de costo-beneficio. Conforme a este artículo, la oferta más favorable en estos casos debe determinarse ponderando en las ofertas: i) </w:t>
      </w:r>
      <w:r w:rsidRPr="00403B1E">
        <w:rPr>
          <w:rFonts w:ascii="Verdana" w:hAnsi="Verdana" w:cs="Arial"/>
          <w:lang w:eastAsia="es-CO"/>
        </w:rPr>
        <w:t xml:space="preserve">las condiciones técnicas y económicas mínimas; </w:t>
      </w:r>
      <w:proofErr w:type="spellStart"/>
      <w:r w:rsidRPr="00403B1E">
        <w:rPr>
          <w:rFonts w:ascii="Verdana" w:hAnsi="Verdana" w:cs="Arial"/>
          <w:lang w:eastAsia="es-CO"/>
        </w:rPr>
        <w:t>ii</w:t>
      </w:r>
      <w:proofErr w:type="spellEnd"/>
      <w:r w:rsidRPr="00403B1E">
        <w:rPr>
          <w:rFonts w:ascii="Verdana" w:hAnsi="Verdana" w:cs="Arial"/>
          <w:lang w:eastAsia="es-CO"/>
        </w:rPr>
        <w:t xml:space="preserve">) las condiciones técnicas adicionales que representan ventajas </w:t>
      </w:r>
      <w:r w:rsidRPr="00403B1E">
        <w:rPr>
          <w:rFonts w:ascii="Verdana" w:hAnsi="Verdana" w:cs="Arial"/>
          <w:lang w:eastAsia="es-CO"/>
        </w:rPr>
        <w:lastRenderedPageBreak/>
        <w:t xml:space="preserve">de calidad o de funcionamiento; </w:t>
      </w:r>
      <w:proofErr w:type="spellStart"/>
      <w:r w:rsidRPr="00403B1E">
        <w:rPr>
          <w:rFonts w:ascii="Verdana" w:hAnsi="Verdana" w:cs="Arial"/>
          <w:lang w:eastAsia="es-CO"/>
        </w:rPr>
        <w:t>iii</w:t>
      </w:r>
      <w:proofErr w:type="spellEnd"/>
      <w:r w:rsidRPr="00403B1E">
        <w:rPr>
          <w:rFonts w:ascii="Verdana" w:hAnsi="Verdana" w:cs="Arial"/>
          <w:lang w:eastAsia="es-CO"/>
        </w:rPr>
        <w:t xml:space="preserve">)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w:t>
      </w:r>
      <w:r>
        <w:rPr>
          <w:rFonts w:ascii="Verdana" w:eastAsia="Calibri" w:hAnsi="Verdana" w:cs="Arial"/>
        </w:rPr>
        <w:t>“</w:t>
      </w:r>
      <w:r w:rsidRPr="00403B1E">
        <w:rPr>
          <w:rFonts w:ascii="Verdana" w:eastAsia="Calibri" w:hAnsi="Verdana" w:cs="Arial"/>
        </w:rPr>
        <w:t xml:space="preserve">[…] </w:t>
      </w:r>
      <w:r w:rsidRPr="00403B1E">
        <w:rPr>
          <w:rFonts w:ascii="Verdana" w:hAnsi="Verdana" w:cs="Arial"/>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Pr="00403B1E">
        <w:rPr>
          <w:rFonts w:ascii="Verdana" w:eastAsia="Calibri" w:hAnsi="Verdana" w:cs="Arial"/>
        </w:rPr>
        <w:t xml:space="preserve"> </w:t>
      </w:r>
      <w:r w:rsidRPr="00403B1E">
        <w:rPr>
          <w:rFonts w:ascii="Verdana" w:hAnsi="Verdana" w:cs="Arial"/>
        </w:rPr>
        <w:t>[…]</w:t>
      </w:r>
      <w:r>
        <w:rPr>
          <w:rFonts w:ascii="Verdana" w:eastAsia="Calibri" w:hAnsi="Verdana" w:cs="Arial"/>
        </w:rPr>
        <w:t>”</w:t>
      </w:r>
      <w:r w:rsidRPr="00403B1E">
        <w:rPr>
          <w:rStyle w:val="Refdenotaalpie"/>
          <w:rFonts w:ascii="Verdana" w:hAnsi="Verdana" w:cs="Arial"/>
          <w:lang w:eastAsia="es-CO"/>
        </w:rPr>
        <w:footnoteReference w:id="2"/>
      </w:r>
      <w:r w:rsidRPr="00403B1E">
        <w:rPr>
          <w:rFonts w:ascii="Verdana" w:eastAsia="Calibri" w:hAnsi="Verdana" w:cs="Arial"/>
        </w:rPr>
        <w:t>.</w:t>
      </w:r>
    </w:p>
    <w:p w14:paraId="6025AA7B" w14:textId="77777777" w:rsidR="00F8377E" w:rsidRPr="00403B1E" w:rsidRDefault="00F8377E" w:rsidP="00F8377E">
      <w:pPr>
        <w:pStyle w:val="Prrafodelista"/>
        <w:spacing w:after="120" w:line="276" w:lineRule="auto"/>
        <w:jc w:val="both"/>
        <w:rPr>
          <w:rFonts w:ascii="Verdana" w:hAnsi="Verdana" w:cs="Arial"/>
          <w:lang w:eastAsia="es-CO"/>
        </w:rPr>
      </w:pPr>
    </w:p>
    <w:p w14:paraId="200A13D1" w14:textId="77777777" w:rsidR="00F8377E" w:rsidRDefault="00F8377E" w:rsidP="00F8377E">
      <w:pPr>
        <w:pStyle w:val="Prrafodelista"/>
        <w:numPr>
          <w:ilvl w:val="0"/>
          <w:numId w:val="2"/>
        </w:numPr>
        <w:spacing w:after="120" w:line="276" w:lineRule="auto"/>
        <w:jc w:val="both"/>
        <w:rPr>
          <w:rFonts w:ascii="Verdana" w:hAnsi="Verdana" w:cs="Arial"/>
          <w:color w:val="000000" w:themeColor="text1"/>
          <w:lang w:val="es-ES_tradnl"/>
        </w:rPr>
      </w:pPr>
      <w:r>
        <w:rPr>
          <w:rFonts w:ascii="Verdana" w:hAnsi="Verdana" w:cs="Arial"/>
          <w:color w:val="000000" w:themeColor="text1"/>
        </w:rPr>
        <w:t xml:space="preserve">Por otra parte, sobre los cuatro requisitos habilitantes mencionados en el </w:t>
      </w:r>
      <w:r w:rsidRPr="00403B1E">
        <w:rPr>
          <w:rFonts w:ascii="Verdana" w:hAnsi="Verdana" w:cs="Arial"/>
          <w:color w:val="000000" w:themeColor="text1"/>
          <w:lang w:val="es-ES_tradnl"/>
        </w:rPr>
        <w:t>artículo 5, numeral 1, de la Ley 1150 de 2007, cuyo alcance fue explicado previamente</w:t>
      </w:r>
      <w:r>
        <w:rPr>
          <w:rFonts w:ascii="Verdana" w:hAnsi="Verdana" w:cs="Arial"/>
          <w:color w:val="000000" w:themeColor="text1"/>
        </w:rPr>
        <w:t>, vale</w:t>
      </w:r>
      <w:r w:rsidRPr="00403B1E">
        <w:rPr>
          <w:rFonts w:ascii="Verdana" w:hAnsi="Verdana" w:cs="Arial"/>
          <w:color w:val="000000" w:themeColor="text1"/>
          <w:lang w:val="es-ES_tradnl"/>
        </w:rPr>
        <w:t xml:space="preserve"> la pena preguntarse si son taxativos, esto es, si son los únicos requisitos habilitantes que puede exigirles una entidad a los proponentes. Esta pregunta tiene, al menos, dos respuestas posibles. Por un lado, que sí lo son, ya que la norma no hace referencia a otros diferentes y,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w:t>
      </w:r>
      <w:r w:rsidRPr="00403B1E">
        <w:rPr>
          <w:rFonts w:ascii="Verdana" w:hAnsi="Verdana" w:cs="Arial"/>
          <w:color w:val="000000" w:themeColor="text1"/>
          <w:lang w:val="es-ES_tradnl"/>
        </w:rPr>
        <w:lastRenderedPageBreak/>
        <w:t xml:space="preserve">para el efecto en los pliegos de condiciones”. Esta segunda respuesta contiene la interpretación legal que comparte la Agencia Nacional de Contratación Pública. </w:t>
      </w:r>
    </w:p>
    <w:p w14:paraId="3DA6F851" w14:textId="77777777" w:rsidR="00F8377E" w:rsidRPr="00403B1E" w:rsidRDefault="00F8377E" w:rsidP="00F8377E">
      <w:pPr>
        <w:pStyle w:val="Prrafodelista"/>
        <w:spacing w:after="120" w:line="276" w:lineRule="auto"/>
        <w:jc w:val="both"/>
        <w:rPr>
          <w:rFonts w:ascii="Verdana" w:hAnsi="Verdana" w:cs="Arial"/>
          <w:color w:val="000000" w:themeColor="text1"/>
          <w:lang w:val="es-ES_tradnl"/>
        </w:rPr>
      </w:pPr>
    </w:p>
    <w:p w14:paraId="49910887" w14:textId="77777777" w:rsidR="00F8377E" w:rsidRPr="009B593A" w:rsidRDefault="00F8377E" w:rsidP="00F8377E">
      <w:pPr>
        <w:pStyle w:val="Prrafodelista"/>
        <w:rPr>
          <w:rFonts w:ascii="Verdana" w:hAnsi="Verdana" w:cs="Arial"/>
          <w:color w:val="000000" w:themeColor="text1"/>
          <w:lang w:val="es-ES_tradnl"/>
        </w:rPr>
      </w:pPr>
    </w:p>
    <w:p w14:paraId="5C00F95C" w14:textId="77777777" w:rsidR="00F8377E" w:rsidRPr="00366F9F" w:rsidRDefault="00F8377E" w:rsidP="00F8377E">
      <w:pPr>
        <w:pStyle w:val="Prrafodelista"/>
        <w:numPr>
          <w:ilvl w:val="0"/>
          <w:numId w:val="3"/>
        </w:numPr>
        <w:spacing w:after="120" w:line="276" w:lineRule="auto"/>
        <w:jc w:val="both"/>
        <w:rPr>
          <w:rFonts w:ascii="Verdana" w:hAnsi="Verdana" w:cs="Arial"/>
          <w:color w:val="000000" w:themeColor="text1"/>
        </w:rPr>
      </w:pPr>
      <w:bookmarkStart w:id="1" w:name="_Hlk34917473"/>
      <w:r w:rsidRPr="00366F9F">
        <w:rPr>
          <w:rFonts w:ascii="Verdana" w:hAnsi="Verdana" w:cs="Arial"/>
          <w:color w:val="000000" w:themeColor="text1"/>
        </w:rPr>
        <w:t xml:space="preserve">En consecuencia, 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bookmarkEnd w:id="1"/>
    <w:p w14:paraId="2C6B21DA" w14:textId="77777777" w:rsidR="00F8377E" w:rsidRDefault="00F8377E" w:rsidP="00F8377E">
      <w:pPr>
        <w:pStyle w:val="Prrafodelista"/>
        <w:spacing w:after="120" w:line="276" w:lineRule="auto"/>
        <w:jc w:val="both"/>
        <w:rPr>
          <w:rFonts w:ascii="Verdana" w:hAnsi="Verdana" w:cs="Arial"/>
          <w:color w:val="000000" w:themeColor="text1"/>
          <w:lang w:val="es-ES_tradnl"/>
        </w:rPr>
      </w:pPr>
    </w:p>
    <w:p w14:paraId="24FE8376" w14:textId="77777777" w:rsidR="00F8377E" w:rsidRPr="00403B1E" w:rsidRDefault="00F8377E" w:rsidP="00F8377E">
      <w:pPr>
        <w:pStyle w:val="Prrafodelista"/>
        <w:numPr>
          <w:ilvl w:val="0"/>
          <w:numId w:val="2"/>
        </w:numPr>
        <w:spacing w:after="0" w:line="276" w:lineRule="auto"/>
        <w:jc w:val="both"/>
        <w:rPr>
          <w:rFonts w:ascii="Verdana" w:hAnsi="Verdana" w:cs="Arial"/>
          <w:color w:val="000000" w:themeColor="text1"/>
          <w:lang w:val="es-ES_tradnl"/>
        </w:rPr>
      </w:pPr>
      <w:r w:rsidRPr="00403B1E">
        <w:rPr>
          <w:rFonts w:ascii="Verdana" w:hAnsi="Verdana" w:cs="Arial"/>
          <w:color w:val="000000" w:themeColor="text1"/>
          <w:lang w:val="es-ES_tradnl"/>
        </w:rPr>
        <w:t xml:space="preserve">Una vez fijados los requisitos habilitantes por la entidad estatal, quienes presenten ofertas deben </w:t>
      </w:r>
      <w:r w:rsidRPr="00403B1E">
        <w:rPr>
          <w:rFonts w:ascii="Verdana" w:hAnsi="Verdana" w:cs="Arial"/>
          <w:bCs/>
          <w:i/>
          <w:iCs/>
          <w:color w:val="000000" w:themeColor="text1"/>
          <w:lang w:val="es-ES_tradnl"/>
        </w:rPr>
        <w:t>acreditar</w:t>
      </w:r>
      <w:r w:rsidRPr="00403B1E">
        <w:rPr>
          <w:rFonts w:ascii="Verdana" w:hAnsi="Verdana" w:cs="Arial"/>
          <w:color w:val="000000" w:themeColor="text1"/>
          <w:lang w:val="es-ES_tradnl"/>
        </w:rPr>
        <w:t xml:space="preserve"> que cumplen con los mismos, pues, en el evento contrario, las propuestas deberán ser rechazadas. Lo anterior, sin perjuicio de la posibilidad de </w:t>
      </w:r>
      <w:r w:rsidRPr="00403B1E">
        <w:rPr>
          <w:rFonts w:ascii="Verdana" w:hAnsi="Verdana" w:cs="Arial"/>
          <w:bCs/>
          <w:i/>
          <w:iCs/>
          <w:color w:val="000000" w:themeColor="text1"/>
          <w:lang w:val="es-ES_tradnl"/>
        </w:rPr>
        <w:t>subsanar</w:t>
      </w:r>
      <w:r w:rsidRPr="00403B1E">
        <w:rPr>
          <w:rFonts w:ascii="Verdana" w:hAnsi="Verdana" w:cs="Arial"/>
          <w:color w:val="000000" w:themeColor="text1"/>
          <w:lang w:val="es-ES_tradnl"/>
        </w:rPr>
        <w:t>, prevista en el artículo 5 de la Ley 1882 de 2018, que modificó el parágrafo 1º del artículo 5 de la Ley 1150 de 2007, en los siguientes términos:</w:t>
      </w:r>
    </w:p>
    <w:p w14:paraId="5306027C" w14:textId="77777777" w:rsidR="00F8377E" w:rsidRPr="00403B1E" w:rsidRDefault="00F8377E" w:rsidP="00F8377E">
      <w:pPr>
        <w:pStyle w:val="Prrafodelista"/>
        <w:spacing w:after="0" w:line="276" w:lineRule="auto"/>
        <w:jc w:val="both"/>
        <w:rPr>
          <w:rFonts w:ascii="Verdana" w:hAnsi="Verdana" w:cs="Arial"/>
          <w:color w:val="000000" w:themeColor="text1"/>
          <w:lang w:val="es-ES_tradnl"/>
        </w:rPr>
      </w:pPr>
    </w:p>
    <w:p w14:paraId="289A26DD" w14:textId="77777777" w:rsidR="00F8377E" w:rsidRPr="00366F9F" w:rsidRDefault="00F8377E" w:rsidP="00F8377E">
      <w:pPr>
        <w:pStyle w:val="Prrafodelista"/>
        <w:spacing w:after="0" w:line="276" w:lineRule="auto"/>
        <w:ind w:left="1049" w:right="760"/>
        <w:jc w:val="both"/>
        <w:rPr>
          <w:rFonts w:ascii="Verdana" w:hAnsi="Verdana" w:cs="Arial"/>
          <w:color w:val="000000" w:themeColor="text1"/>
          <w:sz w:val="21"/>
          <w:szCs w:val="21"/>
          <w:lang w:val="es-ES_tradnl"/>
        </w:rPr>
      </w:pPr>
      <w:r w:rsidRPr="00366F9F">
        <w:rPr>
          <w:rFonts w:ascii="Verdana" w:hAnsi="Verdana" w:cs="Arial"/>
          <w:color w:val="000000" w:themeColor="text1"/>
          <w:sz w:val="21"/>
          <w:szCs w:val="21"/>
          <w:lang w:val="es-ES_tradnl"/>
        </w:rPr>
        <w:t xml:space="preserve">“Artículo 5°. De la selección objetiva. </w:t>
      </w:r>
    </w:p>
    <w:p w14:paraId="3CD1C1A1" w14:textId="77777777" w:rsidR="00F8377E" w:rsidRPr="00366F9F" w:rsidRDefault="00F8377E" w:rsidP="00F8377E">
      <w:pPr>
        <w:pStyle w:val="Prrafodelista"/>
        <w:spacing w:after="120" w:line="276" w:lineRule="auto"/>
        <w:ind w:left="1049" w:right="760"/>
        <w:jc w:val="both"/>
        <w:rPr>
          <w:rFonts w:ascii="Verdana" w:hAnsi="Verdana" w:cs="Arial"/>
          <w:color w:val="000000" w:themeColor="text1"/>
          <w:sz w:val="21"/>
          <w:szCs w:val="21"/>
          <w:lang w:val="es-ES_tradnl"/>
        </w:rPr>
      </w:pPr>
      <w:r w:rsidRPr="00366F9F">
        <w:rPr>
          <w:rFonts w:ascii="Verdana" w:hAnsi="Verdana" w:cs="Arial"/>
          <w:color w:val="000000" w:themeColor="text1"/>
          <w:sz w:val="21"/>
          <w:szCs w:val="21"/>
          <w:lang w:val="es-ES_tradnl"/>
        </w:rPr>
        <w:t xml:space="preserve">[...] </w:t>
      </w:r>
    </w:p>
    <w:p w14:paraId="55FE130E" w14:textId="77777777" w:rsidR="00F8377E" w:rsidRPr="00366F9F" w:rsidRDefault="00F8377E" w:rsidP="00F8377E">
      <w:pPr>
        <w:pStyle w:val="Prrafodelista"/>
        <w:spacing w:after="0" w:line="276" w:lineRule="auto"/>
        <w:ind w:left="1049" w:right="760"/>
        <w:jc w:val="both"/>
        <w:rPr>
          <w:rFonts w:ascii="Verdana" w:hAnsi="Verdana" w:cs="Arial"/>
          <w:color w:val="000000" w:themeColor="text1"/>
          <w:sz w:val="21"/>
          <w:szCs w:val="21"/>
        </w:rPr>
      </w:pPr>
      <w:r w:rsidRPr="00366F9F">
        <w:rPr>
          <w:rFonts w:ascii="Verdana" w:hAnsi="Verdana" w:cs="Arial"/>
          <w:color w:val="000000" w:themeColor="text1"/>
          <w:sz w:val="21"/>
          <w:szCs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w:t>
      </w:r>
      <w:r w:rsidRPr="00366F9F">
        <w:rPr>
          <w:rFonts w:ascii="Verdana" w:hAnsi="Verdana" w:cs="Arial"/>
          <w:color w:val="000000" w:themeColor="text1"/>
          <w:sz w:val="21"/>
          <w:szCs w:val="21"/>
        </w:rPr>
        <w:lastRenderedPageBreak/>
        <w:t xml:space="preserve">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F2DEA90" w14:textId="77777777" w:rsidR="00F8377E" w:rsidRPr="00403B1E" w:rsidRDefault="00F8377E" w:rsidP="00F8377E">
      <w:pPr>
        <w:pStyle w:val="Prrafodelista"/>
        <w:spacing w:after="0" w:line="276" w:lineRule="auto"/>
        <w:jc w:val="both"/>
        <w:rPr>
          <w:rFonts w:ascii="Verdana" w:hAnsi="Verdana" w:cs="Arial"/>
          <w:b/>
          <w:color w:val="000000" w:themeColor="text1"/>
          <w:lang w:val="es-ES_tradnl"/>
        </w:rPr>
      </w:pPr>
    </w:p>
    <w:p w14:paraId="6F8C4E0E" w14:textId="77777777" w:rsidR="00F8377E" w:rsidRPr="00403B1E" w:rsidRDefault="00F8377E" w:rsidP="00F8377E">
      <w:pPr>
        <w:pStyle w:val="Prrafodelista"/>
        <w:numPr>
          <w:ilvl w:val="0"/>
          <w:numId w:val="2"/>
        </w:numPr>
        <w:spacing w:after="120" w:line="276" w:lineRule="auto"/>
        <w:jc w:val="both"/>
        <w:rPr>
          <w:rFonts w:ascii="Verdana" w:eastAsia="Calibri" w:hAnsi="Verdana" w:cs="Arial"/>
          <w:color w:val="000000" w:themeColor="text1"/>
        </w:rPr>
      </w:pPr>
      <w:r w:rsidRPr="5E0DF234">
        <w:rPr>
          <w:rFonts w:ascii="Verdana" w:hAnsi="Verdana" w:cs="Arial"/>
          <w:color w:val="000000" w:themeColor="text1"/>
        </w:rPr>
        <w:t xml:space="preserve">Esta norma, como lo indicó esta Subdirección en el Concepto CU-060 de 2020, por un lado, mantiene el criterio de la Ley 80 de 1993, relativo a que todo lo que no sea necesario para la comparación de propuestas no es título suficiente para su rechazo y, por el otro, conserva la idea aclaratoria de la Ley 1150 de 2007, según el cual todo lo que no afecte la asignación de puntaje puede subsanarse. También introduce modificaciones en relación con: i) el ámbito temporal para ejercer la facultad de subsanar la oferta; </w:t>
      </w:r>
      <w:proofErr w:type="spellStart"/>
      <w:r w:rsidRPr="5E0DF234">
        <w:rPr>
          <w:rFonts w:ascii="Verdana" w:hAnsi="Verdana" w:cs="Arial"/>
          <w:color w:val="000000" w:themeColor="text1"/>
        </w:rPr>
        <w:t>ii</w:t>
      </w:r>
      <w:proofErr w:type="spellEnd"/>
      <w:r w:rsidRPr="5E0DF234">
        <w:rPr>
          <w:rFonts w:ascii="Verdana" w:hAnsi="Verdana" w:cs="Arial"/>
          <w:color w:val="000000" w:themeColor="text1"/>
        </w:rPr>
        <w:t xml:space="preserve">) </w:t>
      </w:r>
      <w:r w:rsidRPr="5E0DF234">
        <w:rPr>
          <w:rFonts w:ascii="Verdana" w:eastAsia="Calibri" w:hAnsi="Verdana" w:cs="Arial"/>
          <w:color w:val="000000" w:themeColor="text1"/>
        </w:rPr>
        <w:t>la consagración de un criterio material, directamente relacionado con los aspectos subsanables: “</w:t>
      </w:r>
      <w:r w:rsidRPr="5E0DF234">
        <w:rPr>
          <w:rFonts w:ascii="Verdana" w:hAnsi="Verdana" w:cs="Arial"/>
          <w:color w:val="000000" w:themeColor="text1"/>
        </w:rPr>
        <w:t xml:space="preserve">los proponentes no podrán acreditar circunstancias ocurridas con posterioridad al cierre del proceso”; y </w:t>
      </w:r>
      <w:proofErr w:type="spellStart"/>
      <w:r w:rsidRPr="5E0DF234">
        <w:rPr>
          <w:rFonts w:ascii="Verdana" w:hAnsi="Verdana" w:cs="Arial"/>
          <w:color w:val="000000" w:themeColor="text1"/>
        </w:rPr>
        <w:t>iii</w:t>
      </w:r>
      <w:proofErr w:type="spellEnd"/>
      <w:r w:rsidRPr="5E0DF234">
        <w:rPr>
          <w:rFonts w:ascii="Verdana" w:hAnsi="Verdana" w:cs="Arial"/>
          <w:color w:val="000000" w:themeColor="text1"/>
        </w:rPr>
        <w:t xml:space="preserve">) la determinación </w:t>
      </w:r>
      <w:r w:rsidRPr="5E0DF234">
        <w:rPr>
          <w:rFonts w:ascii="Verdana" w:eastAsia="Calibri" w:hAnsi="Verdana" w:cs="Arial"/>
          <w:color w:val="000000" w:themeColor="text1"/>
        </w:rPr>
        <w:t>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749B74AE" w14:textId="77777777" w:rsidR="00F8377E" w:rsidRPr="009B593A" w:rsidRDefault="00F8377E" w:rsidP="00F8377E">
      <w:pPr>
        <w:pStyle w:val="Prrafodelista"/>
        <w:rPr>
          <w:rFonts w:ascii="Verdana" w:eastAsia="Calibri" w:hAnsi="Verdana" w:cs="Arial"/>
          <w:color w:val="000000" w:themeColor="text1"/>
          <w:lang w:val="es-ES_tradnl"/>
        </w:rPr>
      </w:pPr>
    </w:p>
    <w:p w14:paraId="0AD83252" w14:textId="77777777" w:rsidR="00F8377E" w:rsidRPr="00425C73" w:rsidRDefault="00F8377E" w:rsidP="00F8377E">
      <w:pPr>
        <w:pStyle w:val="Prrafodelista"/>
        <w:numPr>
          <w:ilvl w:val="0"/>
          <w:numId w:val="2"/>
        </w:numPr>
        <w:spacing w:before="120" w:after="0" w:line="276" w:lineRule="auto"/>
        <w:jc w:val="both"/>
        <w:rPr>
          <w:rFonts w:ascii="Verdana" w:eastAsia="Calibri" w:hAnsi="Verdana" w:cs="Arial"/>
        </w:rPr>
      </w:pPr>
      <w:r w:rsidRPr="5E0DF234">
        <w:rPr>
          <w:rFonts w:ascii="Verdana" w:eastAsia="Calibri" w:hAnsi="Verdana" w:cs="Arial"/>
        </w:rPr>
        <w:t>En línea con lo anterior, una vez verificada la ausencia de requisitos y/o documentos de la oferta, para efectos de saber si se pueden subsanar, la entidad contratante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230F380D" w14:textId="77777777" w:rsidR="00F8377E" w:rsidRDefault="00F8377E" w:rsidP="00F8377E">
      <w:pPr>
        <w:pStyle w:val="Prrafodelista"/>
        <w:spacing w:before="120" w:after="0" w:line="276" w:lineRule="auto"/>
        <w:jc w:val="both"/>
        <w:rPr>
          <w:rFonts w:ascii="Verdana" w:eastAsia="Calibri" w:hAnsi="Verdana" w:cs="Arial"/>
          <w:lang w:val="es-ES_tradnl"/>
        </w:rPr>
      </w:pPr>
    </w:p>
    <w:p w14:paraId="19E61069" w14:textId="77777777" w:rsidR="00F8377E" w:rsidRPr="00425C73" w:rsidRDefault="00F8377E" w:rsidP="00F8377E">
      <w:pPr>
        <w:pStyle w:val="Prrafodelista"/>
        <w:numPr>
          <w:ilvl w:val="0"/>
          <w:numId w:val="2"/>
        </w:numPr>
        <w:spacing w:before="120" w:after="0" w:line="276" w:lineRule="auto"/>
        <w:jc w:val="both"/>
        <w:rPr>
          <w:rFonts w:ascii="Verdana" w:eastAsia="Calibri" w:hAnsi="Verdana" w:cs="Arial"/>
        </w:rPr>
      </w:pPr>
      <w:r w:rsidRPr="5E0DF234">
        <w:rPr>
          <w:rFonts w:ascii="Verdana" w:eastAsia="Calibri" w:hAnsi="Verdana" w:cs="Arial"/>
        </w:rPr>
        <w:lastRenderedPageBreak/>
        <w:t>Ahora bien, teniendo en cuenta el objeto bajo consulta, se hace necesario que esta Agencia se manifieste sobre la diferencia entre la regla sobre subsanación de ofertas en los procesos de selección antes explicada, y la aclaración de las ofertas, cuestiones que resultan ser distintas, pese a que ambas puedan contener considerandos como elementos propios del principio de selección objetiva. Así, es aras de que la Entidad Estatal al momento de evaluar las ofertas recibidas y, con el fin de comprender integralmente cada documento contenido en la oferta, podrá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para solicitar a los proponentes las aclaraciones y explicaciones que se estimen indispensables”.</w:t>
      </w:r>
    </w:p>
    <w:p w14:paraId="2A103CC6" w14:textId="77777777" w:rsidR="00F8377E" w:rsidRPr="00DF1562" w:rsidRDefault="00F8377E" w:rsidP="00F8377E">
      <w:pPr>
        <w:pStyle w:val="Prrafodelista"/>
        <w:spacing w:before="120" w:after="0" w:line="276" w:lineRule="auto"/>
        <w:jc w:val="both"/>
        <w:rPr>
          <w:rFonts w:ascii="Verdana" w:hAnsi="Verdana" w:cs="Arial"/>
          <w:bCs/>
        </w:rPr>
      </w:pPr>
    </w:p>
    <w:p w14:paraId="4BF84D59" w14:textId="77777777" w:rsidR="00F8377E" w:rsidRPr="00366F9F" w:rsidRDefault="00F8377E" w:rsidP="00F8377E">
      <w:pPr>
        <w:pStyle w:val="Prrafodelista"/>
        <w:numPr>
          <w:ilvl w:val="0"/>
          <w:numId w:val="2"/>
        </w:numPr>
        <w:spacing w:before="120" w:after="120" w:line="276" w:lineRule="auto"/>
        <w:jc w:val="both"/>
        <w:rPr>
          <w:rFonts w:ascii="Verdana" w:eastAsia="Calibri" w:hAnsi="Verdana" w:cs="Arial"/>
        </w:rPr>
      </w:pPr>
      <w:r w:rsidRPr="00366F9F">
        <w:rPr>
          <w:rFonts w:ascii="Verdana" w:eastAsia="Calibri" w:hAnsi="Verdana" w:cs="Arial"/>
        </w:rPr>
        <w:t>En este sentido, teniendo en cuenta que la oferta económica es un criterio ponderable, es decir, se otorga puntaje no es susceptible de subsanación. Sin embargo</w:t>
      </w:r>
      <w:r>
        <w:rPr>
          <w:rFonts w:ascii="Verdana" w:eastAsia="Calibri" w:hAnsi="Verdana" w:cs="Arial"/>
        </w:rPr>
        <w:t>,</w:t>
      </w:r>
      <w:r w:rsidRPr="00366F9F">
        <w:rPr>
          <w:rFonts w:ascii="Verdana" w:eastAsia="Calibri" w:hAnsi="Verdana" w:cs="Arial"/>
        </w:rPr>
        <w:t xml:space="preserve"> bajo lo anteriormente expuesto, se pueden realizar aclaraciones sobre aspectos meramente formales</w:t>
      </w:r>
      <w:r w:rsidRPr="00366F9F">
        <w:rPr>
          <w:rFonts w:ascii="Verdana" w:eastAsia="Calibri" w:hAnsi="Verdana" w:cs="Arial"/>
          <w:lang w:val="es-ES"/>
        </w:rPr>
        <w:t>, pero no sobre requisitos esenciales del pliego de condiciones o factores calificables, como lo es el componente económico. </w:t>
      </w:r>
    </w:p>
    <w:p w14:paraId="0FBC2BDF" w14:textId="77777777" w:rsidR="00F8377E" w:rsidRDefault="00F8377E" w:rsidP="00F8377E">
      <w:pPr>
        <w:pStyle w:val="Prrafodelista"/>
        <w:spacing w:line="276" w:lineRule="auto"/>
        <w:jc w:val="both"/>
        <w:rPr>
          <w:rFonts w:ascii="Verdana" w:hAnsi="Verdana" w:cs="Arial"/>
          <w:color w:val="000000" w:themeColor="text1"/>
          <w:sz w:val="20"/>
          <w:szCs w:val="20"/>
        </w:rPr>
      </w:pPr>
    </w:p>
    <w:p w14:paraId="40EBCA00" w14:textId="77777777" w:rsidR="00F8377E" w:rsidRPr="00366F9F" w:rsidRDefault="00F8377E" w:rsidP="00F8377E">
      <w:pPr>
        <w:pStyle w:val="Prrafodelista"/>
        <w:numPr>
          <w:ilvl w:val="0"/>
          <w:numId w:val="2"/>
        </w:numPr>
        <w:spacing w:line="276" w:lineRule="auto"/>
        <w:jc w:val="both"/>
        <w:rPr>
          <w:rFonts w:ascii="Verdana" w:eastAsia="Calibri" w:hAnsi="Verdana" w:cs="Arial"/>
          <w:lang w:val="es-ES"/>
        </w:rPr>
      </w:pPr>
      <w:r w:rsidRPr="00366F9F">
        <w:rPr>
          <w:rFonts w:ascii="Verdana" w:eastAsia="Calibri" w:hAnsi="Verdana" w:cs="Arial"/>
          <w:lang w:val="es-ES"/>
        </w:rPr>
        <w:t>En todo caso, la implementación y evaluación de este tipo de criterios está sometida a la autonomía de las entidades estatales contratantes, quienes podrán implementarlos cuando lo encuentren justificado en virtud de su relacionamiento con el objeto del contrato y según las reglas que se incluyan en los pliegos de condiciones.</w:t>
      </w:r>
    </w:p>
    <w:p w14:paraId="30B1407C" w14:textId="77777777" w:rsidR="00F8377E" w:rsidRPr="00425C73" w:rsidRDefault="00F8377E" w:rsidP="00F8377E">
      <w:pPr>
        <w:spacing w:before="120" w:after="0" w:line="276" w:lineRule="auto"/>
        <w:ind w:left="360"/>
        <w:jc w:val="both"/>
        <w:rPr>
          <w:rFonts w:ascii="Verdana" w:eastAsia="Calibri" w:hAnsi="Verdana" w:cs="Arial"/>
          <w:lang w:val="es-ES_tradnl"/>
        </w:rPr>
      </w:pPr>
    </w:p>
    <w:p w14:paraId="1B03B0C3" w14:textId="77777777" w:rsidR="00F8377E" w:rsidRPr="00262582" w:rsidRDefault="00F8377E" w:rsidP="00F8377E">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4. Referencias normativas, jurisprudenciales y otras fuentes:</w:t>
      </w:r>
    </w:p>
    <w:p w14:paraId="77A0E8E7" w14:textId="77777777" w:rsidR="00F8377E" w:rsidRPr="00262582" w:rsidRDefault="00F8377E" w:rsidP="00F8377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8377E" w:rsidRPr="00262582" w14:paraId="741D7A1B" w14:textId="77777777" w:rsidTr="00A92350">
        <w:trPr>
          <w:trHeight w:val="870"/>
        </w:trPr>
        <w:tc>
          <w:tcPr>
            <w:tcW w:w="8647" w:type="dxa"/>
          </w:tcPr>
          <w:p w14:paraId="7313CB5E" w14:textId="77777777" w:rsidR="00F8377E" w:rsidRDefault="00F8377E" w:rsidP="00F8377E">
            <w:pPr>
              <w:pStyle w:val="Prrafodelista"/>
              <w:widowControl w:val="0"/>
              <w:numPr>
                <w:ilvl w:val="0"/>
                <w:numId w:val="1"/>
              </w:numPr>
              <w:autoSpaceDE w:val="0"/>
              <w:autoSpaceDN w:val="0"/>
              <w:spacing w:line="276" w:lineRule="auto"/>
              <w:jc w:val="both"/>
              <w:rPr>
                <w:rFonts w:ascii="Verdana" w:hAnsi="Verdana" w:cs="Arial"/>
              </w:rPr>
            </w:pPr>
            <w:r>
              <w:rPr>
                <w:rFonts w:ascii="Verdana" w:hAnsi="Verdana" w:cs="Arial"/>
              </w:rPr>
              <w:t>Ley 80 de 1993, artículo 30.</w:t>
            </w:r>
          </w:p>
          <w:p w14:paraId="596DD340" w14:textId="77777777" w:rsidR="00F8377E" w:rsidRPr="00312719" w:rsidRDefault="00F8377E" w:rsidP="00F8377E">
            <w:pPr>
              <w:pStyle w:val="Prrafodelista"/>
              <w:widowControl w:val="0"/>
              <w:numPr>
                <w:ilvl w:val="0"/>
                <w:numId w:val="1"/>
              </w:numPr>
              <w:autoSpaceDE w:val="0"/>
              <w:autoSpaceDN w:val="0"/>
              <w:spacing w:line="276" w:lineRule="auto"/>
              <w:jc w:val="both"/>
              <w:rPr>
                <w:rFonts w:ascii="Verdana" w:hAnsi="Verdana" w:cs="Arial"/>
              </w:rPr>
            </w:pPr>
            <w:r w:rsidRPr="00312719">
              <w:rPr>
                <w:rFonts w:ascii="Verdana" w:hAnsi="Verdana" w:cs="Arial"/>
              </w:rPr>
              <w:t>Ley 1150 de 2007, artículo</w:t>
            </w:r>
            <w:r>
              <w:rPr>
                <w:rFonts w:ascii="Verdana" w:hAnsi="Verdana" w:cs="Arial"/>
              </w:rPr>
              <w:t>s</w:t>
            </w:r>
            <w:r w:rsidRPr="00312719">
              <w:rPr>
                <w:rFonts w:ascii="Verdana" w:hAnsi="Verdana" w:cs="Arial"/>
              </w:rPr>
              <w:t xml:space="preserve"> 5</w:t>
            </w:r>
            <w:r>
              <w:rPr>
                <w:rFonts w:ascii="Verdana" w:hAnsi="Verdana" w:cs="Arial"/>
              </w:rPr>
              <w:t xml:space="preserve"> y 6</w:t>
            </w:r>
            <w:r w:rsidRPr="00312719">
              <w:rPr>
                <w:rFonts w:ascii="Verdana" w:hAnsi="Verdana" w:cs="Arial"/>
              </w:rPr>
              <w:t>.</w:t>
            </w:r>
          </w:p>
          <w:p w14:paraId="654E3310" w14:textId="77777777" w:rsidR="00F8377E" w:rsidRPr="00972375"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312719">
              <w:rPr>
                <w:rFonts w:ascii="Verdana" w:hAnsi="Verdana" w:cs="Arial"/>
              </w:rPr>
              <w:t>Decreto 1082 de 2015,</w:t>
            </w:r>
            <w:r>
              <w:rPr>
                <w:rFonts w:ascii="Verdana" w:hAnsi="Verdana" w:cs="Arial"/>
              </w:rPr>
              <w:t xml:space="preserve"> artículos</w:t>
            </w:r>
            <w:r w:rsidRPr="00312719">
              <w:rPr>
                <w:rFonts w:ascii="Verdana" w:hAnsi="Verdana" w:cs="Arial"/>
              </w:rPr>
              <w:t xml:space="preserve"> </w:t>
            </w:r>
            <w:r w:rsidRPr="00312719">
              <w:rPr>
                <w:rFonts w:ascii="Verdana" w:eastAsia="Calibri" w:hAnsi="Verdana" w:cs="Arial"/>
                <w:bCs/>
                <w:color w:val="000000"/>
                <w:szCs w:val="24"/>
                <w:lang w:eastAsia="es-ES_tradnl" w:bidi="es-ES"/>
              </w:rPr>
              <w:t>2.2.1.1.2.2.2</w:t>
            </w:r>
            <w:r>
              <w:rPr>
                <w:rFonts w:ascii="Verdana" w:eastAsia="Calibri" w:hAnsi="Verdana" w:cs="Arial"/>
                <w:bCs/>
                <w:color w:val="000000"/>
                <w:szCs w:val="24"/>
                <w:lang w:eastAsia="es-ES_tradnl" w:bidi="es-ES"/>
              </w:rPr>
              <w:t xml:space="preserve">, </w:t>
            </w:r>
            <w:r w:rsidRPr="00146338">
              <w:rPr>
                <w:rFonts w:ascii="Verdana" w:eastAsia="Calibri" w:hAnsi="Verdana" w:cs="Arial"/>
                <w:bCs/>
                <w:color w:val="000000"/>
                <w:szCs w:val="24"/>
                <w:lang w:eastAsia="es-ES_tradnl" w:bidi="es-ES"/>
              </w:rPr>
              <w:t>2.2.1.1.1.6.2</w:t>
            </w:r>
            <w:r>
              <w:rPr>
                <w:rFonts w:ascii="Verdana" w:eastAsia="Calibri" w:hAnsi="Verdana" w:cs="Arial"/>
                <w:bCs/>
                <w:color w:val="000000"/>
                <w:szCs w:val="24"/>
                <w:lang w:eastAsia="es-ES_tradnl" w:bidi="es-ES"/>
              </w:rPr>
              <w:t>.</w:t>
            </w:r>
            <w:r>
              <w:t xml:space="preserve"> </w:t>
            </w:r>
            <w:r w:rsidRPr="00D911D2">
              <w:rPr>
                <w:rFonts w:ascii="Verdana" w:eastAsia="Calibri" w:hAnsi="Verdana" w:cs="Arial"/>
                <w:bCs/>
                <w:color w:val="000000"/>
                <w:szCs w:val="24"/>
                <w:lang w:eastAsia="es-ES_tradnl" w:bidi="es-ES"/>
              </w:rPr>
              <w:t>2.2.1.1.2.2.4</w:t>
            </w:r>
            <w:r>
              <w:rPr>
                <w:rFonts w:ascii="Verdana" w:eastAsia="Calibri" w:hAnsi="Verdana" w:cs="Arial"/>
                <w:bCs/>
                <w:color w:val="000000"/>
                <w:szCs w:val="24"/>
                <w:lang w:eastAsia="es-ES_tradnl" w:bidi="es-ES"/>
              </w:rPr>
              <w:t xml:space="preserve"> y</w:t>
            </w:r>
            <w:r w:rsidRPr="00D911D2">
              <w:rPr>
                <w:rFonts w:ascii="Verdana" w:eastAsia="Calibri" w:hAnsi="Verdana" w:cs="Arial"/>
                <w:bCs/>
                <w:color w:val="000000"/>
                <w:szCs w:val="24"/>
                <w:lang w:eastAsia="es-ES_tradnl" w:bidi="es-ES"/>
              </w:rPr>
              <w:t xml:space="preserve"> 2.2.1.2.1.3.12</w:t>
            </w:r>
          </w:p>
          <w:p w14:paraId="0409CD79" w14:textId="77777777" w:rsidR="00F8377E" w:rsidRPr="00620D0E"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620D0E">
              <w:rPr>
                <w:rFonts w:ascii="Verdana" w:hAnsi="Verdana" w:cs="Arial"/>
                <w:lang w:val="pt-BR"/>
              </w:rPr>
              <w:t xml:space="preserve">Corte Constitucional. Sentencia C-569 de 2004. M.P. Rodrigo </w:t>
            </w:r>
            <w:proofErr w:type="spellStart"/>
            <w:r w:rsidRPr="00620D0E">
              <w:rPr>
                <w:rFonts w:ascii="Verdana" w:hAnsi="Verdana" w:cs="Arial"/>
                <w:lang w:val="pt-BR"/>
              </w:rPr>
              <w:t>Uprimny</w:t>
            </w:r>
            <w:proofErr w:type="spellEnd"/>
            <w:r w:rsidRPr="00620D0E">
              <w:rPr>
                <w:rFonts w:ascii="Verdana" w:hAnsi="Verdana" w:cs="Arial"/>
                <w:lang w:val="pt-BR"/>
              </w:rPr>
              <w:t xml:space="preserve"> Yepes.</w:t>
            </w:r>
          </w:p>
          <w:p w14:paraId="071C5A93" w14:textId="77777777" w:rsidR="00F8377E"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972375">
              <w:rPr>
                <w:rFonts w:ascii="Verdana" w:hAnsi="Verdana" w:cs="Arial"/>
              </w:rPr>
              <w:lastRenderedPageBreak/>
              <w:t>Consejo de Estado. Sección Tercera. Providencias del 11 de diciembre de 2002, dictada dentro del expediente AG-1683, y del 18 de octubre de 2001, proferida dentro del plenario AG-021.</w:t>
            </w:r>
          </w:p>
          <w:p w14:paraId="65CB750B" w14:textId="77777777" w:rsidR="00F8377E" w:rsidRPr="005D7EFA"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972375">
              <w:rPr>
                <w:rFonts w:ascii="Verdana" w:hAnsi="Verdana" w:cs="Arial"/>
              </w:rPr>
              <w:t>Consejo de Estado</w:t>
            </w:r>
            <w:r w:rsidRPr="00182664">
              <w:rPr>
                <w:rFonts w:ascii="Verdana" w:hAnsi="Verdana" w:cs="Arial"/>
              </w:rPr>
              <w:t>. Sección Tercera. Subsección C. Sentencia del 12 de noviembre de 2014. Exp. 27.986. C.P. Enrique Gil Botero.</w:t>
            </w:r>
          </w:p>
          <w:p w14:paraId="49561750" w14:textId="77777777" w:rsidR="00F8377E" w:rsidRPr="00434880"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 xml:space="preserve">Colombia Compra Eficiente, </w:t>
            </w:r>
            <w:r w:rsidRPr="0099737B">
              <w:rPr>
                <w:rFonts w:ascii="Verdana" w:hAnsi="Verdana" w:cs="Arial"/>
              </w:rPr>
              <w:t>Manual para determinar y verificar los requisitos habilitantes en los Procesos de Contratación</w:t>
            </w:r>
            <w:r>
              <w:rPr>
                <w:rFonts w:ascii="Verdana" w:hAnsi="Verdana" w:cs="Arial"/>
              </w:rPr>
              <w:t xml:space="preserve">. Disponible en: </w:t>
            </w:r>
            <w:hyperlink r:id="rId11" w:history="1">
              <w:r w:rsidRPr="00F32A09">
                <w:rPr>
                  <w:rStyle w:val="Hipervnculo"/>
                  <w:rFonts w:ascii="Verdana" w:hAnsi="Verdana" w:cs="Arial"/>
                </w:rPr>
                <w:t>https://www.colombiacompra.gov.co/sites/cce_public/files/cce_documents/cce-eicp-ma-04._manual_requisitos_habilitantes_v3_29-09-2023.pdf</w:t>
              </w:r>
            </w:hyperlink>
            <w:r>
              <w:rPr>
                <w:rFonts w:ascii="Verdana" w:hAnsi="Verdana" w:cs="Arial"/>
              </w:rPr>
              <w:t xml:space="preserve"> </w:t>
            </w:r>
          </w:p>
          <w:p w14:paraId="06C93C9F" w14:textId="77777777" w:rsidR="00F8377E"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312719">
              <w:rPr>
                <w:rFonts w:ascii="Verdana" w:hAnsi="Verdana" w:cs="Arial"/>
              </w:rPr>
              <w:t>RODRÍGUEZ TAMAYO, Mauricio F. Evaluación y rechazo de ofertas en la Ley 80 de 1993.</w:t>
            </w:r>
            <w:r w:rsidRPr="00434880">
              <w:rPr>
                <w:rFonts w:ascii="Verdana" w:hAnsi="Verdana" w:cs="Arial"/>
              </w:rPr>
              <w:t xml:space="preserve"> Primera edición. Medellín: Librería Jurídica Sánchez, 2016.</w:t>
            </w:r>
          </w:p>
          <w:p w14:paraId="71274A18" w14:textId="77777777" w:rsidR="00F8377E"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434880">
              <w:rPr>
                <w:rFonts w:ascii="Verdana" w:hAnsi="Verdana" w:cs="Arial"/>
              </w:rPr>
              <w:t>EXPÓSITO VELEZ, Juan C., El deber de selección objetiva, en: Del contrato estatal a los sistemas de compras públicas, por COVILLA MARTINEZ Juan C. y LOZANO VILLEGAS Germán (Eds.). Universidad Externado de Colombia, Bogotá, 2019.</w:t>
            </w:r>
          </w:p>
          <w:p w14:paraId="0B526C9D" w14:textId="77777777" w:rsidR="00F8377E" w:rsidRPr="00262582" w:rsidRDefault="00F8377E" w:rsidP="00F8377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40F73">
              <w:rPr>
                <w:rFonts w:ascii="Verdana" w:hAnsi="Verdana" w:cs="Arial"/>
              </w:rPr>
              <w:t>DÁVILA VINUEZA, Luis Guillermo. Régimen jurídico de la contratación estatal. Tercera edición, Bogotá: Legis, 2016.</w:t>
            </w:r>
          </w:p>
        </w:tc>
      </w:tr>
    </w:tbl>
    <w:p w14:paraId="29E24B0E" w14:textId="77777777" w:rsidR="00F8377E" w:rsidRPr="00262582" w:rsidRDefault="00F8377E" w:rsidP="00F837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9662BA1" w14:textId="77777777" w:rsidR="00F8377E" w:rsidRPr="00262582" w:rsidRDefault="00F8377E" w:rsidP="00F837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5. Doctrina de la Agencia Nacional de Contratación Pública:</w:t>
      </w:r>
    </w:p>
    <w:p w14:paraId="0FA4ADA3" w14:textId="77777777" w:rsidR="00F8377E" w:rsidRPr="00262582" w:rsidRDefault="00F8377E" w:rsidP="00F8377E">
      <w:pPr>
        <w:spacing w:after="0" w:line="276" w:lineRule="auto"/>
        <w:ind w:firstLine="709"/>
        <w:jc w:val="both"/>
        <w:rPr>
          <w:rFonts w:ascii="Verdana" w:eastAsia="Times New Roman" w:hAnsi="Verdana" w:cs="Arial"/>
          <w:szCs w:val="24"/>
          <w:lang w:val="es-ES" w:eastAsia="es-ES_tradnl"/>
        </w:rPr>
      </w:pPr>
    </w:p>
    <w:p w14:paraId="3BA5FA24" w14:textId="77777777" w:rsidR="00F8377E" w:rsidRDefault="00F8377E" w:rsidP="00F8377E">
      <w:pPr>
        <w:widowControl w:val="0"/>
        <w:autoSpaceDE w:val="0"/>
        <w:autoSpaceDN w:val="0"/>
        <w:spacing w:after="0" w:line="276" w:lineRule="auto"/>
        <w:jc w:val="both"/>
        <w:rPr>
          <w:rFonts w:ascii="Verdana" w:eastAsia="Calibri" w:hAnsi="Verdana" w:cs="Arial"/>
          <w:lang w:val="es-ES" w:eastAsia="es-ES_tradnl"/>
        </w:rPr>
      </w:pPr>
      <w:r w:rsidRPr="00F154ED">
        <w:rPr>
          <w:rFonts w:ascii="Verdana" w:eastAsia="Calibri" w:hAnsi="Verdana" w:cs="Arial"/>
          <w:lang w:val="es-ES_tradnl" w:eastAsia="es-ES_tradnl"/>
        </w:rPr>
        <w:t>Sobre los requisitos habilitantes y los requisitos ponderables, se pronunció esta Subdirección en los conceptos</w:t>
      </w:r>
      <w:r w:rsidRPr="00F47F19">
        <w:rPr>
          <w:rFonts w:ascii="Verdana" w:eastAsia="Calibri" w:hAnsi="Verdana" w:cs="Arial"/>
          <w:lang w:val="es-MX"/>
        </w:rPr>
        <w:t xml:space="preserve">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w:t>
      </w:r>
      <w:r>
        <w:rPr>
          <w:rFonts w:ascii="Verdana" w:eastAsia="Calibri" w:hAnsi="Verdana" w:cs="Arial"/>
          <w:lang w:val="es-MX"/>
        </w:rPr>
        <w:t xml:space="preserve"> C-877 del 26 de diciembre de 2022, C-417 del 27 de septiembre de 2023 ,C-432 del 23 de octubre de 2023, C-174 del 23 de julio de 2024 y C-291 del 20 de agosto de 2024. Así mismo, en los conceptos No. </w:t>
      </w:r>
      <w:r w:rsidRPr="009C43D8">
        <w:rPr>
          <w:rFonts w:ascii="Verdana" w:eastAsia="Calibri" w:hAnsi="Verdana" w:cs="Arial"/>
          <w:lang w:val="es-MX"/>
        </w:rPr>
        <w:t xml:space="preserve">CU - 060 de 16 de enero de 2020 y C-791 del 24 de noviembre del 2022, , C−372 de 30 de junio de 2020, C−410 de 26 de junio de 2020, C−481 de 27 julio de 2020, C−420 de 28 de julio de 2020, C-730 de 14 de diciembre de 2020, C–779 de 18 de enero de 2020, C-077 de 14 de enero de 2021, C-010 de 16 de febrero de 2021, C-250 del 2 de junio de </w:t>
      </w:r>
      <w:r w:rsidRPr="009C43D8">
        <w:rPr>
          <w:rFonts w:ascii="Verdana" w:eastAsia="Calibri" w:hAnsi="Verdana" w:cs="Arial"/>
          <w:lang w:val="es-MX"/>
        </w:rPr>
        <w:lastRenderedPageBreak/>
        <w:t>2021 C-568 del 11 de octubre de 2021, C-728 del 25 de enero de 2022, C-140 del 28 de marzo de 2022, C-285 del 20 de mayo de 2022, C-416 del 30 de junio de 2022, C-431 del 7 de julio de 2022, C-470 del 25 de julio de 2022, C-505 de 8 de agosto de 2022, C-681 de 19 de octubre de 2022, C-181 del 07 de ju</w:t>
      </w:r>
      <w:r>
        <w:rPr>
          <w:rFonts w:ascii="Verdana" w:eastAsia="Calibri" w:hAnsi="Verdana" w:cs="Arial"/>
          <w:lang w:val="es-MX"/>
        </w:rPr>
        <w:t>n</w:t>
      </w:r>
      <w:r w:rsidRPr="009C43D8">
        <w:rPr>
          <w:rFonts w:ascii="Verdana" w:eastAsia="Calibri" w:hAnsi="Verdana" w:cs="Arial"/>
          <w:lang w:val="es-MX"/>
        </w:rPr>
        <w:t>io de 2023</w:t>
      </w:r>
      <w:r>
        <w:rPr>
          <w:rFonts w:ascii="Verdana" w:eastAsia="Calibri" w:hAnsi="Verdana" w:cs="Arial"/>
          <w:lang w:val="es-MX"/>
        </w:rPr>
        <w:t xml:space="preserve"> y C-197 del 7 de julio de 2023 se pronunció sobre la subsanación y aclaración de la oferta económica. </w:t>
      </w:r>
      <w:r w:rsidRPr="00335563">
        <w:rPr>
          <w:rFonts w:ascii="Verdana" w:eastAsia="Calibri" w:hAnsi="Verdana" w:cs="Arial"/>
          <w:lang w:val="es-ES"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F32A09">
          <w:rPr>
            <w:rStyle w:val="Hipervnculo"/>
            <w:rFonts w:ascii="Verdana" w:eastAsia="Calibri" w:hAnsi="Verdana" w:cs="Arial"/>
            <w:lang w:val="es-ES" w:eastAsia="es-ES_tradnl"/>
          </w:rPr>
          <w:t>https://relatoria.colombiacompra.gov.co/</w:t>
        </w:r>
      </w:hyperlink>
      <w:r>
        <w:rPr>
          <w:rFonts w:ascii="Verdana" w:eastAsia="Calibri" w:hAnsi="Verdana" w:cs="Arial"/>
          <w:lang w:val="es-ES" w:eastAsia="es-ES_tradnl"/>
        </w:rPr>
        <w:t xml:space="preserve"> </w:t>
      </w:r>
    </w:p>
    <w:p w14:paraId="697A0C32" w14:textId="77777777" w:rsidR="00F8377E" w:rsidRDefault="00F8377E" w:rsidP="00F8377E">
      <w:pPr>
        <w:widowControl w:val="0"/>
        <w:autoSpaceDE w:val="0"/>
        <w:autoSpaceDN w:val="0"/>
        <w:spacing w:after="0" w:line="276" w:lineRule="auto"/>
        <w:jc w:val="both"/>
        <w:rPr>
          <w:rFonts w:ascii="Verdana" w:eastAsia="Calibri" w:hAnsi="Verdana" w:cs="Arial"/>
          <w:lang w:val="es-ES" w:eastAsia="es-ES_tradnl"/>
        </w:rPr>
      </w:pPr>
    </w:p>
    <w:p w14:paraId="0A32C132" w14:textId="77777777" w:rsidR="00F8377E" w:rsidRDefault="00F8377E" w:rsidP="00F8377E">
      <w:pPr>
        <w:widowControl w:val="0"/>
        <w:autoSpaceDE w:val="0"/>
        <w:autoSpaceDN w:val="0"/>
        <w:spacing w:after="0" w:line="276" w:lineRule="auto"/>
        <w:jc w:val="both"/>
        <w:rPr>
          <w:rFonts w:ascii="Verdana" w:eastAsia="Calibri" w:hAnsi="Verdana" w:cs="Arial"/>
          <w:lang w:val="es-ES" w:eastAsia="es-ES_tradnl"/>
        </w:rPr>
      </w:pPr>
      <w:r w:rsidRPr="00335563">
        <w:rPr>
          <w:rFonts w:ascii="Verdana" w:eastAsia="Calibri" w:hAnsi="Verdana" w:cs="Arial"/>
          <w:lang w:val="es-ES" w:eastAsia="es-ES_tradnl"/>
        </w:rPr>
        <w:t xml:space="preserve">Te invitamos también a revisar la tercera edición del Boletín de Relatoría de 2024 en el cual podrás consultar en detalle el marco normativo de documentos tipo: </w:t>
      </w:r>
    </w:p>
    <w:p w14:paraId="582A4546" w14:textId="77777777" w:rsidR="00F8377E" w:rsidRDefault="00F8377E" w:rsidP="00F8377E">
      <w:pPr>
        <w:widowControl w:val="0"/>
        <w:autoSpaceDE w:val="0"/>
        <w:autoSpaceDN w:val="0"/>
        <w:spacing w:after="0" w:line="276" w:lineRule="auto"/>
        <w:jc w:val="both"/>
        <w:rPr>
          <w:rFonts w:ascii="Verdana" w:eastAsia="Calibri" w:hAnsi="Verdana" w:cs="Arial"/>
          <w:lang w:val="es-ES" w:eastAsia="es-ES_tradnl"/>
        </w:rPr>
      </w:pPr>
    </w:p>
    <w:p w14:paraId="68B06B6A" w14:textId="77777777" w:rsidR="00F8377E" w:rsidRDefault="00F8377E" w:rsidP="00F8377E">
      <w:pPr>
        <w:widowControl w:val="0"/>
        <w:autoSpaceDE w:val="0"/>
        <w:autoSpaceDN w:val="0"/>
        <w:spacing w:after="0" w:line="276" w:lineRule="auto"/>
        <w:jc w:val="both"/>
        <w:rPr>
          <w:rFonts w:ascii="Verdana" w:eastAsia="Calibri" w:hAnsi="Verdana" w:cs="Arial"/>
          <w:lang w:val="es-ES" w:eastAsia="es-ES_tradnl"/>
        </w:rPr>
      </w:pPr>
      <w:hyperlink r:id="rId13" w:history="1">
        <w:r w:rsidRPr="00F32A09">
          <w:rPr>
            <w:rStyle w:val="Hipervnculo"/>
            <w:rFonts w:ascii="Verdana" w:eastAsia="Calibri" w:hAnsi="Verdana" w:cs="Arial"/>
            <w:lang w:val="es-ES" w:eastAsia="es-ES_tradnl"/>
          </w:rPr>
          <w:t>https://www.colombiacompra.gov.co/sites/cce_public/files/files_2020/boletin_de_realtoria_iii.pdf</w:t>
        </w:r>
      </w:hyperlink>
    </w:p>
    <w:p w14:paraId="5315AB4E" w14:textId="77777777" w:rsidR="00F8377E" w:rsidRPr="00262582" w:rsidRDefault="00F8377E" w:rsidP="00F8377E">
      <w:pPr>
        <w:widowControl w:val="0"/>
        <w:autoSpaceDE w:val="0"/>
        <w:autoSpaceDN w:val="0"/>
        <w:spacing w:after="0" w:line="276" w:lineRule="auto"/>
        <w:jc w:val="both"/>
        <w:rPr>
          <w:rFonts w:ascii="Verdana" w:hAnsi="Verdana"/>
        </w:rPr>
      </w:pPr>
    </w:p>
    <w:p w14:paraId="0159BB76" w14:textId="77777777" w:rsidR="00F8377E" w:rsidRPr="00262582" w:rsidRDefault="00F8377E" w:rsidP="00F8377E">
      <w:pPr>
        <w:spacing w:after="0" w:line="240" w:lineRule="auto"/>
        <w:jc w:val="both"/>
        <w:rPr>
          <w:rFonts w:ascii="Verdana" w:hAnsi="Verdana"/>
        </w:rPr>
      </w:pPr>
      <w:r w:rsidRPr="00262582">
        <w:rPr>
          <w:rFonts w:ascii="Verdana" w:hAnsi="Verdana"/>
        </w:rPr>
        <w:t xml:space="preserve">Por último, lo invitamos a seguirnos en las redes sociales en las cuales se difunde información institucional: </w:t>
      </w:r>
    </w:p>
    <w:p w14:paraId="6A795576" w14:textId="77777777" w:rsidR="00F8377E" w:rsidRPr="00262582" w:rsidRDefault="00F8377E" w:rsidP="00F8377E">
      <w:pPr>
        <w:spacing w:after="0" w:line="240" w:lineRule="auto"/>
        <w:jc w:val="both"/>
        <w:rPr>
          <w:rFonts w:ascii="Verdana" w:hAnsi="Verdana"/>
        </w:rPr>
      </w:pPr>
    </w:p>
    <w:p w14:paraId="4BD08787" w14:textId="77777777" w:rsidR="00F8377E" w:rsidRPr="00262582" w:rsidRDefault="00F8377E" w:rsidP="00F8377E">
      <w:pPr>
        <w:spacing w:after="0" w:line="240" w:lineRule="auto"/>
        <w:jc w:val="both"/>
        <w:rPr>
          <w:rFonts w:ascii="Verdana" w:hAnsi="Verdana"/>
        </w:rPr>
      </w:pPr>
      <w:r w:rsidRPr="00262582">
        <w:rPr>
          <w:rFonts w:ascii="Verdana" w:hAnsi="Verdana"/>
        </w:rPr>
        <w:t xml:space="preserve">Twitter: </w:t>
      </w:r>
      <w:r w:rsidRPr="00262582">
        <w:rPr>
          <w:rStyle w:val="Hipervnculo"/>
          <w:rFonts w:ascii="Verdana" w:hAnsi="Verdana"/>
          <w:color w:val="4472C4" w:themeColor="accent1"/>
        </w:rPr>
        <w:t>@colombiacompra</w:t>
      </w:r>
      <w:r w:rsidRPr="00262582">
        <w:rPr>
          <w:rFonts w:ascii="Verdana" w:hAnsi="Verdana"/>
          <w:color w:val="4472C4" w:themeColor="accent1"/>
        </w:rPr>
        <w:t xml:space="preserve"> </w:t>
      </w:r>
    </w:p>
    <w:p w14:paraId="19EC2E6C" w14:textId="77777777" w:rsidR="00F8377E" w:rsidRPr="00262582" w:rsidRDefault="00F8377E" w:rsidP="00F8377E">
      <w:pPr>
        <w:spacing w:after="0" w:line="240" w:lineRule="auto"/>
        <w:jc w:val="both"/>
        <w:rPr>
          <w:rFonts w:ascii="Verdana" w:hAnsi="Verdana"/>
        </w:rPr>
      </w:pPr>
      <w:r w:rsidRPr="00262582">
        <w:rPr>
          <w:rFonts w:ascii="Verdana" w:hAnsi="Verdana"/>
        </w:rPr>
        <w:t xml:space="preserve">Facebook: </w:t>
      </w:r>
      <w:r w:rsidRPr="00262582">
        <w:rPr>
          <w:rStyle w:val="Hipervnculo"/>
          <w:rFonts w:ascii="Verdana" w:hAnsi="Verdana"/>
          <w:color w:val="4472C4" w:themeColor="accent1"/>
        </w:rPr>
        <w:t>ColombiaCompraEficiente</w:t>
      </w:r>
    </w:p>
    <w:p w14:paraId="14BD99B0" w14:textId="77777777" w:rsidR="00F8377E" w:rsidRPr="00262582" w:rsidRDefault="00F8377E" w:rsidP="00F8377E">
      <w:pPr>
        <w:spacing w:after="0" w:line="240" w:lineRule="auto"/>
        <w:jc w:val="both"/>
        <w:rPr>
          <w:rFonts w:ascii="Verdana" w:hAnsi="Verdana"/>
        </w:rPr>
      </w:pPr>
      <w:r w:rsidRPr="00262582">
        <w:rPr>
          <w:rFonts w:ascii="Verdana" w:hAnsi="Verdana"/>
        </w:rPr>
        <w:t xml:space="preserve">LinkedIn: </w:t>
      </w:r>
      <w:r w:rsidRPr="00262582">
        <w:rPr>
          <w:rStyle w:val="Hipervnculo"/>
          <w:rFonts w:ascii="Verdana" w:hAnsi="Verdana"/>
          <w:color w:val="4472C4" w:themeColor="accent1"/>
        </w:rPr>
        <w:t>Agencia Nacional de Contratación Pública - Colombia Compra Eficiente</w:t>
      </w:r>
      <w:r w:rsidRPr="00262582">
        <w:rPr>
          <w:rFonts w:ascii="Verdana" w:hAnsi="Verdana"/>
          <w:color w:val="4472C4" w:themeColor="accent1"/>
        </w:rPr>
        <w:t xml:space="preserve"> </w:t>
      </w:r>
      <w:r w:rsidRPr="00262582">
        <w:rPr>
          <w:rFonts w:ascii="Verdana" w:hAnsi="Verdana"/>
        </w:rPr>
        <w:t xml:space="preserve">Instagram: </w:t>
      </w:r>
      <w:r w:rsidRPr="00262582">
        <w:rPr>
          <w:rStyle w:val="Hipervnculo"/>
          <w:rFonts w:ascii="Verdana" w:hAnsi="Verdana"/>
          <w:color w:val="4472C4" w:themeColor="accent1"/>
        </w:rPr>
        <w:t>@colombiacompraeficiente_cce</w:t>
      </w:r>
    </w:p>
    <w:p w14:paraId="48BDAE1C" w14:textId="77777777" w:rsidR="00F8377E" w:rsidRPr="00262582" w:rsidRDefault="00F8377E" w:rsidP="00F8377E">
      <w:pPr>
        <w:widowControl w:val="0"/>
        <w:autoSpaceDE w:val="0"/>
        <w:autoSpaceDN w:val="0"/>
        <w:spacing w:after="0" w:line="276" w:lineRule="auto"/>
        <w:jc w:val="both"/>
        <w:rPr>
          <w:rFonts w:ascii="Verdana" w:hAnsi="Verdana" w:cs="Arial"/>
        </w:rPr>
      </w:pPr>
    </w:p>
    <w:p w14:paraId="2FCD325A" w14:textId="77777777" w:rsidR="00F8377E" w:rsidRPr="00262582" w:rsidRDefault="00F8377E" w:rsidP="00F8377E">
      <w:pPr>
        <w:widowControl w:val="0"/>
        <w:autoSpaceDE w:val="0"/>
        <w:autoSpaceDN w:val="0"/>
        <w:spacing w:after="0" w:line="276" w:lineRule="auto"/>
        <w:jc w:val="both"/>
        <w:rPr>
          <w:rFonts w:ascii="Verdana" w:hAnsi="Verdana" w:cs="Arial"/>
          <w:lang w:val="es-ES_tradnl"/>
        </w:rPr>
      </w:pPr>
      <w:r w:rsidRPr="00262582">
        <w:rPr>
          <w:rFonts w:ascii="Verdana" w:hAnsi="Verdana" w:cs="Arial"/>
        </w:rPr>
        <w:t xml:space="preserve">Este concepto tiene el alcance previsto en el artículo 28 del Código de Procedimiento Administrativo y de lo Contencioso Administrativo </w:t>
      </w:r>
      <w:r w:rsidRPr="00262582">
        <w:rPr>
          <w:rFonts w:ascii="Verdana" w:hAnsi="Verdana" w:cs="Arial"/>
          <w:lang w:val="es-ES_tradnl"/>
        </w:rPr>
        <w:t>y las expresiones aquí utilizadas con mayúscula inicial deben ser entendidas con el significado que les otorga el artículo 2.2.1.1.1.3.1. del Decreto 1082 de 2015.</w:t>
      </w:r>
    </w:p>
    <w:p w14:paraId="6E1179CA" w14:textId="77777777" w:rsidR="00F8377E" w:rsidRPr="00262582" w:rsidRDefault="00F8377E" w:rsidP="00F8377E">
      <w:pPr>
        <w:spacing w:after="0" w:line="276" w:lineRule="auto"/>
        <w:ind w:firstLine="709"/>
        <w:jc w:val="both"/>
        <w:rPr>
          <w:rFonts w:ascii="Verdana" w:eastAsia="Times New Roman" w:hAnsi="Verdana" w:cs="Arial"/>
          <w:szCs w:val="24"/>
          <w:lang w:val="es-ES_tradnl" w:eastAsia="es-ES_tradnl"/>
        </w:rPr>
      </w:pPr>
    </w:p>
    <w:p w14:paraId="2F7A2515" w14:textId="77777777" w:rsidR="00F8377E" w:rsidRPr="00262582" w:rsidRDefault="00F8377E" w:rsidP="00F8377E">
      <w:pPr>
        <w:spacing w:after="0" w:line="276" w:lineRule="auto"/>
        <w:jc w:val="both"/>
        <w:rPr>
          <w:rFonts w:ascii="Verdana" w:eastAsia="Times New Roman" w:hAnsi="Verdana" w:cs="Arial"/>
          <w:lang w:val="es-ES_tradnl" w:eastAsia="es-CO"/>
        </w:rPr>
      </w:pPr>
      <w:bookmarkStart w:id="2" w:name="_Hlk117695077"/>
      <w:r w:rsidRPr="00262582">
        <w:rPr>
          <w:rFonts w:ascii="Verdana" w:eastAsia="Times New Roman" w:hAnsi="Verdana" w:cs="Arial"/>
          <w:lang w:val="es-ES_tradnl" w:eastAsia="es-CO"/>
        </w:rPr>
        <w:t>Atentamente,</w:t>
      </w:r>
    </w:p>
    <w:bookmarkEnd w:id="2"/>
    <w:p w14:paraId="5D069407" w14:textId="1E4AE437" w:rsidR="00F8377E" w:rsidRPr="00262582" w:rsidRDefault="009428AE" w:rsidP="009428AE">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6D3CF775" wp14:editId="56EE3E3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F8377E" w:rsidRPr="00262582" w14:paraId="209FD4F9" w14:textId="77777777" w:rsidTr="00A92350">
        <w:trPr>
          <w:trHeight w:val="286"/>
        </w:trPr>
        <w:tc>
          <w:tcPr>
            <w:tcW w:w="893" w:type="dxa"/>
            <w:vAlign w:val="center"/>
            <w:hideMark/>
          </w:tcPr>
          <w:p w14:paraId="6069A67C" w14:textId="77777777" w:rsidR="00F8377E" w:rsidRPr="00262582" w:rsidRDefault="00F8377E"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5024C9FF" w14:textId="77777777" w:rsidR="00F8377E" w:rsidRPr="00262582" w:rsidRDefault="00F8377E" w:rsidP="00A92350">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 xml:space="preserve">Sergio </w:t>
            </w:r>
            <w:r>
              <w:rPr>
                <w:rFonts w:ascii="Verdana" w:eastAsia="Times New Roman" w:hAnsi="Verdana" w:cs="Arial"/>
                <w:sz w:val="16"/>
                <w:szCs w:val="16"/>
                <w:lang w:val="es-ES_tradnl" w:eastAsia="es-ES"/>
              </w:rPr>
              <w:t>Enrique Caballero Lesmes</w:t>
            </w:r>
          </w:p>
          <w:p w14:paraId="2E662B82" w14:textId="77777777" w:rsidR="00F8377E" w:rsidRPr="00262582" w:rsidRDefault="00F8377E"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262582">
              <w:rPr>
                <w:rFonts w:ascii="Verdana" w:eastAsia="Times New Roman" w:hAnsi="Verdana" w:cs="Arial"/>
                <w:sz w:val="16"/>
                <w:szCs w:val="16"/>
                <w:lang w:eastAsia="es-ES"/>
              </w:rPr>
              <w:t>-1 de la Subdirección de Gestión Contractual</w:t>
            </w:r>
          </w:p>
        </w:tc>
      </w:tr>
      <w:tr w:rsidR="00F8377E" w:rsidRPr="00262582" w14:paraId="02004573" w14:textId="77777777" w:rsidTr="00A92350">
        <w:trPr>
          <w:trHeight w:val="299"/>
        </w:trPr>
        <w:tc>
          <w:tcPr>
            <w:tcW w:w="893" w:type="dxa"/>
            <w:vAlign w:val="center"/>
            <w:hideMark/>
          </w:tcPr>
          <w:p w14:paraId="2EBA1785" w14:textId="77777777" w:rsidR="00F8377E" w:rsidRPr="00262582" w:rsidRDefault="00F8377E"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Revisó:</w:t>
            </w:r>
          </w:p>
        </w:tc>
        <w:tc>
          <w:tcPr>
            <w:tcW w:w="4636" w:type="dxa"/>
            <w:tcBorders>
              <w:top w:val="dotted" w:sz="4" w:space="0" w:color="7F7F7F"/>
              <w:left w:val="nil"/>
              <w:bottom w:val="dotted" w:sz="4" w:space="0" w:color="7F7F7F"/>
              <w:right w:val="nil"/>
            </w:tcBorders>
            <w:vAlign w:val="center"/>
            <w:hideMark/>
          </w:tcPr>
          <w:p w14:paraId="34251299" w14:textId="77777777" w:rsidR="00F8377E" w:rsidRPr="00262582" w:rsidRDefault="00F8377E" w:rsidP="00A92350">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Martha Alicia Romero Vargas</w:t>
            </w:r>
          </w:p>
          <w:p w14:paraId="0D4743CA" w14:textId="77777777" w:rsidR="00F8377E" w:rsidRPr="00262582" w:rsidRDefault="00F8377E" w:rsidP="00A92350">
            <w:pPr>
              <w:rPr>
                <w:rFonts w:ascii="Verdana" w:eastAsia="Times New Roman" w:hAnsi="Verdana" w:cs="Arial"/>
                <w:sz w:val="14"/>
                <w:szCs w:val="14"/>
                <w:lang w:eastAsia="es-ES"/>
              </w:rPr>
            </w:pPr>
            <w:r>
              <w:rPr>
                <w:rFonts w:ascii="Verdana" w:eastAsia="Times New Roman" w:hAnsi="Verdana" w:cs="Arial"/>
                <w:sz w:val="16"/>
                <w:szCs w:val="16"/>
                <w:lang w:eastAsia="es-ES"/>
              </w:rPr>
              <w:t>Gestor T1-15</w:t>
            </w:r>
            <w:r w:rsidRPr="00262582">
              <w:rPr>
                <w:rFonts w:ascii="Verdana" w:eastAsia="Times New Roman" w:hAnsi="Verdana" w:cs="Arial"/>
                <w:sz w:val="16"/>
                <w:szCs w:val="16"/>
                <w:lang w:eastAsia="es-ES"/>
              </w:rPr>
              <w:t xml:space="preserve"> de la Subdirección de Gestión Contractual</w:t>
            </w:r>
          </w:p>
        </w:tc>
      </w:tr>
      <w:tr w:rsidR="00F8377E" w:rsidRPr="00262582" w14:paraId="56548D50" w14:textId="77777777" w:rsidTr="00A92350">
        <w:trPr>
          <w:trHeight w:val="272"/>
        </w:trPr>
        <w:tc>
          <w:tcPr>
            <w:tcW w:w="893" w:type="dxa"/>
            <w:vAlign w:val="center"/>
            <w:hideMark/>
          </w:tcPr>
          <w:p w14:paraId="5F74EE92" w14:textId="77777777" w:rsidR="00F8377E" w:rsidRPr="00262582" w:rsidRDefault="00F8377E"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23F12DCF" w14:textId="77777777" w:rsidR="00F8377E" w:rsidRPr="00262582" w:rsidRDefault="00F8377E" w:rsidP="00A92350">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Carolina Quintero Gacharná</w:t>
            </w:r>
          </w:p>
          <w:p w14:paraId="767735B6" w14:textId="77777777" w:rsidR="00F8377E" w:rsidRPr="00262582" w:rsidRDefault="00F8377E" w:rsidP="00A92350">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04BE1C32" w14:textId="77777777" w:rsidR="00F8377E" w:rsidRPr="00262582" w:rsidRDefault="00F8377E" w:rsidP="00F8377E">
      <w:pPr>
        <w:spacing w:after="0" w:line="276" w:lineRule="auto"/>
        <w:jc w:val="both"/>
        <w:rPr>
          <w:rFonts w:ascii="Verdana" w:eastAsia="Times New Roman" w:hAnsi="Verdana" w:cs="Arial"/>
          <w:lang w:val="es-ES_tradnl"/>
        </w:rPr>
      </w:pPr>
    </w:p>
    <w:p w14:paraId="0C4C4D62" w14:textId="77777777" w:rsidR="00F8377E" w:rsidRPr="00262582" w:rsidRDefault="00F8377E" w:rsidP="00F8377E">
      <w:pPr>
        <w:spacing w:after="0" w:line="240" w:lineRule="auto"/>
        <w:rPr>
          <w:rFonts w:ascii="Verdana" w:eastAsia="Times New Roman" w:hAnsi="Verdana" w:cs="Arial"/>
          <w:sz w:val="24"/>
          <w:szCs w:val="24"/>
          <w:lang w:eastAsia="es-ES_tradnl"/>
        </w:rPr>
      </w:pPr>
    </w:p>
    <w:p w14:paraId="66416A50" w14:textId="77777777" w:rsidR="00F8377E" w:rsidRPr="00262582" w:rsidRDefault="00F8377E" w:rsidP="00F8377E">
      <w:pPr>
        <w:rPr>
          <w:rFonts w:ascii="Verdana" w:hAnsi="Verdana"/>
        </w:rPr>
      </w:pPr>
    </w:p>
    <w:p w14:paraId="7698645D" w14:textId="77777777" w:rsidR="00F8377E" w:rsidRPr="00620D0E" w:rsidRDefault="00F8377E" w:rsidP="00F8377E"/>
    <w:p w14:paraId="13AA6822" w14:textId="77777777" w:rsidR="00C24FFE" w:rsidRDefault="00C24FFE"/>
    <w:sectPr w:rsidR="00C24FFE" w:rsidSect="00F8377E">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29E95" w14:textId="77777777" w:rsidR="00005B0C" w:rsidRDefault="00005B0C" w:rsidP="00F8377E">
      <w:pPr>
        <w:spacing w:after="0" w:line="240" w:lineRule="auto"/>
      </w:pPr>
      <w:r>
        <w:separator/>
      </w:r>
    </w:p>
  </w:endnote>
  <w:endnote w:type="continuationSeparator" w:id="0">
    <w:p w14:paraId="0E38B8D0" w14:textId="77777777" w:rsidR="00005B0C" w:rsidRDefault="00005B0C" w:rsidP="00F83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ED9D4" w14:textId="77777777" w:rsidR="00F8377E" w:rsidRDefault="00F8377E">
    <w:pPr>
      <w:pStyle w:val="Piedepgina"/>
    </w:pPr>
  </w:p>
  <w:p w14:paraId="5E179F16" w14:textId="77777777" w:rsidR="00F8377E" w:rsidRPr="00174B77" w:rsidRDefault="00F8377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B3EFF9C" w14:textId="77777777" w:rsidR="00F8377E" w:rsidRDefault="00F8377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AE0DDBC" w14:textId="77777777" w:rsidR="00F8377E" w:rsidRPr="00E41027" w:rsidRDefault="00F8377E" w:rsidP="00D520D8">
    <w:pPr>
      <w:spacing w:after="0"/>
      <w:jc w:val="both"/>
      <w:rPr>
        <w:rFonts w:ascii="Verdana" w:hAnsi="Verdana"/>
        <w:sz w:val="18"/>
        <w:szCs w:val="18"/>
      </w:rPr>
    </w:pPr>
    <w:r w:rsidRPr="00E41027">
      <w:rPr>
        <w:rFonts w:ascii="Verdana" w:hAnsi="Verdana"/>
        <w:sz w:val="18"/>
        <w:szCs w:val="18"/>
      </w:rPr>
      <w:t>Mesa de servicio: (+57) 601 7456788</w:t>
    </w:r>
  </w:p>
  <w:p w14:paraId="2FA75BE0" w14:textId="77777777" w:rsidR="00F8377E" w:rsidRDefault="00F8377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E7ECF" w14:textId="77777777" w:rsidR="00005B0C" w:rsidRDefault="00005B0C" w:rsidP="00F8377E">
      <w:pPr>
        <w:spacing w:after="0" w:line="240" w:lineRule="auto"/>
      </w:pPr>
      <w:r>
        <w:separator/>
      </w:r>
    </w:p>
  </w:footnote>
  <w:footnote w:type="continuationSeparator" w:id="0">
    <w:p w14:paraId="1CB36DB4" w14:textId="77777777" w:rsidR="00005B0C" w:rsidRDefault="00005B0C" w:rsidP="00F8377E">
      <w:pPr>
        <w:spacing w:after="0" w:line="240" w:lineRule="auto"/>
      </w:pPr>
      <w:r>
        <w:continuationSeparator/>
      </w:r>
    </w:p>
  </w:footnote>
  <w:footnote w:id="1">
    <w:p w14:paraId="3F9F3F02" w14:textId="77777777" w:rsidR="00F8377E" w:rsidRPr="00BC0673" w:rsidRDefault="00F8377E" w:rsidP="00F8377E">
      <w:pPr>
        <w:pStyle w:val="Textonotapie"/>
        <w:ind w:firstLine="708"/>
        <w:contextualSpacing/>
        <w:jc w:val="both"/>
        <w:rPr>
          <w:rFonts w:ascii="Verdana" w:hAnsi="Verdana" w:cs="Arial"/>
          <w:sz w:val="12"/>
          <w:szCs w:val="12"/>
          <w:lang w:val="es-CO"/>
        </w:rPr>
      </w:pPr>
      <w:r w:rsidRPr="00BC0673">
        <w:rPr>
          <w:rStyle w:val="Refdenotaalpie"/>
          <w:rFonts w:ascii="Verdana" w:hAnsi="Verdana" w:cs="Arial"/>
          <w:sz w:val="12"/>
          <w:szCs w:val="12"/>
        </w:rPr>
        <w:footnoteRef/>
      </w:r>
      <w:r w:rsidRPr="00BC0673">
        <w:rPr>
          <w:rFonts w:ascii="Verdana" w:hAnsi="Verdana" w:cs="Arial"/>
          <w:sz w:val="12"/>
          <w:szCs w:val="12"/>
        </w:rPr>
        <w:t xml:space="preserve"> </w:t>
      </w:r>
      <w:r w:rsidRPr="00BC0673">
        <w:rPr>
          <w:rFonts w:ascii="Verdana" w:hAnsi="Verdana" w:cs="Arial"/>
          <w:sz w:val="12"/>
          <w:szCs w:val="12"/>
          <w:lang w:val="es-CO"/>
        </w:rPr>
        <w:t>DÁVILA VINUEZA, Luis Guillermo. Régimen jurídico de la contratación estatal. Tercera edición, Bogotá: Legis, 2016. p. 355.</w:t>
      </w:r>
    </w:p>
    <w:p w14:paraId="5B40F5A2" w14:textId="77777777" w:rsidR="00F8377E" w:rsidRPr="00BC0673" w:rsidRDefault="00F8377E" w:rsidP="00F8377E">
      <w:pPr>
        <w:pStyle w:val="Textonotapie"/>
        <w:ind w:firstLine="708"/>
        <w:contextualSpacing/>
        <w:jc w:val="both"/>
        <w:rPr>
          <w:rFonts w:ascii="Verdana" w:hAnsi="Verdana" w:cs="Arial"/>
          <w:sz w:val="12"/>
          <w:szCs w:val="12"/>
          <w:lang w:val="es-CO"/>
        </w:rPr>
      </w:pPr>
    </w:p>
  </w:footnote>
  <w:footnote w:id="2">
    <w:p w14:paraId="661C33BF" w14:textId="77777777" w:rsidR="00F8377E" w:rsidRPr="00BC0673" w:rsidRDefault="00F8377E" w:rsidP="00F8377E">
      <w:pPr>
        <w:spacing w:after="0" w:line="240" w:lineRule="auto"/>
        <w:ind w:firstLine="708"/>
        <w:contextualSpacing/>
        <w:jc w:val="both"/>
        <w:rPr>
          <w:rFonts w:ascii="Verdana" w:hAnsi="Verdana" w:cs="Arial"/>
          <w:sz w:val="12"/>
          <w:szCs w:val="12"/>
          <w:lang w:eastAsia="es-CO"/>
        </w:rPr>
      </w:pPr>
      <w:r w:rsidRPr="00BC0673">
        <w:rPr>
          <w:rStyle w:val="Refdenotaalpie"/>
          <w:rFonts w:ascii="Verdana" w:hAnsi="Verdana" w:cs="Arial"/>
          <w:sz w:val="12"/>
          <w:szCs w:val="12"/>
        </w:rPr>
        <w:footnoteRef/>
      </w:r>
      <w:r w:rsidRPr="00BC0673">
        <w:rPr>
          <w:rFonts w:ascii="Verdana" w:hAnsi="Verdana" w:cs="Arial"/>
          <w:sz w:val="12"/>
          <w:szCs w:val="12"/>
        </w:rPr>
        <w:t xml:space="preserve"> Decreto 1082 de 2015 </w:t>
      </w:r>
      <w:r w:rsidRPr="00BC0673">
        <w:rPr>
          <w:rFonts w:ascii="Verdana" w:eastAsia="Calibri" w:hAnsi="Verdana" w:cs="Arial"/>
          <w:sz w:val="12"/>
          <w:szCs w:val="12"/>
        </w:rPr>
        <w:t>“</w:t>
      </w:r>
      <w:r w:rsidRPr="00BC0673">
        <w:rPr>
          <w:rFonts w:ascii="Verdana" w:hAnsi="Verdana" w:cs="Arial"/>
          <w:sz w:val="12"/>
          <w:szCs w:val="12"/>
          <w:lang w:eastAsia="es-CO"/>
        </w:rPr>
        <w:t>Artículo 2.2.1.1.2.2.2. Ofrecimiento más favorable. La Entidad Estatal debe determinar la oferta más favorable teniendo en cuenta las normas aplicables a cada modalidad de selección del contratista. </w:t>
      </w:r>
    </w:p>
    <w:p w14:paraId="62FA15CE" w14:textId="77777777" w:rsidR="00F8377E" w:rsidRPr="00BC0673" w:rsidRDefault="00F8377E" w:rsidP="00F8377E">
      <w:pPr>
        <w:spacing w:after="0" w:line="240" w:lineRule="auto"/>
        <w:contextualSpacing/>
        <w:jc w:val="both"/>
        <w:rPr>
          <w:rFonts w:ascii="Verdana" w:hAnsi="Verdana" w:cs="Arial"/>
          <w:sz w:val="12"/>
          <w:szCs w:val="12"/>
          <w:lang w:eastAsia="es-CO"/>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2F235D7F" w14:textId="77777777" w:rsidR="00F8377E" w:rsidRPr="00BC0673" w:rsidRDefault="00F8377E" w:rsidP="00F8377E">
      <w:pPr>
        <w:spacing w:after="0" w:line="240" w:lineRule="auto"/>
        <w:contextualSpacing/>
        <w:jc w:val="both"/>
        <w:rPr>
          <w:rFonts w:ascii="Verdana" w:hAnsi="Verdana" w:cs="Arial"/>
          <w:sz w:val="12"/>
          <w:szCs w:val="12"/>
          <w:lang w:eastAsia="es-CO"/>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1. Las condiciones técnicas y económicas mínimas de la oferta. </w:t>
      </w:r>
    </w:p>
    <w:p w14:paraId="7AC6ACEC" w14:textId="77777777" w:rsidR="00F8377E" w:rsidRPr="00BC0673" w:rsidRDefault="00F8377E" w:rsidP="00F8377E">
      <w:pPr>
        <w:spacing w:after="0" w:line="240" w:lineRule="auto"/>
        <w:contextualSpacing/>
        <w:jc w:val="both"/>
        <w:rPr>
          <w:rFonts w:ascii="Verdana" w:hAnsi="Verdana" w:cs="Arial"/>
          <w:sz w:val="12"/>
          <w:szCs w:val="12"/>
          <w:lang w:eastAsia="es-CO"/>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2. Las condiciones técnicas adicionales que representan ventajas de calidad o de funcionamiento, tales como el uso de tecnología o materiales que generen mayor eficiencia, rendimiento o duración del bien, obra o servicio. </w:t>
      </w:r>
    </w:p>
    <w:p w14:paraId="32E4C721" w14:textId="77777777" w:rsidR="00F8377E" w:rsidRPr="00BC0673" w:rsidRDefault="00F8377E" w:rsidP="00F8377E">
      <w:pPr>
        <w:spacing w:after="0" w:line="240" w:lineRule="auto"/>
        <w:contextualSpacing/>
        <w:jc w:val="both"/>
        <w:rPr>
          <w:rFonts w:ascii="Verdana" w:hAnsi="Verdana" w:cs="Arial"/>
          <w:sz w:val="12"/>
          <w:szCs w:val="12"/>
          <w:lang w:eastAsia="es-CO"/>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0DB81E53" w14:textId="77777777" w:rsidR="00F8377E" w:rsidRPr="00BC0673" w:rsidRDefault="00F8377E" w:rsidP="00F8377E">
      <w:pPr>
        <w:spacing w:after="0" w:line="240" w:lineRule="auto"/>
        <w:contextualSpacing/>
        <w:jc w:val="both"/>
        <w:rPr>
          <w:rFonts w:ascii="Verdana" w:hAnsi="Verdana" w:cs="Arial"/>
          <w:sz w:val="12"/>
          <w:szCs w:val="12"/>
          <w:lang w:eastAsia="es-CO"/>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4. El valor en dinero que la Entidad Estatal asigna a cada ofrecimiento técnico o económico adicional, para permitir la ponderación de las ofertas presentadas. </w:t>
      </w:r>
    </w:p>
    <w:p w14:paraId="6B7007C1" w14:textId="77777777" w:rsidR="00F8377E" w:rsidRPr="00BC0673" w:rsidRDefault="00F8377E" w:rsidP="00F8377E">
      <w:pPr>
        <w:spacing w:after="0" w:line="240" w:lineRule="auto"/>
        <w:contextualSpacing/>
        <w:jc w:val="both"/>
        <w:rPr>
          <w:rFonts w:ascii="Verdana" w:hAnsi="Verdana" w:cs="Arial"/>
          <w:sz w:val="12"/>
          <w:szCs w:val="12"/>
          <w:lang w:eastAsia="es-CO"/>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43E65A65" w14:textId="77777777" w:rsidR="00F8377E" w:rsidRPr="00BC0673" w:rsidRDefault="00F8377E" w:rsidP="00F8377E">
      <w:pPr>
        <w:spacing w:after="0" w:line="240" w:lineRule="auto"/>
        <w:contextualSpacing/>
        <w:jc w:val="both"/>
        <w:rPr>
          <w:rFonts w:ascii="Verdana" w:hAnsi="Verdana" w:cs="Arial"/>
          <w:sz w:val="12"/>
          <w:szCs w:val="12"/>
        </w:rPr>
      </w:pPr>
      <w:r w:rsidRPr="00BC0673">
        <w:rPr>
          <w:rFonts w:ascii="Verdana" w:hAnsi="Verdana" w:cs="Arial"/>
          <w:sz w:val="12"/>
          <w:szCs w:val="12"/>
          <w:lang w:eastAsia="es-CO"/>
        </w:rPr>
        <w:t>  </w:t>
      </w:r>
      <w:r w:rsidRPr="00BC0673">
        <w:rPr>
          <w:rFonts w:ascii="Verdana" w:hAnsi="Verdana" w:cs="Arial"/>
          <w:sz w:val="12"/>
          <w:szCs w:val="12"/>
          <w:lang w:eastAsia="es-CO"/>
        </w:rPr>
        <w:tab/>
      </w:r>
      <w:r w:rsidRPr="00BC0673">
        <w:rPr>
          <w:rFonts w:ascii="Verdana" w:eastAsia="Calibri" w:hAnsi="Verdana" w:cs="Arial"/>
          <w:sz w:val="12"/>
          <w:szCs w:val="12"/>
        </w:rPr>
        <w:t>“</w:t>
      </w:r>
      <w:r w:rsidRPr="00BC0673">
        <w:rPr>
          <w:rFonts w:ascii="Verdana" w:hAnsi="Verdana" w:cs="Arial"/>
          <w:sz w:val="12"/>
          <w:szCs w:val="12"/>
          <w:lang w:eastAsia="es-CO"/>
        </w:rPr>
        <w:t>La Entidad Estatal debe adjudicar al oferente que presentó la oferta con la mejor relación costo-beneficio y suscribir el contrato por el precio total ofrecido</w:t>
      </w:r>
      <w:r w:rsidRPr="00BC0673">
        <w:rPr>
          <w:rFonts w:ascii="Verdana" w:eastAsia="Calibri" w:hAnsi="Verdana" w:cs="Arial"/>
          <w:sz w:val="12"/>
          <w:szCs w:val="12"/>
        </w:rPr>
        <w:t>”</w:t>
      </w:r>
      <w:r w:rsidRPr="00BC0673">
        <w:rPr>
          <w:rFonts w:ascii="Verdana" w:hAnsi="Verdana" w:cs="Arial"/>
          <w:sz w:val="12"/>
          <w:szCs w:val="12"/>
          <w:lang w:eastAsia="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6A217" w14:textId="77777777" w:rsidR="00F8377E" w:rsidRDefault="00F8377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A7DD7C5" wp14:editId="08CB61C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D7203FF" wp14:editId="1A105A8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0253E8C" w14:textId="77777777" w:rsidR="00F8377E" w:rsidRDefault="00F8377E">
    <w:pPr>
      <w:pStyle w:val="Encabezado"/>
    </w:pPr>
  </w:p>
  <w:p w14:paraId="4FDD53CE" w14:textId="77777777" w:rsidR="00F8377E" w:rsidRDefault="00F8377E" w:rsidP="004A305D">
    <w:pPr>
      <w:spacing w:after="0"/>
      <w:rPr>
        <w:rFonts w:ascii="Verdana" w:hAnsi="Verdana"/>
        <w:b/>
        <w:bCs/>
      </w:rPr>
    </w:pPr>
  </w:p>
  <w:p w14:paraId="78E4E298" w14:textId="77777777" w:rsidR="00F8377E" w:rsidRPr="004A305D" w:rsidRDefault="00F8377E" w:rsidP="00B01B1A">
    <w:pPr>
      <w:spacing w:after="0" w:line="120" w:lineRule="auto"/>
      <w:rPr>
        <w:rFonts w:ascii="Century Gothic" w:eastAsia="Geo" w:hAnsi="Century Gothic" w:cs="Geo"/>
        <w:sz w:val="16"/>
        <w:szCs w:val="16"/>
        <w:lang w:eastAsia="es-CO"/>
      </w:rPr>
    </w:pPr>
  </w:p>
  <w:p w14:paraId="7FD5DC79" w14:textId="77777777" w:rsidR="00F8377E" w:rsidRDefault="00F8377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A74E3B"/>
    <w:multiLevelType w:val="hybridMultilevel"/>
    <w:tmpl w:val="925C75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1C03451"/>
    <w:multiLevelType w:val="hybridMultilevel"/>
    <w:tmpl w:val="8BF6C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127511889">
    <w:abstractNumId w:val="0"/>
  </w:num>
  <w:num w:numId="3" w16cid:durableId="2045211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77E"/>
    <w:rsid w:val="00005B0C"/>
    <w:rsid w:val="00322A15"/>
    <w:rsid w:val="00474DF4"/>
    <w:rsid w:val="004F471F"/>
    <w:rsid w:val="009428AE"/>
    <w:rsid w:val="009F36E2"/>
    <w:rsid w:val="00B502F6"/>
    <w:rsid w:val="00BF794B"/>
    <w:rsid w:val="00C24FFE"/>
    <w:rsid w:val="00EC7744"/>
    <w:rsid w:val="00F8377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36F0E"/>
  <w15:chartTrackingRefBased/>
  <w15:docId w15:val="{C92DC477-3251-49CF-880A-FF0400B2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77E"/>
    <w:rPr>
      <w:kern w:val="0"/>
      <w14:ligatures w14:val="none"/>
    </w:rPr>
  </w:style>
  <w:style w:type="paragraph" w:styleId="Ttulo1">
    <w:name w:val="heading 1"/>
    <w:basedOn w:val="Normal"/>
    <w:next w:val="Normal"/>
    <w:link w:val="Ttulo1Car"/>
    <w:uiPriority w:val="9"/>
    <w:qFormat/>
    <w:rsid w:val="00F837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837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8377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8377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8377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837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37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37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37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377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8377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8377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8377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8377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837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37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37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377E"/>
    <w:rPr>
      <w:rFonts w:eastAsiaTheme="majorEastAsia" w:cstheme="majorBidi"/>
      <w:color w:val="272727" w:themeColor="text1" w:themeTint="D8"/>
    </w:rPr>
  </w:style>
  <w:style w:type="paragraph" w:styleId="Ttulo">
    <w:name w:val="Title"/>
    <w:basedOn w:val="Normal"/>
    <w:next w:val="Normal"/>
    <w:link w:val="TtuloCar"/>
    <w:uiPriority w:val="10"/>
    <w:qFormat/>
    <w:rsid w:val="00F8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37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37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37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377E"/>
    <w:pPr>
      <w:spacing w:before="160"/>
      <w:jc w:val="center"/>
    </w:pPr>
    <w:rPr>
      <w:i/>
      <w:iCs/>
      <w:color w:val="404040" w:themeColor="text1" w:themeTint="BF"/>
    </w:rPr>
  </w:style>
  <w:style w:type="character" w:customStyle="1" w:styleId="CitaCar">
    <w:name w:val="Cita Car"/>
    <w:basedOn w:val="Fuentedeprrafopredeter"/>
    <w:link w:val="Cita"/>
    <w:uiPriority w:val="29"/>
    <w:rsid w:val="00F8377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8377E"/>
    <w:pPr>
      <w:ind w:left="720"/>
      <w:contextualSpacing/>
    </w:pPr>
  </w:style>
  <w:style w:type="character" w:styleId="nfasisintenso">
    <w:name w:val="Intense Emphasis"/>
    <w:basedOn w:val="Fuentedeprrafopredeter"/>
    <w:uiPriority w:val="21"/>
    <w:qFormat/>
    <w:rsid w:val="00F8377E"/>
    <w:rPr>
      <w:i/>
      <w:iCs/>
      <w:color w:val="2F5496" w:themeColor="accent1" w:themeShade="BF"/>
    </w:rPr>
  </w:style>
  <w:style w:type="paragraph" w:styleId="Citadestacada">
    <w:name w:val="Intense Quote"/>
    <w:basedOn w:val="Normal"/>
    <w:next w:val="Normal"/>
    <w:link w:val="CitadestacadaCar"/>
    <w:uiPriority w:val="30"/>
    <w:qFormat/>
    <w:rsid w:val="00F837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8377E"/>
    <w:rPr>
      <w:i/>
      <w:iCs/>
      <w:color w:val="2F5496" w:themeColor="accent1" w:themeShade="BF"/>
    </w:rPr>
  </w:style>
  <w:style w:type="character" w:styleId="Referenciaintensa">
    <w:name w:val="Intense Reference"/>
    <w:basedOn w:val="Fuentedeprrafopredeter"/>
    <w:uiPriority w:val="32"/>
    <w:qFormat/>
    <w:rsid w:val="00F8377E"/>
    <w:rPr>
      <w:b/>
      <w:bCs/>
      <w:smallCaps/>
      <w:color w:val="2F5496" w:themeColor="accent1" w:themeShade="BF"/>
      <w:spacing w:val="5"/>
    </w:rPr>
  </w:style>
  <w:style w:type="paragraph" w:styleId="Encabezado">
    <w:name w:val="header"/>
    <w:basedOn w:val="Normal"/>
    <w:link w:val="EncabezadoCar"/>
    <w:uiPriority w:val="99"/>
    <w:unhideWhenUsed/>
    <w:rsid w:val="00F837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377E"/>
    <w:rPr>
      <w:kern w:val="0"/>
      <w14:ligatures w14:val="none"/>
    </w:rPr>
  </w:style>
  <w:style w:type="paragraph" w:styleId="Piedepgina">
    <w:name w:val="footer"/>
    <w:basedOn w:val="Normal"/>
    <w:link w:val="PiedepginaCar"/>
    <w:uiPriority w:val="99"/>
    <w:unhideWhenUsed/>
    <w:rsid w:val="00F837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377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8377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8377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8377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F8377E"/>
    <w:rPr>
      <w:vertAlign w:val="superscript"/>
    </w:rPr>
  </w:style>
  <w:style w:type="table" w:styleId="Tablaconcuadrcula">
    <w:name w:val="Table Grid"/>
    <w:basedOn w:val="Tablanormal"/>
    <w:uiPriority w:val="39"/>
    <w:qFormat/>
    <w:rsid w:val="00F837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8377E"/>
    <w:rPr>
      <w:color w:val="0000FF"/>
      <w:u w:val="single"/>
    </w:rPr>
  </w:style>
  <w:style w:type="table" w:customStyle="1" w:styleId="Tablaconcuadrcula1">
    <w:name w:val="Tabla con cuadrícula1"/>
    <w:basedOn w:val="Tablanormal"/>
    <w:next w:val="Tablaconcuadrcula"/>
    <w:uiPriority w:val="59"/>
    <w:rsid w:val="00F8377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F8377E"/>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83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s/cce-eicp-ma-04._manual_requisitos_habilitantes_v3_29-09-2023.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E1914-4A12-4EC6-9D16-9FAE714E743D}">
  <ds:schemaRefs>
    <ds:schemaRef ds:uri="http://www.w3.org/XML/1998/namespace"/>
    <ds:schemaRef ds:uri="9d85dbaf-23eb-4e57-a637-93dcacc8b1a1"/>
    <ds:schemaRef ds:uri="http://purl.org/dc/elements/1.1/"/>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a6cb9e4b-f1d1-4245-83ec-6cad768d538a"/>
    <ds:schemaRef ds:uri="http://schemas.microsoft.com/office/2006/metadata/properties"/>
  </ds:schemaRefs>
</ds:datastoreItem>
</file>

<file path=customXml/itemProps2.xml><?xml version="1.0" encoding="utf-8"?>
<ds:datastoreItem xmlns:ds="http://schemas.openxmlformats.org/officeDocument/2006/customXml" ds:itemID="{AF785163-4DBC-4846-BE61-B386B09AF28A}">
  <ds:schemaRefs>
    <ds:schemaRef ds:uri="http://schemas.microsoft.com/sharepoint/v3/contenttype/forms"/>
  </ds:schemaRefs>
</ds:datastoreItem>
</file>

<file path=customXml/itemProps3.xml><?xml version="1.0" encoding="utf-8"?>
<ds:datastoreItem xmlns:ds="http://schemas.openxmlformats.org/officeDocument/2006/customXml" ds:itemID="{E9550BAC-999A-4232-8829-7CCD02FDE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4726</Words>
  <Characters>25997</Characters>
  <Application>Microsoft Office Word</Application>
  <DocSecurity>0</DocSecurity>
  <Lines>216</Lines>
  <Paragraphs>61</Paragraphs>
  <ScaleCrop>false</ScaleCrop>
  <Company/>
  <LinksUpToDate>false</LinksUpToDate>
  <CharactersWithSpaces>30662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2024-10-02T22:35:00Z</dcterms:created>
  <dcterms:modified xsi:type="dcterms:W3CDTF">2024-10-02T22:35:00Z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