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00921F" w14:textId="77777777" w:rsidR="005D0918" w:rsidRPr="00BF17C4" w:rsidRDefault="005D0918" w:rsidP="005D0918">
      <w:pPr>
        <w:spacing w:after="0"/>
        <w:jc w:val="both"/>
        <w:rPr>
          <w:rFonts w:ascii="Arial" w:eastAsia="Calibri" w:hAnsi="Arial" w:cs="Arial"/>
          <w:b/>
          <w:color w:val="000000"/>
          <w:sz w:val="20"/>
          <w:szCs w:val="20"/>
          <w:lang w:val="es-ES"/>
        </w:rPr>
      </w:pPr>
      <w:r w:rsidRPr="00BF17C4">
        <w:rPr>
          <w:rFonts w:ascii="Arial" w:eastAsia="Calibri" w:hAnsi="Arial" w:cs="Arial"/>
          <w:b/>
          <w:color w:val="000000"/>
          <w:sz w:val="20"/>
          <w:szCs w:val="20"/>
          <w:lang w:val="es-ES"/>
        </w:rPr>
        <w:t xml:space="preserve">DECRETO 399 DE 2021 – Información – Capacidad financiera – Capacidad organizacional </w:t>
      </w:r>
    </w:p>
    <w:p w14:paraId="5EF2734C" w14:textId="77777777" w:rsidR="005D0918" w:rsidRPr="00BF17C4" w:rsidRDefault="005D0918" w:rsidP="005D0918">
      <w:pPr>
        <w:spacing w:after="0" w:line="276" w:lineRule="auto"/>
        <w:ind w:firstLine="709"/>
        <w:jc w:val="both"/>
        <w:rPr>
          <w:rFonts w:ascii="Arial" w:eastAsia="Times New Roman" w:hAnsi="Arial" w:cs="Arial"/>
          <w:color w:val="000000"/>
          <w:sz w:val="20"/>
          <w:szCs w:val="20"/>
          <w:lang w:val="es-ES"/>
        </w:rPr>
      </w:pPr>
    </w:p>
    <w:p w14:paraId="163E01C1" w14:textId="234D5E2F" w:rsidR="005D0918" w:rsidRPr="00BF17C4" w:rsidRDefault="005D0918" w:rsidP="005D0918">
      <w:pPr>
        <w:spacing w:after="0"/>
        <w:jc w:val="both"/>
        <w:rPr>
          <w:rFonts w:ascii="Arial" w:eastAsia="Calibri" w:hAnsi="Arial" w:cs="Arial"/>
          <w:color w:val="000000"/>
          <w:sz w:val="20"/>
          <w:szCs w:val="20"/>
          <w:lang w:val="es-ES"/>
        </w:rPr>
      </w:pPr>
      <w:r w:rsidRPr="00BF17C4">
        <w:rPr>
          <w:rFonts w:ascii="Arial" w:eastAsia="Calibri" w:hAnsi="Arial" w:cs="Arial"/>
          <w:color w:val="000000"/>
          <w:sz w:val="20"/>
          <w:szCs w:val="20"/>
          <w:lang w:val="es-ES"/>
        </w:rPr>
        <w:t xml:space="preserve">[…] el artículo 4 del Decreto 399 de 2021 adicionó dos parágrafos transitorios al artículo 2.2.1.1.1.5.2. del Decreto 1082 de 2015, que a su vez fueron sustituidos posteriormente por el artículo 1 del Decreto 579 del 31 de mayo de 2021. El parágrafo transitorio 1 establece que desde el 1 de junio de 2021 los interesados en inscribirse en el RUP deben reportar la información contable y los estados financieros de los tres últimos años fiscales. Sin embargo, si el interesado no tiene una antigüedad de tres años, podrá acreditar dicha información desde el primer cierre fiscal. Dicho parágrafo además permite que el proponente con inscripción activa y vigente en el RUP actualice la información del 2018 y/o 2019, por no contar con los datos sobre la capacidad financiera y organizacional de estos años, de manera gratuita, durante el mes de junio de 2021, por una sola vez. En todo caso, aclara </w:t>
      </w:r>
      <w:r w:rsidR="00CA1AEE" w:rsidRPr="00BF17C4">
        <w:rPr>
          <w:rFonts w:ascii="Arial" w:eastAsia="Calibri" w:hAnsi="Arial" w:cs="Arial"/>
          <w:color w:val="000000"/>
          <w:sz w:val="20"/>
          <w:szCs w:val="20"/>
          <w:lang w:val="es-ES"/>
        </w:rPr>
        <w:t>que,</w:t>
      </w:r>
      <w:r w:rsidRPr="00BF17C4">
        <w:rPr>
          <w:rFonts w:ascii="Arial" w:eastAsia="Calibri" w:hAnsi="Arial" w:cs="Arial"/>
          <w:color w:val="000000"/>
          <w:sz w:val="20"/>
          <w:szCs w:val="20"/>
          <w:lang w:val="es-ES"/>
        </w:rPr>
        <w:t xml:space="preserve"> si el proponente tiene registrada la información de dichos años en la cámara de comercio, no deberá presentar esta información.</w:t>
      </w:r>
    </w:p>
    <w:p w14:paraId="63D6061A" w14:textId="77777777" w:rsidR="005D0918" w:rsidRPr="00BF17C4" w:rsidRDefault="005D0918" w:rsidP="005D0918">
      <w:pPr>
        <w:spacing w:after="0" w:line="276" w:lineRule="auto"/>
        <w:ind w:firstLine="709"/>
        <w:jc w:val="both"/>
        <w:rPr>
          <w:rFonts w:ascii="Arial" w:eastAsia="Times New Roman" w:hAnsi="Arial" w:cs="Arial"/>
          <w:color w:val="000000"/>
          <w:sz w:val="20"/>
          <w:szCs w:val="20"/>
          <w:lang w:val="es-ES"/>
        </w:rPr>
      </w:pPr>
    </w:p>
    <w:p w14:paraId="24B50E1B" w14:textId="77777777" w:rsidR="005D0918" w:rsidRPr="00BF17C4" w:rsidRDefault="005D0918" w:rsidP="005D0918">
      <w:pPr>
        <w:spacing w:after="0"/>
        <w:jc w:val="both"/>
        <w:rPr>
          <w:rFonts w:ascii="Arial" w:eastAsia="Calibri" w:hAnsi="Arial" w:cs="Arial"/>
          <w:b/>
          <w:color w:val="000000"/>
          <w:sz w:val="20"/>
          <w:szCs w:val="20"/>
          <w:lang w:val="es-ES"/>
        </w:rPr>
      </w:pPr>
      <w:r w:rsidRPr="00BF17C4">
        <w:rPr>
          <w:rFonts w:ascii="Arial" w:eastAsia="Calibri" w:hAnsi="Arial" w:cs="Arial"/>
          <w:b/>
          <w:color w:val="000000"/>
          <w:sz w:val="20"/>
          <w:szCs w:val="20"/>
          <w:lang w:val="es-ES"/>
        </w:rPr>
        <w:t xml:space="preserve">DECRETO 399 DE 2021 – Indicadores – Capacidad financiera – Capacidad organizacional </w:t>
      </w:r>
    </w:p>
    <w:p w14:paraId="50EAE28C" w14:textId="77777777" w:rsidR="005D0918" w:rsidRPr="00BF17C4" w:rsidRDefault="005D0918" w:rsidP="005D0918">
      <w:pPr>
        <w:spacing w:after="0" w:line="276" w:lineRule="auto"/>
        <w:ind w:firstLine="709"/>
        <w:jc w:val="both"/>
        <w:rPr>
          <w:rFonts w:ascii="Arial" w:eastAsia="Times New Roman" w:hAnsi="Arial" w:cs="Arial"/>
          <w:color w:val="000000"/>
          <w:sz w:val="20"/>
          <w:szCs w:val="20"/>
          <w:lang w:val="es-ES"/>
        </w:rPr>
      </w:pPr>
    </w:p>
    <w:p w14:paraId="5E01EC4D" w14:textId="10F30027" w:rsidR="005D0918" w:rsidRPr="00BF17C4" w:rsidRDefault="005D0918" w:rsidP="005D0918">
      <w:pPr>
        <w:spacing w:after="0"/>
        <w:jc w:val="both"/>
        <w:rPr>
          <w:rFonts w:ascii="Arial" w:eastAsia="Calibri" w:hAnsi="Arial" w:cs="Arial"/>
          <w:color w:val="000000"/>
          <w:sz w:val="20"/>
          <w:szCs w:val="20"/>
          <w:lang w:val="es-ES"/>
        </w:rPr>
      </w:pPr>
      <w:r w:rsidRPr="00BF17C4">
        <w:rPr>
          <w:rFonts w:ascii="Arial" w:eastAsia="Calibri" w:hAnsi="Arial" w:cs="Arial"/>
          <w:color w:val="000000"/>
          <w:sz w:val="20"/>
          <w:szCs w:val="20"/>
          <w:lang w:val="es-ES"/>
        </w:rPr>
        <w:t xml:space="preserve">Por otra parte, el artículo 5 del Decreto 399 de 2021 adiciona dos parágrafos transitorios al artículo 2.2.1.1.1.5.6. del Decreto 1082 de 2015, que regula el contenido del certificado del RUP. El primer parágrafo transitorio, que fue posteriormente sustituido por el artículo 2 del Decreto 579 de 2021, establece que </w:t>
      </w:r>
      <w:r w:rsidR="00DB76DE" w:rsidRPr="00BF17C4">
        <w:rPr>
          <w:rFonts w:ascii="Arial" w:eastAsia="Calibri" w:hAnsi="Arial" w:cs="Arial"/>
          <w:color w:val="000000"/>
          <w:sz w:val="20"/>
          <w:szCs w:val="20"/>
          <w:lang w:val="es-ES"/>
        </w:rPr>
        <w:t>“</w:t>
      </w:r>
      <w:r w:rsidRPr="00BF17C4">
        <w:rPr>
          <w:rFonts w:ascii="Arial" w:eastAsia="Calibri" w:hAnsi="Arial" w:cs="Arial"/>
          <w:color w:val="000000"/>
          <w:sz w:val="20"/>
          <w:szCs w:val="20"/>
          <w:lang w:val="es-ES"/>
        </w:rPr>
        <w:t>[…] los requisitos e indicadores de la capacidad financiera y organizacional de que trata el literal (b) del artículo 2.2.1.1.1.5.6. del Decreto 1082 de 2015 corresponderán a los últimos tres (3) años fiscales anteriores a la inscripción o renovación, dependiendo de la antigüedad del proponente</w:t>
      </w:r>
      <w:r w:rsidR="00CA1AEE" w:rsidRPr="00BF17C4">
        <w:rPr>
          <w:rFonts w:ascii="Arial" w:eastAsia="Calibri" w:hAnsi="Arial" w:cs="Arial"/>
          <w:color w:val="000000"/>
          <w:sz w:val="20"/>
          <w:szCs w:val="20"/>
          <w:lang w:val="es-ES"/>
        </w:rPr>
        <w:t>”</w:t>
      </w:r>
      <w:r w:rsidRPr="00BF17C4">
        <w:rPr>
          <w:rFonts w:ascii="Arial" w:eastAsia="Calibri" w:hAnsi="Arial" w:cs="Arial"/>
          <w:color w:val="000000"/>
          <w:sz w:val="20"/>
          <w:szCs w:val="20"/>
          <w:lang w:val="es-ES"/>
        </w:rPr>
        <w:t xml:space="preserve">. Para esto, las cámaras de comercio, a partir del 1 de julio de 2021, </w:t>
      </w:r>
      <w:r w:rsidR="00CA1AEE" w:rsidRPr="00BF17C4">
        <w:rPr>
          <w:rFonts w:ascii="Arial" w:eastAsia="Calibri" w:hAnsi="Arial" w:cs="Arial"/>
          <w:color w:val="000000"/>
          <w:sz w:val="20"/>
          <w:szCs w:val="20"/>
          <w:lang w:val="es-ES"/>
        </w:rPr>
        <w:t>“</w:t>
      </w:r>
      <w:r w:rsidRPr="00BF17C4">
        <w:rPr>
          <w:rFonts w:ascii="Arial" w:eastAsia="Calibri" w:hAnsi="Arial" w:cs="Arial"/>
          <w:color w:val="000000"/>
          <w:sz w:val="20"/>
          <w:szCs w:val="20"/>
          <w:lang w:val="es-ES"/>
        </w:rPr>
        <w:t>certificarán la información de que tratan los parágrafos transitorios 1 y 2 del artículo 2.2.1.1.1.5.2. de este Decreto</w:t>
      </w:r>
      <w:r w:rsidR="00CA1AEE" w:rsidRPr="00BF17C4">
        <w:rPr>
          <w:rFonts w:ascii="Arial" w:eastAsia="Calibri" w:hAnsi="Arial" w:cs="Arial"/>
          <w:color w:val="000000"/>
          <w:sz w:val="20"/>
          <w:szCs w:val="20"/>
          <w:lang w:val="es-ES"/>
        </w:rPr>
        <w:t>”</w:t>
      </w:r>
      <w:r w:rsidRPr="00BF17C4">
        <w:rPr>
          <w:rFonts w:ascii="Arial" w:eastAsia="Calibri" w:hAnsi="Arial" w:cs="Arial"/>
          <w:color w:val="000000"/>
          <w:sz w:val="20"/>
          <w:szCs w:val="20"/>
          <w:lang w:val="es-ES"/>
        </w:rPr>
        <w:t xml:space="preserve">. Los requisitos e indicadores de la capacidad financiera consagrados en el literal (b) del artículo 2.2.1.1.1.5.6. del Decreto 1082 de 2015 son: i) el índice de liquidez, ii) el índice de endeudamiento y iii) la razón de cobertura de intereses. Los requisitos e indicadores de capacidad organizacional son: i) la rentabilidad del patrimonio y ii) la rentabilidad del activo. El segundo parágrafo transitorio establece que </w:t>
      </w:r>
      <w:r w:rsidR="00CA1AEE" w:rsidRPr="00BF17C4">
        <w:rPr>
          <w:rFonts w:ascii="Arial" w:eastAsia="Calibri" w:hAnsi="Arial" w:cs="Arial"/>
          <w:color w:val="000000"/>
          <w:sz w:val="20"/>
          <w:szCs w:val="20"/>
          <w:lang w:val="es-ES"/>
        </w:rPr>
        <w:t>“</w:t>
      </w:r>
      <w:r w:rsidRPr="00BF17C4">
        <w:rPr>
          <w:rFonts w:ascii="Arial" w:eastAsia="Calibri" w:hAnsi="Arial" w:cs="Arial"/>
          <w:color w:val="000000"/>
          <w:sz w:val="20"/>
          <w:szCs w:val="20"/>
          <w:lang w:val="es-ES"/>
        </w:rPr>
        <w:t>El proponente con inscripción activa y vigente que reporte la información de la capacidad financiera y organizacional, señalada en los parágrafos transitorios 1 y 2 del artículo 2.2.1.1.1.5.2 del presente Decreto, deberá presentarla en el formato que las Cámaras de Comercio dispongan unificadamente para tal efecto</w:t>
      </w:r>
      <w:r w:rsidR="00CA1AEE" w:rsidRPr="00BF17C4">
        <w:rPr>
          <w:rFonts w:ascii="Arial" w:eastAsia="Calibri" w:hAnsi="Arial" w:cs="Arial"/>
          <w:color w:val="000000"/>
          <w:sz w:val="20"/>
          <w:szCs w:val="20"/>
          <w:lang w:val="es-ES"/>
        </w:rPr>
        <w:t>”</w:t>
      </w:r>
      <w:r w:rsidRPr="00BF17C4">
        <w:rPr>
          <w:rFonts w:ascii="Arial" w:eastAsia="Calibri" w:hAnsi="Arial" w:cs="Arial"/>
          <w:color w:val="000000"/>
          <w:sz w:val="20"/>
          <w:szCs w:val="20"/>
          <w:lang w:val="es-ES"/>
        </w:rPr>
        <w:t>.</w:t>
      </w:r>
    </w:p>
    <w:p w14:paraId="0AD31ED7" w14:textId="77777777" w:rsidR="005D0918" w:rsidRPr="00BF17C4" w:rsidRDefault="005D0918" w:rsidP="005D0918">
      <w:pPr>
        <w:spacing w:after="0" w:line="276" w:lineRule="auto"/>
        <w:ind w:firstLine="709"/>
        <w:jc w:val="both"/>
        <w:rPr>
          <w:rFonts w:ascii="Arial" w:eastAsia="Times New Roman" w:hAnsi="Arial" w:cs="Arial"/>
          <w:color w:val="000000"/>
          <w:sz w:val="20"/>
          <w:szCs w:val="20"/>
          <w:lang w:val="es-ES"/>
        </w:rPr>
      </w:pPr>
    </w:p>
    <w:p w14:paraId="6052E1EA" w14:textId="1C4ABA41" w:rsidR="005D0918" w:rsidRPr="00BF17C4" w:rsidRDefault="005D0918" w:rsidP="005D0918">
      <w:pPr>
        <w:spacing w:after="0"/>
        <w:jc w:val="both"/>
        <w:rPr>
          <w:rFonts w:ascii="Arial" w:eastAsia="Calibri" w:hAnsi="Arial" w:cs="Arial"/>
          <w:b/>
          <w:color w:val="000000"/>
          <w:sz w:val="20"/>
          <w:szCs w:val="20"/>
          <w:lang w:val="es-ES"/>
        </w:rPr>
      </w:pPr>
      <w:r w:rsidRPr="00BF17C4">
        <w:rPr>
          <w:rFonts w:ascii="Arial" w:eastAsia="Calibri" w:hAnsi="Arial" w:cs="Arial"/>
          <w:b/>
          <w:color w:val="000000"/>
          <w:sz w:val="20"/>
          <w:szCs w:val="20"/>
          <w:lang w:val="es-ES"/>
        </w:rPr>
        <w:t>MEJOR AÑO FISCAL – Decretos 399</w:t>
      </w:r>
      <w:r w:rsidR="009C56CC" w:rsidRPr="00BF17C4">
        <w:rPr>
          <w:rFonts w:ascii="Arial" w:eastAsia="Calibri" w:hAnsi="Arial" w:cs="Arial"/>
          <w:b/>
          <w:color w:val="000000"/>
          <w:sz w:val="20"/>
          <w:szCs w:val="20"/>
          <w:lang w:val="es-ES"/>
        </w:rPr>
        <w:t xml:space="preserve"> y </w:t>
      </w:r>
      <w:r w:rsidRPr="00BF17C4">
        <w:rPr>
          <w:rFonts w:ascii="Arial" w:eastAsia="Calibri" w:hAnsi="Arial" w:cs="Arial"/>
          <w:b/>
          <w:color w:val="000000"/>
          <w:sz w:val="20"/>
          <w:szCs w:val="20"/>
          <w:lang w:val="es-ES"/>
        </w:rPr>
        <w:t>579 de 2021– Capacidad financiera – Capacidad organizacional – Interpretación</w:t>
      </w:r>
    </w:p>
    <w:p w14:paraId="66B1B69B" w14:textId="77777777" w:rsidR="005D0918" w:rsidRPr="00BF17C4" w:rsidRDefault="005D0918" w:rsidP="005D0918">
      <w:pPr>
        <w:spacing w:after="0" w:line="276" w:lineRule="auto"/>
        <w:ind w:firstLine="709"/>
        <w:jc w:val="both"/>
        <w:rPr>
          <w:rFonts w:ascii="Arial" w:eastAsia="Times New Roman" w:hAnsi="Arial" w:cs="Arial"/>
          <w:color w:val="000000"/>
          <w:sz w:val="20"/>
          <w:szCs w:val="20"/>
          <w:lang w:val="es-ES"/>
        </w:rPr>
      </w:pPr>
    </w:p>
    <w:p w14:paraId="4AB74807" w14:textId="5085CA19" w:rsidR="005D0918" w:rsidRPr="00BF17C4" w:rsidRDefault="005D0918" w:rsidP="005D0918">
      <w:pPr>
        <w:spacing w:after="0"/>
        <w:jc w:val="both"/>
        <w:rPr>
          <w:rFonts w:ascii="Arial" w:hAnsi="Arial" w:cs="Arial"/>
          <w:color w:val="000000"/>
          <w:sz w:val="20"/>
          <w:szCs w:val="20"/>
          <w:lang w:val="es-ES"/>
        </w:rPr>
      </w:pPr>
      <w:r w:rsidRPr="00BF17C4">
        <w:rPr>
          <w:rFonts w:ascii="Arial" w:hAnsi="Arial" w:cs="Arial"/>
          <w:color w:val="000000"/>
          <w:sz w:val="20"/>
          <w:szCs w:val="20"/>
          <w:lang w:val="es-ES"/>
        </w:rPr>
        <w:t xml:space="preserve">[…] Por </w:t>
      </w:r>
      <w:r w:rsidR="00DB76DE" w:rsidRPr="00BF17C4">
        <w:rPr>
          <w:rFonts w:ascii="Arial" w:hAnsi="Arial" w:cs="Arial"/>
          <w:color w:val="000000"/>
          <w:sz w:val="20"/>
          <w:szCs w:val="20"/>
          <w:lang w:val="es-ES"/>
        </w:rPr>
        <w:t>“</w:t>
      </w:r>
      <w:r w:rsidRPr="00BF17C4">
        <w:rPr>
          <w:rFonts w:ascii="Arial" w:hAnsi="Arial" w:cs="Arial"/>
          <w:color w:val="000000"/>
          <w:sz w:val="20"/>
          <w:szCs w:val="20"/>
          <w:lang w:val="es-ES"/>
        </w:rPr>
        <w:t>mejor año fiscal</w:t>
      </w:r>
      <w:r w:rsidR="00DB76DE" w:rsidRPr="00BF17C4">
        <w:rPr>
          <w:rFonts w:ascii="Arial" w:hAnsi="Arial" w:cs="Arial"/>
          <w:color w:val="000000"/>
          <w:sz w:val="20"/>
          <w:szCs w:val="20"/>
          <w:lang w:val="es-ES"/>
        </w:rPr>
        <w:t>”</w:t>
      </w:r>
      <w:r w:rsidRPr="00BF17C4">
        <w:rPr>
          <w:rFonts w:ascii="Arial" w:hAnsi="Arial" w:cs="Arial"/>
          <w:color w:val="000000"/>
          <w:sz w:val="20"/>
          <w:szCs w:val="20"/>
          <w:lang w:val="es-ES"/>
        </w:rPr>
        <w:t xml:space="preserve"> se interpreta la información relativa al año apreciada en su conjunto, o sea, de manera integral, que permita al proponente cumplir los requisitos habilitantes de capacidad financiera y organizacional. Dicho de otro modo, cuando el parágrafo transitorio del artículo 2.2.1.1.1.6.2, adicionado por el artículo 6 del Decreto 399 de 2021 y sustituido por el artículo 3 del Decreto 579 de 2021, establece que </w:t>
      </w:r>
      <w:r w:rsidR="003A352F" w:rsidRPr="00BF17C4">
        <w:rPr>
          <w:rFonts w:ascii="Arial" w:hAnsi="Arial" w:cs="Arial"/>
          <w:color w:val="000000"/>
          <w:sz w:val="20"/>
          <w:szCs w:val="20"/>
          <w:lang w:val="es-ES"/>
        </w:rPr>
        <w:t>“</w:t>
      </w:r>
      <w:r w:rsidRPr="00BF17C4">
        <w:rPr>
          <w:rFonts w:ascii="Arial" w:hAnsi="Arial" w:cs="Arial"/>
          <w:color w:val="000000"/>
          <w:sz w:val="20"/>
          <w:szCs w:val="20"/>
          <w:lang w:val="es-ES"/>
        </w:rPr>
        <w:t>[…] las Entidades Estatales evaluarán estos indicadores, teniendo en cuenta el mejor año fiscal que se refleje en el registro de cada proponente</w:t>
      </w:r>
      <w:r w:rsidR="003A352F" w:rsidRPr="00BF17C4">
        <w:rPr>
          <w:rFonts w:ascii="Arial" w:hAnsi="Arial" w:cs="Arial"/>
          <w:color w:val="000000"/>
          <w:sz w:val="20"/>
          <w:szCs w:val="20"/>
          <w:lang w:val="es-ES"/>
        </w:rPr>
        <w:t>”</w:t>
      </w:r>
      <w:r w:rsidRPr="00BF17C4">
        <w:rPr>
          <w:rFonts w:ascii="Arial" w:hAnsi="Arial" w:cs="Arial"/>
          <w:color w:val="000000"/>
          <w:sz w:val="20"/>
          <w:szCs w:val="20"/>
          <w:lang w:val="es-ES"/>
        </w:rPr>
        <w:t>, significa que deben examinar los años certificados en el RUP y escoger para ser evaluado el que refleje mejores indicadores de capacidad financiera y organizacional, que permita al proponente cumplir los requisitos habilitantes de capacidad financiera y capacidad organizacional.</w:t>
      </w:r>
    </w:p>
    <w:p w14:paraId="305BC2C9" w14:textId="77777777" w:rsidR="005D0918" w:rsidRPr="00BF17C4" w:rsidRDefault="005D0918" w:rsidP="005D0918">
      <w:pPr>
        <w:spacing w:after="0"/>
        <w:jc w:val="both"/>
        <w:rPr>
          <w:rFonts w:ascii="Arial" w:hAnsi="Arial" w:cs="Arial"/>
          <w:color w:val="000000"/>
          <w:sz w:val="20"/>
          <w:szCs w:val="20"/>
          <w:lang w:val="es-ES"/>
        </w:rPr>
      </w:pPr>
    </w:p>
    <w:p w14:paraId="12ABEAD2" w14:textId="77777777" w:rsidR="009C56CC" w:rsidRPr="00BF17C4" w:rsidRDefault="009C56CC" w:rsidP="009C56CC">
      <w:pPr>
        <w:jc w:val="both"/>
        <w:rPr>
          <w:rFonts w:ascii="Arial" w:hAnsi="Arial" w:cs="Arial"/>
          <w:b/>
          <w:sz w:val="20"/>
          <w:szCs w:val="20"/>
          <w:lang w:val="es-ES_tradnl"/>
        </w:rPr>
      </w:pPr>
      <w:r w:rsidRPr="00BF17C4">
        <w:rPr>
          <w:rFonts w:ascii="Arial" w:hAnsi="Arial" w:cs="Arial"/>
          <w:b/>
          <w:sz w:val="20"/>
          <w:szCs w:val="20"/>
          <w:lang w:val="es-ES_tradnl"/>
        </w:rPr>
        <w:lastRenderedPageBreak/>
        <w:t xml:space="preserve">DECRETO 1041 DE 2022 – Información – Capacidad financiera – Capacidad organizacional </w:t>
      </w:r>
    </w:p>
    <w:p w14:paraId="685C3F39" w14:textId="77777777" w:rsidR="009C56CC" w:rsidRPr="00BF17C4" w:rsidRDefault="009C56CC" w:rsidP="009C56CC">
      <w:pPr>
        <w:jc w:val="both"/>
        <w:rPr>
          <w:rFonts w:ascii="Arial" w:hAnsi="Arial" w:cs="Arial"/>
          <w:sz w:val="20"/>
          <w:szCs w:val="20"/>
        </w:rPr>
      </w:pPr>
      <w:r w:rsidRPr="00BF17C4">
        <w:rPr>
          <w:rFonts w:ascii="Arial" w:hAnsi="Arial" w:cs="Arial"/>
          <w:sz w:val="20"/>
          <w:szCs w:val="20"/>
        </w:rPr>
        <w:t>[…] el artículo 4 del Decreto 399 de 2021 adicionó dos parágrafos transitorios al artículo 2.2.1.1.1.5.2. del Decreto 1082 de 2015, que a su vez fueron sustituidos posteriormente por el artículo 1 del Decreto 579 del 31 de mayo de 2021. El parágrafo transitorio 1 y 2 establece que desde el 1 de junio de 2021 los interesados en inscribirse en el RUP deben reportar la información contable y los estados financieros de los tres últimos años fiscales. Sin embargo, si el interesado no tiene una antigüedad de tres años, podrá acreditar dicha información desde el primer cierre fiscal. Dicho parágrafo además permite que el proponente con inscripción activa y vigente en el RUP actualice la información del 2018 y/o 2019, por no contar con los datos sobre la capacidad financiera y organizacional de estos años, de manera gratuita, durante el mes de junio, por una sola vez. En todo caso, aclara que, si el proponente tiene registrada la información de dichos años en la cámara de comercio, no deberá presentar esta información.</w:t>
      </w:r>
    </w:p>
    <w:p w14:paraId="35F24BBE" w14:textId="77777777" w:rsidR="009C56CC" w:rsidRPr="00BF17C4" w:rsidRDefault="009C56CC" w:rsidP="009C56CC">
      <w:pPr>
        <w:jc w:val="both"/>
        <w:rPr>
          <w:rFonts w:ascii="Arial" w:hAnsi="Arial" w:cs="Arial"/>
          <w:sz w:val="20"/>
          <w:szCs w:val="20"/>
        </w:rPr>
      </w:pPr>
      <w:r w:rsidRPr="00BF17C4">
        <w:rPr>
          <w:rFonts w:ascii="Arial" w:hAnsi="Arial" w:cs="Arial"/>
          <w:sz w:val="20"/>
          <w:szCs w:val="20"/>
        </w:rPr>
        <w:t>Por otra parte, el artículo 5 del Decreto 399 de 2021 adiciona dos parágrafos transitorios al artículo 2.2.1.1.1.5.6. del Decreto 1082 de 2015, que regula el contenido del certificado del RUP. El primer parágrafo transitorio, que fue posteriormente sustituido por el artículo 2 del Decreto 579 de 2021, establece que “[…] los requisitos e indicadores de la capacidad financiera y organizacional de que trata el literal (b) del artículo 2.2.1.1.1.5.6. del Decreto 1082 de 2015 corresponderán a los últimos tres (3) años fiscales anteriores a la inscripción o renovación, dependiendo de la antigüedad del proponente”. Para esto, las cámaras de comercio, a partir del 1 de julio de 2021, “certificarán la información de que tratan los parágrafos transitorios 1 y 2 del artículo 2.2.1.1.1.5.2. de este Decreto”. Los requisitos e indicadores de la capacidad financiera consagrados en el literal (b) del artículo 2.2.1.1.1.5.6. del Decreto 1082 de 2015 son: i) el índice de liquidez, ii) el índice de endeudamiento y iii) la razón de cobertura de intereses. Los requisitos e indicadores de capacidad organizacional son: i) la rentabilidad del patrimonio y ii) la rentabilidad del activo. El segundo parágrafo transitorio establece que “El proponente con inscripción activa y vigente que reporte la información de la capacidad financiera y organizacional, señalada en los parágrafos transitorios 1 y 2 del artículo 2.2.1.1.1.5.2 del presente Decreto, deberá presentarla en el formato que las Cámaras de Comercio dispongan unificadamente para tal efecto”.</w:t>
      </w:r>
    </w:p>
    <w:p w14:paraId="2B50904A" w14:textId="77777777" w:rsidR="009C56CC" w:rsidRPr="00BF17C4" w:rsidRDefault="009C56CC" w:rsidP="009C56CC">
      <w:pPr>
        <w:jc w:val="both"/>
        <w:rPr>
          <w:rFonts w:ascii="Arial" w:hAnsi="Arial" w:cs="Arial"/>
          <w:sz w:val="20"/>
          <w:szCs w:val="20"/>
        </w:rPr>
      </w:pPr>
      <w:r w:rsidRPr="00BF17C4">
        <w:rPr>
          <w:rFonts w:ascii="Arial" w:hAnsi="Arial" w:cs="Arial"/>
          <w:sz w:val="20"/>
          <w:szCs w:val="20"/>
        </w:rPr>
        <w:t>Posteriormente, el Decreto 1041 de 2022 extendió las anteriores medidas hasta el año 2023, para que los oferentes aun tengan la facultad de acreditar el mejor indicador financiero y organizacional de los últimos tres años, para contribuir con la reactivación económica.</w:t>
      </w:r>
    </w:p>
    <w:p w14:paraId="40A4F085" w14:textId="77777777" w:rsidR="009C56CC" w:rsidRPr="009C56CC" w:rsidRDefault="009C56CC" w:rsidP="005D0918">
      <w:pPr>
        <w:spacing w:after="0"/>
        <w:jc w:val="both"/>
        <w:rPr>
          <w:rFonts w:ascii="Arial" w:hAnsi="Arial" w:cs="Arial"/>
          <w:color w:val="000000"/>
          <w:sz w:val="20"/>
          <w:szCs w:val="20"/>
        </w:rPr>
      </w:pPr>
    </w:p>
    <w:p w14:paraId="2C8E54D6" w14:textId="77777777" w:rsidR="00F54291" w:rsidRDefault="00F54291" w:rsidP="005D0918">
      <w:pPr>
        <w:spacing w:after="0"/>
        <w:jc w:val="both"/>
        <w:rPr>
          <w:rFonts w:ascii="Arial" w:hAnsi="Arial" w:cs="Arial"/>
          <w:color w:val="000000"/>
          <w:sz w:val="20"/>
          <w:szCs w:val="20"/>
          <w:lang w:val="es-ES"/>
        </w:rPr>
      </w:pPr>
    </w:p>
    <w:p w14:paraId="1923BE33" w14:textId="77777777" w:rsidR="005D0918" w:rsidRDefault="005D0918" w:rsidP="005D0918">
      <w:pPr>
        <w:jc w:val="both"/>
        <w:rPr>
          <w:rFonts w:ascii="Arial" w:hAnsi="Arial" w:cs="Arial"/>
          <w:color w:val="000000"/>
          <w:sz w:val="20"/>
          <w:szCs w:val="20"/>
          <w:lang w:val="es-ES"/>
        </w:rPr>
      </w:pPr>
    </w:p>
    <w:p w14:paraId="0B445C35" w14:textId="77777777" w:rsidR="005D0918" w:rsidRDefault="005D0918" w:rsidP="005D0918">
      <w:pPr>
        <w:spacing w:line="256" w:lineRule="auto"/>
        <w:rPr>
          <w:rFonts w:ascii="Arial" w:hAnsi="Arial" w:cs="Arial"/>
          <w:color w:val="000000"/>
          <w:szCs w:val="24"/>
          <w:lang w:val="es-ES"/>
        </w:rPr>
      </w:pPr>
      <w:r>
        <w:rPr>
          <w:rFonts w:ascii="Arial" w:hAnsi="Arial" w:cs="Arial"/>
          <w:color w:val="000000"/>
          <w:lang w:val="es-ES"/>
        </w:rPr>
        <w:br w:type="page"/>
      </w:r>
    </w:p>
    <w:p w14:paraId="366822D4" w14:textId="77777777" w:rsidR="007409B2" w:rsidRPr="005D0918" w:rsidRDefault="007409B2" w:rsidP="00E245AB">
      <w:pPr>
        <w:spacing w:after="0"/>
        <w:rPr>
          <w:rFonts w:ascii="Arial" w:hAnsi="Arial" w:cs="Arial"/>
          <w:lang w:val="es-ES"/>
        </w:rPr>
      </w:pPr>
    </w:p>
    <w:p w14:paraId="3FE2184B" w14:textId="3CCFDCE0" w:rsidR="00E245AB" w:rsidRPr="00503D73" w:rsidRDefault="00E245AB" w:rsidP="00E245AB">
      <w:pPr>
        <w:spacing w:after="0"/>
        <w:rPr>
          <w:rFonts w:ascii="Arial" w:hAnsi="Arial" w:cs="Arial"/>
        </w:rPr>
      </w:pPr>
      <w:r w:rsidRPr="00503D73">
        <w:rPr>
          <w:rFonts w:ascii="Arial" w:hAnsi="Arial" w:cs="Arial"/>
        </w:rPr>
        <w:t>Bogotá D.C.</w:t>
      </w:r>
      <w:r w:rsidR="005D0918">
        <w:rPr>
          <w:rFonts w:ascii="Arial" w:hAnsi="Arial" w:cs="Arial"/>
        </w:rPr>
        <w:t>, 30 de agosto del 2023</w:t>
      </w:r>
      <w:r w:rsidRPr="00503D73">
        <w:rPr>
          <w:rFonts w:ascii="Arial" w:hAnsi="Arial" w:cs="Arial"/>
        </w:rPr>
        <w:tab/>
      </w:r>
    </w:p>
    <w:p w14:paraId="5FCADBF9" w14:textId="77777777" w:rsidR="00E245AB" w:rsidRDefault="00E245AB" w:rsidP="00E245AB">
      <w:pPr>
        <w:spacing w:after="0"/>
        <w:rPr>
          <w:rFonts w:ascii="Arial" w:hAnsi="Arial" w:cs="Arial"/>
        </w:rPr>
      </w:pPr>
    </w:p>
    <w:p w14:paraId="69A55A53" w14:textId="64876F91" w:rsidR="003D4CA6" w:rsidRPr="00503D73" w:rsidRDefault="00F52839" w:rsidP="003D4CA6">
      <w:pPr>
        <w:spacing w:after="0"/>
        <w:jc w:val="right"/>
        <w:rPr>
          <w:rFonts w:ascii="Arial" w:hAnsi="Arial" w:cs="Arial"/>
        </w:rPr>
      </w:pPr>
      <w:r>
        <w:rPr>
          <w:rFonts w:ascii="Arial" w:hAnsi="Arial" w:cs="Arial"/>
          <w:noProof/>
        </w:rPr>
        <w:drawing>
          <wp:inline distT="0" distB="0" distL="0" distR="0" wp14:anchorId="3AD00BA2" wp14:editId="7341D7E5">
            <wp:extent cx="2965450" cy="738554"/>
            <wp:effectExtent l="0" t="0" r="6350" b="4445"/>
            <wp:docPr id="17125838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583873" name="Imagen 1712583873"/>
                    <pic:cNvPicPr/>
                  </pic:nvPicPr>
                  <pic:blipFill>
                    <a:blip r:embed="rId11">
                      <a:extLst>
                        <a:ext uri="{28A0092B-C50C-407E-A947-70E740481C1C}">
                          <a14:useLocalDpi xmlns:a14="http://schemas.microsoft.com/office/drawing/2010/main" val="0"/>
                        </a:ext>
                      </a:extLst>
                    </a:blip>
                    <a:stretch>
                      <a:fillRect/>
                    </a:stretch>
                  </pic:blipFill>
                  <pic:spPr>
                    <a:xfrm>
                      <a:off x="0" y="0"/>
                      <a:ext cx="2982199" cy="742725"/>
                    </a:xfrm>
                    <a:prstGeom prst="rect">
                      <a:avLst/>
                    </a:prstGeom>
                  </pic:spPr>
                </pic:pic>
              </a:graphicData>
            </a:graphic>
          </wp:inline>
        </w:drawing>
      </w:r>
    </w:p>
    <w:p w14:paraId="1C6C6C0A" w14:textId="77777777" w:rsidR="00766794" w:rsidRPr="00503D73" w:rsidRDefault="00766794" w:rsidP="00E245AB">
      <w:pPr>
        <w:spacing w:after="0"/>
        <w:rPr>
          <w:rFonts w:ascii="Arial" w:hAnsi="Arial" w:cs="Arial"/>
        </w:rPr>
      </w:pPr>
    </w:p>
    <w:p w14:paraId="3A91B230" w14:textId="604010B8" w:rsidR="00766794" w:rsidRPr="00503D73" w:rsidRDefault="00766794" w:rsidP="00766794">
      <w:pPr>
        <w:spacing w:after="0"/>
        <w:rPr>
          <w:rFonts w:ascii="Arial" w:eastAsia="Geomanist Light" w:hAnsi="Arial" w:cs="Arial"/>
          <w:lang w:val="es-MX"/>
        </w:rPr>
      </w:pPr>
      <w:r w:rsidRPr="00503D73">
        <w:rPr>
          <w:rFonts w:ascii="Arial" w:hAnsi="Arial" w:cs="Arial"/>
          <w:lang w:val="es-MX"/>
        </w:rPr>
        <w:t>Señor</w:t>
      </w:r>
      <w:r w:rsidR="00CE3C53" w:rsidRPr="00503D73">
        <w:rPr>
          <w:rFonts w:ascii="Arial" w:hAnsi="Arial" w:cs="Arial"/>
          <w:lang w:val="es-MX"/>
        </w:rPr>
        <w:t>a</w:t>
      </w:r>
    </w:p>
    <w:p w14:paraId="026DA8B1" w14:textId="74CD0361" w:rsidR="00766794" w:rsidRPr="00503D73" w:rsidRDefault="00CE3C53" w:rsidP="00766794">
      <w:pPr>
        <w:spacing w:after="0" w:line="276" w:lineRule="auto"/>
        <w:rPr>
          <w:rFonts w:ascii="Arial" w:hAnsi="Arial" w:cs="Arial"/>
          <w:b/>
          <w:bCs/>
          <w:lang w:val="es-MX"/>
        </w:rPr>
      </w:pPr>
      <w:r w:rsidRPr="00503D73">
        <w:rPr>
          <w:rFonts w:ascii="Arial" w:hAnsi="Arial" w:cs="Arial"/>
          <w:b/>
          <w:bCs/>
          <w:lang w:val="es-MX"/>
        </w:rPr>
        <w:t>Lorena Ortiz</w:t>
      </w:r>
      <w:r w:rsidR="007E0AF2" w:rsidRPr="00503D73">
        <w:rPr>
          <w:rFonts w:ascii="Arial" w:hAnsi="Arial" w:cs="Arial"/>
          <w:b/>
          <w:bCs/>
          <w:lang w:val="es-MX"/>
        </w:rPr>
        <w:t xml:space="preserve"> Rivera</w:t>
      </w:r>
    </w:p>
    <w:p w14:paraId="43ED4C31" w14:textId="7489B313" w:rsidR="00766794" w:rsidRPr="00503D73" w:rsidRDefault="00CE3C53" w:rsidP="00766794">
      <w:pPr>
        <w:spacing w:after="0" w:line="276" w:lineRule="auto"/>
        <w:rPr>
          <w:rFonts w:ascii="Arial" w:hAnsi="Arial" w:cs="Arial"/>
          <w:lang w:val="es-MX"/>
        </w:rPr>
      </w:pPr>
      <w:r w:rsidRPr="00503D73">
        <w:rPr>
          <w:rFonts w:ascii="Arial" w:hAnsi="Arial" w:cs="Arial"/>
          <w:lang w:val="es-MX"/>
        </w:rPr>
        <w:t xml:space="preserve">Medellín, Antioquia </w:t>
      </w:r>
    </w:p>
    <w:p w14:paraId="0190CEFF" w14:textId="77777777" w:rsidR="00766794" w:rsidRPr="00503D73" w:rsidRDefault="00766794" w:rsidP="00766794">
      <w:pPr>
        <w:spacing w:after="0" w:line="276" w:lineRule="auto"/>
        <w:rPr>
          <w:rFonts w:ascii="Arial" w:hAnsi="Arial" w:cs="Arial"/>
          <w:lang w:val="es-MX"/>
        </w:rPr>
      </w:pPr>
    </w:p>
    <w:p w14:paraId="2B61B2ED" w14:textId="77777777" w:rsidR="00766794" w:rsidRPr="00503D73" w:rsidRDefault="00766794" w:rsidP="00766794">
      <w:pPr>
        <w:spacing w:after="0" w:line="276" w:lineRule="auto"/>
        <w:rPr>
          <w:rFonts w:ascii="Arial" w:hAnsi="Arial" w:cs="Arial"/>
          <w:lang w:val="es-MX"/>
        </w:rPr>
      </w:pPr>
    </w:p>
    <w:p w14:paraId="5E1A00F8" w14:textId="5B83CC31" w:rsidR="00766794" w:rsidRPr="00503D73" w:rsidRDefault="00766794" w:rsidP="00766794">
      <w:pPr>
        <w:spacing w:after="0" w:line="276" w:lineRule="auto"/>
        <w:ind w:left="2832"/>
        <w:rPr>
          <w:rFonts w:ascii="Arial" w:eastAsia="Calibri" w:hAnsi="Arial" w:cs="Arial"/>
          <w:b/>
          <w:lang w:val="es-ES"/>
        </w:rPr>
      </w:pPr>
      <w:r w:rsidRPr="00503D73">
        <w:rPr>
          <w:rFonts w:ascii="Arial" w:eastAsia="Calibri" w:hAnsi="Arial" w:cs="Arial"/>
          <w:b/>
          <w:lang w:val="es-ES"/>
        </w:rPr>
        <w:t xml:space="preserve">Concepto </w:t>
      </w:r>
      <w:r w:rsidRPr="00503D73">
        <w:rPr>
          <w:rFonts w:ascii="Arial" w:eastAsia="Calibri" w:hAnsi="Arial" w:cs="Arial"/>
          <w:b/>
          <w:bCs/>
          <w:lang w:val="es-ES"/>
        </w:rPr>
        <w:t>C-</w:t>
      </w:r>
      <w:r w:rsidRPr="00503D73">
        <w:rPr>
          <w:rFonts w:ascii="Arial" w:hAnsi="Arial" w:cs="Arial"/>
        </w:rPr>
        <w:t xml:space="preserve"> </w:t>
      </w:r>
      <w:r w:rsidR="009B41EA" w:rsidRPr="00503D73">
        <w:rPr>
          <w:rFonts w:ascii="Arial" w:eastAsia="Calibri" w:hAnsi="Arial" w:cs="Arial"/>
          <w:b/>
          <w:bCs/>
          <w:lang w:val="es-ES"/>
        </w:rPr>
        <w:t>355</w:t>
      </w:r>
      <w:r w:rsidRPr="00503D73">
        <w:rPr>
          <w:rFonts w:ascii="Arial" w:eastAsia="Calibri" w:hAnsi="Arial" w:cs="Arial"/>
          <w:b/>
          <w:bCs/>
          <w:lang w:val="es-ES"/>
        </w:rPr>
        <w:t xml:space="preserve"> del 2023</w:t>
      </w:r>
    </w:p>
    <w:p w14:paraId="26A40B64" w14:textId="77777777" w:rsidR="00766794" w:rsidRPr="00503D73" w:rsidRDefault="00766794" w:rsidP="00766794">
      <w:pPr>
        <w:spacing w:after="0" w:line="276" w:lineRule="auto"/>
        <w:jc w:val="both"/>
        <w:rPr>
          <w:rFonts w:ascii="Arial" w:eastAsia="Calibri" w:hAnsi="Arial" w:cs="Arial"/>
          <w:lang w:val="es-ES"/>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503D73" w:rsidRPr="00503D73" w14:paraId="6BBD6876" w14:textId="77777777" w:rsidTr="00381D0D">
        <w:trPr>
          <w:jc w:val="right"/>
        </w:trPr>
        <w:tc>
          <w:tcPr>
            <w:tcW w:w="1838" w:type="dxa"/>
          </w:tcPr>
          <w:p w14:paraId="7E55BCAA" w14:textId="77777777" w:rsidR="00766794" w:rsidRPr="00503D73" w:rsidRDefault="00766794" w:rsidP="00381D0D">
            <w:pPr>
              <w:spacing w:line="276" w:lineRule="auto"/>
              <w:jc w:val="center"/>
              <w:rPr>
                <w:rFonts w:ascii="Arial" w:eastAsia="Calibri" w:hAnsi="Arial" w:cs="Arial"/>
                <w:lang w:val="es-ES_tradnl"/>
              </w:rPr>
            </w:pPr>
            <w:r w:rsidRPr="00503D73">
              <w:rPr>
                <w:rFonts w:ascii="Arial" w:eastAsia="Calibri" w:hAnsi="Arial" w:cs="Arial"/>
                <w:b/>
                <w:lang w:val="es-ES_tradnl"/>
              </w:rPr>
              <w:t>Temas:</w:t>
            </w:r>
          </w:p>
        </w:tc>
        <w:tc>
          <w:tcPr>
            <w:tcW w:w="6237" w:type="dxa"/>
          </w:tcPr>
          <w:p w14:paraId="1267E059" w14:textId="34EB514A" w:rsidR="00A97CA3" w:rsidRPr="009C56CC" w:rsidRDefault="00DC7FD2" w:rsidP="00381D0D">
            <w:pPr>
              <w:spacing w:after="120"/>
              <w:contextualSpacing/>
              <w:jc w:val="both"/>
              <w:rPr>
                <w:rFonts w:ascii="Arial" w:hAnsi="Arial" w:cs="Arial"/>
                <w:bCs/>
                <w:lang w:val="es-ES_tradnl"/>
              </w:rPr>
            </w:pPr>
            <w:r w:rsidRPr="00DC7FD2">
              <w:rPr>
                <w:rFonts w:ascii="Arial" w:hAnsi="Arial" w:cs="Arial"/>
                <w:bCs/>
              </w:rPr>
              <w:t xml:space="preserve">DECRETO 399 DE 2021 – Información – Capacidad financiera – Capacidad organizacional </w:t>
            </w:r>
            <w:r>
              <w:rPr>
                <w:rFonts w:ascii="Arial" w:hAnsi="Arial" w:cs="Arial"/>
                <w:bCs/>
              </w:rPr>
              <w:t xml:space="preserve">/ </w:t>
            </w:r>
            <w:r w:rsidRPr="00DC7FD2">
              <w:rPr>
                <w:rFonts w:ascii="Arial" w:hAnsi="Arial" w:cs="Arial"/>
                <w:bCs/>
              </w:rPr>
              <w:t>DECRETO 399 DE 2021 – Indicadores – Capacidad financiera – Capacidad organizacional</w:t>
            </w:r>
            <w:r>
              <w:rPr>
                <w:rFonts w:ascii="Arial" w:hAnsi="Arial" w:cs="Arial"/>
                <w:bCs/>
              </w:rPr>
              <w:t xml:space="preserve"> /</w:t>
            </w:r>
            <w:r w:rsidR="003F62FF">
              <w:rPr>
                <w:rFonts w:ascii="Arial" w:hAnsi="Arial" w:cs="Arial"/>
                <w:bCs/>
              </w:rPr>
              <w:t xml:space="preserve"> </w:t>
            </w:r>
            <w:r w:rsidR="003D4CA6" w:rsidRPr="003D4CA6">
              <w:rPr>
                <w:rFonts w:ascii="Arial" w:hAnsi="Arial" w:cs="Arial"/>
                <w:bCs/>
              </w:rPr>
              <w:t>MEJOR AÑO FISCAL – Decretos 399</w:t>
            </w:r>
            <w:r w:rsidR="009C56CC">
              <w:rPr>
                <w:rFonts w:ascii="Arial" w:hAnsi="Arial" w:cs="Arial"/>
                <w:bCs/>
              </w:rPr>
              <w:t xml:space="preserve"> y </w:t>
            </w:r>
            <w:r w:rsidR="003D4CA6" w:rsidRPr="003D4CA6">
              <w:rPr>
                <w:rFonts w:ascii="Arial" w:hAnsi="Arial" w:cs="Arial"/>
                <w:bCs/>
              </w:rPr>
              <w:t>579 de 202</w:t>
            </w:r>
            <w:r w:rsidR="009C56CC">
              <w:rPr>
                <w:rFonts w:ascii="Arial" w:hAnsi="Arial" w:cs="Arial"/>
                <w:bCs/>
              </w:rPr>
              <w:t xml:space="preserve">1 </w:t>
            </w:r>
            <w:r w:rsidR="003D4CA6" w:rsidRPr="003D4CA6">
              <w:rPr>
                <w:rFonts w:ascii="Arial" w:hAnsi="Arial" w:cs="Arial"/>
                <w:bCs/>
              </w:rPr>
              <w:t>Capacidad financiera – Capacidad organizacional – Interpretación</w:t>
            </w:r>
            <w:r w:rsidR="009C56CC">
              <w:rPr>
                <w:rFonts w:ascii="Arial" w:hAnsi="Arial" w:cs="Arial"/>
                <w:bCs/>
              </w:rPr>
              <w:t xml:space="preserve"> / </w:t>
            </w:r>
            <w:r w:rsidR="009C56CC" w:rsidRPr="009C56CC">
              <w:rPr>
                <w:rFonts w:ascii="Arial" w:hAnsi="Arial" w:cs="Arial"/>
                <w:bCs/>
              </w:rPr>
              <w:t>DECRETO 1041 DE 2022 – Información – Capacidad financiera – Capacidad organizacional</w:t>
            </w:r>
          </w:p>
          <w:p w14:paraId="3A33AE95" w14:textId="4AE8F132" w:rsidR="00DC7FD2" w:rsidRPr="00A97CA3" w:rsidRDefault="003F62FF" w:rsidP="003F62FF">
            <w:pPr>
              <w:tabs>
                <w:tab w:val="left" w:pos="986"/>
              </w:tabs>
              <w:spacing w:after="120"/>
              <w:contextualSpacing/>
              <w:jc w:val="both"/>
              <w:rPr>
                <w:rFonts w:ascii="Arial" w:eastAsia="Calibri" w:hAnsi="Arial" w:cs="Arial"/>
                <w:lang w:val="es-ES" w:eastAsia="es-ES_tradnl"/>
              </w:rPr>
            </w:pPr>
            <w:r>
              <w:rPr>
                <w:rFonts w:ascii="Arial" w:eastAsia="Calibri" w:hAnsi="Arial" w:cs="Arial"/>
                <w:lang w:val="es-ES" w:eastAsia="es-ES_tradnl"/>
              </w:rPr>
              <w:tab/>
            </w:r>
          </w:p>
        </w:tc>
      </w:tr>
      <w:tr w:rsidR="00503D73" w:rsidRPr="00503D73" w14:paraId="324A7B5A" w14:textId="77777777" w:rsidTr="00381D0D">
        <w:trPr>
          <w:jc w:val="right"/>
        </w:trPr>
        <w:tc>
          <w:tcPr>
            <w:tcW w:w="1838" w:type="dxa"/>
          </w:tcPr>
          <w:p w14:paraId="5C5D6B01" w14:textId="77777777" w:rsidR="00766794" w:rsidRPr="00503D73" w:rsidRDefault="00766794" w:rsidP="00381D0D">
            <w:pPr>
              <w:spacing w:line="276" w:lineRule="auto"/>
              <w:jc w:val="center"/>
              <w:rPr>
                <w:rFonts w:ascii="Arial" w:eastAsia="Calibri" w:hAnsi="Arial" w:cs="Arial"/>
                <w:b/>
                <w:lang w:val="es-ES"/>
              </w:rPr>
            </w:pPr>
            <w:r w:rsidRPr="00503D73">
              <w:rPr>
                <w:rFonts w:ascii="Arial" w:eastAsia="Calibri" w:hAnsi="Arial" w:cs="Arial"/>
                <w:b/>
                <w:lang w:val="es-ES"/>
              </w:rPr>
              <w:t>Radicación:</w:t>
            </w:r>
          </w:p>
        </w:tc>
        <w:tc>
          <w:tcPr>
            <w:tcW w:w="6237" w:type="dxa"/>
          </w:tcPr>
          <w:p w14:paraId="06DEF430" w14:textId="7E89C681" w:rsidR="00766794" w:rsidRPr="00503D73" w:rsidRDefault="00766794" w:rsidP="00381D0D">
            <w:pPr>
              <w:spacing w:line="276" w:lineRule="auto"/>
              <w:jc w:val="both"/>
              <w:rPr>
                <w:rFonts w:ascii="Arial" w:eastAsia="Calibri" w:hAnsi="Arial" w:cs="Arial"/>
                <w:lang w:val="es-ES"/>
              </w:rPr>
            </w:pPr>
            <w:r w:rsidRPr="00503D73">
              <w:rPr>
                <w:rFonts w:ascii="Arial" w:eastAsia="Calibri" w:hAnsi="Arial" w:cs="Arial"/>
                <w:lang w:val="es-ES"/>
              </w:rPr>
              <w:t xml:space="preserve">Respuesta a consulta No. </w:t>
            </w:r>
            <w:r w:rsidR="009B41EA" w:rsidRPr="00503D73">
              <w:rPr>
                <w:rFonts w:ascii="Arial" w:eastAsia="Calibri" w:hAnsi="Arial" w:cs="Arial"/>
                <w:lang w:val="es-ES"/>
              </w:rPr>
              <w:t>P20230717013336</w:t>
            </w:r>
          </w:p>
        </w:tc>
      </w:tr>
    </w:tbl>
    <w:p w14:paraId="6E6B0216" w14:textId="77777777" w:rsidR="00766794" w:rsidRPr="00503D73" w:rsidRDefault="00766794" w:rsidP="00766794">
      <w:pPr>
        <w:spacing w:line="276" w:lineRule="auto"/>
        <w:jc w:val="both"/>
        <w:rPr>
          <w:rFonts w:ascii="Arial" w:eastAsia="Calibri" w:hAnsi="Arial" w:cs="Arial"/>
          <w:lang w:val="es-ES_tradnl"/>
        </w:rPr>
      </w:pPr>
    </w:p>
    <w:p w14:paraId="1A3BF065" w14:textId="69A433FE" w:rsidR="00766794" w:rsidRPr="00503D73" w:rsidRDefault="00766794" w:rsidP="00766794">
      <w:pPr>
        <w:spacing w:line="276" w:lineRule="auto"/>
        <w:jc w:val="both"/>
        <w:rPr>
          <w:rFonts w:ascii="Arial" w:eastAsia="Calibri" w:hAnsi="Arial" w:cs="Arial"/>
          <w:lang w:val="es-ES_tradnl"/>
        </w:rPr>
      </w:pPr>
      <w:r w:rsidRPr="00503D73">
        <w:rPr>
          <w:rFonts w:ascii="Arial" w:eastAsia="Calibri" w:hAnsi="Arial" w:cs="Arial"/>
          <w:lang w:val="es-ES_tradnl"/>
        </w:rPr>
        <w:t>Estimad</w:t>
      </w:r>
      <w:r w:rsidR="00CE3C53" w:rsidRPr="00503D73">
        <w:rPr>
          <w:rFonts w:ascii="Arial" w:eastAsia="Calibri" w:hAnsi="Arial" w:cs="Arial"/>
          <w:lang w:val="es-ES_tradnl"/>
        </w:rPr>
        <w:t>a</w:t>
      </w:r>
      <w:r w:rsidRPr="00503D73">
        <w:rPr>
          <w:rFonts w:ascii="Arial" w:eastAsia="Calibri" w:hAnsi="Arial" w:cs="Arial"/>
          <w:lang w:val="es-ES_tradnl"/>
        </w:rPr>
        <w:t xml:space="preserve"> señor</w:t>
      </w:r>
      <w:r w:rsidR="00CE3C53" w:rsidRPr="00503D73">
        <w:rPr>
          <w:rFonts w:ascii="Arial" w:eastAsia="Calibri" w:hAnsi="Arial" w:cs="Arial"/>
          <w:lang w:val="es-ES_tradnl"/>
        </w:rPr>
        <w:t>a</w:t>
      </w:r>
      <w:r w:rsidRPr="00503D73">
        <w:rPr>
          <w:rFonts w:ascii="Arial" w:eastAsia="Calibri" w:hAnsi="Arial" w:cs="Arial"/>
          <w:lang w:val="es-ES_tradnl"/>
        </w:rPr>
        <w:t xml:space="preserve"> </w:t>
      </w:r>
      <w:r w:rsidR="007E0AF2" w:rsidRPr="00503D73">
        <w:rPr>
          <w:rFonts w:ascii="Arial" w:hAnsi="Arial" w:cs="Arial"/>
          <w:lang w:val="es-MX"/>
        </w:rPr>
        <w:t>Ortiz Rivera</w:t>
      </w:r>
      <w:r w:rsidRPr="00503D73">
        <w:rPr>
          <w:rFonts w:ascii="Arial" w:eastAsia="Calibri" w:hAnsi="Arial" w:cs="Arial"/>
          <w:lang w:val="es-ES_tradnl"/>
        </w:rPr>
        <w:t>:</w:t>
      </w:r>
    </w:p>
    <w:p w14:paraId="08820379" w14:textId="7B502503" w:rsidR="00766794" w:rsidRPr="00503D73" w:rsidRDefault="00766794" w:rsidP="00766794">
      <w:pPr>
        <w:spacing w:after="0" w:line="276" w:lineRule="auto"/>
        <w:jc w:val="both"/>
        <w:rPr>
          <w:rFonts w:ascii="Arial" w:eastAsia="Calibri" w:hAnsi="Arial" w:cs="Arial"/>
          <w:lang w:val="es-ES"/>
        </w:rPr>
      </w:pPr>
      <w:r w:rsidRPr="00503D73">
        <w:rPr>
          <w:rFonts w:ascii="Arial" w:eastAsia="Calibri" w:hAnsi="Arial" w:cs="Arial"/>
          <w:lang w:val="es-ES"/>
        </w:rPr>
        <w:t xml:space="preserve">En ejercicio de la competencia otorgada por el numeral 8° del artículo 11 y el numeral 5° del artículo 3 del Decreto Ley 4170 de 2011, la Agencia Nacional de Contratación Pública ―Colombia Compra Eficiente― responde su consulta del </w:t>
      </w:r>
      <w:r w:rsidR="00F27097" w:rsidRPr="00503D73">
        <w:rPr>
          <w:rFonts w:ascii="Arial" w:eastAsia="Calibri" w:hAnsi="Arial" w:cs="Arial"/>
          <w:lang w:val="es-ES"/>
        </w:rPr>
        <w:t>17 de julio del 2023</w:t>
      </w:r>
      <w:r w:rsidRPr="00503D73">
        <w:rPr>
          <w:rFonts w:ascii="Arial" w:eastAsia="Calibri" w:hAnsi="Arial" w:cs="Arial"/>
          <w:lang w:val="es-ES"/>
        </w:rPr>
        <w:t>.</w:t>
      </w:r>
    </w:p>
    <w:p w14:paraId="7ECBF5F2" w14:textId="77777777" w:rsidR="00766794" w:rsidRPr="00503D73" w:rsidRDefault="00766794" w:rsidP="00766794">
      <w:pPr>
        <w:spacing w:after="0" w:line="276" w:lineRule="auto"/>
        <w:jc w:val="both"/>
        <w:rPr>
          <w:rFonts w:ascii="Arial" w:eastAsia="Calibri" w:hAnsi="Arial" w:cs="Arial"/>
          <w:lang w:val="es-ES"/>
        </w:rPr>
      </w:pPr>
    </w:p>
    <w:p w14:paraId="71A73F92" w14:textId="77777777" w:rsidR="00766794" w:rsidRPr="00503D73" w:rsidRDefault="00766794" w:rsidP="00766794">
      <w:pPr>
        <w:pStyle w:val="Prrafodelista"/>
        <w:numPr>
          <w:ilvl w:val="0"/>
          <w:numId w:val="6"/>
        </w:numPr>
        <w:tabs>
          <w:tab w:val="left" w:pos="0"/>
          <w:tab w:val="left" w:pos="142"/>
          <w:tab w:val="left" w:pos="284"/>
        </w:tabs>
        <w:spacing w:after="0" w:line="276" w:lineRule="auto"/>
        <w:ind w:left="0" w:firstLine="0"/>
        <w:jc w:val="both"/>
        <w:rPr>
          <w:rFonts w:ascii="Arial" w:eastAsia="Calibri" w:hAnsi="Arial" w:cs="Arial"/>
          <w:b/>
          <w:lang w:val="es-ES_tradnl"/>
        </w:rPr>
      </w:pPr>
      <w:r w:rsidRPr="00503D73">
        <w:rPr>
          <w:rFonts w:ascii="Arial" w:eastAsia="Calibri" w:hAnsi="Arial" w:cs="Arial"/>
          <w:b/>
          <w:lang w:val="es-ES_tradnl"/>
        </w:rPr>
        <w:t xml:space="preserve">Problema planteado </w:t>
      </w:r>
    </w:p>
    <w:p w14:paraId="383EAB37" w14:textId="77777777" w:rsidR="00766794" w:rsidRPr="00503D73" w:rsidRDefault="00766794" w:rsidP="00766794">
      <w:pPr>
        <w:pStyle w:val="Prrafodelista"/>
        <w:tabs>
          <w:tab w:val="left" w:pos="0"/>
          <w:tab w:val="left" w:pos="142"/>
          <w:tab w:val="left" w:pos="284"/>
        </w:tabs>
        <w:spacing w:after="0" w:line="276" w:lineRule="auto"/>
        <w:ind w:left="0"/>
        <w:jc w:val="both"/>
        <w:rPr>
          <w:rFonts w:ascii="Arial" w:eastAsia="Calibri" w:hAnsi="Arial" w:cs="Arial"/>
          <w:b/>
          <w:lang w:val="es-ES_tradnl"/>
        </w:rPr>
      </w:pPr>
    </w:p>
    <w:p w14:paraId="573B3B77" w14:textId="0A9DE0F4" w:rsidR="00766794" w:rsidRPr="00503D73" w:rsidRDefault="00766794" w:rsidP="00766794">
      <w:pPr>
        <w:spacing w:after="0" w:line="276" w:lineRule="auto"/>
        <w:jc w:val="both"/>
        <w:rPr>
          <w:rFonts w:ascii="Arial" w:hAnsi="Arial" w:cs="Arial"/>
          <w:lang w:val="es-ES_tradnl"/>
        </w:rPr>
      </w:pPr>
      <w:r w:rsidRPr="00503D73">
        <w:rPr>
          <w:rFonts w:ascii="Arial" w:hAnsi="Arial" w:cs="Arial"/>
          <w:lang w:val="es-ES_tradnl"/>
        </w:rPr>
        <w:t>Respecto</w:t>
      </w:r>
      <w:r w:rsidR="00F93761" w:rsidRPr="00503D73">
        <w:rPr>
          <w:rFonts w:ascii="Arial" w:hAnsi="Arial" w:cs="Arial"/>
          <w:lang w:val="es-ES_tradnl"/>
        </w:rPr>
        <w:t xml:space="preserve"> </w:t>
      </w:r>
      <w:r w:rsidR="00F93761" w:rsidRPr="00B5687D">
        <w:rPr>
          <w:rFonts w:ascii="Arial" w:hAnsi="Arial" w:cs="Arial"/>
          <w:lang w:val="es-ES_tradnl"/>
        </w:rPr>
        <w:t>al mejor año fiscal para evaluar la capacidad financiera y organizacional</w:t>
      </w:r>
      <w:r w:rsidRPr="00503D73">
        <w:rPr>
          <w:rFonts w:ascii="Arial" w:hAnsi="Arial" w:cs="Arial"/>
          <w:lang w:val="es-ES_tradnl"/>
        </w:rPr>
        <w:t xml:space="preserve">, usted realiza la siguiente consulta: </w:t>
      </w:r>
    </w:p>
    <w:p w14:paraId="15163584" w14:textId="77777777" w:rsidR="009178D3" w:rsidRPr="00503D73" w:rsidRDefault="009178D3" w:rsidP="00766794">
      <w:pPr>
        <w:spacing w:after="0" w:line="276" w:lineRule="auto"/>
        <w:jc w:val="both"/>
        <w:rPr>
          <w:rFonts w:ascii="Arial" w:hAnsi="Arial" w:cs="Arial"/>
          <w:lang w:val="es-ES_tradnl"/>
        </w:rPr>
      </w:pPr>
    </w:p>
    <w:p w14:paraId="481E29BA" w14:textId="0213E87A" w:rsidR="009178D3" w:rsidRPr="00503D73" w:rsidRDefault="009178D3" w:rsidP="00C34BA9">
      <w:pPr>
        <w:spacing w:after="0" w:line="240" w:lineRule="auto"/>
        <w:ind w:left="709" w:right="709"/>
        <w:jc w:val="both"/>
        <w:rPr>
          <w:rFonts w:ascii="Arial" w:hAnsi="Arial" w:cs="Arial"/>
          <w:sz w:val="21"/>
          <w:szCs w:val="21"/>
          <w:lang w:val="es-ES_tradnl"/>
        </w:rPr>
      </w:pPr>
      <w:r w:rsidRPr="00503D73">
        <w:rPr>
          <w:rFonts w:ascii="Arial" w:hAnsi="Arial" w:cs="Arial"/>
          <w:sz w:val="21"/>
          <w:szCs w:val="21"/>
          <w:lang w:val="es-ES_tradnl"/>
        </w:rPr>
        <w:t xml:space="preserve">“[…] </w:t>
      </w:r>
      <w:r w:rsidR="00C34BA9" w:rsidRPr="00503D73">
        <w:rPr>
          <w:rFonts w:ascii="Arial" w:hAnsi="Arial" w:cs="Arial"/>
          <w:sz w:val="21"/>
          <w:szCs w:val="21"/>
          <w:lang w:val="es-ES_tradnl"/>
        </w:rPr>
        <w:t xml:space="preserve">¿Es posible que el mejor año fiscal para evaluar la capacidad financiera y organizacional sea diferente, según las condiciones del proponente? Por ejemplo, para evaluar la capacidad financiera (índice de liquidez, endeudamiento, razón de cobertura, etc.,) tenga como base el mejor año fiscal 2021, y para evaluar la capacidad organizacional (rentabilidad sobre el </w:t>
      </w:r>
      <w:r w:rsidR="00C34BA9" w:rsidRPr="00503D73">
        <w:rPr>
          <w:rFonts w:ascii="Arial" w:hAnsi="Arial" w:cs="Arial"/>
          <w:sz w:val="21"/>
          <w:szCs w:val="21"/>
          <w:lang w:val="es-ES_tradnl"/>
        </w:rPr>
        <w:lastRenderedPageBreak/>
        <w:t>patrimonio y rentabilidad sobre el activo) tenga como base el mejor año fiscal 2022. Lo anterior bajo el supuesto de estar en un mismo proceso. […]”</w:t>
      </w:r>
      <w:r w:rsidR="004F1350">
        <w:rPr>
          <w:rFonts w:ascii="Arial" w:hAnsi="Arial" w:cs="Arial"/>
          <w:sz w:val="21"/>
          <w:szCs w:val="21"/>
          <w:lang w:val="es-ES_tradnl"/>
        </w:rPr>
        <w:t xml:space="preserve"> (SIC)</w:t>
      </w:r>
    </w:p>
    <w:p w14:paraId="0465BA6D" w14:textId="77777777" w:rsidR="00E245AB" w:rsidRPr="00503D73" w:rsidRDefault="00E245AB" w:rsidP="00E245AB">
      <w:pPr>
        <w:spacing w:after="0"/>
        <w:rPr>
          <w:rFonts w:ascii="Arial" w:hAnsi="Arial" w:cs="Arial"/>
          <w:lang w:val="es-ES_tradnl"/>
        </w:rPr>
      </w:pPr>
    </w:p>
    <w:p w14:paraId="129C6EC7" w14:textId="77777777" w:rsidR="008729D2" w:rsidRPr="00503D73" w:rsidRDefault="008729D2" w:rsidP="008729D2">
      <w:pPr>
        <w:pStyle w:val="Prrafodelista"/>
        <w:numPr>
          <w:ilvl w:val="0"/>
          <w:numId w:val="6"/>
        </w:numPr>
        <w:tabs>
          <w:tab w:val="left" w:pos="0"/>
          <w:tab w:val="left" w:pos="284"/>
        </w:tabs>
        <w:spacing w:after="0" w:line="276" w:lineRule="auto"/>
        <w:ind w:left="360"/>
        <w:jc w:val="both"/>
        <w:rPr>
          <w:rFonts w:ascii="Arial" w:eastAsia="Calibri" w:hAnsi="Arial" w:cs="Arial"/>
          <w:b/>
          <w:lang w:val="es-ES_tradnl"/>
        </w:rPr>
      </w:pPr>
      <w:r w:rsidRPr="00503D73">
        <w:rPr>
          <w:rFonts w:ascii="Arial" w:eastAsia="Calibri" w:hAnsi="Arial" w:cs="Arial"/>
          <w:b/>
          <w:lang w:val="es-ES_tradnl"/>
        </w:rPr>
        <w:t>Consideraciones</w:t>
      </w:r>
    </w:p>
    <w:p w14:paraId="1652867C" w14:textId="77777777" w:rsidR="008729D2" w:rsidRPr="00503D73" w:rsidRDefault="008729D2" w:rsidP="008729D2">
      <w:pPr>
        <w:pStyle w:val="Prrafodelista"/>
        <w:tabs>
          <w:tab w:val="left" w:pos="0"/>
          <w:tab w:val="left" w:pos="284"/>
        </w:tabs>
        <w:spacing w:after="0" w:line="276" w:lineRule="auto"/>
        <w:ind w:left="0"/>
        <w:contextualSpacing w:val="0"/>
        <w:jc w:val="both"/>
        <w:rPr>
          <w:rFonts w:ascii="Arial" w:eastAsia="Calibri" w:hAnsi="Arial" w:cs="Arial"/>
          <w:b/>
          <w:lang w:val="es-ES_tradnl"/>
        </w:rPr>
      </w:pPr>
    </w:p>
    <w:p w14:paraId="76FE13BE" w14:textId="77777777" w:rsidR="008729D2" w:rsidRPr="00503D73" w:rsidRDefault="008729D2" w:rsidP="008729D2">
      <w:pPr>
        <w:spacing w:after="120" w:line="276" w:lineRule="auto"/>
        <w:jc w:val="both"/>
        <w:rPr>
          <w:rFonts w:ascii="Arial" w:hAnsi="Arial" w:cs="Arial"/>
          <w:lang w:val="es-ES"/>
        </w:rPr>
      </w:pPr>
      <w:r w:rsidRPr="00503D73">
        <w:rPr>
          <w:rFonts w:ascii="Arial" w:hAnsi="Arial" w:cs="Aria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0" w:name="_Hlk61701014"/>
      <w:bookmarkStart w:id="1" w:name="_Hlk62136649"/>
      <w:r w:rsidRPr="00503D73">
        <w:rPr>
          <w:rFonts w:ascii="Arial" w:hAnsi="Arial" w:cs="Arial"/>
        </w:rPr>
        <w:t xml:space="preserve">. </w:t>
      </w:r>
      <w:r w:rsidRPr="00503D73">
        <w:rPr>
          <w:rFonts w:ascii="Arial" w:hAnsi="Arial" w:cs="Arial"/>
          <w:lang w:val="es-ES"/>
        </w:rPr>
        <w:t xml:space="preserve">Es necesario tener en cuenta que </w:t>
      </w:r>
      <w:bookmarkStart w:id="2" w:name="_Hlk61026958"/>
      <w:r w:rsidRPr="00503D73">
        <w:rPr>
          <w:rFonts w:ascii="Arial" w:hAnsi="Arial"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503D73">
        <w:rPr>
          <w:rFonts w:ascii="Arial" w:hAnsi="Arial" w:cs="Arial"/>
        </w:rPr>
        <w:t xml:space="preserve"> de todos los partícipes de la contratación estatal.</w:t>
      </w:r>
      <w:r w:rsidRPr="00503D73">
        <w:rPr>
          <w:rFonts w:ascii="Arial" w:hAnsi="Arial" w:cs="Arial"/>
          <w:lang w:val="es-ES"/>
        </w:rPr>
        <w:t xml:space="preserve"> </w:t>
      </w:r>
      <w:bookmarkEnd w:id="0"/>
      <w:bookmarkEnd w:id="1"/>
      <w:bookmarkEnd w:id="2"/>
    </w:p>
    <w:p w14:paraId="0C4851EB" w14:textId="77777777" w:rsidR="008729D2" w:rsidRPr="00503D73" w:rsidRDefault="008729D2" w:rsidP="008729D2">
      <w:pPr>
        <w:spacing w:after="120" w:line="276" w:lineRule="auto"/>
        <w:ind w:firstLine="708"/>
        <w:jc w:val="both"/>
        <w:rPr>
          <w:rFonts w:ascii="Arial" w:hAnsi="Arial" w:cs="Arial"/>
          <w:lang w:val="es-ES"/>
        </w:rPr>
      </w:pPr>
      <w:r w:rsidRPr="00503D73">
        <w:rPr>
          <w:rFonts w:ascii="Arial" w:eastAsia="Calibri" w:hAnsi="Arial"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503D73">
        <w:rPr>
          <w:rFonts w:ascii="Arial" w:eastAsia="Calibri" w:hAnsi="Arial" w:cs="Arial"/>
          <w:vertAlign w:val="superscript"/>
          <w:lang w:val="es-ES"/>
        </w:rPr>
        <w:footnoteReference w:id="2"/>
      </w:r>
      <w:r w:rsidRPr="00503D73">
        <w:rPr>
          <w:rFonts w:ascii="Arial" w:eastAsia="Calibri" w:hAnsi="Arial" w:cs="Arial"/>
          <w:lang w:val="es-ES"/>
        </w:rPr>
        <w:t xml:space="preserve">.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contractuales de donde surge la inquietud. Por lo anterior, previo concepto de sus órganos asesores, la solución de estos temas corresponde a la Entidad que suscribió el contrato y, en caso de conflicto, a las autoridades judiciales, fiscales y disciplinarias. </w:t>
      </w:r>
    </w:p>
    <w:p w14:paraId="4D7B5B71" w14:textId="344F1393" w:rsidR="008729D2" w:rsidRPr="00503D73" w:rsidRDefault="008729D2" w:rsidP="008729D2">
      <w:pPr>
        <w:spacing w:before="120" w:after="120" w:line="276" w:lineRule="auto"/>
        <w:ind w:firstLine="709"/>
        <w:jc w:val="both"/>
        <w:rPr>
          <w:rFonts w:ascii="Arial" w:eastAsia="Calibri" w:hAnsi="Arial" w:cs="Arial"/>
          <w:lang w:val="es-ES_tradnl" w:eastAsia="es-MX"/>
        </w:rPr>
      </w:pPr>
      <w:r w:rsidRPr="00503D73">
        <w:rPr>
          <w:rFonts w:ascii="Arial" w:eastAsia="Calibri" w:hAnsi="Arial" w:cs="Arial"/>
          <w:lang w:val="es-MX"/>
        </w:rPr>
        <w:t xml:space="preserve">Sin perjuicio de lo anterior, </w:t>
      </w:r>
      <w:r w:rsidRPr="00503D73">
        <w:rPr>
          <w:rFonts w:ascii="Arial" w:eastAsia="Calibri" w:hAnsi="Arial" w:cs="Arial"/>
          <w:lang w:val="es-ES"/>
        </w:rPr>
        <w:t xml:space="preserve">la Subdirección de Gestión Contractual –dentro de los límites de sus atribuciones, esto es, </w:t>
      </w:r>
      <w:bookmarkStart w:id="3" w:name="_Hlk61025408"/>
      <w:r w:rsidRPr="00503D73">
        <w:rPr>
          <w:rFonts w:ascii="Arial" w:eastAsia="Calibri" w:hAnsi="Arial" w:cs="Arial"/>
          <w:lang w:val="es-ES"/>
        </w:rPr>
        <w:t>haciendo abstracción del caso particular expuesto por el peticionari</w:t>
      </w:r>
      <w:bookmarkEnd w:id="3"/>
      <w:r w:rsidRPr="00503D73">
        <w:rPr>
          <w:rFonts w:ascii="Arial" w:eastAsia="Calibri" w:hAnsi="Arial" w:cs="Arial"/>
          <w:lang w:val="es-ES"/>
        </w:rPr>
        <w:t>o– resolverá la consulta conforme a las normas generales en materia de contratación estatal</w:t>
      </w:r>
      <w:r w:rsidRPr="00503D73">
        <w:rPr>
          <w:rFonts w:ascii="Arial" w:eastAsia="Calibri" w:hAnsi="Arial" w:cs="Arial"/>
          <w:lang w:val="es-ES_tradnl" w:eastAsia="es-MX"/>
        </w:rPr>
        <w:t xml:space="preserve">. Con este objetivo se analizarán los siguientes temas: </w:t>
      </w:r>
      <w:r w:rsidRPr="00503D73">
        <w:rPr>
          <w:rFonts w:ascii="Arial" w:hAnsi="Arial" w:cs="Arial"/>
        </w:rPr>
        <w:t xml:space="preserve">i) </w:t>
      </w:r>
      <w:r w:rsidR="006E46E9" w:rsidRPr="006E46E9">
        <w:rPr>
          <w:rFonts w:ascii="Arial" w:hAnsi="Arial" w:cs="Arial"/>
        </w:rPr>
        <w:t xml:space="preserve">Requisitos </w:t>
      </w:r>
      <w:r w:rsidR="006E46E9" w:rsidRPr="006E46E9">
        <w:rPr>
          <w:rFonts w:ascii="Arial" w:hAnsi="Arial" w:cs="Arial"/>
        </w:rPr>
        <w:lastRenderedPageBreak/>
        <w:t>habilitantes de capacidad financiera y organizacional</w:t>
      </w:r>
      <w:r w:rsidRPr="00503D73">
        <w:rPr>
          <w:rFonts w:ascii="Arial" w:hAnsi="Arial" w:cs="Arial"/>
        </w:rPr>
        <w:t>; y ii) modificaciones introducidas por los Decretos 399 de 2021, 579 de 2021 y 1041 de 2022 respecto a la información contenida en el RUP y delimitación de su verificación dentro del “mejor año fiscal”.</w:t>
      </w:r>
    </w:p>
    <w:p w14:paraId="0D909FE0" w14:textId="1B70CDD7" w:rsidR="005377D6" w:rsidRDefault="008729D2" w:rsidP="005377D6">
      <w:pPr>
        <w:spacing w:after="0" w:line="276" w:lineRule="auto"/>
        <w:ind w:firstLine="709"/>
        <w:jc w:val="both"/>
        <w:rPr>
          <w:rFonts w:ascii="Arial" w:hAnsi="Arial" w:cs="Arial"/>
          <w:noProof/>
          <w:lang w:val="es-ES_tradnl"/>
        </w:rPr>
      </w:pPr>
      <w:r w:rsidRPr="00503D73">
        <w:rPr>
          <w:rFonts w:ascii="Arial" w:eastAsia="Calibri" w:hAnsi="Arial" w:cs="Arial"/>
        </w:rPr>
        <w:t xml:space="preserve"> La Agencia Nacional de Contratación Pública – Colombia Compra Eficiente –en adelante la ANCP-CCE– </w:t>
      </w:r>
      <w:r w:rsidRPr="00503D73">
        <w:rPr>
          <w:rFonts w:ascii="Arial" w:eastAsia="Calibri" w:hAnsi="Arial" w:cs="Arial"/>
          <w:lang w:val="es-ES_tradnl"/>
        </w:rPr>
        <w:t xml:space="preserve">ha impartido lineamientos sobre la </w:t>
      </w:r>
      <w:r w:rsidRPr="00503D73">
        <w:rPr>
          <w:rFonts w:ascii="Arial" w:hAnsi="Arial" w:cs="Arial"/>
          <w:lang w:val="es-ES_tradnl"/>
        </w:rPr>
        <w:t xml:space="preserve">acreditación de los indicadores de capacidad financiera y organizacional de los oferentes mediante el RUP en los conceptos No. 4201912000006798 del 24 de octubre de 2019, C-002 del 12 de febrero de 2020, C-089 del 4 de marzo de 2020, C-099 del 06 de abril de 2020, C-166 del 14 de abril de 2020, C-233 del 16 de abril de 2020, C-326 del 9 de junio de 2020, C-140 del 9 de abril de 2021. Respecto de la reglamentación establecida en los Decretos 399 y 579 de 2021 se pronunció en los Conceptos C-288 de 17 de junio de 2021, C-353 del 19 de julio de 2021, C-366 del 26 de julio de 2021 y C-372 del 28 de julio de 2021, </w:t>
      </w:r>
      <w:r w:rsidRPr="00503D73">
        <w:rPr>
          <w:rFonts w:ascii="Arial" w:hAnsi="Arial" w:cs="Arial"/>
        </w:rPr>
        <w:t>C-406 del 8 de agosto de 2021, C-407 del 25 de agosto de 2021, C-439 de 5 de julio de 2022</w:t>
      </w:r>
      <w:r w:rsidR="00B47834" w:rsidRPr="00503D73">
        <w:rPr>
          <w:rFonts w:ascii="Arial" w:hAnsi="Arial" w:cs="Arial"/>
        </w:rPr>
        <w:t xml:space="preserve">, </w:t>
      </w:r>
      <w:r w:rsidRPr="00503D73">
        <w:rPr>
          <w:rFonts w:ascii="Arial" w:hAnsi="Arial" w:cs="Arial"/>
        </w:rPr>
        <w:t xml:space="preserve">C-831 del 28 de noviembre del </w:t>
      </w:r>
      <w:r w:rsidR="00496C58">
        <w:rPr>
          <w:rFonts w:ascii="Arial" w:hAnsi="Arial" w:cs="Arial"/>
        </w:rPr>
        <w:t>2022</w:t>
      </w:r>
      <w:r w:rsidR="00B47834" w:rsidRPr="00503D73">
        <w:rPr>
          <w:rFonts w:ascii="Arial" w:hAnsi="Arial" w:cs="Arial"/>
        </w:rPr>
        <w:t xml:space="preserve"> y C-</w:t>
      </w:r>
      <w:r w:rsidR="00A35B4D" w:rsidRPr="00503D73">
        <w:rPr>
          <w:rFonts w:ascii="Arial" w:hAnsi="Arial" w:cs="Arial"/>
        </w:rPr>
        <w:t>277 del 14 de julio del 2023</w:t>
      </w:r>
      <w:r w:rsidRPr="00503D73">
        <w:rPr>
          <w:rStyle w:val="Refdenotaalpie"/>
          <w:rFonts w:ascii="Arial" w:hAnsi="Arial" w:cs="Arial"/>
        </w:rPr>
        <w:footnoteReference w:id="3"/>
      </w:r>
      <w:r w:rsidRPr="00503D73">
        <w:rPr>
          <w:rFonts w:ascii="Arial" w:hAnsi="Arial" w:cs="Arial"/>
        </w:rPr>
        <w:t xml:space="preserve">. </w:t>
      </w:r>
      <w:r w:rsidRPr="00503D73">
        <w:rPr>
          <w:rFonts w:ascii="Arial" w:hAnsi="Arial" w:cs="Arial"/>
          <w:lang w:val="es-ES_tradnl"/>
        </w:rPr>
        <w:t>Las tesis propuestas se reiteran a continuación y se complementan en lo que pertinente, teniendo en cuenta el objeto de la consulta.</w:t>
      </w:r>
    </w:p>
    <w:p w14:paraId="6D909F28" w14:textId="77777777" w:rsidR="005377D6" w:rsidRDefault="005377D6" w:rsidP="005377D6">
      <w:pPr>
        <w:spacing w:line="276" w:lineRule="auto"/>
        <w:jc w:val="both"/>
        <w:rPr>
          <w:rFonts w:ascii="Arial" w:eastAsia="Calibri" w:hAnsi="Arial" w:cs="Arial"/>
          <w:b/>
          <w:color w:val="000000"/>
          <w:lang w:val="es-ES_tradnl"/>
        </w:rPr>
      </w:pPr>
    </w:p>
    <w:p w14:paraId="2EE4245B" w14:textId="77777777" w:rsidR="005377D6" w:rsidRDefault="005377D6" w:rsidP="005377D6">
      <w:pPr>
        <w:spacing w:line="276" w:lineRule="auto"/>
        <w:jc w:val="both"/>
        <w:rPr>
          <w:rFonts w:ascii="Arial" w:eastAsia="Calibri" w:hAnsi="Arial" w:cs="Arial"/>
          <w:color w:val="000000"/>
          <w:lang w:val="es-ES"/>
        </w:rPr>
      </w:pPr>
      <w:r>
        <w:rPr>
          <w:rFonts w:ascii="Arial" w:eastAsia="Calibri" w:hAnsi="Arial" w:cs="Arial"/>
          <w:b/>
          <w:color w:val="000000"/>
          <w:lang w:val="es-ES"/>
        </w:rPr>
        <w:t>2.1. R</w:t>
      </w:r>
      <w:r>
        <w:rPr>
          <w:rFonts w:ascii="Arial" w:eastAsia="Calibri" w:hAnsi="Arial" w:cs="Arial"/>
          <w:b/>
          <w:bCs/>
          <w:color w:val="000000"/>
          <w:lang w:val="es-ES"/>
        </w:rPr>
        <w:t>equisitos habilitantes de capacidad financiera y organizacional</w:t>
      </w:r>
      <w:r>
        <w:rPr>
          <w:rFonts w:ascii="Arial" w:eastAsia="Calibri" w:hAnsi="Arial" w:cs="Arial"/>
          <w:color w:val="000000"/>
          <w:lang w:val="es-ES"/>
        </w:rPr>
        <w:t xml:space="preserve"> </w:t>
      </w:r>
    </w:p>
    <w:p w14:paraId="5F3E8851" w14:textId="75D9DB0B" w:rsidR="005377D6" w:rsidRDefault="005377D6" w:rsidP="005377D6">
      <w:pPr>
        <w:spacing w:line="276" w:lineRule="auto"/>
        <w:jc w:val="both"/>
        <w:rPr>
          <w:rFonts w:ascii="Arial" w:eastAsia="Calibri" w:hAnsi="Arial" w:cs="Arial"/>
          <w:color w:val="000000"/>
          <w:lang w:val="es-ES"/>
        </w:rPr>
      </w:pPr>
      <w:r>
        <w:rPr>
          <w:rFonts w:ascii="Arial" w:eastAsia="Calibri" w:hAnsi="Arial" w:cs="Arial"/>
          <w:color w:val="000000"/>
          <w:lang w:val="es-ES"/>
        </w:rPr>
        <w:t>La Ley 1150 de 2007, en el artículo 5, exige el cumplimiento de los requisitos habilitantes en los procesos de selección. Mediante ellos las entidades fijan unos requisitos mínimos que debe tener y acreditar el proponente, para que pueda verificarse su aptitud para participar en el procedimiento de contratación y, si se le adjudica, ejecutar el contrato estatal</w:t>
      </w:r>
      <w:r>
        <w:rPr>
          <w:rFonts w:ascii="Arial" w:eastAsia="Calibri" w:hAnsi="Arial" w:cs="Arial"/>
          <w:color w:val="000000"/>
          <w:vertAlign w:val="superscript"/>
          <w:lang w:val="es-ES"/>
        </w:rPr>
        <w:footnoteReference w:id="4"/>
      </w:r>
      <w:r>
        <w:rPr>
          <w:rFonts w:ascii="Arial" w:eastAsia="Calibri" w:hAnsi="Arial" w:cs="Arial"/>
          <w:color w:val="000000"/>
          <w:lang w:val="es-ES"/>
        </w:rPr>
        <w:t xml:space="preserve">. Dentro de los requisitos habilitantes se destaca la </w:t>
      </w:r>
      <w:r w:rsidR="002E7E5B">
        <w:rPr>
          <w:rFonts w:ascii="Arial" w:eastAsia="Calibri" w:hAnsi="Arial" w:cs="Arial"/>
          <w:color w:val="000000"/>
          <w:lang w:val="es-ES"/>
        </w:rPr>
        <w:t>“</w:t>
      </w:r>
      <w:r>
        <w:rPr>
          <w:rFonts w:ascii="Arial" w:eastAsia="Calibri" w:hAnsi="Arial" w:cs="Arial"/>
          <w:color w:val="000000"/>
          <w:lang w:val="es-ES"/>
        </w:rPr>
        <w:t>capacidad financiera</w:t>
      </w:r>
      <w:r w:rsidR="002E7E5B">
        <w:rPr>
          <w:rFonts w:ascii="Arial" w:eastAsia="Calibri" w:hAnsi="Arial" w:cs="Arial"/>
          <w:color w:val="000000"/>
          <w:lang w:val="es-ES"/>
        </w:rPr>
        <w:t>”</w:t>
      </w:r>
      <w:r>
        <w:rPr>
          <w:rFonts w:ascii="Arial" w:eastAsia="Calibri" w:hAnsi="Arial" w:cs="Arial"/>
          <w:color w:val="000000"/>
          <w:lang w:val="es-ES"/>
        </w:rPr>
        <w:t xml:space="preserve"> y la </w:t>
      </w:r>
      <w:r w:rsidR="002E7E5B">
        <w:rPr>
          <w:rFonts w:ascii="Arial" w:eastAsia="Calibri" w:hAnsi="Arial" w:cs="Arial"/>
          <w:color w:val="000000"/>
          <w:lang w:val="es-ES"/>
        </w:rPr>
        <w:t>“</w:t>
      </w:r>
      <w:r>
        <w:rPr>
          <w:rFonts w:ascii="Arial" w:eastAsia="Calibri" w:hAnsi="Arial" w:cs="Arial"/>
          <w:color w:val="000000"/>
          <w:lang w:val="es-ES"/>
        </w:rPr>
        <w:t>capacidad organizacional</w:t>
      </w:r>
      <w:r w:rsidR="002E7E5B">
        <w:rPr>
          <w:rFonts w:ascii="Arial" w:eastAsia="Calibri" w:hAnsi="Arial" w:cs="Arial"/>
          <w:color w:val="000000"/>
          <w:lang w:val="es-ES"/>
        </w:rPr>
        <w:t>”</w:t>
      </w:r>
      <w:r>
        <w:rPr>
          <w:rFonts w:ascii="Arial" w:eastAsia="Calibri" w:hAnsi="Arial" w:cs="Arial"/>
          <w:color w:val="000000"/>
          <w:lang w:val="es-ES"/>
        </w:rPr>
        <w:t xml:space="preserve">. Cada </w:t>
      </w:r>
      <w:r w:rsidR="00945FCF">
        <w:rPr>
          <w:rFonts w:ascii="Arial" w:eastAsia="Calibri" w:hAnsi="Arial" w:cs="Arial"/>
          <w:color w:val="000000"/>
          <w:lang w:val="es-ES"/>
        </w:rPr>
        <w:t>E</w:t>
      </w:r>
      <w:r>
        <w:rPr>
          <w:rFonts w:ascii="Arial" w:eastAsia="Calibri" w:hAnsi="Arial" w:cs="Arial"/>
          <w:color w:val="000000"/>
          <w:lang w:val="es-ES"/>
        </w:rPr>
        <w:t xml:space="preserve">ntidad estatal, como responsable de la estructuración de su procedimiento de selección, es autónoma para requerir la capacidad financiera y la </w:t>
      </w:r>
      <w:r>
        <w:rPr>
          <w:rFonts w:ascii="Arial" w:eastAsia="Calibri" w:hAnsi="Arial" w:cs="Arial"/>
          <w:color w:val="000000"/>
          <w:lang w:val="es-ES"/>
        </w:rPr>
        <w:lastRenderedPageBreak/>
        <w:t xml:space="preserve">capacidad organizacional necesarias, de acuerdo con la naturaleza del contrato que se pretende suscribir y a su valor. Para esto, la </w:t>
      </w:r>
      <w:r w:rsidR="00E46E51">
        <w:rPr>
          <w:rFonts w:ascii="Arial" w:eastAsia="Calibri" w:hAnsi="Arial" w:cs="Arial"/>
          <w:color w:val="000000"/>
          <w:lang w:val="es-ES"/>
        </w:rPr>
        <w:t>E</w:t>
      </w:r>
      <w:r>
        <w:rPr>
          <w:rFonts w:ascii="Arial" w:eastAsia="Calibri" w:hAnsi="Arial" w:cs="Arial"/>
          <w:color w:val="000000"/>
          <w:lang w:val="es-ES"/>
        </w:rPr>
        <w:t>ntidad, según el artículo 2.2.1.1.1.6.2. del Decreto 1082 de 2015, debe tener en cuenta el estudio del sector y sus componentes, como por ejemplo la identificación de riesgos, así como el precio del bien, obra o servicio a contratar</w:t>
      </w:r>
      <w:r>
        <w:rPr>
          <w:rFonts w:ascii="Arial" w:eastAsia="Calibri" w:hAnsi="Arial" w:cs="Arial"/>
          <w:color w:val="000000"/>
          <w:vertAlign w:val="superscript"/>
          <w:lang w:val="es-ES"/>
        </w:rPr>
        <w:footnoteReference w:id="5"/>
      </w:r>
      <w:r>
        <w:rPr>
          <w:rFonts w:ascii="Arial" w:eastAsia="Calibri" w:hAnsi="Arial" w:cs="Arial"/>
          <w:color w:val="000000"/>
          <w:lang w:val="es-ES"/>
        </w:rPr>
        <w:t>.</w:t>
      </w:r>
    </w:p>
    <w:p w14:paraId="7D007BAA" w14:textId="6AEC39BF" w:rsidR="005377D6" w:rsidRDefault="005377D6" w:rsidP="005377D6">
      <w:pPr>
        <w:spacing w:before="120" w:after="120" w:line="276" w:lineRule="auto"/>
        <w:ind w:firstLine="708"/>
        <w:jc w:val="both"/>
        <w:rPr>
          <w:rFonts w:ascii="Arial" w:eastAsia="Calibri" w:hAnsi="Arial" w:cs="Arial"/>
          <w:color w:val="000000"/>
          <w:lang w:val="es-ES"/>
        </w:rPr>
      </w:pPr>
      <w:r>
        <w:rPr>
          <w:rFonts w:ascii="Arial" w:eastAsia="Calibri" w:hAnsi="Arial" w:cs="Arial"/>
          <w:color w:val="000000"/>
          <w:lang w:val="es-ES"/>
        </w:rPr>
        <w:t xml:space="preserve">La </w:t>
      </w:r>
      <w:r w:rsidR="00E46E51">
        <w:rPr>
          <w:rFonts w:ascii="Arial" w:eastAsia="Calibri" w:hAnsi="Arial" w:cs="Arial"/>
          <w:color w:val="000000"/>
          <w:lang w:val="es-ES"/>
        </w:rPr>
        <w:t>“</w:t>
      </w:r>
      <w:r>
        <w:rPr>
          <w:rFonts w:ascii="Arial" w:eastAsia="Calibri" w:hAnsi="Arial" w:cs="Arial"/>
          <w:color w:val="000000"/>
          <w:lang w:val="es-ES"/>
        </w:rPr>
        <w:t>capacidad financiera</w:t>
      </w:r>
      <w:r w:rsidR="00E46E51">
        <w:rPr>
          <w:rFonts w:ascii="Arial" w:eastAsia="Calibri" w:hAnsi="Arial" w:cs="Arial"/>
          <w:color w:val="000000"/>
          <w:lang w:val="es-ES"/>
        </w:rPr>
        <w:t>”</w:t>
      </w:r>
      <w:r>
        <w:rPr>
          <w:rFonts w:ascii="Arial" w:eastAsia="Calibri" w:hAnsi="Arial" w:cs="Arial"/>
          <w:color w:val="000000"/>
          <w:lang w:val="es-ES"/>
        </w:rPr>
        <w:t xml:space="preserve"> se deriva del índice de liquidez, de endeudamiento y de la razón de cobertura de intereses del proponente, y permite conocer si tiene solidez financiera suficiente para cumplir los compromisos que adquiera en virtud de la celebración del contrato. Como lo explicó la Agencia Nacional de Contratación Pública – Colombia Compra Eficiente en el </w:t>
      </w:r>
      <w:r w:rsidR="00E46E51">
        <w:rPr>
          <w:rFonts w:ascii="Arial" w:eastAsia="Calibri" w:hAnsi="Arial" w:cs="Arial"/>
          <w:color w:val="000000"/>
          <w:lang w:val="es-ES"/>
        </w:rPr>
        <w:t>“</w:t>
      </w:r>
      <w:r>
        <w:rPr>
          <w:rFonts w:ascii="Arial" w:eastAsia="Calibri" w:hAnsi="Arial" w:cs="Arial"/>
          <w:color w:val="000000"/>
          <w:lang w:val="es-ES"/>
        </w:rPr>
        <w:t>Manual para determinar y verificar los requisitos habilitantes en los procesos de contratación</w:t>
      </w:r>
      <w:r w:rsidR="00E46E51">
        <w:rPr>
          <w:rFonts w:ascii="Arial" w:eastAsia="Calibri" w:hAnsi="Arial" w:cs="Arial"/>
          <w:color w:val="000000"/>
          <w:lang w:val="es-ES"/>
        </w:rPr>
        <w:t>”</w:t>
      </w:r>
      <w:r>
        <w:rPr>
          <w:rFonts w:ascii="Arial" w:eastAsia="Calibri" w:hAnsi="Arial" w:cs="Arial"/>
          <w:color w:val="000000"/>
          <w:lang w:val="es-ES"/>
        </w:rPr>
        <w:t xml:space="preserve">, </w:t>
      </w:r>
      <w:r w:rsidR="00E46E51">
        <w:rPr>
          <w:rFonts w:ascii="Arial" w:eastAsia="Calibri" w:hAnsi="Arial" w:cs="Arial"/>
          <w:color w:val="000000"/>
          <w:lang w:val="es-ES"/>
        </w:rPr>
        <w:t>“</w:t>
      </w:r>
      <w:r>
        <w:rPr>
          <w:rFonts w:ascii="Arial" w:eastAsia="Calibri" w:hAnsi="Arial" w:cs="Arial"/>
          <w:color w:val="000000"/>
          <w:lang w:val="es-ES"/>
        </w:rPr>
        <w:t>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w:t>
      </w:r>
      <w:r w:rsidR="00E46E51">
        <w:rPr>
          <w:rFonts w:ascii="Arial" w:eastAsia="Calibri" w:hAnsi="Arial" w:cs="Arial"/>
          <w:color w:val="000000"/>
          <w:lang w:val="es-ES"/>
        </w:rPr>
        <w:t>”</w:t>
      </w:r>
      <w:r>
        <w:rPr>
          <w:rFonts w:ascii="Arial" w:eastAsia="Calibri" w:hAnsi="Arial" w:cs="Arial"/>
          <w:color w:val="000000"/>
          <w:vertAlign w:val="superscript"/>
          <w:lang w:val="es-ES"/>
        </w:rPr>
        <w:footnoteReference w:id="6"/>
      </w:r>
      <w:r>
        <w:rPr>
          <w:rFonts w:ascii="Arial" w:eastAsia="Calibri" w:hAnsi="Arial" w:cs="Arial"/>
          <w:color w:val="000000"/>
          <w:lang w:val="es-ES"/>
        </w:rPr>
        <w:t xml:space="preserve">. </w:t>
      </w:r>
    </w:p>
    <w:p w14:paraId="16952CB6" w14:textId="71D687B6" w:rsidR="005377D6" w:rsidRDefault="005377D6" w:rsidP="005377D6">
      <w:pPr>
        <w:spacing w:before="120" w:after="120" w:line="276" w:lineRule="auto"/>
        <w:ind w:firstLine="708"/>
        <w:jc w:val="both"/>
        <w:rPr>
          <w:rFonts w:ascii="Arial" w:eastAsia="Calibri" w:hAnsi="Arial" w:cs="Arial"/>
          <w:color w:val="000000"/>
          <w:lang w:val="es-ES"/>
        </w:rPr>
      </w:pPr>
      <w:r>
        <w:rPr>
          <w:rFonts w:ascii="Arial" w:eastAsia="Calibri" w:hAnsi="Arial" w:cs="Arial"/>
          <w:color w:val="000000"/>
          <w:lang w:val="es-ES"/>
        </w:rPr>
        <w:t xml:space="preserve">La </w:t>
      </w:r>
      <w:r w:rsidR="00E46E51">
        <w:rPr>
          <w:rFonts w:ascii="Arial" w:eastAsia="Calibri" w:hAnsi="Arial" w:cs="Arial"/>
          <w:color w:val="000000"/>
          <w:lang w:val="es-ES"/>
        </w:rPr>
        <w:t>“</w:t>
      </w:r>
      <w:r>
        <w:rPr>
          <w:rFonts w:ascii="Arial" w:eastAsia="Calibri" w:hAnsi="Arial" w:cs="Arial"/>
          <w:color w:val="000000"/>
          <w:lang w:val="es-ES"/>
        </w:rPr>
        <w:t>capacidad organizacional</w:t>
      </w:r>
      <w:r w:rsidR="00E46E51">
        <w:rPr>
          <w:rFonts w:ascii="Arial" w:eastAsia="Calibri" w:hAnsi="Arial" w:cs="Arial"/>
          <w:color w:val="000000"/>
          <w:lang w:val="es-ES"/>
        </w:rPr>
        <w:t>”</w:t>
      </w:r>
      <w:r>
        <w:rPr>
          <w:rFonts w:ascii="Arial" w:eastAsia="Calibri" w:hAnsi="Arial" w:cs="Arial"/>
          <w:color w:val="000000"/>
          <w:lang w:val="es-ES"/>
        </w:rPr>
        <w:t xml:space="preserve">, por su parte, </w:t>
      </w:r>
      <w:r w:rsidR="00E46E51">
        <w:rPr>
          <w:rFonts w:ascii="Arial" w:eastAsia="Calibri" w:hAnsi="Arial" w:cs="Arial"/>
          <w:color w:val="000000"/>
          <w:lang w:val="es-ES"/>
        </w:rPr>
        <w:t>“</w:t>
      </w:r>
      <w:r>
        <w:rPr>
          <w:rFonts w:ascii="Arial" w:eastAsia="Calibri" w:hAnsi="Arial" w:cs="Arial"/>
          <w:color w:val="000000"/>
          <w:lang w:val="es-ES"/>
        </w:rPr>
        <w:t>[…] es la aptitud de un proponente para cumplir oportuna y cabalmente el objeto del contrato en función de su organización interna. El Decreto 1082 de 2015 definió los indicadores de rentabilidad para medir la capacidad organizacional de un proponente teniendo en cuenta que está bien organizado cuando es rentable</w:t>
      </w:r>
      <w:r w:rsidR="00E46E51">
        <w:rPr>
          <w:rFonts w:ascii="Arial" w:eastAsia="Calibri" w:hAnsi="Arial" w:cs="Arial"/>
          <w:color w:val="000000"/>
          <w:lang w:val="es-ES"/>
        </w:rPr>
        <w:t>”</w:t>
      </w:r>
      <w:r>
        <w:rPr>
          <w:rFonts w:ascii="Arial" w:eastAsia="Calibri" w:hAnsi="Arial" w:cs="Arial"/>
          <w:color w:val="000000"/>
          <w:vertAlign w:val="superscript"/>
          <w:lang w:val="es-ES"/>
        </w:rPr>
        <w:footnoteReference w:id="7"/>
      </w:r>
      <w:r>
        <w:rPr>
          <w:rFonts w:ascii="Arial" w:eastAsia="Calibri" w:hAnsi="Arial" w:cs="Arial"/>
          <w:color w:val="000000"/>
          <w:lang w:val="es-ES"/>
        </w:rPr>
        <w:t xml:space="preserve">. </w:t>
      </w:r>
    </w:p>
    <w:p w14:paraId="73E0F0A5" w14:textId="110F230B" w:rsidR="005377D6" w:rsidRDefault="005377D6" w:rsidP="005377D6">
      <w:pPr>
        <w:spacing w:before="120" w:after="120" w:line="276" w:lineRule="auto"/>
        <w:ind w:firstLine="709"/>
        <w:jc w:val="both"/>
        <w:rPr>
          <w:rFonts w:ascii="Arial" w:eastAsia="Calibri" w:hAnsi="Arial" w:cs="Arial"/>
          <w:color w:val="000000"/>
          <w:lang w:val="es-ES"/>
        </w:rPr>
      </w:pPr>
      <w:r>
        <w:rPr>
          <w:rFonts w:ascii="Arial" w:eastAsia="Calibri" w:hAnsi="Arial" w:cs="Arial"/>
          <w:color w:val="000000"/>
          <w:lang w:val="es-ES"/>
        </w:rPr>
        <w:t xml:space="preserve">Respecto de la capacidad financiera, esta debe inscribirse en el RUP con los estados financieros del proponente, suscritos por el representante legal y el revisor fiscal, si cuenta con él. Si es </w:t>
      </w:r>
      <w:proofErr w:type="gramStart"/>
      <w:r>
        <w:rPr>
          <w:rFonts w:ascii="Arial" w:eastAsia="Calibri" w:hAnsi="Arial" w:cs="Arial"/>
          <w:color w:val="000000"/>
          <w:lang w:val="es-ES"/>
        </w:rPr>
        <w:t>una sociedad no obligada a tenerlo</w:t>
      </w:r>
      <w:proofErr w:type="gramEnd"/>
      <w:r>
        <w:rPr>
          <w:rFonts w:ascii="Arial" w:eastAsia="Calibri" w:hAnsi="Arial" w:cs="Arial"/>
          <w:color w:val="000000"/>
          <w:lang w:val="es-ES"/>
        </w:rPr>
        <w:t xml:space="preserve">, estos documentos también deben suscribirse por el auditor o contador. De este modo, lo que se verifica con el RUP es que el proponente tenga los indicadores financieros solicitados por la </w:t>
      </w:r>
      <w:r w:rsidR="00BC5FE7">
        <w:rPr>
          <w:rFonts w:ascii="Arial" w:eastAsia="Calibri" w:hAnsi="Arial" w:cs="Arial"/>
          <w:color w:val="000000"/>
          <w:lang w:val="es-ES"/>
        </w:rPr>
        <w:t>E</w:t>
      </w:r>
      <w:r>
        <w:rPr>
          <w:rFonts w:ascii="Arial" w:eastAsia="Calibri" w:hAnsi="Arial" w:cs="Arial"/>
          <w:color w:val="000000"/>
          <w:lang w:val="es-ES"/>
        </w:rPr>
        <w:t>ntidad, que le permitan satisfacer la necesidad que se contratará una vez desarrollado el procedimiento de selección. Por otro lado, la capacidad organizacional evalúa la rentabilidad de la empresa, que es directamente proporcional a su organización interna, y también se verifica con el RUP, de acuerdo con los indicadores financieros y organizacionales señalados en el artículo 2.2.1.1.1.5.3. del Decreto 1082 de 2015.</w:t>
      </w:r>
    </w:p>
    <w:p w14:paraId="177CE26E" w14:textId="0A9DEC52" w:rsidR="005377D6" w:rsidRDefault="005377D6" w:rsidP="005377D6">
      <w:pPr>
        <w:spacing w:line="276" w:lineRule="auto"/>
        <w:ind w:firstLine="708"/>
        <w:jc w:val="both"/>
        <w:rPr>
          <w:rFonts w:ascii="Arial" w:eastAsia="Calibri" w:hAnsi="Arial" w:cs="Arial"/>
          <w:color w:val="000000"/>
          <w:lang w:val="es-ES"/>
        </w:rPr>
      </w:pPr>
      <w:r>
        <w:rPr>
          <w:rFonts w:ascii="Arial" w:eastAsia="Calibri" w:hAnsi="Arial" w:cs="Arial"/>
          <w:color w:val="000000"/>
          <w:lang w:val="es-ES"/>
        </w:rPr>
        <w:lastRenderedPageBreak/>
        <w:t xml:space="preserve">La Agencia Nacional de Contratación Pública – Colombia Compra Eficiente puso a disposición de los interesados el </w:t>
      </w:r>
      <w:r w:rsidR="00087826">
        <w:rPr>
          <w:rFonts w:ascii="Arial" w:eastAsia="Calibri" w:hAnsi="Arial" w:cs="Arial"/>
          <w:color w:val="000000"/>
          <w:lang w:val="es-ES"/>
        </w:rPr>
        <w:t>“</w:t>
      </w:r>
      <w:r>
        <w:rPr>
          <w:rFonts w:ascii="Arial" w:eastAsia="Calibri" w:hAnsi="Arial" w:cs="Arial"/>
          <w:color w:val="000000"/>
          <w:lang w:val="es-ES"/>
        </w:rPr>
        <w:t>Manual para determinar y verificar los requisitos habilitantes en los procesos de contratación</w:t>
      </w:r>
      <w:r w:rsidR="00087826">
        <w:rPr>
          <w:rFonts w:ascii="Arial" w:eastAsia="Calibri" w:hAnsi="Arial" w:cs="Arial"/>
          <w:color w:val="000000"/>
          <w:lang w:val="es-ES"/>
        </w:rPr>
        <w:t>”</w:t>
      </w:r>
      <w:r>
        <w:rPr>
          <w:rFonts w:ascii="Arial" w:eastAsia="Calibri" w:hAnsi="Arial" w:cs="Arial"/>
          <w:color w:val="000000"/>
          <w:lang w:val="es-ES"/>
        </w:rPr>
        <w:t xml:space="preserve">. En dicho Manual se plantean definiciones para cada requisito habilitante y se indican lineamientos orientadores que las </w:t>
      </w:r>
      <w:r w:rsidR="00B66E77">
        <w:rPr>
          <w:rFonts w:ascii="Arial" w:eastAsia="Calibri" w:hAnsi="Arial" w:cs="Arial"/>
          <w:color w:val="000000"/>
          <w:lang w:val="es-ES"/>
        </w:rPr>
        <w:t>E</w:t>
      </w:r>
      <w:r>
        <w:rPr>
          <w:rFonts w:ascii="Arial" w:eastAsia="Calibri" w:hAnsi="Arial" w:cs="Arial"/>
          <w:color w:val="000000"/>
          <w:lang w:val="es-ES"/>
        </w:rPr>
        <w:t>ntidades pueden considerar para establecerlos, en este caso, para exigir la capacidad financiera y la capacidad organizacional. Sobre la capacidad financiera, como requisito habilitante, el Manual señala que sus indicadores deben establecerse de acuerdo con el estudio del sector que le permitió a la entidad conocer cómo se debe ejecutar el objeto contractual, y que es necesario analizar cada fórmula para que la interpretación no sea simplemente operativa, sino que su aplicación se fundamente en el entendimiento del resultado y sus implicaciones para el procedimiento contractual</w:t>
      </w:r>
      <w:r>
        <w:rPr>
          <w:rFonts w:ascii="Arial" w:eastAsia="Calibri" w:hAnsi="Arial" w:cs="Arial"/>
          <w:color w:val="000000"/>
          <w:vertAlign w:val="superscript"/>
          <w:lang w:val="es-ES"/>
        </w:rPr>
        <w:footnoteReference w:id="8"/>
      </w:r>
      <w:r>
        <w:rPr>
          <w:rFonts w:ascii="Arial" w:eastAsia="Calibri" w:hAnsi="Arial" w:cs="Arial"/>
          <w:color w:val="000000"/>
          <w:lang w:val="es-ES"/>
        </w:rPr>
        <w:t>.</w:t>
      </w:r>
    </w:p>
    <w:p w14:paraId="0342285B" w14:textId="1B8592B7" w:rsidR="00E47BF6" w:rsidRPr="00B66E77" w:rsidRDefault="005377D6" w:rsidP="00B66E77">
      <w:pPr>
        <w:spacing w:before="120" w:line="276" w:lineRule="auto"/>
        <w:ind w:firstLine="709"/>
        <w:jc w:val="both"/>
        <w:rPr>
          <w:rFonts w:ascii="Arial" w:eastAsia="Calibri" w:hAnsi="Arial" w:cs="Arial"/>
          <w:color w:val="000000"/>
          <w:lang w:val="es-ES"/>
        </w:rPr>
      </w:pPr>
      <w:r>
        <w:rPr>
          <w:rFonts w:ascii="Arial" w:eastAsia="Calibri" w:hAnsi="Arial" w:cs="Arial"/>
          <w:color w:val="000000"/>
          <w:lang w:val="es-ES"/>
        </w:rPr>
        <w:t>Ahora bien, la capacidad organizacional también se mide a través de indicadores: i) rentabilidad del patrimonio y ii) rentabilidad del activo. Sus resultados deben interpretarse observando el riesgo que un indicador alto o bajo representa para el proceso contractual. Por ende, la entidad debe establecer unos límites dentro de los cuales se garantice que el proponente pueda cumplir el contrato en caso de celebrarlo</w:t>
      </w:r>
      <w:r>
        <w:rPr>
          <w:rFonts w:ascii="Arial" w:eastAsia="Calibri" w:hAnsi="Arial" w:cs="Arial"/>
          <w:color w:val="000000"/>
          <w:vertAlign w:val="superscript"/>
          <w:lang w:val="es-ES"/>
        </w:rPr>
        <w:footnoteReference w:id="9"/>
      </w:r>
      <w:r>
        <w:rPr>
          <w:rFonts w:ascii="Arial" w:eastAsia="Calibri" w:hAnsi="Arial" w:cs="Arial"/>
          <w:color w:val="000000"/>
          <w:lang w:val="es-ES"/>
        </w:rPr>
        <w:t>. No obstante, las entidades estatales son autónomas en la estructuración de sus procedimientos contractuales, por lo cual en sus pliegos de condiciones o documentos equivalentes pueden establecer los indicadores financieros y organizacionales necesarios, siempre que estos sean proporcionales al objeto a ejecutar y al valor del contrato, lo que sucede tanto en procesos en los que sea necesario aportar el RUP, como en los que están exceptuados de este requisito.</w:t>
      </w:r>
    </w:p>
    <w:p w14:paraId="2814A936" w14:textId="71F947BE" w:rsidR="002E3A7F" w:rsidRPr="00503D73" w:rsidRDefault="002E3A7F" w:rsidP="002E3A7F">
      <w:pPr>
        <w:jc w:val="both"/>
        <w:rPr>
          <w:rFonts w:ascii="Arial" w:hAnsi="Arial" w:cs="Arial"/>
          <w:lang w:val="es-ES_tradnl"/>
        </w:rPr>
      </w:pPr>
      <w:r w:rsidRPr="00503D73">
        <w:rPr>
          <w:rFonts w:ascii="Arial" w:hAnsi="Arial" w:cs="Arial"/>
          <w:b/>
          <w:bCs/>
          <w:lang w:val="es-ES_tradnl"/>
        </w:rPr>
        <w:t>2.2. Modificaciones introducidas por los Decretos 399 de 2021, 579 de 2021 y 1041 de 2022 respecto a la información contenida en el RUP y delimitación de su verificación dentro del “mejor año fiscal”</w:t>
      </w:r>
      <w:r w:rsidRPr="00503D73">
        <w:rPr>
          <w:rFonts w:ascii="Arial" w:hAnsi="Arial" w:cs="Arial"/>
          <w:lang w:val="es-ES_tradnl"/>
        </w:rPr>
        <w:t xml:space="preserve">   </w:t>
      </w:r>
    </w:p>
    <w:p w14:paraId="3BAC41ED" w14:textId="77777777" w:rsidR="002E3A7F" w:rsidRPr="00503D73" w:rsidRDefault="002E3A7F" w:rsidP="002E3A7F">
      <w:pPr>
        <w:spacing w:after="120"/>
        <w:jc w:val="both"/>
        <w:rPr>
          <w:rFonts w:ascii="Arial" w:hAnsi="Arial" w:cs="Arial"/>
          <w:i/>
          <w:iCs/>
          <w:lang w:val="es-ES_tradnl"/>
        </w:rPr>
      </w:pPr>
      <w:r w:rsidRPr="00503D73">
        <w:rPr>
          <w:rFonts w:ascii="Arial" w:hAnsi="Arial" w:cs="Arial"/>
          <w:lang w:val="es-ES_tradnl"/>
        </w:rPr>
        <w:t xml:space="preserve">Para lograr la reactivación económica, ante la crisis generada por la pandemia del COVID-19, el gobierno nacional expidió el Decreto 399 de 2021, mediante el cual se establecen algunas modificaciones al Decreto 1082 de 2015 frente a la regulación de la información financiera y organizacional prevista en el Registro Único de Proponentes –RUP–. En tal </w:t>
      </w:r>
      <w:r w:rsidRPr="00503D73">
        <w:rPr>
          <w:rFonts w:ascii="Arial" w:hAnsi="Arial" w:cs="Arial"/>
          <w:lang w:val="es-ES_tradnl"/>
        </w:rPr>
        <w:lastRenderedPageBreak/>
        <w:t>sentido, se indicó –con la modificación posteriormente introducida por el Decreto 579 de 2021– que a partir del 1 de julio de 2021</w:t>
      </w:r>
      <w:r w:rsidRPr="00503D73">
        <w:rPr>
          <w:rFonts w:ascii="Arial" w:hAnsi="Arial" w:cs="Arial"/>
          <w:vertAlign w:val="superscript"/>
          <w:lang w:val="es-ES_tradnl"/>
        </w:rPr>
        <w:footnoteReference w:id="10"/>
      </w:r>
      <w:r w:rsidRPr="00503D73">
        <w:rPr>
          <w:rFonts w:ascii="Arial" w:hAnsi="Arial" w:cs="Arial"/>
          <w:lang w:val="es-ES_tradnl"/>
        </w:rPr>
        <w:t xml:space="preserve"> las Entidades Estatales deberán tener en cuenta los datos sobre la capacidad financiera y organizacional de los últimos tres años, consignada en el RUP. Así lo justifica textualmente el reglamento mencionado, en sus consideraciones cuando manifiesta que </w:t>
      </w:r>
      <w:r w:rsidRPr="00503D73">
        <w:rPr>
          <w:rFonts w:ascii="Arial" w:hAnsi="Arial" w:cs="Arial"/>
          <w:i/>
          <w:iCs/>
          <w:lang w:val="es-ES_tradnl"/>
        </w:rPr>
        <w:t>“mediante lo anterior se propenderá por una mayor pluralidad de oferentes en los procedimientos de selección y se fortalecerá la reactivación económica del país, al permitir la participación en estos procedimientos de proponentes que fueron afectados negativamente por la pandemia del COVID-19</w:t>
      </w:r>
      <w:r w:rsidRPr="00503D73">
        <w:rPr>
          <w:rFonts w:ascii="Arial" w:hAnsi="Arial" w:cs="Arial"/>
          <w:i/>
          <w:iCs/>
        </w:rPr>
        <w:t xml:space="preserve">”. </w:t>
      </w:r>
    </w:p>
    <w:p w14:paraId="5A69FB9C" w14:textId="77777777" w:rsidR="002E3A7F" w:rsidRPr="00503D73" w:rsidRDefault="002E3A7F" w:rsidP="002E3A7F">
      <w:pPr>
        <w:spacing w:after="120"/>
        <w:ind w:firstLine="708"/>
        <w:jc w:val="both"/>
        <w:rPr>
          <w:rFonts w:ascii="Arial" w:hAnsi="Arial" w:cs="Arial"/>
          <w:i/>
          <w:iCs/>
          <w:lang w:val="es-ES_tradnl"/>
        </w:rPr>
      </w:pPr>
      <w:r w:rsidRPr="00503D73">
        <w:rPr>
          <w:rFonts w:ascii="Arial" w:hAnsi="Arial" w:cs="Arial"/>
          <w:lang w:val="es-ES_tradnl"/>
        </w:rPr>
        <w:t>En tal sentido, el artículo 4 del Decreto 399 de 2021 adicionó dos parágrafos transitorios al artículo 2.2.1.1.1.5.2. del Decreto 1082 de 2015, que a su vez fueron sustituidos por el artículo 1 del Decreto 579 del 31 de mayo de 2021</w:t>
      </w:r>
      <w:r w:rsidRPr="00503D73">
        <w:rPr>
          <w:rFonts w:ascii="Arial" w:hAnsi="Arial" w:cs="Arial"/>
          <w:vertAlign w:val="superscript"/>
          <w:lang w:val="es-ES_tradnl"/>
        </w:rPr>
        <w:footnoteReference w:id="11"/>
      </w:r>
      <w:r w:rsidRPr="00503D73">
        <w:rPr>
          <w:rFonts w:ascii="Arial" w:hAnsi="Arial" w:cs="Arial"/>
          <w:lang w:val="es-ES_tradnl"/>
        </w:rPr>
        <w:t xml:space="preserve"> y posteriormente se adicionó un parágrafo transitorio adicional al artículo 2.2.1.1.1.5.2. del Decreto 1082 de 2015 por el artículo 1 del </w:t>
      </w:r>
      <w:r w:rsidRPr="00503D73">
        <w:rPr>
          <w:rFonts w:ascii="Arial" w:hAnsi="Arial" w:cs="Arial"/>
        </w:rPr>
        <w:t>Decreto 1041 de 2022.</w:t>
      </w:r>
    </w:p>
    <w:p w14:paraId="2EE679B2" w14:textId="77777777" w:rsidR="002E3A7F" w:rsidRPr="00503D73" w:rsidRDefault="002E3A7F" w:rsidP="002E3A7F">
      <w:pPr>
        <w:spacing w:after="120"/>
        <w:ind w:firstLine="708"/>
        <w:jc w:val="both"/>
        <w:rPr>
          <w:rFonts w:ascii="Arial" w:hAnsi="Arial" w:cs="Arial"/>
          <w:i/>
          <w:iCs/>
          <w:lang w:val="es-ES_tradnl"/>
        </w:rPr>
      </w:pPr>
      <w:r w:rsidRPr="00503D73">
        <w:rPr>
          <w:rFonts w:ascii="Arial" w:hAnsi="Arial" w:cs="Arial"/>
          <w:lang w:val="es-ES_tradnl"/>
        </w:rPr>
        <w:lastRenderedPageBreak/>
        <w:t>El parágrafo transitorio 1 dispone que desde el 1 de junio de 2021 los interesados en inscribirse en el RUP deben reportar la información contable y los estados financieros de los tres últimos años fiscales. Sin embargo, si el interesado no tiene una antigüedad de tres años, podrá acreditar dicha información desde el primer cierre fiscal. Dicho parágrafo además permite que el proponente con inscripción activa y vigente en el RUP actualice la información del 2018 y/o 2019, por no contar con los datos sobre la capacidad financiera y organizacional de estos años, de manera gratuita, durante el mes de junio, por una sola vez. En todo caso, aclara que, si el proponente tiene registrada la información de dichos años en la cámara de comercio, no deberá presentar esta información.</w:t>
      </w:r>
    </w:p>
    <w:p w14:paraId="5AD77C53" w14:textId="77777777" w:rsidR="002E3A7F" w:rsidRPr="00503D73" w:rsidRDefault="002E3A7F" w:rsidP="002E3A7F">
      <w:pPr>
        <w:spacing w:after="120"/>
        <w:ind w:firstLine="708"/>
        <w:jc w:val="both"/>
        <w:rPr>
          <w:rFonts w:ascii="Arial" w:hAnsi="Arial" w:cs="Arial"/>
          <w:i/>
          <w:lang w:val="es-ES_tradnl"/>
        </w:rPr>
      </w:pPr>
      <w:r w:rsidRPr="00503D73">
        <w:rPr>
          <w:rFonts w:ascii="Arial" w:hAnsi="Arial" w:cs="Arial"/>
          <w:lang w:val="es-ES_tradnl"/>
        </w:rPr>
        <w:t xml:space="preserve">El parágrafo transitorio 2 señala que, en el año 2022, para la inscripción en el RUP o para su renovación, el interesado debe reportar la información contable y los estados financieros de los tres últimos años fiscales. Además, reitera que, si aquel no cuenta con la información financiera de dichos años, por no tener la antigüedad suficiente, podrá aportar la información de su primer cierre fiscal. </w:t>
      </w:r>
    </w:p>
    <w:p w14:paraId="17C9741E" w14:textId="77777777" w:rsidR="002E3A7F" w:rsidRPr="00503D73" w:rsidRDefault="002E3A7F" w:rsidP="002E3A7F">
      <w:pPr>
        <w:spacing w:after="120"/>
        <w:ind w:firstLine="708"/>
        <w:jc w:val="both"/>
        <w:rPr>
          <w:rFonts w:ascii="Arial" w:hAnsi="Arial" w:cs="Arial"/>
          <w:i/>
          <w:lang w:val="es-ES_tradnl"/>
        </w:rPr>
      </w:pPr>
      <w:r w:rsidRPr="00503D73">
        <w:rPr>
          <w:rFonts w:ascii="Arial" w:hAnsi="Arial" w:cs="Arial"/>
          <w:lang w:val="es-ES_tradnl"/>
        </w:rPr>
        <w:t xml:space="preserve">En igual sentido, el parágrafo transitorio 3 incluido por el </w:t>
      </w:r>
      <w:r w:rsidRPr="00503D73">
        <w:rPr>
          <w:rFonts w:ascii="Arial" w:hAnsi="Arial" w:cs="Arial"/>
        </w:rPr>
        <w:t xml:space="preserve">Decreto 1041 de 2022 mantuvo la anterior medida para el 2023, permitiendo que para </w:t>
      </w:r>
      <w:r w:rsidRPr="00503D73">
        <w:rPr>
          <w:rFonts w:ascii="Arial" w:hAnsi="Arial" w:cs="Arial"/>
          <w:lang w:val="es-ES_tradnl"/>
        </w:rPr>
        <w:t xml:space="preserve">la inscripción en el RUP o para su renovación, el interesado pueda reportar la información contable y los estados financieros de los tres últimos años fiscales. </w:t>
      </w:r>
    </w:p>
    <w:p w14:paraId="26784EF5" w14:textId="77777777" w:rsidR="002E3A7F" w:rsidRPr="00503D73" w:rsidRDefault="002E3A7F" w:rsidP="002E3A7F">
      <w:pPr>
        <w:spacing w:after="120"/>
        <w:ind w:firstLine="708"/>
        <w:jc w:val="both"/>
        <w:rPr>
          <w:rFonts w:ascii="Arial" w:hAnsi="Arial" w:cs="Arial"/>
          <w:lang w:val="es-ES_tradnl"/>
        </w:rPr>
      </w:pPr>
      <w:r w:rsidRPr="00503D73">
        <w:rPr>
          <w:rFonts w:ascii="Arial" w:hAnsi="Arial" w:cs="Arial"/>
          <w:lang w:val="es-ES_tradnl"/>
        </w:rPr>
        <w:t xml:space="preserve">Por otra parte, el artículo 5 del Decreto 399 de 2021 adicionó dos parágrafos transitorios al artículo 2.2.1.1.1.5.6. del Decreto 1082 de 2015, que regula el contenido del certificado del RUP. El primer parágrafo transitorio, que fue posteriormente sustituido por el artículo 2 del Decreto 579 de 2021, establece que </w:t>
      </w:r>
      <w:r w:rsidRPr="00503D73">
        <w:rPr>
          <w:rFonts w:ascii="Arial" w:hAnsi="Arial" w:cs="Arial"/>
          <w:i/>
          <w:iCs/>
          <w:lang w:val="es-ES_tradnl"/>
        </w:rPr>
        <w:t>“[…] los requisitos e indicadores de la capacidad financiera y organizacional de que trata el literal (b) del artículo 2.2.1.1.1.5.6. del Decreto 1082 de 2015 corresponderán a los últimos tres (3) años fiscales anteriores a la inscripción o renovación, dependiendo de la antigüedad del proponente”</w:t>
      </w:r>
      <w:r w:rsidRPr="00503D73">
        <w:rPr>
          <w:rFonts w:ascii="Arial" w:hAnsi="Arial" w:cs="Arial"/>
          <w:lang w:val="es-ES_tradnl"/>
        </w:rPr>
        <w:t>. Para esto, las cámaras de comercio, a partir del 1 de julio de 2021, “</w:t>
      </w:r>
      <w:r w:rsidRPr="00503D73">
        <w:rPr>
          <w:rFonts w:ascii="Arial" w:hAnsi="Arial" w:cs="Arial"/>
          <w:i/>
          <w:iCs/>
          <w:lang w:val="es-ES_tradnl"/>
        </w:rPr>
        <w:t>certificarán la información de que tratan los parágrafos transitorios 1 y 2 del artículo 2.2.1.1.1.5.2. de este Decreto”.</w:t>
      </w:r>
      <w:r w:rsidRPr="00503D73">
        <w:rPr>
          <w:rFonts w:ascii="Arial" w:hAnsi="Arial" w:cs="Arial"/>
          <w:lang w:val="es-ES_tradnl"/>
        </w:rPr>
        <w:t xml:space="preserve"> Los requisitos e indicadores de la capacidad financiera consagrados en el literal (b) del artículo 2.2.1.1.1.5.6. del Decreto 1082 de 2015 son: i) el índice de liquidez, ii) el índice de endeudamiento y iii) la razón de cobertura de intereses. Los requisitos e indicadores de capacidad organizacional son: i) la rentabilidad del patrimonio y ii) la rentabilidad del activo.</w:t>
      </w:r>
    </w:p>
    <w:p w14:paraId="7079DF59" w14:textId="77777777" w:rsidR="002E3A7F" w:rsidRPr="00503D73" w:rsidRDefault="002E3A7F" w:rsidP="002E3A7F">
      <w:pPr>
        <w:spacing w:after="120"/>
        <w:ind w:firstLine="708"/>
        <w:jc w:val="both"/>
        <w:rPr>
          <w:rFonts w:ascii="Arial" w:hAnsi="Arial" w:cs="Arial"/>
          <w:i/>
          <w:iCs/>
          <w:lang w:val="es-ES_tradnl"/>
        </w:rPr>
      </w:pPr>
      <w:r w:rsidRPr="00503D73">
        <w:rPr>
          <w:rFonts w:ascii="Arial" w:hAnsi="Arial" w:cs="Arial"/>
          <w:lang w:val="es-ES_tradnl"/>
        </w:rPr>
        <w:t xml:space="preserve">En ese orden de ideas, el segundo parágrafo transitorio del artículo 2.2.1.1.1.5.6. del Decreto 1082 de 2015, modificado por el artículo 2 del Decreto 1041 del 21 de junio 2022 dispone que </w:t>
      </w:r>
      <w:r w:rsidRPr="00503D73">
        <w:rPr>
          <w:rFonts w:ascii="Arial" w:hAnsi="Arial" w:cs="Arial"/>
          <w:i/>
          <w:iCs/>
          <w:lang w:val="es-ES_tradnl"/>
        </w:rPr>
        <w:t>“El proponente que cuente con inscripción activa y vigente en el RUP, que reporte la información de la capacidad financiera y organizacional, señalada en los parágrafos transitorios 1, 2 Y 3 del artículo 2.2.1.1.1.5.2 del presente Decreto, deberá presentarla en el formato unificado que las cámaras de comercio dispongan para tal efecto”.</w:t>
      </w:r>
    </w:p>
    <w:p w14:paraId="0E7A4B14" w14:textId="77777777" w:rsidR="002E3A7F" w:rsidRPr="00503D73" w:rsidRDefault="002E3A7F" w:rsidP="002E3A7F">
      <w:pPr>
        <w:spacing w:after="120"/>
        <w:ind w:firstLine="708"/>
        <w:jc w:val="both"/>
        <w:rPr>
          <w:rFonts w:ascii="Arial" w:hAnsi="Arial" w:cs="Arial"/>
          <w:i/>
          <w:lang w:val="es-ES_tradnl"/>
        </w:rPr>
      </w:pPr>
      <w:r w:rsidRPr="00503D73">
        <w:rPr>
          <w:rFonts w:ascii="Arial" w:hAnsi="Arial" w:cs="Arial"/>
          <w:lang w:val="es-ES_tradnl"/>
        </w:rPr>
        <w:t>Como se observa, las normas anteriormente transcritas disponen que:</w:t>
      </w:r>
    </w:p>
    <w:p w14:paraId="049EE78E" w14:textId="77777777" w:rsidR="002E3A7F" w:rsidRPr="00503D73" w:rsidRDefault="002E3A7F" w:rsidP="002E3A7F">
      <w:pPr>
        <w:spacing w:after="120"/>
        <w:ind w:firstLine="708"/>
        <w:jc w:val="both"/>
        <w:rPr>
          <w:rFonts w:ascii="Arial" w:hAnsi="Arial" w:cs="Arial"/>
          <w:i/>
          <w:iCs/>
          <w:lang w:val="es-ES_tradnl"/>
        </w:rPr>
      </w:pPr>
      <w:r w:rsidRPr="00503D73">
        <w:rPr>
          <w:rFonts w:ascii="Arial" w:hAnsi="Arial" w:cs="Arial"/>
          <w:lang w:val="es-ES_tradnl"/>
        </w:rPr>
        <w:lastRenderedPageBreak/>
        <w:t>i) A partir del 1 de julio de 2021 las Entidades Estatales “[…] establecerán y evaluarán los requisitos habilitantes de capacidad financiera y organizacional teniendo en cuenta la información que conste en el Registro Único de Proponentes”. Es decir, las Entidades Estatales deben tener en cuenta la información sobre la capacidad financiera y organizacional “correspondiente a los últimos tres (3) años fiscales anteriores al respectivo acto” o “desde su primer cierre fiscal”, según el caso.</w:t>
      </w:r>
    </w:p>
    <w:p w14:paraId="5F25E948" w14:textId="77777777" w:rsidR="002E3A7F" w:rsidRPr="00503D73" w:rsidRDefault="002E3A7F" w:rsidP="002E3A7F">
      <w:pPr>
        <w:spacing w:after="120"/>
        <w:ind w:firstLine="708"/>
        <w:jc w:val="both"/>
        <w:rPr>
          <w:rFonts w:ascii="Arial" w:hAnsi="Arial" w:cs="Arial"/>
          <w:i/>
          <w:lang w:val="es-ES_tradnl"/>
        </w:rPr>
      </w:pPr>
      <w:r w:rsidRPr="00503D73">
        <w:rPr>
          <w:rFonts w:ascii="Arial" w:hAnsi="Arial" w:cs="Arial"/>
          <w:lang w:val="es-ES_tradnl"/>
        </w:rPr>
        <w:t>ii) Las Entidades Estatales conservan su discrecionalidad administrativa para determinar los requisitos habilitantes de capacidad financiera y organizacional, pero “En todo caso, se establecerán indicadores proporcionales al procedimiento de contratación”. El principio de proporcionalidad exige que dichos indicadores sean razonables, o sea, que guarden congruencia con el objeto, alcance, valor y plazo del contrato, que sean necesarios y no restrinjan injustificadamente la libre concurrencia.</w:t>
      </w:r>
    </w:p>
    <w:p w14:paraId="4C735FEC" w14:textId="77777777" w:rsidR="002E3A7F" w:rsidRPr="00503D73" w:rsidRDefault="002E3A7F" w:rsidP="002E3A7F">
      <w:pPr>
        <w:spacing w:after="120"/>
        <w:ind w:firstLine="708"/>
        <w:jc w:val="both"/>
        <w:rPr>
          <w:rFonts w:ascii="Arial" w:hAnsi="Arial" w:cs="Arial"/>
          <w:i/>
          <w:lang w:val="es-ES_tradnl"/>
        </w:rPr>
      </w:pPr>
      <w:r w:rsidRPr="00503D73">
        <w:rPr>
          <w:rFonts w:ascii="Arial" w:hAnsi="Arial" w:cs="Arial"/>
          <w:lang w:val="es-ES_tradnl"/>
        </w:rPr>
        <w:t>iii) En los procesos de selección cuyo acto administrativo de apertura o invitación se publique a partir del 1 de julio de 2021 las Entidades Estatales deberán tener en cuenta la información financiera y organizacional que esté vigente y en firme en el RUP.</w:t>
      </w:r>
    </w:p>
    <w:p w14:paraId="0133C8BD" w14:textId="77777777" w:rsidR="002E3A7F" w:rsidRPr="00503D73" w:rsidRDefault="002E3A7F" w:rsidP="002E3A7F">
      <w:pPr>
        <w:spacing w:after="120"/>
        <w:ind w:firstLine="708"/>
        <w:jc w:val="both"/>
        <w:rPr>
          <w:rFonts w:ascii="Arial" w:hAnsi="Arial" w:cs="Arial"/>
          <w:i/>
          <w:iCs/>
          <w:lang w:val="es-ES_tradnl"/>
        </w:rPr>
      </w:pPr>
      <w:proofErr w:type="spellStart"/>
      <w:r w:rsidRPr="00503D73">
        <w:rPr>
          <w:rFonts w:ascii="Arial" w:hAnsi="Arial" w:cs="Arial"/>
          <w:lang w:val="es-ES_tradnl"/>
        </w:rPr>
        <w:t>iv</w:t>
      </w:r>
      <w:proofErr w:type="spellEnd"/>
      <w:r w:rsidRPr="00503D73">
        <w:rPr>
          <w:rFonts w:ascii="Arial" w:hAnsi="Arial" w:cs="Arial"/>
          <w:lang w:val="es-ES_tradnl"/>
        </w:rPr>
        <w:t xml:space="preserve">) A partir de la fecha establecida anteriormente, la evaluación de los indicadores de capacidad </w:t>
      </w:r>
      <w:r w:rsidRPr="00503D73">
        <w:rPr>
          <w:rFonts w:ascii="Arial" w:hAnsi="Arial" w:cs="Arial"/>
          <w:i/>
          <w:iCs/>
          <w:lang w:val="es-ES_tradnl"/>
        </w:rPr>
        <w:t>financiera –</w:t>
      </w:r>
      <w:r w:rsidRPr="00503D73">
        <w:rPr>
          <w:rFonts w:ascii="Arial" w:hAnsi="Arial" w:cs="Arial"/>
          <w:lang w:val="es-ES_tradnl"/>
        </w:rPr>
        <w:t xml:space="preserve">índice de liquidez, índice de endeudamiento y </w:t>
      </w:r>
      <w:r w:rsidRPr="00503D73">
        <w:rPr>
          <w:rFonts w:ascii="Arial" w:hAnsi="Arial" w:cs="Arial"/>
          <w:i/>
          <w:iCs/>
          <w:lang w:val="es-ES_tradnl"/>
        </w:rPr>
        <w:t>razón de cobertura de intereses</w:t>
      </w:r>
      <w:r w:rsidRPr="00503D73">
        <w:rPr>
          <w:rFonts w:ascii="Arial" w:hAnsi="Arial" w:cs="Arial"/>
          <w:lang w:val="es-ES_tradnl"/>
        </w:rPr>
        <w:t xml:space="preserve">– y organizacional –rentabilidad del patrimonio y rentabilidad del activo–, se deberá realizar por parte de las entidades estatales “teniendo en cuenta </w:t>
      </w:r>
      <w:r w:rsidRPr="00503D73">
        <w:rPr>
          <w:rFonts w:ascii="Arial" w:hAnsi="Arial" w:cs="Arial"/>
          <w:i/>
          <w:iCs/>
          <w:lang w:val="es-ES_tradnl"/>
        </w:rPr>
        <w:t>el mejor año fiscal que se refleje en el registro</w:t>
      </w:r>
      <w:r w:rsidRPr="00503D73">
        <w:rPr>
          <w:rFonts w:ascii="Arial" w:hAnsi="Arial" w:cs="Arial"/>
          <w:lang w:val="es-ES_tradnl"/>
        </w:rPr>
        <w:t xml:space="preserve"> de cada proponente” (énfasis fuera de texto). </w:t>
      </w:r>
    </w:p>
    <w:p w14:paraId="3AA8B2A2" w14:textId="77777777" w:rsidR="002E3A7F" w:rsidRPr="00503D73" w:rsidRDefault="002E3A7F" w:rsidP="002E3A7F">
      <w:pPr>
        <w:spacing w:after="120"/>
        <w:ind w:firstLine="708"/>
        <w:jc w:val="both"/>
        <w:rPr>
          <w:rFonts w:ascii="Arial" w:hAnsi="Arial" w:cs="Arial"/>
          <w:i/>
          <w:iCs/>
          <w:lang w:val="es-ES_tradnl"/>
        </w:rPr>
      </w:pPr>
      <w:r w:rsidRPr="00503D73">
        <w:rPr>
          <w:rFonts w:ascii="Arial" w:hAnsi="Arial" w:cs="Arial"/>
          <w:lang w:val="es-ES_tradnl"/>
        </w:rPr>
        <w:t>v) Dichas medidas se mantienen hasta el año 2023 en virtud de lo consagrado en el Decreto 1041 de 2022.</w:t>
      </w:r>
    </w:p>
    <w:p w14:paraId="74D9BEA0" w14:textId="77777777" w:rsidR="002E3A7F" w:rsidRPr="00503D73" w:rsidRDefault="002E3A7F" w:rsidP="002E3A7F">
      <w:pPr>
        <w:spacing w:after="120"/>
        <w:ind w:firstLine="708"/>
        <w:jc w:val="both"/>
        <w:rPr>
          <w:rFonts w:ascii="Arial" w:hAnsi="Arial" w:cs="Arial"/>
          <w:i/>
          <w:lang w:val="es-ES_tradnl"/>
        </w:rPr>
      </w:pPr>
      <w:r w:rsidRPr="00503D73">
        <w:rPr>
          <w:rFonts w:ascii="Arial" w:hAnsi="Arial" w:cs="Arial"/>
          <w:lang w:val="es-ES_tradnl"/>
        </w:rPr>
        <w:t xml:space="preserve">Ahora bien, teniendo en cuenta que el RUP debe contener la información financiera y organizacional del proponente correspondiente a los últimos tres años o al período transcurrido desde su primer cierre fiscal, según el caso, al momento de evaluar tales indicadores las Entidades Estatales deberán tener en cuenta “el mejor año fiscal” que refleje el registro. Por “mejor año fiscal” se interpreta la información relativa al año apreciada en su conjunto, o sea, de manera integral, que permita al proponente cumplir los requisitos habilitantes de capacidad financiera y organizacional. Dicho de otro modo, cuando el parágrafo transitorio del artículo 2.2.1.1.1.6.2, adicionado por el artículo 6 del Decreto 399 de 2021, sustituido por el artículo 3 del Decreto 579 de 2021 y reiterado por el </w:t>
      </w:r>
      <w:r w:rsidRPr="00503D73">
        <w:rPr>
          <w:rFonts w:ascii="Arial" w:hAnsi="Arial" w:cs="Arial"/>
        </w:rPr>
        <w:t>Decreto 1041 de 2022</w:t>
      </w:r>
      <w:r w:rsidRPr="00503D73">
        <w:rPr>
          <w:rFonts w:ascii="Arial" w:hAnsi="Arial" w:cs="Arial"/>
          <w:lang w:val="es-ES_tradnl"/>
        </w:rPr>
        <w:t xml:space="preserve">, establece que </w:t>
      </w:r>
      <w:r w:rsidRPr="00503D73">
        <w:rPr>
          <w:rFonts w:ascii="Arial" w:hAnsi="Arial" w:cs="Arial"/>
          <w:i/>
          <w:iCs/>
          <w:lang w:val="es-ES_tradnl"/>
        </w:rPr>
        <w:t xml:space="preserve">“[…] las Entidades Estatales evaluarán estos indicadores, teniendo en cuenta el mejor año fiscal que se refleje en el registro de cada proponente”, </w:t>
      </w:r>
      <w:r w:rsidRPr="00503D73">
        <w:rPr>
          <w:rFonts w:ascii="Arial" w:hAnsi="Arial" w:cs="Arial"/>
          <w:lang w:val="es-ES_tradnl"/>
        </w:rPr>
        <w:t>significa que deben examinar los años certificados en el RUP y escoger para ser evaluado el que refleje mejores indicadores de capacidad financiera y organizacional, que permita al proponente cumplir los requisitos habilitantes de capacidad financiera y organizacional.</w:t>
      </w:r>
    </w:p>
    <w:p w14:paraId="6072FA42" w14:textId="77777777" w:rsidR="002E3A7F" w:rsidRPr="00503D73" w:rsidRDefault="002E3A7F" w:rsidP="002E3A7F">
      <w:pPr>
        <w:tabs>
          <w:tab w:val="left" w:pos="0"/>
        </w:tabs>
        <w:spacing w:after="0"/>
        <w:rPr>
          <w:rFonts w:ascii="Arial" w:hAnsi="Arial" w:cs="Arial"/>
          <w:b/>
          <w:lang w:val="es-ES_tradnl"/>
        </w:rPr>
      </w:pPr>
      <w:r w:rsidRPr="00503D73">
        <w:rPr>
          <w:rFonts w:ascii="Arial" w:hAnsi="Arial" w:cs="Arial"/>
          <w:b/>
          <w:lang w:val="es-ES_tradnl"/>
        </w:rPr>
        <w:t>3. Respuesta</w:t>
      </w:r>
    </w:p>
    <w:p w14:paraId="35F792D0" w14:textId="77777777" w:rsidR="002E3A7F" w:rsidRPr="00503D73" w:rsidRDefault="002E3A7F" w:rsidP="002E3A7F">
      <w:pPr>
        <w:tabs>
          <w:tab w:val="left" w:pos="0"/>
        </w:tabs>
        <w:spacing w:after="0"/>
        <w:rPr>
          <w:rFonts w:ascii="Arial" w:hAnsi="Arial" w:cs="Arial"/>
          <w:b/>
          <w:lang w:val="es-ES_tradnl"/>
        </w:rPr>
      </w:pPr>
    </w:p>
    <w:p w14:paraId="7FCFDCCA" w14:textId="67560192" w:rsidR="00AA3A92" w:rsidRDefault="002E3A7F" w:rsidP="00AA3A92">
      <w:pPr>
        <w:spacing w:after="0" w:line="240" w:lineRule="auto"/>
        <w:ind w:left="709" w:right="709"/>
        <w:jc w:val="both"/>
        <w:rPr>
          <w:rFonts w:ascii="Arial" w:hAnsi="Arial" w:cs="Arial"/>
          <w:sz w:val="21"/>
          <w:szCs w:val="21"/>
          <w:lang w:val="es-ES_tradnl"/>
        </w:rPr>
      </w:pPr>
      <w:r w:rsidRPr="00503D73">
        <w:rPr>
          <w:rFonts w:ascii="Arial" w:hAnsi="Arial" w:cs="Arial"/>
          <w:sz w:val="21"/>
          <w:szCs w:val="21"/>
          <w:lang w:val="es-ES_tradnl"/>
        </w:rPr>
        <w:lastRenderedPageBreak/>
        <w:t>“[…] ¿Es posible que el mejor año fiscal para evaluar la capacidad financiera y organizacional sea diferente, según las condiciones del proponente? Por ejemplo, para evaluar la capacidad financiera (índice de liquidez, endeudamiento, razón de cobertura, etc.,) tenga como base el mejor año fiscal 2021, y para evaluar la capacidad organizacional (rentabilidad sobre el patrimonio y rentabilidad sobre el activo) tenga como base el mejor año fiscal 2022. Lo anterior bajo el supuesto de estar en un mismo proceso. […]”</w:t>
      </w:r>
      <w:r w:rsidR="00E91AFD">
        <w:rPr>
          <w:rFonts w:ascii="Arial" w:hAnsi="Arial" w:cs="Arial"/>
          <w:sz w:val="21"/>
          <w:szCs w:val="21"/>
          <w:lang w:val="es-ES_tradnl"/>
        </w:rPr>
        <w:t xml:space="preserve"> (SIC)</w:t>
      </w:r>
    </w:p>
    <w:p w14:paraId="58FB61C6" w14:textId="77777777" w:rsidR="00AA3A92" w:rsidRDefault="00AA3A92" w:rsidP="00AA3A92">
      <w:pPr>
        <w:spacing w:after="0" w:line="240" w:lineRule="auto"/>
        <w:ind w:left="709" w:right="709"/>
        <w:jc w:val="both"/>
        <w:rPr>
          <w:rFonts w:ascii="Arial" w:hAnsi="Arial" w:cs="Arial"/>
          <w:sz w:val="21"/>
          <w:szCs w:val="21"/>
          <w:lang w:val="es-ES_tradnl"/>
        </w:rPr>
      </w:pPr>
    </w:p>
    <w:p w14:paraId="791C9676" w14:textId="4AC28842" w:rsidR="00685AED" w:rsidRPr="00AA3A92" w:rsidRDefault="00685AED" w:rsidP="00AA3A92">
      <w:pPr>
        <w:spacing w:after="120" w:line="276" w:lineRule="auto"/>
        <w:jc w:val="both"/>
        <w:rPr>
          <w:rFonts w:ascii="Arial" w:hAnsi="Arial" w:cs="Arial"/>
          <w:sz w:val="21"/>
          <w:szCs w:val="21"/>
          <w:lang w:val="es-ES_tradnl"/>
        </w:rPr>
      </w:pPr>
      <w:r w:rsidRPr="00B5687D">
        <w:rPr>
          <w:rFonts w:ascii="Arial" w:hAnsi="Arial" w:cs="Arial"/>
          <w:lang w:val="es-ES_tradnl"/>
        </w:rPr>
        <w:t xml:space="preserve">Conforme a lo </w:t>
      </w:r>
      <w:r w:rsidR="007A28C3" w:rsidRPr="00B5687D">
        <w:rPr>
          <w:rFonts w:ascii="Arial" w:hAnsi="Arial" w:cs="Arial"/>
          <w:lang w:val="es-ES_tradnl"/>
        </w:rPr>
        <w:t>indicado</w:t>
      </w:r>
      <w:r w:rsidRPr="00B5687D">
        <w:rPr>
          <w:rFonts w:ascii="Arial" w:hAnsi="Arial" w:cs="Arial"/>
          <w:lang w:val="es-ES_tradnl"/>
        </w:rPr>
        <w:t xml:space="preserve"> en el presente documento y para dar respuesta a la consulta </w:t>
      </w:r>
      <w:r w:rsidR="001A050E" w:rsidRPr="00503D73">
        <w:rPr>
          <w:rFonts w:ascii="Arial" w:hAnsi="Arial" w:cs="Arial"/>
          <w:lang w:val="es-ES_tradnl"/>
        </w:rPr>
        <w:t xml:space="preserve">elevada </w:t>
      </w:r>
      <w:r w:rsidRPr="00503D73">
        <w:rPr>
          <w:rFonts w:ascii="Arial" w:hAnsi="Arial" w:cs="Arial"/>
          <w:lang w:val="es-ES_tradnl"/>
        </w:rPr>
        <w:t>se hace necesario señalar que con ocasión a las modificaciones transitorias realizadas en los Decretos 399, 579 de 2021 y 1041 de 2022, tendientes a la reactivación económica con ocasión al impacto negativo causado por el COVID 19, se permite que el certificado del -RUP- reporte la información financiera y organizacional del proponente correspondiente a los últimos tres años o al período transcurrido desde su primer cierre fiscal, según el caso, y en tal sentido, al momento de evaluar tales indicadores las Entidades Estatales deberán tener en cuenta “</w:t>
      </w:r>
      <w:r w:rsidRPr="00503D73">
        <w:rPr>
          <w:rFonts w:ascii="Arial" w:hAnsi="Arial" w:cs="Arial"/>
          <w:i/>
          <w:iCs/>
          <w:lang w:val="es-ES_tradnl"/>
        </w:rPr>
        <w:t>el mejor año fiscal</w:t>
      </w:r>
      <w:r w:rsidRPr="00503D73">
        <w:rPr>
          <w:rFonts w:ascii="Arial" w:hAnsi="Arial" w:cs="Arial"/>
          <w:lang w:val="es-ES_tradnl"/>
        </w:rPr>
        <w:t>” que refleje el registro, interpretando esto como el año, que permita al proponente cumplir los requisitos habilitantes de capacidad financiera y organizacional establecido en el pliego de condiciones.</w:t>
      </w:r>
    </w:p>
    <w:p w14:paraId="05E1F006" w14:textId="76A65045" w:rsidR="00946A4B" w:rsidRPr="00503D73" w:rsidRDefault="00DF2195" w:rsidP="00DA1009">
      <w:pPr>
        <w:spacing w:after="120"/>
        <w:ind w:firstLine="708"/>
        <w:jc w:val="both"/>
        <w:rPr>
          <w:rFonts w:ascii="Arial" w:eastAsia="Calibri" w:hAnsi="Arial" w:cs="Arial"/>
          <w:lang w:val="es-ES_tradnl"/>
        </w:rPr>
      </w:pPr>
      <w:r w:rsidRPr="00503D73">
        <w:rPr>
          <w:rFonts w:ascii="Arial" w:hAnsi="Arial" w:cs="Arial"/>
          <w:lang w:val="es-ES_tradnl"/>
        </w:rPr>
        <w:t>Ahora bien</w:t>
      </w:r>
      <w:r w:rsidR="00DA1009" w:rsidRPr="00503D73">
        <w:rPr>
          <w:rFonts w:ascii="Arial" w:hAnsi="Arial" w:cs="Arial"/>
          <w:lang w:val="es-ES_tradnl"/>
        </w:rPr>
        <w:t xml:space="preserve">, </w:t>
      </w:r>
      <w:r w:rsidRPr="00503D73">
        <w:rPr>
          <w:rFonts w:ascii="Arial" w:eastAsia="Calibri" w:hAnsi="Arial" w:cs="Arial"/>
          <w:lang w:val="es-ES_tradnl"/>
        </w:rPr>
        <w:t>ha de precisarse que p</w:t>
      </w:r>
      <w:r w:rsidR="00946A4B" w:rsidRPr="00503D73">
        <w:rPr>
          <w:rFonts w:ascii="Arial" w:eastAsia="Calibri" w:hAnsi="Arial" w:cs="Arial"/>
          <w:lang w:val="es-ES_tradnl"/>
        </w:rPr>
        <w:t xml:space="preserve">or </w:t>
      </w:r>
      <w:r w:rsidRPr="00503D73">
        <w:rPr>
          <w:rFonts w:ascii="Arial" w:eastAsia="Calibri" w:hAnsi="Arial" w:cs="Arial"/>
          <w:lang w:val="es-ES_tradnl"/>
        </w:rPr>
        <w:t>“</w:t>
      </w:r>
      <w:r w:rsidR="00946A4B" w:rsidRPr="00503D73">
        <w:rPr>
          <w:rFonts w:ascii="Arial" w:eastAsia="Calibri" w:hAnsi="Arial" w:cs="Arial"/>
          <w:i/>
          <w:iCs/>
          <w:lang w:val="es-ES_tradnl"/>
        </w:rPr>
        <w:t>mejor año fiscal</w:t>
      </w:r>
      <w:r w:rsidRPr="00503D73">
        <w:rPr>
          <w:rFonts w:ascii="Arial" w:eastAsia="Calibri" w:hAnsi="Arial" w:cs="Arial"/>
          <w:lang w:val="es-ES_tradnl"/>
        </w:rPr>
        <w:t>”</w:t>
      </w:r>
      <w:r w:rsidR="00946A4B" w:rsidRPr="00503D73">
        <w:rPr>
          <w:rFonts w:ascii="Arial" w:eastAsia="Calibri" w:hAnsi="Arial" w:cs="Arial"/>
          <w:lang w:val="es-ES_tradnl"/>
        </w:rPr>
        <w:t xml:space="preserve"> </w:t>
      </w:r>
      <w:r w:rsidR="00D065B2" w:rsidRPr="00503D73">
        <w:rPr>
          <w:rFonts w:ascii="Arial" w:eastAsia="Calibri" w:hAnsi="Arial" w:cs="Arial"/>
          <w:lang w:val="es-ES_tradnl"/>
        </w:rPr>
        <w:t xml:space="preserve">debe </w:t>
      </w:r>
      <w:r w:rsidR="000129B1" w:rsidRPr="00503D73">
        <w:rPr>
          <w:rFonts w:ascii="Arial" w:eastAsia="Calibri" w:hAnsi="Arial" w:cs="Arial"/>
          <w:lang w:val="es-ES_tradnl"/>
        </w:rPr>
        <w:t xml:space="preserve">entenderse como </w:t>
      </w:r>
      <w:r w:rsidR="00946A4B" w:rsidRPr="00503D73">
        <w:rPr>
          <w:rFonts w:ascii="Arial" w:eastAsia="Calibri" w:hAnsi="Arial" w:cs="Arial"/>
          <w:lang w:val="es-ES_tradnl"/>
        </w:rPr>
        <w:t xml:space="preserve">la información relativa </w:t>
      </w:r>
      <w:r w:rsidR="00946A4B" w:rsidRPr="00503D73">
        <w:rPr>
          <w:rFonts w:ascii="Arial" w:eastAsia="Calibri" w:hAnsi="Arial" w:cs="Arial"/>
          <w:i/>
          <w:iCs/>
          <w:lang w:val="es-ES_tradnl"/>
        </w:rPr>
        <w:t>al año apreciada en su conjunto</w:t>
      </w:r>
      <w:r w:rsidR="00946A4B" w:rsidRPr="00503D73">
        <w:rPr>
          <w:rFonts w:ascii="Arial" w:eastAsia="Calibri" w:hAnsi="Arial" w:cs="Arial"/>
          <w:lang w:val="es-ES_tradnl"/>
        </w:rPr>
        <w:t xml:space="preserve">, </w:t>
      </w:r>
      <w:r w:rsidR="009F40A2" w:rsidRPr="00503D73">
        <w:rPr>
          <w:rFonts w:ascii="Arial" w:eastAsia="Calibri" w:hAnsi="Arial" w:cs="Arial"/>
          <w:lang w:val="es-ES_tradnl"/>
        </w:rPr>
        <w:t>es decir</w:t>
      </w:r>
      <w:r w:rsidR="00946A4B" w:rsidRPr="00503D73">
        <w:rPr>
          <w:rFonts w:ascii="Arial" w:eastAsia="Calibri" w:hAnsi="Arial" w:cs="Arial"/>
          <w:lang w:val="es-ES_tradnl"/>
        </w:rPr>
        <w:t>, de manera integral, que permit</w:t>
      </w:r>
      <w:r w:rsidR="007842EE" w:rsidRPr="00503D73">
        <w:rPr>
          <w:rFonts w:ascii="Arial" w:eastAsia="Calibri" w:hAnsi="Arial" w:cs="Arial"/>
          <w:lang w:val="es-ES_tradnl"/>
        </w:rPr>
        <w:t>e</w:t>
      </w:r>
      <w:r w:rsidR="00946A4B" w:rsidRPr="00503D73">
        <w:rPr>
          <w:rFonts w:ascii="Arial" w:eastAsia="Calibri" w:hAnsi="Arial" w:cs="Arial"/>
          <w:lang w:val="es-ES_tradnl"/>
        </w:rPr>
        <w:t xml:space="preserve"> al proponente cumplir los requisitos habilitantes de capacidad financiera y organizacional. Esto significa que </w:t>
      </w:r>
      <w:r w:rsidR="00A84337" w:rsidRPr="00503D73">
        <w:rPr>
          <w:rFonts w:ascii="Arial" w:eastAsia="Calibri" w:hAnsi="Arial" w:cs="Arial"/>
          <w:lang w:val="es-ES_tradnl"/>
        </w:rPr>
        <w:t>las Entidades</w:t>
      </w:r>
      <w:r w:rsidR="00946A4B" w:rsidRPr="00503D73">
        <w:rPr>
          <w:rFonts w:ascii="Arial" w:eastAsia="Calibri" w:hAnsi="Arial" w:cs="Arial"/>
          <w:lang w:val="es-ES_tradnl"/>
        </w:rPr>
        <w:t xml:space="preserve"> deben examinar los años certificados en el RUP y, para la evaluación, escoger el que refleje mejores indicadores de capacidad financiera y organizacional, que permita al proponente cumplir los requisitos habilitantes de capacidad financiera y organizacional.</w:t>
      </w:r>
    </w:p>
    <w:p w14:paraId="2C003F01" w14:textId="3D6E18D1" w:rsidR="00E70688" w:rsidRPr="00503D73" w:rsidRDefault="00964C75" w:rsidP="00946A4B">
      <w:pPr>
        <w:spacing w:before="120" w:line="276" w:lineRule="auto"/>
        <w:ind w:firstLine="709"/>
        <w:jc w:val="both"/>
        <w:rPr>
          <w:rFonts w:ascii="Arial" w:eastAsia="Calibri" w:hAnsi="Arial" w:cs="Arial"/>
          <w:lang w:val="es-ES_tradnl"/>
        </w:rPr>
      </w:pPr>
      <w:r w:rsidRPr="00503D73">
        <w:rPr>
          <w:rFonts w:ascii="Arial" w:eastAsia="Calibri" w:hAnsi="Arial" w:cs="Arial"/>
          <w:lang w:val="es-ES_tradnl"/>
        </w:rPr>
        <w:t>Así las cosas</w:t>
      </w:r>
      <w:r w:rsidR="00946A4B" w:rsidRPr="00503D73">
        <w:rPr>
          <w:rFonts w:ascii="Arial" w:eastAsia="Calibri" w:hAnsi="Arial" w:cs="Arial"/>
          <w:lang w:val="es-ES_tradnl"/>
        </w:rPr>
        <w:t xml:space="preserve">, </w:t>
      </w:r>
      <w:r w:rsidR="00A26F06" w:rsidRPr="00503D73">
        <w:rPr>
          <w:rFonts w:ascii="Arial" w:eastAsia="Calibri" w:hAnsi="Arial" w:cs="Arial"/>
          <w:lang w:val="es-ES_tradnl"/>
        </w:rPr>
        <w:t>de los</w:t>
      </w:r>
      <w:r w:rsidR="00946A4B" w:rsidRPr="00503D73">
        <w:rPr>
          <w:rFonts w:ascii="Arial" w:eastAsia="Calibri" w:hAnsi="Arial" w:cs="Arial"/>
          <w:lang w:val="es-ES_tradnl"/>
        </w:rPr>
        <w:t xml:space="preserve"> parágrafo</w:t>
      </w:r>
      <w:r w:rsidR="00A26F06" w:rsidRPr="00503D73">
        <w:rPr>
          <w:rFonts w:ascii="Arial" w:eastAsia="Calibri" w:hAnsi="Arial" w:cs="Arial"/>
          <w:lang w:val="es-ES_tradnl"/>
        </w:rPr>
        <w:t>s</w:t>
      </w:r>
      <w:r w:rsidR="00946A4B" w:rsidRPr="00503D73">
        <w:rPr>
          <w:rFonts w:ascii="Arial" w:eastAsia="Calibri" w:hAnsi="Arial" w:cs="Arial"/>
          <w:lang w:val="es-ES_tradnl"/>
        </w:rPr>
        <w:t xml:space="preserve"> transitorio</w:t>
      </w:r>
      <w:r w:rsidR="00A26F06" w:rsidRPr="00503D73">
        <w:rPr>
          <w:rFonts w:ascii="Arial" w:eastAsia="Calibri" w:hAnsi="Arial" w:cs="Arial"/>
          <w:lang w:val="es-ES_tradnl"/>
        </w:rPr>
        <w:t>s</w:t>
      </w:r>
      <w:r w:rsidR="00946A4B" w:rsidRPr="00503D73">
        <w:rPr>
          <w:rFonts w:ascii="Arial" w:eastAsia="Calibri" w:hAnsi="Arial" w:cs="Arial"/>
          <w:lang w:val="es-ES_tradnl"/>
        </w:rPr>
        <w:t>, agregado</w:t>
      </w:r>
      <w:r w:rsidR="00A26F06" w:rsidRPr="00503D73">
        <w:rPr>
          <w:rFonts w:ascii="Arial" w:eastAsia="Calibri" w:hAnsi="Arial" w:cs="Arial"/>
          <w:lang w:val="es-ES_tradnl"/>
        </w:rPr>
        <w:t>s</w:t>
      </w:r>
      <w:r w:rsidR="00946A4B" w:rsidRPr="00503D73">
        <w:rPr>
          <w:rFonts w:ascii="Arial" w:eastAsia="Calibri" w:hAnsi="Arial" w:cs="Arial"/>
          <w:lang w:val="es-ES_tradnl"/>
        </w:rPr>
        <w:t xml:space="preserve"> a</w:t>
      </w:r>
      <w:r w:rsidR="00DF06D5" w:rsidRPr="00503D73">
        <w:rPr>
          <w:rFonts w:ascii="Arial" w:eastAsia="Calibri" w:hAnsi="Arial" w:cs="Arial"/>
          <w:lang w:val="es-ES_tradnl"/>
        </w:rPr>
        <w:t xml:space="preserve"> los</w:t>
      </w:r>
      <w:r w:rsidR="00946A4B" w:rsidRPr="00503D73">
        <w:rPr>
          <w:rFonts w:ascii="Arial" w:eastAsia="Calibri" w:hAnsi="Arial" w:cs="Arial"/>
          <w:lang w:val="es-ES_tradnl"/>
        </w:rPr>
        <w:t xml:space="preserve"> artículo</w:t>
      </w:r>
      <w:r w:rsidR="00DF06D5" w:rsidRPr="00503D73">
        <w:rPr>
          <w:rFonts w:ascii="Arial" w:eastAsia="Calibri" w:hAnsi="Arial" w:cs="Arial"/>
          <w:lang w:val="es-ES_tradnl"/>
        </w:rPr>
        <w:t>s</w:t>
      </w:r>
      <w:r w:rsidR="00946A4B" w:rsidRPr="00503D73">
        <w:rPr>
          <w:rFonts w:ascii="Arial" w:eastAsia="Calibri" w:hAnsi="Arial" w:cs="Arial"/>
          <w:lang w:val="es-ES_tradnl"/>
        </w:rPr>
        <w:t xml:space="preserve"> 2.2.1.1.1.6.2.</w:t>
      </w:r>
      <w:r w:rsidR="00DF06D5" w:rsidRPr="00503D73">
        <w:rPr>
          <w:rFonts w:ascii="Arial" w:eastAsia="Calibri" w:hAnsi="Arial" w:cs="Arial"/>
          <w:lang w:val="es-ES_tradnl"/>
        </w:rPr>
        <w:t xml:space="preserve"> y</w:t>
      </w:r>
      <w:r w:rsidR="00DF06D5" w:rsidRPr="00503D73">
        <w:rPr>
          <w:rFonts w:ascii="Arial" w:hAnsi="Arial" w:cs="Arial"/>
          <w:shd w:val="clear" w:color="auto" w:fill="FFFFFF"/>
        </w:rPr>
        <w:t>2.2.1.1.1.5.2.</w:t>
      </w:r>
      <w:r w:rsidR="00AD2873" w:rsidRPr="00503D73">
        <w:rPr>
          <w:rFonts w:ascii="Arial" w:hAnsi="Arial" w:cs="Arial"/>
          <w:shd w:val="clear" w:color="auto" w:fill="FFFFFF"/>
        </w:rPr>
        <w:t xml:space="preserve"> </w:t>
      </w:r>
      <w:r w:rsidR="00946A4B" w:rsidRPr="00503D73">
        <w:rPr>
          <w:rFonts w:ascii="Arial" w:eastAsia="Calibri" w:hAnsi="Arial" w:cs="Arial"/>
          <w:lang w:val="es-ES_tradnl"/>
        </w:rPr>
        <w:t xml:space="preserve">del Decreto 1082 de 2015 </w:t>
      </w:r>
      <w:r w:rsidR="004B2338" w:rsidRPr="00503D73">
        <w:rPr>
          <w:rFonts w:ascii="Arial" w:eastAsia="Calibri" w:hAnsi="Arial" w:cs="Arial"/>
          <w:lang w:val="es-ES_tradnl"/>
        </w:rPr>
        <w:t>mediante</w:t>
      </w:r>
      <w:r w:rsidR="00946A4B" w:rsidRPr="00503D73">
        <w:rPr>
          <w:rFonts w:ascii="Arial" w:eastAsia="Calibri" w:hAnsi="Arial" w:cs="Arial"/>
          <w:lang w:val="es-ES_tradnl"/>
        </w:rPr>
        <w:t xml:space="preserve"> el artículo 6 del Decreto 399 de 2021</w:t>
      </w:r>
      <w:r w:rsidR="00DF06D5" w:rsidRPr="00503D73">
        <w:rPr>
          <w:rFonts w:ascii="Arial" w:eastAsia="Calibri" w:hAnsi="Arial" w:cs="Arial"/>
          <w:lang w:val="es-ES_tradnl"/>
        </w:rPr>
        <w:t xml:space="preserve">, </w:t>
      </w:r>
      <w:r w:rsidR="00946A4B" w:rsidRPr="00503D73">
        <w:rPr>
          <w:rFonts w:ascii="Arial" w:eastAsia="Calibri" w:hAnsi="Arial" w:cs="Arial"/>
          <w:lang w:val="es-ES_tradnl"/>
        </w:rPr>
        <w:t>sustituido por el artículo 3 del Decreto 579 de 2021</w:t>
      </w:r>
      <w:r w:rsidR="00D03460" w:rsidRPr="00503D73">
        <w:rPr>
          <w:rFonts w:ascii="Arial" w:eastAsia="Calibri" w:hAnsi="Arial" w:cs="Arial"/>
          <w:lang w:val="es-ES_tradnl"/>
        </w:rPr>
        <w:t xml:space="preserve"> </w:t>
      </w:r>
      <w:r w:rsidR="00DF06D5" w:rsidRPr="00503D73">
        <w:rPr>
          <w:rFonts w:ascii="Arial" w:eastAsia="Calibri" w:hAnsi="Arial" w:cs="Arial"/>
          <w:lang w:val="es-ES_tradnl"/>
        </w:rPr>
        <w:t xml:space="preserve">y </w:t>
      </w:r>
      <w:r w:rsidR="004B2338" w:rsidRPr="00503D73">
        <w:rPr>
          <w:rFonts w:ascii="Arial" w:eastAsia="Calibri" w:hAnsi="Arial" w:cs="Arial"/>
          <w:lang w:val="es-ES_tradnl"/>
        </w:rPr>
        <w:t>los artículos 1 y 2 d</w:t>
      </w:r>
      <w:r w:rsidR="00DF06D5" w:rsidRPr="00503D73">
        <w:rPr>
          <w:rFonts w:ascii="Arial" w:eastAsia="Calibri" w:hAnsi="Arial" w:cs="Arial"/>
          <w:lang w:val="es-ES_tradnl"/>
        </w:rPr>
        <w:t>el Decreto 1041 del 2022</w:t>
      </w:r>
      <w:r w:rsidR="00946A4B" w:rsidRPr="00503D73">
        <w:rPr>
          <w:rFonts w:ascii="Arial" w:eastAsia="Calibri" w:hAnsi="Arial" w:cs="Arial"/>
          <w:lang w:val="es-ES_tradnl"/>
        </w:rPr>
        <w:t xml:space="preserve">, </w:t>
      </w:r>
      <w:r w:rsidR="00D23C73" w:rsidRPr="00503D73">
        <w:rPr>
          <w:rFonts w:ascii="Arial" w:eastAsia="Calibri" w:hAnsi="Arial" w:cs="Arial"/>
          <w:lang w:val="es-ES_tradnl"/>
        </w:rPr>
        <w:t xml:space="preserve">se requiere </w:t>
      </w:r>
      <w:r w:rsidR="00946A4B" w:rsidRPr="00503D73">
        <w:rPr>
          <w:rFonts w:ascii="Arial" w:eastAsia="Calibri" w:hAnsi="Arial" w:cs="Arial"/>
          <w:lang w:val="es-ES_tradnl"/>
        </w:rPr>
        <w:t xml:space="preserve">que las </w:t>
      </w:r>
      <w:r w:rsidR="00D23C73" w:rsidRPr="00503D73">
        <w:rPr>
          <w:rFonts w:ascii="Arial" w:eastAsia="Calibri" w:hAnsi="Arial" w:cs="Arial"/>
          <w:lang w:val="es-ES_tradnl"/>
        </w:rPr>
        <w:t>E</w:t>
      </w:r>
      <w:r w:rsidR="00946A4B" w:rsidRPr="00503D73">
        <w:rPr>
          <w:rFonts w:ascii="Arial" w:eastAsia="Calibri" w:hAnsi="Arial" w:cs="Arial"/>
          <w:lang w:val="es-ES_tradnl"/>
        </w:rPr>
        <w:t xml:space="preserve">ntidades </w:t>
      </w:r>
      <w:r w:rsidR="00D23C73" w:rsidRPr="00503D73">
        <w:rPr>
          <w:rFonts w:ascii="Arial" w:eastAsia="Calibri" w:hAnsi="Arial" w:cs="Arial"/>
          <w:lang w:val="es-ES_tradnl"/>
        </w:rPr>
        <w:t>E</w:t>
      </w:r>
      <w:r w:rsidR="00946A4B" w:rsidRPr="00503D73">
        <w:rPr>
          <w:rFonts w:ascii="Arial" w:eastAsia="Calibri" w:hAnsi="Arial" w:cs="Arial"/>
          <w:lang w:val="es-ES_tradnl"/>
        </w:rPr>
        <w:t>statales tengan en cuenta el mejor año</w:t>
      </w:r>
      <w:r w:rsidR="00B12ADA" w:rsidRPr="00503D73">
        <w:rPr>
          <w:rFonts w:ascii="Arial" w:eastAsia="Calibri" w:hAnsi="Arial" w:cs="Arial"/>
          <w:lang w:val="es-ES_tradnl"/>
        </w:rPr>
        <w:t xml:space="preserve"> </w:t>
      </w:r>
      <w:r w:rsidR="00946A4B" w:rsidRPr="00503D73">
        <w:rPr>
          <w:rFonts w:ascii="Arial" w:eastAsia="Calibri" w:hAnsi="Arial" w:cs="Arial"/>
          <w:lang w:val="es-ES_tradnl"/>
        </w:rPr>
        <w:t xml:space="preserve">por cada indicador. </w:t>
      </w:r>
      <w:r w:rsidR="007E6569">
        <w:rPr>
          <w:rFonts w:ascii="Arial" w:eastAsia="Calibri" w:hAnsi="Arial" w:cs="Arial"/>
          <w:lang w:val="es-ES_tradnl"/>
        </w:rPr>
        <w:t>En ese orden de ideas</w:t>
      </w:r>
      <w:r w:rsidR="00946A4B" w:rsidRPr="00503D73">
        <w:rPr>
          <w:rFonts w:ascii="Arial" w:eastAsia="Calibri" w:hAnsi="Arial" w:cs="Arial"/>
          <w:lang w:val="es-ES_tradnl"/>
        </w:rPr>
        <w:t xml:space="preserve">, por </w:t>
      </w:r>
      <w:r w:rsidR="00323AF9" w:rsidRPr="00503D73">
        <w:rPr>
          <w:rFonts w:ascii="Arial" w:eastAsia="Calibri" w:hAnsi="Arial" w:cs="Arial"/>
          <w:lang w:val="es-ES_tradnl"/>
        </w:rPr>
        <w:t>“</w:t>
      </w:r>
      <w:r w:rsidR="00946A4B" w:rsidRPr="007E6569">
        <w:rPr>
          <w:rFonts w:ascii="Arial" w:eastAsia="Calibri" w:hAnsi="Arial" w:cs="Arial"/>
          <w:i/>
          <w:iCs/>
          <w:lang w:val="es-ES_tradnl"/>
        </w:rPr>
        <w:t>mejor año</w:t>
      </w:r>
      <w:r w:rsidR="007E6569">
        <w:rPr>
          <w:rFonts w:ascii="Arial" w:eastAsia="Calibri" w:hAnsi="Arial" w:cs="Arial"/>
          <w:lang w:val="es-ES_tradnl"/>
        </w:rPr>
        <w:t xml:space="preserve"> </w:t>
      </w:r>
      <w:r w:rsidR="007E6569" w:rsidRPr="005620B9">
        <w:rPr>
          <w:rFonts w:ascii="Arial" w:eastAsia="Calibri" w:hAnsi="Arial" w:cs="Arial"/>
          <w:i/>
          <w:iCs/>
          <w:lang w:val="es-ES_tradnl"/>
        </w:rPr>
        <w:t>fiscal</w:t>
      </w:r>
      <w:r w:rsidR="00323AF9" w:rsidRPr="00503D73">
        <w:rPr>
          <w:rFonts w:ascii="Arial" w:eastAsia="Calibri" w:hAnsi="Arial" w:cs="Arial"/>
          <w:lang w:val="es-ES_tradnl"/>
        </w:rPr>
        <w:t>”</w:t>
      </w:r>
      <w:r w:rsidR="00946A4B" w:rsidRPr="00503D73">
        <w:rPr>
          <w:rFonts w:ascii="Arial" w:eastAsia="Calibri" w:hAnsi="Arial" w:cs="Arial"/>
          <w:lang w:val="es-ES_tradnl"/>
        </w:rPr>
        <w:t xml:space="preserve"> debe </w:t>
      </w:r>
      <w:r w:rsidR="00841B86">
        <w:rPr>
          <w:rFonts w:ascii="Arial" w:eastAsia="Calibri" w:hAnsi="Arial" w:cs="Arial"/>
          <w:lang w:val="es-ES_tradnl"/>
        </w:rPr>
        <w:t>tomarse</w:t>
      </w:r>
      <w:r w:rsidR="00946A4B" w:rsidRPr="00503D73">
        <w:rPr>
          <w:rFonts w:ascii="Arial" w:eastAsia="Calibri" w:hAnsi="Arial" w:cs="Arial"/>
          <w:lang w:val="es-ES_tradnl"/>
        </w:rPr>
        <w:t xml:space="preserve"> aquel en el que, analizados conjuntamente </w:t>
      </w:r>
      <w:r w:rsidR="00946A4B" w:rsidRPr="00262D79">
        <w:rPr>
          <w:rFonts w:ascii="Arial" w:eastAsia="Calibri" w:hAnsi="Arial" w:cs="Arial"/>
          <w:i/>
          <w:iCs/>
          <w:lang w:val="es-ES_tradnl"/>
        </w:rPr>
        <w:t>todos los indicadores</w:t>
      </w:r>
      <w:r w:rsidR="00946A4B" w:rsidRPr="00503D73">
        <w:rPr>
          <w:rFonts w:ascii="Arial" w:eastAsia="Calibri" w:hAnsi="Arial" w:cs="Arial"/>
          <w:lang w:val="es-ES_tradnl"/>
        </w:rPr>
        <w:t xml:space="preserve"> de capacidad financiera y organizacional, el proponente podría cumplir con dichos requisitos habilitantes</w:t>
      </w:r>
      <w:r w:rsidR="0062127D" w:rsidRPr="00503D73">
        <w:rPr>
          <w:rFonts w:ascii="Arial" w:eastAsia="Calibri" w:hAnsi="Arial" w:cs="Arial"/>
          <w:lang w:val="es-ES_tradnl"/>
        </w:rPr>
        <w:t xml:space="preserve">, esto quiere decir, que no resulta </w:t>
      </w:r>
      <w:r w:rsidR="002A11E0" w:rsidRPr="00503D73">
        <w:rPr>
          <w:rFonts w:ascii="Arial" w:eastAsia="Calibri" w:hAnsi="Arial" w:cs="Arial"/>
          <w:lang w:val="es-ES_tradnl"/>
        </w:rPr>
        <w:t>factible</w:t>
      </w:r>
      <w:r w:rsidR="0062127D" w:rsidRPr="00503D73">
        <w:rPr>
          <w:rFonts w:ascii="Arial" w:eastAsia="Calibri" w:hAnsi="Arial" w:cs="Arial"/>
          <w:lang w:val="es-ES_tradnl"/>
        </w:rPr>
        <w:t xml:space="preserve"> que la Entidad </w:t>
      </w:r>
      <w:r w:rsidR="0095669E">
        <w:rPr>
          <w:rFonts w:ascii="Arial" w:eastAsia="Calibri" w:hAnsi="Arial" w:cs="Arial"/>
          <w:lang w:val="es-ES_tradnl"/>
        </w:rPr>
        <w:t xml:space="preserve">contratante </w:t>
      </w:r>
      <w:r w:rsidR="0062127D" w:rsidRPr="00503D73">
        <w:rPr>
          <w:rFonts w:ascii="Arial" w:eastAsia="Calibri" w:hAnsi="Arial" w:cs="Arial"/>
          <w:lang w:val="es-ES_tradnl"/>
        </w:rPr>
        <w:t xml:space="preserve">al momento de realizar la evaluación </w:t>
      </w:r>
      <w:r w:rsidR="00FB273D">
        <w:rPr>
          <w:rFonts w:ascii="Arial" w:eastAsia="Calibri" w:hAnsi="Arial" w:cs="Arial"/>
          <w:lang w:val="es-ES_tradnl"/>
        </w:rPr>
        <w:t>determine</w:t>
      </w:r>
      <w:r w:rsidR="0062127D" w:rsidRPr="00503D73">
        <w:rPr>
          <w:rFonts w:ascii="Arial" w:eastAsia="Calibri" w:hAnsi="Arial" w:cs="Arial"/>
          <w:lang w:val="es-ES_tradnl"/>
        </w:rPr>
        <w:t xml:space="preserve"> como “</w:t>
      </w:r>
      <w:r w:rsidR="0062127D" w:rsidRPr="00B35C6B">
        <w:rPr>
          <w:rFonts w:ascii="Arial" w:eastAsia="Calibri" w:hAnsi="Arial" w:cs="Arial"/>
          <w:i/>
          <w:iCs/>
          <w:lang w:val="es-ES_tradnl"/>
        </w:rPr>
        <w:t>mejor año</w:t>
      </w:r>
      <w:r w:rsidR="00B35C6B" w:rsidRPr="00B35C6B">
        <w:rPr>
          <w:rFonts w:ascii="Arial" w:eastAsia="Calibri" w:hAnsi="Arial" w:cs="Arial"/>
          <w:i/>
          <w:iCs/>
          <w:lang w:val="es-ES_tradnl"/>
        </w:rPr>
        <w:t xml:space="preserve"> fiscal</w:t>
      </w:r>
      <w:r w:rsidR="0062127D" w:rsidRPr="00503D73">
        <w:rPr>
          <w:rFonts w:ascii="Arial" w:eastAsia="Calibri" w:hAnsi="Arial" w:cs="Arial"/>
          <w:lang w:val="es-ES_tradnl"/>
        </w:rPr>
        <w:t>” los indi</w:t>
      </w:r>
      <w:r w:rsidR="00503D73" w:rsidRPr="00503D73">
        <w:rPr>
          <w:rFonts w:ascii="Arial" w:eastAsia="Calibri" w:hAnsi="Arial" w:cs="Arial"/>
          <w:lang w:val="es-ES_tradnl"/>
        </w:rPr>
        <w:t>cadores de diferentes año</w:t>
      </w:r>
      <w:r w:rsidR="00491993">
        <w:rPr>
          <w:rFonts w:ascii="Arial" w:eastAsia="Calibri" w:hAnsi="Arial" w:cs="Arial"/>
          <w:lang w:val="es-ES_tradnl"/>
        </w:rPr>
        <w:t>s</w:t>
      </w:r>
      <w:r w:rsidR="00E70688">
        <w:rPr>
          <w:rFonts w:ascii="Arial" w:eastAsia="Calibri" w:hAnsi="Arial" w:cs="Arial"/>
          <w:lang w:val="es-ES_tradnl"/>
        </w:rPr>
        <w:t>, para tal efecto</w:t>
      </w:r>
      <w:r w:rsidR="00A5128B">
        <w:rPr>
          <w:rFonts w:ascii="Arial" w:eastAsia="Calibri" w:hAnsi="Arial" w:cs="Arial"/>
          <w:lang w:val="es-ES_tradnl"/>
        </w:rPr>
        <w:t xml:space="preserve">, </w:t>
      </w:r>
      <w:r w:rsidR="00E70688">
        <w:rPr>
          <w:rFonts w:ascii="Arial" w:eastAsia="Calibri" w:hAnsi="Arial" w:cs="Arial"/>
          <w:lang w:val="es-ES_tradnl"/>
        </w:rPr>
        <w:t xml:space="preserve">debe </w:t>
      </w:r>
      <w:r w:rsidR="00AE33E3">
        <w:rPr>
          <w:rFonts w:ascii="Arial" w:eastAsia="Calibri" w:hAnsi="Arial" w:cs="Arial"/>
          <w:lang w:val="es-ES_tradnl"/>
        </w:rPr>
        <w:t xml:space="preserve">elegir aquel año que en su conjunto refleje los </w:t>
      </w:r>
      <w:r w:rsidR="00E70688" w:rsidRPr="00503D73">
        <w:rPr>
          <w:rFonts w:ascii="Arial" w:eastAsia="Calibri" w:hAnsi="Arial" w:cs="Arial"/>
          <w:lang w:val="es-ES_tradnl"/>
        </w:rPr>
        <w:t>mejores indicadores de capacidad financiera y organizacional</w:t>
      </w:r>
      <w:r w:rsidR="00AE33E3">
        <w:rPr>
          <w:rFonts w:ascii="Arial" w:eastAsia="Calibri" w:hAnsi="Arial" w:cs="Arial"/>
          <w:lang w:val="es-ES_tradnl"/>
        </w:rPr>
        <w:t>.</w:t>
      </w:r>
    </w:p>
    <w:p w14:paraId="58B21E66" w14:textId="45006184" w:rsidR="00801DBA" w:rsidRPr="00503D73" w:rsidRDefault="0094704D" w:rsidP="00AD290C">
      <w:pPr>
        <w:spacing w:before="120" w:line="276" w:lineRule="auto"/>
        <w:ind w:firstLine="709"/>
        <w:jc w:val="both"/>
        <w:rPr>
          <w:rFonts w:ascii="Arial" w:eastAsia="Calibri" w:hAnsi="Arial" w:cs="Arial"/>
          <w:lang w:val="es-ES_tradnl"/>
        </w:rPr>
      </w:pPr>
      <w:r w:rsidRPr="00503D73">
        <w:rPr>
          <w:rFonts w:ascii="Arial" w:eastAsia="Calibri" w:hAnsi="Arial" w:cs="Arial"/>
          <w:lang w:val="es-ES_tradnl"/>
        </w:rPr>
        <w:t>Finalmente, e</w:t>
      </w:r>
      <w:r w:rsidR="00946A4B" w:rsidRPr="00503D73">
        <w:rPr>
          <w:rFonts w:ascii="Arial" w:eastAsia="Calibri" w:hAnsi="Arial" w:cs="Arial"/>
          <w:lang w:val="es-ES_tradnl"/>
        </w:rPr>
        <w:t xml:space="preserve">l hecho que la </w:t>
      </w:r>
      <w:r w:rsidR="008F2D2F" w:rsidRPr="00503D73">
        <w:rPr>
          <w:rFonts w:ascii="Arial" w:eastAsia="Calibri" w:hAnsi="Arial" w:cs="Arial"/>
          <w:lang w:val="es-ES_tradnl"/>
        </w:rPr>
        <w:t>E</w:t>
      </w:r>
      <w:r w:rsidR="00946A4B" w:rsidRPr="00503D73">
        <w:rPr>
          <w:rFonts w:ascii="Arial" w:eastAsia="Calibri" w:hAnsi="Arial" w:cs="Arial"/>
          <w:lang w:val="es-ES_tradnl"/>
        </w:rPr>
        <w:t xml:space="preserve">ntidad </w:t>
      </w:r>
      <w:r w:rsidR="008F2D2F" w:rsidRPr="00503D73">
        <w:rPr>
          <w:rFonts w:ascii="Arial" w:eastAsia="Calibri" w:hAnsi="Arial" w:cs="Arial"/>
          <w:lang w:val="es-ES_tradnl"/>
        </w:rPr>
        <w:t>E</w:t>
      </w:r>
      <w:r w:rsidR="00946A4B" w:rsidRPr="00503D73">
        <w:rPr>
          <w:rFonts w:ascii="Arial" w:eastAsia="Calibri" w:hAnsi="Arial" w:cs="Arial"/>
          <w:lang w:val="es-ES_tradnl"/>
        </w:rPr>
        <w:t xml:space="preserve">statal deba evaluar los indicadores de capacidad financiera y organizacional teniendo en cuenta el </w:t>
      </w:r>
      <w:r w:rsidR="008F2D2F" w:rsidRPr="00503D73">
        <w:rPr>
          <w:rFonts w:ascii="Arial" w:eastAsia="Calibri" w:hAnsi="Arial" w:cs="Arial"/>
          <w:lang w:val="es-ES_tradnl"/>
        </w:rPr>
        <w:t>“</w:t>
      </w:r>
      <w:r w:rsidR="00946A4B" w:rsidRPr="00503D73">
        <w:rPr>
          <w:rFonts w:ascii="Arial" w:eastAsia="Calibri" w:hAnsi="Arial" w:cs="Arial"/>
          <w:lang w:val="es-ES_tradnl"/>
        </w:rPr>
        <w:t>mejor año fiscal</w:t>
      </w:r>
      <w:r w:rsidR="008F2D2F" w:rsidRPr="00503D73">
        <w:rPr>
          <w:rFonts w:ascii="Arial" w:eastAsia="Calibri" w:hAnsi="Arial" w:cs="Arial"/>
          <w:lang w:val="es-ES_tradnl"/>
        </w:rPr>
        <w:t>”</w:t>
      </w:r>
      <w:r w:rsidR="00946A4B" w:rsidRPr="00503D73">
        <w:rPr>
          <w:rFonts w:ascii="Arial" w:eastAsia="Calibri" w:hAnsi="Arial" w:cs="Arial"/>
          <w:lang w:val="es-ES_tradnl"/>
        </w:rPr>
        <w:t xml:space="preserve">, no significa que el proponente siempre cumplirá tales requisitos habilitantes, pues, precisamente, ese es el análisis que deberá hacer la </w:t>
      </w:r>
      <w:r w:rsidR="008F2D2F" w:rsidRPr="00503D73">
        <w:rPr>
          <w:rFonts w:ascii="Arial" w:eastAsia="Calibri" w:hAnsi="Arial" w:cs="Arial"/>
          <w:lang w:val="es-ES_tradnl"/>
        </w:rPr>
        <w:t>E</w:t>
      </w:r>
      <w:r w:rsidR="00946A4B" w:rsidRPr="00503D73">
        <w:rPr>
          <w:rFonts w:ascii="Arial" w:eastAsia="Calibri" w:hAnsi="Arial" w:cs="Arial"/>
          <w:lang w:val="es-ES_tradnl"/>
        </w:rPr>
        <w:t xml:space="preserve">ntidad pública con la información disponible en el RUP. </w:t>
      </w:r>
      <w:r w:rsidR="00946A4B" w:rsidRPr="00503D73">
        <w:rPr>
          <w:rFonts w:ascii="Arial" w:eastAsia="Calibri" w:hAnsi="Arial" w:cs="Arial"/>
          <w:lang w:val="es-ES_tradnl"/>
        </w:rPr>
        <w:lastRenderedPageBreak/>
        <w:t xml:space="preserve">En ese sentido, la evaluación conforme </w:t>
      </w:r>
      <w:r w:rsidRPr="00503D73">
        <w:rPr>
          <w:rFonts w:ascii="Arial" w:eastAsia="Calibri" w:hAnsi="Arial" w:cs="Arial"/>
          <w:lang w:val="es-ES_tradnl"/>
        </w:rPr>
        <w:t>“</w:t>
      </w:r>
      <w:r w:rsidR="00946A4B" w:rsidRPr="004D1ECB">
        <w:rPr>
          <w:rFonts w:ascii="Arial" w:eastAsia="Calibri" w:hAnsi="Arial" w:cs="Arial"/>
          <w:i/>
          <w:iCs/>
          <w:lang w:val="es-ES_tradnl"/>
        </w:rPr>
        <w:t>mejor año fiscal</w:t>
      </w:r>
      <w:r w:rsidRPr="00503D73">
        <w:rPr>
          <w:rFonts w:ascii="Arial" w:eastAsia="Calibri" w:hAnsi="Arial" w:cs="Arial"/>
          <w:lang w:val="es-ES_tradnl"/>
        </w:rPr>
        <w:t>”</w:t>
      </w:r>
      <w:r w:rsidR="00946A4B" w:rsidRPr="00503D73">
        <w:rPr>
          <w:rFonts w:ascii="Arial" w:eastAsia="Calibri" w:hAnsi="Arial" w:cs="Arial"/>
          <w:lang w:val="es-ES_tradnl"/>
        </w:rPr>
        <w:t xml:space="preserve"> no supone el cumplimiento de los requisitos habilitantes establecidos en el pliego de condiciones, ya que puede ocurrir que ni incluso con los indicadores de dicho año el proponente no alcance a cumplir los indicadores establecidos por la </w:t>
      </w:r>
      <w:r w:rsidR="006E7E74" w:rsidRPr="00503D73">
        <w:rPr>
          <w:rFonts w:ascii="Arial" w:eastAsia="Calibri" w:hAnsi="Arial" w:cs="Arial"/>
          <w:lang w:val="es-ES_tradnl"/>
        </w:rPr>
        <w:t>E</w:t>
      </w:r>
      <w:r w:rsidR="00946A4B" w:rsidRPr="00503D73">
        <w:rPr>
          <w:rFonts w:ascii="Arial" w:eastAsia="Calibri" w:hAnsi="Arial" w:cs="Arial"/>
          <w:lang w:val="es-ES_tradnl"/>
        </w:rPr>
        <w:t xml:space="preserve">ntidad para el respectivo proceso. </w:t>
      </w:r>
    </w:p>
    <w:p w14:paraId="00F14513" w14:textId="77777777" w:rsidR="00CC0136" w:rsidRPr="00503D73" w:rsidRDefault="00CC0136" w:rsidP="00CC0136">
      <w:pPr>
        <w:spacing w:line="276" w:lineRule="auto"/>
        <w:jc w:val="both"/>
        <w:rPr>
          <w:rFonts w:ascii="Arial" w:hAnsi="Arial" w:cs="Arial"/>
        </w:rPr>
      </w:pPr>
      <w:r w:rsidRPr="00503D73">
        <w:rPr>
          <w:rFonts w:ascii="Arial" w:hAnsi="Arial"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2F3AB04" w14:textId="77777777" w:rsidR="00CC0136" w:rsidRPr="00503D73" w:rsidRDefault="00CC0136" w:rsidP="00CC0136">
      <w:pPr>
        <w:spacing w:before="120" w:after="0" w:line="276" w:lineRule="auto"/>
        <w:jc w:val="both"/>
        <w:rPr>
          <w:rFonts w:ascii="Arial" w:eastAsia="Times New Roman" w:hAnsi="Arial" w:cs="Arial"/>
          <w:szCs w:val="24"/>
          <w:lang w:eastAsia="es-ES_tradnl"/>
        </w:rPr>
      </w:pPr>
      <w:r w:rsidRPr="00503D73">
        <w:rPr>
          <w:rFonts w:ascii="Arial" w:hAnsi="Arial" w:cs="Arial"/>
          <w:lang w:val="es-ES_tradnl"/>
        </w:rPr>
        <w:t>Atentamente,</w:t>
      </w:r>
    </w:p>
    <w:p w14:paraId="4F5B2BDE" w14:textId="2AE54047" w:rsidR="00F3785E" w:rsidRPr="00503D73" w:rsidRDefault="00824E8B" w:rsidP="00F3785E">
      <w:pPr>
        <w:spacing w:before="240" w:after="0" w:line="276" w:lineRule="auto"/>
        <w:jc w:val="center"/>
        <w:rPr>
          <w:rFonts w:ascii="Arial" w:eastAsia="Times New Roman" w:hAnsi="Arial" w:cs="Arial"/>
          <w:lang w:val="es-ES" w:eastAsia="es-CO"/>
        </w:rPr>
      </w:pPr>
      <w:bookmarkStart w:id="4" w:name="_Hlk115432332"/>
      <w:r>
        <w:rPr>
          <w:rFonts w:ascii="Arial" w:hAnsi="Arial" w:cs="Arial"/>
          <w:noProof/>
          <w:lang w:val="es-ES_tradnl"/>
        </w:rPr>
        <w:drawing>
          <wp:inline distT="0" distB="0" distL="0" distR="0" wp14:anchorId="37DF9B64" wp14:editId="18591CA1">
            <wp:extent cx="3155950" cy="1212850"/>
            <wp:effectExtent l="0" t="0" r="6350" b="6350"/>
            <wp:docPr id="535979248"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5950" cy="1212850"/>
                    </a:xfrm>
                    <a:prstGeom prst="rect">
                      <a:avLst/>
                    </a:prstGeom>
                    <a:noFill/>
                    <a:ln>
                      <a:noFill/>
                    </a:ln>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5284"/>
      </w:tblGrid>
      <w:tr w:rsidR="00503D73" w:rsidRPr="00503D73" w14:paraId="05E8538B" w14:textId="77777777" w:rsidTr="00381D0D">
        <w:trPr>
          <w:trHeight w:val="315"/>
        </w:trPr>
        <w:tc>
          <w:tcPr>
            <w:tcW w:w="812" w:type="dxa"/>
            <w:vAlign w:val="center"/>
            <w:hideMark/>
          </w:tcPr>
          <w:p w14:paraId="77AEBC49" w14:textId="77777777" w:rsidR="00F3785E" w:rsidRPr="00503D73" w:rsidRDefault="00F3785E" w:rsidP="00381D0D">
            <w:pPr>
              <w:rPr>
                <w:rFonts w:ascii="Arial" w:eastAsia="Times New Roman" w:hAnsi="Arial" w:cs="Arial"/>
                <w:sz w:val="14"/>
                <w:szCs w:val="14"/>
                <w:lang w:val="es-ES" w:eastAsia="es-ES"/>
              </w:rPr>
            </w:pPr>
            <w:r w:rsidRPr="00503D73">
              <w:rPr>
                <w:rFonts w:ascii="Arial" w:eastAsia="Times New Roman" w:hAnsi="Arial" w:cs="Arial"/>
                <w:sz w:val="14"/>
                <w:szCs w:val="14"/>
                <w:lang w:val="es-ES" w:eastAsia="es-ES"/>
              </w:rPr>
              <w:t>Elaboró:</w:t>
            </w:r>
          </w:p>
        </w:tc>
        <w:tc>
          <w:tcPr>
            <w:tcW w:w="5284" w:type="dxa"/>
            <w:tcBorders>
              <w:top w:val="nil"/>
              <w:left w:val="nil"/>
              <w:bottom w:val="dotted" w:sz="4" w:space="0" w:color="7F7F7F" w:themeColor="text1" w:themeTint="80"/>
              <w:right w:val="nil"/>
            </w:tcBorders>
            <w:vAlign w:val="center"/>
            <w:hideMark/>
          </w:tcPr>
          <w:p w14:paraId="057A3828" w14:textId="77777777" w:rsidR="00F3785E" w:rsidRPr="00503D73" w:rsidRDefault="00F3785E" w:rsidP="00381D0D">
            <w:pPr>
              <w:jc w:val="both"/>
              <w:rPr>
                <w:rFonts w:ascii="Arial" w:eastAsia="Times New Roman" w:hAnsi="Arial" w:cs="Arial"/>
                <w:sz w:val="14"/>
                <w:szCs w:val="14"/>
                <w:lang w:val="es-ES" w:eastAsia="es-ES"/>
              </w:rPr>
            </w:pPr>
            <w:r w:rsidRPr="00503D73">
              <w:rPr>
                <w:rFonts w:ascii="Arial" w:eastAsia="Times New Roman" w:hAnsi="Arial" w:cs="Arial"/>
                <w:sz w:val="14"/>
                <w:szCs w:val="14"/>
                <w:lang w:val="es-ES" w:eastAsia="es-ES"/>
              </w:rPr>
              <w:t>Ana María Ortiz Ballesteros</w:t>
            </w:r>
          </w:p>
          <w:p w14:paraId="3CC8FEEB" w14:textId="77777777" w:rsidR="00F3785E" w:rsidRPr="00503D73" w:rsidRDefault="00F3785E" w:rsidP="00381D0D">
            <w:pPr>
              <w:jc w:val="both"/>
              <w:rPr>
                <w:rFonts w:ascii="Arial" w:eastAsia="Times New Roman" w:hAnsi="Arial" w:cs="Arial"/>
                <w:sz w:val="14"/>
                <w:szCs w:val="14"/>
                <w:lang w:val="es-ES" w:eastAsia="es-ES"/>
              </w:rPr>
            </w:pPr>
            <w:r w:rsidRPr="00503D73">
              <w:rPr>
                <w:rFonts w:ascii="Arial" w:eastAsia="Times New Roman" w:hAnsi="Arial" w:cs="Arial"/>
                <w:sz w:val="14"/>
                <w:szCs w:val="14"/>
                <w:lang w:val="es-ES" w:eastAsia="es-ES"/>
              </w:rPr>
              <w:t>Contratista de la Subdirección de Gestión Contractual</w:t>
            </w:r>
          </w:p>
        </w:tc>
      </w:tr>
      <w:tr w:rsidR="00503D73" w:rsidRPr="00503D73" w14:paraId="3B1102B4" w14:textId="77777777" w:rsidTr="00381D0D">
        <w:trPr>
          <w:trHeight w:val="330"/>
        </w:trPr>
        <w:tc>
          <w:tcPr>
            <w:tcW w:w="812" w:type="dxa"/>
            <w:vAlign w:val="center"/>
            <w:hideMark/>
          </w:tcPr>
          <w:p w14:paraId="3CD9AAA0" w14:textId="77777777" w:rsidR="00F3785E" w:rsidRPr="00503D73" w:rsidRDefault="00F3785E" w:rsidP="00381D0D">
            <w:pPr>
              <w:rPr>
                <w:rFonts w:ascii="Arial" w:eastAsia="Times New Roman" w:hAnsi="Arial" w:cs="Arial"/>
                <w:sz w:val="14"/>
                <w:szCs w:val="14"/>
                <w:lang w:val="es-ES" w:eastAsia="es-ES"/>
              </w:rPr>
            </w:pPr>
            <w:r w:rsidRPr="00503D73">
              <w:rPr>
                <w:rFonts w:ascii="Arial" w:eastAsia="Times New Roman" w:hAnsi="Arial" w:cs="Arial"/>
                <w:sz w:val="14"/>
                <w:szCs w:val="14"/>
                <w:lang w:val="es-ES" w:eastAsia="es-ES"/>
              </w:rPr>
              <w:t>Revisó:</w:t>
            </w:r>
          </w:p>
        </w:tc>
        <w:tc>
          <w:tcPr>
            <w:tcW w:w="5284" w:type="dxa"/>
            <w:tcBorders>
              <w:top w:val="dotted" w:sz="4" w:space="0" w:color="7F7F7F" w:themeColor="text1" w:themeTint="80"/>
              <w:left w:val="nil"/>
              <w:bottom w:val="dotted" w:sz="4" w:space="0" w:color="7F7F7F" w:themeColor="text1" w:themeTint="80"/>
              <w:right w:val="nil"/>
            </w:tcBorders>
            <w:vAlign w:val="center"/>
            <w:hideMark/>
          </w:tcPr>
          <w:p w14:paraId="05739FA2" w14:textId="77777777" w:rsidR="00F3785E" w:rsidRPr="00503D73" w:rsidRDefault="00F3785E" w:rsidP="00381D0D">
            <w:pPr>
              <w:rPr>
                <w:rFonts w:ascii="Arial" w:eastAsia="Times New Roman" w:hAnsi="Arial" w:cs="Arial"/>
                <w:sz w:val="14"/>
                <w:szCs w:val="14"/>
                <w:lang w:val="es-ES" w:eastAsia="es-CO"/>
              </w:rPr>
            </w:pPr>
            <w:r w:rsidRPr="00503D73">
              <w:rPr>
                <w:rFonts w:ascii="Arial" w:eastAsia="Times New Roman" w:hAnsi="Arial" w:cs="Arial"/>
                <w:sz w:val="14"/>
                <w:szCs w:val="14"/>
                <w:lang w:val="es-ES" w:eastAsia="es-CO"/>
              </w:rPr>
              <w:t>Ximena Ríos López</w:t>
            </w:r>
          </w:p>
          <w:p w14:paraId="3FBFC5B8" w14:textId="77777777" w:rsidR="00F3785E" w:rsidRPr="00503D73" w:rsidRDefault="00F3785E" w:rsidP="00381D0D">
            <w:pPr>
              <w:rPr>
                <w:rFonts w:ascii="Arial" w:eastAsia="Times New Roman" w:hAnsi="Arial" w:cs="Arial"/>
                <w:sz w:val="14"/>
                <w:szCs w:val="14"/>
                <w:lang w:val="es-ES" w:eastAsia="es-ES"/>
              </w:rPr>
            </w:pPr>
            <w:r w:rsidRPr="00503D73">
              <w:rPr>
                <w:rFonts w:ascii="Arial" w:eastAsia="Times New Roman" w:hAnsi="Arial" w:cs="Arial"/>
                <w:sz w:val="14"/>
                <w:szCs w:val="14"/>
                <w:lang w:val="es-ES" w:eastAsia="es-CO"/>
              </w:rPr>
              <w:t>Gestor T1 ‒ 11 de la Subdirección de Gestión Contractual</w:t>
            </w:r>
          </w:p>
        </w:tc>
      </w:tr>
      <w:tr w:rsidR="00503D73" w:rsidRPr="00503D73" w14:paraId="60BD314A" w14:textId="77777777" w:rsidTr="00381D0D">
        <w:trPr>
          <w:trHeight w:val="178"/>
        </w:trPr>
        <w:tc>
          <w:tcPr>
            <w:tcW w:w="812" w:type="dxa"/>
            <w:vAlign w:val="center"/>
            <w:hideMark/>
          </w:tcPr>
          <w:p w14:paraId="16A18B96" w14:textId="77777777" w:rsidR="00F3785E" w:rsidRPr="00503D73" w:rsidRDefault="00F3785E" w:rsidP="00381D0D">
            <w:pPr>
              <w:rPr>
                <w:rFonts w:ascii="Arial" w:eastAsia="Times New Roman" w:hAnsi="Arial" w:cs="Arial"/>
                <w:sz w:val="14"/>
                <w:szCs w:val="14"/>
                <w:lang w:val="es-ES" w:eastAsia="es-ES"/>
              </w:rPr>
            </w:pPr>
            <w:r w:rsidRPr="00503D73">
              <w:rPr>
                <w:rFonts w:ascii="Arial" w:eastAsia="Times New Roman" w:hAnsi="Arial" w:cs="Arial"/>
                <w:sz w:val="14"/>
                <w:szCs w:val="14"/>
                <w:lang w:val="es-ES" w:eastAsia="es-ES"/>
              </w:rPr>
              <w:t>Aprobó:</w:t>
            </w:r>
          </w:p>
        </w:tc>
        <w:tc>
          <w:tcPr>
            <w:tcW w:w="5284" w:type="dxa"/>
            <w:tcBorders>
              <w:top w:val="dotted" w:sz="4" w:space="0" w:color="7F7F7F" w:themeColor="text1" w:themeTint="80"/>
              <w:left w:val="nil"/>
              <w:bottom w:val="dotted" w:sz="4" w:space="0" w:color="7F7F7F" w:themeColor="text1" w:themeTint="80"/>
              <w:right w:val="nil"/>
            </w:tcBorders>
            <w:vAlign w:val="center"/>
            <w:hideMark/>
          </w:tcPr>
          <w:p w14:paraId="4E74A4F3" w14:textId="77777777" w:rsidR="00F3785E" w:rsidRPr="00503D73" w:rsidRDefault="00F3785E" w:rsidP="00381D0D">
            <w:pPr>
              <w:textAlignment w:val="baseline"/>
              <w:rPr>
                <w:rFonts w:ascii="Arial" w:eastAsia="Times New Roman" w:hAnsi="Arial" w:cs="Arial"/>
                <w:sz w:val="14"/>
                <w:szCs w:val="14"/>
                <w:lang w:val="es-ES" w:eastAsia="es-CO"/>
              </w:rPr>
            </w:pPr>
            <w:bookmarkStart w:id="5" w:name="_Hlk116036152"/>
            <w:r w:rsidRPr="00503D73">
              <w:rPr>
                <w:rFonts w:ascii="Arial" w:eastAsia="Times New Roman" w:hAnsi="Arial" w:cs="Arial"/>
                <w:sz w:val="14"/>
                <w:szCs w:val="14"/>
                <w:lang w:val="es-ES" w:eastAsia="es-CO"/>
              </w:rPr>
              <w:t>Nohelia del Carmen Zawady Palacio</w:t>
            </w:r>
          </w:p>
          <w:p w14:paraId="6BE8E59A" w14:textId="77777777" w:rsidR="00F3785E" w:rsidRPr="00503D73" w:rsidRDefault="00F3785E" w:rsidP="00381D0D">
            <w:pPr>
              <w:rPr>
                <w:rFonts w:ascii="Arial" w:eastAsia="Times New Roman" w:hAnsi="Arial" w:cs="Arial"/>
                <w:sz w:val="14"/>
                <w:szCs w:val="14"/>
                <w:lang w:val="es-ES" w:eastAsia="es-ES"/>
              </w:rPr>
            </w:pPr>
            <w:r w:rsidRPr="00503D73">
              <w:rPr>
                <w:rFonts w:ascii="Arial" w:eastAsia="Times New Roman" w:hAnsi="Arial" w:cs="Arial"/>
                <w:sz w:val="14"/>
                <w:szCs w:val="14"/>
                <w:lang w:val="es-ES" w:eastAsia="es-ES"/>
              </w:rPr>
              <w:t xml:space="preserve">Subdirectora de Gestión Contractual </w:t>
            </w:r>
            <w:bookmarkEnd w:id="5"/>
            <w:r w:rsidRPr="00503D73">
              <w:rPr>
                <w:rFonts w:ascii="Arial" w:eastAsia="Times New Roman" w:hAnsi="Arial" w:cs="Arial"/>
                <w:sz w:val="14"/>
                <w:szCs w:val="14"/>
                <w:lang w:val="es-ES" w:eastAsia="es-ES"/>
              </w:rPr>
              <w:t>ANCP – CCE</w:t>
            </w:r>
          </w:p>
        </w:tc>
      </w:tr>
      <w:bookmarkEnd w:id="4"/>
    </w:tbl>
    <w:p w14:paraId="1DF87959" w14:textId="77777777" w:rsidR="008729D2" w:rsidRPr="00503D73" w:rsidRDefault="008729D2" w:rsidP="00E245AB">
      <w:pPr>
        <w:spacing w:after="0"/>
        <w:rPr>
          <w:rFonts w:ascii="Arial" w:hAnsi="Arial" w:cs="Arial"/>
          <w:lang w:val="es-ES"/>
        </w:rPr>
      </w:pPr>
    </w:p>
    <w:sectPr w:rsidR="008729D2" w:rsidRPr="00503D73" w:rsidSect="00923EEF">
      <w:headerReference w:type="default" r:id="rId13"/>
      <w:footerReference w:type="default" r:id="rId14"/>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CA05B" w14:textId="77777777" w:rsidR="00D0661D" w:rsidRDefault="00D0661D" w:rsidP="004A1847">
      <w:pPr>
        <w:spacing w:after="0" w:line="240" w:lineRule="auto"/>
      </w:pPr>
      <w:r>
        <w:separator/>
      </w:r>
    </w:p>
  </w:endnote>
  <w:endnote w:type="continuationSeparator" w:id="0">
    <w:p w14:paraId="1DA09D1E" w14:textId="77777777" w:rsidR="00D0661D" w:rsidRDefault="00D0661D" w:rsidP="004A1847">
      <w:pPr>
        <w:spacing w:after="0" w:line="240" w:lineRule="auto"/>
      </w:pPr>
      <w:r>
        <w:continuationSeparator/>
      </w:r>
    </w:p>
  </w:endnote>
  <w:endnote w:type="continuationNotice" w:id="1">
    <w:p w14:paraId="7AE6DFB8" w14:textId="77777777" w:rsidR="00D0661D" w:rsidRDefault="00D066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62368336"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3F78C75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13</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E0DB946"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C5A339" w14:textId="77777777" w:rsidR="00D0661D" w:rsidRDefault="00D0661D" w:rsidP="004A1847">
      <w:pPr>
        <w:spacing w:after="0" w:line="240" w:lineRule="auto"/>
      </w:pPr>
      <w:r>
        <w:separator/>
      </w:r>
    </w:p>
  </w:footnote>
  <w:footnote w:type="continuationSeparator" w:id="0">
    <w:p w14:paraId="11E496D2" w14:textId="77777777" w:rsidR="00D0661D" w:rsidRDefault="00D0661D" w:rsidP="004A1847">
      <w:pPr>
        <w:spacing w:after="0" w:line="240" w:lineRule="auto"/>
      </w:pPr>
      <w:r>
        <w:continuationSeparator/>
      </w:r>
    </w:p>
  </w:footnote>
  <w:footnote w:type="continuationNotice" w:id="1">
    <w:p w14:paraId="45928A8D" w14:textId="77777777" w:rsidR="00D0661D" w:rsidRDefault="00D0661D">
      <w:pPr>
        <w:spacing w:after="0" w:line="240" w:lineRule="auto"/>
      </w:pPr>
    </w:p>
  </w:footnote>
  <w:footnote w:id="2">
    <w:p w14:paraId="68618492" w14:textId="77777777" w:rsidR="008729D2" w:rsidRPr="00000EFD" w:rsidRDefault="008729D2" w:rsidP="008729D2">
      <w:pPr>
        <w:pStyle w:val="Textonotapie"/>
        <w:ind w:firstLine="708"/>
        <w:jc w:val="both"/>
        <w:rPr>
          <w:rFonts w:ascii="Arial" w:hAnsi="Arial" w:cs="Arial"/>
          <w:sz w:val="18"/>
          <w:szCs w:val="18"/>
        </w:rPr>
      </w:pPr>
      <w:r w:rsidRPr="00000EFD">
        <w:rPr>
          <w:rStyle w:val="Refdenotaalpie"/>
          <w:rFonts w:ascii="Arial" w:hAnsi="Arial" w:cs="Arial"/>
          <w:sz w:val="18"/>
          <w:szCs w:val="18"/>
        </w:rPr>
        <w:footnoteRef/>
      </w:r>
      <w:r w:rsidRPr="00000EFD">
        <w:rPr>
          <w:rFonts w:ascii="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000EFD">
        <w:rPr>
          <w:rFonts w:ascii="Arial" w:hAnsi="Arial" w:cs="Arial"/>
          <w:i/>
          <w:iCs/>
          <w:sz w:val="18"/>
          <w:szCs w:val="18"/>
        </w:rPr>
        <w:t xml:space="preserve">ibidem </w:t>
      </w:r>
      <w:r w:rsidRPr="00000EFD">
        <w:rPr>
          <w:rFonts w:ascii="Arial" w:hAnsi="Arial"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0027B793" w14:textId="77777777" w:rsidR="008729D2" w:rsidRPr="004B6D51" w:rsidRDefault="008729D2" w:rsidP="008729D2">
      <w:pPr>
        <w:pStyle w:val="Textonotapie"/>
        <w:ind w:firstLine="708"/>
        <w:jc w:val="both"/>
        <w:rPr>
          <w:rFonts w:ascii="Arial" w:hAnsi="Arial" w:cs="Arial"/>
          <w:sz w:val="18"/>
          <w:szCs w:val="18"/>
          <w:lang w:val="es-ES"/>
        </w:rPr>
      </w:pPr>
    </w:p>
  </w:footnote>
  <w:footnote w:id="3">
    <w:p w14:paraId="0EBA3069" w14:textId="77777777" w:rsidR="008729D2" w:rsidRPr="002E7E5B" w:rsidRDefault="008729D2" w:rsidP="008729D2">
      <w:pPr>
        <w:pStyle w:val="Textonotapie"/>
        <w:ind w:firstLine="708"/>
        <w:jc w:val="both"/>
        <w:rPr>
          <w:rFonts w:ascii="Arial" w:hAnsi="Arial" w:cs="Arial"/>
          <w:sz w:val="18"/>
          <w:szCs w:val="18"/>
        </w:rPr>
      </w:pPr>
      <w:r w:rsidRPr="002E7E5B">
        <w:rPr>
          <w:rStyle w:val="Refdenotaalpie"/>
          <w:rFonts w:ascii="Arial" w:hAnsi="Arial" w:cs="Arial"/>
          <w:sz w:val="18"/>
          <w:szCs w:val="18"/>
        </w:rPr>
        <w:footnoteRef/>
      </w:r>
      <w:r w:rsidRPr="002E7E5B">
        <w:rPr>
          <w:rFonts w:ascii="Arial" w:hAnsi="Arial"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2E7E5B">
          <w:rPr>
            <w:rStyle w:val="Hipervnculo"/>
            <w:rFonts w:ascii="Arial" w:hAnsi="Arial" w:cs="Arial"/>
            <w:color w:val="auto"/>
            <w:sz w:val="18"/>
            <w:szCs w:val="18"/>
          </w:rPr>
          <w:t>https://relatoria.colombiacompra.gov.co/busqueda/conceptos</w:t>
        </w:r>
      </w:hyperlink>
      <w:r w:rsidRPr="002E7E5B">
        <w:rPr>
          <w:rStyle w:val="Hipervnculo"/>
          <w:rFonts w:ascii="Arial" w:hAnsi="Arial" w:cs="Arial"/>
          <w:color w:val="auto"/>
          <w:sz w:val="18"/>
          <w:szCs w:val="18"/>
        </w:rPr>
        <w:t xml:space="preserve">. </w:t>
      </w:r>
      <w:r w:rsidRPr="002E7E5B">
        <w:rPr>
          <w:rFonts w:ascii="Arial" w:hAnsi="Arial" w:cs="Arial"/>
          <w:sz w:val="18"/>
          <w:szCs w:val="18"/>
          <w:shd w:val="clear" w:color="auto" w:fill="E6E6E6"/>
        </w:rPr>
        <w:t xml:space="preserve"> </w:t>
      </w:r>
    </w:p>
  </w:footnote>
  <w:footnote w:id="4">
    <w:p w14:paraId="0C0C1A31" w14:textId="041D4EB9" w:rsidR="005377D6" w:rsidRPr="002E7E5B" w:rsidRDefault="005377D6" w:rsidP="005377D6">
      <w:pPr>
        <w:pStyle w:val="Textonotapie"/>
        <w:ind w:firstLine="709"/>
        <w:jc w:val="both"/>
        <w:rPr>
          <w:rFonts w:ascii="Arial" w:hAnsi="Arial" w:cs="Arial"/>
          <w:sz w:val="18"/>
          <w:szCs w:val="18"/>
        </w:rPr>
      </w:pPr>
      <w:r w:rsidRPr="002E7E5B">
        <w:rPr>
          <w:rStyle w:val="Refdenotaalpie"/>
          <w:rFonts w:ascii="Arial" w:hAnsi="Arial" w:cs="Arial"/>
          <w:sz w:val="18"/>
          <w:szCs w:val="18"/>
        </w:rPr>
        <w:footnoteRef/>
      </w:r>
      <w:r w:rsidRPr="002E7E5B">
        <w:rPr>
          <w:rFonts w:ascii="Arial" w:hAnsi="Arial" w:cs="Arial"/>
          <w:sz w:val="18"/>
          <w:szCs w:val="18"/>
        </w:rPr>
        <w:t xml:space="preserve"> Ley 1150 de 2007: </w:t>
      </w:r>
      <w:r w:rsidR="00E03778">
        <w:rPr>
          <w:rFonts w:ascii="Arial" w:hAnsi="Arial" w:cs="Arial"/>
          <w:sz w:val="18"/>
          <w:szCs w:val="18"/>
        </w:rPr>
        <w:t>“</w:t>
      </w:r>
      <w:r w:rsidRPr="002E7E5B">
        <w:rPr>
          <w:rFonts w:ascii="Arial" w:hAnsi="Arial" w:cs="Arial"/>
          <w:sz w:val="18"/>
          <w:szCs w:val="18"/>
        </w:rPr>
        <w:t>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47557170" w14:textId="40D8F8B1" w:rsidR="005377D6" w:rsidRPr="002E7E5B" w:rsidRDefault="00733F04" w:rsidP="005377D6">
      <w:pPr>
        <w:pStyle w:val="Textonotapie"/>
        <w:ind w:firstLine="709"/>
        <w:jc w:val="both"/>
        <w:rPr>
          <w:rFonts w:ascii="Arial" w:hAnsi="Arial" w:cs="Arial"/>
          <w:sz w:val="18"/>
          <w:szCs w:val="18"/>
        </w:rPr>
      </w:pPr>
      <w:r>
        <w:rPr>
          <w:rFonts w:ascii="Arial" w:hAnsi="Arial" w:cs="Arial"/>
          <w:sz w:val="18"/>
          <w:szCs w:val="18"/>
        </w:rPr>
        <w:t>“</w:t>
      </w:r>
      <w:r w:rsidR="005377D6" w:rsidRPr="002E7E5B">
        <w:rPr>
          <w:rFonts w:ascii="Arial" w:hAnsi="Arial" w:cs="Arial"/>
          <w:sz w:val="18"/>
          <w:szCs w:val="18"/>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40F4F9E5" w14:textId="3BC67341" w:rsidR="005377D6" w:rsidRPr="00147356" w:rsidRDefault="00733F04" w:rsidP="00147356">
      <w:pPr>
        <w:pStyle w:val="Textonotapie"/>
        <w:ind w:firstLine="709"/>
        <w:jc w:val="both"/>
        <w:rPr>
          <w:rFonts w:ascii="Arial" w:hAnsi="Arial" w:cs="Arial"/>
          <w:sz w:val="18"/>
          <w:szCs w:val="18"/>
        </w:rPr>
      </w:pPr>
      <w:r>
        <w:rPr>
          <w:rFonts w:ascii="Arial" w:hAnsi="Arial" w:cs="Arial"/>
          <w:sz w:val="18"/>
          <w:szCs w:val="18"/>
        </w:rPr>
        <w:t>“</w:t>
      </w:r>
      <w:r w:rsidR="005377D6" w:rsidRPr="002E7E5B">
        <w:rPr>
          <w:rFonts w:ascii="Arial" w:hAnsi="Arial" w:cs="Arial"/>
          <w:sz w:val="18"/>
          <w:szCs w:val="18"/>
        </w:rPr>
        <w:t>[...]</w:t>
      </w:r>
      <w:r>
        <w:rPr>
          <w:rFonts w:ascii="Arial" w:hAnsi="Arial" w:cs="Arial"/>
          <w:sz w:val="18"/>
          <w:szCs w:val="18"/>
        </w:rPr>
        <w:t>”</w:t>
      </w:r>
      <w:r w:rsidR="005377D6" w:rsidRPr="002E7E5B">
        <w:rPr>
          <w:rFonts w:ascii="Arial" w:hAnsi="Arial" w:cs="Arial"/>
          <w:sz w:val="18"/>
          <w:szCs w:val="18"/>
        </w:rPr>
        <w:t>.</w:t>
      </w:r>
    </w:p>
  </w:footnote>
  <w:footnote w:id="5">
    <w:p w14:paraId="1FA23A5D" w14:textId="662977AC" w:rsidR="005377D6" w:rsidRPr="0095228C" w:rsidRDefault="005377D6" w:rsidP="0095228C">
      <w:pPr>
        <w:pStyle w:val="Textonotapie"/>
        <w:ind w:firstLine="709"/>
        <w:jc w:val="both"/>
        <w:rPr>
          <w:rFonts w:ascii="Arial" w:hAnsi="Arial" w:cs="Arial"/>
          <w:sz w:val="18"/>
          <w:szCs w:val="18"/>
        </w:rPr>
      </w:pPr>
      <w:r w:rsidRPr="0095228C">
        <w:rPr>
          <w:rStyle w:val="Refdenotaalpie"/>
          <w:rFonts w:ascii="Arial" w:hAnsi="Arial" w:cs="Arial"/>
          <w:sz w:val="18"/>
          <w:szCs w:val="18"/>
        </w:rPr>
        <w:footnoteRef/>
      </w:r>
      <w:r w:rsidRPr="0095228C">
        <w:rPr>
          <w:rFonts w:ascii="Arial" w:hAnsi="Arial" w:cs="Arial"/>
          <w:sz w:val="18"/>
          <w:szCs w:val="18"/>
        </w:rPr>
        <w:t xml:space="preserve"> Decreto 1082 de 2015: </w:t>
      </w:r>
      <w:r w:rsidR="00087826">
        <w:rPr>
          <w:rFonts w:ascii="Arial" w:hAnsi="Arial" w:cs="Arial"/>
          <w:sz w:val="18"/>
          <w:szCs w:val="18"/>
        </w:rPr>
        <w:t>“</w:t>
      </w:r>
      <w:r w:rsidRPr="0095228C">
        <w:rPr>
          <w:rFonts w:ascii="Arial" w:hAnsi="Arial" w:cs="Arial"/>
          <w:sz w:val="18"/>
          <w:szCs w:val="18"/>
        </w:rPr>
        <w:t>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r w:rsidR="00087826">
        <w:rPr>
          <w:rFonts w:ascii="Arial" w:hAnsi="Arial" w:cs="Arial"/>
          <w:sz w:val="18"/>
          <w:szCs w:val="18"/>
        </w:rPr>
        <w:t>”</w:t>
      </w:r>
      <w:r w:rsidRPr="0095228C">
        <w:rPr>
          <w:rFonts w:ascii="Arial" w:hAnsi="Arial" w:cs="Arial"/>
          <w:sz w:val="18"/>
          <w:szCs w:val="18"/>
        </w:rPr>
        <w:t>.</w:t>
      </w:r>
    </w:p>
  </w:footnote>
  <w:footnote w:id="6">
    <w:p w14:paraId="2DA5C885" w14:textId="77777777" w:rsidR="005377D6" w:rsidRPr="0095228C" w:rsidRDefault="005377D6" w:rsidP="005377D6">
      <w:pPr>
        <w:pStyle w:val="Textonotapie"/>
        <w:ind w:firstLine="709"/>
        <w:jc w:val="both"/>
        <w:rPr>
          <w:rFonts w:ascii="Arial" w:hAnsi="Arial" w:cs="Arial"/>
          <w:sz w:val="18"/>
          <w:szCs w:val="18"/>
          <w:lang w:val="es-ES"/>
        </w:rPr>
      </w:pPr>
      <w:r w:rsidRPr="0095228C">
        <w:rPr>
          <w:rStyle w:val="Refdenotaalpie"/>
          <w:rFonts w:ascii="Arial" w:hAnsi="Arial" w:cs="Arial"/>
          <w:sz w:val="18"/>
          <w:szCs w:val="18"/>
        </w:rPr>
        <w:footnoteRef/>
      </w:r>
      <w:r w:rsidRPr="0095228C">
        <w:rPr>
          <w:rFonts w:ascii="Arial" w:hAnsi="Arial" w:cs="Arial"/>
          <w:sz w:val="18"/>
          <w:szCs w:val="18"/>
        </w:rPr>
        <w:t xml:space="preserve"> </w:t>
      </w:r>
      <w:r w:rsidRPr="0095228C">
        <w:rPr>
          <w:rFonts w:ascii="Arial" w:hAnsi="Arial" w:cs="Arial"/>
          <w:sz w:val="18"/>
          <w:szCs w:val="18"/>
          <w:lang w:val="es-ES"/>
        </w:rPr>
        <w:t>Disponible en:</w:t>
      </w:r>
    </w:p>
    <w:p w14:paraId="4C0A5BC6" w14:textId="77777777" w:rsidR="005377D6" w:rsidRPr="0095228C" w:rsidRDefault="005377D6" w:rsidP="005377D6">
      <w:pPr>
        <w:pStyle w:val="Textonotapie"/>
        <w:ind w:firstLine="709"/>
        <w:jc w:val="both"/>
        <w:rPr>
          <w:rFonts w:ascii="Arial" w:hAnsi="Arial" w:cs="Arial"/>
          <w:sz w:val="18"/>
          <w:szCs w:val="18"/>
          <w:lang w:val="es-ES"/>
        </w:rPr>
      </w:pPr>
      <w:r w:rsidRPr="0095228C">
        <w:rPr>
          <w:rFonts w:ascii="Arial" w:hAnsi="Arial" w:cs="Arial"/>
          <w:sz w:val="18"/>
          <w:szCs w:val="18"/>
          <w:lang w:val="es-ES"/>
        </w:rPr>
        <w:t>https://www.colombiacompra.gov.co/sites/cce_public/files/cce_documents/cce_manual_requisitos_habilitantes.pdf</w:t>
      </w:r>
    </w:p>
  </w:footnote>
  <w:footnote w:id="7">
    <w:p w14:paraId="09DBA206" w14:textId="77777777" w:rsidR="005377D6" w:rsidRDefault="005377D6" w:rsidP="005377D6">
      <w:pPr>
        <w:pStyle w:val="Textonotapie"/>
        <w:ind w:firstLine="709"/>
        <w:jc w:val="both"/>
        <w:rPr>
          <w:rFonts w:ascii="Arial" w:hAnsi="Arial" w:cs="Arial"/>
          <w:sz w:val="19"/>
          <w:szCs w:val="19"/>
          <w:lang w:val="es-ES"/>
        </w:rPr>
      </w:pPr>
      <w:r w:rsidRPr="0095228C">
        <w:rPr>
          <w:rStyle w:val="Refdenotaalpie"/>
          <w:rFonts w:ascii="Arial" w:hAnsi="Arial" w:cs="Arial"/>
          <w:sz w:val="18"/>
          <w:szCs w:val="18"/>
        </w:rPr>
        <w:footnoteRef/>
      </w:r>
      <w:r w:rsidRPr="0095228C">
        <w:rPr>
          <w:rFonts w:ascii="Arial" w:hAnsi="Arial" w:cs="Arial"/>
          <w:sz w:val="18"/>
          <w:szCs w:val="18"/>
        </w:rPr>
        <w:t xml:space="preserve"> </w:t>
      </w:r>
      <w:r w:rsidRPr="0095228C">
        <w:rPr>
          <w:rFonts w:ascii="Arial" w:hAnsi="Arial" w:cs="Arial"/>
          <w:sz w:val="18"/>
          <w:szCs w:val="18"/>
          <w:lang w:val="es-ES"/>
        </w:rPr>
        <w:t>Ibíd.</w:t>
      </w:r>
    </w:p>
  </w:footnote>
  <w:footnote w:id="8">
    <w:p w14:paraId="361522FD" w14:textId="424D7ECD" w:rsidR="005377D6" w:rsidRPr="00DF2297" w:rsidRDefault="005377D6" w:rsidP="005377D6">
      <w:pPr>
        <w:pStyle w:val="Textonotapie"/>
        <w:ind w:firstLine="709"/>
        <w:jc w:val="both"/>
        <w:rPr>
          <w:rFonts w:ascii="Arial" w:hAnsi="Arial" w:cs="Arial"/>
          <w:sz w:val="18"/>
          <w:szCs w:val="18"/>
        </w:rPr>
      </w:pPr>
      <w:r w:rsidRPr="00DF2297">
        <w:rPr>
          <w:rStyle w:val="Refdenotaalpie"/>
          <w:rFonts w:ascii="Arial" w:hAnsi="Arial" w:cs="Arial"/>
          <w:sz w:val="18"/>
          <w:szCs w:val="18"/>
        </w:rPr>
        <w:footnoteRef/>
      </w:r>
      <w:r w:rsidRPr="00DF2297">
        <w:rPr>
          <w:rFonts w:ascii="Arial" w:hAnsi="Arial" w:cs="Arial"/>
          <w:sz w:val="18"/>
          <w:szCs w:val="18"/>
        </w:rPr>
        <w:t xml:space="preserve"> El Manual señala que: </w:t>
      </w:r>
      <w:r w:rsidR="00DF2297">
        <w:rPr>
          <w:rFonts w:ascii="Arial" w:hAnsi="Arial" w:cs="Arial"/>
          <w:sz w:val="18"/>
          <w:szCs w:val="18"/>
        </w:rPr>
        <w:t>“</w:t>
      </w:r>
      <w:r w:rsidRPr="00DF2297">
        <w:rPr>
          <w:rFonts w:ascii="Arial" w:hAnsi="Arial" w:cs="Arial"/>
          <w:sz w:val="18"/>
          <w:szCs w:val="18"/>
        </w:rPr>
        <w:t>[...] En atención a la naturaleza del contrato a suscribir y de su valor, plazo y forma de pago, la Entidad Estatal debe hacer uso de los indicadores que considere adecuados respecto al objeto del Proceso de Contratación.</w:t>
      </w:r>
    </w:p>
    <w:p w14:paraId="63EC137B" w14:textId="3FCAC7A8" w:rsidR="005377D6" w:rsidRPr="00DF2297" w:rsidRDefault="00DF2297" w:rsidP="005377D6">
      <w:pPr>
        <w:pStyle w:val="Textonotapie"/>
        <w:ind w:firstLine="708"/>
        <w:jc w:val="both"/>
        <w:rPr>
          <w:rFonts w:ascii="Arial" w:hAnsi="Arial" w:cs="Arial"/>
          <w:sz w:val="18"/>
          <w:szCs w:val="18"/>
        </w:rPr>
      </w:pPr>
      <w:r>
        <w:rPr>
          <w:rFonts w:ascii="Arial" w:hAnsi="Arial" w:cs="Arial"/>
          <w:sz w:val="18"/>
          <w:szCs w:val="18"/>
        </w:rPr>
        <w:t>“</w:t>
      </w:r>
      <w:r w:rsidR="005377D6" w:rsidRPr="00DF2297">
        <w:rPr>
          <w:rFonts w:ascii="Arial" w:hAnsi="Arial" w:cs="Arial"/>
          <w:sz w:val="18"/>
          <w:szCs w:val="18"/>
        </w:rPr>
        <w:t>Las Entidades Estatales no deben limitarse a determinar y aplicar de forma mecánica fórmulas financieras para determinar los indicadores. Deben conocer cada indicador, sus fórmulas de cálculo y su interpretación</w:t>
      </w:r>
      <w:r>
        <w:rPr>
          <w:rFonts w:ascii="Arial" w:hAnsi="Arial" w:cs="Arial"/>
          <w:sz w:val="18"/>
          <w:szCs w:val="18"/>
        </w:rPr>
        <w:t>”</w:t>
      </w:r>
      <w:r w:rsidR="005377D6" w:rsidRPr="00DF2297">
        <w:rPr>
          <w:rFonts w:ascii="Arial" w:hAnsi="Arial" w:cs="Arial"/>
          <w:sz w:val="18"/>
          <w:szCs w:val="18"/>
        </w:rPr>
        <w:t>.</w:t>
      </w:r>
    </w:p>
  </w:footnote>
  <w:footnote w:id="9">
    <w:p w14:paraId="0ABFFD9B" w14:textId="045152A1" w:rsidR="005377D6" w:rsidRDefault="005377D6" w:rsidP="005377D6">
      <w:pPr>
        <w:pStyle w:val="Textonotapie"/>
        <w:ind w:firstLine="709"/>
        <w:jc w:val="both"/>
        <w:rPr>
          <w:rFonts w:ascii="Arial" w:hAnsi="Arial" w:cs="Arial"/>
          <w:sz w:val="19"/>
          <w:szCs w:val="19"/>
          <w:lang w:val="es-ES"/>
        </w:rPr>
      </w:pPr>
      <w:r w:rsidRPr="00DF2297">
        <w:rPr>
          <w:rStyle w:val="Refdenotaalpie"/>
          <w:rFonts w:ascii="Arial" w:hAnsi="Arial" w:cs="Arial"/>
          <w:sz w:val="18"/>
          <w:szCs w:val="18"/>
        </w:rPr>
        <w:footnoteRef/>
      </w:r>
      <w:r w:rsidRPr="00DF2297">
        <w:rPr>
          <w:rFonts w:ascii="Arial" w:hAnsi="Arial" w:cs="Arial"/>
          <w:sz w:val="18"/>
          <w:szCs w:val="18"/>
        </w:rPr>
        <w:t xml:space="preserve"> Al respecto, el Manual indica: </w:t>
      </w:r>
      <w:r w:rsidR="00DF2297">
        <w:rPr>
          <w:rFonts w:ascii="Arial" w:hAnsi="Arial" w:cs="Arial"/>
          <w:sz w:val="18"/>
          <w:szCs w:val="18"/>
        </w:rPr>
        <w:t>“</w:t>
      </w:r>
      <w:r w:rsidRPr="00DF2297">
        <w:rPr>
          <w:rFonts w:ascii="Arial" w:hAnsi="Arial" w:cs="Arial"/>
          <w:sz w:val="18"/>
          <w:szCs w:val="18"/>
        </w:rPr>
        <w:t>La determinación de cada requisito habilitante debe estar enmarcada en el análisis y el concepto de lo que mide el indicador. Si el indicador representa una mayor probabilidad de Riesgo a medida que su valor es mayor, la Entidad Estatal debe fijar un valor máximo para el requisito habilitante. Si el indicador representa una menor probabilidad de Riesgo a medida que su valor es mayor, la Entidad Estatal debe fijar un mínimo</w:t>
      </w:r>
      <w:r w:rsidR="00DF2297">
        <w:rPr>
          <w:rFonts w:ascii="Arial" w:hAnsi="Arial" w:cs="Arial"/>
          <w:sz w:val="18"/>
          <w:szCs w:val="18"/>
        </w:rPr>
        <w:t>”</w:t>
      </w:r>
      <w:r w:rsidRPr="00DF2297">
        <w:rPr>
          <w:rFonts w:ascii="Arial" w:hAnsi="Arial" w:cs="Arial"/>
          <w:sz w:val="18"/>
          <w:szCs w:val="18"/>
        </w:rPr>
        <w:t>.</w:t>
      </w:r>
    </w:p>
  </w:footnote>
  <w:footnote w:id="10">
    <w:p w14:paraId="02BE0D4A" w14:textId="5965E65A" w:rsidR="002E3A7F" w:rsidRPr="001E5666" w:rsidRDefault="002E3A7F" w:rsidP="002E3A7F">
      <w:pPr>
        <w:pStyle w:val="Textonotapie"/>
        <w:ind w:firstLine="709"/>
        <w:jc w:val="both"/>
        <w:rPr>
          <w:rFonts w:ascii="Arial" w:hAnsi="Arial" w:cs="Arial"/>
          <w:sz w:val="18"/>
          <w:szCs w:val="18"/>
          <w:lang w:val="es-ES"/>
        </w:rPr>
      </w:pPr>
      <w:r w:rsidRPr="001E5666">
        <w:rPr>
          <w:rStyle w:val="Refdenotaalpie"/>
          <w:rFonts w:ascii="Arial" w:hAnsi="Arial" w:cs="Arial"/>
          <w:sz w:val="18"/>
          <w:szCs w:val="18"/>
        </w:rPr>
        <w:footnoteRef/>
      </w:r>
      <w:r w:rsidRPr="001E5666">
        <w:rPr>
          <w:rFonts w:ascii="Arial" w:hAnsi="Arial" w:cs="Arial"/>
          <w:sz w:val="18"/>
          <w:szCs w:val="18"/>
        </w:rPr>
        <w:t xml:space="preserve"> En efecto</w:t>
      </w:r>
      <w:r w:rsidRPr="001E5666">
        <w:rPr>
          <w:rFonts w:ascii="Arial" w:hAnsi="Arial" w:cs="Arial"/>
          <w:sz w:val="18"/>
          <w:szCs w:val="18"/>
          <w:lang w:val="es-ES"/>
        </w:rPr>
        <w:t xml:space="preserve">, es importante mencionar desde este momento que mediante el Decreto 579 de 2021, expedido recientemente, el gobierno nacional anticipó estas medidas, sustituyendo algunos parágrafos transitorios que había agregado el Decreto 399 de 2021, como se explicará más adelante. Concretamente, el Decreto 579 de 2021 establece que en los procesos de selección cuyo acto administrativo de apertura o invitación se publique a partir del 1 de </w:t>
      </w:r>
      <w:r w:rsidRPr="001E5666">
        <w:rPr>
          <w:rFonts w:ascii="Arial" w:hAnsi="Arial" w:cs="Arial"/>
          <w:i/>
          <w:iCs/>
          <w:sz w:val="18"/>
          <w:szCs w:val="18"/>
          <w:lang w:val="es-ES"/>
        </w:rPr>
        <w:t>julio</w:t>
      </w:r>
      <w:r w:rsidRPr="001E5666">
        <w:rPr>
          <w:rFonts w:ascii="Arial" w:hAnsi="Arial" w:cs="Arial"/>
          <w:sz w:val="18"/>
          <w:szCs w:val="18"/>
          <w:lang w:val="es-ES"/>
        </w:rPr>
        <w:t xml:space="preserve"> de 2021 –ya no desde el 1 de septiembre, como inicialmente lo señalaba el Decreto 399 de 2021–, las entidades estatales deben evaluar los indicadores de la capacidad financiera teniendo en cuenta el mejor año fiscal que se refleje en el RUP, y con esta capacidad financiera también deberán calcular la capacidad residual.</w:t>
      </w:r>
    </w:p>
  </w:footnote>
  <w:footnote w:id="11">
    <w:p w14:paraId="17663E4D" w14:textId="77777777" w:rsidR="002E3A7F" w:rsidRPr="001E5666" w:rsidRDefault="002E3A7F" w:rsidP="002E3A7F">
      <w:pPr>
        <w:pStyle w:val="Textonotapie"/>
        <w:ind w:firstLine="709"/>
        <w:jc w:val="both"/>
        <w:rPr>
          <w:rFonts w:ascii="Arial" w:hAnsi="Arial" w:cs="Arial"/>
          <w:sz w:val="18"/>
          <w:szCs w:val="18"/>
          <w:lang w:val="es-ES"/>
        </w:rPr>
      </w:pPr>
      <w:r w:rsidRPr="001E5666">
        <w:rPr>
          <w:rStyle w:val="Refdenotaalpie"/>
          <w:rFonts w:ascii="Arial" w:hAnsi="Arial" w:cs="Arial"/>
          <w:sz w:val="18"/>
          <w:szCs w:val="18"/>
        </w:rPr>
        <w:footnoteRef/>
      </w:r>
      <w:r w:rsidRPr="001E5666">
        <w:rPr>
          <w:rFonts w:ascii="Arial" w:hAnsi="Arial" w:cs="Arial"/>
          <w:sz w:val="18"/>
          <w:szCs w:val="18"/>
        </w:rPr>
        <w:t xml:space="preserve"> </w:t>
      </w:r>
      <w:r>
        <w:rPr>
          <w:rFonts w:ascii="Arial" w:hAnsi="Arial" w:cs="Arial"/>
          <w:sz w:val="18"/>
          <w:szCs w:val="18"/>
          <w:lang w:val="es-ES"/>
        </w:rPr>
        <w:t>“</w:t>
      </w:r>
      <w:r w:rsidRPr="001E5666">
        <w:rPr>
          <w:rFonts w:ascii="Arial" w:hAnsi="Arial" w:cs="Arial"/>
          <w:sz w:val="18"/>
          <w:szCs w:val="18"/>
          <w:lang w:val="es-ES"/>
        </w:rPr>
        <w:t>Artículo 1. Sustitución de los parágrafos transitorios del artículo 2.2.1.1.1.5.2. del Decreto 1082 de 2015, Único Reglamentario del Sector Administrativo de Planeación Nacional. Sustitúyase los parágrafos transitorios del artículo 2.2.1.1.1.5.2. de la Subsección 5 de la Sección 1 del Capítulo 1 del Título 1 de la Parte 2 del Libro 2 del Decreto 1082 de 2015, Único Reglamentario del Sector Administrativo de Planeación Nacional, los cuales quedarán así:</w:t>
      </w:r>
    </w:p>
    <w:p w14:paraId="4870C3E6" w14:textId="77777777" w:rsidR="002E3A7F" w:rsidRPr="001E5666" w:rsidRDefault="002E3A7F" w:rsidP="002E3A7F">
      <w:pPr>
        <w:pStyle w:val="Textonotapie"/>
        <w:ind w:firstLine="709"/>
        <w:jc w:val="both"/>
        <w:rPr>
          <w:rFonts w:ascii="Arial" w:hAnsi="Arial" w:cs="Arial"/>
          <w:sz w:val="18"/>
          <w:szCs w:val="18"/>
          <w:lang w:val="es-ES"/>
        </w:rPr>
      </w:pPr>
      <w:r>
        <w:rPr>
          <w:rFonts w:ascii="Arial" w:eastAsia="Calibri" w:hAnsi="Arial" w:cs="Arial"/>
          <w:i/>
          <w:iCs/>
          <w:color w:val="000000"/>
          <w:sz w:val="18"/>
          <w:szCs w:val="18"/>
          <w:lang w:val="es-ES_tradnl"/>
        </w:rPr>
        <w:t>“</w:t>
      </w:r>
      <w:r w:rsidRPr="001E5666">
        <w:rPr>
          <w:rFonts w:ascii="Arial" w:hAnsi="Arial" w:cs="Arial"/>
          <w:sz w:val="18"/>
          <w:szCs w:val="18"/>
          <w:lang w:val="es-ES"/>
        </w:rPr>
        <w:t>PARÁGRAFO TRANSITORIO 1: A partir del 1 de junio de 2021, para efectos de la inscripción en el Registro Único de Proponentes, el interesado reportará la información contable de que tratan los numerales 1.3 y 2.3 de este artículo, correspondiente a los últimos tres (3) años fiscales anteriores al respectivo acto.</w:t>
      </w:r>
    </w:p>
    <w:p w14:paraId="291823AD" w14:textId="77777777" w:rsidR="002E3A7F" w:rsidRPr="001E5666" w:rsidRDefault="002E3A7F" w:rsidP="002E3A7F">
      <w:pPr>
        <w:pStyle w:val="Textonotapie"/>
        <w:ind w:firstLine="709"/>
        <w:jc w:val="both"/>
        <w:rPr>
          <w:rFonts w:ascii="Arial" w:hAnsi="Arial" w:cs="Arial"/>
          <w:sz w:val="18"/>
          <w:szCs w:val="18"/>
          <w:lang w:val="es-ES"/>
        </w:rPr>
      </w:pPr>
      <w:r w:rsidRPr="001E5666">
        <w:rPr>
          <w:rFonts w:ascii="Arial" w:hAnsi="Arial" w:cs="Arial"/>
          <w:sz w:val="18"/>
          <w:szCs w:val="18"/>
          <w:lang w:val="es-ES"/>
        </w:rPr>
        <w:t>En aquellos eventos en que el proponente no tenga la antigüedad suficiente para aportar la información financiera correspondiente a los tres (3) años descritos en el inciso anterior, podrá acreditar dicha información desde su primer cierre fiscal.</w:t>
      </w:r>
    </w:p>
    <w:p w14:paraId="1E1D6483" w14:textId="77777777" w:rsidR="002E3A7F" w:rsidRPr="001E5666" w:rsidRDefault="002E3A7F" w:rsidP="002E3A7F">
      <w:pPr>
        <w:pStyle w:val="Textonotapie"/>
        <w:ind w:firstLine="709"/>
        <w:jc w:val="both"/>
        <w:rPr>
          <w:rFonts w:ascii="Arial" w:hAnsi="Arial" w:cs="Arial"/>
          <w:sz w:val="18"/>
          <w:szCs w:val="18"/>
          <w:lang w:val="es-ES"/>
        </w:rPr>
      </w:pPr>
      <w:r w:rsidRPr="001E5666">
        <w:rPr>
          <w:rFonts w:ascii="Arial" w:hAnsi="Arial" w:cs="Arial"/>
          <w:sz w:val="18"/>
          <w:szCs w:val="18"/>
          <w:lang w:val="es-ES"/>
        </w:rPr>
        <w:t>El proponente con inscripción activa y vigente que no tenga la información de la capacidad financiera y organizacional de los años 2018 y/o 2019 inscrita en el Registro Único de Proponentes, durante el mes de junio de 2021, podrá reportar por única vez, mediante una solicitud de actualización, únicamente la información contable correspondiente a estos años, sin costo alguno.</w:t>
      </w:r>
    </w:p>
    <w:p w14:paraId="68A5C610" w14:textId="77777777" w:rsidR="002E3A7F" w:rsidRPr="001E5666" w:rsidRDefault="002E3A7F" w:rsidP="002E3A7F">
      <w:pPr>
        <w:pStyle w:val="Textonotapie"/>
        <w:ind w:firstLine="709"/>
        <w:jc w:val="both"/>
        <w:rPr>
          <w:rFonts w:ascii="Arial" w:hAnsi="Arial" w:cs="Arial"/>
          <w:sz w:val="18"/>
          <w:szCs w:val="18"/>
          <w:lang w:val="es-ES"/>
        </w:rPr>
      </w:pPr>
      <w:r w:rsidRPr="001E5666">
        <w:rPr>
          <w:rFonts w:ascii="Arial" w:hAnsi="Arial" w:cs="Arial"/>
          <w:sz w:val="18"/>
          <w:szCs w:val="18"/>
          <w:lang w:val="es-ES"/>
        </w:rPr>
        <w:t>El proponente que tenga inscrita en la cámara de comercio la información de la capacidad financiera y organizacional de los años 2018 y/o 2019, no deberá presentar la información que repose en la respectiva cámara de comercio, la cual conservará la firmeza para efectos de su certificación.</w:t>
      </w:r>
    </w:p>
    <w:p w14:paraId="3AAC30CD" w14:textId="77777777" w:rsidR="002E3A7F" w:rsidRPr="001E5666" w:rsidRDefault="002E3A7F" w:rsidP="002E3A7F">
      <w:pPr>
        <w:pStyle w:val="Textonotapie"/>
        <w:ind w:firstLine="709"/>
        <w:jc w:val="both"/>
        <w:rPr>
          <w:rFonts w:ascii="Arial" w:hAnsi="Arial" w:cs="Arial"/>
          <w:sz w:val="18"/>
          <w:szCs w:val="18"/>
          <w:lang w:val="es-ES"/>
        </w:rPr>
      </w:pPr>
      <w:r w:rsidRPr="001E5666">
        <w:rPr>
          <w:rFonts w:ascii="Arial" w:hAnsi="Arial" w:cs="Arial"/>
          <w:sz w:val="18"/>
          <w:szCs w:val="18"/>
          <w:lang w:val="es-ES"/>
        </w:rPr>
        <w:t>PARÁGRAFO TRANSITORIO 2: En el año 2022, para efectos de la inscripción o renovación del Registro Único de Proponentes, el interesado reportará la información contable de que tratan los numerales 1.3 y 2.3 de este artículo, correspondiente a los últimos tres (3) años fiscales anteriores al respectivo acto.</w:t>
      </w:r>
    </w:p>
    <w:p w14:paraId="7AD8EBE8" w14:textId="77777777" w:rsidR="002E3A7F" w:rsidRPr="001E5666" w:rsidRDefault="002E3A7F" w:rsidP="002E3A7F">
      <w:pPr>
        <w:pStyle w:val="Textonotapie"/>
        <w:ind w:firstLine="709"/>
        <w:jc w:val="both"/>
        <w:rPr>
          <w:rFonts w:ascii="Arial" w:hAnsi="Arial" w:cs="Arial"/>
          <w:sz w:val="18"/>
          <w:szCs w:val="18"/>
          <w:lang w:val="es-ES"/>
        </w:rPr>
      </w:pPr>
      <w:r w:rsidRPr="001E5666">
        <w:rPr>
          <w:rFonts w:ascii="Arial" w:hAnsi="Arial" w:cs="Arial"/>
          <w:sz w:val="18"/>
          <w:szCs w:val="18"/>
          <w:lang w:val="es-ES"/>
        </w:rPr>
        <w:t>En aquellos eventos en que el proponente no tenga la antigüedad suficiente para aportar la información financiera correspondiente a los tres (3) años descritos en el inciso anterior, podrá acreditar dicha información desde su primer cierre fiscal.</w:t>
      </w:r>
    </w:p>
    <w:p w14:paraId="6EDF0F66" w14:textId="77777777" w:rsidR="002E3A7F" w:rsidRPr="001E5666" w:rsidRDefault="002E3A7F" w:rsidP="002E3A7F">
      <w:pPr>
        <w:pStyle w:val="Textonotapie"/>
        <w:ind w:firstLine="709"/>
        <w:jc w:val="both"/>
        <w:rPr>
          <w:rFonts w:ascii="Arial" w:hAnsi="Arial" w:cs="Arial"/>
          <w:sz w:val="18"/>
          <w:szCs w:val="18"/>
          <w:lang w:val="es-CO"/>
        </w:rPr>
      </w:pPr>
      <w:r w:rsidRPr="001E5666">
        <w:rPr>
          <w:rFonts w:ascii="Arial" w:hAnsi="Arial" w:cs="Arial"/>
          <w:sz w:val="18"/>
          <w:szCs w:val="18"/>
          <w:lang w:val="es-ES"/>
        </w:rPr>
        <w:t>El proponente que tenga inscrita en la cámara de comercio la información de la capacidad financiera y organizacional de los años 2019 y/o 2020, no deberá presentar la información que repose en la respectiva cámara de comercio, la cual conservará la firmeza para efectos de su certificación</w:t>
      </w:r>
      <w:r>
        <w:rPr>
          <w:rFonts w:ascii="Arial" w:hAnsi="Arial" w:cs="Arial"/>
          <w:sz w:val="18"/>
          <w:szCs w:val="18"/>
          <w:lang w:val="es-ES"/>
        </w:rPr>
        <w:t>”</w:t>
      </w:r>
      <w:r w:rsidRPr="004B6D51">
        <w:rPr>
          <w:rFonts w:ascii="Arial" w:hAnsi="Arial" w:cs="Arial"/>
          <w:sz w:val="18"/>
          <w:szCs w:val="18"/>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7E5E717"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13</w:t>
    </w:r>
  </w:p>
  <w:p w14:paraId="5E18350A" w14:textId="3833E343"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CB6357">
      <w:rPr>
        <w:rFonts w:ascii="Century Gothic" w:eastAsia="Geo" w:hAnsi="Century Gothic" w:cs="Geo"/>
        <w:sz w:val="16"/>
        <w:szCs w:val="16"/>
        <w:lang w:eastAsia="es-CO"/>
      </w:rPr>
      <w:t>1</w:t>
    </w:r>
    <w:r w:rsidRPr="004A305D">
      <w:rPr>
        <w:rFonts w:ascii="Century Gothic" w:eastAsia="Geo" w:hAnsi="Century Gothic" w:cs="Geo"/>
        <w:sz w:val="16"/>
        <w:szCs w:val="16"/>
        <w:lang w:eastAsia="es-CO"/>
      </w:rPr>
      <w:t xml:space="preserve"> DEL </w:t>
    </w:r>
    <w:r w:rsidR="00CB6357">
      <w:rPr>
        <w:rFonts w:ascii="Century Gothic" w:eastAsia="Geo" w:hAnsi="Century Gothic" w:cs="Geo"/>
        <w:sz w:val="16"/>
        <w:szCs w:val="16"/>
        <w:lang w:eastAsia="es-CO"/>
      </w:rPr>
      <w:t xml:space="preserve">15 </w:t>
    </w:r>
    <w:r w:rsidRPr="004A305D">
      <w:rPr>
        <w:rFonts w:ascii="Century Gothic" w:eastAsia="Geo" w:hAnsi="Century Gothic" w:cs="Geo"/>
        <w:sz w:val="16"/>
        <w:szCs w:val="16"/>
        <w:lang w:eastAsia="es-CO"/>
      </w:rPr>
      <w:t xml:space="preserve">DE </w:t>
    </w:r>
    <w:r w:rsidR="00961B09">
      <w:rPr>
        <w:rFonts w:ascii="Century Gothic" w:eastAsia="Geo" w:hAnsi="Century Gothic" w:cs="Geo"/>
        <w:sz w:val="16"/>
        <w:szCs w:val="16"/>
        <w:lang w:eastAsia="es-CO"/>
      </w:rPr>
      <w:t>JUNIO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48779781">
    <w:abstractNumId w:val="3"/>
  </w:num>
  <w:num w:numId="2" w16cid:durableId="19822139">
    <w:abstractNumId w:val="1"/>
  </w:num>
  <w:num w:numId="3" w16cid:durableId="876742304">
    <w:abstractNumId w:val="2"/>
  </w:num>
  <w:num w:numId="4" w16cid:durableId="2451864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1359967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2A1B"/>
    <w:rsid w:val="000129B1"/>
    <w:rsid w:val="00032926"/>
    <w:rsid w:val="00087826"/>
    <w:rsid w:val="000A6179"/>
    <w:rsid w:val="000A683E"/>
    <w:rsid w:val="000B19B9"/>
    <w:rsid w:val="000D0334"/>
    <w:rsid w:val="000F6486"/>
    <w:rsid w:val="00116A66"/>
    <w:rsid w:val="00125105"/>
    <w:rsid w:val="00127233"/>
    <w:rsid w:val="00147356"/>
    <w:rsid w:val="001A050E"/>
    <w:rsid w:val="001C2E9A"/>
    <w:rsid w:val="001C409B"/>
    <w:rsid w:val="001D5B56"/>
    <w:rsid w:val="001E4177"/>
    <w:rsid w:val="00214BF8"/>
    <w:rsid w:val="00236A10"/>
    <w:rsid w:val="00262D79"/>
    <w:rsid w:val="00267CD3"/>
    <w:rsid w:val="00284FDF"/>
    <w:rsid w:val="002951A0"/>
    <w:rsid w:val="002962BC"/>
    <w:rsid w:val="002A093D"/>
    <w:rsid w:val="002A11E0"/>
    <w:rsid w:val="002A49AC"/>
    <w:rsid w:val="002A64FD"/>
    <w:rsid w:val="002C1393"/>
    <w:rsid w:val="002C7A84"/>
    <w:rsid w:val="002E36F1"/>
    <w:rsid w:val="002E3A7F"/>
    <w:rsid w:val="002E796E"/>
    <w:rsid w:val="002E7E5B"/>
    <w:rsid w:val="00323AF9"/>
    <w:rsid w:val="003448F4"/>
    <w:rsid w:val="00382716"/>
    <w:rsid w:val="003A352F"/>
    <w:rsid w:val="003A779E"/>
    <w:rsid w:val="003D0D96"/>
    <w:rsid w:val="003D0F4D"/>
    <w:rsid w:val="003D4CA6"/>
    <w:rsid w:val="003E0499"/>
    <w:rsid w:val="003E246F"/>
    <w:rsid w:val="003E5056"/>
    <w:rsid w:val="003F3941"/>
    <w:rsid w:val="003F62FF"/>
    <w:rsid w:val="00400548"/>
    <w:rsid w:val="00442537"/>
    <w:rsid w:val="00455AB7"/>
    <w:rsid w:val="00491993"/>
    <w:rsid w:val="00493953"/>
    <w:rsid w:val="00496C58"/>
    <w:rsid w:val="004A1603"/>
    <w:rsid w:val="004A1847"/>
    <w:rsid w:val="004A305D"/>
    <w:rsid w:val="004B2338"/>
    <w:rsid w:val="004B26EE"/>
    <w:rsid w:val="004C0805"/>
    <w:rsid w:val="004C4BF8"/>
    <w:rsid w:val="004D1ECB"/>
    <w:rsid w:val="004F1350"/>
    <w:rsid w:val="004F21C4"/>
    <w:rsid w:val="004F685F"/>
    <w:rsid w:val="00503D73"/>
    <w:rsid w:val="00514EAD"/>
    <w:rsid w:val="005377D6"/>
    <w:rsid w:val="005566E8"/>
    <w:rsid w:val="00560417"/>
    <w:rsid w:val="005620B9"/>
    <w:rsid w:val="00574867"/>
    <w:rsid w:val="005C5CDC"/>
    <w:rsid w:val="005D0918"/>
    <w:rsid w:val="005D476C"/>
    <w:rsid w:val="005E58BA"/>
    <w:rsid w:val="00614B0D"/>
    <w:rsid w:val="0062127D"/>
    <w:rsid w:val="006219F8"/>
    <w:rsid w:val="006449C9"/>
    <w:rsid w:val="00652649"/>
    <w:rsid w:val="00665D70"/>
    <w:rsid w:val="00685AED"/>
    <w:rsid w:val="006B679D"/>
    <w:rsid w:val="006B7734"/>
    <w:rsid w:val="006E46E9"/>
    <w:rsid w:val="006E7E74"/>
    <w:rsid w:val="00706C16"/>
    <w:rsid w:val="00733F04"/>
    <w:rsid w:val="007409B2"/>
    <w:rsid w:val="0074450E"/>
    <w:rsid w:val="00753F3A"/>
    <w:rsid w:val="00756841"/>
    <w:rsid w:val="007649AB"/>
    <w:rsid w:val="00766794"/>
    <w:rsid w:val="007833AC"/>
    <w:rsid w:val="007842EE"/>
    <w:rsid w:val="007A28C3"/>
    <w:rsid w:val="007A2ECB"/>
    <w:rsid w:val="007B7171"/>
    <w:rsid w:val="007C3DC2"/>
    <w:rsid w:val="007E0AF2"/>
    <w:rsid w:val="007E48CD"/>
    <w:rsid w:val="007E5497"/>
    <w:rsid w:val="007E6569"/>
    <w:rsid w:val="00801DBA"/>
    <w:rsid w:val="00806F5F"/>
    <w:rsid w:val="00820278"/>
    <w:rsid w:val="00824E8B"/>
    <w:rsid w:val="00841B86"/>
    <w:rsid w:val="008729D2"/>
    <w:rsid w:val="00874086"/>
    <w:rsid w:val="008843B6"/>
    <w:rsid w:val="00891928"/>
    <w:rsid w:val="008A446D"/>
    <w:rsid w:val="008B380D"/>
    <w:rsid w:val="008F0EA7"/>
    <w:rsid w:val="008F2D2F"/>
    <w:rsid w:val="009178D3"/>
    <w:rsid w:val="00923EEF"/>
    <w:rsid w:val="009419F9"/>
    <w:rsid w:val="00945FCF"/>
    <w:rsid w:val="00946A4B"/>
    <w:rsid w:val="0094704D"/>
    <w:rsid w:val="0095228C"/>
    <w:rsid w:val="009554C7"/>
    <w:rsid w:val="0095669E"/>
    <w:rsid w:val="00961B09"/>
    <w:rsid w:val="00964C75"/>
    <w:rsid w:val="00965334"/>
    <w:rsid w:val="0097093E"/>
    <w:rsid w:val="009A45A7"/>
    <w:rsid w:val="009B3972"/>
    <w:rsid w:val="009B41EA"/>
    <w:rsid w:val="009C56CC"/>
    <w:rsid w:val="009C71FA"/>
    <w:rsid w:val="009C72E7"/>
    <w:rsid w:val="009E222D"/>
    <w:rsid w:val="009F2FC1"/>
    <w:rsid w:val="009F40A2"/>
    <w:rsid w:val="00A04635"/>
    <w:rsid w:val="00A17F13"/>
    <w:rsid w:val="00A20739"/>
    <w:rsid w:val="00A26F06"/>
    <w:rsid w:val="00A33C78"/>
    <w:rsid w:val="00A35B4D"/>
    <w:rsid w:val="00A5128B"/>
    <w:rsid w:val="00A559EE"/>
    <w:rsid w:val="00A84337"/>
    <w:rsid w:val="00A932E3"/>
    <w:rsid w:val="00A97CA3"/>
    <w:rsid w:val="00AA3A92"/>
    <w:rsid w:val="00AB0ADB"/>
    <w:rsid w:val="00AD2873"/>
    <w:rsid w:val="00AD290C"/>
    <w:rsid w:val="00AE33E3"/>
    <w:rsid w:val="00B04835"/>
    <w:rsid w:val="00B12ADA"/>
    <w:rsid w:val="00B13C3A"/>
    <w:rsid w:val="00B27C93"/>
    <w:rsid w:val="00B35C6B"/>
    <w:rsid w:val="00B47834"/>
    <w:rsid w:val="00B5687D"/>
    <w:rsid w:val="00B659E2"/>
    <w:rsid w:val="00B66E77"/>
    <w:rsid w:val="00B72CD3"/>
    <w:rsid w:val="00B72FFF"/>
    <w:rsid w:val="00B87EF2"/>
    <w:rsid w:val="00B965AC"/>
    <w:rsid w:val="00BA0A91"/>
    <w:rsid w:val="00BA5973"/>
    <w:rsid w:val="00BC5FE7"/>
    <w:rsid w:val="00BD7B99"/>
    <w:rsid w:val="00BD7F72"/>
    <w:rsid w:val="00BE0FAA"/>
    <w:rsid w:val="00BF17C4"/>
    <w:rsid w:val="00C04FB3"/>
    <w:rsid w:val="00C330EB"/>
    <w:rsid w:val="00C34BA9"/>
    <w:rsid w:val="00C36B65"/>
    <w:rsid w:val="00C37F63"/>
    <w:rsid w:val="00C55442"/>
    <w:rsid w:val="00C62764"/>
    <w:rsid w:val="00C754BE"/>
    <w:rsid w:val="00CA1AEE"/>
    <w:rsid w:val="00CB6357"/>
    <w:rsid w:val="00CC0136"/>
    <w:rsid w:val="00CC1B26"/>
    <w:rsid w:val="00CE3C53"/>
    <w:rsid w:val="00D03460"/>
    <w:rsid w:val="00D065B2"/>
    <w:rsid w:val="00D0661D"/>
    <w:rsid w:val="00D23C73"/>
    <w:rsid w:val="00D423A2"/>
    <w:rsid w:val="00D63AC2"/>
    <w:rsid w:val="00D7383B"/>
    <w:rsid w:val="00DA1009"/>
    <w:rsid w:val="00DA231B"/>
    <w:rsid w:val="00DB76DE"/>
    <w:rsid w:val="00DC7FD2"/>
    <w:rsid w:val="00DD3D39"/>
    <w:rsid w:val="00DD6DD6"/>
    <w:rsid w:val="00DE0122"/>
    <w:rsid w:val="00DF06D5"/>
    <w:rsid w:val="00DF2195"/>
    <w:rsid w:val="00DF2297"/>
    <w:rsid w:val="00E03778"/>
    <w:rsid w:val="00E16408"/>
    <w:rsid w:val="00E20894"/>
    <w:rsid w:val="00E245AB"/>
    <w:rsid w:val="00E46E51"/>
    <w:rsid w:val="00E47BF6"/>
    <w:rsid w:val="00E50AFE"/>
    <w:rsid w:val="00E70688"/>
    <w:rsid w:val="00E771DC"/>
    <w:rsid w:val="00E8772A"/>
    <w:rsid w:val="00E87E29"/>
    <w:rsid w:val="00E90F6B"/>
    <w:rsid w:val="00E91AFD"/>
    <w:rsid w:val="00E9276E"/>
    <w:rsid w:val="00E92C27"/>
    <w:rsid w:val="00EA0E3D"/>
    <w:rsid w:val="00ED0281"/>
    <w:rsid w:val="00EE1AA8"/>
    <w:rsid w:val="00EE5256"/>
    <w:rsid w:val="00F1591D"/>
    <w:rsid w:val="00F204AB"/>
    <w:rsid w:val="00F27097"/>
    <w:rsid w:val="00F31EDC"/>
    <w:rsid w:val="00F3785E"/>
    <w:rsid w:val="00F52839"/>
    <w:rsid w:val="00F54291"/>
    <w:rsid w:val="00F5664F"/>
    <w:rsid w:val="00F60225"/>
    <w:rsid w:val="00F60B0E"/>
    <w:rsid w:val="00F76AFC"/>
    <w:rsid w:val="00F93761"/>
    <w:rsid w:val="00FB273D"/>
    <w:rsid w:val="00FB5DD1"/>
    <w:rsid w:val="00FC2B5D"/>
    <w:rsid w:val="00FE5A2A"/>
    <w:rsid w:val="00FF1449"/>
    <w:rsid w:val="5411EC76"/>
    <w:rsid w:val="7BE23E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semiHidden/>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66794"/>
    <w:rPr>
      <w:rFonts w:ascii="Geomanist Light" w:hAnsi="Geomanist Light"/>
      <w:lang w:val="es-ES"/>
    </w:rPr>
  </w:style>
  <w:style w:type="paragraph" w:customStyle="1" w:styleId="Appelnotedebasde">
    <w:name w:val="Appel note de bas de..."/>
    <w:basedOn w:val="Normal"/>
    <w:link w:val="Refdenotaalpie"/>
    <w:uiPriority w:val="99"/>
    <w:rsid w:val="008729D2"/>
    <w:pPr>
      <w:spacing w:line="240" w:lineRule="exact"/>
    </w:pPr>
    <w:rPr>
      <w:vertAlign w:val="superscript"/>
    </w:rPr>
  </w:style>
  <w:style w:type="paragraph" w:styleId="NormalWeb">
    <w:name w:val="Normal (Web)"/>
    <w:basedOn w:val="Normal"/>
    <w:link w:val="NormalWebCar"/>
    <w:uiPriority w:val="99"/>
    <w:unhideWhenUsed/>
    <w:rsid w:val="002E3A7F"/>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2E3A7F"/>
    <w:rPr>
      <w:rFonts w:ascii="Times New Roman" w:eastAsia="Times New Roman" w:hAnsi="Times New Roman" w:cs="Times New Roman"/>
      <w:sz w:val="24"/>
      <w:szCs w:val="24"/>
      <w:lang w:eastAsia="es-CO"/>
    </w:rPr>
  </w:style>
  <w:style w:type="character" w:styleId="Refdecomentario">
    <w:name w:val="annotation reference"/>
    <w:basedOn w:val="Fuentedeprrafopredeter"/>
    <w:uiPriority w:val="99"/>
    <w:semiHidden/>
    <w:unhideWhenUsed/>
    <w:rsid w:val="00B659E2"/>
    <w:rPr>
      <w:sz w:val="16"/>
      <w:szCs w:val="16"/>
    </w:rPr>
  </w:style>
  <w:style w:type="paragraph" w:styleId="Textocomentario">
    <w:name w:val="annotation text"/>
    <w:basedOn w:val="Normal"/>
    <w:link w:val="TextocomentarioCar"/>
    <w:uiPriority w:val="99"/>
    <w:unhideWhenUsed/>
    <w:rsid w:val="00B659E2"/>
    <w:pPr>
      <w:spacing w:line="240" w:lineRule="auto"/>
    </w:pPr>
    <w:rPr>
      <w:sz w:val="20"/>
      <w:szCs w:val="20"/>
    </w:rPr>
  </w:style>
  <w:style w:type="character" w:customStyle="1" w:styleId="TextocomentarioCar">
    <w:name w:val="Texto comentario Car"/>
    <w:basedOn w:val="Fuentedeprrafopredeter"/>
    <w:link w:val="Textocomentario"/>
    <w:uiPriority w:val="99"/>
    <w:rsid w:val="00B659E2"/>
    <w:rPr>
      <w:sz w:val="20"/>
      <w:szCs w:val="20"/>
    </w:rPr>
  </w:style>
  <w:style w:type="paragraph" w:styleId="Asuntodelcomentario">
    <w:name w:val="annotation subject"/>
    <w:basedOn w:val="Textocomentario"/>
    <w:next w:val="Textocomentario"/>
    <w:link w:val="AsuntodelcomentarioCar"/>
    <w:uiPriority w:val="99"/>
    <w:semiHidden/>
    <w:unhideWhenUsed/>
    <w:rsid w:val="00B659E2"/>
    <w:rPr>
      <w:b/>
      <w:bCs/>
    </w:rPr>
  </w:style>
  <w:style w:type="character" w:customStyle="1" w:styleId="AsuntodelcomentarioCar">
    <w:name w:val="Asunto del comentario Car"/>
    <w:basedOn w:val="TextocomentarioCar"/>
    <w:link w:val="Asuntodelcomentario"/>
    <w:uiPriority w:val="99"/>
    <w:semiHidden/>
    <w:rsid w:val="00B659E2"/>
    <w:rPr>
      <w:b/>
      <w:bCs/>
      <w:sz w:val="20"/>
      <w:szCs w:val="20"/>
    </w:rPr>
  </w:style>
  <w:style w:type="paragraph" w:styleId="Revisin">
    <w:name w:val="Revision"/>
    <w:hidden/>
    <w:uiPriority w:val="99"/>
    <w:semiHidden/>
    <w:rsid w:val="00B659E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221308">
      <w:bodyDiv w:val="1"/>
      <w:marLeft w:val="0"/>
      <w:marRight w:val="0"/>
      <w:marTop w:val="0"/>
      <w:marBottom w:val="0"/>
      <w:divBdr>
        <w:top w:val="none" w:sz="0" w:space="0" w:color="auto"/>
        <w:left w:val="none" w:sz="0" w:space="0" w:color="auto"/>
        <w:bottom w:val="none" w:sz="0" w:space="0" w:color="auto"/>
        <w:right w:val="none" w:sz="0" w:space="0" w:color="auto"/>
      </w:divBdr>
    </w:div>
    <w:div w:id="582371843">
      <w:bodyDiv w:val="1"/>
      <w:marLeft w:val="0"/>
      <w:marRight w:val="0"/>
      <w:marTop w:val="0"/>
      <w:marBottom w:val="0"/>
      <w:divBdr>
        <w:top w:val="none" w:sz="0" w:space="0" w:color="auto"/>
        <w:left w:val="none" w:sz="0" w:space="0" w:color="auto"/>
        <w:bottom w:val="none" w:sz="0" w:space="0" w:color="auto"/>
        <w:right w:val="none" w:sz="0" w:space="0" w:color="auto"/>
      </w:divBdr>
      <w:divsChild>
        <w:div w:id="2084640907">
          <w:marLeft w:val="0"/>
          <w:marRight w:val="0"/>
          <w:marTop w:val="0"/>
          <w:marBottom w:val="0"/>
          <w:divBdr>
            <w:top w:val="none" w:sz="0" w:space="0" w:color="auto"/>
            <w:left w:val="none" w:sz="0" w:space="0" w:color="auto"/>
            <w:bottom w:val="none" w:sz="0" w:space="0" w:color="auto"/>
            <w:right w:val="none" w:sz="0" w:space="0" w:color="auto"/>
          </w:divBdr>
        </w:div>
      </w:divsChild>
    </w:div>
    <w:div w:id="889923320">
      <w:bodyDiv w:val="1"/>
      <w:marLeft w:val="0"/>
      <w:marRight w:val="0"/>
      <w:marTop w:val="0"/>
      <w:marBottom w:val="0"/>
      <w:divBdr>
        <w:top w:val="none" w:sz="0" w:space="0" w:color="auto"/>
        <w:left w:val="none" w:sz="0" w:space="0" w:color="auto"/>
        <w:bottom w:val="none" w:sz="0" w:space="0" w:color="auto"/>
        <w:right w:val="none" w:sz="0" w:space="0" w:color="auto"/>
      </w:divBdr>
    </w:div>
    <w:div w:id="1077244183">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mp"/><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20"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Props1.xml><?xml version="1.0" encoding="utf-8"?>
<ds:datastoreItem xmlns:ds="http://schemas.openxmlformats.org/officeDocument/2006/customXml" ds:itemID="{09ACAC7A-4299-4327-913D-C25C5E0469F1}">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918ACDC1-C9A1-441A-B80C-246FB3953D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4383</Words>
  <Characters>24110</Characters>
  <Application>Microsoft Office Word</Application>
  <DocSecurity>0</DocSecurity>
  <Lines>200</Lines>
  <Paragraphs>56</Paragraphs>
  <ScaleCrop>false</ScaleCrop>
  <Company/>
  <LinksUpToDate>false</LinksUpToDate>
  <CharactersWithSpaces>28437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2023-01-10T21:18:00Z</cp:lastPrinted>
  <dcterms:created xsi:type="dcterms:W3CDTF">2023-10-20T16:37:00Z</dcterms:created>
  <dcterms:modified xsi:type="dcterms:W3CDTF">2023-10-20T16:37:00Z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