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850F5F" w14:textId="77777777" w:rsidR="00E55173" w:rsidRPr="00790BA8" w:rsidRDefault="00E55173" w:rsidP="00790BA8">
      <w:pPr>
        <w:spacing w:after="0" w:line="240" w:lineRule="auto"/>
        <w:rPr>
          <w:rFonts w:ascii="Verdana" w:hAnsi="Verdana"/>
          <w:b/>
          <w:sz w:val="20"/>
          <w:szCs w:val="20"/>
        </w:rPr>
      </w:pPr>
      <w:bookmarkStart w:id="0" w:name="_Hlk143780582"/>
    </w:p>
    <w:p w14:paraId="17409FFE" w14:textId="5DA7440A" w:rsidR="00A25FA6" w:rsidRPr="00790BA8" w:rsidRDefault="00BD18AD" w:rsidP="00790BA8">
      <w:pPr>
        <w:spacing w:line="240" w:lineRule="auto"/>
        <w:jc w:val="both"/>
        <w:rPr>
          <w:rFonts w:ascii="Verdana" w:eastAsia="Calibri" w:hAnsi="Verdana" w:cs="Arial"/>
          <w:b/>
          <w:sz w:val="20"/>
          <w:szCs w:val="20"/>
          <w:lang w:val="es-MX" w:eastAsia="es-ES"/>
        </w:rPr>
      </w:pPr>
      <w:r w:rsidRPr="00790BA8">
        <w:rPr>
          <w:rFonts w:ascii="Verdana" w:eastAsia="Calibri" w:hAnsi="Verdana" w:cs="Arial"/>
          <w:b/>
          <w:sz w:val="20"/>
          <w:szCs w:val="20"/>
          <w:lang w:val="es-MX" w:eastAsia="es-ES"/>
        </w:rPr>
        <w:t xml:space="preserve">PROPONENTE PLURAL – Consorcios y Uniones Temporales – Capacidad jurídica – Concepto </w:t>
      </w:r>
    </w:p>
    <w:p w14:paraId="7BAA0310" w14:textId="0C8B9767" w:rsidR="000E768F" w:rsidRPr="00790BA8" w:rsidRDefault="000E768F" w:rsidP="00790BA8">
      <w:pPr>
        <w:pStyle w:val="Textoindependiente"/>
        <w:jc w:val="both"/>
        <w:rPr>
          <w:bCs/>
          <w:color w:val="000000" w:themeColor="text1"/>
          <w:sz w:val="20"/>
          <w:szCs w:val="20"/>
          <w:lang w:val="es-ES_tradnl"/>
        </w:rPr>
      </w:pPr>
      <w:r w:rsidRPr="00790BA8">
        <w:rPr>
          <w:bCs/>
          <w:color w:val="000000" w:themeColor="text1"/>
          <w:sz w:val="20"/>
          <w:szCs w:val="20"/>
          <w:lang w:val="es-ES_tradnl"/>
        </w:rPr>
        <w:t>“</w:t>
      </w:r>
      <w:r w:rsidRPr="000E768F">
        <w:rPr>
          <w:bCs/>
          <w:color w:val="000000" w:themeColor="text1"/>
          <w:sz w:val="20"/>
          <w:szCs w:val="20"/>
          <w:lang w:val="es-ES_tradnl"/>
        </w:rPr>
        <w:t>[…]</w:t>
      </w:r>
      <w:r w:rsidRPr="00790BA8">
        <w:rPr>
          <w:bCs/>
          <w:color w:val="000000" w:themeColor="text1"/>
          <w:sz w:val="20"/>
          <w:szCs w:val="20"/>
          <w:lang w:val="es-ES_tradnl"/>
        </w:rPr>
        <w:t xml:space="preserve"> T</w:t>
      </w:r>
      <w:r w:rsidRPr="000E768F">
        <w:rPr>
          <w:bCs/>
          <w:color w:val="000000" w:themeColor="text1"/>
          <w:sz w:val="20"/>
          <w:szCs w:val="20"/>
          <w:lang w:val="es-ES_tradnl"/>
        </w:rPr>
        <w:t>ambién pueden celebrar contratos estatales los consorcios y uniones temporales. No obstante, estos sujetos no son personas jurídicas conforme lo establece el artículo 7 de la Ley 80 de 1993, el cual a su vez los define como un número plural de interesados unidos para la presentación de una oferta en un procedimiento de selección, para la adjudicación, celebración y ejecución de un contrato estatal:</w:t>
      </w:r>
    </w:p>
    <w:p w14:paraId="6AA00DFF" w14:textId="77777777" w:rsidR="000E768F" w:rsidRPr="00790BA8" w:rsidRDefault="000E768F" w:rsidP="00790BA8">
      <w:pPr>
        <w:pStyle w:val="Textoindependiente"/>
        <w:jc w:val="both"/>
        <w:rPr>
          <w:bCs/>
          <w:color w:val="000000" w:themeColor="text1"/>
          <w:sz w:val="20"/>
          <w:szCs w:val="20"/>
          <w:lang w:val="es-ES_tradnl"/>
        </w:rPr>
      </w:pPr>
    </w:p>
    <w:p w14:paraId="3D7D1DD8" w14:textId="77777777" w:rsidR="000E768F" w:rsidRPr="000E768F" w:rsidRDefault="000E768F" w:rsidP="00790BA8">
      <w:pPr>
        <w:pStyle w:val="Textoindependiente"/>
        <w:jc w:val="both"/>
        <w:rPr>
          <w:bCs/>
          <w:color w:val="000000" w:themeColor="text1"/>
          <w:sz w:val="20"/>
          <w:szCs w:val="20"/>
          <w:lang w:val="es-ES_tradnl"/>
        </w:rPr>
      </w:pPr>
      <w:r w:rsidRPr="000E768F">
        <w:rPr>
          <w:bCs/>
          <w:color w:val="000000" w:themeColor="text1"/>
          <w:sz w:val="20"/>
          <w:szCs w:val="20"/>
          <w:lang w:val="es-ES_tradnl"/>
        </w:rPr>
        <w:t>[…]</w:t>
      </w:r>
    </w:p>
    <w:p w14:paraId="2635201D" w14:textId="77777777" w:rsidR="000E768F" w:rsidRPr="000E768F" w:rsidRDefault="000E768F" w:rsidP="00790BA8">
      <w:pPr>
        <w:pStyle w:val="Textoindependiente"/>
        <w:jc w:val="both"/>
        <w:rPr>
          <w:bCs/>
          <w:color w:val="000000" w:themeColor="text1"/>
          <w:sz w:val="20"/>
          <w:szCs w:val="20"/>
          <w:lang w:val="es-ES_tradnl"/>
        </w:rPr>
      </w:pPr>
    </w:p>
    <w:p w14:paraId="20FB4B82" w14:textId="11B74A49" w:rsidR="000E768F" w:rsidRPr="000E768F" w:rsidRDefault="000E768F" w:rsidP="00790BA8">
      <w:pPr>
        <w:pStyle w:val="Textoindependiente"/>
        <w:jc w:val="both"/>
        <w:rPr>
          <w:bCs/>
          <w:color w:val="000000" w:themeColor="text1"/>
          <w:sz w:val="20"/>
          <w:szCs w:val="20"/>
          <w:lang w:val="es-ES_tradnl"/>
        </w:rPr>
      </w:pPr>
      <w:r w:rsidRPr="000E768F">
        <w:rPr>
          <w:color w:val="000000" w:themeColor="text1"/>
          <w:sz w:val="20"/>
          <w:szCs w:val="20"/>
        </w:rPr>
        <w:t>Los consorcios y uniones temporales son convenios de asociación provenientes de la colaboración empresarial, mediante los cuales sus integrantes se unen y organizan mancomunadamente para lograr con mayor eficacia un fin común de contenido patrimonial y lucrativo, como lo es la obtención del derecho a ser adjudicatarios de un contrato estatal. Estos sujetos comparten recursos de toda índole con el propósito de lograr la ejecución del contrato y, al mismo tiempo, compartir las utilidades y los riesgos.</w:t>
      </w:r>
      <w:r w:rsidRPr="00790BA8">
        <w:rPr>
          <w:color w:val="000000" w:themeColor="text1"/>
          <w:sz w:val="20"/>
          <w:szCs w:val="20"/>
        </w:rPr>
        <w:t xml:space="preserve"> </w:t>
      </w:r>
      <w:r w:rsidRPr="000E768F">
        <w:rPr>
          <w:bCs/>
          <w:color w:val="000000" w:themeColor="text1"/>
          <w:sz w:val="20"/>
          <w:szCs w:val="20"/>
          <w:lang w:val="es-ES_tradnl"/>
        </w:rPr>
        <w:t>[…]</w:t>
      </w:r>
      <w:r w:rsidRPr="00790BA8">
        <w:rPr>
          <w:bCs/>
          <w:color w:val="000000" w:themeColor="text1"/>
          <w:sz w:val="20"/>
          <w:szCs w:val="20"/>
          <w:lang w:val="es-ES_tradnl"/>
        </w:rPr>
        <w:t>”</w:t>
      </w:r>
    </w:p>
    <w:p w14:paraId="1275D842" w14:textId="77777777" w:rsidR="00CF67D5" w:rsidRPr="00790BA8" w:rsidRDefault="00CF67D5" w:rsidP="00790BA8">
      <w:pPr>
        <w:pStyle w:val="Textoindependiente"/>
        <w:jc w:val="both"/>
        <w:rPr>
          <w:color w:val="000000" w:themeColor="text1"/>
          <w:sz w:val="20"/>
          <w:szCs w:val="20"/>
        </w:rPr>
      </w:pPr>
    </w:p>
    <w:p w14:paraId="711A429E" w14:textId="0AA67223" w:rsidR="00CA59BE" w:rsidRPr="00790BA8" w:rsidRDefault="00BD18AD" w:rsidP="00790BA8">
      <w:pPr>
        <w:spacing w:line="240" w:lineRule="auto"/>
        <w:jc w:val="both"/>
        <w:rPr>
          <w:rFonts w:ascii="Verdana" w:eastAsia="Calibri" w:hAnsi="Verdana" w:cs="Arial"/>
          <w:b/>
          <w:sz w:val="20"/>
          <w:szCs w:val="20"/>
          <w:lang w:val="es-MX" w:eastAsia="es-ES"/>
        </w:rPr>
      </w:pPr>
      <w:r w:rsidRPr="00790BA8">
        <w:rPr>
          <w:rFonts w:ascii="Verdana" w:eastAsia="Calibri" w:hAnsi="Verdana" w:cs="Arial"/>
          <w:b/>
          <w:sz w:val="20"/>
          <w:szCs w:val="20"/>
          <w:lang w:val="es-MX" w:eastAsia="es-ES"/>
        </w:rPr>
        <w:t>PROPONENTE PLURAL – Creación – Participación – Acuerdo de voluntades</w:t>
      </w:r>
    </w:p>
    <w:p w14:paraId="5BF02BE5" w14:textId="37F0E2A8" w:rsidR="00790BA8" w:rsidRPr="00790BA8" w:rsidRDefault="00790BA8" w:rsidP="00790BA8">
      <w:pPr>
        <w:spacing w:line="240" w:lineRule="auto"/>
        <w:jc w:val="both"/>
        <w:rPr>
          <w:rFonts w:ascii="Verdana" w:eastAsia="Verdana" w:hAnsi="Verdana" w:cs="Verdana"/>
          <w:color w:val="000000" w:themeColor="text1"/>
          <w:sz w:val="20"/>
          <w:szCs w:val="20"/>
          <w:lang w:val="es-MX"/>
        </w:rPr>
      </w:pPr>
      <w:r w:rsidRPr="00790BA8">
        <w:rPr>
          <w:bCs/>
          <w:color w:val="000000" w:themeColor="text1"/>
          <w:sz w:val="20"/>
          <w:szCs w:val="20"/>
          <w:lang w:val="es-ES_tradnl"/>
        </w:rPr>
        <w:t>“</w:t>
      </w:r>
      <w:r w:rsidRPr="000E768F">
        <w:rPr>
          <w:rFonts w:ascii="Verdana" w:eastAsia="Verdana" w:hAnsi="Verdana" w:cs="Verdana"/>
          <w:bCs/>
          <w:color w:val="000000" w:themeColor="text1"/>
          <w:sz w:val="20"/>
          <w:szCs w:val="20"/>
          <w:lang w:val="es-ES_tradnl"/>
        </w:rPr>
        <w:t>[…]</w:t>
      </w:r>
      <w:r w:rsidRPr="00790BA8">
        <w:rPr>
          <w:rFonts w:ascii="Verdana" w:eastAsia="Verdana" w:hAnsi="Verdana" w:cs="Verdana"/>
          <w:bCs/>
          <w:color w:val="000000" w:themeColor="text1"/>
          <w:sz w:val="20"/>
          <w:szCs w:val="20"/>
          <w:lang w:val="es-ES_tradnl"/>
        </w:rPr>
        <w:t xml:space="preserve"> </w:t>
      </w:r>
      <w:r w:rsidRPr="00790BA8">
        <w:rPr>
          <w:rFonts w:ascii="Verdana" w:eastAsia="Verdana" w:hAnsi="Verdana" w:cs="Verdana"/>
          <w:color w:val="000000" w:themeColor="text1"/>
          <w:sz w:val="20"/>
          <w:szCs w:val="20"/>
          <w:lang w:val="es-MX"/>
        </w:rPr>
        <w:t xml:space="preserve">Al no ser los consorcios y uniones temporales personas jurídicas, su creación convencional se logra mediante un acuerdo privado en el que concurre la voluntad de sus integrantes para regular su objeto, la participación de los miembros, las obligaciones frente al proyecto que los une, la responsabilidad de los miembros y la forma en que regirán sus relaciones internas y el relacionamiento con la entidad contratante, mediante la designación de un representante. Así lo exige el parágrafo del artículo 7 de la Ley 80 de 1993 para que el órgano creado con la constitución del consorcio o unión temporal tenga vocación de resultar el adjudicatario del contrato estatal. </w:t>
      </w:r>
    </w:p>
    <w:p w14:paraId="27D0D4F9" w14:textId="0882F072" w:rsidR="00790BA8" w:rsidRPr="00790BA8" w:rsidRDefault="00790BA8" w:rsidP="00790BA8">
      <w:pPr>
        <w:spacing w:line="240" w:lineRule="auto"/>
        <w:jc w:val="both"/>
        <w:rPr>
          <w:rFonts w:ascii="Verdana" w:eastAsia="Verdana" w:hAnsi="Verdana" w:cs="Verdana"/>
          <w:color w:val="000000" w:themeColor="text1"/>
          <w:sz w:val="20"/>
          <w:szCs w:val="20"/>
          <w:lang w:val="es-MX"/>
        </w:rPr>
      </w:pPr>
      <w:r w:rsidRPr="00790BA8">
        <w:rPr>
          <w:rFonts w:ascii="Verdana" w:eastAsia="Verdana" w:hAnsi="Verdana" w:cs="Verdana"/>
          <w:color w:val="000000" w:themeColor="text1"/>
          <w:sz w:val="20"/>
          <w:szCs w:val="20"/>
          <w:lang w:val="es-MX"/>
        </w:rPr>
        <w:t>Por lo anterior, cabe mencionar que el contrato de constitución del consorcio o unión temporal debe designar las facultades del “representante” del ente asociado, designación que tendrá los efectos de la representación previstos en el artículo 1505 del Código Civil: “Lo que una persona ejecuta a nombre de otra, estando facultada por ella o por la ley para representarla, produce respecto del representado iguales efectos que si hubiese contratado él mismo”.</w:t>
      </w:r>
      <w:r w:rsidRPr="00790BA8">
        <w:rPr>
          <w:rFonts w:ascii="Verdana" w:eastAsia="Verdana" w:hAnsi="Verdana" w:cs="Verdana"/>
          <w:bCs/>
          <w:color w:val="000000" w:themeColor="text1"/>
          <w:sz w:val="20"/>
          <w:szCs w:val="20"/>
          <w:lang w:val="es-ES_tradnl"/>
        </w:rPr>
        <w:t xml:space="preserve"> </w:t>
      </w:r>
      <w:r w:rsidRPr="000E768F">
        <w:rPr>
          <w:rFonts w:ascii="Verdana" w:eastAsia="Verdana" w:hAnsi="Verdana" w:cs="Verdana"/>
          <w:bCs/>
          <w:color w:val="000000" w:themeColor="text1"/>
          <w:sz w:val="20"/>
          <w:szCs w:val="20"/>
          <w:lang w:val="es-ES_tradnl"/>
        </w:rPr>
        <w:t>[…]</w:t>
      </w:r>
      <w:r w:rsidRPr="00790BA8">
        <w:rPr>
          <w:bCs/>
          <w:color w:val="000000" w:themeColor="text1"/>
          <w:sz w:val="20"/>
          <w:szCs w:val="20"/>
          <w:lang w:val="es-ES_tradnl"/>
        </w:rPr>
        <w:t>”</w:t>
      </w:r>
    </w:p>
    <w:p w14:paraId="2342A802" w14:textId="77777777" w:rsidR="00CF67D5" w:rsidRPr="00790BA8" w:rsidRDefault="00CF67D5" w:rsidP="00CF67D5">
      <w:pPr>
        <w:spacing w:line="240" w:lineRule="auto"/>
        <w:jc w:val="both"/>
        <w:rPr>
          <w:rFonts w:ascii="Verdana" w:hAnsi="Verdana"/>
          <w:lang w:val="es-MX"/>
        </w:rPr>
      </w:pPr>
    </w:p>
    <w:p w14:paraId="57994F66" w14:textId="77777777" w:rsidR="00CA59BE" w:rsidRDefault="00CA59BE" w:rsidP="00E245AB">
      <w:pPr>
        <w:spacing w:after="0"/>
        <w:rPr>
          <w:rFonts w:ascii="Verdana" w:hAnsi="Verdana"/>
          <w:lang w:val="es-MX"/>
        </w:rPr>
      </w:pPr>
    </w:p>
    <w:p w14:paraId="09B25D88" w14:textId="77777777" w:rsidR="00CA59BE" w:rsidRDefault="00CA59BE" w:rsidP="00E245AB">
      <w:pPr>
        <w:spacing w:after="0"/>
        <w:rPr>
          <w:rFonts w:ascii="Verdana" w:hAnsi="Verdana"/>
          <w:lang w:val="es-MX"/>
        </w:rPr>
      </w:pPr>
    </w:p>
    <w:p w14:paraId="0C49AB03" w14:textId="77777777" w:rsidR="00CA59BE" w:rsidRDefault="00CA59BE" w:rsidP="00E245AB">
      <w:pPr>
        <w:spacing w:after="0"/>
        <w:rPr>
          <w:rFonts w:ascii="Verdana" w:hAnsi="Verdana"/>
          <w:lang w:val="es-MX"/>
        </w:rPr>
      </w:pPr>
    </w:p>
    <w:p w14:paraId="0169F46E" w14:textId="77777777" w:rsidR="00CA59BE" w:rsidRDefault="00CA59BE" w:rsidP="00E245AB">
      <w:pPr>
        <w:spacing w:after="0"/>
        <w:rPr>
          <w:rFonts w:ascii="Verdana" w:hAnsi="Verdana"/>
          <w:lang w:val="es-MX"/>
        </w:rPr>
      </w:pPr>
    </w:p>
    <w:p w14:paraId="289688ED" w14:textId="77777777" w:rsidR="00CA59BE" w:rsidRDefault="00CA59BE" w:rsidP="00E245AB">
      <w:pPr>
        <w:spacing w:after="0"/>
        <w:rPr>
          <w:rFonts w:ascii="Verdana" w:hAnsi="Verdana"/>
          <w:lang w:val="es-MX"/>
        </w:rPr>
      </w:pPr>
    </w:p>
    <w:p w14:paraId="1CE256A5" w14:textId="77777777" w:rsidR="00CA59BE" w:rsidRDefault="00CA59BE" w:rsidP="00E245AB">
      <w:pPr>
        <w:spacing w:after="0"/>
        <w:rPr>
          <w:rFonts w:ascii="Verdana" w:hAnsi="Verdana"/>
          <w:lang w:val="es-MX"/>
        </w:rPr>
      </w:pPr>
    </w:p>
    <w:p w14:paraId="79D459FC" w14:textId="77777777" w:rsidR="00CA59BE" w:rsidRPr="00BD18AD" w:rsidRDefault="00CA59BE" w:rsidP="00E245AB">
      <w:pPr>
        <w:spacing w:after="0"/>
        <w:rPr>
          <w:rFonts w:ascii="Verdana" w:hAnsi="Verdana"/>
          <w:lang w:val="es-MX"/>
        </w:rPr>
      </w:pPr>
    </w:p>
    <w:p w14:paraId="04B7E46D" w14:textId="77777777" w:rsidR="00E55173" w:rsidRPr="009B0851" w:rsidRDefault="00E55173" w:rsidP="00E245AB">
      <w:pPr>
        <w:spacing w:after="0"/>
        <w:rPr>
          <w:rFonts w:ascii="Verdana" w:hAnsi="Verdana"/>
        </w:rPr>
      </w:pPr>
    </w:p>
    <w:p w14:paraId="4833D115" w14:textId="77777777" w:rsidR="00790BA8" w:rsidRDefault="00790BA8" w:rsidP="00E245AB">
      <w:pPr>
        <w:spacing w:after="0"/>
        <w:rPr>
          <w:rFonts w:ascii="Verdana" w:hAnsi="Verdana"/>
        </w:rPr>
      </w:pPr>
    </w:p>
    <w:p w14:paraId="3FE2184B" w14:textId="224EE855" w:rsidR="00E245AB" w:rsidRPr="009B0851" w:rsidRDefault="00E245AB" w:rsidP="00E245AB">
      <w:pPr>
        <w:spacing w:after="0"/>
        <w:rPr>
          <w:rFonts w:ascii="Verdana" w:hAnsi="Verdana"/>
        </w:rPr>
      </w:pPr>
      <w:r w:rsidRPr="009B0851">
        <w:rPr>
          <w:rFonts w:ascii="Verdana" w:hAnsi="Verdana"/>
        </w:rPr>
        <w:t xml:space="preserve">Bogotá D.C., </w:t>
      </w:r>
      <w:r w:rsidR="00035509">
        <w:rPr>
          <w:rFonts w:ascii="Verdana" w:hAnsi="Verdana"/>
        </w:rPr>
        <w:t>30 de agosto del 2024</w:t>
      </w:r>
      <w:r w:rsidR="00891928" w:rsidRPr="009B0851">
        <w:rPr>
          <w:rFonts w:ascii="Verdana" w:hAnsi="Verdana"/>
        </w:rPr>
        <w:tab/>
      </w:r>
    </w:p>
    <w:p w14:paraId="5FCADBF9" w14:textId="77777777" w:rsidR="00E245AB" w:rsidRPr="009B0851" w:rsidRDefault="00E245AB" w:rsidP="00E245AB">
      <w:pPr>
        <w:spacing w:after="0"/>
        <w:rPr>
          <w:rFonts w:ascii="Verdana" w:hAnsi="Verdana"/>
        </w:rPr>
      </w:pPr>
    </w:p>
    <w:p w14:paraId="0465BA6D" w14:textId="4E3244A6" w:rsidR="00E245AB" w:rsidRPr="009B0851" w:rsidRDefault="00194264" w:rsidP="00194264">
      <w:pPr>
        <w:spacing w:after="0"/>
        <w:jc w:val="right"/>
        <w:rPr>
          <w:rFonts w:ascii="Verdana" w:hAnsi="Verdana"/>
        </w:rPr>
      </w:pPr>
      <w:r w:rsidRPr="00194264">
        <w:rPr>
          <w:rFonts w:ascii="Verdana" w:hAnsi="Verdana"/>
        </w:rPr>
        <w:drawing>
          <wp:inline distT="0" distB="0" distL="0" distR="0" wp14:anchorId="79808093" wp14:editId="0EF9857D">
            <wp:extent cx="3009900" cy="790575"/>
            <wp:effectExtent l="0" t="0" r="0" b="9525"/>
            <wp:docPr id="12115075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507550" name=""/>
                    <pic:cNvPicPr/>
                  </pic:nvPicPr>
                  <pic:blipFill>
                    <a:blip r:embed="rId10"/>
                    <a:stretch>
                      <a:fillRect/>
                    </a:stretch>
                  </pic:blipFill>
                  <pic:spPr>
                    <a:xfrm>
                      <a:off x="0" y="0"/>
                      <a:ext cx="3009900" cy="790575"/>
                    </a:xfrm>
                    <a:prstGeom prst="rect">
                      <a:avLst/>
                    </a:prstGeom>
                  </pic:spPr>
                </pic:pic>
              </a:graphicData>
            </a:graphic>
          </wp:inline>
        </w:drawing>
      </w:r>
    </w:p>
    <w:bookmarkEnd w:id="0"/>
    <w:p w14:paraId="0A4B2C2C" w14:textId="606A4C17" w:rsidR="00A75AA4" w:rsidRPr="009B0851" w:rsidRDefault="00A75AA4" w:rsidP="00A75AA4">
      <w:pPr>
        <w:spacing w:after="0" w:line="240" w:lineRule="auto"/>
        <w:jc w:val="both"/>
        <w:rPr>
          <w:rFonts w:ascii="Verdana" w:eastAsia="Calibri" w:hAnsi="Verdana" w:cs="Arial"/>
          <w:lang w:val="es-ES" w:eastAsia="es-ES"/>
        </w:rPr>
      </w:pPr>
      <w:r w:rsidRPr="009B0851">
        <w:rPr>
          <w:rFonts w:ascii="Verdana" w:eastAsia="Calibri" w:hAnsi="Verdana" w:cs="Arial"/>
          <w:lang w:val="es-ES" w:eastAsia="es-ES"/>
        </w:rPr>
        <w:t>Señor</w:t>
      </w:r>
      <w:r w:rsidR="00A70C34" w:rsidRPr="009B0851">
        <w:rPr>
          <w:rFonts w:ascii="Verdana" w:eastAsia="Calibri" w:hAnsi="Verdana" w:cs="Arial"/>
          <w:lang w:val="es-ES" w:eastAsia="es-ES"/>
        </w:rPr>
        <w:t>a:</w:t>
      </w:r>
    </w:p>
    <w:p w14:paraId="00EA4870" w14:textId="21197E4A" w:rsidR="00A75AA4" w:rsidRPr="009B0851" w:rsidRDefault="00405809" w:rsidP="00A75AA4">
      <w:pPr>
        <w:spacing w:after="0" w:line="240" w:lineRule="auto"/>
        <w:rPr>
          <w:rFonts w:ascii="Verdana" w:eastAsia="Calibri" w:hAnsi="Verdana" w:cs="Arial"/>
          <w:b/>
          <w:lang w:val="es-ES_tradnl" w:eastAsia="es-ES_tradnl"/>
        </w:rPr>
      </w:pPr>
      <w:r w:rsidRPr="009B0851">
        <w:rPr>
          <w:rFonts w:ascii="Verdana" w:eastAsia="Calibri" w:hAnsi="Verdana" w:cs="Arial"/>
          <w:b/>
          <w:lang w:val="es-ES_tradnl" w:eastAsia="es-ES_tradnl"/>
        </w:rPr>
        <w:t xml:space="preserve">Diana Marcela Trujillo </w:t>
      </w:r>
      <w:r w:rsidR="00761717" w:rsidRPr="009B0851">
        <w:rPr>
          <w:rFonts w:ascii="Verdana" w:eastAsia="Calibri" w:hAnsi="Verdana" w:cs="Arial"/>
          <w:b/>
          <w:lang w:val="es-ES_tradnl" w:eastAsia="es-ES_tradnl"/>
        </w:rPr>
        <w:t>Florián</w:t>
      </w:r>
    </w:p>
    <w:p w14:paraId="2CD8AE95" w14:textId="4BDF8B10" w:rsidR="00761717" w:rsidRPr="009B0851" w:rsidRDefault="00790BA8" w:rsidP="00A75AA4">
      <w:pPr>
        <w:spacing w:after="0" w:line="240" w:lineRule="auto"/>
        <w:rPr>
          <w:rFonts w:ascii="Verdana" w:eastAsia="Calibri" w:hAnsi="Verdana" w:cs="Arial"/>
          <w:u w:val="single"/>
          <w:lang w:val="es-ES" w:eastAsia="es-ES"/>
        </w:rPr>
      </w:pPr>
      <w:hyperlink r:id="rId11" w:history="1">
        <w:r w:rsidR="00761717" w:rsidRPr="009B0851">
          <w:rPr>
            <w:rStyle w:val="Hipervnculo"/>
            <w:rFonts w:ascii="Verdana" w:eastAsia="Calibri" w:hAnsi="Verdana" w:cs="Arial"/>
            <w:lang w:val="es-ES" w:eastAsia="es-ES"/>
          </w:rPr>
          <w:t>dtrujilloflorian@gmail.com</w:t>
        </w:r>
      </w:hyperlink>
    </w:p>
    <w:p w14:paraId="3D26271A" w14:textId="1B7F5524" w:rsidR="00A75AA4" w:rsidRPr="009B0851" w:rsidRDefault="00405809" w:rsidP="00A75AA4">
      <w:pPr>
        <w:spacing w:after="0" w:line="240" w:lineRule="auto"/>
        <w:rPr>
          <w:rFonts w:ascii="Verdana" w:eastAsia="Calibri" w:hAnsi="Verdana" w:cs="Arial"/>
          <w:b/>
          <w:bCs/>
          <w:lang w:val="es-ES" w:eastAsia="es-ES"/>
        </w:rPr>
      </w:pPr>
      <w:r w:rsidRPr="009B0851">
        <w:rPr>
          <w:rFonts w:ascii="Verdana" w:eastAsia="Calibri" w:hAnsi="Verdana" w:cs="Arial"/>
          <w:lang w:val="es-ES" w:eastAsia="es-ES"/>
        </w:rPr>
        <w:t>Barranquilla</w:t>
      </w:r>
      <w:r w:rsidR="00A75AA4" w:rsidRPr="009B0851">
        <w:rPr>
          <w:rFonts w:ascii="Verdana" w:eastAsia="Calibri" w:hAnsi="Verdana" w:cs="Arial"/>
          <w:lang w:val="es-ES" w:eastAsia="es-ES"/>
        </w:rPr>
        <w:t xml:space="preserve">, </w:t>
      </w:r>
      <w:r w:rsidR="00761717" w:rsidRPr="009B0851">
        <w:rPr>
          <w:rFonts w:ascii="Verdana" w:eastAsia="Calibri" w:hAnsi="Verdana" w:cs="Arial"/>
          <w:lang w:val="es-ES" w:eastAsia="es-ES"/>
        </w:rPr>
        <w:t>Atlántico</w:t>
      </w:r>
      <w:r w:rsidRPr="009B0851">
        <w:rPr>
          <w:rFonts w:ascii="Verdana" w:eastAsia="Calibri" w:hAnsi="Verdana" w:cs="Arial"/>
          <w:lang w:val="es-ES" w:eastAsia="es-ES"/>
        </w:rPr>
        <w:t xml:space="preserve"> </w:t>
      </w:r>
    </w:p>
    <w:p w14:paraId="7BB6EF00" w14:textId="77777777" w:rsidR="00A75AA4" w:rsidRPr="009B0851" w:rsidRDefault="00A75AA4" w:rsidP="00A75AA4">
      <w:pPr>
        <w:spacing w:after="0" w:line="240" w:lineRule="auto"/>
        <w:rPr>
          <w:rFonts w:ascii="Verdana" w:eastAsia="Calibri" w:hAnsi="Verdana" w:cs="Arial"/>
          <w:b/>
          <w:bCs/>
          <w:color w:val="000000"/>
          <w:highlight w:val="cyan"/>
          <w:lang w:val="es-ES_tradnl" w:eastAsia="es-ES_tradnl"/>
        </w:rPr>
      </w:pPr>
    </w:p>
    <w:p w14:paraId="33FBDC0B" w14:textId="77777777" w:rsidR="00A75AA4" w:rsidRPr="009B0851" w:rsidRDefault="00A75AA4" w:rsidP="00A75AA4">
      <w:pPr>
        <w:spacing w:after="0" w:line="240" w:lineRule="auto"/>
        <w:rPr>
          <w:rFonts w:ascii="Verdana" w:eastAsia="Calibri" w:hAnsi="Verdana" w:cs="Arial"/>
          <w:b/>
          <w:bCs/>
          <w:color w:val="000000"/>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75AA4" w:rsidRPr="009B0851" w14:paraId="0E685D70" w14:textId="77777777" w:rsidTr="00841CAB">
        <w:trPr>
          <w:trHeight w:val="884"/>
        </w:trPr>
        <w:tc>
          <w:tcPr>
            <w:tcW w:w="2689" w:type="dxa"/>
          </w:tcPr>
          <w:p w14:paraId="60357460" w14:textId="77777777" w:rsidR="00A75AA4" w:rsidRPr="009B0851" w:rsidRDefault="00A75AA4" w:rsidP="00841CAB">
            <w:pPr>
              <w:jc w:val="both"/>
              <w:rPr>
                <w:rFonts w:ascii="Verdana" w:eastAsia="Calibri" w:hAnsi="Verdana" w:cs="Arial"/>
                <w:b/>
                <w:bCs/>
                <w:color w:val="7030A0"/>
                <w:highlight w:val="cyan"/>
                <w:lang w:val="es-ES_tradnl" w:eastAsia="es-ES_tradnl"/>
              </w:rPr>
            </w:pPr>
          </w:p>
        </w:tc>
        <w:tc>
          <w:tcPr>
            <w:tcW w:w="6100" w:type="dxa"/>
          </w:tcPr>
          <w:p w14:paraId="7DBE73AB" w14:textId="5233FCA1" w:rsidR="00A75AA4" w:rsidRPr="009B0851" w:rsidRDefault="00A75AA4" w:rsidP="00841CAB">
            <w:pPr>
              <w:jc w:val="both"/>
              <w:rPr>
                <w:rFonts w:ascii="Verdana" w:eastAsia="Calibri" w:hAnsi="Verdana" w:cs="Arial"/>
                <w:b/>
                <w:bCs/>
                <w:color w:val="7030A0"/>
                <w:lang w:val="es-ES" w:eastAsia="es-ES"/>
              </w:rPr>
            </w:pPr>
            <w:r w:rsidRPr="009B0851">
              <w:rPr>
                <w:rFonts w:ascii="Verdana" w:eastAsia="Calibri" w:hAnsi="Verdana" w:cs="Arial"/>
                <w:b/>
                <w:bCs/>
                <w:lang w:val="es-ES" w:eastAsia="es-ES"/>
              </w:rPr>
              <w:t xml:space="preserve">Concepto </w:t>
            </w:r>
            <w:r w:rsidR="00D7665C" w:rsidRPr="009B0851">
              <w:rPr>
                <w:rFonts w:ascii="Verdana" w:eastAsia="Calibri" w:hAnsi="Verdana" w:cs="Arial"/>
                <w:b/>
                <w:bCs/>
                <w:lang w:val="es-ES" w:eastAsia="es-ES"/>
              </w:rPr>
              <w:t>C-355 de 2024</w:t>
            </w:r>
          </w:p>
        </w:tc>
      </w:tr>
      <w:tr w:rsidR="00A75AA4" w:rsidRPr="009B0851" w14:paraId="596051F4" w14:textId="77777777" w:rsidTr="00841CAB">
        <w:trPr>
          <w:trHeight w:val="884"/>
        </w:trPr>
        <w:tc>
          <w:tcPr>
            <w:tcW w:w="2689" w:type="dxa"/>
          </w:tcPr>
          <w:p w14:paraId="54D53DF8" w14:textId="77777777" w:rsidR="00A75AA4" w:rsidRPr="009B0851" w:rsidRDefault="00A75AA4" w:rsidP="00841CAB">
            <w:pPr>
              <w:jc w:val="both"/>
              <w:rPr>
                <w:rFonts w:ascii="Verdana" w:eastAsia="Calibri" w:hAnsi="Verdana" w:cs="Arial"/>
                <w:color w:val="000000"/>
                <w:lang w:val="es-ES_tradnl" w:eastAsia="es-ES_tradnl"/>
              </w:rPr>
            </w:pPr>
            <w:r w:rsidRPr="009B0851">
              <w:rPr>
                <w:rFonts w:ascii="Verdana" w:eastAsia="Calibri" w:hAnsi="Verdana" w:cs="Arial"/>
                <w:b/>
                <w:color w:val="000000"/>
                <w:lang w:val="es-ES_tradnl" w:eastAsia="es-ES_tradnl"/>
              </w:rPr>
              <w:t>Temas:</w:t>
            </w:r>
            <w:r w:rsidRPr="009B0851">
              <w:rPr>
                <w:rFonts w:ascii="Verdana" w:eastAsia="Calibri" w:hAnsi="Verdana" w:cs="Arial"/>
                <w:color w:val="000000"/>
                <w:lang w:val="es-ES_tradnl" w:eastAsia="es-ES_tradnl"/>
              </w:rPr>
              <w:t xml:space="preserve">                   </w:t>
            </w:r>
          </w:p>
        </w:tc>
        <w:tc>
          <w:tcPr>
            <w:tcW w:w="6100" w:type="dxa"/>
          </w:tcPr>
          <w:p w14:paraId="22CA2958" w14:textId="77777777" w:rsidR="00024320" w:rsidRPr="009B0851" w:rsidRDefault="00801701" w:rsidP="00841CAB">
            <w:pPr>
              <w:spacing w:line="276" w:lineRule="auto"/>
              <w:jc w:val="both"/>
              <w:rPr>
                <w:rFonts w:ascii="Verdana" w:eastAsia="Calibri" w:hAnsi="Verdana" w:cs="Arial"/>
                <w:bCs/>
                <w:lang w:val="es-MX" w:eastAsia="es-ES"/>
              </w:rPr>
            </w:pPr>
            <w:r w:rsidRPr="009B0851">
              <w:rPr>
                <w:rFonts w:ascii="Verdana" w:eastAsia="Calibri" w:hAnsi="Verdana" w:cs="Arial"/>
                <w:bCs/>
                <w:lang w:val="es-MX" w:eastAsia="es-ES"/>
              </w:rPr>
              <w:t>PROPONENTE PLURAL – Consorcios y Uniones Temporales – Capacidad jurídica – Concepto / PROPONENTE PLURAL – Creación – Participación – Acuerdo de voluntades</w:t>
            </w:r>
          </w:p>
          <w:p w14:paraId="77462758" w14:textId="5DF82C2B" w:rsidR="00024320" w:rsidRPr="009B0851" w:rsidRDefault="00024320" w:rsidP="00841CAB">
            <w:pPr>
              <w:spacing w:line="276" w:lineRule="auto"/>
              <w:jc w:val="both"/>
              <w:rPr>
                <w:rFonts w:ascii="Verdana" w:eastAsia="Calibri" w:hAnsi="Verdana" w:cs="Arial"/>
                <w:bCs/>
                <w:lang w:val="es-MX" w:eastAsia="es-ES"/>
              </w:rPr>
            </w:pPr>
          </w:p>
        </w:tc>
      </w:tr>
      <w:tr w:rsidR="00A75AA4" w:rsidRPr="009B0851" w14:paraId="7BE2DA84" w14:textId="77777777" w:rsidTr="00841CAB">
        <w:tc>
          <w:tcPr>
            <w:tcW w:w="2689" w:type="dxa"/>
          </w:tcPr>
          <w:p w14:paraId="5F34E890" w14:textId="77777777" w:rsidR="00A75AA4" w:rsidRPr="009B0851" w:rsidRDefault="00A75AA4" w:rsidP="00841CAB">
            <w:pPr>
              <w:jc w:val="both"/>
              <w:rPr>
                <w:rFonts w:ascii="Verdana" w:eastAsia="Calibri" w:hAnsi="Verdana" w:cs="Arial"/>
                <w:b/>
                <w:lang w:val="es-ES_tradnl" w:eastAsia="es-ES_tradnl"/>
              </w:rPr>
            </w:pPr>
            <w:r w:rsidRPr="009B0851">
              <w:rPr>
                <w:rFonts w:ascii="Verdana" w:eastAsia="Calibri" w:hAnsi="Verdana" w:cs="Arial"/>
                <w:b/>
                <w:lang w:val="es-ES_tradnl" w:eastAsia="es-ES_tradnl"/>
              </w:rPr>
              <w:t>Radicación:</w:t>
            </w:r>
            <w:r w:rsidRPr="009B0851">
              <w:rPr>
                <w:rFonts w:ascii="Verdana" w:eastAsia="Calibri" w:hAnsi="Verdana" w:cs="Arial"/>
                <w:lang w:val="es-ES_tradnl" w:eastAsia="es-ES_tradnl"/>
              </w:rPr>
              <w:t xml:space="preserve">               </w:t>
            </w:r>
          </w:p>
        </w:tc>
        <w:tc>
          <w:tcPr>
            <w:tcW w:w="6100" w:type="dxa"/>
          </w:tcPr>
          <w:p w14:paraId="6293C18A" w14:textId="1F780C3D" w:rsidR="00157D6A" w:rsidRPr="009B0851" w:rsidRDefault="00A75AA4" w:rsidP="00157D6A">
            <w:pPr>
              <w:jc w:val="both"/>
              <w:rPr>
                <w:rFonts w:ascii="Verdana" w:eastAsia="Calibri" w:hAnsi="Verdana" w:cs="Arial"/>
                <w:lang w:val="es-ES_tradnl" w:eastAsia="es-ES_tradnl"/>
              </w:rPr>
            </w:pPr>
            <w:r w:rsidRPr="009B0851">
              <w:rPr>
                <w:rFonts w:ascii="Verdana" w:eastAsia="Calibri" w:hAnsi="Verdana" w:cs="Arial"/>
                <w:lang w:val="es-ES_tradnl" w:eastAsia="es-ES_tradnl"/>
              </w:rPr>
              <w:t>Respuesta a consulta con radicado No.</w:t>
            </w:r>
            <w:r w:rsidR="00157D6A" w:rsidRPr="009B0851">
              <w:rPr>
                <w:rFonts w:ascii="Verdana" w:eastAsia="Calibri" w:hAnsi="Verdana" w:cs="Arial"/>
                <w:lang w:val="es-ES_tradnl" w:eastAsia="es-ES_tradnl"/>
              </w:rPr>
              <w:t xml:space="preserve"> </w:t>
            </w:r>
            <w:r w:rsidR="00157D6A" w:rsidRPr="009B0851">
              <w:rPr>
                <w:rFonts w:ascii="Verdana" w:eastAsia="Calibri" w:hAnsi="Verdana" w:cs="Arial"/>
                <w:lang w:eastAsia="es-ES_tradnl"/>
              </w:rPr>
              <w:t>P20240717007316</w:t>
            </w:r>
          </w:p>
          <w:p w14:paraId="0BCABDDF" w14:textId="5B77C474" w:rsidR="00A75AA4" w:rsidRPr="009B0851" w:rsidRDefault="00A75AA4" w:rsidP="00841CAB">
            <w:pPr>
              <w:jc w:val="both"/>
              <w:rPr>
                <w:rFonts w:ascii="Verdana" w:eastAsia="Calibri" w:hAnsi="Verdana" w:cs="Arial"/>
                <w:lang w:val="es-ES_tradnl" w:eastAsia="es-ES_tradnl"/>
              </w:rPr>
            </w:pPr>
          </w:p>
        </w:tc>
      </w:tr>
    </w:tbl>
    <w:p w14:paraId="48E5F73C" w14:textId="77777777" w:rsidR="00A75AA4" w:rsidRPr="009B0851" w:rsidRDefault="00A75AA4" w:rsidP="00A75AA4">
      <w:pPr>
        <w:spacing w:after="0" w:line="240" w:lineRule="auto"/>
        <w:jc w:val="both"/>
        <w:rPr>
          <w:rFonts w:ascii="Verdana" w:eastAsia="Calibri" w:hAnsi="Verdana" w:cs="Arial"/>
          <w:color w:val="000000"/>
          <w:highlight w:val="cyan"/>
          <w:lang w:val="es-ES_tradnl" w:eastAsia="es-ES_tradnl"/>
        </w:rPr>
      </w:pPr>
    </w:p>
    <w:p w14:paraId="394A873F" w14:textId="77777777" w:rsidR="00A75AA4" w:rsidRPr="009B0851" w:rsidRDefault="00A75AA4" w:rsidP="00A75AA4">
      <w:pPr>
        <w:spacing w:after="0" w:line="240" w:lineRule="auto"/>
        <w:jc w:val="both"/>
        <w:rPr>
          <w:rFonts w:ascii="Verdana" w:eastAsia="Calibri" w:hAnsi="Verdana" w:cs="Arial"/>
          <w:color w:val="000000"/>
          <w:highlight w:val="cyan"/>
          <w:lang w:val="es-ES_tradnl" w:eastAsia="es-ES_tradnl"/>
        </w:rPr>
      </w:pPr>
    </w:p>
    <w:p w14:paraId="7B335C8A" w14:textId="085E7237" w:rsidR="00A75AA4" w:rsidRPr="009B0851" w:rsidRDefault="00A75AA4" w:rsidP="00A75AA4">
      <w:pPr>
        <w:spacing w:after="0" w:line="276" w:lineRule="auto"/>
        <w:jc w:val="both"/>
        <w:rPr>
          <w:rFonts w:ascii="Verdana" w:eastAsia="Calibri" w:hAnsi="Verdana" w:cs="Arial"/>
          <w:lang w:val="es-ES" w:eastAsia="es-ES"/>
        </w:rPr>
      </w:pPr>
      <w:r w:rsidRPr="009B0851">
        <w:rPr>
          <w:rFonts w:ascii="Verdana" w:eastAsia="Calibri" w:hAnsi="Verdana" w:cs="Arial"/>
          <w:lang w:val="es-ES" w:eastAsia="es-ES"/>
        </w:rPr>
        <w:t>Estimad</w:t>
      </w:r>
      <w:r w:rsidR="00494E44" w:rsidRPr="009B0851">
        <w:rPr>
          <w:rFonts w:ascii="Verdana" w:eastAsia="Calibri" w:hAnsi="Verdana" w:cs="Arial"/>
          <w:lang w:val="es-ES" w:eastAsia="es-ES"/>
        </w:rPr>
        <w:t>a</w:t>
      </w:r>
      <w:r w:rsidRPr="009B0851">
        <w:rPr>
          <w:rFonts w:ascii="Verdana" w:eastAsia="Calibri" w:hAnsi="Verdana" w:cs="Arial"/>
          <w:lang w:val="es-ES" w:eastAsia="es-ES"/>
        </w:rPr>
        <w:t xml:space="preserve"> seño</w:t>
      </w:r>
      <w:r w:rsidR="00494E44" w:rsidRPr="009B0851">
        <w:rPr>
          <w:rFonts w:ascii="Verdana" w:eastAsia="Calibri" w:hAnsi="Verdana" w:cs="Arial"/>
          <w:lang w:val="es-ES" w:eastAsia="es-ES"/>
        </w:rPr>
        <w:t xml:space="preserve">ra </w:t>
      </w:r>
      <w:r w:rsidR="00494E44" w:rsidRPr="009B0851">
        <w:rPr>
          <w:rFonts w:ascii="Verdana" w:eastAsia="Calibri" w:hAnsi="Verdana" w:cs="Arial"/>
          <w:lang w:val="es-ES_tradnl" w:eastAsia="es-ES"/>
        </w:rPr>
        <w:t>Trujillo</w:t>
      </w:r>
      <w:r w:rsidRPr="009B0851">
        <w:rPr>
          <w:rFonts w:ascii="Verdana" w:eastAsia="Calibri" w:hAnsi="Verdana" w:cs="Arial"/>
          <w:lang w:val="es-ES" w:eastAsia="es-ES"/>
        </w:rPr>
        <w:t xml:space="preserve">: </w:t>
      </w:r>
    </w:p>
    <w:p w14:paraId="7C722678" w14:textId="77777777" w:rsidR="00A75AA4" w:rsidRPr="009B0851" w:rsidRDefault="00A75AA4" w:rsidP="00A75AA4">
      <w:pPr>
        <w:tabs>
          <w:tab w:val="left" w:pos="3768"/>
        </w:tabs>
        <w:spacing w:after="0" w:line="276" w:lineRule="auto"/>
        <w:jc w:val="both"/>
        <w:rPr>
          <w:rFonts w:ascii="Verdana" w:eastAsia="Calibri" w:hAnsi="Verdana" w:cs="Arial"/>
          <w:lang w:val="es-ES" w:eastAsia="es-ES"/>
        </w:rPr>
      </w:pPr>
      <w:r w:rsidRPr="009B0851">
        <w:rPr>
          <w:rFonts w:ascii="Verdana" w:eastAsia="Calibri" w:hAnsi="Verdana" w:cs="Arial"/>
          <w:lang w:val="es-ES" w:eastAsia="es-ES"/>
        </w:rPr>
        <w:tab/>
      </w:r>
    </w:p>
    <w:p w14:paraId="1E9AF1F8" w14:textId="321729C7" w:rsidR="00322A85" w:rsidRPr="009B0851" w:rsidRDefault="00A75AA4" w:rsidP="00B50EC1">
      <w:pPr>
        <w:spacing w:after="0" w:line="276" w:lineRule="auto"/>
        <w:jc w:val="both"/>
        <w:rPr>
          <w:rFonts w:ascii="Verdana" w:eastAsia="Calibri" w:hAnsi="Verdana" w:cs="Arial"/>
          <w:lang w:val="es-ES" w:eastAsia="es-ES"/>
        </w:rPr>
      </w:pPr>
      <w:r w:rsidRPr="009B0851">
        <w:rPr>
          <w:rFonts w:ascii="Verdana" w:eastAsia="Calibri" w:hAnsi="Verdana" w:cs="Arial"/>
          <w:lang w:val="es-ES" w:eastAsia="es-ES"/>
        </w:rPr>
        <w:t>En ejercicio de la competencia otorgada por los artículos 3, numeral 5º, y 11, numeral 8º, del Decreto Ley 4170 de 2011,</w:t>
      </w:r>
      <w:r w:rsidRPr="009B0851">
        <w:rPr>
          <w:rFonts w:ascii="Verdana" w:eastAsia="Arial MT" w:hAnsi="Verdana" w:cs="Arial MT"/>
          <w:lang w:val="es-ES" w:eastAsia="es-ES"/>
        </w:rPr>
        <w:t xml:space="preserve"> </w:t>
      </w:r>
      <w:r w:rsidRPr="009B0851">
        <w:rPr>
          <w:rFonts w:ascii="Verdana" w:hAnsi="Verdana" w:cs="Arial"/>
        </w:rPr>
        <w:t xml:space="preserve">así como lo establecido en el artículo 4 de la Resolución 1707 de 2018 expedida por esta Entidad, </w:t>
      </w:r>
      <w:r w:rsidRPr="009B0851">
        <w:rPr>
          <w:rFonts w:ascii="Verdana" w:eastAsia="Calibri" w:hAnsi="Verdana" w:cs="Arial"/>
          <w:lang w:val="es-ES" w:eastAsia="es-ES"/>
        </w:rPr>
        <w:t xml:space="preserve">la Agencia Nacional de Contratación Pública – Colombia Compra Eficiente– responde su solicitud de consulta de fecha </w:t>
      </w:r>
      <w:r w:rsidR="00ED3897" w:rsidRPr="009B0851">
        <w:rPr>
          <w:rFonts w:ascii="Verdana" w:eastAsia="Calibri" w:hAnsi="Verdana" w:cs="Arial"/>
          <w:lang w:val="es-ES" w:eastAsia="es-ES"/>
        </w:rPr>
        <w:t xml:space="preserve">17 de julio de 2024, </w:t>
      </w:r>
      <w:r w:rsidRPr="009B0851">
        <w:rPr>
          <w:rFonts w:ascii="Verdana" w:eastAsia="Calibri" w:hAnsi="Verdana" w:cs="Arial"/>
          <w:lang w:val="es-ES" w:eastAsia="es-ES"/>
        </w:rPr>
        <w:t xml:space="preserve">en la cual manifiesta lo siguiente: </w:t>
      </w:r>
    </w:p>
    <w:p w14:paraId="4F4A482B" w14:textId="77777777" w:rsidR="00B50EC1" w:rsidRPr="009B0851" w:rsidRDefault="00B50EC1" w:rsidP="00B50EC1">
      <w:pPr>
        <w:spacing w:after="0" w:line="276" w:lineRule="auto"/>
        <w:jc w:val="both"/>
        <w:rPr>
          <w:rFonts w:ascii="Verdana" w:eastAsia="Calibri" w:hAnsi="Verdana" w:cs="Arial"/>
          <w:lang w:val="es-ES" w:eastAsia="es-ES"/>
        </w:rPr>
      </w:pPr>
    </w:p>
    <w:p w14:paraId="2C51436B" w14:textId="77777777" w:rsidR="00414903" w:rsidRPr="009B0851" w:rsidRDefault="00B50EC1" w:rsidP="00B50EC1">
      <w:pPr>
        <w:spacing w:after="0" w:line="240" w:lineRule="auto"/>
        <w:ind w:left="709" w:right="709"/>
        <w:jc w:val="both"/>
        <w:rPr>
          <w:rStyle w:val="normaltextrun"/>
          <w:rFonts w:ascii="Verdana" w:hAnsi="Verdana" w:cs="Arial"/>
          <w:sz w:val="20"/>
          <w:szCs w:val="20"/>
          <w:shd w:val="clear" w:color="auto" w:fill="FFFFFF"/>
          <w:lang w:val="es-ES"/>
        </w:rPr>
      </w:pPr>
      <w:bookmarkStart w:id="1" w:name="_Hlk95313578"/>
      <w:r w:rsidRPr="009B0851">
        <w:rPr>
          <w:rFonts w:ascii="Verdana" w:eastAsia="Century Gothic" w:hAnsi="Verdana" w:cs="Century Gothic"/>
          <w:sz w:val="20"/>
          <w:szCs w:val="20"/>
          <w:lang w:val="es-ES"/>
        </w:rPr>
        <w:t xml:space="preserve">“[…] </w:t>
      </w:r>
      <w:r w:rsidR="00414903" w:rsidRPr="009B0851">
        <w:rPr>
          <w:rStyle w:val="normaltextrun"/>
          <w:rFonts w:ascii="Verdana" w:hAnsi="Verdana" w:cs="Arial"/>
          <w:sz w:val="20"/>
          <w:szCs w:val="20"/>
          <w:shd w:val="clear" w:color="auto" w:fill="FFFFFF"/>
          <w:lang w:val="es-ES"/>
        </w:rPr>
        <w:t>1. Según Colombia Compra Eficiente, y teniendo en cuenta la legislación y normatividad vigente en materia de contratación estatal ¿Cuál es el objeto de los consorcios y uniones temporales?</w:t>
      </w:r>
    </w:p>
    <w:p w14:paraId="03436624" w14:textId="77777777" w:rsidR="00414903" w:rsidRPr="009B0851" w:rsidRDefault="00414903" w:rsidP="00B50EC1">
      <w:pPr>
        <w:spacing w:after="0" w:line="240" w:lineRule="auto"/>
        <w:ind w:left="709" w:right="709"/>
        <w:jc w:val="both"/>
        <w:rPr>
          <w:rStyle w:val="normaltextrun"/>
          <w:rFonts w:ascii="Verdana" w:hAnsi="Verdana" w:cs="Arial"/>
          <w:sz w:val="20"/>
          <w:szCs w:val="20"/>
          <w:shd w:val="clear" w:color="auto" w:fill="FFFFFF"/>
          <w:lang w:val="es-ES"/>
        </w:rPr>
      </w:pPr>
    </w:p>
    <w:p w14:paraId="50BB099E" w14:textId="77777777" w:rsidR="00DF3F9E" w:rsidRPr="009B0851" w:rsidRDefault="00414903" w:rsidP="00B50EC1">
      <w:pPr>
        <w:spacing w:after="0" w:line="240" w:lineRule="auto"/>
        <w:ind w:left="709" w:right="709"/>
        <w:jc w:val="both"/>
        <w:rPr>
          <w:rStyle w:val="normaltextrun"/>
          <w:rFonts w:ascii="Verdana" w:hAnsi="Verdana" w:cs="Arial"/>
          <w:sz w:val="20"/>
          <w:szCs w:val="20"/>
          <w:shd w:val="clear" w:color="auto" w:fill="FFFFFF"/>
          <w:lang w:val="es-ES"/>
        </w:rPr>
      </w:pPr>
      <w:r w:rsidRPr="009B0851">
        <w:rPr>
          <w:rStyle w:val="normaltextrun"/>
          <w:rFonts w:ascii="Verdana" w:hAnsi="Verdana" w:cs="Arial"/>
          <w:sz w:val="20"/>
          <w:szCs w:val="20"/>
          <w:shd w:val="clear" w:color="auto" w:fill="FFFFFF"/>
          <w:lang w:val="es-ES"/>
        </w:rPr>
        <w:t xml:space="preserve">2. ¿En los documentos de un proceso contractual regido por el Estatuto General de la Contratación de la Administración Pública, es posible establecer por parte de la entidad contratante, que cada integrante </w:t>
      </w:r>
      <w:r w:rsidR="00A7487A" w:rsidRPr="009B0851">
        <w:rPr>
          <w:rStyle w:val="normaltextrun"/>
          <w:rFonts w:ascii="Verdana" w:hAnsi="Verdana" w:cs="Arial"/>
          <w:sz w:val="20"/>
          <w:szCs w:val="20"/>
          <w:shd w:val="clear" w:color="auto" w:fill="FFFFFF"/>
          <w:lang w:val="es-ES"/>
        </w:rPr>
        <w:t xml:space="preserve">de un </w:t>
      </w:r>
      <w:r w:rsidR="00A7487A" w:rsidRPr="009B0851">
        <w:rPr>
          <w:rStyle w:val="normaltextrun"/>
          <w:rFonts w:ascii="Verdana" w:hAnsi="Verdana" w:cs="Arial"/>
          <w:sz w:val="20"/>
          <w:szCs w:val="20"/>
          <w:shd w:val="clear" w:color="auto" w:fill="FFFFFF"/>
          <w:lang w:val="es-ES"/>
        </w:rPr>
        <w:lastRenderedPageBreak/>
        <w:t>consorcio o unión temporal cumpla de manera independiente con requisitos de capacidad financiera, organizacional y experiencia?</w:t>
      </w:r>
    </w:p>
    <w:p w14:paraId="12C75321" w14:textId="77777777" w:rsidR="00DF3F9E" w:rsidRPr="009B0851" w:rsidRDefault="00DF3F9E" w:rsidP="00B50EC1">
      <w:pPr>
        <w:spacing w:after="0" w:line="240" w:lineRule="auto"/>
        <w:ind w:left="709" w:right="709"/>
        <w:jc w:val="both"/>
        <w:rPr>
          <w:rStyle w:val="normaltextrun"/>
          <w:rFonts w:ascii="Verdana" w:hAnsi="Verdana" w:cs="Arial"/>
          <w:sz w:val="20"/>
          <w:szCs w:val="20"/>
          <w:shd w:val="clear" w:color="auto" w:fill="FFFFFF"/>
          <w:lang w:val="es-ES"/>
        </w:rPr>
      </w:pPr>
    </w:p>
    <w:p w14:paraId="451D1F90" w14:textId="77777777" w:rsidR="003D4AF0" w:rsidRPr="009B0851" w:rsidRDefault="00DF3F9E" w:rsidP="00B50EC1">
      <w:pPr>
        <w:spacing w:after="0" w:line="240" w:lineRule="auto"/>
        <w:ind w:left="709" w:right="709"/>
        <w:jc w:val="both"/>
        <w:rPr>
          <w:rStyle w:val="normaltextrun"/>
          <w:rFonts w:ascii="Verdana" w:hAnsi="Verdana" w:cs="Arial"/>
          <w:sz w:val="20"/>
          <w:szCs w:val="20"/>
          <w:shd w:val="clear" w:color="auto" w:fill="FFFFFF"/>
          <w:lang w:val="es-ES"/>
        </w:rPr>
      </w:pPr>
      <w:r w:rsidRPr="009B0851">
        <w:rPr>
          <w:rStyle w:val="normaltextrun"/>
          <w:rFonts w:ascii="Verdana" w:hAnsi="Verdana" w:cs="Arial"/>
          <w:sz w:val="20"/>
          <w:szCs w:val="20"/>
          <w:shd w:val="clear" w:color="auto" w:fill="FFFFFF"/>
          <w:lang w:val="es-ES"/>
        </w:rPr>
        <w:t>Por ejemplo, que cada integrante de la estructura plural deba cumplir de manera individual con los indicadores financieros solicitados en el pliego de condiciones, sin que aplique para el efecto la suma de los indicadores financieros de los consorciados o la afectación de estos por su porcentaje (</w:t>
      </w:r>
      <w:r w:rsidR="003D4AF0" w:rsidRPr="009B0851">
        <w:rPr>
          <w:rStyle w:val="normaltextrun"/>
          <w:rFonts w:ascii="Verdana" w:hAnsi="Verdana" w:cs="Arial"/>
          <w:sz w:val="20"/>
          <w:szCs w:val="20"/>
          <w:shd w:val="clear" w:color="auto" w:fill="FFFFFF"/>
          <w:lang w:val="es-ES"/>
        </w:rPr>
        <w:t>%) de participación en el consorcio.</w:t>
      </w:r>
    </w:p>
    <w:p w14:paraId="77ABD6B5" w14:textId="77777777" w:rsidR="003D4AF0" w:rsidRPr="009B0851" w:rsidRDefault="003D4AF0" w:rsidP="00B50EC1">
      <w:pPr>
        <w:spacing w:after="0" w:line="240" w:lineRule="auto"/>
        <w:ind w:left="709" w:right="709"/>
        <w:jc w:val="both"/>
        <w:rPr>
          <w:rStyle w:val="normaltextrun"/>
          <w:rFonts w:ascii="Verdana" w:hAnsi="Verdana" w:cs="Arial"/>
          <w:sz w:val="20"/>
          <w:szCs w:val="20"/>
          <w:shd w:val="clear" w:color="auto" w:fill="FFFFFF"/>
          <w:lang w:val="es-ES"/>
        </w:rPr>
      </w:pPr>
    </w:p>
    <w:p w14:paraId="162CE493" w14:textId="77777777" w:rsidR="00CE4DE0" w:rsidRPr="009B0851" w:rsidRDefault="003D4AF0" w:rsidP="00B50EC1">
      <w:pPr>
        <w:spacing w:after="0" w:line="240" w:lineRule="auto"/>
        <w:ind w:left="709" w:right="709"/>
        <w:jc w:val="both"/>
        <w:rPr>
          <w:rStyle w:val="normaltextrun"/>
          <w:rFonts w:ascii="Verdana" w:hAnsi="Verdana" w:cs="Arial"/>
          <w:sz w:val="20"/>
          <w:szCs w:val="20"/>
          <w:shd w:val="clear" w:color="auto" w:fill="FFFFFF"/>
          <w:lang w:val="es-ES"/>
        </w:rPr>
      </w:pPr>
      <w:r w:rsidRPr="009B0851">
        <w:rPr>
          <w:rStyle w:val="normaltextrun"/>
          <w:rFonts w:ascii="Verdana" w:hAnsi="Verdana" w:cs="Arial"/>
          <w:sz w:val="20"/>
          <w:szCs w:val="20"/>
          <w:shd w:val="clear" w:color="auto" w:fill="FFFFFF"/>
          <w:lang w:val="es-ES"/>
        </w:rPr>
        <w:t>3. ¿En caso de determinarse en los documentos de un proceso contractual que, los integrantes de proponentes plurales (consocio o unión temporal) deberán</w:t>
      </w:r>
      <w:r w:rsidR="00CE4DE0" w:rsidRPr="009B0851">
        <w:rPr>
          <w:rStyle w:val="normaltextrun"/>
          <w:rFonts w:ascii="Verdana" w:hAnsi="Verdana" w:cs="Arial"/>
          <w:sz w:val="20"/>
          <w:szCs w:val="20"/>
          <w:shd w:val="clear" w:color="auto" w:fill="FFFFFF"/>
          <w:lang w:val="es-ES"/>
        </w:rPr>
        <w:t xml:space="preserve"> cumplir cada uno de manera independiente con los requisitos habilitantes de capacidad financiera, organizacional y experiencia, se estaría vulnerando de alguna manera la figura de Consorcio o Unión Temporal de que trata la Ley 80 de 1993?</w:t>
      </w:r>
    </w:p>
    <w:p w14:paraId="48F81407" w14:textId="77777777" w:rsidR="00CE4DE0" w:rsidRPr="009B0851" w:rsidRDefault="00CE4DE0" w:rsidP="00B50EC1">
      <w:pPr>
        <w:spacing w:after="0" w:line="240" w:lineRule="auto"/>
        <w:ind w:left="709" w:right="709"/>
        <w:jc w:val="both"/>
        <w:rPr>
          <w:rStyle w:val="normaltextrun"/>
          <w:rFonts w:ascii="Verdana" w:hAnsi="Verdana" w:cs="Arial"/>
          <w:sz w:val="20"/>
          <w:szCs w:val="20"/>
          <w:shd w:val="clear" w:color="auto" w:fill="FFFFFF"/>
          <w:lang w:val="es-ES"/>
        </w:rPr>
      </w:pPr>
    </w:p>
    <w:p w14:paraId="2779C93D" w14:textId="57F0F92A" w:rsidR="00B50EC1" w:rsidRPr="009B0851" w:rsidRDefault="00CE4DE0" w:rsidP="00B50EC1">
      <w:pPr>
        <w:spacing w:after="0" w:line="240" w:lineRule="auto"/>
        <w:ind w:left="709" w:right="709"/>
        <w:jc w:val="both"/>
        <w:rPr>
          <w:rFonts w:ascii="Verdana" w:eastAsia="Century Gothic" w:hAnsi="Verdana" w:cs="Century Gothic"/>
          <w:sz w:val="20"/>
          <w:szCs w:val="20"/>
          <w:lang w:val="es-ES"/>
        </w:rPr>
      </w:pPr>
      <w:r w:rsidRPr="009B0851">
        <w:rPr>
          <w:rStyle w:val="normaltextrun"/>
          <w:rFonts w:ascii="Verdana" w:hAnsi="Verdana" w:cs="Arial"/>
          <w:sz w:val="20"/>
          <w:szCs w:val="20"/>
          <w:shd w:val="clear" w:color="auto" w:fill="FFFFFF"/>
          <w:lang w:val="es-ES"/>
        </w:rPr>
        <w:t xml:space="preserve">4. ¿Puede una entidad contratante, dentro de un proceso de contratación estatal, limitar directa o indirectamente en los documentos del proceso, el número de participantes </w:t>
      </w:r>
      <w:r w:rsidR="00883960" w:rsidRPr="009B0851">
        <w:rPr>
          <w:rStyle w:val="normaltextrun"/>
          <w:rFonts w:ascii="Verdana" w:hAnsi="Verdana" w:cs="Arial"/>
          <w:sz w:val="20"/>
          <w:szCs w:val="20"/>
          <w:shd w:val="clear" w:color="auto" w:fill="FFFFFF"/>
          <w:lang w:val="es-ES"/>
        </w:rPr>
        <w:t xml:space="preserve">de un Consorcio o Unión Temporal? </w:t>
      </w:r>
      <w:r w:rsidR="00B50EC1" w:rsidRPr="009B0851">
        <w:rPr>
          <w:rStyle w:val="normaltextrun"/>
          <w:rFonts w:ascii="Verdana" w:hAnsi="Verdana" w:cs="Arial"/>
          <w:sz w:val="20"/>
          <w:szCs w:val="20"/>
          <w:shd w:val="clear" w:color="auto" w:fill="FFFFFF"/>
          <w:lang w:val="es-ES"/>
        </w:rPr>
        <w:t>[…]</w:t>
      </w:r>
      <w:r w:rsidR="00B50EC1" w:rsidRPr="009B0851">
        <w:rPr>
          <w:rFonts w:ascii="Verdana" w:eastAsia="Century Gothic" w:hAnsi="Verdana" w:cs="Century Gothic"/>
          <w:sz w:val="20"/>
          <w:szCs w:val="20"/>
          <w:lang w:val="es-ES"/>
        </w:rPr>
        <w:t>”</w:t>
      </w:r>
      <w:bookmarkEnd w:id="1"/>
      <w:r w:rsidR="00B50EC1" w:rsidRPr="009B0851">
        <w:rPr>
          <w:rFonts w:ascii="Verdana" w:eastAsia="Century Gothic" w:hAnsi="Verdana" w:cs="Century Gothic"/>
          <w:sz w:val="20"/>
          <w:szCs w:val="20"/>
          <w:lang w:val="es-ES"/>
        </w:rPr>
        <w:t>.</w:t>
      </w:r>
    </w:p>
    <w:p w14:paraId="1DA39437" w14:textId="77777777" w:rsidR="00B50EC1" w:rsidRPr="009B0851" w:rsidRDefault="00B50EC1" w:rsidP="00B50EC1">
      <w:pPr>
        <w:spacing w:after="0" w:line="276" w:lineRule="auto"/>
        <w:jc w:val="both"/>
        <w:rPr>
          <w:rFonts w:ascii="Verdana" w:eastAsia="Calibri" w:hAnsi="Verdana" w:cs="Arial"/>
          <w:lang w:val="es-ES" w:eastAsia="es-ES"/>
        </w:rPr>
      </w:pPr>
    </w:p>
    <w:p w14:paraId="4A519068" w14:textId="77777777" w:rsidR="00B406F5" w:rsidRPr="009B0851" w:rsidRDefault="00B406F5" w:rsidP="00B406F5">
      <w:pPr>
        <w:spacing w:after="120" w:line="276" w:lineRule="auto"/>
        <w:ind w:firstLine="709"/>
        <w:jc w:val="both"/>
        <w:rPr>
          <w:rFonts w:ascii="Verdana" w:eastAsia="Calibri" w:hAnsi="Verdana" w:cs="Arial"/>
          <w:color w:val="000000"/>
          <w:szCs w:val="24"/>
          <w:lang w:val="es-ES_tradnl" w:eastAsia="es-ES_tradnl"/>
        </w:rPr>
      </w:pPr>
      <w:r w:rsidRPr="009B0851">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B0851">
        <w:rPr>
          <w:rFonts w:ascii="Verdana" w:eastAsia="Calibri" w:hAnsi="Verdana" w:cs="Arial"/>
          <w:color w:val="000000"/>
          <w:szCs w:val="24"/>
          <w:lang w:val="es-ES_tradnl" w:eastAsia="es-ES_tradnl"/>
        </w:rPr>
        <w:tab/>
      </w:r>
    </w:p>
    <w:p w14:paraId="361DC0E5" w14:textId="1505B37E" w:rsidR="00B406F5" w:rsidRPr="009B0851" w:rsidRDefault="00B406F5" w:rsidP="00B406F5">
      <w:pPr>
        <w:spacing w:after="0" w:line="276" w:lineRule="auto"/>
        <w:ind w:firstLine="709"/>
        <w:jc w:val="both"/>
        <w:rPr>
          <w:rFonts w:ascii="Verdana" w:eastAsia="Calibri" w:hAnsi="Verdana" w:cs="Arial"/>
          <w:color w:val="000000"/>
          <w:lang w:val="es-ES" w:eastAsia="es-ES"/>
        </w:rPr>
      </w:pPr>
      <w:r w:rsidRPr="009B0851">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w:t>
      </w:r>
      <w:r w:rsidRPr="009B0851">
        <w:rPr>
          <w:rFonts w:ascii="Verdana" w:eastAsia="Calibri" w:hAnsi="Verdana" w:cs="Arial"/>
          <w:color w:val="7030A0"/>
          <w:lang w:val="es-ES" w:eastAsia="es-ES"/>
        </w:rPr>
        <w:t xml:space="preserve"> </w:t>
      </w:r>
      <w:r w:rsidRPr="009B0851">
        <w:rPr>
          <w:rFonts w:ascii="Verdana" w:eastAsia="Calibri" w:hAnsi="Verdana" w:cs="Arial"/>
          <w:color w:val="000000"/>
          <w:lang w:val="es-ES" w:eastAsia="es-ES"/>
        </w:rPr>
        <w:t>problemas</w:t>
      </w:r>
      <w:r w:rsidRPr="009B0851">
        <w:rPr>
          <w:rFonts w:ascii="Verdana" w:eastAsia="Calibri" w:hAnsi="Verdana" w:cs="Arial"/>
          <w:color w:val="7030A0"/>
          <w:lang w:val="es-ES" w:eastAsia="es-ES"/>
        </w:rPr>
        <w:t xml:space="preserve"> </w:t>
      </w:r>
      <w:r w:rsidRPr="009B0851">
        <w:rPr>
          <w:rFonts w:ascii="Verdana" w:eastAsia="Calibri" w:hAnsi="Verdana" w:cs="Arial"/>
          <w:color w:val="000000"/>
          <w:lang w:val="es-ES" w:eastAsia="es-ES"/>
        </w:rPr>
        <w:t>jurídicos</w:t>
      </w:r>
      <w:r w:rsidRPr="009B0851">
        <w:rPr>
          <w:rFonts w:ascii="Verdana" w:eastAsia="Calibri" w:hAnsi="Verdana" w:cs="Arial"/>
          <w:color w:val="7030A0"/>
          <w:lang w:val="es-ES" w:eastAsia="es-ES"/>
        </w:rPr>
        <w:t xml:space="preserve"> </w:t>
      </w:r>
      <w:r w:rsidRPr="009B0851">
        <w:rPr>
          <w:rFonts w:ascii="Verdana" w:eastAsia="Calibri" w:hAnsi="Verdana" w:cs="Arial"/>
          <w:color w:val="000000"/>
          <w:lang w:val="es-ES" w:eastAsia="es-ES"/>
        </w:rPr>
        <w:t xml:space="preserve">de su consulta. </w:t>
      </w:r>
    </w:p>
    <w:p w14:paraId="2E7DE63D" w14:textId="77777777" w:rsidR="00B406F5" w:rsidRPr="009B0851" w:rsidRDefault="00B406F5" w:rsidP="00B406F5">
      <w:pPr>
        <w:spacing w:after="0" w:line="276" w:lineRule="auto"/>
        <w:ind w:firstLine="709"/>
        <w:jc w:val="both"/>
        <w:rPr>
          <w:rFonts w:ascii="Verdana" w:eastAsia="Calibri" w:hAnsi="Verdana" w:cs="Arial"/>
          <w:color w:val="000000"/>
          <w:lang w:val="es-ES" w:eastAsia="es-ES"/>
        </w:rPr>
      </w:pPr>
    </w:p>
    <w:p w14:paraId="2EF66BDB" w14:textId="77777777" w:rsidR="00B406F5" w:rsidRPr="009B0851" w:rsidRDefault="00B406F5" w:rsidP="00B406F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9B0851">
        <w:rPr>
          <w:rFonts w:ascii="Verdana" w:eastAsia="Century Gothic" w:hAnsi="Verdana" w:cs="Century Gothic"/>
          <w:b/>
          <w:bCs/>
        </w:rPr>
        <w:t>Problema planteado:</w:t>
      </w:r>
    </w:p>
    <w:p w14:paraId="3E948527" w14:textId="77777777" w:rsidR="00B406F5" w:rsidRPr="009B0851" w:rsidRDefault="00B406F5" w:rsidP="00B406F5">
      <w:pPr>
        <w:tabs>
          <w:tab w:val="left" w:pos="426"/>
        </w:tabs>
        <w:spacing w:after="0" w:line="276" w:lineRule="auto"/>
        <w:jc w:val="both"/>
        <w:rPr>
          <w:rFonts w:ascii="Verdana" w:eastAsia="Century Gothic" w:hAnsi="Verdana" w:cs="Century Gothic"/>
          <w:lang w:val="es-ES"/>
        </w:rPr>
      </w:pPr>
    </w:p>
    <w:p w14:paraId="39418625" w14:textId="557C95B0" w:rsidR="00322A85" w:rsidRPr="009B0851" w:rsidRDefault="00B406F5" w:rsidP="00962D49">
      <w:pPr>
        <w:spacing w:after="0" w:line="276" w:lineRule="auto"/>
        <w:jc w:val="both"/>
        <w:rPr>
          <w:rFonts w:ascii="Verdana" w:eastAsia="Century Gothic" w:hAnsi="Verdana" w:cs="Century Gothic"/>
        </w:rPr>
      </w:pPr>
      <w:r w:rsidRPr="009B0851">
        <w:rPr>
          <w:rFonts w:ascii="Verdana" w:eastAsia="Century Gothic" w:hAnsi="Verdana" w:cs="Century Gothic"/>
        </w:rPr>
        <w:lastRenderedPageBreak/>
        <w:t>De acuerdo con el contenido de su solicitud, esta Agencia resolverá los siguientes problemas jurídicos:</w:t>
      </w:r>
      <w:r w:rsidR="00404696" w:rsidRPr="009B0851">
        <w:rPr>
          <w:rFonts w:ascii="Verdana" w:eastAsia="Century Gothic" w:hAnsi="Verdana" w:cs="Century Gothic"/>
        </w:rPr>
        <w:t xml:space="preserve"> i)</w:t>
      </w:r>
      <w:r w:rsidRPr="009B0851">
        <w:rPr>
          <w:rFonts w:ascii="Verdana" w:eastAsia="Century Gothic" w:hAnsi="Verdana" w:cs="Century Gothic"/>
        </w:rPr>
        <w:t xml:space="preserve"> </w:t>
      </w:r>
      <w:r w:rsidR="0031021F" w:rsidRPr="009B0851">
        <w:rPr>
          <w:rFonts w:ascii="Verdana" w:eastAsia="Century Gothic" w:hAnsi="Verdana" w:cs="Century Gothic"/>
        </w:rPr>
        <w:t xml:space="preserve">¿Cuál es </w:t>
      </w:r>
      <w:r w:rsidR="00C703CE" w:rsidRPr="009B0851">
        <w:rPr>
          <w:rFonts w:ascii="Verdana" w:eastAsia="Century Gothic" w:hAnsi="Verdana" w:cs="Century Gothic"/>
        </w:rPr>
        <w:t>la finalidad de conformar</w:t>
      </w:r>
      <w:r w:rsidR="00404696" w:rsidRPr="009B0851">
        <w:rPr>
          <w:rFonts w:ascii="Verdana" w:eastAsia="Century Gothic" w:hAnsi="Verdana" w:cs="Century Gothic"/>
        </w:rPr>
        <w:t xml:space="preserve"> consorcios y uniones temporales?; </w:t>
      </w:r>
      <w:proofErr w:type="spellStart"/>
      <w:r w:rsidR="00404696" w:rsidRPr="009B0851">
        <w:rPr>
          <w:rFonts w:ascii="Verdana" w:eastAsia="Century Gothic" w:hAnsi="Verdana" w:cs="Century Gothic"/>
        </w:rPr>
        <w:t>ii</w:t>
      </w:r>
      <w:proofErr w:type="spellEnd"/>
      <w:r w:rsidR="00404696" w:rsidRPr="009B0851">
        <w:rPr>
          <w:rFonts w:ascii="Verdana" w:eastAsia="Century Gothic" w:hAnsi="Verdana" w:cs="Century Gothic"/>
        </w:rPr>
        <w:t xml:space="preserve">) </w:t>
      </w:r>
      <w:r w:rsidR="00AD2BE8" w:rsidRPr="009B0851">
        <w:rPr>
          <w:rFonts w:ascii="Verdana" w:eastAsia="Century Gothic" w:hAnsi="Verdana" w:cs="Century Gothic"/>
        </w:rPr>
        <w:t xml:space="preserve">¿Cuál es la forma en la que las Entidades Estatales deben establecer los </w:t>
      </w:r>
      <w:r w:rsidR="00AD2BE8" w:rsidRPr="009B0851">
        <w:rPr>
          <w:rFonts w:ascii="Verdana" w:eastAsia="Century Gothic" w:hAnsi="Verdana" w:cs="Century Gothic"/>
          <w:lang w:val="es-ES"/>
        </w:rPr>
        <w:t xml:space="preserve">requisitos </w:t>
      </w:r>
      <w:r w:rsidR="003B7F18" w:rsidRPr="009B0851">
        <w:rPr>
          <w:rFonts w:ascii="Verdana" w:eastAsia="Century Gothic" w:hAnsi="Verdana" w:cs="Century Gothic"/>
          <w:lang w:val="es-ES"/>
        </w:rPr>
        <w:t xml:space="preserve">habilitantes </w:t>
      </w:r>
      <w:r w:rsidR="004B477A" w:rsidRPr="009B0851">
        <w:rPr>
          <w:rFonts w:ascii="Verdana" w:eastAsia="Century Gothic" w:hAnsi="Verdana" w:cs="Century Gothic"/>
          <w:lang w:val="es-ES"/>
        </w:rPr>
        <w:t xml:space="preserve">para </w:t>
      </w:r>
      <w:r w:rsidR="004B477A" w:rsidRPr="009B0851">
        <w:rPr>
          <w:rFonts w:ascii="Verdana" w:eastAsia="Century Gothic" w:hAnsi="Verdana" w:cs="Century Gothic"/>
        </w:rPr>
        <w:t xml:space="preserve">consorcios y uniones temporales?; y </w:t>
      </w:r>
      <w:proofErr w:type="spellStart"/>
      <w:r w:rsidR="004B477A" w:rsidRPr="009B0851">
        <w:rPr>
          <w:rFonts w:ascii="Verdana" w:eastAsia="Century Gothic" w:hAnsi="Verdana" w:cs="Century Gothic"/>
        </w:rPr>
        <w:t>iii</w:t>
      </w:r>
      <w:proofErr w:type="spellEnd"/>
      <w:r w:rsidR="004B477A" w:rsidRPr="009B0851">
        <w:rPr>
          <w:rFonts w:ascii="Verdana" w:eastAsia="Century Gothic" w:hAnsi="Verdana" w:cs="Century Gothic"/>
        </w:rPr>
        <w:t xml:space="preserve">) </w:t>
      </w:r>
      <w:r w:rsidR="009442E6" w:rsidRPr="009B0851">
        <w:rPr>
          <w:rFonts w:ascii="Verdana" w:eastAsia="Century Gothic" w:hAnsi="Verdana" w:cs="Century Gothic"/>
        </w:rPr>
        <w:t xml:space="preserve">¿Pueden las Entidades </w:t>
      </w:r>
      <w:r w:rsidR="00951B81" w:rsidRPr="009B0851">
        <w:rPr>
          <w:rFonts w:ascii="Verdana" w:eastAsia="Century Gothic" w:hAnsi="Verdana" w:cs="Century Gothic"/>
        </w:rPr>
        <w:t xml:space="preserve">limitar </w:t>
      </w:r>
      <w:r w:rsidR="00F96D04" w:rsidRPr="009B0851">
        <w:rPr>
          <w:rFonts w:ascii="Verdana" w:eastAsia="Century Gothic" w:hAnsi="Verdana" w:cs="Century Gothic"/>
        </w:rPr>
        <w:t xml:space="preserve">la conformación de las figuras asociativas </w:t>
      </w:r>
      <w:r w:rsidR="00C103D0" w:rsidRPr="009B0851">
        <w:rPr>
          <w:rFonts w:ascii="Verdana" w:eastAsia="Century Gothic" w:hAnsi="Verdana" w:cs="Century Gothic"/>
        </w:rPr>
        <w:t xml:space="preserve">de consorcios y uniones temporales? </w:t>
      </w:r>
    </w:p>
    <w:p w14:paraId="2598F1D1" w14:textId="77777777" w:rsidR="00FD156E" w:rsidRPr="009B0851" w:rsidRDefault="00FD156E" w:rsidP="00FD156E">
      <w:pPr>
        <w:spacing w:after="0" w:line="276" w:lineRule="auto"/>
        <w:jc w:val="both"/>
        <w:rPr>
          <w:rFonts w:ascii="Verdana" w:eastAsia="Calibri" w:hAnsi="Verdana" w:cs="Arial"/>
          <w:color w:val="7030A0"/>
          <w:lang w:val="es-ES"/>
        </w:rPr>
      </w:pPr>
    </w:p>
    <w:p w14:paraId="7781B2D8" w14:textId="77777777" w:rsidR="00FD156E" w:rsidRPr="009B0851" w:rsidRDefault="00FD156E" w:rsidP="00FD156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B0851">
        <w:rPr>
          <w:rFonts w:ascii="Verdana" w:eastAsia="Century Gothic" w:hAnsi="Verdana" w:cs="Century Gothic"/>
          <w:b/>
          <w:bCs/>
        </w:rPr>
        <w:t>Respuesta:</w:t>
      </w:r>
    </w:p>
    <w:p w14:paraId="45B6F317" w14:textId="77777777" w:rsidR="00FD156E" w:rsidRPr="009B0851" w:rsidRDefault="00FD156E" w:rsidP="00FD156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01D0F" w:rsidRPr="009B0851" w14:paraId="79111747" w14:textId="77777777" w:rsidTr="00841CAB">
        <w:tc>
          <w:tcPr>
            <w:tcW w:w="8828" w:type="dxa"/>
            <w:shd w:val="clear" w:color="auto" w:fill="auto"/>
          </w:tcPr>
          <w:p w14:paraId="2257F093" w14:textId="58FE147E" w:rsidR="00FD156E" w:rsidRPr="009B0851" w:rsidRDefault="00FD2079" w:rsidP="00FD2079">
            <w:pPr>
              <w:spacing w:line="276" w:lineRule="auto"/>
              <w:jc w:val="both"/>
              <w:rPr>
                <w:rFonts w:ascii="Verdana" w:eastAsia="Calibri" w:hAnsi="Verdana" w:cs="Arial"/>
              </w:rPr>
            </w:pPr>
            <w:r w:rsidRPr="009B0851">
              <w:rPr>
                <w:rFonts w:ascii="Verdana" w:eastAsia="Calibri" w:hAnsi="Verdana" w:cs="Arial"/>
              </w:rPr>
              <w:t xml:space="preserve">i) </w:t>
            </w:r>
            <w:r w:rsidR="002C1E05" w:rsidRPr="009B0851">
              <w:rPr>
                <w:rFonts w:ascii="Verdana" w:eastAsia="Calibri" w:hAnsi="Verdana" w:cs="Arial"/>
              </w:rPr>
              <w:t xml:space="preserve">Frente al primer interrogante ha de indicarse que los consorcios y las uniones temporales son figuras asociativas consagradas </w:t>
            </w:r>
            <w:r w:rsidR="0098066E" w:rsidRPr="009B0851">
              <w:rPr>
                <w:rFonts w:ascii="Verdana" w:eastAsia="Calibri" w:hAnsi="Verdana" w:cs="Arial"/>
              </w:rPr>
              <w:t xml:space="preserve">en </w:t>
            </w:r>
            <w:r w:rsidR="002C1E05" w:rsidRPr="009B0851">
              <w:rPr>
                <w:rFonts w:ascii="Verdana" w:eastAsia="Calibri" w:hAnsi="Verdana" w:cs="Arial"/>
              </w:rPr>
              <w:t>la Ley 80 de 1993 y tienen como objetivo facilitar la organización de diversos miembros a efectos de celebrar y ejecutar contratos con el Estado.</w:t>
            </w:r>
          </w:p>
          <w:p w14:paraId="13FC5062" w14:textId="77777777" w:rsidR="00FD2079" w:rsidRPr="009B0851" w:rsidRDefault="00FD2079" w:rsidP="00FD2079">
            <w:pPr>
              <w:spacing w:line="276" w:lineRule="auto"/>
              <w:jc w:val="both"/>
              <w:rPr>
                <w:rFonts w:ascii="Verdana" w:eastAsia="Calibri" w:hAnsi="Verdana" w:cs="Arial"/>
              </w:rPr>
            </w:pPr>
          </w:p>
          <w:p w14:paraId="5D2AA880" w14:textId="0476F1DD" w:rsidR="00FD2079" w:rsidRPr="009B0851" w:rsidRDefault="00FD2079" w:rsidP="00FD2079">
            <w:pPr>
              <w:spacing w:line="276" w:lineRule="auto"/>
              <w:jc w:val="both"/>
              <w:rPr>
                <w:rFonts w:ascii="Verdana" w:eastAsia="Calibri" w:hAnsi="Verdana" w:cs="Arial"/>
              </w:rPr>
            </w:pPr>
            <w:proofErr w:type="spellStart"/>
            <w:r w:rsidRPr="009B0851">
              <w:rPr>
                <w:rFonts w:ascii="Verdana" w:eastAsia="Calibri" w:hAnsi="Verdana" w:cs="Arial"/>
              </w:rPr>
              <w:t>ii</w:t>
            </w:r>
            <w:proofErr w:type="spellEnd"/>
            <w:r w:rsidRPr="009B0851">
              <w:rPr>
                <w:rFonts w:ascii="Verdana" w:eastAsia="Calibri" w:hAnsi="Verdana" w:cs="Arial"/>
              </w:rPr>
              <w:t>)</w:t>
            </w:r>
            <w:r w:rsidR="00040E50" w:rsidRPr="009B0851">
              <w:rPr>
                <w:rFonts w:ascii="Verdana" w:eastAsia="Calibri" w:hAnsi="Verdana" w:cs="Arial"/>
              </w:rPr>
              <w:t xml:space="preserve"> </w:t>
            </w:r>
            <w:r w:rsidR="00040E50" w:rsidRPr="009B0851">
              <w:rPr>
                <w:rFonts w:ascii="Verdana" w:eastAsia="Calibri" w:hAnsi="Verdana" w:cs="Arial"/>
                <w:lang w:val="es-ES"/>
              </w:rPr>
              <w:t>De conformidad con el artículo 5 de la Ley 1150 de 2007, para participar en Procesos de Contratación los proponentes deben cumplir con los requisitos habilitantes establecidos por la Entidad Estatal los cuales pueden referirse a la capacidad jurídica y las condiciones de experiencia, capacidad financiera y de organización. Según el artículo 2.2.1.1.1.6.2 del Decreto 1082 de 2015, estos requisitos deben ser establecidos en los pliegos de condiciones por la Entidad Estatal contratante de manera adecuada y proporcional</w:t>
            </w:r>
            <w:r w:rsidR="00040E50" w:rsidRPr="009B0851">
              <w:rPr>
                <w:rFonts w:ascii="Verdana" w:eastAsia="Calibri" w:hAnsi="Verdana" w:cs="Arial"/>
              </w:rPr>
              <w:t>, teniendo en cuenta factores como el: (i) el riesgo del proceso (</w:t>
            </w:r>
            <w:proofErr w:type="spellStart"/>
            <w:r w:rsidR="00040E50" w:rsidRPr="009B0851">
              <w:rPr>
                <w:rFonts w:ascii="Verdana" w:eastAsia="Calibri" w:hAnsi="Verdana" w:cs="Arial"/>
              </w:rPr>
              <w:t>ii</w:t>
            </w:r>
            <w:proofErr w:type="spellEnd"/>
            <w:r w:rsidR="00040E50" w:rsidRPr="009B0851">
              <w:rPr>
                <w:rFonts w:ascii="Verdana" w:eastAsia="Calibri" w:hAnsi="Verdana" w:cs="Arial"/>
              </w:rPr>
              <w:t>) el valor del contrato; (</w:t>
            </w:r>
            <w:proofErr w:type="spellStart"/>
            <w:r w:rsidR="00040E50" w:rsidRPr="009B0851">
              <w:rPr>
                <w:rFonts w:ascii="Verdana" w:eastAsia="Calibri" w:hAnsi="Verdana" w:cs="Arial"/>
              </w:rPr>
              <w:t>iii</w:t>
            </w:r>
            <w:proofErr w:type="spellEnd"/>
            <w:r w:rsidR="00040E50" w:rsidRPr="009B0851">
              <w:rPr>
                <w:rFonts w:ascii="Verdana" w:eastAsia="Calibri" w:hAnsi="Verdana" w:cs="Arial"/>
              </w:rPr>
              <w:t>) el análisis del sector económico respectivo; y (</w:t>
            </w:r>
            <w:proofErr w:type="spellStart"/>
            <w:r w:rsidR="00040E50" w:rsidRPr="009B0851">
              <w:rPr>
                <w:rFonts w:ascii="Verdana" w:eastAsia="Calibri" w:hAnsi="Verdana" w:cs="Arial"/>
              </w:rPr>
              <w:t>iv</w:t>
            </w:r>
            <w:proofErr w:type="spellEnd"/>
            <w:r w:rsidR="00040E50" w:rsidRPr="009B0851">
              <w:rPr>
                <w:rFonts w:ascii="Verdana" w:eastAsia="Calibri" w:hAnsi="Verdana" w:cs="Arial"/>
              </w:rPr>
              <w:t xml:space="preserve">) el conocimiento de fondo de los posibles oferentes desde la perspectiva comercial. </w:t>
            </w:r>
            <w:r w:rsidR="00040E50" w:rsidRPr="009B0851">
              <w:rPr>
                <w:rFonts w:ascii="Verdana" w:eastAsia="Calibri" w:hAnsi="Verdana" w:cs="Arial"/>
                <w:lang w:val="es-ES"/>
              </w:rPr>
              <w:t xml:space="preserve">Los proponentes plurales están llamados a cumplir con estos requisitos acreditando de manera conjunta </w:t>
            </w:r>
            <w:r w:rsidR="00040E50" w:rsidRPr="009B0851">
              <w:rPr>
                <w:rFonts w:ascii="Verdana" w:eastAsia="Calibri" w:hAnsi="Verdana" w:cs="Arial"/>
              </w:rPr>
              <w:t>a través de los documentos pertinentes, siguiendo las reglas establecidas por la Entidad Estatal en el pliego de condiciones.</w:t>
            </w:r>
          </w:p>
          <w:p w14:paraId="3310EFAD" w14:textId="77777777" w:rsidR="00FD2079" w:rsidRPr="009B0851" w:rsidRDefault="00FD2079" w:rsidP="00FD2079">
            <w:pPr>
              <w:spacing w:line="276" w:lineRule="auto"/>
              <w:jc w:val="both"/>
              <w:rPr>
                <w:rFonts w:ascii="Verdana" w:eastAsia="Calibri" w:hAnsi="Verdana" w:cs="Arial"/>
              </w:rPr>
            </w:pPr>
          </w:p>
          <w:p w14:paraId="1698A57B" w14:textId="589EE31D" w:rsidR="00FD2079" w:rsidRPr="009B0851" w:rsidRDefault="00FD2079" w:rsidP="00FD2079">
            <w:pPr>
              <w:spacing w:line="276" w:lineRule="auto"/>
              <w:jc w:val="both"/>
              <w:rPr>
                <w:rFonts w:ascii="Verdana" w:eastAsia="Calibri" w:hAnsi="Verdana" w:cs="Arial"/>
              </w:rPr>
            </w:pPr>
            <w:proofErr w:type="spellStart"/>
            <w:r w:rsidRPr="009B0851">
              <w:rPr>
                <w:rFonts w:ascii="Verdana" w:eastAsia="Calibri" w:hAnsi="Verdana" w:cs="Arial"/>
              </w:rPr>
              <w:t>iii</w:t>
            </w:r>
            <w:proofErr w:type="spellEnd"/>
            <w:r w:rsidRPr="009B0851">
              <w:rPr>
                <w:rFonts w:ascii="Verdana" w:eastAsia="Calibri" w:hAnsi="Verdana" w:cs="Arial"/>
              </w:rPr>
              <w:t xml:space="preserve">) </w:t>
            </w:r>
            <w:r w:rsidR="00777CB3" w:rsidRPr="009B0851">
              <w:rPr>
                <w:rFonts w:ascii="Verdana" w:eastAsia="Calibri" w:hAnsi="Verdana" w:cs="Arial"/>
              </w:rPr>
              <w:t xml:space="preserve">Conforme lo dispuesto en el artículo 7 de la ley 80 de 1992 los consorcios y uniones temporales se da cuando </w:t>
            </w:r>
            <w:r w:rsidR="00C272D7" w:rsidRPr="009B0851">
              <w:rPr>
                <w:rFonts w:ascii="Verdana" w:eastAsia="Calibri" w:hAnsi="Verdana" w:cs="Arial"/>
              </w:rPr>
              <w:t>“</w:t>
            </w:r>
            <w:r w:rsidR="00777CB3" w:rsidRPr="009B0851">
              <w:rPr>
                <w:rFonts w:ascii="Verdana" w:eastAsia="Calibri" w:hAnsi="Verdana" w:cs="Arial"/>
              </w:rPr>
              <w:t>dos o más personas en forma conjunta presenta una misma propuesta para la adjudicación, celebración y ejecución de un contrato</w:t>
            </w:r>
            <w:r w:rsidR="00C272D7" w:rsidRPr="009B0851">
              <w:rPr>
                <w:rFonts w:ascii="Verdana" w:eastAsia="Calibri" w:hAnsi="Verdana" w:cs="Arial"/>
              </w:rPr>
              <w:t>”</w:t>
            </w:r>
            <w:r w:rsidR="00777CB3" w:rsidRPr="009B0851">
              <w:rPr>
                <w:rFonts w:ascii="Verdana" w:eastAsia="Calibri" w:hAnsi="Verdana" w:cs="Arial"/>
              </w:rPr>
              <w:t xml:space="preserve">. Desde esta perspectiva, </w:t>
            </w:r>
            <w:r w:rsidR="00CD52E9" w:rsidRPr="009B0851">
              <w:rPr>
                <w:rFonts w:ascii="Verdana" w:eastAsia="Calibri" w:hAnsi="Verdana" w:cs="Arial"/>
              </w:rPr>
              <w:t xml:space="preserve">por disposición legal expresa </w:t>
            </w:r>
            <w:r w:rsidR="006B282B" w:rsidRPr="009B0851">
              <w:rPr>
                <w:rFonts w:ascii="Verdana" w:eastAsia="Calibri" w:hAnsi="Verdana" w:cs="Arial"/>
              </w:rPr>
              <w:t xml:space="preserve">el número de miembros de un consorcio o unión temporal </w:t>
            </w:r>
            <w:r w:rsidR="00F774BA" w:rsidRPr="009B0851">
              <w:rPr>
                <w:rFonts w:ascii="Verdana" w:eastAsia="Calibri" w:hAnsi="Verdana" w:cs="Arial"/>
              </w:rPr>
              <w:t>no cuenta con límite</w:t>
            </w:r>
            <w:r w:rsidR="00AA59D1">
              <w:rPr>
                <w:rFonts w:ascii="Verdana" w:eastAsia="Calibri" w:hAnsi="Verdana" w:cs="Arial"/>
              </w:rPr>
              <w:t xml:space="preserve"> </w:t>
            </w:r>
            <w:r w:rsidR="00E230E0">
              <w:rPr>
                <w:rFonts w:ascii="Verdana" w:eastAsia="Calibri" w:hAnsi="Verdana" w:cs="Arial"/>
              </w:rPr>
              <w:t>en cuanto a su</w:t>
            </w:r>
            <w:r w:rsidR="00AA59D1">
              <w:rPr>
                <w:rFonts w:ascii="Verdana" w:eastAsia="Calibri" w:hAnsi="Verdana" w:cs="Arial"/>
              </w:rPr>
              <w:t xml:space="preserve"> conformación</w:t>
            </w:r>
            <w:r w:rsidR="00F774BA" w:rsidRPr="009B0851">
              <w:rPr>
                <w:rFonts w:ascii="Verdana" w:eastAsia="Calibri" w:hAnsi="Verdana" w:cs="Arial"/>
              </w:rPr>
              <w:t xml:space="preserve">. No obstante, </w:t>
            </w:r>
            <w:r w:rsidR="00432051" w:rsidRPr="009B0851">
              <w:rPr>
                <w:rFonts w:ascii="Verdana" w:eastAsia="Calibri" w:hAnsi="Verdana" w:cs="Arial"/>
              </w:rPr>
              <w:t>las Entidades en el marco de la autonomía</w:t>
            </w:r>
            <w:r w:rsidR="00C54775" w:rsidRPr="009B0851">
              <w:rPr>
                <w:rFonts w:ascii="Verdana" w:eastAsia="Calibri" w:hAnsi="Verdana" w:cs="Arial"/>
              </w:rPr>
              <w:t xml:space="preserve">, </w:t>
            </w:r>
            <w:r w:rsidR="009323D0">
              <w:rPr>
                <w:rFonts w:ascii="Verdana" w:eastAsia="Calibri" w:hAnsi="Verdana" w:cs="Arial"/>
              </w:rPr>
              <w:t>pueden establecer</w:t>
            </w:r>
            <w:r w:rsidR="00466F31" w:rsidRPr="009B0851">
              <w:rPr>
                <w:rFonts w:ascii="Verdana" w:eastAsia="Calibri" w:hAnsi="Verdana" w:cs="Arial"/>
              </w:rPr>
              <w:t xml:space="preserve"> en el pliego de condiciones o documento equivalente las condiciones </w:t>
            </w:r>
            <w:r w:rsidR="00160131">
              <w:rPr>
                <w:rFonts w:ascii="Verdana" w:eastAsia="Calibri" w:hAnsi="Verdana" w:cs="Arial"/>
              </w:rPr>
              <w:t>de participación de los proponentes plurales</w:t>
            </w:r>
            <w:r w:rsidR="00466F31" w:rsidRPr="009B0851">
              <w:rPr>
                <w:rFonts w:ascii="Verdana" w:eastAsia="Calibri" w:hAnsi="Verdana" w:cs="Arial"/>
              </w:rPr>
              <w:t xml:space="preserve"> en cada proceso de contratación. </w:t>
            </w:r>
            <w:r w:rsidR="00FE5DB8" w:rsidRPr="009B0851">
              <w:rPr>
                <w:rFonts w:ascii="Verdana" w:eastAsia="Calibri" w:hAnsi="Verdana" w:cs="Arial"/>
              </w:rPr>
              <w:t xml:space="preserve"> </w:t>
            </w:r>
          </w:p>
        </w:tc>
      </w:tr>
    </w:tbl>
    <w:p w14:paraId="1FB6F675" w14:textId="77777777" w:rsidR="00FD156E" w:rsidRPr="009B0851" w:rsidRDefault="00FD156E" w:rsidP="00FD156E">
      <w:pPr>
        <w:tabs>
          <w:tab w:val="left" w:pos="142"/>
          <w:tab w:val="left" w:pos="284"/>
        </w:tabs>
        <w:spacing w:after="0" w:line="276" w:lineRule="auto"/>
        <w:jc w:val="both"/>
        <w:rPr>
          <w:rFonts w:ascii="Verdana" w:eastAsia="Century Gothic" w:hAnsi="Verdana" w:cs="Century Gothic"/>
          <w:b/>
          <w:bCs/>
          <w:lang w:val="es-ES"/>
        </w:rPr>
      </w:pPr>
    </w:p>
    <w:p w14:paraId="49199D20" w14:textId="77777777" w:rsidR="00FD156E" w:rsidRPr="009B0851" w:rsidRDefault="00FD156E" w:rsidP="00FD156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B0851">
        <w:rPr>
          <w:rFonts w:ascii="Verdana" w:eastAsia="Century Gothic" w:hAnsi="Verdana" w:cs="Century Gothic"/>
          <w:b/>
          <w:bCs/>
        </w:rPr>
        <w:lastRenderedPageBreak/>
        <w:t>Razones de la respuesta:</w:t>
      </w:r>
    </w:p>
    <w:p w14:paraId="76ADBE6C" w14:textId="77777777" w:rsidR="00FD156E" w:rsidRPr="009B0851" w:rsidRDefault="00FD156E" w:rsidP="00FD156E">
      <w:pPr>
        <w:spacing w:after="0" w:line="276" w:lineRule="auto"/>
        <w:jc w:val="both"/>
        <w:rPr>
          <w:rFonts w:ascii="Verdana" w:eastAsia="Calibri" w:hAnsi="Verdana" w:cs="Arial"/>
          <w:color w:val="7030A0"/>
          <w:lang w:val="es-ES"/>
        </w:rPr>
      </w:pPr>
    </w:p>
    <w:p w14:paraId="026F215C" w14:textId="72A06F2C" w:rsidR="00FD156E" w:rsidRPr="009B0851" w:rsidRDefault="00FD156E" w:rsidP="00FD156E">
      <w:pPr>
        <w:spacing w:after="0" w:line="276" w:lineRule="auto"/>
        <w:jc w:val="both"/>
        <w:rPr>
          <w:rFonts w:ascii="Verdana" w:eastAsia="Calibri" w:hAnsi="Verdana" w:cs="Arial"/>
          <w:lang w:val="es-ES"/>
        </w:rPr>
      </w:pPr>
      <w:r w:rsidRPr="009B0851">
        <w:rPr>
          <w:rFonts w:ascii="Verdana" w:eastAsia="Calibri" w:hAnsi="Verdana" w:cs="Arial"/>
          <w:lang w:val="es-ES"/>
        </w:rPr>
        <w:t xml:space="preserve">Lo anterior </w:t>
      </w:r>
      <w:r w:rsidR="00AE7D6A">
        <w:rPr>
          <w:rFonts w:ascii="Verdana" w:eastAsia="Calibri" w:hAnsi="Verdana" w:cs="Arial"/>
          <w:lang w:val="es-ES"/>
        </w:rPr>
        <w:t xml:space="preserve">respuesta </w:t>
      </w:r>
      <w:r w:rsidRPr="009B0851">
        <w:rPr>
          <w:rFonts w:ascii="Verdana" w:eastAsia="Calibri" w:hAnsi="Verdana" w:cs="Arial"/>
          <w:lang w:val="es-ES"/>
        </w:rPr>
        <w:t xml:space="preserve">se sustenta en las siguientes consideraciones: </w:t>
      </w:r>
    </w:p>
    <w:p w14:paraId="7C5F7E17" w14:textId="77777777" w:rsidR="00FD156E" w:rsidRPr="009B0851" w:rsidRDefault="00FD156E" w:rsidP="00FD156E">
      <w:pPr>
        <w:spacing w:after="0" w:line="276" w:lineRule="auto"/>
        <w:jc w:val="both"/>
        <w:rPr>
          <w:rFonts w:ascii="Verdana" w:eastAsia="Calibri" w:hAnsi="Verdana" w:cs="Arial"/>
          <w:color w:val="7030A0"/>
          <w:lang w:val="es-ES"/>
        </w:rPr>
      </w:pPr>
    </w:p>
    <w:p w14:paraId="37FF41BB" w14:textId="77777777" w:rsidR="00ED566D" w:rsidRPr="009B0851" w:rsidRDefault="00ED566D" w:rsidP="00ED566D">
      <w:pPr>
        <w:pStyle w:val="Prrafodelista"/>
        <w:numPr>
          <w:ilvl w:val="0"/>
          <w:numId w:val="17"/>
        </w:numPr>
        <w:spacing w:line="276" w:lineRule="auto"/>
        <w:jc w:val="both"/>
        <w:rPr>
          <w:rFonts w:ascii="Verdana" w:eastAsia="Century Gothic" w:hAnsi="Verdana" w:cs="Century Gothic"/>
        </w:rPr>
      </w:pPr>
      <w:r w:rsidRPr="009B0851">
        <w:rPr>
          <w:rFonts w:ascii="Verdana" w:eastAsia="Century Gothic" w:hAnsi="Verdana" w:cs="Century Gothic"/>
        </w:rPr>
        <w:t xml:space="preserve">Los requisitos habilitantes se definen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Se diferencian de los criterios de evaluación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 </w:t>
      </w:r>
    </w:p>
    <w:p w14:paraId="56896D56" w14:textId="77777777" w:rsidR="00ED566D" w:rsidRPr="009B0851" w:rsidRDefault="00ED566D" w:rsidP="00ED566D">
      <w:pPr>
        <w:pStyle w:val="Prrafodelista"/>
        <w:spacing w:line="276" w:lineRule="auto"/>
        <w:jc w:val="both"/>
        <w:rPr>
          <w:rFonts w:ascii="Verdana" w:eastAsia="Century Gothic" w:hAnsi="Verdana" w:cs="Century Gothic"/>
        </w:rPr>
      </w:pPr>
    </w:p>
    <w:p w14:paraId="7134643D" w14:textId="77777777" w:rsidR="00ED566D" w:rsidRPr="009B0851" w:rsidRDefault="00ED566D" w:rsidP="00ED566D">
      <w:pPr>
        <w:pStyle w:val="Prrafodelista"/>
        <w:numPr>
          <w:ilvl w:val="0"/>
          <w:numId w:val="17"/>
        </w:numPr>
        <w:spacing w:line="276" w:lineRule="auto"/>
        <w:jc w:val="both"/>
        <w:rPr>
          <w:rFonts w:ascii="Verdana" w:eastAsia="Century Gothic" w:hAnsi="Verdana" w:cs="Century Gothic"/>
        </w:rPr>
      </w:pPr>
      <w:r w:rsidRPr="009B0851">
        <w:rPr>
          <w:rFonts w:ascii="Verdana" w:eastAsia="Century Gothic" w:hAnsi="Verdana" w:cs="Century Gothic"/>
        </w:rPr>
        <w:t>Estos requisitos,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01F67CDD" w14:textId="77777777" w:rsidR="00ED566D" w:rsidRPr="009B0851" w:rsidRDefault="00ED566D" w:rsidP="00ED566D">
      <w:pPr>
        <w:pStyle w:val="Prrafodelista"/>
        <w:spacing w:line="276" w:lineRule="auto"/>
        <w:jc w:val="both"/>
        <w:rPr>
          <w:rFonts w:ascii="Verdana" w:eastAsia="Century Gothic" w:hAnsi="Verdana" w:cs="Century Gothic"/>
        </w:rPr>
      </w:pPr>
    </w:p>
    <w:p w14:paraId="6820D1C5" w14:textId="384B3D7E" w:rsidR="00ED566D" w:rsidRPr="009B0851" w:rsidRDefault="00ED566D" w:rsidP="00ED566D">
      <w:pPr>
        <w:pStyle w:val="Prrafodelista"/>
        <w:numPr>
          <w:ilvl w:val="0"/>
          <w:numId w:val="17"/>
        </w:numPr>
        <w:spacing w:line="276" w:lineRule="auto"/>
        <w:jc w:val="both"/>
        <w:rPr>
          <w:rFonts w:ascii="Verdana" w:eastAsia="Century Gothic" w:hAnsi="Verdana" w:cs="Century Gothic"/>
        </w:rPr>
      </w:pPr>
      <w:r w:rsidRPr="009B0851">
        <w:rPr>
          <w:rFonts w:ascii="Verdana" w:eastAsia="Century Gothic" w:hAnsi="Verdana" w:cs="Century Gothic"/>
        </w:rPr>
        <w:t xml:space="preserve">El mencionado artículo dispone que se considera objetiva la selección en la cual la escogencia se haga al ofrecimiento más favorable a la entidad y a los fines que ella busca, sin tener en consideración factores de afecto o de interés y, en general, cualquier clase de motivación subjetiva. En ese contexto, los factores de escogencia y calificación que establezcan las Entidades en los pliegos de condiciones o en sus documentos equivalentes deberán tener en cuenta, entre otras cuestiones, los criterios establecidos en dicha disposición. Específicamente, el numeral 1º del artículo referido establece que en los procesos de selección de contratistas serán objeto de verificación, como requisitos habilitantes, entre otros, los siguientes: </w:t>
      </w:r>
      <w:r w:rsidRPr="009B0851">
        <w:rPr>
          <w:rFonts w:ascii="Verdana" w:eastAsia="Century Gothic" w:hAnsi="Verdana" w:cs="Century Gothic"/>
        </w:rPr>
        <w:lastRenderedPageBreak/>
        <w:t xml:space="preserve">i) la capacidad jurídica; </w:t>
      </w:r>
      <w:proofErr w:type="spellStart"/>
      <w:r w:rsidRPr="009B0851">
        <w:rPr>
          <w:rFonts w:ascii="Verdana" w:eastAsia="Century Gothic" w:hAnsi="Verdana" w:cs="Century Gothic"/>
        </w:rPr>
        <w:t>ii</w:t>
      </w:r>
      <w:proofErr w:type="spellEnd"/>
      <w:r w:rsidRPr="009B0851">
        <w:rPr>
          <w:rFonts w:ascii="Verdana" w:eastAsia="Century Gothic" w:hAnsi="Verdana" w:cs="Century Gothic"/>
        </w:rPr>
        <w:t xml:space="preserve">) la experiencia; </w:t>
      </w:r>
      <w:proofErr w:type="spellStart"/>
      <w:r w:rsidRPr="009B0851">
        <w:rPr>
          <w:rFonts w:ascii="Verdana" w:eastAsia="Century Gothic" w:hAnsi="Verdana" w:cs="Century Gothic"/>
        </w:rPr>
        <w:t>iii</w:t>
      </w:r>
      <w:proofErr w:type="spellEnd"/>
      <w:r w:rsidRPr="009B0851">
        <w:rPr>
          <w:rFonts w:ascii="Verdana" w:eastAsia="Century Gothic" w:hAnsi="Verdana" w:cs="Century Gothic"/>
        </w:rPr>
        <w:t xml:space="preserve">) la capacidad financiera y </w:t>
      </w:r>
      <w:proofErr w:type="spellStart"/>
      <w:r w:rsidRPr="009B0851">
        <w:rPr>
          <w:rFonts w:ascii="Verdana" w:eastAsia="Century Gothic" w:hAnsi="Verdana" w:cs="Century Gothic"/>
        </w:rPr>
        <w:t>iv</w:t>
      </w:r>
      <w:proofErr w:type="spellEnd"/>
      <w:r w:rsidRPr="009B0851">
        <w:rPr>
          <w:rFonts w:ascii="Verdana" w:eastAsia="Century Gothic" w:hAnsi="Verdana" w:cs="Century Gothic"/>
        </w:rPr>
        <w:t>) la capacidad de organización</w:t>
      </w:r>
      <w:r w:rsidR="00195381">
        <w:rPr>
          <w:rFonts w:ascii="Verdana" w:eastAsia="Century Gothic" w:hAnsi="Verdana" w:cs="Century Gothic"/>
        </w:rPr>
        <w:t>.</w:t>
      </w:r>
      <w:r w:rsidRPr="009B0851">
        <w:rPr>
          <w:rStyle w:val="Refdenotaalpie"/>
          <w:rFonts w:ascii="Verdana" w:eastAsia="Century Gothic" w:hAnsi="Verdana" w:cs="Century Gothic"/>
        </w:rPr>
        <w:footnoteReference w:id="2"/>
      </w:r>
    </w:p>
    <w:p w14:paraId="4E1C6835" w14:textId="77777777" w:rsidR="00ED566D" w:rsidRPr="009B0851" w:rsidRDefault="00ED566D" w:rsidP="00ED566D">
      <w:pPr>
        <w:pStyle w:val="Prrafodelista"/>
        <w:rPr>
          <w:rFonts w:ascii="Verdana" w:eastAsia="Century Gothic" w:hAnsi="Verdana" w:cs="Century Gothic"/>
        </w:rPr>
      </w:pPr>
    </w:p>
    <w:p w14:paraId="32D68A7A" w14:textId="77777777" w:rsidR="00ED566D" w:rsidRPr="009B0851" w:rsidRDefault="00ED566D" w:rsidP="00ED566D">
      <w:pPr>
        <w:pStyle w:val="Prrafodelista"/>
        <w:numPr>
          <w:ilvl w:val="0"/>
          <w:numId w:val="17"/>
        </w:numPr>
        <w:spacing w:line="276" w:lineRule="auto"/>
        <w:jc w:val="both"/>
        <w:rPr>
          <w:rFonts w:ascii="Verdana" w:eastAsia="Century Gothic" w:hAnsi="Verdana" w:cs="Century Gothic"/>
        </w:rPr>
      </w:pPr>
      <w:r w:rsidRPr="009B0851">
        <w:rPr>
          <w:rFonts w:ascii="Verdana" w:eastAsia="Century Gothic" w:hAnsi="Verdana" w:cs="Century Gothic"/>
        </w:rPr>
        <w:t xml:space="preserve">En todo caso, la exigencia de las referidas condiciones por parte de la Entidad Estatal debe ser adecuada y proporcional a la naturaleza del contrato a suscribir y a su valor. Para estos efectos, siguiendo lo establecido en el artículo 2.2.1.1.1.6.2 del Decreto 1082 de 2015, la Entidad Estatal debe establecer los requisitos habilitantes en los pliegos de condiciones, teniendo en cuenta factores como: (a) el riesgo del Proceso de Contratación; (b) el valor del contrato; (c) el análisis del sector económico; y (d) el conocimiento de fondo de los posibles oferentes desde la perspectiva comercial. </w:t>
      </w:r>
    </w:p>
    <w:p w14:paraId="6B8B4043" w14:textId="77777777" w:rsidR="00ED566D" w:rsidRPr="009B0851" w:rsidRDefault="00ED566D" w:rsidP="00ED566D">
      <w:pPr>
        <w:pStyle w:val="Prrafodelista"/>
        <w:rPr>
          <w:rFonts w:ascii="Verdana" w:eastAsia="Century Gothic" w:hAnsi="Verdana" w:cs="Century Gothic"/>
        </w:rPr>
      </w:pPr>
    </w:p>
    <w:p w14:paraId="582D314A" w14:textId="77777777" w:rsidR="00ED566D" w:rsidRPr="009B0851" w:rsidRDefault="00ED566D" w:rsidP="00ED566D">
      <w:pPr>
        <w:pStyle w:val="Prrafodelista"/>
        <w:numPr>
          <w:ilvl w:val="0"/>
          <w:numId w:val="17"/>
        </w:numPr>
        <w:spacing w:line="276" w:lineRule="auto"/>
        <w:jc w:val="both"/>
        <w:rPr>
          <w:rFonts w:ascii="Verdana" w:eastAsia="Century Gothic" w:hAnsi="Verdana" w:cs="Century Gothic"/>
        </w:rPr>
      </w:pPr>
      <w:r w:rsidRPr="009B0851">
        <w:rPr>
          <w:rFonts w:ascii="Verdana" w:eastAsia="Century Gothic" w:hAnsi="Verdana" w:cs="Century Gothic"/>
        </w:rPr>
        <w:t>En ese orden, para participar en los Procesos de Contratación, los sujetos con capacidad para contratar de acuerdo con el artículo 6 de la Ley 80 de 1993</w:t>
      </w:r>
      <w:r w:rsidRPr="009B0851">
        <w:rPr>
          <w:rStyle w:val="Refdenotaalpie"/>
          <w:rFonts w:ascii="Verdana" w:eastAsia="Century Gothic" w:hAnsi="Verdana" w:cs="Century Gothic"/>
        </w:rPr>
        <w:footnoteReference w:id="3"/>
      </w:r>
      <w:r w:rsidRPr="009B0851">
        <w:rPr>
          <w:rFonts w:ascii="Verdana" w:eastAsia="Century Gothic" w:hAnsi="Verdana" w:cs="Century Gothic"/>
        </w:rPr>
        <w:t xml:space="preserve">, deben acreditar que cumplen con los requisitos habilitantes establecidos por la Entidad Estatal en el pliego de condiciones, lo cual </w:t>
      </w:r>
      <w:r w:rsidRPr="009B0851">
        <w:rPr>
          <w:rFonts w:ascii="Verdana" w:eastAsia="Century Gothic" w:hAnsi="Verdana" w:cs="Century Gothic"/>
        </w:rPr>
        <w:lastRenderedPageBreak/>
        <w:t xml:space="preserve">incluye a quienes participen haciendo uso de estructuras plurales como los consorcios y uniones temporales.  </w:t>
      </w:r>
    </w:p>
    <w:p w14:paraId="58C8D3C0" w14:textId="77777777" w:rsidR="00ED566D" w:rsidRPr="009B0851" w:rsidRDefault="00ED566D" w:rsidP="00ED566D">
      <w:pPr>
        <w:pStyle w:val="Prrafodelista"/>
        <w:rPr>
          <w:rFonts w:ascii="Verdana" w:eastAsia="Calibri" w:hAnsi="Verdana" w:cs="Arial"/>
          <w:bCs/>
          <w:color w:val="000000"/>
          <w:lang w:val="es-ES_tradnl" w:eastAsia="es-ES_tradnl" w:bidi="es-ES"/>
        </w:rPr>
      </w:pPr>
    </w:p>
    <w:p w14:paraId="2B704DDC" w14:textId="77777777" w:rsidR="00ED566D" w:rsidRPr="009B0851" w:rsidRDefault="00ED566D" w:rsidP="00ED566D">
      <w:pPr>
        <w:pStyle w:val="Prrafodelista"/>
        <w:numPr>
          <w:ilvl w:val="0"/>
          <w:numId w:val="17"/>
        </w:numPr>
        <w:tabs>
          <w:tab w:val="left" w:pos="0"/>
        </w:tabs>
        <w:spacing w:line="276" w:lineRule="auto"/>
        <w:jc w:val="both"/>
        <w:rPr>
          <w:rFonts w:ascii="Verdana" w:eastAsia="Calibri" w:hAnsi="Verdana" w:cs="Arial"/>
          <w:bCs/>
          <w:color w:val="000000"/>
          <w:lang w:val="es-ES_tradnl" w:eastAsia="es-ES_tradnl" w:bidi="es-ES"/>
        </w:rPr>
      </w:pPr>
      <w:r w:rsidRPr="009B0851">
        <w:rPr>
          <w:rFonts w:ascii="Verdana" w:eastAsia="Calibri" w:hAnsi="Verdana" w:cs="Arial"/>
          <w:bCs/>
          <w:color w:val="000000"/>
          <w:lang w:val="es-ES_tradnl" w:eastAsia="es-ES_tradnl" w:bidi="es-ES"/>
        </w:rPr>
        <w:t>Al respecto, es importante tener en cuenta que los consorcios</w:t>
      </w:r>
      <w:r w:rsidRPr="009B0851">
        <w:rPr>
          <w:rFonts w:ascii="Verdana" w:hAnsi="Verdana"/>
          <w:vertAlign w:val="superscript"/>
          <w:lang w:eastAsia="es-ES_tradnl" w:bidi="es-ES"/>
        </w:rPr>
        <w:footnoteReference w:id="4"/>
      </w:r>
      <w:r w:rsidRPr="009B0851">
        <w:rPr>
          <w:rFonts w:ascii="Verdana" w:eastAsia="Calibri" w:hAnsi="Verdana" w:cs="Arial"/>
          <w:bCs/>
          <w:color w:val="000000"/>
          <w:lang w:val="es-ES_tradnl" w:eastAsia="es-ES_tradnl" w:bidi="es-ES"/>
        </w:rPr>
        <w:t xml:space="preserve"> y uniones temporales son convenios de asociación provenientes de la colaboración empresarial, mediante los cuales sus integrantes se unen y organizan mancomunadamente para lograr con mayor eficacia un fin común de contenido patrimonial y lucrativo, como lo es la obtención del derecho a ser adjudicatarios de un contrato estatal. Estos sujetos comparten recursos de toda índole con el propósito de lograr la ejecución del contrato y, al mismo tiempo, compartir las utilidades y los riesgos. </w:t>
      </w:r>
    </w:p>
    <w:p w14:paraId="0E67B3FC" w14:textId="77777777" w:rsidR="00ED566D" w:rsidRPr="009B0851" w:rsidRDefault="00ED566D" w:rsidP="00ED566D">
      <w:pPr>
        <w:pStyle w:val="Prrafodelista"/>
        <w:tabs>
          <w:tab w:val="left" w:pos="0"/>
        </w:tabs>
        <w:ind w:right="709"/>
        <w:jc w:val="both"/>
        <w:rPr>
          <w:rFonts w:ascii="Verdana" w:eastAsia="Calibri" w:hAnsi="Verdana" w:cs="Arial"/>
          <w:bCs/>
          <w:color w:val="000000"/>
          <w:sz w:val="21"/>
          <w:szCs w:val="21"/>
          <w:lang w:val="es-ES_tradnl" w:eastAsia="es-ES_tradnl" w:bidi="es-ES"/>
        </w:rPr>
      </w:pPr>
    </w:p>
    <w:p w14:paraId="3B7093D4" w14:textId="77777777" w:rsidR="00ED566D" w:rsidRPr="009B0851" w:rsidRDefault="00ED566D" w:rsidP="00ED566D">
      <w:pPr>
        <w:pStyle w:val="Prrafodelista"/>
        <w:numPr>
          <w:ilvl w:val="0"/>
          <w:numId w:val="17"/>
        </w:numPr>
        <w:tabs>
          <w:tab w:val="left" w:pos="0"/>
        </w:tabs>
        <w:spacing w:before="120" w:line="276" w:lineRule="auto"/>
        <w:jc w:val="both"/>
        <w:rPr>
          <w:rFonts w:ascii="Verdana" w:eastAsia="Calibri" w:hAnsi="Verdana" w:cs="Arial"/>
          <w:bCs/>
          <w:color w:val="000000"/>
          <w:lang w:val="es-ES_tradnl" w:eastAsia="es-ES_tradnl" w:bidi="es-ES"/>
        </w:rPr>
      </w:pPr>
      <w:r w:rsidRPr="009B0851">
        <w:rPr>
          <w:rFonts w:ascii="Verdana" w:eastAsia="Calibri" w:hAnsi="Verdana" w:cs="Arial"/>
          <w:bCs/>
          <w:color w:val="000000"/>
          <w:lang w:val="es-ES_tradnl" w:eastAsia="es-ES_tradnl" w:bidi="es-ES"/>
        </w:rPr>
        <w:t>Con todo, al no ser los consorcios y uniones temporales personas jurídicas, su creación convencional se logra mediante un acuerdo privado en el que concurre la voluntad de sus integrantes para regular su objeto, la participación de los miembros, las obligaciones frente al proyecto que los une, la responsabilidad de los miembros y la forma en que regirán sus relaciones internas y el relacionamiento con la entidad contratante, mediante la designación de un representante. Así lo exige el parágrafo del artículo 7 de la Ley 80 de 1993 para que el órgano creado con la constitución del consorcio o unión temporal tenga vocación de resultar el adjudicatario del contrato estatal.</w:t>
      </w:r>
    </w:p>
    <w:p w14:paraId="68E3F837" w14:textId="77777777" w:rsidR="00ED566D" w:rsidRPr="009B0851" w:rsidRDefault="00ED566D" w:rsidP="00ED566D">
      <w:pPr>
        <w:pStyle w:val="Prrafodelista"/>
        <w:tabs>
          <w:tab w:val="left" w:pos="0"/>
        </w:tabs>
        <w:spacing w:before="120" w:line="276" w:lineRule="auto"/>
        <w:jc w:val="both"/>
        <w:rPr>
          <w:rFonts w:ascii="Verdana" w:eastAsia="Calibri" w:hAnsi="Verdana" w:cs="Arial"/>
          <w:bCs/>
          <w:color w:val="000000"/>
          <w:lang w:val="es-ES_tradnl" w:eastAsia="es-ES_tradnl" w:bidi="es-ES"/>
        </w:rPr>
      </w:pPr>
    </w:p>
    <w:p w14:paraId="1A6A7A27" w14:textId="77777777" w:rsidR="001863C7" w:rsidRPr="009B0851" w:rsidRDefault="00ED566D" w:rsidP="001863C7">
      <w:pPr>
        <w:pStyle w:val="Prrafodelista"/>
        <w:numPr>
          <w:ilvl w:val="0"/>
          <w:numId w:val="17"/>
        </w:numPr>
        <w:spacing w:before="120" w:line="276" w:lineRule="auto"/>
        <w:jc w:val="both"/>
        <w:rPr>
          <w:rFonts w:ascii="Verdana" w:eastAsia="Calibri" w:hAnsi="Verdana" w:cs="Arial"/>
          <w:color w:val="000000"/>
          <w:lang w:eastAsia="es-ES" w:bidi="es-ES"/>
        </w:rPr>
      </w:pPr>
      <w:r w:rsidRPr="009B0851">
        <w:rPr>
          <w:rFonts w:ascii="Verdana" w:eastAsia="Calibri" w:hAnsi="Verdana" w:cs="Arial"/>
          <w:color w:val="000000" w:themeColor="text1"/>
          <w:lang w:eastAsia="es-ES" w:bidi="es-ES"/>
        </w:rPr>
        <w:t>Dado que los consorcios y las uniones temporales no tienen una personalidad jurídica distinta de la de sus integrantes, para participar en Procesos de Contratación estas estructuras plurales deben cumplir los requisitos habilitantes exigidos por la Entidad Estatal acreditando las condiciones de capacidad jurídica, financiera, organizacional, experiencia y demás condiciones de sus integrantes en función de su participación en el acuerdo de colaboración del que surge el proponente plural. De esta manera, las personas naturales y jurídicas que integren los proponentes plurales están llamadas a acreditar de manera conjunta los requisitos habilitantes establecidos para el respectivo proceso.</w:t>
      </w:r>
    </w:p>
    <w:p w14:paraId="01DCDAA7" w14:textId="77777777" w:rsidR="001863C7" w:rsidRPr="009B0851" w:rsidRDefault="001863C7" w:rsidP="001863C7">
      <w:pPr>
        <w:pStyle w:val="Prrafodelista"/>
        <w:rPr>
          <w:rFonts w:ascii="Verdana" w:eastAsia="Calibri" w:hAnsi="Verdana" w:cs="Arial"/>
          <w:bCs/>
          <w:color w:val="000000"/>
          <w:lang w:val="es-ES_tradnl" w:eastAsia="es-ES_tradnl" w:bidi="es-ES"/>
        </w:rPr>
      </w:pPr>
    </w:p>
    <w:p w14:paraId="13A3D9AE" w14:textId="77777777" w:rsidR="00751FA2" w:rsidRPr="009B0851" w:rsidRDefault="001863C7" w:rsidP="00751FA2">
      <w:pPr>
        <w:pStyle w:val="Prrafodelista"/>
        <w:numPr>
          <w:ilvl w:val="0"/>
          <w:numId w:val="17"/>
        </w:numPr>
        <w:spacing w:before="120" w:line="276" w:lineRule="auto"/>
        <w:jc w:val="both"/>
        <w:rPr>
          <w:rFonts w:ascii="Verdana" w:eastAsia="Calibri" w:hAnsi="Verdana" w:cs="Arial"/>
          <w:color w:val="000000"/>
          <w:lang w:eastAsia="es-ES" w:bidi="es-ES"/>
        </w:rPr>
      </w:pPr>
      <w:r w:rsidRPr="009B0851">
        <w:rPr>
          <w:rFonts w:ascii="Verdana" w:eastAsia="Calibri" w:hAnsi="Verdana" w:cs="Arial"/>
          <w:bCs/>
          <w:color w:val="000000"/>
          <w:lang w:val="es-ES_tradnl" w:eastAsia="es-ES_tradnl" w:bidi="es-ES"/>
        </w:rPr>
        <w:t>Con todo, al no ser los consorcios y uniones temporales personas jurídicas, su creación convencional se logra mediante un acuerdo privado en el que concurre la voluntad de sus integrantes para regular su objeto, la participación de los miembros, las obligaciones frente al proyecto que los une, la responsabilidad de los miembros y la forma en que regirán sus relaciones internas y el relacionamiento con la entidad contratante, mediante la designación de un representante. Así lo exige el parágrafo del artículo 7 de la Ley 80 de 1993 para que el órgano creado con la constitución del consorcio o unión temporal tenga vocación de resultar el adjudicatario del contrato estatal.</w:t>
      </w:r>
    </w:p>
    <w:p w14:paraId="0FE2B3F7" w14:textId="77777777" w:rsidR="00751FA2" w:rsidRPr="009B0851" w:rsidRDefault="00751FA2" w:rsidP="00751FA2">
      <w:pPr>
        <w:pStyle w:val="Prrafodelista"/>
        <w:rPr>
          <w:rFonts w:ascii="Verdana" w:eastAsia="Calibri" w:hAnsi="Verdana" w:cs="Arial"/>
          <w:color w:val="000000" w:themeColor="text1"/>
          <w:lang w:eastAsia="es-ES" w:bidi="es-ES"/>
        </w:rPr>
      </w:pPr>
    </w:p>
    <w:p w14:paraId="557A23CD" w14:textId="7A651A03" w:rsidR="00751FA2" w:rsidRPr="009B0851" w:rsidRDefault="00751FA2" w:rsidP="00751FA2">
      <w:pPr>
        <w:pStyle w:val="Prrafodelista"/>
        <w:numPr>
          <w:ilvl w:val="0"/>
          <w:numId w:val="17"/>
        </w:numPr>
        <w:spacing w:before="120" w:line="276" w:lineRule="auto"/>
        <w:jc w:val="both"/>
        <w:rPr>
          <w:rFonts w:ascii="Verdana" w:eastAsia="Calibri" w:hAnsi="Verdana" w:cs="Arial"/>
          <w:color w:val="000000"/>
          <w:lang w:eastAsia="es-ES" w:bidi="es-ES"/>
        </w:rPr>
      </w:pPr>
      <w:r w:rsidRPr="009B0851">
        <w:rPr>
          <w:rFonts w:ascii="Verdana" w:eastAsia="Calibri" w:hAnsi="Verdana" w:cs="Arial"/>
          <w:color w:val="000000" w:themeColor="text1"/>
          <w:lang w:eastAsia="es-ES" w:bidi="es-ES"/>
        </w:rPr>
        <w:t xml:space="preserve">Dado que los consorcios y las uniones temporales no tienen una personalidad jurídica distinta de la de sus integrantes, para participar en Procesos de Contratación estas estructuras plurales deben cumplir los requisitos habilitantes exigidos por la Entidad Estatal acreditando las condiciones de capacidad jurídica, financiera, organizacional, experiencia y demás condiciones de sus integrantes en función de su participación en el acuerdo de colaboración del que surge el proponente plural. De esta manera, las personas naturales y jurídicas que integren los proponentes plurales están llamadas a acreditar de manera conjunta los requisitos habilitantes establecidos para el respectivo proceso. </w:t>
      </w:r>
    </w:p>
    <w:p w14:paraId="1A7CE50A" w14:textId="77777777" w:rsidR="00D87B17" w:rsidRPr="009B0851" w:rsidRDefault="00D87B17" w:rsidP="00D87B17">
      <w:pPr>
        <w:pStyle w:val="Prrafodelista"/>
        <w:rPr>
          <w:rFonts w:ascii="Verdana" w:eastAsia="Calibri" w:hAnsi="Verdana" w:cs="Arial"/>
          <w:color w:val="000000"/>
          <w:lang w:eastAsia="es-ES" w:bidi="es-ES"/>
        </w:rPr>
      </w:pPr>
    </w:p>
    <w:p w14:paraId="70738331" w14:textId="0FE0D128" w:rsidR="00D87B17" w:rsidRPr="009B0851" w:rsidRDefault="00D87B17" w:rsidP="00751FA2">
      <w:pPr>
        <w:pStyle w:val="Prrafodelista"/>
        <w:numPr>
          <w:ilvl w:val="0"/>
          <w:numId w:val="17"/>
        </w:numPr>
        <w:spacing w:before="120" w:line="276" w:lineRule="auto"/>
        <w:jc w:val="both"/>
        <w:rPr>
          <w:rFonts w:ascii="Verdana" w:eastAsia="Calibri" w:hAnsi="Verdana" w:cs="Arial"/>
          <w:color w:val="000000"/>
          <w:lang w:eastAsia="es-ES" w:bidi="es-ES"/>
        </w:rPr>
      </w:pPr>
      <w:r w:rsidRPr="009B0851">
        <w:rPr>
          <w:rFonts w:ascii="Verdana" w:eastAsia="Calibri" w:hAnsi="Verdana" w:cs="Arial"/>
          <w:color w:val="000000"/>
          <w:lang w:eastAsia="es-ES" w:bidi="es-ES"/>
        </w:rPr>
        <w:t xml:space="preserve">En síntesis, si bien </w:t>
      </w:r>
      <w:r w:rsidR="003533BF" w:rsidRPr="009B0851">
        <w:rPr>
          <w:rFonts w:ascii="Verdana" w:eastAsia="Calibri" w:hAnsi="Verdana" w:cs="Arial"/>
          <w:color w:val="000000"/>
          <w:lang w:eastAsia="es-ES" w:bidi="es-ES"/>
        </w:rPr>
        <w:t xml:space="preserve">la ley 1150 de 2007 </w:t>
      </w:r>
      <w:r w:rsidR="00AB1DA2" w:rsidRPr="009B0851">
        <w:rPr>
          <w:rFonts w:ascii="Verdana" w:eastAsia="Calibri" w:hAnsi="Verdana" w:cs="Arial"/>
          <w:color w:val="000000"/>
          <w:lang w:eastAsia="es-ES" w:bidi="es-ES"/>
        </w:rPr>
        <w:t>estableció</w:t>
      </w:r>
      <w:r w:rsidR="003533BF" w:rsidRPr="009B0851">
        <w:rPr>
          <w:rFonts w:ascii="Verdana" w:eastAsia="Calibri" w:hAnsi="Verdana" w:cs="Arial"/>
          <w:color w:val="000000"/>
          <w:lang w:eastAsia="es-ES" w:bidi="es-ES"/>
        </w:rPr>
        <w:t xml:space="preserve"> unos requisitos habilitantes para los proponentes </w:t>
      </w:r>
      <w:r w:rsidR="00AB1DA2" w:rsidRPr="009B0851">
        <w:rPr>
          <w:rFonts w:ascii="Verdana" w:eastAsia="Calibri" w:hAnsi="Verdana" w:cs="Arial"/>
          <w:color w:val="000000"/>
          <w:lang w:eastAsia="es-ES" w:bidi="es-ES"/>
        </w:rPr>
        <w:t xml:space="preserve">-la capacidad jurídica, las condiciones de experiencia, la capacidad fiñanera y la capacidad de organización-, lo cierto es que los mismos no son taxativos. </w:t>
      </w:r>
      <w:r w:rsidR="00AF2BA6" w:rsidRPr="009B0851">
        <w:rPr>
          <w:rFonts w:ascii="Verdana" w:eastAsia="Calibri" w:hAnsi="Verdana" w:cs="Arial"/>
          <w:color w:val="000000"/>
          <w:lang w:eastAsia="es-ES" w:bidi="es-ES"/>
        </w:rPr>
        <w:t xml:space="preserve">Esto significa que los requisitos habilitantes deben ser establecidos por la Entidad Estatal en cada </w:t>
      </w:r>
      <w:r w:rsidR="005978E5" w:rsidRPr="009B0851">
        <w:rPr>
          <w:rFonts w:ascii="Verdana" w:eastAsia="Calibri" w:hAnsi="Verdana" w:cs="Arial"/>
          <w:color w:val="000000"/>
          <w:lang w:eastAsia="es-ES" w:bidi="es-ES"/>
        </w:rPr>
        <w:t>proceso competitivo</w:t>
      </w:r>
      <w:r w:rsidR="00AF2BA6" w:rsidRPr="009B0851">
        <w:rPr>
          <w:rFonts w:ascii="Verdana" w:eastAsia="Calibri" w:hAnsi="Verdana" w:cs="Arial"/>
          <w:color w:val="000000"/>
          <w:lang w:eastAsia="es-ES" w:bidi="es-ES"/>
        </w:rPr>
        <w:t xml:space="preserve">, después de adelantar un análisis del sector y de acuerdo con los parámetros fijados en las disposiciones legales y reglamentarias. </w:t>
      </w:r>
    </w:p>
    <w:p w14:paraId="081D9ED0" w14:textId="77777777" w:rsidR="004F4FED" w:rsidRPr="009B0851" w:rsidRDefault="004F4FED" w:rsidP="004F4FED">
      <w:pPr>
        <w:pStyle w:val="Prrafodelista"/>
        <w:rPr>
          <w:rFonts w:ascii="Verdana" w:eastAsia="Calibri" w:hAnsi="Verdana" w:cs="Arial"/>
          <w:color w:val="000000"/>
          <w:lang w:eastAsia="es-ES" w:bidi="es-ES"/>
        </w:rPr>
      </w:pPr>
    </w:p>
    <w:p w14:paraId="282A9864" w14:textId="77777777" w:rsidR="003C78F4" w:rsidRPr="009B0851" w:rsidRDefault="004F4FED" w:rsidP="003C78F4">
      <w:pPr>
        <w:pStyle w:val="Prrafodelista"/>
        <w:numPr>
          <w:ilvl w:val="0"/>
          <w:numId w:val="17"/>
        </w:numPr>
        <w:spacing w:before="120" w:line="276" w:lineRule="auto"/>
        <w:jc w:val="both"/>
        <w:rPr>
          <w:rFonts w:ascii="Verdana" w:eastAsia="Calibri" w:hAnsi="Verdana" w:cs="Arial"/>
          <w:color w:val="000000"/>
          <w:lang w:eastAsia="es-ES" w:bidi="es-ES"/>
        </w:rPr>
      </w:pPr>
      <w:r w:rsidRPr="009B0851">
        <w:rPr>
          <w:rFonts w:ascii="Verdana" w:eastAsia="Calibri" w:hAnsi="Verdana" w:cs="Arial"/>
          <w:color w:val="000000"/>
          <w:lang w:eastAsia="es-ES" w:bidi="es-ES"/>
        </w:rPr>
        <w:t>Para el caso de</w:t>
      </w:r>
      <w:r w:rsidR="005978E5" w:rsidRPr="009B0851">
        <w:rPr>
          <w:rFonts w:ascii="Verdana" w:eastAsia="Calibri" w:hAnsi="Verdana" w:cs="Arial"/>
          <w:color w:val="000000"/>
          <w:lang w:eastAsia="es-ES" w:bidi="es-ES"/>
        </w:rPr>
        <w:t xml:space="preserve">l proponente plural </w:t>
      </w:r>
      <w:r w:rsidR="006E369F" w:rsidRPr="009B0851">
        <w:rPr>
          <w:rFonts w:ascii="Verdana" w:eastAsia="Calibri" w:hAnsi="Verdana" w:cs="Arial"/>
        </w:rPr>
        <w:t>participar en Procesos de Contratación los proponentes deberán cumplir con los requisitos habilitantes establecidos por la Entidad Estatal</w:t>
      </w:r>
      <w:r w:rsidR="001B4C59" w:rsidRPr="009B0851">
        <w:rPr>
          <w:rFonts w:ascii="Verdana" w:eastAsia="Calibri" w:hAnsi="Verdana" w:cs="Arial"/>
        </w:rPr>
        <w:t>, l</w:t>
      </w:r>
      <w:r w:rsidR="006E369F" w:rsidRPr="009B0851">
        <w:rPr>
          <w:rFonts w:ascii="Verdana" w:eastAsia="Calibri" w:hAnsi="Verdana" w:cs="Arial"/>
        </w:rPr>
        <w:t xml:space="preserve">os cuales </w:t>
      </w:r>
      <w:r w:rsidR="001B4C59" w:rsidRPr="009B0851">
        <w:rPr>
          <w:rFonts w:ascii="Verdana" w:eastAsia="Calibri" w:hAnsi="Verdana" w:cs="Arial"/>
        </w:rPr>
        <w:t xml:space="preserve">debe reiterarse </w:t>
      </w:r>
      <w:r w:rsidR="006E369F" w:rsidRPr="009B0851">
        <w:rPr>
          <w:rFonts w:ascii="Verdana" w:eastAsia="Calibri" w:hAnsi="Verdana" w:cs="Arial"/>
        </w:rPr>
        <w:t>deben ser establecidos en los pliegos de condiciones</w:t>
      </w:r>
      <w:r w:rsidR="00F82E72" w:rsidRPr="009B0851">
        <w:rPr>
          <w:rFonts w:ascii="Verdana" w:eastAsia="Calibri" w:hAnsi="Verdana" w:cs="Arial"/>
        </w:rPr>
        <w:t xml:space="preserve"> </w:t>
      </w:r>
      <w:r w:rsidR="006E369F" w:rsidRPr="009B0851">
        <w:rPr>
          <w:rFonts w:ascii="Verdana" w:eastAsia="Calibri" w:hAnsi="Verdana" w:cs="Arial"/>
        </w:rPr>
        <w:t>de manera adecuada y proporcional</w:t>
      </w:r>
      <w:r w:rsidR="00F82E72" w:rsidRPr="009B0851">
        <w:rPr>
          <w:rFonts w:ascii="Verdana" w:eastAsia="Calibri" w:hAnsi="Verdana" w:cs="Arial"/>
        </w:rPr>
        <w:t xml:space="preserve">. En este sentido, </w:t>
      </w:r>
      <w:r w:rsidR="001B4C59" w:rsidRPr="009B0851">
        <w:rPr>
          <w:rFonts w:ascii="Verdana" w:eastAsia="Calibri" w:hAnsi="Verdana" w:cs="Arial"/>
        </w:rPr>
        <w:t>los</w:t>
      </w:r>
      <w:r w:rsidR="00F82E72" w:rsidRPr="009B0851">
        <w:rPr>
          <w:rFonts w:ascii="Verdana" w:eastAsia="Calibri" w:hAnsi="Verdana" w:cs="Arial"/>
        </w:rPr>
        <w:t xml:space="preserve"> proponentes plurales están llamados a cumplir con estos requisitos acreditando de manera conjunta a través de </w:t>
      </w:r>
      <w:r w:rsidR="00F82E72" w:rsidRPr="009B0851">
        <w:rPr>
          <w:rFonts w:ascii="Verdana" w:eastAsia="Calibri" w:hAnsi="Verdana" w:cs="Arial"/>
        </w:rPr>
        <w:lastRenderedPageBreak/>
        <w:t>los documentos pertinentes, siguiendo las reglas establecidas por la Entidad Estatal en el pliego de condiciones.</w:t>
      </w:r>
    </w:p>
    <w:p w14:paraId="0524EC74" w14:textId="77777777" w:rsidR="003C78F4" w:rsidRPr="009B0851" w:rsidRDefault="003C78F4" w:rsidP="003C78F4">
      <w:pPr>
        <w:pStyle w:val="Prrafodelista"/>
        <w:rPr>
          <w:rFonts w:ascii="Verdana" w:eastAsia="Calibri" w:hAnsi="Verdana" w:cs="Arial"/>
          <w:color w:val="000000"/>
          <w:lang w:eastAsia="es-ES" w:bidi="es-ES"/>
        </w:rPr>
      </w:pPr>
    </w:p>
    <w:p w14:paraId="0DF906E6" w14:textId="1DCBAE32" w:rsidR="003C78F4" w:rsidRDefault="003C78F4" w:rsidP="003C78F4">
      <w:pPr>
        <w:pStyle w:val="Prrafodelista"/>
        <w:numPr>
          <w:ilvl w:val="0"/>
          <w:numId w:val="17"/>
        </w:numPr>
        <w:spacing w:before="120" w:line="276" w:lineRule="auto"/>
        <w:jc w:val="both"/>
        <w:rPr>
          <w:rFonts w:ascii="Verdana" w:eastAsia="Calibri" w:hAnsi="Verdana" w:cs="Arial"/>
          <w:color w:val="000000"/>
          <w:lang w:eastAsia="es-ES" w:bidi="es-ES"/>
        </w:rPr>
      </w:pPr>
      <w:r w:rsidRPr="009B0851">
        <w:rPr>
          <w:rFonts w:ascii="Verdana" w:eastAsia="Calibri" w:hAnsi="Verdana" w:cs="Arial"/>
          <w:color w:val="000000"/>
          <w:lang w:eastAsia="es-ES" w:bidi="es-ES"/>
        </w:rPr>
        <w:t xml:space="preserve">Finalmente, y en cuanto a </w:t>
      </w:r>
      <w:r w:rsidR="00386B00" w:rsidRPr="009B0851">
        <w:rPr>
          <w:rFonts w:ascii="Verdana" w:eastAsia="Calibri" w:hAnsi="Verdana" w:cs="Arial"/>
          <w:color w:val="000000"/>
          <w:lang w:eastAsia="es-ES" w:bidi="es-ES"/>
        </w:rPr>
        <w:t xml:space="preserve">la conformación de los consorcios y uniones temporales resulta pertinente indicar </w:t>
      </w:r>
      <w:r w:rsidR="006B77D9" w:rsidRPr="009B0851">
        <w:rPr>
          <w:rFonts w:ascii="Verdana" w:eastAsia="Calibri" w:hAnsi="Verdana" w:cs="Arial"/>
          <w:color w:val="000000"/>
          <w:lang w:eastAsia="es-ES" w:bidi="es-ES"/>
        </w:rPr>
        <w:t xml:space="preserve">de un lado </w:t>
      </w:r>
      <w:r w:rsidR="00386B00" w:rsidRPr="009B0851">
        <w:rPr>
          <w:rFonts w:ascii="Verdana" w:eastAsia="Calibri" w:hAnsi="Verdana" w:cs="Arial"/>
          <w:color w:val="000000"/>
          <w:lang w:eastAsia="es-ES" w:bidi="es-ES"/>
        </w:rPr>
        <w:t>que</w:t>
      </w:r>
      <w:r w:rsidR="00D9531C" w:rsidRPr="009B0851">
        <w:rPr>
          <w:rFonts w:ascii="Verdana" w:eastAsia="Calibri" w:hAnsi="Verdana" w:cs="Arial"/>
          <w:color w:val="000000"/>
          <w:lang w:eastAsia="es-ES" w:bidi="es-ES"/>
        </w:rPr>
        <w:t xml:space="preserve"> </w:t>
      </w:r>
      <w:r w:rsidR="00090E3B" w:rsidRPr="009B0851">
        <w:rPr>
          <w:rFonts w:ascii="Verdana" w:eastAsia="Calibri" w:hAnsi="Verdana" w:cs="Arial"/>
          <w:color w:val="000000"/>
          <w:lang w:eastAsia="es-ES" w:bidi="es-ES"/>
        </w:rPr>
        <w:t>su creación es convencional y se logra mediante un acuerdo privado en el que concurre la voluntad de sus integrantes</w:t>
      </w:r>
      <w:r w:rsidR="002F7289" w:rsidRPr="009B0851">
        <w:rPr>
          <w:rFonts w:ascii="Verdana" w:eastAsia="Calibri" w:hAnsi="Verdana" w:cs="Arial"/>
          <w:color w:val="000000"/>
          <w:lang w:eastAsia="es-ES" w:bidi="es-ES"/>
        </w:rPr>
        <w:t xml:space="preserve">; </w:t>
      </w:r>
      <w:r w:rsidR="006B77D9" w:rsidRPr="009B0851">
        <w:rPr>
          <w:rFonts w:ascii="Verdana" w:eastAsia="Calibri" w:hAnsi="Verdana" w:cs="Arial"/>
          <w:color w:val="000000"/>
          <w:lang w:eastAsia="es-ES" w:bidi="es-ES"/>
        </w:rPr>
        <w:t xml:space="preserve">y por otro conforme a lo dispuesto en el artículo 7 de la ley 80 de 1993, su conformación </w:t>
      </w:r>
      <w:r w:rsidR="00E3284A" w:rsidRPr="009B0851">
        <w:rPr>
          <w:rFonts w:ascii="Verdana" w:eastAsia="Calibri" w:hAnsi="Verdana" w:cs="Arial"/>
          <w:color w:val="000000"/>
          <w:lang w:eastAsia="es-ES" w:bidi="es-ES"/>
        </w:rPr>
        <w:t xml:space="preserve">se encuentra definida </w:t>
      </w:r>
      <w:r w:rsidR="006E751B" w:rsidRPr="009B0851">
        <w:rPr>
          <w:rFonts w:ascii="Verdana" w:eastAsia="Calibri" w:hAnsi="Verdana" w:cs="Arial"/>
          <w:color w:val="000000"/>
          <w:lang w:eastAsia="es-ES" w:bidi="es-ES"/>
        </w:rPr>
        <w:t>cuando” dos o más personas en forma conjunta presentan una misma propuesta. Para la adjudicación</w:t>
      </w:r>
      <w:r w:rsidR="008D10CB" w:rsidRPr="009B0851">
        <w:rPr>
          <w:rFonts w:ascii="Verdana" w:eastAsia="Calibri" w:hAnsi="Verdana" w:cs="Arial"/>
          <w:color w:val="000000"/>
          <w:lang w:eastAsia="es-ES" w:bidi="es-ES"/>
        </w:rPr>
        <w:t>, celebración y ejecución de un contrato”</w:t>
      </w:r>
      <w:r w:rsidR="009A396A" w:rsidRPr="009B0851">
        <w:rPr>
          <w:rFonts w:ascii="Verdana" w:eastAsia="Calibri" w:hAnsi="Verdana" w:cs="Arial"/>
          <w:color w:val="000000"/>
          <w:lang w:eastAsia="es-ES" w:bidi="es-ES"/>
        </w:rPr>
        <w:t>, Bajo este contexto, se observa</w:t>
      </w:r>
      <w:r w:rsidR="00CE4D07">
        <w:rPr>
          <w:rFonts w:ascii="Verdana" w:eastAsia="Calibri" w:hAnsi="Verdana" w:cs="Arial"/>
          <w:color w:val="000000"/>
          <w:lang w:eastAsia="es-ES" w:bidi="es-ES"/>
        </w:rPr>
        <w:t xml:space="preserve"> que</w:t>
      </w:r>
      <w:r w:rsidR="009A396A" w:rsidRPr="009B0851">
        <w:rPr>
          <w:rFonts w:ascii="Verdana" w:eastAsia="Calibri" w:hAnsi="Verdana" w:cs="Arial"/>
          <w:color w:val="000000"/>
          <w:lang w:eastAsia="es-ES" w:bidi="es-ES"/>
        </w:rPr>
        <w:t xml:space="preserve"> la norma no limita la conformación de estas formas asociativas</w:t>
      </w:r>
      <w:r w:rsidR="006D0FE0">
        <w:rPr>
          <w:rFonts w:ascii="Verdana" w:eastAsia="Calibri" w:hAnsi="Verdana" w:cs="Arial"/>
          <w:color w:val="000000"/>
          <w:lang w:eastAsia="es-ES" w:bidi="es-ES"/>
        </w:rPr>
        <w:t xml:space="preserve">. </w:t>
      </w:r>
    </w:p>
    <w:p w14:paraId="12C58A6B" w14:textId="77777777" w:rsidR="0021722E" w:rsidRPr="0021722E" w:rsidRDefault="0021722E" w:rsidP="0021722E">
      <w:pPr>
        <w:pStyle w:val="Prrafodelista"/>
        <w:rPr>
          <w:rFonts w:ascii="Verdana" w:eastAsia="Calibri" w:hAnsi="Verdana" w:cs="Arial"/>
          <w:color w:val="000000"/>
          <w:lang w:eastAsia="es-ES" w:bidi="es-ES"/>
        </w:rPr>
      </w:pPr>
    </w:p>
    <w:p w14:paraId="6DA94B95" w14:textId="1FA04A8E" w:rsidR="0021722E" w:rsidRPr="00054204" w:rsidRDefault="0021722E" w:rsidP="00054204">
      <w:pPr>
        <w:pStyle w:val="Prrafodelista"/>
        <w:numPr>
          <w:ilvl w:val="0"/>
          <w:numId w:val="17"/>
        </w:numPr>
        <w:spacing w:after="0" w:line="276" w:lineRule="auto"/>
        <w:jc w:val="both"/>
        <w:rPr>
          <w:rFonts w:ascii="Verdana" w:eastAsia="Calibri" w:hAnsi="Verdana" w:cs="Arial"/>
        </w:rPr>
      </w:pPr>
      <w:r w:rsidRPr="00054204">
        <w:rPr>
          <w:rFonts w:ascii="Verdana" w:eastAsia="Times New Roman" w:hAnsi="Verdana" w:cs="Arial"/>
          <w:lang w:eastAsia="es-ES"/>
        </w:rPr>
        <w:t xml:space="preserve">Sin perjuicio de lo anterior debe advertirse que </w:t>
      </w:r>
      <w:r w:rsidR="003506B2" w:rsidRPr="00054204">
        <w:rPr>
          <w:rFonts w:ascii="Verdana" w:eastAsia="Times New Roman" w:hAnsi="Verdana" w:cs="Arial"/>
          <w:lang w:eastAsia="es-ES"/>
        </w:rPr>
        <w:t xml:space="preserve">los requisitos </w:t>
      </w:r>
      <w:r w:rsidR="006C15DE" w:rsidRPr="00054204">
        <w:rPr>
          <w:rFonts w:ascii="Verdana" w:eastAsia="Times New Roman" w:hAnsi="Verdana" w:cs="Arial"/>
          <w:lang w:eastAsia="es-ES"/>
        </w:rPr>
        <w:t xml:space="preserve">habilitantes que deben cumplir los consorcios y uniones temporales </w:t>
      </w:r>
      <w:r w:rsidR="00370FE6" w:rsidRPr="00054204">
        <w:rPr>
          <w:rFonts w:ascii="Verdana" w:eastAsia="Times New Roman" w:hAnsi="Verdana" w:cs="Arial"/>
          <w:lang w:eastAsia="es-ES"/>
        </w:rPr>
        <w:t>dependerán</w:t>
      </w:r>
      <w:r w:rsidR="006C15DE" w:rsidRPr="00054204">
        <w:rPr>
          <w:rFonts w:ascii="Verdana" w:eastAsia="Times New Roman" w:hAnsi="Verdana" w:cs="Arial"/>
          <w:lang w:eastAsia="es-ES"/>
        </w:rPr>
        <w:t xml:space="preserve"> </w:t>
      </w:r>
      <w:r w:rsidR="00591330" w:rsidRPr="00054204">
        <w:rPr>
          <w:rFonts w:ascii="Verdana" w:eastAsia="Times New Roman" w:hAnsi="Verdana" w:cs="Arial"/>
          <w:lang w:eastAsia="es-ES"/>
        </w:rPr>
        <w:t>de la forma en la que cada Entidad estructur</w:t>
      </w:r>
      <w:r w:rsidR="00370FE6" w:rsidRPr="00054204">
        <w:rPr>
          <w:rFonts w:ascii="Verdana" w:eastAsia="Times New Roman" w:hAnsi="Verdana" w:cs="Arial"/>
          <w:lang w:eastAsia="es-ES"/>
        </w:rPr>
        <w:t>e sus</w:t>
      </w:r>
      <w:r w:rsidR="00591330" w:rsidRPr="00054204">
        <w:rPr>
          <w:rFonts w:ascii="Verdana" w:eastAsia="Times New Roman" w:hAnsi="Verdana" w:cs="Arial"/>
          <w:lang w:eastAsia="es-ES"/>
        </w:rPr>
        <w:t xml:space="preserve"> proceso</w:t>
      </w:r>
      <w:r w:rsidR="00370FE6" w:rsidRPr="00054204">
        <w:rPr>
          <w:rFonts w:ascii="Verdana" w:eastAsia="Times New Roman" w:hAnsi="Verdana" w:cs="Arial"/>
          <w:lang w:eastAsia="es-ES"/>
        </w:rPr>
        <w:t>s</w:t>
      </w:r>
      <w:r w:rsidR="00591330" w:rsidRPr="00054204">
        <w:rPr>
          <w:rFonts w:ascii="Verdana" w:eastAsia="Times New Roman" w:hAnsi="Verdana" w:cs="Arial"/>
          <w:lang w:eastAsia="es-ES"/>
        </w:rPr>
        <w:t xml:space="preserve"> de contratación</w:t>
      </w:r>
      <w:r w:rsidRPr="00054204">
        <w:rPr>
          <w:rFonts w:ascii="Verdana" w:eastAsia="Times New Roman" w:hAnsi="Verdana" w:cs="Arial"/>
          <w:lang w:eastAsia="es-ES"/>
        </w:rPr>
        <w:t xml:space="preserve">. De esta manera, lo explicado en el presente concepto no puede ser interpretado como un pronunciamiento respecto del objeto contractual aludido en la petición, ni las afirmaciones aquí realizadas pueden ser interpretadas como juicios de valor sobre circunstancias relacionadas con los hechos que motivan la petición. </w:t>
      </w:r>
    </w:p>
    <w:p w14:paraId="7C5BD5AC" w14:textId="77777777" w:rsidR="00F0013D" w:rsidRPr="009B0851" w:rsidRDefault="00F0013D" w:rsidP="00F0013D">
      <w:pPr>
        <w:pStyle w:val="Prrafodelista"/>
        <w:spacing w:before="120" w:line="276" w:lineRule="auto"/>
        <w:jc w:val="both"/>
        <w:rPr>
          <w:rFonts w:ascii="Verdana" w:eastAsia="Calibri" w:hAnsi="Verdana" w:cs="Arial"/>
          <w:color w:val="000000"/>
          <w:lang w:eastAsia="es-ES" w:bidi="es-ES"/>
        </w:rPr>
      </w:pPr>
    </w:p>
    <w:p w14:paraId="16CAB2B5" w14:textId="77777777" w:rsidR="003B4994" w:rsidRPr="009B0851" w:rsidRDefault="003B4994" w:rsidP="003B499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B0851">
        <w:rPr>
          <w:rFonts w:ascii="Verdana" w:eastAsia="Century Gothic" w:hAnsi="Verdana" w:cs="Century Gothic"/>
          <w:b/>
          <w:bCs/>
        </w:rPr>
        <w:t>Referencias normativas, jurisprudenciales y otras fuentes:</w:t>
      </w:r>
    </w:p>
    <w:p w14:paraId="793688C4" w14:textId="77777777" w:rsidR="003B4994" w:rsidRPr="009B0851" w:rsidRDefault="003B4994" w:rsidP="003B4994">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B4994" w:rsidRPr="009B0851" w14:paraId="6607CACB" w14:textId="77777777" w:rsidTr="00A56EB7">
        <w:trPr>
          <w:trHeight w:val="870"/>
        </w:trPr>
        <w:tc>
          <w:tcPr>
            <w:tcW w:w="8647" w:type="dxa"/>
          </w:tcPr>
          <w:p w14:paraId="3C29BE31" w14:textId="77777777" w:rsidR="003B4994" w:rsidRPr="009B0851" w:rsidRDefault="003B4994" w:rsidP="003B4994">
            <w:pPr>
              <w:pStyle w:val="Prrafodelista"/>
              <w:widowControl w:val="0"/>
              <w:numPr>
                <w:ilvl w:val="0"/>
                <w:numId w:val="21"/>
              </w:numPr>
              <w:autoSpaceDE w:val="0"/>
              <w:autoSpaceDN w:val="0"/>
              <w:spacing w:after="120" w:line="276" w:lineRule="auto"/>
              <w:contextualSpacing w:val="0"/>
              <w:jc w:val="both"/>
              <w:rPr>
                <w:rFonts w:ascii="Verdana" w:hAnsi="Verdana" w:cs="Arial"/>
                <w:color w:val="000000" w:themeColor="text1"/>
              </w:rPr>
            </w:pPr>
            <w:r w:rsidRPr="009B0851">
              <w:rPr>
                <w:rFonts w:ascii="Verdana" w:eastAsia="Calibri" w:hAnsi="Verdana" w:cs="Arial"/>
                <w:color w:val="000000" w:themeColor="text1"/>
                <w:lang w:val="es-ES_tradnl"/>
              </w:rPr>
              <w:t xml:space="preserve">Ley 80 de 1993, artículo 6. </w:t>
            </w:r>
          </w:p>
          <w:p w14:paraId="2872225D" w14:textId="77777777" w:rsidR="003B4994" w:rsidRPr="009B0851" w:rsidRDefault="003B4994" w:rsidP="003B4994">
            <w:pPr>
              <w:pStyle w:val="Prrafodelista"/>
              <w:widowControl w:val="0"/>
              <w:numPr>
                <w:ilvl w:val="0"/>
                <w:numId w:val="21"/>
              </w:numPr>
              <w:autoSpaceDE w:val="0"/>
              <w:autoSpaceDN w:val="0"/>
              <w:spacing w:after="120" w:line="276" w:lineRule="auto"/>
              <w:contextualSpacing w:val="0"/>
              <w:jc w:val="both"/>
              <w:rPr>
                <w:rFonts w:ascii="Verdana" w:hAnsi="Verdana" w:cs="Arial"/>
              </w:rPr>
            </w:pPr>
            <w:r w:rsidRPr="009B0851">
              <w:rPr>
                <w:rFonts w:ascii="Verdana" w:eastAsia="Calibri" w:hAnsi="Verdana" w:cs="Arial"/>
                <w:color w:val="000000" w:themeColor="text1"/>
              </w:rPr>
              <w:t>Ley 1150 de 2007, artículos 5 y 6.</w:t>
            </w:r>
          </w:p>
          <w:p w14:paraId="3D9D04FB" w14:textId="77777777" w:rsidR="003B4994" w:rsidRPr="009B0851" w:rsidRDefault="003B4994" w:rsidP="003B4994">
            <w:pPr>
              <w:pStyle w:val="Prrafodelista"/>
              <w:widowControl w:val="0"/>
              <w:numPr>
                <w:ilvl w:val="0"/>
                <w:numId w:val="21"/>
              </w:numPr>
              <w:autoSpaceDE w:val="0"/>
              <w:autoSpaceDN w:val="0"/>
              <w:spacing w:after="120" w:line="276" w:lineRule="auto"/>
              <w:contextualSpacing w:val="0"/>
              <w:jc w:val="both"/>
              <w:rPr>
                <w:rFonts w:ascii="Verdana" w:hAnsi="Verdana" w:cs="Arial"/>
              </w:rPr>
            </w:pPr>
            <w:r w:rsidRPr="009B0851">
              <w:rPr>
                <w:rFonts w:ascii="Verdana" w:eastAsia="Calibri" w:hAnsi="Verdana" w:cs="Arial"/>
                <w:color w:val="000000" w:themeColor="text1"/>
              </w:rPr>
              <w:t>Código de Comercio, artículos 19 y 20.</w:t>
            </w:r>
          </w:p>
          <w:p w14:paraId="4BD4D7B1" w14:textId="77777777" w:rsidR="003B4994" w:rsidRPr="009B0851" w:rsidRDefault="003B4994" w:rsidP="003B4994">
            <w:pPr>
              <w:pStyle w:val="Prrafodelista"/>
              <w:widowControl w:val="0"/>
              <w:numPr>
                <w:ilvl w:val="0"/>
                <w:numId w:val="21"/>
              </w:numPr>
              <w:autoSpaceDE w:val="0"/>
              <w:autoSpaceDN w:val="0"/>
              <w:spacing w:after="120" w:line="276" w:lineRule="auto"/>
              <w:contextualSpacing w:val="0"/>
              <w:jc w:val="both"/>
              <w:rPr>
                <w:rFonts w:ascii="Verdana" w:hAnsi="Verdana" w:cs="Arial"/>
              </w:rPr>
            </w:pPr>
            <w:r w:rsidRPr="009B0851">
              <w:rPr>
                <w:rFonts w:ascii="Verdana" w:eastAsia="Calibri" w:hAnsi="Verdana" w:cs="Arial"/>
                <w:color w:val="000000" w:themeColor="text1"/>
              </w:rPr>
              <w:t xml:space="preserve">Decreto 1082 de 2015, artículos 2.2.1.2.4.2.4 y 2.2.1.1.1.6.2  </w:t>
            </w:r>
          </w:p>
          <w:p w14:paraId="3F637838" w14:textId="77777777" w:rsidR="003B4994" w:rsidRPr="009B0851" w:rsidRDefault="003B4994" w:rsidP="003B4994">
            <w:pPr>
              <w:pStyle w:val="Prrafodelista"/>
              <w:widowControl w:val="0"/>
              <w:numPr>
                <w:ilvl w:val="0"/>
                <w:numId w:val="21"/>
              </w:numPr>
              <w:autoSpaceDE w:val="0"/>
              <w:autoSpaceDN w:val="0"/>
              <w:spacing w:after="120" w:line="276" w:lineRule="auto"/>
              <w:contextualSpacing w:val="0"/>
              <w:jc w:val="both"/>
              <w:rPr>
                <w:rFonts w:ascii="Verdana" w:hAnsi="Verdana" w:cs="Arial"/>
              </w:rPr>
            </w:pPr>
            <w:r w:rsidRPr="009B0851">
              <w:rPr>
                <w:rFonts w:ascii="Verdana" w:hAnsi="Verdana" w:cs="Arial"/>
              </w:rPr>
              <w:t xml:space="preserve">Manual Para Determinar y Verificar los Requisitos Habilitantes en los Procesos de Contratación: </w:t>
            </w:r>
            <w:hyperlink r:id="rId12" w:history="1">
              <w:r w:rsidRPr="009B0851">
                <w:rPr>
                  <w:rStyle w:val="Hipervnculo"/>
                  <w:rFonts w:ascii="Verdana" w:hAnsi="Verdana" w:cs="Arial"/>
                </w:rPr>
                <w:t>https://www.colombiacompra.gov.co/sites/cce_public/files/cce_documents/cce-eicp-ma-04._manual_requisitos_habilitantes_v3_29-09-2023.pdf</w:t>
              </w:r>
            </w:hyperlink>
            <w:r w:rsidRPr="009B0851">
              <w:rPr>
                <w:rFonts w:ascii="Verdana" w:hAnsi="Verdana" w:cs="Arial"/>
              </w:rPr>
              <w:t xml:space="preserve"> </w:t>
            </w:r>
          </w:p>
        </w:tc>
      </w:tr>
    </w:tbl>
    <w:p w14:paraId="2A274B3B" w14:textId="77777777" w:rsidR="003C074B" w:rsidRPr="009B0851" w:rsidRDefault="003C074B" w:rsidP="003C074B">
      <w:pPr>
        <w:spacing w:before="120" w:line="276" w:lineRule="auto"/>
        <w:jc w:val="both"/>
        <w:rPr>
          <w:rFonts w:ascii="Verdana" w:eastAsia="Calibri" w:hAnsi="Verdana" w:cs="Arial"/>
          <w:color w:val="000000"/>
          <w:lang w:eastAsia="es-ES" w:bidi="es-ES"/>
        </w:rPr>
      </w:pPr>
    </w:p>
    <w:p w14:paraId="7EE58D3B" w14:textId="77777777" w:rsidR="00191284" w:rsidRPr="009B0851" w:rsidRDefault="00191284" w:rsidP="0019128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B0851">
        <w:rPr>
          <w:rFonts w:ascii="Verdana" w:eastAsia="Century Gothic" w:hAnsi="Verdana" w:cs="Century Gothic"/>
          <w:b/>
          <w:bCs/>
        </w:rPr>
        <w:t>Doctrina de la Agencia Nacional de Contratación Pública:</w:t>
      </w:r>
    </w:p>
    <w:p w14:paraId="476815A8" w14:textId="77777777" w:rsidR="00191284" w:rsidRPr="009B0851" w:rsidRDefault="00191284" w:rsidP="00191284">
      <w:pPr>
        <w:widowControl w:val="0"/>
        <w:autoSpaceDE w:val="0"/>
        <w:autoSpaceDN w:val="0"/>
        <w:spacing w:after="0" w:line="276" w:lineRule="auto"/>
        <w:jc w:val="both"/>
        <w:rPr>
          <w:rFonts w:ascii="Verdana" w:hAnsi="Verdana" w:cs="Arial"/>
        </w:rPr>
      </w:pPr>
    </w:p>
    <w:p w14:paraId="7F13A638" w14:textId="23F05984" w:rsidR="00191284" w:rsidRPr="009B0851" w:rsidRDefault="00191284" w:rsidP="00191284">
      <w:pPr>
        <w:widowControl w:val="0"/>
        <w:autoSpaceDE w:val="0"/>
        <w:autoSpaceDN w:val="0"/>
        <w:spacing w:after="0" w:line="276" w:lineRule="auto"/>
        <w:jc w:val="both"/>
        <w:rPr>
          <w:rStyle w:val="normaltextrun"/>
          <w:rFonts w:ascii="Verdana" w:hAnsi="Verdana"/>
        </w:rPr>
      </w:pPr>
      <w:r w:rsidRPr="009B0851">
        <w:rPr>
          <w:rFonts w:ascii="Verdana" w:hAnsi="Verdana"/>
        </w:rPr>
        <w:t>Sobre el ámbito de consulta, esta Subdirección se ha pronunciado sobre la naturaleza y las obligaciones de los proponentes plurales, en los Conceptos 4201913000007643 del 26 de diciembre de 2019, C-343 del 17 de junio de 2020, C-099 del 6 de abril de 2020, C-518 del 9 de septiembre de 2020, C-701 del 7 de enero de 2022, C-614 del 5 de octubre de 2022</w:t>
      </w:r>
      <w:r w:rsidR="00B92B16" w:rsidRPr="009B0851">
        <w:rPr>
          <w:rFonts w:ascii="Verdana" w:hAnsi="Verdana"/>
        </w:rPr>
        <w:t xml:space="preserve">, </w:t>
      </w:r>
      <w:r w:rsidR="00932FD2" w:rsidRPr="009B0851">
        <w:rPr>
          <w:rStyle w:val="normaltextrun"/>
          <w:rFonts w:ascii="Verdana" w:hAnsi="Verdana" w:cs="Arial"/>
          <w:shd w:val="clear" w:color="auto" w:fill="FFFFFF"/>
          <w:lang w:val="es-ES"/>
        </w:rPr>
        <w:t>C-032 del 16 de abril de 2024 y C-100 del 12 de junio de 2024, C-</w:t>
      </w:r>
      <w:r w:rsidR="00051876" w:rsidRPr="009B0851">
        <w:rPr>
          <w:rStyle w:val="normaltextrun"/>
          <w:rFonts w:ascii="Verdana" w:hAnsi="Verdana" w:cs="Arial"/>
          <w:shd w:val="clear" w:color="auto" w:fill="FFFFFF"/>
          <w:lang w:val="es-ES"/>
        </w:rPr>
        <w:t>238 del 09 de julio del 2024,</w:t>
      </w:r>
      <w:r w:rsidR="00051876" w:rsidRPr="009B0851">
        <w:rPr>
          <w:rFonts w:ascii="Verdana" w:hAnsi="Verdana"/>
        </w:rPr>
        <w:t xml:space="preserve"> </w:t>
      </w:r>
      <w:r w:rsidR="00B92B16" w:rsidRPr="009B0851">
        <w:rPr>
          <w:rFonts w:ascii="Verdana" w:hAnsi="Verdana"/>
        </w:rPr>
        <w:t>C</w:t>
      </w:r>
      <w:r w:rsidR="0070646F" w:rsidRPr="009B0851">
        <w:rPr>
          <w:rFonts w:ascii="Verdana" w:hAnsi="Verdana"/>
        </w:rPr>
        <w:t xml:space="preserve">-050 del 18 de julio del 2024, </w:t>
      </w:r>
      <w:r w:rsidR="00D152CF" w:rsidRPr="009B0851">
        <w:rPr>
          <w:rFonts w:ascii="Verdana" w:hAnsi="Verdana"/>
        </w:rPr>
        <w:t xml:space="preserve">C-157 del </w:t>
      </w:r>
      <w:r w:rsidR="000A6C57" w:rsidRPr="009B0851">
        <w:rPr>
          <w:rFonts w:ascii="Verdana" w:hAnsi="Verdana"/>
        </w:rPr>
        <w:t xml:space="preserve">23 de julio del 2024 </w:t>
      </w:r>
      <w:r w:rsidR="005B7436" w:rsidRPr="009B0851">
        <w:rPr>
          <w:rFonts w:ascii="Verdana" w:hAnsi="Verdana"/>
        </w:rPr>
        <w:t>y C-</w:t>
      </w:r>
      <w:r w:rsidR="006F7D8F" w:rsidRPr="009B0851">
        <w:rPr>
          <w:rFonts w:ascii="Verdana" w:hAnsi="Verdana"/>
        </w:rPr>
        <w:t>178 del 29 de julio del 2024</w:t>
      </w:r>
      <w:r w:rsidR="00E80C55" w:rsidRPr="009B0851">
        <w:rPr>
          <w:rFonts w:ascii="Verdana" w:hAnsi="Verdana"/>
        </w:rPr>
        <w:t xml:space="preserve">. </w:t>
      </w:r>
      <w:r w:rsidRPr="009B0851">
        <w:rPr>
          <w:rStyle w:val="normaltextrun"/>
          <w:rFonts w:ascii="Verdana" w:hAnsi="Verdana" w:cs="Arial"/>
          <w:shd w:val="clear" w:color="auto" w:fill="FFFFFF"/>
          <w:lang w:val="es-ES"/>
        </w:rPr>
        <w:t>Es</w:t>
      </w:r>
      <w:r w:rsidRPr="009B0851">
        <w:rPr>
          <w:rFonts w:ascii="Verdana" w:hAnsi="Verdana"/>
        </w:rPr>
        <w:t>tos y otros conceptos se encuentran disponibles para consulta en el Sistema de relatoría de la Agencia, al cual se puede acceder a través del siguiente enlace:</w:t>
      </w:r>
      <w:r w:rsidRPr="009B0851">
        <w:rPr>
          <w:rStyle w:val="normaltextrun"/>
          <w:rFonts w:ascii="Verdana" w:hAnsi="Verdana" w:cs="Arial"/>
          <w:shd w:val="clear" w:color="auto" w:fill="FFFFFF"/>
          <w:lang w:val="es-ES"/>
        </w:rPr>
        <w:t xml:space="preserve"> </w:t>
      </w:r>
      <w:hyperlink r:id="rId13" w:history="1">
        <w:r w:rsidRPr="009B0851">
          <w:rPr>
            <w:rStyle w:val="Hipervnculo"/>
            <w:rFonts w:ascii="Verdana" w:hAnsi="Verdana" w:cs="Arial"/>
            <w:shd w:val="clear" w:color="auto" w:fill="FFFFFF"/>
            <w:lang w:val="es-ES"/>
          </w:rPr>
          <w:t>https://relatoria.colombiacompra.gov.co/busqueda/conceptos</w:t>
        </w:r>
      </w:hyperlink>
      <w:r w:rsidRPr="009B0851">
        <w:rPr>
          <w:rStyle w:val="normaltextrun"/>
          <w:rFonts w:ascii="Verdana" w:hAnsi="Verdana" w:cs="Arial"/>
          <w:color w:val="FF0000"/>
          <w:shd w:val="clear" w:color="auto" w:fill="FFFFFF"/>
          <w:lang w:val="es-ES"/>
        </w:rPr>
        <w:t xml:space="preserve">. </w:t>
      </w:r>
    </w:p>
    <w:p w14:paraId="2FDCAA88" w14:textId="77777777" w:rsidR="00191284" w:rsidRPr="009B0851" w:rsidRDefault="00191284" w:rsidP="00191284">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3F86E45F" w14:textId="77777777" w:rsidR="00191284" w:rsidRPr="009B0851" w:rsidRDefault="00191284" w:rsidP="00191284">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9B0851">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9B0851">
        <w:rPr>
          <w:rStyle w:val="normaltextrun"/>
          <w:rFonts w:ascii="Verdana" w:hAnsi="Verdana" w:cs="Arial"/>
          <w:color w:val="FF0000"/>
          <w:shd w:val="clear" w:color="auto" w:fill="FFFFFF"/>
          <w:lang w:val="es-ES"/>
        </w:rPr>
        <w:t xml:space="preserve"> </w:t>
      </w:r>
      <w:hyperlink r:id="rId14" w:history="1">
        <w:r w:rsidRPr="009B0851">
          <w:rPr>
            <w:rStyle w:val="Hipervnculo"/>
            <w:rFonts w:ascii="Verdana" w:hAnsi="Verdana" w:cs="Arial"/>
            <w:shd w:val="clear" w:color="auto" w:fill="FFFFFF"/>
            <w:lang w:val="es-ES"/>
          </w:rPr>
          <w:t>https://www.colombiacompra.gov.co/sala-de-prensa/boletin-digital</w:t>
        </w:r>
      </w:hyperlink>
      <w:r w:rsidRPr="009B0851">
        <w:rPr>
          <w:rStyle w:val="normaltextrun"/>
          <w:rFonts w:ascii="Verdana" w:hAnsi="Verdana" w:cs="Arial"/>
          <w:color w:val="FF0000"/>
          <w:shd w:val="clear" w:color="auto" w:fill="FFFFFF"/>
          <w:lang w:val="es-ES"/>
        </w:rPr>
        <w:t xml:space="preserve">      </w:t>
      </w:r>
    </w:p>
    <w:p w14:paraId="34F3D67F" w14:textId="77777777" w:rsidR="00191284" w:rsidRPr="009B0851" w:rsidRDefault="00191284" w:rsidP="00191284">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097892A4" w14:textId="77777777" w:rsidR="00191284" w:rsidRPr="009B0851" w:rsidRDefault="00191284" w:rsidP="00191284">
      <w:pPr>
        <w:spacing w:after="0" w:line="240" w:lineRule="auto"/>
        <w:jc w:val="both"/>
        <w:rPr>
          <w:rFonts w:ascii="Verdana" w:hAnsi="Verdana"/>
        </w:rPr>
      </w:pPr>
      <w:r w:rsidRPr="009B0851">
        <w:rPr>
          <w:rFonts w:ascii="Verdana" w:hAnsi="Verdana"/>
        </w:rPr>
        <w:t xml:space="preserve">Por último, lo invitamos a seguirnos en las redes sociales en las cuales se difunde información institucional: </w:t>
      </w:r>
    </w:p>
    <w:p w14:paraId="719E6282" w14:textId="77777777" w:rsidR="00191284" w:rsidRPr="009B0851" w:rsidRDefault="00191284" w:rsidP="00191284">
      <w:pPr>
        <w:spacing w:after="0" w:line="240" w:lineRule="auto"/>
        <w:jc w:val="both"/>
        <w:rPr>
          <w:rFonts w:ascii="Verdana" w:hAnsi="Verdana"/>
        </w:rPr>
      </w:pPr>
    </w:p>
    <w:p w14:paraId="6436199F" w14:textId="77777777" w:rsidR="00191284" w:rsidRPr="009B0851" w:rsidRDefault="00191284" w:rsidP="00191284">
      <w:pPr>
        <w:spacing w:after="0" w:line="240" w:lineRule="auto"/>
        <w:jc w:val="both"/>
        <w:rPr>
          <w:rFonts w:ascii="Verdana" w:hAnsi="Verdana"/>
        </w:rPr>
      </w:pPr>
      <w:r w:rsidRPr="009B0851">
        <w:rPr>
          <w:rFonts w:ascii="Verdana" w:hAnsi="Verdana"/>
        </w:rPr>
        <w:t xml:space="preserve">Twitter: </w:t>
      </w:r>
      <w:r w:rsidRPr="009B0851">
        <w:rPr>
          <w:rStyle w:val="Hipervnculo"/>
          <w:rFonts w:ascii="Verdana" w:hAnsi="Verdana"/>
          <w:color w:val="4472C4" w:themeColor="accent1"/>
        </w:rPr>
        <w:t>@colombiacompra</w:t>
      </w:r>
      <w:r w:rsidRPr="009B0851">
        <w:rPr>
          <w:rFonts w:ascii="Verdana" w:hAnsi="Verdana"/>
          <w:color w:val="4472C4" w:themeColor="accent1"/>
        </w:rPr>
        <w:t xml:space="preserve"> </w:t>
      </w:r>
    </w:p>
    <w:p w14:paraId="0A81E778" w14:textId="77777777" w:rsidR="00191284" w:rsidRPr="009B0851" w:rsidRDefault="00191284" w:rsidP="00191284">
      <w:pPr>
        <w:spacing w:after="0" w:line="240" w:lineRule="auto"/>
        <w:jc w:val="both"/>
        <w:rPr>
          <w:rFonts w:ascii="Verdana" w:hAnsi="Verdana"/>
        </w:rPr>
      </w:pPr>
      <w:r w:rsidRPr="009B0851">
        <w:rPr>
          <w:rFonts w:ascii="Verdana" w:hAnsi="Verdana"/>
        </w:rPr>
        <w:t xml:space="preserve">Facebook: </w:t>
      </w:r>
      <w:proofErr w:type="spellStart"/>
      <w:r w:rsidRPr="009B0851">
        <w:rPr>
          <w:rStyle w:val="Hipervnculo"/>
          <w:rFonts w:ascii="Verdana" w:hAnsi="Verdana"/>
          <w:color w:val="4472C4" w:themeColor="accent1"/>
        </w:rPr>
        <w:t>ColombiaCompraEficiente</w:t>
      </w:r>
      <w:proofErr w:type="spellEnd"/>
    </w:p>
    <w:p w14:paraId="34999FFD" w14:textId="77777777" w:rsidR="00191284" w:rsidRPr="009B0851" w:rsidRDefault="00191284" w:rsidP="00191284">
      <w:pPr>
        <w:spacing w:after="0" w:line="240" w:lineRule="auto"/>
        <w:jc w:val="both"/>
        <w:rPr>
          <w:rFonts w:ascii="Verdana" w:hAnsi="Verdana"/>
        </w:rPr>
      </w:pPr>
      <w:r w:rsidRPr="009B0851">
        <w:rPr>
          <w:rFonts w:ascii="Verdana" w:hAnsi="Verdana"/>
        </w:rPr>
        <w:t xml:space="preserve">LinkedIn: </w:t>
      </w:r>
      <w:r w:rsidRPr="009B0851">
        <w:rPr>
          <w:rStyle w:val="Hipervnculo"/>
          <w:rFonts w:ascii="Verdana" w:hAnsi="Verdana"/>
          <w:color w:val="4472C4" w:themeColor="accent1"/>
        </w:rPr>
        <w:t>Agencia Nacional de Contratación Pública - Colombia Compra Eficiente</w:t>
      </w:r>
      <w:r w:rsidRPr="009B0851">
        <w:rPr>
          <w:rFonts w:ascii="Verdana" w:hAnsi="Verdana"/>
          <w:color w:val="4472C4" w:themeColor="accent1"/>
        </w:rPr>
        <w:t xml:space="preserve"> </w:t>
      </w:r>
      <w:r w:rsidRPr="009B0851">
        <w:rPr>
          <w:rFonts w:ascii="Verdana" w:hAnsi="Verdana"/>
        </w:rPr>
        <w:t xml:space="preserve">Instagram: </w:t>
      </w:r>
      <w:r w:rsidRPr="009B0851">
        <w:rPr>
          <w:rStyle w:val="Hipervnculo"/>
          <w:rFonts w:ascii="Verdana" w:hAnsi="Verdana"/>
          <w:color w:val="4472C4" w:themeColor="accent1"/>
        </w:rPr>
        <w:t>@colombiacompraeficiente_cce</w:t>
      </w:r>
    </w:p>
    <w:p w14:paraId="049B8C00" w14:textId="77777777" w:rsidR="00191284" w:rsidRPr="009B0851" w:rsidRDefault="00191284" w:rsidP="00191284">
      <w:pPr>
        <w:widowControl w:val="0"/>
        <w:autoSpaceDE w:val="0"/>
        <w:autoSpaceDN w:val="0"/>
        <w:spacing w:after="0" w:line="276" w:lineRule="auto"/>
        <w:jc w:val="both"/>
        <w:rPr>
          <w:rFonts w:ascii="Verdana" w:hAnsi="Verdana"/>
        </w:rPr>
      </w:pPr>
    </w:p>
    <w:p w14:paraId="5E567C5E" w14:textId="77777777" w:rsidR="00191284" w:rsidRPr="009B0851" w:rsidRDefault="00191284" w:rsidP="00191284">
      <w:pPr>
        <w:widowControl w:val="0"/>
        <w:autoSpaceDE w:val="0"/>
        <w:autoSpaceDN w:val="0"/>
        <w:spacing w:after="0" w:line="276" w:lineRule="auto"/>
        <w:jc w:val="both"/>
        <w:rPr>
          <w:rFonts w:ascii="Verdana" w:hAnsi="Verdana" w:cs="Arial"/>
          <w:lang w:val="es-ES_tradnl"/>
        </w:rPr>
      </w:pPr>
      <w:r w:rsidRPr="009B0851">
        <w:rPr>
          <w:rFonts w:ascii="Verdana" w:hAnsi="Verdana" w:cs="Arial"/>
        </w:rPr>
        <w:t xml:space="preserve">Este concepto tiene el alcance previsto en el artículo 28 del Código de Procedimiento Administrativo y de lo Contencioso Administrativo </w:t>
      </w:r>
      <w:r w:rsidRPr="009B0851">
        <w:rPr>
          <w:rFonts w:ascii="Verdana" w:hAnsi="Verdana" w:cs="Arial"/>
          <w:lang w:val="es-ES_tradnl"/>
        </w:rPr>
        <w:t>y las expresiones aquí utilizadas con mayúscula inicial deben ser entendidas con el significado que les otorga el artículo 2.2.1.1.1.3.1. del Decreto 1082 de 2015.</w:t>
      </w:r>
    </w:p>
    <w:p w14:paraId="36EE0DF9" w14:textId="77777777" w:rsidR="00191284" w:rsidRPr="009B0851" w:rsidRDefault="00191284" w:rsidP="00191284">
      <w:pPr>
        <w:widowControl w:val="0"/>
        <w:autoSpaceDE w:val="0"/>
        <w:autoSpaceDN w:val="0"/>
        <w:spacing w:after="0" w:line="276" w:lineRule="auto"/>
        <w:jc w:val="both"/>
        <w:rPr>
          <w:rFonts w:ascii="Verdana" w:hAnsi="Verdana" w:cs="Arial"/>
        </w:rPr>
      </w:pPr>
    </w:p>
    <w:p w14:paraId="659ACB8B" w14:textId="77777777" w:rsidR="00191284" w:rsidRPr="009B0851" w:rsidRDefault="00191284" w:rsidP="00191284">
      <w:pPr>
        <w:spacing w:after="0" w:line="240" w:lineRule="auto"/>
        <w:rPr>
          <w:rFonts w:ascii="Verdana" w:hAnsi="Verdana" w:cs="Arial"/>
          <w:lang w:eastAsia="es-CO"/>
        </w:rPr>
      </w:pPr>
      <w:r w:rsidRPr="009B0851">
        <w:rPr>
          <w:rFonts w:ascii="Verdana" w:eastAsia="Times New Roman" w:hAnsi="Verdana" w:cs="Arial"/>
          <w:lang w:eastAsia="es-CO"/>
        </w:rPr>
        <w:t>Atentamente,</w:t>
      </w:r>
      <w:r w:rsidRPr="009B0851">
        <w:rPr>
          <w:rFonts w:ascii="Verdana" w:hAnsi="Verdana" w:cs="Arial"/>
          <w:lang w:eastAsia="es-CO"/>
        </w:rPr>
        <w:t xml:space="preserve"> </w:t>
      </w:r>
    </w:p>
    <w:p w14:paraId="7E7F7546" w14:textId="5DD101A6" w:rsidR="00191284" w:rsidRPr="009B0851" w:rsidRDefault="00F30AB9" w:rsidP="00191284">
      <w:pPr>
        <w:spacing w:line="276" w:lineRule="auto"/>
        <w:jc w:val="center"/>
        <w:rPr>
          <w:rFonts w:ascii="Verdana" w:hAnsi="Verdana" w:cs="Arial"/>
          <w:color w:val="000000"/>
          <w:lang w:val="es-ES_tradnl" w:eastAsia="es-CO"/>
        </w:rPr>
      </w:pPr>
      <w:r w:rsidRPr="004D5C25">
        <w:rPr>
          <w:rFonts w:ascii="Century Gothic" w:hAnsi="Century Gothic"/>
          <w:noProof/>
        </w:rPr>
        <w:lastRenderedPageBreak/>
        <w:drawing>
          <wp:inline distT="0" distB="0" distL="0" distR="0" wp14:anchorId="36393783" wp14:editId="4C13803E">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5"/>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91284" w:rsidRPr="009B0851" w14:paraId="4FB638E4" w14:textId="77777777" w:rsidTr="00A56EB7">
        <w:trPr>
          <w:trHeight w:val="315"/>
        </w:trPr>
        <w:tc>
          <w:tcPr>
            <w:tcW w:w="893" w:type="dxa"/>
            <w:vAlign w:val="center"/>
            <w:hideMark/>
          </w:tcPr>
          <w:p w14:paraId="7AC30034" w14:textId="77777777" w:rsidR="00191284" w:rsidRPr="009B0851" w:rsidRDefault="00191284" w:rsidP="00A56EB7">
            <w:pPr>
              <w:contextualSpacing/>
              <w:rPr>
                <w:rFonts w:ascii="Verdana" w:hAnsi="Verdana" w:cs="Arial"/>
                <w:sz w:val="16"/>
                <w:szCs w:val="16"/>
                <w:lang w:val="es-ES" w:eastAsia="es-ES"/>
              </w:rPr>
            </w:pPr>
            <w:r w:rsidRPr="009B0851">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5EBBBCF" w14:textId="12C14C69" w:rsidR="00191284" w:rsidRPr="009B0851" w:rsidRDefault="00191284" w:rsidP="00A56EB7">
            <w:pPr>
              <w:contextualSpacing/>
              <w:rPr>
                <w:rStyle w:val="normaltextrun"/>
                <w:rFonts w:ascii="Verdana" w:hAnsi="Verdana"/>
              </w:rPr>
            </w:pPr>
            <w:r w:rsidRPr="009B0851">
              <w:rPr>
                <w:rStyle w:val="normaltextrun"/>
                <w:rFonts w:ascii="Verdana" w:eastAsia="Arial" w:hAnsi="Verdana" w:cs="Arial"/>
                <w:sz w:val="16"/>
                <w:szCs w:val="16"/>
              </w:rPr>
              <w:t>Ana María Ortiz Ballesteros</w:t>
            </w:r>
          </w:p>
          <w:p w14:paraId="5F90C3D9" w14:textId="5B54A399" w:rsidR="00191284" w:rsidRPr="009B0851" w:rsidRDefault="00191284" w:rsidP="00A56EB7">
            <w:pPr>
              <w:contextualSpacing/>
              <w:rPr>
                <w:rFonts w:ascii="Verdana" w:eastAsia="Arial" w:hAnsi="Verdana" w:cs="Arial"/>
                <w:sz w:val="16"/>
                <w:szCs w:val="16"/>
              </w:rPr>
            </w:pPr>
            <w:r w:rsidRPr="009B0851">
              <w:rPr>
                <w:rStyle w:val="normaltextrun"/>
                <w:rFonts w:ascii="Verdana" w:eastAsia="Arial" w:hAnsi="Verdana" w:cs="Arial"/>
                <w:sz w:val="16"/>
                <w:szCs w:val="16"/>
              </w:rPr>
              <w:t>Contratista de la Subdirección de Gestión Contractual</w:t>
            </w:r>
          </w:p>
        </w:tc>
      </w:tr>
      <w:tr w:rsidR="00191284" w:rsidRPr="009B0851" w14:paraId="4C3280FC" w14:textId="77777777" w:rsidTr="00A56EB7">
        <w:trPr>
          <w:trHeight w:val="330"/>
        </w:trPr>
        <w:tc>
          <w:tcPr>
            <w:tcW w:w="893" w:type="dxa"/>
            <w:vAlign w:val="center"/>
            <w:hideMark/>
          </w:tcPr>
          <w:p w14:paraId="1CB17399" w14:textId="77777777" w:rsidR="00191284" w:rsidRPr="009B0851" w:rsidRDefault="00191284" w:rsidP="00A56EB7">
            <w:pPr>
              <w:contextualSpacing/>
              <w:rPr>
                <w:rFonts w:ascii="Verdana" w:hAnsi="Verdana" w:cs="Arial"/>
                <w:sz w:val="16"/>
                <w:szCs w:val="16"/>
                <w:lang w:val="es-ES" w:eastAsia="es-ES"/>
              </w:rPr>
            </w:pPr>
            <w:r w:rsidRPr="009B0851">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8240A6D" w14:textId="597583CB" w:rsidR="008F205B" w:rsidRPr="00035509" w:rsidRDefault="008F205B" w:rsidP="008F205B">
            <w:pPr>
              <w:contextualSpacing/>
              <w:rPr>
                <w:rFonts w:ascii="Verdana" w:eastAsia="Arial" w:hAnsi="Verdana" w:cs="Arial"/>
                <w:sz w:val="16"/>
                <w:szCs w:val="16"/>
              </w:rPr>
            </w:pPr>
            <w:r w:rsidRPr="00035509">
              <w:rPr>
                <w:rFonts w:ascii="Verdana" w:eastAsia="Arial" w:hAnsi="Verdana" w:cs="Arial"/>
                <w:sz w:val="16"/>
                <w:szCs w:val="16"/>
              </w:rPr>
              <w:t xml:space="preserve">Adriana </w:t>
            </w:r>
            <w:proofErr w:type="spellStart"/>
            <w:r w:rsidRPr="00035509">
              <w:rPr>
                <w:rFonts w:ascii="Verdana" w:eastAsia="Arial" w:hAnsi="Verdana" w:cs="Arial"/>
                <w:sz w:val="16"/>
                <w:szCs w:val="16"/>
              </w:rPr>
              <w:t>Katerine</w:t>
            </w:r>
            <w:proofErr w:type="spellEnd"/>
            <w:r w:rsidRPr="00035509">
              <w:rPr>
                <w:rFonts w:ascii="Verdana" w:eastAsia="Arial" w:hAnsi="Verdana" w:cs="Arial"/>
                <w:sz w:val="16"/>
                <w:szCs w:val="16"/>
              </w:rPr>
              <w:t xml:space="preserve"> </w:t>
            </w:r>
            <w:r w:rsidR="00BD18AD" w:rsidRPr="00035509">
              <w:rPr>
                <w:rFonts w:ascii="Verdana" w:eastAsia="Arial" w:hAnsi="Verdana" w:cs="Arial"/>
                <w:sz w:val="16"/>
                <w:szCs w:val="16"/>
              </w:rPr>
              <w:t>López</w:t>
            </w:r>
            <w:r w:rsidRPr="00035509">
              <w:rPr>
                <w:rFonts w:ascii="Verdana" w:eastAsia="Arial" w:hAnsi="Verdana" w:cs="Arial"/>
                <w:sz w:val="16"/>
                <w:szCs w:val="16"/>
              </w:rPr>
              <w:t xml:space="preserve"> </w:t>
            </w:r>
            <w:r w:rsidR="00BD18AD" w:rsidRPr="00035509">
              <w:rPr>
                <w:rFonts w:ascii="Verdana" w:eastAsia="Arial" w:hAnsi="Verdana" w:cs="Arial"/>
                <w:sz w:val="16"/>
                <w:szCs w:val="16"/>
              </w:rPr>
              <w:t>Rodríguez</w:t>
            </w:r>
          </w:p>
          <w:p w14:paraId="194020AE" w14:textId="722506EE" w:rsidR="00191284" w:rsidRPr="009B0851" w:rsidRDefault="00191284" w:rsidP="00A56EB7">
            <w:pPr>
              <w:pStyle w:val="paragraph"/>
              <w:spacing w:before="0" w:beforeAutospacing="0" w:after="0" w:afterAutospacing="0"/>
              <w:contextualSpacing/>
              <w:textAlignment w:val="baseline"/>
              <w:rPr>
                <w:rFonts w:ascii="Verdana" w:hAnsi="Verdana" w:cs="Segoe UI"/>
                <w:sz w:val="16"/>
                <w:szCs w:val="16"/>
              </w:rPr>
            </w:pPr>
            <w:r w:rsidRPr="009B0851">
              <w:rPr>
                <w:rStyle w:val="normaltextrun"/>
                <w:rFonts w:ascii="Verdana" w:eastAsia="Arial" w:hAnsi="Verdana" w:cs="Arial"/>
                <w:sz w:val="16"/>
                <w:szCs w:val="16"/>
              </w:rPr>
              <w:t>Contratista de la Subdirección de Gestión Contractual</w:t>
            </w:r>
          </w:p>
        </w:tc>
      </w:tr>
      <w:tr w:rsidR="00191284" w:rsidRPr="009B0851" w14:paraId="61523EE7" w14:textId="77777777" w:rsidTr="00A56EB7">
        <w:trPr>
          <w:trHeight w:val="300"/>
        </w:trPr>
        <w:tc>
          <w:tcPr>
            <w:tcW w:w="893" w:type="dxa"/>
            <w:vAlign w:val="center"/>
          </w:tcPr>
          <w:p w14:paraId="488B3237" w14:textId="77777777" w:rsidR="00191284" w:rsidRPr="009B0851" w:rsidRDefault="00191284" w:rsidP="00A56EB7">
            <w:pPr>
              <w:contextualSpacing/>
              <w:rPr>
                <w:rFonts w:ascii="Verdana" w:hAnsi="Verdana" w:cs="Arial"/>
                <w:sz w:val="16"/>
                <w:szCs w:val="16"/>
                <w:lang w:val="es-ES" w:eastAsia="es-ES"/>
              </w:rPr>
            </w:pPr>
            <w:r w:rsidRPr="009B0851">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F124CB0" w14:textId="77777777" w:rsidR="00191284" w:rsidRPr="009B0851" w:rsidRDefault="00191284" w:rsidP="00A56EB7">
            <w:pPr>
              <w:contextualSpacing/>
              <w:rPr>
                <w:rFonts w:ascii="Verdana" w:eastAsia="Calibri" w:hAnsi="Verdana" w:cs="Arial"/>
                <w:sz w:val="16"/>
                <w:szCs w:val="16"/>
                <w:lang w:val="pt-BR" w:eastAsia="es-ES"/>
              </w:rPr>
            </w:pPr>
            <w:r w:rsidRPr="009B0851">
              <w:rPr>
                <w:rFonts w:ascii="Verdana" w:eastAsia="Calibri" w:hAnsi="Verdana" w:cs="Arial"/>
                <w:sz w:val="16"/>
                <w:szCs w:val="16"/>
                <w:lang w:val="pt-BR" w:eastAsia="es-ES"/>
              </w:rPr>
              <w:t xml:space="preserve">Carolina Quintero </w:t>
            </w:r>
            <w:proofErr w:type="spellStart"/>
            <w:r w:rsidRPr="009B0851">
              <w:rPr>
                <w:rFonts w:ascii="Verdana" w:eastAsia="Calibri" w:hAnsi="Verdana" w:cs="Arial"/>
                <w:sz w:val="16"/>
                <w:szCs w:val="16"/>
                <w:lang w:val="pt-BR" w:eastAsia="es-ES"/>
              </w:rPr>
              <w:t>Gacharná</w:t>
            </w:r>
            <w:proofErr w:type="spellEnd"/>
          </w:p>
          <w:p w14:paraId="1C14B436" w14:textId="77777777" w:rsidR="00191284" w:rsidRPr="009B0851" w:rsidRDefault="00191284" w:rsidP="00A56EB7">
            <w:pPr>
              <w:contextualSpacing/>
              <w:rPr>
                <w:rFonts w:ascii="Verdana" w:eastAsia="Calibri" w:hAnsi="Verdana" w:cs="Arial"/>
                <w:sz w:val="16"/>
                <w:szCs w:val="16"/>
                <w:lang w:val="pt-BR" w:eastAsia="es-ES"/>
              </w:rPr>
            </w:pPr>
            <w:r w:rsidRPr="009B0851">
              <w:rPr>
                <w:rFonts w:ascii="Verdana" w:eastAsia="Calibri" w:hAnsi="Verdana" w:cs="Arial"/>
                <w:sz w:val="16"/>
                <w:szCs w:val="16"/>
                <w:lang w:eastAsia="es-ES"/>
              </w:rPr>
              <w:t>Subdirectora</w:t>
            </w:r>
            <w:r w:rsidRPr="009B0851">
              <w:rPr>
                <w:rFonts w:ascii="Verdana" w:eastAsia="Calibri" w:hAnsi="Verdana" w:cs="Arial"/>
                <w:sz w:val="16"/>
                <w:szCs w:val="16"/>
                <w:lang w:val="pt-BR" w:eastAsia="es-ES"/>
              </w:rPr>
              <w:t xml:space="preserve"> de Gestión </w:t>
            </w:r>
            <w:proofErr w:type="spellStart"/>
            <w:r w:rsidRPr="009B0851">
              <w:rPr>
                <w:rFonts w:ascii="Verdana" w:eastAsia="Calibri" w:hAnsi="Verdana" w:cs="Arial"/>
                <w:sz w:val="16"/>
                <w:szCs w:val="16"/>
                <w:lang w:val="pt-BR" w:eastAsia="es-ES"/>
              </w:rPr>
              <w:t>Contractual</w:t>
            </w:r>
            <w:proofErr w:type="spellEnd"/>
            <w:r w:rsidRPr="009B0851">
              <w:rPr>
                <w:rFonts w:ascii="Verdana" w:eastAsia="Calibri" w:hAnsi="Verdana" w:cs="Arial"/>
                <w:sz w:val="16"/>
                <w:szCs w:val="16"/>
                <w:lang w:val="pt-BR" w:eastAsia="es-ES"/>
              </w:rPr>
              <w:t xml:space="preserve"> ANCP – CCE</w:t>
            </w:r>
          </w:p>
        </w:tc>
      </w:tr>
    </w:tbl>
    <w:p w14:paraId="2B44021B" w14:textId="77777777" w:rsidR="00191284" w:rsidRPr="009B0851" w:rsidRDefault="00191284" w:rsidP="00191284">
      <w:pPr>
        <w:spacing w:after="0" w:line="240" w:lineRule="auto"/>
        <w:rPr>
          <w:rFonts w:ascii="Verdana" w:eastAsia="Times New Roman" w:hAnsi="Verdana" w:cs="Arial"/>
          <w:sz w:val="24"/>
          <w:szCs w:val="24"/>
          <w:lang w:eastAsia="es-ES"/>
        </w:rPr>
      </w:pPr>
    </w:p>
    <w:p w14:paraId="727BF7B8" w14:textId="77777777" w:rsidR="003C074B" w:rsidRPr="009B0851" w:rsidRDefault="003C074B" w:rsidP="003C074B">
      <w:pPr>
        <w:pStyle w:val="Prrafodelista"/>
        <w:tabs>
          <w:tab w:val="left" w:pos="0"/>
        </w:tabs>
        <w:spacing w:before="120" w:line="276" w:lineRule="auto"/>
        <w:jc w:val="both"/>
        <w:rPr>
          <w:rFonts w:ascii="Verdana" w:eastAsia="Calibri" w:hAnsi="Verdana" w:cs="Arial"/>
          <w:bCs/>
          <w:color w:val="000000"/>
          <w:lang w:val="es-CO" w:eastAsia="es-ES_tradnl" w:bidi="es-ES"/>
        </w:rPr>
      </w:pPr>
    </w:p>
    <w:p w14:paraId="0F293BF4" w14:textId="1FFF0C21" w:rsidR="00127233" w:rsidRPr="003C074B" w:rsidRDefault="00127233" w:rsidP="00E55173">
      <w:pPr>
        <w:spacing w:after="0" w:line="240" w:lineRule="auto"/>
        <w:jc w:val="both"/>
        <w:textAlignment w:val="baseline"/>
        <w:rPr>
          <w:rFonts w:ascii="Verdana" w:eastAsia="Times New Roman" w:hAnsi="Verdana" w:cs="Segoe UI"/>
          <w:sz w:val="18"/>
          <w:szCs w:val="18"/>
          <w:lang w:val="es-ES" w:eastAsia="es-CO"/>
        </w:rPr>
      </w:pPr>
    </w:p>
    <w:sectPr w:rsidR="00127233" w:rsidRPr="003C074B"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3444D4" w14:textId="77777777" w:rsidR="003D2E2C" w:rsidRDefault="003D2E2C" w:rsidP="004A1847">
      <w:pPr>
        <w:spacing w:after="0" w:line="240" w:lineRule="auto"/>
      </w:pPr>
      <w:r>
        <w:separator/>
      </w:r>
    </w:p>
  </w:endnote>
  <w:endnote w:type="continuationSeparator" w:id="0">
    <w:p w14:paraId="21EF3A6D" w14:textId="77777777" w:rsidR="003D2E2C" w:rsidRDefault="003D2E2C" w:rsidP="004A1847">
      <w:pPr>
        <w:spacing w:after="0" w:line="240" w:lineRule="auto"/>
      </w:pPr>
      <w:r>
        <w:continuationSeparator/>
      </w:r>
    </w:p>
  </w:endnote>
  <w:endnote w:type="continuationNotice" w:id="1">
    <w:p w14:paraId="4C47FD32" w14:textId="77777777" w:rsidR="003D2E2C" w:rsidRDefault="003D2E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6117B7" w14:textId="77777777" w:rsidR="003D2E2C" w:rsidRDefault="003D2E2C" w:rsidP="004A1847">
      <w:pPr>
        <w:spacing w:after="0" w:line="240" w:lineRule="auto"/>
      </w:pPr>
      <w:r>
        <w:separator/>
      </w:r>
    </w:p>
  </w:footnote>
  <w:footnote w:type="continuationSeparator" w:id="0">
    <w:p w14:paraId="0D680985" w14:textId="77777777" w:rsidR="003D2E2C" w:rsidRDefault="003D2E2C" w:rsidP="004A1847">
      <w:pPr>
        <w:spacing w:after="0" w:line="240" w:lineRule="auto"/>
      </w:pPr>
      <w:r>
        <w:continuationSeparator/>
      </w:r>
    </w:p>
  </w:footnote>
  <w:footnote w:type="continuationNotice" w:id="1">
    <w:p w14:paraId="5A372BCE" w14:textId="77777777" w:rsidR="003D2E2C" w:rsidRDefault="003D2E2C">
      <w:pPr>
        <w:spacing w:after="0" w:line="240" w:lineRule="auto"/>
      </w:pPr>
    </w:p>
  </w:footnote>
  <w:footnote w:id="2">
    <w:p w14:paraId="48858CB9" w14:textId="2F8249AF" w:rsidR="00ED566D" w:rsidRPr="00AC581F" w:rsidRDefault="00ED566D" w:rsidP="00ED566D">
      <w:pPr>
        <w:pStyle w:val="Textonotapie"/>
        <w:spacing w:after="120"/>
        <w:ind w:firstLine="709"/>
        <w:jc w:val="both"/>
        <w:rPr>
          <w:rFonts w:ascii="Verdana" w:hAnsi="Verdana"/>
          <w:sz w:val="18"/>
          <w:szCs w:val="18"/>
          <w:lang w:val="es-CO"/>
        </w:rPr>
      </w:pPr>
      <w:r w:rsidRPr="00AC581F">
        <w:rPr>
          <w:rStyle w:val="Refdenotaalpie"/>
          <w:rFonts w:ascii="Verdana" w:hAnsi="Verdana"/>
          <w:sz w:val="18"/>
          <w:szCs w:val="18"/>
        </w:rPr>
        <w:footnoteRef/>
      </w:r>
      <w:r w:rsidRPr="00AC581F">
        <w:rPr>
          <w:rFonts w:ascii="Verdana" w:hAnsi="Verdana"/>
          <w:sz w:val="18"/>
          <w:szCs w:val="18"/>
        </w:rPr>
        <w:t xml:space="preserve"> Ley 1150 de 2007: “</w:t>
      </w:r>
      <w:r w:rsidRPr="00AC581F">
        <w:rPr>
          <w:rFonts w:ascii="Verdana" w:hAnsi="Verdana"/>
          <w:sz w:val="18"/>
          <w:szCs w:val="18"/>
          <w:lang w:val="es-CO"/>
        </w:rPr>
        <w:t>Artículo 5°. De la selección objetiva</w:t>
      </w:r>
      <w:r w:rsidRPr="00AC581F">
        <w:rPr>
          <w:rFonts w:ascii="Verdana" w:hAnsi="Verdana"/>
          <w:i/>
          <w:iCs/>
          <w:sz w:val="18"/>
          <w:szCs w:val="18"/>
          <w:lang w:val="es-CO"/>
        </w:rPr>
        <w:t>. </w:t>
      </w:r>
      <w:r w:rsidRPr="00AC581F">
        <w:rPr>
          <w:rFonts w:ascii="Verdana" w:hAnsi="Verdana"/>
          <w:sz w:val="18"/>
          <w:szCs w:val="18"/>
          <w:lang w:val="es-CO"/>
        </w:rPr>
        <w:t xml:space="preserve">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r w:rsidR="00AB774F" w:rsidRPr="00AC581F">
        <w:rPr>
          <w:rFonts w:ascii="Verdana" w:hAnsi="Verdana"/>
          <w:sz w:val="18"/>
          <w:szCs w:val="18"/>
          <w:lang w:val="es-CO"/>
        </w:rPr>
        <w:t>equivalentes</w:t>
      </w:r>
      <w:r w:rsidRPr="00AC581F">
        <w:rPr>
          <w:rFonts w:ascii="Verdana" w:hAnsi="Verdana"/>
          <w:sz w:val="18"/>
          <w:szCs w:val="18"/>
          <w:lang w:val="es-CO"/>
        </w:rPr>
        <w:t xml:space="preserve"> tendrán en cuenta los siguientes criterios: </w:t>
      </w:r>
    </w:p>
    <w:p w14:paraId="46746BF9" w14:textId="77777777" w:rsidR="00ED566D" w:rsidRPr="00AC581F" w:rsidRDefault="00ED566D" w:rsidP="00ED566D">
      <w:pPr>
        <w:pStyle w:val="Textonotapie"/>
        <w:ind w:firstLine="708"/>
        <w:jc w:val="both"/>
        <w:rPr>
          <w:rFonts w:ascii="Verdana" w:hAnsi="Verdana"/>
          <w:sz w:val="18"/>
          <w:szCs w:val="18"/>
          <w:lang w:val="es-CO"/>
        </w:rPr>
      </w:pPr>
      <w:r w:rsidRPr="00AC581F">
        <w:rPr>
          <w:rFonts w:ascii="Verdana" w:hAnsi="Verdana"/>
          <w:sz w:val="18"/>
          <w:szCs w:val="18"/>
          <w:lang w:val="es-CO"/>
        </w:rPr>
        <w:t>  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 […]”. </w:t>
      </w:r>
    </w:p>
    <w:p w14:paraId="2EEAF77F" w14:textId="77777777" w:rsidR="00AC3C07" w:rsidRPr="00AC581F" w:rsidRDefault="00AC3C07" w:rsidP="00ED566D">
      <w:pPr>
        <w:pStyle w:val="Textonotapie"/>
        <w:ind w:firstLine="708"/>
        <w:jc w:val="both"/>
        <w:rPr>
          <w:rFonts w:ascii="Verdana" w:hAnsi="Verdana"/>
          <w:sz w:val="18"/>
          <w:szCs w:val="18"/>
        </w:rPr>
      </w:pPr>
    </w:p>
  </w:footnote>
  <w:footnote w:id="3">
    <w:p w14:paraId="7B5F1655" w14:textId="77777777" w:rsidR="00ED566D" w:rsidRPr="00AC581F" w:rsidRDefault="00ED566D" w:rsidP="00ED566D">
      <w:pPr>
        <w:pStyle w:val="Textonotapie"/>
        <w:spacing w:after="120"/>
        <w:ind w:firstLine="709"/>
        <w:jc w:val="both"/>
        <w:rPr>
          <w:rFonts w:ascii="Verdana" w:hAnsi="Verdana"/>
          <w:sz w:val="18"/>
          <w:szCs w:val="18"/>
        </w:rPr>
      </w:pPr>
      <w:r w:rsidRPr="00AC581F">
        <w:rPr>
          <w:rStyle w:val="Refdenotaalpie"/>
          <w:rFonts w:ascii="Verdana" w:hAnsi="Verdana"/>
          <w:sz w:val="18"/>
          <w:szCs w:val="18"/>
        </w:rPr>
        <w:footnoteRef/>
      </w:r>
      <w:r w:rsidRPr="00AC581F">
        <w:rPr>
          <w:rFonts w:ascii="Verdana" w:hAnsi="Verdana"/>
          <w:sz w:val="18"/>
          <w:szCs w:val="18"/>
        </w:rPr>
        <w:t xml:space="preserve"> Ley 80 de 1993: “Artículo 6o. De la capacidad para contratar. Pueden celebrar contratos con las entidades estatales las personas consideradas legalmente capaces en las disposiciones vigentes. También podrán celebrar contratos con las entidades estatales los Cabildos Indígenas, las asociaciones de Autoridades Tradicionales Indígenas, los consejos comunitarios de las comunidades negras regulados por la Ley 70 de 1993.  </w:t>
      </w:r>
    </w:p>
    <w:p w14:paraId="09E8A3C8" w14:textId="77777777" w:rsidR="00ED566D" w:rsidRPr="00AC581F" w:rsidRDefault="00ED566D" w:rsidP="00ED566D">
      <w:pPr>
        <w:pStyle w:val="Textonotapie"/>
        <w:ind w:firstLine="708"/>
        <w:jc w:val="both"/>
        <w:rPr>
          <w:rFonts w:ascii="Verdana" w:hAnsi="Verdana"/>
          <w:sz w:val="18"/>
          <w:szCs w:val="18"/>
        </w:rPr>
      </w:pPr>
      <w:r w:rsidRPr="00AC581F">
        <w:rPr>
          <w:rFonts w:ascii="Verdana" w:hAnsi="Verdana"/>
          <w:sz w:val="18"/>
          <w:szCs w:val="18"/>
        </w:rPr>
        <w:t xml:space="preserve">Para las organizaciones de base de comunidades negras, afrocolombianas, raizales y palenqueras y las demás formas y expresiones organizativas, deberán contar con diez (10) años o más de haber sido incorporados por el Ministerio del Interior en el correspondiente Registro Público Único Nacional y que hayan cumplido con el deber de actualización de información en el mismo registro; y </w:t>
      </w:r>
      <w:r w:rsidRPr="00AC581F">
        <w:rPr>
          <w:rFonts w:ascii="Verdana" w:hAnsi="Verdana"/>
          <w:i/>
          <w:iCs/>
          <w:sz w:val="18"/>
          <w:szCs w:val="18"/>
          <w:u w:val="single"/>
        </w:rPr>
        <w:t>los consorcios y uniones temporales</w:t>
      </w:r>
      <w:r w:rsidRPr="00AC581F">
        <w:rPr>
          <w:rFonts w:ascii="Verdana" w:hAnsi="Verdana"/>
          <w:sz w:val="18"/>
          <w:szCs w:val="18"/>
        </w:rPr>
        <w:t xml:space="preserve"> […]” [Énfasis fuera de texto].  </w:t>
      </w:r>
    </w:p>
    <w:p w14:paraId="3CDFEE86" w14:textId="77777777" w:rsidR="00ED566D" w:rsidRPr="00AC581F" w:rsidRDefault="00ED566D" w:rsidP="00ED566D">
      <w:pPr>
        <w:pStyle w:val="Textonotapie"/>
        <w:ind w:firstLine="708"/>
        <w:jc w:val="both"/>
        <w:rPr>
          <w:rFonts w:ascii="Verdana" w:hAnsi="Verdana"/>
          <w:sz w:val="18"/>
          <w:szCs w:val="18"/>
        </w:rPr>
      </w:pPr>
      <w:r w:rsidRPr="00AC581F">
        <w:rPr>
          <w:rFonts w:ascii="Verdana" w:hAnsi="Verdana"/>
          <w:sz w:val="18"/>
          <w:szCs w:val="18"/>
        </w:rPr>
        <w:t xml:space="preserve"> </w:t>
      </w:r>
    </w:p>
  </w:footnote>
  <w:footnote w:id="4">
    <w:p w14:paraId="067ADBF4" w14:textId="1C5053D3" w:rsidR="00ED566D" w:rsidRPr="005F6B24" w:rsidRDefault="00ED566D" w:rsidP="00F1780D">
      <w:pPr>
        <w:pStyle w:val="Textonotapie"/>
        <w:ind w:firstLine="708"/>
        <w:jc w:val="both"/>
        <w:rPr>
          <w:rFonts w:ascii="Verdana" w:hAnsi="Verdana" w:cs="Arial"/>
          <w:sz w:val="16"/>
          <w:szCs w:val="16"/>
        </w:rPr>
      </w:pPr>
      <w:r w:rsidRPr="00AC581F">
        <w:rPr>
          <w:rStyle w:val="Refdenotaalpie"/>
          <w:rFonts w:ascii="Verdana" w:hAnsi="Verdana" w:cs="Arial"/>
          <w:sz w:val="18"/>
          <w:szCs w:val="18"/>
        </w:rPr>
        <w:footnoteRef/>
      </w:r>
      <w:r w:rsidRPr="00AC581F">
        <w:rPr>
          <w:rFonts w:ascii="Verdana" w:hAnsi="Verdana" w:cs="Arial"/>
          <w:sz w:val="18"/>
          <w:szCs w:val="18"/>
        </w:rPr>
        <w:t xml:space="preserve"> “El consorcio es una figura propia del derecho privado, utilizado ordinariamente como un instrumento de cooperación entre empresas, cuando requieren asumir una tarea económica particularmente importante, que les permita distribuirse de algún modo los riesgos que pueda implicar la actividad que se acomete, aunar recursos financieros y tecnológicos, y mejorar la disponibilidad de equipos, según el caso, pero conservando los consorciados su independencia jurídica”. (Corte Constitucional, sentencia C-414 de 1994, M.P. Antonio Barrera</w:t>
      </w:r>
      <w:r w:rsidRPr="00AC581F">
        <w:rPr>
          <w:rFonts w:ascii="Verdana" w:hAnsi="Verdana" w:cs="Arial"/>
          <w:spacing w:val="-2"/>
          <w:sz w:val="18"/>
          <w:szCs w:val="18"/>
        </w:rPr>
        <w:t xml:space="preserve"> </w:t>
      </w:r>
      <w:r w:rsidRPr="00AC581F">
        <w:rPr>
          <w:rFonts w:ascii="Verdana" w:hAnsi="Verdana" w:cs="Arial"/>
          <w:sz w:val="18"/>
          <w:szCs w:val="18"/>
        </w:rPr>
        <w:t>Carbonell).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25pt;height:8.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6E1017"/>
    <w:multiLevelType w:val="hybridMultilevel"/>
    <w:tmpl w:val="186E82A4"/>
    <w:lvl w:ilvl="0" w:tplc="67E4F5E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3D2C6EAF"/>
    <w:multiLevelType w:val="hybridMultilevel"/>
    <w:tmpl w:val="5C4EA57E"/>
    <w:lvl w:ilvl="0" w:tplc="3B129BD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BB6904"/>
    <w:multiLevelType w:val="hybridMultilevel"/>
    <w:tmpl w:val="69149EE6"/>
    <w:lvl w:ilvl="0" w:tplc="A2CE35E8">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5"/>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7"/>
  </w:num>
  <w:num w:numId="8" w16cid:durableId="152644682">
    <w:abstractNumId w:val="16"/>
  </w:num>
  <w:num w:numId="9" w16cid:durableId="1317221377">
    <w:abstractNumId w:val="9"/>
  </w:num>
  <w:num w:numId="10" w16cid:durableId="1471245386">
    <w:abstractNumId w:val="15"/>
  </w:num>
  <w:num w:numId="11" w16cid:durableId="289172385">
    <w:abstractNumId w:val="10"/>
  </w:num>
  <w:num w:numId="12" w16cid:durableId="1470781324">
    <w:abstractNumId w:val="1"/>
  </w:num>
  <w:num w:numId="13" w16cid:durableId="1512908409">
    <w:abstractNumId w:val="3"/>
  </w:num>
  <w:num w:numId="14" w16cid:durableId="895897244">
    <w:abstractNumId w:val="18"/>
  </w:num>
  <w:num w:numId="15" w16cid:durableId="390349800">
    <w:abstractNumId w:val="14"/>
  </w:num>
  <w:num w:numId="16" w16cid:durableId="341274352">
    <w:abstractNumId w:val="0"/>
  </w:num>
  <w:num w:numId="17" w16cid:durableId="1492209491">
    <w:abstractNumId w:val="6"/>
  </w:num>
  <w:num w:numId="18" w16cid:durableId="1358697239">
    <w:abstractNumId w:val="12"/>
  </w:num>
  <w:num w:numId="19" w16cid:durableId="823550333">
    <w:abstractNumId w:val="4"/>
  </w:num>
  <w:num w:numId="20" w16cid:durableId="1399522762">
    <w:abstractNumId w:val="13"/>
  </w:num>
  <w:num w:numId="21" w16cid:durableId="6790895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4320"/>
    <w:rsid w:val="000255BF"/>
    <w:rsid w:val="00030066"/>
    <w:rsid w:val="00035509"/>
    <w:rsid w:val="00040E50"/>
    <w:rsid w:val="00051876"/>
    <w:rsid w:val="00054204"/>
    <w:rsid w:val="00061B2A"/>
    <w:rsid w:val="000709F2"/>
    <w:rsid w:val="00082362"/>
    <w:rsid w:val="00090E3B"/>
    <w:rsid w:val="000A683E"/>
    <w:rsid w:val="000A6C57"/>
    <w:rsid w:val="000B19B9"/>
    <w:rsid w:val="000D0334"/>
    <w:rsid w:val="000E5718"/>
    <w:rsid w:val="000E768F"/>
    <w:rsid w:val="000F6486"/>
    <w:rsid w:val="00111F0F"/>
    <w:rsid w:val="00125105"/>
    <w:rsid w:val="00127233"/>
    <w:rsid w:val="00157D6A"/>
    <w:rsid w:val="00160131"/>
    <w:rsid w:val="00185D5F"/>
    <w:rsid w:val="001863C7"/>
    <w:rsid w:val="00191284"/>
    <w:rsid w:val="00194264"/>
    <w:rsid w:val="00195381"/>
    <w:rsid w:val="001B242B"/>
    <w:rsid w:val="001B415F"/>
    <w:rsid w:val="001B4C59"/>
    <w:rsid w:val="001B781D"/>
    <w:rsid w:val="001E4177"/>
    <w:rsid w:val="001F1095"/>
    <w:rsid w:val="001F25B1"/>
    <w:rsid w:val="001F7DC6"/>
    <w:rsid w:val="0021722E"/>
    <w:rsid w:val="002421BB"/>
    <w:rsid w:val="00245040"/>
    <w:rsid w:val="0025796E"/>
    <w:rsid w:val="002707A2"/>
    <w:rsid w:val="002951A0"/>
    <w:rsid w:val="002962BC"/>
    <w:rsid w:val="002A093D"/>
    <w:rsid w:val="002A0DD0"/>
    <w:rsid w:val="002A49AC"/>
    <w:rsid w:val="002A4DAC"/>
    <w:rsid w:val="002A64FD"/>
    <w:rsid w:val="002C1E05"/>
    <w:rsid w:val="002C7A84"/>
    <w:rsid w:val="002E4FD9"/>
    <w:rsid w:val="002F28D0"/>
    <w:rsid w:val="002F7289"/>
    <w:rsid w:val="00303127"/>
    <w:rsid w:val="0031021F"/>
    <w:rsid w:val="00322A85"/>
    <w:rsid w:val="00324168"/>
    <w:rsid w:val="003448F4"/>
    <w:rsid w:val="003506B2"/>
    <w:rsid w:val="003533BF"/>
    <w:rsid w:val="00370FE6"/>
    <w:rsid w:val="00374F5E"/>
    <w:rsid w:val="00377E3E"/>
    <w:rsid w:val="00386B00"/>
    <w:rsid w:val="003A26D1"/>
    <w:rsid w:val="003A779E"/>
    <w:rsid w:val="003B4994"/>
    <w:rsid w:val="003B7F18"/>
    <w:rsid w:val="003C074B"/>
    <w:rsid w:val="003C78F4"/>
    <w:rsid w:val="003D0F4D"/>
    <w:rsid w:val="003D2E2C"/>
    <w:rsid w:val="003D4AF0"/>
    <w:rsid w:val="003D5B0D"/>
    <w:rsid w:val="003E0499"/>
    <w:rsid w:val="003F3941"/>
    <w:rsid w:val="00404696"/>
    <w:rsid w:val="00405809"/>
    <w:rsid w:val="00406575"/>
    <w:rsid w:val="00414903"/>
    <w:rsid w:val="0042722E"/>
    <w:rsid w:val="00432051"/>
    <w:rsid w:val="0044528D"/>
    <w:rsid w:val="00466F31"/>
    <w:rsid w:val="00471BD4"/>
    <w:rsid w:val="00484FE7"/>
    <w:rsid w:val="0048771B"/>
    <w:rsid w:val="00494E44"/>
    <w:rsid w:val="004A1847"/>
    <w:rsid w:val="004A305D"/>
    <w:rsid w:val="004B477A"/>
    <w:rsid w:val="004F21C4"/>
    <w:rsid w:val="004F4FED"/>
    <w:rsid w:val="004F685F"/>
    <w:rsid w:val="00515442"/>
    <w:rsid w:val="005566E8"/>
    <w:rsid w:val="00572978"/>
    <w:rsid w:val="00574867"/>
    <w:rsid w:val="0058378D"/>
    <w:rsid w:val="00591330"/>
    <w:rsid w:val="00591460"/>
    <w:rsid w:val="00592628"/>
    <w:rsid w:val="00596450"/>
    <w:rsid w:val="005978E5"/>
    <w:rsid w:val="005B7436"/>
    <w:rsid w:val="005C3315"/>
    <w:rsid w:val="005C3777"/>
    <w:rsid w:val="005C38B0"/>
    <w:rsid w:val="005C5CDC"/>
    <w:rsid w:val="005D41D0"/>
    <w:rsid w:val="005D476C"/>
    <w:rsid w:val="005E10EC"/>
    <w:rsid w:val="005F0D70"/>
    <w:rsid w:val="00610812"/>
    <w:rsid w:val="006219F8"/>
    <w:rsid w:val="00633334"/>
    <w:rsid w:val="00650FF7"/>
    <w:rsid w:val="00665D70"/>
    <w:rsid w:val="00671DAC"/>
    <w:rsid w:val="006900D9"/>
    <w:rsid w:val="006A094A"/>
    <w:rsid w:val="006B282B"/>
    <w:rsid w:val="006B77D9"/>
    <w:rsid w:val="006C15DE"/>
    <w:rsid w:val="006C4A05"/>
    <w:rsid w:val="006D0FE0"/>
    <w:rsid w:val="006D12F8"/>
    <w:rsid w:val="006E369F"/>
    <w:rsid w:val="006E751B"/>
    <w:rsid w:val="006F7D8F"/>
    <w:rsid w:val="00702A90"/>
    <w:rsid w:val="00703978"/>
    <w:rsid w:val="0070646F"/>
    <w:rsid w:val="00706C16"/>
    <w:rsid w:val="00732195"/>
    <w:rsid w:val="00751FA2"/>
    <w:rsid w:val="00756841"/>
    <w:rsid w:val="00761717"/>
    <w:rsid w:val="00762589"/>
    <w:rsid w:val="007649AB"/>
    <w:rsid w:val="007654E4"/>
    <w:rsid w:val="00771D0C"/>
    <w:rsid w:val="00777CB3"/>
    <w:rsid w:val="007833AC"/>
    <w:rsid w:val="00784C16"/>
    <w:rsid w:val="00790BA8"/>
    <w:rsid w:val="00795E85"/>
    <w:rsid w:val="007B268C"/>
    <w:rsid w:val="007B7171"/>
    <w:rsid w:val="007C0C0F"/>
    <w:rsid w:val="007C3DC2"/>
    <w:rsid w:val="007E5497"/>
    <w:rsid w:val="00801701"/>
    <w:rsid w:val="00806F5F"/>
    <w:rsid w:val="00820278"/>
    <w:rsid w:val="0085490A"/>
    <w:rsid w:val="00855560"/>
    <w:rsid w:val="00861CD1"/>
    <w:rsid w:val="00877454"/>
    <w:rsid w:val="008812DB"/>
    <w:rsid w:val="00883960"/>
    <w:rsid w:val="008843B6"/>
    <w:rsid w:val="00890AEA"/>
    <w:rsid w:val="00891928"/>
    <w:rsid w:val="008A446D"/>
    <w:rsid w:val="008B114D"/>
    <w:rsid w:val="008D10CB"/>
    <w:rsid w:val="008D180B"/>
    <w:rsid w:val="008F0EA7"/>
    <w:rsid w:val="008F205B"/>
    <w:rsid w:val="008F66C4"/>
    <w:rsid w:val="00923EEF"/>
    <w:rsid w:val="00925839"/>
    <w:rsid w:val="00925C8A"/>
    <w:rsid w:val="009323D0"/>
    <w:rsid w:val="00932FD2"/>
    <w:rsid w:val="009331DA"/>
    <w:rsid w:val="009379DA"/>
    <w:rsid w:val="009419F9"/>
    <w:rsid w:val="009442E6"/>
    <w:rsid w:val="00951B81"/>
    <w:rsid w:val="0095685E"/>
    <w:rsid w:val="00961B09"/>
    <w:rsid w:val="00962D49"/>
    <w:rsid w:val="00965334"/>
    <w:rsid w:val="0097093E"/>
    <w:rsid w:val="0098066E"/>
    <w:rsid w:val="00991B74"/>
    <w:rsid w:val="009A0DFA"/>
    <w:rsid w:val="009A396A"/>
    <w:rsid w:val="009B0851"/>
    <w:rsid w:val="009B2D26"/>
    <w:rsid w:val="009C71FA"/>
    <w:rsid w:val="009C72E7"/>
    <w:rsid w:val="009D3058"/>
    <w:rsid w:val="009E235C"/>
    <w:rsid w:val="009F3A13"/>
    <w:rsid w:val="00A122D3"/>
    <w:rsid w:val="00A17F13"/>
    <w:rsid w:val="00A20739"/>
    <w:rsid w:val="00A25FA6"/>
    <w:rsid w:val="00A33C78"/>
    <w:rsid w:val="00A35475"/>
    <w:rsid w:val="00A70C34"/>
    <w:rsid w:val="00A7487A"/>
    <w:rsid w:val="00A75AA4"/>
    <w:rsid w:val="00A821B1"/>
    <w:rsid w:val="00A846E3"/>
    <w:rsid w:val="00AA59D1"/>
    <w:rsid w:val="00AB0ADB"/>
    <w:rsid w:val="00AB1DA2"/>
    <w:rsid w:val="00AB56D6"/>
    <w:rsid w:val="00AB774F"/>
    <w:rsid w:val="00AC3C07"/>
    <w:rsid w:val="00AC581F"/>
    <w:rsid w:val="00AD2BE8"/>
    <w:rsid w:val="00AE7D6A"/>
    <w:rsid w:val="00AF2BA6"/>
    <w:rsid w:val="00B01B1A"/>
    <w:rsid w:val="00B07E31"/>
    <w:rsid w:val="00B1213D"/>
    <w:rsid w:val="00B364B1"/>
    <w:rsid w:val="00B406F5"/>
    <w:rsid w:val="00B50EC1"/>
    <w:rsid w:val="00B72CD3"/>
    <w:rsid w:val="00B72FFF"/>
    <w:rsid w:val="00B92B16"/>
    <w:rsid w:val="00BB42DE"/>
    <w:rsid w:val="00BB63EA"/>
    <w:rsid w:val="00BC3D36"/>
    <w:rsid w:val="00BD18AD"/>
    <w:rsid w:val="00BD7F72"/>
    <w:rsid w:val="00C04FB3"/>
    <w:rsid w:val="00C103D0"/>
    <w:rsid w:val="00C14EB2"/>
    <w:rsid w:val="00C27277"/>
    <w:rsid w:val="00C272D7"/>
    <w:rsid w:val="00C330EB"/>
    <w:rsid w:val="00C355D9"/>
    <w:rsid w:val="00C46B11"/>
    <w:rsid w:val="00C54775"/>
    <w:rsid w:val="00C703CE"/>
    <w:rsid w:val="00C7107E"/>
    <w:rsid w:val="00C754BE"/>
    <w:rsid w:val="00C76B1C"/>
    <w:rsid w:val="00C77285"/>
    <w:rsid w:val="00C82D0B"/>
    <w:rsid w:val="00CA59BE"/>
    <w:rsid w:val="00CB495A"/>
    <w:rsid w:val="00CB6357"/>
    <w:rsid w:val="00CC1B26"/>
    <w:rsid w:val="00CD52E9"/>
    <w:rsid w:val="00CE0B37"/>
    <w:rsid w:val="00CE4D07"/>
    <w:rsid w:val="00CE4DE0"/>
    <w:rsid w:val="00CF10D8"/>
    <w:rsid w:val="00CF67D5"/>
    <w:rsid w:val="00D07030"/>
    <w:rsid w:val="00D152CF"/>
    <w:rsid w:val="00D25C2B"/>
    <w:rsid w:val="00D3506B"/>
    <w:rsid w:val="00D423A2"/>
    <w:rsid w:val="00D520D8"/>
    <w:rsid w:val="00D63AC2"/>
    <w:rsid w:val="00D7383B"/>
    <w:rsid w:val="00D7665C"/>
    <w:rsid w:val="00D87B17"/>
    <w:rsid w:val="00D9531C"/>
    <w:rsid w:val="00DA231B"/>
    <w:rsid w:val="00DA23A0"/>
    <w:rsid w:val="00DA659F"/>
    <w:rsid w:val="00DC39FC"/>
    <w:rsid w:val="00DC69B1"/>
    <w:rsid w:val="00DF3F9E"/>
    <w:rsid w:val="00DF5254"/>
    <w:rsid w:val="00E01D0F"/>
    <w:rsid w:val="00E10F85"/>
    <w:rsid w:val="00E16408"/>
    <w:rsid w:val="00E20894"/>
    <w:rsid w:val="00E230E0"/>
    <w:rsid w:val="00E245AB"/>
    <w:rsid w:val="00E2764C"/>
    <w:rsid w:val="00E27F2E"/>
    <w:rsid w:val="00E3284A"/>
    <w:rsid w:val="00E358EB"/>
    <w:rsid w:val="00E40AC9"/>
    <w:rsid w:val="00E413EA"/>
    <w:rsid w:val="00E50AFE"/>
    <w:rsid w:val="00E55173"/>
    <w:rsid w:val="00E75C92"/>
    <w:rsid w:val="00E771DC"/>
    <w:rsid w:val="00E80C55"/>
    <w:rsid w:val="00E8772A"/>
    <w:rsid w:val="00E90F6B"/>
    <w:rsid w:val="00E92C27"/>
    <w:rsid w:val="00E96F73"/>
    <w:rsid w:val="00EA0E3D"/>
    <w:rsid w:val="00EC38A7"/>
    <w:rsid w:val="00ED3897"/>
    <w:rsid w:val="00ED566D"/>
    <w:rsid w:val="00ED674A"/>
    <w:rsid w:val="00EE1AA8"/>
    <w:rsid w:val="00EE3C1B"/>
    <w:rsid w:val="00F0013D"/>
    <w:rsid w:val="00F02A2E"/>
    <w:rsid w:val="00F1780D"/>
    <w:rsid w:val="00F30AB9"/>
    <w:rsid w:val="00F31EDC"/>
    <w:rsid w:val="00F36DA2"/>
    <w:rsid w:val="00F462B3"/>
    <w:rsid w:val="00F5664F"/>
    <w:rsid w:val="00F571C7"/>
    <w:rsid w:val="00F60582"/>
    <w:rsid w:val="00F666C4"/>
    <w:rsid w:val="00F76AFC"/>
    <w:rsid w:val="00F774BA"/>
    <w:rsid w:val="00F82E72"/>
    <w:rsid w:val="00F96D04"/>
    <w:rsid w:val="00FA47C0"/>
    <w:rsid w:val="00FB5DD1"/>
    <w:rsid w:val="00FC2B5D"/>
    <w:rsid w:val="00FC37F6"/>
    <w:rsid w:val="00FD156E"/>
    <w:rsid w:val="00FD2079"/>
    <w:rsid w:val="00FE5DB8"/>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styleId="Refdecomentario">
    <w:name w:val="annotation reference"/>
    <w:basedOn w:val="Fuentedeprrafopredeter"/>
    <w:uiPriority w:val="99"/>
    <w:semiHidden/>
    <w:unhideWhenUsed/>
    <w:rsid w:val="00A75AA4"/>
    <w:rPr>
      <w:sz w:val="16"/>
      <w:szCs w:val="16"/>
    </w:rPr>
  </w:style>
  <w:style w:type="paragraph" w:styleId="Textocomentario">
    <w:name w:val="annotation text"/>
    <w:basedOn w:val="Normal"/>
    <w:link w:val="TextocomentarioCar"/>
    <w:uiPriority w:val="99"/>
    <w:unhideWhenUsed/>
    <w:rsid w:val="00A75AA4"/>
    <w:pPr>
      <w:spacing w:line="240" w:lineRule="auto"/>
    </w:pPr>
    <w:rPr>
      <w:sz w:val="20"/>
      <w:szCs w:val="20"/>
    </w:rPr>
  </w:style>
  <w:style w:type="character" w:customStyle="1" w:styleId="TextocomentarioCar">
    <w:name w:val="Texto comentario Car"/>
    <w:basedOn w:val="Fuentedeprrafopredeter"/>
    <w:link w:val="Textocomentario"/>
    <w:uiPriority w:val="99"/>
    <w:rsid w:val="00A75AA4"/>
    <w:rPr>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406F5"/>
    <w:rPr>
      <w:rFonts w:ascii="Geomanist Light" w:hAnsi="Geomanist Light"/>
      <w:lang w:val="es-ES"/>
    </w:rPr>
  </w:style>
  <w:style w:type="paragraph" w:customStyle="1" w:styleId="Appelnotedebasde">
    <w:name w:val="Appel note de bas de..."/>
    <w:basedOn w:val="Normal"/>
    <w:link w:val="Refdenotaalpie"/>
    <w:uiPriority w:val="99"/>
    <w:rsid w:val="00ED566D"/>
    <w:pPr>
      <w:spacing w:line="240" w:lineRule="exact"/>
    </w:pPr>
    <w:rPr>
      <w:vertAlign w:val="superscript"/>
    </w:rPr>
  </w:style>
  <w:style w:type="paragraph" w:styleId="Textoindependiente">
    <w:name w:val="Body Text"/>
    <w:basedOn w:val="Normal"/>
    <w:link w:val="TextoindependienteCar"/>
    <w:uiPriority w:val="1"/>
    <w:qFormat/>
    <w:rsid w:val="008812D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8812DB"/>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15985029">
      <w:bodyDiv w:val="1"/>
      <w:marLeft w:val="0"/>
      <w:marRight w:val="0"/>
      <w:marTop w:val="0"/>
      <w:marBottom w:val="0"/>
      <w:divBdr>
        <w:top w:val="none" w:sz="0" w:space="0" w:color="auto"/>
        <w:left w:val="none" w:sz="0" w:space="0" w:color="auto"/>
        <w:bottom w:val="none" w:sz="0" w:space="0" w:color="auto"/>
        <w:right w:val="none" w:sz="0" w:space="0" w:color="auto"/>
      </w:divBdr>
      <w:divsChild>
        <w:div w:id="1310982178">
          <w:marLeft w:val="0"/>
          <w:marRight w:val="0"/>
          <w:marTop w:val="0"/>
          <w:marBottom w:val="0"/>
          <w:divBdr>
            <w:top w:val="none" w:sz="0" w:space="0" w:color="auto"/>
            <w:left w:val="none" w:sz="0" w:space="0" w:color="auto"/>
            <w:bottom w:val="none" w:sz="0" w:space="0" w:color="auto"/>
            <w:right w:val="none" w:sz="0" w:space="0" w:color="auto"/>
          </w:divBdr>
          <w:divsChild>
            <w:div w:id="64974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7969964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293174338">
      <w:bodyDiv w:val="1"/>
      <w:marLeft w:val="0"/>
      <w:marRight w:val="0"/>
      <w:marTop w:val="0"/>
      <w:marBottom w:val="0"/>
      <w:divBdr>
        <w:top w:val="none" w:sz="0" w:space="0" w:color="auto"/>
        <w:left w:val="none" w:sz="0" w:space="0" w:color="auto"/>
        <w:bottom w:val="none" w:sz="0" w:space="0" w:color="auto"/>
        <w:right w:val="none" w:sz="0" w:space="0" w:color="auto"/>
      </w:divBdr>
    </w:div>
    <w:div w:id="1298141967">
      <w:bodyDiv w:val="1"/>
      <w:marLeft w:val="0"/>
      <w:marRight w:val="0"/>
      <w:marTop w:val="0"/>
      <w:marBottom w:val="0"/>
      <w:divBdr>
        <w:top w:val="none" w:sz="0" w:space="0" w:color="auto"/>
        <w:left w:val="none" w:sz="0" w:space="0" w:color="auto"/>
        <w:bottom w:val="none" w:sz="0" w:space="0" w:color="auto"/>
        <w:right w:val="none" w:sz="0" w:space="0" w:color="auto"/>
      </w:divBdr>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437871515">
      <w:bodyDiv w:val="1"/>
      <w:marLeft w:val="0"/>
      <w:marRight w:val="0"/>
      <w:marTop w:val="0"/>
      <w:marBottom w:val="0"/>
      <w:divBdr>
        <w:top w:val="none" w:sz="0" w:space="0" w:color="auto"/>
        <w:left w:val="none" w:sz="0" w:space="0" w:color="auto"/>
        <w:bottom w:val="none" w:sz="0" w:space="0" w:color="auto"/>
        <w:right w:val="none" w:sz="0" w:space="0" w:color="auto"/>
      </w:divBdr>
    </w:div>
    <w:div w:id="1444109296">
      <w:bodyDiv w:val="1"/>
      <w:marLeft w:val="0"/>
      <w:marRight w:val="0"/>
      <w:marTop w:val="0"/>
      <w:marBottom w:val="0"/>
      <w:divBdr>
        <w:top w:val="none" w:sz="0" w:space="0" w:color="auto"/>
        <w:left w:val="none" w:sz="0" w:space="0" w:color="auto"/>
        <w:bottom w:val="none" w:sz="0" w:space="0" w:color="auto"/>
        <w:right w:val="none" w:sz="0" w:space="0" w:color="auto"/>
      </w:divBdr>
    </w:div>
    <w:div w:id="1666973709">
      <w:bodyDiv w:val="1"/>
      <w:marLeft w:val="0"/>
      <w:marRight w:val="0"/>
      <w:marTop w:val="0"/>
      <w:marBottom w:val="0"/>
      <w:divBdr>
        <w:top w:val="none" w:sz="0" w:space="0" w:color="auto"/>
        <w:left w:val="none" w:sz="0" w:space="0" w:color="auto"/>
        <w:bottom w:val="none" w:sz="0" w:space="0" w:color="auto"/>
        <w:right w:val="none" w:sz="0" w:space="0" w:color="auto"/>
      </w:divBdr>
      <w:divsChild>
        <w:div w:id="1366246908">
          <w:marLeft w:val="0"/>
          <w:marRight w:val="0"/>
          <w:marTop w:val="0"/>
          <w:marBottom w:val="0"/>
          <w:divBdr>
            <w:top w:val="none" w:sz="0" w:space="0" w:color="auto"/>
            <w:left w:val="none" w:sz="0" w:space="0" w:color="auto"/>
            <w:bottom w:val="none" w:sz="0" w:space="0" w:color="auto"/>
            <w:right w:val="none" w:sz="0" w:space="0" w:color="auto"/>
          </w:divBdr>
          <w:divsChild>
            <w:div w:id="15638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622454">
      <w:bodyDiv w:val="1"/>
      <w:marLeft w:val="0"/>
      <w:marRight w:val="0"/>
      <w:marTop w:val="0"/>
      <w:marBottom w:val="0"/>
      <w:divBdr>
        <w:top w:val="none" w:sz="0" w:space="0" w:color="auto"/>
        <w:left w:val="none" w:sz="0" w:space="0" w:color="auto"/>
        <w:bottom w:val="none" w:sz="0" w:space="0" w:color="auto"/>
        <w:right w:val="none" w:sz="0" w:space="0" w:color="auto"/>
      </w:divBdr>
    </w:div>
    <w:div w:id="1993413029">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ites/cce_public/files/cce_documents/cce-eicp-ma-04._manual_requisitos_habilitantes_v3_29-09-2023.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trujilloflorian@gmail.com"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sala-de-prensa/boletin-digita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25C3C1-B51F-4879-9C49-9CFBAAD87B5F}"/>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3046</Words>
  <Characters>16753</Characters>
  <Application>Microsoft Office Word</Application>
  <DocSecurity>0</DocSecurity>
  <Lines>139</Lines>
  <Paragraphs>39</Paragraphs>
  <ScaleCrop>false</ScaleCrop>
  <Company/>
  <LinksUpToDate>false</LinksUpToDate>
  <CharactersWithSpaces>19760</CharactersWithSpaces>
  <SharedDoc>false</SharedDoc>
  <HLinks>
    <vt:vector size="24" baseType="variant">
      <vt:variant>
        <vt:i4>5439494</vt:i4>
      </vt:variant>
      <vt:variant>
        <vt:i4>9</vt:i4>
      </vt:variant>
      <vt:variant>
        <vt:i4>0</vt:i4>
      </vt:variant>
      <vt:variant>
        <vt:i4>5</vt:i4>
      </vt:variant>
      <vt:variant>
        <vt:lpwstr>https://www.colombiacompra.gov.co/sala-de-prensa/boletin-digital</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1507428</vt:i4>
      </vt:variant>
      <vt:variant>
        <vt:i4>3</vt:i4>
      </vt:variant>
      <vt:variant>
        <vt:i4>0</vt:i4>
      </vt:variant>
      <vt:variant>
        <vt:i4>5</vt:i4>
      </vt:variant>
      <vt:variant>
        <vt:lpwstr>https://www.colombiacompra.gov.co/sites/cce_public/files/cce_documents/cce-eicp-ma-04._manual_requisitos_habilitantes_v3_29-09-2023.pdf</vt:lpwstr>
      </vt:variant>
      <vt:variant>
        <vt:lpwstr/>
      </vt:variant>
      <vt:variant>
        <vt:i4>6750281</vt:i4>
      </vt:variant>
      <vt:variant>
        <vt:i4>0</vt:i4>
      </vt:variant>
      <vt:variant>
        <vt:i4>0</vt:i4>
      </vt:variant>
      <vt:variant>
        <vt:i4>5</vt:i4>
      </vt:variant>
      <vt:variant>
        <vt:lpwstr>mailto:dtrujilloflorian@gmail.com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luby yolanda stella ballesteros avila</cp:lastModifiedBy>
  <cp:revision>52</cp:revision>
  <cp:lastPrinted>2023-01-10T21:18:00Z</cp:lastPrinted>
  <dcterms:created xsi:type="dcterms:W3CDTF">2024-08-30T22:23:00Z</dcterms:created>
  <dcterms:modified xsi:type="dcterms:W3CDTF">2024-08-30T22:32:00Z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