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63DB0" w14:textId="77777777" w:rsidR="00237BDE" w:rsidRPr="004F3256" w:rsidRDefault="00237BDE" w:rsidP="00237BDE">
      <w:pPr>
        <w:spacing w:after="0" w:line="240" w:lineRule="auto"/>
        <w:jc w:val="both"/>
        <w:rPr>
          <w:rFonts w:ascii="Verdana" w:eastAsia="Calibri" w:hAnsi="Verdana" w:cs="Arial"/>
          <w:b/>
          <w:bCs/>
          <w:lang w:val="es-ES" w:eastAsia="es-ES"/>
        </w:rPr>
      </w:pPr>
      <w:bookmarkStart w:id="0" w:name="_Hlk143780582"/>
      <w:r w:rsidRPr="004F3256">
        <w:rPr>
          <w:rFonts w:ascii="Verdana" w:eastAsia="Calibri" w:hAnsi="Verdana" w:cs="Arial"/>
          <w:b/>
          <w:bCs/>
          <w:lang w:val="es-ES" w:eastAsia="es-ES"/>
        </w:rPr>
        <w:t>PRECIO – Estructuración del precio</w:t>
      </w:r>
      <w:r>
        <w:rPr>
          <w:rFonts w:ascii="Verdana" w:eastAsia="Calibri" w:hAnsi="Verdana" w:cs="Arial"/>
          <w:b/>
          <w:bCs/>
          <w:lang w:val="es-ES" w:eastAsia="es-ES"/>
        </w:rPr>
        <w:t xml:space="preserve"> – Elemento del contrato estatal</w:t>
      </w:r>
      <w:r w:rsidRPr="004F3256">
        <w:rPr>
          <w:rFonts w:ascii="Verdana" w:eastAsia="Calibri" w:hAnsi="Verdana" w:cs="Arial"/>
          <w:b/>
          <w:bCs/>
          <w:lang w:val="es-ES" w:eastAsia="es-ES"/>
        </w:rPr>
        <w:t xml:space="preserve"> </w:t>
      </w:r>
    </w:p>
    <w:p w14:paraId="632971E9" w14:textId="77777777" w:rsidR="00237BDE" w:rsidRPr="004F3256" w:rsidRDefault="00237BDE" w:rsidP="00237BDE">
      <w:pPr>
        <w:spacing w:after="0" w:line="240" w:lineRule="auto"/>
        <w:jc w:val="both"/>
        <w:rPr>
          <w:rFonts w:ascii="Verdana" w:eastAsia="Calibri" w:hAnsi="Verdana" w:cs="Arial"/>
          <w:b/>
          <w:bCs/>
          <w:lang w:val="es-ES" w:eastAsia="es-ES"/>
        </w:rPr>
      </w:pPr>
    </w:p>
    <w:p w14:paraId="4803E3D7" w14:textId="77777777" w:rsidR="00237BDE" w:rsidRPr="004F3256" w:rsidRDefault="00237BDE" w:rsidP="00237BDE">
      <w:pPr>
        <w:spacing w:after="0" w:line="240" w:lineRule="auto"/>
        <w:jc w:val="both"/>
        <w:rPr>
          <w:rFonts w:ascii="Verdana" w:eastAsia="Calibri" w:hAnsi="Verdana" w:cs="Arial"/>
          <w:bCs/>
          <w:color w:val="000000" w:themeColor="text1"/>
          <w:sz w:val="20"/>
          <w:szCs w:val="20"/>
          <w:lang w:val="es-ES" w:eastAsia="es-ES_tradnl"/>
        </w:rPr>
      </w:pPr>
      <w:r w:rsidRPr="004F3256">
        <w:rPr>
          <w:rFonts w:ascii="Verdana" w:eastAsia="Calibri" w:hAnsi="Verdana" w:cs="Arial"/>
          <w:bCs/>
          <w:color w:val="000000" w:themeColor="text1"/>
          <w:sz w:val="20"/>
          <w:szCs w:val="20"/>
          <w:lang w:val="es-ES" w:eastAsia="es-ES_tradnl"/>
        </w:rPr>
        <w:t>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58489408" w14:textId="77777777" w:rsidR="00237BDE" w:rsidRPr="004F3256" w:rsidRDefault="00237BDE" w:rsidP="00237BDE">
      <w:pPr>
        <w:spacing w:after="0" w:line="240" w:lineRule="auto"/>
        <w:jc w:val="both"/>
        <w:rPr>
          <w:rFonts w:ascii="Verdana" w:eastAsia="Calibri" w:hAnsi="Verdana" w:cs="Arial"/>
          <w:bCs/>
          <w:color w:val="000000" w:themeColor="text1"/>
          <w:sz w:val="20"/>
          <w:szCs w:val="20"/>
          <w:lang w:val="es-ES" w:eastAsia="es-ES_tradnl"/>
        </w:rPr>
      </w:pPr>
    </w:p>
    <w:p w14:paraId="7363EA71" w14:textId="77777777" w:rsidR="00237BDE" w:rsidRPr="004F3256" w:rsidRDefault="00237BDE" w:rsidP="00237BDE">
      <w:pPr>
        <w:spacing w:after="0" w:line="240" w:lineRule="auto"/>
        <w:jc w:val="both"/>
        <w:rPr>
          <w:rFonts w:ascii="Verdana" w:eastAsia="Calibri" w:hAnsi="Verdana" w:cs="Arial"/>
          <w:bCs/>
          <w:color w:val="000000" w:themeColor="text1"/>
          <w:sz w:val="20"/>
          <w:szCs w:val="20"/>
          <w:lang w:val="es-ES" w:eastAsia="es-ES_tradnl"/>
        </w:rPr>
      </w:pPr>
      <w:r w:rsidRPr="004F3256">
        <w:rPr>
          <w:rFonts w:ascii="Verdana" w:eastAsia="Calibri" w:hAnsi="Verdana" w:cs="Arial"/>
          <w:bCs/>
          <w:color w:val="000000" w:themeColor="text1"/>
          <w:sz w:val="20"/>
          <w:szCs w:val="20"/>
          <w:lang w:val="es-ES" w:eastAsia="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w:t>
      </w:r>
    </w:p>
    <w:p w14:paraId="5B25F4B3" w14:textId="77777777" w:rsidR="00237BDE" w:rsidRPr="004F3256" w:rsidRDefault="00237BDE" w:rsidP="00237BDE">
      <w:pPr>
        <w:spacing w:after="0" w:line="240" w:lineRule="auto"/>
        <w:jc w:val="both"/>
        <w:rPr>
          <w:rFonts w:ascii="Verdana" w:eastAsia="Calibri" w:hAnsi="Verdana" w:cs="Arial"/>
          <w:lang w:val="es-ES" w:eastAsia="es-ES"/>
        </w:rPr>
      </w:pPr>
    </w:p>
    <w:p w14:paraId="5A295669" w14:textId="77777777" w:rsidR="00237BDE" w:rsidRPr="004F3256" w:rsidRDefault="00237BDE" w:rsidP="00237BDE">
      <w:pPr>
        <w:spacing w:after="0" w:line="240" w:lineRule="auto"/>
        <w:jc w:val="both"/>
        <w:rPr>
          <w:rFonts w:ascii="Verdana" w:eastAsia="Calibri" w:hAnsi="Verdana" w:cs="Arial"/>
          <w:b/>
          <w:bCs/>
          <w:lang w:val="es-ES" w:eastAsia="es-ES"/>
        </w:rPr>
      </w:pPr>
      <w:r w:rsidRPr="004F3256">
        <w:rPr>
          <w:rFonts w:ascii="Verdana" w:eastAsia="Calibri" w:hAnsi="Verdana" w:cs="Arial"/>
          <w:b/>
          <w:bCs/>
          <w:lang w:val="es-ES" w:eastAsia="es-ES"/>
        </w:rPr>
        <w:t xml:space="preserve">COSTOS DIRECTOS E INDIRECTOS – Finalidad – Ejecución del contrato </w:t>
      </w:r>
    </w:p>
    <w:p w14:paraId="7EE4DCBF" w14:textId="77777777" w:rsidR="00237BDE" w:rsidRPr="004F3256" w:rsidRDefault="00237BDE" w:rsidP="00237BDE">
      <w:pPr>
        <w:spacing w:after="0" w:line="240" w:lineRule="auto"/>
        <w:jc w:val="both"/>
        <w:rPr>
          <w:rFonts w:ascii="Verdana" w:eastAsia="Calibri" w:hAnsi="Verdana" w:cs="Arial"/>
          <w:b/>
          <w:bCs/>
          <w:lang w:val="es-ES" w:eastAsia="es-ES"/>
        </w:rPr>
      </w:pPr>
    </w:p>
    <w:p w14:paraId="2CF58D17" w14:textId="77777777" w:rsidR="00237BDE" w:rsidRDefault="00237BDE" w:rsidP="00237BDE">
      <w:pPr>
        <w:spacing w:after="0" w:line="240" w:lineRule="auto"/>
        <w:jc w:val="both"/>
        <w:rPr>
          <w:rFonts w:ascii="Verdana" w:eastAsia="Geomanist Light" w:hAnsi="Verdana" w:cs="Arial"/>
          <w:color w:val="000000" w:themeColor="text1"/>
          <w:sz w:val="20"/>
          <w:szCs w:val="20"/>
          <w:lang w:val="es-ES"/>
        </w:rPr>
      </w:pPr>
      <w:r w:rsidRPr="000D5AAD">
        <w:rPr>
          <w:rFonts w:ascii="Verdana" w:eastAsia="Geomanist Light" w:hAnsi="Verdana" w:cs="Arial"/>
          <w:color w:val="000000" w:themeColor="text1"/>
          <w:sz w:val="20"/>
          <w:szCs w:val="20"/>
          <w:lang w:val="es-ES"/>
        </w:rPr>
        <w:t>Pues bien,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ítems según su unidad de medida, los costos indirectos se suelen abreviar en las variables que integran el acrónimo AIU –Administración, Imprevistos y Utilidad–.</w:t>
      </w:r>
    </w:p>
    <w:p w14:paraId="63326F04" w14:textId="77777777" w:rsidR="00237BDE" w:rsidRPr="000D5AAD" w:rsidRDefault="00237BDE" w:rsidP="00237BDE">
      <w:pPr>
        <w:spacing w:after="0" w:line="240" w:lineRule="auto"/>
        <w:rPr>
          <w:rFonts w:ascii="Verdana" w:eastAsia="Geomanist Light" w:hAnsi="Verdana" w:cs="Arial"/>
          <w:color w:val="000000" w:themeColor="text1"/>
          <w:sz w:val="20"/>
          <w:szCs w:val="20"/>
          <w:lang w:val="es-ES"/>
        </w:rPr>
      </w:pPr>
    </w:p>
    <w:p w14:paraId="20D9C71E" w14:textId="77777777" w:rsidR="00237BDE" w:rsidRPr="004F3256" w:rsidRDefault="00237BDE" w:rsidP="00237BDE">
      <w:pPr>
        <w:spacing w:after="0" w:line="240" w:lineRule="auto"/>
        <w:jc w:val="both"/>
        <w:rPr>
          <w:rFonts w:ascii="Verdana" w:eastAsia="Calibri" w:hAnsi="Verdana" w:cs="Arial"/>
          <w:b/>
          <w:bCs/>
          <w:lang w:val="es-ES" w:eastAsia="es-ES"/>
        </w:rPr>
      </w:pPr>
      <w:r w:rsidRPr="004F3256">
        <w:rPr>
          <w:rFonts w:ascii="Verdana" w:eastAsia="Calibri" w:hAnsi="Verdana" w:cs="Arial"/>
          <w:b/>
          <w:bCs/>
          <w:lang w:val="es-ES" w:eastAsia="es-ES"/>
        </w:rPr>
        <w:t>AIU – Componentes</w:t>
      </w:r>
      <w:r>
        <w:rPr>
          <w:rFonts w:ascii="Verdana" w:eastAsia="Calibri" w:hAnsi="Verdana" w:cs="Arial"/>
          <w:b/>
          <w:bCs/>
          <w:lang w:val="es-ES" w:eastAsia="es-ES"/>
        </w:rPr>
        <w:t xml:space="preserve"> </w:t>
      </w:r>
      <w:r w:rsidRPr="004F3256">
        <w:rPr>
          <w:rFonts w:ascii="Verdana" w:eastAsia="Calibri" w:hAnsi="Verdana" w:cs="Arial"/>
          <w:b/>
          <w:bCs/>
          <w:lang w:val="es-ES" w:eastAsia="es-ES"/>
        </w:rPr>
        <w:t xml:space="preserve">– Límites </w:t>
      </w:r>
    </w:p>
    <w:p w14:paraId="5DB89B7E" w14:textId="77777777" w:rsidR="00237BDE" w:rsidRPr="004F3256" w:rsidRDefault="00237BDE" w:rsidP="00237BDE">
      <w:pPr>
        <w:spacing w:after="0" w:line="240" w:lineRule="auto"/>
        <w:jc w:val="both"/>
        <w:rPr>
          <w:rFonts w:ascii="Verdana" w:hAnsi="Verdana" w:cs="Arial"/>
          <w:bCs/>
          <w:sz w:val="20"/>
          <w:szCs w:val="20"/>
          <w:lang w:eastAsia="es-CO"/>
        </w:rPr>
      </w:pPr>
    </w:p>
    <w:p w14:paraId="0E322990" w14:textId="77777777" w:rsidR="00237BDE" w:rsidRPr="004F3256" w:rsidRDefault="00237BDE" w:rsidP="00237BDE">
      <w:pPr>
        <w:spacing w:after="0" w:line="240" w:lineRule="auto"/>
        <w:jc w:val="both"/>
        <w:rPr>
          <w:rFonts w:ascii="Verdana" w:hAnsi="Verdana" w:cs="Arial"/>
          <w:sz w:val="20"/>
          <w:szCs w:val="20"/>
          <w:lang w:val="es-ES" w:eastAsia="es-ES"/>
        </w:rPr>
      </w:pPr>
      <w:r w:rsidRPr="004F3256">
        <w:rPr>
          <w:rFonts w:ascii="Verdana" w:hAnsi="Verdana" w:cs="Arial"/>
          <w:sz w:val="20"/>
          <w:szCs w:val="20"/>
          <w:lang w:val="es-ES" w:eastAsia="es-ES"/>
        </w:rPr>
        <w:t>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Ahora bien, nada obstaría para que las partes le dieran otros efectos particulares a la forma en que pagan el precio estructurado con AIU. Por ejemplo, podrían incluir cláusulas o reglas bajo las cuales se estableciera que el valor de alguno o de todos los componentes de la Administración o los Imprevistos sólo se pagan si el contratista demuestra que incurrió en algunas situaciones específicas y bajo el monto que este logre demostrar.</w:t>
      </w:r>
    </w:p>
    <w:p w14:paraId="3571254C" w14:textId="77777777" w:rsidR="00237BDE" w:rsidRPr="004F3256" w:rsidRDefault="00237BDE" w:rsidP="00237BDE">
      <w:pPr>
        <w:spacing w:after="0" w:line="240" w:lineRule="auto"/>
        <w:jc w:val="both"/>
        <w:rPr>
          <w:rFonts w:ascii="Verdana" w:hAnsi="Verdana" w:cs="Arial"/>
          <w:sz w:val="20"/>
          <w:szCs w:val="20"/>
          <w:lang w:val="es-ES" w:eastAsia="es-ES"/>
        </w:rPr>
      </w:pPr>
    </w:p>
    <w:p w14:paraId="50B09FFD" w14:textId="77777777" w:rsidR="00237BDE" w:rsidRPr="004F3256" w:rsidRDefault="00237BDE" w:rsidP="00237BDE">
      <w:pPr>
        <w:spacing w:after="0" w:line="240" w:lineRule="auto"/>
        <w:jc w:val="both"/>
        <w:rPr>
          <w:rFonts w:ascii="Verdana" w:hAnsi="Verdana" w:cs="Arial"/>
          <w:sz w:val="20"/>
          <w:szCs w:val="20"/>
          <w:lang w:val="es-ES" w:eastAsia="es-ES"/>
        </w:rPr>
      </w:pPr>
      <w:r w:rsidRPr="004F3256">
        <w:rPr>
          <w:rFonts w:ascii="Verdana" w:hAnsi="Verdana" w:cs="Arial"/>
          <w:sz w:val="20"/>
          <w:szCs w:val="20"/>
          <w:lang w:val="es-ES" w:eastAsia="es-ES"/>
        </w:rPr>
        <w:lastRenderedPageBreak/>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22F67C69" w14:textId="77777777" w:rsidR="00237BDE" w:rsidRPr="004F3256" w:rsidRDefault="00237BDE" w:rsidP="00237BDE">
      <w:pPr>
        <w:spacing w:after="0" w:line="240" w:lineRule="auto"/>
        <w:jc w:val="both"/>
        <w:rPr>
          <w:rFonts w:ascii="Verdana" w:hAnsi="Verdana" w:cs="Arial"/>
          <w:sz w:val="20"/>
          <w:szCs w:val="20"/>
          <w:lang w:val="es-ES" w:eastAsia="es-ES"/>
        </w:rPr>
      </w:pPr>
    </w:p>
    <w:p w14:paraId="650F9744" w14:textId="77777777" w:rsidR="00237BDE" w:rsidRPr="004F3256" w:rsidRDefault="00237BDE" w:rsidP="00237BDE">
      <w:pPr>
        <w:spacing w:after="0" w:line="240" w:lineRule="auto"/>
        <w:jc w:val="both"/>
        <w:rPr>
          <w:rFonts w:ascii="Verdana" w:hAnsi="Verdana" w:cs="Arial"/>
          <w:sz w:val="20"/>
          <w:szCs w:val="20"/>
          <w:lang w:val="es-ES" w:eastAsia="es-ES"/>
        </w:rPr>
      </w:pPr>
      <w:r w:rsidRPr="004F3256">
        <w:rPr>
          <w:rFonts w:ascii="Verdana" w:hAnsi="Verdana" w:cs="Arial"/>
          <w:sz w:val="20"/>
          <w:szCs w:val="20"/>
          <w:lang w:val="es-ES" w:eastAsia="es-ES"/>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indirectos en que incurren los contratistas, entre ellos, los de la Administración y los Imprevistos, para efectos de definir el porcentaje con el que calculan el presupuesto, pese a que el monto de estos componentes varía ostensiblemente de un proponente a otro, pues su valor real depende de circunstancias particulares de los oferentes. </w:t>
      </w:r>
    </w:p>
    <w:p w14:paraId="222B04B7" w14:textId="77777777" w:rsidR="00237BDE" w:rsidRPr="004F3256" w:rsidRDefault="00237BDE" w:rsidP="00237BDE">
      <w:pPr>
        <w:spacing w:after="0" w:line="240" w:lineRule="auto"/>
        <w:jc w:val="both"/>
        <w:rPr>
          <w:rFonts w:ascii="Verdana" w:hAnsi="Verdana" w:cs="Arial"/>
          <w:sz w:val="20"/>
          <w:szCs w:val="20"/>
          <w:lang w:val="es-ES" w:eastAsia="es-ES"/>
        </w:rPr>
      </w:pPr>
    </w:p>
    <w:p w14:paraId="6760A15E" w14:textId="77777777" w:rsidR="00237BDE" w:rsidRPr="004F3256" w:rsidRDefault="00237BDE" w:rsidP="00237BDE">
      <w:pPr>
        <w:spacing w:after="0" w:line="240" w:lineRule="auto"/>
        <w:jc w:val="both"/>
        <w:rPr>
          <w:rFonts w:ascii="Verdana" w:eastAsia="Geomanist Light" w:hAnsi="Verdana" w:cs="Arial"/>
          <w:b/>
          <w:bCs/>
          <w:color w:val="000000" w:themeColor="text1"/>
          <w:sz w:val="20"/>
          <w:szCs w:val="20"/>
          <w:lang w:val="es-MX"/>
        </w:rPr>
      </w:pPr>
      <w:r w:rsidRPr="004F3256">
        <w:rPr>
          <w:rFonts w:ascii="Verdana" w:eastAsia="Times New Roman" w:hAnsi="Verdana"/>
          <w:b/>
          <w:bCs/>
          <w:lang w:val="es-ES_tradnl" w:eastAsia="es-ES_tradnl"/>
        </w:rPr>
        <w:t>CONVENIOS Y CONTRATOS INTERADMINISTRATIVOS –</w:t>
      </w:r>
      <w:r w:rsidRPr="004F3256">
        <w:rPr>
          <w:rFonts w:ascii="Verdana" w:eastAsia="Times New Roman" w:hAnsi="Verdana"/>
          <w:b/>
          <w:bCs/>
          <w:lang w:eastAsia="es-ES_tradnl"/>
        </w:rPr>
        <w:t xml:space="preserve"> Noción y Características – Diferencias</w:t>
      </w:r>
      <w:r w:rsidRPr="004F3256">
        <w:rPr>
          <w:rFonts w:ascii="Verdana" w:eastAsia="Calibri" w:hAnsi="Verdana" w:cs="Arial"/>
          <w:b/>
          <w:bCs/>
          <w:lang w:eastAsia="es-ES"/>
        </w:rPr>
        <w:t xml:space="preserve"> – Costos administrativos</w:t>
      </w:r>
    </w:p>
    <w:p w14:paraId="011B7888" w14:textId="77777777" w:rsidR="00237BDE" w:rsidRPr="004F3256" w:rsidRDefault="00237BDE" w:rsidP="00237BDE">
      <w:pPr>
        <w:spacing w:after="0" w:line="240" w:lineRule="auto"/>
        <w:rPr>
          <w:rFonts w:ascii="Verdana" w:eastAsia="Geomanist Light" w:hAnsi="Verdana" w:cs="Arial"/>
          <w:color w:val="000000" w:themeColor="text1"/>
          <w:lang w:val="es-MX"/>
        </w:rPr>
      </w:pPr>
    </w:p>
    <w:p w14:paraId="15EBA3AB" w14:textId="77777777" w:rsidR="00237BDE" w:rsidRPr="000D5AAD" w:rsidRDefault="00237BDE" w:rsidP="00237BDE">
      <w:pPr>
        <w:snapToGrid w:val="0"/>
        <w:spacing w:after="0" w:line="240" w:lineRule="auto"/>
        <w:jc w:val="both"/>
        <w:rPr>
          <w:rFonts w:ascii="Verdana" w:eastAsia="Times New Roman" w:hAnsi="Verdana" w:cs="Arial"/>
          <w:bCs/>
          <w:iCs/>
          <w:color w:val="000000" w:themeColor="text1"/>
          <w:sz w:val="20"/>
          <w:szCs w:val="20"/>
          <w:lang w:eastAsia="es-ES_tradnl"/>
        </w:rPr>
      </w:pPr>
      <w:r w:rsidRPr="000D5AAD">
        <w:rPr>
          <w:rFonts w:ascii="Verdana" w:eastAsia="Calibri" w:hAnsi="Verdana" w:cs="Arial"/>
          <w:bCs/>
          <w:color w:val="000000" w:themeColor="text1"/>
          <w:sz w:val="20"/>
          <w:szCs w:val="20"/>
          <w:lang w:eastAsia="es-ES_tradnl" w:bidi="es-ES"/>
        </w:rPr>
        <w:t xml:space="preserve">En este contexto, </w:t>
      </w:r>
      <w:r w:rsidRPr="000D5AAD">
        <w:rPr>
          <w:rFonts w:ascii="Verdana" w:eastAsia="Times New Roman" w:hAnsi="Verdana" w:cs="Arial"/>
          <w:bCs/>
          <w:iCs/>
          <w:color w:val="000000" w:themeColor="text1"/>
          <w:sz w:val="20"/>
          <w:szCs w:val="20"/>
          <w:lang w:eastAsia="es-ES_tradnl"/>
        </w:rPr>
        <w:t>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w:t>
      </w:r>
    </w:p>
    <w:p w14:paraId="0BF29BAF" w14:textId="77777777" w:rsidR="00237BDE" w:rsidRPr="000D5AAD" w:rsidRDefault="00237BDE" w:rsidP="00237BDE">
      <w:pPr>
        <w:spacing w:afterLines="120" w:after="288" w:line="276" w:lineRule="auto"/>
        <w:ind w:firstLine="708"/>
        <w:contextualSpacing/>
        <w:jc w:val="both"/>
        <w:rPr>
          <w:rFonts w:ascii="Verdana" w:eastAsia="Calibri" w:hAnsi="Verdana" w:cs="Arial"/>
          <w:bCs/>
          <w:color w:val="000000" w:themeColor="text1"/>
          <w:lang w:eastAsia="es-ES"/>
        </w:rPr>
      </w:pPr>
    </w:p>
    <w:p w14:paraId="754B4F44" w14:textId="77777777" w:rsidR="00237BDE" w:rsidRPr="000D5AAD" w:rsidRDefault="00237BDE" w:rsidP="00237BDE">
      <w:pPr>
        <w:spacing w:afterLines="120" w:after="288" w:line="276" w:lineRule="auto"/>
        <w:ind w:firstLine="708"/>
        <w:contextualSpacing/>
        <w:jc w:val="both"/>
        <w:rPr>
          <w:rFonts w:ascii="Verdana" w:eastAsia="Calibri" w:hAnsi="Verdana" w:cs="Arial"/>
          <w:bCs/>
          <w:color w:val="000000" w:themeColor="text1"/>
          <w:lang w:eastAsia="es-ES"/>
        </w:rPr>
      </w:pPr>
    </w:p>
    <w:p w14:paraId="652CDF38" w14:textId="77777777" w:rsidR="00237BDE" w:rsidRDefault="00237BDE" w:rsidP="00237BDE">
      <w:pPr>
        <w:spacing w:afterLines="120" w:after="288" w:line="276" w:lineRule="auto"/>
        <w:ind w:firstLine="708"/>
        <w:contextualSpacing/>
        <w:jc w:val="both"/>
        <w:rPr>
          <w:rFonts w:ascii="Verdana" w:eastAsia="Calibri" w:hAnsi="Verdana" w:cs="Arial"/>
          <w:b/>
          <w:bCs/>
          <w:lang w:eastAsia="es-ES"/>
        </w:rPr>
      </w:pPr>
    </w:p>
    <w:p w14:paraId="057C6501" w14:textId="77777777" w:rsidR="00237BDE" w:rsidRDefault="00237BDE" w:rsidP="00237BDE">
      <w:pPr>
        <w:spacing w:afterLines="120" w:after="288" w:line="276" w:lineRule="auto"/>
        <w:ind w:firstLine="708"/>
        <w:contextualSpacing/>
        <w:jc w:val="both"/>
        <w:rPr>
          <w:rFonts w:ascii="Verdana" w:eastAsia="Calibri" w:hAnsi="Verdana" w:cs="Arial"/>
          <w:b/>
          <w:bCs/>
          <w:lang w:eastAsia="es-ES"/>
        </w:rPr>
      </w:pPr>
    </w:p>
    <w:p w14:paraId="103B7BEE" w14:textId="77777777" w:rsidR="00237BDE" w:rsidRDefault="00237BDE" w:rsidP="00237BDE">
      <w:pPr>
        <w:spacing w:afterLines="120" w:after="288" w:line="276" w:lineRule="auto"/>
        <w:ind w:firstLine="708"/>
        <w:contextualSpacing/>
        <w:jc w:val="both"/>
        <w:rPr>
          <w:rFonts w:ascii="Verdana" w:eastAsia="Calibri" w:hAnsi="Verdana" w:cs="Arial"/>
          <w:b/>
          <w:bCs/>
          <w:lang w:eastAsia="es-ES"/>
        </w:rPr>
      </w:pPr>
    </w:p>
    <w:p w14:paraId="550E2583" w14:textId="77777777" w:rsidR="00237BDE" w:rsidRDefault="00237BDE" w:rsidP="00237BDE">
      <w:pPr>
        <w:spacing w:afterLines="120" w:after="288" w:line="276" w:lineRule="auto"/>
        <w:ind w:firstLine="708"/>
        <w:contextualSpacing/>
        <w:jc w:val="both"/>
        <w:rPr>
          <w:rFonts w:ascii="Verdana" w:eastAsia="Calibri" w:hAnsi="Verdana" w:cs="Arial"/>
          <w:b/>
          <w:bCs/>
          <w:lang w:eastAsia="es-ES"/>
        </w:rPr>
      </w:pPr>
    </w:p>
    <w:p w14:paraId="1AC1FA71" w14:textId="77777777" w:rsidR="00237BDE" w:rsidRDefault="00237BDE" w:rsidP="00237BDE">
      <w:pPr>
        <w:spacing w:afterLines="120" w:after="288" w:line="276" w:lineRule="auto"/>
        <w:ind w:firstLine="708"/>
        <w:contextualSpacing/>
        <w:jc w:val="both"/>
        <w:rPr>
          <w:rFonts w:ascii="Verdana" w:eastAsia="Calibri" w:hAnsi="Verdana" w:cs="Arial"/>
          <w:b/>
          <w:bCs/>
          <w:lang w:eastAsia="es-ES"/>
        </w:rPr>
      </w:pPr>
    </w:p>
    <w:p w14:paraId="1EB19174" w14:textId="77777777" w:rsidR="00237BDE" w:rsidRDefault="00237BDE" w:rsidP="00237BDE">
      <w:pPr>
        <w:spacing w:afterLines="120" w:after="288" w:line="276" w:lineRule="auto"/>
        <w:ind w:firstLine="708"/>
        <w:contextualSpacing/>
        <w:jc w:val="both"/>
        <w:rPr>
          <w:rFonts w:ascii="Verdana" w:eastAsia="Calibri" w:hAnsi="Verdana" w:cs="Arial"/>
          <w:b/>
          <w:bCs/>
          <w:lang w:eastAsia="es-ES"/>
        </w:rPr>
      </w:pPr>
    </w:p>
    <w:p w14:paraId="1D25BECC" w14:textId="77777777" w:rsidR="00237BDE" w:rsidRDefault="00237BDE" w:rsidP="00237BDE">
      <w:pPr>
        <w:spacing w:afterLines="120" w:after="288" w:line="276" w:lineRule="auto"/>
        <w:ind w:firstLine="708"/>
        <w:contextualSpacing/>
        <w:jc w:val="both"/>
        <w:rPr>
          <w:rFonts w:ascii="Verdana" w:eastAsia="Calibri" w:hAnsi="Verdana" w:cs="Arial"/>
          <w:b/>
          <w:bCs/>
          <w:lang w:eastAsia="es-ES"/>
        </w:rPr>
      </w:pPr>
    </w:p>
    <w:p w14:paraId="4C155FAA" w14:textId="77777777" w:rsidR="00237BDE" w:rsidRDefault="00237BDE" w:rsidP="00237BDE">
      <w:pPr>
        <w:spacing w:afterLines="120" w:after="288" w:line="276" w:lineRule="auto"/>
        <w:ind w:firstLine="708"/>
        <w:contextualSpacing/>
        <w:jc w:val="both"/>
        <w:rPr>
          <w:rFonts w:ascii="Verdana" w:eastAsia="Calibri" w:hAnsi="Verdana" w:cs="Arial"/>
          <w:b/>
          <w:bCs/>
          <w:lang w:eastAsia="es-ES"/>
        </w:rPr>
      </w:pPr>
    </w:p>
    <w:p w14:paraId="6B03E881" w14:textId="77777777" w:rsidR="00237BDE" w:rsidRDefault="00237BDE" w:rsidP="00237BDE">
      <w:pPr>
        <w:spacing w:afterLines="120" w:after="288" w:line="276" w:lineRule="auto"/>
        <w:ind w:firstLine="708"/>
        <w:contextualSpacing/>
        <w:jc w:val="both"/>
        <w:rPr>
          <w:rFonts w:ascii="Verdana" w:eastAsia="Calibri" w:hAnsi="Verdana" w:cs="Arial"/>
          <w:b/>
          <w:bCs/>
          <w:lang w:eastAsia="es-ES"/>
        </w:rPr>
      </w:pPr>
    </w:p>
    <w:p w14:paraId="0FFB7E59" w14:textId="77777777" w:rsidR="00237BDE" w:rsidRDefault="00237BDE" w:rsidP="00237BDE">
      <w:pPr>
        <w:spacing w:after="0"/>
        <w:rPr>
          <w:sz w:val="20"/>
          <w:szCs w:val="20"/>
        </w:rPr>
      </w:pPr>
    </w:p>
    <w:p w14:paraId="3E2ADBF2" w14:textId="77777777" w:rsidR="00237BDE" w:rsidRDefault="00237BDE" w:rsidP="00237BDE">
      <w:pPr>
        <w:spacing w:after="0"/>
        <w:rPr>
          <w:rFonts w:ascii="Verdana" w:hAnsi="Verdana"/>
        </w:rPr>
      </w:pPr>
    </w:p>
    <w:p w14:paraId="0D44B4EC" w14:textId="2BAD290A" w:rsidR="00237BDE" w:rsidRPr="00B33C08" w:rsidRDefault="004248D2" w:rsidP="00237BDE">
      <w:pPr>
        <w:spacing w:after="0"/>
        <w:rPr>
          <w:rFonts w:ascii="Verdana" w:hAnsi="Verdana"/>
        </w:rPr>
      </w:pPr>
      <w:r w:rsidRPr="00EA6F5B">
        <w:rPr>
          <w:rFonts w:ascii="Verdana" w:eastAsia="Calibri" w:hAnsi="Verdana" w:cs="Arial"/>
          <w:b/>
          <w:lang w:val="it-CH" w:eastAsia="es-ES"/>
        </w:rPr>
        <w:drawing>
          <wp:anchor distT="0" distB="0" distL="114300" distR="114300" simplePos="0" relativeHeight="251658240" behindDoc="0" locked="0" layoutInCell="1" allowOverlap="1" wp14:anchorId="4C2735E3" wp14:editId="33AC6D21">
            <wp:simplePos x="0" y="0"/>
            <wp:positionH relativeFrom="column">
              <wp:posOffset>3288665</wp:posOffset>
            </wp:positionH>
            <wp:positionV relativeFrom="paragraph">
              <wp:posOffset>50800</wp:posOffset>
            </wp:positionV>
            <wp:extent cx="2661285" cy="771525"/>
            <wp:effectExtent l="0" t="0" r="5715" b="9525"/>
            <wp:wrapSquare wrapText="bothSides"/>
            <wp:docPr id="14897662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710586" name=""/>
                    <pic:cNvPicPr/>
                  </pic:nvPicPr>
                  <pic:blipFill>
                    <a:blip r:embed="rId10">
                      <a:extLst>
                        <a:ext uri="{28A0092B-C50C-407E-A947-70E740481C1C}">
                          <a14:useLocalDpi xmlns:a14="http://schemas.microsoft.com/office/drawing/2010/main" val="0"/>
                        </a:ext>
                      </a:extLst>
                    </a:blip>
                    <a:stretch>
                      <a:fillRect/>
                    </a:stretch>
                  </pic:blipFill>
                  <pic:spPr>
                    <a:xfrm>
                      <a:off x="0" y="0"/>
                      <a:ext cx="2661285" cy="771525"/>
                    </a:xfrm>
                    <a:prstGeom prst="rect">
                      <a:avLst/>
                    </a:prstGeom>
                  </pic:spPr>
                </pic:pic>
              </a:graphicData>
            </a:graphic>
            <wp14:sizeRelH relativeFrom="margin">
              <wp14:pctWidth>0</wp14:pctWidth>
            </wp14:sizeRelH>
            <wp14:sizeRelV relativeFrom="margin">
              <wp14:pctHeight>0</wp14:pctHeight>
            </wp14:sizeRelV>
          </wp:anchor>
        </w:drawing>
      </w:r>
      <w:r w:rsidR="00237BDE" w:rsidRPr="00E26913">
        <w:rPr>
          <w:rFonts w:ascii="Verdana" w:hAnsi="Verdana"/>
        </w:rPr>
        <w:t xml:space="preserve">Bogotá D.C, </w:t>
      </w:r>
      <w:r w:rsidRPr="004248D2">
        <w:rPr>
          <w:rFonts w:ascii="Verdana" w:hAnsi="Verdana"/>
        </w:rPr>
        <w:t xml:space="preserve">15 </w:t>
      </w:r>
      <w:proofErr w:type="gramStart"/>
      <w:r w:rsidRPr="004248D2">
        <w:rPr>
          <w:rFonts w:ascii="Verdana" w:hAnsi="Verdana"/>
        </w:rPr>
        <w:t>Abril</w:t>
      </w:r>
      <w:proofErr w:type="gramEnd"/>
      <w:r w:rsidRPr="004248D2">
        <w:rPr>
          <w:rFonts w:ascii="Verdana" w:hAnsi="Verdana"/>
        </w:rPr>
        <w:t xml:space="preserve"> 2026</w:t>
      </w:r>
    </w:p>
    <w:p w14:paraId="1FDD8BB1" w14:textId="729DD2CE" w:rsidR="00237BDE" w:rsidRDefault="00237BDE" w:rsidP="00237BDE">
      <w:pPr>
        <w:spacing w:after="0" w:line="276" w:lineRule="auto"/>
        <w:rPr>
          <w:rFonts w:ascii="Verdana" w:eastAsia="Calibri" w:hAnsi="Verdana" w:cs="Arial"/>
          <w:b/>
          <w:bCs/>
          <w:lang w:val="es-ES" w:eastAsia="es-ES"/>
        </w:rPr>
      </w:pPr>
    </w:p>
    <w:p w14:paraId="1144C37F" w14:textId="27C42C9D" w:rsidR="00237BDE" w:rsidRPr="00ED2339" w:rsidRDefault="00237BDE" w:rsidP="00237BDE">
      <w:pPr>
        <w:spacing w:after="0" w:line="240" w:lineRule="auto"/>
        <w:jc w:val="both"/>
        <w:rPr>
          <w:rFonts w:ascii="Verdana" w:eastAsia="Calibri" w:hAnsi="Verdana" w:cs="Arial"/>
          <w:lang w:val="it-CH" w:eastAsia="es-ES"/>
        </w:rPr>
      </w:pPr>
      <w:r w:rsidRPr="00ED2339">
        <w:rPr>
          <w:rFonts w:ascii="Verdana" w:eastAsia="Calibri" w:hAnsi="Verdana" w:cs="Arial"/>
          <w:lang w:val="it-CH" w:eastAsia="es-ES"/>
        </w:rPr>
        <w:t>Señora</w:t>
      </w:r>
    </w:p>
    <w:p w14:paraId="160C8979" w14:textId="19D1FF9A" w:rsidR="00237BDE" w:rsidRPr="00ED2339" w:rsidRDefault="00237BDE" w:rsidP="00237BDE">
      <w:pPr>
        <w:spacing w:after="0" w:line="240" w:lineRule="auto"/>
        <w:jc w:val="both"/>
        <w:rPr>
          <w:rFonts w:ascii="Verdana" w:hAnsi="Verdana"/>
          <w:color w:val="0563C1" w:themeColor="hyperlink"/>
          <w:u w:val="single"/>
          <w:lang w:val="it-CH"/>
        </w:rPr>
      </w:pPr>
      <w:r w:rsidRPr="00ED2339">
        <w:rPr>
          <w:rFonts w:ascii="Verdana" w:eastAsia="Calibri" w:hAnsi="Verdana" w:cs="Arial"/>
          <w:b/>
          <w:lang w:val="it-CH" w:eastAsia="es-ES"/>
        </w:rPr>
        <w:t xml:space="preserve">Claudia Johanna Galvis Galindo </w:t>
      </w:r>
    </w:p>
    <w:p w14:paraId="7A02B27B" w14:textId="77777777" w:rsidR="00237BDE" w:rsidRPr="00ED2339" w:rsidRDefault="00237BDE" w:rsidP="00237BDE">
      <w:pPr>
        <w:spacing w:after="0" w:line="240" w:lineRule="auto"/>
        <w:jc w:val="both"/>
        <w:rPr>
          <w:rFonts w:ascii="Verdana" w:eastAsia="Calibri" w:hAnsi="Verdana" w:cs="Arial"/>
          <w:lang w:val="it-CH" w:eastAsia="es-ES"/>
        </w:rPr>
      </w:pPr>
      <w:hyperlink r:id="rId11" w:history="1">
        <w:r w:rsidRPr="00ED2339">
          <w:rPr>
            <w:rFonts w:ascii="Verdana" w:eastAsia="Calibri" w:hAnsi="Verdana" w:cs="Arial"/>
            <w:color w:val="0563C1" w:themeColor="hyperlink"/>
            <w:u w:val="single"/>
            <w:lang w:val="it-CH" w:eastAsia="es-ES"/>
          </w:rPr>
          <w:t>jgalvisg@yahoo.com</w:t>
        </w:r>
      </w:hyperlink>
      <w:r w:rsidRPr="00ED2339">
        <w:rPr>
          <w:rFonts w:ascii="Verdana" w:eastAsia="Calibri" w:hAnsi="Verdana" w:cs="Arial"/>
          <w:lang w:val="it-CH" w:eastAsia="es-ES"/>
        </w:rPr>
        <w:t xml:space="preserve">   </w:t>
      </w:r>
    </w:p>
    <w:p w14:paraId="54861C7B" w14:textId="77777777" w:rsidR="00237BDE" w:rsidRPr="004F3256" w:rsidRDefault="00237BDE" w:rsidP="00237BDE">
      <w:pPr>
        <w:spacing w:after="0" w:line="240" w:lineRule="auto"/>
        <w:rPr>
          <w:rFonts w:ascii="Verdana" w:hAnsi="Verdana"/>
        </w:rPr>
      </w:pPr>
      <w:r>
        <w:rPr>
          <w:rFonts w:ascii="Verdana" w:hAnsi="Verdana"/>
        </w:rPr>
        <w:t>Cajicá, Cundinamarca.</w:t>
      </w:r>
    </w:p>
    <w:p w14:paraId="37FF8801" w14:textId="77777777" w:rsidR="00237BDE" w:rsidRPr="007E53B7" w:rsidRDefault="00237BDE" w:rsidP="00237BDE">
      <w:pPr>
        <w:spacing w:after="0" w:line="276" w:lineRule="auto"/>
        <w:rPr>
          <w:rFonts w:ascii="Verdana" w:eastAsia="Calibri" w:hAnsi="Verdana" w:cs="Arial"/>
          <w:b/>
          <w:bCs/>
          <w:color w:val="66CCFF"/>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237BDE" w:rsidRPr="007E53B7" w14:paraId="2D26A6F0" w14:textId="77777777" w:rsidTr="005148DF">
        <w:trPr>
          <w:trHeight w:val="750"/>
        </w:trPr>
        <w:tc>
          <w:tcPr>
            <w:tcW w:w="3261" w:type="dxa"/>
          </w:tcPr>
          <w:p w14:paraId="611168BA" w14:textId="77777777" w:rsidR="00237BDE" w:rsidRPr="007E53B7" w:rsidRDefault="00237BDE" w:rsidP="005148DF">
            <w:pPr>
              <w:spacing w:line="276" w:lineRule="auto"/>
              <w:jc w:val="both"/>
              <w:rPr>
                <w:rFonts w:ascii="Verdana" w:eastAsia="Calibri" w:hAnsi="Verdana" w:cs="Arial"/>
                <w:b/>
                <w:bCs/>
                <w:color w:val="66CCFF"/>
                <w:lang w:val="es-ES_tradnl" w:eastAsia="es-ES_tradnl"/>
              </w:rPr>
            </w:pPr>
          </w:p>
        </w:tc>
        <w:tc>
          <w:tcPr>
            <w:tcW w:w="5972" w:type="dxa"/>
            <w:hideMark/>
          </w:tcPr>
          <w:p w14:paraId="73EB83A8" w14:textId="77777777" w:rsidR="00237BDE" w:rsidRPr="00DF2EA7" w:rsidRDefault="00237BDE" w:rsidP="005148DF">
            <w:pPr>
              <w:spacing w:line="276" w:lineRule="auto"/>
              <w:jc w:val="both"/>
              <w:rPr>
                <w:rFonts w:ascii="Verdana" w:eastAsia="Calibri" w:hAnsi="Verdana" w:cs="Arial"/>
                <w:b/>
                <w:bCs/>
                <w:lang w:val="es-ES" w:eastAsia="es-ES"/>
              </w:rPr>
            </w:pPr>
            <w:r w:rsidRPr="00DF2EA7">
              <w:rPr>
                <w:rFonts w:ascii="Verdana" w:eastAsia="Calibri" w:hAnsi="Verdana" w:cs="Arial"/>
                <w:b/>
                <w:bCs/>
                <w:lang w:val="es-ES" w:eastAsia="es-ES"/>
              </w:rPr>
              <w:t xml:space="preserve">Concepto C – </w:t>
            </w:r>
            <w:r>
              <w:rPr>
                <w:rFonts w:ascii="Verdana" w:eastAsia="Calibri" w:hAnsi="Verdana" w:cs="Arial"/>
                <w:b/>
                <w:bCs/>
                <w:lang w:val="es-ES" w:eastAsia="es-ES"/>
              </w:rPr>
              <w:t>355</w:t>
            </w:r>
            <w:r w:rsidRPr="00DF2EA7">
              <w:rPr>
                <w:rFonts w:ascii="Verdana" w:eastAsia="Calibri" w:hAnsi="Verdana" w:cs="Arial"/>
                <w:b/>
                <w:bCs/>
                <w:lang w:val="es-ES" w:eastAsia="es-ES"/>
              </w:rPr>
              <w:t xml:space="preserve"> de 2026</w:t>
            </w:r>
          </w:p>
        </w:tc>
      </w:tr>
      <w:tr w:rsidR="00237BDE" w:rsidRPr="007E53B7" w14:paraId="3BC5B668" w14:textId="77777777" w:rsidTr="005148DF">
        <w:trPr>
          <w:trHeight w:val="999"/>
        </w:trPr>
        <w:tc>
          <w:tcPr>
            <w:tcW w:w="3261" w:type="dxa"/>
            <w:hideMark/>
          </w:tcPr>
          <w:p w14:paraId="3EDF1609" w14:textId="77777777" w:rsidR="00237BDE" w:rsidRPr="007E53B7" w:rsidRDefault="00237BDE" w:rsidP="005148DF">
            <w:pPr>
              <w:spacing w:line="276" w:lineRule="auto"/>
              <w:jc w:val="both"/>
              <w:rPr>
                <w:rFonts w:ascii="Verdana" w:eastAsia="Calibri" w:hAnsi="Verdana" w:cs="Arial"/>
                <w:color w:val="66CCFF"/>
                <w:lang w:val="es-ES_tradnl" w:eastAsia="es-ES_tradnl"/>
              </w:rPr>
            </w:pPr>
            <w:r w:rsidRPr="00DF2EA7">
              <w:rPr>
                <w:rFonts w:ascii="Verdana" w:eastAsia="Calibri" w:hAnsi="Verdana" w:cs="Arial"/>
                <w:b/>
                <w:lang w:val="es-ES_tradnl" w:eastAsia="es-ES_tradnl"/>
              </w:rPr>
              <w:t>Temas:</w:t>
            </w:r>
            <w:r w:rsidRPr="00DF2EA7">
              <w:rPr>
                <w:rFonts w:ascii="Verdana" w:eastAsia="Calibri" w:hAnsi="Verdana" w:cs="Arial"/>
                <w:lang w:val="es-ES_tradnl" w:eastAsia="es-ES_tradnl"/>
              </w:rPr>
              <w:t xml:space="preserve">                   </w:t>
            </w:r>
          </w:p>
        </w:tc>
        <w:tc>
          <w:tcPr>
            <w:tcW w:w="5972" w:type="dxa"/>
          </w:tcPr>
          <w:p w14:paraId="0F5D30BD" w14:textId="77777777" w:rsidR="00237BDE" w:rsidRPr="000D5AAD" w:rsidRDefault="00237BDE" w:rsidP="005148DF">
            <w:pPr>
              <w:jc w:val="both"/>
              <w:rPr>
                <w:rFonts w:ascii="Verdana" w:hAnsi="Verdana" w:cs="Arial"/>
                <w:sz w:val="20"/>
                <w:szCs w:val="20"/>
                <w:lang w:val="es-ES" w:eastAsia="es-ES"/>
              </w:rPr>
            </w:pPr>
            <w:r w:rsidRPr="000D5AAD">
              <w:rPr>
                <w:rFonts w:ascii="Verdana" w:eastAsia="Calibri" w:hAnsi="Verdana" w:cs="Arial"/>
                <w:lang w:val="es-ES" w:eastAsia="es-ES"/>
              </w:rPr>
              <w:t xml:space="preserve">PRECIO – Estructuración del precio – Elemento del contrato estatal / COSTOS DIRECTOS E INDIRECTOS – Finalidad – Ejecución del contrato / AIU – Componentes – Límites / </w:t>
            </w:r>
            <w:r w:rsidRPr="000D5AAD">
              <w:rPr>
                <w:rFonts w:ascii="Verdana" w:eastAsia="Times New Roman" w:hAnsi="Verdana"/>
                <w:lang w:val="es-ES_tradnl" w:eastAsia="es-ES_tradnl"/>
              </w:rPr>
              <w:t>CONVENIOS Y CONTRATOS INTERADMINISTRATIVOS –</w:t>
            </w:r>
            <w:r w:rsidRPr="000D5AAD">
              <w:rPr>
                <w:rFonts w:ascii="Verdana" w:eastAsia="Times New Roman" w:hAnsi="Verdana"/>
                <w:lang w:eastAsia="es-ES_tradnl"/>
              </w:rPr>
              <w:t xml:space="preserve"> Noción y Características – Diferencias</w:t>
            </w:r>
            <w:r w:rsidRPr="000D5AAD">
              <w:rPr>
                <w:rFonts w:ascii="Verdana" w:eastAsia="Calibri" w:hAnsi="Verdana" w:cs="Arial"/>
                <w:lang w:eastAsia="es-ES"/>
              </w:rPr>
              <w:t xml:space="preserve"> – Costos administrativos</w:t>
            </w:r>
          </w:p>
          <w:p w14:paraId="0523717F" w14:textId="77777777" w:rsidR="00237BDE" w:rsidRPr="000D5AAD" w:rsidRDefault="00237BDE" w:rsidP="005148DF">
            <w:pPr>
              <w:jc w:val="both"/>
              <w:rPr>
                <w:rFonts w:ascii="Verdana" w:eastAsia="Calibri" w:hAnsi="Verdana" w:cs="Arial"/>
                <w:lang w:val="es-MX" w:eastAsia="es-ES"/>
              </w:rPr>
            </w:pPr>
          </w:p>
        </w:tc>
      </w:tr>
      <w:tr w:rsidR="00237BDE" w:rsidRPr="00724695" w14:paraId="4FF7D335" w14:textId="77777777" w:rsidTr="005148DF">
        <w:trPr>
          <w:trHeight w:val="597"/>
        </w:trPr>
        <w:tc>
          <w:tcPr>
            <w:tcW w:w="3261" w:type="dxa"/>
            <w:hideMark/>
          </w:tcPr>
          <w:p w14:paraId="2AF38023" w14:textId="77777777" w:rsidR="00237BDE" w:rsidRPr="008C5E3B" w:rsidRDefault="00237BDE" w:rsidP="005148DF">
            <w:pPr>
              <w:spacing w:line="276" w:lineRule="auto"/>
              <w:jc w:val="both"/>
              <w:rPr>
                <w:rFonts w:ascii="Verdana" w:eastAsia="Calibri" w:hAnsi="Verdana" w:cs="Arial"/>
                <w:b/>
                <w:lang w:val="es-ES_tradnl" w:eastAsia="es-ES_tradnl"/>
              </w:rPr>
            </w:pPr>
            <w:r w:rsidRPr="008C5E3B">
              <w:rPr>
                <w:rFonts w:ascii="Verdana" w:eastAsia="Calibri" w:hAnsi="Verdana" w:cs="Arial"/>
                <w:b/>
                <w:lang w:val="es-ES_tradnl" w:eastAsia="es-ES_tradnl"/>
              </w:rPr>
              <w:t xml:space="preserve">Radicación:               </w:t>
            </w:r>
          </w:p>
        </w:tc>
        <w:tc>
          <w:tcPr>
            <w:tcW w:w="5972" w:type="dxa"/>
          </w:tcPr>
          <w:p w14:paraId="5A8775B6" w14:textId="77777777" w:rsidR="00237BDE" w:rsidRPr="00724695" w:rsidRDefault="00237BDE" w:rsidP="005148DF">
            <w:pPr>
              <w:spacing w:line="276" w:lineRule="auto"/>
              <w:jc w:val="both"/>
              <w:rPr>
                <w:rFonts w:ascii="Verdana" w:eastAsia="Calibri" w:hAnsi="Verdana" w:cs="Arial"/>
                <w:bCs/>
                <w:lang w:eastAsia="es-ES_tradnl"/>
              </w:rPr>
            </w:pPr>
            <w:r w:rsidRPr="00724695">
              <w:rPr>
                <w:rFonts w:ascii="Verdana" w:eastAsia="Calibri" w:hAnsi="Verdana" w:cs="Arial"/>
                <w:bCs/>
                <w:lang w:val="es-ES_tradnl" w:eastAsia="es-ES_tradnl"/>
              </w:rPr>
              <w:t xml:space="preserve">Respuesta a consulta con radicado </w:t>
            </w:r>
            <w:r w:rsidRPr="00724695">
              <w:rPr>
                <w:rFonts w:ascii="Verdana" w:eastAsia="Calibri" w:hAnsi="Verdana" w:cs="Arial"/>
                <w:bCs/>
                <w:lang w:eastAsia="es-ES_tradnl"/>
              </w:rPr>
              <w:t>No. </w:t>
            </w:r>
            <w:r w:rsidRPr="007C53BA">
              <w:rPr>
                <w:rFonts w:ascii="Verdana" w:eastAsia="Calibri" w:hAnsi="Verdana" w:cs="Arial"/>
                <w:bCs/>
                <w:lang w:eastAsia="es-ES_tradnl"/>
              </w:rPr>
              <w:t>1_2026_03_04_003039</w:t>
            </w:r>
          </w:p>
          <w:p w14:paraId="19BBAD66" w14:textId="77777777" w:rsidR="00237BDE" w:rsidRPr="00724695" w:rsidRDefault="00237BDE" w:rsidP="005148DF">
            <w:pPr>
              <w:spacing w:line="276" w:lineRule="auto"/>
              <w:jc w:val="both"/>
              <w:rPr>
                <w:rFonts w:ascii="Verdana" w:eastAsia="Calibri" w:hAnsi="Verdana" w:cs="Arial"/>
                <w:bCs/>
                <w:lang w:val="es-ES_tradnl" w:eastAsia="es-ES_tradnl"/>
              </w:rPr>
            </w:pPr>
          </w:p>
        </w:tc>
      </w:tr>
    </w:tbl>
    <w:p w14:paraId="716E7816" w14:textId="77777777" w:rsidR="00237BDE" w:rsidRPr="00724695" w:rsidRDefault="00237BDE" w:rsidP="00237BDE">
      <w:pPr>
        <w:spacing w:after="0" w:line="276" w:lineRule="auto"/>
        <w:jc w:val="both"/>
        <w:rPr>
          <w:rFonts w:ascii="Verdana" w:eastAsia="Calibri" w:hAnsi="Verdana" w:cs="Arial"/>
          <w:bCs/>
          <w:lang w:val="es-ES_tradnl" w:eastAsia="es-ES_tradnl"/>
        </w:rPr>
      </w:pPr>
    </w:p>
    <w:p w14:paraId="3601CA0C" w14:textId="77777777" w:rsidR="00237BDE" w:rsidRPr="004F3256" w:rsidRDefault="00237BDE" w:rsidP="00237BDE">
      <w:pPr>
        <w:spacing w:after="0" w:line="276" w:lineRule="auto"/>
        <w:jc w:val="both"/>
        <w:rPr>
          <w:rFonts w:ascii="Verdana" w:eastAsia="Calibri" w:hAnsi="Verdana" w:cs="Arial"/>
          <w:lang w:eastAsia="es-ES"/>
        </w:rPr>
      </w:pPr>
      <w:r w:rsidRPr="004F3256">
        <w:rPr>
          <w:rFonts w:ascii="Verdana" w:eastAsia="Calibri" w:hAnsi="Verdana" w:cs="Arial"/>
          <w:lang w:eastAsia="es-ES"/>
        </w:rPr>
        <w:t xml:space="preserve">Estimada señora Galvis: </w:t>
      </w:r>
    </w:p>
    <w:p w14:paraId="7DB0F0F8" w14:textId="77777777" w:rsidR="00237BDE" w:rsidRPr="004F3256" w:rsidRDefault="00237BDE" w:rsidP="00237BDE">
      <w:pPr>
        <w:tabs>
          <w:tab w:val="left" w:pos="3768"/>
        </w:tabs>
        <w:spacing w:after="0" w:line="276" w:lineRule="auto"/>
        <w:jc w:val="both"/>
        <w:rPr>
          <w:rFonts w:ascii="Verdana" w:eastAsia="Calibri" w:hAnsi="Verdana" w:cs="Arial"/>
          <w:color w:val="000000" w:themeColor="text1"/>
          <w:lang w:eastAsia="es-ES"/>
        </w:rPr>
      </w:pPr>
      <w:r w:rsidRPr="004F3256">
        <w:rPr>
          <w:rFonts w:ascii="Verdana" w:eastAsia="Calibri" w:hAnsi="Verdana" w:cs="Arial"/>
          <w:color w:val="000000" w:themeColor="text1"/>
          <w:lang w:eastAsia="es-ES"/>
        </w:rPr>
        <w:tab/>
      </w:r>
    </w:p>
    <w:p w14:paraId="0819464B" w14:textId="77777777" w:rsidR="00237BDE" w:rsidRPr="004F3256" w:rsidRDefault="00237BDE" w:rsidP="00237BDE">
      <w:pPr>
        <w:spacing w:after="0" w:line="276" w:lineRule="auto"/>
        <w:jc w:val="both"/>
        <w:rPr>
          <w:rFonts w:ascii="Verdana" w:eastAsia="Calibri" w:hAnsi="Verdana" w:cs="Arial"/>
          <w:i/>
          <w:iCs/>
          <w:lang w:eastAsia="es-ES"/>
        </w:rPr>
      </w:pPr>
      <w:r w:rsidRPr="004F3256">
        <w:rPr>
          <w:rFonts w:ascii="Verdana" w:eastAsia="Calibri" w:hAnsi="Verdana" w:cs="Arial"/>
          <w:color w:val="000000" w:themeColor="text1"/>
          <w:lang w:eastAsia="es-ES"/>
        </w:rPr>
        <w:t>En ejercicio de la competencia otorgada por los artículos 3, numeral 5º, y 11, numeral 8º, del Decreto Ley 4170 de 2011,</w:t>
      </w:r>
      <w:r w:rsidRPr="004F3256">
        <w:rPr>
          <w:rFonts w:ascii="Verdana" w:eastAsia="Arial MT" w:hAnsi="Verdana" w:cs="Arial MT"/>
          <w:lang w:eastAsia="es-ES"/>
        </w:rPr>
        <w:t xml:space="preserve"> </w:t>
      </w:r>
      <w:r w:rsidRPr="004F3256">
        <w:rPr>
          <w:rFonts w:ascii="Verdana" w:hAnsi="Verdana" w:cs="Arial"/>
          <w:color w:val="000000" w:themeColor="text1"/>
        </w:rPr>
        <w:t>así como lo establecido</w:t>
      </w:r>
      <w:r w:rsidRPr="004F3256">
        <w:rPr>
          <w:rFonts w:ascii="Verdana" w:hAnsi="Verdana" w:cs="Arial"/>
        </w:rPr>
        <w:t xml:space="preserve"> por la </w:t>
      </w:r>
      <w:r w:rsidRPr="004F3256">
        <w:rPr>
          <w:rFonts w:ascii="Verdana" w:eastAsia="Calibri" w:hAnsi="Verdana" w:cs="Times New Roman"/>
          <w:bCs/>
        </w:rPr>
        <w:t xml:space="preserve">Resolución 469 de 2025 </w:t>
      </w:r>
      <w:r w:rsidRPr="004F3256">
        <w:rPr>
          <w:rFonts w:ascii="Verdana" w:hAnsi="Verdana" w:cs="Arial"/>
          <w:color w:val="000000" w:themeColor="text1"/>
        </w:rPr>
        <w:t>expedida por esta Entidad</w:t>
      </w:r>
      <w:r w:rsidRPr="004F3256">
        <w:rPr>
          <w:rFonts w:ascii="Verdana" w:hAnsi="Verdana" w:cs="Arial"/>
        </w:rPr>
        <w:t xml:space="preserve">, </w:t>
      </w:r>
      <w:r w:rsidRPr="004F3256">
        <w:rPr>
          <w:rFonts w:ascii="Verdana" w:eastAsia="Calibri" w:hAnsi="Verdana" w:cs="Arial"/>
          <w:color w:val="000000" w:themeColor="text1"/>
          <w:lang w:eastAsia="es-ES"/>
        </w:rPr>
        <w:t>la Agencia Nacional de Contratación Pública – Colombia Compra Eficiente responde su solicitud de concepto remitida por competencia por el Departamento Administrativo de Planeación el 26 de febrero de 2026</w:t>
      </w:r>
      <w:r w:rsidRPr="004F3256">
        <w:rPr>
          <w:rFonts w:ascii="Verdana" w:eastAsia="Calibri" w:hAnsi="Verdana" w:cs="Arial"/>
          <w:lang w:eastAsia="es-ES"/>
        </w:rPr>
        <w:t xml:space="preserve"> e</w:t>
      </w:r>
      <w:r w:rsidRPr="004F3256">
        <w:rPr>
          <w:rFonts w:ascii="Verdana" w:eastAsia="Calibri" w:hAnsi="Verdana" w:cs="Arial"/>
          <w:lang w:val="es-ES" w:eastAsia="es-ES"/>
        </w:rPr>
        <w:t>n la cual pregunta lo siguiente</w:t>
      </w:r>
      <w:r w:rsidRPr="004F3256">
        <w:rPr>
          <w:rFonts w:ascii="Verdana" w:eastAsia="Calibri" w:hAnsi="Verdana" w:cs="Arial"/>
          <w:lang w:eastAsia="es-ES"/>
        </w:rPr>
        <w:t>:</w:t>
      </w:r>
      <w:r w:rsidRPr="004F3256">
        <w:rPr>
          <w:rFonts w:ascii="Verdana" w:eastAsia="Calibri" w:hAnsi="Verdana" w:cs="Arial"/>
          <w:i/>
          <w:iCs/>
          <w:lang w:eastAsia="es-ES"/>
        </w:rPr>
        <w:t xml:space="preserve"> </w:t>
      </w:r>
      <w:bookmarkStart w:id="1" w:name="_Hlk95313578"/>
    </w:p>
    <w:p w14:paraId="4CAA69D0" w14:textId="77777777" w:rsidR="00237BDE" w:rsidRPr="004F3256" w:rsidRDefault="00237BDE" w:rsidP="00237BDE">
      <w:pPr>
        <w:spacing w:after="0" w:line="276" w:lineRule="auto"/>
        <w:jc w:val="both"/>
        <w:rPr>
          <w:rFonts w:ascii="Verdana" w:eastAsia="Calibri" w:hAnsi="Verdana" w:cs="Arial"/>
          <w:i/>
          <w:iCs/>
          <w:lang w:eastAsia="es-ES"/>
        </w:rPr>
      </w:pPr>
    </w:p>
    <w:p w14:paraId="40AA1DBD" w14:textId="77777777" w:rsidR="00237BDE" w:rsidRDefault="00237BDE" w:rsidP="00237BDE">
      <w:pPr>
        <w:spacing w:after="0" w:line="240" w:lineRule="auto"/>
        <w:ind w:left="709" w:right="618"/>
        <w:jc w:val="both"/>
        <w:rPr>
          <w:rFonts w:ascii="Verdana" w:hAnsi="Verdana" w:cs="Arial"/>
          <w:sz w:val="20"/>
          <w:szCs w:val="20"/>
        </w:rPr>
      </w:pPr>
      <w:r w:rsidRPr="004F3256">
        <w:rPr>
          <w:rFonts w:ascii="Verdana" w:eastAsia="Arial" w:hAnsi="Verdana" w:cs="Arial"/>
          <w:i/>
          <w:color w:val="000000"/>
          <w:sz w:val="20"/>
          <w:szCs w:val="20"/>
        </w:rPr>
        <w:t>“</w:t>
      </w:r>
      <w:bookmarkEnd w:id="1"/>
      <w:r>
        <w:rPr>
          <w:rFonts w:ascii="Verdana" w:hAnsi="Verdana" w:cs="Arial"/>
          <w:sz w:val="20"/>
          <w:szCs w:val="20"/>
        </w:rPr>
        <w:t>(…)</w:t>
      </w:r>
    </w:p>
    <w:p w14:paraId="5943B8F2" w14:textId="77777777" w:rsidR="00237BDE" w:rsidRPr="004F3256" w:rsidRDefault="00237BDE" w:rsidP="00237BDE">
      <w:pPr>
        <w:spacing w:after="0" w:line="240" w:lineRule="auto"/>
        <w:ind w:left="709" w:right="618"/>
        <w:jc w:val="both"/>
        <w:rPr>
          <w:rFonts w:ascii="Verdana" w:hAnsi="Verdana" w:cs="Arial"/>
          <w:sz w:val="20"/>
          <w:szCs w:val="20"/>
        </w:rPr>
      </w:pPr>
    </w:p>
    <w:p w14:paraId="161AFB3A" w14:textId="77777777" w:rsidR="00237BDE" w:rsidRPr="004F3256" w:rsidRDefault="00237BDE" w:rsidP="00237BDE">
      <w:pPr>
        <w:spacing w:after="0" w:line="240" w:lineRule="auto"/>
        <w:ind w:left="709" w:right="618"/>
        <w:jc w:val="both"/>
        <w:rPr>
          <w:rFonts w:ascii="Verdana" w:hAnsi="Verdana" w:cs="Arial"/>
          <w:sz w:val="20"/>
          <w:szCs w:val="20"/>
        </w:rPr>
      </w:pPr>
      <w:r w:rsidRPr="004F3256">
        <w:rPr>
          <w:rFonts w:ascii="Verdana" w:hAnsi="Verdana" w:cs="Arial"/>
          <w:sz w:val="20"/>
          <w:szCs w:val="20"/>
        </w:rPr>
        <w:t>1. ¿Es viable jurídicamente que una entidad pública reconozca y pague costos administrativos/costos indirectos/</w:t>
      </w:r>
      <w:proofErr w:type="spellStart"/>
      <w:r w:rsidRPr="004F3256">
        <w:rPr>
          <w:rFonts w:ascii="Verdana" w:hAnsi="Verdana" w:cs="Arial"/>
          <w:sz w:val="20"/>
          <w:szCs w:val="20"/>
        </w:rPr>
        <w:t>overhead</w:t>
      </w:r>
      <w:proofErr w:type="spellEnd"/>
      <w:r w:rsidRPr="004F3256">
        <w:rPr>
          <w:rFonts w:ascii="Verdana" w:hAnsi="Verdana" w:cs="Arial"/>
          <w:sz w:val="20"/>
          <w:szCs w:val="20"/>
        </w:rPr>
        <w:t xml:space="preserve"> en el marco de la celebración de acuerdos de voluntades (sean contratos, convenios o de cualquier otro tipo), y ejecución de proyectos con terceros (sean </w:t>
      </w:r>
      <w:proofErr w:type="gramStart"/>
      <w:r w:rsidRPr="004F3256">
        <w:rPr>
          <w:rFonts w:ascii="Verdana" w:hAnsi="Verdana" w:cs="Arial"/>
          <w:sz w:val="20"/>
          <w:szCs w:val="20"/>
        </w:rPr>
        <w:t>estos personas naturales</w:t>
      </w:r>
      <w:proofErr w:type="gramEnd"/>
      <w:r w:rsidRPr="004F3256">
        <w:rPr>
          <w:rFonts w:ascii="Verdana" w:hAnsi="Verdana" w:cs="Arial"/>
          <w:sz w:val="20"/>
          <w:szCs w:val="20"/>
        </w:rPr>
        <w:t>, jurídicas privadas o públicas)?</w:t>
      </w:r>
    </w:p>
    <w:p w14:paraId="24249559" w14:textId="77777777" w:rsidR="00237BDE" w:rsidRPr="004F3256" w:rsidRDefault="00237BDE" w:rsidP="00237BDE">
      <w:pPr>
        <w:spacing w:after="0" w:line="240" w:lineRule="auto"/>
        <w:ind w:left="709" w:right="618"/>
        <w:jc w:val="both"/>
        <w:rPr>
          <w:rFonts w:ascii="Verdana" w:hAnsi="Verdana" w:cs="Arial"/>
          <w:sz w:val="20"/>
          <w:szCs w:val="20"/>
        </w:rPr>
      </w:pPr>
    </w:p>
    <w:p w14:paraId="2A82306E" w14:textId="77777777" w:rsidR="00237BDE" w:rsidRPr="004F3256" w:rsidRDefault="00237BDE" w:rsidP="00237BDE">
      <w:pPr>
        <w:spacing w:after="0" w:line="240" w:lineRule="auto"/>
        <w:ind w:left="709" w:right="618"/>
        <w:jc w:val="both"/>
        <w:rPr>
          <w:rFonts w:ascii="Verdana" w:hAnsi="Verdana" w:cs="Arial"/>
          <w:sz w:val="20"/>
          <w:szCs w:val="20"/>
        </w:rPr>
      </w:pPr>
      <w:r w:rsidRPr="004F3256">
        <w:rPr>
          <w:rFonts w:ascii="Verdana" w:hAnsi="Verdana" w:cs="Arial"/>
          <w:sz w:val="20"/>
          <w:szCs w:val="20"/>
        </w:rPr>
        <w:lastRenderedPageBreak/>
        <w:t>2. ¿Existe alguna norma, disposición, lineamiento o prohibición expresa dentro del ordenamiento jurídico colombiano que impida a las entidades públicas reconocer y pagar dichos costos indirectos/</w:t>
      </w:r>
      <w:proofErr w:type="spellStart"/>
      <w:r w:rsidRPr="004F3256">
        <w:rPr>
          <w:rFonts w:ascii="Verdana" w:hAnsi="Verdana" w:cs="Arial"/>
          <w:sz w:val="20"/>
          <w:szCs w:val="20"/>
        </w:rPr>
        <w:t>overhead</w:t>
      </w:r>
      <w:proofErr w:type="spellEnd"/>
      <w:r w:rsidRPr="004F3256">
        <w:rPr>
          <w:rFonts w:ascii="Verdana" w:hAnsi="Verdana" w:cs="Arial"/>
          <w:sz w:val="20"/>
          <w:szCs w:val="20"/>
        </w:rPr>
        <w:t xml:space="preserve">? En caso afirmativo, favor indicar cuál es la norma exacta (nombre, número, artículo y literal) que contiene dicha prohibición. </w:t>
      </w:r>
    </w:p>
    <w:p w14:paraId="5F88AF2C" w14:textId="77777777" w:rsidR="00237BDE" w:rsidRPr="004F3256" w:rsidRDefault="00237BDE" w:rsidP="00237BDE">
      <w:pPr>
        <w:spacing w:after="0" w:line="240" w:lineRule="auto"/>
        <w:ind w:left="709" w:right="618"/>
        <w:jc w:val="both"/>
        <w:rPr>
          <w:rFonts w:ascii="Verdana" w:hAnsi="Verdana" w:cs="Arial"/>
          <w:sz w:val="20"/>
          <w:szCs w:val="20"/>
        </w:rPr>
      </w:pPr>
    </w:p>
    <w:p w14:paraId="19B50234" w14:textId="77777777" w:rsidR="00237BDE" w:rsidRPr="004F3256" w:rsidRDefault="00237BDE" w:rsidP="00237BDE">
      <w:pPr>
        <w:spacing w:after="0" w:line="240" w:lineRule="auto"/>
        <w:ind w:left="709" w:right="618"/>
        <w:jc w:val="both"/>
        <w:rPr>
          <w:rFonts w:ascii="Verdana" w:hAnsi="Verdana" w:cs="Arial"/>
          <w:sz w:val="20"/>
          <w:szCs w:val="20"/>
        </w:rPr>
      </w:pPr>
      <w:r w:rsidRPr="004F3256">
        <w:rPr>
          <w:rFonts w:ascii="Verdana" w:hAnsi="Verdana" w:cs="Arial"/>
          <w:sz w:val="20"/>
          <w:szCs w:val="20"/>
        </w:rPr>
        <w:t xml:space="preserve">De no existir una prohibición expresa, por favor indicar cuál es la interpretación que deben observar las entidades públicas respecto del tratamiento de estos costos en el marco de la celebración de acuerdos de voluntades (sean contratos, convenios o de cualquier otro tipo), y ejecución de proyectos con terceros (sean </w:t>
      </w:r>
      <w:proofErr w:type="gramStart"/>
      <w:r w:rsidRPr="004F3256">
        <w:rPr>
          <w:rFonts w:ascii="Verdana" w:hAnsi="Verdana" w:cs="Arial"/>
          <w:sz w:val="20"/>
          <w:szCs w:val="20"/>
        </w:rPr>
        <w:t>estos personas naturales</w:t>
      </w:r>
      <w:proofErr w:type="gramEnd"/>
      <w:r w:rsidRPr="004F3256">
        <w:rPr>
          <w:rFonts w:ascii="Verdana" w:hAnsi="Verdana" w:cs="Arial"/>
          <w:sz w:val="20"/>
          <w:szCs w:val="20"/>
        </w:rPr>
        <w:t>, jurídicas privadas o públicas).”</w:t>
      </w:r>
    </w:p>
    <w:p w14:paraId="502248DA" w14:textId="77777777" w:rsidR="00237BDE" w:rsidRPr="004F3256" w:rsidRDefault="00237BDE" w:rsidP="00237BDE">
      <w:pPr>
        <w:spacing w:after="0" w:line="240" w:lineRule="auto"/>
        <w:ind w:left="709" w:right="709"/>
        <w:jc w:val="both"/>
      </w:pPr>
    </w:p>
    <w:p w14:paraId="4E51A35E" w14:textId="77777777" w:rsidR="00237BDE" w:rsidRPr="004F3256" w:rsidRDefault="00237BDE" w:rsidP="00237BDE">
      <w:pPr>
        <w:spacing w:after="120" w:line="276" w:lineRule="auto"/>
        <w:ind w:firstLine="709"/>
        <w:jc w:val="both"/>
        <w:rPr>
          <w:rFonts w:ascii="Verdana" w:eastAsia="Calibri" w:hAnsi="Verdana" w:cs="Arial"/>
          <w:color w:val="000000"/>
          <w:lang w:eastAsia="es-ES"/>
        </w:rPr>
      </w:pPr>
      <w:r w:rsidRPr="004F325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F3256">
        <w:rPr>
          <w:rFonts w:ascii="Verdana" w:eastAsia="Calibri" w:hAnsi="Verdana" w:cs="Arial"/>
          <w:color w:val="000000"/>
          <w:szCs w:val="24"/>
          <w:lang w:eastAsia="es-ES_tradnl"/>
        </w:rPr>
        <w:tab/>
      </w:r>
    </w:p>
    <w:p w14:paraId="2CF534A0" w14:textId="77777777" w:rsidR="00237BDE" w:rsidRPr="004F3256" w:rsidRDefault="00237BDE" w:rsidP="00237BDE">
      <w:pPr>
        <w:spacing w:after="120" w:line="276" w:lineRule="auto"/>
        <w:ind w:firstLine="709"/>
        <w:jc w:val="both"/>
        <w:rPr>
          <w:rFonts w:ascii="Verdana" w:eastAsia="Calibri" w:hAnsi="Verdana" w:cs="Arial"/>
          <w:color w:val="000000"/>
          <w:lang w:eastAsia="es-ES"/>
        </w:rPr>
      </w:pPr>
      <w:r w:rsidRPr="004F3256">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4F3256">
        <w:rPr>
          <w:rFonts w:ascii="Verdana" w:eastAsia="Calibri" w:hAnsi="Verdana" w:cs="Arial"/>
          <w:color w:val="7030A0"/>
          <w:lang w:eastAsia="es-ES"/>
        </w:rPr>
        <w:t xml:space="preserve"> </w:t>
      </w:r>
      <w:r w:rsidRPr="004F3256">
        <w:rPr>
          <w:rFonts w:ascii="Verdana" w:eastAsia="Calibri" w:hAnsi="Verdana" w:cs="Arial"/>
          <w:color w:val="000000"/>
          <w:lang w:eastAsia="es-ES"/>
        </w:rPr>
        <w:t>problemas</w:t>
      </w:r>
      <w:r w:rsidRPr="004F3256">
        <w:rPr>
          <w:rFonts w:ascii="Verdana" w:eastAsia="Calibri" w:hAnsi="Verdana" w:cs="Arial"/>
          <w:color w:val="7030A0"/>
          <w:lang w:eastAsia="es-ES"/>
        </w:rPr>
        <w:t xml:space="preserve"> </w:t>
      </w:r>
      <w:r w:rsidRPr="004F3256">
        <w:rPr>
          <w:rFonts w:ascii="Verdana" w:eastAsia="Calibri" w:hAnsi="Verdana" w:cs="Arial"/>
          <w:color w:val="000000"/>
          <w:lang w:eastAsia="es-ES"/>
        </w:rPr>
        <w:t>jurídicos</w:t>
      </w:r>
      <w:r w:rsidRPr="004F3256">
        <w:rPr>
          <w:rFonts w:ascii="Verdana" w:eastAsia="Calibri" w:hAnsi="Verdana" w:cs="Arial"/>
          <w:color w:val="7030A0"/>
          <w:lang w:eastAsia="es-ES"/>
        </w:rPr>
        <w:t xml:space="preserve"> </w:t>
      </w:r>
      <w:r w:rsidRPr="004F3256">
        <w:rPr>
          <w:rFonts w:ascii="Verdana" w:eastAsia="Calibri" w:hAnsi="Verdana" w:cs="Arial"/>
          <w:color w:val="000000"/>
          <w:lang w:eastAsia="es-ES"/>
        </w:rPr>
        <w:t xml:space="preserve">de su consulta.  </w:t>
      </w:r>
    </w:p>
    <w:p w14:paraId="55F0B20B" w14:textId="77777777" w:rsidR="00237BDE" w:rsidRPr="004F3256" w:rsidRDefault="00237BDE" w:rsidP="00237BDE">
      <w:pPr>
        <w:spacing w:after="0" w:line="276" w:lineRule="auto"/>
        <w:jc w:val="both"/>
        <w:rPr>
          <w:rFonts w:ascii="Verdana" w:eastAsia="Calibri" w:hAnsi="Verdana" w:cs="Arial"/>
          <w:color w:val="000000"/>
          <w:lang w:eastAsia="es-ES"/>
        </w:rPr>
      </w:pPr>
    </w:p>
    <w:p w14:paraId="0DEB3A9F" w14:textId="77777777" w:rsidR="00237BDE" w:rsidRPr="004F3256" w:rsidRDefault="00237BDE" w:rsidP="00237BDE">
      <w:pPr>
        <w:numPr>
          <w:ilvl w:val="0"/>
          <w:numId w:val="17"/>
        </w:numPr>
        <w:tabs>
          <w:tab w:val="left" w:pos="142"/>
          <w:tab w:val="left" w:pos="284"/>
        </w:tabs>
        <w:spacing w:after="0" w:line="276" w:lineRule="auto"/>
        <w:ind w:left="1068"/>
        <w:jc w:val="both"/>
        <w:rPr>
          <w:rFonts w:ascii="Verdana" w:eastAsia="Century Gothic" w:hAnsi="Verdana" w:cs="Century Gothic"/>
          <w:b/>
          <w:bCs/>
        </w:rPr>
      </w:pPr>
      <w:r w:rsidRPr="004F3256">
        <w:rPr>
          <w:rFonts w:ascii="Verdana" w:eastAsia="Century Gothic" w:hAnsi="Verdana" w:cs="Century Gothic"/>
          <w:b/>
          <w:bCs/>
        </w:rPr>
        <w:t>Problemas planteados:</w:t>
      </w:r>
    </w:p>
    <w:p w14:paraId="1434AB73" w14:textId="77777777" w:rsidR="00237BDE" w:rsidRPr="004F3256" w:rsidRDefault="00237BDE" w:rsidP="00237BDE">
      <w:pPr>
        <w:tabs>
          <w:tab w:val="left" w:pos="426"/>
        </w:tabs>
        <w:spacing w:after="0" w:line="276" w:lineRule="auto"/>
        <w:jc w:val="both"/>
        <w:rPr>
          <w:rFonts w:ascii="Verdana" w:eastAsia="Century Gothic" w:hAnsi="Verdana" w:cs="Century Gothic"/>
        </w:rPr>
      </w:pPr>
    </w:p>
    <w:p w14:paraId="43A20B68" w14:textId="77777777" w:rsidR="00237BDE" w:rsidRDefault="00237BDE" w:rsidP="00237BDE">
      <w:pPr>
        <w:spacing w:after="0" w:line="276" w:lineRule="auto"/>
        <w:jc w:val="both"/>
        <w:rPr>
          <w:rFonts w:ascii="Verdana" w:eastAsia="Century Gothic" w:hAnsi="Verdana" w:cs="Century Gothic"/>
        </w:rPr>
      </w:pPr>
      <w:r w:rsidRPr="004F3256">
        <w:rPr>
          <w:rFonts w:ascii="Verdana" w:eastAsia="Century Gothic" w:hAnsi="Verdana" w:cs="Century Gothic"/>
        </w:rPr>
        <w:t xml:space="preserve">De acuerdo con el contenido de su solicitud, esta Agencia resolverá los siguientes problemas jurídicos: </w:t>
      </w:r>
    </w:p>
    <w:p w14:paraId="3A9C6A33" w14:textId="77777777" w:rsidR="00237BDE" w:rsidRDefault="00237BDE" w:rsidP="00237BDE">
      <w:pPr>
        <w:pStyle w:val="Prrafodelista"/>
        <w:numPr>
          <w:ilvl w:val="0"/>
          <w:numId w:val="18"/>
        </w:numPr>
        <w:spacing w:after="0" w:line="276" w:lineRule="auto"/>
        <w:jc w:val="both"/>
        <w:rPr>
          <w:rFonts w:ascii="Verdana" w:eastAsia="Century Gothic" w:hAnsi="Verdana" w:cs="Century Gothic"/>
        </w:rPr>
      </w:pPr>
      <w:r w:rsidRPr="00301490">
        <w:rPr>
          <w:rFonts w:ascii="Verdana" w:eastAsia="Century Gothic" w:hAnsi="Verdana" w:cs="Century Gothic"/>
        </w:rPr>
        <w:lastRenderedPageBreak/>
        <w:t>¿Resulta jurídicamente admisible incorporar y reconocer el pago de costos indirectos dentro de los contratos que suscriben las entidades estatales con particulares?</w:t>
      </w:r>
    </w:p>
    <w:p w14:paraId="1DA30311" w14:textId="77777777" w:rsidR="00237BDE" w:rsidRPr="00301490" w:rsidRDefault="00237BDE" w:rsidP="00237BDE">
      <w:pPr>
        <w:pStyle w:val="Prrafodelista"/>
        <w:numPr>
          <w:ilvl w:val="0"/>
          <w:numId w:val="18"/>
        </w:numPr>
        <w:spacing w:after="0" w:line="276" w:lineRule="auto"/>
        <w:jc w:val="both"/>
        <w:rPr>
          <w:rFonts w:ascii="Verdana" w:eastAsia="Century Gothic" w:hAnsi="Verdana" w:cs="Century Gothic"/>
        </w:rPr>
      </w:pPr>
      <w:r w:rsidRPr="00301490">
        <w:rPr>
          <w:rFonts w:ascii="Verdana" w:eastAsia="Century Gothic" w:hAnsi="Verdana" w:cs="Century Gothic"/>
        </w:rPr>
        <w:t>¿Es jurídicamente factible incluir y asumir el pago de costos administrativos en los convenios y contratos interadministrativos celebrados entre entidades públicas?</w:t>
      </w:r>
    </w:p>
    <w:p w14:paraId="11B9632B" w14:textId="77777777" w:rsidR="00237BDE" w:rsidRDefault="00237BDE" w:rsidP="00237BDE">
      <w:pPr>
        <w:spacing w:after="0" w:line="276" w:lineRule="auto"/>
        <w:jc w:val="both"/>
        <w:rPr>
          <w:rFonts w:ascii="Verdana" w:eastAsia="Century Gothic" w:hAnsi="Verdana" w:cs="Century Gothic"/>
        </w:rPr>
      </w:pPr>
    </w:p>
    <w:p w14:paraId="101E20BF" w14:textId="77777777" w:rsidR="00237BDE" w:rsidRPr="004F3256" w:rsidRDefault="00237BDE" w:rsidP="00237BDE">
      <w:pPr>
        <w:numPr>
          <w:ilvl w:val="0"/>
          <w:numId w:val="17"/>
        </w:numPr>
        <w:tabs>
          <w:tab w:val="left" w:pos="142"/>
          <w:tab w:val="left" w:pos="284"/>
        </w:tabs>
        <w:spacing w:after="0" w:line="276" w:lineRule="auto"/>
        <w:ind w:left="1068"/>
        <w:jc w:val="both"/>
        <w:rPr>
          <w:rFonts w:ascii="Verdana" w:eastAsia="Century Gothic" w:hAnsi="Verdana" w:cs="Century Gothic"/>
          <w:b/>
          <w:bCs/>
        </w:rPr>
      </w:pPr>
      <w:r w:rsidRPr="004F3256">
        <w:rPr>
          <w:rFonts w:ascii="Verdana" w:eastAsia="Century Gothic" w:hAnsi="Verdana" w:cs="Century Gothic"/>
          <w:b/>
          <w:bCs/>
        </w:rPr>
        <w:t>Respuestas:</w:t>
      </w:r>
    </w:p>
    <w:p w14:paraId="6EDAF4BC" w14:textId="77777777" w:rsidR="00237BDE" w:rsidRPr="004F3256" w:rsidRDefault="00237BDE" w:rsidP="00237BD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37BDE" w:rsidRPr="004F3256" w14:paraId="1A1EBF98" w14:textId="77777777" w:rsidTr="005148DF">
        <w:trPr>
          <w:trHeight w:val="977"/>
          <w:jc w:val="center"/>
        </w:trPr>
        <w:tc>
          <w:tcPr>
            <w:tcW w:w="8828" w:type="dxa"/>
          </w:tcPr>
          <w:p w14:paraId="60EBB6B9" w14:textId="77777777" w:rsidR="00237BDE" w:rsidRPr="004F3256" w:rsidRDefault="00237BDE" w:rsidP="005148DF">
            <w:pPr>
              <w:spacing w:after="120" w:line="276" w:lineRule="auto"/>
              <w:jc w:val="both"/>
              <w:rPr>
                <w:rFonts w:ascii="Verdana" w:hAnsi="Verdana" w:cs="Arial"/>
                <w:bCs/>
                <w:szCs w:val="24"/>
                <w:lang w:val="es-ES_tradnl" w:eastAsia="es-ES_tradnl"/>
              </w:rPr>
            </w:pPr>
            <w:bookmarkStart w:id="2" w:name="_Hlk171694685"/>
            <w:r w:rsidRPr="004F3256">
              <w:rPr>
                <w:rFonts w:ascii="Verdana" w:eastAsia="Times New Roman" w:hAnsi="Verdana" w:cs="Arial"/>
                <w:color w:val="000000" w:themeColor="text1"/>
                <w:lang w:val="es-ES" w:eastAsia="es-ES"/>
              </w:rPr>
              <w:t>i.</w:t>
            </w:r>
            <w:r w:rsidRPr="004F3256">
              <w:rPr>
                <w:rFonts w:ascii="Verdana" w:hAnsi="Verdana" w:cs="Arial"/>
                <w:bCs/>
                <w:szCs w:val="24"/>
                <w:lang w:val="es-ES_tradnl" w:eastAsia="es-ES_tradnl"/>
              </w:rPr>
              <w:t xml:space="preserve">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4DCDBCBC" w14:textId="77777777" w:rsidR="00237BDE" w:rsidRPr="004F3256" w:rsidRDefault="00237BDE" w:rsidP="005148DF">
            <w:pPr>
              <w:spacing w:after="120" w:line="276" w:lineRule="auto"/>
              <w:ind w:firstLine="709"/>
              <w:jc w:val="both"/>
              <w:rPr>
                <w:rFonts w:ascii="Verdana" w:hAnsi="Verdana" w:cs="Arial"/>
                <w:lang w:val="es-ES" w:eastAsia="es-ES"/>
              </w:rPr>
            </w:pPr>
            <w:r w:rsidRPr="004F3256">
              <w:rPr>
                <w:rFonts w:ascii="Verdana" w:hAnsi="Verdana" w:cs="Arial"/>
                <w:lang w:val="es-ES" w:eastAsia="es-ES"/>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w:t>
            </w:r>
          </w:p>
          <w:p w14:paraId="68CE56DB" w14:textId="77777777" w:rsidR="00237BDE" w:rsidRPr="004F3256" w:rsidRDefault="00237BDE" w:rsidP="005148DF">
            <w:pPr>
              <w:spacing w:after="120" w:line="276" w:lineRule="auto"/>
              <w:ind w:firstLine="709"/>
              <w:jc w:val="both"/>
              <w:rPr>
                <w:rFonts w:ascii="Verdana" w:hAnsi="Verdana" w:cs="Arial"/>
                <w:lang w:val="es-ES" w:eastAsia="es-ES"/>
              </w:rPr>
            </w:pPr>
            <w:r w:rsidRPr="004F3256">
              <w:rPr>
                <w:rFonts w:ascii="Verdana" w:hAnsi="Verdana" w:cs="Arial"/>
                <w:lang w:val="es-ES" w:eastAsia="es-ES"/>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4F3256">
              <w:rPr>
                <w:rFonts w:ascii="Verdana" w:hAnsi="Verdana" w:cs="Arial"/>
                <w:lang w:val="es-ES" w:eastAsia="es-ES"/>
              </w:rPr>
              <w:t>ii</w:t>
            </w:r>
            <w:proofErr w:type="spellEnd"/>
            <w:r w:rsidRPr="004F3256">
              <w:rPr>
                <w:rFonts w:ascii="Verdana" w:hAnsi="Verdana" w:cs="Arial"/>
                <w:lang w:val="es-ES" w:eastAsia="es-ES"/>
              </w:rPr>
              <w:t xml:space="preserve">) el precio global –que equivale al monto total, sin discriminar unidades–, y </w:t>
            </w:r>
            <w:proofErr w:type="spellStart"/>
            <w:r w:rsidRPr="004F3256">
              <w:rPr>
                <w:rFonts w:ascii="Verdana" w:hAnsi="Verdana" w:cs="Arial"/>
                <w:lang w:val="es-ES" w:eastAsia="es-ES"/>
              </w:rPr>
              <w:t>iii</w:t>
            </w:r>
            <w:proofErr w:type="spellEnd"/>
            <w:r w:rsidRPr="004F3256">
              <w:rPr>
                <w:rFonts w:ascii="Verdana" w:hAnsi="Verdana" w:cs="Arial"/>
                <w:lang w:val="es-ES" w:eastAsia="es-ES"/>
              </w:rPr>
              <w:t>) la administración delegada de recursos –en la que se distinguen los costos de inversión de los honorarios del administrador–.</w:t>
            </w:r>
          </w:p>
          <w:p w14:paraId="4EE6F23D" w14:textId="77777777" w:rsidR="00237BDE" w:rsidRPr="004F3256" w:rsidRDefault="00237BDE" w:rsidP="005148DF">
            <w:pPr>
              <w:spacing w:after="120" w:line="276" w:lineRule="auto"/>
              <w:ind w:firstLine="709"/>
              <w:jc w:val="both"/>
              <w:rPr>
                <w:rFonts w:ascii="Verdana" w:hAnsi="Verdana" w:cs="Arial"/>
                <w:lang w:val="es-ES" w:eastAsia="es-ES"/>
              </w:rPr>
            </w:pPr>
            <w:r w:rsidRPr="004F3256">
              <w:rPr>
                <w:rFonts w:ascii="Verdana" w:eastAsia="Times New Roman" w:hAnsi="Verdana" w:cs="Arial"/>
                <w:color w:val="000000" w:themeColor="text1"/>
                <w:lang w:val="es-ES" w:eastAsia="es-ES"/>
              </w:rPr>
              <w:lastRenderedPageBreak/>
              <w:t>E</w:t>
            </w:r>
            <w:r w:rsidRPr="004F3256">
              <w:rPr>
                <w:rFonts w:ascii="Verdana" w:hAnsi="Verdana" w:cs="Arial"/>
                <w:lang w:val="es-ES" w:eastAsia="es-ES"/>
              </w:rPr>
              <w:t xml:space="preserve">n los contratos cuyo precio se estructura a partir del sistema de precios unitarios, ha hecho parte de la práctica de los negocios que el contratante le solicite al potencial contratista que separe en su propuesta los </w:t>
            </w:r>
            <w:r w:rsidRPr="004F3256">
              <w:rPr>
                <w:rFonts w:ascii="Verdana" w:hAnsi="Verdana" w:cs="Arial"/>
                <w:i/>
                <w:iCs/>
                <w:lang w:val="es-ES" w:eastAsia="es-ES"/>
              </w:rPr>
              <w:t>costos directos</w:t>
            </w:r>
            <w:r w:rsidRPr="004F3256">
              <w:rPr>
                <w:rFonts w:ascii="Verdana" w:hAnsi="Verdana" w:cs="Arial"/>
                <w:lang w:val="es-ES" w:eastAsia="es-ES"/>
              </w:rPr>
              <w:t xml:space="preserve"> –es decir, los que están directamente implicados en la ejecución del objeto–, de los </w:t>
            </w:r>
            <w:r w:rsidRPr="004F3256">
              <w:rPr>
                <w:rFonts w:ascii="Verdana" w:hAnsi="Verdana" w:cs="Arial"/>
                <w:i/>
                <w:iCs/>
                <w:lang w:val="es-ES" w:eastAsia="es-ES"/>
              </w:rPr>
              <w:t>costos indirectos</w:t>
            </w:r>
            <w:r w:rsidRPr="004F3256">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4F3256">
              <w:rPr>
                <w:rFonts w:ascii="Verdana" w:hAnsi="Verdana" w:cs="Arial"/>
                <w:i/>
                <w:iCs/>
                <w:lang w:val="es-ES" w:eastAsia="es-ES"/>
              </w:rPr>
              <w:t>costos directos</w:t>
            </w:r>
            <w:r w:rsidRPr="004F3256">
              <w:rPr>
                <w:rFonts w:ascii="Verdana" w:hAnsi="Verdana" w:cs="Arial"/>
                <w:lang w:val="es-ES" w:eastAsia="es-ES"/>
              </w:rPr>
              <w:t xml:space="preserve"> se evidencian en el análisis de precios unitarios –APU–, como la sumatoria de los valores de los </w:t>
            </w:r>
            <w:r w:rsidRPr="004F3256">
              <w:rPr>
                <w:rFonts w:ascii="Verdana" w:hAnsi="Verdana" w:cs="Arial"/>
                <w:i/>
                <w:iCs/>
                <w:lang w:val="es-ES" w:eastAsia="es-ES"/>
              </w:rPr>
              <w:t>ítems</w:t>
            </w:r>
            <w:r w:rsidRPr="004F3256">
              <w:rPr>
                <w:rFonts w:ascii="Verdana" w:hAnsi="Verdana" w:cs="Arial"/>
                <w:lang w:val="es-ES" w:eastAsia="es-ES"/>
              </w:rPr>
              <w:t xml:space="preserve"> según su unidad de medida, los </w:t>
            </w:r>
            <w:r w:rsidRPr="004F3256">
              <w:rPr>
                <w:rFonts w:ascii="Verdana" w:hAnsi="Verdana" w:cs="Arial"/>
                <w:i/>
                <w:iCs/>
                <w:lang w:val="es-ES" w:eastAsia="es-ES"/>
              </w:rPr>
              <w:t>costos indirectos</w:t>
            </w:r>
            <w:r w:rsidRPr="004F3256">
              <w:rPr>
                <w:rFonts w:ascii="Verdana" w:hAnsi="Verdana" w:cs="Arial"/>
                <w:lang w:val="es-ES" w:eastAsia="es-ES"/>
              </w:rPr>
              <w:t xml:space="preserve"> se suelen abreviar en las variables que integran el acrónimo AIU –Administración, Imprevistos y Utilidad. </w:t>
            </w:r>
          </w:p>
          <w:p w14:paraId="0CE7F078" w14:textId="77777777" w:rsidR="00237BDE" w:rsidRPr="004F3256" w:rsidRDefault="00237BDE" w:rsidP="005148DF">
            <w:pPr>
              <w:spacing w:after="120" w:line="276" w:lineRule="auto"/>
              <w:ind w:firstLine="743"/>
              <w:jc w:val="both"/>
              <w:rPr>
                <w:rFonts w:ascii="Verdana" w:hAnsi="Verdana" w:cs="Arial"/>
                <w:lang w:eastAsia="es-ES"/>
              </w:rPr>
            </w:pPr>
            <w:r w:rsidRPr="004F3256">
              <w:rPr>
                <w:rFonts w:ascii="Verdana" w:hAnsi="Verdana" w:cs="Arial"/>
                <w:lang w:eastAsia="es-ES"/>
              </w:rPr>
              <w:t>Así pues, ni el sistema de precios unitarios –como metodología de estipulación del valor contractual–, ni el concepto de costos directos e indirectos,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 De otro lado, quien define el valor de cada letra –AIU– es el proponente, pues goza de libertad empresarial para hacerlo en la elaboración de su oferta.</w:t>
            </w:r>
          </w:p>
          <w:p w14:paraId="3900EB0F" w14:textId="77777777" w:rsidR="00237BDE" w:rsidRPr="004F3256" w:rsidRDefault="00237BDE" w:rsidP="005148DF">
            <w:pPr>
              <w:spacing w:after="120" w:line="276" w:lineRule="auto"/>
              <w:ind w:firstLine="743"/>
              <w:jc w:val="both"/>
              <w:rPr>
                <w:rFonts w:ascii="Verdana" w:eastAsia="Calibri" w:hAnsi="Verdana" w:cs="Arial"/>
                <w:iCs/>
                <w:lang w:eastAsia="es-ES"/>
              </w:rPr>
            </w:pPr>
            <w:r w:rsidRPr="004F3256">
              <w:rPr>
                <w:rFonts w:ascii="Verdana" w:eastAsia="Calibri" w:hAnsi="Verdana" w:cs="Arial"/>
                <w:iCs/>
                <w:lang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que más se ajuste el objeto a contratar.</w:t>
            </w:r>
          </w:p>
          <w:p w14:paraId="73467284" w14:textId="77777777" w:rsidR="00237BDE" w:rsidRPr="004F3256" w:rsidRDefault="00237BDE" w:rsidP="005148DF">
            <w:pPr>
              <w:spacing w:after="120" w:line="276" w:lineRule="auto"/>
              <w:ind w:firstLine="743"/>
              <w:jc w:val="both"/>
              <w:rPr>
                <w:rFonts w:ascii="Verdana" w:hAnsi="Verdana" w:cs="Arial"/>
                <w:lang w:eastAsia="es-ES"/>
              </w:rPr>
            </w:pPr>
            <w:r w:rsidRPr="004F3256">
              <w:rPr>
                <w:rFonts w:ascii="Verdana" w:eastAsia="Calibri" w:hAnsi="Verdana" w:cs="Arial"/>
                <w:iCs/>
              </w:rPr>
              <w:lastRenderedPageBreak/>
              <w:t xml:space="preserve">Conforme a lo expuesto, las entidades estatales pueden incluir en el valor de sus contratos los costos directos e indirectos- </w:t>
            </w:r>
            <w:proofErr w:type="spellStart"/>
            <w:r w:rsidRPr="004F3256">
              <w:rPr>
                <w:rFonts w:ascii="Verdana" w:eastAsia="Calibri" w:hAnsi="Verdana" w:cs="Arial"/>
                <w:i/>
                <w:iCs/>
              </w:rPr>
              <w:t>overhead</w:t>
            </w:r>
            <w:proofErr w:type="spellEnd"/>
            <w:r w:rsidRPr="004F3256">
              <w:rPr>
                <w:rFonts w:ascii="Verdana" w:eastAsia="Calibri" w:hAnsi="Verdana" w:cs="Arial"/>
                <w:i/>
                <w:iCs/>
              </w:rPr>
              <w:t>-,</w:t>
            </w:r>
            <w:r w:rsidRPr="004F3256">
              <w:rPr>
                <w:rFonts w:ascii="Verdana" w:eastAsia="Calibri" w:hAnsi="Verdana" w:cs="Arial"/>
                <w:iCs/>
              </w:rPr>
              <w:t xml:space="preserve"> asociados al precio de la ejecución del contrato, lo que indica que se trata de un elemento vinculado al cálculo de la remuneración o pago en favor de los contratistas del estado, que se incluye, como ya se expresó, con la finalidad de generar estabilidad en dicho precio, tanto favor del contratista, como de la entidad contratante. Cuando los costos indirectos -</w:t>
            </w:r>
            <w:proofErr w:type="spellStart"/>
            <w:r w:rsidRPr="004F3256">
              <w:rPr>
                <w:rFonts w:ascii="Verdana" w:eastAsia="Calibri" w:hAnsi="Verdana" w:cs="Arial"/>
                <w:i/>
              </w:rPr>
              <w:t>overhead</w:t>
            </w:r>
            <w:proofErr w:type="spellEnd"/>
            <w:r w:rsidRPr="004F3256">
              <w:rPr>
                <w:rFonts w:ascii="Verdana" w:eastAsia="Calibri" w:hAnsi="Verdana" w:cs="Arial"/>
                <w:i/>
              </w:rPr>
              <w:t xml:space="preserve">- </w:t>
            </w:r>
            <w:r w:rsidRPr="004F3256">
              <w:rPr>
                <w:rFonts w:ascii="Verdana" w:eastAsia="Calibri" w:hAnsi="Verdana" w:cs="Arial"/>
                <w:iCs/>
              </w:rPr>
              <w:t>han sido expresamente contemplados dentro de la estructura económica del contrato, ya sea en los estudios previos, en la propuesta del contratista o en las cláusulas contractuales, estos resultan obligatorios y su reconocimiento y pago debe efectuarse en los términos y condiciones pactados. En tal medida, la entidad contratante no puede desconocer o excluir unilateralmente dichos costos una vez incorporados al precio, salvo que exista una modificación válida del contrato o una causa legal que justifique su ajuste.</w:t>
            </w:r>
          </w:p>
          <w:p w14:paraId="70A42A83" w14:textId="77777777" w:rsidR="00237BDE" w:rsidRPr="004F3256" w:rsidRDefault="00237BDE" w:rsidP="005148DF">
            <w:pPr>
              <w:snapToGrid w:val="0"/>
              <w:spacing w:after="120" w:line="276" w:lineRule="auto"/>
              <w:jc w:val="both"/>
              <w:rPr>
                <w:rFonts w:ascii="Verdana" w:hAnsi="Verdana" w:cs="Arial"/>
                <w:bCs/>
                <w:color w:val="000000" w:themeColor="text1"/>
                <w:szCs w:val="24"/>
                <w:lang w:eastAsia="es-ES_tradnl" w:bidi="es-ES"/>
              </w:rPr>
            </w:pPr>
            <w:proofErr w:type="spellStart"/>
            <w:r w:rsidRPr="004F3256">
              <w:rPr>
                <w:rFonts w:ascii="Verdana" w:hAnsi="Verdana" w:cs="Arial"/>
                <w:lang w:eastAsia="es-ES"/>
              </w:rPr>
              <w:t>ii</w:t>
            </w:r>
            <w:proofErr w:type="spellEnd"/>
            <w:r w:rsidRPr="004F3256">
              <w:rPr>
                <w:rFonts w:ascii="Verdana" w:hAnsi="Verdana" w:cs="Arial"/>
                <w:lang w:eastAsia="es-ES"/>
              </w:rPr>
              <w:t xml:space="preserve">. </w:t>
            </w:r>
            <w:r w:rsidRPr="004F3256">
              <w:rPr>
                <w:rFonts w:ascii="Verdana" w:eastAsia="Calibri" w:hAnsi="Verdana" w:cs="Arial"/>
                <w:bCs/>
                <w:color w:val="000000" w:themeColor="text1"/>
                <w:lang w:eastAsia="es-ES_tradnl" w:bidi="es-ES"/>
              </w:rPr>
              <w:t>Si bien el Estatuto General de Contratación de la Administración Pública hace referencia de manera expresa al contrato interadministrativo o, en términos generales, a los interadministrativos y no al convenio,</w:t>
            </w:r>
            <w:r w:rsidRPr="004F3256">
              <w:rPr>
                <w:rFonts w:ascii="Verdana" w:eastAsia="Calibri" w:hAnsi="Verdana" w:cs="Arial"/>
                <w:color w:val="000000" w:themeColor="text1"/>
                <w:lang w:val="es-ES_tradnl"/>
              </w:rPr>
              <w:t xml:space="preserve"> tanto jurisprudencial como doctrinariamente, se han hecho diferenciaciones conceptuales entre </w:t>
            </w:r>
            <w:r w:rsidRPr="004F3256">
              <w:rPr>
                <w:rFonts w:ascii="Verdana" w:hAnsi="Verdana" w:cs="Arial"/>
                <w:bCs/>
                <w:color w:val="000000" w:themeColor="text1"/>
                <w:szCs w:val="24"/>
                <w:lang w:eastAsia="es-ES_tradnl" w:bidi="es-ES"/>
              </w:rPr>
              <w:t xml:space="preserve">los </w:t>
            </w:r>
            <w:proofErr w:type="gramStart"/>
            <w:r w:rsidRPr="004F3256">
              <w:rPr>
                <w:rFonts w:ascii="Verdana" w:hAnsi="Verdana" w:cs="Arial"/>
                <w:bCs/>
                <w:color w:val="000000" w:themeColor="text1"/>
                <w:szCs w:val="24"/>
                <w:lang w:eastAsia="es-ES_tradnl" w:bidi="es-ES"/>
              </w:rPr>
              <w:t>contratos interadministrativos y los convenios interadministrativos</w:t>
            </w:r>
            <w:proofErr w:type="gramEnd"/>
            <w:r w:rsidRPr="004F3256">
              <w:rPr>
                <w:rFonts w:ascii="Verdana" w:hAnsi="Verdana" w:cs="Arial"/>
                <w:bCs/>
                <w:color w:val="000000" w:themeColor="text1"/>
                <w:szCs w:val="24"/>
                <w:lang w:eastAsia="es-ES_tradnl" w:bidi="es-ES"/>
              </w:rPr>
              <w:t xml:space="preserve"> de que trata el artículo 95 de la Ley 489 de 1998, que para efectos de la consulta planteada resultan determinantes. </w:t>
            </w:r>
          </w:p>
          <w:p w14:paraId="64FFC778" w14:textId="77777777" w:rsidR="00237BDE" w:rsidRPr="004F3256" w:rsidRDefault="00237BDE" w:rsidP="005148DF">
            <w:pPr>
              <w:snapToGrid w:val="0"/>
              <w:spacing w:after="120" w:line="276" w:lineRule="auto"/>
              <w:ind w:firstLine="601"/>
              <w:jc w:val="both"/>
              <w:rPr>
                <w:rFonts w:ascii="Verdana" w:eastAsia="Calibri" w:hAnsi="Verdana" w:cs="Arial"/>
                <w:bCs/>
                <w:color w:val="000000" w:themeColor="text1"/>
                <w:lang w:eastAsia="es-ES_tradnl" w:bidi="es-ES"/>
              </w:rPr>
            </w:pPr>
            <w:r w:rsidRPr="004F3256">
              <w:rPr>
                <w:rFonts w:ascii="Verdana" w:hAnsi="Verdana" w:cs="Arial"/>
                <w:bCs/>
                <w:color w:val="000000" w:themeColor="text1"/>
                <w:szCs w:val="24"/>
                <w:lang w:eastAsia="es-ES_tradnl" w:bidi="es-ES"/>
              </w:rPr>
              <w:t xml:space="preserve">En este sentido, la jurisprudencia del Consejo de Estado ha resaltado que aunque </w:t>
            </w:r>
            <w:r w:rsidRPr="004F3256">
              <w:rPr>
                <w:rFonts w:ascii="Verdana" w:eastAsia="Calibri" w:hAnsi="Verdana" w:cs="Arial"/>
                <w:bCs/>
                <w:color w:val="000000" w:themeColor="text1"/>
                <w:lang w:eastAsia="es-ES_tradnl" w:bidi="es-ES"/>
              </w:rPr>
              <w:t xml:space="preserve">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involucran la ejecución de actividades en función de un interés común para las partes; en esencia se pretende el cumplimiento de fines coincidentes entre quienes lo ejecutan. </w:t>
            </w:r>
          </w:p>
          <w:p w14:paraId="43942561" w14:textId="77777777" w:rsidR="00237BDE" w:rsidRPr="004F3256" w:rsidRDefault="00237BDE" w:rsidP="005148DF">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 xml:space="preserve">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w:t>
            </w:r>
            <w:r w:rsidRPr="004F3256">
              <w:rPr>
                <w:rFonts w:ascii="Verdana" w:eastAsia="Calibri" w:hAnsi="Verdana" w:cs="Arial"/>
                <w:bCs/>
                <w:color w:val="000000" w:themeColor="text1"/>
                <w:lang w:eastAsia="es-ES_tradnl" w:bidi="es-ES"/>
              </w:rPr>
              <w:lastRenderedPageBreak/>
              <w:t>relación jurídica patrimonial, onerosa y conmutativa, en la que existen unas exigencias y restricciones normativas adicionales, de manera que, en efecto, dista de la naturaleza y esencia del convenio interadministrativo.</w:t>
            </w:r>
          </w:p>
          <w:p w14:paraId="256ACB76" w14:textId="77777777" w:rsidR="00237BDE" w:rsidRPr="004F3256" w:rsidRDefault="00237BDE" w:rsidP="005148DF">
            <w:pPr>
              <w:snapToGrid w:val="0"/>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szCs w:val="24"/>
                <w:lang w:eastAsia="es-ES_tradnl"/>
              </w:rPr>
              <w:t xml:space="preserve">En la práctica, en los convenios interadministrativos que las entidades celebran no suele pactarse un precio o remuneración, lo que no significa que, para la ejecución de sus compromisos, no puedan </w:t>
            </w:r>
            <w:r w:rsidRPr="004F3256">
              <w:rPr>
                <w:rFonts w:ascii="Verdana" w:eastAsia="Times New Roman" w:hAnsi="Verdana" w:cs="Arial"/>
                <w:lang w:eastAsia="es-ES_tradnl"/>
              </w:rPr>
              <w:t>afectar sus respectivos presupuestos y ejecutar recursos públicos.</w:t>
            </w:r>
          </w:p>
          <w:p w14:paraId="0D0C43D0" w14:textId="77777777" w:rsidR="00237BDE" w:rsidRPr="004F3256" w:rsidRDefault="00237BDE" w:rsidP="005148DF">
            <w:pPr>
              <w:snapToGrid w:val="0"/>
              <w:spacing w:after="120" w:line="276" w:lineRule="auto"/>
              <w:ind w:firstLine="709"/>
              <w:jc w:val="both"/>
              <w:rPr>
                <w:rFonts w:ascii="Verdana" w:eastAsia="Times New Roman" w:hAnsi="Verdana" w:cs="Arial"/>
                <w:b/>
                <w:bCs/>
                <w:iCs/>
                <w:lang w:eastAsia="es-ES_tradnl"/>
              </w:rPr>
            </w:pPr>
            <w:r w:rsidRPr="004F3256">
              <w:rPr>
                <w:rFonts w:ascii="Verdana" w:eastAsia="Calibri" w:hAnsi="Verdana" w:cs="Arial"/>
                <w:bCs/>
                <w:color w:val="000000" w:themeColor="text1"/>
                <w:lang w:eastAsia="es-ES_tradnl" w:bidi="es-ES"/>
              </w:rPr>
              <w:t xml:space="preserve">En este contexto, </w:t>
            </w:r>
            <w:r w:rsidRPr="004F3256">
              <w:rPr>
                <w:rFonts w:ascii="Verdana" w:eastAsia="Times New Roman" w:hAnsi="Verdana" w:cs="Arial"/>
                <w:iCs/>
                <w:lang w:eastAsia="es-ES_tradnl"/>
              </w:rPr>
              <w:t xml:space="preserve">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 </w:t>
            </w:r>
          </w:p>
          <w:p w14:paraId="2A924327" w14:textId="77777777" w:rsidR="00237BDE" w:rsidRPr="004F3256" w:rsidRDefault="00237BDE" w:rsidP="005148DF">
            <w:pPr>
              <w:spacing w:after="120" w:line="276" w:lineRule="auto"/>
              <w:ind w:firstLine="743"/>
              <w:jc w:val="both"/>
              <w:rPr>
                <w:rFonts w:ascii="Verdana" w:eastAsia="Times New Roman" w:hAnsi="Verdana" w:cs="Arial"/>
                <w:lang w:eastAsia="es-ES_tradnl"/>
              </w:rPr>
            </w:pPr>
            <w:r w:rsidRPr="004F3256">
              <w:rPr>
                <w:rFonts w:ascii="Verdana" w:eastAsia="Times New Roman" w:hAnsi="Verdana" w:cs="Arial"/>
                <w:lang w:eastAsia="es-ES_tradnl"/>
              </w:rPr>
              <w:t xml:space="preserve">Se aclara que la determinación de estos costos o gastos administrativos en los convenios no pueden ocultar una remuneración verdadera o una utilidad en favor de alguna de las entidades que concurre a su suscripción, así como tampoco pueden emplearse para aspectos distintos del cumplimiento de los compromisos asumidos, pues en tal evento no se trataría de un </w:t>
            </w:r>
            <w:proofErr w:type="gramStart"/>
            <w:r w:rsidRPr="004F3256">
              <w:rPr>
                <w:rFonts w:ascii="Verdana" w:eastAsia="Times New Roman" w:hAnsi="Verdana" w:cs="Arial"/>
                <w:lang w:eastAsia="es-ES_tradnl"/>
              </w:rPr>
              <w:t>convenio</w:t>
            </w:r>
            <w:proofErr w:type="gramEnd"/>
            <w:r w:rsidRPr="004F3256">
              <w:rPr>
                <w:rFonts w:ascii="Verdana" w:eastAsia="Times New Roman" w:hAnsi="Verdana" w:cs="Arial"/>
                <w:lang w:eastAsia="es-ES_tradnl"/>
              </w:rPr>
              <w:t xml:space="preserve"> sino que su connotación transmutaría a un contrato interadministrativo.</w:t>
            </w:r>
          </w:p>
          <w:p w14:paraId="4826F8AC" w14:textId="77777777" w:rsidR="00237BDE" w:rsidRPr="004F3256" w:rsidRDefault="00237BDE" w:rsidP="005148DF">
            <w:pPr>
              <w:spacing w:after="120" w:line="276" w:lineRule="auto"/>
              <w:ind w:firstLine="743"/>
              <w:jc w:val="both"/>
              <w:rPr>
                <w:rFonts w:ascii="Verdana" w:hAnsi="Verdana" w:cs="Arial"/>
                <w:lang w:eastAsia="es-ES"/>
              </w:rPr>
            </w:pPr>
            <w:r w:rsidRPr="004F3256">
              <w:rPr>
                <w:rFonts w:ascii="Verdana" w:eastAsia="Times New Roman" w:hAnsi="Verdana" w:cs="Arial"/>
                <w:iCs/>
                <w:lang w:eastAsia="es-ES_tradnl"/>
              </w:rPr>
              <w:t>En conclusión, si la noción de costos indirectos –</w:t>
            </w:r>
            <w:proofErr w:type="spellStart"/>
            <w:r w:rsidRPr="004F3256">
              <w:rPr>
                <w:rFonts w:ascii="Verdana" w:eastAsia="Times New Roman" w:hAnsi="Verdana" w:cs="Arial"/>
                <w:iCs/>
                <w:lang w:eastAsia="es-ES_tradnl"/>
              </w:rPr>
              <w:t>overhead</w:t>
            </w:r>
            <w:proofErr w:type="spellEnd"/>
            <w:r w:rsidRPr="004F3256">
              <w:rPr>
                <w:rFonts w:ascii="Verdana" w:eastAsia="Times New Roman" w:hAnsi="Verdana" w:cs="Arial"/>
                <w:iCs/>
                <w:lang w:eastAsia="es-ES_tradnl"/>
              </w:rPr>
              <w:t>-, tal y como se explicó, es una noción asociada al cálculo del precio que se pagará al contratista por parte de la Entidad Estatal contratante, es decir una contraprestación, este concepto resulta inaplicable tratándose de convenios interadministrativos, en los cuales, los compromisos de contenido patrimonial se deben dirigir a cubrir los costos que genera la ejecución de las actividades asociadas al mismo, pero no a pagar a una de las entidades por la realización de sus respectivos compromisos o una utilidad a favor de ellas.</w:t>
            </w:r>
          </w:p>
        </w:tc>
      </w:tr>
    </w:tbl>
    <w:p w14:paraId="28A8ED48" w14:textId="77777777" w:rsidR="00237BDE" w:rsidRPr="004F3256" w:rsidRDefault="00237BDE" w:rsidP="00237BDE">
      <w:pPr>
        <w:tabs>
          <w:tab w:val="left" w:pos="142"/>
          <w:tab w:val="left" w:pos="284"/>
        </w:tabs>
        <w:spacing w:after="0" w:line="276" w:lineRule="auto"/>
        <w:jc w:val="both"/>
        <w:rPr>
          <w:rFonts w:ascii="Verdana" w:eastAsia="Century Gothic" w:hAnsi="Verdana" w:cs="Century Gothic"/>
          <w:b/>
          <w:bCs/>
        </w:rPr>
      </w:pPr>
    </w:p>
    <w:bookmarkEnd w:id="2"/>
    <w:p w14:paraId="73A3AC6F" w14:textId="77777777" w:rsidR="00237BDE" w:rsidRPr="004F3256" w:rsidRDefault="00237BDE" w:rsidP="00237BDE">
      <w:pPr>
        <w:numPr>
          <w:ilvl w:val="0"/>
          <w:numId w:val="17"/>
        </w:numPr>
        <w:tabs>
          <w:tab w:val="left" w:pos="142"/>
          <w:tab w:val="left" w:pos="284"/>
        </w:tabs>
        <w:spacing w:after="0" w:line="276" w:lineRule="auto"/>
        <w:ind w:left="1068"/>
        <w:jc w:val="both"/>
        <w:rPr>
          <w:rFonts w:ascii="Verdana" w:eastAsia="Century Gothic" w:hAnsi="Verdana" w:cs="Century Gothic"/>
          <w:b/>
          <w:bCs/>
        </w:rPr>
      </w:pPr>
      <w:r w:rsidRPr="004F3256">
        <w:rPr>
          <w:rFonts w:ascii="Verdana" w:eastAsia="Century Gothic" w:hAnsi="Verdana" w:cs="Century Gothic"/>
          <w:b/>
          <w:bCs/>
        </w:rPr>
        <w:t>Razones de las respuestas:</w:t>
      </w:r>
    </w:p>
    <w:p w14:paraId="691B10E3" w14:textId="77777777" w:rsidR="00237BDE" w:rsidRPr="004F3256" w:rsidRDefault="00237BDE" w:rsidP="00237BDE">
      <w:pPr>
        <w:spacing w:after="0" w:line="276" w:lineRule="auto"/>
        <w:jc w:val="both"/>
        <w:rPr>
          <w:rFonts w:ascii="Verdana" w:eastAsia="Calibri" w:hAnsi="Verdana" w:cs="Arial"/>
          <w:color w:val="7030A0"/>
        </w:rPr>
      </w:pPr>
    </w:p>
    <w:p w14:paraId="4E63CA54" w14:textId="77777777" w:rsidR="00237BDE" w:rsidRPr="004F3256" w:rsidRDefault="00237BDE" w:rsidP="00237BDE">
      <w:pPr>
        <w:spacing w:after="0" w:line="276" w:lineRule="auto"/>
        <w:jc w:val="both"/>
        <w:rPr>
          <w:rFonts w:ascii="Verdana" w:eastAsia="Calibri" w:hAnsi="Verdana" w:cs="Arial"/>
        </w:rPr>
      </w:pPr>
      <w:r w:rsidRPr="004F3256">
        <w:rPr>
          <w:rFonts w:ascii="Verdana" w:eastAsia="Calibri" w:hAnsi="Verdana" w:cs="Arial"/>
        </w:rPr>
        <w:t>Lo anterior se sustenta en las siguientes consideraciones:</w:t>
      </w:r>
    </w:p>
    <w:p w14:paraId="6555C7A3" w14:textId="77777777" w:rsidR="00237BDE" w:rsidRPr="004F3256" w:rsidRDefault="00237BDE" w:rsidP="00237BDE">
      <w:pPr>
        <w:spacing w:after="0" w:line="276" w:lineRule="auto"/>
        <w:jc w:val="both"/>
        <w:rPr>
          <w:rFonts w:ascii="Verdana" w:eastAsia="Calibri" w:hAnsi="Verdana" w:cs="Arial"/>
        </w:rPr>
      </w:pPr>
    </w:p>
    <w:p w14:paraId="26D8B13A" w14:textId="77777777" w:rsidR="00237BDE" w:rsidRPr="004F3256" w:rsidRDefault="00237BDE" w:rsidP="00237BDE">
      <w:pPr>
        <w:spacing w:after="0" w:line="276" w:lineRule="auto"/>
        <w:jc w:val="both"/>
        <w:rPr>
          <w:rFonts w:ascii="Verdana" w:hAnsi="Verdana" w:cs="Arial"/>
          <w:bCs/>
          <w:szCs w:val="24"/>
          <w:lang w:val="es-ES_tradnl" w:eastAsia="es-ES_tradnl"/>
        </w:rPr>
      </w:pPr>
      <w:r w:rsidRPr="004F3256">
        <w:rPr>
          <w:rFonts w:ascii="Verdana" w:hAnsi="Verdana" w:cs="Arial"/>
          <w:bCs/>
          <w:szCs w:val="24"/>
          <w:lang w:val="es-ES_tradnl" w:eastAsia="es-ES_tradnl"/>
        </w:rPr>
        <w:t>i. 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6213BEF5" w14:textId="77777777" w:rsidR="00237BDE" w:rsidRPr="004F3256" w:rsidRDefault="00237BDE" w:rsidP="00237BDE">
      <w:pPr>
        <w:spacing w:before="120" w:after="0" w:line="276" w:lineRule="auto"/>
        <w:ind w:firstLine="709"/>
        <w:jc w:val="both"/>
        <w:rPr>
          <w:rFonts w:ascii="Verdana" w:hAnsi="Verdana" w:cs="Arial"/>
          <w:lang w:val="es-ES" w:eastAsia="es-ES"/>
        </w:rPr>
      </w:pPr>
      <w:r w:rsidRPr="004F3256">
        <w:rPr>
          <w:rFonts w:ascii="Verdana"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4F3256">
        <w:rPr>
          <w:rFonts w:ascii="Verdana" w:hAnsi="Verdana" w:cs="Arial"/>
          <w:vertAlign w:val="superscript"/>
          <w:lang w:val="es-ES" w:eastAsia="es-ES"/>
        </w:rPr>
        <w:footnoteReference w:id="2"/>
      </w:r>
      <w:r w:rsidRPr="004F3256">
        <w:rPr>
          <w:rFonts w:ascii="Verdana" w:hAnsi="Verdana" w:cs="Arial"/>
          <w:lang w:val="es-ES" w:eastAsia="es-ES"/>
        </w:rPr>
        <w:t xml:space="preserve">. No hay, pues, una sola metodología para pactar el precio y, en gran medida, la manera de hacerlo ha obedecido a la costumbre mercantil y a la influencia de disciplinas técnicas, como </w:t>
      </w:r>
      <w:r w:rsidRPr="004F3256">
        <w:rPr>
          <w:rFonts w:ascii="Verdana" w:hAnsi="Verdana" w:cs="Arial"/>
          <w:lang w:val="es-ES" w:eastAsia="es-ES"/>
        </w:rPr>
        <w:lastRenderedPageBreak/>
        <w:t xml:space="preserve">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4F3256">
        <w:rPr>
          <w:rFonts w:ascii="Verdana" w:hAnsi="Verdana" w:cs="Arial"/>
          <w:lang w:val="es-ES" w:eastAsia="es-ES"/>
        </w:rPr>
        <w:t>ii</w:t>
      </w:r>
      <w:proofErr w:type="spellEnd"/>
      <w:r w:rsidRPr="004F3256">
        <w:rPr>
          <w:rFonts w:ascii="Verdana" w:hAnsi="Verdana" w:cs="Arial"/>
          <w:lang w:val="es-ES" w:eastAsia="es-ES"/>
        </w:rPr>
        <w:t xml:space="preserve">) el precio global –que equivale al monto total, sin discriminar unidades–, y </w:t>
      </w:r>
      <w:proofErr w:type="spellStart"/>
      <w:r w:rsidRPr="004F3256">
        <w:rPr>
          <w:rFonts w:ascii="Verdana" w:hAnsi="Verdana" w:cs="Arial"/>
          <w:lang w:val="es-ES" w:eastAsia="es-ES"/>
        </w:rPr>
        <w:t>iii</w:t>
      </w:r>
      <w:proofErr w:type="spellEnd"/>
      <w:r w:rsidRPr="004F3256">
        <w:rPr>
          <w:rFonts w:ascii="Verdana" w:hAnsi="Verdana" w:cs="Arial"/>
          <w:lang w:val="es-ES" w:eastAsia="es-ES"/>
        </w:rPr>
        <w:t>) la administración delegada de recursos –en la que se distinguen los costos de inversión de los honorarios del administrador–.</w:t>
      </w:r>
    </w:p>
    <w:p w14:paraId="2A91A262" w14:textId="77777777" w:rsidR="00237BDE" w:rsidRPr="004F3256" w:rsidRDefault="00237BDE" w:rsidP="00237BDE">
      <w:pPr>
        <w:spacing w:before="120" w:after="0" w:line="276" w:lineRule="auto"/>
        <w:ind w:firstLine="709"/>
        <w:jc w:val="both"/>
        <w:rPr>
          <w:rFonts w:ascii="Verdana" w:hAnsi="Verdana" w:cs="Arial"/>
          <w:lang w:val="es-ES" w:eastAsia="es-ES"/>
        </w:rPr>
      </w:pPr>
      <w:r w:rsidRPr="004F3256">
        <w:rPr>
          <w:rFonts w:ascii="Verdana"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4F3256">
        <w:rPr>
          <w:rFonts w:ascii="Verdana" w:hAnsi="Verdana" w:cs="Arial"/>
          <w:i/>
          <w:iCs/>
          <w:lang w:val="es-ES" w:eastAsia="es-ES"/>
        </w:rPr>
        <w:t>costos directos</w:t>
      </w:r>
      <w:r w:rsidRPr="004F3256">
        <w:rPr>
          <w:rFonts w:ascii="Verdana" w:hAnsi="Verdana" w:cs="Arial"/>
          <w:lang w:val="es-ES" w:eastAsia="es-ES"/>
        </w:rPr>
        <w:t xml:space="preserve"> –es decir, los que están directamente implicados en la ejecución del objeto–, de los </w:t>
      </w:r>
      <w:r w:rsidRPr="004F3256">
        <w:rPr>
          <w:rFonts w:ascii="Verdana" w:hAnsi="Verdana" w:cs="Arial"/>
          <w:i/>
          <w:iCs/>
          <w:lang w:val="es-ES" w:eastAsia="es-ES"/>
        </w:rPr>
        <w:t>costos indirectos</w:t>
      </w:r>
      <w:r w:rsidRPr="004F3256">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4F3256">
        <w:rPr>
          <w:rFonts w:ascii="Verdana" w:hAnsi="Verdana" w:cs="Arial"/>
          <w:i/>
          <w:iCs/>
          <w:lang w:val="es-ES" w:eastAsia="es-ES"/>
        </w:rPr>
        <w:t>costos directos</w:t>
      </w:r>
      <w:r w:rsidRPr="004F3256">
        <w:rPr>
          <w:rFonts w:ascii="Verdana" w:hAnsi="Verdana" w:cs="Arial"/>
          <w:lang w:val="es-ES" w:eastAsia="es-ES"/>
        </w:rPr>
        <w:t xml:space="preserve"> se evidencian en el análisis de precios unitarios –APU–, como la sumatoria de los valores de los </w:t>
      </w:r>
      <w:r w:rsidRPr="004F3256">
        <w:rPr>
          <w:rFonts w:ascii="Verdana" w:hAnsi="Verdana" w:cs="Arial"/>
          <w:i/>
          <w:iCs/>
          <w:lang w:val="es-ES" w:eastAsia="es-ES"/>
        </w:rPr>
        <w:t>ítems</w:t>
      </w:r>
      <w:r w:rsidRPr="004F3256">
        <w:rPr>
          <w:rFonts w:ascii="Verdana" w:hAnsi="Verdana" w:cs="Arial"/>
          <w:lang w:val="es-ES" w:eastAsia="es-ES"/>
        </w:rPr>
        <w:t xml:space="preserve"> según su unidad de medida, los </w:t>
      </w:r>
      <w:r w:rsidRPr="004F3256">
        <w:rPr>
          <w:rFonts w:ascii="Verdana" w:hAnsi="Verdana" w:cs="Arial"/>
          <w:i/>
          <w:iCs/>
          <w:lang w:val="es-ES" w:eastAsia="es-ES"/>
        </w:rPr>
        <w:t>costos indirectos</w:t>
      </w:r>
      <w:r w:rsidRPr="004F3256">
        <w:rPr>
          <w:rFonts w:ascii="Verdana" w:hAnsi="Verdana" w:cs="Arial"/>
          <w:lang w:val="es-ES" w:eastAsia="es-ES"/>
        </w:rPr>
        <w:t xml:space="preserve"> se suelen abreviar en las variables que integran el acrónimo AIU –Administración, Imprevistos y Utilidad–. </w:t>
      </w:r>
    </w:p>
    <w:p w14:paraId="300F5A3A" w14:textId="77777777" w:rsidR="00237BDE" w:rsidRPr="004F3256" w:rsidRDefault="00237BDE" w:rsidP="00237BDE">
      <w:pPr>
        <w:spacing w:before="120" w:after="0" w:line="276" w:lineRule="auto"/>
        <w:ind w:firstLine="709"/>
        <w:jc w:val="both"/>
        <w:rPr>
          <w:rFonts w:ascii="Verdana" w:hAnsi="Verdana" w:cs="Arial"/>
          <w:bCs/>
          <w:szCs w:val="24"/>
          <w:lang w:eastAsia="es-ES_tradnl"/>
        </w:rPr>
      </w:pPr>
      <w:r w:rsidRPr="004F3256">
        <w:rPr>
          <w:rFonts w:ascii="Verdana" w:hAnsi="Verdana" w:cs="Arial"/>
          <w:bCs/>
          <w:szCs w:val="24"/>
          <w:lang w:val="es-ES" w:eastAsia="es-ES_tradnl"/>
        </w:rPr>
        <w:t>L</w:t>
      </w:r>
      <w:r w:rsidRPr="004F3256">
        <w:rPr>
          <w:rFonts w:ascii="Verdana" w:hAnsi="Verdana" w:cs="Arial"/>
          <w:bCs/>
          <w:szCs w:val="24"/>
          <w:lang w:val="es-ES_tradnl" w:eastAsia="es-ES_tradnl"/>
        </w:rPr>
        <w:t xml:space="preserve">a jurisprudencia ha señalado que “[…] </w:t>
      </w:r>
      <w:r w:rsidRPr="004F3256">
        <w:rPr>
          <w:rFonts w:ascii="Verdana"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4F3256">
        <w:rPr>
          <w:rFonts w:ascii="Verdana" w:hAnsi="Verdana" w:cs="Arial"/>
          <w:bCs/>
          <w:szCs w:val="24"/>
          <w:lang w:eastAsia="es-ES_tradnl"/>
        </w:rPr>
        <w:t>los mismos</w:t>
      </w:r>
      <w:proofErr w:type="gramEnd"/>
      <w:r w:rsidRPr="004F3256">
        <w:rPr>
          <w:rFonts w:ascii="Verdana" w:hAnsi="Verdana" w:cs="Arial"/>
          <w:bCs/>
          <w:szCs w:val="24"/>
          <w:lang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4F3256">
        <w:rPr>
          <w:rFonts w:ascii="Verdana" w:hAnsi="Verdana" w:cs="Arial"/>
          <w:bCs/>
          <w:szCs w:val="24"/>
          <w:lang w:val="es-ES_tradnl" w:eastAsia="es-ES_tradnl"/>
        </w:rPr>
        <w:t>”</w:t>
      </w:r>
      <w:r w:rsidRPr="004F3256">
        <w:rPr>
          <w:rFonts w:ascii="Verdana" w:hAnsi="Verdana" w:cs="Arial"/>
          <w:bCs/>
          <w:szCs w:val="24"/>
          <w:vertAlign w:val="superscript"/>
          <w:lang w:val="es-ES_tradnl" w:eastAsia="es-ES_tradnl"/>
        </w:rPr>
        <w:footnoteReference w:id="3"/>
      </w:r>
      <w:r w:rsidRPr="004F3256">
        <w:rPr>
          <w:rFonts w:ascii="Verdana"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580527A1" w14:textId="77777777" w:rsidR="00237BDE" w:rsidRPr="004F3256" w:rsidRDefault="00237BDE" w:rsidP="00237BDE">
      <w:pPr>
        <w:spacing w:after="0" w:line="276" w:lineRule="auto"/>
        <w:ind w:firstLine="709"/>
        <w:jc w:val="both"/>
        <w:rPr>
          <w:rFonts w:ascii="Verdana" w:hAnsi="Verdana" w:cs="Arial"/>
          <w:bCs/>
          <w:sz w:val="20"/>
          <w:szCs w:val="20"/>
          <w:lang w:eastAsia="es-ES_tradnl"/>
        </w:rPr>
      </w:pPr>
    </w:p>
    <w:p w14:paraId="58CE2D0B" w14:textId="77777777" w:rsidR="00237BDE" w:rsidRPr="004F3256" w:rsidRDefault="00237BDE" w:rsidP="00237BDE">
      <w:pPr>
        <w:tabs>
          <w:tab w:val="left" w:pos="709"/>
        </w:tabs>
        <w:spacing w:after="120" w:line="240" w:lineRule="auto"/>
        <w:ind w:left="709" w:right="709"/>
        <w:jc w:val="both"/>
        <w:rPr>
          <w:rFonts w:ascii="Verdana" w:hAnsi="Verdana" w:cs="Arial"/>
          <w:sz w:val="20"/>
          <w:szCs w:val="20"/>
          <w:lang w:val="es-ES" w:eastAsia="es-ES"/>
        </w:rPr>
      </w:pPr>
      <w:r w:rsidRPr="004F3256">
        <w:rPr>
          <w:rFonts w:ascii="Verdana" w:hAnsi="Verdana" w:cs="Arial"/>
          <w:sz w:val="20"/>
          <w:szCs w:val="20"/>
          <w:lang w:val="es-ES" w:eastAsia="es-ES"/>
        </w:rPr>
        <w:t xml:space="preserve">“Cada uno de los valores unitarios resultan de un análisis de los componentes requeridos para su elaboración, estudio que se denomina </w:t>
      </w:r>
      <w:r w:rsidRPr="004F3256">
        <w:rPr>
          <w:rFonts w:ascii="Verdana" w:hAnsi="Verdana" w:cs="Arial"/>
          <w:sz w:val="20"/>
          <w:szCs w:val="20"/>
          <w:lang w:val="es-ES" w:eastAsia="es-ES"/>
        </w:rPr>
        <w:lastRenderedPageBreak/>
        <w:t>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78A2EBDD" w14:textId="77777777" w:rsidR="00237BDE" w:rsidRPr="004F3256" w:rsidRDefault="00237BDE" w:rsidP="00237BDE">
      <w:pPr>
        <w:tabs>
          <w:tab w:val="left" w:pos="709"/>
        </w:tabs>
        <w:spacing w:after="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4F3256">
        <w:rPr>
          <w:rFonts w:ascii="Verdana" w:hAnsi="Verdana" w:cs="Arial"/>
          <w:sz w:val="20"/>
          <w:szCs w:val="20"/>
          <w:vertAlign w:val="superscript"/>
          <w:lang w:val="es-ES_tradnl" w:eastAsia="es-ES_tradnl"/>
        </w:rPr>
        <w:footnoteReference w:id="4"/>
      </w:r>
      <w:r w:rsidRPr="004F3256">
        <w:rPr>
          <w:rFonts w:ascii="Verdana" w:hAnsi="Verdana" w:cs="Arial"/>
          <w:sz w:val="20"/>
          <w:szCs w:val="20"/>
          <w:lang w:val="es-ES_tradnl" w:eastAsia="es-ES_tradnl"/>
        </w:rPr>
        <w:t xml:space="preserve">. </w:t>
      </w:r>
    </w:p>
    <w:p w14:paraId="1D3F7A91" w14:textId="77777777" w:rsidR="00237BDE" w:rsidRPr="004F3256" w:rsidRDefault="00237BDE" w:rsidP="00237BDE">
      <w:pPr>
        <w:tabs>
          <w:tab w:val="left" w:pos="709"/>
        </w:tabs>
        <w:spacing w:after="0" w:line="276" w:lineRule="auto"/>
        <w:ind w:left="709" w:right="760"/>
        <w:jc w:val="both"/>
        <w:rPr>
          <w:rFonts w:ascii="Verdana" w:hAnsi="Verdana" w:cs="Arial"/>
          <w:szCs w:val="24"/>
          <w:lang w:val="es-ES_tradnl" w:eastAsia="es-ES_tradnl"/>
        </w:rPr>
      </w:pPr>
    </w:p>
    <w:p w14:paraId="274DDB21" w14:textId="77777777" w:rsidR="00237BDE" w:rsidRPr="004F3256" w:rsidRDefault="00237BDE" w:rsidP="00237BDE">
      <w:pPr>
        <w:spacing w:after="0" w:line="276" w:lineRule="auto"/>
        <w:ind w:firstLine="709"/>
        <w:jc w:val="both"/>
        <w:rPr>
          <w:rFonts w:ascii="Verdana" w:hAnsi="Verdana" w:cs="Arial"/>
          <w:szCs w:val="24"/>
          <w:lang w:val="es-ES_tradnl" w:eastAsia="es-ES_tradnl"/>
        </w:rPr>
      </w:pPr>
      <w:r w:rsidRPr="004F3256">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70DC3B48" w14:textId="77777777" w:rsidR="00237BDE" w:rsidRPr="004F3256" w:rsidRDefault="00237BDE" w:rsidP="00237BDE">
      <w:pPr>
        <w:spacing w:after="0" w:line="276" w:lineRule="auto"/>
        <w:ind w:firstLine="709"/>
        <w:jc w:val="both"/>
        <w:rPr>
          <w:rFonts w:ascii="Verdana" w:hAnsi="Verdana" w:cs="Arial"/>
          <w:szCs w:val="24"/>
          <w:lang w:val="es-ES_tradnl" w:eastAsia="es-ES_tradnl"/>
        </w:rPr>
      </w:pPr>
    </w:p>
    <w:p w14:paraId="4BDB1F22" w14:textId="77777777" w:rsidR="00237BDE" w:rsidRPr="004F3256" w:rsidRDefault="00237BDE" w:rsidP="00237BDE">
      <w:pPr>
        <w:tabs>
          <w:tab w:val="left" w:pos="709"/>
        </w:tabs>
        <w:spacing w:after="12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 xml:space="preserve">“[…] el AIU propuesto para el contrato, corresponde a: </w:t>
      </w:r>
    </w:p>
    <w:p w14:paraId="30463D6F" w14:textId="77777777" w:rsidR="00237BDE" w:rsidRPr="004F3256" w:rsidRDefault="00237BDE" w:rsidP="00237BDE">
      <w:pPr>
        <w:tabs>
          <w:tab w:val="left" w:pos="709"/>
        </w:tabs>
        <w:spacing w:after="12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 xml:space="preserve">i) los costos de administración o costos indirectos para la operación del contrato, tales como los gastos de disponibilidad de la organización del contratista, esto es: A; </w:t>
      </w:r>
    </w:p>
    <w:p w14:paraId="11AF9C40" w14:textId="77777777" w:rsidR="00237BDE" w:rsidRPr="004F3256" w:rsidRDefault="00237BDE" w:rsidP="00237BDE">
      <w:pPr>
        <w:tabs>
          <w:tab w:val="left" w:pos="709"/>
        </w:tabs>
        <w:spacing w:after="120" w:line="240" w:lineRule="auto"/>
        <w:ind w:left="709" w:right="709"/>
        <w:jc w:val="both"/>
        <w:rPr>
          <w:rFonts w:ascii="Verdana" w:hAnsi="Verdana" w:cs="Arial"/>
          <w:sz w:val="20"/>
          <w:szCs w:val="20"/>
          <w:lang w:val="es-ES" w:eastAsia="es-ES"/>
        </w:rPr>
      </w:pPr>
      <w:proofErr w:type="spellStart"/>
      <w:r w:rsidRPr="004F3256">
        <w:rPr>
          <w:rFonts w:ascii="Verdana" w:hAnsi="Verdana" w:cs="Arial"/>
          <w:sz w:val="20"/>
          <w:szCs w:val="20"/>
          <w:lang w:val="es-ES" w:eastAsia="es-ES"/>
        </w:rPr>
        <w:t>ii</w:t>
      </w:r>
      <w:proofErr w:type="spellEnd"/>
      <w:r w:rsidRPr="004F3256">
        <w:rPr>
          <w:rFonts w:ascii="Verdana"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sidRPr="004F3256">
        <w:rPr>
          <w:rFonts w:ascii="Verdana" w:hAnsi="Verdana" w:cs="Arial"/>
          <w:sz w:val="20"/>
          <w:szCs w:val="20"/>
          <w:lang w:val="es-ES" w:eastAsia="es-ES"/>
        </w:rPr>
        <w:t>álea</w:t>
      </w:r>
      <w:proofErr w:type="spellEnd"/>
      <w:r w:rsidRPr="004F3256">
        <w:rPr>
          <w:rFonts w:ascii="Verdana" w:hAnsi="Verdana" w:cs="Arial"/>
          <w:sz w:val="20"/>
          <w:szCs w:val="20"/>
          <w:lang w:val="es-ES" w:eastAsia="es-ES"/>
        </w:rPr>
        <w:t xml:space="preserve"> normal del contrato: I; </w:t>
      </w:r>
    </w:p>
    <w:p w14:paraId="1909FD52" w14:textId="77777777" w:rsidR="00237BDE" w:rsidRPr="004F3256" w:rsidRDefault="00237BDE" w:rsidP="00237BDE">
      <w:pPr>
        <w:tabs>
          <w:tab w:val="left" w:pos="709"/>
        </w:tabs>
        <w:spacing w:after="120" w:line="240" w:lineRule="auto"/>
        <w:ind w:left="709" w:right="709"/>
        <w:jc w:val="both"/>
        <w:rPr>
          <w:rFonts w:ascii="Verdana" w:hAnsi="Verdana" w:cs="Arial"/>
          <w:sz w:val="20"/>
          <w:szCs w:val="20"/>
          <w:lang w:val="es-ES" w:eastAsia="es-ES"/>
        </w:rPr>
      </w:pPr>
      <w:proofErr w:type="spellStart"/>
      <w:r w:rsidRPr="004F3256">
        <w:rPr>
          <w:rFonts w:ascii="Verdana" w:hAnsi="Verdana" w:cs="Arial"/>
          <w:sz w:val="20"/>
          <w:szCs w:val="20"/>
          <w:lang w:val="es-ES" w:eastAsia="es-ES"/>
        </w:rPr>
        <w:t>iii</w:t>
      </w:r>
      <w:proofErr w:type="spellEnd"/>
      <w:r w:rsidRPr="004F3256">
        <w:rPr>
          <w:rFonts w:ascii="Verdana" w:hAnsi="Verdana" w:cs="Arial"/>
          <w:sz w:val="20"/>
          <w:szCs w:val="20"/>
          <w:lang w:val="es-ES" w:eastAsia="es-ES"/>
        </w:rPr>
        <w:t xml:space="preserve">) la utilidad o el beneficio económico que pretende percibir el contratista por la ejecución del contrato, esto es: U. </w:t>
      </w:r>
    </w:p>
    <w:p w14:paraId="2F4803DD" w14:textId="77777777" w:rsidR="00237BDE" w:rsidRPr="004F3256" w:rsidRDefault="00237BDE" w:rsidP="00237BDE">
      <w:pPr>
        <w:tabs>
          <w:tab w:val="left" w:pos="709"/>
        </w:tabs>
        <w:spacing w:after="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4F3256">
        <w:rPr>
          <w:rFonts w:ascii="Verdana" w:hAnsi="Verdana" w:cs="Arial"/>
          <w:sz w:val="20"/>
          <w:szCs w:val="20"/>
          <w:vertAlign w:val="superscript"/>
          <w:lang w:val="es-ES_tradnl" w:eastAsia="es-ES_tradnl"/>
        </w:rPr>
        <w:footnoteReference w:id="5"/>
      </w:r>
      <w:r w:rsidRPr="004F3256">
        <w:rPr>
          <w:rFonts w:ascii="Verdana" w:hAnsi="Verdana" w:cs="Arial"/>
          <w:sz w:val="20"/>
          <w:szCs w:val="20"/>
          <w:lang w:val="es-ES_tradnl" w:eastAsia="es-ES_tradnl"/>
        </w:rPr>
        <w:t>.</w:t>
      </w:r>
    </w:p>
    <w:p w14:paraId="78C8FD4A" w14:textId="77777777" w:rsidR="00237BDE" w:rsidRPr="004F3256" w:rsidRDefault="00237BDE" w:rsidP="00237BDE">
      <w:pPr>
        <w:tabs>
          <w:tab w:val="left" w:pos="709"/>
        </w:tabs>
        <w:spacing w:after="0" w:line="276" w:lineRule="auto"/>
        <w:ind w:left="709" w:right="760"/>
        <w:jc w:val="both"/>
        <w:rPr>
          <w:rFonts w:ascii="Verdana" w:hAnsi="Verdana" w:cs="Arial"/>
          <w:szCs w:val="24"/>
          <w:lang w:val="es-ES_tradnl" w:eastAsia="es-ES_tradnl"/>
        </w:rPr>
      </w:pPr>
    </w:p>
    <w:p w14:paraId="51A9EF13" w14:textId="77777777" w:rsidR="00237BDE" w:rsidRPr="004F3256" w:rsidRDefault="00237BDE" w:rsidP="00237BDE">
      <w:pPr>
        <w:spacing w:after="120" w:line="276" w:lineRule="auto"/>
        <w:ind w:firstLine="709"/>
        <w:jc w:val="both"/>
        <w:rPr>
          <w:rFonts w:ascii="Verdana" w:hAnsi="Verdana" w:cs="Arial"/>
          <w:lang w:val="es-ES" w:eastAsia="es-ES"/>
        </w:rPr>
      </w:pPr>
      <w:r w:rsidRPr="004F3256">
        <w:rPr>
          <w:rFonts w:ascii="Verdana" w:hAnsi="Verdana" w:cs="Arial"/>
          <w:lang w:val="es-ES" w:eastAsia="es-ES"/>
        </w:rPr>
        <w:t>A su turno, la Sala de Consulta y Servicio Civil del Consejo de Estado sostuvo en concepto del 5 de septiembre de 2018</w:t>
      </w:r>
      <w:r w:rsidRPr="004F3256">
        <w:rPr>
          <w:rFonts w:ascii="Verdana" w:hAnsi="Verdana" w:cs="Arial"/>
          <w:vertAlign w:val="superscript"/>
          <w:lang w:val="es-ES" w:eastAsia="es-ES"/>
        </w:rPr>
        <w:footnoteReference w:id="6"/>
      </w:r>
      <w:r w:rsidRPr="004F3256">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4F3256">
        <w:rPr>
          <w:rFonts w:ascii="Verdana" w:hAnsi="Verdana" w:cs="Arial"/>
          <w:lang w:val="es-ES" w:eastAsia="es-ES"/>
        </w:rPr>
        <w:t>la misma</w:t>
      </w:r>
      <w:proofErr w:type="gramEnd"/>
      <w:r w:rsidRPr="004F3256">
        <w:rPr>
          <w:rFonts w:ascii="Verdana" w:hAnsi="Verdana" w:cs="Arial"/>
          <w:lang w:val="es-ES" w:eastAsia="es-ES"/>
        </w:rPr>
        <w:t>, sin perjuicio que en otros contratos este valor no aparezca discriminado y se incorpore en el valor de los precios unitarios”</w:t>
      </w:r>
      <w:r w:rsidRPr="004F3256">
        <w:rPr>
          <w:rFonts w:ascii="Verdana" w:hAnsi="Verdana" w:cs="Arial"/>
          <w:vertAlign w:val="superscript"/>
          <w:lang w:val="es-ES" w:eastAsia="es-ES"/>
        </w:rPr>
        <w:footnoteReference w:id="7"/>
      </w:r>
      <w:r w:rsidRPr="004F3256">
        <w:rPr>
          <w:rFonts w:ascii="Verdana" w:hAnsi="Verdana" w:cs="Arial"/>
          <w:lang w:val="es-ES" w:eastAsia="es-ES"/>
        </w:rPr>
        <w:t xml:space="preserve">. </w:t>
      </w:r>
    </w:p>
    <w:p w14:paraId="7F459B04" w14:textId="77777777" w:rsidR="00237BDE" w:rsidRPr="004F3256" w:rsidRDefault="00237BDE" w:rsidP="00237BDE">
      <w:pPr>
        <w:spacing w:after="120" w:line="276" w:lineRule="auto"/>
        <w:ind w:firstLine="709"/>
        <w:jc w:val="both"/>
        <w:rPr>
          <w:rFonts w:ascii="Verdana" w:hAnsi="Verdana" w:cs="Arial"/>
          <w:bCs/>
          <w:szCs w:val="24"/>
          <w:lang w:val="es-ES_tradnl" w:eastAsia="es-ES_tradnl"/>
        </w:rPr>
      </w:pPr>
      <w:r w:rsidRPr="004F3256">
        <w:rPr>
          <w:rFonts w:ascii="Verdana" w:hAnsi="Verdana" w:cs="Arial"/>
          <w:bCs/>
          <w:szCs w:val="24"/>
          <w:lang w:val="es-ES_tradnl" w:eastAsia="es-ES_tradnl"/>
        </w:rPr>
        <w:t xml:space="preserve">Así pues, ni el sistema de precios unitarios –como metodología de estipulación del valor contractual–, </w:t>
      </w:r>
      <w:r w:rsidRPr="004F3256">
        <w:rPr>
          <w:rFonts w:ascii="Verdana" w:hAnsi="Verdana" w:cs="Arial"/>
          <w:lang w:eastAsia="es-ES"/>
        </w:rPr>
        <w:t>ni el concepto de costos directos e indirectos</w:t>
      </w:r>
      <w:r w:rsidRPr="004F3256">
        <w:rPr>
          <w:rFonts w:ascii="Verdana" w:hAnsi="Verdana" w:cs="Arial"/>
          <w:bCs/>
          <w:szCs w:val="24"/>
          <w:lang w:val="es-ES_tradnl" w:eastAsia="es-ES_tradnl"/>
        </w:rPr>
        <w:t>,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4F3256">
        <w:rPr>
          <w:rFonts w:ascii="Verdana" w:hAnsi="Verdana" w:cs="Arial"/>
          <w:bCs/>
          <w:szCs w:val="24"/>
          <w:vertAlign w:val="superscript"/>
          <w:lang w:val="es-ES_tradnl" w:eastAsia="es-ES_tradnl"/>
        </w:rPr>
        <w:footnoteReference w:id="8"/>
      </w:r>
      <w:r w:rsidRPr="004F3256">
        <w:rPr>
          <w:rFonts w:ascii="Verdana" w:hAnsi="Verdana" w:cs="Arial"/>
          <w:bCs/>
          <w:szCs w:val="24"/>
          <w:lang w:val="es-ES_tradnl" w:eastAsia="es-ES_tradnl"/>
        </w:rPr>
        <w:t xml:space="preserve">. De otro lado, quien define el valor de cada </w:t>
      </w:r>
      <w:r w:rsidRPr="004F3256">
        <w:rPr>
          <w:rFonts w:ascii="Verdana" w:hAnsi="Verdana" w:cs="Arial"/>
          <w:bCs/>
          <w:i/>
          <w:iCs/>
          <w:szCs w:val="24"/>
          <w:lang w:val="es-ES_tradnl" w:eastAsia="es-ES_tradnl"/>
        </w:rPr>
        <w:t>letra</w:t>
      </w:r>
      <w:r w:rsidRPr="004F3256">
        <w:rPr>
          <w:rFonts w:ascii="Verdana" w:hAnsi="Verdana" w:cs="Arial"/>
          <w:bCs/>
          <w:szCs w:val="24"/>
          <w:lang w:val="es-ES_tradnl" w:eastAsia="es-ES_tradnl"/>
        </w:rPr>
        <w:t xml:space="preserve"> –AIU– es el proponente, pues goza de libertad empresarial para hacerlo en la elaboración de su oferta</w:t>
      </w:r>
      <w:r w:rsidRPr="004F3256">
        <w:rPr>
          <w:rFonts w:ascii="Verdana" w:hAnsi="Verdana" w:cs="Arial"/>
          <w:bCs/>
          <w:szCs w:val="24"/>
          <w:vertAlign w:val="superscript"/>
          <w:lang w:val="es-ES_tradnl" w:eastAsia="es-ES_tradnl"/>
        </w:rPr>
        <w:footnoteReference w:id="9"/>
      </w:r>
      <w:r w:rsidRPr="004F3256">
        <w:rPr>
          <w:rFonts w:ascii="Verdana" w:hAnsi="Verdana" w:cs="Arial"/>
          <w:bCs/>
          <w:szCs w:val="24"/>
          <w:lang w:val="es-ES_tradnl" w:eastAsia="es-ES_tradnl"/>
        </w:rPr>
        <w:t>.</w:t>
      </w:r>
    </w:p>
    <w:p w14:paraId="2C58F6F8" w14:textId="77777777" w:rsidR="00237BDE" w:rsidRPr="004F3256" w:rsidRDefault="00237BDE" w:rsidP="00237BDE">
      <w:pPr>
        <w:snapToGrid w:val="0"/>
        <w:spacing w:after="120" w:line="276" w:lineRule="auto"/>
        <w:ind w:firstLine="743"/>
        <w:jc w:val="both"/>
        <w:rPr>
          <w:rFonts w:ascii="Verdana" w:hAnsi="Verdana" w:cs="Arial"/>
          <w:bCs/>
          <w:szCs w:val="24"/>
          <w:lang w:val="es-ES_tradnl" w:eastAsia="es-ES_tradnl"/>
        </w:rPr>
      </w:pPr>
      <w:r w:rsidRPr="004F3256">
        <w:rPr>
          <w:rFonts w:ascii="Verdana" w:hAnsi="Verdana" w:cs="Arial"/>
          <w:lang w:val="es-ES" w:eastAsia="es-ES"/>
        </w:rPr>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Ahora bien, nada </w:t>
      </w:r>
      <w:r w:rsidRPr="004F3256">
        <w:rPr>
          <w:rFonts w:ascii="Verdana" w:hAnsi="Verdana" w:cs="Arial"/>
          <w:bCs/>
          <w:szCs w:val="24"/>
          <w:lang w:val="es-ES_tradnl" w:eastAsia="es-ES_tradnl"/>
        </w:rPr>
        <w:t xml:space="preserve">obstaría para que las partes le dieran otros efectos particulares a la forma en que pagan el precio estructurado con AIU. Por ejemplo, podrían incluir cláusulas o reglas bajo las cuales se estableciera que el valor de alguno o </w:t>
      </w:r>
      <w:r w:rsidRPr="004F3256">
        <w:rPr>
          <w:rFonts w:ascii="Verdana" w:hAnsi="Verdana" w:cs="Arial"/>
          <w:bCs/>
          <w:szCs w:val="24"/>
          <w:lang w:val="es-ES_tradnl" w:eastAsia="es-ES_tradnl"/>
        </w:rPr>
        <w:lastRenderedPageBreak/>
        <w:t xml:space="preserve">de todos los componentes de la </w:t>
      </w:r>
      <w:r w:rsidRPr="004F3256">
        <w:rPr>
          <w:rFonts w:ascii="Verdana" w:hAnsi="Verdana" w:cs="Arial"/>
          <w:bCs/>
          <w:i/>
          <w:iCs/>
          <w:szCs w:val="24"/>
          <w:lang w:val="es-ES_tradnl" w:eastAsia="es-ES_tradnl"/>
        </w:rPr>
        <w:t>Administración</w:t>
      </w:r>
      <w:r w:rsidRPr="004F3256">
        <w:rPr>
          <w:rFonts w:ascii="Verdana" w:hAnsi="Verdana" w:cs="Arial"/>
          <w:bCs/>
          <w:szCs w:val="24"/>
          <w:lang w:val="es-ES_tradnl" w:eastAsia="es-ES_tradnl"/>
        </w:rPr>
        <w:t xml:space="preserve"> o los </w:t>
      </w:r>
      <w:r w:rsidRPr="004F3256">
        <w:rPr>
          <w:rFonts w:ascii="Verdana" w:hAnsi="Verdana" w:cs="Arial"/>
          <w:bCs/>
          <w:i/>
          <w:iCs/>
          <w:szCs w:val="24"/>
          <w:lang w:val="es-ES_tradnl" w:eastAsia="es-ES_tradnl"/>
        </w:rPr>
        <w:t>Imprevistos</w:t>
      </w:r>
      <w:r w:rsidRPr="004F3256">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6C074E00" w14:textId="77777777" w:rsidR="00237BDE" w:rsidRPr="004F3256" w:rsidRDefault="00237BDE" w:rsidP="00237BDE">
      <w:pPr>
        <w:snapToGrid w:val="0"/>
        <w:spacing w:after="120" w:line="276" w:lineRule="auto"/>
        <w:ind w:firstLine="601"/>
        <w:jc w:val="both"/>
        <w:rPr>
          <w:rFonts w:ascii="Verdana" w:hAnsi="Verdana" w:cs="Arial"/>
          <w:lang w:val="es-ES" w:eastAsia="es-ES"/>
        </w:rPr>
      </w:pPr>
      <w:r w:rsidRPr="004F3256">
        <w:rPr>
          <w:rFonts w:ascii="Verdana" w:hAnsi="Verdana" w:cs="Arial"/>
          <w:lang w:eastAsia="es-ES"/>
        </w:rPr>
        <w:t xml:space="preserve">Sin embargo, </w:t>
      </w:r>
      <w:r w:rsidRPr="004F3256">
        <w:rPr>
          <w:rFonts w:ascii="Verdana" w:hAnsi="Verdana" w:cs="Arial"/>
          <w:lang w:val="es-ES" w:eastAsia="es-ES"/>
        </w:rPr>
        <w:t xml:space="preserve">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6F4841E5" w14:textId="77777777" w:rsidR="00237BDE" w:rsidRPr="004F3256" w:rsidRDefault="00237BDE" w:rsidP="00237BDE">
      <w:pPr>
        <w:snapToGrid w:val="0"/>
        <w:spacing w:after="120" w:line="276" w:lineRule="auto"/>
        <w:ind w:firstLine="601"/>
        <w:jc w:val="both"/>
        <w:rPr>
          <w:rFonts w:ascii="Verdana" w:eastAsia="Calibri" w:hAnsi="Verdana" w:cs="Arial"/>
          <w:bCs/>
          <w:szCs w:val="24"/>
          <w:lang w:val="es-ES_tradnl" w:eastAsia="es-ES_tradnl"/>
        </w:rPr>
      </w:pPr>
      <w:r w:rsidRPr="004F3256">
        <w:rPr>
          <w:rFonts w:ascii="Verdana" w:eastAsia="Calibri" w:hAnsi="Verdana"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4F3256">
        <w:rPr>
          <w:rFonts w:ascii="Verdana" w:eastAsia="Calibri" w:hAnsi="Verdana" w:cs="Arial"/>
          <w:bCs/>
          <w:i/>
          <w:iCs/>
          <w:szCs w:val="24"/>
          <w:lang w:val="es-ES_tradnl" w:eastAsia="es-ES_tradnl"/>
        </w:rPr>
        <w:t xml:space="preserve">indirectos </w:t>
      </w:r>
      <w:r w:rsidRPr="004F3256">
        <w:rPr>
          <w:rFonts w:ascii="Verdana" w:eastAsia="Calibri" w:hAnsi="Verdana" w:cs="Arial"/>
          <w:bCs/>
          <w:szCs w:val="24"/>
          <w:lang w:val="es-ES_tradnl" w:eastAsia="es-ES_tradnl"/>
        </w:rPr>
        <w:t xml:space="preserve">en que incurren los contratistas, entre ellos, los de la </w:t>
      </w:r>
      <w:r w:rsidRPr="004F3256">
        <w:rPr>
          <w:rFonts w:ascii="Verdana" w:eastAsia="Calibri" w:hAnsi="Verdana" w:cs="Arial"/>
          <w:bCs/>
          <w:i/>
          <w:iCs/>
          <w:szCs w:val="24"/>
          <w:lang w:val="es-ES_tradnl" w:eastAsia="es-ES_tradnl"/>
        </w:rPr>
        <w:t xml:space="preserve">Administración </w:t>
      </w:r>
      <w:r w:rsidRPr="004F3256">
        <w:rPr>
          <w:rFonts w:ascii="Verdana" w:eastAsia="Calibri" w:hAnsi="Verdana" w:cs="Arial"/>
          <w:lang w:val="es-ES_tradnl" w:eastAsia="es-ES"/>
        </w:rPr>
        <w:t>y</w:t>
      </w:r>
      <w:r w:rsidRPr="004F3256">
        <w:rPr>
          <w:rFonts w:ascii="Verdana" w:eastAsia="Calibri" w:hAnsi="Verdana" w:cs="Arial"/>
          <w:lang w:val="es-ES" w:eastAsia="es-ES"/>
        </w:rPr>
        <w:t xml:space="preserve"> lo</w:t>
      </w:r>
      <w:r w:rsidRPr="004F3256">
        <w:rPr>
          <w:rFonts w:ascii="Verdana" w:eastAsia="Calibri" w:hAnsi="Verdana" w:cs="Arial"/>
          <w:i/>
          <w:iCs/>
          <w:lang w:val="es-ES" w:eastAsia="es-ES"/>
        </w:rPr>
        <w:t>s Imprevistos</w:t>
      </w:r>
      <w:r w:rsidRPr="004F3256">
        <w:rPr>
          <w:rFonts w:ascii="Verdana" w:eastAsia="Calibri" w:hAnsi="Verdana" w:cs="Arial"/>
          <w:bCs/>
          <w:szCs w:val="24"/>
          <w:lang w:val="es-ES_tradnl" w:eastAsia="es-ES_tradnl"/>
        </w:rPr>
        <w:t>, para efectos de definir el porcentaje con el que calculan el presupuesto, pese a que el monto de estos componentes varía ostensiblemente de un proponente a otro, pues su valor real depende de circunstancias particulares de los oferentes</w:t>
      </w:r>
      <w:r w:rsidRPr="004F3256">
        <w:rPr>
          <w:rFonts w:ascii="Verdana" w:eastAsia="Calibri" w:hAnsi="Verdana" w:cs="Times New Roman"/>
          <w:vertAlign w:val="superscript"/>
          <w:lang w:val="es-ES" w:eastAsia="es-ES_tradnl"/>
        </w:rPr>
        <w:footnoteReference w:id="10"/>
      </w:r>
      <w:r w:rsidRPr="004F3256">
        <w:rPr>
          <w:rFonts w:ascii="Verdana" w:eastAsia="Calibri" w:hAnsi="Verdana" w:cs="Arial"/>
          <w:bCs/>
          <w:szCs w:val="24"/>
          <w:lang w:val="es-ES_tradnl" w:eastAsia="es-ES_tradnl"/>
        </w:rPr>
        <w:t xml:space="preserve">. </w:t>
      </w:r>
    </w:p>
    <w:p w14:paraId="4214DD9C" w14:textId="77777777" w:rsidR="00237BDE" w:rsidRPr="004F3256" w:rsidRDefault="00237BDE" w:rsidP="00237BDE">
      <w:pPr>
        <w:snapToGrid w:val="0"/>
        <w:spacing w:after="120" w:line="276" w:lineRule="auto"/>
        <w:ind w:firstLine="601"/>
        <w:jc w:val="both"/>
        <w:rPr>
          <w:rFonts w:ascii="Verdana" w:eastAsia="Calibri" w:hAnsi="Verdana" w:cs="Arial"/>
          <w:bCs/>
          <w:szCs w:val="24"/>
          <w:lang w:val="es-ES_tradnl" w:eastAsia="es-ES_tradnl"/>
        </w:rPr>
      </w:pPr>
      <w:r w:rsidRPr="004F3256">
        <w:rPr>
          <w:rFonts w:ascii="Verdana" w:eastAsia="Calibri" w:hAnsi="Verdana" w:cs="Arial"/>
          <w:lang w:eastAsia="es-ES"/>
        </w:rPr>
        <w:t xml:space="preserve">Así las cosas, las partes asumen los riesgos inherentes a esta forma de pactar el precio, entendiendo aceptados los aleas normales que se presenten en la ejecución del contrato, de manera que, aunque el contratista incurra en mayores costos de los ítems incluidos en la </w:t>
      </w:r>
      <w:r w:rsidRPr="004F3256">
        <w:rPr>
          <w:rFonts w:ascii="Verdana" w:eastAsia="Calibri" w:hAnsi="Verdana" w:cs="Arial"/>
          <w:i/>
          <w:iCs/>
          <w:lang w:eastAsia="es-ES"/>
        </w:rPr>
        <w:t>Administración</w:t>
      </w:r>
      <w:r w:rsidRPr="004F3256">
        <w:rPr>
          <w:rFonts w:ascii="Verdana" w:eastAsia="Calibri" w:hAnsi="Verdana" w:cs="Arial"/>
          <w:lang w:eastAsia="es-ES"/>
        </w:rPr>
        <w:t xml:space="preserve"> o en más gastos de </w:t>
      </w:r>
      <w:r w:rsidRPr="004F3256">
        <w:rPr>
          <w:rFonts w:ascii="Verdana" w:eastAsia="Calibri" w:hAnsi="Verdana" w:cs="Arial"/>
          <w:i/>
          <w:iCs/>
          <w:lang w:eastAsia="es-ES"/>
        </w:rPr>
        <w:t>Imprevistos</w:t>
      </w:r>
      <w:r w:rsidRPr="004F3256">
        <w:rPr>
          <w:rFonts w:ascii="Verdana" w:eastAsia="Calibri" w:hAnsi="Verdana" w:cs="Arial"/>
          <w:lang w:eastAsia="es-ES"/>
        </w:rPr>
        <w:t xml:space="preserve"> al presentar su oferta, o que estos disminuyan, aparezcan algunos nuevos o desaparezcan algunos de ellos, el valor se mantenga invariable.</w:t>
      </w:r>
    </w:p>
    <w:p w14:paraId="35868768" w14:textId="77777777" w:rsidR="00237BDE" w:rsidRPr="004F3256" w:rsidRDefault="00237BDE" w:rsidP="00237BDE">
      <w:pPr>
        <w:snapToGrid w:val="0"/>
        <w:spacing w:after="120" w:line="276" w:lineRule="auto"/>
        <w:ind w:firstLine="601"/>
        <w:jc w:val="both"/>
        <w:rPr>
          <w:rFonts w:ascii="Verdana" w:eastAsia="Calibri" w:hAnsi="Verdana" w:cs="Arial"/>
          <w:lang w:val="es-ES" w:eastAsia="es-ES"/>
        </w:rPr>
      </w:pPr>
      <w:r w:rsidRPr="004F3256">
        <w:rPr>
          <w:rFonts w:ascii="Verdana" w:eastAsia="Calibri"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w:t>
      </w:r>
      <w:r w:rsidRPr="004F3256">
        <w:rPr>
          <w:rFonts w:ascii="Verdana" w:eastAsia="Calibri" w:hAnsi="Verdana" w:cs="Arial"/>
          <w:lang w:val="es-ES" w:eastAsia="es-ES"/>
        </w:rPr>
        <w:lastRenderedPageBreak/>
        <w:t xml:space="preserve">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4F3256">
        <w:rPr>
          <w:rFonts w:ascii="Verdana" w:eastAsia="Calibri" w:hAnsi="Verdana" w:cs="Arial"/>
          <w:i/>
          <w:iCs/>
          <w:lang w:val="es-ES" w:eastAsia="es-ES"/>
        </w:rPr>
        <w:t>Administración</w:t>
      </w:r>
      <w:r w:rsidRPr="004F3256">
        <w:rPr>
          <w:rFonts w:ascii="Verdana" w:eastAsia="Calibri" w:hAnsi="Verdana" w:cs="Arial"/>
          <w:lang w:val="es-ES" w:eastAsia="es-ES"/>
        </w:rPr>
        <w:t xml:space="preserve"> o de </w:t>
      </w:r>
      <w:r w:rsidRPr="004F3256">
        <w:rPr>
          <w:rFonts w:ascii="Verdana" w:eastAsia="Calibri" w:hAnsi="Verdana" w:cs="Arial"/>
          <w:i/>
          <w:iCs/>
          <w:lang w:val="es-ES" w:eastAsia="es-ES"/>
        </w:rPr>
        <w:t>Imprevistos</w:t>
      </w:r>
      <w:r w:rsidRPr="004F3256">
        <w:rPr>
          <w:rFonts w:ascii="Verdana" w:eastAsia="Calibri" w:hAnsi="Verdana" w:cs="Times New Roman"/>
          <w:vertAlign w:val="superscript"/>
          <w:lang w:val="es-ES" w:eastAsia="es-ES"/>
        </w:rPr>
        <w:footnoteReference w:id="11"/>
      </w:r>
      <w:r w:rsidRPr="004F3256">
        <w:rPr>
          <w:rFonts w:ascii="Verdana" w:eastAsia="Calibri" w:hAnsi="Verdana" w:cs="Arial"/>
          <w:lang w:val="es-ES" w:eastAsia="es-ES"/>
        </w:rPr>
        <w:t>.</w:t>
      </w:r>
    </w:p>
    <w:p w14:paraId="0505838A" w14:textId="77777777" w:rsidR="00237BDE" w:rsidRPr="004F3256" w:rsidRDefault="00237BDE" w:rsidP="00237BDE">
      <w:pPr>
        <w:spacing w:before="120" w:after="0" w:line="276" w:lineRule="auto"/>
        <w:ind w:firstLine="709"/>
        <w:jc w:val="both"/>
        <w:rPr>
          <w:rFonts w:ascii="Verdana" w:hAnsi="Verdana" w:cs="Arial"/>
          <w:lang w:val="es-ES" w:eastAsia="es-ES"/>
        </w:rPr>
      </w:pPr>
      <w:r w:rsidRPr="004F3256">
        <w:rPr>
          <w:rFonts w:ascii="Verdana" w:hAnsi="Verdana" w:cs="Arial"/>
          <w:lang w:val="es-ES" w:eastAsia="es-ES"/>
        </w:rPr>
        <w:t>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r w:rsidRPr="004F3256">
        <w:rPr>
          <w:rFonts w:ascii="Verdana" w:hAnsi="Verdana" w:cs="Arial"/>
          <w:vertAlign w:val="superscript"/>
          <w:lang w:val="es-ES" w:eastAsia="es-ES"/>
        </w:rPr>
        <w:footnoteReference w:id="12"/>
      </w:r>
      <w:r w:rsidRPr="004F3256">
        <w:rPr>
          <w:rFonts w:ascii="Verdana" w:hAnsi="Verdana" w:cs="Arial"/>
          <w:lang w:val="es-ES" w:eastAsia="es-ES"/>
        </w:rPr>
        <w:t xml:space="preserve">”. En términos similares, pero más precisos, la doctrina, recogiendo la casuística de los contratos estatales, señala de forma más pormenorizada los gastos que se asocian a la –A–, donde se incluyen importantes costos indirectos en que se incurre en la ejecución: </w:t>
      </w:r>
    </w:p>
    <w:p w14:paraId="3F94080B" w14:textId="77777777" w:rsidR="00237BDE" w:rsidRPr="004F3256" w:rsidRDefault="00237BDE" w:rsidP="00237BDE">
      <w:pPr>
        <w:spacing w:after="0" w:line="276" w:lineRule="auto"/>
        <w:jc w:val="both"/>
        <w:rPr>
          <w:rFonts w:ascii="Verdana" w:hAnsi="Verdana" w:cs="Arial"/>
          <w:bCs/>
          <w:szCs w:val="24"/>
          <w:lang w:val="es-ES_tradnl" w:eastAsia="es-ES_tradnl"/>
        </w:rPr>
      </w:pPr>
    </w:p>
    <w:p w14:paraId="2D056FB4" w14:textId="77777777" w:rsidR="00237BDE" w:rsidRPr="004F3256" w:rsidRDefault="00237BDE" w:rsidP="00237BDE">
      <w:pPr>
        <w:spacing w:after="0" w:line="240" w:lineRule="auto"/>
        <w:ind w:left="709" w:right="709"/>
        <w:jc w:val="both"/>
        <w:rPr>
          <w:rFonts w:ascii="Verdana" w:hAnsi="Verdana" w:cs="Arial"/>
          <w:sz w:val="20"/>
          <w:szCs w:val="20"/>
          <w:lang w:val="es-ES" w:eastAsia="es-ES"/>
        </w:rPr>
      </w:pPr>
      <w:r w:rsidRPr="004F3256">
        <w:rPr>
          <w:rFonts w:ascii="Verdana" w:hAnsi="Verdana" w:cs="Arial"/>
          <w:sz w:val="20"/>
          <w:szCs w:val="20"/>
          <w:lang w:val="es-ES" w:eastAsia="es-ES"/>
        </w:rPr>
        <w:t xml:space="preserve">Para entender mejor el tema conviene especificar que si los gastos que hacen parte de la A se encuentran: i) el pago de salarios y prestaciones sociales del personal profesional y especializado necesario para ejecutar la obra –es el caso del Director de obra, los arquitectos, ingenieros y contadores, eventualmente abogados u otros; pero no se incluyen los obreros–, </w:t>
      </w:r>
      <w:proofErr w:type="spellStart"/>
      <w:r w:rsidRPr="004F3256">
        <w:rPr>
          <w:rFonts w:ascii="Verdana" w:hAnsi="Verdana" w:cs="Arial"/>
          <w:sz w:val="20"/>
          <w:szCs w:val="20"/>
          <w:lang w:val="es-ES" w:eastAsia="es-ES"/>
        </w:rPr>
        <w:t>ii</w:t>
      </w:r>
      <w:proofErr w:type="spellEnd"/>
      <w:r w:rsidRPr="004F3256">
        <w:rPr>
          <w:rFonts w:ascii="Verdana" w:hAnsi="Verdana" w:cs="Arial"/>
          <w:sz w:val="20"/>
          <w:szCs w:val="20"/>
          <w:lang w:val="es-ES" w:eastAsia="es-ES"/>
        </w:rPr>
        <w:t xml:space="preserve">)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w:t>
      </w:r>
      <w:proofErr w:type="spellStart"/>
      <w:r w:rsidRPr="004F3256">
        <w:rPr>
          <w:rFonts w:ascii="Verdana" w:hAnsi="Verdana" w:cs="Arial"/>
          <w:sz w:val="20"/>
          <w:szCs w:val="20"/>
          <w:lang w:val="es-ES" w:eastAsia="es-ES"/>
        </w:rPr>
        <w:t>iii</w:t>
      </w:r>
      <w:proofErr w:type="spellEnd"/>
      <w:r w:rsidRPr="004F3256">
        <w:rPr>
          <w:rFonts w:ascii="Verdana" w:hAnsi="Verdana" w:cs="Arial"/>
          <w:sz w:val="20"/>
          <w:szCs w:val="20"/>
          <w:lang w:val="es-ES" w:eastAsia="es-ES"/>
        </w:rPr>
        <w:t xml:space="preserve">) pago de arrendamiento de las instalaciones necesarias para el funcionamiento de la empresa –oficinas </w:t>
      </w:r>
      <w:r w:rsidRPr="004F3256">
        <w:rPr>
          <w:rFonts w:ascii="Verdana" w:hAnsi="Verdana" w:cs="Arial"/>
          <w:i/>
          <w:sz w:val="20"/>
          <w:szCs w:val="20"/>
          <w:lang w:val="es-ES" w:eastAsia="es-ES"/>
        </w:rPr>
        <w:t xml:space="preserve">y campamento de la obra–; </w:t>
      </w:r>
      <w:proofErr w:type="spellStart"/>
      <w:r w:rsidRPr="004F3256">
        <w:rPr>
          <w:rFonts w:ascii="Verdana" w:hAnsi="Verdana" w:cs="Arial"/>
          <w:sz w:val="20"/>
          <w:szCs w:val="20"/>
          <w:lang w:val="es-ES" w:eastAsia="es-ES"/>
        </w:rPr>
        <w:t>iv</w:t>
      </w:r>
      <w:proofErr w:type="spellEnd"/>
      <w:r w:rsidRPr="004F3256">
        <w:rPr>
          <w:rFonts w:ascii="Verdana" w:hAnsi="Verdana" w:cs="Arial"/>
          <w:sz w:val="20"/>
          <w:szCs w:val="20"/>
          <w:lang w:val="es-ES" w:eastAsia="es-ES"/>
        </w:rPr>
        <w:t xml:space="preserve">) </w:t>
      </w:r>
      <w:r w:rsidRPr="004F3256">
        <w:rPr>
          <w:rFonts w:ascii="Verdana" w:hAnsi="Verdana" w:cs="Arial"/>
          <w:i/>
          <w:sz w:val="20"/>
          <w:szCs w:val="20"/>
          <w:lang w:val="es-ES" w:eastAsia="es-ES"/>
        </w:rPr>
        <w:t>pago de impuestos y gravámenes en general que afectan la actividad o el contrato</w:t>
      </w:r>
      <w:r w:rsidRPr="004F3256">
        <w:rPr>
          <w:rFonts w:ascii="Verdana" w:hAnsi="Verdana" w:cs="Arial"/>
          <w:sz w:val="20"/>
          <w:szCs w:val="20"/>
          <w:lang w:val="es-ES" w:eastAsia="es-ES"/>
        </w:rPr>
        <w:t xml:space="preserve">; v) valor de las fotocopias, papelería en general y equipos de oficina, vi) transporte terrestre, tiquetes aéreos y arrendamiento de vehículos –distintos de la maquinaria que se emplea en la obra–, </w:t>
      </w:r>
      <w:proofErr w:type="spellStart"/>
      <w:r w:rsidRPr="004F3256">
        <w:rPr>
          <w:rFonts w:ascii="Verdana" w:hAnsi="Verdana" w:cs="Arial"/>
          <w:sz w:val="20"/>
          <w:szCs w:val="20"/>
          <w:lang w:val="es-ES" w:eastAsia="es-ES"/>
        </w:rPr>
        <w:t>vii</w:t>
      </w:r>
      <w:proofErr w:type="spellEnd"/>
      <w:r w:rsidRPr="004F3256">
        <w:rPr>
          <w:rFonts w:ascii="Verdana" w:hAnsi="Verdana" w:cs="Arial"/>
          <w:sz w:val="20"/>
          <w:szCs w:val="20"/>
          <w:lang w:val="es-ES" w:eastAsia="es-ES"/>
        </w:rPr>
        <w:t xml:space="preserve">) pólizas del contrato, </w:t>
      </w:r>
      <w:proofErr w:type="spellStart"/>
      <w:r w:rsidRPr="004F3256">
        <w:rPr>
          <w:rFonts w:ascii="Verdana" w:hAnsi="Verdana" w:cs="Arial"/>
          <w:sz w:val="20"/>
          <w:szCs w:val="20"/>
          <w:lang w:val="es-ES" w:eastAsia="es-ES"/>
        </w:rPr>
        <w:t>viii</w:t>
      </w:r>
      <w:proofErr w:type="spellEnd"/>
      <w:r w:rsidRPr="004F3256">
        <w:rPr>
          <w:rFonts w:ascii="Verdana" w:hAnsi="Verdana" w:cs="Arial"/>
          <w:sz w:val="20"/>
          <w:szCs w:val="20"/>
          <w:lang w:val="es-ES" w:eastAsia="es-ES"/>
        </w:rPr>
        <w:t xml:space="preserve">) pago de servicios públicos y otras </w:t>
      </w:r>
      <w:r w:rsidRPr="004F3256">
        <w:rPr>
          <w:rFonts w:ascii="Verdana" w:hAnsi="Verdana" w:cs="Arial"/>
          <w:sz w:val="20"/>
          <w:szCs w:val="20"/>
          <w:lang w:val="es-ES" w:eastAsia="es-ES"/>
        </w:rPr>
        <w:lastRenderedPageBreak/>
        <w:t xml:space="preserve">comunicaciones –como el servicio celular– y </w:t>
      </w:r>
      <w:proofErr w:type="spellStart"/>
      <w:r w:rsidRPr="004F3256">
        <w:rPr>
          <w:rFonts w:ascii="Verdana" w:hAnsi="Verdana" w:cs="Arial"/>
          <w:sz w:val="20"/>
          <w:szCs w:val="20"/>
          <w:lang w:val="es-ES" w:eastAsia="es-ES"/>
        </w:rPr>
        <w:t>ix</w:t>
      </w:r>
      <w:proofErr w:type="spellEnd"/>
      <w:r w:rsidRPr="004F3256">
        <w:rPr>
          <w:rFonts w:ascii="Verdana" w:hAnsi="Verdana" w:cs="Arial"/>
          <w:sz w:val="20"/>
          <w:szCs w:val="20"/>
          <w:lang w:val="es-ES" w:eastAsia="es-ES"/>
        </w:rPr>
        <w:t>) gastos en que se incurra para realizar ensayos de laboratorio</w:t>
      </w:r>
      <w:r w:rsidRPr="004F3256">
        <w:rPr>
          <w:rFonts w:ascii="Verdana" w:hAnsi="Verdana" w:cs="Arial"/>
          <w:sz w:val="20"/>
          <w:szCs w:val="20"/>
          <w:vertAlign w:val="superscript"/>
          <w:lang w:val="es-ES" w:eastAsia="es-ES"/>
        </w:rPr>
        <w:footnoteReference w:id="13"/>
      </w:r>
      <w:r w:rsidRPr="004F3256">
        <w:rPr>
          <w:rFonts w:ascii="Verdana" w:hAnsi="Verdana" w:cs="Arial"/>
          <w:sz w:val="20"/>
          <w:szCs w:val="20"/>
          <w:lang w:val="es-ES" w:eastAsia="es-ES"/>
        </w:rPr>
        <w:t xml:space="preserve"> (Énfasis por fuera de texto)</w:t>
      </w:r>
    </w:p>
    <w:p w14:paraId="449B20D6" w14:textId="77777777" w:rsidR="00237BDE" w:rsidRPr="004F3256" w:rsidRDefault="00237BDE" w:rsidP="00237BDE">
      <w:pPr>
        <w:spacing w:after="0" w:line="240" w:lineRule="auto"/>
        <w:ind w:left="709" w:right="709"/>
        <w:jc w:val="both"/>
        <w:rPr>
          <w:rFonts w:ascii="Verdana" w:hAnsi="Verdana" w:cs="Arial"/>
          <w:bCs/>
          <w:lang w:val="es-ES_tradnl" w:eastAsia="es-ES_tradnl"/>
        </w:rPr>
      </w:pPr>
    </w:p>
    <w:p w14:paraId="0E47806C" w14:textId="77777777" w:rsidR="00237BDE" w:rsidRPr="004F3256" w:rsidRDefault="00237BDE" w:rsidP="00237BDE">
      <w:pPr>
        <w:spacing w:line="276" w:lineRule="auto"/>
        <w:jc w:val="both"/>
        <w:rPr>
          <w:rFonts w:ascii="Verdana" w:hAnsi="Verdana" w:cs="Arial"/>
          <w:lang w:val="es-ES_tradnl"/>
        </w:rPr>
      </w:pPr>
      <w:r w:rsidRPr="004F3256">
        <w:rPr>
          <w:rFonts w:ascii="Verdana" w:hAnsi="Verdana" w:cs="Arial"/>
          <w:lang w:val="es-ES_tradnl"/>
        </w:rPr>
        <w:tab/>
      </w:r>
      <w:r w:rsidRPr="004F3256">
        <w:rPr>
          <w:rFonts w:ascii="Verdana" w:hAnsi="Verdana" w:cs="Arial"/>
          <w:bCs/>
          <w:lang w:val="es-ES_tradnl"/>
        </w:rPr>
        <w:t xml:space="preserve">Asimismo, frente al porcentaje que se determina en el componente A, la doctrina expresa: </w:t>
      </w:r>
      <w:r w:rsidRPr="004F3256">
        <w:rPr>
          <w:rFonts w:ascii="Verdana" w:hAnsi="Verdana" w:cs="Arial"/>
          <w:lang w:val="es-ES_tradnl"/>
        </w:rPr>
        <w:t xml:space="preserve"> </w:t>
      </w:r>
    </w:p>
    <w:p w14:paraId="68165811" w14:textId="77777777" w:rsidR="00237BDE" w:rsidRPr="004F3256" w:rsidRDefault="00237BDE" w:rsidP="00237BDE">
      <w:pPr>
        <w:spacing w:after="0" w:line="240" w:lineRule="auto"/>
        <w:ind w:left="709" w:right="709"/>
        <w:jc w:val="both"/>
        <w:rPr>
          <w:rFonts w:ascii="Verdana" w:hAnsi="Verdana" w:cs="Arial"/>
          <w:sz w:val="20"/>
          <w:szCs w:val="20"/>
          <w:lang w:val="es-ES"/>
        </w:rPr>
      </w:pPr>
      <w:r w:rsidRPr="004F3256">
        <w:rPr>
          <w:rFonts w:ascii="Verdana" w:hAnsi="Verdana" w:cs="Arial"/>
          <w:sz w:val="20"/>
          <w:szCs w:val="20"/>
          <w:lang w:val="es-ES"/>
        </w:rPr>
        <w:t xml:space="preserve">Este porcentaje del valor del contrato también lo determina cada oferente–contratista con libertad, pues a él incumbe establecer cuánto ascienden sus gastos de administración, y si al final resultan superiores no puede exigir de la entidad, por esa sola circunstancia, un reembolso, porque para ella se trataba de un dato indicativo sobre la manera como se halla el valor total de la obra, de ninguna manera determinante de la forma como se paga cada actividad. A la inversa sucede lo mismo, si el gasto es inferior al presupuestado la entidad no puede pagar menos de lo pactado, sino los precios unitarios acordados por la </w:t>
      </w:r>
      <w:r w:rsidRPr="004F3256">
        <w:rPr>
          <w:rFonts w:ascii="Verdana" w:hAnsi="Verdana" w:cs="Arial"/>
          <w:i/>
          <w:sz w:val="20"/>
          <w:szCs w:val="20"/>
          <w:lang w:val="es-ES"/>
        </w:rPr>
        <w:t>A</w:t>
      </w:r>
      <w:r w:rsidRPr="004F3256">
        <w:rPr>
          <w:rFonts w:ascii="Verdana" w:hAnsi="Verdana" w:cs="Arial"/>
          <w:sz w:val="20"/>
          <w:szCs w:val="20"/>
          <w:lang w:val="es-ES"/>
        </w:rPr>
        <w:t xml:space="preserve"> –</w:t>
      </w:r>
      <w:proofErr w:type="gramStart"/>
      <w:r w:rsidRPr="004F3256">
        <w:rPr>
          <w:rFonts w:ascii="Verdana" w:hAnsi="Verdana" w:cs="Arial"/>
          <w:sz w:val="20"/>
          <w:szCs w:val="20"/>
          <w:lang w:val="es-ES"/>
        </w:rPr>
        <w:t>y</w:t>
      </w:r>
      <w:proofErr w:type="gramEnd"/>
      <w:r w:rsidRPr="004F3256">
        <w:rPr>
          <w:rFonts w:ascii="Verdana" w:hAnsi="Verdana" w:cs="Arial"/>
          <w:sz w:val="20"/>
          <w:szCs w:val="20"/>
          <w:lang w:val="es-ES"/>
        </w:rPr>
        <w:t xml:space="preserve"> dicho sea de paso, también por la </w:t>
      </w:r>
      <w:r w:rsidRPr="004F3256">
        <w:rPr>
          <w:rFonts w:ascii="Verdana" w:hAnsi="Verdana" w:cs="Arial"/>
          <w:i/>
          <w:sz w:val="20"/>
          <w:szCs w:val="20"/>
          <w:lang w:val="es-ES"/>
        </w:rPr>
        <w:t>I</w:t>
      </w:r>
      <w:r w:rsidRPr="004F3256">
        <w:rPr>
          <w:rFonts w:ascii="Verdana" w:hAnsi="Verdana" w:cs="Arial"/>
          <w:sz w:val="20"/>
          <w:szCs w:val="20"/>
          <w:lang w:val="es-ES"/>
        </w:rPr>
        <w:t xml:space="preserve"> y la </w:t>
      </w:r>
      <w:r w:rsidRPr="004F3256">
        <w:rPr>
          <w:rFonts w:ascii="Verdana" w:hAnsi="Verdana" w:cs="Arial"/>
          <w:i/>
          <w:sz w:val="20"/>
          <w:szCs w:val="20"/>
          <w:lang w:val="es-ES"/>
        </w:rPr>
        <w:t>U</w:t>
      </w:r>
      <w:r w:rsidRPr="004F3256">
        <w:rPr>
          <w:rFonts w:ascii="Verdana" w:hAnsi="Verdana" w:cs="Arial"/>
          <w:sz w:val="20"/>
          <w:szCs w:val="20"/>
          <w:lang w:val="es-ES"/>
        </w:rPr>
        <w:t>–</w:t>
      </w:r>
      <w:r w:rsidRPr="004F3256">
        <w:rPr>
          <w:rFonts w:ascii="Verdana" w:hAnsi="Verdana" w:cs="Arial"/>
          <w:sz w:val="20"/>
          <w:szCs w:val="20"/>
          <w:vertAlign w:val="superscript"/>
          <w:lang w:val="es-ES"/>
        </w:rPr>
        <w:footnoteReference w:id="14"/>
      </w:r>
      <w:r w:rsidRPr="004F3256">
        <w:rPr>
          <w:rFonts w:ascii="Verdana" w:hAnsi="Verdana" w:cs="Arial"/>
          <w:sz w:val="20"/>
          <w:szCs w:val="20"/>
          <w:lang w:val="es-ES"/>
        </w:rPr>
        <w:t xml:space="preserve">. </w:t>
      </w:r>
    </w:p>
    <w:p w14:paraId="3C3D8427" w14:textId="77777777" w:rsidR="00237BDE" w:rsidRPr="004F3256" w:rsidRDefault="00237BDE" w:rsidP="00237BDE">
      <w:pPr>
        <w:spacing w:after="0" w:line="276" w:lineRule="auto"/>
        <w:ind w:left="709" w:right="709"/>
        <w:jc w:val="both"/>
        <w:rPr>
          <w:rFonts w:ascii="Verdana" w:hAnsi="Verdana" w:cs="Arial"/>
          <w:sz w:val="20"/>
          <w:szCs w:val="20"/>
          <w:lang w:val="es-ES_tradnl"/>
        </w:rPr>
      </w:pPr>
    </w:p>
    <w:p w14:paraId="1F03AF4D" w14:textId="77777777" w:rsidR="00237BDE" w:rsidRPr="004F3256" w:rsidRDefault="00237BDE" w:rsidP="00237BDE">
      <w:pPr>
        <w:spacing w:after="120" w:line="276" w:lineRule="auto"/>
        <w:ind w:firstLine="709"/>
        <w:jc w:val="both"/>
        <w:rPr>
          <w:rFonts w:ascii="Verdana" w:hAnsi="Verdana" w:cs="Arial"/>
          <w:lang w:val="es-ES"/>
        </w:rPr>
      </w:pPr>
      <w:r w:rsidRPr="004F3256">
        <w:rPr>
          <w:rFonts w:ascii="Verdana" w:hAnsi="Verdana" w:cs="Arial"/>
          <w:lang w:val="es-ES"/>
        </w:rPr>
        <w:t>Tal es la forma usual como se pacta el precio en los contratos estatales cuyo valor se define con base en la metodología del AIU. Lo anterior, sin perjuicio de que las partes en el contrato establezcan las cláusulas que a bien tengan, pues se trata de un aspecto en que la autonomía de la voluntad de que gozan las entidades estatales –y sus contratistas– despliega importantes efectos, por tratarse de un aspecto que no regula de forma específica el EGCAP.</w:t>
      </w:r>
    </w:p>
    <w:p w14:paraId="6B68DC5C" w14:textId="77777777" w:rsidR="00237BDE" w:rsidRPr="004F3256" w:rsidRDefault="00237BDE" w:rsidP="00237BDE">
      <w:pPr>
        <w:spacing w:after="120" w:line="276" w:lineRule="auto"/>
        <w:ind w:firstLine="743"/>
        <w:jc w:val="both"/>
        <w:rPr>
          <w:rFonts w:ascii="Verdana" w:eastAsia="Calibri" w:hAnsi="Verdana" w:cs="Arial"/>
          <w:iCs/>
          <w:lang w:eastAsia="es-ES"/>
        </w:rPr>
      </w:pPr>
      <w:r w:rsidRPr="004F3256">
        <w:rPr>
          <w:rFonts w:ascii="Verdana" w:eastAsia="Calibri" w:hAnsi="Verdana" w:cs="Arial"/>
          <w:iCs/>
          <w:lang w:eastAsia="es-ES"/>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que más se ajuste el objeto a contratar </w:t>
      </w:r>
    </w:p>
    <w:p w14:paraId="30DAA8E3" w14:textId="77777777" w:rsidR="00237BDE" w:rsidRPr="004F3256" w:rsidRDefault="00237BDE" w:rsidP="00237BDE">
      <w:pPr>
        <w:spacing w:after="120" w:line="276" w:lineRule="auto"/>
        <w:ind w:firstLine="743"/>
        <w:jc w:val="both"/>
        <w:rPr>
          <w:rFonts w:ascii="Verdana" w:hAnsi="Verdana" w:cs="Arial"/>
          <w:lang w:eastAsia="es-ES"/>
        </w:rPr>
      </w:pPr>
      <w:r w:rsidRPr="004F3256">
        <w:rPr>
          <w:rFonts w:ascii="Verdana" w:eastAsia="Calibri" w:hAnsi="Verdana" w:cs="Arial"/>
          <w:iCs/>
        </w:rPr>
        <w:t xml:space="preserve">Conforme a lo expuesto, las entidades estatales pueden incluir en el valor de sus contratos los costos directos e indirectos- </w:t>
      </w:r>
      <w:proofErr w:type="spellStart"/>
      <w:r w:rsidRPr="004F3256">
        <w:rPr>
          <w:rFonts w:ascii="Verdana" w:eastAsia="Calibri" w:hAnsi="Verdana" w:cs="Arial"/>
          <w:i/>
          <w:iCs/>
        </w:rPr>
        <w:t>overhead</w:t>
      </w:r>
      <w:proofErr w:type="spellEnd"/>
      <w:r w:rsidRPr="004F3256">
        <w:rPr>
          <w:rFonts w:ascii="Verdana" w:eastAsia="Calibri" w:hAnsi="Verdana" w:cs="Arial"/>
          <w:i/>
          <w:iCs/>
        </w:rPr>
        <w:t>-,</w:t>
      </w:r>
      <w:r w:rsidRPr="004F3256">
        <w:rPr>
          <w:rFonts w:ascii="Verdana" w:eastAsia="Calibri" w:hAnsi="Verdana" w:cs="Arial"/>
          <w:iCs/>
        </w:rPr>
        <w:t xml:space="preserve"> asociados al precio de la ejecución del contrato, lo que indica que se trata de un elemento vinculado al cálculo de la remuneración o pago en favor de los contratistas del estado, que se incluye, como ya se expresó, con la finalidad de generar estabilidad en dicho </w:t>
      </w:r>
      <w:r w:rsidRPr="004F3256">
        <w:rPr>
          <w:rFonts w:ascii="Verdana" w:eastAsia="Calibri" w:hAnsi="Verdana" w:cs="Arial"/>
          <w:iCs/>
        </w:rPr>
        <w:lastRenderedPageBreak/>
        <w:t>precio, tanto favor del contratista, como de la entidad contratante. Cuando los costos indirectos -</w:t>
      </w:r>
      <w:proofErr w:type="spellStart"/>
      <w:r w:rsidRPr="004F3256">
        <w:rPr>
          <w:rFonts w:ascii="Verdana" w:eastAsia="Calibri" w:hAnsi="Verdana" w:cs="Arial"/>
          <w:i/>
        </w:rPr>
        <w:t>overhead</w:t>
      </w:r>
      <w:proofErr w:type="spellEnd"/>
      <w:r w:rsidRPr="004F3256">
        <w:rPr>
          <w:rFonts w:ascii="Verdana" w:eastAsia="Calibri" w:hAnsi="Verdana" w:cs="Arial"/>
          <w:i/>
        </w:rPr>
        <w:t>-</w:t>
      </w:r>
      <w:r w:rsidRPr="004F3256">
        <w:rPr>
          <w:rFonts w:ascii="Verdana" w:eastAsia="Calibri" w:hAnsi="Verdana" w:cs="Arial"/>
          <w:iCs/>
        </w:rPr>
        <w:t xml:space="preserve"> han sido expresamente contemplados dentro de la estructura económica del contrato, ya sea en los estudios previos, en la propuesta del contratista o en las cláusulas contractuales, estos resultan obligatorios y su reconocimiento y pago debe efectuarse en los términos y condiciones pactados. En tal medida, la entidad contratante no puede desconocer o excluir unilateralmente dichos costos una vez incorporados al precio, salvo que exista una modificación válida del contrato o una causa legal que justifique su ajuste.</w:t>
      </w:r>
    </w:p>
    <w:p w14:paraId="4F8DE2DB" w14:textId="77777777" w:rsidR="00237BDE" w:rsidRPr="004F3256" w:rsidRDefault="00237BDE" w:rsidP="00237BDE">
      <w:pPr>
        <w:spacing w:after="120" w:line="276" w:lineRule="auto"/>
        <w:jc w:val="both"/>
        <w:rPr>
          <w:rFonts w:ascii="Verdana" w:eastAsia="Calibri" w:hAnsi="Verdana" w:cs="Arial"/>
          <w:color w:val="000000" w:themeColor="text1"/>
          <w:lang w:val="es-ES"/>
        </w:rPr>
      </w:pPr>
      <w:proofErr w:type="spellStart"/>
      <w:r w:rsidRPr="004F3256">
        <w:rPr>
          <w:rFonts w:ascii="Verdana" w:hAnsi="Verdana" w:cs="Arial"/>
          <w:bCs/>
          <w:szCs w:val="24"/>
          <w:lang w:val="es-ES_tradnl" w:eastAsia="es-ES_tradnl"/>
        </w:rPr>
        <w:t>ii</w:t>
      </w:r>
      <w:proofErr w:type="spellEnd"/>
      <w:r w:rsidRPr="004F3256">
        <w:rPr>
          <w:rFonts w:ascii="Verdana" w:hAnsi="Verdana" w:cs="Arial"/>
          <w:bCs/>
          <w:szCs w:val="24"/>
          <w:lang w:val="es-ES_tradnl" w:eastAsia="es-ES_tradnl"/>
        </w:rPr>
        <w:t>. Ahora bien, para efectos de dar respuesta al segundo problema jurídico es fundamental distinguir entre los convenios y los contratos interadministrativos, puesto que su naturaleza tiene unas implicaciones distintas frente a la viabilidad de asumir costos y gastos administrativos. E</w:t>
      </w:r>
      <w:r w:rsidRPr="004F3256">
        <w:rPr>
          <w:rFonts w:ascii="Verdana" w:eastAsia="Calibri" w:hAnsi="Verdana" w:cs="Arial"/>
          <w:lang w:val="es-ES" w:eastAsia="es-ES"/>
        </w:rPr>
        <w:t xml:space="preserve">n efecto, </w:t>
      </w:r>
      <w:r w:rsidRPr="004F3256">
        <w:rPr>
          <w:rFonts w:ascii="Verdana" w:eastAsia="Calibri" w:hAnsi="Verdana" w:cs="Arial"/>
          <w:color w:val="000000" w:themeColor="text1"/>
          <w:lang w:val="es-ES"/>
        </w:rPr>
        <w:t xml:space="preserve">existen algunos supuestos bajo las cuales las diferencias entre las características propias de los contratos y convenios interadministrativos resultan definitorias de la aplicación o inaplicación de ciertas normas, ante lo cual, entonces, no podrán ser </w:t>
      </w:r>
      <w:proofErr w:type="gramStart"/>
      <w:r w:rsidRPr="004F3256">
        <w:rPr>
          <w:rFonts w:ascii="Verdana" w:eastAsia="Calibri" w:hAnsi="Verdana" w:cs="Arial"/>
          <w:color w:val="000000" w:themeColor="text1"/>
          <w:lang w:val="es-ES"/>
        </w:rPr>
        <w:t>equiparables</w:t>
      </w:r>
      <w:proofErr w:type="gramEnd"/>
      <w:r w:rsidRPr="004F3256">
        <w:rPr>
          <w:rFonts w:ascii="Verdana" w:eastAsia="Calibri" w:hAnsi="Verdana" w:cs="Arial"/>
          <w:color w:val="000000" w:themeColor="text1"/>
          <w:lang w:val="es-ES"/>
        </w:rPr>
        <w:t xml:space="preserve"> sino que deben ser vistos como instituciones negociales </w:t>
      </w:r>
      <w:proofErr w:type="gramStart"/>
      <w:r w:rsidRPr="004F3256">
        <w:rPr>
          <w:rFonts w:ascii="Verdana" w:eastAsia="Calibri" w:hAnsi="Verdana" w:cs="Arial"/>
          <w:color w:val="000000" w:themeColor="text1"/>
          <w:lang w:val="es-ES"/>
        </w:rPr>
        <w:t>disímiles</w:t>
      </w:r>
      <w:proofErr w:type="gramEnd"/>
      <w:r w:rsidRPr="004F3256">
        <w:rPr>
          <w:rFonts w:ascii="Verdana" w:eastAsia="Calibri" w:hAnsi="Verdana" w:cs="Arial"/>
          <w:color w:val="000000" w:themeColor="text1"/>
          <w:lang w:val="es-ES"/>
        </w:rPr>
        <w:t xml:space="preserve"> aunque, indudablemente, con algunos atributos comunes. En otras palabras, diferenciar entre los conceptos de convenio y contrato interadministrativos, así como establecer con precisión las características y elementos esenciales de cada uno, resulta necesario de cara a definir la aplicación de ciertas figuras contractuales y normativas a cada uno de ellos, como las que se plantean en esta consulta. </w:t>
      </w:r>
    </w:p>
    <w:p w14:paraId="1144D5F6" w14:textId="77777777" w:rsidR="00237BDE" w:rsidRPr="004F3256" w:rsidRDefault="00237BDE" w:rsidP="00237BDE">
      <w:pPr>
        <w:spacing w:after="120" w:line="276" w:lineRule="auto"/>
        <w:ind w:firstLine="708"/>
        <w:jc w:val="both"/>
        <w:rPr>
          <w:rFonts w:ascii="Verdana" w:eastAsia="Calibri" w:hAnsi="Verdana" w:cs="Arial"/>
        </w:rPr>
      </w:pPr>
      <w:r w:rsidRPr="004F3256">
        <w:rPr>
          <w:rFonts w:ascii="Verdana" w:eastAsia="Times New Roman" w:hAnsi="Verdana" w:cs="Arial"/>
          <w:lang w:val="es-ES" w:eastAsia="es-ES_tradnl"/>
        </w:rPr>
        <w:t>P</w:t>
      </w:r>
      <w:r w:rsidRPr="004F3256">
        <w:rPr>
          <w:rFonts w:ascii="Verdana" w:eastAsia="Times New Roman" w:hAnsi="Verdana" w:cs="Arial"/>
          <w:lang w:val="es-ES_tradnl" w:eastAsia="es-ES_tradnl"/>
        </w:rPr>
        <w:t xml:space="preserve">ara precisar </w:t>
      </w:r>
      <w:r w:rsidRPr="004F3256">
        <w:rPr>
          <w:rFonts w:ascii="Verdana" w:eastAsia="Times New Roman" w:hAnsi="Verdana" w:cs="Arial"/>
          <w:lang w:val="es-ES" w:eastAsia="es-ES_tradnl"/>
        </w:rPr>
        <w:t>el alcance que tiene cada una de estas figuras, resulta pertinente resaltar que, en consonancia con el artículo 209 de la Constitución Política</w:t>
      </w:r>
      <w:r w:rsidRPr="004F3256">
        <w:rPr>
          <w:rFonts w:ascii="Verdana" w:eastAsia="Times New Roman" w:hAnsi="Verdana" w:cs="Arial"/>
          <w:vertAlign w:val="superscript"/>
          <w:lang w:val="es-ES" w:eastAsia="es-ES_tradnl"/>
        </w:rPr>
        <w:footnoteReference w:id="15"/>
      </w:r>
      <w:r w:rsidRPr="004F3256">
        <w:rPr>
          <w:rFonts w:ascii="Verdana" w:eastAsia="Times New Roman" w:hAnsi="Verdana" w:cs="Arial"/>
          <w:lang w:val="es-ES" w:eastAsia="es-ES_tradnl"/>
        </w:rPr>
        <w:t>, del que se desprenden los deberes de coordinación y colaboración a cargo de todas las autoridades administrativas,</w:t>
      </w:r>
      <w:r w:rsidRPr="004F3256">
        <w:rPr>
          <w:rFonts w:ascii="Verdana" w:eastAsia="Calibri" w:hAnsi="Verdana" w:cs="Arial"/>
        </w:rPr>
        <w:t xml:space="preserve"> el artículo 95 de la Ley 489 de 1998</w:t>
      </w:r>
      <w:r w:rsidRPr="004F3256">
        <w:rPr>
          <w:rFonts w:ascii="Verdana" w:eastAsia="Calibri" w:hAnsi="Verdana" w:cs="Arial"/>
          <w:vertAlign w:val="superscript"/>
        </w:rPr>
        <w:footnoteReference w:id="16"/>
      </w:r>
      <w:r w:rsidRPr="004F3256">
        <w:rPr>
          <w:rFonts w:ascii="Verdana" w:eastAsia="Calibri" w:hAnsi="Verdana" w:cs="Arial"/>
        </w:rPr>
        <w:t xml:space="preserve"> dispone que “las entidades públicas podrán asociarse con el fin de cooperar en el cumplimiento de funciones administrativas o de prestar </w:t>
      </w:r>
      <w:r w:rsidRPr="004F3256">
        <w:rPr>
          <w:rFonts w:ascii="Verdana" w:eastAsia="Calibri" w:hAnsi="Verdana" w:cs="Arial"/>
        </w:rPr>
        <w:lastRenderedPageBreak/>
        <w:t>conjuntamente servicios que se hallen a su cargo mediante la celebración de convenios interadministrativos (…)”</w:t>
      </w:r>
      <w:r w:rsidRPr="004F3256">
        <w:rPr>
          <w:rFonts w:ascii="Verdana" w:eastAsia="Calibri" w:hAnsi="Verdana" w:cs="Arial"/>
          <w:vertAlign w:val="superscript"/>
        </w:rPr>
        <w:footnoteReference w:id="17"/>
      </w:r>
      <w:r w:rsidRPr="004F3256">
        <w:rPr>
          <w:rFonts w:ascii="Verdana" w:eastAsia="Calibri" w:hAnsi="Verdana" w:cs="Arial"/>
        </w:rPr>
        <w:t>. De tal suerte que, si bien la Ley 80 de 1993 faculta a las entidades estatales para celebrar cualquier acto jurídico generador de obligaciones, la norma en cita regula en forma particular la figura del convenio interadministrativo y define los elementos que caracterizan a este tipo de negocio jurídico.</w:t>
      </w:r>
    </w:p>
    <w:p w14:paraId="18D0EF26" w14:textId="77777777" w:rsidR="00237BDE" w:rsidRPr="004F3256" w:rsidRDefault="00237BDE" w:rsidP="00237BDE">
      <w:pPr>
        <w:spacing w:after="120" w:line="276" w:lineRule="auto"/>
        <w:ind w:firstLine="708"/>
        <w:jc w:val="both"/>
        <w:rPr>
          <w:rFonts w:ascii="Verdana" w:eastAsia="Calibri" w:hAnsi="Verdana" w:cs="Arial"/>
        </w:rPr>
      </w:pPr>
      <w:r w:rsidRPr="004F3256">
        <w:rPr>
          <w:rFonts w:ascii="Verdana" w:eastAsia="Calibri" w:hAnsi="Verdana" w:cs="Arial"/>
        </w:rPr>
        <w:t>Sobre el alcance de los convenios interadministrativos, el Consejo de Estado ha dejado en claro lo siguiente:</w:t>
      </w:r>
    </w:p>
    <w:p w14:paraId="227341CC" w14:textId="77777777" w:rsidR="00237BDE" w:rsidRPr="004F3256" w:rsidRDefault="00237BDE" w:rsidP="00237BDE">
      <w:pPr>
        <w:spacing w:after="0" w:line="240" w:lineRule="auto"/>
        <w:ind w:left="709" w:right="714"/>
        <w:jc w:val="both"/>
        <w:rPr>
          <w:rFonts w:ascii="Verdana" w:eastAsia="Calibri" w:hAnsi="Verdana" w:cs="Arial"/>
          <w:bCs/>
          <w:sz w:val="20"/>
          <w:szCs w:val="20"/>
          <w:lang w:val="es-ES_tradnl"/>
        </w:rPr>
      </w:pPr>
      <w:r w:rsidRPr="004F3256">
        <w:rPr>
          <w:rFonts w:ascii="Verdana" w:eastAsia="Calibri" w:hAnsi="Verdana" w:cs="Arial"/>
          <w:bCs/>
          <w:sz w:val="20"/>
          <w:szCs w:val="20"/>
          <w:lang w:eastAsia="es-ES_tradnl"/>
        </w:rPr>
        <w:t xml:space="preserve">“(…) </w:t>
      </w:r>
      <w:r w:rsidRPr="004F3256">
        <w:rPr>
          <w:rFonts w:ascii="Verdana" w:eastAsia="Calibri" w:hAnsi="Verdana" w:cs="Arial"/>
          <w:bCs/>
          <w:sz w:val="20"/>
          <w:szCs w:val="20"/>
          <w:lang w:val="es-ES_tradnl"/>
        </w:rPr>
        <w:t xml:space="preserve">i) Constituyen verdaderos contratos en los términos del Código de Comercio cuando su objeto lo constituyen obligaciones patrimoniales. </w:t>
      </w:r>
      <w:proofErr w:type="spellStart"/>
      <w:r w:rsidRPr="004F3256">
        <w:rPr>
          <w:rFonts w:ascii="Verdana" w:eastAsia="Calibri" w:hAnsi="Verdana" w:cs="Arial"/>
          <w:bCs/>
          <w:sz w:val="20"/>
          <w:szCs w:val="20"/>
          <w:lang w:val="es-ES_tradnl"/>
        </w:rPr>
        <w:t>ii</w:t>
      </w:r>
      <w:proofErr w:type="spellEnd"/>
      <w:r w:rsidRPr="004F3256">
        <w:rPr>
          <w:rFonts w:ascii="Verdana" w:eastAsia="Calibri" w:hAnsi="Verdana" w:cs="Arial"/>
          <w:bCs/>
          <w:sz w:val="20"/>
          <w:szCs w:val="20"/>
          <w:lang w:val="es-ES_tradnl"/>
        </w:rPr>
        <w:t xml:space="preserve">) Tienen como fuente la autonomía contractual. </w:t>
      </w:r>
      <w:proofErr w:type="spellStart"/>
      <w:r w:rsidRPr="004F3256">
        <w:rPr>
          <w:rFonts w:ascii="Verdana" w:eastAsia="Calibri" w:hAnsi="Verdana" w:cs="Arial"/>
          <w:bCs/>
          <w:sz w:val="20"/>
          <w:szCs w:val="20"/>
          <w:lang w:val="es-ES_tradnl"/>
        </w:rPr>
        <w:t>iii</w:t>
      </w:r>
      <w:proofErr w:type="spellEnd"/>
      <w:r w:rsidRPr="004F3256">
        <w:rPr>
          <w:rFonts w:ascii="Verdana" w:eastAsia="Calibri" w:hAnsi="Verdana" w:cs="Arial"/>
          <w:bCs/>
          <w:sz w:val="20"/>
          <w:szCs w:val="20"/>
          <w:lang w:val="es-ES_tradnl"/>
        </w:rPr>
        <w:t xml:space="preserve">) Son contratos nominados, puesto que están mencionados por la ley. </w:t>
      </w:r>
      <w:proofErr w:type="spellStart"/>
      <w:r w:rsidRPr="004F3256">
        <w:rPr>
          <w:rFonts w:ascii="Verdana" w:eastAsia="Calibri" w:hAnsi="Verdana" w:cs="Arial"/>
          <w:bCs/>
          <w:sz w:val="20"/>
          <w:szCs w:val="20"/>
          <w:lang w:val="es-ES_tradnl"/>
        </w:rPr>
        <w:t>iv</w:t>
      </w:r>
      <w:proofErr w:type="spellEnd"/>
      <w:r w:rsidRPr="004F3256">
        <w:rPr>
          <w:rFonts w:ascii="Verdana" w:eastAsia="Calibri" w:hAnsi="Verdana" w:cs="Arial"/>
          <w:bCs/>
          <w:sz w:val="20"/>
          <w:szCs w:val="20"/>
          <w:lang w:val="es-ES_tradnl"/>
        </w:rPr>
        <w:t xml:space="preserve">) Son contratos atípicos desde la perspectiva legal, dado que se advierte la ausencia de unas normas que de manera detallada los disciplinen, expliquen y desarrollen, como sí las tienen los contratos típicos, por ejemplo, compraventa, arrendamiento, mandato, etc. v) La normativa a la cual se encuentran sujetos en principio es la del Estatuto General de Contratación, en atención a que las partes que los celebran son entidades estatales y, por consiguiente, también se obligan a las disposiciones que resulten pertinentes del Código Civil y el Código de Comercio. vi) Dan lugar a la creación de obligaciones jurídicamente exigibles. </w:t>
      </w:r>
      <w:proofErr w:type="spellStart"/>
      <w:r w:rsidRPr="004F3256">
        <w:rPr>
          <w:rFonts w:ascii="Verdana" w:eastAsia="Calibri" w:hAnsi="Verdana" w:cs="Arial"/>
          <w:bCs/>
          <w:sz w:val="20"/>
          <w:szCs w:val="20"/>
          <w:lang w:val="es-ES_tradnl"/>
        </w:rPr>
        <w:t>vii</w:t>
      </w:r>
      <w:proofErr w:type="spellEnd"/>
      <w:r w:rsidRPr="004F3256">
        <w:rPr>
          <w:rFonts w:ascii="Verdana" w:eastAsia="Calibri" w:hAnsi="Verdana" w:cs="Arial"/>
          <w:bCs/>
          <w:sz w:val="20"/>
          <w:szCs w:val="20"/>
          <w:lang w:val="es-ES_tradnl"/>
        </w:rPr>
        <w:t xml:space="preserve">) Persiguen una finalidad común a través de la realización de intereses compartidos entre las entidades vinculadas. </w:t>
      </w:r>
      <w:proofErr w:type="spellStart"/>
      <w:r w:rsidRPr="004F3256">
        <w:rPr>
          <w:rFonts w:ascii="Verdana" w:eastAsia="Calibri" w:hAnsi="Verdana" w:cs="Arial"/>
          <w:bCs/>
          <w:sz w:val="20"/>
          <w:szCs w:val="20"/>
          <w:lang w:val="es-ES_tradnl"/>
        </w:rPr>
        <w:t>viii</w:t>
      </w:r>
      <w:proofErr w:type="spellEnd"/>
      <w:r w:rsidRPr="004F3256">
        <w:rPr>
          <w:rFonts w:ascii="Verdana" w:eastAsia="Calibri" w:hAnsi="Verdana" w:cs="Arial"/>
          <w:bCs/>
          <w:sz w:val="20"/>
          <w:szCs w:val="20"/>
          <w:lang w:val="es-ES_tradnl"/>
        </w:rPr>
        <w:t>) La acción mediante la cual se deben ventilar las diferencias que sobre el particular surjan es la de controversias contractuales”</w:t>
      </w:r>
      <w:r w:rsidRPr="004F3256">
        <w:rPr>
          <w:rFonts w:ascii="Verdana" w:eastAsia="Times New Roman" w:hAnsi="Verdana" w:cs="Arial"/>
          <w:sz w:val="20"/>
          <w:szCs w:val="20"/>
          <w:vertAlign w:val="superscript"/>
          <w:lang w:val="es-ES" w:eastAsia="es-ES_tradnl"/>
        </w:rPr>
        <w:footnoteReference w:id="18"/>
      </w:r>
      <w:r w:rsidRPr="004F3256">
        <w:rPr>
          <w:rFonts w:ascii="Verdana" w:eastAsia="Calibri" w:hAnsi="Verdana" w:cs="Arial"/>
          <w:bCs/>
          <w:sz w:val="20"/>
          <w:szCs w:val="20"/>
          <w:lang w:val="es-ES_tradnl"/>
        </w:rPr>
        <w:t>.</w:t>
      </w:r>
    </w:p>
    <w:p w14:paraId="3AB00368" w14:textId="77777777" w:rsidR="00237BDE" w:rsidRPr="004F3256" w:rsidRDefault="00237BDE" w:rsidP="00237BDE">
      <w:pPr>
        <w:spacing w:after="0" w:line="276" w:lineRule="auto"/>
        <w:ind w:right="713"/>
        <w:jc w:val="both"/>
        <w:rPr>
          <w:rFonts w:ascii="Verdana" w:eastAsia="Times New Roman" w:hAnsi="Verdana" w:cs="Arial"/>
          <w:lang w:val="es-ES" w:eastAsia="es-ES_tradnl"/>
        </w:rPr>
      </w:pPr>
    </w:p>
    <w:p w14:paraId="0D7F6D86" w14:textId="77777777" w:rsidR="00237BDE" w:rsidRPr="004F3256" w:rsidRDefault="00237BDE" w:rsidP="00237BDE">
      <w:pPr>
        <w:spacing w:after="120" w:line="276" w:lineRule="auto"/>
        <w:ind w:firstLine="708"/>
        <w:jc w:val="both"/>
        <w:rPr>
          <w:rFonts w:ascii="Verdana" w:eastAsia="Times New Roman" w:hAnsi="Verdana" w:cs="Arial"/>
          <w:lang w:val="es-ES" w:eastAsia="es-ES_tradnl"/>
        </w:rPr>
      </w:pPr>
      <w:r w:rsidRPr="004F3256">
        <w:rPr>
          <w:rFonts w:ascii="Verdana" w:eastAsia="Times New Roman" w:hAnsi="Verdana" w:cs="Arial"/>
          <w:lang w:val="es-ES" w:eastAsia="es-ES_tradnl"/>
        </w:rPr>
        <w:t>A su turno, la doctrina especializada en la materia, a partir de la aplicación de un criterio material que envuelve la causa tenida en cuenta para contratar, ha dejado entrever que los convenios interadministrativos son una figura autónoma e independiente de la de los contratos interadministrativos</w:t>
      </w:r>
      <w:r w:rsidRPr="004F3256">
        <w:rPr>
          <w:rFonts w:ascii="Verdana" w:eastAsia="Times New Roman" w:hAnsi="Verdana" w:cs="Arial"/>
          <w:vertAlign w:val="superscript"/>
          <w:lang w:val="es-ES" w:eastAsia="es-ES_tradnl"/>
        </w:rPr>
        <w:footnoteReference w:id="19"/>
      </w:r>
      <w:r w:rsidRPr="004F3256">
        <w:rPr>
          <w:rFonts w:ascii="Verdana" w:eastAsia="Times New Roman" w:hAnsi="Verdana" w:cs="Arial"/>
          <w:lang w:val="es-ES" w:eastAsia="es-ES_tradnl"/>
        </w:rPr>
        <w:t xml:space="preserve">. Así “(…) es posible afirmar que el contrato es en efecto un acuerdo de voluntades que modifica las situaciones jurídicas subjetivas de las partes intervinientes, pero no se trata de cualquier clase de voluntades, sino únicamente de aquellas manifestadas por sujetos de derecho que tienen pretensiones o interés disímiles </w:t>
      </w:r>
      <w:r w:rsidRPr="004F3256">
        <w:rPr>
          <w:rFonts w:ascii="Verdana" w:eastAsia="Times New Roman" w:hAnsi="Verdana" w:cs="Arial"/>
          <w:lang w:val="es-ES" w:eastAsia="es-ES_tradnl"/>
        </w:rPr>
        <w:lastRenderedPageBreak/>
        <w:t>que se pueden ver como opuestos. En otras palabras, el contrato es un acuerdo de voluntades, en el cual cada uno de los participantes tiene finalidades opuestas”</w:t>
      </w:r>
      <w:r w:rsidRPr="004F3256">
        <w:rPr>
          <w:rFonts w:ascii="Verdana" w:eastAsia="Times New Roman" w:hAnsi="Verdana" w:cs="Arial"/>
          <w:vertAlign w:val="superscript"/>
          <w:lang w:val="es-ES" w:eastAsia="es-ES_tradnl"/>
        </w:rPr>
        <w:footnoteReference w:id="20"/>
      </w:r>
      <w:r w:rsidRPr="004F3256">
        <w:rPr>
          <w:rFonts w:ascii="Verdana" w:eastAsia="Times New Roman" w:hAnsi="Verdana" w:cs="Arial"/>
          <w:lang w:val="es-ES" w:eastAsia="es-ES_tradnl"/>
        </w:rPr>
        <w:t xml:space="preserve">. </w:t>
      </w:r>
    </w:p>
    <w:p w14:paraId="6C995EC1" w14:textId="77777777" w:rsidR="00237BDE" w:rsidRPr="004F3256" w:rsidRDefault="00237BDE" w:rsidP="00237BDE">
      <w:pPr>
        <w:spacing w:after="120" w:line="276" w:lineRule="auto"/>
        <w:ind w:firstLine="708"/>
        <w:jc w:val="both"/>
        <w:rPr>
          <w:rFonts w:ascii="Verdana" w:eastAsia="Times New Roman" w:hAnsi="Verdana" w:cs="Arial"/>
          <w:lang w:val="es-ES" w:eastAsia="es-ES_tradnl"/>
        </w:rPr>
      </w:pPr>
      <w:r w:rsidRPr="004F3256">
        <w:rPr>
          <w:rFonts w:ascii="Verdana" w:eastAsia="Times New Roman" w:hAnsi="Verdana" w:cs="Arial"/>
          <w:lang w:val="es-ES" w:eastAsia="es-ES_tradnl"/>
        </w:rPr>
        <w:t>Con todo, según se advierte, “(…) basta agregar un ingrediente subjetivo para poder deducir la existencia del contrato de la administración, cual es la necesaria e imprescindible presencia de un sujeto especial de derecho llamado administración pública, lo cual implica que el contrato de la administración es un acuerdo de voluntades en el cual cada uno de los participantes pretende satisfacer necesidades o finalidades opuestas, donde necesariamente una de las partes tiene que ser una administración pública”</w:t>
      </w:r>
      <w:r w:rsidRPr="004F3256">
        <w:rPr>
          <w:rFonts w:ascii="Verdana" w:eastAsia="Times New Roman" w:hAnsi="Verdana" w:cs="Arial"/>
          <w:vertAlign w:val="superscript"/>
          <w:lang w:val="es-ES" w:eastAsia="es-ES_tradnl"/>
        </w:rPr>
        <w:footnoteReference w:id="21"/>
      </w:r>
      <w:r w:rsidRPr="004F3256">
        <w:rPr>
          <w:rFonts w:ascii="Verdana" w:eastAsia="Times New Roman" w:hAnsi="Verdana" w:cs="Arial"/>
          <w:lang w:val="es-ES" w:eastAsia="es-ES_tradnl"/>
        </w:rPr>
        <w:t>.</w:t>
      </w:r>
    </w:p>
    <w:p w14:paraId="52D51157" w14:textId="77777777" w:rsidR="00237BDE" w:rsidRPr="004F3256" w:rsidRDefault="00237BDE" w:rsidP="00237BDE">
      <w:pPr>
        <w:spacing w:before="120" w:after="0" w:line="276" w:lineRule="auto"/>
        <w:ind w:firstLine="709"/>
        <w:jc w:val="both"/>
        <w:rPr>
          <w:rFonts w:ascii="Verdana" w:eastAsia="Calibri" w:hAnsi="Verdana" w:cs="Arial"/>
          <w:color w:val="000000" w:themeColor="text1"/>
          <w:lang w:val="es-ES_tradnl"/>
        </w:rPr>
      </w:pPr>
      <w:r w:rsidRPr="004F3256">
        <w:rPr>
          <w:rFonts w:ascii="Verdana" w:eastAsia="Calibri" w:hAnsi="Verdana" w:cs="Arial"/>
          <w:bCs/>
          <w:color w:val="000000" w:themeColor="text1"/>
          <w:lang w:eastAsia="es-ES_tradnl" w:bidi="es-ES"/>
        </w:rPr>
        <w:t xml:space="preserve">En relación con las diferencias entre los </w:t>
      </w:r>
      <w:proofErr w:type="gramStart"/>
      <w:r w:rsidRPr="004F3256">
        <w:rPr>
          <w:rFonts w:ascii="Verdana" w:eastAsia="Calibri" w:hAnsi="Verdana" w:cs="Arial"/>
          <w:bCs/>
          <w:color w:val="000000" w:themeColor="text1"/>
          <w:lang w:eastAsia="es-ES_tradnl" w:bidi="es-ES"/>
        </w:rPr>
        <w:t>contratos interadministrativos y los convenios interadministrativos</w:t>
      </w:r>
      <w:proofErr w:type="gramEnd"/>
      <w:r w:rsidRPr="004F3256">
        <w:rPr>
          <w:rFonts w:ascii="Verdana" w:eastAsia="Calibri" w:hAnsi="Verdana" w:cs="Arial"/>
          <w:bCs/>
          <w:color w:val="000000" w:themeColor="text1"/>
          <w:lang w:eastAsia="es-ES_tradnl" w:bidi="es-ES"/>
        </w:rPr>
        <w:t xml:space="preserve"> de que trata el artículo 95 de la Ley 489 de 1998, la Sala de Consulta y Servicio Civil del Consejo de Estado expresó lo siguiente: </w:t>
      </w:r>
    </w:p>
    <w:p w14:paraId="530720C7" w14:textId="77777777" w:rsidR="00237BDE" w:rsidRPr="004F3256" w:rsidRDefault="00237BDE" w:rsidP="00237BDE">
      <w:pPr>
        <w:spacing w:beforeLines="120" w:before="288" w:afterLines="120" w:after="288" w:line="276" w:lineRule="auto"/>
        <w:ind w:firstLine="709"/>
        <w:contextualSpacing/>
        <w:jc w:val="both"/>
        <w:rPr>
          <w:rFonts w:ascii="Verdana" w:eastAsia="Calibri" w:hAnsi="Verdana" w:cs="Arial"/>
          <w:bCs/>
          <w:color w:val="000000" w:themeColor="text1"/>
          <w:sz w:val="20"/>
          <w:szCs w:val="20"/>
          <w:lang w:eastAsia="es-ES_tradnl" w:bidi="es-ES"/>
        </w:rPr>
      </w:pPr>
    </w:p>
    <w:p w14:paraId="53815AE4" w14:textId="77777777" w:rsidR="00237BDE" w:rsidRPr="004F3256" w:rsidRDefault="00237BDE" w:rsidP="00237BDE">
      <w:pPr>
        <w:spacing w:after="0" w:line="240" w:lineRule="auto"/>
        <w:ind w:left="709" w:right="709"/>
        <w:contextualSpacing/>
        <w:jc w:val="both"/>
        <w:rPr>
          <w:rFonts w:ascii="Verdana" w:eastAsia="Calibri" w:hAnsi="Verdana" w:cs="Arial"/>
          <w:bCs/>
          <w:color w:val="000000" w:themeColor="text1"/>
          <w:sz w:val="20"/>
          <w:szCs w:val="20"/>
          <w:lang w:eastAsia="es-ES_tradnl" w:bidi="es-ES"/>
        </w:rPr>
      </w:pPr>
      <w:r w:rsidRPr="004F3256">
        <w:rPr>
          <w:rFonts w:ascii="Verdana" w:eastAsia="Calibri" w:hAnsi="Verdana" w:cs="Arial"/>
          <w:bCs/>
          <w:color w:val="000000" w:themeColor="text1"/>
          <w:sz w:val="20"/>
          <w:szCs w:val="20"/>
          <w:lang w:eastAsia="es-ES_tradnl" w:bidi="es-ES"/>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4F3256">
        <w:rPr>
          <w:rFonts w:ascii="Verdana" w:eastAsia="Calibri" w:hAnsi="Verdana" w:cs="Arial"/>
          <w:bCs/>
          <w:color w:val="000000" w:themeColor="text1"/>
          <w:sz w:val="20"/>
          <w:szCs w:val="20"/>
          <w:vertAlign w:val="superscript"/>
          <w:lang w:val="es-ES_tradnl" w:eastAsia="es-ES_tradnl" w:bidi="es-ES"/>
        </w:rPr>
        <w:t xml:space="preserve"> </w:t>
      </w:r>
      <w:r w:rsidRPr="004F3256">
        <w:rPr>
          <w:rFonts w:ascii="Verdana" w:eastAsia="Calibri" w:hAnsi="Verdana" w:cs="Arial"/>
          <w:bCs/>
          <w:color w:val="000000" w:themeColor="text1"/>
          <w:sz w:val="20"/>
          <w:szCs w:val="20"/>
          <w:vertAlign w:val="superscript"/>
          <w:lang w:val="es-ES_tradnl" w:eastAsia="es-ES_tradnl" w:bidi="es-ES"/>
        </w:rPr>
        <w:footnoteReference w:id="22"/>
      </w:r>
    </w:p>
    <w:p w14:paraId="2488CC8C" w14:textId="77777777" w:rsidR="00237BDE" w:rsidRPr="004F3256" w:rsidRDefault="00237BDE" w:rsidP="00237BDE">
      <w:pPr>
        <w:spacing w:beforeLines="120" w:before="288" w:afterLines="120" w:after="288" w:line="276" w:lineRule="auto"/>
        <w:ind w:firstLine="708"/>
        <w:contextualSpacing/>
        <w:jc w:val="both"/>
        <w:rPr>
          <w:rFonts w:ascii="Verdana" w:eastAsia="Calibri" w:hAnsi="Verdana" w:cs="Arial"/>
          <w:bCs/>
          <w:color w:val="000000" w:themeColor="text1"/>
          <w:sz w:val="20"/>
          <w:szCs w:val="20"/>
          <w:lang w:eastAsia="es-ES_tradnl" w:bidi="es-ES"/>
        </w:rPr>
      </w:pPr>
    </w:p>
    <w:p w14:paraId="2F1BEA08" w14:textId="77777777" w:rsidR="00237BDE" w:rsidRPr="004F3256" w:rsidRDefault="00237BDE" w:rsidP="00237BDE">
      <w:pPr>
        <w:spacing w:line="276" w:lineRule="auto"/>
        <w:ind w:firstLine="709"/>
        <w:contextualSpacing/>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En línea con lo anterior, la Sala Contenciosa Administrativa del Consejo de Estado en sentencia del 14 de junio de 2019 también señaló:</w:t>
      </w:r>
    </w:p>
    <w:p w14:paraId="5CEE0035" w14:textId="77777777" w:rsidR="00237BDE" w:rsidRPr="004F3256" w:rsidRDefault="00237BDE" w:rsidP="00237BDE">
      <w:pPr>
        <w:spacing w:beforeLines="120" w:before="288" w:afterLines="120" w:after="288" w:line="276" w:lineRule="auto"/>
        <w:contextualSpacing/>
        <w:rPr>
          <w:rFonts w:ascii="Verdana" w:eastAsia="Calibri" w:hAnsi="Verdana" w:cs="Arial"/>
          <w:bCs/>
          <w:color w:val="000000" w:themeColor="text1"/>
          <w:lang w:eastAsia="es-ES_tradnl" w:bidi="es-ES"/>
        </w:rPr>
      </w:pPr>
    </w:p>
    <w:p w14:paraId="318AE026" w14:textId="77777777" w:rsidR="00237BDE" w:rsidRPr="004F3256" w:rsidRDefault="00237BDE" w:rsidP="00237BDE">
      <w:pPr>
        <w:spacing w:after="0" w:line="240" w:lineRule="auto"/>
        <w:ind w:left="709" w:right="709"/>
        <w:contextualSpacing/>
        <w:jc w:val="both"/>
        <w:rPr>
          <w:rFonts w:ascii="Verdana" w:eastAsia="Calibri" w:hAnsi="Verdana" w:cs="Arial"/>
          <w:bCs/>
          <w:color w:val="000000" w:themeColor="text1"/>
          <w:sz w:val="20"/>
          <w:szCs w:val="20"/>
          <w:lang w:val="es-ES_tradnl" w:eastAsia="es-ES_tradnl" w:bidi="es-ES"/>
        </w:rPr>
      </w:pPr>
      <w:r w:rsidRPr="004F3256">
        <w:rPr>
          <w:rFonts w:ascii="Verdana" w:eastAsia="Calibri" w:hAnsi="Verdana" w:cs="Arial"/>
          <w:bCs/>
          <w:color w:val="000000" w:themeColor="text1"/>
          <w:sz w:val="20"/>
          <w:szCs w:val="20"/>
          <w:lang w:val="es-ES_tradnl" w:eastAsia="es-ES_tradnl" w:bidi="es-ES"/>
        </w:rPr>
        <w:t>“La Sala de Consulta y Servicio Civil</w:t>
      </w:r>
      <w:r w:rsidRPr="004F3256">
        <w:rPr>
          <w:rFonts w:ascii="Verdana" w:eastAsia="Calibri" w:hAnsi="Verdana" w:cs="Arial"/>
          <w:bCs/>
          <w:color w:val="000000" w:themeColor="text1"/>
          <w:sz w:val="20"/>
          <w:szCs w:val="20"/>
          <w:vertAlign w:val="superscript"/>
          <w:lang w:val="es-ES_tradnl" w:eastAsia="es-ES_tradnl" w:bidi="es-ES"/>
        </w:rPr>
        <w:footnoteReference w:id="23"/>
      </w:r>
      <w:r w:rsidRPr="004F3256">
        <w:rPr>
          <w:rFonts w:ascii="Verdana" w:eastAsia="Calibri" w:hAnsi="Verdana" w:cs="Arial"/>
          <w:bCs/>
          <w:color w:val="000000" w:themeColor="text1"/>
          <w:sz w:val="20"/>
          <w:szCs w:val="20"/>
          <w:lang w:val="es-ES_tradnl" w:eastAsia="es-ES_tradnl" w:bidi="es-ES"/>
        </w:rPr>
        <w:t xml:space="preserve"> de esta Corporación se ha referido a los </w:t>
      </w:r>
      <w:r w:rsidRPr="004F3256">
        <w:rPr>
          <w:rFonts w:ascii="Verdana" w:eastAsia="Calibri" w:hAnsi="Verdana" w:cs="Arial"/>
          <w:bCs/>
          <w:i/>
          <w:color w:val="000000" w:themeColor="text1"/>
          <w:sz w:val="20"/>
          <w:szCs w:val="20"/>
          <w:lang w:val="es-ES_tradnl" w:eastAsia="es-ES_tradnl" w:bidi="es-ES"/>
        </w:rPr>
        <w:t>“convenios interadministrativos”</w:t>
      </w:r>
      <w:r w:rsidRPr="004F3256">
        <w:rPr>
          <w:rFonts w:ascii="Verdana" w:eastAsia="Calibri" w:hAnsi="Verdana" w:cs="Arial"/>
          <w:bCs/>
          <w:color w:val="000000" w:themeColor="text1"/>
          <w:sz w:val="20"/>
          <w:szCs w:val="20"/>
          <w:lang w:val="es-ES_tradnl" w:eastAsia="es-ES_tradnl" w:bidi="es-ES"/>
        </w:rPr>
        <w:t xml:space="preserve"> a los cuales alude el artículo 95 de </w:t>
      </w:r>
      <w:r w:rsidRPr="004F3256">
        <w:rPr>
          <w:rFonts w:ascii="Verdana" w:eastAsia="Calibri" w:hAnsi="Verdana" w:cs="Arial"/>
          <w:bCs/>
          <w:color w:val="000000" w:themeColor="text1"/>
          <w:sz w:val="20"/>
          <w:szCs w:val="20"/>
          <w:lang w:val="es-ES_tradnl" w:eastAsia="es-ES_tradnl" w:bidi="es-ES"/>
        </w:rPr>
        <w:lastRenderedPageBreak/>
        <w:t xml:space="preserve">la Ley 489 de 1998, calificándolos de </w:t>
      </w:r>
      <w:r w:rsidRPr="004F3256">
        <w:rPr>
          <w:rFonts w:ascii="Verdana" w:eastAsia="Calibri" w:hAnsi="Verdana" w:cs="Arial"/>
          <w:bCs/>
          <w:i/>
          <w:color w:val="000000" w:themeColor="text1"/>
          <w:sz w:val="20"/>
          <w:szCs w:val="20"/>
          <w:lang w:val="es-ES_tradnl" w:eastAsia="es-ES_tradnl" w:bidi="es-ES"/>
        </w:rPr>
        <w:t xml:space="preserve">“puros” </w:t>
      </w:r>
      <w:r w:rsidRPr="004F3256">
        <w:rPr>
          <w:rFonts w:ascii="Verdana" w:eastAsia="Calibri" w:hAnsi="Verdana" w:cs="Arial"/>
          <w:bCs/>
          <w:color w:val="000000" w:themeColor="text1"/>
          <w:sz w:val="20"/>
          <w:szCs w:val="20"/>
          <w:lang w:val="es-ES_tradnl" w:eastAsia="es-ES_tradnl" w:bidi="es-ES"/>
        </w:rPr>
        <w:t xml:space="preserve">y entendiendo que estos, además de perseguir la finalidad de cooperación antes indicada, no implican intereses contrapuestos ni tampoco se circunscriben a un </w:t>
      </w:r>
      <w:r w:rsidRPr="004F3256">
        <w:rPr>
          <w:rFonts w:ascii="Verdana" w:eastAsia="Calibri" w:hAnsi="Verdana" w:cs="Arial"/>
          <w:bCs/>
          <w:i/>
          <w:color w:val="000000" w:themeColor="text1"/>
          <w:sz w:val="20"/>
          <w:szCs w:val="20"/>
          <w:lang w:val="es-ES_tradnl" w:eastAsia="es-ES_tradnl" w:bidi="es-ES"/>
        </w:rPr>
        <w:t>“intercambio patrimonial”</w:t>
      </w:r>
      <w:r w:rsidRPr="004F3256">
        <w:rPr>
          <w:rFonts w:ascii="Verdana" w:eastAsia="Calibri" w:hAnsi="Verdana" w:cs="Arial"/>
          <w:bCs/>
          <w:color w:val="000000" w:themeColor="text1"/>
          <w:sz w:val="20"/>
          <w:szCs w:val="20"/>
          <w:lang w:val="es-ES_tradnl" w:eastAsia="es-ES_tradnl" w:bidi="es-ES"/>
        </w:rPr>
        <w:t>. Sin perjuicio de lo anterior, en otra oportunidad, la misma Sala</w:t>
      </w:r>
      <w:r w:rsidRPr="004F3256">
        <w:rPr>
          <w:rFonts w:ascii="Verdana" w:eastAsia="Calibri" w:hAnsi="Verdana" w:cs="Arial"/>
          <w:bCs/>
          <w:color w:val="000000" w:themeColor="text1"/>
          <w:sz w:val="20"/>
          <w:szCs w:val="20"/>
          <w:vertAlign w:val="superscript"/>
          <w:lang w:val="es-ES_tradnl" w:eastAsia="es-ES_tradnl" w:bidi="es-ES"/>
        </w:rPr>
        <w:footnoteReference w:id="24"/>
      </w:r>
      <w:r w:rsidRPr="004F3256">
        <w:rPr>
          <w:rFonts w:ascii="Verdana" w:eastAsia="Calibri" w:hAnsi="Verdana" w:cs="Arial"/>
          <w:bCs/>
          <w:color w:val="000000" w:themeColor="text1"/>
          <w:sz w:val="20"/>
          <w:szCs w:val="20"/>
          <w:lang w:val="es-ES_tradnl" w:eastAsia="es-ES_tradnl" w:bidi="es-ES"/>
        </w:rPr>
        <w:t xml:space="preserve"> había indicado que, si bien en dichos convenios no se daba un </w:t>
      </w:r>
      <w:r w:rsidRPr="004F3256">
        <w:rPr>
          <w:rFonts w:ascii="Verdana" w:eastAsia="Calibri" w:hAnsi="Verdana" w:cs="Arial"/>
          <w:bCs/>
          <w:i/>
          <w:color w:val="000000" w:themeColor="text1"/>
          <w:sz w:val="20"/>
          <w:szCs w:val="20"/>
          <w:lang w:val="es-ES_tradnl" w:eastAsia="es-ES_tradnl" w:bidi="es-ES"/>
        </w:rPr>
        <w:t>“verdadero intercambio de bienes o servicios (contrato conmutativo)”</w:t>
      </w:r>
      <w:r w:rsidRPr="004F3256">
        <w:rPr>
          <w:rFonts w:ascii="Verdana" w:eastAsia="Calibri" w:hAnsi="Verdana" w:cs="Arial"/>
          <w:bCs/>
          <w:color w:val="000000" w:themeColor="text1"/>
          <w:sz w:val="20"/>
          <w:szCs w:val="20"/>
          <w:lang w:val="es-ES_tradnl" w:eastAsia="es-ES_tradnl" w:bidi="es-ES"/>
        </w:rPr>
        <w:t>, ello no impedía que se conviniera una remuneración a cargo de alguna(s) entidad(es).</w:t>
      </w:r>
    </w:p>
    <w:p w14:paraId="37C5E50D" w14:textId="77777777" w:rsidR="00237BDE" w:rsidRPr="004F3256" w:rsidRDefault="00237BDE" w:rsidP="00237BDE">
      <w:pPr>
        <w:spacing w:beforeLines="120" w:before="288" w:afterLines="120" w:after="288" w:line="276" w:lineRule="auto"/>
        <w:ind w:left="708" w:right="709" w:firstLine="708"/>
        <w:contextualSpacing/>
        <w:jc w:val="both"/>
        <w:rPr>
          <w:rFonts w:ascii="Verdana" w:eastAsia="Calibri" w:hAnsi="Verdana" w:cs="Arial"/>
          <w:bCs/>
          <w:color w:val="000000" w:themeColor="text1"/>
          <w:sz w:val="20"/>
          <w:szCs w:val="20"/>
          <w:lang w:val="es-ES_tradnl" w:eastAsia="es-ES_tradnl" w:bidi="es-ES"/>
        </w:rPr>
      </w:pPr>
    </w:p>
    <w:p w14:paraId="3DF0F5FF" w14:textId="77777777" w:rsidR="00237BDE" w:rsidRPr="004F3256" w:rsidRDefault="00237BDE" w:rsidP="00237BDE">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4F3256">
        <w:rPr>
          <w:rFonts w:ascii="Verdana" w:eastAsia="Calibri" w:hAnsi="Verdana" w:cs="Arial"/>
          <w:bCs/>
          <w:color w:val="000000" w:themeColor="text1"/>
          <w:sz w:val="20"/>
          <w:szCs w:val="20"/>
          <w:lang w:val="es-ES_tradnl" w:eastAsia="es-ES_tradnl" w:bidi="es-ES"/>
        </w:rPr>
        <w:t xml:space="preserve">Lo expuesto evidencia que, en general, las interpretaciones en torno a los </w:t>
      </w:r>
      <w:r w:rsidRPr="004F3256">
        <w:rPr>
          <w:rFonts w:ascii="Verdana" w:eastAsia="Calibri" w:hAnsi="Verdana" w:cs="Arial"/>
          <w:bCs/>
          <w:i/>
          <w:color w:val="000000" w:themeColor="text1"/>
          <w:sz w:val="20"/>
          <w:szCs w:val="20"/>
          <w:lang w:val="es-ES_tradnl" w:eastAsia="es-ES_tradnl" w:bidi="es-ES"/>
        </w:rPr>
        <w:t>“convenios interadministrativos”</w:t>
      </w:r>
      <w:r w:rsidRPr="004F3256">
        <w:rPr>
          <w:rFonts w:ascii="Verdana" w:eastAsia="Calibri" w:hAnsi="Verdana" w:cs="Arial"/>
          <w:bCs/>
          <w:color w:val="000000" w:themeColor="text1"/>
          <w:sz w:val="20"/>
          <w:szCs w:val="20"/>
          <w:lang w:val="es-ES_tradnl" w:eastAsia="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F3256">
        <w:rPr>
          <w:rFonts w:ascii="Verdana" w:eastAsia="Calibri" w:hAnsi="Verdana" w:cs="Arial"/>
          <w:bCs/>
          <w:color w:val="000000" w:themeColor="text1"/>
          <w:sz w:val="20"/>
          <w:szCs w:val="20"/>
          <w:vertAlign w:val="superscript"/>
          <w:lang w:val="es-ES_tradnl" w:eastAsia="es-ES_tradnl" w:bidi="es-ES"/>
        </w:rPr>
        <w:footnoteReference w:id="25"/>
      </w:r>
      <w:r w:rsidRPr="004F3256">
        <w:rPr>
          <w:rFonts w:ascii="Verdana" w:eastAsia="Calibri" w:hAnsi="Verdana" w:cs="Arial"/>
          <w:bCs/>
          <w:color w:val="000000" w:themeColor="text1"/>
          <w:sz w:val="20"/>
          <w:szCs w:val="20"/>
          <w:lang w:val="es-ES_tradnl" w:eastAsia="es-ES_tradnl" w:bidi="es-ES"/>
        </w:rPr>
        <w:t>.</w:t>
      </w:r>
      <w:r w:rsidRPr="004F3256">
        <w:rPr>
          <w:rFonts w:ascii="Verdana" w:eastAsia="Calibri" w:hAnsi="Verdana" w:cs="Arial"/>
          <w:bCs/>
          <w:color w:val="000000" w:themeColor="text1"/>
          <w:sz w:val="20"/>
          <w:szCs w:val="20"/>
          <w:vertAlign w:val="superscript"/>
          <w:lang w:eastAsia="es-ES_tradnl" w:bidi="es-ES"/>
        </w:rPr>
        <w:footnoteReference w:id="26"/>
      </w:r>
      <w:r w:rsidRPr="004F3256">
        <w:rPr>
          <w:rFonts w:ascii="Verdana" w:eastAsia="Calibri" w:hAnsi="Verdana" w:cs="Arial"/>
          <w:bCs/>
          <w:color w:val="000000" w:themeColor="text1"/>
          <w:sz w:val="20"/>
          <w:szCs w:val="20"/>
          <w:lang w:val="es-ES_tradnl" w:eastAsia="es-ES_tradnl" w:bidi="es-ES"/>
        </w:rPr>
        <w:t xml:space="preserve"> </w:t>
      </w:r>
    </w:p>
    <w:p w14:paraId="6019FC0B" w14:textId="77777777" w:rsidR="00237BDE" w:rsidRPr="004F3256" w:rsidRDefault="00237BDE" w:rsidP="00237BDE">
      <w:pPr>
        <w:snapToGrid w:val="0"/>
        <w:spacing w:after="0" w:line="276" w:lineRule="auto"/>
        <w:ind w:firstLine="709"/>
        <w:jc w:val="both"/>
        <w:rPr>
          <w:rFonts w:ascii="Verdana" w:eastAsia="Calibri" w:hAnsi="Verdana" w:cs="Arial"/>
          <w:bCs/>
          <w:color w:val="000000" w:themeColor="text1"/>
          <w:lang w:eastAsia="es-ES_tradnl" w:bidi="es-ES"/>
        </w:rPr>
      </w:pPr>
    </w:p>
    <w:p w14:paraId="5FE72BFA" w14:textId="77777777" w:rsidR="00237BDE" w:rsidRPr="004F3256" w:rsidRDefault="00237BDE" w:rsidP="00237BDE">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 xml:space="preserve">En esta ocasión la referida corporación judicial resaltó la finalidad del acuerdo de voluntades como un factor de diferenciación entre las dos figuras. Si bien 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involucran la ejecución de actividades en función de un interés común para las </w:t>
      </w:r>
      <w:r w:rsidRPr="004F3256">
        <w:rPr>
          <w:rFonts w:ascii="Verdana" w:eastAsia="Calibri" w:hAnsi="Verdana" w:cs="Arial"/>
          <w:bCs/>
          <w:color w:val="000000" w:themeColor="text1"/>
          <w:lang w:eastAsia="es-ES_tradnl" w:bidi="es-ES"/>
        </w:rPr>
        <w:lastRenderedPageBreak/>
        <w:t xml:space="preserve">partes; en esencia se pretende el cumplimiento de fines coincidentes entre quienes lo ejecutan. </w:t>
      </w:r>
    </w:p>
    <w:p w14:paraId="428F0AEF" w14:textId="77777777" w:rsidR="00237BDE" w:rsidRPr="004F3256" w:rsidRDefault="00237BDE" w:rsidP="00237BDE">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04A348FF" w14:textId="77777777" w:rsidR="00237BDE" w:rsidRPr="004F3256" w:rsidRDefault="00237BDE" w:rsidP="00237BDE">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Times New Roman" w:hAnsi="Verdana" w:cs="Arial"/>
          <w:lang w:val="es-ES" w:eastAsia="es-ES_tradnl"/>
        </w:rPr>
        <w:t xml:space="preserve">Visto lo anterior, de conformidad con lo previsto en el artículo 95 de la Ley 489 de 1998 y el alcance que la jurisprudencia y conceptos del Consejo de Estado  y la doctrina le han conferido al tema de la regulación de los contratos y convenios interadministrativos, esta última tipología presenta las siguientes características: </w:t>
      </w:r>
      <w:r w:rsidRPr="004F3256">
        <w:rPr>
          <w:rFonts w:ascii="Verdana" w:eastAsia="Times New Roman" w:hAnsi="Verdana" w:cs="Arial"/>
          <w:i/>
          <w:iCs/>
          <w:lang w:val="es-ES" w:eastAsia="es-ES_tradnl"/>
        </w:rPr>
        <w:t>(i)</w:t>
      </w:r>
      <w:r w:rsidRPr="004F3256">
        <w:rPr>
          <w:rFonts w:ascii="Verdana" w:eastAsia="Times New Roman" w:hAnsi="Verdana" w:cs="Arial"/>
          <w:lang w:val="es-ES" w:eastAsia="es-ES_tradnl"/>
        </w:rPr>
        <w:t xml:space="preserve"> se celebra entre dos entidades públicas que se encuentran en pie de igualdad con el objeto de cumplir competencias de ambas entidades dirigidas a un propósito común; </w:t>
      </w:r>
      <w:r w:rsidRPr="004F3256">
        <w:rPr>
          <w:rFonts w:ascii="Verdana" w:eastAsia="Times New Roman" w:hAnsi="Verdana" w:cs="Arial"/>
          <w:i/>
          <w:iCs/>
          <w:lang w:val="es-ES" w:eastAsia="es-ES_tradnl"/>
        </w:rPr>
        <w:t>(</w:t>
      </w:r>
      <w:proofErr w:type="spellStart"/>
      <w:r w:rsidRPr="004F3256">
        <w:rPr>
          <w:rFonts w:ascii="Verdana" w:eastAsia="Times New Roman" w:hAnsi="Verdana" w:cs="Arial"/>
          <w:i/>
          <w:iCs/>
          <w:lang w:val="es-ES" w:eastAsia="es-ES_tradnl"/>
        </w:rPr>
        <w:t>ii</w:t>
      </w:r>
      <w:proofErr w:type="spellEnd"/>
      <w:r w:rsidRPr="004F3256">
        <w:rPr>
          <w:rFonts w:ascii="Verdana" w:eastAsia="Times New Roman" w:hAnsi="Verdana" w:cs="Arial"/>
          <w:i/>
          <w:iCs/>
          <w:lang w:val="es-ES" w:eastAsia="es-ES_tradnl"/>
        </w:rPr>
        <w:t>)</w:t>
      </w:r>
      <w:r w:rsidRPr="004F3256">
        <w:rPr>
          <w:rFonts w:ascii="Verdana" w:eastAsia="Times New Roman" w:hAnsi="Verdana" w:cs="Arial"/>
          <w:lang w:val="es-ES" w:eastAsia="es-ES_tradnl"/>
        </w:rPr>
        <w:t xml:space="preserve"> la modalidad para su celebración es la contratación directa; </w:t>
      </w:r>
      <w:r w:rsidRPr="004F3256">
        <w:rPr>
          <w:rFonts w:ascii="Verdana" w:eastAsia="Times New Roman" w:hAnsi="Verdana" w:cs="Arial"/>
          <w:i/>
          <w:iCs/>
          <w:lang w:val="es-ES" w:eastAsia="es-ES_tradnl"/>
        </w:rPr>
        <w:t>(</w:t>
      </w:r>
      <w:proofErr w:type="spellStart"/>
      <w:r w:rsidRPr="004F3256">
        <w:rPr>
          <w:rFonts w:ascii="Verdana" w:eastAsia="Times New Roman" w:hAnsi="Verdana" w:cs="Arial"/>
          <w:i/>
          <w:iCs/>
          <w:lang w:val="es-ES" w:eastAsia="es-ES_tradnl"/>
        </w:rPr>
        <w:t>iii</w:t>
      </w:r>
      <w:proofErr w:type="spellEnd"/>
      <w:r w:rsidRPr="004F3256">
        <w:rPr>
          <w:rFonts w:ascii="Verdana" w:eastAsia="Times New Roman" w:hAnsi="Verdana" w:cs="Arial"/>
          <w:i/>
          <w:iCs/>
          <w:lang w:val="es-ES" w:eastAsia="es-ES_tradnl"/>
        </w:rPr>
        <w:t>)</w:t>
      </w:r>
      <w:r w:rsidRPr="004F3256">
        <w:rPr>
          <w:rFonts w:ascii="Verdana" w:eastAsia="Times New Roman" w:hAnsi="Verdana" w:cs="Arial"/>
          <w:lang w:val="es-ES" w:eastAsia="es-ES_tradnl"/>
        </w:rPr>
        <w:t xml:space="preserve"> los convenios interadministrativos pueden suponer el compromiso de recursos públicos y, por consiguiente, la realización de aportes financieros. Ello, sin embargo, no supone la posibilidad de que en este tipo de relaciones jurídicas exista una remuneración en favor de uno de los </w:t>
      </w:r>
      <w:proofErr w:type="spellStart"/>
      <w:r w:rsidRPr="004F3256">
        <w:rPr>
          <w:rFonts w:ascii="Verdana" w:eastAsia="Times New Roman" w:hAnsi="Verdana" w:cs="Arial"/>
          <w:lang w:val="es-ES" w:eastAsia="es-ES_tradnl"/>
        </w:rPr>
        <w:t>co-contratantes</w:t>
      </w:r>
      <w:proofErr w:type="spellEnd"/>
      <w:r w:rsidRPr="004F3256">
        <w:rPr>
          <w:rFonts w:ascii="Verdana" w:eastAsia="Times New Roman" w:hAnsi="Verdana" w:cs="Arial"/>
          <w:lang w:val="es-ES" w:eastAsia="es-ES_tradnl"/>
        </w:rPr>
        <w:t xml:space="preserve"> y a cargo de otro u otros.</w:t>
      </w:r>
    </w:p>
    <w:p w14:paraId="07340DC5" w14:textId="77777777" w:rsidR="00237BDE" w:rsidRPr="004F3256" w:rsidRDefault="00237BDE" w:rsidP="00237BDE">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 xml:space="preserve">En suma, el convenio interadministrativo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 </w:t>
      </w:r>
    </w:p>
    <w:p w14:paraId="7300FBB5" w14:textId="77777777" w:rsidR="00237BDE" w:rsidRPr="004F3256" w:rsidRDefault="00237BDE" w:rsidP="00237BDE">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 xml:space="preserve">Bajo estas consideraciones, </w:t>
      </w:r>
      <w:r w:rsidRPr="004F3256">
        <w:rPr>
          <w:rFonts w:ascii="Verdana" w:eastAsia="Calibri" w:hAnsi="Verdana" w:cs="Arial"/>
          <w:color w:val="000000" w:themeColor="text1"/>
          <w:lang w:val="es-ES"/>
        </w:rPr>
        <w:t>puede afirmarse</w:t>
      </w:r>
      <w:r w:rsidRPr="004F3256">
        <w:rPr>
          <w:rFonts w:ascii="Verdana" w:eastAsia="Calibri" w:hAnsi="Verdana" w:cs="Arial"/>
          <w:bCs/>
          <w:color w:val="000000" w:themeColor="text1"/>
          <w:lang w:eastAsia="es-ES_tradnl" w:bidi="es-ES"/>
        </w:rPr>
        <w:t xml:space="preserve"> </w:t>
      </w:r>
      <w:r w:rsidRPr="004F3256">
        <w:rPr>
          <w:rFonts w:ascii="Verdana" w:eastAsia="Times New Roman" w:hAnsi="Verdana" w:cs="Arial"/>
          <w:lang w:val="es-ES" w:eastAsia="es-ES_tradnl"/>
        </w:rPr>
        <w:t xml:space="preserve">que los convenios interadministrativos no pueden ser sinalagmáticos, debido a que en ellos no se involucran intereses contrapuestos, sino un interés común. Esto implica que, en </w:t>
      </w:r>
      <w:r w:rsidRPr="004F3256">
        <w:rPr>
          <w:rFonts w:ascii="Verdana" w:eastAsia="Times New Roman" w:hAnsi="Verdana" w:cs="Arial"/>
          <w:lang w:val="es-ES" w:eastAsia="es-ES_tradnl"/>
        </w:rPr>
        <w:lastRenderedPageBreak/>
        <w:t xml:space="preserve">los eventos en que su celebración comporte el compromiso y la ejecución de recursos públicos, el valor de estos no puede destinarse al pago o remuneración de ninguna de las partes, sino que debe corresponder necesariamente a la asunción de costos y gastos para cumplir las funciones de la respectiva entidad, así como para atender los compromisos adquiridos para con la otra, pues las entidades cooperan entre sí, no se prestan servicios ni se ofrecen bienes a cambio de una remuneración y, por esa razón, los recursos comprometidos a través de los convenios interadministrativos no constituyen un pago, sino un aporte para lograr el cometido común. </w:t>
      </w:r>
    </w:p>
    <w:p w14:paraId="07C530FD" w14:textId="77777777" w:rsidR="00237BDE" w:rsidRPr="004F3256" w:rsidRDefault="00237BDE" w:rsidP="00237BDE">
      <w:pPr>
        <w:spacing w:after="120" w:line="276" w:lineRule="auto"/>
        <w:ind w:firstLine="709"/>
        <w:jc w:val="both"/>
        <w:rPr>
          <w:rFonts w:ascii="Verdana" w:eastAsia="Times New Roman" w:hAnsi="Verdana" w:cs="Arial"/>
          <w:szCs w:val="24"/>
          <w:lang w:eastAsia="es-ES_tradnl"/>
        </w:rPr>
      </w:pPr>
      <w:r w:rsidRPr="004F3256">
        <w:rPr>
          <w:rFonts w:ascii="Verdana" w:eastAsia="Times New Roman" w:hAnsi="Verdana" w:cs="Arial"/>
          <w:szCs w:val="24"/>
          <w:lang w:eastAsia="es-ES_tradnl"/>
        </w:rPr>
        <w:t>Así, tal y como se ha expuesto en líneas anteriores, en atención a su naturaleza particular, a los convenios interadministrativos no les subyace un interés puramente económico, en tanto no se celebran para obtener una ganancia, sino con el propósito de ejecutar actividades que contribuyen directamente al fin común de los sujetos vinculados al convenio. De hecho, las partes presentan intereses convergentes, coincidentes o comunes y cooperan en procura de alcanzar en forma eficaz el cometido estatal previsto en la Constitución o en la ley, sin que por esto se reciba por ninguna de ellas el pago de un precio o contraprestación.</w:t>
      </w:r>
      <w:r w:rsidRPr="004F3256">
        <w:rPr>
          <w:rFonts w:ascii="Verdana" w:eastAsia="Times New Roman" w:hAnsi="Verdana" w:cs="Arial"/>
          <w:lang w:val="es-ES" w:eastAsia="es-ES_tradnl"/>
        </w:rPr>
        <w:t xml:space="preserve"> </w:t>
      </w:r>
    </w:p>
    <w:p w14:paraId="32F5127B" w14:textId="77777777" w:rsidR="00237BDE" w:rsidRPr="004F3256" w:rsidRDefault="00237BDE" w:rsidP="00237BDE">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szCs w:val="24"/>
          <w:lang w:eastAsia="es-ES_tradnl"/>
        </w:rPr>
        <w:t xml:space="preserve">En la práctica, en los convenios interadministrativos que las entidades celebran no suele pactarse un precio o remuneración, lo que no significa que, para la ejecución de sus compromisos, no puedan </w:t>
      </w:r>
      <w:r w:rsidRPr="004F3256">
        <w:rPr>
          <w:rFonts w:ascii="Verdana" w:eastAsia="Times New Roman" w:hAnsi="Verdana" w:cs="Arial"/>
          <w:lang w:eastAsia="es-ES_tradnl"/>
        </w:rPr>
        <w:t>afectar sus respectivos presupuestos y ejecutar recursos públicos. Recuérdese que ese contenido económico, incluso, puede estar presente de forma implícita en el caso de las obligaciones de hacer</w:t>
      </w:r>
      <w:r w:rsidRPr="004F3256">
        <w:rPr>
          <w:rFonts w:ascii="Verdana" w:eastAsia="Calibri" w:hAnsi="Verdana" w:cs="Arial"/>
          <w:vertAlign w:val="superscript"/>
          <w:lang w:val="es-ES_tradnl"/>
        </w:rPr>
        <w:footnoteReference w:id="27"/>
      </w:r>
      <w:r w:rsidRPr="004F3256">
        <w:rPr>
          <w:rFonts w:ascii="Verdana" w:eastAsia="Times New Roman" w:hAnsi="Verdana" w:cs="Arial"/>
          <w:lang w:eastAsia="es-ES_tradnl"/>
        </w:rPr>
        <w:t xml:space="preserve">. </w:t>
      </w:r>
    </w:p>
    <w:p w14:paraId="7ED2D7D7" w14:textId="77777777" w:rsidR="00237BDE" w:rsidRPr="004F3256" w:rsidRDefault="00237BDE" w:rsidP="00237BDE">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lang w:eastAsia="es-ES_tradnl"/>
        </w:rPr>
        <w:t xml:space="preserve">Sobre este aspecto, la Sala de Consulta y Servicio Civil del Consejo de Estado, resaltó la posibilidad de asunción de aportes económicos en el marco de un convenio interadministrativo, en el cual se pueden determinar costos y gastos para el cumplimiento de sus objetivos: </w:t>
      </w:r>
    </w:p>
    <w:p w14:paraId="79AF472B" w14:textId="77777777" w:rsidR="00237BDE" w:rsidRPr="004F3256" w:rsidRDefault="00237BDE" w:rsidP="00237BDE">
      <w:pPr>
        <w:spacing w:after="0" w:line="276" w:lineRule="auto"/>
        <w:ind w:firstLine="709"/>
        <w:jc w:val="both"/>
        <w:rPr>
          <w:rFonts w:ascii="Verdana" w:eastAsia="Times New Roman" w:hAnsi="Verdana" w:cs="Arial"/>
          <w:lang w:eastAsia="es-ES_tradnl"/>
        </w:rPr>
      </w:pPr>
    </w:p>
    <w:p w14:paraId="544A2465" w14:textId="77777777" w:rsidR="00237BDE" w:rsidRPr="004F3256" w:rsidRDefault="00237BDE" w:rsidP="00237BDE">
      <w:pPr>
        <w:spacing w:after="0" w:line="240" w:lineRule="auto"/>
        <w:ind w:left="709" w:right="714"/>
        <w:jc w:val="both"/>
        <w:rPr>
          <w:rFonts w:ascii="Verdana" w:eastAsia="Calibri" w:hAnsi="Verdana" w:cs="Arial"/>
          <w:bCs/>
          <w:iCs/>
          <w:sz w:val="20"/>
          <w:szCs w:val="20"/>
        </w:rPr>
      </w:pPr>
      <w:r w:rsidRPr="004F3256">
        <w:rPr>
          <w:rFonts w:ascii="Verdana" w:eastAsia="Calibri" w:hAnsi="Verdana" w:cs="Arial"/>
          <w:iCs/>
          <w:sz w:val="20"/>
          <w:szCs w:val="20"/>
        </w:rPr>
        <w:t>“</w:t>
      </w:r>
      <w:r w:rsidRPr="004F3256">
        <w:rPr>
          <w:rFonts w:ascii="Verdana" w:eastAsia="Calibri" w:hAnsi="Verdana" w:cs="Arial"/>
          <w:i/>
          <w:sz w:val="20"/>
          <w:szCs w:val="20"/>
        </w:rPr>
        <w:t>Lógicamente,</w:t>
      </w:r>
      <w:r w:rsidRPr="004F3256">
        <w:rPr>
          <w:rFonts w:ascii="Verdana" w:eastAsia="Calibri" w:hAnsi="Verdana" w:cs="Arial"/>
          <w:b/>
          <w:i/>
          <w:sz w:val="20"/>
          <w:szCs w:val="20"/>
        </w:rPr>
        <w:t xml:space="preserve"> </w:t>
      </w:r>
      <w:r w:rsidRPr="004F3256">
        <w:rPr>
          <w:rFonts w:ascii="Verdana" w:eastAsia="Calibri" w:hAnsi="Verdana" w:cs="Arial"/>
          <w:bCs/>
          <w:i/>
          <w:sz w:val="20"/>
          <w:szCs w:val="20"/>
        </w:rPr>
        <w:t>en los convenios interadministrativos propiamente dichos, es posible,</w:t>
      </w:r>
      <w:r w:rsidRPr="004F3256">
        <w:rPr>
          <w:rFonts w:ascii="Verdana" w:eastAsia="Calibri" w:hAnsi="Verdana" w:cs="Arial"/>
          <w:bCs/>
          <w:iCs/>
          <w:sz w:val="20"/>
          <w:szCs w:val="20"/>
        </w:rPr>
        <w:t xml:space="preserve"> </w:t>
      </w:r>
      <w:r w:rsidRPr="004F3256">
        <w:rPr>
          <w:rFonts w:ascii="Verdana" w:eastAsia="Calibri" w:hAnsi="Verdana" w:cs="Arial"/>
          <w:bCs/>
          <w:i/>
          <w:sz w:val="20"/>
          <w:szCs w:val="20"/>
        </w:rPr>
        <w:t>que cada entidad incurra en costos y gastos y en ejecución de su propio presupuesto para cumplir sus funciones y los compromisos adquiridos para con la otra</w:t>
      </w:r>
      <w:r w:rsidRPr="004F3256">
        <w:rPr>
          <w:rFonts w:ascii="Verdana" w:eastAsia="Calibri" w:hAnsi="Verdana" w:cs="Arial"/>
          <w:bCs/>
          <w:iCs/>
          <w:sz w:val="20"/>
          <w:szCs w:val="20"/>
        </w:rPr>
        <w:t xml:space="preserve">, razón por la cual bien pueden comprender la asunción de aportes económicos o financieros, pero sin que su objeto </w:t>
      </w:r>
      <w:r w:rsidRPr="004F3256">
        <w:rPr>
          <w:rFonts w:ascii="Verdana" w:eastAsia="Calibri" w:hAnsi="Verdana" w:cs="Arial"/>
          <w:bCs/>
          <w:iCs/>
          <w:sz w:val="20"/>
          <w:szCs w:val="20"/>
        </w:rPr>
        <w:lastRenderedPageBreak/>
        <w:t>esencial lo constituyan prestaciones propias de los contratos interadministrativos, o el pago de un precio o una remuneración por un servicio prestado o por un bien adquirido o por una obra realizada por una a favor de la otra, pues en tales eventos se estará en presencia de verdaderos contratos”</w:t>
      </w:r>
      <w:r w:rsidRPr="004F3256">
        <w:rPr>
          <w:rFonts w:ascii="Verdana" w:eastAsia="Calibri" w:hAnsi="Verdana" w:cs="Arial"/>
          <w:bCs/>
          <w:iCs/>
          <w:sz w:val="20"/>
          <w:szCs w:val="20"/>
          <w:vertAlign w:val="superscript"/>
        </w:rPr>
        <w:footnoteReference w:id="28"/>
      </w:r>
      <w:r w:rsidRPr="004F3256">
        <w:rPr>
          <w:rFonts w:ascii="Verdana" w:eastAsia="Calibri" w:hAnsi="Verdana" w:cs="Arial"/>
          <w:bCs/>
          <w:iCs/>
          <w:sz w:val="20"/>
          <w:szCs w:val="20"/>
        </w:rPr>
        <w:t>. [Énfasis por fuera de texto]</w:t>
      </w:r>
    </w:p>
    <w:p w14:paraId="3B63268F" w14:textId="77777777" w:rsidR="00237BDE" w:rsidRPr="004F3256" w:rsidRDefault="00237BDE" w:rsidP="00237BDE">
      <w:pPr>
        <w:spacing w:after="0" w:line="240" w:lineRule="auto"/>
        <w:ind w:left="709" w:right="714"/>
        <w:jc w:val="both"/>
        <w:rPr>
          <w:rFonts w:ascii="Verdana" w:eastAsia="Calibri" w:hAnsi="Verdana" w:cs="Arial"/>
          <w:iCs/>
          <w:sz w:val="18"/>
          <w:szCs w:val="18"/>
        </w:rPr>
      </w:pPr>
    </w:p>
    <w:p w14:paraId="65CB1D0E" w14:textId="77777777" w:rsidR="00237BDE" w:rsidRPr="004F3256" w:rsidRDefault="00237BDE" w:rsidP="00237BDE">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lang w:eastAsia="es-ES_tradnl"/>
        </w:rPr>
        <w:t xml:space="preserve">En reciente pronunciamiento, la Sala de lo Contencioso Administrativo, Sección Tercera del Consejo de Estado reiteró </w:t>
      </w:r>
      <w:proofErr w:type="gramStart"/>
      <w:r w:rsidRPr="004F3256">
        <w:rPr>
          <w:rFonts w:ascii="Verdana" w:eastAsia="Times New Roman" w:hAnsi="Verdana" w:cs="Arial"/>
          <w:lang w:eastAsia="es-ES_tradnl"/>
        </w:rPr>
        <w:t>que</w:t>
      </w:r>
      <w:proofErr w:type="gramEnd"/>
      <w:r w:rsidRPr="004F3256">
        <w:rPr>
          <w:rFonts w:ascii="Verdana" w:eastAsia="Times New Roman" w:hAnsi="Verdana" w:cs="Arial"/>
          <w:lang w:eastAsia="es-ES_tradnl"/>
        </w:rPr>
        <w:t xml:space="preserve"> si bien en el marco de los convenios interadministrativos no se generar relaciones conmutativas sinalagmáticas en la medida que no se obligan a dar o a hacer algo a cambio de una prestación equivalente o remuneración, no significa que no se pueden realizar aportes de naturaleza técnica, administrativa, financiera o económica para ejecutar el objetivo común: </w:t>
      </w:r>
    </w:p>
    <w:p w14:paraId="3C268B83" w14:textId="77777777" w:rsidR="00237BDE" w:rsidRPr="004F3256" w:rsidRDefault="00237BDE" w:rsidP="00237BDE">
      <w:pPr>
        <w:spacing w:after="0" w:line="276" w:lineRule="auto"/>
        <w:ind w:firstLine="709"/>
        <w:jc w:val="both"/>
        <w:rPr>
          <w:rFonts w:ascii="Verdana" w:eastAsia="Times New Roman" w:hAnsi="Verdana" w:cs="Arial"/>
          <w:lang w:eastAsia="es-ES_tradnl"/>
        </w:rPr>
      </w:pPr>
    </w:p>
    <w:p w14:paraId="2DC2E9DF" w14:textId="77777777" w:rsidR="00237BDE" w:rsidRPr="004F3256" w:rsidRDefault="00237BDE" w:rsidP="00237BDE">
      <w:pPr>
        <w:spacing w:after="0" w:line="240" w:lineRule="auto"/>
        <w:ind w:left="709" w:right="714"/>
        <w:jc w:val="both"/>
        <w:rPr>
          <w:rFonts w:ascii="Verdana" w:eastAsia="Calibri" w:hAnsi="Verdana" w:cs="Arial"/>
          <w:bCs/>
          <w:iCs/>
          <w:sz w:val="20"/>
          <w:szCs w:val="20"/>
        </w:rPr>
      </w:pPr>
      <w:r w:rsidRPr="004F3256">
        <w:rPr>
          <w:rFonts w:ascii="Verdana" w:eastAsia="Calibri" w:hAnsi="Verdana" w:cs="Arial"/>
          <w:iCs/>
          <w:sz w:val="20"/>
          <w:szCs w:val="20"/>
        </w:rPr>
        <w:t xml:space="preserve">“Lo anterior no significa que en el marco de los convenios </w:t>
      </w:r>
      <w:r w:rsidRPr="004F3256">
        <w:rPr>
          <w:rFonts w:ascii="Verdana" w:eastAsia="Calibri" w:hAnsi="Verdana" w:cs="Arial"/>
          <w:i/>
          <w:sz w:val="20"/>
          <w:szCs w:val="20"/>
        </w:rPr>
        <w:t>interadministrativos las partes no puedan asumir obligaciones de tipo económico, en tanto, desde el ámbito que corresponde a sus competencias, pueden contribuir a la realización del objetivo común a través de aportes de naturaleza técnica, administrativa, financiera o económica</w:t>
      </w:r>
      <w:r w:rsidRPr="004F3256">
        <w:rPr>
          <w:rFonts w:ascii="Verdana" w:eastAsia="Calibri" w:hAnsi="Verdana" w:cs="Arial"/>
          <w:iCs/>
          <w:sz w:val="20"/>
          <w:szCs w:val="20"/>
        </w:rPr>
        <w:t>. Es por esto que un aporte económico no puede entenderse ni aplicarse a la relación negocial como una retribución por contraprestación de la otra parte, o por el desempeño de las funciones administrativas o técnicas que otro contrayente, en el ámbito de sus competencias, se obliga a ejecutar, pues de ser ello así, se desnaturalizaría la principal y más esencial característica de este tipo de negocios, la cual está dada por la conjunción de esfuerzos para el logro de una finalidad común a todos los intervinientes”</w:t>
      </w:r>
      <w:r w:rsidRPr="004F3256">
        <w:rPr>
          <w:rFonts w:ascii="Verdana" w:eastAsia="Calibri" w:hAnsi="Verdana" w:cs="Arial"/>
          <w:iCs/>
          <w:sz w:val="20"/>
          <w:szCs w:val="20"/>
          <w:vertAlign w:val="superscript"/>
        </w:rPr>
        <w:footnoteReference w:id="29"/>
      </w:r>
      <w:r w:rsidRPr="004F3256">
        <w:rPr>
          <w:rFonts w:ascii="Verdana" w:eastAsia="Calibri" w:hAnsi="Verdana" w:cs="Arial"/>
          <w:iCs/>
          <w:sz w:val="20"/>
          <w:szCs w:val="20"/>
        </w:rPr>
        <w:t>.</w:t>
      </w:r>
      <w:r w:rsidRPr="004F3256">
        <w:rPr>
          <w:rFonts w:ascii="Verdana" w:eastAsia="Geomanist Light" w:hAnsi="Verdana" w:cs="Arial"/>
          <w:color w:val="201F1E"/>
        </w:rPr>
        <w:t xml:space="preserve"> </w:t>
      </w:r>
      <w:r w:rsidRPr="004F3256">
        <w:rPr>
          <w:rFonts w:ascii="Verdana" w:eastAsia="Calibri" w:hAnsi="Verdana" w:cs="Arial"/>
          <w:bCs/>
          <w:iCs/>
          <w:sz w:val="20"/>
          <w:szCs w:val="20"/>
        </w:rPr>
        <w:t>[Énfasis por fuera de texto]</w:t>
      </w:r>
    </w:p>
    <w:p w14:paraId="2992DC37" w14:textId="77777777" w:rsidR="00237BDE" w:rsidRPr="004F3256" w:rsidRDefault="00237BDE" w:rsidP="00237BDE">
      <w:pPr>
        <w:spacing w:after="0" w:line="276" w:lineRule="auto"/>
        <w:ind w:right="714"/>
        <w:jc w:val="both"/>
        <w:rPr>
          <w:rFonts w:ascii="Verdana" w:eastAsia="Calibri" w:hAnsi="Verdana" w:cs="Arial"/>
          <w:iCs/>
          <w:sz w:val="20"/>
          <w:szCs w:val="20"/>
        </w:rPr>
      </w:pPr>
    </w:p>
    <w:p w14:paraId="0216F969" w14:textId="77777777" w:rsidR="00237BDE" w:rsidRPr="004F3256" w:rsidRDefault="00237BDE" w:rsidP="00237BDE">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lang w:eastAsia="es-ES_tradnl"/>
        </w:rPr>
        <w:t xml:space="preserve">De esta manera, </w:t>
      </w:r>
      <w:r w:rsidRPr="004F3256">
        <w:rPr>
          <w:rFonts w:ascii="Verdana" w:eastAsia="Calibri" w:hAnsi="Verdana" w:cs="Arial"/>
          <w:bCs/>
          <w:iCs/>
        </w:rPr>
        <w:t xml:space="preserve">es posible y lógico que para efectos de la ejecución del convenio interadministrativo las entidades públicas incurran en costos y gastos administrativos lo que se puede reflejar en los respectivos </w:t>
      </w:r>
      <w:r w:rsidRPr="004F3256">
        <w:rPr>
          <w:rFonts w:ascii="Verdana" w:eastAsia="Times New Roman" w:hAnsi="Verdana" w:cs="Arial"/>
          <w:lang w:eastAsia="es-ES_tradnl"/>
        </w:rPr>
        <w:t>aportes de naturaleza técnica, administrativa, financiera o económica, sin que ello signifique el pago de un precio o una remuneración por servicio prestado o bien adquirido. Estos costos o gastos de administración pueden incluirse válidamente</w:t>
      </w:r>
      <w:r w:rsidRPr="004F3256">
        <w:rPr>
          <w:rFonts w:ascii="Verdana" w:eastAsia="Times New Roman" w:hAnsi="Verdana" w:cs="Arial"/>
          <w:b/>
          <w:bCs/>
          <w:lang w:eastAsia="es-ES_tradnl"/>
        </w:rPr>
        <w:t xml:space="preserve"> </w:t>
      </w:r>
      <w:r w:rsidRPr="004F3256">
        <w:rPr>
          <w:rFonts w:ascii="Verdana" w:eastAsia="Times New Roman" w:hAnsi="Verdana" w:cs="Arial"/>
          <w:lang w:eastAsia="es-ES_tradnl"/>
        </w:rPr>
        <w:t xml:space="preserve">siempre que se justifique técnica y financieramente que son necesarios y razonables para el desarrollo del objeto convenido y que se trate de aspectos operativos, logísticos o de administración </w:t>
      </w:r>
      <w:r w:rsidRPr="004F3256">
        <w:rPr>
          <w:rFonts w:ascii="Verdana" w:eastAsia="Calibri" w:hAnsi="Verdana" w:cs="Arial"/>
          <w:bCs/>
          <w:iCs/>
        </w:rPr>
        <w:t xml:space="preserve">que permitan cumplir los compromisos adquiridos en el </w:t>
      </w:r>
      <w:r w:rsidRPr="004F3256">
        <w:rPr>
          <w:rFonts w:ascii="Verdana" w:eastAsia="Calibri" w:hAnsi="Verdana" w:cs="Arial"/>
          <w:bCs/>
          <w:iCs/>
        </w:rPr>
        <w:lastRenderedPageBreak/>
        <w:t>marco del convenio</w:t>
      </w:r>
      <w:r w:rsidRPr="004F3256">
        <w:rPr>
          <w:rFonts w:ascii="Verdana" w:eastAsia="Times New Roman" w:hAnsi="Verdana" w:cs="Arial"/>
          <w:lang w:eastAsia="es-ES_tradnl"/>
        </w:rPr>
        <w:t xml:space="preserve"> y que, por tanto, no representan una utilidad o una contraprestación en favor de una de las partes. </w:t>
      </w:r>
    </w:p>
    <w:p w14:paraId="466AD2F0" w14:textId="77777777" w:rsidR="00237BDE" w:rsidRPr="004F3256" w:rsidRDefault="00237BDE" w:rsidP="00237BDE">
      <w:pPr>
        <w:spacing w:after="120" w:line="276" w:lineRule="auto"/>
        <w:ind w:firstLine="708"/>
        <w:jc w:val="both"/>
        <w:rPr>
          <w:rFonts w:ascii="Verdana" w:eastAsia="Times New Roman" w:hAnsi="Verdana" w:cs="Arial"/>
          <w:lang w:eastAsia="es-ES_tradnl"/>
        </w:rPr>
      </w:pPr>
      <w:r w:rsidRPr="004F3256">
        <w:rPr>
          <w:rFonts w:ascii="Verdana" w:eastAsia="Times New Roman" w:hAnsi="Verdana" w:cs="Arial"/>
          <w:lang w:eastAsia="es-ES_tradnl"/>
        </w:rPr>
        <w:t xml:space="preserve">En este sentido, se precisa que la posibilidad de que un convenio interadministrativo incluya compromisos con contenido económico no puede ir en contravía de su naturaleza y finalidad, ni mucho menos desconocer los elementos esenciales de este tipo negocial que se desprenden del artículo 95 de la Ley 489 de 1998. Por ende, la determinación de estos costos o gastos administrativos no pueden ocultar una remuneración verdadera o una utilidad en favor de alguna de las entidades que concurre a su suscripción, así como tampoco pueden emplearse para aspectos distintos del cumplimiento de los compromisos asumidos, pues no se trataría de un </w:t>
      </w:r>
      <w:proofErr w:type="gramStart"/>
      <w:r w:rsidRPr="004F3256">
        <w:rPr>
          <w:rFonts w:ascii="Verdana" w:eastAsia="Times New Roman" w:hAnsi="Verdana" w:cs="Arial"/>
          <w:lang w:eastAsia="es-ES_tradnl"/>
        </w:rPr>
        <w:t>convenio</w:t>
      </w:r>
      <w:proofErr w:type="gramEnd"/>
      <w:r w:rsidRPr="004F3256">
        <w:rPr>
          <w:rFonts w:ascii="Verdana" w:eastAsia="Times New Roman" w:hAnsi="Verdana" w:cs="Arial"/>
          <w:lang w:eastAsia="es-ES_tradnl"/>
        </w:rPr>
        <w:t xml:space="preserve"> sino que su connotación transmutaría a un contrato interadministrativo. </w:t>
      </w:r>
    </w:p>
    <w:p w14:paraId="0B2B17F6" w14:textId="77777777" w:rsidR="00237BDE" w:rsidRPr="004F3256" w:rsidRDefault="00237BDE" w:rsidP="00237BDE">
      <w:pPr>
        <w:spacing w:after="120" w:line="276" w:lineRule="auto"/>
        <w:ind w:firstLine="708"/>
        <w:jc w:val="both"/>
        <w:rPr>
          <w:rFonts w:ascii="Verdana" w:eastAsia="Times New Roman" w:hAnsi="Verdana" w:cs="Arial"/>
          <w:iCs/>
          <w:lang w:eastAsia="es-ES_tradnl"/>
        </w:rPr>
      </w:pPr>
      <w:r w:rsidRPr="004F3256">
        <w:rPr>
          <w:rFonts w:ascii="Verdana" w:eastAsia="Times New Roman" w:hAnsi="Verdana" w:cs="Arial"/>
          <w:iCs/>
          <w:lang w:eastAsia="es-ES_tradnl"/>
        </w:rPr>
        <w:t>Esta claridad resulta importante para efectos de la consulta planteada ya que, 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w:t>
      </w:r>
    </w:p>
    <w:p w14:paraId="0F42E986" w14:textId="77777777" w:rsidR="00237BDE" w:rsidRPr="004F3256" w:rsidRDefault="00237BDE" w:rsidP="00237BDE">
      <w:pPr>
        <w:spacing w:after="120" w:line="276" w:lineRule="auto"/>
        <w:ind w:firstLine="708"/>
        <w:jc w:val="both"/>
        <w:rPr>
          <w:rFonts w:ascii="Verdana" w:eastAsia="Times New Roman" w:hAnsi="Verdana" w:cs="Arial"/>
          <w:iCs/>
          <w:lang w:eastAsia="es-ES_tradnl"/>
        </w:rPr>
      </w:pPr>
      <w:r w:rsidRPr="004F3256">
        <w:rPr>
          <w:rFonts w:ascii="Verdana" w:eastAsia="Times New Roman" w:hAnsi="Verdana" w:cs="Arial"/>
          <w:iCs/>
          <w:lang w:eastAsia="es-ES_tradnl"/>
        </w:rPr>
        <w:t>Lo anterior reviste especial importancia, ya que, como se explicó, la naturaleza del negocio jurídico determina el régimen jurídico aplicable, así como la procedencia y el alcance de determinadas figuras contractuales. En este sentido, la determinación de los costos o gastos administrativos en uno u otro negocio jurídico debe corresponden con la naturaleza, finalidad y alcance de cada uno de ellos. En todo caso, debe recordarse que la aplicación o el alcance de estas y otras instituciones debe evaluarse con base en el contenido específico de cada convenio interadministrativo celebrado, por lo que no es posible establecer conclusiones de manera automática o anticipada con la simple denominación que las partes le asignen.</w:t>
      </w:r>
    </w:p>
    <w:p w14:paraId="15057327" w14:textId="77777777" w:rsidR="00237BDE" w:rsidRPr="004F3256" w:rsidRDefault="00237BDE" w:rsidP="00237BDE">
      <w:pPr>
        <w:spacing w:after="120" w:line="276" w:lineRule="auto"/>
        <w:ind w:firstLine="708"/>
        <w:jc w:val="both"/>
        <w:rPr>
          <w:rFonts w:ascii="Verdana" w:eastAsia="Times New Roman" w:hAnsi="Verdana" w:cs="Arial"/>
          <w:iCs/>
          <w:lang w:eastAsia="es-ES_tradnl"/>
        </w:rPr>
      </w:pPr>
      <w:r w:rsidRPr="004F3256">
        <w:rPr>
          <w:rFonts w:ascii="Verdana" w:eastAsia="Times New Roman" w:hAnsi="Verdana" w:cs="Arial"/>
          <w:iCs/>
          <w:lang w:eastAsia="es-ES_tradnl"/>
        </w:rPr>
        <w:lastRenderedPageBreak/>
        <w:t>En conclusión, si la noción de costos indirectos –</w:t>
      </w:r>
      <w:proofErr w:type="spellStart"/>
      <w:r w:rsidRPr="004F3256">
        <w:rPr>
          <w:rFonts w:ascii="Verdana" w:eastAsia="Times New Roman" w:hAnsi="Verdana" w:cs="Arial"/>
          <w:iCs/>
          <w:lang w:eastAsia="es-ES_tradnl"/>
        </w:rPr>
        <w:t>overhead</w:t>
      </w:r>
      <w:proofErr w:type="spellEnd"/>
      <w:r w:rsidRPr="004F3256">
        <w:rPr>
          <w:rFonts w:ascii="Verdana" w:eastAsia="Times New Roman" w:hAnsi="Verdana" w:cs="Arial"/>
          <w:iCs/>
          <w:lang w:eastAsia="es-ES_tradnl"/>
        </w:rPr>
        <w:t>-, tal y como se explicó, es una noción asociada al cálculo del precio que se pagará al contratista por parte de la Entidad Estatal contratante, es decir una contraprestación, este concepto resulta inaplicable tratándose de convenios interadministrativos, en los cuales, los compromisos de contenido patrimonial se deben dirigir a cubrir los costos que genera la ejecución de las actividades asociadas al mismo, pero no a pagar a una de las entidades por la realización de sus respectivos compromisos o una utilidad a favor de ellas.</w:t>
      </w:r>
    </w:p>
    <w:p w14:paraId="0D1F5EDC" w14:textId="77777777" w:rsidR="00237BDE" w:rsidRPr="004F3256" w:rsidRDefault="00237BDE" w:rsidP="00237BDE">
      <w:pPr>
        <w:spacing w:after="120" w:line="276" w:lineRule="auto"/>
        <w:ind w:firstLine="709"/>
        <w:jc w:val="both"/>
        <w:rPr>
          <w:rFonts w:ascii="Verdana" w:hAnsi="Verdana" w:cs="Arial"/>
          <w:lang w:eastAsia="es-ES"/>
        </w:rPr>
      </w:pPr>
      <w:r w:rsidRPr="004F3256">
        <w:rPr>
          <w:rFonts w:ascii="Verdana" w:hAnsi="Verdana" w:cs="Arial"/>
          <w:lang w:eastAsia="es-ES"/>
        </w:rPr>
        <w:t>Al margen de la explicación precedente debe advertirse que el análisis requerido para resolver problemas específicos en torno al AIU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786E089" w14:textId="77777777" w:rsidR="00237BDE" w:rsidRPr="004F3256" w:rsidRDefault="00237BDE" w:rsidP="00237BDE">
      <w:pPr>
        <w:widowControl w:val="0"/>
        <w:autoSpaceDE w:val="0"/>
        <w:autoSpaceDN w:val="0"/>
        <w:spacing w:after="0" w:line="276" w:lineRule="auto"/>
        <w:jc w:val="both"/>
        <w:rPr>
          <w:rFonts w:ascii="Verdana" w:eastAsia="Arial" w:hAnsi="Verdana" w:cs="Arial"/>
          <w:lang w:val="es-ES"/>
        </w:rPr>
      </w:pPr>
    </w:p>
    <w:p w14:paraId="5C60AD9A" w14:textId="77777777" w:rsidR="00237BDE" w:rsidRPr="004F3256" w:rsidRDefault="00237BDE" w:rsidP="00237BDE">
      <w:pPr>
        <w:numPr>
          <w:ilvl w:val="0"/>
          <w:numId w:val="17"/>
        </w:numPr>
        <w:tabs>
          <w:tab w:val="left" w:pos="142"/>
          <w:tab w:val="left" w:pos="284"/>
        </w:tabs>
        <w:spacing w:after="0" w:line="276" w:lineRule="auto"/>
        <w:ind w:left="1068"/>
        <w:jc w:val="both"/>
        <w:rPr>
          <w:rFonts w:ascii="Verdana" w:eastAsia="Century Gothic" w:hAnsi="Verdana" w:cs="Century Gothic"/>
          <w:b/>
          <w:bCs/>
        </w:rPr>
      </w:pPr>
      <w:r w:rsidRPr="004F3256">
        <w:rPr>
          <w:rFonts w:ascii="Verdana" w:eastAsia="Century Gothic" w:hAnsi="Verdana" w:cs="Century Gothic"/>
          <w:b/>
          <w:bCs/>
        </w:rPr>
        <w:t>Referencias normativas y jurisprudenciales:</w:t>
      </w:r>
    </w:p>
    <w:p w14:paraId="03F0D1E1" w14:textId="77777777" w:rsidR="00237BDE" w:rsidRPr="004F3256" w:rsidRDefault="00237BDE" w:rsidP="00237BD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37BDE" w:rsidRPr="004F3256" w14:paraId="074599E3" w14:textId="77777777" w:rsidTr="005148DF">
        <w:trPr>
          <w:trHeight w:val="410"/>
          <w:jc w:val="center"/>
        </w:trPr>
        <w:tc>
          <w:tcPr>
            <w:tcW w:w="8647" w:type="dxa"/>
          </w:tcPr>
          <w:p w14:paraId="48B04B8D" w14:textId="77777777" w:rsidR="00237BDE" w:rsidRPr="004F3256" w:rsidRDefault="00237BDE" w:rsidP="00237BDE">
            <w:pPr>
              <w:numPr>
                <w:ilvl w:val="0"/>
                <w:numId w:val="16"/>
              </w:numPr>
              <w:ind w:left="318" w:hanging="284"/>
              <w:contextualSpacing/>
              <w:jc w:val="both"/>
              <w:rPr>
                <w:rFonts w:ascii="Verdana" w:hAnsi="Verdana" w:cs="Arial"/>
                <w:lang w:val="es-MX"/>
              </w:rPr>
            </w:pPr>
            <w:r w:rsidRPr="004F3256">
              <w:rPr>
                <w:rFonts w:ascii="Verdana" w:hAnsi="Verdana" w:cs="Arial"/>
                <w:lang w:val="es-MX"/>
              </w:rPr>
              <w:t>Ley 80 de 1993, artículos 13, 32 y 40.</w:t>
            </w:r>
          </w:p>
          <w:p w14:paraId="2E4F3D83" w14:textId="77777777" w:rsidR="00237BDE" w:rsidRPr="004F3256" w:rsidRDefault="00237BDE" w:rsidP="005148DF">
            <w:pPr>
              <w:ind w:left="318"/>
              <w:contextualSpacing/>
              <w:jc w:val="both"/>
              <w:rPr>
                <w:rFonts w:ascii="Verdana" w:hAnsi="Verdana" w:cs="Arial"/>
                <w:lang w:val="es-MX"/>
              </w:rPr>
            </w:pPr>
          </w:p>
          <w:p w14:paraId="30F78389" w14:textId="77777777" w:rsidR="00237BDE" w:rsidRPr="004F3256" w:rsidRDefault="00237BDE" w:rsidP="00237BDE">
            <w:pPr>
              <w:numPr>
                <w:ilvl w:val="0"/>
                <w:numId w:val="16"/>
              </w:numPr>
              <w:ind w:left="318" w:hanging="284"/>
              <w:contextualSpacing/>
              <w:jc w:val="both"/>
              <w:rPr>
                <w:rFonts w:ascii="Verdana" w:hAnsi="Verdana" w:cs="Arial"/>
                <w:lang w:val="es-ES"/>
              </w:rPr>
            </w:pPr>
            <w:r w:rsidRPr="004F3256">
              <w:rPr>
                <w:rFonts w:ascii="Verdana" w:hAnsi="Verdana" w:cs="Arial"/>
                <w:lang w:val="es-ES"/>
              </w:rPr>
              <w:t xml:space="preserve">Consejo de Estado. Sección Tercera. Subsección B. Sentencia del 29 de febrero de 2012. </w:t>
            </w:r>
            <w:proofErr w:type="spellStart"/>
            <w:r w:rsidRPr="004F3256">
              <w:rPr>
                <w:rFonts w:ascii="Verdana" w:hAnsi="Verdana" w:cs="Arial"/>
                <w:lang w:val="es-ES"/>
              </w:rPr>
              <w:t>Exp</w:t>
            </w:r>
            <w:proofErr w:type="spellEnd"/>
            <w:r w:rsidRPr="004F3256">
              <w:rPr>
                <w:rFonts w:ascii="Verdana" w:hAnsi="Verdana" w:cs="Arial"/>
                <w:lang w:val="es-ES"/>
              </w:rPr>
              <w:t>. 16371, C.P. Danilo Rojas Betancourth.</w:t>
            </w:r>
          </w:p>
          <w:p w14:paraId="227DFA69" w14:textId="77777777" w:rsidR="00237BDE" w:rsidRPr="004F3256" w:rsidRDefault="00237BDE" w:rsidP="005148DF">
            <w:pPr>
              <w:contextualSpacing/>
              <w:jc w:val="both"/>
              <w:rPr>
                <w:rFonts w:ascii="Verdana" w:hAnsi="Verdana" w:cs="Arial"/>
                <w:lang w:val="es-ES"/>
              </w:rPr>
            </w:pPr>
          </w:p>
          <w:p w14:paraId="55FC473D" w14:textId="77777777" w:rsidR="00237BDE" w:rsidRPr="004F3256" w:rsidRDefault="00237BDE" w:rsidP="00237BDE">
            <w:pPr>
              <w:numPr>
                <w:ilvl w:val="0"/>
                <w:numId w:val="16"/>
              </w:numPr>
              <w:ind w:left="318" w:hanging="284"/>
              <w:contextualSpacing/>
              <w:jc w:val="both"/>
              <w:rPr>
                <w:rFonts w:ascii="Verdana" w:hAnsi="Verdana" w:cs="Arial"/>
                <w:lang w:val="es-ES"/>
              </w:rPr>
            </w:pPr>
            <w:r w:rsidRPr="004F3256">
              <w:rPr>
                <w:rFonts w:ascii="Verdana" w:hAnsi="Verdana" w:cs="Arial"/>
                <w:lang w:val="es-ES"/>
              </w:rPr>
              <w:t xml:space="preserve">Consejo de Estado. Sección Tercera. Subsección B. Sentencia del 14 de octubre de 2011. </w:t>
            </w:r>
            <w:proofErr w:type="spellStart"/>
            <w:r w:rsidRPr="004F3256">
              <w:rPr>
                <w:rFonts w:ascii="Verdana" w:hAnsi="Verdana" w:cs="Arial"/>
                <w:lang w:val="es-ES"/>
              </w:rPr>
              <w:t>Exp</w:t>
            </w:r>
            <w:proofErr w:type="spellEnd"/>
            <w:r w:rsidRPr="004F3256">
              <w:rPr>
                <w:rFonts w:ascii="Verdana" w:hAnsi="Verdana" w:cs="Arial"/>
                <w:lang w:val="es-ES"/>
              </w:rPr>
              <w:t>. 20811, C.P. Ruth Stella Correa Palacio.</w:t>
            </w:r>
          </w:p>
          <w:p w14:paraId="4A45D8BC" w14:textId="77777777" w:rsidR="00237BDE" w:rsidRPr="004F3256" w:rsidRDefault="00237BDE" w:rsidP="005148DF">
            <w:pPr>
              <w:contextualSpacing/>
              <w:jc w:val="both"/>
              <w:rPr>
                <w:rFonts w:ascii="Verdana" w:hAnsi="Verdana" w:cs="Arial"/>
                <w:lang w:val="es-ES"/>
              </w:rPr>
            </w:pPr>
          </w:p>
          <w:p w14:paraId="74987B83" w14:textId="77777777" w:rsidR="00237BDE" w:rsidRPr="004F3256" w:rsidRDefault="00237BDE" w:rsidP="00237BDE">
            <w:pPr>
              <w:numPr>
                <w:ilvl w:val="0"/>
                <w:numId w:val="16"/>
              </w:numPr>
              <w:ind w:left="318" w:hanging="284"/>
              <w:contextualSpacing/>
              <w:jc w:val="both"/>
              <w:rPr>
                <w:rFonts w:ascii="Verdana" w:hAnsi="Verdana" w:cs="Arial"/>
                <w:lang w:val="es-MX"/>
              </w:rPr>
            </w:pPr>
            <w:r w:rsidRPr="004F3256">
              <w:rPr>
                <w:rFonts w:ascii="Verdana" w:hAnsi="Verdana" w:cs="Arial"/>
                <w:lang w:val="es-ES_tradnl"/>
              </w:rPr>
              <w:t>Consejo de Estado. Sala de Consulta y Servicio Civil. Concepto del 5 de septiembre de 2018, radicado No. 11001-03-06-000-2018-00124-00, C.P. Édgar González López</w:t>
            </w:r>
          </w:p>
          <w:p w14:paraId="18C73AEA" w14:textId="77777777" w:rsidR="00237BDE" w:rsidRPr="004F3256" w:rsidRDefault="00237BDE" w:rsidP="005148DF">
            <w:pPr>
              <w:ind w:left="720"/>
              <w:contextualSpacing/>
              <w:rPr>
                <w:rFonts w:ascii="Verdana" w:hAnsi="Verdana" w:cs="Arial"/>
                <w:lang w:val="es-MX"/>
              </w:rPr>
            </w:pPr>
          </w:p>
          <w:p w14:paraId="2E2BF342" w14:textId="77777777" w:rsidR="00237BDE" w:rsidRPr="007C53BA" w:rsidRDefault="00237BDE" w:rsidP="00237BDE">
            <w:pPr>
              <w:numPr>
                <w:ilvl w:val="0"/>
                <w:numId w:val="16"/>
              </w:numPr>
              <w:ind w:left="318" w:hanging="284"/>
              <w:contextualSpacing/>
              <w:jc w:val="both"/>
              <w:rPr>
                <w:rFonts w:ascii="Verdana" w:hAnsi="Verdana" w:cs="Arial"/>
                <w:lang w:val="es-MX"/>
              </w:rPr>
            </w:pPr>
            <w:r w:rsidRPr="004F3256">
              <w:rPr>
                <w:rFonts w:ascii="Verdana" w:eastAsia="Calibri" w:hAnsi="Verdana" w:cs="Arial"/>
                <w:lang w:val="es-ES_tradnl" w:eastAsia="es-ES_tradnl"/>
              </w:rPr>
              <w:t>Consejo de Estado. Sección Tercera. Consejero Ponente: Ramiro Saavedra Becerra. Sentencia del 28 de agosto de 2003. Radicado: 17.554</w:t>
            </w:r>
          </w:p>
          <w:p w14:paraId="671FF30E" w14:textId="77777777" w:rsidR="00237BDE" w:rsidRDefault="00237BDE" w:rsidP="005148DF">
            <w:pPr>
              <w:pStyle w:val="Prrafodelista"/>
              <w:rPr>
                <w:rFonts w:ascii="Verdana" w:hAnsi="Verdana" w:cs="Arial"/>
                <w:lang w:val="es-MX"/>
              </w:rPr>
            </w:pPr>
          </w:p>
          <w:p w14:paraId="4FBC563F" w14:textId="77777777" w:rsidR="00237BDE" w:rsidRPr="004F3256" w:rsidRDefault="00237BDE" w:rsidP="005148DF">
            <w:pPr>
              <w:contextualSpacing/>
              <w:jc w:val="both"/>
              <w:rPr>
                <w:rFonts w:ascii="Verdana" w:hAnsi="Verdana" w:cs="Arial"/>
                <w:lang w:val="es-MX"/>
              </w:rPr>
            </w:pPr>
          </w:p>
        </w:tc>
      </w:tr>
    </w:tbl>
    <w:p w14:paraId="142D5BA1" w14:textId="77777777" w:rsidR="00237BDE" w:rsidRPr="004F3256" w:rsidRDefault="00237BDE" w:rsidP="00237BDE">
      <w:pPr>
        <w:widowControl w:val="0"/>
        <w:autoSpaceDE w:val="0"/>
        <w:autoSpaceDN w:val="0"/>
        <w:spacing w:after="0" w:line="276" w:lineRule="auto"/>
        <w:jc w:val="both"/>
        <w:rPr>
          <w:rFonts w:ascii="Verdana" w:hAnsi="Verdana" w:cs="Arial"/>
        </w:rPr>
      </w:pPr>
    </w:p>
    <w:p w14:paraId="2B20F1E0" w14:textId="77777777" w:rsidR="00237BDE" w:rsidRPr="004F3256" w:rsidRDefault="00237BDE" w:rsidP="00237BDE">
      <w:pPr>
        <w:numPr>
          <w:ilvl w:val="0"/>
          <w:numId w:val="17"/>
        </w:numPr>
        <w:tabs>
          <w:tab w:val="left" w:pos="142"/>
          <w:tab w:val="left" w:pos="284"/>
        </w:tabs>
        <w:spacing w:after="0" w:line="276" w:lineRule="auto"/>
        <w:ind w:left="1068"/>
        <w:jc w:val="both"/>
        <w:rPr>
          <w:rFonts w:ascii="Verdana" w:eastAsia="Century Gothic" w:hAnsi="Verdana" w:cs="Century Gothic"/>
          <w:b/>
          <w:bCs/>
        </w:rPr>
      </w:pPr>
      <w:r w:rsidRPr="004F3256">
        <w:rPr>
          <w:rFonts w:ascii="Verdana" w:eastAsia="Century Gothic" w:hAnsi="Verdana" w:cs="Century Gothic"/>
          <w:b/>
          <w:bCs/>
        </w:rPr>
        <w:t>Doctrina de la Agencia Nacional de Contratación Pública:</w:t>
      </w:r>
    </w:p>
    <w:p w14:paraId="29EBF5AB" w14:textId="77777777" w:rsidR="00237BDE" w:rsidRPr="004F3256" w:rsidRDefault="00237BDE" w:rsidP="00237BDE">
      <w:pPr>
        <w:widowControl w:val="0"/>
        <w:autoSpaceDE w:val="0"/>
        <w:autoSpaceDN w:val="0"/>
        <w:spacing w:after="0" w:line="276" w:lineRule="auto"/>
        <w:jc w:val="both"/>
        <w:rPr>
          <w:rFonts w:ascii="Verdana" w:hAnsi="Verdana" w:cs="Arial"/>
        </w:rPr>
      </w:pPr>
    </w:p>
    <w:p w14:paraId="5C3C6C0C" w14:textId="77777777" w:rsidR="00237BDE" w:rsidRPr="004F3256" w:rsidRDefault="00237BDE" w:rsidP="00237BDE">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4F3256">
        <w:rPr>
          <w:rFonts w:ascii="Verdana" w:hAnsi="Verdana" w:cs="Arial"/>
          <w:shd w:val="clear" w:color="auto" w:fill="FFFFFF"/>
        </w:rPr>
        <w:t>La Agencia Nacional de Contratación Pública – Colombia Compra Eficiente se ha pronunciado en varias ocasiones sobre el AIU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C-455 del 18 de septiembre de 2024, C-065 del 27 de febrero de 2025</w:t>
      </w:r>
      <w:r>
        <w:rPr>
          <w:rFonts w:ascii="Verdana" w:hAnsi="Verdana" w:cs="Arial"/>
          <w:shd w:val="clear" w:color="auto" w:fill="FFFFFF"/>
        </w:rPr>
        <w:t xml:space="preserve">, </w:t>
      </w:r>
      <w:r w:rsidRPr="004F3256">
        <w:rPr>
          <w:rFonts w:ascii="Verdana" w:hAnsi="Verdana" w:cs="Arial"/>
          <w:shd w:val="clear" w:color="auto" w:fill="FFFFFF"/>
        </w:rPr>
        <w:t>C-248 del 3 de abril de 2025</w:t>
      </w:r>
      <w:r>
        <w:rPr>
          <w:rFonts w:ascii="Verdana" w:hAnsi="Verdana" w:cs="Arial"/>
          <w:shd w:val="clear" w:color="auto" w:fill="FFFFFF"/>
        </w:rPr>
        <w:t xml:space="preserve"> y C-311 del 17 de marzo de 2026</w:t>
      </w:r>
      <w:r w:rsidRPr="004F3256">
        <w:rPr>
          <w:rFonts w:ascii="Verdana" w:eastAsia="Calibri" w:hAnsi="Verdana" w:cs="Arial"/>
          <w:color w:val="000000" w:themeColor="text1"/>
          <w:lang w:val="es-ES_tradnl" w:eastAsia="es-ES_tradnl"/>
        </w:rPr>
        <w:t xml:space="preserve">. </w:t>
      </w:r>
      <w:r w:rsidRPr="004F3256">
        <w:rPr>
          <w:rFonts w:ascii="Verdana" w:hAnsi="Verdana" w:cs="Arial"/>
          <w:shd w:val="clear" w:color="auto" w:fill="FFFFFF"/>
        </w:rPr>
        <w:t>Es</w:t>
      </w:r>
      <w:r w:rsidRPr="004F3256">
        <w:rPr>
          <w:rFonts w:ascii="Verdana" w:hAnsi="Verdana"/>
        </w:rPr>
        <w:t>tos conceptos se encuentran disponibles para consulta en el Sistema de relatoría de la Agencia, al cual se puede acceder a través del siguiente enlace:</w:t>
      </w:r>
      <w:r w:rsidRPr="004F3256">
        <w:rPr>
          <w:rFonts w:ascii="Verdana" w:hAnsi="Verdana" w:cs="Arial"/>
          <w:shd w:val="clear" w:color="auto" w:fill="FFFFFF"/>
        </w:rPr>
        <w:t xml:space="preserve"> </w:t>
      </w:r>
      <w:hyperlink r:id="rId12" w:history="1">
        <w:r w:rsidRPr="004F3256">
          <w:rPr>
            <w:rFonts w:ascii="Verdana" w:hAnsi="Verdana" w:cs="Arial"/>
            <w:color w:val="0563C1" w:themeColor="hyperlink"/>
            <w:u w:val="single"/>
            <w:shd w:val="clear" w:color="auto" w:fill="FFFFFF"/>
          </w:rPr>
          <w:t>https://relatoria.colombiacompra.gov.co/busqueda/conceptos</w:t>
        </w:r>
      </w:hyperlink>
      <w:r w:rsidRPr="004F3256">
        <w:rPr>
          <w:rFonts w:ascii="Verdana" w:hAnsi="Verdana" w:cs="Arial"/>
          <w:shd w:val="clear" w:color="auto" w:fill="FFFFFF"/>
        </w:rPr>
        <w:t>.</w:t>
      </w:r>
      <w:r w:rsidRPr="004F3256">
        <w:rPr>
          <w:rFonts w:ascii="Verdana" w:hAnsi="Verdana" w:cs="Arial"/>
          <w:color w:val="FF0000"/>
          <w:shd w:val="clear" w:color="auto" w:fill="FFFFFF"/>
        </w:rPr>
        <w:t xml:space="preserve"> </w:t>
      </w:r>
      <w:r w:rsidRPr="004F3256">
        <w:rPr>
          <w:rFonts w:ascii="Verdana" w:hAnsi="Verdana" w:cs="Arial"/>
          <w:color w:val="000000" w:themeColor="text1"/>
          <w:shd w:val="clear" w:color="auto" w:fill="FFFFFF"/>
        </w:rPr>
        <w:t>  </w:t>
      </w:r>
    </w:p>
    <w:p w14:paraId="1509FAC7" w14:textId="77777777" w:rsidR="00237BDE" w:rsidRPr="004F3256" w:rsidRDefault="00237BDE" w:rsidP="00237BDE">
      <w:pPr>
        <w:jc w:val="both"/>
        <w:rPr>
          <w:rFonts w:ascii="Verdana" w:hAnsi="Verdana"/>
        </w:rPr>
      </w:pPr>
      <w:r w:rsidRPr="004F3256">
        <w:rPr>
          <w:rFonts w:ascii="Verdana" w:hAnsi="Verdana"/>
        </w:rPr>
        <w:t xml:space="preserve">La sostenibilidad no es una opción, es una obligación. Por ello, la Agencia Nacional de Contratación Pública –Colombia Compra Eficiente– te invita a realizar el </w:t>
      </w:r>
      <w:r w:rsidRPr="004F3256">
        <w:rPr>
          <w:rFonts w:ascii="Verdana" w:hAnsi="Verdana"/>
          <w:b/>
          <w:bCs/>
        </w:rPr>
        <w:t>Curso de Contratación Pública Sostenible y Socialmente Responsable</w:t>
      </w:r>
      <w:r w:rsidRPr="004F3256">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4F3256">
        <w:rPr>
          <w:rFonts w:ascii="Verdana" w:hAnsi="Verdana"/>
        </w:rPr>
        <w:br/>
      </w:r>
      <w:hyperlink r:id="rId13" w:tgtFrame="_new" w:history="1">
        <w:r w:rsidRPr="004F3256">
          <w:rPr>
            <w:rFonts w:ascii="Verdana" w:hAnsi="Verdana"/>
            <w:color w:val="0000FF"/>
            <w:u w:val="single"/>
          </w:rPr>
          <w:t>https://formacionvirtual.colombiacompra.gov.co/mod/page/view.php?id=3718</w:t>
        </w:r>
      </w:hyperlink>
    </w:p>
    <w:p w14:paraId="3AE665C8" w14:textId="77777777" w:rsidR="00237BDE" w:rsidRPr="004F3256" w:rsidRDefault="00237BDE" w:rsidP="00237BDE">
      <w:pPr>
        <w:jc w:val="both"/>
        <w:rPr>
          <w:rFonts w:ascii="Verdana" w:hAnsi="Verdana"/>
        </w:rPr>
      </w:pPr>
      <w:r w:rsidRPr="004F3256">
        <w:rPr>
          <w:rFonts w:ascii="Verdana" w:hAnsi="Verdana"/>
        </w:rPr>
        <w:t xml:space="preserve">De otro lado, te contamos que esta Agencia ha da un paso decisivo en la estandarización y modernización del </w:t>
      </w:r>
      <w:r w:rsidRPr="004F3256">
        <w:rPr>
          <w:rFonts w:ascii="Verdana" w:hAnsi="Verdana"/>
          <w:b/>
          <w:bCs/>
        </w:rPr>
        <w:t>sector  social</w:t>
      </w:r>
      <w:r w:rsidRPr="004F3256">
        <w:rPr>
          <w:rFonts w:ascii="Verdana" w:hAnsi="Verdana"/>
        </w:rPr>
        <w:t xml:space="preserve"> con la expedición de las </w:t>
      </w:r>
      <w:r w:rsidRPr="004F3256">
        <w:rPr>
          <w:rFonts w:ascii="Verdana" w:hAnsi="Verdana"/>
          <w:b/>
          <w:bCs/>
        </w:rPr>
        <w:t>Resoluciones 539, 540, 541, 952 y 953 de 2025</w:t>
      </w:r>
      <w:r w:rsidRPr="004F3256">
        <w:rPr>
          <w:rFonts w:ascii="Verdana" w:hAnsi="Verdana"/>
        </w:rPr>
        <w:t xml:space="preserve">, </w:t>
      </w:r>
      <w:r w:rsidRPr="004F3256">
        <w:rPr>
          <w:rFonts w:ascii="Verdana" w:hAnsi="Verdana"/>
          <w:b/>
          <w:bCs/>
        </w:rPr>
        <w:t>mediante las cuales adoptó Documentos Tipo</w:t>
      </w:r>
      <w:r w:rsidRPr="004F3256">
        <w:rPr>
          <w:rFonts w:ascii="Verdana" w:hAnsi="Verdana"/>
        </w:rPr>
        <w:t xml:space="preserve"> para las modalidades de selección de</w:t>
      </w:r>
      <w:r w:rsidRPr="004F3256">
        <w:rPr>
          <w:rFonts w:ascii="Verdana" w:hAnsi="Verdana"/>
          <w:b/>
          <w:bCs/>
        </w:rPr>
        <w:t xml:space="preserve"> licitación pública (versión 2), selección abreviada de menor cuantía, mínima cuantía, consultoría e interventoría</w:t>
      </w:r>
      <w:r w:rsidRPr="004F3256">
        <w:rPr>
          <w:rFonts w:ascii="Verdana" w:hAnsi="Verdana"/>
        </w:rPr>
        <w:t xml:space="preserve">, promoviendo procesos más transparentes, eficientes  competitivos y sostenibles en sectores estratégicos </w:t>
      </w:r>
      <w:r w:rsidRPr="004F3256">
        <w:rPr>
          <w:rFonts w:ascii="Verdana" w:hAnsi="Verdana"/>
        </w:rPr>
        <w:lastRenderedPageBreak/>
        <w:t xml:space="preserve">como educación, salud, cultura, recreación, deporte, institucional y vivienda. Consulta y descarga los documentos aquí: </w:t>
      </w:r>
      <w:hyperlink r:id="rId14" w:tgtFrame="_new" w:history="1">
        <w:r w:rsidRPr="004F3256">
          <w:rPr>
            <w:rFonts w:ascii="Verdana" w:hAnsi="Verdana"/>
            <w:color w:val="0000FF"/>
            <w:u w:val="single"/>
          </w:rPr>
          <w:t>https://www.colombiacompra.gov.co/normativa-y-relatoria/documentos-tipo</w:t>
        </w:r>
      </w:hyperlink>
    </w:p>
    <w:p w14:paraId="33DB7A0E" w14:textId="77777777" w:rsidR="00237BDE" w:rsidRPr="004F3256" w:rsidRDefault="00237BDE" w:rsidP="00237BDE">
      <w:pPr>
        <w:jc w:val="both"/>
        <w:rPr>
          <w:rFonts w:ascii="Verdana" w:hAnsi="Verdana"/>
          <w:color w:val="000000"/>
          <w:lang w:val="es-ES_tradnl"/>
        </w:rPr>
      </w:pPr>
      <w:r w:rsidRPr="004F3256">
        <w:rPr>
          <w:rFonts w:ascii="Verdana" w:hAnsi="Verdana"/>
        </w:rPr>
        <w:t xml:space="preserve">Si quieres conocer más sobre la aplicación de Documentos Tipo puedes consultar la última versión de la </w:t>
      </w:r>
      <w:r w:rsidRPr="004F3256">
        <w:rPr>
          <w:rFonts w:ascii="Verdana" w:hAnsi="Verdana"/>
          <w:b/>
          <w:bCs/>
        </w:rPr>
        <w:t>Guía para la comprensión e implementación de los Documentos Tipo de obra pública de infraestructura de transporte</w:t>
      </w:r>
      <w:r w:rsidRPr="004F3256">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4F3256">
        <w:rPr>
          <w:rFonts w:ascii="Verdana" w:hAnsi="Verdana"/>
        </w:rPr>
        <w:br/>
      </w:r>
      <w:hyperlink r:id="rId15" w:tgtFrame="_new" w:history="1">
        <w:r w:rsidRPr="004F3256">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05E6411C" w14:textId="77777777" w:rsidR="00237BDE" w:rsidRPr="004F3256" w:rsidRDefault="00237BDE" w:rsidP="00237BDE">
      <w:pPr>
        <w:spacing w:after="0"/>
        <w:jc w:val="both"/>
        <w:rPr>
          <w:rFonts w:ascii="Verdana" w:hAnsi="Verdana"/>
        </w:rPr>
      </w:pPr>
      <w:r w:rsidRPr="004F3256">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D5C705D" w14:textId="77777777" w:rsidR="00237BDE" w:rsidRPr="004F3256" w:rsidRDefault="00237BDE" w:rsidP="00237BDE">
      <w:pPr>
        <w:spacing w:after="0"/>
        <w:jc w:val="both"/>
        <w:rPr>
          <w:rFonts w:ascii="Verdana" w:hAnsi="Verdana"/>
        </w:rPr>
      </w:pPr>
    </w:p>
    <w:p w14:paraId="0E4F8B89" w14:textId="77777777" w:rsidR="00237BDE" w:rsidRPr="004F3256" w:rsidRDefault="00237BDE" w:rsidP="00237BDE">
      <w:pPr>
        <w:numPr>
          <w:ilvl w:val="0"/>
          <w:numId w:val="15"/>
        </w:numPr>
        <w:spacing w:after="0" w:line="240" w:lineRule="auto"/>
        <w:contextualSpacing/>
        <w:jc w:val="both"/>
        <w:rPr>
          <w:rFonts w:ascii="Verdana" w:eastAsia="Verdana" w:hAnsi="Verdana" w:cs="Verdana"/>
          <w:color w:val="4472C4" w:themeColor="accent1"/>
          <w:u w:val="single"/>
          <w:lang w:val="es-MX"/>
        </w:rPr>
      </w:pPr>
      <w:r w:rsidRPr="004F3256">
        <w:rPr>
          <w:rFonts w:ascii="Verdana" w:eastAsia="Verdana" w:hAnsi="Verdana" w:cs="Verdana"/>
          <w:lang w:val="es-MX"/>
        </w:rPr>
        <w:t xml:space="preserve">Línea nacional gratuita o servicio a la ciudadanía (Mesa de servicio): </w:t>
      </w:r>
      <w:r w:rsidRPr="004F3256">
        <w:rPr>
          <w:rFonts w:ascii="Verdana" w:hAnsi="Verdana"/>
          <w:color w:val="0000FF"/>
          <w:u w:val="single"/>
          <w:lang w:val="es-ES"/>
        </w:rPr>
        <w:t>01800 0520808</w:t>
      </w:r>
    </w:p>
    <w:p w14:paraId="1CA8C1E4" w14:textId="77777777" w:rsidR="00237BDE" w:rsidRPr="004F3256" w:rsidRDefault="00237BDE" w:rsidP="00237BDE">
      <w:pPr>
        <w:numPr>
          <w:ilvl w:val="0"/>
          <w:numId w:val="15"/>
        </w:numPr>
        <w:spacing w:after="0" w:line="256" w:lineRule="auto"/>
        <w:contextualSpacing/>
        <w:rPr>
          <w:rFonts w:ascii="Verdana" w:eastAsia="Verdana" w:hAnsi="Verdana" w:cs="Verdana"/>
          <w:color w:val="4472C4" w:themeColor="accent1"/>
          <w:u w:val="single"/>
          <w:lang w:val="es-MX"/>
        </w:rPr>
      </w:pPr>
      <w:r w:rsidRPr="004F3256">
        <w:rPr>
          <w:rFonts w:ascii="Verdana" w:eastAsia="Verdana" w:hAnsi="Verdana" w:cs="Verdana"/>
          <w:lang w:val="es-MX"/>
        </w:rPr>
        <w:t>Línea en Bogotá (Mesa de servicio</w:t>
      </w:r>
      <w:proofErr w:type="gramStart"/>
      <w:r w:rsidRPr="004F3256">
        <w:rPr>
          <w:rFonts w:ascii="Verdana" w:eastAsia="Verdana" w:hAnsi="Verdana" w:cs="Verdana"/>
          <w:lang w:val="es-MX"/>
        </w:rPr>
        <w:t>):</w:t>
      </w:r>
      <w:r w:rsidRPr="004F3256">
        <w:rPr>
          <w:rFonts w:ascii="Verdana" w:hAnsi="Verdana"/>
          <w:color w:val="0000FF"/>
          <w:u w:val="single"/>
          <w:lang w:val="es-ES"/>
        </w:rPr>
        <w:t>+</w:t>
      </w:r>
      <w:proofErr w:type="gramEnd"/>
      <w:r w:rsidRPr="004F3256">
        <w:rPr>
          <w:rFonts w:ascii="Verdana" w:hAnsi="Verdana"/>
          <w:color w:val="0000FF"/>
          <w:u w:val="single"/>
          <w:lang w:val="es-ES"/>
        </w:rPr>
        <w:t>57 601 7456788</w:t>
      </w:r>
    </w:p>
    <w:p w14:paraId="1123075F" w14:textId="77777777" w:rsidR="00237BDE" w:rsidRPr="004F3256" w:rsidRDefault="00237BDE" w:rsidP="00237BDE">
      <w:pPr>
        <w:numPr>
          <w:ilvl w:val="0"/>
          <w:numId w:val="15"/>
        </w:numPr>
        <w:spacing w:after="0" w:line="256" w:lineRule="auto"/>
        <w:contextualSpacing/>
        <w:rPr>
          <w:rFonts w:ascii="Verdana" w:eastAsia="Verdana" w:hAnsi="Verdana" w:cs="Verdana"/>
          <w:color w:val="0000FF"/>
          <w:u w:val="single"/>
          <w:lang w:val="es-MX"/>
        </w:rPr>
      </w:pPr>
      <w:r w:rsidRPr="004F3256">
        <w:rPr>
          <w:rFonts w:ascii="Verdana" w:eastAsia="Verdana" w:hAnsi="Verdana" w:cs="Verdana"/>
          <w:lang w:val="es-MX"/>
        </w:rPr>
        <w:t xml:space="preserve">Correo de radicación de correspondencia: </w:t>
      </w:r>
      <w:hyperlink r:id="rId16" w:history="1">
        <w:r w:rsidRPr="004F3256">
          <w:rPr>
            <w:rFonts w:ascii="Verdana" w:eastAsia="Verdana" w:hAnsi="Verdana" w:cs="Verdana"/>
            <w:color w:val="0000FF"/>
            <w:u w:val="single"/>
            <w:lang w:val="es-MX"/>
          </w:rPr>
          <w:t>ventanilladeradicacion@colombiacompra.gov.co</w:t>
        </w:r>
      </w:hyperlink>
    </w:p>
    <w:p w14:paraId="07DE7C31" w14:textId="77777777" w:rsidR="00237BDE" w:rsidRPr="004F3256" w:rsidRDefault="00237BDE" w:rsidP="00237BDE">
      <w:pPr>
        <w:numPr>
          <w:ilvl w:val="0"/>
          <w:numId w:val="15"/>
        </w:numPr>
        <w:spacing w:after="0" w:line="256" w:lineRule="auto"/>
        <w:contextualSpacing/>
        <w:rPr>
          <w:rFonts w:ascii="Verdana" w:eastAsia="Verdana" w:hAnsi="Verdana" w:cs="Verdana"/>
          <w:color w:val="0000FF"/>
          <w:u w:val="single"/>
          <w:lang w:val="es-MX"/>
        </w:rPr>
      </w:pPr>
      <w:r w:rsidRPr="004F3256">
        <w:rPr>
          <w:rFonts w:ascii="Verdana" w:eastAsia="Verdana" w:hAnsi="Verdana" w:cs="Verdana"/>
          <w:lang w:val="es-ES"/>
        </w:rPr>
        <w:t xml:space="preserve">Formulario web para PQRSD: </w:t>
      </w:r>
      <w:hyperlink r:id="rId17" w:history="1">
        <w:r w:rsidRPr="004F3256">
          <w:rPr>
            <w:rFonts w:ascii="Verdana" w:eastAsia="Verdana" w:hAnsi="Verdana" w:cs="Verdana"/>
            <w:color w:val="0000FF"/>
            <w:u w:val="single"/>
            <w:lang w:val="es-MX"/>
          </w:rPr>
          <w:t>https://www.colombiacompra.gov.co/pqrsd/informacion-importante-antes-de-formular-una-pqrsd</w:t>
        </w:r>
      </w:hyperlink>
    </w:p>
    <w:p w14:paraId="7D4F0B82" w14:textId="77777777" w:rsidR="00237BDE" w:rsidRPr="004F3256" w:rsidRDefault="00237BDE" w:rsidP="00237BDE">
      <w:pPr>
        <w:spacing w:after="0" w:line="240" w:lineRule="auto"/>
        <w:ind w:left="720"/>
        <w:jc w:val="both"/>
        <w:rPr>
          <w:rFonts w:ascii="Verdana" w:hAnsi="Verdana"/>
        </w:rPr>
      </w:pPr>
    </w:p>
    <w:p w14:paraId="5C7984C4" w14:textId="77777777" w:rsidR="00237BDE" w:rsidRPr="004F3256" w:rsidRDefault="00237BDE" w:rsidP="00237BDE">
      <w:pPr>
        <w:spacing w:after="0" w:line="240" w:lineRule="auto"/>
        <w:rPr>
          <w:rFonts w:ascii="Verdana" w:hAnsi="Verdana"/>
        </w:rPr>
      </w:pPr>
      <w:r w:rsidRPr="004F3256">
        <w:rPr>
          <w:rFonts w:ascii="Verdana" w:hAnsi="Verdana"/>
        </w:rPr>
        <w:t xml:space="preserve">Evalúa el servicio que ofrece la Agencia por el canal de atención de PQRSD en el siguiente </w:t>
      </w:r>
      <w:proofErr w:type="gramStart"/>
      <w:r w:rsidRPr="004F3256">
        <w:rPr>
          <w:rFonts w:ascii="Verdana" w:hAnsi="Verdana"/>
        </w:rPr>
        <w:t>enlace :</w:t>
      </w:r>
      <w:proofErr w:type="gramEnd"/>
      <w:hyperlink r:id="rId18" w:tgtFrame="_blank" w:tooltip="https://forms.office.com/r/pphywvs2sz" w:history="1">
        <w:r w:rsidRPr="004F3256">
          <w:rPr>
            <w:rFonts w:ascii="Verdana" w:hAnsi="Verdana"/>
            <w:color w:val="0000FF"/>
            <w:u w:val="single"/>
          </w:rPr>
          <w:t>https://forms.office.com/r/pPHyWVs2SZ</w:t>
        </w:r>
      </w:hyperlink>
      <w:r w:rsidRPr="004F3256">
        <w:rPr>
          <w:rFonts w:ascii="Verdana" w:hAnsi="Verdana"/>
        </w:rPr>
        <w:t xml:space="preserve"> .¡Ayúdanos a mejorar porque el compromiso es de todos!</w:t>
      </w:r>
    </w:p>
    <w:p w14:paraId="3CE74DDC" w14:textId="77777777" w:rsidR="00237BDE" w:rsidRPr="004F3256" w:rsidRDefault="00237BDE" w:rsidP="00237BDE">
      <w:pPr>
        <w:spacing w:after="0" w:line="240" w:lineRule="auto"/>
        <w:rPr>
          <w:rFonts w:ascii="Verdana" w:hAnsi="Verdana"/>
        </w:rPr>
      </w:pPr>
    </w:p>
    <w:p w14:paraId="10A2D807" w14:textId="77777777" w:rsidR="00237BDE" w:rsidRPr="004F3256" w:rsidRDefault="00237BDE" w:rsidP="00237BDE">
      <w:pPr>
        <w:spacing w:after="0" w:line="240" w:lineRule="auto"/>
        <w:jc w:val="both"/>
        <w:rPr>
          <w:rFonts w:ascii="Verdana" w:hAnsi="Verdana"/>
        </w:rPr>
      </w:pPr>
      <w:r w:rsidRPr="004F3256">
        <w:rPr>
          <w:rFonts w:ascii="Verdana" w:hAnsi="Verdana"/>
        </w:rPr>
        <w:t xml:space="preserve">Por último, lo invitamos a seguirnos en las redes sociales en las cuales se difunde información institucional: </w:t>
      </w:r>
    </w:p>
    <w:p w14:paraId="5246359F" w14:textId="77777777" w:rsidR="00237BDE" w:rsidRPr="004F3256" w:rsidRDefault="00237BDE" w:rsidP="00237BDE">
      <w:pPr>
        <w:spacing w:after="0" w:line="240" w:lineRule="auto"/>
        <w:jc w:val="both"/>
        <w:rPr>
          <w:rFonts w:ascii="Verdana" w:hAnsi="Verdana"/>
        </w:rPr>
      </w:pPr>
    </w:p>
    <w:p w14:paraId="6A83EDA0" w14:textId="77777777" w:rsidR="00237BDE" w:rsidRPr="004F3256" w:rsidRDefault="00237BDE" w:rsidP="00237BDE">
      <w:pPr>
        <w:spacing w:after="0" w:line="240" w:lineRule="auto"/>
        <w:jc w:val="both"/>
        <w:rPr>
          <w:rFonts w:ascii="Verdana" w:hAnsi="Verdana"/>
        </w:rPr>
      </w:pPr>
      <w:r w:rsidRPr="004F3256">
        <w:rPr>
          <w:rFonts w:ascii="Verdana" w:hAnsi="Verdana"/>
        </w:rPr>
        <w:lastRenderedPageBreak/>
        <w:t xml:space="preserve">Twitter: </w:t>
      </w:r>
      <w:r w:rsidRPr="004F3256">
        <w:rPr>
          <w:rFonts w:ascii="Verdana" w:hAnsi="Verdana"/>
          <w:color w:val="0000FF"/>
          <w:u w:val="single"/>
        </w:rPr>
        <w:t>@colombiacompra</w:t>
      </w:r>
      <w:r w:rsidRPr="004F3256">
        <w:rPr>
          <w:rFonts w:ascii="Verdana" w:hAnsi="Verdana"/>
        </w:rPr>
        <w:t xml:space="preserve"> </w:t>
      </w:r>
    </w:p>
    <w:p w14:paraId="623FFD4C" w14:textId="77777777" w:rsidR="00237BDE" w:rsidRPr="004F3256" w:rsidRDefault="00237BDE" w:rsidP="00237BDE">
      <w:pPr>
        <w:spacing w:after="0" w:line="240" w:lineRule="auto"/>
        <w:jc w:val="both"/>
        <w:rPr>
          <w:rFonts w:ascii="Verdana" w:hAnsi="Verdana"/>
        </w:rPr>
      </w:pPr>
      <w:r w:rsidRPr="004F3256">
        <w:rPr>
          <w:rFonts w:ascii="Verdana" w:hAnsi="Verdana"/>
        </w:rPr>
        <w:t xml:space="preserve">Facebook: </w:t>
      </w:r>
      <w:proofErr w:type="spellStart"/>
      <w:r w:rsidRPr="004F3256">
        <w:rPr>
          <w:rFonts w:ascii="Verdana" w:hAnsi="Verdana"/>
          <w:color w:val="0000FF"/>
          <w:u w:val="single"/>
        </w:rPr>
        <w:t>ColombiaCompraEficiente</w:t>
      </w:r>
      <w:proofErr w:type="spellEnd"/>
    </w:p>
    <w:p w14:paraId="4BE53535" w14:textId="77777777" w:rsidR="00237BDE" w:rsidRPr="004F3256" w:rsidRDefault="00237BDE" w:rsidP="00237BDE">
      <w:pPr>
        <w:spacing w:after="0" w:line="240" w:lineRule="auto"/>
        <w:jc w:val="both"/>
        <w:rPr>
          <w:rFonts w:ascii="Verdana" w:hAnsi="Verdana"/>
        </w:rPr>
      </w:pPr>
      <w:r w:rsidRPr="004F3256">
        <w:rPr>
          <w:rFonts w:ascii="Verdana" w:hAnsi="Verdana"/>
        </w:rPr>
        <w:t xml:space="preserve">LinkedIn: </w:t>
      </w:r>
      <w:r w:rsidRPr="004F3256">
        <w:rPr>
          <w:rFonts w:ascii="Verdana" w:hAnsi="Verdana"/>
          <w:color w:val="0000FF"/>
          <w:u w:val="single"/>
        </w:rPr>
        <w:t>Agencia Nacional de Contratación Pública - Colombia Compra Eficiente</w:t>
      </w:r>
      <w:r w:rsidRPr="004F3256">
        <w:rPr>
          <w:rFonts w:ascii="Verdana" w:hAnsi="Verdana"/>
        </w:rPr>
        <w:t xml:space="preserve"> Instagram: </w:t>
      </w:r>
      <w:r w:rsidRPr="004F3256">
        <w:rPr>
          <w:rFonts w:ascii="Verdana" w:hAnsi="Verdana"/>
          <w:color w:val="0000FF"/>
          <w:u w:val="single"/>
        </w:rPr>
        <w:t>@colombiacompraeficiente_cce</w:t>
      </w:r>
    </w:p>
    <w:p w14:paraId="333721F9" w14:textId="77777777" w:rsidR="00237BDE" w:rsidRPr="004F3256" w:rsidRDefault="00237BDE" w:rsidP="00237BDE">
      <w:pPr>
        <w:widowControl w:val="0"/>
        <w:autoSpaceDE w:val="0"/>
        <w:autoSpaceDN w:val="0"/>
        <w:spacing w:after="0" w:line="276" w:lineRule="auto"/>
        <w:jc w:val="both"/>
        <w:rPr>
          <w:rFonts w:ascii="Verdana" w:hAnsi="Verdana" w:cs="Arial"/>
        </w:rPr>
      </w:pPr>
    </w:p>
    <w:p w14:paraId="651F20A0" w14:textId="77777777" w:rsidR="00237BDE" w:rsidRPr="004F3256" w:rsidRDefault="00237BDE" w:rsidP="00237BDE">
      <w:pPr>
        <w:widowControl w:val="0"/>
        <w:autoSpaceDE w:val="0"/>
        <w:autoSpaceDN w:val="0"/>
        <w:spacing w:after="0" w:line="276" w:lineRule="auto"/>
        <w:jc w:val="both"/>
        <w:rPr>
          <w:rFonts w:ascii="Verdana" w:hAnsi="Verdana" w:cs="Arial"/>
        </w:rPr>
      </w:pPr>
      <w:r w:rsidRPr="004F325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6338BCA" w14:textId="77777777" w:rsidR="00237BDE" w:rsidRPr="004F3256" w:rsidRDefault="00237BDE" w:rsidP="00237BDE">
      <w:pPr>
        <w:widowControl w:val="0"/>
        <w:autoSpaceDE w:val="0"/>
        <w:autoSpaceDN w:val="0"/>
        <w:spacing w:after="0" w:line="276" w:lineRule="auto"/>
        <w:jc w:val="both"/>
        <w:rPr>
          <w:rFonts w:ascii="Verdana" w:hAnsi="Verdana" w:cs="Arial"/>
        </w:rPr>
      </w:pPr>
    </w:p>
    <w:p w14:paraId="3286B347" w14:textId="77777777" w:rsidR="00237BDE" w:rsidRPr="004F3256" w:rsidRDefault="00237BDE" w:rsidP="00237BDE">
      <w:pPr>
        <w:spacing w:after="0" w:line="276" w:lineRule="auto"/>
        <w:rPr>
          <w:rFonts w:ascii="Verdana" w:hAnsi="Verdana" w:cs="Arial"/>
          <w:lang w:eastAsia="es-CO"/>
        </w:rPr>
      </w:pPr>
      <w:r w:rsidRPr="004F3256">
        <w:rPr>
          <w:rFonts w:ascii="Verdana" w:eastAsia="Times New Roman" w:hAnsi="Verdana" w:cs="Arial"/>
          <w:lang w:eastAsia="es-CO"/>
        </w:rPr>
        <w:t>Atentamente,</w:t>
      </w:r>
      <w:r w:rsidRPr="004F3256">
        <w:rPr>
          <w:rFonts w:ascii="Verdana" w:hAnsi="Verdana" w:cs="Arial"/>
          <w:lang w:eastAsia="es-CO"/>
        </w:rPr>
        <w:t xml:space="preserve"> </w:t>
      </w:r>
    </w:p>
    <w:p w14:paraId="74987E09" w14:textId="6B89E984" w:rsidR="00237BDE" w:rsidRPr="007C53BA" w:rsidRDefault="002E33A1" w:rsidP="00237BDE">
      <w:pPr>
        <w:tabs>
          <w:tab w:val="left" w:pos="1320"/>
        </w:tabs>
        <w:jc w:val="center"/>
        <w:rPr>
          <w:noProof/>
        </w:rPr>
      </w:pPr>
      <w:r>
        <w:rPr>
          <w:noProof/>
        </w:rPr>
        <w:drawing>
          <wp:inline distT="0" distB="0" distL="0" distR="0" wp14:anchorId="24D05D93" wp14:editId="3DB59FE5">
            <wp:extent cx="3493311" cy="1298561"/>
            <wp:effectExtent l="0" t="0" r="0" b="0"/>
            <wp:docPr id="16179393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39301" name="Imagen 1617939301"/>
                    <pic:cNvPicPr/>
                  </pic:nvPicPr>
                  <pic:blipFill>
                    <a:blip r:embed="rId19">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237BDE" w14:paraId="7C2BBC7B" w14:textId="77777777" w:rsidTr="005148DF">
        <w:trPr>
          <w:trHeight w:val="315"/>
        </w:trPr>
        <w:tc>
          <w:tcPr>
            <w:tcW w:w="1185" w:type="dxa"/>
            <w:tcBorders>
              <w:top w:val="nil"/>
              <w:left w:val="nil"/>
              <w:bottom w:val="nil"/>
              <w:right w:val="nil"/>
            </w:tcBorders>
            <w:tcMar>
              <w:left w:w="105" w:type="dxa"/>
              <w:right w:w="105" w:type="dxa"/>
            </w:tcMar>
            <w:vAlign w:val="center"/>
          </w:tcPr>
          <w:p w14:paraId="192817E8" w14:textId="7AE30F0B" w:rsidR="00237BDE" w:rsidRDefault="00237BDE" w:rsidP="005148DF">
            <w:pPr>
              <w:rPr>
                <w:rFonts w:ascii="Verdana" w:eastAsia="Verdana" w:hAnsi="Verdana" w:cs="Verdana"/>
                <w:sz w:val="16"/>
                <w:szCs w:val="16"/>
              </w:rPr>
            </w:pPr>
            <w:r w:rsidRPr="3F869DD7">
              <w:rPr>
                <w:rFonts w:ascii="Verdana" w:eastAsia="Verdana" w:hAnsi="Verdana" w:cs="Verdana"/>
                <w:sz w:val="16"/>
                <w:szCs w:val="16"/>
              </w:rPr>
              <w:t>Elabo</w:t>
            </w:r>
            <w:r w:rsidR="002E33A1">
              <w:rPr>
                <w:rFonts w:ascii="Verdana" w:eastAsia="Verdana" w:hAnsi="Verdana" w:cs="Verdana"/>
                <w:sz w:val="16"/>
                <w:szCs w:val="16"/>
              </w:rPr>
              <w:t>ró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3229E3B1" w14:textId="77777777" w:rsidR="00237BDE" w:rsidRDefault="00237BDE" w:rsidP="005148DF">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0C10D0ED" w14:textId="77777777" w:rsidR="00237BDE" w:rsidRDefault="00237BDE" w:rsidP="005148DF">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237BDE" w14:paraId="4C41E019" w14:textId="77777777" w:rsidTr="005148DF">
        <w:trPr>
          <w:trHeight w:val="315"/>
        </w:trPr>
        <w:tc>
          <w:tcPr>
            <w:tcW w:w="1185" w:type="dxa"/>
            <w:tcBorders>
              <w:top w:val="nil"/>
              <w:left w:val="nil"/>
              <w:bottom w:val="nil"/>
              <w:right w:val="nil"/>
            </w:tcBorders>
            <w:tcMar>
              <w:left w:w="105" w:type="dxa"/>
              <w:right w:w="105" w:type="dxa"/>
            </w:tcMar>
            <w:vAlign w:val="center"/>
          </w:tcPr>
          <w:p w14:paraId="34EAB737" w14:textId="77777777" w:rsidR="00237BDE" w:rsidRDefault="00237BDE" w:rsidP="005148DF">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2B838E7A" w14:textId="77777777" w:rsidR="00237BDE" w:rsidRDefault="00237BDE" w:rsidP="005148DF">
            <w:pPr>
              <w:rPr>
                <w:rFonts w:ascii="Verdana" w:eastAsia="Verdana" w:hAnsi="Verdana" w:cs="Verdana"/>
                <w:sz w:val="16"/>
                <w:szCs w:val="16"/>
              </w:rPr>
            </w:pPr>
            <w:r w:rsidRPr="3F869DD7">
              <w:rPr>
                <w:rFonts w:ascii="Verdana" w:eastAsia="Verdana" w:hAnsi="Verdana" w:cs="Verdana"/>
                <w:sz w:val="16"/>
                <w:szCs w:val="16"/>
              </w:rPr>
              <w:t xml:space="preserve">Juan David Cárdenas Cabeza </w:t>
            </w:r>
          </w:p>
          <w:p w14:paraId="70FD9B76" w14:textId="77777777" w:rsidR="00237BDE" w:rsidRDefault="00237BDE" w:rsidP="005148DF">
            <w:pPr>
              <w:rPr>
                <w:rFonts w:ascii="Verdana" w:eastAsia="Verdana" w:hAnsi="Verdana" w:cs="Verdana"/>
                <w:sz w:val="16"/>
                <w:szCs w:val="16"/>
              </w:rPr>
            </w:pPr>
            <w:r w:rsidRPr="3F869DD7">
              <w:rPr>
                <w:rFonts w:ascii="Verdana" w:eastAsia="Verdana" w:hAnsi="Verdana" w:cs="Verdana"/>
                <w:sz w:val="16"/>
                <w:szCs w:val="16"/>
              </w:rPr>
              <w:t>Contratista de la Subdirección de Gestión Contractual</w:t>
            </w:r>
          </w:p>
        </w:tc>
      </w:tr>
      <w:tr w:rsidR="00237BDE" w14:paraId="12A9C600" w14:textId="77777777" w:rsidTr="005148DF">
        <w:trPr>
          <w:trHeight w:val="300"/>
        </w:trPr>
        <w:tc>
          <w:tcPr>
            <w:tcW w:w="1185" w:type="dxa"/>
            <w:tcBorders>
              <w:top w:val="nil"/>
              <w:left w:val="nil"/>
              <w:bottom w:val="nil"/>
              <w:right w:val="nil"/>
            </w:tcBorders>
            <w:tcMar>
              <w:left w:w="105" w:type="dxa"/>
              <w:right w:w="105" w:type="dxa"/>
            </w:tcMar>
            <w:vAlign w:val="center"/>
          </w:tcPr>
          <w:p w14:paraId="163EFE05" w14:textId="77777777" w:rsidR="00237BDE" w:rsidRDefault="00237BDE" w:rsidP="005148DF">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09A3BE9E" w14:textId="77777777" w:rsidR="00237BDE" w:rsidRDefault="00237BDE" w:rsidP="005148DF">
            <w:pPr>
              <w:rPr>
                <w:rFonts w:ascii="Verdana" w:eastAsia="Verdana" w:hAnsi="Verdana" w:cs="Verdana"/>
                <w:sz w:val="16"/>
                <w:szCs w:val="16"/>
              </w:rPr>
            </w:pPr>
            <w:r w:rsidRPr="3F869DD7">
              <w:rPr>
                <w:rFonts w:ascii="Verdana" w:eastAsia="Verdana" w:hAnsi="Verdana" w:cs="Verdana"/>
                <w:sz w:val="16"/>
                <w:szCs w:val="16"/>
              </w:rPr>
              <w:t>Carolina Quintero Gacharná</w:t>
            </w:r>
          </w:p>
          <w:p w14:paraId="69D45ABC" w14:textId="77777777" w:rsidR="00237BDE" w:rsidRDefault="00237BDE" w:rsidP="005148DF">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2B457182" w14:textId="77777777" w:rsidR="002E33A1" w:rsidRDefault="002E33A1" w:rsidP="30821638">
      <w:pPr>
        <w:spacing w:after="0" w:line="240" w:lineRule="auto"/>
        <w:textAlignment w:val="baseline"/>
        <w:rPr>
          <w:noProof/>
        </w:rPr>
      </w:pPr>
    </w:p>
    <w:p w14:paraId="69BC4D14" w14:textId="63B5B5F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1D269" w14:textId="77777777" w:rsidR="00091B78" w:rsidRDefault="00091B78" w:rsidP="004A1847">
      <w:pPr>
        <w:spacing w:after="0" w:line="240" w:lineRule="auto"/>
      </w:pPr>
      <w:r>
        <w:separator/>
      </w:r>
    </w:p>
  </w:endnote>
  <w:endnote w:type="continuationSeparator" w:id="0">
    <w:p w14:paraId="3C28657A" w14:textId="77777777" w:rsidR="00091B78" w:rsidRDefault="00091B78" w:rsidP="004A1847">
      <w:pPr>
        <w:spacing w:after="0" w:line="240" w:lineRule="auto"/>
      </w:pPr>
      <w:r>
        <w:continuationSeparator/>
      </w:r>
    </w:p>
  </w:endnote>
  <w:endnote w:type="continuationNotice" w:id="1">
    <w:p w14:paraId="7C636CD3" w14:textId="77777777" w:rsidR="00091B78" w:rsidRDefault="00091B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3093C" w14:textId="77777777" w:rsidR="00091B78" w:rsidRDefault="00091B78" w:rsidP="004A1847">
      <w:pPr>
        <w:spacing w:after="0" w:line="240" w:lineRule="auto"/>
      </w:pPr>
      <w:r>
        <w:separator/>
      </w:r>
    </w:p>
  </w:footnote>
  <w:footnote w:type="continuationSeparator" w:id="0">
    <w:p w14:paraId="7AD22557" w14:textId="77777777" w:rsidR="00091B78" w:rsidRDefault="00091B78" w:rsidP="004A1847">
      <w:pPr>
        <w:spacing w:after="0" w:line="240" w:lineRule="auto"/>
      </w:pPr>
      <w:r>
        <w:continuationSeparator/>
      </w:r>
    </w:p>
  </w:footnote>
  <w:footnote w:type="continuationNotice" w:id="1">
    <w:p w14:paraId="011BDF61" w14:textId="77777777" w:rsidR="00091B78" w:rsidRDefault="00091B78">
      <w:pPr>
        <w:spacing w:after="0" w:line="240" w:lineRule="auto"/>
      </w:pPr>
    </w:p>
  </w:footnote>
  <w:footnote w:id="2">
    <w:p w14:paraId="2C830C0D" w14:textId="77777777" w:rsidR="00237BDE" w:rsidRPr="00045A51" w:rsidRDefault="00237BDE" w:rsidP="00237BDE">
      <w:pPr>
        <w:pStyle w:val="Textonotapie"/>
        <w:ind w:firstLine="709"/>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3A722B09" w14:textId="77777777" w:rsidR="00237BDE" w:rsidRPr="00045A51" w:rsidRDefault="00237BDE" w:rsidP="00237BDE">
      <w:pPr>
        <w:pStyle w:val="Textonotapie"/>
        <w:ind w:firstLine="709"/>
        <w:jc w:val="both"/>
        <w:rPr>
          <w:rFonts w:ascii="Verdana" w:hAnsi="Verdana" w:cs="Arial"/>
          <w:sz w:val="16"/>
          <w:szCs w:val="16"/>
          <w:lang w:val="es-ES"/>
        </w:rPr>
      </w:pPr>
      <w:r w:rsidRPr="00045A51">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48E9C9B7" w14:textId="77777777" w:rsidR="00237BDE" w:rsidRPr="00045A51" w:rsidRDefault="00237BDE" w:rsidP="00237BDE">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 xml:space="preserve">CONSEJO DE ESTADO. Sección Tercera. Subsección B. Sentencia del 29 de febrero de 2012. </w:t>
      </w:r>
      <w:proofErr w:type="spellStart"/>
      <w:r w:rsidRPr="00045A51">
        <w:rPr>
          <w:rFonts w:ascii="Verdana" w:eastAsia="Calibri" w:hAnsi="Verdana" w:cs="Arial"/>
          <w:sz w:val="16"/>
          <w:szCs w:val="16"/>
          <w:lang w:val="es-ES_tradnl" w:eastAsia="es-ES_tradnl"/>
        </w:rPr>
        <w:t>Exp</w:t>
      </w:r>
      <w:proofErr w:type="spellEnd"/>
      <w:r w:rsidRPr="00045A51">
        <w:rPr>
          <w:rFonts w:ascii="Verdana" w:eastAsia="Calibri" w:hAnsi="Verdana" w:cs="Arial"/>
          <w:sz w:val="16"/>
          <w:szCs w:val="16"/>
          <w:lang w:val="es-ES_tradnl" w:eastAsia="es-ES_tradnl"/>
        </w:rPr>
        <w:t>. 16371, C.P. Danilo Rojas Betancourth.</w:t>
      </w:r>
    </w:p>
  </w:footnote>
  <w:footnote w:id="4">
    <w:p w14:paraId="4BEC5C54" w14:textId="77777777" w:rsidR="00237BDE" w:rsidRPr="00045A51" w:rsidRDefault="00237BDE" w:rsidP="00237BDE">
      <w:pPr>
        <w:pStyle w:val="Textonotapie"/>
        <w:ind w:firstLine="709"/>
        <w:jc w:val="both"/>
        <w:rPr>
          <w:rFonts w:ascii="Verdana" w:hAnsi="Verdana" w:cs="Arial"/>
          <w:sz w:val="16"/>
          <w:szCs w:val="16"/>
          <w:lang w:val="es-CO"/>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5">
    <w:p w14:paraId="459EDD1B" w14:textId="77777777" w:rsidR="00237BDE" w:rsidRPr="00045A51" w:rsidRDefault="00237BDE" w:rsidP="00237BDE">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 xml:space="preserve">CONSEJO DE ESTADO. Sección Tercera. Subsección B. Sentencia del 14 de octubre de 2011. </w:t>
      </w:r>
      <w:proofErr w:type="spellStart"/>
      <w:r w:rsidRPr="00045A51">
        <w:rPr>
          <w:rFonts w:ascii="Verdana" w:eastAsia="Calibri" w:hAnsi="Verdana" w:cs="Arial"/>
          <w:sz w:val="16"/>
          <w:szCs w:val="16"/>
          <w:lang w:val="es-ES_tradnl" w:eastAsia="es-ES_tradnl"/>
        </w:rPr>
        <w:t>Exp</w:t>
      </w:r>
      <w:proofErr w:type="spellEnd"/>
      <w:r w:rsidRPr="00045A51">
        <w:rPr>
          <w:rFonts w:ascii="Verdana" w:eastAsia="Calibri" w:hAnsi="Verdana" w:cs="Arial"/>
          <w:sz w:val="16"/>
          <w:szCs w:val="16"/>
          <w:lang w:val="es-ES_tradnl" w:eastAsia="es-ES_tradnl"/>
        </w:rPr>
        <w:t>. 20811, C.P. Ruth Stella Correa Palacio.</w:t>
      </w:r>
    </w:p>
  </w:footnote>
  <w:footnote w:id="6">
    <w:p w14:paraId="7A951F6F" w14:textId="77777777" w:rsidR="00237BDE" w:rsidRPr="00045A51" w:rsidRDefault="00237BDE" w:rsidP="00237BDE">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7">
    <w:p w14:paraId="45E3E23B" w14:textId="77777777" w:rsidR="00237BDE" w:rsidRPr="00045A51" w:rsidRDefault="00237BDE" w:rsidP="00237BDE">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045A51">
        <w:rPr>
          <w:rFonts w:ascii="Verdana" w:hAnsi="Verdana" w:cs="Arial"/>
          <w:sz w:val="16"/>
          <w:szCs w:val="16"/>
        </w:rPr>
        <w:t xml:space="preserve"> </w:t>
      </w:r>
    </w:p>
  </w:footnote>
  <w:footnote w:id="8">
    <w:p w14:paraId="526AC37B" w14:textId="77777777" w:rsidR="00237BDE" w:rsidRPr="00045A51" w:rsidRDefault="00237BDE" w:rsidP="00237BDE">
      <w:pPr>
        <w:pStyle w:val="Textonotapie"/>
        <w:ind w:firstLine="709"/>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 xml:space="preserve">MARÍN, </w:t>
      </w:r>
      <w:proofErr w:type="spellStart"/>
      <w:r w:rsidRPr="00045A51">
        <w:rPr>
          <w:rFonts w:ascii="Verdana" w:eastAsia="Calibri" w:hAnsi="Verdana" w:cs="Arial"/>
          <w:sz w:val="16"/>
          <w:szCs w:val="16"/>
          <w:lang w:val="es-ES_tradnl" w:eastAsia="es-ES_tradnl"/>
        </w:rPr>
        <w:t>Op</w:t>
      </w:r>
      <w:proofErr w:type="spellEnd"/>
      <w:r w:rsidRPr="00045A51">
        <w:rPr>
          <w:rFonts w:ascii="Verdana" w:eastAsia="Calibri" w:hAnsi="Verdana" w:cs="Arial"/>
          <w:sz w:val="16"/>
          <w:szCs w:val="16"/>
          <w:lang w:val="es-ES_tradnl" w:eastAsia="es-ES_tradnl"/>
        </w:rPr>
        <w:t>. Cit., pp. 64-65.</w:t>
      </w:r>
    </w:p>
  </w:footnote>
  <w:footnote w:id="9">
    <w:p w14:paraId="64DA1B8D" w14:textId="77777777" w:rsidR="00237BDE" w:rsidRPr="00045A51" w:rsidRDefault="00237BDE" w:rsidP="00237BDE">
      <w:pPr>
        <w:pStyle w:val="Textonotapie"/>
        <w:ind w:firstLine="709"/>
        <w:jc w:val="both"/>
        <w:rPr>
          <w:rFonts w:ascii="Verdana" w:hAnsi="Verdana" w:cs="Arial"/>
          <w:sz w:val="16"/>
          <w:szCs w:val="16"/>
          <w:lang w:val="es-ES"/>
        </w:rPr>
      </w:pPr>
      <w:r w:rsidRPr="00045A51">
        <w:rPr>
          <w:rStyle w:val="Refdenotaalpie"/>
          <w:rFonts w:ascii="Verdana" w:hAnsi="Verdana" w:cs="Arial"/>
          <w:sz w:val="16"/>
          <w:szCs w:val="16"/>
        </w:rPr>
        <w:footnoteRef/>
      </w:r>
      <w:r w:rsidRPr="00045A51">
        <w:rPr>
          <w:rFonts w:ascii="Verdana" w:hAnsi="Verdana" w:cs="Arial"/>
          <w:sz w:val="16"/>
          <w:szCs w:val="16"/>
        </w:rPr>
        <w:t xml:space="preserve"> </w:t>
      </w:r>
      <w:proofErr w:type="spellStart"/>
      <w:r w:rsidRPr="00045A51">
        <w:rPr>
          <w:rFonts w:ascii="Verdana" w:eastAsia="Calibri" w:hAnsi="Verdana" w:cs="Arial"/>
          <w:sz w:val="16"/>
          <w:szCs w:val="16"/>
          <w:lang w:val="es-ES_tradnl" w:eastAsia="es-ES_tradnl"/>
        </w:rPr>
        <w:t>Ibíd</w:t>
      </w:r>
      <w:proofErr w:type="spellEnd"/>
      <w:r w:rsidRPr="00045A51">
        <w:rPr>
          <w:rFonts w:ascii="Verdana" w:eastAsia="Calibri" w:hAnsi="Verdana" w:cs="Arial"/>
          <w:sz w:val="16"/>
          <w:szCs w:val="16"/>
          <w:lang w:val="es-ES_tradnl" w:eastAsia="es-ES_tradnl"/>
        </w:rPr>
        <w:t>., p. 66.</w:t>
      </w:r>
    </w:p>
  </w:footnote>
  <w:footnote w:id="10">
    <w:p w14:paraId="1E5FD035" w14:textId="77777777" w:rsidR="00237BDE" w:rsidRPr="00045A51" w:rsidRDefault="00237BDE" w:rsidP="00237BDE">
      <w:pPr>
        <w:pStyle w:val="Textonotapie"/>
        <w:ind w:firstLine="708"/>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proofErr w:type="spellStart"/>
      <w:r w:rsidRPr="00045A51">
        <w:rPr>
          <w:rFonts w:ascii="Verdana" w:eastAsia="Calibri" w:hAnsi="Verdana" w:cs="Arial"/>
          <w:sz w:val="16"/>
          <w:szCs w:val="16"/>
          <w:lang w:val="es-ES_tradnl" w:eastAsia="es-ES_tradnl"/>
        </w:rPr>
        <w:t>Ibíd</w:t>
      </w:r>
      <w:proofErr w:type="spellEnd"/>
      <w:r w:rsidRPr="00045A51">
        <w:rPr>
          <w:rFonts w:ascii="Verdana" w:eastAsia="Calibri" w:hAnsi="Verdana" w:cs="Arial"/>
          <w:sz w:val="16"/>
          <w:szCs w:val="16"/>
          <w:lang w:val="es-ES_tradnl" w:eastAsia="es-ES_tradnl"/>
        </w:rPr>
        <w:t>, p. 76)</w:t>
      </w:r>
    </w:p>
  </w:footnote>
  <w:footnote w:id="11">
    <w:p w14:paraId="5CC34EE1" w14:textId="77777777" w:rsidR="00237BDE" w:rsidRPr="00045A51" w:rsidRDefault="00237BDE" w:rsidP="00237BDE">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12">
    <w:p w14:paraId="4BB5EE78" w14:textId="77777777" w:rsidR="00237BDE" w:rsidRPr="00045A51" w:rsidRDefault="00237BDE" w:rsidP="00237BDE">
      <w:pPr>
        <w:pStyle w:val="Textonotapie"/>
        <w:ind w:firstLine="709"/>
        <w:jc w:val="both"/>
        <w:rPr>
          <w:lang w:val="es-CO"/>
        </w:rPr>
      </w:pPr>
      <w:r>
        <w:rPr>
          <w:rStyle w:val="Refdenotaalpie"/>
        </w:rPr>
        <w:footnoteRef/>
      </w:r>
      <w:r>
        <w:t xml:space="preserve"> </w:t>
      </w:r>
      <w:r w:rsidRPr="00045A51">
        <w:rPr>
          <w:rFonts w:ascii="Verdana" w:hAnsi="Verdana" w:cs="Arial"/>
          <w:sz w:val="16"/>
          <w:szCs w:val="16"/>
          <w:lang w:val="es-ES_tradnl"/>
        </w:rPr>
        <w:t>Consejo de Estado. Sala de Consulta y Servicio Civil. Concepto del 5 de septiembre de 2018, radicado No. 11001-03-06-000-2018-00124-00, C.P. Édgar González López</w:t>
      </w:r>
    </w:p>
  </w:footnote>
  <w:footnote w:id="13">
    <w:p w14:paraId="1D8A5E8B" w14:textId="77777777" w:rsidR="00237BDE" w:rsidRPr="00045A51" w:rsidRDefault="00237BDE" w:rsidP="00237BDE">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proofErr w:type="spellStart"/>
      <w:r w:rsidRPr="00045A51">
        <w:rPr>
          <w:rFonts w:ascii="Verdana" w:eastAsia="Calibri" w:hAnsi="Verdana" w:cs="Arial"/>
          <w:sz w:val="16"/>
          <w:szCs w:val="16"/>
          <w:lang w:val="es-ES_tradnl" w:eastAsia="es-ES_tradnl"/>
        </w:rPr>
        <w:t>Ibíd</w:t>
      </w:r>
      <w:proofErr w:type="spellEnd"/>
      <w:r w:rsidRPr="00045A51">
        <w:rPr>
          <w:rFonts w:ascii="Verdana" w:eastAsia="Calibri" w:hAnsi="Verdana" w:cs="Arial"/>
          <w:sz w:val="16"/>
          <w:szCs w:val="16"/>
          <w:lang w:val="es-ES_tradnl" w:eastAsia="es-ES_tradnl"/>
        </w:rPr>
        <w:t>, p. 77.</w:t>
      </w:r>
      <w:r w:rsidRPr="00045A51">
        <w:rPr>
          <w:rFonts w:ascii="Verdana" w:hAnsi="Verdana" w:cs="Arial"/>
          <w:sz w:val="16"/>
          <w:szCs w:val="16"/>
        </w:rPr>
        <w:t xml:space="preserve"> </w:t>
      </w:r>
    </w:p>
    <w:p w14:paraId="6059B204" w14:textId="77777777" w:rsidR="00237BDE" w:rsidRPr="00045A51" w:rsidRDefault="00237BDE" w:rsidP="00237BDE">
      <w:pPr>
        <w:pStyle w:val="Textonotapie"/>
        <w:ind w:firstLine="708"/>
        <w:jc w:val="both"/>
        <w:rPr>
          <w:rFonts w:ascii="Verdana" w:hAnsi="Verdana" w:cs="Arial"/>
          <w:sz w:val="16"/>
          <w:szCs w:val="16"/>
          <w:lang w:val="es-CO"/>
        </w:rPr>
      </w:pPr>
    </w:p>
  </w:footnote>
  <w:footnote w:id="14">
    <w:p w14:paraId="6C0F3425" w14:textId="77777777" w:rsidR="00237BDE" w:rsidRPr="00143AF3" w:rsidRDefault="00237BDE" w:rsidP="00237BDE">
      <w:pPr>
        <w:pStyle w:val="Textonotapie"/>
        <w:ind w:firstLine="709"/>
        <w:rPr>
          <w:lang w:val="es-CO"/>
        </w:rPr>
      </w:pPr>
      <w:r>
        <w:rPr>
          <w:rStyle w:val="Refdenotaalpie"/>
        </w:rPr>
        <w:footnoteRef/>
      </w:r>
      <w:r>
        <w:t xml:space="preserve"> </w:t>
      </w:r>
      <w:proofErr w:type="spellStart"/>
      <w:r w:rsidRPr="00045A51">
        <w:rPr>
          <w:rFonts w:ascii="Verdana" w:eastAsia="Calibri" w:hAnsi="Verdana" w:cs="Arial"/>
          <w:sz w:val="16"/>
          <w:szCs w:val="16"/>
          <w:lang w:val="es-ES_tradnl" w:eastAsia="es-ES_tradnl"/>
        </w:rPr>
        <w:t>Ibíd</w:t>
      </w:r>
      <w:proofErr w:type="spellEnd"/>
      <w:r w:rsidRPr="00045A51">
        <w:rPr>
          <w:rFonts w:ascii="Verdana" w:eastAsia="Calibri" w:hAnsi="Verdana" w:cs="Arial"/>
          <w:sz w:val="16"/>
          <w:szCs w:val="16"/>
          <w:lang w:val="es-ES_tradnl" w:eastAsia="es-ES_tradnl"/>
        </w:rPr>
        <w:t>, p. 77.</w:t>
      </w:r>
    </w:p>
  </w:footnote>
  <w:footnote w:id="15">
    <w:p w14:paraId="1E50507A" w14:textId="77777777" w:rsidR="00237BDE" w:rsidRPr="00B95CFD" w:rsidRDefault="00237BDE" w:rsidP="00237BDE">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i/>
          <w:iCs/>
          <w:sz w:val="16"/>
          <w:szCs w:val="16"/>
          <w:lang w:val="es-ES"/>
        </w:rPr>
        <w:t>“</w:t>
      </w:r>
      <w:r w:rsidRPr="00B95CFD">
        <w:rPr>
          <w:rFonts w:ascii="Verdana" w:hAnsi="Verdana" w:cs="Arial"/>
          <w:bCs/>
          <w:i/>
          <w:iCs/>
          <w:sz w:val="16"/>
          <w:szCs w:val="16"/>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footnote>
  <w:footnote w:id="16">
    <w:p w14:paraId="0A2C147E" w14:textId="77777777" w:rsidR="00237BDE" w:rsidRPr="00B95CFD" w:rsidRDefault="00237BDE" w:rsidP="00237BDE">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color w:val="000000" w:themeColor="text1"/>
          <w:sz w:val="16"/>
          <w:szCs w:val="16"/>
        </w:rPr>
        <w:t>“</w:t>
      </w:r>
      <w:r w:rsidRPr="00B95CFD">
        <w:rPr>
          <w:rStyle w:val="nfasis"/>
          <w:rFonts w:ascii="Verdana" w:hAnsi="Verdana" w:cs="Arial"/>
          <w:color w:val="000000" w:themeColor="text1"/>
          <w:sz w:val="16"/>
          <w:szCs w:val="16"/>
          <w:shd w:val="clear" w:color="auto" w:fill="FFFFFF"/>
        </w:rPr>
        <w:t>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w:t>
      </w:r>
    </w:p>
  </w:footnote>
  <w:footnote w:id="17">
    <w:p w14:paraId="581AD3C7" w14:textId="77777777" w:rsidR="00237BDE" w:rsidRPr="00B95CFD" w:rsidRDefault="00237BDE" w:rsidP="00237BDE">
      <w:pPr>
        <w:pStyle w:val="Textonotapie"/>
        <w:ind w:firstLine="709"/>
        <w:jc w:val="both"/>
        <w:rPr>
          <w:rFonts w:ascii="Verdana" w:hAnsi="Verdana"/>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Este artículo fue declarado exequible por la Corte Constitucional mediante la Sentencia C-671 de 1999, M.P. Alfredo Beltrán Sierra.</w:t>
      </w:r>
    </w:p>
  </w:footnote>
  <w:footnote w:id="18">
    <w:p w14:paraId="183B675E" w14:textId="77777777" w:rsidR="00237BDE" w:rsidRPr="00B95CFD" w:rsidRDefault="00237BDE" w:rsidP="00237BDE">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lo Contencioso Administrativo, Sección Tercera, sentencia de 23 de junio de 2010, exp.17860.</w:t>
      </w:r>
    </w:p>
  </w:footnote>
  <w:footnote w:id="19">
    <w:p w14:paraId="39F92E1B" w14:textId="77777777" w:rsidR="00237BDE" w:rsidRPr="00B95CFD" w:rsidRDefault="00237BDE" w:rsidP="00237BDE">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Santos Rodríguez, Jorge Enrique. </w:t>
      </w:r>
      <w:r w:rsidRPr="00B95CFD">
        <w:rPr>
          <w:rFonts w:ascii="Verdana" w:hAnsi="Verdana" w:cs="Arial"/>
          <w:i/>
          <w:iCs/>
          <w:sz w:val="16"/>
          <w:szCs w:val="16"/>
        </w:rPr>
        <w:t>“Consideraciones sobre los convenios y contratos interadministrativos”</w:t>
      </w:r>
      <w:r w:rsidRPr="00B95CFD">
        <w:rPr>
          <w:rFonts w:ascii="Verdana" w:hAnsi="Verdana" w:cs="Arial"/>
          <w:sz w:val="16"/>
          <w:szCs w:val="16"/>
        </w:rPr>
        <w:t>. Universidad Externado de Colombia, Revista Digital de Derecho Administrativo, Bogotá 2009.</w:t>
      </w:r>
    </w:p>
  </w:footnote>
  <w:footnote w:id="20">
    <w:p w14:paraId="276A9B0D" w14:textId="77777777" w:rsidR="00237BDE" w:rsidRPr="00B95CFD" w:rsidRDefault="00237BDE" w:rsidP="00237BDE">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footnote>
  <w:footnote w:id="21">
    <w:p w14:paraId="3FCB0203" w14:textId="77777777" w:rsidR="00237BDE" w:rsidRPr="00B95CFD" w:rsidRDefault="00237BDE" w:rsidP="00237BDE">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Expósito Vélez, Juan Carlos. </w:t>
      </w:r>
      <w:r w:rsidRPr="00B95CFD">
        <w:rPr>
          <w:rFonts w:ascii="Verdana" w:hAnsi="Verdana" w:cs="Arial"/>
          <w:i/>
          <w:iCs/>
          <w:sz w:val="16"/>
          <w:szCs w:val="16"/>
        </w:rPr>
        <w:t>“La configuración del contrato de la administración pública en derecho colombiano y español”</w:t>
      </w:r>
      <w:r w:rsidRPr="00B95CFD">
        <w:rPr>
          <w:rFonts w:ascii="Verdana" w:hAnsi="Verdana" w:cs="Arial"/>
          <w:sz w:val="16"/>
          <w:szCs w:val="16"/>
        </w:rPr>
        <w:t>. Bogotá, universidad Externado de Colombia, 2003, p. 25.</w:t>
      </w:r>
    </w:p>
  </w:footnote>
  <w:footnote w:id="22">
    <w:p w14:paraId="6A190115" w14:textId="77777777" w:rsidR="00237BDE" w:rsidRPr="00B95CFD" w:rsidRDefault="00237BDE" w:rsidP="00237BDE">
      <w:pPr>
        <w:ind w:firstLine="708"/>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xml:space="preserve">. Sala de Consulta y Servicio Civil. Concepto 26 de julio de 2016. </w:t>
      </w:r>
      <w:proofErr w:type="spellStart"/>
      <w:r w:rsidRPr="00B95CFD">
        <w:rPr>
          <w:rFonts w:ascii="Verdana" w:hAnsi="Verdana" w:cs="Arial"/>
          <w:sz w:val="16"/>
          <w:szCs w:val="16"/>
        </w:rPr>
        <w:t>Exp</w:t>
      </w:r>
      <w:proofErr w:type="spellEnd"/>
      <w:r w:rsidRPr="00B95CFD">
        <w:rPr>
          <w:rFonts w:ascii="Verdana" w:hAnsi="Verdana" w:cs="Arial"/>
          <w:sz w:val="16"/>
          <w:szCs w:val="16"/>
        </w:rPr>
        <w:t>. 2.257. C.P. Álvaro Namén Vargas.</w:t>
      </w:r>
    </w:p>
  </w:footnote>
  <w:footnote w:id="23">
    <w:p w14:paraId="5C4B7438" w14:textId="77777777" w:rsidR="00237BDE" w:rsidRPr="00B95CFD" w:rsidRDefault="00237BDE" w:rsidP="00237BDE">
      <w:pPr>
        <w:ind w:firstLine="708"/>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«CE. SCSC. Concepto de 1 de noviembre de 2016 [Rad. 11001-03-06-000-2016-00125-00(2305)]. MP. Germán Alberto Bula Escobar».</w:t>
      </w:r>
    </w:p>
  </w:footnote>
  <w:footnote w:id="24">
    <w:p w14:paraId="55B67045" w14:textId="77777777" w:rsidR="00237BDE" w:rsidRPr="00B95CFD" w:rsidRDefault="00237BDE" w:rsidP="00237BDE">
      <w:pPr>
        <w:ind w:firstLine="708"/>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«CE. SCSC. Concepto de 30 de abril de 2008 [Rad. 11001-03-06-000-2008-00013-00(1881)]. MP. Enrique José Arboleda Perdomo. En esta oportunidad, la Sala indicó que el contenido </w:t>
      </w:r>
      <w:r w:rsidRPr="00B95CFD">
        <w:rPr>
          <w:rFonts w:ascii="Verdana" w:hAnsi="Verdana" w:cs="Arial"/>
          <w:i/>
          <w:sz w:val="16"/>
          <w:szCs w:val="16"/>
        </w:rPr>
        <w:t>“obligacional”</w:t>
      </w:r>
      <w:r w:rsidRPr="00B95CFD">
        <w:rPr>
          <w:rFonts w:ascii="Verdana" w:hAnsi="Verdana" w:cs="Arial"/>
          <w:sz w:val="16"/>
          <w:szCs w:val="16"/>
        </w:rPr>
        <w:t xml:space="preserve"> de los convenios se estructura definiendo el resultado querido por las partes y los medios que cada entidad despliega para la obtención del respectivo objeto».</w:t>
      </w:r>
    </w:p>
  </w:footnote>
  <w:footnote w:id="25">
    <w:p w14:paraId="52FDDE6F" w14:textId="77777777" w:rsidR="00237BDE" w:rsidRPr="00B95CFD" w:rsidRDefault="00237BDE" w:rsidP="00237BDE">
      <w:pPr>
        <w:spacing w:line="240" w:lineRule="auto"/>
        <w:ind w:firstLine="709"/>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«La normativa vigente del EGCAP </w:t>
      </w:r>
      <w:r w:rsidRPr="00B95CFD">
        <w:rPr>
          <w:rFonts w:ascii="Verdana" w:hAnsi="Verdana" w:cs="Arial"/>
          <w:i/>
          <w:sz w:val="16"/>
          <w:szCs w:val="16"/>
        </w:rPr>
        <w:t>[literal c) del numeral 4. del artículo 2 de la Ley 1150/07]</w:t>
      </w:r>
      <w:r w:rsidRPr="00B95CFD">
        <w:rPr>
          <w:rFonts w:ascii="Verdana" w:hAnsi="Verdana" w:cs="Arial"/>
          <w:sz w:val="16"/>
          <w:szCs w:val="16"/>
        </w:rPr>
        <w:t xml:space="preserve"> se refiere a </w:t>
      </w:r>
      <w:r w:rsidRPr="00B95CFD">
        <w:rPr>
          <w:rFonts w:ascii="Verdana" w:hAnsi="Verdana" w:cs="Arial"/>
          <w:i/>
          <w:sz w:val="16"/>
          <w:szCs w:val="16"/>
        </w:rPr>
        <w:t>“contratos interadministrativos”</w:t>
      </w:r>
      <w:r w:rsidRPr="00B95CFD">
        <w:rPr>
          <w:rFonts w:ascii="Verdana" w:hAnsi="Verdana"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6">
    <w:p w14:paraId="704B1A38" w14:textId="77777777" w:rsidR="00237BDE" w:rsidRPr="00B95CFD" w:rsidRDefault="00237BDE" w:rsidP="00237BDE">
      <w:pPr>
        <w:pStyle w:val="Textonotapie"/>
        <w:ind w:firstLine="709"/>
        <w:jc w:val="both"/>
        <w:rPr>
          <w:rFonts w:ascii="Verdana" w:hAnsi="Verdana" w:cs="Arial"/>
          <w:sz w:val="16"/>
          <w:szCs w:val="16"/>
          <w:lang w:val="es-ES"/>
        </w:rPr>
      </w:pPr>
      <w:r w:rsidRPr="00B95CFD">
        <w:rPr>
          <w:rStyle w:val="Refdenotaalpie"/>
          <w:rFonts w:ascii="Verdana" w:hAnsi="Verdana" w:cs="Arial"/>
          <w:sz w:val="16"/>
          <w:szCs w:val="16"/>
        </w:rPr>
        <w:footnoteRef/>
      </w:r>
      <w:r w:rsidRPr="00B95CFD">
        <w:rPr>
          <w:rFonts w:ascii="Verdana" w:hAnsi="Verdana" w:cs="Arial"/>
          <w:sz w:val="16"/>
          <w:szCs w:val="16"/>
        </w:rPr>
        <w:t xml:space="preserve"> En sentido similar </w:t>
      </w:r>
      <w:r w:rsidRPr="00B95CFD">
        <w:rPr>
          <w:rFonts w:ascii="Verdana" w:hAnsi="Verdana" w:cs="Arial"/>
          <w:sz w:val="16"/>
          <w:szCs w:val="16"/>
          <w:lang w:val="es-ES"/>
        </w:rPr>
        <w:t xml:space="preserve">ver, entre otras, al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sentencia del 22 de octubre de 2021, Rad. 65978, M.P. Martha Nubia Velásquez;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A, Sentencia del 23 de abril de 2021, Rad. 49148, M.P. María Adriana Marín; </w:t>
      </w:r>
      <w:r>
        <w:rPr>
          <w:rFonts w:ascii="Verdana" w:hAnsi="Verdana" w:cs="Arial"/>
          <w:sz w:val="16"/>
          <w:szCs w:val="16"/>
          <w:lang w:val="es-ES"/>
        </w:rPr>
        <w:t>Consejo de Estado</w:t>
      </w:r>
      <w:r w:rsidRPr="00B95CFD">
        <w:rPr>
          <w:rFonts w:ascii="Verdana" w:hAnsi="Verdana" w:cs="Arial"/>
          <w:sz w:val="16"/>
          <w:szCs w:val="16"/>
          <w:lang w:val="es-ES"/>
        </w:rPr>
        <w:t>, Sala de lo Contencioso Administrativo, Sección Tercera, Subsección A, Sentencia del 21</w:t>
      </w:r>
      <w:r w:rsidRPr="00B95CFD">
        <w:rPr>
          <w:rFonts w:ascii="Verdana" w:hAnsi="Verdana" w:cs="Arial"/>
          <w:sz w:val="16"/>
          <w:szCs w:val="16"/>
          <w:lang w:val="es-ES"/>
        </w:rPr>
        <w:t xml:space="preserve"> de mayo de 2021, Rad. 66756, M.P. José Roberto Sáchica Méndez;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C, Auto del 30 de septiembre de 2020, Rad. 65358, M.P. Guillermo Sánchez Luque. </w:t>
      </w:r>
    </w:p>
    <w:p w14:paraId="0C39C4A4" w14:textId="77777777" w:rsidR="00237BDE" w:rsidRPr="00B95CFD" w:rsidRDefault="00237BDE" w:rsidP="00237BDE">
      <w:pPr>
        <w:pStyle w:val="Textonotapie"/>
        <w:ind w:firstLine="709"/>
        <w:jc w:val="both"/>
        <w:rPr>
          <w:rFonts w:ascii="Verdana" w:hAnsi="Verdana" w:cs="Arial"/>
          <w:sz w:val="16"/>
          <w:szCs w:val="16"/>
          <w:lang w:val="es-ES"/>
        </w:rPr>
      </w:pPr>
    </w:p>
  </w:footnote>
  <w:footnote w:id="27">
    <w:p w14:paraId="1F398971" w14:textId="77777777" w:rsidR="00237BDE" w:rsidRPr="00B95CFD" w:rsidRDefault="00237BDE" w:rsidP="00237BDE">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Consejo de Estado -Sección Tercera-. Sentencia del </w:t>
      </w:r>
      <w:r w:rsidRPr="00B95CFD">
        <w:rPr>
          <w:rFonts w:ascii="Verdana" w:hAnsi="Verdana" w:cs="Arial"/>
          <w:bCs/>
          <w:iCs/>
          <w:sz w:val="16"/>
          <w:szCs w:val="16"/>
        </w:rPr>
        <w:t>14 de junio del 2019, Radicación Número: 25000-23-37-000-2010-02552-01(AP).</w:t>
      </w:r>
    </w:p>
  </w:footnote>
  <w:footnote w:id="28">
    <w:p w14:paraId="7D5A80EC" w14:textId="77777777" w:rsidR="00237BDE" w:rsidRPr="00B95CFD" w:rsidRDefault="00237BDE" w:rsidP="00237BDE">
      <w:pPr>
        <w:pStyle w:val="Textonotapie"/>
        <w:ind w:firstLine="709"/>
        <w:rPr>
          <w:rFonts w:ascii="Verdana" w:hAnsi="Verdana"/>
          <w:sz w:val="16"/>
          <w:szCs w:val="16"/>
          <w:lang w:val="es-CO"/>
        </w:rPr>
      </w:pPr>
      <w:r w:rsidRPr="00B95CFD">
        <w:rPr>
          <w:rStyle w:val="Refdenotaalpie"/>
          <w:rFonts w:ascii="Verdana" w:hAnsi="Verdana"/>
          <w:sz w:val="16"/>
          <w:szCs w:val="16"/>
        </w:rPr>
        <w:footnoteRef/>
      </w:r>
      <w:r w:rsidRPr="00B95CFD">
        <w:rPr>
          <w:rFonts w:ascii="Verdana" w:hAnsi="Verdana"/>
          <w:sz w:val="16"/>
          <w:szCs w:val="16"/>
        </w:rPr>
        <w:t xml:space="preserve"> </w:t>
      </w:r>
      <w:r w:rsidRPr="00B95CFD">
        <w:rPr>
          <w:rFonts w:ascii="Verdana" w:hAnsi="Verdana" w:cs="Arial"/>
          <w:sz w:val="16"/>
          <w:szCs w:val="16"/>
        </w:rPr>
        <w:t>C</w:t>
      </w:r>
      <w:r>
        <w:rPr>
          <w:rFonts w:ascii="Verdana" w:hAnsi="Verdana" w:cs="Arial"/>
          <w:sz w:val="16"/>
          <w:szCs w:val="16"/>
        </w:rPr>
        <w:t>onsejo de Estado</w:t>
      </w:r>
      <w:r w:rsidRPr="00B95CFD">
        <w:rPr>
          <w:rFonts w:ascii="Verdana" w:hAnsi="Verdana" w:cs="Arial"/>
          <w:sz w:val="16"/>
          <w:szCs w:val="16"/>
        </w:rPr>
        <w:t>. Sala de Consulta y Servicio Civil. Concepto 26 de julio de 2016. Exp. 2.257. C.P. Álvaro Namén Vargas.</w:t>
      </w:r>
    </w:p>
  </w:footnote>
  <w:footnote w:id="29">
    <w:p w14:paraId="1410EBE0" w14:textId="77777777" w:rsidR="00237BDE" w:rsidRPr="00B95CFD" w:rsidRDefault="00237BDE" w:rsidP="00237BDE">
      <w:pPr>
        <w:pStyle w:val="Textonotapie"/>
        <w:ind w:firstLine="709"/>
        <w:rPr>
          <w:rFonts w:ascii="Verdana" w:hAnsi="Verdana"/>
          <w:sz w:val="16"/>
          <w:szCs w:val="16"/>
          <w:lang w:val="es-CO"/>
        </w:rPr>
      </w:pPr>
      <w:r w:rsidRPr="00B95CFD">
        <w:rPr>
          <w:rStyle w:val="Refdenotaalpie"/>
          <w:rFonts w:ascii="Verdana" w:hAnsi="Verdana"/>
          <w:sz w:val="16"/>
          <w:szCs w:val="16"/>
        </w:rPr>
        <w:footnoteRef/>
      </w:r>
      <w:r w:rsidRPr="00B95CFD">
        <w:rPr>
          <w:rFonts w:ascii="Verdana" w:hAnsi="Verdana"/>
          <w:sz w:val="16"/>
          <w:szCs w:val="16"/>
        </w:rPr>
        <w:t xml:space="preserve"> </w:t>
      </w:r>
      <w:r w:rsidRPr="00B95CFD">
        <w:rPr>
          <w:rFonts w:ascii="Verdana" w:hAnsi="Verdana" w:cs="Arial"/>
          <w:sz w:val="16"/>
          <w:szCs w:val="16"/>
        </w:rPr>
        <w:t xml:space="preserve">Consejo de Estado -Sección Tercera-. Sentencia del </w:t>
      </w:r>
      <w:r w:rsidRPr="00B95CFD">
        <w:rPr>
          <w:rFonts w:ascii="Verdana" w:hAnsi="Verdana" w:cs="Arial"/>
          <w:bCs/>
          <w:iCs/>
          <w:sz w:val="16"/>
          <w:szCs w:val="16"/>
        </w:rPr>
        <w:t xml:space="preserve">21 de febrero de 2025. Radicación Número: 68.280. CP: José Roberto Sáchica Méndez.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3A3E59"/>
    <w:multiLevelType w:val="hybridMultilevel"/>
    <w:tmpl w:val="BB88FA6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827985604">
    <w:abstractNumId w:val="10"/>
  </w:num>
  <w:num w:numId="17" w16cid:durableId="341274352">
    <w:abstractNumId w:val="0"/>
  </w:num>
  <w:num w:numId="18" w16cid:durableId="838930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1B78"/>
    <w:rsid w:val="000A683E"/>
    <w:rsid w:val="000B19B9"/>
    <w:rsid w:val="000D0334"/>
    <w:rsid w:val="000D5DA7"/>
    <w:rsid w:val="000F6486"/>
    <w:rsid w:val="00116940"/>
    <w:rsid w:val="00125105"/>
    <w:rsid w:val="00127233"/>
    <w:rsid w:val="0015699B"/>
    <w:rsid w:val="001A33BF"/>
    <w:rsid w:val="001A712C"/>
    <w:rsid w:val="001E4177"/>
    <w:rsid w:val="001F0B24"/>
    <w:rsid w:val="001F7DC6"/>
    <w:rsid w:val="0022400B"/>
    <w:rsid w:val="00237BDE"/>
    <w:rsid w:val="002421BB"/>
    <w:rsid w:val="0025796E"/>
    <w:rsid w:val="002707A2"/>
    <w:rsid w:val="00281743"/>
    <w:rsid w:val="002951A0"/>
    <w:rsid w:val="002962BC"/>
    <w:rsid w:val="002A093D"/>
    <w:rsid w:val="002A0DD0"/>
    <w:rsid w:val="002A49AC"/>
    <w:rsid w:val="002A64FD"/>
    <w:rsid w:val="002C7A84"/>
    <w:rsid w:val="002E2BF8"/>
    <w:rsid w:val="002E33A1"/>
    <w:rsid w:val="002E4FD9"/>
    <w:rsid w:val="0030657A"/>
    <w:rsid w:val="00322A85"/>
    <w:rsid w:val="00324168"/>
    <w:rsid w:val="003241E8"/>
    <w:rsid w:val="00330834"/>
    <w:rsid w:val="003448F4"/>
    <w:rsid w:val="00374F5E"/>
    <w:rsid w:val="00377E3E"/>
    <w:rsid w:val="003A779E"/>
    <w:rsid w:val="003D0F4D"/>
    <w:rsid w:val="003D5B0D"/>
    <w:rsid w:val="003E0499"/>
    <w:rsid w:val="003E4F80"/>
    <w:rsid w:val="003E6439"/>
    <w:rsid w:val="003F3941"/>
    <w:rsid w:val="00406575"/>
    <w:rsid w:val="00414C74"/>
    <w:rsid w:val="004248D2"/>
    <w:rsid w:val="0042722E"/>
    <w:rsid w:val="0044528D"/>
    <w:rsid w:val="00451769"/>
    <w:rsid w:val="00466E39"/>
    <w:rsid w:val="004A1847"/>
    <w:rsid w:val="004A305D"/>
    <w:rsid w:val="004F21C4"/>
    <w:rsid w:val="004F685F"/>
    <w:rsid w:val="005148DF"/>
    <w:rsid w:val="0054062D"/>
    <w:rsid w:val="005566E8"/>
    <w:rsid w:val="00566EBB"/>
    <w:rsid w:val="00574867"/>
    <w:rsid w:val="00591460"/>
    <w:rsid w:val="00591791"/>
    <w:rsid w:val="005A65E0"/>
    <w:rsid w:val="005C3777"/>
    <w:rsid w:val="005C5CDC"/>
    <w:rsid w:val="005D476C"/>
    <w:rsid w:val="006200BF"/>
    <w:rsid w:val="006219F8"/>
    <w:rsid w:val="006302F7"/>
    <w:rsid w:val="00646B9F"/>
    <w:rsid w:val="00665D70"/>
    <w:rsid w:val="006900D9"/>
    <w:rsid w:val="006C2514"/>
    <w:rsid w:val="006D110C"/>
    <w:rsid w:val="00703C3F"/>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1CEF"/>
    <w:rsid w:val="008253EC"/>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8427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B655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6F5B"/>
    <w:rsid w:val="00EC38A7"/>
    <w:rsid w:val="00EE1AA8"/>
    <w:rsid w:val="00F23FEA"/>
    <w:rsid w:val="00F31EDC"/>
    <w:rsid w:val="00F462B3"/>
    <w:rsid w:val="00F5664F"/>
    <w:rsid w:val="00F666C4"/>
    <w:rsid w:val="00F76AFC"/>
    <w:rsid w:val="00F84D23"/>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6DFCD59F"/>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3B965F6-49CA-C343-A04A-5C3C9855D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237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237BD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37BDE"/>
    <w:rPr>
      <w:rFonts w:ascii="Geomanist Light" w:hAnsi="Geomanist Light"/>
      <w:lang w:val="es-ES"/>
    </w:rPr>
  </w:style>
  <w:style w:type="character" w:styleId="nfasis">
    <w:name w:val="Emphasis"/>
    <w:basedOn w:val="Fuentedeprrafopredeter"/>
    <w:uiPriority w:val="20"/>
    <w:qFormat/>
    <w:rsid w:val="00237B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galvisg@yahoo.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F1087A-F71E-4A5F-9237-8CB656BE4B3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27</Pages>
  <Words>9143</Words>
  <Characters>50288</Characters>
  <Application>Microsoft Office Word</Application>
  <DocSecurity>0</DocSecurity>
  <Lines>419</Lines>
  <Paragraphs>118</Paragraphs>
  <ScaleCrop>false</ScaleCrop>
  <Company/>
  <LinksUpToDate>false</LinksUpToDate>
  <CharactersWithSpaces>59313</CharactersWithSpaces>
  <SharedDoc>false</SharedDoc>
  <HLinks>
    <vt:vector size="48" baseType="variant">
      <vt:variant>
        <vt:i4>4456513</vt:i4>
      </vt:variant>
      <vt:variant>
        <vt:i4>21</vt:i4>
      </vt:variant>
      <vt:variant>
        <vt:i4>0</vt:i4>
      </vt:variant>
      <vt:variant>
        <vt:i4>5</vt:i4>
      </vt:variant>
      <vt:variant>
        <vt:lpwstr>https://forms.office.com/r/pPHyWVs2SZ</vt:lpwstr>
      </vt:variant>
      <vt:variant>
        <vt:lpwstr/>
      </vt:variant>
      <vt:variant>
        <vt:i4>3407926</vt:i4>
      </vt:variant>
      <vt:variant>
        <vt:i4>18</vt:i4>
      </vt:variant>
      <vt:variant>
        <vt:i4>0</vt:i4>
      </vt:variant>
      <vt:variant>
        <vt:i4>5</vt:i4>
      </vt:variant>
      <vt:variant>
        <vt:lpwstr>https://www.colombiacompra.gov.co/pqrsd/informacion-importante-antes-de-formular-una-pqrsd</vt:lpwstr>
      </vt:variant>
      <vt:variant>
        <vt:lpwstr/>
      </vt:variant>
      <vt:variant>
        <vt:i4>4980779</vt:i4>
      </vt:variant>
      <vt:variant>
        <vt:i4>15</vt:i4>
      </vt:variant>
      <vt:variant>
        <vt:i4>0</vt:i4>
      </vt:variant>
      <vt:variant>
        <vt:i4>5</vt:i4>
      </vt:variant>
      <vt:variant>
        <vt:lpwstr>mailto:ventanilladeradicacion@colombiacompra.gov.co</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6488146</vt:i4>
      </vt:variant>
      <vt:variant>
        <vt:i4>0</vt:i4>
      </vt:variant>
      <vt:variant>
        <vt:i4>0</vt:i4>
      </vt:variant>
      <vt:variant>
        <vt:i4>5</vt:i4>
      </vt:variant>
      <vt:variant>
        <vt:lpwstr>mailto:jgalvisg@yahoo.com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5</cp:revision>
  <cp:lastPrinted>2023-01-10T21:18:00Z</cp:lastPrinted>
  <dcterms:created xsi:type="dcterms:W3CDTF">2026-04-21T15:22:00Z</dcterms:created>
  <dcterms:modified xsi:type="dcterms:W3CDTF">2026-04-21T15:27:00Z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