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4D24C" w14:textId="77777777" w:rsidR="00A50F4E" w:rsidRPr="008D494D" w:rsidRDefault="00A50F4E" w:rsidP="00A50F4E">
      <w:pPr>
        <w:jc w:val="right"/>
        <w:rPr>
          <w:rFonts w:ascii="Arial" w:hAnsi="Arial" w:cs="Arial"/>
          <w:b/>
          <w:sz w:val="16"/>
          <w:szCs w:val="16"/>
          <w:lang w:eastAsia="es-ES"/>
        </w:rPr>
      </w:pPr>
      <w:bookmarkStart w:id="0" w:name="_Hlk34141372"/>
      <w:bookmarkStart w:id="1" w:name="_Hlk28946138"/>
      <w:bookmarkStart w:id="2" w:name="_Hlk29548183"/>
      <w:bookmarkStart w:id="3" w:name="_Hlk29890381"/>
      <w:bookmarkEnd w:id="0"/>
      <w:r w:rsidRPr="008D494D">
        <w:rPr>
          <w:rFonts w:ascii="Arial" w:hAnsi="Arial" w:cs="Arial"/>
          <w:b/>
          <w:sz w:val="16"/>
          <w:szCs w:val="16"/>
          <w:lang w:eastAsia="es-ES"/>
        </w:rPr>
        <w:t>CCE-DES-FM-17</w:t>
      </w:r>
    </w:p>
    <w:bookmarkEnd w:id="1"/>
    <w:bookmarkEnd w:id="2"/>
    <w:p w14:paraId="39D45E3D" w14:textId="77777777" w:rsidR="00A50F4E" w:rsidRPr="00F8583D" w:rsidRDefault="00A50F4E" w:rsidP="00A50F4E">
      <w:pPr>
        <w:jc w:val="both"/>
        <w:rPr>
          <w:rFonts w:ascii="Arial" w:eastAsia="Calibri" w:hAnsi="Arial" w:cs="Arial"/>
          <w:sz w:val="20"/>
          <w:szCs w:val="20"/>
          <w:highlight w:val="yellow"/>
          <w:lang w:val="es-ES"/>
        </w:rPr>
      </w:pPr>
    </w:p>
    <w:p w14:paraId="23301F95" w14:textId="77777777" w:rsidR="00A50F4E" w:rsidRPr="008867D2" w:rsidRDefault="00A50F4E" w:rsidP="00A50F4E">
      <w:pPr>
        <w:jc w:val="both"/>
        <w:rPr>
          <w:rFonts w:ascii="Arial" w:eastAsia="Calibri" w:hAnsi="Arial" w:cs="Arial"/>
          <w:b/>
          <w:sz w:val="22"/>
        </w:rPr>
      </w:pPr>
      <w:r w:rsidRPr="008867D2">
        <w:rPr>
          <w:rFonts w:ascii="Arial" w:eastAsia="Calibri" w:hAnsi="Arial" w:cs="Arial"/>
          <w:b/>
          <w:sz w:val="22"/>
        </w:rPr>
        <w:t>INDÍGENAS – Asociaciones de cabildos – Asociaciones de autoridades tradicionales indígenas – Naturaleza jurídica</w:t>
      </w:r>
    </w:p>
    <w:p w14:paraId="08385AF1" w14:textId="77777777" w:rsidR="00A50F4E" w:rsidRPr="008867D2" w:rsidRDefault="00A50F4E" w:rsidP="00A50F4E">
      <w:pPr>
        <w:jc w:val="both"/>
        <w:rPr>
          <w:rFonts w:ascii="Arial" w:hAnsi="Arial" w:cs="Arial"/>
          <w:sz w:val="22"/>
        </w:rPr>
      </w:pPr>
    </w:p>
    <w:p w14:paraId="750591C9" w14:textId="77777777" w:rsidR="00A50F4E" w:rsidRPr="008867D2" w:rsidRDefault="00A50F4E" w:rsidP="00A50F4E">
      <w:pPr>
        <w:jc w:val="both"/>
        <w:rPr>
          <w:rFonts w:ascii="Arial" w:eastAsia="Calibri" w:hAnsi="Arial" w:cs="Arial"/>
          <w:sz w:val="20"/>
          <w:szCs w:val="20"/>
          <w:lang w:val="es-ES"/>
        </w:rPr>
      </w:pPr>
      <w:r w:rsidRPr="008867D2">
        <w:rPr>
          <w:rFonts w:ascii="Arial" w:eastAsia="Calibri" w:hAnsi="Arial" w:cs="Arial"/>
          <w:sz w:val="20"/>
          <w:szCs w:val="20"/>
        </w:rP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14:paraId="71B6BBBC" w14:textId="77777777" w:rsidR="00A50F4E" w:rsidRPr="008867D2" w:rsidRDefault="00A50F4E" w:rsidP="00A50F4E">
      <w:pPr>
        <w:pStyle w:val="Prrafodelista"/>
        <w:ind w:left="0"/>
        <w:jc w:val="both"/>
        <w:rPr>
          <w:rFonts w:ascii="Arial" w:eastAsia="Calibri" w:hAnsi="Arial" w:cs="Arial"/>
          <w:sz w:val="20"/>
          <w:szCs w:val="20"/>
        </w:rPr>
      </w:pPr>
    </w:p>
    <w:p w14:paraId="0A4D14E9" w14:textId="77777777" w:rsidR="00A50F4E" w:rsidRPr="008867D2" w:rsidRDefault="00A50F4E" w:rsidP="00A50F4E">
      <w:pPr>
        <w:pStyle w:val="Prrafodelista"/>
        <w:ind w:left="0"/>
        <w:jc w:val="both"/>
        <w:rPr>
          <w:rFonts w:ascii="Arial" w:eastAsia="Calibri" w:hAnsi="Arial" w:cs="Arial"/>
          <w:b/>
          <w:sz w:val="22"/>
          <w:szCs w:val="20"/>
        </w:rPr>
      </w:pPr>
      <w:r w:rsidRPr="008867D2">
        <w:rPr>
          <w:rFonts w:ascii="Arial" w:eastAsia="Calibri" w:hAnsi="Arial" w:cs="Arial"/>
          <w:b/>
          <w:sz w:val="22"/>
        </w:rPr>
        <w:t>INDÍGENAS</w:t>
      </w:r>
      <w:r w:rsidRPr="008867D2">
        <w:rPr>
          <w:rFonts w:ascii="Arial" w:eastAsia="Calibri" w:hAnsi="Arial" w:cs="Arial"/>
          <w:b/>
          <w:sz w:val="22"/>
          <w:szCs w:val="20"/>
        </w:rPr>
        <w:t xml:space="preserve"> – Territorios</w:t>
      </w:r>
    </w:p>
    <w:p w14:paraId="4A27DAA1" w14:textId="77777777" w:rsidR="00A50F4E" w:rsidRPr="008867D2" w:rsidRDefault="00A50F4E" w:rsidP="00A50F4E">
      <w:pPr>
        <w:jc w:val="both"/>
        <w:rPr>
          <w:rFonts w:ascii="Arial" w:eastAsia="Calibri" w:hAnsi="Arial" w:cs="Arial"/>
          <w:sz w:val="20"/>
          <w:szCs w:val="20"/>
        </w:rPr>
      </w:pPr>
    </w:p>
    <w:p w14:paraId="75FB1DDD" w14:textId="2BE717C0" w:rsidR="00A50F4E" w:rsidRPr="008867D2" w:rsidRDefault="00A50F4E" w:rsidP="00ED4660">
      <w:pPr>
        <w:spacing w:after="120"/>
        <w:jc w:val="both"/>
        <w:rPr>
          <w:rFonts w:ascii="Arial" w:eastAsia="Calibri" w:hAnsi="Arial" w:cs="Arial"/>
          <w:sz w:val="20"/>
          <w:szCs w:val="20"/>
        </w:rPr>
      </w:pPr>
      <w:r w:rsidRPr="008867D2">
        <w:rPr>
          <w:rFonts w:ascii="Arial" w:eastAsia="Calibri" w:hAnsi="Arial" w:cs="Arial"/>
          <w:sz w:val="20"/>
          <w:szCs w:val="20"/>
        </w:rPr>
        <w:t xml:space="preserve">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14:paraId="3DB59D26" w14:textId="77777777" w:rsidR="00A50F4E" w:rsidRPr="008867D2" w:rsidRDefault="00A50F4E" w:rsidP="00ED4660">
      <w:pPr>
        <w:jc w:val="both"/>
        <w:rPr>
          <w:rFonts w:ascii="Arial" w:eastAsia="Calibri" w:hAnsi="Arial" w:cs="Arial"/>
          <w:sz w:val="20"/>
          <w:szCs w:val="20"/>
        </w:rPr>
      </w:pPr>
      <w:r w:rsidRPr="008867D2">
        <w:rPr>
          <w:rFonts w:ascii="Arial" w:eastAsia="Calibri" w:hAnsi="Arial" w:cs="Arial"/>
          <w:sz w:val="20"/>
          <w:szCs w:val="20"/>
        </w:rPr>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w:t>
      </w:r>
    </w:p>
    <w:p w14:paraId="7B5A8A00" w14:textId="77777777" w:rsidR="00A50F4E" w:rsidRPr="008867D2" w:rsidRDefault="00A50F4E" w:rsidP="00ED4660">
      <w:pPr>
        <w:jc w:val="both"/>
        <w:rPr>
          <w:rFonts w:ascii="Arial" w:eastAsia="Calibri" w:hAnsi="Arial" w:cs="Arial"/>
          <w:b/>
          <w:sz w:val="22"/>
        </w:rPr>
      </w:pPr>
    </w:p>
    <w:p w14:paraId="5B6D21FA" w14:textId="77777777" w:rsidR="00A50F4E" w:rsidRPr="008867D2" w:rsidRDefault="00A50F4E" w:rsidP="00ED4660">
      <w:pPr>
        <w:jc w:val="both"/>
        <w:rPr>
          <w:rFonts w:ascii="Arial" w:hAnsi="Arial" w:cs="Arial"/>
          <w:b/>
          <w:sz w:val="22"/>
        </w:rPr>
      </w:pPr>
      <w:r w:rsidRPr="008867D2">
        <w:rPr>
          <w:rFonts w:ascii="Arial" w:eastAsia="Calibri" w:hAnsi="Arial" w:cs="Arial"/>
          <w:b/>
          <w:sz w:val="22"/>
        </w:rPr>
        <w:t>CONVENIO SOLIDARIO – Autorización – Partes</w:t>
      </w:r>
    </w:p>
    <w:p w14:paraId="04BD56F4" w14:textId="77777777" w:rsidR="00A50F4E" w:rsidRPr="008867D2" w:rsidRDefault="00A50F4E" w:rsidP="00ED4660">
      <w:pPr>
        <w:jc w:val="both"/>
        <w:rPr>
          <w:rFonts w:ascii="Arial" w:hAnsi="Arial" w:cs="Arial"/>
          <w:sz w:val="22"/>
        </w:rPr>
      </w:pPr>
    </w:p>
    <w:p w14:paraId="6EBD8E07" w14:textId="77777777" w:rsidR="00A50F4E" w:rsidRPr="008867D2" w:rsidRDefault="00A50F4E" w:rsidP="00A50F4E">
      <w:pPr>
        <w:jc w:val="both"/>
        <w:rPr>
          <w:rFonts w:ascii="Arial" w:eastAsia="Calibri" w:hAnsi="Arial" w:cs="Arial"/>
          <w:sz w:val="20"/>
        </w:rPr>
      </w:pPr>
      <w:r w:rsidRPr="008867D2">
        <w:rPr>
          <w:rFonts w:ascii="Arial" w:eastAsia="Calibri" w:hAnsi="Arial" w:cs="Arial"/>
          <w:sz w:val="20"/>
        </w:rPr>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14:paraId="78FE9601" w14:textId="77777777" w:rsidR="00A50F4E" w:rsidRPr="008867D2" w:rsidRDefault="00A50F4E" w:rsidP="00A50F4E">
      <w:pPr>
        <w:jc w:val="both"/>
        <w:rPr>
          <w:rFonts w:ascii="Arial" w:eastAsia="Calibri" w:hAnsi="Arial" w:cs="Arial"/>
          <w:sz w:val="20"/>
        </w:rPr>
      </w:pPr>
    </w:p>
    <w:p w14:paraId="59CDA11E" w14:textId="77777777" w:rsidR="00A50F4E" w:rsidRPr="008867D2" w:rsidRDefault="00A50F4E" w:rsidP="00A50F4E">
      <w:pPr>
        <w:jc w:val="both"/>
        <w:rPr>
          <w:rFonts w:ascii="Arial" w:eastAsia="Calibri" w:hAnsi="Arial" w:cs="Arial"/>
          <w:b/>
          <w:sz w:val="22"/>
        </w:rPr>
      </w:pPr>
      <w:r w:rsidRPr="008867D2">
        <w:rPr>
          <w:rFonts w:ascii="Arial" w:eastAsia="Calibri" w:hAnsi="Arial" w:cs="Arial"/>
          <w:b/>
          <w:sz w:val="22"/>
        </w:rPr>
        <w:t>INDÍGENAS – Resguardos</w:t>
      </w:r>
    </w:p>
    <w:p w14:paraId="40AAE65F" w14:textId="77777777" w:rsidR="00A50F4E" w:rsidRPr="008867D2" w:rsidRDefault="00A50F4E" w:rsidP="00A50F4E">
      <w:pPr>
        <w:jc w:val="both"/>
        <w:rPr>
          <w:rFonts w:ascii="Arial" w:hAnsi="Arial" w:cs="Arial"/>
          <w:sz w:val="22"/>
        </w:rPr>
      </w:pPr>
    </w:p>
    <w:p w14:paraId="034E5F88" w14:textId="4137BDA0" w:rsidR="008D494D" w:rsidRPr="008867D2" w:rsidRDefault="00A50F4E" w:rsidP="008D494D">
      <w:pPr>
        <w:spacing w:after="120"/>
        <w:jc w:val="both"/>
        <w:rPr>
          <w:rFonts w:ascii="Arial" w:eastAsia="Calibri" w:hAnsi="Arial" w:cs="Arial"/>
          <w:sz w:val="20"/>
        </w:rPr>
      </w:pPr>
      <w:r w:rsidRPr="008867D2">
        <w:rPr>
          <w:rFonts w:ascii="Arial" w:eastAsia="Calibri" w:hAnsi="Arial" w:cs="Arial"/>
          <w:sz w:val="20"/>
        </w:rPr>
        <w:t xml:space="preserve">Posteriormente, en 2014, se expidió el Decreto 1953, «Por el cual se crea un régimen especial con el fin de poner en funcionamiento los Territorios Indígenas respecto de la administración de los sistemas propios de los pueblos indígenas hasta que el Congreso expida la ley de </w:t>
      </w:r>
      <w:proofErr w:type="spellStart"/>
      <w:r w:rsidRPr="008867D2">
        <w:rPr>
          <w:rFonts w:ascii="Arial" w:eastAsia="Calibri" w:hAnsi="Arial" w:cs="Arial"/>
          <w:sz w:val="20"/>
        </w:rPr>
        <w:t>que</w:t>
      </w:r>
      <w:proofErr w:type="spellEnd"/>
      <w:r w:rsidRPr="008867D2">
        <w:rPr>
          <w:rFonts w:ascii="Arial" w:eastAsia="Calibri" w:hAnsi="Arial" w:cs="Arial"/>
          <w:sz w:val="20"/>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05D5BB00" w14:textId="77777777" w:rsidR="00A50F4E" w:rsidRPr="008867D2" w:rsidRDefault="00A50F4E" w:rsidP="00ED4660">
      <w:pPr>
        <w:jc w:val="both"/>
        <w:rPr>
          <w:rFonts w:ascii="Arial" w:hAnsi="Arial" w:cs="Arial"/>
        </w:rPr>
      </w:pPr>
      <w:r w:rsidRPr="008867D2">
        <w:rPr>
          <w:rFonts w:ascii="Arial" w:eastAsia="Calibri" w:hAnsi="Arial" w:cs="Arial"/>
          <w:sz w:val="20"/>
        </w:rPr>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r w:rsidRPr="008867D2">
        <w:rPr>
          <w:rFonts w:ascii="Arial" w:hAnsi="Arial" w:cs="Arial"/>
        </w:rPr>
        <w:t xml:space="preserve"> </w:t>
      </w:r>
    </w:p>
    <w:p w14:paraId="73739D61" w14:textId="77777777" w:rsidR="00A50F4E" w:rsidRPr="008867D2" w:rsidRDefault="00A50F4E" w:rsidP="00ED4660">
      <w:pPr>
        <w:jc w:val="both"/>
        <w:rPr>
          <w:rFonts w:ascii="Arial" w:eastAsia="Calibri" w:hAnsi="Arial" w:cs="Arial"/>
          <w:b/>
          <w:sz w:val="22"/>
        </w:rPr>
      </w:pPr>
    </w:p>
    <w:p w14:paraId="2AE51040" w14:textId="4751C4DE" w:rsidR="00A50F4E" w:rsidRPr="008867D2" w:rsidRDefault="00A50F4E" w:rsidP="00ED4660">
      <w:pPr>
        <w:jc w:val="both"/>
        <w:rPr>
          <w:rFonts w:ascii="Arial" w:eastAsia="Calibri" w:hAnsi="Arial" w:cs="Arial"/>
          <w:b/>
          <w:sz w:val="22"/>
        </w:rPr>
      </w:pPr>
      <w:r w:rsidRPr="008867D2">
        <w:rPr>
          <w:rFonts w:ascii="Arial" w:eastAsia="Calibri" w:hAnsi="Arial" w:cs="Arial"/>
          <w:b/>
          <w:sz w:val="22"/>
        </w:rPr>
        <w:t>INDÍGENAS – Organizaciones – Capacidad para contratar</w:t>
      </w:r>
    </w:p>
    <w:p w14:paraId="30AD29F0" w14:textId="77777777" w:rsidR="00A50F4E" w:rsidRPr="008867D2" w:rsidRDefault="00A50F4E" w:rsidP="00A50F4E">
      <w:pPr>
        <w:jc w:val="both"/>
        <w:rPr>
          <w:rFonts w:ascii="Arial" w:hAnsi="Arial" w:cs="Arial"/>
        </w:rPr>
      </w:pPr>
    </w:p>
    <w:p w14:paraId="7E2EA8FC" w14:textId="77777777" w:rsidR="00A50F4E" w:rsidRPr="00F8583D" w:rsidRDefault="00A50F4E" w:rsidP="00A50F4E">
      <w:pPr>
        <w:jc w:val="both"/>
        <w:rPr>
          <w:rFonts w:ascii="Arial" w:eastAsia="Calibri" w:hAnsi="Arial" w:cs="Arial"/>
          <w:sz w:val="20"/>
          <w:szCs w:val="20"/>
          <w:lang w:val="es-ES"/>
        </w:rPr>
      </w:pPr>
      <w:r w:rsidRPr="008867D2">
        <w:rPr>
          <w:rFonts w:ascii="Arial" w:eastAsia="Calibri" w:hAnsi="Arial" w:cs="Arial"/>
          <w:sz w:val="20"/>
        </w:rPr>
        <w:t>A la normativa analizada se adiciona ahora el Decreto autónomo No. 252 de 2020, expedido por el Gobierno Nacional, que adicionó al Decreto 1088 de 1993, que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5F15D2B7" w14:textId="77777777" w:rsidR="00A50F4E" w:rsidRPr="00F8583D" w:rsidRDefault="00A50F4E" w:rsidP="00A50F4E">
      <w:pPr>
        <w:rPr>
          <w:rFonts w:ascii="Arial" w:hAnsi="Arial" w:cs="Arial"/>
          <w:sz w:val="22"/>
          <w:szCs w:val="24"/>
        </w:rPr>
      </w:pPr>
    </w:p>
    <w:p w14:paraId="6341AA65" w14:textId="77777777" w:rsidR="00A50F4E" w:rsidRPr="00F8583D" w:rsidRDefault="00A50F4E" w:rsidP="00A50F4E">
      <w:pPr>
        <w:rPr>
          <w:rFonts w:ascii="Arial" w:hAnsi="Arial" w:cs="Arial"/>
          <w:sz w:val="22"/>
          <w:szCs w:val="24"/>
        </w:rPr>
      </w:pPr>
    </w:p>
    <w:p w14:paraId="6932BE74" w14:textId="66D27C3F" w:rsidR="00A50F4E" w:rsidRPr="00F8583D" w:rsidRDefault="00A50F4E" w:rsidP="008D494D">
      <w:pPr>
        <w:pStyle w:val="Default"/>
        <w:rPr>
          <w:b/>
          <w:sz w:val="22"/>
          <w:lang w:val="es-ES"/>
        </w:rPr>
      </w:pPr>
      <w:r w:rsidRPr="00F8583D">
        <w:rPr>
          <w:sz w:val="22"/>
          <w:lang w:val="es-ES"/>
        </w:rPr>
        <w:t xml:space="preserve">Bogotá D.C., </w:t>
      </w:r>
      <w:r w:rsidR="002901A0">
        <w:rPr>
          <w:b/>
          <w:sz w:val="22"/>
          <w:lang w:val="es-ES"/>
        </w:rPr>
        <w:t>22/07/2020</w:t>
      </w:r>
      <w:r w:rsidR="008D494D">
        <w:t xml:space="preserve"> </w:t>
      </w:r>
      <w:r w:rsidR="008D494D">
        <w:rPr>
          <w:b/>
          <w:bCs/>
          <w:sz w:val="22"/>
          <w:szCs w:val="22"/>
        </w:rPr>
        <w:t>Hora 19:9:34s</w:t>
      </w:r>
    </w:p>
    <w:p w14:paraId="5AC15935" w14:textId="3BF70C1D" w:rsidR="00A50F4E" w:rsidRPr="00F8583D" w:rsidRDefault="00A50F4E" w:rsidP="00A50F4E">
      <w:pPr>
        <w:spacing w:line="276" w:lineRule="auto"/>
        <w:jc w:val="right"/>
        <w:rPr>
          <w:rFonts w:ascii="Arial" w:hAnsi="Arial" w:cs="Arial"/>
          <w:b/>
          <w:sz w:val="22"/>
          <w:lang w:val="es-ES"/>
        </w:rPr>
      </w:pPr>
      <w:proofErr w:type="spellStart"/>
      <w:r w:rsidRPr="00F8583D">
        <w:rPr>
          <w:rFonts w:ascii="Arial" w:hAnsi="Arial" w:cs="Arial"/>
          <w:b/>
          <w:sz w:val="22"/>
          <w:lang w:val="es-ES"/>
        </w:rPr>
        <w:t>N°</w:t>
      </w:r>
      <w:proofErr w:type="spellEnd"/>
      <w:r w:rsidRPr="00F8583D">
        <w:rPr>
          <w:rFonts w:ascii="Arial" w:hAnsi="Arial" w:cs="Arial"/>
          <w:b/>
          <w:sz w:val="22"/>
          <w:lang w:val="es-ES"/>
        </w:rPr>
        <w:t xml:space="preserve"> Radicado: </w:t>
      </w:r>
      <w:r w:rsidR="002901A0" w:rsidRPr="002901A0">
        <w:rPr>
          <w:rFonts w:ascii="Arial" w:hAnsi="Arial" w:cs="Arial"/>
          <w:b/>
          <w:sz w:val="22"/>
          <w:lang w:val="es-ES"/>
        </w:rPr>
        <w:t>2202013000006517</w:t>
      </w:r>
    </w:p>
    <w:p w14:paraId="468823C4" w14:textId="77777777" w:rsidR="00A50F4E" w:rsidRPr="00F8583D" w:rsidRDefault="00A50F4E" w:rsidP="00A50F4E">
      <w:pPr>
        <w:rPr>
          <w:rFonts w:ascii="Arial" w:eastAsia="Calibri" w:hAnsi="Arial" w:cs="Arial"/>
          <w:sz w:val="22"/>
        </w:rPr>
      </w:pPr>
    </w:p>
    <w:p w14:paraId="6FD0E40D" w14:textId="77777777" w:rsidR="00A50F4E" w:rsidRPr="00F8583D" w:rsidRDefault="00A50F4E" w:rsidP="00A50F4E">
      <w:pPr>
        <w:rPr>
          <w:rFonts w:ascii="Arial" w:eastAsia="Calibri" w:hAnsi="Arial" w:cs="Arial"/>
          <w:sz w:val="22"/>
        </w:rPr>
      </w:pPr>
      <w:r w:rsidRPr="00F8583D">
        <w:rPr>
          <w:rFonts w:ascii="Arial" w:eastAsia="Calibri" w:hAnsi="Arial" w:cs="Arial"/>
          <w:sz w:val="22"/>
        </w:rPr>
        <w:t>Señor</w:t>
      </w:r>
    </w:p>
    <w:p w14:paraId="3BC9BC5C" w14:textId="77777777" w:rsidR="00A50F4E" w:rsidRPr="00F8583D" w:rsidRDefault="00A50F4E" w:rsidP="00A50F4E">
      <w:pPr>
        <w:rPr>
          <w:rFonts w:ascii="Arial" w:eastAsia="Calibri" w:hAnsi="Arial" w:cs="Arial"/>
          <w:b/>
          <w:sz w:val="22"/>
        </w:rPr>
      </w:pPr>
      <w:r w:rsidRPr="00F8583D">
        <w:rPr>
          <w:rFonts w:ascii="Arial" w:eastAsia="Calibri" w:hAnsi="Arial" w:cs="Arial"/>
          <w:b/>
          <w:sz w:val="22"/>
        </w:rPr>
        <w:t>Wilmer Narváez</w:t>
      </w:r>
    </w:p>
    <w:p w14:paraId="454BF628" w14:textId="77777777" w:rsidR="00A50F4E" w:rsidRPr="00F8583D" w:rsidRDefault="00A50F4E" w:rsidP="00A50F4E">
      <w:pPr>
        <w:rPr>
          <w:rFonts w:ascii="Arial" w:eastAsia="Calibri" w:hAnsi="Arial" w:cs="Arial"/>
          <w:sz w:val="22"/>
        </w:rPr>
      </w:pPr>
      <w:r w:rsidRPr="00F8583D">
        <w:rPr>
          <w:rFonts w:ascii="Arial" w:eastAsia="Calibri" w:hAnsi="Arial" w:cs="Arial"/>
          <w:sz w:val="22"/>
        </w:rPr>
        <w:t>Ciudad</w:t>
      </w:r>
    </w:p>
    <w:p w14:paraId="0E2F231E" w14:textId="77777777" w:rsidR="00A50F4E" w:rsidRPr="00F8583D" w:rsidRDefault="00A50F4E" w:rsidP="00A50F4E">
      <w:pPr>
        <w:jc w:val="center"/>
        <w:rPr>
          <w:rFonts w:ascii="Arial" w:eastAsia="Calibri" w:hAnsi="Arial" w:cs="Arial"/>
          <w:b/>
          <w:bCs/>
          <w:sz w:val="22"/>
        </w:rPr>
      </w:pPr>
    </w:p>
    <w:p w14:paraId="4162ED6C" w14:textId="77777777" w:rsidR="00A50F4E" w:rsidRPr="00F8583D" w:rsidRDefault="00A50F4E" w:rsidP="00A50F4E">
      <w:pPr>
        <w:jc w:val="center"/>
        <w:rPr>
          <w:rFonts w:ascii="Arial" w:eastAsia="Calibri" w:hAnsi="Arial" w:cs="Arial"/>
          <w:b/>
          <w:bCs/>
          <w:sz w:val="22"/>
        </w:rPr>
      </w:pPr>
      <w:r w:rsidRPr="00F8583D">
        <w:rPr>
          <w:rFonts w:ascii="Arial" w:eastAsia="Calibri" w:hAnsi="Arial" w:cs="Arial"/>
          <w:b/>
          <w:bCs/>
          <w:sz w:val="22"/>
        </w:rPr>
        <w:t>Concepto C ‒ 361 de 2020</w:t>
      </w:r>
    </w:p>
    <w:p w14:paraId="0B3B1291" w14:textId="77777777" w:rsidR="00A50F4E" w:rsidRPr="00F8583D" w:rsidRDefault="00A50F4E" w:rsidP="00A50F4E">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50F4E" w:rsidRPr="00F8583D" w14:paraId="4E285FA5" w14:textId="77777777" w:rsidTr="005463F8">
        <w:tc>
          <w:tcPr>
            <w:tcW w:w="2689" w:type="dxa"/>
          </w:tcPr>
          <w:p w14:paraId="7443FF57" w14:textId="77777777" w:rsidR="00A50F4E" w:rsidRPr="00F8583D" w:rsidRDefault="00A50F4E" w:rsidP="005463F8">
            <w:pPr>
              <w:rPr>
                <w:rFonts w:ascii="Arial" w:eastAsia="Calibri" w:hAnsi="Arial" w:cs="Arial"/>
                <w:b/>
                <w:sz w:val="22"/>
              </w:rPr>
            </w:pPr>
          </w:p>
          <w:p w14:paraId="6FA7B56C" w14:textId="77777777" w:rsidR="00A50F4E" w:rsidRPr="00F8583D" w:rsidRDefault="00A50F4E" w:rsidP="005463F8">
            <w:pPr>
              <w:rPr>
                <w:rFonts w:ascii="Arial" w:eastAsia="Calibri" w:hAnsi="Arial" w:cs="Arial"/>
                <w:sz w:val="22"/>
              </w:rPr>
            </w:pPr>
            <w:r w:rsidRPr="00F8583D">
              <w:rPr>
                <w:rFonts w:ascii="Arial" w:eastAsia="Calibri" w:hAnsi="Arial" w:cs="Arial"/>
                <w:b/>
                <w:sz w:val="22"/>
              </w:rPr>
              <w:t>Temas:</w:t>
            </w:r>
            <w:r w:rsidRPr="00F8583D">
              <w:rPr>
                <w:rFonts w:ascii="Arial" w:eastAsia="Calibri" w:hAnsi="Arial" w:cs="Arial"/>
                <w:sz w:val="22"/>
              </w:rPr>
              <w:t xml:space="preserve">                                      </w:t>
            </w:r>
          </w:p>
        </w:tc>
        <w:tc>
          <w:tcPr>
            <w:tcW w:w="6237" w:type="dxa"/>
            <w:hideMark/>
          </w:tcPr>
          <w:p w14:paraId="0FE7E427" w14:textId="77777777" w:rsidR="00A50F4E" w:rsidRPr="00F8583D" w:rsidRDefault="00A50F4E" w:rsidP="005463F8">
            <w:pPr>
              <w:jc w:val="both"/>
              <w:rPr>
                <w:rFonts w:ascii="Arial" w:eastAsia="Calibri" w:hAnsi="Arial" w:cs="Arial"/>
                <w:sz w:val="22"/>
              </w:rPr>
            </w:pPr>
            <w:r w:rsidRPr="008867D2">
              <w:rPr>
                <w:rFonts w:ascii="Arial" w:eastAsia="Calibri" w:hAnsi="Arial" w:cs="Arial"/>
                <w:sz w:val="22"/>
              </w:rPr>
              <w:t>INDÍGENAS – Asociaciones de cabildos – Asociaciones de autoridades tradicionales indígenas – Naturaleza jurídica / INDÍGENAS – Territorios / CONVENIO SOLIDARIO – Autorización – Partes / INDÍGENAS – Resguardos / INDÍGENAS – Organizaciones  – Capacidad para contratar</w:t>
            </w:r>
          </w:p>
        </w:tc>
      </w:tr>
      <w:tr w:rsidR="00A50F4E" w:rsidRPr="00F8583D" w14:paraId="78AF01E5" w14:textId="77777777" w:rsidTr="005463F8">
        <w:tc>
          <w:tcPr>
            <w:tcW w:w="2689" w:type="dxa"/>
            <w:hideMark/>
          </w:tcPr>
          <w:p w14:paraId="7DEA0E9C" w14:textId="77777777" w:rsidR="00A50F4E" w:rsidRPr="00F8583D" w:rsidRDefault="00A50F4E" w:rsidP="005463F8">
            <w:pPr>
              <w:rPr>
                <w:rFonts w:ascii="Arial" w:eastAsia="Calibri" w:hAnsi="Arial" w:cs="Arial"/>
                <w:b/>
                <w:sz w:val="22"/>
              </w:rPr>
            </w:pPr>
            <w:r w:rsidRPr="00F8583D">
              <w:rPr>
                <w:rFonts w:ascii="Arial" w:eastAsia="Calibri" w:hAnsi="Arial" w:cs="Arial"/>
                <w:b/>
                <w:sz w:val="22"/>
              </w:rPr>
              <w:t>Radicación:</w:t>
            </w:r>
            <w:r w:rsidRPr="00F8583D">
              <w:rPr>
                <w:rFonts w:ascii="Arial" w:eastAsia="Calibri" w:hAnsi="Arial" w:cs="Arial"/>
                <w:sz w:val="22"/>
              </w:rPr>
              <w:t xml:space="preserve">                              </w:t>
            </w:r>
          </w:p>
        </w:tc>
        <w:tc>
          <w:tcPr>
            <w:tcW w:w="6237" w:type="dxa"/>
            <w:hideMark/>
          </w:tcPr>
          <w:p w14:paraId="173F766D" w14:textId="77777777" w:rsidR="00A50F4E" w:rsidRPr="00F8583D" w:rsidRDefault="00A50F4E" w:rsidP="005463F8">
            <w:pPr>
              <w:jc w:val="both"/>
              <w:rPr>
                <w:rFonts w:ascii="Arial" w:eastAsia="Calibri" w:hAnsi="Arial" w:cs="Arial"/>
                <w:sz w:val="22"/>
              </w:rPr>
            </w:pPr>
            <w:r w:rsidRPr="00F8583D">
              <w:rPr>
                <w:rFonts w:ascii="Arial" w:eastAsia="Calibri" w:hAnsi="Arial" w:cs="Arial"/>
                <w:sz w:val="22"/>
              </w:rPr>
              <w:t>Respuesta a consultas acumuladas # 4202013000003880 y 4202013000004429</w:t>
            </w:r>
          </w:p>
        </w:tc>
      </w:tr>
    </w:tbl>
    <w:p w14:paraId="6CE8A746" w14:textId="77777777" w:rsidR="00A50F4E" w:rsidRPr="00F8583D" w:rsidRDefault="00A50F4E" w:rsidP="00A50F4E">
      <w:pPr>
        <w:jc w:val="both"/>
        <w:rPr>
          <w:rFonts w:ascii="Arial" w:eastAsia="Calibri" w:hAnsi="Arial" w:cs="Arial"/>
          <w:b/>
          <w:bCs/>
          <w:sz w:val="20"/>
          <w:szCs w:val="20"/>
        </w:rPr>
      </w:pPr>
    </w:p>
    <w:p w14:paraId="346616A6" w14:textId="77777777" w:rsidR="00A50F4E" w:rsidRPr="00F8583D" w:rsidRDefault="00A50F4E" w:rsidP="00A50F4E">
      <w:pPr>
        <w:rPr>
          <w:rFonts w:ascii="Arial" w:eastAsia="Calibri" w:hAnsi="Arial" w:cs="Arial"/>
          <w:sz w:val="22"/>
        </w:rPr>
      </w:pPr>
    </w:p>
    <w:p w14:paraId="4B7FBFA3" w14:textId="77777777" w:rsidR="00A50F4E" w:rsidRPr="00F8583D" w:rsidRDefault="00A50F4E" w:rsidP="00A50F4E">
      <w:pPr>
        <w:spacing w:line="276" w:lineRule="auto"/>
        <w:jc w:val="both"/>
        <w:rPr>
          <w:rFonts w:ascii="Arial" w:eastAsia="Calibri" w:hAnsi="Arial" w:cs="Arial"/>
          <w:sz w:val="22"/>
        </w:rPr>
      </w:pPr>
      <w:r w:rsidRPr="00F8583D">
        <w:rPr>
          <w:rFonts w:ascii="Arial" w:eastAsia="Calibri" w:hAnsi="Arial" w:cs="Arial"/>
          <w:sz w:val="22"/>
        </w:rPr>
        <w:t>Estimado señor Narváez:</w:t>
      </w:r>
    </w:p>
    <w:p w14:paraId="7EE7A82D" w14:textId="77777777" w:rsidR="00A50F4E" w:rsidRPr="00F8583D" w:rsidRDefault="00A50F4E" w:rsidP="00A50F4E">
      <w:pPr>
        <w:spacing w:line="276" w:lineRule="auto"/>
        <w:jc w:val="both"/>
        <w:rPr>
          <w:rFonts w:ascii="Arial" w:eastAsia="Calibri" w:hAnsi="Arial" w:cs="Arial"/>
          <w:sz w:val="22"/>
        </w:rPr>
      </w:pPr>
    </w:p>
    <w:p w14:paraId="182BCFFE" w14:textId="77777777" w:rsidR="00A50F4E" w:rsidRPr="00F8583D" w:rsidRDefault="00A50F4E" w:rsidP="00A50F4E">
      <w:pPr>
        <w:spacing w:line="276" w:lineRule="auto"/>
        <w:jc w:val="both"/>
        <w:rPr>
          <w:rFonts w:ascii="Arial" w:eastAsia="Calibri" w:hAnsi="Arial" w:cs="Arial"/>
          <w:b/>
          <w:sz w:val="22"/>
        </w:rPr>
      </w:pPr>
      <w:r w:rsidRPr="00F8583D">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Eficiente responde sus consultas presentadas el 18 de mayo del 2020, una de las cuales fue remitida por el Departamento Nacional de Planeación el 01 de junio de 2020 mediante radicado No. 20204200657801.</w:t>
      </w:r>
      <w:r w:rsidRPr="00F8583D">
        <w:rPr>
          <w:rFonts w:ascii="Arial" w:eastAsia="Calibri" w:hAnsi="Arial" w:cs="Arial"/>
          <w:sz w:val="22"/>
        </w:rPr>
        <w:cr/>
      </w:r>
    </w:p>
    <w:p w14:paraId="63D710AC" w14:textId="77777777" w:rsidR="00A50F4E" w:rsidRPr="00F8583D" w:rsidRDefault="00A50F4E" w:rsidP="00A50F4E">
      <w:pPr>
        <w:pStyle w:val="Prrafodelista"/>
        <w:tabs>
          <w:tab w:val="left" w:pos="0"/>
          <w:tab w:val="left" w:pos="142"/>
          <w:tab w:val="left" w:pos="284"/>
        </w:tabs>
        <w:spacing w:line="276" w:lineRule="auto"/>
        <w:ind w:left="0"/>
        <w:jc w:val="both"/>
        <w:rPr>
          <w:rFonts w:ascii="Arial" w:eastAsia="Calibri" w:hAnsi="Arial" w:cs="Arial"/>
          <w:b/>
          <w:sz w:val="22"/>
        </w:rPr>
      </w:pPr>
      <w:r w:rsidRPr="00F8583D">
        <w:rPr>
          <w:rFonts w:ascii="Arial" w:eastAsia="Calibri" w:hAnsi="Arial" w:cs="Arial"/>
          <w:b/>
          <w:sz w:val="22"/>
        </w:rPr>
        <w:t>1. Problemas planteados</w:t>
      </w:r>
    </w:p>
    <w:p w14:paraId="4CA788AD" w14:textId="77777777" w:rsidR="00A50F4E" w:rsidRPr="00F8583D" w:rsidRDefault="00A50F4E" w:rsidP="00A50F4E">
      <w:pPr>
        <w:tabs>
          <w:tab w:val="left" w:pos="426"/>
        </w:tabs>
        <w:spacing w:line="276" w:lineRule="auto"/>
        <w:jc w:val="both"/>
        <w:rPr>
          <w:rFonts w:ascii="Arial" w:eastAsia="Calibri" w:hAnsi="Arial" w:cs="Arial"/>
          <w:b/>
          <w:sz w:val="22"/>
        </w:rPr>
      </w:pPr>
    </w:p>
    <w:p w14:paraId="523327CB" w14:textId="77777777" w:rsidR="00A50F4E" w:rsidRPr="00F8583D" w:rsidRDefault="00A50F4E" w:rsidP="00A50F4E">
      <w:pPr>
        <w:tabs>
          <w:tab w:val="left" w:pos="426"/>
        </w:tabs>
        <w:spacing w:line="276" w:lineRule="auto"/>
        <w:jc w:val="both"/>
        <w:rPr>
          <w:rFonts w:ascii="Arial" w:eastAsia="Calibri" w:hAnsi="Arial" w:cs="Arial"/>
          <w:sz w:val="22"/>
        </w:rPr>
      </w:pPr>
      <w:bookmarkStart w:id="4" w:name="_Hlk45491920"/>
      <w:r w:rsidRPr="00F8583D">
        <w:rPr>
          <w:rFonts w:ascii="Arial" w:eastAsia="Calibri" w:hAnsi="Arial" w:cs="Arial"/>
          <w:sz w:val="22"/>
        </w:rPr>
        <w:t>Usted formuló las siguientes preguntas: «</w:t>
      </w:r>
      <w:r w:rsidRPr="00F8583D">
        <w:rPr>
          <w:rFonts w:ascii="Arial" w:hAnsi="Arial" w:cs="Arial"/>
          <w:sz w:val="22"/>
        </w:rPr>
        <w:t xml:space="preserve">[…] </w:t>
      </w:r>
      <w:r w:rsidRPr="00F8583D">
        <w:rPr>
          <w:rFonts w:ascii="Arial" w:eastAsia="Calibri" w:hAnsi="Arial" w:cs="Arial"/>
          <w:sz w:val="22"/>
        </w:rPr>
        <w:t xml:space="preserve">1. ¿Los resguardos indígenas o cabildos indígenas, pueden contratar con un particular la construcción de un salón de eventos ancestrales, sin acudir al estatuto de contratación </w:t>
      </w:r>
      <w:proofErr w:type="spellStart"/>
      <w:r w:rsidRPr="00F8583D">
        <w:rPr>
          <w:rFonts w:ascii="Arial" w:eastAsia="Calibri" w:hAnsi="Arial" w:cs="Arial"/>
          <w:sz w:val="22"/>
        </w:rPr>
        <w:t>publica</w:t>
      </w:r>
      <w:proofErr w:type="spellEnd"/>
      <w:r w:rsidRPr="00F8583D">
        <w:rPr>
          <w:rFonts w:ascii="Arial" w:eastAsia="Calibri" w:hAnsi="Arial" w:cs="Arial"/>
          <w:sz w:val="22"/>
        </w:rPr>
        <w:t>? es decir, ¿pueden contratar de manera directa como si fueran particulares, rigiendo sus contratos con la normatividad civil o comercial?</w:t>
      </w:r>
    </w:p>
    <w:p w14:paraId="0F8A7383" w14:textId="77777777" w:rsidR="00A50F4E" w:rsidRPr="00F8583D" w:rsidRDefault="00A50F4E" w:rsidP="00A50F4E">
      <w:pPr>
        <w:tabs>
          <w:tab w:val="left" w:pos="426"/>
        </w:tabs>
        <w:spacing w:line="276" w:lineRule="auto"/>
        <w:jc w:val="both"/>
        <w:rPr>
          <w:rFonts w:ascii="Arial" w:eastAsia="Calibri" w:hAnsi="Arial" w:cs="Arial"/>
          <w:sz w:val="22"/>
        </w:rPr>
      </w:pPr>
    </w:p>
    <w:p w14:paraId="4D7E171F" w14:textId="77777777" w:rsidR="00A50F4E" w:rsidRPr="00F8583D" w:rsidRDefault="00A50F4E" w:rsidP="00A50F4E">
      <w:pPr>
        <w:tabs>
          <w:tab w:val="left" w:pos="426"/>
        </w:tabs>
        <w:spacing w:line="276" w:lineRule="auto"/>
        <w:jc w:val="both"/>
        <w:rPr>
          <w:rFonts w:ascii="Arial" w:eastAsia="Calibri" w:hAnsi="Arial" w:cs="Arial"/>
          <w:sz w:val="22"/>
        </w:rPr>
      </w:pPr>
      <w:r w:rsidRPr="00F8583D">
        <w:rPr>
          <w:rFonts w:ascii="Arial" w:eastAsia="Calibri" w:hAnsi="Arial" w:cs="Arial"/>
          <w:sz w:val="22"/>
        </w:rPr>
        <w:lastRenderedPageBreak/>
        <w:t>»2. ¿Los resguardos indígenas o Cabildos indígenas, pueden recibir donaciones de un particular para ejecutar construcciones, (caso dineros provenientes de una concesionaria)? bajo que modalidad legal podrían legalizar dichos dineros o que acuerdos o contratos deben celebrarse para ello?</w:t>
      </w:r>
    </w:p>
    <w:p w14:paraId="7949D261" w14:textId="77777777" w:rsidR="00A50F4E" w:rsidRPr="00F8583D" w:rsidRDefault="00A50F4E" w:rsidP="00A50F4E">
      <w:pPr>
        <w:tabs>
          <w:tab w:val="left" w:pos="426"/>
        </w:tabs>
        <w:spacing w:line="276" w:lineRule="auto"/>
        <w:jc w:val="both"/>
        <w:rPr>
          <w:rFonts w:ascii="Arial" w:eastAsia="Calibri" w:hAnsi="Arial" w:cs="Arial"/>
          <w:sz w:val="22"/>
        </w:rPr>
      </w:pPr>
    </w:p>
    <w:p w14:paraId="2018D671" w14:textId="77777777" w:rsidR="00A50F4E" w:rsidRPr="00F8583D" w:rsidRDefault="00A50F4E" w:rsidP="00A50F4E">
      <w:pPr>
        <w:tabs>
          <w:tab w:val="left" w:pos="426"/>
        </w:tabs>
        <w:spacing w:line="276" w:lineRule="auto"/>
        <w:jc w:val="both"/>
        <w:rPr>
          <w:rFonts w:ascii="Arial" w:eastAsia="Calibri" w:hAnsi="Arial" w:cs="Arial"/>
          <w:sz w:val="22"/>
        </w:rPr>
      </w:pPr>
      <w:r w:rsidRPr="00F8583D">
        <w:rPr>
          <w:rFonts w:ascii="Arial" w:eastAsia="Calibri" w:hAnsi="Arial" w:cs="Arial"/>
          <w:sz w:val="22"/>
        </w:rPr>
        <w:t>»3. ¿Los resguardos indígenas o cabildos, como ejecutan los dineros DISTINTOS al sistema general de participaciones? Pueden contratar con estos dineros como si fueran particulares?</w:t>
      </w:r>
    </w:p>
    <w:p w14:paraId="73E7629F" w14:textId="77777777" w:rsidR="00A50F4E" w:rsidRPr="00F8583D" w:rsidRDefault="00A50F4E" w:rsidP="00A50F4E">
      <w:pPr>
        <w:tabs>
          <w:tab w:val="left" w:pos="426"/>
        </w:tabs>
        <w:spacing w:line="276" w:lineRule="auto"/>
        <w:jc w:val="both"/>
        <w:rPr>
          <w:rFonts w:ascii="Arial" w:eastAsia="Calibri" w:hAnsi="Arial" w:cs="Arial"/>
          <w:sz w:val="22"/>
        </w:rPr>
      </w:pPr>
    </w:p>
    <w:p w14:paraId="0EBF6919" w14:textId="77777777" w:rsidR="00A50F4E" w:rsidRPr="00F8583D" w:rsidRDefault="00A50F4E" w:rsidP="00A50F4E">
      <w:pPr>
        <w:tabs>
          <w:tab w:val="left" w:pos="426"/>
        </w:tabs>
        <w:spacing w:line="276" w:lineRule="auto"/>
        <w:jc w:val="both"/>
        <w:rPr>
          <w:rFonts w:ascii="Arial" w:eastAsia="Calibri" w:hAnsi="Arial" w:cs="Arial"/>
          <w:sz w:val="22"/>
        </w:rPr>
      </w:pPr>
      <w:r w:rsidRPr="00F8583D">
        <w:rPr>
          <w:rFonts w:ascii="Arial" w:eastAsia="Calibri" w:hAnsi="Arial" w:cs="Arial"/>
          <w:sz w:val="22"/>
        </w:rPr>
        <w:t>»4. ¿Los resguardos indígenas o cabildos, deben inscribirse al SECOP, para contratar?</w:t>
      </w:r>
      <w:bookmarkEnd w:id="4"/>
      <w:r w:rsidRPr="00F8583D">
        <w:rPr>
          <w:rFonts w:ascii="Arial" w:eastAsia="Calibri" w:hAnsi="Arial" w:cs="Arial"/>
          <w:sz w:val="22"/>
        </w:rPr>
        <w:t>».</w:t>
      </w:r>
    </w:p>
    <w:p w14:paraId="602F96F5" w14:textId="77777777" w:rsidR="00A50F4E" w:rsidRPr="00F8583D" w:rsidRDefault="00A50F4E" w:rsidP="00A50F4E">
      <w:pPr>
        <w:tabs>
          <w:tab w:val="left" w:pos="426"/>
        </w:tabs>
        <w:jc w:val="both"/>
        <w:rPr>
          <w:rFonts w:ascii="Arial" w:eastAsia="Calibri" w:hAnsi="Arial" w:cs="Arial"/>
          <w:sz w:val="22"/>
        </w:rPr>
      </w:pPr>
    </w:p>
    <w:p w14:paraId="1CBF1BA8" w14:textId="77777777" w:rsidR="00A50F4E" w:rsidRPr="00F8583D" w:rsidRDefault="00A50F4E" w:rsidP="00A50F4E">
      <w:pPr>
        <w:pStyle w:val="Prrafodelista"/>
        <w:tabs>
          <w:tab w:val="left" w:pos="0"/>
          <w:tab w:val="left" w:pos="284"/>
        </w:tabs>
        <w:ind w:left="0"/>
        <w:rPr>
          <w:rFonts w:ascii="Arial" w:eastAsia="Calibri" w:hAnsi="Arial" w:cs="Arial"/>
          <w:b/>
          <w:sz w:val="22"/>
        </w:rPr>
      </w:pPr>
      <w:r w:rsidRPr="00F8583D">
        <w:rPr>
          <w:rFonts w:ascii="Arial" w:eastAsia="Calibri" w:hAnsi="Arial" w:cs="Arial"/>
          <w:b/>
          <w:sz w:val="22"/>
        </w:rPr>
        <w:t>2. Consideraciones</w:t>
      </w:r>
    </w:p>
    <w:p w14:paraId="6A94D006" w14:textId="77777777" w:rsidR="00A50F4E" w:rsidRPr="00F8583D" w:rsidRDefault="00A50F4E" w:rsidP="00A50F4E">
      <w:pPr>
        <w:pStyle w:val="Prrafodelista"/>
        <w:tabs>
          <w:tab w:val="left" w:pos="0"/>
          <w:tab w:val="left" w:pos="284"/>
        </w:tabs>
        <w:ind w:left="0"/>
        <w:rPr>
          <w:rFonts w:ascii="Arial" w:eastAsia="Calibri" w:hAnsi="Arial" w:cs="Arial"/>
          <w:b/>
          <w:sz w:val="22"/>
        </w:rPr>
      </w:pPr>
    </w:p>
    <w:p w14:paraId="69FD67C5" w14:textId="77777777" w:rsidR="00A50F4E" w:rsidRPr="00F8583D" w:rsidRDefault="00A50F4E" w:rsidP="00A50F4E">
      <w:pPr>
        <w:spacing w:after="120" w:line="276" w:lineRule="auto"/>
        <w:jc w:val="both"/>
        <w:rPr>
          <w:rFonts w:ascii="Arial" w:hAnsi="Arial" w:cs="Arial"/>
          <w:sz w:val="22"/>
          <w:lang w:val="es-ES"/>
        </w:rPr>
      </w:pPr>
      <w:r w:rsidRPr="00F8583D">
        <w:rPr>
          <w:rFonts w:ascii="Arial" w:eastAsia="Calibri" w:hAnsi="Arial" w:cs="Arial"/>
          <w:sz w:val="22"/>
        </w:rPr>
        <w:t xml:space="preserve">La Agencia Nacional de Contratación Pública ― Colombia Compra Eficiente, en el concepto con radicado No. 4201912000004171 del 11 de septiembre de 2019, reiterado y desarrollado en los conceptos No. 4201913000006260 del 03 de octubre de 2019, 4201913000005753 del 04 de octubre de 2019, 4201913000006529 del 21 de octubre de 2019, 4201913000006859 del 19 de noviembre del 2019, 4201913000007429 del 25 de noviembre de 2019 y C-235 del 13 de marzo de 2020, analizó los conceptos relacionados con indígenas, y las normas y jurisprudencia sobre la materia. </w:t>
      </w:r>
      <w:r w:rsidRPr="00F8583D">
        <w:rPr>
          <w:rFonts w:ascii="Arial" w:hAnsi="Arial" w:cs="Arial"/>
          <w:sz w:val="22"/>
          <w:lang w:val="es-ES"/>
        </w:rPr>
        <w:t>La tesis propuesta se expone a continuación.</w:t>
      </w:r>
    </w:p>
    <w:p w14:paraId="3982D87E" w14:textId="77777777" w:rsidR="00A50F4E" w:rsidRPr="00F8583D" w:rsidRDefault="00A50F4E" w:rsidP="00A50F4E">
      <w:pPr>
        <w:spacing w:after="120"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Para resolver su consulta se expondrá el marco legal aplicable a los indígenas y sus formas de organización, para determinar su capacidad contractual, específicamente, de los </w:t>
      </w:r>
      <w:proofErr w:type="gramStart"/>
      <w:r w:rsidRPr="00F8583D">
        <w:rPr>
          <w:rFonts w:ascii="Arial" w:eastAsia="Calibri" w:hAnsi="Arial" w:cs="Arial"/>
          <w:sz w:val="22"/>
          <w:lang w:val="es-ES"/>
        </w:rPr>
        <w:t>resguardos indígenas y cabildos indígenas</w:t>
      </w:r>
      <w:proofErr w:type="gramEnd"/>
      <w:r w:rsidRPr="00F8583D">
        <w:rPr>
          <w:rFonts w:ascii="Arial" w:eastAsia="Calibri" w:hAnsi="Arial" w:cs="Arial"/>
          <w:sz w:val="22"/>
          <w:lang w:val="es-ES"/>
        </w:rPr>
        <w:t>, lo cual es el objeto de sus preguntas.</w:t>
      </w:r>
    </w:p>
    <w:p w14:paraId="6BB83123" w14:textId="77777777" w:rsidR="00A50F4E" w:rsidRPr="00F8583D" w:rsidRDefault="00A50F4E" w:rsidP="00A50F4E">
      <w:pPr>
        <w:spacing w:before="120" w:line="276" w:lineRule="auto"/>
        <w:ind w:firstLine="708"/>
        <w:jc w:val="both"/>
        <w:rPr>
          <w:rFonts w:ascii="Arial" w:eastAsia="Calibri" w:hAnsi="Arial" w:cs="Arial"/>
          <w:sz w:val="22"/>
          <w:lang w:val="es-ES"/>
        </w:rPr>
      </w:pPr>
      <w:r w:rsidRPr="00F8583D">
        <w:rPr>
          <w:rFonts w:ascii="Arial" w:eastAsia="Calibri" w:hAnsi="Arial" w:cs="Arial"/>
          <w:sz w:val="22"/>
          <w:lang w:val="es-ES"/>
        </w:rPr>
        <w:t>Con la suscripción del Convenio No. 169 de 1989 «Sobre pueblos indígenas y tribales en países independientes» de la Organización Internacional del Trabajo – OIT, incorporado al bloque de constitucionalidad</w:t>
      </w:r>
      <w:r w:rsidRPr="00F8583D">
        <w:rPr>
          <w:rStyle w:val="Refdenotaalpie"/>
          <w:rFonts w:ascii="Arial" w:eastAsia="Calibri" w:hAnsi="Arial" w:cs="Arial"/>
          <w:sz w:val="22"/>
          <w:lang w:val="es-ES"/>
        </w:rPr>
        <w:footnoteReference w:id="1"/>
      </w:r>
      <w:r w:rsidRPr="00F8583D">
        <w:rPr>
          <w:rFonts w:ascii="Arial" w:eastAsia="Calibri" w:hAnsi="Arial" w:cs="Arial"/>
          <w:sz w:val="22"/>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 siguiente: </w:t>
      </w:r>
    </w:p>
    <w:p w14:paraId="144203FA" w14:textId="77777777" w:rsidR="00A50F4E" w:rsidRPr="00F8583D" w:rsidRDefault="00A50F4E" w:rsidP="00A50F4E">
      <w:pPr>
        <w:spacing w:line="276" w:lineRule="auto"/>
        <w:jc w:val="both"/>
        <w:rPr>
          <w:rFonts w:ascii="Arial" w:eastAsia="Calibri" w:hAnsi="Arial" w:cs="Arial"/>
          <w:sz w:val="22"/>
          <w:lang w:val="es-ES"/>
        </w:rPr>
      </w:pPr>
    </w:p>
    <w:p w14:paraId="439F55D4"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2.</w:t>
      </w:r>
    </w:p>
    <w:p w14:paraId="52AC6ED8" w14:textId="77777777" w:rsidR="00A50F4E" w:rsidRPr="00F8583D" w:rsidRDefault="00A50F4E" w:rsidP="00A50F4E">
      <w:pPr>
        <w:ind w:left="708" w:right="709"/>
        <w:jc w:val="both"/>
        <w:rPr>
          <w:rFonts w:ascii="Arial" w:eastAsia="Calibri" w:hAnsi="Arial" w:cs="Arial"/>
          <w:sz w:val="21"/>
          <w:szCs w:val="21"/>
          <w:lang w:val="es-ES"/>
        </w:rPr>
      </w:pPr>
    </w:p>
    <w:p w14:paraId="3C254397"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7C9EB9A4" w14:textId="77777777" w:rsidR="00A50F4E" w:rsidRPr="00F8583D" w:rsidRDefault="00A50F4E" w:rsidP="00A50F4E">
      <w:pPr>
        <w:ind w:left="708" w:right="709"/>
        <w:jc w:val="both"/>
        <w:rPr>
          <w:rFonts w:ascii="Arial" w:eastAsia="Calibri" w:hAnsi="Arial" w:cs="Arial"/>
          <w:sz w:val="21"/>
          <w:szCs w:val="21"/>
          <w:lang w:val="es-ES"/>
        </w:rPr>
      </w:pPr>
    </w:p>
    <w:p w14:paraId="7044B4D9"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2. Esta acción deberá incluir medidas:</w:t>
      </w:r>
    </w:p>
    <w:p w14:paraId="16DAD4CE" w14:textId="77777777" w:rsidR="00A50F4E" w:rsidRPr="00F8583D" w:rsidRDefault="00A50F4E" w:rsidP="00A50F4E">
      <w:pPr>
        <w:ind w:left="708" w:right="709"/>
        <w:jc w:val="both"/>
        <w:rPr>
          <w:rFonts w:ascii="Arial" w:eastAsia="Calibri" w:hAnsi="Arial" w:cs="Arial"/>
          <w:sz w:val="21"/>
          <w:szCs w:val="21"/>
          <w:lang w:val="es-ES"/>
        </w:rPr>
      </w:pPr>
    </w:p>
    <w:p w14:paraId="6422B2EF"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 Que aseguren a los miembros de dichos pueblos gozar, en pie de igualdad, de los derechos y oportunidades que la legislación nacional otorga a los demás miembros de la población;</w:t>
      </w:r>
    </w:p>
    <w:p w14:paraId="22375B56" w14:textId="77777777" w:rsidR="00A50F4E" w:rsidRPr="00F8583D" w:rsidRDefault="00A50F4E" w:rsidP="00A50F4E">
      <w:pPr>
        <w:ind w:left="708" w:right="709"/>
        <w:jc w:val="both"/>
        <w:rPr>
          <w:rFonts w:ascii="Arial" w:eastAsia="Calibri" w:hAnsi="Arial" w:cs="Arial"/>
          <w:sz w:val="21"/>
          <w:szCs w:val="21"/>
          <w:lang w:val="es-ES"/>
        </w:rPr>
      </w:pPr>
    </w:p>
    <w:p w14:paraId="40B7A3EC"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b). Que promuevan la plena efectividad de los derechos sociales, económicos y culturales de esos pueblos, respetando su identidad social y cultural, sus costumbres y tradiciones, y sus instituciones;</w:t>
      </w:r>
    </w:p>
    <w:p w14:paraId="6018589E" w14:textId="77777777" w:rsidR="00A50F4E" w:rsidRPr="00F8583D" w:rsidRDefault="00A50F4E" w:rsidP="00A50F4E">
      <w:pPr>
        <w:ind w:left="708" w:right="709"/>
        <w:jc w:val="both"/>
        <w:rPr>
          <w:rFonts w:ascii="Arial" w:eastAsia="Calibri" w:hAnsi="Arial" w:cs="Arial"/>
          <w:sz w:val="21"/>
          <w:szCs w:val="21"/>
          <w:lang w:val="es-ES"/>
        </w:rPr>
      </w:pPr>
    </w:p>
    <w:p w14:paraId="210C94F8"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7ABBB353"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0DDB7110" w14:textId="77777777" w:rsidR="00A50F4E" w:rsidRPr="00F8583D" w:rsidRDefault="00A50F4E" w:rsidP="00A50F4E">
      <w:pPr>
        <w:spacing w:after="120" w:line="276" w:lineRule="auto"/>
        <w:ind w:firstLine="680"/>
        <w:jc w:val="both"/>
        <w:rPr>
          <w:rFonts w:ascii="Arial" w:eastAsia="Calibri" w:hAnsi="Arial" w:cs="Arial"/>
          <w:sz w:val="22"/>
          <w:lang w:val="es-ES"/>
        </w:rPr>
      </w:pPr>
      <w:r w:rsidRPr="00F8583D">
        <w:rPr>
          <w:rFonts w:ascii="Arial" w:eastAsia="Calibri" w:hAnsi="Arial" w:cs="Arial"/>
          <w:sz w:val="22"/>
          <w:lang w:val="es-E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sus miembros y los demás grupos sociales.</w:t>
      </w:r>
    </w:p>
    <w:p w14:paraId="368D3AAB" w14:textId="77777777" w:rsidR="00A50F4E" w:rsidRPr="00F8583D" w:rsidRDefault="00A50F4E" w:rsidP="00A50F4E">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14:paraId="63109360"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0DF2C13D"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34EC0233" w14:textId="77777777" w:rsidR="00A50F4E" w:rsidRPr="00F8583D" w:rsidRDefault="00A50F4E" w:rsidP="00A50F4E">
      <w:pPr>
        <w:ind w:left="708" w:right="709"/>
        <w:jc w:val="both"/>
        <w:rPr>
          <w:rFonts w:ascii="Arial" w:eastAsia="Calibri" w:hAnsi="Arial" w:cs="Arial"/>
          <w:sz w:val="21"/>
          <w:szCs w:val="21"/>
          <w:lang w:val="es-ES"/>
        </w:rPr>
      </w:pPr>
    </w:p>
    <w:p w14:paraId="5D1D2B7A"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4319D611"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51360F7C" w14:textId="77777777" w:rsidR="00A50F4E" w:rsidRPr="00F8583D" w:rsidRDefault="00A50F4E" w:rsidP="00A50F4E">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lastRenderedPageBreak/>
        <w:t xml:space="preserve">Esta norma dispuso que la conformación de las entidades territoriales indígenas se realizará de acuerdo con lo indicado en la Ley de Ordenamiento Territorial, no obstante, mientras esa ley es expedida por el Congreso de la República, la Constitución dispuso un mecanismo para poner en funcionamiento los territorios indígenas de manera transitoria. El artículo 56 transitorio de la Constitución Política prescribe lo siguiente:  </w:t>
      </w:r>
    </w:p>
    <w:p w14:paraId="21FCE290" w14:textId="77777777" w:rsidR="00A50F4E" w:rsidRPr="00F8583D" w:rsidRDefault="00A50F4E" w:rsidP="00A50F4E">
      <w:pPr>
        <w:spacing w:line="276" w:lineRule="auto"/>
        <w:jc w:val="both"/>
        <w:rPr>
          <w:rFonts w:ascii="Arial" w:eastAsia="Calibri" w:hAnsi="Arial" w:cs="Arial"/>
          <w:sz w:val="22"/>
          <w:lang w:val="es-ES"/>
        </w:rPr>
      </w:pPr>
    </w:p>
    <w:p w14:paraId="7D8C71F8"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14:paraId="0FFD3820" w14:textId="77777777" w:rsidR="00A50F4E" w:rsidRPr="00F8583D" w:rsidRDefault="00A50F4E" w:rsidP="00A50F4E">
      <w:pPr>
        <w:spacing w:line="276" w:lineRule="auto"/>
        <w:jc w:val="both"/>
        <w:rPr>
          <w:rFonts w:ascii="Arial" w:eastAsia="Calibri" w:hAnsi="Arial" w:cs="Arial"/>
          <w:sz w:val="22"/>
          <w:lang w:val="es-ES"/>
        </w:rPr>
      </w:pPr>
    </w:p>
    <w:p w14:paraId="005ECF03" w14:textId="77777777" w:rsidR="00A50F4E" w:rsidRPr="00F8583D" w:rsidRDefault="00A50F4E" w:rsidP="00A50F4E">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Con fundamento en el artículo 56 transitorio de la Constitución Política, el Gobierno Nacional fue autorizado para expedir las normas fiscales y las demás necesarias para el funcionamiento de los territorios indígenas, hasta tanto la Ley de Ordenamiento Territorial fuera expedida. La Corte Constitucional, en la Sentencia C-617 de 2015</w:t>
      </w:r>
      <w:r w:rsidRPr="00F8583D">
        <w:rPr>
          <w:rStyle w:val="Refdenotaalpie"/>
          <w:rFonts w:ascii="Arial" w:eastAsia="Calibri" w:hAnsi="Arial" w:cs="Arial"/>
          <w:sz w:val="22"/>
          <w:lang w:val="es-ES"/>
        </w:rPr>
        <w:footnoteReference w:id="2"/>
      </w:r>
      <w:r w:rsidRPr="00F8583D">
        <w:rPr>
          <w:rFonts w:ascii="Arial" w:eastAsia="Calibri" w:hAnsi="Arial" w:cs="Arial"/>
          <w:sz w:val="22"/>
          <w:lang w:val="es-ES"/>
        </w:rPr>
        <w:t>, respecto a la temporalidad de la autorización, expuso lo siguiente:</w:t>
      </w:r>
    </w:p>
    <w:p w14:paraId="50386015"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1DCAF61A"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5.3.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0E4FF799" w14:textId="77777777" w:rsidR="00A50F4E" w:rsidRPr="00F8583D" w:rsidRDefault="00A50F4E" w:rsidP="00A50F4E">
      <w:pPr>
        <w:ind w:left="708" w:right="709"/>
        <w:jc w:val="both"/>
        <w:rPr>
          <w:rFonts w:ascii="Arial" w:eastAsia="Calibri" w:hAnsi="Arial" w:cs="Arial"/>
          <w:sz w:val="21"/>
          <w:szCs w:val="21"/>
          <w:lang w:val="es-ES"/>
        </w:rPr>
      </w:pPr>
    </w:p>
    <w:p w14:paraId="2CDA6C3E"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5.3.1. Es una competencia amplia que confiere una atribución para adoptar normas relativas (i) al funcionamiento de los territorios indígenas, incluyendo las de naturaleza fiscal y (</w:t>
      </w:r>
      <w:proofErr w:type="spellStart"/>
      <w:r w:rsidRPr="00F8583D">
        <w:rPr>
          <w:rFonts w:ascii="Arial" w:eastAsia="Calibri" w:hAnsi="Arial" w:cs="Arial"/>
          <w:sz w:val="21"/>
          <w:szCs w:val="21"/>
          <w:lang w:val="es-ES"/>
        </w:rPr>
        <w:t>ii</w:t>
      </w:r>
      <w:proofErr w:type="spellEnd"/>
      <w:r w:rsidRPr="00F8583D">
        <w:rPr>
          <w:rFonts w:ascii="Arial" w:eastAsia="Calibri" w:hAnsi="Arial" w:cs="Arial"/>
          <w:sz w:val="21"/>
          <w:szCs w:val="21"/>
          <w:lang w:val="es-ES"/>
        </w:rPr>
        <w:t>) a su coordinación con las demás entidades territoriales. Comprende diferentes dimensiones o facetas del régimen territorial indígena.</w:t>
      </w:r>
    </w:p>
    <w:p w14:paraId="52776130" w14:textId="77777777" w:rsidR="00A50F4E" w:rsidRPr="00F8583D" w:rsidRDefault="00A50F4E" w:rsidP="00A50F4E">
      <w:pPr>
        <w:ind w:left="708" w:right="709"/>
        <w:jc w:val="both"/>
        <w:rPr>
          <w:rFonts w:ascii="Arial" w:eastAsia="Calibri" w:hAnsi="Arial" w:cs="Arial"/>
          <w:sz w:val="21"/>
          <w:szCs w:val="21"/>
          <w:lang w:val="es-ES"/>
        </w:rPr>
      </w:pPr>
    </w:p>
    <w:p w14:paraId="48D84009"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5.3.2. 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 ordinarias. [...]</w:t>
      </w:r>
    </w:p>
    <w:p w14:paraId="2B1D6BB1" w14:textId="77777777" w:rsidR="00A50F4E" w:rsidRPr="00F8583D" w:rsidRDefault="00A50F4E" w:rsidP="00A50F4E">
      <w:pPr>
        <w:spacing w:line="276" w:lineRule="auto"/>
        <w:jc w:val="both"/>
        <w:rPr>
          <w:rFonts w:ascii="Arial" w:eastAsia="Calibri" w:hAnsi="Arial" w:cs="Arial"/>
          <w:sz w:val="22"/>
          <w:lang w:val="es-ES"/>
        </w:rPr>
      </w:pPr>
    </w:p>
    <w:p w14:paraId="22B937A6" w14:textId="77777777" w:rsidR="00A50F4E" w:rsidRPr="00F8583D" w:rsidRDefault="00A50F4E" w:rsidP="00A50F4E">
      <w:pPr>
        <w:spacing w:line="276" w:lineRule="auto"/>
        <w:ind w:firstLine="680"/>
        <w:jc w:val="both"/>
        <w:rPr>
          <w:rFonts w:ascii="Arial" w:eastAsia="Calibri" w:hAnsi="Arial" w:cs="Arial"/>
          <w:sz w:val="22"/>
          <w:lang w:val="es-ES"/>
        </w:rPr>
      </w:pPr>
      <w:bookmarkStart w:id="5" w:name="_Hlk34989337"/>
      <w:r w:rsidRPr="00F8583D">
        <w:rPr>
          <w:rFonts w:ascii="Arial" w:eastAsia="Calibri" w:hAnsi="Arial" w:cs="Arial"/>
          <w:sz w:val="22"/>
          <w:lang w:val="es-ES"/>
        </w:rPr>
        <w:t xml:space="preserve">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w:t>
      </w:r>
      <w:r w:rsidRPr="00F8583D">
        <w:rPr>
          <w:rFonts w:ascii="Arial" w:eastAsia="Calibri" w:hAnsi="Arial" w:cs="Arial"/>
          <w:sz w:val="22"/>
          <w:lang w:val="es-ES"/>
        </w:rPr>
        <w:lastRenderedPageBreak/>
        <w:t xml:space="preserve">entidades de derecho público, de carácter especial, con personería jurídica, patrimonio propio y autonomía administrativa. </w:t>
      </w:r>
      <w:bookmarkEnd w:id="5"/>
      <w:r w:rsidRPr="00F8583D">
        <w:rPr>
          <w:rFonts w:ascii="Arial" w:eastAsia="Calibri" w:hAnsi="Arial" w:cs="Arial"/>
          <w:sz w:val="22"/>
          <w:lang w:val="es-ES"/>
        </w:rPr>
        <w:t>La norma prescribe lo siguiente:</w:t>
      </w:r>
    </w:p>
    <w:p w14:paraId="3698A6AF" w14:textId="77777777" w:rsidR="00A50F4E" w:rsidRPr="00F8583D" w:rsidRDefault="00A50F4E" w:rsidP="00A50F4E">
      <w:pPr>
        <w:spacing w:line="276" w:lineRule="auto"/>
        <w:jc w:val="both"/>
        <w:rPr>
          <w:rFonts w:ascii="Arial" w:eastAsia="Calibri" w:hAnsi="Arial" w:cs="Arial"/>
          <w:sz w:val="22"/>
          <w:lang w:val="es-ES"/>
        </w:rPr>
      </w:pPr>
    </w:p>
    <w:p w14:paraId="193F5713"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2DFC4307" w14:textId="77777777" w:rsidR="00A50F4E" w:rsidRPr="00F8583D" w:rsidRDefault="00A50F4E" w:rsidP="00A50F4E">
      <w:pPr>
        <w:ind w:left="708" w:right="709"/>
        <w:jc w:val="both"/>
        <w:rPr>
          <w:rFonts w:ascii="Arial" w:eastAsia="Calibri" w:hAnsi="Arial" w:cs="Arial"/>
          <w:sz w:val="21"/>
          <w:szCs w:val="21"/>
          <w:lang w:val="es-ES"/>
        </w:rPr>
      </w:pPr>
    </w:p>
    <w:p w14:paraId="41A43630"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2° Naturaleza Jurídica. Las asociaciones de que trata el presente Decreto, son entidades de Derecho Público de carácter especial, con personería jurídica, patrimonio propio y autonomía administrativa.</w:t>
      </w:r>
    </w:p>
    <w:p w14:paraId="53BFB6B0" w14:textId="77777777" w:rsidR="00A50F4E" w:rsidRPr="00F8583D" w:rsidRDefault="00A50F4E" w:rsidP="00A50F4E">
      <w:pPr>
        <w:spacing w:line="276" w:lineRule="auto"/>
        <w:jc w:val="both"/>
        <w:rPr>
          <w:rFonts w:ascii="Arial" w:eastAsia="Calibri" w:hAnsi="Arial" w:cs="Arial"/>
          <w:sz w:val="22"/>
          <w:lang w:val="es-ES"/>
        </w:rPr>
      </w:pPr>
    </w:p>
    <w:p w14:paraId="7CD06350" w14:textId="77777777" w:rsidR="00A50F4E" w:rsidRPr="00F8583D" w:rsidRDefault="00A50F4E" w:rsidP="00A50F4E">
      <w:pPr>
        <w:spacing w:after="120" w:line="276" w:lineRule="auto"/>
        <w:ind w:firstLine="680"/>
        <w:jc w:val="both"/>
        <w:rPr>
          <w:rFonts w:ascii="Arial" w:eastAsia="Calibri" w:hAnsi="Arial" w:cs="Arial"/>
          <w:sz w:val="22"/>
          <w:lang w:val="es-ES"/>
        </w:rPr>
      </w:pPr>
      <w:r w:rsidRPr="00F8583D">
        <w:rPr>
          <w:rFonts w:ascii="Arial" w:eastAsia="Calibri" w:hAnsi="Arial" w:cs="Arial"/>
          <w:sz w:val="22"/>
          <w:lang w:val="es-ES"/>
        </w:rPr>
        <w:t>Con base en lo anterior, los cabildos y las autoridades tradicionales indígenas pueden asociarse en representación de sus territorios, y esas asociaciones gozan de personería jurídica y tienen capacidad para adquirir obligaciones.</w:t>
      </w:r>
    </w:p>
    <w:p w14:paraId="617EEB0C" w14:textId="77777777" w:rsidR="00A50F4E" w:rsidRPr="00F8583D" w:rsidRDefault="00A50F4E" w:rsidP="00A50F4E">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5D0C1648"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33BFA9B7"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5ADE97FD" w14:textId="77777777" w:rsidR="00A50F4E" w:rsidRPr="00F8583D" w:rsidRDefault="00A50F4E" w:rsidP="00A50F4E">
      <w:pPr>
        <w:ind w:left="708" w:right="709"/>
        <w:jc w:val="both"/>
        <w:rPr>
          <w:rFonts w:ascii="Arial" w:eastAsia="Calibri" w:hAnsi="Arial" w:cs="Arial"/>
          <w:sz w:val="21"/>
          <w:szCs w:val="21"/>
          <w:lang w:val="es-ES"/>
        </w:rPr>
      </w:pPr>
    </w:p>
    <w:p w14:paraId="28799BD4"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5C5BE277" w14:textId="77777777" w:rsidR="00A50F4E" w:rsidRPr="00F8583D" w:rsidRDefault="00A50F4E" w:rsidP="00A50F4E">
      <w:pPr>
        <w:ind w:left="708" w:right="709"/>
        <w:jc w:val="both"/>
        <w:rPr>
          <w:rFonts w:ascii="Arial" w:eastAsia="Calibri" w:hAnsi="Arial" w:cs="Arial"/>
          <w:sz w:val="21"/>
          <w:szCs w:val="21"/>
          <w:lang w:val="es-ES"/>
        </w:rPr>
      </w:pPr>
    </w:p>
    <w:p w14:paraId="4C0BCFE3"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7C331D70" w14:textId="77777777" w:rsidR="00A50F4E" w:rsidRPr="00F8583D" w:rsidRDefault="00A50F4E" w:rsidP="00A50F4E">
      <w:pPr>
        <w:ind w:left="708" w:right="709"/>
        <w:jc w:val="both"/>
        <w:rPr>
          <w:rFonts w:ascii="Arial" w:eastAsia="Calibri" w:hAnsi="Arial" w:cs="Arial"/>
          <w:sz w:val="21"/>
          <w:szCs w:val="21"/>
          <w:lang w:val="es-ES"/>
        </w:rPr>
      </w:pPr>
    </w:p>
    <w:p w14:paraId="4FFD5A0E"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4574BB67"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w:t>
      </w:r>
    </w:p>
    <w:p w14:paraId="2A4642F9" w14:textId="77777777" w:rsidR="00A50F4E" w:rsidRPr="00F8583D" w:rsidRDefault="00A50F4E" w:rsidP="00A50F4E">
      <w:pPr>
        <w:ind w:left="708" w:right="709"/>
        <w:jc w:val="both"/>
        <w:rPr>
          <w:rFonts w:ascii="Arial" w:eastAsia="Calibri" w:hAnsi="Arial" w:cs="Arial"/>
          <w:sz w:val="21"/>
          <w:szCs w:val="21"/>
          <w:lang w:val="es-ES"/>
        </w:rPr>
      </w:pPr>
    </w:p>
    <w:p w14:paraId="64841B27"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lastRenderedPageBreak/>
        <w:t xml:space="preserve">Artículo 2.14.7.1.2. Definiciones. Para los fines exclusivos del presente título, </w:t>
      </w:r>
      <w:proofErr w:type="spellStart"/>
      <w:r w:rsidRPr="00F8583D">
        <w:rPr>
          <w:rFonts w:ascii="Arial" w:eastAsia="Calibri" w:hAnsi="Arial" w:cs="Arial"/>
          <w:sz w:val="21"/>
          <w:szCs w:val="21"/>
          <w:lang w:val="es-ES"/>
        </w:rPr>
        <w:t>establécense</w:t>
      </w:r>
      <w:proofErr w:type="spellEnd"/>
      <w:r w:rsidRPr="00F8583D">
        <w:rPr>
          <w:rFonts w:ascii="Arial" w:eastAsia="Calibri" w:hAnsi="Arial" w:cs="Arial"/>
          <w:sz w:val="21"/>
          <w:szCs w:val="21"/>
          <w:lang w:val="es-ES"/>
        </w:rPr>
        <w:t xml:space="preserve"> las siguientes definiciones:</w:t>
      </w:r>
    </w:p>
    <w:p w14:paraId="3B12990F" w14:textId="77777777" w:rsidR="00A50F4E" w:rsidRPr="00F8583D" w:rsidRDefault="00A50F4E" w:rsidP="00A50F4E">
      <w:pPr>
        <w:ind w:right="709"/>
        <w:jc w:val="both"/>
        <w:rPr>
          <w:rFonts w:ascii="Arial" w:eastAsia="Calibri" w:hAnsi="Arial" w:cs="Arial"/>
          <w:sz w:val="21"/>
          <w:szCs w:val="21"/>
          <w:lang w:val="es-ES"/>
        </w:rPr>
      </w:pPr>
      <w:r w:rsidRPr="00F8583D">
        <w:rPr>
          <w:rFonts w:ascii="Arial" w:eastAsia="Calibri" w:hAnsi="Arial" w:cs="Arial"/>
          <w:sz w:val="21"/>
          <w:szCs w:val="21"/>
          <w:lang w:val="es-ES"/>
        </w:rPr>
        <w:tab/>
        <w:t>[...]</w:t>
      </w:r>
    </w:p>
    <w:p w14:paraId="5386B1E2" w14:textId="77777777" w:rsidR="00A50F4E" w:rsidRPr="00F8583D" w:rsidRDefault="00A50F4E" w:rsidP="00A50F4E">
      <w:pPr>
        <w:ind w:left="708" w:right="709"/>
        <w:jc w:val="both"/>
        <w:rPr>
          <w:rFonts w:ascii="Arial" w:eastAsia="Calibri" w:hAnsi="Arial" w:cs="Arial"/>
          <w:sz w:val="21"/>
          <w:szCs w:val="21"/>
          <w:lang w:val="es-ES"/>
        </w:rPr>
      </w:pPr>
    </w:p>
    <w:p w14:paraId="71631858"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01A9E1BB" w14:textId="77777777" w:rsidR="00A50F4E" w:rsidRPr="00F8583D" w:rsidRDefault="00A50F4E" w:rsidP="00A50F4E">
      <w:pPr>
        <w:ind w:left="708" w:right="709"/>
        <w:jc w:val="both"/>
        <w:rPr>
          <w:rFonts w:ascii="Arial" w:eastAsia="Calibri" w:hAnsi="Arial" w:cs="Arial"/>
          <w:sz w:val="21"/>
          <w:szCs w:val="21"/>
          <w:lang w:val="es-ES"/>
        </w:rPr>
      </w:pPr>
    </w:p>
    <w:p w14:paraId="6D457CDA"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Para los efectos de este título, las autoridades tradicionales de las comunidades indígenas tienen, frente al </w:t>
      </w:r>
      <w:proofErr w:type="spellStart"/>
      <w:r w:rsidRPr="00F8583D">
        <w:rPr>
          <w:rFonts w:ascii="Arial" w:eastAsia="Calibri" w:hAnsi="Arial" w:cs="Arial"/>
          <w:sz w:val="21"/>
          <w:szCs w:val="21"/>
          <w:lang w:val="es-ES"/>
        </w:rPr>
        <w:t>Incoder</w:t>
      </w:r>
      <w:proofErr w:type="spellEnd"/>
      <w:r w:rsidRPr="00F8583D">
        <w:rPr>
          <w:rFonts w:ascii="Arial" w:eastAsia="Calibri" w:hAnsi="Arial" w:cs="Arial"/>
          <w:sz w:val="21"/>
          <w:szCs w:val="21"/>
          <w:lang w:val="es-ES"/>
        </w:rPr>
        <w:t xml:space="preserve">, la misma representación y atribuciones que corresponde a los cabildos indígenas. </w:t>
      </w:r>
    </w:p>
    <w:p w14:paraId="1DD3A0B3" w14:textId="77777777" w:rsidR="00A50F4E" w:rsidRPr="00F8583D" w:rsidRDefault="00A50F4E" w:rsidP="00A50F4E">
      <w:pPr>
        <w:ind w:left="708" w:right="709"/>
        <w:jc w:val="both"/>
        <w:rPr>
          <w:rFonts w:ascii="Arial" w:eastAsia="Calibri" w:hAnsi="Arial" w:cs="Arial"/>
          <w:sz w:val="21"/>
          <w:szCs w:val="21"/>
          <w:lang w:val="es-ES"/>
        </w:rPr>
      </w:pPr>
    </w:p>
    <w:p w14:paraId="5AC8A873"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5EF3312C" w14:textId="77777777" w:rsidR="00A50F4E" w:rsidRPr="00F8583D" w:rsidRDefault="00A50F4E" w:rsidP="00A50F4E">
      <w:pPr>
        <w:spacing w:line="276" w:lineRule="auto"/>
        <w:jc w:val="both"/>
        <w:rPr>
          <w:rFonts w:ascii="Arial" w:eastAsia="Calibri" w:hAnsi="Arial" w:cs="Arial"/>
          <w:sz w:val="22"/>
          <w:lang w:val="es-ES"/>
        </w:rPr>
      </w:pPr>
    </w:p>
    <w:p w14:paraId="32B24651" w14:textId="77777777" w:rsidR="00A50F4E" w:rsidRPr="00F8583D" w:rsidRDefault="00A50F4E" w:rsidP="00A50F4E">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7C406963"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4E18049C"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2o. De la definición de entidades, servidores y servicios públicos. Para los solos efectos de esta ley: </w:t>
      </w:r>
    </w:p>
    <w:p w14:paraId="0A75A214" w14:textId="77777777" w:rsidR="00A50F4E" w:rsidRPr="00F8583D" w:rsidRDefault="00A50F4E" w:rsidP="00A50F4E">
      <w:pPr>
        <w:ind w:left="708" w:right="709"/>
        <w:jc w:val="both"/>
        <w:rPr>
          <w:rFonts w:ascii="Arial" w:eastAsia="Calibri" w:hAnsi="Arial" w:cs="Arial"/>
          <w:sz w:val="21"/>
          <w:szCs w:val="21"/>
          <w:lang w:val="es-ES"/>
        </w:rPr>
      </w:pPr>
    </w:p>
    <w:p w14:paraId="5DD77EBA"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1o. Se denominan entidades estatales: </w:t>
      </w:r>
    </w:p>
    <w:p w14:paraId="2F259EE1" w14:textId="77777777" w:rsidR="00A50F4E" w:rsidRPr="00F8583D" w:rsidRDefault="00A50F4E" w:rsidP="00A50F4E">
      <w:pPr>
        <w:ind w:left="708" w:right="709"/>
        <w:jc w:val="both"/>
        <w:rPr>
          <w:rFonts w:ascii="Arial" w:eastAsia="Calibri" w:hAnsi="Arial" w:cs="Arial"/>
          <w:sz w:val="21"/>
          <w:szCs w:val="21"/>
          <w:lang w:val="es-ES"/>
        </w:rPr>
      </w:pPr>
    </w:p>
    <w:p w14:paraId="514CFA80"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 texto).</w:t>
      </w:r>
    </w:p>
    <w:p w14:paraId="1132D566"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663155D0" w14:textId="77777777" w:rsidR="00A50F4E" w:rsidRPr="00F8583D" w:rsidRDefault="00A50F4E" w:rsidP="00A50F4E">
      <w:pPr>
        <w:spacing w:after="120"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14:paraId="0DB5E967" w14:textId="77777777" w:rsidR="00A50F4E" w:rsidRPr="00F8583D" w:rsidRDefault="00A50F4E" w:rsidP="00A50F4E">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lastRenderedPageBreak/>
        <w:t xml:space="preserve">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14:paraId="16C7C9EB"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099A0A60"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758CBBB8" w14:textId="77777777" w:rsidR="00A50F4E" w:rsidRPr="00F8583D" w:rsidRDefault="00A50F4E" w:rsidP="00A50F4E">
      <w:pPr>
        <w:ind w:left="708" w:right="709"/>
        <w:jc w:val="both"/>
        <w:rPr>
          <w:rFonts w:ascii="Arial" w:eastAsia="Calibri" w:hAnsi="Arial" w:cs="Arial"/>
          <w:sz w:val="21"/>
          <w:szCs w:val="21"/>
          <w:lang w:val="es-ES"/>
        </w:rPr>
      </w:pPr>
    </w:p>
    <w:p w14:paraId="330A808C"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En desarrollo de esta norma y cuando corresponda, el Gobierno Nacional hará la' delimitación correspondiente, previo concepto de la comisión de ordenamiento territorial, como instancia consultiva del proceso.</w:t>
      </w:r>
    </w:p>
    <w:p w14:paraId="34F25AB2" w14:textId="77777777" w:rsidR="00A50F4E" w:rsidRPr="00F8583D" w:rsidRDefault="00A50F4E" w:rsidP="00A50F4E">
      <w:pPr>
        <w:spacing w:line="276" w:lineRule="auto"/>
        <w:jc w:val="both"/>
        <w:rPr>
          <w:rFonts w:ascii="Arial" w:eastAsia="Calibri" w:hAnsi="Arial" w:cs="Arial"/>
          <w:sz w:val="22"/>
          <w:lang w:val="es-ES"/>
        </w:rPr>
      </w:pPr>
    </w:p>
    <w:p w14:paraId="508E1E5A" w14:textId="77777777" w:rsidR="00A50F4E" w:rsidRPr="00F8583D" w:rsidRDefault="00A50F4E" w:rsidP="00A50F4E">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Por su parte, la Corte Constitucional, en la Sentencia C-489 de 2012, se pronunció sobre la constitucionalidad de la Ley 1454 de 2011, determinando que existe una omisión legislativa respecto de los territorios indígenas</w:t>
      </w:r>
      <w:r w:rsidRPr="00F8583D">
        <w:rPr>
          <w:rStyle w:val="Refdenotaalpie"/>
          <w:rFonts w:ascii="Arial" w:eastAsia="Calibri" w:hAnsi="Arial" w:cs="Arial"/>
          <w:sz w:val="22"/>
          <w:lang w:val="es-ES"/>
        </w:rPr>
        <w:footnoteReference w:id="3"/>
      </w:r>
      <w:r w:rsidRPr="00F8583D">
        <w:rPr>
          <w:rFonts w:ascii="Arial" w:eastAsia="Calibri" w:hAnsi="Arial" w:cs="Arial"/>
          <w:sz w:val="22"/>
          <w:lang w:val="es-ES"/>
        </w:rPr>
        <w:t>:</w:t>
      </w:r>
    </w:p>
    <w:p w14:paraId="772F4BAB"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6C76CB51"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2462C75B" w14:textId="77777777" w:rsidR="00A50F4E" w:rsidRPr="00F8583D" w:rsidRDefault="00A50F4E" w:rsidP="00A50F4E">
      <w:pPr>
        <w:ind w:left="708" w:right="709"/>
        <w:jc w:val="both"/>
        <w:rPr>
          <w:rFonts w:ascii="Arial" w:eastAsia="Calibri" w:hAnsi="Arial" w:cs="Arial"/>
          <w:sz w:val="21"/>
          <w:szCs w:val="21"/>
          <w:lang w:val="es-ES"/>
        </w:rPr>
      </w:pPr>
    </w:p>
    <w:p w14:paraId="7C86BB4E"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p w14:paraId="57CCA9F4" w14:textId="77777777" w:rsidR="00A50F4E" w:rsidRPr="00F8583D" w:rsidRDefault="00A50F4E" w:rsidP="00A50F4E">
      <w:pPr>
        <w:ind w:left="708" w:right="709"/>
        <w:jc w:val="both"/>
        <w:rPr>
          <w:rFonts w:ascii="Arial" w:eastAsia="Calibri" w:hAnsi="Arial" w:cs="Arial"/>
          <w:sz w:val="21"/>
          <w:szCs w:val="21"/>
          <w:lang w:val="es-ES"/>
        </w:rPr>
      </w:pPr>
    </w:p>
    <w:p w14:paraId="61A0D0FA" w14:textId="77777777" w:rsidR="00A50F4E" w:rsidRPr="00F8583D" w:rsidRDefault="00A50F4E" w:rsidP="00A50F4E">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 xml:space="preserve">El Congreso de la República expidió luego la Ley 1551 de 2012, modificatoria de la Ley 134 de 1994, «Por medio de la cual se dictan normas para modernizar la organización y el funcionamiento de los municipios». Esta norma asignó competencias a los municipios </w:t>
      </w:r>
      <w:r w:rsidRPr="00F8583D">
        <w:rPr>
          <w:rFonts w:ascii="Arial" w:eastAsia="Calibri" w:hAnsi="Arial" w:cs="Arial"/>
          <w:sz w:val="22"/>
          <w:lang w:val="es-ES"/>
        </w:rPr>
        <w:lastRenderedPageBreak/>
        <w:t>e hizo algunas autorizaciones relacionadas con los cabildos, autoridades y organizaciones indígenas:</w:t>
      </w:r>
    </w:p>
    <w:p w14:paraId="717DF0C4"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078A8944"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6°. El artículo 3° de la Ley 136 de 1994 quedará así: </w:t>
      </w:r>
    </w:p>
    <w:p w14:paraId="68C0A521" w14:textId="77777777" w:rsidR="00A50F4E" w:rsidRPr="00F8583D" w:rsidRDefault="00A50F4E" w:rsidP="00A50F4E">
      <w:pPr>
        <w:ind w:left="708" w:right="709"/>
        <w:jc w:val="both"/>
        <w:rPr>
          <w:rFonts w:ascii="Arial" w:eastAsia="Calibri" w:hAnsi="Arial" w:cs="Arial"/>
          <w:sz w:val="21"/>
          <w:szCs w:val="21"/>
          <w:lang w:val="es-ES"/>
        </w:rPr>
      </w:pPr>
    </w:p>
    <w:p w14:paraId="418BE25E"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3°. Funciones de los municipios. Corresponde al municipio:</w:t>
      </w:r>
    </w:p>
    <w:p w14:paraId="2E7801E6"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w:t>
      </w:r>
    </w:p>
    <w:p w14:paraId="4CED8E8C" w14:textId="77777777" w:rsidR="00A50F4E" w:rsidRPr="00F8583D" w:rsidRDefault="00A50F4E" w:rsidP="00A50F4E">
      <w:pPr>
        <w:ind w:left="708" w:right="709"/>
        <w:jc w:val="both"/>
        <w:rPr>
          <w:rFonts w:ascii="Arial" w:eastAsia="Calibri" w:hAnsi="Arial" w:cs="Arial"/>
          <w:sz w:val="21"/>
          <w:szCs w:val="21"/>
          <w:lang w:val="es-ES"/>
        </w:rPr>
      </w:pPr>
    </w:p>
    <w:p w14:paraId="50828153"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39A83FA5" w14:textId="77777777" w:rsidR="00A50F4E" w:rsidRPr="00F8583D" w:rsidRDefault="00A50F4E" w:rsidP="00A50F4E">
      <w:pPr>
        <w:ind w:left="708" w:right="709"/>
        <w:jc w:val="both"/>
        <w:rPr>
          <w:rFonts w:ascii="Arial" w:eastAsia="Calibri" w:hAnsi="Arial" w:cs="Arial"/>
          <w:sz w:val="21"/>
          <w:szCs w:val="21"/>
          <w:lang w:val="es-ES"/>
        </w:rPr>
      </w:pPr>
    </w:p>
    <w:p w14:paraId="069E6567"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05A4C656" w14:textId="77777777" w:rsidR="00A50F4E" w:rsidRPr="00F8583D" w:rsidRDefault="00A50F4E" w:rsidP="00A50F4E">
      <w:pPr>
        <w:ind w:left="708" w:right="709"/>
        <w:jc w:val="both"/>
        <w:rPr>
          <w:rFonts w:ascii="Arial" w:eastAsia="Calibri" w:hAnsi="Arial" w:cs="Arial"/>
          <w:sz w:val="21"/>
          <w:szCs w:val="21"/>
          <w:lang w:val="es-ES"/>
        </w:rPr>
      </w:pPr>
    </w:p>
    <w:p w14:paraId="1D598146"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18. Celebrar convenios de uso de bienes públicos y/o de usufructo comunitario con los cabildos, autoridades y organizaciones indígenas y con los organismos de acción comunal y otros organismos comunitarios. (…)</w:t>
      </w:r>
    </w:p>
    <w:p w14:paraId="0DC11E78" w14:textId="77777777" w:rsidR="00A50F4E" w:rsidRPr="00F8583D" w:rsidRDefault="00A50F4E" w:rsidP="00A50F4E">
      <w:pPr>
        <w:ind w:left="708" w:right="709"/>
        <w:jc w:val="both"/>
        <w:rPr>
          <w:rFonts w:ascii="Arial" w:eastAsia="Calibri" w:hAnsi="Arial" w:cs="Arial"/>
          <w:sz w:val="21"/>
          <w:szCs w:val="21"/>
          <w:lang w:val="es-ES"/>
        </w:rPr>
      </w:pPr>
    </w:p>
    <w:p w14:paraId="44BA925F" w14:textId="77777777" w:rsidR="00A50F4E" w:rsidRPr="00F8583D" w:rsidRDefault="00A50F4E" w:rsidP="00A50F4E">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w:t>
      </w:r>
    </w:p>
    <w:p w14:paraId="448E29DE" w14:textId="77777777" w:rsidR="00A50F4E" w:rsidRPr="00F8583D" w:rsidRDefault="00A50F4E" w:rsidP="00A50F4E">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t xml:space="preserve">Ahora, en relación con los convenios solidarios, y qué debe entenderse por ellos, la Ley, en el parágrafo 3 del artículo 6, prescribe lo siguiente: </w:t>
      </w:r>
    </w:p>
    <w:p w14:paraId="1CE8FDF2" w14:textId="77777777" w:rsidR="00A50F4E" w:rsidRPr="00F8583D" w:rsidRDefault="00A50F4E" w:rsidP="00A50F4E">
      <w:pPr>
        <w:spacing w:line="276" w:lineRule="auto"/>
        <w:jc w:val="both"/>
        <w:rPr>
          <w:rFonts w:ascii="Arial" w:eastAsia="Calibri" w:hAnsi="Arial" w:cs="Arial"/>
          <w:sz w:val="22"/>
          <w:lang w:val="es-ES"/>
        </w:rPr>
      </w:pPr>
    </w:p>
    <w:p w14:paraId="3162EDA7"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3B43F71C" w14:textId="77777777" w:rsidR="00A50F4E" w:rsidRPr="00F8583D" w:rsidRDefault="00A50F4E" w:rsidP="00A50F4E">
      <w:pPr>
        <w:ind w:left="708" w:right="709"/>
        <w:jc w:val="both"/>
        <w:rPr>
          <w:rFonts w:ascii="Arial" w:eastAsia="Calibri" w:hAnsi="Arial" w:cs="Arial"/>
          <w:sz w:val="21"/>
          <w:szCs w:val="21"/>
          <w:lang w:val="es-ES"/>
        </w:rPr>
      </w:pPr>
    </w:p>
    <w:p w14:paraId="396BC60A"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76993171" w14:textId="77777777" w:rsidR="00A50F4E" w:rsidRPr="00F8583D" w:rsidRDefault="00A50F4E" w:rsidP="00A50F4E">
      <w:pPr>
        <w:ind w:left="680" w:right="680"/>
        <w:jc w:val="both"/>
        <w:rPr>
          <w:rFonts w:ascii="Arial" w:eastAsia="Calibri" w:hAnsi="Arial" w:cs="Arial"/>
          <w:sz w:val="18"/>
          <w:szCs w:val="18"/>
          <w:lang w:val="es-ES"/>
        </w:rPr>
      </w:pPr>
    </w:p>
    <w:p w14:paraId="6E0AA4A6"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295B6406" w14:textId="77777777" w:rsidR="00A50F4E" w:rsidRPr="00F8583D" w:rsidRDefault="00A50F4E" w:rsidP="00A50F4E">
      <w:pPr>
        <w:spacing w:line="276" w:lineRule="auto"/>
        <w:jc w:val="both"/>
        <w:rPr>
          <w:rFonts w:ascii="Arial" w:eastAsia="Calibri" w:hAnsi="Arial" w:cs="Arial"/>
          <w:sz w:val="22"/>
          <w:lang w:val="es-ES"/>
        </w:rPr>
      </w:pPr>
    </w:p>
    <w:p w14:paraId="32190D6D" w14:textId="77777777" w:rsidR="00A50F4E" w:rsidRPr="00F8583D" w:rsidRDefault="00A50F4E" w:rsidP="00A50F4E">
      <w:pPr>
        <w:spacing w:after="120"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 cuantía. </w:t>
      </w:r>
    </w:p>
    <w:p w14:paraId="0624E0DF" w14:textId="77777777" w:rsidR="00A50F4E" w:rsidRPr="00F8583D" w:rsidRDefault="00A50F4E" w:rsidP="00A50F4E">
      <w:pPr>
        <w:spacing w:after="120" w:line="276" w:lineRule="auto"/>
        <w:jc w:val="both"/>
        <w:rPr>
          <w:rFonts w:ascii="Arial" w:eastAsia="Calibri" w:hAnsi="Arial" w:cs="Arial"/>
          <w:sz w:val="22"/>
          <w:lang w:val="es-ES"/>
        </w:rPr>
      </w:pPr>
      <w:r w:rsidRPr="00F8583D">
        <w:rPr>
          <w:rFonts w:ascii="Arial" w:eastAsia="Calibri" w:hAnsi="Arial" w:cs="Arial"/>
          <w:sz w:val="22"/>
          <w:lang w:val="es-ES"/>
        </w:rPr>
        <w:tab/>
        <w:t xml:space="preserve">Posteriormente, en 2014, se expidió el Decreto 1953, «Por el cual se crea un régimen especial con el fin de poner en funcionamiento los Territorios Indígenas respecto de la administración de los sistemas propios de los pueblos indígenas hasta que el Congreso expida la ley de </w:t>
      </w:r>
      <w:proofErr w:type="spellStart"/>
      <w:r w:rsidRPr="00F8583D">
        <w:rPr>
          <w:rFonts w:ascii="Arial" w:eastAsia="Calibri" w:hAnsi="Arial" w:cs="Arial"/>
          <w:sz w:val="22"/>
          <w:lang w:val="es-ES"/>
        </w:rPr>
        <w:t>que</w:t>
      </w:r>
      <w:proofErr w:type="spellEnd"/>
      <w:r w:rsidRPr="00F8583D">
        <w:rPr>
          <w:rFonts w:ascii="Arial" w:eastAsia="Calibri" w:hAnsi="Arial" w:cs="Arial"/>
          <w:sz w:val="22"/>
          <w:lang w:val="es-ES"/>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4FD38F6C" w14:textId="77777777" w:rsidR="00A50F4E" w:rsidRPr="00F8583D" w:rsidRDefault="00A50F4E" w:rsidP="00A50F4E">
      <w:pPr>
        <w:spacing w:after="120"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w:t>
      </w:r>
    </w:p>
    <w:p w14:paraId="0231F5DC" w14:textId="77777777" w:rsidR="00A50F4E" w:rsidRPr="00F8583D" w:rsidRDefault="00A50F4E" w:rsidP="00A50F4E">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51B1A14F" w14:textId="77777777" w:rsidR="00A50F4E" w:rsidRPr="00F8583D" w:rsidRDefault="00A50F4E" w:rsidP="00A50F4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268629DF"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04011626"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w:t>
      </w:r>
    </w:p>
    <w:p w14:paraId="38BB63E1" w14:textId="77777777" w:rsidR="00A50F4E" w:rsidRPr="00F8583D" w:rsidRDefault="00A50F4E" w:rsidP="00A50F4E">
      <w:pPr>
        <w:ind w:left="708" w:right="709"/>
        <w:jc w:val="both"/>
        <w:rPr>
          <w:rFonts w:ascii="Arial" w:eastAsia="Calibri" w:hAnsi="Arial" w:cs="Arial"/>
          <w:sz w:val="21"/>
          <w:szCs w:val="21"/>
          <w:lang w:val="es-ES"/>
        </w:rPr>
      </w:pPr>
    </w:p>
    <w:p w14:paraId="07F391CC"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w:t>
      </w:r>
      <w:r w:rsidRPr="00F8583D">
        <w:rPr>
          <w:rFonts w:ascii="Arial" w:eastAsia="Calibri" w:hAnsi="Arial" w:cs="Arial"/>
          <w:sz w:val="21"/>
          <w:szCs w:val="21"/>
          <w:lang w:val="es-ES"/>
        </w:rPr>
        <w:lastRenderedPageBreak/>
        <w:t>el artículo 2° de la Ley 80 de 1993. Dicha capacidad será ejercida a través de su representante legal, conforme a lo dispuesto en el presente decreto.</w:t>
      </w:r>
    </w:p>
    <w:p w14:paraId="262CF788" w14:textId="77777777" w:rsidR="00A50F4E" w:rsidRPr="00F8583D" w:rsidRDefault="00A50F4E" w:rsidP="00A50F4E">
      <w:pPr>
        <w:spacing w:line="276" w:lineRule="auto"/>
        <w:jc w:val="both"/>
        <w:rPr>
          <w:rFonts w:ascii="Arial" w:eastAsia="Calibri" w:hAnsi="Arial" w:cs="Arial"/>
          <w:sz w:val="22"/>
          <w:lang w:val="es-ES"/>
        </w:rPr>
      </w:pPr>
    </w:p>
    <w:p w14:paraId="2620EDA1" w14:textId="77777777" w:rsidR="00A50F4E" w:rsidRPr="00F8583D" w:rsidRDefault="00A50F4E" w:rsidP="00A50F4E">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Respecto a los resguardos que no han sido autorizados para administrar de manera directa los recursos del SGP, la norma prescribe lo siguiente:</w:t>
      </w:r>
    </w:p>
    <w:p w14:paraId="58490F6E" w14:textId="77777777" w:rsidR="00A50F4E" w:rsidRPr="00F8583D" w:rsidRDefault="00A50F4E" w:rsidP="00A50F4E">
      <w:pPr>
        <w:spacing w:line="276" w:lineRule="auto"/>
        <w:jc w:val="both"/>
        <w:rPr>
          <w:rFonts w:ascii="Arial" w:eastAsia="Calibri" w:hAnsi="Arial" w:cs="Arial"/>
          <w:sz w:val="22"/>
          <w:lang w:val="es-ES"/>
        </w:rPr>
      </w:pPr>
    </w:p>
    <w:p w14:paraId="05E1D5EB"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34. Ejecución de recursos de asignación especial no administrados por Resguardos Indígenas. </w:t>
      </w:r>
      <w:proofErr w:type="gramStart"/>
      <w:r w:rsidRPr="00F8583D">
        <w:rPr>
          <w:rFonts w:ascii="Arial" w:eastAsia="Calibri" w:hAnsi="Arial" w:cs="Arial"/>
          <w:sz w:val="21"/>
          <w:szCs w:val="21"/>
          <w:lang w:val="es-ES"/>
        </w:rPr>
        <w:t>En caso que</w:t>
      </w:r>
      <w:proofErr w:type="gramEnd"/>
      <w:r w:rsidRPr="00F8583D">
        <w:rPr>
          <w:rFonts w:ascii="Arial" w:eastAsia="Calibri" w:hAnsi="Arial" w:cs="Arial"/>
          <w:sz w:val="21"/>
          <w:szCs w:val="21"/>
          <w:lang w:val="es-ES"/>
        </w:rPr>
        <w:t xml:space="preserv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43D83B83" w14:textId="77777777" w:rsidR="00A50F4E" w:rsidRPr="00F8583D" w:rsidRDefault="00A50F4E" w:rsidP="00A50F4E">
      <w:pPr>
        <w:ind w:left="708" w:right="709"/>
        <w:jc w:val="both"/>
        <w:rPr>
          <w:rFonts w:ascii="Arial" w:eastAsia="Calibri" w:hAnsi="Arial" w:cs="Arial"/>
          <w:sz w:val="21"/>
          <w:szCs w:val="21"/>
          <w:lang w:val="es-ES"/>
        </w:rPr>
      </w:pPr>
    </w:p>
    <w:p w14:paraId="596FF1B2"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En este evento, dichos recursos serán de libre destinación para la financiación de proyectos de inversión, los cuales deberán estar formulados e incluidos en los planes de vida o de acuerdo con la ley de origen, derecho propio o derecho mayor de los pueblos indígenas. </w:t>
      </w:r>
    </w:p>
    <w:p w14:paraId="36982317" w14:textId="77777777" w:rsidR="00A50F4E" w:rsidRPr="00F8583D" w:rsidRDefault="00A50F4E" w:rsidP="00A50F4E">
      <w:pPr>
        <w:ind w:left="708" w:right="709"/>
        <w:jc w:val="both"/>
        <w:rPr>
          <w:rFonts w:ascii="Arial" w:eastAsia="Calibri" w:hAnsi="Arial" w:cs="Arial"/>
          <w:sz w:val="21"/>
          <w:szCs w:val="21"/>
          <w:lang w:val="es-ES"/>
        </w:rPr>
      </w:pPr>
    </w:p>
    <w:p w14:paraId="0586F2A4"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Así mismo, estos proyectos de inversión deberán estar incluidos en el contrato de administración celebrado con el respectivo municipio o departamento, en concordancia con la clasificación de gastos definida por el Estatuto Orgánico del Presupuesto. </w:t>
      </w:r>
    </w:p>
    <w:p w14:paraId="2517236B" w14:textId="77777777" w:rsidR="00A50F4E" w:rsidRPr="00F8583D" w:rsidRDefault="00A50F4E" w:rsidP="00A50F4E">
      <w:pPr>
        <w:spacing w:line="276" w:lineRule="auto"/>
        <w:jc w:val="both"/>
        <w:rPr>
          <w:rFonts w:ascii="Arial" w:eastAsia="Calibri" w:hAnsi="Arial" w:cs="Arial"/>
          <w:sz w:val="22"/>
          <w:lang w:val="es-ES"/>
        </w:rPr>
      </w:pPr>
    </w:p>
    <w:p w14:paraId="03B68F4D" w14:textId="77777777" w:rsidR="00A50F4E" w:rsidRPr="00F8583D" w:rsidRDefault="00A50F4E" w:rsidP="00A50F4E">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 La norma prescribe los siguiente:</w:t>
      </w:r>
    </w:p>
    <w:p w14:paraId="0DA41EC5" w14:textId="77777777" w:rsidR="00A50F4E" w:rsidRPr="00F8583D" w:rsidRDefault="00A50F4E" w:rsidP="00A50F4E">
      <w:pPr>
        <w:spacing w:line="276" w:lineRule="auto"/>
        <w:jc w:val="both"/>
        <w:rPr>
          <w:rFonts w:ascii="Arial" w:eastAsia="Calibri" w:hAnsi="Arial" w:cs="Arial"/>
          <w:sz w:val="22"/>
          <w:lang w:val="es-ES"/>
        </w:rPr>
      </w:pPr>
    </w:p>
    <w:p w14:paraId="6C3D1BF8"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7F66DFF7" w14:textId="77777777" w:rsidR="00A50F4E" w:rsidRPr="00F8583D" w:rsidRDefault="00A50F4E" w:rsidP="00A50F4E">
      <w:pPr>
        <w:ind w:left="708" w:right="709"/>
        <w:jc w:val="both"/>
        <w:rPr>
          <w:rFonts w:ascii="Arial" w:eastAsia="Calibri" w:hAnsi="Arial" w:cs="Arial"/>
          <w:sz w:val="21"/>
          <w:szCs w:val="21"/>
          <w:lang w:val="es-ES"/>
        </w:rPr>
      </w:pPr>
    </w:p>
    <w:p w14:paraId="28AB1612" w14:textId="77777777" w:rsidR="00A50F4E" w:rsidRPr="00F8583D" w:rsidRDefault="00A50F4E" w:rsidP="00A50F4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467A7672" w14:textId="77777777" w:rsidR="00A50F4E" w:rsidRPr="00F8583D" w:rsidRDefault="00A50F4E" w:rsidP="00A50F4E">
      <w:pPr>
        <w:spacing w:line="276" w:lineRule="auto"/>
        <w:jc w:val="both"/>
        <w:rPr>
          <w:rFonts w:ascii="Arial" w:eastAsia="Calibri" w:hAnsi="Arial" w:cs="Arial"/>
          <w:sz w:val="22"/>
          <w:lang w:val="es-ES"/>
        </w:rPr>
      </w:pPr>
    </w:p>
    <w:p w14:paraId="631EDF4F" w14:textId="77777777" w:rsidR="00A50F4E" w:rsidRPr="00F8583D" w:rsidRDefault="00A50F4E" w:rsidP="00A50F4E">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A partir de las normas identificadas, surgen las siguientes conclusiones:</w:t>
      </w:r>
    </w:p>
    <w:p w14:paraId="3269C91E" w14:textId="77777777" w:rsidR="00A50F4E" w:rsidRPr="00F8583D" w:rsidRDefault="00A50F4E" w:rsidP="00A50F4E">
      <w:pPr>
        <w:spacing w:line="276" w:lineRule="auto"/>
        <w:jc w:val="both"/>
        <w:rPr>
          <w:rFonts w:ascii="Arial" w:eastAsia="Calibri" w:hAnsi="Arial" w:cs="Arial"/>
          <w:sz w:val="22"/>
          <w:lang w:val="es-ES"/>
        </w:rPr>
      </w:pPr>
    </w:p>
    <w:p w14:paraId="1F556190" w14:textId="77777777" w:rsidR="00A50F4E" w:rsidRPr="00F8583D" w:rsidRDefault="00A50F4E" w:rsidP="00A50F4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i) Decreto 1088 de 1993: L</w:t>
      </w:r>
      <w:bookmarkStart w:id="6" w:name="_Hlk34905430"/>
      <w:r w:rsidRPr="00F8583D">
        <w:rPr>
          <w:rFonts w:ascii="Arial" w:eastAsia="Calibri" w:hAnsi="Arial" w:cs="Arial"/>
          <w:sz w:val="22"/>
          <w:lang w:val="es-ES"/>
        </w:rPr>
        <w:t>as asociaciones de Cabildos y/o Autoridades Tradicionales Indígenas</w:t>
      </w:r>
      <w:bookmarkEnd w:id="6"/>
      <w:r w:rsidRPr="00F8583D">
        <w:rPr>
          <w:rFonts w:ascii="Arial" w:eastAsia="Calibri" w:hAnsi="Arial" w:cs="Arial"/>
          <w:sz w:val="22"/>
          <w:lang w:val="es-ES"/>
        </w:rPr>
        <w:t xml:space="preserve">, en virtud del Decreto 1088 de 1993, son entidades de Derecho Público de carácter especial, con personería jurídica, patrimonio propio y autonomía administrativa. Por lo tanto, pueden contratar. </w:t>
      </w:r>
    </w:p>
    <w:p w14:paraId="298C86BD" w14:textId="77777777" w:rsidR="00A50F4E" w:rsidRPr="00F8583D" w:rsidRDefault="00A50F4E" w:rsidP="00A50F4E">
      <w:pPr>
        <w:spacing w:after="120" w:line="276" w:lineRule="auto"/>
        <w:ind w:firstLine="709"/>
        <w:jc w:val="both"/>
        <w:rPr>
          <w:rFonts w:ascii="Arial" w:eastAsia="Calibri" w:hAnsi="Arial" w:cs="Arial"/>
          <w:sz w:val="22"/>
          <w:lang w:val="es-ES"/>
        </w:rPr>
      </w:pPr>
      <w:proofErr w:type="spellStart"/>
      <w:r w:rsidRPr="00F8583D">
        <w:rPr>
          <w:rFonts w:ascii="Arial" w:eastAsia="Calibri" w:hAnsi="Arial" w:cs="Arial"/>
          <w:sz w:val="22"/>
          <w:lang w:val="es-ES"/>
        </w:rPr>
        <w:t>ii</w:t>
      </w:r>
      <w:proofErr w:type="spellEnd"/>
      <w:r w:rsidRPr="00F8583D">
        <w:rPr>
          <w:rFonts w:ascii="Arial" w:eastAsia="Calibri" w:hAnsi="Arial" w:cs="Arial"/>
          <w:sz w:val="22"/>
          <w:lang w:val="es-ES"/>
        </w:rPr>
        <w:t>) Ley 1551 de 2012: Los municipios y distritos pueden celebrar convenios solidarios con cabildos, autoridades y organizaciones indígenas, para el desarrollo conjunto de programas y actividades establecidas por la Ley a los municipios y distritos, acorde con sus planes de desarrollo.</w:t>
      </w:r>
    </w:p>
    <w:p w14:paraId="0F19C7B2" w14:textId="77777777" w:rsidR="00A50F4E" w:rsidRPr="00F8583D" w:rsidRDefault="00A50F4E" w:rsidP="00A50F4E">
      <w:pPr>
        <w:spacing w:after="120" w:line="276" w:lineRule="auto"/>
        <w:ind w:firstLine="709"/>
        <w:jc w:val="both"/>
        <w:rPr>
          <w:rFonts w:ascii="Arial" w:eastAsia="Calibri" w:hAnsi="Arial" w:cs="Arial"/>
          <w:sz w:val="22"/>
          <w:lang w:val="es-ES"/>
        </w:rPr>
      </w:pPr>
      <w:proofErr w:type="spellStart"/>
      <w:r w:rsidRPr="00F8583D">
        <w:rPr>
          <w:rFonts w:ascii="Arial" w:eastAsia="Calibri" w:hAnsi="Arial" w:cs="Arial"/>
          <w:sz w:val="22"/>
          <w:lang w:val="es-ES"/>
        </w:rPr>
        <w:t>iii</w:t>
      </w:r>
      <w:proofErr w:type="spellEnd"/>
      <w:r w:rsidRPr="00F8583D">
        <w:rPr>
          <w:rFonts w:ascii="Arial" w:eastAsia="Calibri" w:hAnsi="Arial" w:cs="Arial"/>
          <w:sz w:val="22"/>
          <w:lang w:val="es-ES"/>
        </w:rPr>
        <w:t>) Decreto 1953 de 2014: Los resguardos podrán asociarse para administrar y ejecutar los recursos de la asignación especial del SGP, siempre que acrediten los requisitos establecidos en el decreto, y son personas jurídicas de derecho público especial.</w:t>
      </w:r>
    </w:p>
    <w:p w14:paraId="6B0EB2A1" w14:textId="77777777" w:rsidR="00A50F4E" w:rsidRPr="00F8583D" w:rsidRDefault="00A50F4E" w:rsidP="00A50F4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14:paraId="2DE7C8D2" w14:textId="77777777" w:rsidR="00A50F4E" w:rsidRPr="00F8583D" w:rsidRDefault="00A50F4E" w:rsidP="00A50F4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300FDD5B" w14:textId="77777777" w:rsidR="00A50F4E" w:rsidRPr="00F8583D" w:rsidRDefault="00A50F4E" w:rsidP="00A50F4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Finalmente, los territorios indígenas pueden celebrar contratos con las asociaciones de cabildos y/o autoridades tradicionales de que trata el Decreto 1088 de 1993, pero esos negocios jurídicos a los que hace referencia la norma solo podrán celebrarse entre territorios indígenas y cabildos y/o autoridades tradicionales indígenas constituidos bajo lo dispuesto en el Decreto 1088 de 1993.</w:t>
      </w:r>
    </w:p>
    <w:p w14:paraId="6BABC752" w14:textId="77777777" w:rsidR="00A50F4E" w:rsidRPr="00F8583D" w:rsidRDefault="00A50F4E" w:rsidP="00A50F4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A la normativa analizada se adiciona ahora el Decreto autónomo No. 252 de 2020, expedido por el Gobierno Nacional, que adicionó al Decreto 1088 de 1993, que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380A77C5" w14:textId="77777777" w:rsidR="00A50F4E" w:rsidRPr="00F8583D" w:rsidRDefault="00A50F4E" w:rsidP="00A50F4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lastRenderedPageBreak/>
        <w:t xml:space="preserve">Antes de continuar,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rsidRPr="00F8583D">
        <w:rPr>
          <w:rFonts w:ascii="Arial" w:eastAsia="Calibri" w:hAnsi="Arial" w:cs="Arial"/>
          <w:sz w:val="22"/>
          <w:lang w:val="es-ES"/>
        </w:rPr>
        <w:t>personería jurídica ni capacidad jurídica</w:t>
      </w:r>
      <w:proofErr w:type="gramEnd"/>
      <w:r w:rsidRPr="00F8583D">
        <w:rPr>
          <w:rFonts w:ascii="Arial" w:eastAsia="Calibri" w:hAnsi="Arial" w:cs="Arial"/>
          <w:sz w:val="22"/>
          <w:lang w:val="es-ES"/>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04A19876" w14:textId="77777777" w:rsidR="00A50F4E" w:rsidRPr="00F8583D" w:rsidRDefault="00A50F4E" w:rsidP="00A50F4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 xml:space="preserve">En cambio, el artículo 1 del Decreto 252 de 2020 permite que las «organizaciones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w:t>
      </w:r>
      <w:proofErr w:type="spellStart"/>
      <w:r w:rsidRPr="00F8583D">
        <w:rPr>
          <w:rFonts w:ascii="Arial" w:eastAsia="Calibri" w:hAnsi="Arial" w:cs="Arial"/>
          <w:sz w:val="22"/>
          <w:lang w:val="es-ES"/>
        </w:rPr>
        <w:t>ii</w:t>
      </w:r>
      <w:proofErr w:type="spellEnd"/>
      <w:r w:rsidRPr="00F8583D">
        <w:rPr>
          <w:rFonts w:ascii="Arial" w:eastAsia="Calibri" w:hAnsi="Arial" w:cs="Arial"/>
          <w:sz w:val="22"/>
          <w:lang w:val="es-ES"/>
        </w:rPr>
        <w:t xml:space="preserve">) resguardos indígenas, </w:t>
      </w:r>
      <w:proofErr w:type="spellStart"/>
      <w:r w:rsidRPr="00F8583D">
        <w:rPr>
          <w:rFonts w:ascii="Arial" w:eastAsia="Calibri" w:hAnsi="Arial" w:cs="Arial"/>
          <w:sz w:val="22"/>
          <w:lang w:val="es-ES"/>
        </w:rPr>
        <w:t>iii</w:t>
      </w:r>
      <w:proofErr w:type="spellEnd"/>
      <w:r w:rsidRPr="00F8583D">
        <w:rPr>
          <w:rFonts w:ascii="Arial" w:eastAsia="Calibri" w:hAnsi="Arial" w:cs="Arial"/>
          <w:sz w:val="22"/>
          <w:lang w:val="es-ES"/>
        </w:rPr>
        <w:t xml:space="preserve">) asociaciones de cabildos indígenas, </w:t>
      </w:r>
      <w:proofErr w:type="spellStart"/>
      <w:r w:rsidRPr="00F8583D">
        <w:rPr>
          <w:rFonts w:ascii="Arial" w:eastAsia="Calibri" w:hAnsi="Arial" w:cs="Arial"/>
          <w:sz w:val="22"/>
          <w:lang w:val="es-ES"/>
        </w:rPr>
        <w:t>iv</w:t>
      </w:r>
      <w:proofErr w:type="spellEnd"/>
      <w:r w:rsidRPr="00F8583D">
        <w:rPr>
          <w:rFonts w:ascii="Arial" w:eastAsia="Calibri" w:hAnsi="Arial" w:cs="Arial"/>
          <w:sz w:val="22"/>
          <w:lang w:val="es-ES"/>
        </w:rPr>
        <w:t>) asociaciones de autoridades indígenas, y v) otras formas de autoridad indígena</w:t>
      </w:r>
      <w:r w:rsidRPr="00F8583D">
        <w:rPr>
          <w:rStyle w:val="Refdenotaalpie"/>
          <w:rFonts w:ascii="Arial" w:eastAsia="Calibri" w:hAnsi="Arial" w:cs="Arial"/>
          <w:sz w:val="22"/>
          <w:lang w:val="es-ES"/>
        </w:rPr>
        <w:footnoteReference w:id="4"/>
      </w:r>
      <w:r w:rsidRPr="00F8583D">
        <w:rPr>
          <w:rFonts w:ascii="Arial" w:eastAsia="Calibri" w:hAnsi="Arial" w:cs="Arial"/>
          <w:sz w:val="22"/>
          <w:lang w:val="es-ES"/>
        </w:rPr>
        <w:t>.</w:t>
      </w:r>
    </w:p>
    <w:p w14:paraId="46629CD1" w14:textId="77777777" w:rsidR="00A50F4E" w:rsidRDefault="00A50F4E" w:rsidP="00A50F4E">
      <w:pPr>
        <w:spacing w:line="276" w:lineRule="auto"/>
        <w:ind w:firstLine="709"/>
        <w:jc w:val="both"/>
        <w:rPr>
          <w:rFonts w:ascii="Arial" w:eastAsia="Calibri" w:hAnsi="Arial" w:cs="Arial"/>
          <w:sz w:val="22"/>
          <w:lang w:val="es-ES"/>
        </w:rPr>
      </w:pPr>
      <w:r w:rsidRPr="00F8583D">
        <w:rPr>
          <w:rFonts w:ascii="Arial" w:eastAsia="Calibri" w:hAnsi="Arial" w:cs="Arial"/>
          <w:sz w:val="22"/>
          <w:lang w:val="es-ES"/>
        </w:rPr>
        <w:t xml:space="preserve">En ese sentido, i) la norma le confirió a las «organizaciones indígenas» capacidad para contratar con el Estado y </w:t>
      </w:r>
      <w:proofErr w:type="spellStart"/>
      <w:r w:rsidRPr="00F8583D">
        <w:rPr>
          <w:rFonts w:ascii="Arial" w:eastAsia="Calibri" w:hAnsi="Arial" w:cs="Arial"/>
          <w:sz w:val="22"/>
          <w:lang w:val="es-ES"/>
        </w:rPr>
        <w:t>ii</w:t>
      </w:r>
      <w:proofErr w:type="spellEnd"/>
      <w:r w:rsidRPr="00F8583D">
        <w:rPr>
          <w:rFonts w:ascii="Arial" w:eastAsia="Calibri" w:hAnsi="Arial" w:cs="Arial"/>
          <w:sz w:val="22"/>
          <w:lang w:val="es-ES"/>
        </w:rPr>
        <w:t xml:space="preserve">)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no regula su naturaleza o régimen legal. </w:t>
      </w:r>
    </w:p>
    <w:p w14:paraId="5026CF5F" w14:textId="77777777" w:rsidR="00A50F4E" w:rsidRDefault="00A50F4E" w:rsidP="00A50F4E">
      <w:pPr>
        <w:spacing w:line="276" w:lineRule="auto"/>
        <w:jc w:val="both"/>
        <w:rPr>
          <w:rFonts w:ascii="Arial" w:eastAsia="Calibri" w:hAnsi="Arial" w:cs="Arial"/>
          <w:sz w:val="22"/>
          <w:lang w:val="es-ES"/>
        </w:rPr>
      </w:pPr>
    </w:p>
    <w:p w14:paraId="7BEE5A5B" w14:textId="77777777" w:rsidR="00A50F4E" w:rsidRPr="00284E15" w:rsidRDefault="00A50F4E" w:rsidP="00A50F4E">
      <w:pPr>
        <w:tabs>
          <w:tab w:val="left" w:pos="426"/>
        </w:tabs>
        <w:jc w:val="both"/>
        <w:rPr>
          <w:rFonts w:ascii="Arial" w:eastAsia="Calibri" w:hAnsi="Arial" w:cs="Arial"/>
          <w:b/>
          <w:color w:val="000000" w:themeColor="text1"/>
          <w:sz w:val="22"/>
        </w:rPr>
      </w:pPr>
      <w:r w:rsidRPr="00284E15">
        <w:rPr>
          <w:rFonts w:ascii="Arial" w:eastAsia="Calibri" w:hAnsi="Arial" w:cs="Arial"/>
          <w:b/>
          <w:color w:val="000000" w:themeColor="text1"/>
          <w:sz w:val="22"/>
        </w:rPr>
        <w:t>2.1. Publicidad de los contratos en el Sistema Electrónico de Contratación Pública –SECOP–</w:t>
      </w:r>
    </w:p>
    <w:p w14:paraId="020D5604" w14:textId="77777777" w:rsidR="00A50F4E" w:rsidRPr="00115DED" w:rsidRDefault="00A50F4E" w:rsidP="00A50F4E">
      <w:pPr>
        <w:tabs>
          <w:tab w:val="left" w:pos="426"/>
        </w:tabs>
        <w:jc w:val="both"/>
        <w:rPr>
          <w:rFonts w:ascii="Arial" w:eastAsia="Calibri" w:hAnsi="Arial" w:cs="Arial"/>
          <w:b/>
          <w:color w:val="000000" w:themeColor="text1"/>
          <w:sz w:val="22"/>
          <w:highlight w:val="yellow"/>
        </w:rPr>
      </w:pPr>
    </w:p>
    <w:p w14:paraId="54A97BCB" w14:textId="77777777" w:rsidR="00A50F4E" w:rsidRPr="00115DED" w:rsidRDefault="00A50F4E" w:rsidP="00A50F4E">
      <w:pPr>
        <w:spacing w:after="120" w:line="276" w:lineRule="auto"/>
        <w:jc w:val="both"/>
        <w:rPr>
          <w:rFonts w:ascii="Arial" w:hAnsi="Arial" w:cs="Arial"/>
          <w:color w:val="000000" w:themeColor="text1"/>
          <w:sz w:val="22"/>
          <w:highlight w:val="yellow"/>
        </w:rPr>
      </w:pPr>
      <w:r w:rsidRPr="00284E15">
        <w:rPr>
          <w:rFonts w:ascii="Arial" w:eastAsia="Calibri" w:hAnsi="Arial" w:cs="Arial"/>
          <w:bCs/>
          <w:color w:val="000000" w:themeColor="text1"/>
          <w:sz w:val="22"/>
        </w:rPr>
        <w:lastRenderedPageBreak/>
        <w:t>La Agencia Nacional de Contratación Pública – Colombia Compra Eficiente estudió por primera vez este tema en la consulta No. 4201913000005397 del 9 de agosto de 2019 y reiteró la posición en las siguientes consultas: 4201912000006611 del 25 de septiembre de 2019, 4201913000006847 del 4 de octubre de 2019, 4201912000007762 del 18 de noviembre de 2019, 4201912000007828 del 13 de noviembre de 2019 y finalmente en la consulta CU-003 del 15 de enero de 2020. En todas sostuvo la idea que se reitera a continuación:</w:t>
      </w:r>
    </w:p>
    <w:p w14:paraId="04FEF843" w14:textId="77777777" w:rsidR="00A50F4E" w:rsidRDefault="00A50F4E" w:rsidP="00A50F4E">
      <w:pPr>
        <w:spacing w:line="276" w:lineRule="auto"/>
        <w:ind w:firstLine="709"/>
        <w:jc w:val="both"/>
        <w:rPr>
          <w:rFonts w:ascii="Arial" w:eastAsia="Calibri" w:hAnsi="Arial" w:cs="Arial"/>
          <w:color w:val="000000" w:themeColor="text1"/>
          <w:sz w:val="22"/>
        </w:rPr>
      </w:pPr>
      <w:r w:rsidRPr="00284E15">
        <w:rPr>
          <w:rFonts w:ascii="Arial" w:eastAsia="Calibri" w:hAnsi="Arial" w:cs="Arial"/>
          <w:color w:val="000000" w:themeColor="text1"/>
          <w:sz w:val="22"/>
        </w:rPr>
        <w:t>Para la Corte Constitucional, el principio de publicidad es la garantía que tienen las personas de conocer las actuaciones judiciales y administrativas y con base en ese conocimiento tener la posibilidad de exigir que se surtan conforme a la ley:</w:t>
      </w:r>
    </w:p>
    <w:p w14:paraId="4486E0D5" w14:textId="77777777" w:rsidR="00A50F4E" w:rsidRPr="00284E15" w:rsidRDefault="00A50F4E" w:rsidP="00A50F4E">
      <w:pPr>
        <w:spacing w:line="276" w:lineRule="auto"/>
        <w:ind w:firstLine="709"/>
        <w:jc w:val="both"/>
        <w:rPr>
          <w:rFonts w:ascii="Arial" w:hAnsi="Arial" w:cs="Arial"/>
          <w:color w:val="000000" w:themeColor="text1"/>
          <w:sz w:val="22"/>
        </w:rPr>
      </w:pPr>
      <w:r w:rsidRPr="00284E15">
        <w:rPr>
          <w:rFonts w:ascii="Arial" w:eastAsia="Calibri" w:hAnsi="Arial" w:cs="Arial"/>
          <w:color w:val="000000" w:themeColor="text1"/>
          <w:sz w:val="22"/>
        </w:rPr>
        <w:t xml:space="preserve"> </w:t>
      </w:r>
    </w:p>
    <w:p w14:paraId="056C1197" w14:textId="77777777" w:rsidR="00A50F4E" w:rsidRPr="00284E15" w:rsidRDefault="00A50F4E" w:rsidP="00A50F4E">
      <w:pPr>
        <w:tabs>
          <w:tab w:val="left" w:pos="3885"/>
        </w:tabs>
        <w:ind w:left="709" w:right="709"/>
        <w:jc w:val="both"/>
        <w:rPr>
          <w:rFonts w:ascii="Arial" w:hAnsi="Arial" w:cs="Arial"/>
          <w:color w:val="000000" w:themeColor="text1"/>
          <w:sz w:val="21"/>
          <w:szCs w:val="21"/>
        </w:rPr>
      </w:pPr>
      <w:r w:rsidRPr="00284E15">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1DEB88E7" w14:textId="77777777" w:rsidR="00A50F4E" w:rsidRPr="00284E15" w:rsidRDefault="00A50F4E" w:rsidP="00A50F4E">
      <w:pPr>
        <w:tabs>
          <w:tab w:val="left" w:pos="3885"/>
        </w:tabs>
        <w:ind w:left="709" w:right="709"/>
        <w:jc w:val="both"/>
        <w:rPr>
          <w:rFonts w:ascii="Arial" w:hAnsi="Arial" w:cs="Arial"/>
          <w:color w:val="000000" w:themeColor="text1"/>
          <w:sz w:val="21"/>
          <w:szCs w:val="21"/>
        </w:rPr>
      </w:pPr>
    </w:p>
    <w:p w14:paraId="6FEFBE7C" w14:textId="77777777" w:rsidR="00A50F4E" w:rsidRPr="00284E15" w:rsidRDefault="00A50F4E" w:rsidP="00A50F4E">
      <w:pPr>
        <w:tabs>
          <w:tab w:val="left" w:pos="3885"/>
          <w:tab w:val="left" w:pos="8222"/>
        </w:tabs>
        <w:spacing w:line="276" w:lineRule="auto"/>
        <w:ind w:left="709" w:right="709"/>
        <w:jc w:val="both"/>
        <w:rPr>
          <w:rFonts w:ascii="Arial" w:eastAsia="Calibri" w:hAnsi="Arial" w:cs="Arial"/>
          <w:color w:val="000000" w:themeColor="text1"/>
          <w:sz w:val="21"/>
          <w:szCs w:val="21"/>
        </w:rPr>
      </w:pPr>
      <w:r w:rsidRPr="00284E15">
        <w:rPr>
          <w:rFonts w:ascii="Arial" w:hAnsi="Arial" w:cs="Arial"/>
          <w:color w:val="000000" w:themeColor="text1"/>
          <w:sz w:val="21"/>
          <w:szCs w:val="21"/>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284E15">
        <w:rPr>
          <w:rFonts w:ascii="Arial" w:hAnsi="Arial" w:cs="Arial"/>
          <w:color w:val="000000" w:themeColor="text1"/>
          <w:sz w:val="21"/>
          <w:szCs w:val="21"/>
        </w:rPr>
        <w:t>autoridades públicas</w:t>
      </w:r>
      <w:proofErr w:type="gramEnd"/>
      <w:r w:rsidRPr="00284E15">
        <w:rPr>
          <w:rFonts w:ascii="Arial" w:hAnsi="Arial" w:cs="Arial"/>
          <w:color w:val="000000" w:themeColor="text1"/>
          <w:sz w:val="21"/>
          <w:szCs w:val="21"/>
        </w:rPr>
        <w:t xml:space="preserve"> y, a través de ese conocimiento, a exigir que ellas se surtan conforme a la ley</w:t>
      </w:r>
      <w:r w:rsidRPr="00284E15">
        <w:rPr>
          <w:rStyle w:val="Refdenotaalpie"/>
          <w:rFonts w:ascii="Arial" w:eastAsia="Calibri" w:hAnsi="Arial" w:cs="Arial"/>
          <w:color w:val="000000" w:themeColor="text1"/>
          <w:sz w:val="21"/>
          <w:szCs w:val="21"/>
        </w:rPr>
        <w:footnoteReference w:id="5"/>
      </w:r>
      <w:r w:rsidRPr="00284E15">
        <w:rPr>
          <w:rFonts w:ascii="Arial" w:eastAsia="Calibri" w:hAnsi="Arial" w:cs="Arial"/>
          <w:color w:val="000000" w:themeColor="text1"/>
          <w:sz w:val="21"/>
          <w:szCs w:val="21"/>
        </w:rPr>
        <w:t>.</w:t>
      </w:r>
    </w:p>
    <w:p w14:paraId="5B6BA091" w14:textId="77777777" w:rsidR="00A50F4E" w:rsidRDefault="00A50F4E" w:rsidP="00A50F4E">
      <w:pPr>
        <w:spacing w:line="276" w:lineRule="auto"/>
        <w:ind w:firstLine="709"/>
        <w:jc w:val="both"/>
        <w:rPr>
          <w:rFonts w:ascii="Arial" w:eastAsia="Calibri" w:hAnsi="Arial" w:cs="Arial"/>
          <w:color w:val="000000" w:themeColor="text1"/>
          <w:sz w:val="22"/>
        </w:rPr>
      </w:pPr>
    </w:p>
    <w:p w14:paraId="4AFBCEE4" w14:textId="77777777" w:rsidR="00A50F4E" w:rsidRPr="00284E15" w:rsidRDefault="00A50F4E" w:rsidP="00A50F4E">
      <w:pPr>
        <w:spacing w:after="120" w:line="276" w:lineRule="auto"/>
        <w:ind w:firstLine="709"/>
        <w:jc w:val="both"/>
        <w:rPr>
          <w:rFonts w:ascii="Arial" w:eastAsia="Calibri" w:hAnsi="Arial" w:cs="Arial"/>
          <w:color w:val="000000" w:themeColor="text1"/>
          <w:sz w:val="22"/>
        </w:rPr>
      </w:pPr>
      <w:r w:rsidRPr="00284E15">
        <w:rPr>
          <w:rFonts w:ascii="Arial" w:eastAsia="Calibri" w:hAnsi="Arial" w:cs="Arial"/>
          <w:color w:val="000000" w:themeColor="text1"/>
          <w:sz w:val="22"/>
        </w:rPr>
        <w:t xml:space="preserve">El principio de publicidad impone a las autoridades administrativas el deber de dar a conocer sus actos, contratos y decisiones, para que se divulguen y eventualmente se controlen las actuaciones. </w:t>
      </w:r>
    </w:p>
    <w:p w14:paraId="393CD01A" w14:textId="77777777" w:rsidR="00A50F4E" w:rsidRPr="00284E15" w:rsidRDefault="00A50F4E" w:rsidP="00A50F4E">
      <w:pPr>
        <w:spacing w:after="120" w:line="276" w:lineRule="auto"/>
        <w:ind w:firstLine="709"/>
        <w:jc w:val="both"/>
        <w:rPr>
          <w:rFonts w:ascii="Arial" w:eastAsia="Calibri" w:hAnsi="Arial" w:cs="Arial"/>
          <w:color w:val="000000" w:themeColor="text1"/>
          <w:sz w:val="22"/>
        </w:rPr>
      </w:pPr>
      <w:r w:rsidRPr="00284E15">
        <w:rPr>
          <w:rFonts w:ascii="Arial" w:eastAsia="Calibri" w:hAnsi="Arial"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284E15">
        <w:rPr>
          <w:rStyle w:val="Refdenotaalpie"/>
          <w:rFonts w:ascii="Arial" w:eastAsia="Calibri" w:hAnsi="Arial" w:cs="Arial"/>
          <w:color w:val="000000" w:themeColor="text1"/>
          <w:sz w:val="22"/>
        </w:rPr>
        <w:footnoteReference w:id="6"/>
      </w:r>
      <w:r w:rsidRPr="00284E15">
        <w:rPr>
          <w:rFonts w:ascii="Arial" w:eastAsia="Calibri" w:hAnsi="Arial" w:cs="Arial"/>
          <w:color w:val="000000" w:themeColor="text1"/>
          <w:sz w:val="22"/>
        </w:rPr>
        <w:t xml:space="preserve">. </w:t>
      </w:r>
    </w:p>
    <w:p w14:paraId="6D085607" w14:textId="77777777" w:rsidR="00A50F4E" w:rsidRPr="00284E15" w:rsidRDefault="00A50F4E" w:rsidP="00A50F4E">
      <w:pPr>
        <w:spacing w:after="120" w:line="276" w:lineRule="auto"/>
        <w:ind w:firstLine="709"/>
        <w:jc w:val="both"/>
        <w:rPr>
          <w:rFonts w:ascii="Arial" w:eastAsia="Calibri" w:hAnsi="Arial" w:cs="Arial"/>
          <w:color w:val="000000" w:themeColor="text1"/>
          <w:sz w:val="22"/>
        </w:rPr>
      </w:pPr>
      <w:r w:rsidRPr="00284E15">
        <w:rPr>
          <w:rFonts w:ascii="Arial" w:hAnsi="Arial" w:cs="Arial"/>
          <w:color w:val="000000" w:themeColor="text1"/>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284E15">
        <w:rPr>
          <w:rStyle w:val="Refdenotaalpie"/>
          <w:rFonts w:ascii="Arial" w:hAnsi="Arial" w:cs="Arial"/>
          <w:color w:val="000000" w:themeColor="text1"/>
          <w:sz w:val="22"/>
        </w:rPr>
        <w:footnoteReference w:id="7"/>
      </w:r>
      <w:r w:rsidRPr="00284E15">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73D9298D" w14:textId="77777777" w:rsidR="00A50F4E" w:rsidRPr="00284E15" w:rsidRDefault="00A50F4E" w:rsidP="00A50F4E">
      <w:pPr>
        <w:pStyle w:val="NormalWeb"/>
        <w:spacing w:before="0" w:beforeAutospacing="0" w:after="120" w:afterAutospacing="0" w:line="276" w:lineRule="auto"/>
        <w:ind w:firstLine="709"/>
        <w:jc w:val="both"/>
        <w:rPr>
          <w:rFonts w:ascii="Arial" w:eastAsiaTheme="minorHAnsi" w:hAnsi="Arial" w:cs="Arial"/>
          <w:color w:val="000000" w:themeColor="text1"/>
          <w:sz w:val="22"/>
          <w:szCs w:val="22"/>
          <w:lang w:eastAsia="en-US"/>
        </w:rPr>
      </w:pPr>
      <w:r w:rsidRPr="00284E15">
        <w:rPr>
          <w:rFonts w:ascii="Arial" w:eastAsiaTheme="minorHAnsi" w:hAnsi="Arial" w:cs="Arial"/>
          <w:color w:val="000000" w:themeColor="text1"/>
          <w:sz w:val="22"/>
          <w:szCs w:val="22"/>
          <w:lang w:eastAsia="en-US"/>
        </w:rPr>
        <w:t>La ley citada establece, en el literal e) del artículo 9, que los sujetos obligados, que son todas las entidades públicas</w:t>
      </w:r>
      <w:r w:rsidRPr="00284E15">
        <w:rPr>
          <w:rStyle w:val="Refdenotaalpie"/>
          <w:rFonts w:ascii="Arial" w:eastAsiaTheme="minorHAnsi" w:hAnsi="Arial" w:cs="Arial"/>
          <w:color w:val="000000" w:themeColor="text1"/>
          <w:sz w:val="22"/>
          <w:szCs w:val="22"/>
          <w:lang w:eastAsia="en-US"/>
        </w:rPr>
        <w:footnoteReference w:id="8"/>
      </w:r>
      <w:r w:rsidRPr="00284E15">
        <w:rPr>
          <w:rFonts w:ascii="Arial" w:eastAsiaTheme="minorHAnsi" w:hAnsi="Arial" w:cs="Arial"/>
          <w:color w:val="000000" w:themeColor="text1"/>
          <w:sz w:val="22"/>
          <w:szCs w:val="22"/>
          <w:lang w:eastAsia="en-US"/>
        </w:rPr>
        <w:t>, deben publicar la información relativa a su contratación. Esta obligación fue desarrollada por el Decreto Único Reglamentario 1081 de 2015</w:t>
      </w:r>
      <w:r w:rsidRPr="00284E15">
        <w:rPr>
          <w:rStyle w:val="Refdenotaalpie"/>
          <w:rFonts w:ascii="Arial" w:eastAsiaTheme="minorHAnsi" w:hAnsi="Arial" w:cs="Arial"/>
          <w:color w:val="000000" w:themeColor="text1"/>
          <w:sz w:val="22"/>
          <w:szCs w:val="22"/>
          <w:lang w:eastAsia="en-US"/>
        </w:rPr>
        <w:footnoteReference w:id="9"/>
      </w:r>
      <w:r w:rsidRPr="00284E15">
        <w:rPr>
          <w:rFonts w:ascii="Arial" w:eastAsiaTheme="minorHAnsi" w:hAnsi="Arial" w:cs="Arial"/>
          <w:color w:val="000000" w:themeColor="text1"/>
          <w:sz w:val="22"/>
          <w:szCs w:val="22"/>
          <w:lang w:eastAsia="en-US"/>
        </w:rPr>
        <w:t>, el cual dispuso que la publicación de la información contractual de los sujetos obligados, que contratan con cargo a recursos públicos, debe hacerse en el Sistema Electrónico de Contratación Pública ─</w:t>
      </w:r>
      <w:r w:rsidRPr="00284E15">
        <w:rPr>
          <w:rFonts w:ascii="Arial" w:eastAsiaTheme="minorHAnsi" w:hAnsi="Arial" w:cs="Arial"/>
          <w:color w:val="000000" w:themeColor="text1"/>
          <w:sz w:val="22"/>
          <w:szCs w:val="22"/>
          <w:lang w:eastAsia="en-US"/>
        </w:rPr>
        <w:softHyphen/>
        <w:t xml:space="preserve"> </w:t>
      </w:r>
      <w:r w:rsidRPr="00284E15">
        <w:rPr>
          <w:rFonts w:ascii="Arial" w:eastAsiaTheme="minorHAnsi" w:hAnsi="Arial" w:cs="Arial"/>
          <w:color w:val="000000" w:themeColor="text1"/>
          <w:sz w:val="22"/>
          <w:szCs w:val="22"/>
          <w:lang w:eastAsia="en-US"/>
        </w:rPr>
        <w:softHyphen/>
        <w:t>SECOP.</w:t>
      </w:r>
    </w:p>
    <w:p w14:paraId="6D1BEC59" w14:textId="77777777" w:rsidR="00A50F4E" w:rsidRPr="00284E15" w:rsidRDefault="00A50F4E" w:rsidP="00A50F4E">
      <w:pPr>
        <w:spacing w:line="276" w:lineRule="auto"/>
        <w:ind w:firstLine="709"/>
        <w:jc w:val="both"/>
        <w:rPr>
          <w:rFonts w:ascii="Arial" w:hAnsi="Arial" w:cs="Arial"/>
          <w:color w:val="000000" w:themeColor="text1"/>
          <w:sz w:val="22"/>
        </w:rPr>
      </w:pPr>
      <w:r w:rsidRPr="00284E15">
        <w:rPr>
          <w:rFonts w:ascii="Arial" w:hAnsi="Arial" w:cs="Arial"/>
          <w:color w:val="000000" w:themeColor="text1"/>
          <w:sz w:val="22"/>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63470259" w14:textId="77777777" w:rsidR="00A50F4E" w:rsidRPr="00284E15" w:rsidRDefault="00A50F4E" w:rsidP="00A50F4E">
      <w:pPr>
        <w:spacing w:after="120" w:line="276" w:lineRule="auto"/>
        <w:ind w:firstLine="709"/>
        <w:jc w:val="both"/>
        <w:rPr>
          <w:rFonts w:ascii="Arial" w:eastAsia="Calibri" w:hAnsi="Arial" w:cs="Arial"/>
          <w:color w:val="000000" w:themeColor="text1"/>
          <w:sz w:val="22"/>
        </w:rPr>
      </w:pPr>
      <w:r w:rsidRPr="00284E15">
        <w:rPr>
          <w:rFonts w:ascii="Arial" w:eastAsia="Calibri" w:hAnsi="Arial" w:cs="Arial"/>
          <w:color w:val="000000" w:themeColor="text1"/>
          <w:sz w:val="22"/>
        </w:rPr>
        <w:t xml:space="preserve">El derecho de acceso a la información pública o de interés público permite a toda persona, sin necesidad de acreditar calidad, interés o condición particular, conocer la </w:t>
      </w:r>
      <w:r w:rsidRPr="00284E15">
        <w:rPr>
          <w:rFonts w:ascii="Arial" w:eastAsia="Calibri" w:hAnsi="Arial" w:cs="Arial"/>
          <w:color w:val="000000" w:themeColor="text1"/>
          <w:sz w:val="22"/>
        </w:rPr>
        <w:lastRenderedPageBreak/>
        <w:t>existencia de información pública, acceder a la misma y difundirla o publicarla, según su interés</w:t>
      </w:r>
      <w:r w:rsidRPr="00284E15">
        <w:rPr>
          <w:rStyle w:val="Refdenotaalpie"/>
          <w:rFonts w:ascii="Arial" w:eastAsia="Calibri" w:hAnsi="Arial" w:cs="Arial"/>
          <w:color w:val="000000" w:themeColor="text1"/>
          <w:sz w:val="22"/>
        </w:rPr>
        <w:footnoteReference w:id="10"/>
      </w:r>
      <w:r w:rsidRPr="00284E15">
        <w:rPr>
          <w:rFonts w:ascii="Arial" w:eastAsia="Calibri" w:hAnsi="Arial" w:cs="Arial"/>
          <w:color w:val="000000" w:themeColor="text1"/>
          <w:sz w:val="22"/>
        </w:rPr>
        <w:t>.</w:t>
      </w:r>
    </w:p>
    <w:p w14:paraId="3631FF74" w14:textId="77777777" w:rsidR="00A50F4E" w:rsidRPr="00284E15" w:rsidRDefault="00A50F4E" w:rsidP="00A50F4E">
      <w:pPr>
        <w:spacing w:after="120" w:line="276" w:lineRule="auto"/>
        <w:ind w:firstLine="709"/>
        <w:jc w:val="both"/>
        <w:rPr>
          <w:rFonts w:ascii="Arial" w:hAnsi="Arial" w:cs="Arial"/>
          <w:color w:val="000000" w:themeColor="text1"/>
          <w:sz w:val="22"/>
        </w:rPr>
      </w:pPr>
      <w:r w:rsidRPr="00284E15">
        <w:rPr>
          <w:rFonts w:ascii="Arial" w:hAnsi="Arial" w:cs="Arial"/>
          <w:color w:val="000000" w:themeColor="text1"/>
          <w:sz w:val="22"/>
        </w:rPr>
        <w:t>Para el año 2013, la Agencia Nacional de Contratación Pública ─ Colombia Compra Eficiente, mediante la mediante la Circular Externa No 1 del</w:t>
      </w:r>
      <w:r w:rsidRPr="00284E15">
        <w:rPr>
          <w:color w:val="000000" w:themeColor="text1"/>
          <w:sz w:val="22"/>
        </w:rPr>
        <w:t xml:space="preserve"> </w:t>
      </w:r>
      <w:r w:rsidRPr="00284E15">
        <w:rPr>
          <w:rFonts w:ascii="Arial" w:hAnsi="Arial" w:cs="Arial"/>
          <w:color w:val="000000" w:themeColor="text1"/>
          <w:sz w:val="22"/>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284E15">
        <w:rPr>
          <w:rStyle w:val="Refdenotaalpie"/>
          <w:rFonts w:ascii="Arial" w:hAnsi="Arial" w:cs="Arial"/>
          <w:color w:val="000000" w:themeColor="text1"/>
          <w:sz w:val="22"/>
        </w:rPr>
        <w:footnoteReference w:id="11"/>
      </w:r>
      <w:r w:rsidRPr="00284E15">
        <w:rPr>
          <w:rFonts w:ascii="Arial" w:hAnsi="Arial" w:cs="Arial"/>
          <w:color w:val="000000" w:themeColor="text1"/>
          <w:sz w:val="22"/>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3721C6EE" w14:textId="77777777" w:rsidR="00A50F4E" w:rsidRPr="00284E15" w:rsidRDefault="00A50F4E" w:rsidP="00A50F4E">
      <w:pPr>
        <w:spacing w:line="276" w:lineRule="auto"/>
        <w:ind w:firstLine="709"/>
        <w:jc w:val="both"/>
        <w:rPr>
          <w:rFonts w:ascii="Arial" w:hAnsi="Arial" w:cs="Arial"/>
          <w:color w:val="000000" w:themeColor="text1"/>
          <w:sz w:val="22"/>
        </w:rPr>
      </w:pPr>
      <w:r w:rsidRPr="00284E15">
        <w:rPr>
          <w:rFonts w:ascii="Arial" w:hAnsi="Arial" w:cs="Arial"/>
          <w:color w:val="000000" w:themeColor="text1"/>
          <w:sz w:val="22"/>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25D95E5F" w14:textId="77777777" w:rsidR="00A50F4E" w:rsidRPr="00284E15" w:rsidRDefault="00A50F4E" w:rsidP="00A50F4E">
      <w:pPr>
        <w:spacing w:line="276" w:lineRule="auto"/>
        <w:jc w:val="both"/>
        <w:rPr>
          <w:rFonts w:ascii="Arial" w:hAnsi="Arial" w:cs="Arial"/>
          <w:color w:val="000000" w:themeColor="text1"/>
          <w:sz w:val="22"/>
        </w:rPr>
      </w:pPr>
    </w:p>
    <w:p w14:paraId="1F06280C" w14:textId="77777777" w:rsidR="00A50F4E" w:rsidRPr="00284E15" w:rsidRDefault="00A50F4E" w:rsidP="00A50F4E">
      <w:pPr>
        <w:tabs>
          <w:tab w:val="left" w:pos="3885"/>
        </w:tabs>
        <w:ind w:left="709" w:right="709"/>
        <w:jc w:val="both"/>
        <w:rPr>
          <w:rFonts w:ascii="Arial" w:hAnsi="Arial" w:cs="Arial"/>
          <w:color w:val="000000" w:themeColor="text1"/>
          <w:sz w:val="21"/>
          <w:szCs w:val="21"/>
        </w:rPr>
      </w:pPr>
      <w:r w:rsidRPr="00284E15">
        <w:rPr>
          <w:rFonts w:ascii="Arial" w:hAnsi="Arial" w:cs="Arial"/>
          <w:color w:val="000000" w:themeColor="text1"/>
          <w:sz w:val="21"/>
          <w:szCs w:val="21"/>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4A3B1D6A" w14:textId="77777777" w:rsidR="00A50F4E" w:rsidRPr="00284E15" w:rsidRDefault="00A50F4E" w:rsidP="00A50F4E">
      <w:pPr>
        <w:tabs>
          <w:tab w:val="left" w:pos="3885"/>
        </w:tabs>
        <w:ind w:left="709" w:right="709"/>
        <w:jc w:val="both"/>
        <w:rPr>
          <w:rFonts w:ascii="Arial" w:hAnsi="Arial" w:cs="Arial"/>
          <w:color w:val="000000" w:themeColor="text1"/>
          <w:sz w:val="21"/>
          <w:szCs w:val="21"/>
        </w:rPr>
      </w:pPr>
    </w:p>
    <w:p w14:paraId="58E4492B" w14:textId="77777777" w:rsidR="00A50F4E" w:rsidRPr="00284E15" w:rsidRDefault="00A50F4E" w:rsidP="00A50F4E">
      <w:pPr>
        <w:tabs>
          <w:tab w:val="left" w:pos="3885"/>
        </w:tabs>
        <w:ind w:left="709" w:right="709"/>
        <w:jc w:val="both"/>
        <w:rPr>
          <w:rFonts w:ascii="Arial" w:hAnsi="Arial" w:cs="Arial"/>
          <w:color w:val="000000" w:themeColor="text1"/>
          <w:sz w:val="21"/>
          <w:szCs w:val="21"/>
        </w:rPr>
      </w:pPr>
      <w:r w:rsidRPr="00284E15">
        <w:rPr>
          <w:rFonts w:ascii="Arial" w:hAnsi="Arial" w:cs="Arial"/>
          <w:color w:val="000000" w:themeColor="text1"/>
          <w:sz w:val="21"/>
          <w:szCs w:val="21"/>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284E15">
        <w:rPr>
          <w:rFonts w:ascii="Arial" w:hAnsi="Arial" w:cs="Arial"/>
          <w:color w:val="000000" w:themeColor="text1"/>
          <w:sz w:val="21"/>
          <w:szCs w:val="21"/>
        </w:rPr>
        <w:t>en razón de</w:t>
      </w:r>
      <w:proofErr w:type="gramEnd"/>
      <w:r w:rsidRPr="00284E15">
        <w:rPr>
          <w:rFonts w:ascii="Arial" w:hAnsi="Arial" w:cs="Arial"/>
          <w:color w:val="000000" w:themeColor="text1"/>
          <w:sz w:val="21"/>
          <w:szCs w:val="21"/>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48D7D268" w14:textId="77777777" w:rsidR="00A50F4E" w:rsidRPr="00284E15" w:rsidRDefault="00A50F4E" w:rsidP="00A50F4E">
      <w:pPr>
        <w:tabs>
          <w:tab w:val="left" w:pos="3885"/>
        </w:tabs>
        <w:ind w:left="709" w:right="709"/>
        <w:jc w:val="both"/>
        <w:rPr>
          <w:rFonts w:ascii="Arial" w:hAnsi="Arial" w:cs="Arial"/>
          <w:color w:val="000000" w:themeColor="text1"/>
          <w:sz w:val="21"/>
          <w:szCs w:val="21"/>
        </w:rPr>
      </w:pPr>
      <w:r w:rsidRPr="00284E15">
        <w:rPr>
          <w:rFonts w:ascii="Arial" w:hAnsi="Arial" w:cs="Arial"/>
          <w:color w:val="000000" w:themeColor="text1"/>
          <w:sz w:val="21"/>
          <w:szCs w:val="21"/>
        </w:rPr>
        <w:t>[…]</w:t>
      </w:r>
    </w:p>
    <w:p w14:paraId="1AAFCD2E" w14:textId="77777777" w:rsidR="00A50F4E" w:rsidRPr="00284E15" w:rsidRDefault="00A50F4E" w:rsidP="00A50F4E">
      <w:pPr>
        <w:tabs>
          <w:tab w:val="left" w:pos="3885"/>
        </w:tabs>
        <w:spacing w:line="276" w:lineRule="auto"/>
        <w:ind w:left="709" w:right="709"/>
        <w:jc w:val="both"/>
        <w:rPr>
          <w:rFonts w:ascii="Arial" w:hAnsi="Arial" w:cs="Arial"/>
          <w:color w:val="000000" w:themeColor="text1"/>
          <w:sz w:val="21"/>
          <w:szCs w:val="21"/>
        </w:rPr>
      </w:pPr>
      <w:r w:rsidRPr="00284E15">
        <w:rPr>
          <w:rFonts w:ascii="Arial" w:hAnsi="Arial" w:cs="Arial"/>
          <w:color w:val="000000" w:themeColor="text1"/>
          <w:sz w:val="21"/>
          <w:szCs w:val="21"/>
        </w:rPr>
        <w:t xml:space="preserve">Así, lo que resulta también razonable afirmar es que el aludido deber de informar ya se encontraba bien dispuesto y definido desde el precepto legal de 2007, </w:t>
      </w:r>
      <w:r w:rsidRPr="00284E15">
        <w:rPr>
          <w:rFonts w:ascii="Arial" w:hAnsi="Arial" w:cs="Arial"/>
          <w:color w:val="000000" w:themeColor="text1"/>
          <w:sz w:val="21"/>
          <w:szCs w:val="21"/>
        </w:rPr>
        <w:lastRenderedPageBreak/>
        <w:t>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284E15">
        <w:rPr>
          <w:rStyle w:val="Refdenotaalpie"/>
          <w:rFonts w:ascii="Arial" w:hAnsi="Arial" w:cs="Arial"/>
          <w:color w:val="000000" w:themeColor="text1"/>
          <w:sz w:val="21"/>
          <w:szCs w:val="21"/>
        </w:rPr>
        <w:footnoteReference w:id="12"/>
      </w:r>
      <w:r w:rsidRPr="00284E15">
        <w:rPr>
          <w:rStyle w:val="Refdenotaalpie"/>
          <w:rFonts w:ascii="Arial" w:hAnsi="Arial" w:cs="Arial"/>
          <w:color w:val="000000" w:themeColor="text1"/>
          <w:sz w:val="21"/>
          <w:szCs w:val="21"/>
        </w:rPr>
        <w:t>.</w:t>
      </w:r>
    </w:p>
    <w:p w14:paraId="655F18AD" w14:textId="77777777" w:rsidR="00A50F4E" w:rsidRPr="00284E15" w:rsidRDefault="00A50F4E" w:rsidP="00A50F4E">
      <w:pPr>
        <w:tabs>
          <w:tab w:val="left" w:pos="3885"/>
        </w:tabs>
        <w:spacing w:line="276" w:lineRule="auto"/>
        <w:ind w:left="709" w:right="709"/>
        <w:jc w:val="both"/>
        <w:rPr>
          <w:rFonts w:ascii="Arial" w:hAnsi="Arial" w:cs="Arial"/>
          <w:color w:val="000000" w:themeColor="text1"/>
          <w:sz w:val="21"/>
          <w:szCs w:val="21"/>
        </w:rPr>
      </w:pPr>
    </w:p>
    <w:p w14:paraId="0C42A32E" w14:textId="77777777" w:rsidR="00A50F4E" w:rsidRPr="00284E15" w:rsidRDefault="00A50F4E" w:rsidP="00A50F4E">
      <w:pPr>
        <w:spacing w:line="276" w:lineRule="auto"/>
        <w:ind w:firstLine="708"/>
        <w:jc w:val="both"/>
        <w:rPr>
          <w:rFonts w:ascii="Arial" w:hAnsi="Arial" w:cs="Arial"/>
          <w:color w:val="000000" w:themeColor="text1"/>
          <w:sz w:val="22"/>
        </w:rPr>
      </w:pPr>
      <w:r w:rsidRPr="00284E15">
        <w:rPr>
          <w:rFonts w:ascii="Arial" w:hAnsi="Arial" w:cs="Arial"/>
          <w:color w:val="000000" w:themeColor="text1"/>
          <w:sz w:val="22"/>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737AD8A0" w14:textId="77777777" w:rsidR="00A50F4E" w:rsidRPr="00284E15" w:rsidRDefault="00A50F4E" w:rsidP="00A50F4E">
      <w:pPr>
        <w:ind w:firstLine="708"/>
        <w:jc w:val="both"/>
        <w:rPr>
          <w:rFonts w:ascii="Arial" w:hAnsi="Arial" w:cs="Arial"/>
          <w:color w:val="000000" w:themeColor="text1"/>
          <w:sz w:val="22"/>
        </w:rPr>
      </w:pPr>
    </w:p>
    <w:p w14:paraId="4AD565D0" w14:textId="77777777" w:rsidR="00A50F4E" w:rsidRPr="00284E15" w:rsidRDefault="00A50F4E" w:rsidP="00A50F4E">
      <w:pPr>
        <w:spacing w:line="276" w:lineRule="auto"/>
        <w:ind w:leftChars="295" w:left="708" w:right="709"/>
        <w:jc w:val="both"/>
        <w:rPr>
          <w:rFonts w:ascii="Arial" w:hAnsi="Arial" w:cs="Arial"/>
          <w:color w:val="000000" w:themeColor="text1"/>
          <w:sz w:val="21"/>
          <w:szCs w:val="21"/>
        </w:rPr>
      </w:pPr>
      <w:r w:rsidRPr="00284E15">
        <w:rPr>
          <w:rFonts w:ascii="Arial" w:hAnsi="Arial" w:cs="Arial"/>
          <w:color w:val="000000" w:themeColor="text1"/>
          <w:sz w:val="21"/>
          <w:szCs w:val="21"/>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77AFC7C8" w14:textId="77777777" w:rsidR="00A50F4E" w:rsidRPr="00284E15" w:rsidRDefault="00A50F4E" w:rsidP="00A50F4E">
      <w:pPr>
        <w:spacing w:line="276" w:lineRule="auto"/>
        <w:ind w:leftChars="295" w:left="708" w:right="709"/>
        <w:jc w:val="both"/>
        <w:rPr>
          <w:rFonts w:ascii="Arial" w:hAnsi="Arial" w:cs="Arial"/>
          <w:color w:val="000000" w:themeColor="text1"/>
          <w:sz w:val="21"/>
          <w:szCs w:val="21"/>
        </w:rPr>
      </w:pPr>
    </w:p>
    <w:p w14:paraId="2D904116" w14:textId="77777777" w:rsidR="00A50F4E" w:rsidRPr="00284E15" w:rsidRDefault="00A50F4E" w:rsidP="00A50F4E">
      <w:pPr>
        <w:spacing w:after="120" w:line="276" w:lineRule="auto"/>
        <w:ind w:firstLine="709"/>
        <w:jc w:val="both"/>
        <w:rPr>
          <w:rFonts w:ascii="Arial" w:hAnsi="Arial" w:cs="Arial"/>
          <w:color w:val="000000" w:themeColor="text1"/>
          <w:sz w:val="22"/>
        </w:rPr>
      </w:pPr>
      <w:r w:rsidRPr="00284E15">
        <w:rPr>
          <w:rFonts w:ascii="Arial" w:hAnsi="Arial" w:cs="Arial"/>
          <w:color w:val="000000" w:themeColor="text1"/>
          <w:sz w:val="22"/>
        </w:rPr>
        <w:t xml:space="preserve">Nótese, entonces, que el Consejo de Estado asumió como criterio para determinar la obligatoriedad de publicar en el SECOP que la contratación se haga con recursos públicos, conclusión que 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121DC588" w14:textId="77777777" w:rsidR="00A50F4E" w:rsidRPr="00BA7C56" w:rsidRDefault="00A50F4E" w:rsidP="00A50F4E">
      <w:pPr>
        <w:spacing w:line="276" w:lineRule="auto"/>
        <w:ind w:firstLine="708"/>
        <w:jc w:val="both"/>
        <w:rPr>
          <w:rFonts w:ascii="Arial" w:hAnsi="Arial" w:cs="Arial"/>
          <w:color w:val="000000" w:themeColor="text1"/>
          <w:sz w:val="22"/>
        </w:rPr>
      </w:pPr>
      <w:r w:rsidRPr="00284E15">
        <w:rPr>
          <w:rFonts w:ascii="Arial" w:hAnsi="Arial" w:cs="Arial"/>
          <w:color w:val="000000" w:themeColor="text1"/>
          <w:sz w:val="22"/>
        </w:rPr>
        <w:t>Dentro de las razones que consideró el máximo tribunal de lo contencioso administrativo no tuvo en cuenta razones de orden fáctico como las planteadas en la solicitud, relativas a las responsabilidades de las entidades o su posible afectación en la competitividad para aquellas que operan en diferentes mercados. La razón relevante es que si la entidad contrata con dineros públicos debe publicar su proceso de contratación en el SECOP.</w:t>
      </w:r>
      <w:r w:rsidRPr="00BA7C56">
        <w:rPr>
          <w:rFonts w:ascii="Arial" w:hAnsi="Arial" w:cs="Arial"/>
          <w:color w:val="000000" w:themeColor="text1"/>
          <w:sz w:val="22"/>
        </w:rPr>
        <w:t xml:space="preserve"> </w:t>
      </w:r>
    </w:p>
    <w:p w14:paraId="1B2FB266" w14:textId="77777777" w:rsidR="00A50F4E" w:rsidRPr="00F8583D" w:rsidRDefault="00A50F4E" w:rsidP="00A50F4E">
      <w:pPr>
        <w:spacing w:line="276" w:lineRule="auto"/>
        <w:jc w:val="both"/>
        <w:rPr>
          <w:rFonts w:ascii="Arial" w:eastAsia="Calibri" w:hAnsi="Arial" w:cs="Arial"/>
          <w:sz w:val="22"/>
          <w:lang w:val="es-ES"/>
        </w:rPr>
      </w:pPr>
    </w:p>
    <w:p w14:paraId="0FDBAB2E" w14:textId="77777777" w:rsidR="00A50F4E" w:rsidRPr="00F8583D" w:rsidRDefault="00A50F4E" w:rsidP="00A50F4E">
      <w:pPr>
        <w:pStyle w:val="NormalWeb"/>
        <w:spacing w:before="0" w:beforeAutospacing="0" w:after="0" w:afterAutospacing="0" w:line="276" w:lineRule="auto"/>
        <w:ind w:firstLine="708"/>
        <w:jc w:val="both"/>
        <w:rPr>
          <w:rFonts w:ascii="Arial" w:eastAsiaTheme="minorHAnsi" w:hAnsi="Arial" w:cs="Arial"/>
          <w:sz w:val="20"/>
          <w:szCs w:val="20"/>
          <w:lang w:val="es-ES" w:eastAsia="en-US"/>
        </w:rPr>
      </w:pPr>
    </w:p>
    <w:p w14:paraId="7942B90F" w14:textId="77777777" w:rsidR="00A50F4E" w:rsidRPr="00F8583D" w:rsidRDefault="00A50F4E" w:rsidP="00A50F4E">
      <w:pPr>
        <w:tabs>
          <w:tab w:val="left" w:pos="0"/>
        </w:tabs>
        <w:spacing w:line="276" w:lineRule="auto"/>
        <w:jc w:val="both"/>
        <w:rPr>
          <w:rFonts w:ascii="Arial" w:eastAsia="Calibri" w:hAnsi="Arial" w:cs="Arial"/>
          <w:b/>
          <w:sz w:val="22"/>
          <w:lang w:val="es-ES"/>
        </w:rPr>
      </w:pPr>
      <w:r w:rsidRPr="00F8583D">
        <w:rPr>
          <w:rFonts w:ascii="Arial" w:eastAsia="Calibri" w:hAnsi="Arial" w:cs="Arial"/>
          <w:b/>
          <w:sz w:val="22"/>
          <w:lang w:val="es-ES"/>
        </w:rPr>
        <w:t>3. Respuesta</w:t>
      </w:r>
      <w:r>
        <w:rPr>
          <w:rFonts w:ascii="Arial" w:eastAsia="Calibri" w:hAnsi="Arial" w:cs="Arial"/>
          <w:b/>
          <w:sz w:val="22"/>
          <w:lang w:val="es-ES"/>
        </w:rPr>
        <w:t>s</w:t>
      </w:r>
      <w:r w:rsidRPr="00F8583D">
        <w:rPr>
          <w:rFonts w:ascii="Arial" w:eastAsia="Calibri" w:hAnsi="Arial" w:cs="Arial"/>
          <w:b/>
          <w:sz w:val="22"/>
          <w:lang w:val="es-ES"/>
        </w:rPr>
        <w:t xml:space="preserve"> </w:t>
      </w:r>
    </w:p>
    <w:p w14:paraId="0FC25AE1" w14:textId="77777777" w:rsidR="00A50F4E" w:rsidRPr="00F8583D" w:rsidRDefault="00A50F4E" w:rsidP="00A50F4E">
      <w:pPr>
        <w:tabs>
          <w:tab w:val="left" w:pos="0"/>
        </w:tabs>
        <w:spacing w:line="276" w:lineRule="auto"/>
        <w:jc w:val="both"/>
        <w:rPr>
          <w:rFonts w:ascii="Arial" w:eastAsia="Calibri" w:hAnsi="Arial" w:cs="Arial"/>
          <w:sz w:val="20"/>
          <w:szCs w:val="20"/>
          <w:lang w:val="es-ES"/>
        </w:rPr>
      </w:pPr>
    </w:p>
    <w:p w14:paraId="2E2528E7" w14:textId="77777777" w:rsidR="00A50F4E" w:rsidRPr="00F8583D" w:rsidRDefault="00A50F4E" w:rsidP="00A50F4E">
      <w:pPr>
        <w:tabs>
          <w:tab w:val="left" w:pos="426"/>
        </w:tabs>
        <w:ind w:left="709" w:right="709"/>
        <w:jc w:val="both"/>
        <w:rPr>
          <w:rFonts w:ascii="Arial" w:eastAsia="Calibri" w:hAnsi="Arial" w:cs="Arial"/>
          <w:sz w:val="21"/>
          <w:szCs w:val="21"/>
        </w:rPr>
      </w:pPr>
      <w:r w:rsidRPr="00F8583D">
        <w:rPr>
          <w:rFonts w:ascii="Arial" w:eastAsia="Calibri" w:hAnsi="Arial" w:cs="Arial"/>
          <w:sz w:val="21"/>
          <w:szCs w:val="21"/>
        </w:rPr>
        <w:t xml:space="preserve">«[…] 1. ¿Los resguardos indígenas o cabildos indígenas, pueden contratar con un particular la construcción de un salón de eventos ancestrales, sin acudir al estatuto de contratación </w:t>
      </w:r>
      <w:proofErr w:type="spellStart"/>
      <w:r w:rsidRPr="00F8583D">
        <w:rPr>
          <w:rFonts w:ascii="Arial" w:eastAsia="Calibri" w:hAnsi="Arial" w:cs="Arial"/>
          <w:sz w:val="21"/>
          <w:szCs w:val="21"/>
        </w:rPr>
        <w:t>publica</w:t>
      </w:r>
      <w:proofErr w:type="spellEnd"/>
      <w:r w:rsidRPr="00F8583D">
        <w:rPr>
          <w:rFonts w:ascii="Arial" w:eastAsia="Calibri" w:hAnsi="Arial" w:cs="Arial"/>
          <w:sz w:val="21"/>
          <w:szCs w:val="21"/>
        </w:rPr>
        <w:t>? es decir, ¿pueden contratar de manera directa como si fueran particulares, rigiendo sus contratos con la normatividad civil o comercial?</w:t>
      </w:r>
    </w:p>
    <w:p w14:paraId="629F047A" w14:textId="77777777" w:rsidR="00A50F4E" w:rsidRPr="00F8583D" w:rsidRDefault="00A50F4E" w:rsidP="00A50F4E">
      <w:pPr>
        <w:tabs>
          <w:tab w:val="left" w:pos="426"/>
        </w:tabs>
        <w:ind w:left="709" w:right="709"/>
        <w:jc w:val="both"/>
        <w:rPr>
          <w:rFonts w:ascii="Arial" w:eastAsia="Calibri" w:hAnsi="Arial" w:cs="Arial"/>
          <w:sz w:val="21"/>
          <w:szCs w:val="21"/>
        </w:rPr>
      </w:pPr>
    </w:p>
    <w:p w14:paraId="097B9F01" w14:textId="77777777" w:rsidR="00A50F4E" w:rsidRPr="00F8583D" w:rsidRDefault="00A50F4E" w:rsidP="00A50F4E">
      <w:pPr>
        <w:tabs>
          <w:tab w:val="left" w:pos="426"/>
        </w:tabs>
        <w:ind w:left="709" w:right="709"/>
        <w:jc w:val="both"/>
        <w:rPr>
          <w:rFonts w:ascii="Arial" w:eastAsia="Calibri" w:hAnsi="Arial" w:cs="Arial"/>
          <w:sz w:val="21"/>
          <w:szCs w:val="21"/>
        </w:rPr>
      </w:pPr>
      <w:r w:rsidRPr="00F8583D">
        <w:rPr>
          <w:rFonts w:ascii="Arial" w:eastAsia="Calibri" w:hAnsi="Arial" w:cs="Arial"/>
          <w:sz w:val="21"/>
          <w:szCs w:val="21"/>
        </w:rPr>
        <w:t>»2. ¿Los resguardos indígenas o Cabildos indígenas, pueden recibir donaciones de un particular para ejecutar construcciones, (caso dineros provenientes de una concesionaria)? bajo que modalidad legal podrían legalizar dichos dineros o que acuerdos o contratos deben celebrarse para ello?</w:t>
      </w:r>
    </w:p>
    <w:p w14:paraId="668FA54E" w14:textId="77777777" w:rsidR="00A50F4E" w:rsidRPr="00F8583D" w:rsidRDefault="00A50F4E" w:rsidP="00A50F4E">
      <w:pPr>
        <w:tabs>
          <w:tab w:val="left" w:pos="426"/>
        </w:tabs>
        <w:ind w:left="709" w:right="709"/>
        <w:jc w:val="both"/>
        <w:rPr>
          <w:rFonts w:ascii="Arial" w:eastAsia="Calibri" w:hAnsi="Arial" w:cs="Arial"/>
          <w:sz w:val="21"/>
          <w:szCs w:val="21"/>
        </w:rPr>
      </w:pPr>
    </w:p>
    <w:p w14:paraId="2FC5872A" w14:textId="77777777" w:rsidR="00A50F4E" w:rsidRPr="00F8583D" w:rsidRDefault="00A50F4E" w:rsidP="00A50F4E">
      <w:pPr>
        <w:tabs>
          <w:tab w:val="left" w:pos="426"/>
        </w:tabs>
        <w:ind w:left="709" w:right="709"/>
        <w:jc w:val="both"/>
        <w:rPr>
          <w:rFonts w:ascii="Arial" w:eastAsia="Calibri" w:hAnsi="Arial" w:cs="Arial"/>
          <w:sz w:val="21"/>
          <w:szCs w:val="21"/>
        </w:rPr>
      </w:pPr>
      <w:r w:rsidRPr="00F8583D">
        <w:rPr>
          <w:rFonts w:ascii="Arial" w:eastAsia="Calibri" w:hAnsi="Arial" w:cs="Arial"/>
          <w:sz w:val="21"/>
          <w:szCs w:val="21"/>
        </w:rPr>
        <w:t>»3. ¿Los resguardos indígenas o cabildos, como ejecutan los dineros DISTINTOS al sistema general de participaciones? Pueden contratar con estos dineros como si fueran particulares? […]».</w:t>
      </w:r>
    </w:p>
    <w:p w14:paraId="47DF2A54" w14:textId="77777777" w:rsidR="00A50F4E" w:rsidRPr="00F8583D" w:rsidRDefault="00A50F4E" w:rsidP="00A50F4E">
      <w:pPr>
        <w:tabs>
          <w:tab w:val="left" w:pos="426"/>
        </w:tabs>
        <w:ind w:left="709" w:right="709"/>
        <w:jc w:val="both"/>
        <w:rPr>
          <w:rFonts w:ascii="Arial" w:eastAsia="Calibri" w:hAnsi="Arial" w:cs="Arial"/>
          <w:sz w:val="21"/>
          <w:szCs w:val="21"/>
        </w:rPr>
      </w:pPr>
    </w:p>
    <w:p w14:paraId="5767AAB6" w14:textId="77777777" w:rsidR="00A50F4E" w:rsidRPr="00F8583D" w:rsidRDefault="00A50F4E" w:rsidP="00A50F4E">
      <w:pPr>
        <w:spacing w:before="120" w:line="276" w:lineRule="auto"/>
        <w:jc w:val="both"/>
        <w:rPr>
          <w:rFonts w:ascii="Arial" w:hAnsi="Arial" w:cs="Arial"/>
          <w:color w:val="000000" w:themeColor="text1"/>
          <w:sz w:val="22"/>
        </w:rPr>
      </w:pPr>
      <w:r w:rsidRPr="00F8583D">
        <w:rPr>
          <w:rFonts w:ascii="Arial" w:hAnsi="Arial" w:cs="Arial"/>
          <w:color w:val="000000" w:themeColor="text1"/>
          <w:sz w:val="22"/>
        </w:rPr>
        <w:t>De conformidad con la competencia otorgada en el numeral 8 del artículo 11 y numeral 5 del artículo 3 del Decreto Ley 4170 de 2011, la Agencia Nacional de Contratación Pública</w:t>
      </w:r>
      <w:r>
        <w:rPr>
          <w:rFonts w:ascii="Arial" w:hAnsi="Arial" w:cs="Arial"/>
          <w:color w:val="000000" w:themeColor="text1"/>
          <w:sz w:val="22"/>
        </w:rPr>
        <w:t xml:space="preserve"> - </w:t>
      </w:r>
      <w:r w:rsidRPr="00F8583D">
        <w:rPr>
          <w:rFonts w:ascii="Arial" w:hAnsi="Arial" w:cs="Arial"/>
          <w:color w:val="000000" w:themeColor="text1"/>
          <w:sz w:val="22"/>
        </w:rPr>
        <w:t xml:space="preserve">Colombia Compra Eficiente atiende consultas relativas a temas contractuales en lo que se refiere a la aplicación de normas de carácter general en materia de compras y contratación pública; por tal motivo, </w:t>
      </w:r>
      <w:r>
        <w:rPr>
          <w:rFonts w:ascii="Arial" w:hAnsi="Arial" w:cs="Arial"/>
          <w:color w:val="000000" w:themeColor="text1"/>
          <w:sz w:val="22"/>
        </w:rPr>
        <w:t xml:space="preserve">esta entidad </w:t>
      </w:r>
      <w:r w:rsidRPr="00F8583D">
        <w:rPr>
          <w:rFonts w:ascii="Arial" w:hAnsi="Arial" w:cs="Arial"/>
          <w:color w:val="000000" w:themeColor="text1"/>
          <w:sz w:val="22"/>
        </w:rPr>
        <w:t>carece de competencia</w:t>
      </w:r>
      <w:r>
        <w:rPr>
          <w:rFonts w:ascii="Arial" w:hAnsi="Arial" w:cs="Arial"/>
          <w:color w:val="000000" w:themeColor="text1"/>
          <w:sz w:val="22"/>
        </w:rPr>
        <w:t xml:space="preserve"> </w:t>
      </w:r>
      <w:r w:rsidRPr="00F8583D">
        <w:rPr>
          <w:rFonts w:ascii="Arial" w:hAnsi="Arial" w:cs="Arial"/>
          <w:color w:val="000000" w:themeColor="text1"/>
          <w:sz w:val="22"/>
        </w:rPr>
        <w:t>para pronunciarse respecto de actuaciones contractuales específicas.</w:t>
      </w:r>
    </w:p>
    <w:p w14:paraId="3F0CEBEC" w14:textId="77777777" w:rsidR="00A50F4E" w:rsidRDefault="00A50F4E" w:rsidP="00A50F4E">
      <w:pPr>
        <w:spacing w:before="120" w:line="276" w:lineRule="auto"/>
        <w:jc w:val="both"/>
        <w:rPr>
          <w:rFonts w:ascii="Arial" w:hAnsi="Arial" w:cs="Arial"/>
          <w:color w:val="000000" w:themeColor="text1"/>
          <w:sz w:val="22"/>
        </w:rPr>
      </w:pPr>
      <w:r w:rsidRPr="00F8583D">
        <w:rPr>
          <w:rFonts w:ascii="Arial" w:eastAsia="Calibri" w:hAnsi="Arial" w:cs="Arial"/>
          <w:color w:val="000000" w:themeColor="text1"/>
          <w:sz w:val="22"/>
          <w:lang w:val="es-ES"/>
        </w:rPr>
        <w:tab/>
      </w:r>
      <w:r>
        <w:rPr>
          <w:rFonts w:ascii="Arial" w:eastAsia="Calibri" w:hAnsi="Arial" w:cs="Arial"/>
          <w:color w:val="000000" w:themeColor="text1"/>
          <w:sz w:val="22"/>
          <w:lang w:val="es-ES"/>
        </w:rPr>
        <w:t>No obstante, respecto de la capacidad contractual de los cabildos indígenas se debe tener en cuenta que e</w:t>
      </w:r>
      <w:r w:rsidRPr="00F8583D">
        <w:rPr>
          <w:rFonts w:ascii="Arial" w:hAnsi="Arial" w:cs="Arial"/>
          <w:color w:val="000000" w:themeColor="text1"/>
          <w:sz w:val="22"/>
        </w:rPr>
        <w:t>l artículo 3 de la Ley 89 de 1890 define cabildo indígena</w:t>
      </w:r>
      <w:r>
        <w:rPr>
          <w:rFonts w:ascii="Arial" w:hAnsi="Arial" w:cs="Arial"/>
          <w:color w:val="000000" w:themeColor="text1"/>
          <w:sz w:val="22"/>
        </w:rPr>
        <w:t>:</w:t>
      </w:r>
      <w:r w:rsidRPr="00F8583D">
        <w:rPr>
          <w:rFonts w:ascii="Arial" w:hAnsi="Arial" w:cs="Arial"/>
          <w:color w:val="000000" w:themeColor="text1"/>
          <w:sz w:val="22"/>
        </w:rPr>
        <w:t xml:space="preserve"> </w:t>
      </w:r>
    </w:p>
    <w:p w14:paraId="6DC39479" w14:textId="77777777" w:rsidR="00A50F4E" w:rsidRDefault="00A50F4E" w:rsidP="00A50F4E">
      <w:pPr>
        <w:jc w:val="both"/>
        <w:rPr>
          <w:rFonts w:ascii="Arial" w:hAnsi="Arial" w:cs="Arial"/>
          <w:color w:val="000000" w:themeColor="text1"/>
          <w:sz w:val="21"/>
          <w:szCs w:val="21"/>
        </w:rPr>
      </w:pPr>
    </w:p>
    <w:p w14:paraId="0323DAB3" w14:textId="77777777" w:rsidR="00A50F4E" w:rsidRDefault="00A50F4E" w:rsidP="00A50F4E">
      <w:pPr>
        <w:ind w:left="709" w:right="709"/>
        <w:jc w:val="both"/>
        <w:rPr>
          <w:rFonts w:ascii="Arial" w:hAnsi="Arial" w:cs="Arial"/>
          <w:color w:val="000000" w:themeColor="text1"/>
          <w:sz w:val="21"/>
          <w:szCs w:val="21"/>
        </w:rPr>
      </w:pPr>
      <w:r w:rsidRPr="000046D0">
        <w:rPr>
          <w:rFonts w:ascii="Arial" w:hAnsi="Arial" w:cs="Arial"/>
          <w:color w:val="000000" w:themeColor="text1"/>
          <w:sz w:val="21"/>
          <w:szCs w:val="21"/>
        </w:rPr>
        <w:t>«En todos los lugares en que se encuentre establecida una parcialidad de indígenas habrá un pequeño Cabildo nombrado por éstos conforme a sus costumbres. El período de duración de dicho Cabildo será de un año, de 1º. de enero a 31 de diciembre. Para tomar posesión de sus puestos no necesitan los miembros del Cabildo de otra formalidad que la de ser reconocidos por la parcialidad ante el Cabildo cesante y á presencia del alcalde del Distrito».</w:t>
      </w:r>
    </w:p>
    <w:p w14:paraId="1189B882" w14:textId="77777777" w:rsidR="00A50F4E" w:rsidRPr="000046D0" w:rsidRDefault="00A50F4E" w:rsidP="00A50F4E">
      <w:pPr>
        <w:jc w:val="both"/>
        <w:rPr>
          <w:rFonts w:ascii="Arial" w:hAnsi="Arial" w:cs="Arial"/>
          <w:color w:val="000000" w:themeColor="text1"/>
          <w:sz w:val="21"/>
          <w:szCs w:val="21"/>
        </w:rPr>
      </w:pPr>
    </w:p>
    <w:p w14:paraId="6B77FE89" w14:textId="77777777" w:rsidR="00A50F4E" w:rsidRPr="00F8583D" w:rsidRDefault="00A50F4E" w:rsidP="00A50F4E">
      <w:pPr>
        <w:spacing w:line="276" w:lineRule="auto"/>
        <w:ind w:firstLine="708"/>
        <w:jc w:val="both"/>
        <w:rPr>
          <w:rFonts w:ascii="Arial" w:hAnsi="Arial" w:cs="Arial"/>
          <w:color w:val="000000" w:themeColor="text1"/>
          <w:sz w:val="22"/>
        </w:rPr>
      </w:pPr>
      <w:r w:rsidRPr="00F8583D">
        <w:rPr>
          <w:rFonts w:ascii="Arial" w:hAnsi="Arial" w:cs="Arial"/>
          <w:color w:val="000000" w:themeColor="text1"/>
          <w:sz w:val="22"/>
        </w:rPr>
        <w:t>A su vez, el Decreto 2164 de 1995, en el artículo 2</w:t>
      </w:r>
      <w:r>
        <w:rPr>
          <w:rFonts w:ascii="Arial" w:hAnsi="Arial" w:cs="Arial"/>
          <w:color w:val="000000" w:themeColor="text1"/>
          <w:sz w:val="22"/>
        </w:rPr>
        <w:t xml:space="preserve"> citado</w:t>
      </w:r>
      <w:r w:rsidRPr="00F8583D">
        <w:rPr>
          <w:rFonts w:ascii="Arial" w:hAnsi="Arial" w:cs="Arial"/>
          <w:color w:val="000000" w:themeColor="text1"/>
          <w:sz w:val="22"/>
        </w:rPr>
        <w:t xml:space="preserve">, </w:t>
      </w:r>
      <w:r>
        <w:rPr>
          <w:rFonts w:ascii="Arial" w:hAnsi="Arial" w:cs="Arial"/>
          <w:color w:val="000000" w:themeColor="text1"/>
          <w:sz w:val="22"/>
        </w:rPr>
        <w:t xml:space="preserve">señala la naturaleza jurídica del </w:t>
      </w:r>
      <w:r w:rsidRPr="00F8583D">
        <w:rPr>
          <w:rFonts w:ascii="Arial" w:hAnsi="Arial" w:cs="Arial"/>
          <w:color w:val="000000" w:themeColor="text1"/>
          <w:sz w:val="22"/>
        </w:rPr>
        <w:t>cabildo indígena</w:t>
      </w:r>
      <w:r>
        <w:rPr>
          <w:rFonts w:ascii="Arial" w:hAnsi="Arial" w:cs="Arial"/>
          <w:color w:val="000000" w:themeColor="text1"/>
          <w:sz w:val="22"/>
        </w:rPr>
        <w:t xml:space="preserve"> que es una</w:t>
      </w:r>
      <w:r w:rsidRPr="00F8583D">
        <w:rPr>
          <w:rFonts w:ascii="Arial" w:hAnsi="Arial" w:cs="Arial"/>
          <w:color w:val="000000" w:themeColor="text1"/>
          <w:sz w:val="22"/>
        </w:rPr>
        <w:t xml:space="preserve"> entidad pública especial</w:t>
      </w:r>
      <w:r>
        <w:rPr>
          <w:rFonts w:ascii="Arial" w:hAnsi="Arial" w:cs="Arial"/>
          <w:color w:val="000000" w:themeColor="text1"/>
          <w:sz w:val="22"/>
        </w:rPr>
        <w:t xml:space="preserve">. </w:t>
      </w:r>
      <w:r w:rsidRPr="00F8583D">
        <w:rPr>
          <w:rFonts w:ascii="Arial" w:hAnsi="Arial" w:cs="Arial"/>
          <w:color w:val="000000" w:themeColor="text1"/>
          <w:sz w:val="22"/>
        </w:rPr>
        <w:t>La Corte Constitucional ratifica lo anterior en la sentencia T-739 de 20</w:t>
      </w:r>
      <w:r w:rsidRPr="00F8583D">
        <w:rPr>
          <w:rFonts w:ascii="Arial" w:hAnsi="Arial" w:cs="Arial"/>
          <w:sz w:val="20"/>
          <w:szCs w:val="20"/>
        </w:rPr>
        <w:t>17</w:t>
      </w:r>
      <w:r w:rsidRPr="00335A3F">
        <w:rPr>
          <w:rStyle w:val="Refdenotaalpie"/>
          <w:color w:val="000000" w:themeColor="text1"/>
          <w:sz w:val="22"/>
        </w:rPr>
        <w:footnoteReference w:id="13"/>
      </w:r>
      <w:r w:rsidRPr="00F8583D">
        <w:rPr>
          <w:rFonts w:ascii="Arial" w:hAnsi="Arial" w:cs="Arial"/>
          <w:sz w:val="20"/>
          <w:szCs w:val="20"/>
        </w:rPr>
        <w:t>,</w:t>
      </w:r>
      <w:r w:rsidRPr="00F8583D">
        <w:rPr>
          <w:rFonts w:ascii="Arial" w:eastAsia="Calibri" w:hAnsi="Arial" w:cs="Arial"/>
          <w:sz w:val="20"/>
          <w:szCs w:val="20"/>
        </w:rPr>
        <w:t xml:space="preserve"> </w:t>
      </w:r>
      <w:r w:rsidRPr="00F8583D">
        <w:rPr>
          <w:rFonts w:ascii="Arial" w:hAnsi="Arial" w:cs="Arial"/>
          <w:color w:val="000000" w:themeColor="text1"/>
          <w:sz w:val="22"/>
        </w:rPr>
        <w:t xml:space="preserve">que se remite a la definición de cabildo </w:t>
      </w:r>
      <w:r w:rsidRPr="00F8583D">
        <w:rPr>
          <w:rFonts w:ascii="Arial" w:hAnsi="Arial" w:cs="Arial"/>
          <w:color w:val="000000" w:themeColor="text1"/>
          <w:sz w:val="22"/>
        </w:rPr>
        <w:lastRenderedPageBreak/>
        <w:t>indígena del Decreto 2164 de 1995</w:t>
      </w:r>
      <w:r>
        <w:rPr>
          <w:rFonts w:ascii="Arial" w:hAnsi="Arial" w:cs="Arial"/>
          <w:color w:val="000000" w:themeColor="text1"/>
          <w:sz w:val="22"/>
        </w:rPr>
        <w:t>;</w:t>
      </w:r>
      <w:r w:rsidRPr="00F8583D">
        <w:rPr>
          <w:rFonts w:ascii="Arial" w:hAnsi="Arial" w:cs="Arial"/>
          <w:color w:val="000000" w:themeColor="text1"/>
          <w:sz w:val="22"/>
        </w:rPr>
        <w:t xml:space="preserve"> y el Consejo de Estado</w:t>
      </w:r>
      <w:r>
        <w:rPr>
          <w:rFonts w:ascii="Arial" w:hAnsi="Arial" w:cs="Arial"/>
          <w:color w:val="000000" w:themeColor="text1"/>
          <w:sz w:val="22"/>
        </w:rPr>
        <w:t xml:space="preserve"> </w:t>
      </w:r>
      <w:r w:rsidRPr="00F8583D">
        <w:rPr>
          <w:rFonts w:ascii="Arial" w:hAnsi="Arial" w:cs="Arial"/>
          <w:color w:val="000000" w:themeColor="text1"/>
          <w:sz w:val="22"/>
        </w:rPr>
        <w:t xml:space="preserve">expresó que: </w:t>
      </w:r>
      <w:r>
        <w:rPr>
          <w:rFonts w:ascii="Arial" w:hAnsi="Arial" w:cs="Arial"/>
          <w:color w:val="000000" w:themeColor="text1"/>
          <w:sz w:val="22"/>
        </w:rPr>
        <w:t>«</w:t>
      </w:r>
      <w:r w:rsidRPr="00F8583D">
        <w:rPr>
          <w:rFonts w:ascii="Arial" w:hAnsi="Arial" w:cs="Arial"/>
          <w:color w:val="000000" w:themeColor="text1"/>
          <w:sz w:val="22"/>
        </w:rPr>
        <w:t>Desde este punto de vista, según el criterio reiterado de la Corte, los cabildos indígenas tienen la naturaleza jurídica propia de entidades públicas de carácter especial a partir de la elección y el reconocimiento que hacen las respectivas comunidades indígenas en desarrollo de su autonomía y sus formas de gobierno</w:t>
      </w:r>
      <w:r>
        <w:rPr>
          <w:rFonts w:ascii="Arial" w:hAnsi="Arial" w:cs="Arial"/>
          <w:color w:val="000000" w:themeColor="text1"/>
          <w:sz w:val="22"/>
        </w:rPr>
        <w:t>»</w:t>
      </w:r>
      <w:r>
        <w:rPr>
          <w:rStyle w:val="Refdenotaalpie"/>
          <w:rFonts w:ascii="Arial" w:hAnsi="Arial" w:cs="Arial"/>
          <w:color w:val="000000" w:themeColor="text1"/>
          <w:sz w:val="22"/>
        </w:rPr>
        <w:footnoteReference w:id="14"/>
      </w:r>
      <w:r w:rsidRPr="00F8583D">
        <w:rPr>
          <w:rFonts w:ascii="Arial" w:hAnsi="Arial" w:cs="Arial"/>
          <w:color w:val="000000" w:themeColor="text1"/>
          <w:sz w:val="22"/>
        </w:rPr>
        <w:t>.</w:t>
      </w:r>
    </w:p>
    <w:p w14:paraId="756CBE29" w14:textId="77777777" w:rsidR="00A50F4E" w:rsidRPr="00F8583D" w:rsidRDefault="00A50F4E" w:rsidP="00A50F4E">
      <w:pPr>
        <w:spacing w:before="120" w:line="276" w:lineRule="auto"/>
        <w:ind w:firstLine="708"/>
        <w:jc w:val="both"/>
        <w:rPr>
          <w:rFonts w:ascii="Arial" w:hAnsi="Arial" w:cs="Arial"/>
          <w:color w:val="000000" w:themeColor="text1"/>
          <w:sz w:val="22"/>
        </w:rPr>
      </w:pPr>
      <w:r w:rsidRPr="00F8583D">
        <w:rPr>
          <w:rFonts w:ascii="Arial" w:hAnsi="Arial" w:cs="Arial"/>
          <w:color w:val="000000" w:themeColor="text1"/>
          <w:sz w:val="22"/>
        </w:rPr>
        <w:t>Por consiguiente, los cabildos indígenas son entidades públicas de carácter especial, lo cual no implica que tienen capacidad para contratar, puesto que como principio del derecho administrativo se tiene que la personería jurídica de las entidades esta precedida por una ley que se las haya otorgado, es decir que es un atributo de ley que ninguna de las normas mencionadas</w:t>
      </w:r>
      <w:r>
        <w:rPr>
          <w:rFonts w:ascii="Arial" w:hAnsi="Arial" w:cs="Arial"/>
          <w:color w:val="000000" w:themeColor="text1"/>
          <w:sz w:val="22"/>
        </w:rPr>
        <w:t xml:space="preserve"> </w:t>
      </w:r>
      <w:r w:rsidRPr="00F8583D">
        <w:rPr>
          <w:rFonts w:ascii="Arial" w:hAnsi="Arial" w:cs="Arial"/>
          <w:color w:val="000000" w:themeColor="text1"/>
          <w:sz w:val="22"/>
        </w:rPr>
        <w:t xml:space="preserve"> </w:t>
      </w:r>
      <w:r>
        <w:rPr>
          <w:rFonts w:ascii="Arial" w:hAnsi="Arial" w:cs="Arial"/>
          <w:color w:val="000000" w:themeColor="text1"/>
          <w:sz w:val="22"/>
        </w:rPr>
        <w:t xml:space="preserve">̶ </w:t>
      </w:r>
      <w:r w:rsidRPr="00F8583D">
        <w:rPr>
          <w:rFonts w:ascii="Arial" w:hAnsi="Arial" w:cs="Arial"/>
          <w:color w:val="000000" w:themeColor="text1"/>
          <w:sz w:val="22"/>
        </w:rPr>
        <w:t>Ley 89 de 1890 y Decreto 2164 de 1995</w:t>
      </w:r>
      <w:r>
        <w:rPr>
          <w:rFonts w:ascii="Arial" w:hAnsi="Arial" w:cs="Arial"/>
          <w:color w:val="000000" w:themeColor="text1"/>
          <w:sz w:val="22"/>
        </w:rPr>
        <w:t xml:space="preserve"> ̶</w:t>
      </w:r>
      <w:r w:rsidRPr="00F8583D">
        <w:rPr>
          <w:rFonts w:ascii="Arial" w:hAnsi="Arial" w:cs="Arial"/>
          <w:color w:val="000000" w:themeColor="text1"/>
          <w:sz w:val="22"/>
        </w:rPr>
        <w:t xml:space="preserve"> </w:t>
      </w:r>
      <w:r>
        <w:rPr>
          <w:rFonts w:ascii="Arial" w:hAnsi="Arial" w:cs="Arial"/>
          <w:color w:val="000000" w:themeColor="text1"/>
          <w:sz w:val="22"/>
        </w:rPr>
        <w:t xml:space="preserve"> </w:t>
      </w:r>
      <w:r w:rsidRPr="00F8583D">
        <w:rPr>
          <w:rFonts w:ascii="Arial" w:hAnsi="Arial" w:cs="Arial"/>
          <w:color w:val="000000" w:themeColor="text1"/>
          <w:sz w:val="22"/>
        </w:rPr>
        <w:t>le ha otorgado a los cabildos, por lo que a pesar de que el artículo 2 de la Ley 80 de 1993</w:t>
      </w:r>
      <w:r w:rsidRPr="00335A3F">
        <w:rPr>
          <w:color w:val="000000" w:themeColor="text1"/>
          <w:sz w:val="22"/>
          <w:vertAlign w:val="superscript"/>
        </w:rPr>
        <w:footnoteReference w:id="15"/>
      </w:r>
      <w:r w:rsidRPr="00F8583D">
        <w:rPr>
          <w:rFonts w:ascii="Arial" w:hAnsi="Arial" w:cs="Arial"/>
          <w:color w:val="000000" w:themeColor="text1"/>
          <w:sz w:val="22"/>
        </w:rPr>
        <w:t xml:space="preserve"> incluye a todas las entidades a las que la ley les haya otorgado capacidad para contratar, es decir personería jurídica, los cabildos indígenas no hacen parte de ello porque no existe una ley al respecto. </w:t>
      </w:r>
    </w:p>
    <w:p w14:paraId="67C8166A" w14:textId="77777777" w:rsidR="00A50F4E" w:rsidRDefault="00A50F4E" w:rsidP="00A50F4E">
      <w:pPr>
        <w:spacing w:before="120" w:after="120" w:line="276" w:lineRule="auto"/>
        <w:ind w:firstLine="709"/>
        <w:jc w:val="both"/>
        <w:rPr>
          <w:rFonts w:ascii="Arial" w:hAnsi="Arial" w:cs="Arial"/>
          <w:color w:val="000000" w:themeColor="text1"/>
          <w:sz w:val="22"/>
        </w:rPr>
      </w:pPr>
      <w:r>
        <w:rPr>
          <w:rFonts w:ascii="Arial" w:hAnsi="Arial" w:cs="Arial"/>
          <w:color w:val="000000" w:themeColor="text1"/>
          <w:sz w:val="22"/>
        </w:rPr>
        <w:t>Sin embargo, e</w:t>
      </w:r>
      <w:r w:rsidRPr="00F8583D">
        <w:rPr>
          <w:rFonts w:ascii="Arial" w:hAnsi="Arial" w:cs="Arial"/>
          <w:color w:val="000000" w:themeColor="text1"/>
          <w:sz w:val="22"/>
        </w:rPr>
        <w:t xml:space="preserve">l artículo 6 de la Ley 1551 de 2012 </w:t>
      </w:r>
      <w:r>
        <w:rPr>
          <w:rFonts w:ascii="Arial" w:hAnsi="Arial" w:cs="Arial"/>
          <w:color w:val="000000" w:themeColor="text1"/>
          <w:sz w:val="22"/>
        </w:rPr>
        <w:t xml:space="preserve">citado </w:t>
      </w:r>
      <w:r w:rsidRPr="00F8583D">
        <w:rPr>
          <w:rFonts w:ascii="Arial" w:hAnsi="Arial" w:cs="Arial"/>
          <w:color w:val="000000" w:themeColor="text1"/>
          <w:sz w:val="22"/>
        </w:rPr>
        <w:t>establece</w:t>
      </w:r>
      <w:r>
        <w:rPr>
          <w:rFonts w:ascii="Arial" w:hAnsi="Arial" w:cs="Arial"/>
          <w:color w:val="000000" w:themeColor="text1"/>
          <w:sz w:val="22"/>
        </w:rPr>
        <w:t xml:space="preserve"> entre</w:t>
      </w:r>
      <w:r w:rsidRPr="00F8583D">
        <w:rPr>
          <w:rFonts w:ascii="Arial" w:hAnsi="Arial" w:cs="Arial"/>
          <w:color w:val="000000" w:themeColor="text1"/>
          <w:sz w:val="22"/>
        </w:rPr>
        <w:t xml:space="preserve"> las funciones de los municipios, la celebración de convenios solidarios</w:t>
      </w:r>
      <w:r>
        <w:rPr>
          <w:rFonts w:ascii="Arial" w:hAnsi="Arial" w:cs="Arial"/>
          <w:color w:val="000000" w:themeColor="text1"/>
          <w:sz w:val="22"/>
        </w:rPr>
        <w:t xml:space="preserve"> y de</w:t>
      </w:r>
      <w:r w:rsidRPr="00335A3F">
        <w:t xml:space="preserve"> </w:t>
      </w:r>
      <w:r w:rsidRPr="00335A3F">
        <w:rPr>
          <w:rFonts w:ascii="Arial" w:hAnsi="Arial" w:cs="Arial"/>
          <w:color w:val="000000" w:themeColor="text1"/>
          <w:sz w:val="22"/>
        </w:rPr>
        <w:t>convenios de uso de bienes públicos y/o de usufructo comunitario</w:t>
      </w:r>
      <w:r>
        <w:rPr>
          <w:rFonts w:ascii="Arial" w:hAnsi="Arial" w:cs="Arial"/>
          <w:color w:val="000000" w:themeColor="text1"/>
          <w:sz w:val="22"/>
        </w:rPr>
        <w:t xml:space="preserve"> con algunos sujetos entre los cuales están los cabildos indígenas, por lo que</w:t>
      </w:r>
      <w:r w:rsidRPr="00335A3F">
        <w:rPr>
          <w:rFonts w:ascii="Arial" w:hAnsi="Arial" w:cs="Arial"/>
          <w:color w:val="000000" w:themeColor="text1"/>
          <w:sz w:val="22"/>
        </w:rPr>
        <w:t xml:space="preserve"> estas serán las únicas excepciones en la que esta entidad pública de carácter especial sin personería jurídica puede contratar, es decir que los cabildos indígenas no pueden celebrar </w:t>
      </w:r>
      <w:r>
        <w:rPr>
          <w:rFonts w:ascii="Arial" w:hAnsi="Arial" w:cs="Arial"/>
          <w:color w:val="000000" w:themeColor="text1"/>
          <w:sz w:val="22"/>
        </w:rPr>
        <w:t xml:space="preserve">otros contratos o convenios </w:t>
      </w:r>
      <w:r w:rsidRPr="00335A3F">
        <w:rPr>
          <w:rFonts w:ascii="Arial" w:hAnsi="Arial" w:cs="Arial"/>
          <w:color w:val="000000" w:themeColor="text1"/>
          <w:sz w:val="22"/>
        </w:rPr>
        <w:t>porque no cuentan con personería jurídica para hacerlo.</w:t>
      </w:r>
    </w:p>
    <w:p w14:paraId="0210D387" w14:textId="77777777" w:rsidR="00A50F4E" w:rsidRPr="00F8583D" w:rsidRDefault="00A50F4E" w:rsidP="00A50F4E">
      <w:pPr>
        <w:spacing w:after="120" w:line="276" w:lineRule="auto"/>
        <w:ind w:firstLine="709"/>
        <w:jc w:val="both"/>
        <w:rPr>
          <w:rFonts w:ascii="Arial" w:eastAsia="Calibri" w:hAnsi="Arial" w:cs="Arial"/>
          <w:sz w:val="22"/>
          <w:lang w:val="es-ES"/>
        </w:rPr>
      </w:pPr>
      <w:r>
        <w:rPr>
          <w:rFonts w:ascii="Arial" w:hAnsi="Arial" w:cs="Arial"/>
          <w:color w:val="000000" w:themeColor="text1"/>
          <w:sz w:val="22"/>
        </w:rPr>
        <w:t xml:space="preserve">Por otra parte, respecto de los resguardos indígenas, el </w:t>
      </w:r>
      <w:r w:rsidRPr="00F8583D">
        <w:rPr>
          <w:rFonts w:ascii="Arial" w:eastAsia="Calibri" w:hAnsi="Arial" w:cs="Arial"/>
          <w:sz w:val="22"/>
          <w:lang w:val="es-ES"/>
        </w:rPr>
        <w:t>Decreto 1953 de 2014</w:t>
      </w:r>
      <w:r>
        <w:rPr>
          <w:rFonts w:ascii="Arial" w:eastAsia="Calibri" w:hAnsi="Arial" w:cs="Arial"/>
          <w:sz w:val="22"/>
          <w:lang w:val="es-ES"/>
        </w:rPr>
        <w:t xml:space="preserve"> citado señala que p</w:t>
      </w:r>
      <w:r w:rsidRPr="00F8583D">
        <w:rPr>
          <w:rFonts w:ascii="Arial" w:eastAsia="Calibri" w:hAnsi="Arial" w:cs="Arial"/>
          <w:sz w:val="22"/>
          <w:lang w:val="es-ES"/>
        </w:rPr>
        <w:t>odrán asociarse para administrar y ejecutar los recursos de la asignación especial del SGP,</w:t>
      </w:r>
      <w:r>
        <w:rPr>
          <w:rFonts w:ascii="Arial" w:eastAsia="Calibri" w:hAnsi="Arial" w:cs="Arial"/>
          <w:sz w:val="22"/>
          <w:lang w:val="es-ES"/>
        </w:rPr>
        <w:t xml:space="preserve"> y serán autorizados</w:t>
      </w:r>
      <w:r w:rsidRPr="00F8583D">
        <w:rPr>
          <w:rFonts w:ascii="Arial" w:eastAsia="Calibri" w:hAnsi="Arial" w:cs="Arial"/>
          <w:sz w:val="22"/>
          <w:lang w:val="es-ES"/>
        </w:rPr>
        <w:t xml:space="preserve"> siempre que acrediten los requisitos </w:t>
      </w:r>
      <w:r>
        <w:rPr>
          <w:rFonts w:ascii="Arial" w:eastAsia="Calibri" w:hAnsi="Arial" w:cs="Arial"/>
          <w:sz w:val="22"/>
          <w:lang w:val="es-ES"/>
        </w:rPr>
        <w:t>d</w:t>
      </w:r>
      <w:r w:rsidRPr="00F8583D">
        <w:rPr>
          <w:rFonts w:ascii="Arial" w:eastAsia="Calibri" w:hAnsi="Arial" w:cs="Arial"/>
          <w:sz w:val="22"/>
          <w:lang w:val="es-ES"/>
        </w:rPr>
        <w:t xml:space="preserve">el decreto, </w:t>
      </w:r>
      <w:r>
        <w:rPr>
          <w:rFonts w:ascii="Arial" w:eastAsia="Calibri" w:hAnsi="Arial" w:cs="Arial"/>
          <w:sz w:val="22"/>
          <w:lang w:val="es-ES"/>
        </w:rPr>
        <w:t>además de ser considerados</w:t>
      </w:r>
      <w:r w:rsidRPr="00F8583D">
        <w:rPr>
          <w:rFonts w:ascii="Arial" w:eastAsia="Calibri" w:hAnsi="Arial" w:cs="Arial"/>
          <w:sz w:val="22"/>
          <w:lang w:val="es-ES"/>
        </w:rPr>
        <w:t xml:space="preserve"> personas jurídicas de derecho público especial.</w:t>
      </w:r>
      <w:r>
        <w:rPr>
          <w:rFonts w:ascii="Arial" w:eastAsia="Calibri" w:hAnsi="Arial" w:cs="Arial"/>
          <w:sz w:val="22"/>
          <w:lang w:val="es-ES"/>
        </w:rPr>
        <w:t xml:space="preserve"> Sobre l</w:t>
      </w:r>
      <w:r w:rsidRPr="00F8583D">
        <w:rPr>
          <w:rFonts w:ascii="Arial" w:eastAsia="Calibri" w:hAnsi="Arial" w:cs="Arial"/>
          <w:sz w:val="22"/>
          <w:lang w:val="es-ES"/>
        </w:rPr>
        <w:t>os</w:t>
      </w:r>
      <w:r>
        <w:rPr>
          <w:rFonts w:ascii="Arial" w:eastAsia="Calibri" w:hAnsi="Arial" w:cs="Arial"/>
          <w:sz w:val="22"/>
          <w:lang w:val="es-ES"/>
        </w:rPr>
        <w:t xml:space="preserve"> r</w:t>
      </w:r>
      <w:r w:rsidRPr="00F8583D">
        <w:rPr>
          <w:rFonts w:ascii="Arial" w:eastAsia="Calibri" w:hAnsi="Arial" w:cs="Arial"/>
          <w:sz w:val="22"/>
          <w:lang w:val="es-ES"/>
        </w:rPr>
        <w:t xml:space="preserve">esguardos </w:t>
      </w:r>
      <w:r>
        <w:rPr>
          <w:rFonts w:ascii="Arial" w:eastAsia="Calibri" w:hAnsi="Arial" w:cs="Arial"/>
          <w:sz w:val="22"/>
          <w:lang w:val="es-ES"/>
        </w:rPr>
        <w:t>i</w:t>
      </w:r>
      <w:r w:rsidRPr="00F8583D">
        <w:rPr>
          <w:rFonts w:ascii="Arial" w:eastAsia="Calibri" w:hAnsi="Arial" w:cs="Arial"/>
          <w:sz w:val="22"/>
          <w:lang w:val="es-ES"/>
        </w:rPr>
        <w:t xml:space="preserve">ndígenas que hayan sido autorizados para administrar recursos del SGP, </w:t>
      </w:r>
      <w:r>
        <w:rPr>
          <w:rFonts w:ascii="Arial" w:eastAsia="Calibri" w:hAnsi="Arial" w:cs="Arial"/>
          <w:sz w:val="22"/>
          <w:lang w:val="es-ES"/>
        </w:rPr>
        <w:t xml:space="preserve">estos </w:t>
      </w:r>
      <w:r w:rsidRPr="00F8583D">
        <w:rPr>
          <w:rFonts w:ascii="Arial" w:eastAsia="Calibri" w:hAnsi="Arial" w:cs="Arial"/>
          <w:sz w:val="22"/>
          <w:lang w:val="es-ES"/>
        </w:rPr>
        <w:t>se consideran entidades estatales, de acuerdo con lo dispuesto en el artículo 2° de la Ley 80 de 1993</w:t>
      </w:r>
      <w:r>
        <w:rPr>
          <w:rFonts w:ascii="Arial" w:eastAsia="Calibri" w:hAnsi="Arial" w:cs="Arial"/>
          <w:sz w:val="22"/>
          <w:lang w:val="es-ES"/>
        </w:rPr>
        <w:t>, y su</w:t>
      </w:r>
      <w:r w:rsidRPr="00F8583D">
        <w:rPr>
          <w:rFonts w:ascii="Arial" w:eastAsia="Calibri" w:hAnsi="Arial" w:cs="Arial"/>
          <w:sz w:val="22"/>
          <w:lang w:val="es-ES"/>
        </w:rPr>
        <w:t xml:space="preserve"> capacidad será ejercida a través de su representante legal</w:t>
      </w:r>
      <w:r>
        <w:rPr>
          <w:rFonts w:ascii="Arial" w:eastAsia="Calibri" w:hAnsi="Arial" w:cs="Arial"/>
          <w:sz w:val="22"/>
          <w:lang w:val="es-ES"/>
        </w:rPr>
        <w:t>.</w:t>
      </w:r>
    </w:p>
    <w:p w14:paraId="5A8F8E8D" w14:textId="77777777" w:rsidR="00A50F4E" w:rsidRDefault="00A50F4E" w:rsidP="00A50F4E">
      <w:pPr>
        <w:spacing w:after="120" w:line="276" w:lineRule="auto"/>
        <w:ind w:firstLine="709"/>
        <w:jc w:val="both"/>
        <w:rPr>
          <w:rFonts w:ascii="Arial" w:eastAsia="Calibri" w:hAnsi="Arial" w:cs="Arial"/>
          <w:sz w:val="22"/>
          <w:lang w:val="es-ES"/>
        </w:rPr>
      </w:pPr>
      <w:r>
        <w:rPr>
          <w:rFonts w:ascii="Arial" w:eastAsia="Calibri" w:hAnsi="Arial" w:cs="Arial"/>
          <w:sz w:val="22"/>
          <w:lang w:val="es-ES"/>
        </w:rPr>
        <w:lastRenderedPageBreak/>
        <w:t>Cuando el</w:t>
      </w:r>
      <w:r w:rsidRPr="00F8583D">
        <w:rPr>
          <w:rFonts w:ascii="Arial" w:eastAsia="Calibri" w:hAnsi="Arial" w:cs="Arial"/>
          <w:sz w:val="22"/>
          <w:lang w:val="es-ES"/>
        </w:rPr>
        <w:t xml:space="preserve"> resguardo indígena no administre la asignación especial del </w:t>
      </w:r>
      <w:r>
        <w:rPr>
          <w:rFonts w:ascii="Arial" w:eastAsia="Calibri" w:hAnsi="Arial" w:cs="Arial"/>
          <w:sz w:val="22"/>
          <w:lang w:val="es-ES"/>
        </w:rPr>
        <w:t>SGP</w:t>
      </w:r>
      <w:r w:rsidRPr="00F8583D">
        <w:rPr>
          <w:rFonts w:ascii="Arial" w:eastAsia="Calibri" w:hAnsi="Arial" w:cs="Arial"/>
          <w:sz w:val="22"/>
          <w:lang w:val="es-ES"/>
        </w:rPr>
        <w:t>, o no se haya asociado con otros para administrarl</w:t>
      </w:r>
      <w:r>
        <w:rPr>
          <w:rFonts w:ascii="Arial" w:eastAsia="Calibri" w:hAnsi="Arial" w:cs="Arial"/>
          <w:sz w:val="22"/>
          <w:lang w:val="es-ES"/>
        </w:rPr>
        <w:t>a</w:t>
      </w:r>
      <w:r w:rsidRPr="00F8583D">
        <w:rPr>
          <w:rFonts w:ascii="Arial" w:eastAsia="Calibri" w:hAnsi="Arial" w:cs="Arial"/>
          <w:sz w:val="22"/>
          <w:lang w:val="es-ES"/>
        </w:rPr>
        <w:t>, su ejecución se realizará mediante la celebración de un contrato de administración suscrito entre la entidad territorial respectiva y el representante legal del resguardo designado por las autoridades propias.</w:t>
      </w:r>
    </w:p>
    <w:p w14:paraId="505C8D04" w14:textId="77777777" w:rsidR="00A50F4E" w:rsidRDefault="00A50F4E" w:rsidP="00A50F4E">
      <w:pPr>
        <w:spacing w:line="276" w:lineRule="auto"/>
        <w:ind w:firstLine="709"/>
        <w:jc w:val="both"/>
        <w:rPr>
          <w:rFonts w:ascii="Arial" w:eastAsia="Calibri" w:hAnsi="Arial" w:cs="Arial"/>
          <w:sz w:val="22"/>
          <w:lang w:val="es-ES"/>
        </w:rPr>
      </w:pPr>
      <w:r>
        <w:rPr>
          <w:rFonts w:ascii="Arial" w:eastAsia="Calibri" w:hAnsi="Arial" w:cs="Arial"/>
          <w:sz w:val="22"/>
          <w:lang w:val="es-ES"/>
        </w:rPr>
        <w:t>En consecuencia, los resguardos pueden contratar cuando administren recursos del SGP o se asocien para administrar dichos recursos, siempre y cuando hayan sido autorizados para ello, pero si no recibieron la autorización su capacidad contractual se limita a la suscripción del contrato de administración, sin que pueda suscribir ningún otro tipo de contrato.</w:t>
      </w:r>
    </w:p>
    <w:p w14:paraId="099AC279" w14:textId="77777777" w:rsidR="00A50F4E" w:rsidRPr="00F8583D" w:rsidRDefault="00A50F4E" w:rsidP="00A50F4E">
      <w:pPr>
        <w:spacing w:line="276" w:lineRule="auto"/>
        <w:ind w:firstLine="709"/>
        <w:jc w:val="both"/>
        <w:rPr>
          <w:rFonts w:ascii="Arial" w:eastAsia="Calibri" w:hAnsi="Arial" w:cs="Arial"/>
          <w:sz w:val="22"/>
          <w:lang w:val="es-ES"/>
        </w:rPr>
      </w:pPr>
    </w:p>
    <w:p w14:paraId="112364A4" w14:textId="77777777" w:rsidR="00A50F4E" w:rsidRPr="00E94657" w:rsidRDefault="00A50F4E" w:rsidP="00A50F4E">
      <w:pPr>
        <w:tabs>
          <w:tab w:val="left" w:pos="426"/>
        </w:tabs>
        <w:ind w:left="709" w:right="709"/>
        <w:jc w:val="both"/>
        <w:rPr>
          <w:rFonts w:ascii="Arial" w:eastAsia="Calibri" w:hAnsi="Arial" w:cs="Arial"/>
          <w:sz w:val="21"/>
          <w:szCs w:val="21"/>
        </w:rPr>
      </w:pPr>
      <w:r w:rsidRPr="00E94657">
        <w:rPr>
          <w:rFonts w:ascii="Arial" w:eastAsia="Calibri" w:hAnsi="Arial" w:cs="Arial"/>
          <w:sz w:val="21"/>
          <w:szCs w:val="21"/>
        </w:rPr>
        <w:t>«[…] 4. ¿Los resguardos indígenas o cabildos, deben inscribirse al SECOP, para contratar?».</w:t>
      </w:r>
    </w:p>
    <w:p w14:paraId="15D8A266" w14:textId="77777777" w:rsidR="00A50F4E" w:rsidRPr="00E94657" w:rsidRDefault="00A50F4E" w:rsidP="00A50F4E">
      <w:pPr>
        <w:tabs>
          <w:tab w:val="left" w:pos="426"/>
        </w:tabs>
        <w:ind w:right="758"/>
        <w:jc w:val="both"/>
        <w:rPr>
          <w:rFonts w:ascii="Arial" w:eastAsia="Calibri" w:hAnsi="Arial" w:cs="Arial"/>
          <w:sz w:val="21"/>
          <w:szCs w:val="21"/>
        </w:rPr>
      </w:pPr>
    </w:p>
    <w:p w14:paraId="32DAED16" w14:textId="77777777" w:rsidR="00A50F4E" w:rsidRPr="00F8583D" w:rsidRDefault="00A50F4E" w:rsidP="00A50F4E">
      <w:pPr>
        <w:spacing w:line="276" w:lineRule="auto"/>
        <w:jc w:val="both"/>
        <w:rPr>
          <w:rFonts w:ascii="Arial" w:eastAsia="Calibri" w:hAnsi="Arial" w:cs="Arial"/>
          <w:sz w:val="22"/>
        </w:rPr>
      </w:pPr>
      <w:r w:rsidRPr="00E94657">
        <w:rPr>
          <w:rFonts w:ascii="Arial" w:eastAsia="Calibri" w:hAnsi="Arial" w:cs="Arial"/>
          <w:sz w:val="22"/>
        </w:rPr>
        <w:t xml:space="preserve">Conforme a lo expuesto en la parte considerativa del presente concepto, los cabildos indígenas no tienen capacidad para contratar pero pueden ser contratados por los municipios, mediante convenios solidarios o convenios </w:t>
      </w:r>
      <w:r w:rsidRPr="00E94657">
        <w:rPr>
          <w:rFonts w:ascii="Arial" w:hAnsi="Arial" w:cs="Arial"/>
          <w:color w:val="000000" w:themeColor="text1"/>
          <w:sz w:val="22"/>
        </w:rPr>
        <w:t xml:space="preserve">de uso de bienes públicos y/o de usufructo comunitario, por lo tanto no deben inscribirse en el SECOP. Los resguardos indígenas, </w:t>
      </w:r>
      <w:r w:rsidRPr="00E94657">
        <w:rPr>
          <w:rFonts w:ascii="Arial" w:eastAsia="Calibri" w:hAnsi="Arial" w:cs="Arial"/>
          <w:sz w:val="22"/>
        </w:rPr>
        <w:t>para desarrollar su actividad contractual, deben encontrarse inscritos en el SECOP, en caso de ejecutar recursos públicos.</w:t>
      </w:r>
      <w:r w:rsidRPr="00F8583D">
        <w:rPr>
          <w:rFonts w:ascii="Arial" w:eastAsia="Calibri" w:hAnsi="Arial" w:cs="Arial"/>
          <w:sz w:val="22"/>
        </w:rPr>
        <w:t xml:space="preserve">   </w:t>
      </w:r>
    </w:p>
    <w:p w14:paraId="344BE6BF" w14:textId="77777777" w:rsidR="00A50F4E" w:rsidRPr="00F8583D" w:rsidRDefault="00A50F4E" w:rsidP="00A50F4E">
      <w:pPr>
        <w:spacing w:line="276" w:lineRule="auto"/>
        <w:jc w:val="both"/>
        <w:rPr>
          <w:rFonts w:ascii="Arial" w:hAnsi="Arial" w:cs="Arial"/>
          <w:sz w:val="22"/>
        </w:rPr>
      </w:pPr>
    </w:p>
    <w:p w14:paraId="5EDFF94A" w14:textId="77777777" w:rsidR="00A50F4E" w:rsidRPr="00F8583D" w:rsidRDefault="00A50F4E" w:rsidP="00A50F4E">
      <w:pPr>
        <w:spacing w:line="276" w:lineRule="auto"/>
        <w:jc w:val="both"/>
        <w:rPr>
          <w:rFonts w:ascii="Arial" w:hAnsi="Arial" w:cs="Arial"/>
          <w:sz w:val="22"/>
        </w:rPr>
      </w:pPr>
      <w:r w:rsidRPr="00F8583D">
        <w:rPr>
          <w:rFonts w:ascii="Arial" w:hAnsi="Arial" w:cs="Arial"/>
          <w:sz w:val="22"/>
        </w:rPr>
        <w:t>Este concepto tiene el alcance previsto en el artículo 28 del Código de Procedimiento Administrativo y de lo Contencioso Administrativo, modificado por el artículo 1 de la Ley 1755 de 2015.</w:t>
      </w:r>
    </w:p>
    <w:p w14:paraId="516B65CC" w14:textId="77777777" w:rsidR="00A50F4E" w:rsidRPr="00F8583D" w:rsidRDefault="00A50F4E" w:rsidP="00A50F4E">
      <w:pPr>
        <w:pStyle w:val="NormalWeb"/>
        <w:spacing w:before="0" w:beforeAutospacing="0" w:after="0" w:afterAutospacing="0" w:line="276" w:lineRule="auto"/>
        <w:jc w:val="both"/>
        <w:rPr>
          <w:rFonts w:ascii="Arial" w:hAnsi="Arial" w:cs="Arial"/>
          <w:sz w:val="16"/>
          <w:szCs w:val="16"/>
          <w:lang w:val="es-MX"/>
        </w:rPr>
      </w:pPr>
    </w:p>
    <w:p w14:paraId="202D1BC0" w14:textId="77777777" w:rsidR="00A50F4E" w:rsidRPr="00F8583D" w:rsidRDefault="00A50F4E" w:rsidP="00A50F4E">
      <w:pPr>
        <w:pStyle w:val="NormalWeb"/>
        <w:spacing w:before="0" w:beforeAutospacing="0" w:after="0" w:afterAutospacing="0" w:line="276" w:lineRule="auto"/>
        <w:jc w:val="both"/>
        <w:rPr>
          <w:rFonts w:ascii="Arial" w:hAnsi="Arial" w:cs="Arial"/>
          <w:sz w:val="16"/>
          <w:szCs w:val="16"/>
          <w:lang w:val="es-MX"/>
        </w:rPr>
      </w:pPr>
    </w:p>
    <w:p w14:paraId="7D8E6A04" w14:textId="77777777" w:rsidR="00A50F4E" w:rsidRPr="00F8583D" w:rsidRDefault="00A50F4E" w:rsidP="00A50F4E">
      <w:pPr>
        <w:pStyle w:val="NormalWeb"/>
        <w:spacing w:before="0" w:beforeAutospacing="0" w:after="0" w:afterAutospacing="0" w:line="276" w:lineRule="auto"/>
        <w:jc w:val="both"/>
        <w:rPr>
          <w:rFonts w:ascii="Arial" w:hAnsi="Arial" w:cs="Arial"/>
          <w:sz w:val="22"/>
          <w:szCs w:val="22"/>
          <w:lang w:val="es-MX"/>
        </w:rPr>
      </w:pPr>
      <w:r w:rsidRPr="00F8583D">
        <w:rPr>
          <w:rFonts w:ascii="Arial" w:hAnsi="Arial" w:cs="Arial"/>
          <w:sz w:val="22"/>
          <w:szCs w:val="22"/>
          <w:lang w:val="es-MX"/>
        </w:rPr>
        <w:t>Atentamente,</w:t>
      </w:r>
    </w:p>
    <w:p w14:paraId="5B86106A" w14:textId="77777777" w:rsidR="00A50F4E" w:rsidRPr="00F8583D" w:rsidRDefault="00A50F4E" w:rsidP="00A50F4E">
      <w:pPr>
        <w:jc w:val="center"/>
        <w:rPr>
          <w:rFonts w:ascii="Arial" w:eastAsia="Times New Roman" w:hAnsi="Arial" w:cs="Arial"/>
          <w:sz w:val="18"/>
          <w:szCs w:val="20"/>
          <w:lang w:eastAsia="es-CO"/>
        </w:rPr>
      </w:pPr>
    </w:p>
    <w:p w14:paraId="4130A12D" w14:textId="408CD8E2" w:rsidR="00A50F4E" w:rsidRPr="00F8583D" w:rsidRDefault="008D494D" w:rsidP="00A50F4E">
      <w:pPr>
        <w:jc w:val="center"/>
        <w:rPr>
          <w:rFonts w:ascii="Arial" w:eastAsia="Times New Roman" w:hAnsi="Arial" w:cs="Arial"/>
          <w:sz w:val="18"/>
          <w:szCs w:val="20"/>
          <w:lang w:eastAsia="es-CO"/>
        </w:rPr>
      </w:pPr>
      <w:r>
        <w:rPr>
          <w:noProof/>
        </w:rPr>
        <w:drawing>
          <wp:inline distT="0" distB="0" distL="0" distR="0" wp14:anchorId="766927EC" wp14:editId="3B2D7010">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01A4200E" w14:textId="77777777" w:rsidR="00A50F4E" w:rsidRPr="00F8583D" w:rsidRDefault="00A50F4E" w:rsidP="00A50F4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50F4E" w:rsidRPr="00F8583D" w14:paraId="7E6CA649" w14:textId="77777777" w:rsidTr="005463F8">
        <w:trPr>
          <w:trHeight w:val="315"/>
        </w:trPr>
        <w:tc>
          <w:tcPr>
            <w:tcW w:w="812" w:type="dxa"/>
            <w:vAlign w:val="center"/>
            <w:hideMark/>
          </w:tcPr>
          <w:p w14:paraId="106E715C" w14:textId="77777777" w:rsidR="00A50F4E" w:rsidRPr="00F8583D" w:rsidRDefault="00A50F4E" w:rsidP="005463F8">
            <w:pPr>
              <w:rPr>
                <w:rFonts w:ascii="Arial" w:eastAsia="Times New Roman" w:hAnsi="Arial" w:cs="Arial"/>
                <w:sz w:val="16"/>
                <w:szCs w:val="16"/>
                <w:lang w:eastAsia="es-ES"/>
              </w:rPr>
            </w:pPr>
            <w:r w:rsidRPr="00F8583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7FF99B5" w14:textId="77777777" w:rsidR="00A50F4E" w:rsidRPr="00F8583D" w:rsidRDefault="00A50F4E" w:rsidP="005463F8">
            <w:pPr>
              <w:rPr>
                <w:rFonts w:ascii="Arial" w:hAnsi="Arial" w:cs="Arial"/>
                <w:sz w:val="16"/>
                <w:szCs w:val="16"/>
                <w:lang w:eastAsia="es-ES"/>
              </w:rPr>
            </w:pPr>
            <w:r w:rsidRPr="00F8583D">
              <w:rPr>
                <w:rFonts w:ascii="Arial" w:hAnsi="Arial" w:cs="Arial"/>
                <w:sz w:val="16"/>
                <w:szCs w:val="16"/>
                <w:lang w:eastAsia="es-ES"/>
              </w:rPr>
              <w:t xml:space="preserve">Omar Germán Mejía Olmos </w:t>
            </w:r>
          </w:p>
          <w:p w14:paraId="23B89E71" w14:textId="77777777" w:rsidR="00A50F4E" w:rsidRPr="00F8583D" w:rsidRDefault="00A50F4E" w:rsidP="005463F8">
            <w:pPr>
              <w:rPr>
                <w:rFonts w:ascii="Arial" w:eastAsia="Times New Roman" w:hAnsi="Arial" w:cs="Arial"/>
                <w:sz w:val="16"/>
                <w:szCs w:val="16"/>
                <w:lang w:eastAsia="es-ES"/>
              </w:rPr>
            </w:pPr>
            <w:r w:rsidRPr="00F8583D">
              <w:rPr>
                <w:rFonts w:ascii="Arial" w:hAnsi="Arial" w:cs="Arial"/>
                <w:sz w:val="16"/>
                <w:szCs w:val="16"/>
                <w:lang w:eastAsia="es-ES"/>
              </w:rPr>
              <w:t>Contratista de la Subdirección de Gestión Contractual</w:t>
            </w:r>
          </w:p>
          <w:p w14:paraId="7CA323A6" w14:textId="77777777" w:rsidR="00A50F4E" w:rsidRPr="00F8583D" w:rsidRDefault="00A50F4E" w:rsidP="005463F8">
            <w:pPr>
              <w:rPr>
                <w:rFonts w:ascii="Arial" w:eastAsia="Times New Roman" w:hAnsi="Arial" w:cs="Arial"/>
                <w:sz w:val="16"/>
                <w:szCs w:val="16"/>
                <w:lang w:eastAsia="es-ES"/>
              </w:rPr>
            </w:pPr>
            <w:r w:rsidRPr="00F8583D">
              <w:rPr>
                <w:rFonts w:ascii="Arial" w:eastAsia="Times New Roman" w:hAnsi="Arial" w:cs="Arial"/>
                <w:sz w:val="16"/>
                <w:szCs w:val="16"/>
                <w:lang w:eastAsia="es-ES"/>
              </w:rPr>
              <w:t>Ximena Ríos López</w:t>
            </w:r>
          </w:p>
          <w:p w14:paraId="199B85E7" w14:textId="77777777" w:rsidR="00A50F4E" w:rsidRPr="00F8583D" w:rsidRDefault="00A50F4E" w:rsidP="005463F8">
            <w:pPr>
              <w:rPr>
                <w:rFonts w:ascii="Arial" w:eastAsia="Times New Roman" w:hAnsi="Arial" w:cs="Arial"/>
                <w:sz w:val="16"/>
                <w:szCs w:val="16"/>
                <w:lang w:eastAsia="es-ES"/>
              </w:rPr>
            </w:pPr>
            <w:r w:rsidRPr="00F8583D">
              <w:rPr>
                <w:rFonts w:ascii="Arial" w:eastAsia="Times New Roman" w:hAnsi="Arial" w:cs="Arial"/>
                <w:sz w:val="16"/>
                <w:szCs w:val="16"/>
                <w:lang w:eastAsia="es-ES"/>
              </w:rPr>
              <w:t>Gestor T1-11</w:t>
            </w:r>
          </w:p>
        </w:tc>
      </w:tr>
      <w:tr w:rsidR="00A50F4E" w:rsidRPr="00F8583D" w14:paraId="38B41920" w14:textId="77777777" w:rsidTr="005463F8">
        <w:trPr>
          <w:trHeight w:val="330"/>
        </w:trPr>
        <w:tc>
          <w:tcPr>
            <w:tcW w:w="812" w:type="dxa"/>
            <w:vAlign w:val="center"/>
            <w:hideMark/>
          </w:tcPr>
          <w:p w14:paraId="293447A4" w14:textId="77777777" w:rsidR="00A50F4E" w:rsidRPr="00F8583D" w:rsidRDefault="00A50F4E" w:rsidP="005463F8">
            <w:pPr>
              <w:rPr>
                <w:rFonts w:ascii="Arial" w:eastAsia="Times New Roman" w:hAnsi="Arial" w:cs="Arial"/>
                <w:sz w:val="16"/>
                <w:szCs w:val="16"/>
                <w:lang w:eastAsia="es-ES"/>
              </w:rPr>
            </w:pPr>
            <w:r w:rsidRPr="00F8583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AD21A3" w14:textId="77777777" w:rsidR="00A50F4E" w:rsidRPr="00F8583D" w:rsidRDefault="00A50F4E" w:rsidP="005463F8">
            <w:pPr>
              <w:rPr>
                <w:rFonts w:ascii="Arial" w:eastAsia="Times New Roman" w:hAnsi="Arial" w:cs="Arial"/>
                <w:sz w:val="16"/>
                <w:szCs w:val="16"/>
                <w:lang w:eastAsia="es-ES"/>
              </w:rPr>
            </w:pPr>
            <w:r w:rsidRPr="00F8583D">
              <w:rPr>
                <w:rFonts w:ascii="Arial" w:eastAsia="Times New Roman" w:hAnsi="Arial" w:cs="Arial"/>
                <w:sz w:val="16"/>
                <w:szCs w:val="16"/>
                <w:lang w:eastAsia="es-ES"/>
              </w:rPr>
              <w:t>Fabián Gonzalo Marín Cortés</w:t>
            </w:r>
          </w:p>
          <w:p w14:paraId="6DF059DB" w14:textId="77777777" w:rsidR="00A50F4E" w:rsidRPr="00F8583D" w:rsidRDefault="00A50F4E" w:rsidP="005463F8">
            <w:pPr>
              <w:rPr>
                <w:rFonts w:ascii="Arial" w:eastAsia="Times New Roman" w:hAnsi="Arial" w:cs="Arial"/>
                <w:sz w:val="16"/>
                <w:szCs w:val="16"/>
                <w:lang w:eastAsia="es-ES"/>
              </w:rPr>
            </w:pPr>
            <w:r w:rsidRPr="00F8583D">
              <w:rPr>
                <w:rFonts w:ascii="Arial" w:eastAsia="Times New Roman" w:hAnsi="Arial" w:cs="Arial"/>
                <w:sz w:val="16"/>
                <w:szCs w:val="16"/>
                <w:lang w:eastAsia="es-ES"/>
              </w:rPr>
              <w:t>Subdirector de Gestión Contractual</w:t>
            </w:r>
          </w:p>
        </w:tc>
      </w:tr>
      <w:tr w:rsidR="00A50F4E" w:rsidRPr="00F8583D" w14:paraId="35D39BF2" w14:textId="77777777" w:rsidTr="005463F8">
        <w:trPr>
          <w:trHeight w:val="300"/>
        </w:trPr>
        <w:tc>
          <w:tcPr>
            <w:tcW w:w="812" w:type="dxa"/>
            <w:vAlign w:val="center"/>
            <w:hideMark/>
          </w:tcPr>
          <w:p w14:paraId="7034B01F" w14:textId="77777777" w:rsidR="00A50F4E" w:rsidRPr="00F8583D" w:rsidRDefault="00A50F4E" w:rsidP="005463F8">
            <w:pPr>
              <w:rPr>
                <w:rFonts w:ascii="Arial" w:eastAsia="Times New Roman" w:hAnsi="Arial" w:cs="Arial"/>
                <w:sz w:val="16"/>
                <w:szCs w:val="16"/>
                <w:lang w:eastAsia="es-ES"/>
              </w:rPr>
            </w:pPr>
            <w:r w:rsidRPr="00F8583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0558AC0" w14:textId="77777777" w:rsidR="00A50F4E" w:rsidRPr="00F8583D" w:rsidRDefault="00A50F4E" w:rsidP="005463F8">
            <w:pPr>
              <w:rPr>
                <w:rFonts w:ascii="Arial" w:eastAsia="Times New Roman" w:hAnsi="Arial" w:cs="Arial"/>
                <w:sz w:val="16"/>
                <w:szCs w:val="16"/>
                <w:lang w:eastAsia="es-ES"/>
              </w:rPr>
            </w:pPr>
            <w:r w:rsidRPr="00F8583D">
              <w:rPr>
                <w:rFonts w:ascii="Arial" w:eastAsia="Times New Roman" w:hAnsi="Arial" w:cs="Arial"/>
                <w:sz w:val="16"/>
                <w:szCs w:val="16"/>
                <w:lang w:eastAsia="es-ES"/>
              </w:rPr>
              <w:t>Fabián Gonzalo Marín Cortés</w:t>
            </w:r>
          </w:p>
          <w:p w14:paraId="5CB8BA65" w14:textId="77777777" w:rsidR="00A50F4E" w:rsidRPr="00F8583D" w:rsidRDefault="00A50F4E" w:rsidP="005463F8">
            <w:pPr>
              <w:rPr>
                <w:rFonts w:ascii="Arial" w:eastAsia="Times New Roman" w:hAnsi="Arial" w:cs="Arial"/>
                <w:sz w:val="16"/>
                <w:szCs w:val="16"/>
                <w:lang w:eastAsia="es-ES"/>
              </w:rPr>
            </w:pPr>
            <w:r w:rsidRPr="00F8583D">
              <w:rPr>
                <w:rFonts w:ascii="Arial" w:eastAsia="Times New Roman" w:hAnsi="Arial" w:cs="Arial"/>
                <w:sz w:val="16"/>
                <w:szCs w:val="16"/>
                <w:lang w:eastAsia="es-ES"/>
              </w:rPr>
              <w:t>Subdirector de Gestión Contractual</w:t>
            </w:r>
          </w:p>
        </w:tc>
      </w:tr>
    </w:tbl>
    <w:p w14:paraId="121251EF" w14:textId="77777777" w:rsidR="00A50F4E" w:rsidRPr="00F8583D" w:rsidRDefault="00A50F4E" w:rsidP="00A50F4E">
      <w:pPr>
        <w:rPr>
          <w:rFonts w:ascii="Arial" w:eastAsia="Times New Roman" w:hAnsi="Arial" w:cs="Arial"/>
          <w:sz w:val="16"/>
          <w:szCs w:val="16"/>
          <w:lang w:eastAsia="es-ES"/>
        </w:rPr>
      </w:pPr>
    </w:p>
    <w:bookmarkEnd w:id="3"/>
    <w:p w14:paraId="7EBF297E" w14:textId="77777777" w:rsidR="007B0854" w:rsidRPr="00A50F4E" w:rsidRDefault="007B0854" w:rsidP="00A50F4E"/>
    <w:sectPr w:rsidR="007B0854" w:rsidRPr="00A50F4E"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C3FCC2" w14:textId="77777777" w:rsidR="00D43A7C" w:rsidRDefault="00D43A7C">
      <w:r>
        <w:separator/>
      </w:r>
    </w:p>
  </w:endnote>
  <w:endnote w:type="continuationSeparator" w:id="0">
    <w:p w14:paraId="2E4E4CD7" w14:textId="77777777" w:rsidR="00D43A7C" w:rsidRDefault="00D43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7EC606" w14:textId="77777777" w:rsidR="00D43A7C" w:rsidRDefault="00D43A7C">
      <w:r>
        <w:separator/>
      </w:r>
    </w:p>
  </w:footnote>
  <w:footnote w:type="continuationSeparator" w:id="0">
    <w:p w14:paraId="2351FB55" w14:textId="77777777" w:rsidR="00D43A7C" w:rsidRDefault="00D43A7C">
      <w:r>
        <w:continuationSeparator/>
      </w:r>
    </w:p>
  </w:footnote>
  <w:footnote w:id="1">
    <w:p w14:paraId="16D3912B" w14:textId="77777777" w:rsidR="00A50F4E" w:rsidRPr="000046D0" w:rsidRDefault="00A50F4E" w:rsidP="00A50F4E">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Constitución Política: «Artículo 93. Los tratados y convenios internacionales ratificados por el Congreso, que reconocen los derechos humanos y que prohíben su limitación en los estados de excepción, prevalecen en el orden interno.</w:t>
      </w:r>
    </w:p>
    <w:p w14:paraId="4D74CF2D" w14:textId="77777777" w:rsidR="00A50F4E" w:rsidRPr="000046D0" w:rsidRDefault="00A50F4E" w:rsidP="00A50F4E">
      <w:pPr>
        <w:ind w:firstLine="708"/>
        <w:jc w:val="both"/>
        <w:rPr>
          <w:rFonts w:ascii="Arial" w:eastAsia="Calibri" w:hAnsi="Arial" w:cs="Arial"/>
          <w:sz w:val="19"/>
          <w:szCs w:val="19"/>
        </w:rPr>
      </w:pPr>
      <w:r w:rsidRPr="000046D0">
        <w:rPr>
          <w:rFonts w:ascii="Arial" w:eastAsia="Calibri" w:hAnsi="Arial" w:cs="Arial"/>
          <w:sz w:val="19"/>
          <w:szCs w:val="19"/>
        </w:rPr>
        <w:t>»Los derechos y deberes consagrados en esta Carta, se interpretarán de conformidad con los tratados internacionales sobre derechos humanos ratificados por Colombia [...]».</w:t>
      </w:r>
    </w:p>
    <w:p w14:paraId="153CBFCD" w14:textId="77777777" w:rsidR="00A50F4E" w:rsidRPr="000046D0" w:rsidRDefault="00A50F4E" w:rsidP="00A50F4E">
      <w:pPr>
        <w:ind w:firstLine="708"/>
        <w:jc w:val="both"/>
        <w:rPr>
          <w:rFonts w:ascii="Arial" w:hAnsi="Arial" w:cs="Arial"/>
          <w:sz w:val="19"/>
          <w:szCs w:val="19"/>
          <w:lang w:val="es-CO"/>
        </w:rPr>
      </w:pPr>
    </w:p>
  </w:footnote>
  <w:footnote w:id="2">
    <w:p w14:paraId="5696D5C4" w14:textId="77777777" w:rsidR="00A50F4E" w:rsidRPr="000046D0" w:rsidRDefault="00A50F4E" w:rsidP="00A50F4E">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Corte Constitucional. Sentencia C-617 de 2015. M.P. Mauricio González Cuervo.</w:t>
      </w:r>
    </w:p>
    <w:p w14:paraId="7393A62D" w14:textId="77777777" w:rsidR="00A50F4E" w:rsidRPr="000046D0" w:rsidRDefault="00A50F4E" w:rsidP="00A50F4E">
      <w:pPr>
        <w:pStyle w:val="Textonotapie"/>
        <w:ind w:firstLine="708"/>
        <w:jc w:val="both"/>
        <w:rPr>
          <w:rFonts w:ascii="Arial" w:hAnsi="Arial" w:cs="Arial"/>
          <w:sz w:val="19"/>
          <w:szCs w:val="19"/>
          <w:lang w:val="es-CO"/>
        </w:rPr>
      </w:pPr>
    </w:p>
  </w:footnote>
  <w:footnote w:id="3">
    <w:p w14:paraId="025B14B9" w14:textId="77777777" w:rsidR="00A50F4E" w:rsidRPr="000046D0" w:rsidRDefault="00A50F4E" w:rsidP="00A50F4E">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Corte Constitucional. Sentencia C-489 de 2012. M.P. Adriana María Guillén Arango.</w:t>
      </w:r>
    </w:p>
    <w:p w14:paraId="7B36A0CB" w14:textId="77777777" w:rsidR="00A50F4E" w:rsidRPr="000046D0" w:rsidRDefault="00A50F4E" w:rsidP="00A50F4E">
      <w:pPr>
        <w:pStyle w:val="Textonotapie"/>
        <w:ind w:firstLine="708"/>
        <w:jc w:val="both"/>
        <w:rPr>
          <w:rFonts w:ascii="Arial" w:hAnsi="Arial" w:cs="Arial"/>
          <w:sz w:val="19"/>
          <w:szCs w:val="19"/>
          <w:lang w:val="es-CO"/>
        </w:rPr>
      </w:pPr>
    </w:p>
  </w:footnote>
  <w:footnote w:id="4">
    <w:p w14:paraId="79C396AA" w14:textId="77777777" w:rsidR="00A50F4E" w:rsidRPr="000046D0" w:rsidRDefault="00A50F4E" w:rsidP="00A50F4E">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Decreto 252 de 2020: «Articulo 1. Adiciónese al artículo 10 del Decreto 1088 de 1993, el siguiente parágrafo:</w:t>
      </w:r>
    </w:p>
    <w:p w14:paraId="5F77DF88" w14:textId="77777777" w:rsidR="00A50F4E" w:rsidRPr="000046D0" w:rsidRDefault="00A50F4E" w:rsidP="00A50F4E">
      <w:pPr>
        <w:pStyle w:val="Textonotapie"/>
        <w:ind w:firstLine="708"/>
        <w:jc w:val="both"/>
        <w:rPr>
          <w:rFonts w:ascii="Arial" w:hAnsi="Arial" w:cs="Arial"/>
          <w:sz w:val="19"/>
          <w:szCs w:val="19"/>
        </w:rPr>
      </w:pPr>
      <w:r w:rsidRPr="000046D0">
        <w:rPr>
          <w:rFonts w:ascii="Arial" w:hAnsi="Arial" w:cs="Arial"/>
          <w:sz w:val="19"/>
          <w:szCs w:val="19"/>
        </w:rPr>
        <w:t>»Artículo 10. Naturaleza de los actos y contratos.</w:t>
      </w:r>
    </w:p>
    <w:p w14:paraId="14C75447" w14:textId="77777777" w:rsidR="00A50F4E" w:rsidRPr="000046D0" w:rsidRDefault="00A50F4E" w:rsidP="00A50F4E">
      <w:pPr>
        <w:pStyle w:val="Textonotapie"/>
        <w:ind w:firstLine="708"/>
        <w:jc w:val="both"/>
        <w:rPr>
          <w:rFonts w:ascii="Arial" w:hAnsi="Arial" w:cs="Arial"/>
          <w:sz w:val="19"/>
          <w:szCs w:val="19"/>
        </w:rPr>
      </w:pPr>
      <w:r w:rsidRPr="000046D0">
        <w:rPr>
          <w:rFonts w:ascii="Arial" w:hAnsi="Arial" w:cs="Arial"/>
          <w:sz w:val="19"/>
          <w:szCs w:val="19"/>
        </w:rPr>
        <w:t>»[...]</w:t>
      </w:r>
    </w:p>
    <w:p w14:paraId="3DF8E28A" w14:textId="77777777" w:rsidR="00A50F4E" w:rsidRPr="000046D0" w:rsidRDefault="00A50F4E" w:rsidP="00A50F4E">
      <w:pPr>
        <w:pStyle w:val="Textonotapie"/>
        <w:ind w:firstLine="708"/>
        <w:jc w:val="both"/>
        <w:rPr>
          <w:rFonts w:ascii="Arial" w:hAnsi="Arial" w:cs="Arial"/>
          <w:sz w:val="19"/>
          <w:szCs w:val="19"/>
        </w:rPr>
      </w:pPr>
      <w:r w:rsidRPr="000046D0">
        <w:rPr>
          <w:rFonts w:ascii="Arial" w:hAnsi="Arial" w:cs="Arial"/>
          <w:sz w:val="19"/>
          <w:szCs w:val="19"/>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10178B32" w14:textId="77777777" w:rsidR="00A50F4E" w:rsidRPr="000046D0" w:rsidRDefault="00A50F4E" w:rsidP="00A50F4E">
      <w:pPr>
        <w:pStyle w:val="Textonotapie"/>
        <w:ind w:firstLine="708"/>
        <w:jc w:val="both"/>
        <w:rPr>
          <w:rFonts w:ascii="Arial" w:hAnsi="Arial" w:cs="Arial"/>
          <w:sz w:val="19"/>
          <w:szCs w:val="19"/>
        </w:rPr>
      </w:pPr>
      <w:r w:rsidRPr="000046D0">
        <w:rPr>
          <w:rFonts w:ascii="Arial" w:hAnsi="Arial" w:cs="Arial"/>
          <w:sz w:val="19"/>
          <w:szCs w:val="19"/>
        </w:rPr>
        <w:t xml:space="preserve">»Para la ejecución contractual, la entidad estatal deberá exigir la constitución de una garantía única que consistirá en una póliza de seguros que cubrirá suficientemente los riesgos del contrato o convenio. </w:t>
      </w:r>
    </w:p>
    <w:p w14:paraId="7243C671" w14:textId="77777777" w:rsidR="00A50F4E" w:rsidRPr="000046D0" w:rsidRDefault="00A50F4E" w:rsidP="00A50F4E">
      <w:pPr>
        <w:pStyle w:val="Textonotapie"/>
        <w:ind w:firstLine="708"/>
        <w:jc w:val="both"/>
        <w:rPr>
          <w:rFonts w:ascii="Arial" w:hAnsi="Arial" w:cs="Arial"/>
          <w:sz w:val="19"/>
          <w:szCs w:val="19"/>
        </w:rPr>
      </w:pPr>
      <w:r w:rsidRPr="000046D0">
        <w:rPr>
          <w:rFonts w:ascii="Arial" w:hAnsi="Arial" w:cs="Arial"/>
          <w:sz w:val="19"/>
          <w:szCs w:val="19"/>
        </w:rPr>
        <w:t>»La entidad estatal podrá terminar unilateralmente el contrato o convenio en caso de incumplimiento de las obligaciones a cargo de la organización indígena.</w:t>
      </w:r>
    </w:p>
    <w:p w14:paraId="2D20CF9E" w14:textId="77777777" w:rsidR="00A50F4E" w:rsidRPr="000046D0" w:rsidRDefault="00A50F4E" w:rsidP="00A50F4E">
      <w:pPr>
        <w:pStyle w:val="Textonotapie"/>
        <w:ind w:firstLine="708"/>
        <w:jc w:val="both"/>
        <w:rPr>
          <w:rFonts w:ascii="Arial" w:hAnsi="Arial" w:cs="Arial"/>
          <w:sz w:val="19"/>
          <w:szCs w:val="19"/>
        </w:rPr>
      </w:pPr>
      <w:r w:rsidRPr="000046D0">
        <w:rPr>
          <w:rFonts w:ascii="Arial" w:hAnsi="Arial" w:cs="Arial"/>
          <w:sz w:val="19"/>
          <w:szCs w:val="19"/>
        </w:rPr>
        <w:t>»En estos convenios se tendrá como aporte de las organizaciones indígenas el conocimiento ancestral».</w:t>
      </w:r>
    </w:p>
    <w:p w14:paraId="5EC9AFE5" w14:textId="77777777" w:rsidR="00A50F4E" w:rsidRPr="000046D0" w:rsidRDefault="00A50F4E" w:rsidP="00A50F4E">
      <w:pPr>
        <w:pStyle w:val="Textonotapie"/>
        <w:ind w:firstLine="708"/>
        <w:jc w:val="both"/>
        <w:rPr>
          <w:rFonts w:ascii="Arial" w:hAnsi="Arial" w:cs="Arial"/>
          <w:sz w:val="19"/>
          <w:szCs w:val="19"/>
          <w:lang w:val="es-ES"/>
        </w:rPr>
      </w:pPr>
      <w:r w:rsidRPr="000046D0">
        <w:rPr>
          <w:rFonts w:ascii="Arial" w:hAnsi="Arial" w:cs="Arial"/>
          <w:sz w:val="19"/>
          <w:szCs w:val="19"/>
        </w:rPr>
        <w:t xml:space="preserve"> </w:t>
      </w:r>
    </w:p>
  </w:footnote>
  <w:footnote w:id="5">
    <w:p w14:paraId="7A6DD9AD" w14:textId="77777777" w:rsidR="00A50F4E" w:rsidRPr="001B0D3D" w:rsidRDefault="00A50F4E" w:rsidP="00A50F4E">
      <w:pPr>
        <w:pStyle w:val="Textonotapie"/>
        <w:ind w:firstLine="708"/>
        <w:jc w:val="both"/>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Corte Constitucional. Sentencia C- 341 del 4 de junio de 2014. M. P. Mauricio González Cuervo</w:t>
      </w:r>
    </w:p>
  </w:footnote>
  <w:footnote w:id="6">
    <w:p w14:paraId="6344BADB" w14:textId="77777777" w:rsidR="00A50F4E" w:rsidRPr="001B0D3D" w:rsidRDefault="00A50F4E" w:rsidP="00A50F4E">
      <w:pPr>
        <w:pStyle w:val="Textonotapie"/>
        <w:ind w:firstLine="708"/>
        <w:jc w:val="both"/>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EC14AE2" w14:textId="77777777" w:rsidR="00A50F4E" w:rsidRPr="001B0D3D" w:rsidRDefault="00A50F4E" w:rsidP="00A50F4E">
      <w:pPr>
        <w:pStyle w:val="Textonotapie"/>
        <w:ind w:firstLine="708"/>
        <w:jc w:val="both"/>
        <w:rPr>
          <w:rFonts w:ascii="Arial" w:hAnsi="Arial" w:cs="Arial"/>
          <w:color w:val="000000" w:themeColor="text1"/>
          <w:sz w:val="19"/>
          <w:szCs w:val="19"/>
        </w:rPr>
      </w:pPr>
      <w:r w:rsidRPr="001B0D3D">
        <w:rPr>
          <w:rFonts w:ascii="Arial" w:hAnsi="Arial" w:cs="Arial"/>
          <w:color w:val="000000" w:themeColor="text1"/>
          <w:sz w:val="19"/>
          <w:szCs w:val="19"/>
        </w:rPr>
        <w:t>»Lo anterior, sin perjuicio de las publicaciones previstas en el numeral 3 del artículo 30 de la Ley 80 de 1993.</w:t>
      </w:r>
    </w:p>
    <w:p w14:paraId="3862AC73" w14:textId="77777777" w:rsidR="00A50F4E" w:rsidRPr="001B0D3D" w:rsidRDefault="00A50F4E" w:rsidP="00A50F4E">
      <w:pPr>
        <w:pStyle w:val="Textonotapie"/>
        <w:ind w:firstLine="708"/>
        <w:jc w:val="both"/>
        <w:rPr>
          <w:rFonts w:ascii="Arial" w:hAnsi="Arial" w:cs="Arial"/>
          <w:color w:val="000000" w:themeColor="text1"/>
          <w:sz w:val="19"/>
          <w:szCs w:val="19"/>
        </w:rPr>
      </w:pPr>
      <w:r w:rsidRPr="001B0D3D">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3C7E8448" w14:textId="77777777" w:rsidR="00A50F4E" w:rsidRPr="001B0D3D" w:rsidRDefault="00A50F4E" w:rsidP="00A50F4E">
      <w:pPr>
        <w:pStyle w:val="Textonotapie"/>
        <w:ind w:firstLine="708"/>
        <w:jc w:val="both"/>
        <w:rPr>
          <w:rFonts w:ascii="Arial" w:hAnsi="Arial" w:cs="Arial"/>
          <w:color w:val="000000" w:themeColor="text1"/>
          <w:sz w:val="19"/>
          <w:szCs w:val="19"/>
        </w:rPr>
      </w:pPr>
      <w:r w:rsidRPr="001B0D3D">
        <w:rPr>
          <w:rFonts w:ascii="Arial" w:hAnsi="Arial" w:cs="Arial"/>
          <w:color w:val="000000" w:themeColor="text1"/>
          <w:sz w:val="19"/>
          <w:szCs w:val="19"/>
        </w:rPr>
        <w:t>[…]</w:t>
      </w:r>
    </w:p>
    <w:p w14:paraId="5CA58317" w14:textId="77777777" w:rsidR="00A50F4E" w:rsidRPr="00EE01A6" w:rsidRDefault="00A50F4E" w:rsidP="00A50F4E">
      <w:pPr>
        <w:pStyle w:val="Textonotapie"/>
        <w:ind w:firstLine="708"/>
        <w:jc w:val="both"/>
        <w:rPr>
          <w:rFonts w:ascii="Arial" w:hAnsi="Arial" w:cs="Arial"/>
          <w:color w:val="000000" w:themeColor="text1"/>
          <w:sz w:val="19"/>
          <w:szCs w:val="19"/>
        </w:rPr>
      </w:pPr>
      <w:r w:rsidRPr="001B0D3D">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w:t>
      </w:r>
    </w:p>
  </w:footnote>
  <w:footnote w:id="7">
    <w:p w14:paraId="54A2E764" w14:textId="77777777" w:rsidR="00A50F4E" w:rsidRPr="00EE01A6" w:rsidRDefault="00A50F4E" w:rsidP="00A50F4E">
      <w:pPr>
        <w:pStyle w:val="Textonotapie"/>
        <w:ind w:firstLine="708"/>
        <w:jc w:val="both"/>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8">
    <w:p w14:paraId="0893BF99" w14:textId="77777777" w:rsidR="00A50F4E" w:rsidRPr="001B0D3D" w:rsidRDefault="00A50F4E" w:rsidP="00A50F4E">
      <w:pPr>
        <w:pStyle w:val="Textonotapie"/>
        <w:ind w:firstLine="708"/>
        <w:jc w:val="both"/>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272A0303" w14:textId="77777777" w:rsidR="00A50F4E" w:rsidRPr="00EE01A6" w:rsidRDefault="00A50F4E" w:rsidP="00A50F4E">
      <w:pPr>
        <w:pStyle w:val="Textonotapie"/>
        <w:ind w:firstLine="708"/>
        <w:jc w:val="both"/>
        <w:rPr>
          <w:rFonts w:ascii="Arial" w:hAnsi="Arial" w:cs="Arial"/>
          <w:color w:val="000000" w:themeColor="text1"/>
          <w:sz w:val="19"/>
          <w:szCs w:val="19"/>
        </w:rPr>
      </w:pPr>
      <w:r w:rsidRPr="001B0D3D">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footnote>
  <w:footnote w:id="9">
    <w:p w14:paraId="11C246EF" w14:textId="77777777" w:rsidR="00A50F4E" w:rsidRPr="001B0D3D" w:rsidRDefault="00A50F4E" w:rsidP="00A50F4E">
      <w:pPr>
        <w:pStyle w:val="Textonotapie"/>
        <w:ind w:firstLine="709"/>
        <w:jc w:val="both"/>
        <w:rPr>
          <w:rFonts w:ascii="Arial" w:hAnsi="Arial" w:cs="Arial"/>
          <w:color w:val="000000" w:themeColor="text1"/>
          <w:sz w:val="19"/>
          <w:szCs w:val="19"/>
        </w:rPr>
      </w:pPr>
      <w:r w:rsidRPr="001B0D3D">
        <w:rPr>
          <w:rFonts w:ascii="Arial" w:hAnsi="Arial" w:cs="Arial"/>
          <w:color w:val="000000" w:themeColor="text1"/>
          <w:sz w:val="19"/>
          <w:szCs w:val="19"/>
          <w:vertAlign w:val="superscript"/>
          <w:lang w:eastAsia="es-ES"/>
        </w:rPr>
        <w:footnoteRef/>
      </w:r>
      <w:r w:rsidRPr="001B0D3D">
        <w:rPr>
          <w:rFonts w:ascii="Arial" w:hAnsi="Arial" w:cs="Arial"/>
          <w:color w:val="000000" w:themeColor="text1"/>
          <w:sz w:val="19"/>
          <w:szCs w:val="19"/>
          <w:vertAlign w:val="superscript"/>
          <w:lang w:eastAsia="es-ES"/>
        </w:rPr>
        <w:t xml:space="preserve"> </w:t>
      </w:r>
      <w:r w:rsidRPr="001B0D3D">
        <w:rPr>
          <w:rFonts w:ascii="Arial" w:hAnsi="Arial" w:cs="Arial"/>
          <w:color w:val="000000" w:themeColor="text1"/>
          <w:sz w:val="19"/>
          <w:szCs w:val="19"/>
          <w:lang w:eastAsia="es-ES"/>
        </w:rPr>
        <w:t>«</w:t>
      </w:r>
      <w:r w:rsidRPr="001B0D3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528052E" w14:textId="77777777" w:rsidR="00A50F4E" w:rsidRPr="001B0D3D" w:rsidRDefault="00A50F4E" w:rsidP="00A50F4E">
      <w:pPr>
        <w:pStyle w:val="Textonotapie"/>
        <w:ind w:firstLine="709"/>
        <w:jc w:val="both"/>
        <w:rPr>
          <w:rFonts w:ascii="Arial" w:hAnsi="Arial" w:cs="Arial"/>
          <w:color w:val="000000" w:themeColor="text1"/>
          <w:sz w:val="19"/>
          <w:szCs w:val="19"/>
          <w:lang w:eastAsia="es-ES"/>
        </w:rPr>
      </w:pPr>
      <w:r w:rsidRPr="001B0D3D">
        <w:rPr>
          <w:rFonts w:ascii="Arial" w:hAnsi="Arial" w:cs="Arial"/>
          <w:color w:val="000000" w:themeColor="text1"/>
          <w:sz w:val="19"/>
          <w:szCs w:val="19"/>
        </w:rPr>
        <w:t>[…].</w:t>
      </w:r>
    </w:p>
    <w:p w14:paraId="4B5BA50E" w14:textId="77777777" w:rsidR="00A50F4E" w:rsidRPr="001B0D3D" w:rsidRDefault="00A50F4E" w:rsidP="00A50F4E">
      <w:pPr>
        <w:pStyle w:val="Textonotapie"/>
        <w:ind w:firstLine="709"/>
        <w:jc w:val="both"/>
        <w:rPr>
          <w:rFonts w:ascii="Arial" w:hAnsi="Arial" w:cs="Arial"/>
          <w:color w:val="000000" w:themeColor="text1"/>
          <w:sz w:val="19"/>
          <w:szCs w:val="19"/>
          <w:lang w:eastAsia="es-ES"/>
        </w:rPr>
      </w:pPr>
      <w:r w:rsidRPr="001B0D3D">
        <w:rPr>
          <w:rFonts w:ascii="Arial" w:hAnsi="Arial" w:cs="Arial"/>
          <w:color w:val="000000" w:themeColor="text1"/>
          <w:sz w:val="19"/>
          <w:szCs w:val="19"/>
          <w:lang w:eastAsia="es-ES"/>
        </w:rPr>
        <w:t>«Los sujetos obligados que contratan con recursos públicos y recursos privados, deben publicar la información de su gestión contractual con cargo a recursos públicos en el Sistema Electrónico para la Contratación Pública [SECOP]».</w:t>
      </w:r>
    </w:p>
    <w:p w14:paraId="15D7E0C8" w14:textId="77777777" w:rsidR="00A50F4E" w:rsidRPr="001B0D3D" w:rsidRDefault="00A50F4E" w:rsidP="00A50F4E">
      <w:pPr>
        <w:pStyle w:val="Textonotapie"/>
        <w:ind w:firstLine="709"/>
        <w:rPr>
          <w:rFonts w:ascii="Arial" w:hAnsi="Arial" w:cs="Arial"/>
          <w:color w:val="000000" w:themeColor="text1"/>
          <w:sz w:val="19"/>
          <w:szCs w:val="19"/>
          <w:lang w:eastAsia="es-ES"/>
        </w:rPr>
      </w:pPr>
    </w:p>
  </w:footnote>
  <w:footnote w:id="10">
    <w:p w14:paraId="15D71234" w14:textId="77777777" w:rsidR="00A50F4E" w:rsidRPr="00EE01A6" w:rsidRDefault="00A50F4E" w:rsidP="00A50F4E">
      <w:pPr>
        <w:pStyle w:val="Textonotapie"/>
        <w:ind w:firstLine="708"/>
        <w:jc w:val="both"/>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C</w:t>
      </w:r>
      <w:r w:rsidRPr="001B0D3D">
        <w:rPr>
          <w:rFonts w:ascii="Arial" w:hAnsi="Arial" w:cs="Arial"/>
          <w:color w:val="000000" w:themeColor="text1"/>
          <w:sz w:val="19"/>
          <w:szCs w:val="19"/>
          <w:lang w:eastAsia="es-ES"/>
        </w:rPr>
        <w:t xml:space="preserve">orte Constitucional. Sentencia C─274 de 9 de mayo de 2013. M.P. María Victoria Calle Correa. </w:t>
      </w:r>
    </w:p>
  </w:footnote>
  <w:footnote w:id="11">
    <w:p w14:paraId="76E21B8C" w14:textId="77777777" w:rsidR="00A50F4E" w:rsidRPr="001B0D3D" w:rsidRDefault="00A50F4E" w:rsidP="00A50F4E">
      <w:pPr>
        <w:pStyle w:val="Textonotapie"/>
        <w:ind w:firstLine="708"/>
        <w:jc w:val="both"/>
        <w:rPr>
          <w:rFonts w:ascii="Arial" w:hAnsi="Arial" w:cs="Arial"/>
          <w:color w:val="000000" w:themeColor="text1"/>
          <w:sz w:val="19"/>
          <w:szCs w:val="19"/>
          <w:lang w:val="es-CO"/>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2">
    <w:p w14:paraId="5B47AEB6" w14:textId="77777777" w:rsidR="00A50F4E" w:rsidRPr="001B0D3D" w:rsidRDefault="00A50F4E" w:rsidP="00A50F4E">
      <w:pPr>
        <w:pStyle w:val="Textonotapie"/>
        <w:ind w:firstLine="708"/>
        <w:jc w:val="both"/>
        <w:rPr>
          <w:rFonts w:ascii="Arial" w:hAnsi="Arial" w:cs="Arial"/>
          <w:color w:val="000000" w:themeColor="text1"/>
          <w:sz w:val="19"/>
          <w:szCs w:val="19"/>
        </w:rPr>
      </w:pPr>
      <w:r w:rsidRPr="001B0D3D">
        <w:rPr>
          <w:rStyle w:val="Refdenotaalpie"/>
          <w:rFonts w:ascii="Arial" w:hAnsi="Arial" w:cs="Arial"/>
          <w:color w:val="000000" w:themeColor="text1"/>
          <w:sz w:val="19"/>
          <w:szCs w:val="19"/>
        </w:rPr>
        <w:footnoteRef/>
      </w:r>
      <w:r w:rsidRPr="001B0D3D">
        <w:rPr>
          <w:rFonts w:ascii="Arial" w:hAnsi="Arial" w:cs="Arial"/>
          <w:color w:val="000000" w:themeColor="text1"/>
          <w:sz w:val="19"/>
          <w:szCs w:val="19"/>
        </w:rPr>
        <w:t xml:space="preserve"> Consejo de Estado. Sección Tercera. Subsección C. Auto del 14 de agosto de 2017. </w:t>
      </w:r>
      <w:r w:rsidRPr="001B0D3D">
        <w:rPr>
          <w:rFonts w:ascii="Arial" w:hAnsi="Arial" w:cs="Arial"/>
          <w:color w:val="000000" w:themeColor="text1"/>
          <w:sz w:val="19"/>
          <w:szCs w:val="19"/>
        </w:rPr>
        <w:t xml:space="preserve">Exp. 58.820. C.P. Jaime Orlando Santofimio Gamboa. </w:t>
      </w:r>
    </w:p>
    <w:p w14:paraId="680668D6" w14:textId="77777777" w:rsidR="00A50F4E" w:rsidRPr="001B0D3D" w:rsidRDefault="00A50F4E" w:rsidP="00A50F4E">
      <w:pPr>
        <w:pStyle w:val="Textonotapie"/>
        <w:ind w:firstLine="708"/>
        <w:rPr>
          <w:rFonts w:ascii="Arial" w:hAnsi="Arial" w:cs="Arial"/>
          <w:color w:val="000000" w:themeColor="text1"/>
          <w:sz w:val="19"/>
          <w:szCs w:val="19"/>
          <w:lang w:val="es-CO"/>
        </w:rPr>
      </w:pPr>
    </w:p>
  </w:footnote>
  <w:footnote w:id="13">
    <w:p w14:paraId="58F0C916" w14:textId="77777777" w:rsidR="00A50F4E" w:rsidRPr="000046D0" w:rsidRDefault="00A50F4E" w:rsidP="00A50F4E">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«El cabildo es </w:t>
      </w:r>
      <w:r>
        <w:rPr>
          <w:rFonts w:ascii="Arial" w:hAnsi="Arial" w:cs="Arial"/>
          <w:sz w:val="19"/>
          <w:szCs w:val="19"/>
        </w:rPr>
        <w:t>una e</w:t>
      </w:r>
      <w:r w:rsidRPr="000046D0">
        <w:rPr>
          <w:rFonts w:ascii="Arial" w:hAnsi="Arial" w:cs="Arial"/>
          <w:sz w:val="19"/>
          <w:szCs w:val="19"/>
        </w:rPr>
        <w:t>ntidad pública especial, cuyos miembros son indígenas elegidos y reconocidos por una parcialidad localizada en un territorio determinado, encargado de representar legalmente a su grupo y ejercer las funciones que le atribuye la ley y sus usos y costumbres.</w:t>
      </w:r>
    </w:p>
    <w:p w14:paraId="285F27B0" w14:textId="77777777" w:rsidR="00A50F4E" w:rsidRPr="000046D0" w:rsidRDefault="00A50F4E" w:rsidP="00A50F4E">
      <w:pPr>
        <w:pStyle w:val="Textonotapie"/>
        <w:ind w:firstLine="708"/>
        <w:jc w:val="both"/>
        <w:rPr>
          <w:rFonts w:ascii="Arial" w:hAnsi="Arial" w:cs="Arial"/>
          <w:sz w:val="19"/>
          <w:szCs w:val="19"/>
        </w:rPr>
      </w:pPr>
      <w:r w:rsidRPr="000046D0">
        <w:rPr>
          <w:rFonts w:ascii="Arial" w:hAnsi="Arial" w:cs="Arial"/>
          <w:sz w:val="19"/>
          <w:szCs w:val="19"/>
        </w:rPr>
        <w:t>»Los cabildantes deben ser miembros de la comunidad que los elige y la elección se hará conforme a lo dispuesto en el Artículo 3o. de la Ley 89 de 1890 o por sus propias formas de organización tradicional.</w:t>
      </w:r>
    </w:p>
    <w:p w14:paraId="6582447B" w14:textId="77777777" w:rsidR="00A50F4E" w:rsidRPr="000046D0" w:rsidRDefault="00A50F4E" w:rsidP="00A50F4E">
      <w:pPr>
        <w:pStyle w:val="Textonotapie"/>
        <w:ind w:firstLine="708"/>
        <w:jc w:val="both"/>
        <w:rPr>
          <w:rFonts w:ascii="Arial" w:hAnsi="Arial" w:cs="Arial"/>
          <w:sz w:val="19"/>
          <w:szCs w:val="19"/>
        </w:rPr>
      </w:pPr>
      <w:r w:rsidRPr="000046D0">
        <w:rPr>
          <w:rFonts w:ascii="Arial" w:hAnsi="Arial" w:cs="Arial"/>
          <w:sz w:val="19"/>
          <w:szCs w:val="19"/>
        </w:rPr>
        <w:t>»Posteriormente, el mismo Decreto 2164 de 1995 reiteró la definición anterior respecto al cabildo indígena, y agregó algunos elementos a la misma, entendiendo que sus integrantes son miembros de una comunidad indígena, elegidos y reconocidos por ésta, con una organización socio política tradicional, cuya función es representar legalmente a la comunidad, ejercer la autoridad y realizar las actividades que le atribuyen las leyes, sus usos, costumbres y el reglamento interno de cada comunidad».</w:t>
      </w:r>
    </w:p>
    <w:p w14:paraId="518A0FB4" w14:textId="77777777" w:rsidR="00A50F4E" w:rsidRPr="000046D0" w:rsidRDefault="00A50F4E" w:rsidP="00A50F4E">
      <w:pPr>
        <w:pStyle w:val="Textonotapie"/>
        <w:jc w:val="both"/>
        <w:rPr>
          <w:rFonts w:ascii="Arial" w:hAnsi="Arial" w:cs="Arial"/>
          <w:sz w:val="19"/>
          <w:szCs w:val="19"/>
          <w:lang w:val="es-ES"/>
        </w:rPr>
      </w:pPr>
    </w:p>
  </w:footnote>
  <w:footnote w:id="14">
    <w:p w14:paraId="3889513F" w14:textId="77777777" w:rsidR="00A50F4E" w:rsidRPr="000046D0" w:rsidRDefault="00A50F4E" w:rsidP="00A50F4E">
      <w:pPr>
        <w:pStyle w:val="Textonotapie"/>
        <w:ind w:firstLine="708"/>
        <w:jc w:val="both"/>
        <w:rPr>
          <w:rFonts w:ascii="Arial" w:hAnsi="Arial" w:cs="Arial"/>
          <w:color w:val="000000" w:themeColor="text1"/>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Consejo de Estado. Sección Quinta. Sentencia del 30 de octubre de 2015. </w:t>
      </w:r>
      <w:r w:rsidRPr="000046D0">
        <w:rPr>
          <w:rFonts w:ascii="Arial" w:hAnsi="Arial" w:cs="Arial"/>
          <w:sz w:val="19"/>
          <w:szCs w:val="19"/>
        </w:rPr>
        <w:t>Exp. 52001-23-33-000-2015-00559-01(AC). C.P. Carlos Enrique Moreno Rubio.</w:t>
      </w:r>
    </w:p>
    <w:p w14:paraId="06FEA419" w14:textId="77777777" w:rsidR="00A50F4E" w:rsidRPr="000046D0" w:rsidRDefault="00A50F4E" w:rsidP="00A50F4E">
      <w:pPr>
        <w:pStyle w:val="Textonotapie"/>
        <w:ind w:firstLine="708"/>
        <w:jc w:val="both"/>
        <w:rPr>
          <w:rFonts w:ascii="Arial" w:hAnsi="Arial" w:cs="Arial"/>
          <w:sz w:val="19"/>
          <w:szCs w:val="19"/>
          <w:lang w:val="es-CO"/>
        </w:rPr>
      </w:pPr>
    </w:p>
  </w:footnote>
  <w:footnote w:id="15">
    <w:p w14:paraId="71EA0E1F" w14:textId="77777777" w:rsidR="00A50F4E" w:rsidRPr="000046D0" w:rsidRDefault="00A50F4E" w:rsidP="00A50F4E">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Pr>
          <w:rFonts w:ascii="Arial" w:hAnsi="Arial" w:cs="Arial"/>
          <w:sz w:val="19"/>
          <w:szCs w:val="19"/>
        </w:rPr>
        <w:t>«</w:t>
      </w:r>
      <w:r w:rsidRPr="000046D0">
        <w:rPr>
          <w:rFonts w:ascii="Arial" w:hAnsi="Arial" w:cs="Arial"/>
          <w:sz w:val="19"/>
          <w:szCs w:val="19"/>
        </w:rPr>
        <w:t>Artículo 2. De la definición de entidades, servidores y servicios públicos. para los solos efectos de esta ley:</w:t>
      </w:r>
    </w:p>
    <w:p w14:paraId="3B2CC08F" w14:textId="77777777" w:rsidR="00A50F4E" w:rsidRPr="000046D0" w:rsidRDefault="00A50F4E" w:rsidP="00A50F4E">
      <w:pPr>
        <w:pStyle w:val="Textonotapie"/>
        <w:ind w:firstLine="708"/>
        <w:jc w:val="both"/>
        <w:rPr>
          <w:rFonts w:ascii="Arial" w:hAnsi="Arial" w:cs="Arial"/>
          <w:sz w:val="19"/>
          <w:szCs w:val="19"/>
        </w:rPr>
      </w:pPr>
      <w:r>
        <w:rPr>
          <w:rFonts w:ascii="Arial" w:hAnsi="Arial" w:cs="Arial"/>
          <w:sz w:val="19"/>
          <w:szCs w:val="19"/>
        </w:rPr>
        <w:t>»</w:t>
      </w:r>
      <w:r w:rsidRPr="000046D0">
        <w:rPr>
          <w:rFonts w:ascii="Arial" w:hAnsi="Arial" w:cs="Arial"/>
          <w:sz w:val="19"/>
          <w:szCs w:val="19"/>
        </w:rPr>
        <w:t>1. Se denominan entidades estatales:</w:t>
      </w:r>
    </w:p>
    <w:p w14:paraId="3EE40D2F" w14:textId="77777777" w:rsidR="00A50F4E" w:rsidRPr="000046D0" w:rsidRDefault="00A50F4E" w:rsidP="00A50F4E">
      <w:pPr>
        <w:pStyle w:val="Textonotapie"/>
        <w:jc w:val="both"/>
        <w:rPr>
          <w:rFonts w:ascii="Arial" w:hAnsi="Arial" w:cs="Arial"/>
          <w:sz w:val="19"/>
          <w:szCs w:val="19"/>
        </w:rPr>
      </w:pPr>
      <w:r>
        <w:rPr>
          <w:rFonts w:ascii="Arial" w:hAnsi="Arial" w:cs="Arial"/>
          <w:sz w:val="19"/>
          <w:szCs w:val="19"/>
        </w:rPr>
        <w:tab/>
        <w:t>»[…]</w:t>
      </w:r>
    </w:p>
    <w:p w14:paraId="4DDA98BE" w14:textId="77777777" w:rsidR="00A50F4E" w:rsidRPr="000046D0" w:rsidRDefault="00A50F4E" w:rsidP="00A50F4E">
      <w:pPr>
        <w:pStyle w:val="Textonotapie"/>
        <w:ind w:firstLine="708"/>
        <w:jc w:val="both"/>
        <w:rPr>
          <w:rFonts w:ascii="Arial" w:hAnsi="Arial" w:cs="Arial"/>
          <w:sz w:val="19"/>
          <w:szCs w:val="19"/>
          <w:lang w:val="es-ES"/>
        </w:rPr>
      </w:pPr>
      <w:r>
        <w:rPr>
          <w:rFonts w:ascii="Arial" w:hAnsi="Arial" w:cs="Arial"/>
          <w:sz w:val="19"/>
          <w:szCs w:val="19"/>
        </w:rPr>
        <w:t>»</w:t>
      </w:r>
      <w:r w:rsidRPr="000046D0">
        <w:rPr>
          <w:rFonts w:ascii="Arial" w:hAnsi="Arial"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r>
        <w:rPr>
          <w:rFonts w:ascii="Arial" w:hAnsi="Arial" w:cs="Arial"/>
          <w:sz w:val="19"/>
          <w:szCs w:val="19"/>
        </w:rPr>
        <w:t>»</w:t>
      </w:r>
      <w:r w:rsidRPr="000046D0">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20C75"/>
    <w:rsid w:val="000942EB"/>
    <w:rsid w:val="000B103F"/>
    <w:rsid w:val="000F14E8"/>
    <w:rsid w:val="00103915"/>
    <w:rsid w:val="00122B23"/>
    <w:rsid w:val="00137FFA"/>
    <w:rsid w:val="00234B84"/>
    <w:rsid w:val="00282A6C"/>
    <w:rsid w:val="002901A0"/>
    <w:rsid w:val="002A2A71"/>
    <w:rsid w:val="002B2434"/>
    <w:rsid w:val="003033BA"/>
    <w:rsid w:val="0034680A"/>
    <w:rsid w:val="00386456"/>
    <w:rsid w:val="003A581E"/>
    <w:rsid w:val="004422D6"/>
    <w:rsid w:val="00474AFD"/>
    <w:rsid w:val="00487468"/>
    <w:rsid w:val="004A34D2"/>
    <w:rsid w:val="004C3B80"/>
    <w:rsid w:val="0051074C"/>
    <w:rsid w:val="00513AF2"/>
    <w:rsid w:val="0054413A"/>
    <w:rsid w:val="005564CA"/>
    <w:rsid w:val="005A79FE"/>
    <w:rsid w:val="00655371"/>
    <w:rsid w:val="00697665"/>
    <w:rsid w:val="006A7FD0"/>
    <w:rsid w:val="006D7687"/>
    <w:rsid w:val="006E0572"/>
    <w:rsid w:val="006E55FC"/>
    <w:rsid w:val="00705631"/>
    <w:rsid w:val="00742DD2"/>
    <w:rsid w:val="0075647A"/>
    <w:rsid w:val="007634AD"/>
    <w:rsid w:val="0078122E"/>
    <w:rsid w:val="007B0854"/>
    <w:rsid w:val="007F72CB"/>
    <w:rsid w:val="0083119B"/>
    <w:rsid w:val="00836EAB"/>
    <w:rsid w:val="0085092D"/>
    <w:rsid w:val="008D494D"/>
    <w:rsid w:val="008E1C15"/>
    <w:rsid w:val="009047C5"/>
    <w:rsid w:val="0095385A"/>
    <w:rsid w:val="00A24560"/>
    <w:rsid w:val="00A34538"/>
    <w:rsid w:val="00A50F4E"/>
    <w:rsid w:val="00A71696"/>
    <w:rsid w:val="00A72DE9"/>
    <w:rsid w:val="00AA442B"/>
    <w:rsid w:val="00B22E22"/>
    <w:rsid w:val="00B525CB"/>
    <w:rsid w:val="00B63CB2"/>
    <w:rsid w:val="00BD49C8"/>
    <w:rsid w:val="00BD78FE"/>
    <w:rsid w:val="00BE2F0E"/>
    <w:rsid w:val="00CA287E"/>
    <w:rsid w:val="00CC00CD"/>
    <w:rsid w:val="00D16E39"/>
    <w:rsid w:val="00D43A7C"/>
    <w:rsid w:val="00D60B0D"/>
    <w:rsid w:val="00D72E9D"/>
    <w:rsid w:val="00D82CE5"/>
    <w:rsid w:val="00DA5AB1"/>
    <w:rsid w:val="00DC62E5"/>
    <w:rsid w:val="00DD735D"/>
    <w:rsid w:val="00DE3119"/>
    <w:rsid w:val="00DF236B"/>
    <w:rsid w:val="00E13AB8"/>
    <w:rsid w:val="00E1532A"/>
    <w:rsid w:val="00E33B62"/>
    <w:rsid w:val="00E42794"/>
    <w:rsid w:val="00ED4660"/>
    <w:rsid w:val="00F53BED"/>
    <w:rsid w:val="00F70789"/>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A50F4E"/>
    <w:rPr>
      <w:rFonts w:ascii="Times New Roman" w:eastAsia="Times New Roman" w:hAnsi="Times New Roman" w:cs="Times New Roman"/>
      <w:sz w:val="24"/>
      <w:szCs w:val="24"/>
      <w:lang w:eastAsia="es-CO"/>
    </w:rPr>
  </w:style>
  <w:style w:type="paragraph" w:customStyle="1" w:styleId="Default">
    <w:name w:val="Default"/>
    <w:rsid w:val="008D494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F800F7D-A1AF-47D1-A283-4E968E5F359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1991105-EA75-4560-BDFE-F246DED642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customXml/itemProps5.xml><?xml version="1.0" encoding="utf-8"?>
<ds:datastoreItem xmlns:ds="http://schemas.openxmlformats.org/officeDocument/2006/customXml" ds:itemID="{24C63867-5D67-46F3-A76B-4DB9824F0A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20</Pages>
  <Words>7550</Words>
  <Characters>41530</Characters>
  <Application>Microsoft Office Word</Application>
  <DocSecurity>0</DocSecurity>
  <Lines>346</Lines>
  <Paragraphs>97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cp:revision>
  <dcterms:created xsi:type="dcterms:W3CDTF">2020-08-19T19:31:00Z</dcterms:created>
  <dcterms:modified xsi:type="dcterms:W3CDTF">2020-08-19T19:33:00Z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