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80CAE5" w14:textId="77777777" w:rsidR="00251AF1" w:rsidRPr="00AF1555" w:rsidRDefault="00251AF1" w:rsidP="00251AF1">
      <w:pPr>
        <w:tabs>
          <w:tab w:val="left" w:pos="709"/>
        </w:tabs>
        <w:spacing w:after="0" w:line="240" w:lineRule="auto"/>
        <w:jc w:val="both"/>
        <w:rPr>
          <w:rFonts w:ascii="Verdana" w:eastAsia="Calibri" w:hAnsi="Verdana" w:cs="Arial"/>
          <w:bCs/>
          <w:sz w:val="20"/>
          <w:szCs w:val="20"/>
          <w:lang w:val="es-ES_tradnl" w:eastAsia="es-ES_tradnl"/>
        </w:rPr>
      </w:pPr>
    </w:p>
    <w:p w14:paraId="7BF48C21" w14:textId="77777777" w:rsidR="00251AF1" w:rsidRPr="00AF1555" w:rsidRDefault="00251AF1" w:rsidP="00251AF1">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PROCEDIMIENTO ADMINISTRATIVO</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Sanciones contractuales</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sometidas – Ley 1474 de 2011 – Etapas</w:t>
      </w:r>
      <w:r w:rsidRPr="00AF1555">
        <w:rPr>
          <w:rFonts w:ascii="Verdana" w:eastAsia="Calibri" w:hAnsi="Verdana" w:cs="Arial"/>
          <w:b/>
          <w:color w:val="000000" w:themeColor="text1"/>
          <w:lang w:val="es-ES"/>
        </w:rPr>
        <w:t xml:space="preserve"> </w:t>
      </w:r>
    </w:p>
    <w:p w14:paraId="6FB0BF21" w14:textId="77777777" w:rsidR="00251AF1" w:rsidRPr="00AF1555" w:rsidRDefault="00251AF1" w:rsidP="00251AF1">
      <w:pPr>
        <w:spacing w:after="0" w:line="240" w:lineRule="auto"/>
        <w:jc w:val="both"/>
        <w:rPr>
          <w:rFonts w:ascii="Verdana" w:eastAsia="Calibri" w:hAnsi="Verdana" w:cs="Arial"/>
          <w:bCs/>
          <w:color w:val="000000" w:themeColor="text1"/>
          <w:sz w:val="20"/>
          <w:szCs w:val="20"/>
          <w:lang w:val="es-ES"/>
        </w:rPr>
      </w:pPr>
    </w:p>
    <w:p w14:paraId="6AA13977" w14:textId="77777777" w:rsidR="00251AF1" w:rsidRDefault="00251AF1" w:rsidP="00251AF1">
      <w:pPr>
        <w:spacing w:after="0" w:line="240" w:lineRule="auto"/>
        <w:jc w:val="both"/>
        <w:rPr>
          <w:rFonts w:ascii="Verdana" w:eastAsia="Calibri" w:hAnsi="Verdana" w:cs="Arial"/>
          <w:iCs/>
          <w:color w:val="000000" w:themeColor="text1"/>
          <w:sz w:val="20"/>
          <w:szCs w:val="20"/>
          <w:lang w:eastAsia="es-ES_tradnl"/>
        </w:rPr>
      </w:pPr>
      <w:r w:rsidRPr="00EB0B5F">
        <w:rPr>
          <w:rFonts w:ascii="Verdana" w:eastAsia="Calibri" w:hAnsi="Verdana" w:cs="Arial"/>
          <w:bCs/>
          <w:color w:val="000000" w:themeColor="text1"/>
          <w:sz w:val="20"/>
          <w:szCs w:val="20"/>
          <w:lang w:eastAsia="es-ES_tradnl"/>
        </w:rPr>
        <w:t xml:space="preserve">Para las entidades sometidas al Estatuto General de Contratación de la Administración Pública, el artículo 86 de la Ley 1474 de 2011 –en concordancia con el artículo 17 de la Ley 1150 de 2007– regula el procedimiento sancionatorio contractual, prescribiendo que “Las entidades sometidas al Estatuto General de Contratación de la Administración Pública podrán declarar el incumplimiento, cuantificando los perjuicios del mismo, imponer las multas y sanciones pactadas en el contrato, y hacer efectiva la cláusula penal […]”. </w:t>
      </w:r>
      <w:r w:rsidRPr="00EB0B5F">
        <w:rPr>
          <w:rFonts w:ascii="Verdana" w:eastAsia="Calibri" w:hAnsi="Verdana" w:cs="Arial"/>
          <w:iCs/>
          <w:color w:val="000000" w:themeColor="text1"/>
          <w:sz w:val="20"/>
          <w:szCs w:val="20"/>
          <w:lang w:eastAsia="es-ES_tradnl"/>
        </w:rPr>
        <w:t xml:space="preserve">La norma citada establece las etapas del procedimiento que se deben seguir, las cuales en forma esquemática pueden resumirse así: </w:t>
      </w:r>
    </w:p>
    <w:p w14:paraId="46267A66" w14:textId="77777777" w:rsidR="00251AF1" w:rsidRPr="00EB0B5F" w:rsidRDefault="00251AF1" w:rsidP="00251AF1">
      <w:pPr>
        <w:spacing w:after="0" w:line="240" w:lineRule="auto"/>
        <w:jc w:val="both"/>
        <w:rPr>
          <w:rFonts w:ascii="Verdana" w:eastAsia="Calibri" w:hAnsi="Verdana" w:cs="Arial"/>
          <w:iCs/>
          <w:color w:val="000000" w:themeColor="text1"/>
          <w:sz w:val="20"/>
          <w:szCs w:val="20"/>
          <w:lang w:eastAsia="es-ES_tradnl"/>
        </w:rPr>
      </w:pPr>
    </w:p>
    <w:p w14:paraId="4D3271AC" w14:textId="77777777" w:rsidR="00251AF1" w:rsidRPr="00EB0B5F" w:rsidRDefault="00251AF1" w:rsidP="00251AF1">
      <w:pPr>
        <w:spacing w:after="0" w:line="240" w:lineRule="auto"/>
        <w:jc w:val="both"/>
        <w:rPr>
          <w:rFonts w:ascii="Verdana" w:eastAsia="Calibri" w:hAnsi="Verdana" w:cs="Arial"/>
          <w:iCs/>
          <w:color w:val="000000" w:themeColor="text1"/>
          <w:sz w:val="20"/>
          <w:szCs w:val="20"/>
          <w:lang w:eastAsia="es-ES_tradnl"/>
        </w:rPr>
      </w:pPr>
      <w:r w:rsidRPr="00EB0B5F">
        <w:rPr>
          <w:rFonts w:ascii="Verdana" w:eastAsia="Calibri" w:hAnsi="Verdana" w:cs="Arial"/>
          <w:iCs/>
          <w:color w:val="000000" w:themeColor="text1"/>
          <w:sz w:val="20"/>
          <w:szCs w:val="20"/>
          <w:lang w:eastAsia="es-ES_tradnl"/>
        </w:rPr>
        <w:t xml:space="preserve">i) </w:t>
      </w:r>
      <w:r w:rsidRPr="00EB0B5F">
        <w:rPr>
          <w:rFonts w:ascii="Verdana" w:eastAsia="Calibri" w:hAnsi="Verdana" w:cs="Arial"/>
          <w:i/>
          <w:color w:val="000000" w:themeColor="text1"/>
          <w:sz w:val="20"/>
          <w:szCs w:val="20"/>
          <w:lang w:eastAsia="es-ES_tradnl"/>
        </w:rPr>
        <w:t>C</w:t>
      </w:r>
      <w:r w:rsidRPr="00EB0B5F">
        <w:rPr>
          <w:rFonts w:ascii="Verdana" w:eastAsia="Calibri" w:hAnsi="Verdana" w:cs="Arial"/>
          <w:i/>
          <w:iCs/>
          <w:color w:val="000000" w:themeColor="text1"/>
          <w:sz w:val="20"/>
          <w:szCs w:val="20"/>
          <w:lang w:eastAsia="es-ES_tradnl"/>
        </w:rPr>
        <w:t>itación a audiencia</w:t>
      </w:r>
      <w:r w:rsidRPr="00EB0B5F">
        <w:rPr>
          <w:rFonts w:ascii="Verdana" w:eastAsia="Calibri" w:hAnsi="Verdana" w:cs="Arial"/>
          <w:iCs/>
          <w:color w:val="000000" w:themeColor="text1"/>
          <w:sz w:val="20"/>
          <w:szCs w:val="20"/>
          <w:lang w:eastAsia="es-ES_tradnl"/>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roofErr w:type="spellStart"/>
      <w:r w:rsidRPr="00EB0B5F">
        <w:rPr>
          <w:rFonts w:ascii="Verdana" w:eastAsia="Calibri" w:hAnsi="Verdana" w:cs="Arial"/>
          <w:iCs/>
          <w:color w:val="000000" w:themeColor="text1"/>
          <w:sz w:val="20"/>
          <w:szCs w:val="20"/>
          <w:lang w:eastAsia="es-ES_tradnl"/>
        </w:rPr>
        <w:t>ii</w:t>
      </w:r>
      <w:proofErr w:type="spellEnd"/>
      <w:r w:rsidRPr="00EB0B5F">
        <w:rPr>
          <w:rFonts w:ascii="Verdana" w:eastAsia="Calibri" w:hAnsi="Verdana" w:cs="Arial"/>
          <w:iCs/>
          <w:color w:val="000000" w:themeColor="text1"/>
          <w:sz w:val="20"/>
          <w:szCs w:val="20"/>
          <w:lang w:eastAsia="es-ES_tradnl"/>
        </w:rPr>
        <w:t xml:space="preserve">) </w:t>
      </w:r>
      <w:r w:rsidRPr="00EB0B5F">
        <w:rPr>
          <w:rFonts w:ascii="Verdana" w:eastAsia="Calibri" w:hAnsi="Verdana" w:cs="Arial"/>
          <w:i/>
          <w:iCs/>
          <w:color w:val="000000" w:themeColor="text1"/>
          <w:sz w:val="20"/>
          <w:szCs w:val="20"/>
          <w:lang w:eastAsia="es-ES_tradnl"/>
        </w:rPr>
        <w:t>Audiencia</w:t>
      </w:r>
      <w:r w:rsidRPr="00EB0B5F">
        <w:rPr>
          <w:rFonts w:ascii="Verdana" w:eastAsia="Calibri" w:hAnsi="Verdana" w:cs="Arial"/>
          <w:iCs/>
          <w:color w:val="000000" w:themeColor="text1"/>
          <w:sz w:val="20"/>
          <w:szCs w:val="20"/>
          <w:lang w:eastAsia="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EB0B5F">
        <w:rPr>
          <w:rFonts w:ascii="Verdana" w:eastAsia="Calibri" w:hAnsi="Verdana" w:cs="Arial"/>
          <w:iCs/>
          <w:color w:val="000000" w:themeColor="text1"/>
          <w:sz w:val="20"/>
          <w:szCs w:val="20"/>
          <w:lang w:eastAsia="es-ES_tradnl"/>
        </w:rPr>
        <w:t>iii</w:t>
      </w:r>
      <w:proofErr w:type="spellEnd"/>
      <w:r w:rsidRPr="00EB0B5F">
        <w:rPr>
          <w:rFonts w:ascii="Verdana" w:eastAsia="Calibri" w:hAnsi="Verdana" w:cs="Arial"/>
          <w:iCs/>
          <w:color w:val="000000" w:themeColor="text1"/>
          <w:sz w:val="20"/>
          <w:szCs w:val="20"/>
          <w:lang w:eastAsia="es-ES_tradnl"/>
        </w:rPr>
        <w:t xml:space="preserve">) </w:t>
      </w:r>
      <w:r w:rsidRPr="00EB0B5F">
        <w:rPr>
          <w:rFonts w:ascii="Verdana" w:eastAsia="Calibri" w:hAnsi="Verdana" w:cs="Arial"/>
          <w:i/>
          <w:iCs/>
          <w:color w:val="000000" w:themeColor="text1"/>
          <w:sz w:val="20"/>
          <w:szCs w:val="20"/>
          <w:lang w:eastAsia="es-ES_tradnl"/>
        </w:rPr>
        <w:t>Decisión</w:t>
      </w:r>
      <w:r w:rsidRPr="00EB0B5F">
        <w:rPr>
          <w:rFonts w:ascii="Verdana" w:eastAsia="Calibri" w:hAnsi="Verdana" w:cs="Arial"/>
          <w:iCs/>
          <w:color w:val="000000" w:themeColor="text1"/>
          <w:sz w:val="20"/>
          <w:szCs w:val="20"/>
          <w:lang w:eastAsia="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r w:rsidRPr="00AF1555">
        <w:rPr>
          <w:rFonts w:ascii="Verdana" w:eastAsia="Calibri" w:hAnsi="Verdana" w:cs="Arial"/>
          <w:color w:val="000000" w:themeColor="text1"/>
          <w:sz w:val="20"/>
          <w:szCs w:val="20"/>
          <w:lang w:val="es-ES_tradnl"/>
        </w:rPr>
        <w:t>.</w:t>
      </w:r>
    </w:p>
    <w:p w14:paraId="233FAC6D" w14:textId="77777777" w:rsidR="00251AF1" w:rsidRPr="00AF1555" w:rsidRDefault="00251AF1" w:rsidP="00251AF1">
      <w:pPr>
        <w:spacing w:after="0" w:line="240" w:lineRule="auto"/>
        <w:rPr>
          <w:rFonts w:ascii="Verdana" w:eastAsia="Geomanist Light" w:hAnsi="Verdana" w:cs="Arial"/>
          <w:color w:val="000000" w:themeColor="text1"/>
          <w:sz w:val="20"/>
          <w:szCs w:val="20"/>
          <w:lang w:val="es-ES_tradnl"/>
        </w:rPr>
      </w:pPr>
    </w:p>
    <w:p w14:paraId="5CC69C60" w14:textId="77777777" w:rsidR="00251AF1" w:rsidRPr="00AF1555" w:rsidRDefault="00251AF1" w:rsidP="00251AF1">
      <w:pPr>
        <w:spacing w:after="0" w:line="240" w:lineRule="auto"/>
        <w:jc w:val="both"/>
        <w:rPr>
          <w:rFonts w:ascii="Verdana" w:eastAsia="Calibri" w:hAnsi="Verdana" w:cs="Arial"/>
          <w:b/>
          <w:lang w:val="es-ES"/>
        </w:rPr>
      </w:pPr>
      <w:r>
        <w:rPr>
          <w:rFonts w:ascii="Verdana" w:eastAsia="Calibri" w:hAnsi="Verdana" w:cs="Arial"/>
          <w:b/>
          <w:lang w:val="es-ES"/>
        </w:rPr>
        <w:t>PROCEDIMIENTO ADMINISTRATIVO GENERAL</w:t>
      </w:r>
      <w:r w:rsidRPr="00E95799">
        <w:rPr>
          <w:rFonts w:ascii="Verdana" w:eastAsia="Calibri" w:hAnsi="Verdana" w:cs="Arial"/>
          <w:b/>
          <w:lang w:val="es-ES"/>
        </w:rPr>
        <w:t xml:space="preserve"> – </w:t>
      </w:r>
      <w:r>
        <w:rPr>
          <w:rFonts w:ascii="Verdana" w:eastAsia="Calibri" w:hAnsi="Verdana" w:cs="Arial"/>
          <w:b/>
          <w:lang w:val="es-ES"/>
        </w:rPr>
        <w:t>Ley 1437 de 2011</w:t>
      </w:r>
      <w:r w:rsidRPr="00E95799">
        <w:rPr>
          <w:rFonts w:ascii="Verdana" w:eastAsia="Calibri" w:hAnsi="Verdana" w:cs="Arial"/>
          <w:b/>
          <w:lang w:val="es-ES"/>
        </w:rPr>
        <w:t xml:space="preserve"> – </w:t>
      </w:r>
      <w:r>
        <w:rPr>
          <w:rFonts w:ascii="Verdana" w:eastAsia="Calibri" w:hAnsi="Verdana" w:cs="Arial"/>
          <w:b/>
          <w:lang w:val="es-ES"/>
        </w:rPr>
        <w:t>Aplicación supletiva</w:t>
      </w:r>
    </w:p>
    <w:p w14:paraId="4A69F35B" w14:textId="77777777" w:rsidR="00251AF1" w:rsidRPr="00AF1555" w:rsidRDefault="00251AF1" w:rsidP="00251AF1">
      <w:pPr>
        <w:spacing w:after="0" w:line="240" w:lineRule="auto"/>
        <w:jc w:val="both"/>
        <w:rPr>
          <w:rFonts w:ascii="Verdana" w:eastAsia="Calibri" w:hAnsi="Verdana" w:cs="Arial"/>
          <w:b/>
          <w:sz w:val="20"/>
          <w:szCs w:val="20"/>
          <w:lang w:val="es-ES"/>
        </w:rPr>
      </w:pPr>
    </w:p>
    <w:p w14:paraId="5DA9B3C9" w14:textId="77777777" w:rsidR="00251AF1" w:rsidRPr="00EB0B5F" w:rsidRDefault="00251AF1" w:rsidP="00251AF1">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EB0B5F">
        <w:rPr>
          <w:rFonts w:ascii="Verdana" w:eastAsia="Calibri" w:hAnsi="Verdana" w:cs="Arial"/>
          <w:bCs/>
          <w:sz w:val="20"/>
          <w:szCs w:val="20"/>
        </w:rPr>
        <w:t xml:space="preserve">el artículo 77, inciso primero, de la Ley 80 de 1993 dispone que “En cuanto sean compatibles con la finalidad y los principios de esta ley, las normas que rigen los procedimientos y actuaciones en la función administrativa serán aplicables en las actuaciones contractuales […]”, por lo que es necesario acudir a las normas del procedimiento administrativo general en ausencia de reglas especiales. A este aspecto, también se refiere el inciso final del artículo 2 del Código de Procedimiento Administrativo y Contencioso Administrativo al disponer que “Las autoridades sujetarán sus actuaciones a los procedimientos que se establecen en este Código, sin perjuicio de los procedimientos regulados en leyes especiales. </w:t>
      </w:r>
      <w:r w:rsidRPr="00EB0B5F">
        <w:rPr>
          <w:rFonts w:ascii="Verdana" w:eastAsia="Calibri" w:hAnsi="Verdana" w:cs="Arial"/>
          <w:bCs/>
          <w:i/>
          <w:iCs/>
          <w:sz w:val="20"/>
          <w:szCs w:val="20"/>
        </w:rPr>
        <w:t>En lo no previsto en los mismos se aplicarán las disposiciones de este Código</w:t>
      </w:r>
      <w:r w:rsidRPr="00EB0B5F">
        <w:rPr>
          <w:rFonts w:ascii="Verdana" w:eastAsia="Calibri" w:hAnsi="Verdana" w:cs="Arial"/>
          <w:bCs/>
          <w:sz w:val="20"/>
          <w:szCs w:val="20"/>
        </w:rPr>
        <w:t>” (Énfasis fuera de texto)</w:t>
      </w:r>
      <w:r w:rsidRPr="00AF1555">
        <w:rPr>
          <w:rFonts w:ascii="Verdana" w:eastAsia="Calibri" w:hAnsi="Verdana" w:cs="Arial"/>
          <w:color w:val="000000"/>
          <w:sz w:val="20"/>
          <w:szCs w:val="20"/>
          <w:lang w:val="es-ES_tradnl"/>
        </w:rPr>
        <w:t>.</w:t>
      </w:r>
    </w:p>
    <w:p w14:paraId="52631C08" w14:textId="77777777" w:rsidR="00251AF1" w:rsidRPr="00AF1555" w:rsidRDefault="00251AF1" w:rsidP="00251AF1">
      <w:pPr>
        <w:spacing w:after="0" w:line="240" w:lineRule="auto"/>
        <w:rPr>
          <w:rFonts w:ascii="Verdana" w:eastAsia="Geomanist Light" w:hAnsi="Verdana" w:cs="Arial"/>
          <w:color w:val="000000" w:themeColor="text1"/>
          <w:sz w:val="20"/>
          <w:szCs w:val="20"/>
          <w:lang w:val="es-ES_tradnl"/>
        </w:rPr>
      </w:pPr>
    </w:p>
    <w:p w14:paraId="3F373BF8" w14:textId="77777777" w:rsidR="00251AF1" w:rsidRPr="00AF1555" w:rsidRDefault="00251AF1" w:rsidP="00251AF1">
      <w:pPr>
        <w:tabs>
          <w:tab w:val="left" w:pos="426"/>
        </w:tabs>
        <w:spacing w:after="0" w:line="240" w:lineRule="auto"/>
        <w:jc w:val="both"/>
        <w:rPr>
          <w:rFonts w:ascii="Verdana" w:hAnsi="Verdana" w:cs="Arial"/>
          <w:b/>
          <w:lang w:eastAsia="es-CO"/>
        </w:rPr>
      </w:pPr>
      <w:r>
        <w:rPr>
          <w:rFonts w:ascii="Verdana" w:hAnsi="Verdana" w:cs="Arial"/>
          <w:b/>
          <w:lang w:eastAsia="es-CO"/>
        </w:rPr>
        <w:t>LIQUIDACIÓN JUDICIAL – Pérdida de competencia administrativa</w:t>
      </w:r>
      <w:r w:rsidRPr="00AF1555">
        <w:rPr>
          <w:rFonts w:ascii="Verdana" w:hAnsi="Verdana" w:cs="Arial"/>
          <w:b/>
          <w:lang w:eastAsia="es-CO"/>
        </w:rPr>
        <w:t xml:space="preserve">  </w:t>
      </w:r>
    </w:p>
    <w:p w14:paraId="4504637F" w14:textId="77777777" w:rsidR="00251AF1" w:rsidRPr="00AF1555" w:rsidRDefault="00251AF1" w:rsidP="00251AF1">
      <w:pPr>
        <w:tabs>
          <w:tab w:val="left" w:pos="426"/>
        </w:tabs>
        <w:spacing w:after="0" w:line="240" w:lineRule="auto"/>
        <w:jc w:val="both"/>
        <w:rPr>
          <w:rFonts w:ascii="Verdana" w:hAnsi="Verdana" w:cs="Arial"/>
          <w:b/>
          <w:sz w:val="20"/>
          <w:szCs w:val="20"/>
          <w:lang w:eastAsia="es-CO"/>
        </w:rPr>
      </w:pPr>
    </w:p>
    <w:p w14:paraId="5469E723" w14:textId="77777777" w:rsidR="00251AF1" w:rsidRDefault="00251AF1" w:rsidP="00251AF1">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5E1218">
        <w:rPr>
          <w:rFonts w:ascii="Verdana" w:hAnsi="Verdana" w:cs="Arial"/>
          <w:bCs/>
          <w:sz w:val="20"/>
          <w:szCs w:val="20"/>
          <w:lang w:eastAsia="es-CO"/>
        </w:rPr>
        <w:t xml:space="preserve">la liquidación judicial hace parte de una de las pretensiones que admite el medio de control de controversias contractuales. Al respecto, el artículo 141 de la Ley 1437 de </w:t>
      </w:r>
      <w:r w:rsidRPr="005E1218">
        <w:rPr>
          <w:rFonts w:ascii="Verdana" w:hAnsi="Verdana" w:cs="Arial"/>
          <w:bCs/>
          <w:sz w:val="20"/>
          <w:szCs w:val="20"/>
          <w:lang w:eastAsia="es-CO"/>
        </w:rPr>
        <w:lastRenderedPageBreak/>
        <w:t>2011 dispone que “[…]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 Bajo esta perspectiva, para la entidad cesa la facultad de liquidar bilateral o unilateralmente, ya que el tema pasa de la administración a la jurisdicción</w:t>
      </w:r>
      <w:r>
        <w:rPr>
          <w:rFonts w:ascii="Verdana" w:hAnsi="Verdana" w:cs="Arial"/>
          <w:bCs/>
          <w:sz w:val="20"/>
          <w:szCs w:val="20"/>
          <w:lang w:eastAsia="es-CO"/>
        </w:rPr>
        <w:t>.</w:t>
      </w:r>
    </w:p>
    <w:p w14:paraId="7DD5080C" w14:textId="77777777" w:rsidR="00251AF1" w:rsidRDefault="00251AF1" w:rsidP="00251AF1">
      <w:pPr>
        <w:spacing w:after="0" w:line="240" w:lineRule="auto"/>
        <w:jc w:val="both"/>
        <w:rPr>
          <w:rFonts w:ascii="Verdana" w:hAnsi="Verdana" w:cs="Arial"/>
          <w:bCs/>
          <w:sz w:val="20"/>
          <w:szCs w:val="20"/>
          <w:lang w:eastAsia="es-CO"/>
        </w:rPr>
      </w:pPr>
    </w:p>
    <w:p w14:paraId="70A2A87F" w14:textId="77777777" w:rsidR="00251AF1" w:rsidRPr="005E1218" w:rsidRDefault="00251AF1" w:rsidP="00251AF1">
      <w:pPr>
        <w:spacing w:after="0" w:line="240" w:lineRule="auto"/>
        <w:jc w:val="both"/>
        <w:rPr>
          <w:rFonts w:ascii="Verdana" w:hAnsi="Verdana" w:cs="Arial"/>
          <w:b/>
          <w:lang w:eastAsia="es-CO"/>
        </w:rPr>
      </w:pPr>
      <w:r w:rsidRPr="005E1218">
        <w:rPr>
          <w:rFonts w:ascii="Verdana" w:hAnsi="Verdana" w:cs="Arial"/>
          <w:b/>
          <w:lang w:eastAsia="es-CO"/>
        </w:rPr>
        <w:t>PROCEDIMIENTO SANCIONATORIO CONTRACTUAL –</w:t>
      </w:r>
      <w:r>
        <w:rPr>
          <w:rFonts w:ascii="Verdana" w:hAnsi="Verdana" w:cs="Arial"/>
          <w:b/>
          <w:lang w:eastAsia="es-CO"/>
        </w:rPr>
        <w:t xml:space="preserve"> Pérdida de Competencia – Suspensión del procedimiento – Causales de interpretación estricta</w:t>
      </w:r>
    </w:p>
    <w:p w14:paraId="2B26FECF" w14:textId="77777777" w:rsidR="00251AF1" w:rsidRDefault="00251AF1" w:rsidP="00251AF1">
      <w:pPr>
        <w:spacing w:after="0" w:line="240" w:lineRule="auto"/>
        <w:jc w:val="both"/>
        <w:rPr>
          <w:rFonts w:ascii="Verdana" w:hAnsi="Verdana" w:cs="Arial"/>
          <w:bCs/>
          <w:sz w:val="20"/>
          <w:szCs w:val="20"/>
          <w:lang w:eastAsia="es-CO"/>
        </w:rPr>
      </w:pPr>
    </w:p>
    <w:p w14:paraId="120A099E" w14:textId="77777777" w:rsidR="00251AF1" w:rsidRDefault="00251AF1" w:rsidP="00251AF1">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5E1218">
        <w:rPr>
          <w:rFonts w:ascii="Verdana" w:hAnsi="Verdana" w:cs="Arial"/>
          <w:bCs/>
          <w:sz w:val="20"/>
          <w:szCs w:val="20"/>
          <w:lang w:eastAsia="es-CO"/>
        </w:rPr>
        <w:t>las causales de pérdida de competencia o de suspensión de los procedimientos por el inicio de un medio de control se sujetan al principio de legalidad en los términos de los artículos 29 superior y 3.1, inciso primero, de la Ley 1437 de 2011; razón por la cual, son de interpretación estricta. Sin embargo, la Subsección B de la Sección Tercera del Consejo de Estado, en Sentencia del 17 de junio de 2024, estima que “El hecho de que el contratista formule una demanda con el propósito de obtener la declaración de incumplimiento de la entidad contratante, en principio, impide a esta última ejercer la potestad de declarar el incumplimiento del contratista, por cuanto ese aspecto pasa a ser de competencia del juez del caso”.</w:t>
      </w:r>
    </w:p>
    <w:p w14:paraId="261FB1A4" w14:textId="77777777" w:rsidR="00251AF1" w:rsidRDefault="00251AF1" w:rsidP="00251AF1">
      <w:pPr>
        <w:spacing w:after="0" w:line="240" w:lineRule="auto"/>
        <w:jc w:val="both"/>
        <w:rPr>
          <w:rFonts w:ascii="Verdana" w:hAnsi="Verdana" w:cs="Arial"/>
          <w:bCs/>
          <w:sz w:val="20"/>
          <w:szCs w:val="20"/>
          <w:lang w:eastAsia="es-CO"/>
        </w:rPr>
      </w:pPr>
      <w:r>
        <w:rPr>
          <w:rFonts w:ascii="Verdana" w:hAnsi="Verdana" w:cs="Arial"/>
          <w:bCs/>
          <w:sz w:val="20"/>
          <w:szCs w:val="20"/>
          <w:lang w:eastAsia="es-CO"/>
        </w:rPr>
        <w:t>[…]</w:t>
      </w:r>
    </w:p>
    <w:p w14:paraId="28EE9FBF" w14:textId="77777777" w:rsidR="00251AF1" w:rsidRDefault="00251AF1" w:rsidP="00251AF1">
      <w:pPr>
        <w:spacing w:after="0" w:line="240" w:lineRule="auto"/>
        <w:jc w:val="both"/>
        <w:rPr>
          <w:rFonts w:ascii="Verdana" w:hAnsi="Verdana" w:cs="Arial"/>
          <w:bCs/>
          <w:sz w:val="20"/>
          <w:szCs w:val="20"/>
          <w:lang w:eastAsia="es-CO"/>
        </w:rPr>
      </w:pPr>
    </w:p>
    <w:p w14:paraId="65731A95" w14:textId="77777777" w:rsidR="00251AF1" w:rsidRPr="005E1218" w:rsidRDefault="00251AF1" w:rsidP="00251AF1">
      <w:pPr>
        <w:spacing w:after="0" w:line="240" w:lineRule="auto"/>
        <w:jc w:val="both"/>
        <w:rPr>
          <w:rFonts w:ascii="Verdana" w:hAnsi="Verdana" w:cs="Arial"/>
          <w:bCs/>
          <w:sz w:val="20"/>
          <w:szCs w:val="20"/>
          <w:lang w:eastAsia="es-CO"/>
        </w:rPr>
      </w:pPr>
      <w:r w:rsidRPr="005E1218">
        <w:rPr>
          <w:rFonts w:ascii="Verdana" w:hAnsi="Verdana" w:cs="Arial"/>
          <w:bCs/>
          <w:sz w:val="20"/>
          <w:szCs w:val="20"/>
          <w:lang w:eastAsia="es-CO"/>
        </w:rPr>
        <w:t>Además de que carece de fundamento jurídico, la Agencia estima que dicha idea es contraria al principio de eficacia de la gestión pública, pues basta el ejercicio de la acción judicial para entorpecer los procedimientos sancionatorios contractuales. Por ejemplo, al momento de expedirse la sentencia que exonere de responsabilidad a la entidad contratante, puede haber caducado el ejercicio de la potestad sancionatoria, vencido el término de prescripción de las acciones derivadas del contrato de seguro para la garantía única de cumplimiento o, incluso, frente a la necesidad de liquidar el contrato, eliminar la facultad de imponer con posterioridad las multas o la cláusula penal pecuniaria.</w:t>
      </w:r>
    </w:p>
    <w:p w14:paraId="10AD158F" w14:textId="77777777" w:rsidR="00251AF1" w:rsidRPr="00251AF1" w:rsidRDefault="00251AF1" w:rsidP="002876A0">
      <w:pPr>
        <w:spacing w:after="0" w:line="240" w:lineRule="auto"/>
        <w:rPr>
          <w:rFonts w:ascii="Verdana" w:eastAsia="Geomanist Light" w:hAnsi="Verdana" w:cs="Arial"/>
          <w:color w:val="000000" w:themeColor="text1"/>
        </w:rPr>
      </w:pPr>
    </w:p>
    <w:p w14:paraId="1290641E" w14:textId="77777777" w:rsidR="00251AF1" w:rsidRDefault="00251AF1" w:rsidP="002876A0">
      <w:pPr>
        <w:spacing w:after="0" w:line="240" w:lineRule="auto"/>
        <w:rPr>
          <w:rFonts w:ascii="Verdana" w:eastAsia="Geomanist Light" w:hAnsi="Verdana" w:cs="Arial"/>
          <w:color w:val="000000" w:themeColor="text1"/>
          <w:lang w:val="es-MX"/>
        </w:rPr>
      </w:pPr>
    </w:p>
    <w:p w14:paraId="445BD91A" w14:textId="77777777" w:rsidR="00251AF1" w:rsidRDefault="00251AF1" w:rsidP="002876A0">
      <w:pPr>
        <w:spacing w:after="0" w:line="240" w:lineRule="auto"/>
        <w:rPr>
          <w:rFonts w:ascii="Verdana" w:eastAsia="Geomanist Light" w:hAnsi="Verdana" w:cs="Arial"/>
          <w:color w:val="000000" w:themeColor="text1"/>
          <w:lang w:val="es-MX"/>
        </w:rPr>
      </w:pPr>
    </w:p>
    <w:p w14:paraId="4EFEE482" w14:textId="77777777" w:rsidR="00251AF1" w:rsidRDefault="00251AF1" w:rsidP="002876A0">
      <w:pPr>
        <w:spacing w:after="0" w:line="240" w:lineRule="auto"/>
        <w:rPr>
          <w:rFonts w:ascii="Verdana" w:eastAsia="Geomanist Light" w:hAnsi="Verdana" w:cs="Arial"/>
          <w:color w:val="000000" w:themeColor="text1"/>
          <w:lang w:val="es-MX"/>
        </w:rPr>
      </w:pPr>
    </w:p>
    <w:p w14:paraId="16483BAA" w14:textId="77777777" w:rsidR="00251AF1" w:rsidRDefault="00251AF1" w:rsidP="002876A0">
      <w:pPr>
        <w:spacing w:after="0" w:line="240" w:lineRule="auto"/>
        <w:rPr>
          <w:rFonts w:ascii="Verdana" w:eastAsia="Geomanist Light" w:hAnsi="Verdana" w:cs="Arial"/>
          <w:color w:val="000000" w:themeColor="text1"/>
          <w:lang w:val="es-MX"/>
        </w:rPr>
      </w:pPr>
    </w:p>
    <w:p w14:paraId="7C6E3E5E" w14:textId="77777777" w:rsidR="00251AF1" w:rsidRDefault="00251AF1" w:rsidP="002876A0">
      <w:pPr>
        <w:spacing w:after="0" w:line="240" w:lineRule="auto"/>
        <w:rPr>
          <w:rFonts w:ascii="Verdana" w:eastAsia="Geomanist Light" w:hAnsi="Verdana" w:cs="Arial"/>
          <w:color w:val="000000" w:themeColor="text1"/>
          <w:lang w:val="es-MX"/>
        </w:rPr>
      </w:pPr>
    </w:p>
    <w:p w14:paraId="50818657" w14:textId="77777777" w:rsidR="00251AF1" w:rsidRDefault="00251AF1" w:rsidP="002876A0">
      <w:pPr>
        <w:spacing w:after="0" w:line="240" w:lineRule="auto"/>
        <w:rPr>
          <w:rFonts w:ascii="Verdana" w:eastAsia="Geomanist Light" w:hAnsi="Verdana" w:cs="Arial"/>
          <w:color w:val="000000" w:themeColor="text1"/>
          <w:lang w:val="es-MX"/>
        </w:rPr>
      </w:pPr>
    </w:p>
    <w:p w14:paraId="1B253099" w14:textId="77777777" w:rsidR="00251AF1" w:rsidRDefault="00251AF1" w:rsidP="002876A0">
      <w:pPr>
        <w:spacing w:after="0" w:line="240" w:lineRule="auto"/>
        <w:rPr>
          <w:rFonts w:ascii="Verdana" w:eastAsia="Geomanist Light" w:hAnsi="Verdana" w:cs="Arial"/>
          <w:color w:val="000000" w:themeColor="text1"/>
          <w:lang w:val="es-MX"/>
        </w:rPr>
      </w:pPr>
    </w:p>
    <w:p w14:paraId="560A984D" w14:textId="77777777" w:rsidR="00251AF1" w:rsidRDefault="00251AF1" w:rsidP="002876A0">
      <w:pPr>
        <w:spacing w:after="0" w:line="240" w:lineRule="auto"/>
        <w:rPr>
          <w:rFonts w:ascii="Verdana" w:eastAsia="Geomanist Light" w:hAnsi="Verdana" w:cs="Arial"/>
          <w:color w:val="000000" w:themeColor="text1"/>
          <w:lang w:val="es-MX"/>
        </w:rPr>
      </w:pPr>
    </w:p>
    <w:p w14:paraId="5B2941E3" w14:textId="77777777" w:rsidR="00251AF1" w:rsidRDefault="00251AF1" w:rsidP="002876A0">
      <w:pPr>
        <w:spacing w:after="0" w:line="240" w:lineRule="auto"/>
        <w:rPr>
          <w:rFonts w:ascii="Verdana" w:eastAsia="Geomanist Light" w:hAnsi="Verdana" w:cs="Arial"/>
          <w:color w:val="000000" w:themeColor="text1"/>
          <w:lang w:val="es-MX"/>
        </w:rPr>
      </w:pPr>
    </w:p>
    <w:p w14:paraId="79B8D6E1" w14:textId="77777777" w:rsidR="00251AF1" w:rsidRDefault="00251AF1" w:rsidP="002876A0">
      <w:pPr>
        <w:spacing w:after="0" w:line="240" w:lineRule="auto"/>
        <w:rPr>
          <w:rFonts w:ascii="Verdana" w:eastAsia="Geomanist Light" w:hAnsi="Verdana" w:cs="Arial"/>
          <w:color w:val="000000" w:themeColor="text1"/>
          <w:lang w:val="es-MX"/>
        </w:rPr>
      </w:pPr>
    </w:p>
    <w:p w14:paraId="1E1ADD29" w14:textId="77777777" w:rsidR="00251AF1" w:rsidRDefault="00251AF1" w:rsidP="002876A0">
      <w:pPr>
        <w:spacing w:after="0" w:line="240" w:lineRule="auto"/>
        <w:rPr>
          <w:rFonts w:ascii="Verdana" w:eastAsia="Geomanist Light" w:hAnsi="Verdana" w:cs="Arial"/>
          <w:color w:val="000000" w:themeColor="text1"/>
          <w:lang w:val="es-MX"/>
        </w:rPr>
      </w:pPr>
    </w:p>
    <w:p w14:paraId="19D39936" w14:textId="77777777" w:rsidR="00251AF1" w:rsidRDefault="00251AF1" w:rsidP="002876A0">
      <w:pPr>
        <w:spacing w:after="0" w:line="240" w:lineRule="auto"/>
        <w:rPr>
          <w:rFonts w:ascii="Verdana" w:eastAsia="Geomanist Light" w:hAnsi="Verdana" w:cs="Arial"/>
          <w:color w:val="000000" w:themeColor="text1"/>
          <w:lang w:val="es-MX"/>
        </w:rPr>
      </w:pPr>
    </w:p>
    <w:p w14:paraId="2E2BA6A4" w14:textId="77777777" w:rsidR="00251AF1" w:rsidRDefault="00251AF1" w:rsidP="002876A0">
      <w:pPr>
        <w:spacing w:after="0" w:line="240" w:lineRule="auto"/>
        <w:rPr>
          <w:rFonts w:ascii="Verdana" w:eastAsia="Geomanist Light" w:hAnsi="Verdana" w:cs="Arial"/>
          <w:color w:val="000000" w:themeColor="text1"/>
          <w:lang w:val="es-MX"/>
        </w:rPr>
      </w:pPr>
    </w:p>
    <w:p w14:paraId="58FBF1F3" w14:textId="77777777" w:rsidR="00251AF1" w:rsidRDefault="00251AF1" w:rsidP="002876A0">
      <w:pPr>
        <w:spacing w:after="0" w:line="240" w:lineRule="auto"/>
        <w:rPr>
          <w:rFonts w:ascii="Verdana" w:eastAsia="Geomanist Light" w:hAnsi="Verdana" w:cs="Arial"/>
          <w:color w:val="000000" w:themeColor="text1"/>
          <w:lang w:val="es-MX"/>
        </w:rPr>
      </w:pPr>
    </w:p>
    <w:p w14:paraId="79A11F82" w14:textId="77777777" w:rsidR="00251AF1" w:rsidRDefault="00251AF1" w:rsidP="002876A0">
      <w:pPr>
        <w:spacing w:after="0" w:line="240" w:lineRule="auto"/>
        <w:rPr>
          <w:rFonts w:ascii="Verdana" w:eastAsia="Geomanist Light" w:hAnsi="Verdana" w:cs="Arial"/>
          <w:color w:val="000000" w:themeColor="text1"/>
          <w:lang w:val="es-MX"/>
        </w:rPr>
      </w:pPr>
    </w:p>
    <w:p w14:paraId="701D374A" w14:textId="547DCFFE" w:rsidR="002876A0" w:rsidRPr="00593A5F" w:rsidRDefault="002876A0" w:rsidP="002876A0">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151F28" w:rsidRPr="00151F28">
        <w:rPr>
          <w:rFonts w:ascii="Verdana" w:eastAsia="Geomanist Light" w:hAnsi="Verdana" w:cs="Arial"/>
          <w:color w:val="201F1E"/>
          <w:lang w:val="es-MX"/>
        </w:rPr>
        <w:t>02 de Septiembre de 2024</w:t>
      </w:r>
    </w:p>
    <w:p w14:paraId="2BDF1562" w14:textId="77777777" w:rsidR="002876A0" w:rsidRDefault="002876A0" w:rsidP="002876A0">
      <w:pPr>
        <w:spacing w:after="0" w:line="240" w:lineRule="auto"/>
        <w:jc w:val="both"/>
        <w:rPr>
          <w:rFonts w:ascii="Verdana" w:eastAsia="Calibri" w:hAnsi="Verdana" w:cs="Arial"/>
          <w:color w:val="000000"/>
          <w:lang w:val="es-ES"/>
        </w:rPr>
      </w:pPr>
    </w:p>
    <w:p w14:paraId="444FAF96" w14:textId="43870B67" w:rsidR="00151F28" w:rsidRDefault="00151F28" w:rsidP="00151F28">
      <w:pPr>
        <w:spacing w:after="0" w:line="240" w:lineRule="auto"/>
        <w:jc w:val="right"/>
        <w:rPr>
          <w:rFonts w:ascii="Verdana" w:eastAsia="Calibri" w:hAnsi="Verdana" w:cs="Arial"/>
          <w:color w:val="000000"/>
          <w:lang w:val="es-ES"/>
        </w:rPr>
      </w:pPr>
      <w:r w:rsidRPr="00151F28">
        <w:rPr>
          <w:rFonts w:ascii="Verdana" w:eastAsia="Calibri" w:hAnsi="Verdana" w:cs="Arial"/>
          <w:noProof/>
          <w:color w:val="000000"/>
          <w:lang w:val="es-ES"/>
        </w:rPr>
        <w:drawing>
          <wp:inline distT="0" distB="0" distL="0" distR="0" wp14:anchorId="2ECD5273" wp14:editId="15E0CC10">
            <wp:extent cx="3238500" cy="901700"/>
            <wp:effectExtent l="0" t="0" r="0" b="0"/>
            <wp:docPr id="19953597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359754" name=""/>
                    <pic:cNvPicPr/>
                  </pic:nvPicPr>
                  <pic:blipFill>
                    <a:blip r:embed="rId10"/>
                    <a:stretch>
                      <a:fillRect/>
                    </a:stretch>
                  </pic:blipFill>
                  <pic:spPr>
                    <a:xfrm>
                      <a:off x="0" y="0"/>
                      <a:ext cx="3238500" cy="901700"/>
                    </a:xfrm>
                    <a:prstGeom prst="rect">
                      <a:avLst/>
                    </a:prstGeom>
                  </pic:spPr>
                </pic:pic>
              </a:graphicData>
            </a:graphic>
          </wp:inline>
        </w:drawing>
      </w:r>
    </w:p>
    <w:p w14:paraId="2844220D" w14:textId="77777777" w:rsidR="002876A0" w:rsidRPr="00593A5F" w:rsidRDefault="002876A0" w:rsidP="002876A0">
      <w:pPr>
        <w:spacing w:after="0" w:line="240" w:lineRule="auto"/>
        <w:jc w:val="both"/>
        <w:rPr>
          <w:rFonts w:ascii="Verdana" w:eastAsia="Calibri" w:hAnsi="Verdana" w:cs="Arial"/>
          <w:color w:val="000000"/>
          <w:lang w:val="es-ES"/>
        </w:rPr>
      </w:pPr>
    </w:p>
    <w:p w14:paraId="58DB1135" w14:textId="77777777" w:rsidR="002876A0" w:rsidRPr="00B96799" w:rsidRDefault="002876A0" w:rsidP="002876A0">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672FF8D7" w14:textId="77777777" w:rsidR="002876A0" w:rsidRDefault="002876A0" w:rsidP="002876A0">
      <w:pPr>
        <w:spacing w:after="0" w:line="240" w:lineRule="auto"/>
        <w:rPr>
          <w:rFonts w:ascii="Verdana" w:eastAsia="Calibri" w:hAnsi="Verdana" w:cs="Arial"/>
          <w:b/>
          <w:lang w:val="es-ES_tradnl" w:eastAsia="es-ES_tradnl"/>
        </w:rPr>
      </w:pPr>
      <w:r w:rsidRPr="00B71607">
        <w:rPr>
          <w:rFonts w:ascii="Verdana" w:eastAsia="Calibri" w:hAnsi="Verdana" w:cs="Arial"/>
          <w:b/>
          <w:lang w:val="es-ES_tradnl" w:eastAsia="es-ES_tradnl"/>
        </w:rPr>
        <w:t xml:space="preserve">Ana Mirella </w:t>
      </w:r>
      <w:bookmarkStart w:id="0" w:name="_Hlk173308753"/>
      <w:r w:rsidRPr="00B71607">
        <w:rPr>
          <w:rFonts w:ascii="Verdana" w:eastAsia="Calibri" w:hAnsi="Verdana" w:cs="Arial"/>
          <w:b/>
          <w:lang w:val="es-ES_tradnl" w:eastAsia="es-ES_tradnl"/>
        </w:rPr>
        <w:t>Ricardo Ávila</w:t>
      </w:r>
      <w:bookmarkEnd w:id="0"/>
    </w:p>
    <w:p w14:paraId="366A4119" w14:textId="77777777" w:rsidR="002876A0" w:rsidRPr="00B71607" w:rsidRDefault="00000000" w:rsidP="002876A0">
      <w:pPr>
        <w:spacing w:after="0" w:line="240" w:lineRule="auto"/>
        <w:rPr>
          <w:rFonts w:ascii="Verdana" w:eastAsia="Calibri" w:hAnsi="Verdana" w:cs="Arial"/>
          <w:lang w:val="es-ES" w:eastAsia="es-ES"/>
        </w:rPr>
      </w:pPr>
      <w:hyperlink r:id="rId11" w:history="1">
        <w:r w:rsidR="002876A0" w:rsidRPr="001E6B54">
          <w:rPr>
            <w:rStyle w:val="Hipervnculo"/>
            <w:rFonts w:ascii="Verdana" w:hAnsi="Verdana"/>
          </w:rPr>
          <w:t>anam.ricardo@hotmail.com</w:t>
        </w:r>
      </w:hyperlink>
      <w:r w:rsidR="002876A0">
        <w:rPr>
          <w:rFonts w:ascii="Verdana" w:eastAsia="Calibri" w:hAnsi="Verdana" w:cs="Arial"/>
          <w:lang w:val="es-ES" w:eastAsia="es-ES"/>
        </w:rPr>
        <w:t xml:space="preserve"> </w:t>
      </w:r>
      <w:r w:rsidR="002876A0" w:rsidRPr="00B71607">
        <w:rPr>
          <w:rFonts w:ascii="Verdana" w:eastAsia="Calibri" w:hAnsi="Verdana" w:cs="Arial"/>
          <w:lang w:val="es-ES" w:eastAsia="es-ES"/>
        </w:rPr>
        <w:t xml:space="preserve">  </w:t>
      </w:r>
    </w:p>
    <w:p w14:paraId="255032A0" w14:textId="77777777" w:rsidR="002876A0" w:rsidRDefault="002876A0" w:rsidP="002876A0">
      <w:pPr>
        <w:spacing w:after="0" w:line="240" w:lineRule="auto"/>
        <w:rPr>
          <w:rFonts w:ascii="Verdana" w:eastAsia="Calibri" w:hAnsi="Verdana" w:cs="Arial"/>
          <w:lang w:val="es-ES" w:eastAsia="es-ES"/>
        </w:rPr>
      </w:pPr>
      <w:r>
        <w:rPr>
          <w:rFonts w:ascii="Verdana" w:eastAsia="Calibri" w:hAnsi="Verdana" w:cs="Arial"/>
          <w:lang w:val="es-ES" w:eastAsia="es-ES"/>
        </w:rPr>
        <w:t>Villavicencio, Meta</w:t>
      </w:r>
    </w:p>
    <w:p w14:paraId="10B2F61A" w14:textId="77777777" w:rsidR="002876A0" w:rsidRPr="00593A5F" w:rsidRDefault="002876A0" w:rsidP="002876A0">
      <w:pPr>
        <w:spacing w:after="0" w:line="240" w:lineRule="auto"/>
        <w:rPr>
          <w:rFonts w:ascii="Verdana" w:eastAsia="Calibri" w:hAnsi="Verdana" w:cs="Arial"/>
          <w:b/>
          <w:bCs/>
          <w:color w:val="000000"/>
          <w:lang w:val="es-ES_tradnl" w:eastAsia="es-ES_tradnl"/>
        </w:rPr>
      </w:pPr>
    </w:p>
    <w:p w14:paraId="3C97EBFB" w14:textId="77777777" w:rsidR="002876A0" w:rsidRPr="00593A5F" w:rsidRDefault="002876A0" w:rsidP="002876A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876A0" w:rsidRPr="00593A5F" w14:paraId="710BB09A" w14:textId="77777777" w:rsidTr="00740954">
        <w:trPr>
          <w:trHeight w:val="884"/>
        </w:trPr>
        <w:tc>
          <w:tcPr>
            <w:tcW w:w="2689" w:type="dxa"/>
          </w:tcPr>
          <w:p w14:paraId="2B44E04A" w14:textId="77777777" w:rsidR="002876A0" w:rsidRPr="00C00976" w:rsidRDefault="002876A0" w:rsidP="00740954">
            <w:pPr>
              <w:jc w:val="both"/>
              <w:rPr>
                <w:rFonts w:ascii="Verdana" w:eastAsia="Calibri" w:hAnsi="Verdana" w:cs="Arial"/>
                <w:b/>
                <w:bCs/>
                <w:color w:val="7030A0"/>
                <w:lang w:val="es-ES_tradnl" w:eastAsia="es-ES_tradnl"/>
              </w:rPr>
            </w:pPr>
          </w:p>
        </w:tc>
        <w:tc>
          <w:tcPr>
            <w:tcW w:w="6100" w:type="dxa"/>
          </w:tcPr>
          <w:p w14:paraId="0C5D4423" w14:textId="77777777" w:rsidR="002876A0" w:rsidRPr="00C00976" w:rsidRDefault="002876A0" w:rsidP="0074095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361</w:t>
            </w:r>
            <w:r w:rsidRPr="008E6AD9">
              <w:rPr>
                <w:rFonts w:ascii="Verdana" w:eastAsia="Calibri" w:hAnsi="Verdana" w:cs="Arial"/>
                <w:b/>
                <w:bCs/>
                <w:lang w:val="es-ES" w:eastAsia="es-ES"/>
              </w:rPr>
              <w:t xml:space="preserve"> de 2024</w:t>
            </w:r>
          </w:p>
        </w:tc>
      </w:tr>
      <w:tr w:rsidR="002876A0" w:rsidRPr="00593A5F" w14:paraId="18F00DE3" w14:textId="77777777" w:rsidTr="00740954">
        <w:trPr>
          <w:trHeight w:val="884"/>
        </w:trPr>
        <w:tc>
          <w:tcPr>
            <w:tcW w:w="2689" w:type="dxa"/>
          </w:tcPr>
          <w:p w14:paraId="6883057F" w14:textId="77777777" w:rsidR="002876A0" w:rsidRPr="00593A5F" w:rsidRDefault="002876A0" w:rsidP="0074095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576B53A" w14:textId="77777777" w:rsidR="002876A0" w:rsidRPr="00A11406" w:rsidRDefault="002876A0" w:rsidP="00740954">
            <w:pPr>
              <w:spacing w:line="276" w:lineRule="auto"/>
              <w:jc w:val="both"/>
              <w:rPr>
                <w:rFonts w:ascii="Verdana" w:eastAsia="Calibri" w:hAnsi="Verdana" w:cs="Arial"/>
                <w:lang w:val="es-ES" w:eastAsia="es-ES"/>
              </w:rPr>
            </w:pPr>
            <w:r w:rsidRPr="005E1218">
              <w:rPr>
                <w:rFonts w:ascii="Verdana" w:eastAsia="Calibri" w:hAnsi="Verdana" w:cs="Arial"/>
                <w:lang w:val="es-ES" w:eastAsia="es-ES"/>
              </w:rPr>
              <w:t>PROCEDIMIENTO ADMINISTRATIVO – Sanciones contractuales – Entidades sometidas – Ley 1474 de 2011 – Etapas</w:t>
            </w:r>
            <w:r>
              <w:rPr>
                <w:rFonts w:ascii="Verdana" w:eastAsia="Calibri" w:hAnsi="Verdana" w:cs="Arial"/>
                <w:lang w:val="es-ES" w:eastAsia="es-ES"/>
              </w:rPr>
              <w:t xml:space="preserve"> / </w:t>
            </w:r>
            <w:r w:rsidRPr="005E1218">
              <w:rPr>
                <w:rFonts w:ascii="Verdana" w:eastAsia="Calibri" w:hAnsi="Verdana" w:cs="Arial"/>
                <w:lang w:val="es-ES" w:eastAsia="es-ES"/>
              </w:rPr>
              <w:t>PROCEDIMIENTO ADMINISTRATIVO GENERAL – Ley 1437 de 2011 – Aplicación supletiva</w:t>
            </w:r>
            <w:r>
              <w:rPr>
                <w:rFonts w:ascii="Verdana" w:eastAsia="Calibri" w:hAnsi="Verdana" w:cs="Arial"/>
                <w:lang w:val="es-ES" w:eastAsia="es-ES"/>
              </w:rPr>
              <w:t xml:space="preserve"> / </w:t>
            </w:r>
            <w:r w:rsidRPr="005E1218">
              <w:rPr>
                <w:rFonts w:ascii="Verdana" w:eastAsia="Calibri" w:hAnsi="Verdana" w:cs="Arial"/>
                <w:lang w:val="es-ES" w:eastAsia="es-ES"/>
              </w:rPr>
              <w:t>LIQUIDACIÓN JUDICIAL – Pérdida de competencia administrativa</w:t>
            </w:r>
            <w:r>
              <w:rPr>
                <w:rFonts w:ascii="Verdana" w:eastAsia="Calibri" w:hAnsi="Verdana" w:cs="Arial"/>
                <w:lang w:val="es-ES" w:eastAsia="es-ES"/>
              </w:rPr>
              <w:t xml:space="preserve"> / </w:t>
            </w:r>
            <w:r w:rsidRPr="005E1218">
              <w:rPr>
                <w:rFonts w:ascii="Verdana" w:eastAsia="Calibri" w:hAnsi="Verdana" w:cs="Arial"/>
                <w:lang w:val="es-ES" w:eastAsia="es-ES"/>
              </w:rPr>
              <w:t>PROCEDIMIENTO SANCIONATORIO CONTRACTUAL – Pérdida de Competencia – Suspensión del procedimiento – Causales de interpretación estricta</w:t>
            </w:r>
            <w:r w:rsidRPr="00FA3A97">
              <w:rPr>
                <w:rFonts w:ascii="Verdana" w:eastAsia="Calibri" w:hAnsi="Verdana" w:cs="Arial"/>
                <w:lang w:val="es-ES" w:eastAsia="es-ES"/>
              </w:rPr>
              <w:t xml:space="preserve">  </w:t>
            </w:r>
          </w:p>
          <w:p w14:paraId="36132E9D" w14:textId="77777777" w:rsidR="002876A0" w:rsidRPr="00593A5F" w:rsidRDefault="002876A0" w:rsidP="0074095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2876A0" w:rsidRPr="008E6AD9" w14:paraId="339715A5" w14:textId="77777777" w:rsidTr="00740954">
        <w:tc>
          <w:tcPr>
            <w:tcW w:w="2689" w:type="dxa"/>
          </w:tcPr>
          <w:p w14:paraId="4C517091" w14:textId="77777777" w:rsidR="002876A0" w:rsidRPr="008E6AD9" w:rsidRDefault="002876A0" w:rsidP="0074095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B583FDE" w14:textId="77777777" w:rsidR="002876A0" w:rsidRPr="008E6AD9" w:rsidRDefault="002876A0" w:rsidP="00740954">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B71607">
              <w:rPr>
                <w:rFonts w:ascii="Verdana" w:eastAsia="Calibri" w:hAnsi="Verdana" w:cs="Arial"/>
                <w:lang w:val="es-ES_tradnl" w:eastAsia="es-ES_tradnl"/>
              </w:rPr>
              <w:t>P20240718007345</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626274B" w14:textId="77777777" w:rsidR="002876A0" w:rsidRPr="00593A5F" w:rsidRDefault="002876A0" w:rsidP="002876A0">
      <w:pPr>
        <w:spacing w:after="0" w:line="240" w:lineRule="auto"/>
        <w:jc w:val="both"/>
        <w:rPr>
          <w:rFonts w:ascii="Verdana" w:eastAsia="Calibri" w:hAnsi="Verdana" w:cs="Arial"/>
          <w:color w:val="000000"/>
          <w:lang w:val="es-ES_tradnl" w:eastAsia="es-ES_tradnl"/>
        </w:rPr>
      </w:pPr>
    </w:p>
    <w:p w14:paraId="40BE459B" w14:textId="77777777" w:rsidR="002876A0" w:rsidRPr="00593A5F" w:rsidRDefault="002876A0" w:rsidP="002876A0">
      <w:pPr>
        <w:spacing w:after="0" w:line="240" w:lineRule="auto"/>
        <w:jc w:val="both"/>
        <w:rPr>
          <w:rFonts w:ascii="Verdana" w:eastAsia="Calibri" w:hAnsi="Verdana" w:cs="Arial"/>
          <w:color w:val="000000"/>
          <w:lang w:val="es-ES_tradnl" w:eastAsia="es-ES_tradnl"/>
        </w:rPr>
      </w:pPr>
    </w:p>
    <w:p w14:paraId="5E813196" w14:textId="77777777" w:rsidR="002876A0" w:rsidRPr="008E6AD9" w:rsidRDefault="002876A0" w:rsidP="002876A0">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sidRPr="00B71607">
        <w:rPr>
          <w:rFonts w:ascii="Verdana" w:eastAsia="Calibri" w:hAnsi="Verdana" w:cs="Arial"/>
          <w:lang w:val="es-ES" w:eastAsia="es-ES"/>
        </w:rPr>
        <w:t>Ricardo Ávila</w:t>
      </w:r>
      <w:r w:rsidRPr="008E6AD9">
        <w:rPr>
          <w:rFonts w:ascii="Verdana" w:eastAsia="Calibri" w:hAnsi="Verdana" w:cs="Arial"/>
          <w:lang w:val="es-ES" w:eastAsia="es-ES"/>
        </w:rPr>
        <w:t xml:space="preserve">: </w:t>
      </w:r>
    </w:p>
    <w:p w14:paraId="1D581F03" w14:textId="77777777" w:rsidR="002876A0" w:rsidRDefault="002876A0" w:rsidP="002876A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8AA6F8F" w14:textId="77777777" w:rsidR="002876A0" w:rsidRPr="00593A5F" w:rsidRDefault="002876A0" w:rsidP="002876A0">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5 de julio</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sobre</w:t>
      </w:r>
      <w:r w:rsidRPr="008E6AD9">
        <w:rPr>
          <w:rFonts w:ascii="Verdana" w:eastAsia="Calibri" w:hAnsi="Verdana" w:cs="Arial"/>
          <w:lang w:val="es-ES" w:eastAsia="es-ES"/>
        </w:rPr>
        <w:t xml:space="preserve">: </w:t>
      </w:r>
    </w:p>
    <w:p w14:paraId="1D86A701" w14:textId="77777777" w:rsidR="002876A0" w:rsidRPr="00272A7B" w:rsidRDefault="002876A0" w:rsidP="00E41ED7">
      <w:pPr>
        <w:pStyle w:val="Prrafodelista"/>
        <w:tabs>
          <w:tab w:val="left" w:pos="142"/>
          <w:tab w:val="left" w:pos="284"/>
        </w:tabs>
        <w:spacing w:after="0" w:line="276" w:lineRule="auto"/>
        <w:ind w:left="0"/>
        <w:jc w:val="both"/>
        <w:rPr>
          <w:rFonts w:ascii="Verdana" w:eastAsia="Century Gothic" w:hAnsi="Verdana" w:cs="Century Gothic"/>
          <w:b/>
          <w:bCs/>
        </w:rPr>
      </w:pPr>
    </w:p>
    <w:p w14:paraId="51C193F9" w14:textId="77777777" w:rsidR="002876A0" w:rsidRPr="006040CE" w:rsidRDefault="002876A0" w:rsidP="002876A0">
      <w:pPr>
        <w:spacing w:after="120" w:line="240" w:lineRule="auto"/>
        <w:ind w:left="709" w:right="709"/>
        <w:jc w:val="both"/>
        <w:rPr>
          <w:rStyle w:val="normaltextrun"/>
          <w:rFonts w:ascii="Verdana" w:hAnsi="Verdana" w:cs="Arial"/>
          <w:sz w:val="21"/>
          <w:szCs w:val="21"/>
          <w:shd w:val="clear" w:color="auto" w:fill="FFFFFF"/>
          <w:lang w:val="es-ES"/>
        </w:rPr>
      </w:pPr>
      <w:bookmarkStart w:id="1" w:name="_Hlk95313578"/>
      <w:r w:rsidRPr="006040CE">
        <w:rPr>
          <w:rFonts w:ascii="Verdana" w:eastAsia="Century Gothic" w:hAnsi="Verdana" w:cs="Century Gothic"/>
          <w:sz w:val="21"/>
          <w:szCs w:val="21"/>
          <w:lang w:val="es-ES"/>
        </w:rPr>
        <w:t>“</w:t>
      </w:r>
      <w:bookmarkEnd w:id="1"/>
      <w:r w:rsidRPr="006040CE">
        <w:rPr>
          <w:rFonts w:ascii="Verdana" w:eastAsia="Century Gothic" w:hAnsi="Verdana" w:cs="Century Gothic"/>
          <w:sz w:val="21"/>
          <w:szCs w:val="21"/>
          <w:lang w:val="es-ES"/>
        </w:rPr>
        <w:t xml:space="preserve">[…] </w:t>
      </w:r>
      <w:r w:rsidRPr="006040CE">
        <w:rPr>
          <w:rStyle w:val="normaltextrun"/>
          <w:rFonts w:ascii="Verdana" w:hAnsi="Verdana" w:cs="Arial"/>
          <w:sz w:val="21"/>
          <w:szCs w:val="21"/>
          <w:shd w:val="clear" w:color="auto" w:fill="FFFFFF"/>
          <w:lang w:val="es-ES"/>
        </w:rPr>
        <w:t xml:space="preserve">el marco normativo en el cual se establezca que un proceso administrativo sancionatorio contractual pierde la competencia cuando el contratista demande a la administración ante lo contencioso </w:t>
      </w:r>
      <w:r w:rsidRPr="006040CE">
        <w:rPr>
          <w:rStyle w:val="normaltextrun"/>
          <w:rFonts w:ascii="Verdana" w:hAnsi="Verdana" w:cs="Arial"/>
          <w:sz w:val="21"/>
          <w:szCs w:val="21"/>
          <w:shd w:val="clear" w:color="auto" w:fill="FFFFFF"/>
          <w:lang w:val="es-ES"/>
        </w:rPr>
        <w:lastRenderedPageBreak/>
        <w:t>administrativo por el medio de control de acción de controversias contractuales.</w:t>
      </w:r>
    </w:p>
    <w:p w14:paraId="0A56A3A8" w14:textId="77777777" w:rsidR="002876A0" w:rsidRPr="00497575" w:rsidRDefault="002876A0" w:rsidP="002876A0">
      <w:pPr>
        <w:spacing w:after="0" w:line="240" w:lineRule="auto"/>
        <w:ind w:left="709" w:right="709"/>
        <w:jc w:val="both"/>
        <w:rPr>
          <w:rFonts w:ascii="Verdana" w:eastAsia="Century Gothic" w:hAnsi="Verdana" w:cs="Century Gothic"/>
          <w:sz w:val="20"/>
          <w:szCs w:val="20"/>
          <w:lang w:val="es-ES"/>
        </w:rPr>
      </w:pPr>
      <w:r w:rsidRPr="006040CE">
        <w:rPr>
          <w:rStyle w:val="normaltextrun"/>
          <w:rFonts w:ascii="Verdana" w:hAnsi="Verdana" w:cs="Arial"/>
          <w:sz w:val="21"/>
          <w:szCs w:val="21"/>
          <w:shd w:val="clear" w:color="auto" w:fill="FFFFFF"/>
          <w:lang w:val="es-ES"/>
        </w:rPr>
        <w:t>La anterior petición, agradezco absolver sobre la aplicación de normas de carácter general, como quiera, que se requiere tener el peso jurídico para tomar decisiones de fondo en esos casos</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38D12299" w14:textId="77777777" w:rsidR="002876A0" w:rsidRPr="008E6AD9" w:rsidRDefault="002876A0" w:rsidP="002876A0">
      <w:pPr>
        <w:pStyle w:val="Prrafodelista"/>
        <w:tabs>
          <w:tab w:val="left" w:pos="142"/>
          <w:tab w:val="left" w:pos="284"/>
        </w:tabs>
        <w:spacing w:line="276" w:lineRule="auto"/>
        <w:ind w:left="0"/>
        <w:jc w:val="both"/>
        <w:rPr>
          <w:rFonts w:ascii="Verdana" w:eastAsia="Century Gothic" w:hAnsi="Verdana" w:cs="Century Gothic"/>
          <w:b/>
          <w:bCs/>
        </w:rPr>
      </w:pPr>
    </w:p>
    <w:p w14:paraId="4A2914C2" w14:textId="77777777" w:rsidR="002876A0" w:rsidRDefault="002876A0" w:rsidP="002876A0">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 xml:space="preserve">De acuerdo con lo previsto en el artículo 19 de la Ley 1437 de 2011, “[…] </w:t>
      </w:r>
      <w:r w:rsidRPr="00F535A9">
        <w:rPr>
          <w:rFonts w:ascii="Verdana" w:eastAsia="Calibri" w:hAnsi="Verdana" w:cs="Arial"/>
          <w:color w:val="000000"/>
          <w:lang w:val="es-ES" w:eastAsia="es-ES"/>
        </w:rPr>
        <w:t>cuando no se comprenda la finalidad u objeto de la petición esta se devolverá al interesado para que la corrija o aclare dentro de los diez (10) días siguientes</w:t>
      </w:r>
      <w:r>
        <w:rPr>
          <w:rFonts w:ascii="Verdana" w:eastAsia="Calibri" w:hAnsi="Verdana" w:cs="Arial"/>
          <w:color w:val="000000"/>
          <w:lang w:val="es-ES" w:eastAsia="es-ES"/>
        </w:rPr>
        <w:t xml:space="preserve"> […]; razón por la cual, mediante oficio </w:t>
      </w:r>
      <w:r w:rsidRPr="00F535A9">
        <w:rPr>
          <w:rFonts w:ascii="Verdana" w:eastAsia="Calibri" w:hAnsi="Verdana" w:cs="Arial"/>
          <w:color w:val="000000"/>
          <w:lang w:val="es-ES" w:eastAsia="es-ES"/>
        </w:rPr>
        <w:t>RS20240711009900</w:t>
      </w:r>
      <w:r>
        <w:rPr>
          <w:rFonts w:ascii="Verdana" w:eastAsia="Calibri" w:hAnsi="Verdana" w:cs="Arial"/>
          <w:color w:val="000000"/>
          <w:lang w:val="es-ES" w:eastAsia="es-ES"/>
        </w:rPr>
        <w:t xml:space="preserve"> del 11 de julio de 2024, la Agencia la requirió para esclarecer la pregunta de la solicitud. Por ello, en respuesta al mencionado documento, en correo electrónico del 18 de julio de 2024 usted solicita precisar:</w:t>
      </w:r>
    </w:p>
    <w:p w14:paraId="250E33C4" w14:textId="77777777" w:rsidR="002876A0" w:rsidRDefault="002876A0" w:rsidP="002876A0">
      <w:pPr>
        <w:spacing w:after="0" w:line="276" w:lineRule="auto"/>
        <w:ind w:firstLine="709"/>
        <w:jc w:val="both"/>
        <w:rPr>
          <w:rFonts w:ascii="Verdana" w:eastAsia="Calibri" w:hAnsi="Verdana" w:cs="Arial"/>
          <w:color w:val="000000"/>
          <w:lang w:val="es-ES" w:eastAsia="es-ES"/>
        </w:rPr>
      </w:pPr>
    </w:p>
    <w:p w14:paraId="2CE49F26" w14:textId="77777777" w:rsidR="002876A0" w:rsidRPr="00F535A9" w:rsidRDefault="002876A0" w:rsidP="002876A0">
      <w:pPr>
        <w:spacing w:after="0" w:line="240" w:lineRule="auto"/>
        <w:ind w:left="709" w:right="709"/>
        <w:jc w:val="both"/>
        <w:rPr>
          <w:rFonts w:ascii="Verdana" w:eastAsia="Calibri" w:hAnsi="Verdana" w:cs="Arial"/>
          <w:color w:val="000000"/>
          <w:sz w:val="21"/>
          <w:szCs w:val="21"/>
          <w:lang w:val="es-ES" w:eastAsia="es-ES"/>
        </w:rPr>
      </w:pPr>
      <w:r w:rsidRPr="00F535A9">
        <w:rPr>
          <w:rFonts w:ascii="Verdana" w:eastAsia="Calibri" w:hAnsi="Verdana" w:cs="Arial"/>
          <w:color w:val="000000"/>
          <w:sz w:val="21"/>
          <w:szCs w:val="21"/>
          <w:lang w:val="es-ES" w:eastAsia="es-ES"/>
        </w:rPr>
        <w:t>“[…] si existe alguna NORMA, LEY, SENTENCIA, JURISPRUDENCIA donde se establezca que un Proceso Administrativo Sancionatorio Contractual NO SE PUEDE CONTINUAR Y/O PIERDE COMPETENCIA cuando el contratista demande por los mismos hechos al Ente Gubernamental ante el Tribunal de lo Contencioso Administrativo […]”.</w:t>
      </w:r>
    </w:p>
    <w:p w14:paraId="59BA5071" w14:textId="77777777" w:rsidR="002876A0" w:rsidRDefault="002876A0" w:rsidP="002876A0">
      <w:pPr>
        <w:spacing w:after="0" w:line="276" w:lineRule="auto"/>
        <w:ind w:firstLine="709"/>
        <w:jc w:val="both"/>
        <w:rPr>
          <w:rFonts w:ascii="Verdana" w:eastAsia="Calibri" w:hAnsi="Verdana" w:cs="Arial"/>
          <w:color w:val="000000"/>
          <w:lang w:val="es-ES" w:eastAsia="es-ES"/>
        </w:rPr>
      </w:pPr>
    </w:p>
    <w:p w14:paraId="5BACDE82" w14:textId="77777777" w:rsidR="002876A0" w:rsidRPr="00A652FF" w:rsidRDefault="002876A0" w:rsidP="002876A0">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1E10ACE" w14:textId="77777777" w:rsidR="002876A0" w:rsidRDefault="002876A0" w:rsidP="002876A0">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w:t>
      </w:r>
      <w:r>
        <w:rPr>
          <w:rFonts w:ascii="Verdana" w:eastAsia="Calibri" w:hAnsi="Verdana" w:cs="Arial"/>
          <w:color w:val="000000"/>
          <w:lang w:val="es-ES" w:eastAsia="es-ES"/>
        </w:rPr>
        <w:t>la segunda pregunta de la</w:t>
      </w:r>
      <w:r w:rsidRPr="00593A5F">
        <w:rPr>
          <w:rFonts w:ascii="Verdana" w:eastAsia="Calibri" w:hAnsi="Verdana" w:cs="Arial"/>
          <w:color w:val="000000"/>
          <w:lang w:val="es-ES" w:eastAsia="es-ES"/>
        </w:rPr>
        <w:t xml:space="preserve">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016831B1" w14:textId="77777777" w:rsidR="002876A0" w:rsidRPr="00593A5F" w:rsidRDefault="002876A0" w:rsidP="002876A0">
      <w:pPr>
        <w:spacing w:after="0" w:line="276" w:lineRule="auto"/>
        <w:ind w:firstLine="709"/>
        <w:jc w:val="both"/>
        <w:rPr>
          <w:rFonts w:ascii="Verdana" w:eastAsia="Calibri" w:hAnsi="Verdana" w:cs="Arial"/>
          <w:color w:val="000000"/>
          <w:lang w:val="es-ES" w:eastAsia="es-ES"/>
        </w:rPr>
      </w:pPr>
    </w:p>
    <w:p w14:paraId="15471744" w14:textId="77777777" w:rsidR="002876A0" w:rsidRPr="00593A5F" w:rsidRDefault="002876A0" w:rsidP="002876A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lastRenderedPageBreak/>
        <w:t>Problema planteado:</w:t>
      </w:r>
    </w:p>
    <w:p w14:paraId="63543583" w14:textId="77777777" w:rsidR="002876A0" w:rsidRPr="00593A5F" w:rsidRDefault="002876A0" w:rsidP="002876A0">
      <w:pPr>
        <w:tabs>
          <w:tab w:val="left" w:pos="426"/>
        </w:tabs>
        <w:spacing w:after="0" w:line="276" w:lineRule="auto"/>
        <w:jc w:val="both"/>
        <w:rPr>
          <w:rFonts w:ascii="Verdana" w:eastAsia="Century Gothic" w:hAnsi="Verdana" w:cs="Century Gothic"/>
          <w:lang w:val="es-ES"/>
        </w:rPr>
      </w:pPr>
    </w:p>
    <w:p w14:paraId="3095D592" w14:textId="77777777" w:rsidR="002876A0" w:rsidRPr="00593A5F" w:rsidRDefault="002876A0" w:rsidP="002876A0">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Pr>
          <w:rFonts w:ascii="Verdana" w:eastAsia="Century Gothic" w:hAnsi="Verdana" w:cs="Century Gothic"/>
        </w:rPr>
        <w:t>s</w:t>
      </w:r>
      <w:r w:rsidRPr="00593A5F">
        <w:rPr>
          <w:rFonts w:ascii="Verdana" w:eastAsia="Century Gothic" w:hAnsi="Verdana" w:cs="Century Gothic"/>
        </w:rPr>
        <w:t xml:space="preserve">: </w:t>
      </w:r>
      <w:r>
        <w:rPr>
          <w:rFonts w:ascii="Verdana" w:eastAsia="Century Gothic" w:hAnsi="Verdana" w:cs="Century Gothic"/>
        </w:rPr>
        <w:t xml:space="preserve">i) ¿el artículo 86 de la Ley 1474 de 2011 admite la pérdida de competencia o la suspensión del procedimiento sancionatorio contractual por el trámite posterior de una reclamación judicial del contratista en el marco del medio de control de controversias contractuales?, </w:t>
      </w:r>
      <w:proofErr w:type="spellStart"/>
      <w:r>
        <w:rPr>
          <w:rFonts w:ascii="Verdana" w:eastAsia="Century Gothic" w:hAnsi="Verdana" w:cs="Century Gothic"/>
        </w:rPr>
        <w:t>ii</w:t>
      </w:r>
      <w:proofErr w:type="spellEnd"/>
      <w:r>
        <w:rPr>
          <w:rFonts w:ascii="Verdana" w:eastAsia="Century Gothic" w:hAnsi="Verdana" w:cs="Century Gothic"/>
        </w:rPr>
        <w:t xml:space="preserve">) ¿esta posibilidad se encuentra prevista en las normas generales del procedimiento administrativo previstas en la Ley 1437 de 2011?, iii) ¿en qué actuaciones se admite, por ejemplo, la pérdida de la competencia para adoptar decisiones en materia contractual? y </w:t>
      </w:r>
      <w:proofErr w:type="spellStart"/>
      <w:r>
        <w:rPr>
          <w:rFonts w:ascii="Verdana" w:eastAsia="Century Gothic" w:hAnsi="Verdana" w:cs="Century Gothic"/>
        </w:rPr>
        <w:t>iv</w:t>
      </w:r>
      <w:proofErr w:type="spellEnd"/>
      <w:r>
        <w:rPr>
          <w:rFonts w:ascii="Verdana" w:eastAsia="Century Gothic" w:hAnsi="Verdana" w:cs="Century Gothic"/>
        </w:rPr>
        <w:t xml:space="preserve">) ¿existen pronunciamientos judiciales sobre el tema?    </w:t>
      </w:r>
      <w:r w:rsidRPr="00C00976">
        <w:rPr>
          <w:rFonts w:ascii="Verdana" w:eastAsia="Century Gothic" w:hAnsi="Verdana" w:cs="Century Gothic"/>
          <w:color w:val="7030A0"/>
        </w:rPr>
        <w:t xml:space="preserve"> </w:t>
      </w:r>
    </w:p>
    <w:p w14:paraId="7F2EFE47" w14:textId="77777777" w:rsidR="002876A0" w:rsidRPr="004B140F" w:rsidRDefault="002876A0" w:rsidP="002876A0">
      <w:pPr>
        <w:spacing w:after="0" w:line="276" w:lineRule="auto"/>
        <w:jc w:val="both"/>
        <w:rPr>
          <w:rFonts w:ascii="Verdana" w:eastAsia="Calibri" w:hAnsi="Verdana" w:cs="Arial"/>
          <w:color w:val="7030A0"/>
        </w:rPr>
      </w:pPr>
    </w:p>
    <w:p w14:paraId="48DDEB7E" w14:textId="77777777" w:rsidR="002876A0" w:rsidRPr="00593A5F" w:rsidRDefault="002876A0" w:rsidP="002876A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4A02ACD" w14:textId="77777777" w:rsidR="002876A0" w:rsidRPr="00593A5F" w:rsidRDefault="002876A0" w:rsidP="002876A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876A0" w:rsidRPr="00593A5F" w14:paraId="4394EB94" w14:textId="77777777" w:rsidTr="00740954">
        <w:trPr>
          <w:jc w:val="center"/>
        </w:trPr>
        <w:tc>
          <w:tcPr>
            <w:tcW w:w="8828" w:type="dxa"/>
            <w:shd w:val="clear" w:color="auto" w:fill="auto"/>
          </w:tcPr>
          <w:p w14:paraId="0F96AEC7" w14:textId="77777777" w:rsidR="002876A0" w:rsidRDefault="002876A0" w:rsidP="00740954">
            <w:pPr>
              <w:spacing w:after="120" w:line="276" w:lineRule="auto"/>
              <w:jc w:val="both"/>
              <w:rPr>
                <w:rFonts w:ascii="Verdana" w:eastAsia="Century Gothic" w:hAnsi="Verdana" w:cs="Century Gothic"/>
              </w:rPr>
            </w:pPr>
            <w:bookmarkStart w:id="2" w:name="_Hlk171694685"/>
            <w:r>
              <w:rPr>
                <w:rFonts w:ascii="Verdana" w:hAnsi="Verdana" w:cs="Arial"/>
                <w:iCs/>
                <w:color w:val="000000" w:themeColor="text1"/>
              </w:rPr>
              <w:t xml:space="preserve">Ni el artículo 86 de la Ley 1474 de 2011 ni las reglas generales de la primera parte del CPACA contemplan alguna causal de </w:t>
            </w:r>
            <w:r>
              <w:rPr>
                <w:rFonts w:ascii="Verdana" w:eastAsia="Century Gothic" w:hAnsi="Verdana" w:cs="Century Gothic"/>
              </w:rPr>
              <w:t xml:space="preserve">pérdida de competencia o de suspensión del procedimiento sancionatorio contractual por el trámite posterior de una reclamación judicial del contratista en el marco del medio de control de controversias contractuales. </w:t>
            </w:r>
          </w:p>
          <w:p w14:paraId="22BBB387" w14:textId="77777777" w:rsidR="002876A0" w:rsidRDefault="002876A0" w:rsidP="00740954">
            <w:pPr>
              <w:spacing w:after="120" w:line="276" w:lineRule="auto"/>
              <w:ind w:firstLine="731"/>
              <w:jc w:val="both"/>
              <w:rPr>
                <w:rFonts w:ascii="Verdana" w:eastAsia="Calibri" w:hAnsi="Verdana" w:cs="Arial"/>
                <w:bCs/>
                <w:color w:val="000000" w:themeColor="text1"/>
              </w:rPr>
            </w:pPr>
            <w:r>
              <w:rPr>
                <w:rFonts w:ascii="Verdana" w:eastAsia="Times New Roman" w:hAnsi="Verdana" w:cs="Arial"/>
                <w:color w:val="000000" w:themeColor="text1"/>
                <w:lang w:eastAsia="es-CO"/>
              </w:rPr>
              <w:t xml:space="preserve">Aunque los artículos </w:t>
            </w:r>
            <w:r w:rsidRPr="00BA0584">
              <w:rPr>
                <w:rFonts w:ascii="Verdana" w:eastAsia="Times New Roman" w:hAnsi="Verdana" w:cs="Arial"/>
                <w:color w:val="000000" w:themeColor="text1"/>
                <w:lang w:eastAsia="es-CO"/>
              </w:rPr>
              <w:t>11 de la Ley 1150 de 2007</w:t>
            </w:r>
            <w:r>
              <w:rPr>
                <w:rFonts w:ascii="Verdana" w:eastAsia="Times New Roman" w:hAnsi="Verdana" w:cs="Arial"/>
                <w:color w:val="000000" w:themeColor="text1"/>
                <w:lang w:eastAsia="es-CO"/>
              </w:rPr>
              <w:t xml:space="preserve"> y 141 del CPACA permiten la liquidación judicial y con ella cesa </w:t>
            </w:r>
            <w:r>
              <w:rPr>
                <w:rFonts w:ascii="Verdana" w:eastAsia="Times New Roman" w:hAnsi="Verdana" w:cs="Arial"/>
                <w:color w:val="000000"/>
                <w:bdr w:val="none" w:sz="0" w:space="0" w:color="auto" w:frame="1"/>
                <w:shd w:val="clear" w:color="auto" w:fill="FFFFFF"/>
                <w:lang w:eastAsia="es-ES_tradnl"/>
              </w:rPr>
              <w:t xml:space="preserve">la facultad de liquidar bilateral o unilateralmente, el artículo 86 de la Ley 1474 de 2011 rige para “[…] </w:t>
            </w:r>
            <w:r w:rsidRPr="007A6528">
              <w:rPr>
                <w:rFonts w:ascii="Verdana" w:eastAsia="Calibri" w:hAnsi="Verdana" w:cs="Arial"/>
                <w:bCs/>
                <w:color w:val="000000" w:themeColor="text1"/>
              </w:rPr>
              <w:t>declarar el incumplimiento, cuantificando los perjuicios del mismo, imponer las multas y sanciones pactadas en el contrato, y hacer efectiva la cláusula penal […]</w:t>
            </w:r>
            <w:r>
              <w:rPr>
                <w:rFonts w:ascii="Verdana" w:eastAsia="Calibri" w:hAnsi="Verdana" w:cs="Arial"/>
                <w:bCs/>
                <w:color w:val="000000" w:themeColor="text1"/>
              </w:rPr>
              <w:t>”, lo que excluye su aplicación analógica.</w:t>
            </w:r>
          </w:p>
          <w:p w14:paraId="15E31478" w14:textId="476ED7EF" w:rsidR="006329F3" w:rsidRPr="004C32B0" w:rsidRDefault="002876A0" w:rsidP="004C32B0">
            <w:pPr>
              <w:spacing w:line="276" w:lineRule="auto"/>
              <w:ind w:firstLine="731"/>
              <w:jc w:val="both"/>
              <w:rPr>
                <w:rFonts w:ascii="Verdana" w:hAnsi="Verdana" w:cs="Arial"/>
                <w:iCs/>
                <w:color w:val="000000" w:themeColor="text1"/>
              </w:rPr>
            </w:pPr>
            <w:r>
              <w:rPr>
                <w:rFonts w:ascii="Verdana" w:eastAsia="Times New Roman" w:hAnsi="Verdana" w:cs="Arial"/>
                <w:color w:val="000000" w:themeColor="text1"/>
                <w:lang w:eastAsia="es-CO"/>
              </w:rPr>
              <w:t xml:space="preserve">Por ello, pese a lo sostenido por </w:t>
            </w:r>
            <w:r w:rsidRPr="006F193C">
              <w:rPr>
                <w:rFonts w:ascii="Verdana" w:eastAsia="Times New Roman" w:hAnsi="Verdana" w:cs="Arial"/>
                <w:color w:val="000000" w:themeColor="text1"/>
                <w:lang w:eastAsia="es-CO"/>
              </w:rPr>
              <w:t>la Subsección B de la Sección Tercera del Consejo de Estado</w:t>
            </w:r>
            <w:r>
              <w:rPr>
                <w:rFonts w:ascii="Verdana" w:eastAsia="Times New Roman" w:hAnsi="Verdana" w:cs="Arial"/>
                <w:color w:val="000000" w:themeColor="text1"/>
                <w:lang w:eastAsia="es-CO"/>
              </w:rPr>
              <w:t xml:space="preserve"> </w:t>
            </w:r>
            <w:r w:rsidRPr="00042DD7">
              <w:rPr>
                <w:rFonts w:ascii="Verdana" w:hAnsi="Verdana" w:cs="Arial"/>
                <w:iCs/>
                <w:color w:val="000000" w:themeColor="text1"/>
              </w:rPr>
              <w:t>en Sentencia del 17 de junio de 2024</w:t>
            </w:r>
            <w:r>
              <w:rPr>
                <w:rFonts w:ascii="Verdana" w:hAnsi="Verdana" w:cs="Arial"/>
                <w:iCs/>
                <w:color w:val="000000" w:themeColor="text1"/>
              </w:rPr>
              <w:t xml:space="preserve">, la Agencia estima que </w:t>
            </w:r>
            <w:r w:rsidRPr="006F193C">
              <w:rPr>
                <w:rFonts w:ascii="Verdana" w:hAnsi="Verdana" w:cs="Arial"/>
                <w:iCs/>
                <w:color w:val="000000" w:themeColor="text1"/>
              </w:rPr>
              <w:t>las causales de pérdida de competencia o de suspensión de los procedimientos por el inicio de un medio de control se sujetan al principio de legalidad en los términos de los artículos 29 superior y 3.1, inciso primero, de la Ley 1437 de 2011; razón por la cual, son de interpretación estricta</w:t>
            </w:r>
            <w:r>
              <w:rPr>
                <w:rFonts w:ascii="Verdana" w:hAnsi="Verdana" w:cs="Arial"/>
                <w:iCs/>
                <w:color w:val="000000" w:themeColor="text1"/>
              </w:rPr>
              <w:t>.</w:t>
            </w:r>
          </w:p>
        </w:tc>
      </w:tr>
    </w:tbl>
    <w:p w14:paraId="431E5825" w14:textId="77777777" w:rsidR="002876A0" w:rsidRPr="00593A5F" w:rsidRDefault="002876A0" w:rsidP="002876A0">
      <w:pPr>
        <w:tabs>
          <w:tab w:val="left" w:pos="142"/>
          <w:tab w:val="left" w:pos="284"/>
        </w:tabs>
        <w:spacing w:after="0" w:line="276" w:lineRule="auto"/>
        <w:jc w:val="both"/>
        <w:rPr>
          <w:rFonts w:ascii="Verdana" w:eastAsia="Century Gothic" w:hAnsi="Verdana" w:cs="Century Gothic"/>
          <w:b/>
          <w:bCs/>
          <w:lang w:val="es-ES"/>
        </w:rPr>
      </w:pPr>
    </w:p>
    <w:bookmarkEnd w:id="2"/>
    <w:p w14:paraId="7E2852F0" w14:textId="77777777" w:rsidR="002876A0" w:rsidRPr="00593A5F" w:rsidRDefault="002876A0" w:rsidP="002876A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C02B6AC" w14:textId="77777777" w:rsidR="002876A0" w:rsidRPr="00593A5F" w:rsidRDefault="002876A0" w:rsidP="002876A0">
      <w:pPr>
        <w:spacing w:after="0" w:line="276" w:lineRule="auto"/>
        <w:jc w:val="both"/>
        <w:rPr>
          <w:rFonts w:ascii="Verdana" w:eastAsia="Calibri" w:hAnsi="Verdana" w:cs="Arial"/>
          <w:color w:val="7030A0"/>
          <w:lang w:val="es-ES"/>
        </w:rPr>
      </w:pPr>
    </w:p>
    <w:p w14:paraId="3F26DD7E" w14:textId="77777777" w:rsidR="002876A0" w:rsidRDefault="002876A0" w:rsidP="002876A0">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10C1219" w14:textId="77777777" w:rsidR="002876A0" w:rsidRDefault="002876A0" w:rsidP="002876A0">
      <w:pPr>
        <w:spacing w:after="0" w:line="276" w:lineRule="auto"/>
        <w:jc w:val="both"/>
        <w:rPr>
          <w:rFonts w:ascii="Verdana" w:eastAsia="Calibri" w:hAnsi="Verdana" w:cs="Arial"/>
          <w:lang w:val="es-ES"/>
        </w:rPr>
      </w:pPr>
    </w:p>
    <w:p w14:paraId="571F356D" w14:textId="77777777" w:rsidR="002876A0" w:rsidRPr="007A6528" w:rsidRDefault="002876A0" w:rsidP="002876A0">
      <w:pPr>
        <w:tabs>
          <w:tab w:val="left" w:pos="426"/>
        </w:tabs>
        <w:spacing w:after="0" w:line="276" w:lineRule="auto"/>
        <w:jc w:val="both"/>
        <w:rPr>
          <w:rFonts w:ascii="Verdana" w:eastAsia="Calibri" w:hAnsi="Verdana" w:cs="Arial"/>
          <w:bCs/>
          <w:color w:val="000000" w:themeColor="text1"/>
        </w:rPr>
      </w:pPr>
      <w:r w:rsidRPr="007A6528">
        <w:rPr>
          <w:rFonts w:ascii="Verdana" w:eastAsia="Calibri" w:hAnsi="Verdana" w:cs="Arial"/>
          <w:lang w:val="es-ES"/>
        </w:rPr>
        <w:lastRenderedPageBreak/>
        <w:t xml:space="preserve">i. </w:t>
      </w:r>
      <w:r w:rsidRPr="007A6528">
        <w:rPr>
          <w:rFonts w:ascii="Verdana" w:eastAsia="Calibri" w:hAnsi="Verdana" w:cs="Arial"/>
          <w:bCs/>
          <w:color w:val="000000" w:themeColor="text1"/>
        </w:rPr>
        <w:t xml:space="preserve">La Constitución Política de 1991 contempla el debido proceso como derecho fundamental, y sobre su ámbito de aplicación dispone que se aplicará a toda clase de actuaciones judiciales y administrativas. La claridad de esta norma no deja dudas sobre la extensión de las garantías del debido proceso, lo que llevó a la Corte Constitucional a afirmar que </w:t>
      </w:r>
      <w:r>
        <w:rPr>
          <w:rFonts w:ascii="Verdana" w:eastAsia="Calibri" w:hAnsi="Verdana" w:cs="Arial"/>
          <w:bCs/>
          <w:color w:val="000000" w:themeColor="text1"/>
        </w:rPr>
        <w:t>“</w:t>
      </w:r>
      <w:r w:rsidRPr="007A6528">
        <w:rPr>
          <w:rFonts w:ascii="Verdana" w:eastAsia="Calibri" w:hAnsi="Verdana" w:cs="Arial"/>
          <w:bCs/>
          <w:color w:val="000000" w:themeColor="text1"/>
        </w:rPr>
        <w:t>Una de las notas más destacadas de la Constitución Política de 1991 es la extensión de las garantías propias del debido proceso a las actuaciones administrativas</w:t>
      </w:r>
      <w:r>
        <w:rPr>
          <w:rFonts w:ascii="Verdana" w:eastAsia="Calibri" w:hAnsi="Verdana" w:cs="Arial"/>
          <w:bCs/>
          <w:color w:val="000000" w:themeColor="text1"/>
        </w:rPr>
        <w:t>”</w:t>
      </w:r>
      <w:r w:rsidRPr="007A6528">
        <w:rPr>
          <w:rStyle w:val="Refdenotaalpie"/>
          <w:rFonts w:ascii="Verdana" w:eastAsia="Calibri" w:hAnsi="Verdana" w:cs="Arial"/>
          <w:bCs/>
          <w:color w:val="000000" w:themeColor="text1"/>
        </w:rPr>
        <w:footnoteReference w:id="1"/>
      </w:r>
      <w:r w:rsidRPr="007A6528">
        <w:rPr>
          <w:rFonts w:ascii="Verdana" w:eastAsia="Calibri" w:hAnsi="Verdana" w:cs="Arial"/>
          <w:bCs/>
          <w:color w:val="000000" w:themeColor="text1"/>
        </w:rPr>
        <w:t xml:space="preserve">. Sin embargo, esta extensión tiene algunas particularidades que también explica la Corte Constitucional en los siguientes términos: </w:t>
      </w:r>
    </w:p>
    <w:p w14:paraId="63518976" w14:textId="77777777" w:rsidR="002876A0" w:rsidRPr="007A6528" w:rsidRDefault="002876A0" w:rsidP="002876A0">
      <w:pPr>
        <w:tabs>
          <w:tab w:val="left" w:pos="426"/>
        </w:tabs>
        <w:spacing w:after="0"/>
        <w:jc w:val="both"/>
        <w:rPr>
          <w:rFonts w:ascii="Verdana" w:eastAsia="Calibri" w:hAnsi="Verdana" w:cs="Arial"/>
          <w:bCs/>
          <w:color w:val="000000" w:themeColor="text1"/>
        </w:rPr>
      </w:pPr>
    </w:p>
    <w:p w14:paraId="4A135F2A" w14:textId="77777777" w:rsidR="002876A0" w:rsidRPr="007A6528" w:rsidRDefault="002876A0" w:rsidP="002876A0">
      <w:pPr>
        <w:tabs>
          <w:tab w:val="left" w:pos="426"/>
        </w:tabs>
        <w:spacing w:after="0"/>
        <w:ind w:left="709" w:right="709"/>
        <w:jc w:val="both"/>
        <w:rPr>
          <w:rFonts w:ascii="Verdana" w:eastAsia="Calibri" w:hAnsi="Verdana" w:cs="Arial"/>
          <w:bCs/>
          <w:color w:val="000000" w:themeColor="text1"/>
          <w:sz w:val="21"/>
          <w:szCs w:val="21"/>
        </w:rPr>
      </w:pPr>
      <w:r w:rsidRPr="007A6528">
        <w:rPr>
          <w:rFonts w:ascii="Verdana" w:eastAsia="Calibri" w:hAnsi="Verdana" w:cs="Arial"/>
          <w:bCs/>
          <w:color w:val="000000" w:themeColor="text1"/>
          <w:sz w:val="21"/>
          <w:szCs w:val="21"/>
        </w:rPr>
        <w:t>“La extensión de las garantías del debido proceso al ámbito administrativo no implica, sin embargo, que su alcance sea idéntico en la administración de justicia y en el ejercicio de la función pública. A pesar de la importancia que tiene para el orden constitucional la vigencia del debido proceso en todos los escenarios en los que el ciudadano puede ver afectados sus derechos por actuaciones públicas (sin importar de qué rama provienen), es necesario que la interpretación de las garantías que lo componen tome en consideración los principios que caracterizan cada escenario, así como las diferencias que existen entre ellos”</w:t>
      </w:r>
      <w:r w:rsidRPr="007A6528">
        <w:rPr>
          <w:rStyle w:val="Refdenotaalpie"/>
          <w:rFonts w:ascii="Verdana" w:eastAsia="Calibri" w:hAnsi="Verdana" w:cs="Arial"/>
          <w:bCs/>
          <w:color w:val="000000" w:themeColor="text1"/>
          <w:sz w:val="21"/>
          <w:szCs w:val="21"/>
        </w:rPr>
        <w:footnoteReference w:id="2"/>
      </w:r>
      <w:r w:rsidRPr="007A6528">
        <w:rPr>
          <w:rFonts w:ascii="Verdana" w:eastAsia="Calibri" w:hAnsi="Verdana" w:cs="Arial"/>
          <w:bCs/>
          <w:color w:val="000000" w:themeColor="text1"/>
          <w:sz w:val="21"/>
          <w:szCs w:val="21"/>
        </w:rPr>
        <w:t>.</w:t>
      </w:r>
    </w:p>
    <w:p w14:paraId="6436AC4A" w14:textId="77777777" w:rsidR="002876A0" w:rsidRPr="007A6528" w:rsidRDefault="002876A0" w:rsidP="002876A0">
      <w:pPr>
        <w:tabs>
          <w:tab w:val="left" w:pos="426"/>
        </w:tabs>
        <w:spacing w:after="0" w:line="276" w:lineRule="auto"/>
        <w:jc w:val="both"/>
        <w:rPr>
          <w:rFonts w:ascii="Verdana" w:eastAsia="Calibri" w:hAnsi="Verdana" w:cs="Arial"/>
          <w:b/>
          <w:color w:val="000000" w:themeColor="text1"/>
        </w:rPr>
      </w:pPr>
    </w:p>
    <w:p w14:paraId="207C9184" w14:textId="77777777" w:rsidR="002876A0" w:rsidRPr="007A6528" w:rsidRDefault="002876A0" w:rsidP="002876A0">
      <w:pPr>
        <w:tabs>
          <w:tab w:val="left" w:pos="426"/>
        </w:tabs>
        <w:spacing w:after="120" w:line="276" w:lineRule="auto"/>
        <w:ind w:firstLine="709"/>
        <w:jc w:val="both"/>
        <w:rPr>
          <w:rFonts w:ascii="Verdana" w:eastAsia="Calibri" w:hAnsi="Verdana" w:cs="Arial"/>
          <w:bCs/>
          <w:color w:val="000000" w:themeColor="text1"/>
        </w:rPr>
      </w:pPr>
      <w:r w:rsidRPr="007A6528">
        <w:rPr>
          <w:rFonts w:ascii="Verdana" w:eastAsia="Calibri" w:hAnsi="Verdana" w:cs="Arial"/>
          <w:bCs/>
          <w:color w:val="000000" w:themeColor="text1"/>
        </w:rPr>
        <w:t xml:space="preserve">En ese orden de ideas, </w:t>
      </w:r>
      <w:bookmarkStart w:id="3" w:name="_Hlk55296245"/>
      <w:r w:rsidRPr="007A6528">
        <w:rPr>
          <w:rFonts w:ascii="Verdana" w:eastAsia="Calibri" w:hAnsi="Verdana" w:cs="Arial"/>
          <w:bCs/>
          <w:color w:val="000000" w:themeColor="text1"/>
        </w:rPr>
        <w:t xml:space="preserve">tanto en materia sancionatoria como no sancionatoria, las garantías del debido proceso aplican por expreso mandato constitucional a toda actuación administrativa. Sin embargo, estas deben interpretarse atendiendo a los principios que caracterizan cada escenario, teniendo en cuenta las diferencias entre los procesos judiciales y los procedimientos administrativos. De acuerdo con estas consideraciones la Corte resalta la importancia de aplicar en todos los casos los principios y garantías derivados del debido proceso, pero armonizando los mandatos del artículo 29 superior con los principios del artículo 209 constitucional, de manera que no se pierda de vista que </w:t>
      </w:r>
      <w:r>
        <w:rPr>
          <w:rFonts w:ascii="Verdana" w:eastAsia="Calibri" w:hAnsi="Verdana" w:cs="Arial"/>
          <w:bCs/>
          <w:color w:val="000000" w:themeColor="text1"/>
        </w:rPr>
        <w:t>“</w:t>
      </w:r>
      <w:r w:rsidRPr="007A6528">
        <w:rPr>
          <w:rFonts w:ascii="Verdana" w:eastAsia="Calibri" w:hAnsi="Verdana" w:cs="Arial"/>
          <w:bCs/>
          <w:color w:val="000000" w:themeColor="text1"/>
        </w:rPr>
        <w:t>mediante el procedimiento administrativo se logra el cumplimiento de la función administrativa […]</w:t>
      </w:r>
      <w:r>
        <w:rPr>
          <w:rFonts w:ascii="Verdana" w:eastAsia="Calibri" w:hAnsi="Verdana" w:cs="Arial"/>
          <w:bCs/>
          <w:color w:val="000000" w:themeColor="text1"/>
        </w:rPr>
        <w:t>”</w:t>
      </w:r>
      <w:bookmarkEnd w:id="3"/>
      <w:r w:rsidRPr="007A6528">
        <w:rPr>
          <w:rStyle w:val="Refdenotaalpie"/>
          <w:rFonts w:ascii="Verdana" w:eastAsia="Calibri" w:hAnsi="Verdana" w:cs="Arial"/>
          <w:bCs/>
          <w:color w:val="000000" w:themeColor="text1"/>
        </w:rPr>
        <w:footnoteReference w:id="3"/>
      </w:r>
      <w:r w:rsidRPr="007A6528">
        <w:rPr>
          <w:rFonts w:ascii="Verdana" w:eastAsia="Calibri" w:hAnsi="Verdana" w:cs="Arial"/>
          <w:bCs/>
          <w:color w:val="000000" w:themeColor="text1"/>
        </w:rPr>
        <w:t>.</w:t>
      </w:r>
    </w:p>
    <w:p w14:paraId="65E72761" w14:textId="77777777" w:rsidR="002876A0" w:rsidRPr="007A6528" w:rsidRDefault="002876A0" w:rsidP="002876A0">
      <w:pPr>
        <w:tabs>
          <w:tab w:val="left" w:pos="426"/>
        </w:tabs>
        <w:spacing w:after="0" w:line="276" w:lineRule="auto"/>
        <w:ind w:firstLine="426"/>
        <w:jc w:val="both"/>
        <w:rPr>
          <w:rFonts w:ascii="Verdana" w:eastAsia="Calibri" w:hAnsi="Verdana" w:cs="Arial"/>
          <w:bCs/>
          <w:color w:val="000000" w:themeColor="text1"/>
        </w:rPr>
      </w:pPr>
      <w:r w:rsidRPr="007A6528">
        <w:rPr>
          <w:rFonts w:ascii="Verdana" w:eastAsia="Calibri" w:hAnsi="Verdana" w:cs="Arial"/>
          <w:bCs/>
          <w:color w:val="000000" w:themeColor="text1"/>
        </w:rPr>
        <w:tab/>
        <w:t xml:space="preserve">El artículo 17 de la Ley 1150 de 2007 es relevante respecto al desarrollo legislativo del debido proceso en la contratación estatal. El mencionado artículo prescribe que este derecho fundamental será un principio rector en materia </w:t>
      </w:r>
      <w:r w:rsidRPr="007A6528">
        <w:rPr>
          <w:rFonts w:ascii="Verdana" w:eastAsia="Calibri" w:hAnsi="Verdana" w:cs="Arial"/>
          <w:bCs/>
          <w:color w:val="000000" w:themeColor="text1"/>
        </w:rPr>
        <w:lastRenderedPageBreak/>
        <w:t>sancionatoria de las actuaciones contractuales</w:t>
      </w:r>
      <w:r w:rsidRPr="007A6528">
        <w:rPr>
          <w:rStyle w:val="Refdenotaalpie"/>
          <w:rFonts w:ascii="Verdana" w:eastAsia="Calibri" w:hAnsi="Verdana" w:cs="Arial"/>
          <w:bCs/>
          <w:color w:val="000000" w:themeColor="text1"/>
        </w:rPr>
        <w:footnoteReference w:id="4"/>
      </w:r>
      <w:r w:rsidRPr="007A6528">
        <w:rPr>
          <w:rFonts w:ascii="Verdana" w:eastAsia="Calibri" w:hAnsi="Verdana" w:cs="Arial"/>
          <w:bCs/>
          <w:color w:val="000000" w:themeColor="text1"/>
        </w:rPr>
        <w:t xml:space="preserve">. Apoyándose en esta norma, así como de las garantías derivadas directamente de la Constitución y otras normas procedimentales, el Consejo de Estado ha sostenido que: </w:t>
      </w:r>
    </w:p>
    <w:p w14:paraId="6FDE9771" w14:textId="77777777" w:rsidR="002876A0" w:rsidRPr="007A6528" w:rsidRDefault="002876A0" w:rsidP="002876A0">
      <w:pPr>
        <w:spacing w:after="0" w:line="276" w:lineRule="auto"/>
        <w:jc w:val="both"/>
        <w:rPr>
          <w:rFonts w:ascii="Verdana" w:hAnsi="Verdana" w:cs="Arial"/>
        </w:rPr>
      </w:pPr>
    </w:p>
    <w:p w14:paraId="4964B6C6" w14:textId="77777777" w:rsidR="002876A0" w:rsidRPr="007A6528" w:rsidRDefault="002876A0" w:rsidP="002876A0">
      <w:pPr>
        <w:pStyle w:val="Textoindependiente21"/>
        <w:spacing w:line="240" w:lineRule="auto"/>
        <w:ind w:left="708" w:right="758" w:firstLine="0"/>
        <w:rPr>
          <w:rFonts w:ascii="Verdana" w:hAnsi="Verdana" w:cs="Arial"/>
          <w:bCs/>
          <w:sz w:val="21"/>
          <w:szCs w:val="21"/>
        </w:rPr>
      </w:pPr>
      <w:r w:rsidRPr="007A6528">
        <w:rPr>
          <w:rFonts w:ascii="Verdana" w:hAnsi="Verdana" w:cs="Arial"/>
          <w:color w:val="000000"/>
          <w:sz w:val="21"/>
          <w:szCs w:val="21"/>
        </w:rPr>
        <w:t xml:space="preserve">“Al respecto, </w:t>
      </w:r>
      <w:r w:rsidRPr="007A6528">
        <w:rPr>
          <w:rFonts w:ascii="Verdana" w:hAnsi="Verdana" w:cs="Arial"/>
          <w:bCs/>
          <w:sz w:val="21"/>
          <w:szCs w:val="21"/>
        </w:rPr>
        <w:t>la jurisprudencia de la Corporación ha sido categórica en afirmar que en materia contractual también se debe respetar este derecho fundamental al debido proceso, siempre que la administración en su papel de parte contratante dentro de un negocio jurídico, pretenda ejercer su poder de autotutela declarativa mediante la expedición de actos administrativos de carácter particular y concreto, en tal forma que se garantice el pleno conocimiento del contratista sobre la actuación adelantada por la administración y su posibilidad de ejercer en debida forma el derecho de audiencia y de defensa”</w:t>
      </w:r>
      <w:r w:rsidRPr="007A6528">
        <w:rPr>
          <w:rStyle w:val="Refdenotaalpie"/>
          <w:rFonts w:ascii="Verdana" w:hAnsi="Verdana" w:cs="Arial"/>
          <w:bCs/>
          <w:sz w:val="21"/>
          <w:szCs w:val="21"/>
        </w:rPr>
        <w:footnoteReference w:id="5"/>
      </w:r>
      <w:r w:rsidRPr="007A6528">
        <w:rPr>
          <w:rFonts w:ascii="Verdana" w:hAnsi="Verdana" w:cs="Arial"/>
          <w:bCs/>
          <w:sz w:val="21"/>
          <w:szCs w:val="21"/>
        </w:rPr>
        <w:t>.</w:t>
      </w:r>
    </w:p>
    <w:p w14:paraId="37C492FC" w14:textId="77777777" w:rsidR="002876A0" w:rsidRPr="007A6528" w:rsidRDefault="002876A0" w:rsidP="002876A0">
      <w:pPr>
        <w:pStyle w:val="Textoindependiente21"/>
        <w:spacing w:line="276" w:lineRule="auto"/>
        <w:ind w:right="758" w:firstLine="0"/>
        <w:rPr>
          <w:rFonts w:ascii="Verdana" w:hAnsi="Verdana" w:cs="Arial"/>
          <w:bCs/>
          <w:sz w:val="22"/>
          <w:szCs w:val="22"/>
        </w:rPr>
      </w:pPr>
    </w:p>
    <w:p w14:paraId="0B47AB36" w14:textId="77777777" w:rsidR="002876A0" w:rsidRPr="007A6528" w:rsidRDefault="002876A0" w:rsidP="002876A0">
      <w:pPr>
        <w:tabs>
          <w:tab w:val="left" w:pos="426"/>
        </w:tabs>
        <w:spacing w:after="120" w:line="276" w:lineRule="auto"/>
        <w:jc w:val="both"/>
        <w:rPr>
          <w:rFonts w:ascii="Verdana" w:eastAsia="Calibri" w:hAnsi="Verdana" w:cs="Arial"/>
          <w:bCs/>
          <w:color w:val="000000" w:themeColor="text1"/>
        </w:rPr>
      </w:pPr>
      <w:r w:rsidRPr="007A6528">
        <w:rPr>
          <w:rFonts w:ascii="Verdana" w:eastAsia="Calibri" w:hAnsi="Verdana" w:cs="Arial"/>
          <w:bCs/>
          <w:color w:val="000000" w:themeColor="text1"/>
        </w:rPr>
        <w:tab/>
      </w:r>
      <w:r w:rsidRPr="007A6528">
        <w:rPr>
          <w:rFonts w:ascii="Verdana" w:eastAsia="Calibri" w:hAnsi="Verdana" w:cs="Arial"/>
          <w:bCs/>
          <w:color w:val="000000" w:themeColor="text1"/>
        </w:rPr>
        <w:tab/>
        <w:t xml:space="preserve">Con fundamento en estas consideraciones, </w:t>
      </w:r>
      <w:r>
        <w:rPr>
          <w:rFonts w:ascii="Verdana" w:eastAsia="Calibri" w:hAnsi="Verdana" w:cs="Arial"/>
          <w:bCs/>
          <w:color w:val="000000" w:themeColor="text1"/>
        </w:rPr>
        <w:t>“</w:t>
      </w:r>
      <w:r w:rsidRPr="007A6528">
        <w:rPr>
          <w:rFonts w:ascii="Verdana" w:eastAsia="Calibri" w:hAnsi="Verdana" w:cs="Arial"/>
          <w:bCs/>
          <w:color w:val="000000" w:themeColor="text1"/>
        </w:rPr>
        <w:t>no cabe duda alguna en relación con la aplicación del debido proceso en materia contractual y especialmente cuando se trate de decisiones sancionatorias</w:t>
      </w:r>
      <w:r>
        <w:rPr>
          <w:rFonts w:ascii="Verdana" w:eastAsia="Calibri" w:hAnsi="Verdana" w:cs="Arial"/>
          <w:bCs/>
          <w:color w:val="000000" w:themeColor="text1"/>
        </w:rPr>
        <w:t>”</w:t>
      </w:r>
      <w:r w:rsidRPr="007A6528">
        <w:rPr>
          <w:rStyle w:val="Refdenotaalpie"/>
          <w:rFonts w:ascii="Verdana" w:eastAsia="Calibri" w:hAnsi="Verdana" w:cs="Arial"/>
          <w:bCs/>
          <w:color w:val="000000" w:themeColor="text1"/>
        </w:rPr>
        <w:footnoteReference w:id="6"/>
      </w:r>
      <w:r w:rsidRPr="007A6528">
        <w:rPr>
          <w:rFonts w:ascii="Verdana" w:eastAsia="Calibri" w:hAnsi="Verdana" w:cs="Arial"/>
          <w:bCs/>
          <w:color w:val="000000" w:themeColor="text1"/>
        </w:rPr>
        <w:t>. Estas ideas son fundamentales, pues permiten afirmar que la Administración se encuentra obligada a respetar las garantías del debido proceso en materia contractual sin importar la declaratoria a realizar o el asunto a decidir.</w:t>
      </w:r>
    </w:p>
    <w:p w14:paraId="577FEC0A" w14:textId="77777777" w:rsidR="002876A0" w:rsidRPr="007A6528" w:rsidRDefault="002876A0" w:rsidP="002876A0">
      <w:pPr>
        <w:spacing w:after="120" w:line="276" w:lineRule="auto"/>
        <w:ind w:firstLine="708"/>
        <w:jc w:val="both"/>
        <w:rPr>
          <w:rFonts w:ascii="Verdana" w:hAnsi="Verdana" w:cs="Arial"/>
          <w:iCs/>
          <w:color w:val="000000" w:themeColor="text1"/>
        </w:rPr>
      </w:pPr>
      <w:bookmarkStart w:id="4" w:name="_Hlk173332096"/>
      <w:r w:rsidRPr="007A6528">
        <w:rPr>
          <w:rFonts w:ascii="Verdana" w:eastAsia="Calibri" w:hAnsi="Verdana" w:cs="Arial"/>
          <w:bCs/>
          <w:color w:val="000000" w:themeColor="text1"/>
        </w:rPr>
        <w:t xml:space="preserve">Para las entidades sometidas al Estatuto General de Contratación de la Administración Pública, el artículo 86 de la Ley 1474 de 2011 –en concordancia con el artículo 17 de la Ley 1150 de 2007– regula el procedimiento sancionatorio contractual, prescribiendo que </w:t>
      </w:r>
      <w:r>
        <w:rPr>
          <w:rFonts w:ascii="Verdana" w:eastAsia="Calibri" w:hAnsi="Verdana" w:cs="Arial"/>
          <w:bCs/>
          <w:color w:val="000000" w:themeColor="text1"/>
        </w:rPr>
        <w:t>“</w:t>
      </w:r>
      <w:r w:rsidRPr="007A6528">
        <w:rPr>
          <w:rFonts w:ascii="Verdana" w:eastAsia="Calibri" w:hAnsi="Verdana" w:cs="Arial"/>
          <w:bCs/>
          <w:color w:val="000000" w:themeColor="text1"/>
        </w:rPr>
        <w:t>Las entidades sometidas al Estatuto General de Contratación de la Administración Pública podrán declarar el incumplimiento, cuantificando los perjuicios del mismo, imponer las multas y sanciones pactadas en el contrato, y hacer efectiva la cláusula penal […]</w:t>
      </w:r>
      <w:r>
        <w:rPr>
          <w:rFonts w:ascii="Verdana" w:eastAsia="Calibri" w:hAnsi="Verdana" w:cs="Arial"/>
          <w:bCs/>
          <w:color w:val="000000" w:themeColor="text1"/>
        </w:rPr>
        <w:t>”</w:t>
      </w:r>
      <w:r w:rsidRPr="007A6528">
        <w:rPr>
          <w:rFonts w:ascii="Verdana" w:eastAsia="Calibri" w:hAnsi="Verdana" w:cs="Arial"/>
          <w:bCs/>
          <w:color w:val="000000" w:themeColor="text1"/>
        </w:rPr>
        <w:t xml:space="preserve">. </w:t>
      </w:r>
      <w:r w:rsidRPr="007A6528">
        <w:rPr>
          <w:rFonts w:ascii="Verdana" w:hAnsi="Verdana" w:cs="Arial"/>
          <w:iCs/>
          <w:color w:val="000000" w:themeColor="text1"/>
        </w:rPr>
        <w:t xml:space="preserve">La norma citada establece las etapas del procedimiento que se deben seguir, las cuales en forma esquemática pueden resumirse así: </w:t>
      </w:r>
    </w:p>
    <w:p w14:paraId="618F2907" w14:textId="77777777" w:rsidR="002876A0" w:rsidRPr="007A6528" w:rsidRDefault="002876A0" w:rsidP="002876A0">
      <w:pPr>
        <w:spacing w:after="120" w:line="276" w:lineRule="auto"/>
        <w:ind w:firstLine="708"/>
        <w:jc w:val="both"/>
        <w:rPr>
          <w:rFonts w:ascii="Verdana" w:hAnsi="Verdana" w:cs="Arial"/>
          <w:iCs/>
          <w:color w:val="000000" w:themeColor="text1"/>
        </w:rPr>
      </w:pPr>
      <w:r w:rsidRPr="007A6528">
        <w:rPr>
          <w:rFonts w:ascii="Verdana" w:hAnsi="Verdana" w:cs="Arial"/>
          <w:iCs/>
          <w:color w:val="000000" w:themeColor="text1"/>
        </w:rPr>
        <w:lastRenderedPageBreak/>
        <w:t xml:space="preserve">i) </w:t>
      </w:r>
      <w:r w:rsidRPr="007A6528">
        <w:rPr>
          <w:rFonts w:ascii="Verdana" w:hAnsi="Verdana" w:cs="Arial"/>
          <w:i/>
          <w:color w:val="000000" w:themeColor="text1"/>
        </w:rPr>
        <w:t>C</w:t>
      </w:r>
      <w:r w:rsidRPr="007A6528">
        <w:rPr>
          <w:rFonts w:ascii="Verdana" w:hAnsi="Verdana" w:cs="Arial"/>
          <w:i/>
          <w:iCs/>
          <w:color w:val="000000" w:themeColor="text1"/>
        </w:rPr>
        <w:t>itación a audiencia</w:t>
      </w:r>
      <w:r w:rsidRPr="007A6528">
        <w:rPr>
          <w:rFonts w:ascii="Verdana" w:hAnsi="Verdana" w:cs="Arial"/>
          <w:iCs/>
          <w:color w:val="000000" w:themeColor="text1"/>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roofErr w:type="spellStart"/>
      <w:r w:rsidRPr="007A6528">
        <w:rPr>
          <w:rFonts w:ascii="Verdana" w:hAnsi="Verdana" w:cs="Arial"/>
          <w:iCs/>
          <w:color w:val="000000" w:themeColor="text1"/>
        </w:rPr>
        <w:t>ii</w:t>
      </w:r>
      <w:proofErr w:type="spellEnd"/>
      <w:r w:rsidRPr="007A6528">
        <w:rPr>
          <w:rFonts w:ascii="Verdana" w:hAnsi="Verdana" w:cs="Arial"/>
          <w:iCs/>
          <w:color w:val="000000" w:themeColor="text1"/>
        </w:rPr>
        <w:t xml:space="preserve">) </w:t>
      </w:r>
      <w:r w:rsidRPr="007A6528">
        <w:rPr>
          <w:rFonts w:ascii="Verdana" w:hAnsi="Verdana" w:cs="Arial"/>
          <w:i/>
          <w:iCs/>
          <w:color w:val="000000" w:themeColor="text1"/>
        </w:rPr>
        <w:t>Audiencia</w:t>
      </w:r>
      <w:r w:rsidRPr="007A6528">
        <w:rPr>
          <w:rFonts w:ascii="Verdana" w:hAnsi="Verdana" w:cs="Arial"/>
          <w:iCs/>
          <w:color w:val="000000" w:themeColor="text1"/>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7A6528">
        <w:rPr>
          <w:rFonts w:ascii="Verdana" w:hAnsi="Verdana" w:cs="Arial"/>
          <w:i/>
          <w:iCs/>
          <w:color w:val="000000" w:themeColor="text1"/>
        </w:rPr>
        <w:t>Decisión</w:t>
      </w:r>
      <w:r w:rsidRPr="007A6528">
        <w:rPr>
          <w:rFonts w:ascii="Verdana" w:hAnsi="Verdana" w:cs="Arial"/>
          <w:iCs/>
          <w:color w:val="000000" w:themeColor="text1"/>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bookmarkEnd w:id="4"/>
    <w:p w14:paraId="4C25D2E0" w14:textId="77777777" w:rsidR="002876A0" w:rsidRDefault="002876A0" w:rsidP="002876A0">
      <w:pPr>
        <w:spacing w:after="0" w:line="276" w:lineRule="auto"/>
        <w:ind w:firstLine="709"/>
        <w:jc w:val="both"/>
        <w:rPr>
          <w:rFonts w:ascii="Verdana" w:eastAsia="Century Gothic" w:hAnsi="Verdana" w:cs="Century Gothic"/>
        </w:rPr>
      </w:pPr>
      <w:r w:rsidRPr="007A6528">
        <w:rPr>
          <w:rFonts w:ascii="Verdana" w:hAnsi="Verdana" w:cs="Arial"/>
          <w:iCs/>
          <w:color w:val="000000" w:themeColor="text1"/>
        </w:rPr>
        <w:t xml:space="preserve">Concretamente, el procedimiento descrito en el párrafo precedente es una manifestación de la </w:t>
      </w:r>
      <w:r w:rsidRPr="007A6528">
        <w:rPr>
          <w:rFonts w:ascii="Verdana" w:hAnsi="Verdana" w:cs="Arial"/>
          <w:i/>
          <w:color w:val="000000" w:themeColor="text1"/>
        </w:rPr>
        <w:t>legalidad de las formas de cada juicio</w:t>
      </w:r>
      <w:r w:rsidRPr="007A6528">
        <w:rPr>
          <w:rFonts w:ascii="Verdana" w:hAnsi="Verdana" w:cs="Arial"/>
          <w:iCs/>
          <w:color w:val="000000" w:themeColor="text1"/>
        </w:rPr>
        <w:t xml:space="preserve"> en la contratación estatal, la cual no solo se aplica en virtud del artículo 29 de la Constitución Política sino también con fundamento en el artículo 3.1, inciso primero, de la Ley 1437 de 2011. Esto último en la medida que </w:t>
      </w:r>
      <w:r>
        <w:rPr>
          <w:rFonts w:ascii="Verdana" w:hAnsi="Verdana" w:cs="Arial"/>
          <w:iCs/>
          <w:color w:val="000000" w:themeColor="text1"/>
        </w:rPr>
        <w:t>“</w:t>
      </w:r>
      <w:r w:rsidRPr="007A6528">
        <w:rPr>
          <w:rFonts w:ascii="Verdana" w:hAnsi="Verdana" w:cs="Arial"/>
          <w:iCs/>
          <w:color w:val="000000" w:themeColor="text1"/>
        </w:rPr>
        <w:t>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r>
        <w:rPr>
          <w:rFonts w:ascii="Verdana" w:hAnsi="Verdana" w:cs="Arial"/>
          <w:iCs/>
          <w:color w:val="000000" w:themeColor="text1"/>
        </w:rPr>
        <w:t>”</w:t>
      </w:r>
      <w:r w:rsidRPr="007A6528">
        <w:rPr>
          <w:rFonts w:ascii="Verdana" w:hAnsi="Verdana" w:cs="Arial"/>
          <w:iCs/>
          <w:color w:val="000000" w:themeColor="text1"/>
        </w:rPr>
        <w:t>.</w:t>
      </w:r>
      <w:r>
        <w:rPr>
          <w:rFonts w:ascii="Verdana" w:hAnsi="Verdana" w:cs="Arial"/>
          <w:iCs/>
          <w:color w:val="000000" w:themeColor="text1"/>
        </w:rPr>
        <w:t xml:space="preserve"> En este contexto, el artículo 86 de la Ley 1474 de 2011 no contempla ninguna una causal de </w:t>
      </w:r>
      <w:r>
        <w:rPr>
          <w:rFonts w:ascii="Verdana" w:eastAsia="Century Gothic" w:hAnsi="Verdana" w:cs="Century Gothic"/>
        </w:rPr>
        <w:t xml:space="preserve">pérdida de competencia o de suspensión del procedimiento sancionatorio contractual por el trámite posterior de una reclamación judicial del contratista en el marco del medio de control de controversias contractuales. </w:t>
      </w:r>
    </w:p>
    <w:p w14:paraId="6217B357" w14:textId="77777777" w:rsidR="002876A0" w:rsidRDefault="002876A0" w:rsidP="002876A0">
      <w:pPr>
        <w:spacing w:after="0" w:line="276" w:lineRule="auto"/>
        <w:ind w:firstLine="709"/>
        <w:jc w:val="both"/>
        <w:rPr>
          <w:rFonts w:ascii="Verdana" w:eastAsia="Century Gothic" w:hAnsi="Verdana" w:cs="Century Gothic"/>
        </w:rPr>
      </w:pPr>
    </w:p>
    <w:p w14:paraId="4247F3E3" w14:textId="77777777" w:rsidR="002876A0" w:rsidRDefault="002876A0" w:rsidP="002876A0">
      <w:pPr>
        <w:spacing w:after="120" w:line="276" w:lineRule="auto"/>
        <w:jc w:val="both"/>
        <w:rPr>
          <w:rFonts w:ascii="Verdana" w:eastAsia="Century Gothic" w:hAnsi="Verdana" w:cs="Century Gothic"/>
        </w:rPr>
      </w:pPr>
      <w:proofErr w:type="spellStart"/>
      <w:r>
        <w:rPr>
          <w:rFonts w:ascii="Verdana" w:eastAsia="Century Gothic" w:hAnsi="Verdana" w:cs="Century Gothic"/>
        </w:rPr>
        <w:t>ii</w:t>
      </w:r>
      <w:proofErr w:type="spellEnd"/>
      <w:r>
        <w:rPr>
          <w:rFonts w:ascii="Verdana" w:eastAsia="Century Gothic" w:hAnsi="Verdana" w:cs="Century Gothic"/>
        </w:rPr>
        <w:t xml:space="preserve">. En todo caso, </w:t>
      </w:r>
      <w:bookmarkStart w:id="5" w:name="_Hlk173332187"/>
      <w:r>
        <w:rPr>
          <w:rFonts w:ascii="Verdana" w:eastAsia="Century Gothic" w:hAnsi="Verdana" w:cs="Century Gothic"/>
        </w:rPr>
        <w:t xml:space="preserve">el </w:t>
      </w:r>
      <w:r w:rsidRPr="00B11C80">
        <w:rPr>
          <w:rFonts w:ascii="Verdana" w:eastAsia="Century Gothic" w:hAnsi="Verdana" w:cs="Century Gothic"/>
        </w:rPr>
        <w:t xml:space="preserve">artículo 77, inciso primero, de la Ley 80 de 1993 dispone que </w:t>
      </w:r>
      <w:r>
        <w:rPr>
          <w:rFonts w:ascii="Verdana" w:eastAsia="Century Gothic" w:hAnsi="Verdana" w:cs="Century Gothic"/>
        </w:rPr>
        <w:t>“</w:t>
      </w:r>
      <w:r w:rsidRPr="00B11C80">
        <w:rPr>
          <w:rFonts w:ascii="Verdana" w:eastAsia="Century Gothic" w:hAnsi="Verdana" w:cs="Century Gothic"/>
        </w:rPr>
        <w:t>En cuanto sean compatibles con la finalidad y los principios de esta ley, las normas que rigen los procedimientos y actuaciones en la función administrativa serán aplicables en las actuaciones contractuales […]</w:t>
      </w:r>
      <w:r>
        <w:rPr>
          <w:rFonts w:ascii="Verdana" w:eastAsia="Century Gothic" w:hAnsi="Verdana" w:cs="Century Gothic"/>
        </w:rPr>
        <w:t>”</w:t>
      </w:r>
      <w:r w:rsidRPr="00B11C80">
        <w:rPr>
          <w:rFonts w:ascii="Verdana" w:eastAsia="Century Gothic" w:hAnsi="Verdana" w:cs="Century Gothic"/>
        </w:rPr>
        <w:t xml:space="preserve">, </w:t>
      </w:r>
      <w:r>
        <w:rPr>
          <w:rFonts w:ascii="Verdana" w:eastAsia="Century Gothic" w:hAnsi="Verdana" w:cs="Century Gothic"/>
        </w:rPr>
        <w:t xml:space="preserve">por lo que </w:t>
      </w:r>
      <w:r w:rsidRPr="00B11C80">
        <w:rPr>
          <w:rFonts w:ascii="Verdana" w:eastAsia="Century Gothic" w:hAnsi="Verdana" w:cs="Century Gothic"/>
        </w:rPr>
        <w:t>es necesario acudir a las normas del procedimiento administrativo general en ausencia de reglas especiales.</w:t>
      </w:r>
      <w:r>
        <w:rPr>
          <w:rFonts w:ascii="Verdana" w:eastAsia="Century Gothic" w:hAnsi="Verdana" w:cs="Century Gothic"/>
        </w:rPr>
        <w:t xml:space="preserve"> A este aspecto, también se refiere el inciso final del artículo 2 del Código de Procedimiento Administrativo y Contencioso Administrativo al </w:t>
      </w:r>
      <w:r>
        <w:rPr>
          <w:rFonts w:ascii="Verdana" w:eastAsia="Century Gothic" w:hAnsi="Verdana" w:cs="Century Gothic"/>
        </w:rPr>
        <w:lastRenderedPageBreak/>
        <w:t>disponer que “</w:t>
      </w:r>
      <w:r w:rsidRPr="00B11C80">
        <w:rPr>
          <w:rFonts w:ascii="Verdana" w:eastAsia="Century Gothic" w:hAnsi="Verdana" w:cs="Century Gothic"/>
        </w:rPr>
        <w:t xml:space="preserve">Las autoridades sujetarán sus actuaciones a los procedimientos que se establecen en este Código, sin perjuicio de los procedimientos regulados en leyes especiales. </w:t>
      </w:r>
      <w:r w:rsidRPr="00B11C80">
        <w:rPr>
          <w:rFonts w:ascii="Verdana" w:eastAsia="Century Gothic" w:hAnsi="Verdana" w:cs="Century Gothic"/>
          <w:i/>
          <w:iCs/>
        </w:rPr>
        <w:t>En lo no previsto en los mismos se aplicarán las disposiciones de este Código</w:t>
      </w:r>
      <w:r>
        <w:rPr>
          <w:rFonts w:ascii="Verdana" w:eastAsia="Century Gothic" w:hAnsi="Verdana" w:cs="Century Gothic"/>
        </w:rPr>
        <w:t>” (Énfasis fuera de texto)</w:t>
      </w:r>
      <w:r w:rsidRPr="00B11C80">
        <w:rPr>
          <w:rFonts w:ascii="Verdana" w:eastAsia="Century Gothic" w:hAnsi="Verdana" w:cs="Century Gothic"/>
        </w:rPr>
        <w:t>.</w:t>
      </w:r>
    </w:p>
    <w:bookmarkEnd w:id="5"/>
    <w:p w14:paraId="5D6418CA" w14:textId="77777777" w:rsidR="002876A0" w:rsidRDefault="002876A0" w:rsidP="002876A0">
      <w:pPr>
        <w:spacing w:after="120" w:line="276" w:lineRule="auto"/>
        <w:jc w:val="both"/>
        <w:rPr>
          <w:rFonts w:ascii="Verdana" w:eastAsia="Century Gothic" w:hAnsi="Verdana" w:cs="Century Gothic"/>
        </w:rPr>
      </w:pPr>
      <w:r>
        <w:rPr>
          <w:rFonts w:ascii="Verdana" w:eastAsia="Century Gothic" w:hAnsi="Verdana" w:cs="Century Gothic"/>
        </w:rPr>
        <w:tab/>
        <w:t xml:space="preserve">Aunque el artículo </w:t>
      </w:r>
      <w:r w:rsidRPr="008755E7">
        <w:rPr>
          <w:rFonts w:ascii="Verdana" w:eastAsia="Century Gothic" w:hAnsi="Verdana" w:cs="Century Gothic"/>
        </w:rPr>
        <w:t xml:space="preserve">el parágrafo del artículo 47 </w:t>
      </w:r>
      <w:r>
        <w:rPr>
          <w:rFonts w:ascii="Verdana" w:eastAsia="Century Gothic" w:hAnsi="Verdana" w:cs="Century Gothic"/>
        </w:rPr>
        <w:t>de la Ley 1437 de 2011 prescribe</w:t>
      </w:r>
      <w:r w:rsidRPr="008755E7">
        <w:rPr>
          <w:rFonts w:ascii="Verdana" w:eastAsia="Century Gothic" w:hAnsi="Verdana" w:cs="Century Gothic"/>
        </w:rPr>
        <w:t xml:space="preserve"> que </w:t>
      </w:r>
      <w:r>
        <w:rPr>
          <w:rFonts w:ascii="Verdana" w:eastAsia="Century Gothic" w:hAnsi="Verdana" w:cs="Century Gothic"/>
        </w:rPr>
        <w:t>“</w:t>
      </w:r>
      <w:r w:rsidRPr="008755E7">
        <w:rPr>
          <w:rFonts w:ascii="Verdana" w:eastAsia="Century Gothic" w:hAnsi="Verdana" w:cs="Century Gothic"/>
        </w:rPr>
        <w:t>Las actuaciones administrativas contractuales sancionatorias, incluyendo los recursos, se regirán por lo dispuesto en las normas especiales sobre la materia</w:t>
      </w:r>
      <w:r>
        <w:rPr>
          <w:rFonts w:ascii="Verdana" w:eastAsia="Century Gothic" w:hAnsi="Verdana" w:cs="Century Gothic"/>
        </w:rPr>
        <w:t>”, e</w:t>
      </w:r>
      <w:r w:rsidRPr="008755E7">
        <w:rPr>
          <w:rFonts w:ascii="Verdana" w:eastAsia="Century Gothic" w:hAnsi="Verdana" w:cs="Century Gothic"/>
        </w:rPr>
        <w:t>sta norma no niega la remisión a las normas del procedimiento administrativo general en materia contractual</w:t>
      </w:r>
      <w:r>
        <w:rPr>
          <w:rFonts w:ascii="Verdana" w:eastAsia="Century Gothic" w:hAnsi="Verdana" w:cs="Century Gothic"/>
        </w:rPr>
        <w:t>: t</w:t>
      </w:r>
      <w:r w:rsidRPr="008755E7">
        <w:rPr>
          <w:rFonts w:ascii="Verdana" w:eastAsia="Century Gothic" w:hAnsi="Verdana" w:cs="Century Gothic"/>
        </w:rPr>
        <w:t>odo lo contrario, el parágrafo citado consagra la especialidad del procedimiento sancionador contractual. Esto significa la primacía de los aspectos regulados en el artículo 86 de la Ley 1474 de 2011, sobre los previstos en las normas generales del procedimiento administrativo sancionatorio general, en la medida que el Estatuto Anticorrupción contiene el trámite mediante el cual, conforme al artículo 29 superior, se manifiesta el principio de legalidad de las formas de cada juicio en materia sancionatoria para las entidades sometidas a la Ley 80 de 1993.</w:t>
      </w:r>
    </w:p>
    <w:p w14:paraId="6417E89A" w14:textId="77777777" w:rsidR="002876A0" w:rsidRDefault="002876A0" w:rsidP="002876A0">
      <w:pPr>
        <w:spacing w:after="0" w:line="276" w:lineRule="auto"/>
        <w:jc w:val="both"/>
        <w:rPr>
          <w:rFonts w:ascii="Verdana" w:eastAsia="Century Gothic" w:hAnsi="Verdana" w:cs="Century Gothic"/>
        </w:rPr>
      </w:pPr>
      <w:r>
        <w:rPr>
          <w:rFonts w:ascii="Verdana" w:eastAsia="Century Gothic" w:hAnsi="Verdana" w:cs="Century Gothic"/>
        </w:rPr>
        <w:tab/>
      </w:r>
      <w:r w:rsidRPr="008755E7">
        <w:rPr>
          <w:rFonts w:ascii="Verdana" w:eastAsia="Century Gothic" w:hAnsi="Verdana" w:cs="Century Gothic"/>
        </w:rPr>
        <w:t xml:space="preserve">La existencia de procedimientos especiales no es una negación absoluta de la posibilidad de llenar las lagunas con la remisión a las normas generales sobre la materia. Esto es precisamente lo que consagra el inciso primero del artículo 47 del CPACA cuando dispone que </w:t>
      </w:r>
      <w:r>
        <w:rPr>
          <w:rFonts w:ascii="Verdana" w:eastAsia="Century Gothic" w:hAnsi="Verdana" w:cs="Century Gothic"/>
        </w:rPr>
        <w:t>“</w:t>
      </w:r>
      <w:r w:rsidRPr="008755E7">
        <w:rPr>
          <w:rFonts w:ascii="Verdana" w:eastAsia="Century Gothic" w:hAnsi="Verdana" w:cs="Century Gothic"/>
        </w:rPr>
        <w:t xml:space="preserve">Los procedimientos administrativos de carácter sancionatorio no regulados por leyes especiales o por el Código Disciplinario Único se sujetarán a las disposiciones de esta Parte Primera del Código. </w:t>
      </w:r>
      <w:r w:rsidRPr="00760EED">
        <w:rPr>
          <w:rFonts w:ascii="Verdana" w:eastAsia="Century Gothic" w:hAnsi="Verdana" w:cs="Century Gothic"/>
          <w:i/>
          <w:iCs/>
        </w:rPr>
        <w:t>Los preceptos de este Código se aplicarán también en lo no previsto por dichas leyes</w:t>
      </w:r>
      <w:r>
        <w:rPr>
          <w:rFonts w:ascii="Verdana" w:eastAsia="Century Gothic" w:hAnsi="Verdana" w:cs="Century Gothic"/>
        </w:rPr>
        <w:t>”</w:t>
      </w:r>
      <w:r w:rsidRPr="008755E7">
        <w:rPr>
          <w:rFonts w:ascii="Verdana" w:eastAsia="Century Gothic" w:hAnsi="Verdana" w:cs="Century Gothic"/>
        </w:rPr>
        <w:t xml:space="preserve"> (Énfasis fuera de texto).</w:t>
      </w:r>
      <w:r>
        <w:rPr>
          <w:rFonts w:ascii="Verdana" w:eastAsia="Century Gothic" w:hAnsi="Verdana" w:cs="Century Gothic"/>
        </w:rPr>
        <w:t xml:space="preserve"> Salvo regulación del procedimiento administrativo sancionatorio fiscal, los incisos 2 y 3 de disposición precitada prescriben que:</w:t>
      </w:r>
    </w:p>
    <w:p w14:paraId="04435961" w14:textId="77777777" w:rsidR="002876A0" w:rsidRDefault="002876A0" w:rsidP="002876A0">
      <w:pPr>
        <w:spacing w:after="0" w:line="276" w:lineRule="auto"/>
        <w:jc w:val="both"/>
        <w:rPr>
          <w:rFonts w:ascii="Verdana" w:eastAsia="Century Gothic" w:hAnsi="Verdana" w:cs="Century Gothic"/>
        </w:rPr>
      </w:pPr>
    </w:p>
    <w:p w14:paraId="26C89443" w14:textId="77777777" w:rsidR="002876A0" w:rsidRPr="008427D3" w:rsidRDefault="002876A0" w:rsidP="002876A0">
      <w:pPr>
        <w:spacing w:after="120" w:line="240" w:lineRule="auto"/>
        <w:ind w:left="709" w:right="709"/>
        <w:jc w:val="both"/>
        <w:rPr>
          <w:rFonts w:ascii="Verdana" w:eastAsia="Century Gothic" w:hAnsi="Verdana" w:cs="Century Gothic"/>
          <w:sz w:val="21"/>
          <w:szCs w:val="21"/>
        </w:rPr>
      </w:pPr>
      <w:r w:rsidRPr="008427D3">
        <w:rPr>
          <w:rFonts w:ascii="Verdana" w:eastAsia="Century Gothic" w:hAnsi="Verdana" w:cs="Century Gothic"/>
          <w:sz w:val="21"/>
          <w:szCs w:val="21"/>
        </w:rPr>
        <w:t xml:space="preserve">“Las actuaciones administrativas de naturaleza sancionatoria podrán iniciarse de oficio o por solicitud de cualquier persona. Cuando como resultado de averiguaciones preliminares, la autoridad establezca que existen méritos para adelantar un procedimiento sancionatorio, así lo comunicará al interesado. Concluidas las averiguaciones preliminares, si fuere del caso, formulará cargos mediante acto administrativo en el que señalará, con precisión y claridad, los hechos que lo originan, las personas naturales o jurídicas objeto de la investigación, las disposiciones presuntamente vulneradas y las sanciones o medidas que serían procedentes Este acto administrativo deberá ser notificado personalmente a los investigados. Contra esta decisión no procede recurso. </w:t>
      </w:r>
    </w:p>
    <w:p w14:paraId="77ECA6C1" w14:textId="77777777" w:rsidR="002876A0" w:rsidRPr="008427D3" w:rsidRDefault="002876A0" w:rsidP="002876A0">
      <w:pPr>
        <w:spacing w:after="0" w:line="240" w:lineRule="auto"/>
        <w:ind w:left="709" w:right="709"/>
        <w:jc w:val="both"/>
        <w:rPr>
          <w:rFonts w:ascii="Verdana" w:eastAsia="Century Gothic" w:hAnsi="Verdana" w:cs="Century Gothic"/>
          <w:sz w:val="21"/>
          <w:szCs w:val="21"/>
        </w:rPr>
      </w:pPr>
      <w:r w:rsidRPr="008427D3">
        <w:rPr>
          <w:rFonts w:ascii="Verdana" w:eastAsia="Century Gothic" w:hAnsi="Verdana" w:cs="Century Gothic"/>
          <w:sz w:val="21"/>
          <w:szCs w:val="21"/>
        </w:rPr>
        <w:t>Los investigados podrán, dentro de los quince (15) días siguientes a la notificación de la formulación de cargos, presentar los descargos y solicitar o aportar las pruebas que pretendan hacer valer. Serán rechazadas de manera motivada, las inconducentes, las impertinentes y las superfluas y no se atenderán las practicadas ilegalmente”.</w:t>
      </w:r>
    </w:p>
    <w:p w14:paraId="4CC620D7" w14:textId="77777777" w:rsidR="002876A0" w:rsidRDefault="002876A0" w:rsidP="002876A0">
      <w:pPr>
        <w:spacing w:after="0" w:line="276" w:lineRule="auto"/>
        <w:jc w:val="both"/>
        <w:rPr>
          <w:rFonts w:ascii="Verdana" w:eastAsia="Century Gothic" w:hAnsi="Verdana" w:cs="Century Gothic"/>
        </w:rPr>
      </w:pPr>
    </w:p>
    <w:p w14:paraId="67E6B324" w14:textId="77777777" w:rsidR="002876A0" w:rsidRDefault="002876A0" w:rsidP="002876A0">
      <w:pPr>
        <w:spacing w:after="0" w:line="276" w:lineRule="auto"/>
        <w:jc w:val="both"/>
        <w:rPr>
          <w:rFonts w:ascii="Verdana" w:eastAsia="Century Gothic" w:hAnsi="Verdana" w:cs="Century Gothic"/>
        </w:rPr>
      </w:pPr>
      <w:r>
        <w:rPr>
          <w:rFonts w:ascii="Verdana" w:eastAsia="Century Gothic" w:hAnsi="Verdana" w:cs="Century Gothic"/>
        </w:rPr>
        <w:tab/>
        <w:t xml:space="preserve">Este procedimiento también incluye una regulación de los términos probatorios –art. 48–, del contenido de la decisión –art. 49–, de la graduación de las sanciones –art. 50–, de la renuencia a suministrar información –art. 51– y de la caducidad de la facultad sancionatoria –art. 52–. Sin embargo, ninguno de estos aspectos se refiere al tema objeto de consulta. En consecuencia, bajo el principio de legalidad, en las reglas generales de la Ley 1437 de 2011 tampoco existe </w:t>
      </w:r>
      <w:r>
        <w:rPr>
          <w:rFonts w:ascii="Verdana" w:hAnsi="Verdana" w:cs="Arial"/>
          <w:iCs/>
          <w:color w:val="000000" w:themeColor="text1"/>
        </w:rPr>
        <w:t xml:space="preserve">una causal de </w:t>
      </w:r>
      <w:r>
        <w:rPr>
          <w:rFonts w:ascii="Verdana" w:eastAsia="Century Gothic" w:hAnsi="Verdana" w:cs="Century Gothic"/>
        </w:rPr>
        <w:t>pérdida de competencia o de suspensión del procedimiento sancionatorio por ejercicio posterior del derecho de acción.</w:t>
      </w:r>
    </w:p>
    <w:p w14:paraId="18736085" w14:textId="77777777" w:rsidR="002876A0" w:rsidRDefault="002876A0" w:rsidP="002876A0">
      <w:pPr>
        <w:spacing w:after="0" w:line="276" w:lineRule="auto"/>
        <w:jc w:val="both"/>
        <w:rPr>
          <w:rFonts w:ascii="Verdana" w:eastAsia="Century Gothic" w:hAnsi="Verdana" w:cs="Century Gothic"/>
        </w:rPr>
      </w:pPr>
    </w:p>
    <w:p w14:paraId="1D4A8C22" w14:textId="77777777" w:rsidR="002876A0" w:rsidRPr="00FB5FC4" w:rsidRDefault="002876A0" w:rsidP="002876A0">
      <w:pPr>
        <w:spacing w:after="120" w:line="276" w:lineRule="auto"/>
        <w:jc w:val="both"/>
        <w:rPr>
          <w:rFonts w:ascii="Verdana" w:eastAsia="Calibri" w:hAnsi="Verdana" w:cs="Arial"/>
          <w:color w:val="000000"/>
          <w:lang w:val="es-ES_tradnl"/>
        </w:rPr>
      </w:pPr>
      <w:r>
        <w:rPr>
          <w:rFonts w:ascii="Verdana" w:eastAsia="Century Gothic" w:hAnsi="Verdana" w:cs="Century Gothic"/>
        </w:rPr>
        <w:t>iii. Lo anterior no obsta para regulaciones particulares, como sucede –por ejemplo– en la liquidación, cuyo procedimiento se encuentra en e</w:t>
      </w:r>
      <w:r w:rsidRPr="00FB5FC4">
        <w:rPr>
          <w:rFonts w:ascii="Verdana" w:eastAsia="Calibri" w:hAnsi="Verdana" w:cs="Arial"/>
          <w:color w:val="000000"/>
          <w:lang w:val="es-ES_tradnl"/>
        </w:rPr>
        <w:t>l artículo 11 de la Ley 1150 de 2007</w:t>
      </w:r>
      <w:r w:rsidRPr="00FB5FC4">
        <w:rPr>
          <w:rFonts w:ascii="Verdana" w:eastAsia="Calibri" w:hAnsi="Verdana" w:cs="Arial"/>
          <w:color w:val="000000"/>
          <w:vertAlign w:val="superscript"/>
          <w:lang w:val="es-ES_tradnl"/>
        </w:rPr>
        <w:footnoteReference w:id="7"/>
      </w:r>
      <w:r w:rsidRPr="00FB5FC4">
        <w:rPr>
          <w:rFonts w:ascii="Verdana" w:eastAsia="Calibri" w:hAnsi="Verdana" w:cs="Arial"/>
          <w:color w:val="000000"/>
          <w:lang w:val="es-ES_tradnl"/>
        </w:rPr>
        <w:t xml:space="preserve">. </w:t>
      </w:r>
      <w:r>
        <w:rPr>
          <w:rFonts w:ascii="Verdana" w:eastAsia="Calibri" w:hAnsi="Verdana" w:cs="Arial"/>
          <w:color w:val="000000"/>
          <w:lang w:val="es-ES_tradnl"/>
        </w:rPr>
        <w:t>Para estos efectos</w:t>
      </w:r>
      <w:r w:rsidRPr="00FB5FC4">
        <w:rPr>
          <w:rFonts w:ascii="Verdana" w:eastAsia="Calibri" w:hAnsi="Verdana" w:cs="Arial"/>
          <w:color w:val="000000"/>
          <w:lang w:val="es-ES_tradnl"/>
        </w:rPr>
        <w:t xml:space="preserve">,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00FB5FC4">
        <w:rPr>
          <w:rFonts w:ascii="Verdana" w:eastAsia="Calibri" w:hAnsi="Verdana" w:cs="Arial"/>
          <w:color w:val="000000"/>
          <w:lang w:val="es-ES_tradnl"/>
        </w:rPr>
        <w:t>ii</w:t>
      </w:r>
      <w:proofErr w:type="spellEnd"/>
      <w:r w:rsidRPr="00FB5FC4">
        <w:rPr>
          <w:rFonts w:ascii="Verdana" w:eastAsia="Calibri" w:hAnsi="Verdana" w:cs="Arial"/>
          <w:color w:val="000000"/>
          <w:lang w:val="es-ES_tradnl"/>
        </w:rPr>
        <w:t>) la expedición del acto administrativo que ordene la terminación del contrato; o, iii) la fecha del acuerdo que disponga la terminación del contrato.</w:t>
      </w:r>
    </w:p>
    <w:p w14:paraId="4FEEC892" w14:textId="77777777" w:rsidR="002876A0" w:rsidRPr="00FB5FC4" w:rsidRDefault="002876A0" w:rsidP="002876A0">
      <w:pPr>
        <w:spacing w:after="120" w:line="276" w:lineRule="auto"/>
        <w:ind w:firstLine="709"/>
        <w:jc w:val="both"/>
        <w:rPr>
          <w:rFonts w:ascii="Verdana" w:eastAsia="Calibri" w:hAnsi="Verdana" w:cs="Arial"/>
          <w:color w:val="000000"/>
          <w:lang w:val="es-ES_tradnl"/>
        </w:rPr>
      </w:pPr>
      <w:r w:rsidRPr="00FB5FC4">
        <w:rPr>
          <w:rFonts w:ascii="Verdana" w:eastAsia="Calibri" w:hAnsi="Verdana" w:cs="Arial"/>
          <w:color w:val="00000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FB5FC4">
        <w:rPr>
          <w:rFonts w:ascii="Verdana" w:eastAsia="Calibri" w:hAnsi="Verdana" w:cs="Arial"/>
          <w:color w:val="000000"/>
          <w:vertAlign w:val="superscript"/>
          <w:lang w:val="es-ES_tradnl"/>
        </w:rPr>
        <w:footnoteReference w:id="8"/>
      </w:r>
      <w:r w:rsidRPr="00FB5FC4">
        <w:rPr>
          <w:rFonts w:ascii="Verdana" w:eastAsia="Calibri" w:hAnsi="Verdana" w:cs="Arial"/>
          <w:color w:val="000000"/>
          <w:lang w:val="es-ES_tradn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FB5FC4">
        <w:rPr>
          <w:rFonts w:ascii="Verdana" w:eastAsia="Calibri" w:hAnsi="Verdana" w:cs="Arial"/>
          <w:iCs/>
          <w:color w:val="000000"/>
          <w:vertAlign w:val="superscript"/>
          <w:lang w:val="es-ES_tradnl"/>
        </w:rPr>
        <w:footnoteReference w:id="9"/>
      </w:r>
      <w:r w:rsidRPr="00FB5FC4">
        <w:rPr>
          <w:rFonts w:ascii="Verdana" w:eastAsia="Calibri" w:hAnsi="Verdana" w:cs="Arial"/>
          <w:color w:val="000000"/>
          <w:lang w:val="es-ES_tradnl"/>
        </w:rPr>
        <w:t xml:space="preserve">, y </w:t>
      </w:r>
      <w:r w:rsidRPr="00FB5FC4">
        <w:rPr>
          <w:rFonts w:ascii="Verdana" w:eastAsia="Calibri" w:hAnsi="Verdana" w:cs="Arial"/>
          <w:iCs/>
          <w:color w:val="000000"/>
          <w:lang w:val="es-ES_tradnl"/>
        </w:rPr>
        <w:t>el documento que la contiene presta mérito ejecutivo, siempre que se satisfagan los elementos para considerarlo como tal</w:t>
      </w:r>
      <w:r w:rsidRPr="00FB5FC4">
        <w:rPr>
          <w:rFonts w:ascii="Verdana" w:eastAsia="Calibri" w:hAnsi="Verdana" w:cs="Arial"/>
          <w:color w:val="000000"/>
          <w:lang w:val="es-ES_tradnl"/>
        </w:rPr>
        <w:t>.</w:t>
      </w:r>
    </w:p>
    <w:p w14:paraId="1691692D" w14:textId="77777777" w:rsidR="002876A0" w:rsidRPr="00FB5FC4" w:rsidRDefault="002876A0" w:rsidP="002876A0">
      <w:pPr>
        <w:spacing w:after="0" w:line="276" w:lineRule="auto"/>
        <w:ind w:firstLine="705"/>
        <w:jc w:val="both"/>
        <w:rPr>
          <w:rFonts w:ascii="Verdana" w:eastAsia="Times New Roman" w:hAnsi="Verdana" w:cs="Arial"/>
          <w:color w:val="000000"/>
          <w:lang w:eastAsia="es-ES_tradnl"/>
        </w:rPr>
      </w:pPr>
      <w:r w:rsidRPr="00FB5FC4">
        <w:rPr>
          <w:rFonts w:ascii="Verdana" w:eastAsia="Times New Roman" w:hAnsi="Verdana" w:cs="Arial"/>
          <w:color w:val="000000"/>
          <w:bdr w:val="none" w:sz="0" w:space="0" w:color="auto" w:frame="1"/>
          <w:shd w:val="clear" w:color="auto" w:fill="FFFFFF"/>
          <w:lang w:val="es-ES" w:eastAsia="es-ES_tradnl"/>
        </w:rPr>
        <w:t xml:space="preserve">Si no es posible efectuar la liquidación de manera bilateral, el ordenamiento jurídico prevé una facultad, de carácter subsidiario, para que la Entidad Estatal realice la liquidación unilateralmente. En relación con este aspecto, la </w:t>
      </w:r>
      <w:r w:rsidRPr="00FB5FC4">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sidRPr="00FB5FC4">
        <w:rPr>
          <w:rFonts w:ascii="Verdana" w:eastAsia="Times New Roman" w:hAnsi="Verdana" w:cs="Arial"/>
          <w:color w:val="000000"/>
          <w:bdr w:val="none" w:sz="0" w:space="0" w:color="auto" w:frame="1"/>
          <w:shd w:val="clear" w:color="auto" w:fill="FFFFFF"/>
          <w:lang w:val="es-ES" w:eastAsia="es-ES_tradnl"/>
        </w:rPr>
        <w:t>Consejo de Estado</w:t>
      </w:r>
      <w:r w:rsidRPr="00FB5FC4">
        <w:rPr>
          <w:rFonts w:ascii="Verdana" w:eastAsia="Times New Roman" w:hAnsi="Verdana" w:cs="Arial"/>
          <w:color w:val="000000"/>
          <w:bdr w:val="none" w:sz="0" w:space="0" w:color="auto" w:frame="1"/>
          <w:shd w:val="clear" w:color="auto" w:fill="FFFFFF"/>
          <w:lang w:val="es-MX" w:eastAsia="es-ES_tradnl"/>
        </w:rPr>
        <w:t>, en concepto del 28 de junio de 2016</w:t>
      </w:r>
      <w:r w:rsidRPr="00FB5FC4">
        <w:rPr>
          <w:rFonts w:ascii="Verdana" w:eastAsia="Times New Roman" w:hAnsi="Verdana" w:cs="Arial"/>
          <w:color w:val="000000"/>
          <w:bdr w:val="none" w:sz="0" w:space="0" w:color="auto" w:frame="1"/>
          <w:shd w:val="clear" w:color="auto" w:fill="FFFFFF"/>
          <w:vertAlign w:val="superscript"/>
          <w:lang w:val="es-MX" w:eastAsia="es-ES_tradnl"/>
        </w:rPr>
        <w:footnoteReference w:id="10"/>
      </w:r>
      <w:r w:rsidRPr="00FB5FC4">
        <w:rPr>
          <w:rFonts w:ascii="Verdana" w:eastAsia="Times New Roman" w:hAnsi="Verdana" w:cs="Arial"/>
          <w:color w:val="000000"/>
          <w:bdr w:val="none" w:sz="0" w:space="0" w:color="auto" w:frame="1"/>
          <w:shd w:val="clear" w:color="auto" w:fill="FFFFFF"/>
          <w:lang w:val="es-MX" w:eastAsia="es-ES_tradnl"/>
        </w:rPr>
        <w:t>, manifestó que:  </w:t>
      </w:r>
    </w:p>
    <w:p w14:paraId="637C988B" w14:textId="77777777" w:rsidR="002876A0" w:rsidRPr="00FB5FC4" w:rsidRDefault="002876A0" w:rsidP="002876A0">
      <w:pPr>
        <w:spacing w:after="0" w:line="276" w:lineRule="auto"/>
        <w:ind w:left="705" w:right="750"/>
        <w:jc w:val="both"/>
        <w:rPr>
          <w:rFonts w:ascii="Verdana" w:eastAsia="Times New Roman" w:hAnsi="Verdana" w:cs="Arial"/>
          <w:color w:val="000000"/>
          <w:lang w:eastAsia="es-ES_tradnl"/>
        </w:rPr>
      </w:pPr>
    </w:p>
    <w:p w14:paraId="3DF50B5A" w14:textId="77777777" w:rsidR="002876A0" w:rsidRPr="004B5D6E" w:rsidRDefault="002876A0" w:rsidP="002876A0">
      <w:pPr>
        <w:spacing w:after="0" w:line="240" w:lineRule="auto"/>
        <w:ind w:left="705" w:right="750"/>
        <w:jc w:val="both"/>
        <w:rPr>
          <w:rFonts w:ascii="Verdana" w:eastAsia="Times New Roman" w:hAnsi="Verdana" w:cs="Arial"/>
          <w:color w:val="000000"/>
          <w:sz w:val="21"/>
          <w:szCs w:val="21"/>
          <w:lang w:eastAsia="es-ES_tradnl"/>
        </w:rPr>
      </w:pPr>
      <w:r w:rsidRPr="004B5D6E">
        <w:rPr>
          <w:rFonts w:ascii="Verdana" w:eastAsia="Times New Roman" w:hAnsi="Verdana" w:cs="Arial"/>
          <w:i/>
          <w:iCs/>
          <w:sz w:val="21"/>
          <w:szCs w:val="21"/>
          <w:lang w:val="es-ES_tradnl" w:eastAsia="es-ES_tradnl"/>
        </w:rPr>
        <w:t>“</w:t>
      </w:r>
      <w:r w:rsidRPr="004B5D6E">
        <w:rPr>
          <w:rFonts w:ascii="Verdana" w:eastAsia="Calibri" w:hAnsi="Verdana" w:cs="Arial"/>
          <w:color w:val="000000"/>
          <w:sz w:val="21"/>
          <w:szCs w:val="21"/>
          <w:lang w:val="es-ES" w:eastAsia="es-ES_tradnl"/>
        </w:rPr>
        <w:t>[</w:t>
      </w:r>
      <w:r w:rsidRPr="004B5D6E">
        <w:rPr>
          <w:rFonts w:ascii="Verdana" w:eastAsia="Times New Roman" w:hAnsi="Verdana" w:cs="Arial"/>
          <w:color w:val="000000"/>
          <w:sz w:val="21"/>
          <w:szCs w:val="21"/>
          <w:bdr w:val="none" w:sz="0" w:space="0" w:color="auto" w:frame="1"/>
          <w:shd w:val="clear" w:color="auto" w:fill="FFFFFF"/>
          <w:lang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Pr>
          <w:rFonts w:ascii="Verdana" w:eastAsia="Times New Roman" w:hAnsi="Verdana" w:cs="Arial"/>
          <w:color w:val="000000"/>
          <w:sz w:val="21"/>
          <w:szCs w:val="21"/>
          <w:bdr w:val="none" w:sz="0" w:space="0" w:color="auto" w:frame="1"/>
          <w:shd w:val="clear" w:color="auto" w:fill="FFFFFF"/>
          <w:lang w:val="es-ES"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 </w:t>
      </w:r>
      <w:r w:rsidRPr="004B5D6E">
        <w:rPr>
          <w:rFonts w:ascii="Verdana" w:eastAsia="Times New Roman" w:hAnsi="Verdana" w:cs="Arial"/>
          <w:color w:val="000000"/>
          <w:sz w:val="21"/>
          <w:szCs w:val="21"/>
          <w:bdr w:val="none" w:sz="0" w:space="0" w:color="auto" w:frame="1"/>
          <w:shd w:val="clear" w:color="auto" w:fill="FFFFFF"/>
          <w:lang w:eastAsia="es-ES_tradnl"/>
        </w:rPr>
        <w:t>  </w:t>
      </w:r>
    </w:p>
    <w:p w14:paraId="7CC14306" w14:textId="77777777" w:rsidR="002876A0" w:rsidRPr="00FB5FC4" w:rsidRDefault="002876A0" w:rsidP="002876A0">
      <w:pPr>
        <w:spacing w:after="0" w:line="276" w:lineRule="auto"/>
        <w:ind w:left="705" w:right="750"/>
        <w:jc w:val="both"/>
        <w:rPr>
          <w:rFonts w:ascii="Verdana" w:eastAsia="Times New Roman" w:hAnsi="Verdana" w:cs="Arial"/>
          <w:color w:val="000000"/>
          <w:lang w:eastAsia="es-ES_tradnl"/>
        </w:rPr>
      </w:pPr>
    </w:p>
    <w:p w14:paraId="1D353A63" w14:textId="77777777" w:rsidR="002876A0" w:rsidRPr="00FB5FC4" w:rsidRDefault="002876A0" w:rsidP="002876A0">
      <w:pPr>
        <w:spacing w:after="120" w:line="276" w:lineRule="auto"/>
        <w:ind w:firstLine="705"/>
        <w:jc w:val="both"/>
        <w:rPr>
          <w:rFonts w:ascii="Verdana" w:eastAsia="Times New Roman" w:hAnsi="Verdana" w:cs="Arial"/>
          <w:color w:val="000000"/>
          <w:lang w:eastAsia="es-ES_tradnl"/>
        </w:rPr>
      </w:pPr>
      <w:bookmarkStart w:id="6" w:name="_Hlk141851266"/>
      <w:r w:rsidRPr="00FB5FC4">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1E0DAF86" w14:textId="77777777" w:rsidR="002876A0" w:rsidRPr="00FB5FC4" w:rsidRDefault="002876A0" w:rsidP="002876A0">
      <w:pPr>
        <w:spacing w:after="0" w:line="276" w:lineRule="auto"/>
        <w:ind w:firstLine="705"/>
        <w:jc w:val="both"/>
        <w:rPr>
          <w:rFonts w:ascii="Verdana" w:eastAsia="Times New Roman" w:hAnsi="Verdana" w:cs="Arial"/>
          <w:color w:val="000000"/>
          <w:bdr w:val="none" w:sz="0" w:space="0" w:color="auto" w:frame="1"/>
          <w:shd w:val="clear" w:color="auto" w:fill="FFFFFF"/>
          <w:lang w:eastAsia="es-ES_tradnl"/>
        </w:rPr>
      </w:pPr>
      <w:r w:rsidRPr="00FB5FC4">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bookmarkEnd w:id="6"/>
      <w:r w:rsidRPr="00FB5FC4">
        <w:rPr>
          <w:rFonts w:ascii="Verdana" w:eastAsia="Times New Roman" w:hAnsi="Verdana" w:cs="Arial"/>
          <w:color w:val="000000"/>
          <w:bdr w:val="none" w:sz="0" w:space="0" w:color="auto" w:frame="1"/>
          <w:shd w:val="clear" w:color="auto" w:fill="FFFFFF"/>
          <w:lang w:val="es-ES" w:eastAsia="es-ES_tradnl"/>
        </w:rPr>
        <w:t xml:space="preserve">En este sentido, en decisión de unificación de la </w:t>
      </w:r>
      <w:r w:rsidRPr="00FB5FC4">
        <w:rPr>
          <w:rFonts w:ascii="Verdana" w:eastAsia="Times New Roman" w:hAnsi="Verdana" w:cs="Arial"/>
          <w:color w:val="000000"/>
          <w:bdr w:val="none" w:sz="0" w:space="0" w:color="auto" w:frame="1"/>
          <w:shd w:val="clear" w:color="auto" w:fill="FFFFFF"/>
          <w:lang w:val="es-MX" w:eastAsia="es-ES_tradnl"/>
        </w:rPr>
        <w:t>Sección Tercera</w:t>
      </w:r>
      <w:r w:rsidRPr="00FB5FC4">
        <w:rPr>
          <w:rFonts w:ascii="Verdana" w:eastAsia="Times New Roman" w:hAnsi="Verdana" w:cs="Arial"/>
          <w:color w:val="000000"/>
          <w:bdr w:val="none" w:sz="0" w:space="0" w:color="auto" w:frame="1"/>
          <w:shd w:val="clear" w:color="auto" w:fill="FFFFFF"/>
          <w:lang w:val="es-ES" w:eastAsia="es-ES_tradnl"/>
        </w:rPr>
        <w:t xml:space="preserve"> del Consejo de Estado del</w:t>
      </w:r>
      <w:r w:rsidRPr="00FB5FC4">
        <w:rPr>
          <w:rFonts w:ascii="Verdana" w:eastAsia="Times New Roman" w:hAnsi="Verdana" w:cs="Arial"/>
          <w:color w:val="000000"/>
          <w:bdr w:val="none" w:sz="0" w:space="0" w:color="auto" w:frame="1"/>
          <w:shd w:val="clear" w:color="auto" w:fill="FFFFFF"/>
          <w:lang w:val="es-MX" w:eastAsia="es-ES_tradnl"/>
        </w:rPr>
        <w:t> </w:t>
      </w:r>
      <w:r w:rsidRPr="00FB5FC4">
        <w:rPr>
          <w:rFonts w:ascii="Verdana" w:eastAsia="Times New Roman" w:hAnsi="Verdana" w:cs="Arial"/>
          <w:color w:val="000000"/>
          <w:bdr w:val="none" w:sz="0" w:space="0" w:color="auto" w:frame="1"/>
          <w:shd w:val="clear" w:color="auto" w:fill="FFFFFF"/>
          <w:lang w:eastAsia="es-ES_tradnl"/>
        </w:rPr>
        <w:t>1 de agosto de 2019, se expresó: </w:t>
      </w:r>
    </w:p>
    <w:p w14:paraId="0E136D11" w14:textId="77777777" w:rsidR="002876A0" w:rsidRPr="00FB5FC4" w:rsidRDefault="002876A0" w:rsidP="002876A0">
      <w:pPr>
        <w:spacing w:after="0" w:line="276" w:lineRule="auto"/>
        <w:ind w:firstLine="705"/>
        <w:jc w:val="both"/>
        <w:rPr>
          <w:rFonts w:ascii="Verdana" w:eastAsia="Times New Roman" w:hAnsi="Verdana" w:cs="Arial"/>
          <w:color w:val="000000"/>
          <w:lang w:eastAsia="es-ES_tradnl"/>
        </w:rPr>
      </w:pPr>
    </w:p>
    <w:p w14:paraId="1A4BE04C" w14:textId="77777777" w:rsidR="002876A0" w:rsidRPr="004B5D6E" w:rsidRDefault="002876A0" w:rsidP="002876A0">
      <w:pPr>
        <w:spacing w:after="0" w:line="240" w:lineRule="auto"/>
        <w:ind w:left="705" w:right="750"/>
        <w:jc w:val="both"/>
        <w:rPr>
          <w:rFonts w:ascii="Verdana" w:eastAsia="Times New Roman" w:hAnsi="Verdana" w:cs="Arial"/>
          <w:color w:val="000000"/>
          <w:sz w:val="21"/>
          <w:szCs w:val="21"/>
          <w:lang w:eastAsia="es-ES_tradnl"/>
        </w:rPr>
      </w:pP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4B5D6E">
        <w:rPr>
          <w:rFonts w:ascii="Verdana" w:eastAsia="Times New Roman" w:hAnsi="Verdana" w:cs="Arial"/>
          <w:color w:val="000000"/>
          <w:sz w:val="21"/>
          <w:szCs w:val="21"/>
          <w:bdr w:val="none" w:sz="0" w:space="0" w:color="auto" w:frame="1"/>
          <w:shd w:val="clear" w:color="auto" w:fill="FFFFFF"/>
          <w:lang w:val="es-ES" w:eastAsia="es-ES_tradnl"/>
        </w:rPr>
        <w:t>liquidatorio</w:t>
      </w:r>
      <w:proofErr w:type="spellEnd"/>
      <w:r w:rsidRPr="004B5D6E">
        <w:rPr>
          <w:rFonts w:ascii="Verdana" w:eastAsia="Times New Roman" w:hAnsi="Verdana" w:cs="Arial"/>
          <w:color w:val="000000"/>
          <w:sz w:val="21"/>
          <w:szCs w:val="21"/>
          <w:bdr w:val="none" w:sz="0" w:space="0" w:color="auto"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bdr w:val="none" w:sz="0" w:space="0" w:color="auto" w:frame="1"/>
          <w:shd w:val="clear" w:color="auto" w:fill="FFFFFF"/>
          <w:vertAlign w:val="superscript"/>
          <w:lang w:eastAsia="es-ES_tradnl"/>
        </w:rPr>
        <w:t xml:space="preserve"> </w:t>
      </w:r>
      <w:r w:rsidRPr="004B5D6E">
        <w:rPr>
          <w:rFonts w:ascii="Verdana" w:eastAsia="Times New Roman" w:hAnsi="Verdana" w:cs="Arial"/>
          <w:color w:val="000000"/>
          <w:bdr w:val="none" w:sz="0" w:space="0" w:color="auto" w:frame="1"/>
          <w:shd w:val="clear" w:color="auto" w:fill="FFFFFF"/>
          <w:vertAlign w:val="superscript"/>
          <w:lang w:eastAsia="es-ES_tradnl"/>
        </w:rPr>
        <w:footnoteReference w:id="11"/>
      </w: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 </w:t>
      </w:r>
    </w:p>
    <w:p w14:paraId="6BE88325" w14:textId="77777777" w:rsidR="002876A0" w:rsidRPr="00FB5FC4" w:rsidRDefault="002876A0" w:rsidP="002876A0">
      <w:pPr>
        <w:spacing w:after="0" w:line="276" w:lineRule="auto"/>
        <w:ind w:firstLine="708"/>
        <w:jc w:val="both"/>
        <w:rPr>
          <w:rFonts w:ascii="Verdana" w:eastAsia="Times New Roman" w:hAnsi="Verdana" w:cs="Arial"/>
          <w:color w:val="000000"/>
          <w:lang w:eastAsia="es-ES_tradnl"/>
        </w:rPr>
      </w:pPr>
    </w:p>
    <w:p w14:paraId="51FC23D8" w14:textId="77777777" w:rsidR="002876A0" w:rsidRDefault="002876A0" w:rsidP="002876A0">
      <w:pPr>
        <w:spacing w:after="0" w:line="276" w:lineRule="auto"/>
        <w:ind w:firstLine="705"/>
        <w:jc w:val="both"/>
        <w:rPr>
          <w:rFonts w:ascii="Verdana" w:eastAsia="Times New Roman" w:hAnsi="Verdana" w:cs="Arial"/>
          <w:color w:val="000000"/>
          <w:bdr w:val="none" w:sz="0" w:space="0" w:color="auto" w:frame="1"/>
          <w:shd w:val="clear" w:color="auto" w:fill="FFFFFF"/>
          <w:lang w:eastAsia="es-ES_tradnl"/>
        </w:rPr>
      </w:pPr>
      <w:r w:rsidRPr="00FB5FC4">
        <w:rPr>
          <w:rFonts w:ascii="Verdana" w:eastAsia="Times New Roman" w:hAnsi="Verdana" w:cs="Arial"/>
          <w:color w:val="000000"/>
          <w:bdr w:val="none" w:sz="0" w:space="0" w:color="auto" w:frame="1"/>
          <w:shd w:val="clear" w:color="auto" w:fill="FFFFFF"/>
          <w:lang w:eastAsia="es-ES_tradnl"/>
        </w:rPr>
        <w:t>A su turno</w:t>
      </w:r>
      <w:r>
        <w:rPr>
          <w:rFonts w:ascii="Verdana" w:eastAsia="Times New Roman" w:hAnsi="Verdana" w:cs="Arial"/>
          <w:color w:val="000000"/>
          <w:bdr w:val="none" w:sz="0" w:space="0" w:color="auto" w:frame="1"/>
          <w:shd w:val="clear" w:color="auto" w:fill="FFFFFF"/>
          <w:lang w:eastAsia="es-ES_tradnl"/>
        </w:rPr>
        <w:t xml:space="preserve">, </w:t>
      </w:r>
      <w:bookmarkStart w:id="7" w:name="_Hlk173332287"/>
      <w:r>
        <w:rPr>
          <w:rFonts w:ascii="Verdana" w:eastAsia="Times New Roman" w:hAnsi="Verdana" w:cs="Arial"/>
          <w:color w:val="000000"/>
          <w:bdr w:val="none" w:sz="0" w:space="0" w:color="auto" w:frame="1"/>
          <w:shd w:val="clear" w:color="auto" w:fill="FFFFFF"/>
          <w:lang w:eastAsia="es-ES_tradnl"/>
        </w:rPr>
        <w:t xml:space="preserve">la liquidación judicial hace parte de una de las pretensiones que admite el medio de control de controversias contractuales. Al respecto, el artículo 141 de la Ley 1437 de 2011 dispone que “[…] </w:t>
      </w:r>
      <w:r w:rsidRPr="00F915F3">
        <w:rPr>
          <w:rFonts w:ascii="Verdana" w:eastAsia="Times New Roman" w:hAnsi="Verdana" w:cs="Arial"/>
          <w:color w:val="000000"/>
          <w:bdr w:val="none" w:sz="0" w:space="0" w:color="auto" w:frame="1"/>
          <w:shd w:val="clear" w:color="auto" w:fill="FFFFFF"/>
          <w:lang w:eastAsia="es-ES_tradnl"/>
        </w:rPr>
        <w:t xml:space="preserve">el interesado podrá </w:t>
      </w:r>
      <w:bookmarkStart w:id="8" w:name="_Hlk172560769"/>
      <w:r w:rsidRPr="00F915F3">
        <w:rPr>
          <w:rFonts w:ascii="Verdana" w:eastAsia="Times New Roman" w:hAnsi="Verdana" w:cs="Arial"/>
          <w:color w:val="000000"/>
          <w:bdr w:val="none" w:sz="0" w:space="0" w:color="auto" w:frame="1"/>
          <w:shd w:val="clear" w:color="auto" w:fill="FFFFFF"/>
          <w:lang w:eastAsia="es-ES_tradnl"/>
        </w:rPr>
        <w:t>solicitar la liquidación judicial</w:t>
      </w:r>
      <w:bookmarkEnd w:id="8"/>
      <w:r w:rsidRPr="00F915F3">
        <w:rPr>
          <w:rFonts w:ascii="Verdana" w:eastAsia="Times New Roman" w:hAnsi="Verdana" w:cs="Arial"/>
          <w:color w:val="000000"/>
          <w:bdr w:val="none" w:sz="0" w:space="0" w:color="auto"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r>
        <w:rPr>
          <w:rFonts w:ascii="Verdana" w:eastAsia="Times New Roman" w:hAnsi="Verdana" w:cs="Arial"/>
          <w:color w:val="000000"/>
          <w:bdr w:val="none" w:sz="0" w:space="0" w:color="auto" w:frame="1"/>
          <w:shd w:val="clear" w:color="auto" w:fill="FFFFFF"/>
          <w:lang w:eastAsia="es-ES_tradnl"/>
        </w:rPr>
        <w:t>”</w:t>
      </w:r>
      <w:r w:rsidRPr="00F915F3">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Bajo esta perspectiva, para la entidad cesa la facultad de liquidar bilateral o unilateralmente, ya que el tema pasa de la administración a la jurisdicción.</w:t>
      </w:r>
      <w:bookmarkEnd w:id="7"/>
    </w:p>
    <w:p w14:paraId="50F7E39E" w14:textId="77777777" w:rsidR="002876A0" w:rsidRDefault="002876A0" w:rsidP="002876A0">
      <w:pPr>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50E40F8C" w14:textId="77777777" w:rsidR="002876A0" w:rsidRDefault="002876A0" w:rsidP="002876A0">
      <w:pPr>
        <w:spacing w:after="120" w:line="276" w:lineRule="auto"/>
        <w:jc w:val="both"/>
        <w:rPr>
          <w:rFonts w:ascii="Verdana" w:eastAsia="Calibri" w:hAnsi="Verdana" w:cs="Arial"/>
          <w:bCs/>
          <w:color w:val="000000" w:themeColor="text1"/>
        </w:rPr>
      </w:pPr>
      <w:proofErr w:type="spellStart"/>
      <w:r>
        <w:rPr>
          <w:rFonts w:ascii="Verdana" w:eastAsia="Times New Roman" w:hAnsi="Verdana" w:cs="Arial"/>
          <w:color w:val="000000"/>
          <w:bdr w:val="none" w:sz="0" w:space="0" w:color="auto" w:frame="1"/>
          <w:shd w:val="clear" w:color="auto" w:fill="FFFFFF"/>
          <w:lang w:eastAsia="es-ES_tradnl"/>
        </w:rPr>
        <w:t>iv</w:t>
      </w:r>
      <w:proofErr w:type="spellEnd"/>
      <w:r>
        <w:rPr>
          <w:rFonts w:ascii="Verdana" w:eastAsia="Times New Roman" w:hAnsi="Verdana" w:cs="Arial"/>
          <w:color w:val="000000"/>
          <w:bdr w:val="none" w:sz="0" w:space="0" w:color="auto" w:frame="1"/>
          <w:shd w:val="clear" w:color="auto" w:fill="FFFFFF"/>
          <w:lang w:eastAsia="es-ES_tradnl"/>
        </w:rPr>
        <w:t xml:space="preserve">. Como puede apreciarse, el supuesto descrito en los párrafos anteriores es un evento claro de pérdida de competencia o de suspensión del procedimiento administrativo por el inicio posterior de una acción judicial. Como se trata de una norma propia de la liquidación, no es aplicable a las actuaciones sancionatorias contractuales. Esto en la medida que el artículo 86 de la Ley 1474 de 2011 rige para </w:t>
      </w:r>
      <w:r w:rsidRPr="00807B7E">
        <w:rPr>
          <w:rFonts w:ascii="Verdana" w:eastAsia="Times New Roman" w:hAnsi="Verdana" w:cs="Arial"/>
          <w:i/>
          <w:iCs/>
          <w:color w:val="000000"/>
          <w:bdr w:val="none" w:sz="0" w:space="0" w:color="auto" w:frame="1"/>
          <w:shd w:val="clear" w:color="auto" w:fill="FFFFFF"/>
          <w:lang w:eastAsia="es-ES_tradnl"/>
        </w:rPr>
        <w:t xml:space="preserve">“[…] </w:t>
      </w:r>
      <w:r w:rsidRPr="00807B7E">
        <w:rPr>
          <w:rFonts w:ascii="Verdana" w:eastAsia="Calibri" w:hAnsi="Verdana" w:cs="Arial"/>
          <w:bCs/>
          <w:i/>
          <w:iCs/>
          <w:color w:val="000000" w:themeColor="text1"/>
        </w:rPr>
        <w:t>declarar el incumplimiento, cuantificando los perjuicios del mismo, imponer las multas y sanciones pactadas en el contrato, y hacer efectiva la cláusula penal […]”</w:t>
      </w:r>
      <w:r w:rsidRPr="00807B7E">
        <w:rPr>
          <w:rFonts w:ascii="Verdana" w:eastAsia="Calibri" w:hAnsi="Verdana" w:cs="Arial"/>
          <w:bCs/>
          <w:color w:val="000000" w:themeColor="text1"/>
        </w:rPr>
        <w:t>,</w:t>
      </w:r>
      <w:r>
        <w:rPr>
          <w:rFonts w:ascii="Verdana" w:eastAsia="Calibri" w:hAnsi="Verdana" w:cs="Arial"/>
          <w:bCs/>
          <w:color w:val="000000" w:themeColor="text1"/>
        </w:rPr>
        <w:t xml:space="preserve"> lo que excluye la aplicación analógica de los </w:t>
      </w:r>
      <w:r w:rsidRPr="00FB5FC4">
        <w:rPr>
          <w:rFonts w:ascii="Verdana" w:eastAsia="Calibri" w:hAnsi="Verdana" w:cs="Arial"/>
          <w:color w:val="000000"/>
          <w:lang w:val="es-ES_tradnl"/>
        </w:rPr>
        <w:t>artículo</w:t>
      </w:r>
      <w:r>
        <w:rPr>
          <w:rFonts w:ascii="Verdana" w:eastAsia="Calibri" w:hAnsi="Verdana" w:cs="Arial"/>
          <w:color w:val="000000"/>
          <w:lang w:val="es-ES_tradnl"/>
        </w:rPr>
        <w:t>s</w:t>
      </w:r>
      <w:r w:rsidRPr="00FB5FC4">
        <w:rPr>
          <w:rFonts w:ascii="Verdana" w:eastAsia="Calibri" w:hAnsi="Verdana" w:cs="Arial"/>
          <w:color w:val="000000"/>
          <w:lang w:val="es-ES_tradnl"/>
        </w:rPr>
        <w:t xml:space="preserve"> 11 de la Ley 1150 de 2007</w:t>
      </w:r>
      <w:r>
        <w:rPr>
          <w:rFonts w:ascii="Verdana" w:eastAsia="Calibri" w:hAnsi="Verdana" w:cs="Arial"/>
          <w:color w:val="000000"/>
          <w:lang w:val="es-ES_tradnl"/>
        </w:rPr>
        <w:t xml:space="preserve"> y 141 del CPACA.</w:t>
      </w:r>
      <w:r>
        <w:rPr>
          <w:rFonts w:ascii="Verdana" w:eastAsia="Calibri" w:hAnsi="Verdana" w:cs="Arial"/>
          <w:bCs/>
          <w:color w:val="000000" w:themeColor="text1"/>
        </w:rPr>
        <w:t xml:space="preserve"> </w:t>
      </w:r>
    </w:p>
    <w:p w14:paraId="58353DF5" w14:textId="77777777" w:rsidR="002876A0" w:rsidRDefault="002876A0" w:rsidP="002876A0">
      <w:pPr>
        <w:spacing w:after="120" w:line="276" w:lineRule="auto"/>
        <w:ind w:firstLine="709"/>
        <w:jc w:val="both"/>
        <w:rPr>
          <w:rFonts w:ascii="Verdana" w:hAnsi="Verdana" w:cs="Arial"/>
          <w:iCs/>
          <w:color w:val="000000" w:themeColor="text1"/>
        </w:rPr>
      </w:pPr>
      <w:r>
        <w:rPr>
          <w:rFonts w:ascii="Verdana" w:eastAsia="Calibri" w:hAnsi="Verdana" w:cs="Arial"/>
          <w:bCs/>
          <w:color w:val="000000" w:themeColor="text1"/>
        </w:rPr>
        <w:t xml:space="preserve">Por lo demás, las causales de pérdida de competencia o de suspensión de los procedimientos por el inicio de un medio de control se sujetan al principio de legalidad en los términos de los artículos 29 superior y </w:t>
      </w:r>
      <w:r w:rsidRPr="007A6528">
        <w:rPr>
          <w:rFonts w:ascii="Verdana" w:hAnsi="Verdana" w:cs="Arial"/>
          <w:iCs/>
          <w:color w:val="000000" w:themeColor="text1"/>
        </w:rPr>
        <w:t>3.1, inciso primero, de la Ley 1437 de 2011</w:t>
      </w:r>
      <w:r>
        <w:rPr>
          <w:rFonts w:ascii="Verdana" w:hAnsi="Verdana" w:cs="Arial"/>
          <w:iCs/>
          <w:color w:val="000000" w:themeColor="text1"/>
        </w:rPr>
        <w:t xml:space="preserve">; razón por la cual, son de interpretación estricta. Sin embargo, la Subsección B de la Sección </w:t>
      </w:r>
      <w:r w:rsidRPr="00042DD7">
        <w:rPr>
          <w:rFonts w:ascii="Verdana" w:hAnsi="Verdana" w:cs="Arial"/>
          <w:iCs/>
          <w:color w:val="000000" w:themeColor="text1"/>
        </w:rPr>
        <w:t xml:space="preserve">Tercera del Consejo de Estado, en Sentencia del 17 de junio de 2024, estima que “El hecho de que el contratista formule una demanda con el propósito de obtener la declaración de incumplimiento de la entidad contratante, en principio, impide a esta última ejercer la potestad de declarar el incumplimiento del contratista, por cuanto ese aspecto pasa a ser de competencia del juez del caso”. </w:t>
      </w:r>
    </w:p>
    <w:p w14:paraId="0D96C084" w14:textId="77777777" w:rsidR="002876A0" w:rsidRDefault="002876A0" w:rsidP="002876A0">
      <w:pPr>
        <w:spacing w:after="120" w:line="276" w:lineRule="auto"/>
        <w:ind w:firstLine="709"/>
        <w:jc w:val="both"/>
        <w:rPr>
          <w:rFonts w:ascii="Verdana" w:hAnsi="Verdana" w:cs="Arial"/>
          <w:iCs/>
          <w:color w:val="000000" w:themeColor="text1"/>
        </w:rPr>
      </w:pPr>
      <w:r>
        <w:rPr>
          <w:rFonts w:ascii="Verdana" w:hAnsi="Verdana" w:cs="Arial"/>
          <w:iCs/>
          <w:color w:val="000000" w:themeColor="text1"/>
        </w:rPr>
        <w:t xml:space="preserve">Conforme a los hechos de la demanda, en el proceso se discutió la competencia de la entidad cuando, entre el inicio del proceso sancionatorio contractual y la expedición de los actos administrativos que declaran el incumplimiento, el contratista ejerce una acción judicial para reclamar el incumplimiento de la entidad contratante. En todo caso, no es claro el sustento normativo de esta postura, pues el tema no está regulado en el procedimiento administrativo ante las entidades públicas ni el proceso contencioso administrativo frente a los órganos judiciales.  </w:t>
      </w:r>
    </w:p>
    <w:p w14:paraId="6B6439A1" w14:textId="77777777" w:rsidR="002876A0" w:rsidRDefault="002876A0" w:rsidP="002876A0">
      <w:pPr>
        <w:spacing w:after="120" w:line="276" w:lineRule="auto"/>
        <w:jc w:val="both"/>
        <w:rPr>
          <w:rFonts w:ascii="Verdana" w:hAnsi="Verdana" w:cs="Arial"/>
          <w:iCs/>
          <w:color w:val="000000" w:themeColor="text1"/>
        </w:rPr>
      </w:pPr>
      <w:r>
        <w:rPr>
          <w:rFonts w:ascii="Verdana" w:hAnsi="Verdana" w:cs="Arial"/>
          <w:iCs/>
          <w:color w:val="000000" w:themeColor="text1"/>
        </w:rPr>
        <w:tab/>
        <w:t xml:space="preserve">Además de que carece de fundamento jurídico, la Agencia estima que dicha idea es contraria al principio de eficacia de la gestión pública, pues basta el ejercicio de la acción judicial para entorpecer los procedimientos sancionatorios contractuales. Por ejemplo, al momento de expedirse la sentencia que exonere de responsabilidad a la entidad contratante, puede haber caducado el ejercicio de la potestad sancionatoria, vencido el término de prescripción de las acciones derivadas del contrato de seguro para la garantía única de cumplimiento o, incluso, frente a la necesidad de liquidar el contrato, eliminar la facultad de imponer con posterioridad las multas o la cláusula penal pecuniaria. </w:t>
      </w:r>
    </w:p>
    <w:p w14:paraId="7F03BFBC" w14:textId="77777777" w:rsidR="002876A0" w:rsidRDefault="002876A0" w:rsidP="002876A0">
      <w:pPr>
        <w:spacing w:after="120" w:line="276" w:lineRule="auto"/>
        <w:jc w:val="both"/>
        <w:rPr>
          <w:rFonts w:ascii="Verdana" w:hAnsi="Verdana" w:cs="Arial"/>
          <w:iCs/>
          <w:color w:val="000000" w:themeColor="text1"/>
        </w:rPr>
      </w:pPr>
      <w:r>
        <w:rPr>
          <w:rFonts w:ascii="Verdana" w:hAnsi="Verdana" w:cs="Arial"/>
          <w:iCs/>
          <w:color w:val="000000" w:themeColor="text1"/>
        </w:rPr>
        <w:tab/>
        <w:t>Si bien la pérdida de competencia o la suspensión de los procedimientos está regulada para la liquidación, la lógica del</w:t>
      </w:r>
      <w:r>
        <w:rPr>
          <w:rFonts w:ascii="Verdana" w:eastAsia="Calibri" w:hAnsi="Verdana" w:cs="Arial"/>
          <w:bCs/>
          <w:color w:val="000000" w:themeColor="text1"/>
        </w:rPr>
        <w:t xml:space="preserve"> </w:t>
      </w:r>
      <w:r w:rsidRPr="00FB5FC4">
        <w:rPr>
          <w:rFonts w:ascii="Verdana" w:eastAsia="Calibri" w:hAnsi="Verdana" w:cs="Arial"/>
          <w:color w:val="000000"/>
          <w:lang w:val="es-ES_tradnl"/>
        </w:rPr>
        <w:t>artículo 11 de la Ley 1150 de 2007</w:t>
      </w:r>
      <w:r>
        <w:rPr>
          <w:rFonts w:ascii="Verdana" w:eastAsia="Calibri" w:hAnsi="Verdana" w:cs="Arial"/>
          <w:color w:val="000000"/>
          <w:lang w:val="es-ES_tradnl"/>
        </w:rPr>
        <w:t xml:space="preserve"> no es trasladable </w:t>
      </w:r>
      <w:r w:rsidRPr="008D3994">
        <w:rPr>
          <w:rFonts w:ascii="Verdana" w:eastAsia="Calibri" w:hAnsi="Verdana" w:cs="Arial"/>
          <w:i/>
          <w:iCs/>
          <w:color w:val="000000"/>
          <w:lang w:val="es-ES_tradnl"/>
        </w:rPr>
        <w:t>mutatis mutandis</w:t>
      </w:r>
      <w:r>
        <w:rPr>
          <w:rFonts w:ascii="Verdana" w:eastAsia="Calibri" w:hAnsi="Verdana" w:cs="Arial"/>
          <w:color w:val="000000"/>
          <w:lang w:val="es-ES_tradnl"/>
        </w:rPr>
        <w:t xml:space="preserve"> a la declaratoria de incumplimiento del artículo 86 de la Ley 1474 de 2011. La posibilidad de solicitar la liquidación judicial dentro del término de caducidad del medio de control de controversias contractuales se origina en el incumplimiento de los plazos previstos para hacerlo bilateral o unilateralmente. Si el trámite inicia oportunamente, la liquidación judicial es innecesaria por sustracción de materia. Sin embargo, lo que propone la postura jurisprudencial en comento es que, después de iniciar el procedimiento sancionatorio, el contratista pueda solicitar una “tutela anticipatoria” durante el trámite para paralizar los efectos de la actuación administrativa. </w:t>
      </w:r>
      <w:r>
        <w:rPr>
          <w:rFonts w:ascii="Verdana" w:hAnsi="Verdana" w:cs="Arial"/>
          <w:iCs/>
          <w:color w:val="000000" w:themeColor="text1"/>
        </w:rPr>
        <w:t xml:space="preserve"> </w:t>
      </w:r>
    </w:p>
    <w:p w14:paraId="4DDF7F04" w14:textId="77777777" w:rsidR="002876A0" w:rsidRDefault="002876A0" w:rsidP="002876A0">
      <w:pPr>
        <w:spacing w:after="120" w:line="276" w:lineRule="auto"/>
        <w:jc w:val="both"/>
      </w:pPr>
      <w:r>
        <w:rPr>
          <w:rFonts w:ascii="Verdana" w:hAnsi="Verdana" w:cs="Arial"/>
          <w:iCs/>
          <w:color w:val="000000" w:themeColor="text1"/>
        </w:rPr>
        <w:tab/>
        <w:t xml:space="preserve">Sin perjuicio de lo anterior, vale la pena considerar que la postura de la decisión adoptada el 17 de junio de 2024 no se encuentra unificada en los términos del artículo 270 de la Ley 1437 de 2011, por lo que no surge el deber de aplicación uniforme de que trata el artículo 10 </w:t>
      </w:r>
      <w:r w:rsidRPr="00CD1E9C">
        <w:rPr>
          <w:rFonts w:ascii="Verdana" w:hAnsi="Verdana" w:cs="Arial"/>
          <w:i/>
          <w:color w:val="000000" w:themeColor="text1"/>
        </w:rPr>
        <w:t>ibidem</w:t>
      </w:r>
      <w:r>
        <w:rPr>
          <w:rStyle w:val="Refdenotaalpie"/>
          <w:rFonts w:ascii="Verdana" w:hAnsi="Verdana" w:cs="Arial"/>
          <w:i/>
          <w:color w:val="000000" w:themeColor="text1"/>
        </w:rPr>
        <w:footnoteReference w:id="12"/>
      </w:r>
      <w:r>
        <w:rPr>
          <w:rFonts w:ascii="Verdana" w:hAnsi="Verdana" w:cs="Arial"/>
          <w:iCs/>
          <w:color w:val="000000" w:themeColor="text1"/>
        </w:rPr>
        <w:t>. En este contexto, la Sentencia de la Subsección B de la Sección Tercera del Consejo de Estado tiene efectos de cosa juzgada en el proceso en que se expidió, sin que esta pauta interpretativa sea vinculante para los demás jueces de la república.</w:t>
      </w:r>
      <w:r>
        <w:t xml:space="preserve"> </w:t>
      </w:r>
    </w:p>
    <w:p w14:paraId="12188FB4" w14:textId="77777777" w:rsidR="002876A0" w:rsidRPr="00042DD7" w:rsidRDefault="002876A0" w:rsidP="002876A0">
      <w:pPr>
        <w:spacing w:after="0" w:line="276" w:lineRule="auto"/>
        <w:ind w:firstLine="708"/>
        <w:jc w:val="both"/>
      </w:pPr>
      <w:r>
        <w:rPr>
          <w:rFonts w:ascii="Verdana" w:hAnsi="Verdana" w:cs="Arial"/>
          <w:iCs/>
          <w:color w:val="000000" w:themeColor="text1"/>
        </w:rPr>
        <w:t>Ello es congruente con el artículo 17 del Código Civil, ya que “</w:t>
      </w:r>
      <w:r w:rsidRPr="001344F9">
        <w:rPr>
          <w:rFonts w:ascii="Verdana" w:hAnsi="Verdana" w:cs="Arial"/>
          <w:iCs/>
          <w:color w:val="000000" w:themeColor="text1"/>
        </w:rPr>
        <w:t>Las sentencias judiciales no tienen fuerza obligatoria sino respecto de las causas en que fueron pronunciadas. Es, por tanto, prohibido a los jueces proveer en los negocios de su competencia por vía de disposición general o reglamentaria</w:t>
      </w:r>
      <w:r>
        <w:rPr>
          <w:rFonts w:ascii="Verdana" w:hAnsi="Verdana" w:cs="Arial"/>
          <w:iCs/>
          <w:color w:val="000000" w:themeColor="text1"/>
        </w:rPr>
        <w:t>”</w:t>
      </w:r>
      <w:r w:rsidRPr="00042DD7">
        <w:rPr>
          <w:rStyle w:val="Refdenotaalpie"/>
          <w:rFonts w:ascii="Verdana" w:hAnsi="Verdana" w:cs="Arial"/>
          <w:iCs/>
          <w:color w:val="000000" w:themeColor="text1"/>
          <w:sz w:val="21"/>
          <w:szCs w:val="21"/>
        </w:rPr>
        <w:t xml:space="preserve"> </w:t>
      </w:r>
      <w:r w:rsidRPr="001344F9">
        <w:rPr>
          <w:rStyle w:val="Refdenotaalpie"/>
          <w:rFonts w:ascii="Verdana" w:hAnsi="Verdana" w:cs="Arial"/>
          <w:iCs/>
          <w:color w:val="000000" w:themeColor="text1"/>
          <w:sz w:val="21"/>
          <w:szCs w:val="21"/>
        </w:rPr>
        <w:footnoteReference w:id="13"/>
      </w:r>
      <w:r w:rsidRPr="001344F9">
        <w:rPr>
          <w:rFonts w:ascii="Verdana" w:hAnsi="Verdana" w:cs="Arial"/>
          <w:iCs/>
          <w:color w:val="000000" w:themeColor="text1"/>
        </w:rPr>
        <w:t>.</w:t>
      </w:r>
      <w:r>
        <w:rPr>
          <w:rFonts w:ascii="Verdana" w:hAnsi="Verdana" w:cs="Arial"/>
          <w:iCs/>
          <w:color w:val="000000" w:themeColor="text1"/>
        </w:rPr>
        <w:t xml:space="preserve"> Por tanto, al no ser una pauta obligatoria, la Agencia sostiene la necesidad de analizar </w:t>
      </w:r>
      <w:r>
        <w:rPr>
          <w:rFonts w:ascii="Verdana" w:eastAsia="Calibri" w:hAnsi="Verdana" w:cs="Arial"/>
          <w:bCs/>
          <w:color w:val="000000" w:themeColor="text1"/>
        </w:rPr>
        <w:t>el tema objeto de consulta bajo el filtro del principio de legalidad, admitiendo la pérdida de competencia o la suspensión de los procedimientos únicamente en los casos expresamente regulados por las disposiciones vigentes.</w:t>
      </w:r>
      <w:r>
        <w:rPr>
          <w:rFonts w:ascii="Verdana" w:hAnsi="Verdana" w:cs="Arial"/>
          <w:iCs/>
          <w:color w:val="000000" w:themeColor="text1"/>
        </w:rPr>
        <w:t xml:space="preserve"> </w:t>
      </w:r>
    </w:p>
    <w:p w14:paraId="534D984C" w14:textId="77777777" w:rsidR="002876A0" w:rsidRDefault="002876A0" w:rsidP="002876A0">
      <w:pPr>
        <w:spacing w:after="0" w:line="276" w:lineRule="auto"/>
        <w:jc w:val="both"/>
        <w:rPr>
          <w:rFonts w:ascii="Verdana" w:hAnsi="Verdana" w:cs="Arial"/>
          <w:iCs/>
          <w:color w:val="000000" w:themeColor="text1"/>
        </w:rPr>
      </w:pPr>
    </w:p>
    <w:p w14:paraId="62D88661" w14:textId="77777777" w:rsidR="002876A0" w:rsidRDefault="002876A0" w:rsidP="002876A0">
      <w:pPr>
        <w:widowControl w:val="0"/>
        <w:autoSpaceDE w:val="0"/>
        <w:autoSpaceDN w:val="0"/>
        <w:spacing w:after="120" w:line="276" w:lineRule="auto"/>
        <w:jc w:val="both"/>
        <w:rPr>
          <w:rFonts w:ascii="Verdana" w:hAnsi="Verdana" w:cs="Arial"/>
        </w:rPr>
      </w:pPr>
      <w:r>
        <w:rPr>
          <w:rFonts w:ascii="Verdana" w:hAnsi="Verdana" w:cs="Arial"/>
          <w:iCs/>
          <w:color w:val="000000" w:themeColor="text1"/>
        </w:rPr>
        <w:t xml:space="preserve">v. Finalmente, </w:t>
      </w:r>
      <w:r w:rsidRPr="006759B0">
        <w:rPr>
          <w:rFonts w:ascii="Verdana" w:hAnsi="Verdana" w:cs="Arial"/>
        </w:rPr>
        <w:t>debe advertirse que el análisis requerido para</w:t>
      </w:r>
      <w:r w:rsidRPr="00016280">
        <w:rPr>
          <w:rFonts w:ascii="Verdana" w:hAnsi="Verdana" w:cs="Arial"/>
        </w:rPr>
        <w:t xml:space="preserve"> </w:t>
      </w:r>
      <w:r>
        <w:rPr>
          <w:rFonts w:ascii="Verdana" w:hAnsi="Verdana" w:cs="Arial"/>
        </w:rPr>
        <w:t>“[…] tomar decisiones de fondo […]”</w:t>
      </w:r>
      <w:r w:rsidRPr="006759B0">
        <w:rPr>
          <w:rFonts w:ascii="Verdana" w:hAnsi="Verdana" w:cs="Arial"/>
        </w:rPr>
        <w:t xml:space="preserve"> </w:t>
      </w:r>
      <w:r>
        <w:rPr>
          <w:rFonts w:ascii="Verdana" w:hAnsi="Verdana" w:cs="Arial"/>
        </w:rPr>
        <w:t xml:space="preserve">debe </w:t>
      </w:r>
      <w:r w:rsidRPr="006759B0">
        <w:rPr>
          <w:rFonts w:ascii="Verdana" w:hAnsi="Verdana" w:cs="Arial"/>
        </w:rPr>
        <w:t xml:space="preserve">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 xml:space="preserve">consulta.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27A83139" w14:textId="77777777" w:rsidR="002876A0" w:rsidRPr="008A4AEC" w:rsidRDefault="002876A0" w:rsidP="002876A0">
      <w:pPr>
        <w:widowControl w:val="0"/>
        <w:autoSpaceDE w:val="0"/>
        <w:autoSpaceDN w:val="0"/>
        <w:spacing w:after="0" w:line="276" w:lineRule="auto"/>
        <w:ind w:firstLine="708"/>
        <w:jc w:val="both"/>
        <w:rPr>
          <w:rFonts w:ascii="Verdana" w:hAnsi="Verdana" w:cs="Arial"/>
        </w:rPr>
      </w:pP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xml:space="preserve">. Al tratarse de un análisis que debe realizarse en el procedimiento contractual específico, la Agencia </w:t>
      </w:r>
      <w:r>
        <w:rPr>
          <w:rFonts w:ascii="Verdana" w:hAnsi="Verdana" w:cs="Arial"/>
        </w:rPr>
        <w:t>sólo</w:t>
      </w:r>
      <w:r w:rsidRPr="001E3FCB">
        <w:rPr>
          <w:rFonts w:ascii="Verdana" w:hAnsi="Verdana" w:cs="Arial"/>
        </w:rPr>
        <w:t xml:space="preserv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7A752674" w14:textId="77777777" w:rsidR="002876A0" w:rsidRPr="00042DD7" w:rsidRDefault="002876A0" w:rsidP="002876A0">
      <w:pPr>
        <w:spacing w:after="0" w:line="276" w:lineRule="auto"/>
        <w:jc w:val="both"/>
        <w:rPr>
          <w:rFonts w:ascii="Verdana" w:eastAsia="Times New Roman" w:hAnsi="Verdana" w:cs="Arial"/>
          <w:color w:val="000000" w:themeColor="text1"/>
          <w:lang w:val="es-ES" w:eastAsia="es-CO"/>
        </w:rPr>
      </w:pPr>
    </w:p>
    <w:p w14:paraId="7B512CAB" w14:textId="77777777" w:rsidR="002876A0" w:rsidRPr="00593A5F" w:rsidRDefault="002876A0" w:rsidP="002876A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42B9820" w14:textId="77777777" w:rsidR="002876A0" w:rsidRPr="00593A5F" w:rsidRDefault="002876A0" w:rsidP="002876A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876A0" w:rsidRPr="002407CE" w14:paraId="118B976F" w14:textId="77777777" w:rsidTr="00740954">
        <w:trPr>
          <w:trHeight w:val="870"/>
          <w:jc w:val="center"/>
        </w:trPr>
        <w:tc>
          <w:tcPr>
            <w:tcW w:w="8647" w:type="dxa"/>
          </w:tcPr>
          <w:p w14:paraId="4777F524" w14:textId="77777777" w:rsidR="002876A0" w:rsidRDefault="002876A0" w:rsidP="002876A0">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Constitución Política de 1991, artículo 29.</w:t>
            </w:r>
          </w:p>
          <w:p w14:paraId="6004471C" w14:textId="77777777" w:rsidR="002876A0" w:rsidRPr="004E461B" w:rsidRDefault="002876A0" w:rsidP="00740954">
            <w:pPr>
              <w:pStyle w:val="Prrafodelista"/>
              <w:widowControl w:val="0"/>
              <w:autoSpaceDE w:val="0"/>
              <w:autoSpaceDN w:val="0"/>
              <w:spacing w:line="276" w:lineRule="auto"/>
              <w:jc w:val="both"/>
              <w:rPr>
                <w:rFonts w:ascii="Verdana" w:hAnsi="Verdana" w:cs="Arial"/>
                <w:sz w:val="12"/>
                <w:szCs w:val="12"/>
              </w:rPr>
            </w:pPr>
          </w:p>
          <w:p w14:paraId="1F28DFA1" w14:textId="77777777" w:rsidR="002876A0" w:rsidRDefault="002876A0" w:rsidP="002876A0">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Código Civil, artículo 17.</w:t>
            </w:r>
          </w:p>
          <w:p w14:paraId="7E17F0E3" w14:textId="77777777" w:rsidR="002876A0" w:rsidRPr="004E461B" w:rsidRDefault="002876A0" w:rsidP="00740954">
            <w:pPr>
              <w:widowControl w:val="0"/>
              <w:autoSpaceDE w:val="0"/>
              <w:autoSpaceDN w:val="0"/>
              <w:spacing w:line="276" w:lineRule="auto"/>
              <w:jc w:val="both"/>
              <w:rPr>
                <w:rFonts w:ascii="Verdana" w:hAnsi="Verdana" w:cs="Arial"/>
                <w:sz w:val="12"/>
                <w:szCs w:val="12"/>
              </w:rPr>
            </w:pPr>
          </w:p>
          <w:p w14:paraId="778126A7" w14:textId="77777777" w:rsidR="002876A0" w:rsidRDefault="002876A0" w:rsidP="002876A0">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Ley 80 de 1993, artículo 77. </w:t>
            </w:r>
          </w:p>
          <w:p w14:paraId="30B4CDFA" w14:textId="77777777" w:rsidR="002876A0" w:rsidRPr="00B478FA" w:rsidRDefault="002876A0" w:rsidP="00740954">
            <w:pPr>
              <w:pStyle w:val="Prrafodelista"/>
              <w:widowControl w:val="0"/>
              <w:autoSpaceDE w:val="0"/>
              <w:autoSpaceDN w:val="0"/>
              <w:spacing w:line="276" w:lineRule="auto"/>
              <w:jc w:val="both"/>
              <w:rPr>
                <w:rFonts w:ascii="Verdana" w:hAnsi="Verdana" w:cs="Arial"/>
                <w:sz w:val="12"/>
                <w:szCs w:val="12"/>
              </w:rPr>
            </w:pPr>
          </w:p>
          <w:p w14:paraId="234ECCA9" w14:textId="77777777" w:rsidR="002876A0" w:rsidRDefault="002876A0" w:rsidP="002876A0">
            <w:pPr>
              <w:pStyle w:val="Prrafodelista"/>
              <w:widowControl w:val="0"/>
              <w:numPr>
                <w:ilvl w:val="0"/>
                <w:numId w:val="17"/>
              </w:numPr>
              <w:autoSpaceDE w:val="0"/>
              <w:autoSpaceDN w:val="0"/>
              <w:spacing w:line="276" w:lineRule="auto"/>
              <w:jc w:val="both"/>
              <w:rPr>
                <w:rFonts w:ascii="Verdana" w:hAnsi="Verdana" w:cs="Arial"/>
              </w:rPr>
            </w:pPr>
            <w:r w:rsidRPr="00EA612E">
              <w:rPr>
                <w:rFonts w:ascii="Verdana" w:hAnsi="Verdana" w:cs="Arial"/>
              </w:rPr>
              <w:t>Ley 1150 de 2007, artículo</w:t>
            </w:r>
            <w:r>
              <w:rPr>
                <w:rFonts w:ascii="Verdana" w:hAnsi="Verdana" w:cs="Arial"/>
              </w:rPr>
              <w:t>s</w:t>
            </w:r>
            <w:r w:rsidRPr="00EA612E">
              <w:rPr>
                <w:rFonts w:ascii="Verdana" w:hAnsi="Verdana" w:cs="Arial"/>
              </w:rPr>
              <w:t xml:space="preserve"> </w:t>
            </w:r>
            <w:r>
              <w:rPr>
                <w:rFonts w:ascii="Verdana" w:hAnsi="Verdana" w:cs="Arial"/>
              </w:rPr>
              <w:t>11 y 17</w:t>
            </w:r>
            <w:r w:rsidRPr="00EA612E">
              <w:rPr>
                <w:rFonts w:ascii="Verdana" w:hAnsi="Verdana" w:cs="Arial"/>
              </w:rPr>
              <w:t xml:space="preserve">. </w:t>
            </w:r>
          </w:p>
          <w:p w14:paraId="210E24E5" w14:textId="77777777" w:rsidR="002876A0" w:rsidRPr="00B478FA" w:rsidRDefault="002876A0" w:rsidP="00740954">
            <w:pPr>
              <w:widowControl w:val="0"/>
              <w:autoSpaceDE w:val="0"/>
              <w:autoSpaceDN w:val="0"/>
              <w:spacing w:line="276" w:lineRule="auto"/>
              <w:jc w:val="both"/>
              <w:rPr>
                <w:rFonts w:ascii="Verdana" w:hAnsi="Verdana" w:cs="Arial"/>
                <w:sz w:val="12"/>
                <w:szCs w:val="12"/>
              </w:rPr>
            </w:pPr>
          </w:p>
          <w:p w14:paraId="36AA3331" w14:textId="77777777" w:rsidR="002876A0" w:rsidRPr="004E461B" w:rsidRDefault="002876A0" w:rsidP="002876A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w:t>
            </w:r>
            <w:r w:rsidRPr="00EA612E">
              <w:rPr>
                <w:rFonts w:ascii="Verdana" w:hAnsi="Verdana" w:cs="Arial"/>
              </w:rPr>
              <w:t>, artículos</w:t>
            </w:r>
            <w:r>
              <w:rPr>
                <w:rFonts w:ascii="Verdana" w:hAnsi="Verdana" w:cs="Arial"/>
              </w:rPr>
              <w:t xml:space="preserve"> 2, 3.1, 10, 47, 141 y 270</w:t>
            </w:r>
            <w:r w:rsidRPr="00EA612E">
              <w:rPr>
                <w:rFonts w:ascii="Verdana" w:hAnsi="Verdana" w:cs="Arial"/>
              </w:rPr>
              <w:t>.</w:t>
            </w:r>
          </w:p>
          <w:p w14:paraId="3A7ABC03" w14:textId="77777777" w:rsidR="002876A0" w:rsidRPr="001D733B" w:rsidRDefault="002876A0" w:rsidP="002876A0">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Ley 1474 de 2011, artículo 86</w:t>
            </w:r>
          </w:p>
        </w:tc>
      </w:tr>
    </w:tbl>
    <w:p w14:paraId="333D36B8" w14:textId="77777777" w:rsidR="002876A0" w:rsidRPr="002407CE" w:rsidRDefault="002876A0" w:rsidP="002876A0">
      <w:pPr>
        <w:widowControl w:val="0"/>
        <w:autoSpaceDE w:val="0"/>
        <w:autoSpaceDN w:val="0"/>
        <w:spacing w:after="0" w:line="276" w:lineRule="auto"/>
        <w:jc w:val="both"/>
        <w:rPr>
          <w:rFonts w:ascii="Verdana" w:hAnsi="Verdana" w:cs="Arial"/>
        </w:rPr>
      </w:pPr>
    </w:p>
    <w:p w14:paraId="4E690FED" w14:textId="77777777" w:rsidR="002876A0" w:rsidRPr="00593A5F" w:rsidRDefault="002876A0" w:rsidP="002876A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F94E432" w14:textId="77777777" w:rsidR="002876A0" w:rsidRPr="00593A5F" w:rsidRDefault="002876A0" w:rsidP="002876A0">
      <w:pPr>
        <w:widowControl w:val="0"/>
        <w:autoSpaceDE w:val="0"/>
        <w:autoSpaceDN w:val="0"/>
        <w:spacing w:after="0" w:line="276" w:lineRule="auto"/>
        <w:jc w:val="both"/>
        <w:rPr>
          <w:rFonts w:ascii="Verdana" w:hAnsi="Verdana" w:cs="Arial"/>
        </w:rPr>
      </w:pPr>
    </w:p>
    <w:p w14:paraId="7E03179E" w14:textId="77777777" w:rsidR="002876A0" w:rsidRDefault="002876A0" w:rsidP="002876A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sidRPr="00916093">
        <w:rPr>
          <w:rStyle w:val="normaltextrun"/>
          <w:rFonts w:ascii="Verdana" w:hAnsi="Verdana" w:cs="Arial"/>
          <w:shd w:val="clear" w:color="auto" w:fill="FFFFFF"/>
          <w:lang w:val="es-ES"/>
        </w:rPr>
        <w:t xml:space="preserve">la potestad sancionatoria de las Entidades Estatales y el procedimiento administrativo que deben efectuar para declarar el incumplimiento y aplicar las sanciones correspondientes, destacando la necesidad de garantizar el debido proceso, en los </w:t>
      </w:r>
      <w:r>
        <w:rPr>
          <w:rStyle w:val="normaltextrun"/>
          <w:rFonts w:ascii="Verdana" w:hAnsi="Verdana" w:cs="Arial"/>
          <w:shd w:val="clear" w:color="auto" w:fill="FFFFFF"/>
          <w:lang w:val="es-ES"/>
        </w:rPr>
        <w:t>C</w:t>
      </w:r>
      <w:r w:rsidRPr="00916093">
        <w:rPr>
          <w:rStyle w:val="normaltextrun"/>
          <w:rFonts w:ascii="Verdana" w:hAnsi="Verdana" w:cs="Arial"/>
          <w:shd w:val="clear" w:color="auto" w:fill="FFFFFF"/>
          <w:lang w:val="es-ES"/>
        </w:rPr>
        <w:t>onceptos C-147 del 17 de marzo de 2020, C-219 del 29 de abril de 2020, C-434 del 29 de julio de 2020, C-569 del 31 de agosto de 2020, C-641 del 4 de noviembre de 2020, C-060 del 8 de marzo de 2021, C-528 del 5 de abril de 2021, C-420 del 25 de agosto de 2022, C- 720 del 25 de enero de 2022, C-085 del 29 de abril  de 2022 C-125 del 23 de marzo de 2022, C-195 del 12 de abril de 2022, C-208 del 26 de abril de 2022, C-238 del 27 de abril de 2022, C-866 del 20 de diciembre de 2022, C-034 de 09 de marzo de 2023, C-140 del 13 de junio de 2023</w:t>
      </w:r>
      <w:r>
        <w:rPr>
          <w:rStyle w:val="normaltextrun"/>
          <w:rFonts w:ascii="Verdana" w:hAnsi="Verdana" w:cs="Arial"/>
          <w:shd w:val="clear" w:color="auto" w:fill="FFFFFF"/>
          <w:lang w:val="es-ES"/>
        </w:rPr>
        <w:t xml:space="preserve">, </w:t>
      </w:r>
      <w:r w:rsidRPr="00916093">
        <w:rPr>
          <w:rStyle w:val="normaltextrun"/>
          <w:rFonts w:ascii="Verdana" w:hAnsi="Verdana" w:cs="Arial"/>
          <w:shd w:val="clear" w:color="auto" w:fill="FFFFFF"/>
          <w:lang w:val="es-ES"/>
        </w:rPr>
        <w:t>C-227 del 07 de julio del 2023</w:t>
      </w:r>
      <w:r>
        <w:rPr>
          <w:rStyle w:val="normaltextrun"/>
          <w:rFonts w:ascii="Verdana" w:hAnsi="Verdana" w:cs="Arial"/>
          <w:shd w:val="clear" w:color="auto" w:fill="FFFFFF"/>
          <w:lang w:val="es-ES"/>
        </w:rPr>
        <w:t xml:space="preserve"> y C-047 del 25 de abril de 2024</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57AE1736" w14:textId="77777777" w:rsidR="002876A0" w:rsidRDefault="002876A0" w:rsidP="002876A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CBD548C" w14:textId="77777777" w:rsidR="002876A0" w:rsidRPr="00A1554D" w:rsidRDefault="002876A0" w:rsidP="002876A0">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6616836" w14:textId="77777777" w:rsidR="002876A0" w:rsidRPr="00593A5F" w:rsidRDefault="002876A0" w:rsidP="002876A0">
      <w:pPr>
        <w:widowControl w:val="0"/>
        <w:autoSpaceDE w:val="0"/>
        <w:autoSpaceDN w:val="0"/>
        <w:spacing w:after="0" w:line="276" w:lineRule="auto"/>
        <w:jc w:val="both"/>
        <w:rPr>
          <w:rFonts w:ascii="Verdana" w:hAnsi="Verdana" w:cs="Arial"/>
        </w:rPr>
      </w:pPr>
    </w:p>
    <w:p w14:paraId="31E7A1EE" w14:textId="77777777" w:rsidR="002876A0" w:rsidRPr="00593A5F" w:rsidRDefault="002876A0" w:rsidP="002876A0">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E3BF7C9" w14:textId="77777777" w:rsidR="002876A0" w:rsidRPr="00593A5F" w:rsidRDefault="002876A0" w:rsidP="002876A0">
      <w:pPr>
        <w:widowControl w:val="0"/>
        <w:autoSpaceDE w:val="0"/>
        <w:autoSpaceDN w:val="0"/>
        <w:spacing w:after="0" w:line="276" w:lineRule="auto"/>
        <w:jc w:val="both"/>
        <w:rPr>
          <w:rFonts w:ascii="Verdana" w:hAnsi="Verdana" w:cs="Arial"/>
        </w:rPr>
      </w:pPr>
    </w:p>
    <w:p w14:paraId="7D9DA911" w14:textId="77777777" w:rsidR="002876A0" w:rsidRPr="00593A5F" w:rsidRDefault="002876A0" w:rsidP="002876A0">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46BE338" w14:textId="5BB4CFF7" w:rsidR="002876A0" w:rsidRPr="00593A5F" w:rsidRDefault="000220CD" w:rsidP="002876A0">
      <w:pPr>
        <w:spacing w:line="276" w:lineRule="auto"/>
        <w:jc w:val="center"/>
        <w:rPr>
          <w:rFonts w:ascii="Verdana" w:hAnsi="Verdana" w:cs="Arial"/>
          <w:color w:val="000000"/>
          <w:lang w:val="es-ES_tradnl" w:eastAsia="es-CO"/>
        </w:rPr>
      </w:pPr>
      <w:r>
        <w:rPr>
          <w:noProof/>
        </w:rPr>
        <w:drawing>
          <wp:inline distT="0" distB="0" distL="0" distR="0" wp14:anchorId="429B1451" wp14:editId="52673C3E">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876A0" w:rsidRPr="00593A5F" w14:paraId="610C058E" w14:textId="77777777" w:rsidTr="00740954">
        <w:trPr>
          <w:trHeight w:val="315"/>
        </w:trPr>
        <w:tc>
          <w:tcPr>
            <w:tcW w:w="893" w:type="dxa"/>
            <w:vAlign w:val="center"/>
            <w:hideMark/>
          </w:tcPr>
          <w:p w14:paraId="59F8A080" w14:textId="77777777" w:rsidR="002876A0" w:rsidRPr="003751C7" w:rsidRDefault="002876A0" w:rsidP="0074095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324171" w14:textId="77777777" w:rsidR="002876A0" w:rsidRPr="00254A7A" w:rsidRDefault="002876A0" w:rsidP="00740954">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D0557F4" w14:textId="77777777" w:rsidR="002876A0" w:rsidRPr="00254A7A" w:rsidRDefault="002876A0" w:rsidP="00740954">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2876A0" w:rsidRPr="00593A5F" w14:paraId="2CDA1C7C" w14:textId="77777777" w:rsidTr="00740954">
        <w:trPr>
          <w:trHeight w:val="330"/>
        </w:trPr>
        <w:tc>
          <w:tcPr>
            <w:tcW w:w="893" w:type="dxa"/>
            <w:vAlign w:val="center"/>
            <w:hideMark/>
          </w:tcPr>
          <w:p w14:paraId="253DF13A" w14:textId="77777777" w:rsidR="002876A0" w:rsidRPr="003751C7" w:rsidRDefault="002876A0" w:rsidP="0074095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45C1356" w14:textId="77777777" w:rsidR="002876A0" w:rsidRPr="00254A7A" w:rsidRDefault="002876A0" w:rsidP="00740954">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6B5EBF34" w14:textId="77777777" w:rsidR="002876A0" w:rsidRPr="00254A7A" w:rsidRDefault="002876A0" w:rsidP="00740954">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2876A0" w:rsidRPr="00593A5F" w14:paraId="0059E495" w14:textId="77777777" w:rsidTr="00740954">
        <w:trPr>
          <w:trHeight w:val="300"/>
        </w:trPr>
        <w:tc>
          <w:tcPr>
            <w:tcW w:w="893" w:type="dxa"/>
            <w:vAlign w:val="center"/>
          </w:tcPr>
          <w:p w14:paraId="46839EC8" w14:textId="77777777" w:rsidR="002876A0" w:rsidRPr="003751C7" w:rsidRDefault="002876A0" w:rsidP="0074095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26F4169" w14:textId="77777777" w:rsidR="002876A0" w:rsidRPr="003751C7" w:rsidRDefault="002876A0" w:rsidP="00740954">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12D426B" w14:textId="77777777" w:rsidR="002876A0" w:rsidRPr="003751C7" w:rsidRDefault="002876A0" w:rsidP="00740954">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13A2D636" w14:textId="77777777" w:rsidR="002876A0" w:rsidRPr="00593A5F" w:rsidRDefault="002876A0" w:rsidP="002876A0">
      <w:pPr>
        <w:spacing w:after="0" w:line="240" w:lineRule="auto"/>
        <w:rPr>
          <w:rFonts w:ascii="Verdana" w:eastAsia="Times New Roman" w:hAnsi="Verdana" w:cs="Arial"/>
          <w:sz w:val="24"/>
          <w:szCs w:val="24"/>
          <w:lang w:eastAsia="es-ES"/>
        </w:rPr>
      </w:pPr>
    </w:p>
    <w:p w14:paraId="0F293BF4" w14:textId="7BBFAB11" w:rsidR="00127233" w:rsidRPr="007F59F0" w:rsidRDefault="00127233" w:rsidP="007F59F0"/>
    <w:sectPr w:rsidR="00127233" w:rsidRPr="007F59F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1A7253" w14:textId="77777777" w:rsidR="00E46EED" w:rsidRDefault="00E46EED" w:rsidP="004A1847">
      <w:pPr>
        <w:spacing w:after="0" w:line="240" w:lineRule="auto"/>
      </w:pPr>
      <w:r>
        <w:separator/>
      </w:r>
    </w:p>
  </w:endnote>
  <w:endnote w:type="continuationSeparator" w:id="0">
    <w:p w14:paraId="2C513284" w14:textId="77777777" w:rsidR="00E46EED" w:rsidRDefault="00E46EE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038ECE" w14:textId="77777777" w:rsidR="00E46EED" w:rsidRDefault="00E46EED" w:rsidP="004A1847">
      <w:pPr>
        <w:spacing w:after="0" w:line="240" w:lineRule="auto"/>
      </w:pPr>
      <w:r>
        <w:separator/>
      </w:r>
    </w:p>
  </w:footnote>
  <w:footnote w:type="continuationSeparator" w:id="0">
    <w:p w14:paraId="24BD39C4" w14:textId="77777777" w:rsidR="00E46EED" w:rsidRDefault="00E46EED" w:rsidP="004A1847">
      <w:pPr>
        <w:spacing w:after="0" w:line="240" w:lineRule="auto"/>
      </w:pPr>
      <w:r>
        <w:continuationSeparator/>
      </w:r>
    </w:p>
  </w:footnote>
  <w:footnote w:id="1">
    <w:p w14:paraId="4D5E3E40" w14:textId="77777777" w:rsidR="002876A0" w:rsidRPr="00656385" w:rsidRDefault="002876A0" w:rsidP="002876A0">
      <w:pPr>
        <w:pStyle w:val="Textonotapie"/>
        <w:ind w:firstLine="708"/>
        <w:rPr>
          <w:rFonts w:ascii="Verdana" w:hAnsi="Verdana" w:cs="Arial"/>
          <w:sz w:val="16"/>
          <w:szCs w:val="16"/>
        </w:rPr>
      </w:pPr>
      <w:r w:rsidRPr="00656385">
        <w:rPr>
          <w:rStyle w:val="Refdenotaalpie"/>
          <w:rFonts w:ascii="Verdana" w:hAnsi="Verdana" w:cs="Arial"/>
          <w:sz w:val="16"/>
          <w:szCs w:val="16"/>
        </w:rPr>
        <w:footnoteRef/>
      </w:r>
      <w:r w:rsidRPr="00656385">
        <w:rPr>
          <w:rFonts w:ascii="Verdana" w:hAnsi="Verdana" w:cs="Arial"/>
          <w:sz w:val="16"/>
          <w:szCs w:val="16"/>
        </w:rPr>
        <w:t xml:space="preserve"> CORTE CONSTITUCIONAL. Sentencia C-034 de 2014. M.P. María Victoria Calle Correa. </w:t>
      </w:r>
    </w:p>
  </w:footnote>
  <w:footnote w:id="2">
    <w:p w14:paraId="3386EB2D" w14:textId="77777777" w:rsidR="002876A0" w:rsidRPr="00656385" w:rsidRDefault="002876A0" w:rsidP="002876A0">
      <w:pPr>
        <w:pStyle w:val="Textonotapie"/>
        <w:ind w:firstLine="708"/>
        <w:rPr>
          <w:rFonts w:ascii="Verdana" w:hAnsi="Verdana" w:cs="Arial"/>
          <w:sz w:val="16"/>
          <w:szCs w:val="16"/>
        </w:rPr>
      </w:pPr>
      <w:r w:rsidRPr="00656385">
        <w:rPr>
          <w:rStyle w:val="Refdenotaalpie"/>
          <w:rFonts w:ascii="Verdana" w:hAnsi="Verdana" w:cs="Arial"/>
          <w:sz w:val="16"/>
          <w:szCs w:val="16"/>
        </w:rPr>
        <w:footnoteRef/>
      </w:r>
      <w:r w:rsidRPr="00656385">
        <w:rPr>
          <w:rFonts w:ascii="Verdana" w:hAnsi="Verdana" w:cs="Arial"/>
          <w:sz w:val="16"/>
          <w:szCs w:val="16"/>
        </w:rPr>
        <w:t xml:space="preserve">  </w:t>
      </w:r>
      <w:r w:rsidRPr="00656385">
        <w:rPr>
          <w:rFonts w:ascii="Verdana" w:hAnsi="Verdana" w:cs="Arial"/>
          <w:i/>
          <w:iCs/>
          <w:sz w:val="16"/>
          <w:szCs w:val="16"/>
        </w:rPr>
        <w:t>Ib</w:t>
      </w:r>
      <w:r>
        <w:rPr>
          <w:rFonts w:ascii="Verdana" w:hAnsi="Verdana" w:cs="Arial"/>
          <w:i/>
          <w:iCs/>
          <w:sz w:val="16"/>
          <w:szCs w:val="16"/>
        </w:rPr>
        <w:t>i</w:t>
      </w:r>
      <w:r w:rsidRPr="00656385">
        <w:rPr>
          <w:rFonts w:ascii="Verdana" w:hAnsi="Verdana" w:cs="Arial"/>
          <w:i/>
          <w:iCs/>
          <w:sz w:val="16"/>
          <w:szCs w:val="16"/>
        </w:rPr>
        <w:t>dem</w:t>
      </w:r>
      <w:r w:rsidRPr="00656385">
        <w:rPr>
          <w:rFonts w:ascii="Verdana" w:hAnsi="Verdana" w:cs="Arial"/>
          <w:sz w:val="16"/>
          <w:szCs w:val="16"/>
        </w:rPr>
        <w:t xml:space="preserve">. </w:t>
      </w:r>
    </w:p>
  </w:footnote>
  <w:footnote w:id="3">
    <w:p w14:paraId="59F8F397" w14:textId="77777777" w:rsidR="002876A0" w:rsidRPr="00656385" w:rsidRDefault="002876A0" w:rsidP="002876A0">
      <w:pPr>
        <w:pStyle w:val="Textonotapie"/>
        <w:ind w:firstLine="708"/>
        <w:rPr>
          <w:rFonts w:ascii="Verdana" w:hAnsi="Verdana" w:cs="Arial"/>
          <w:sz w:val="16"/>
          <w:szCs w:val="16"/>
        </w:rPr>
      </w:pPr>
      <w:r w:rsidRPr="00656385">
        <w:rPr>
          <w:rStyle w:val="Refdenotaalpie"/>
          <w:rFonts w:ascii="Verdana" w:hAnsi="Verdana" w:cs="Arial"/>
          <w:sz w:val="16"/>
          <w:szCs w:val="16"/>
        </w:rPr>
        <w:footnoteRef/>
      </w:r>
      <w:r w:rsidRPr="00656385">
        <w:rPr>
          <w:rFonts w:ascii="Verdana" w:hAnsi="Verdana" w:cs="Arial"/>
          <w:sz w:val="16"/>
          <w:szCs w:val="16"/>
        </w:rPr>
        <w:t xml:space="preserve"> CORTE CONSTITUCIONAL. Sentencia C-640 de 2002. M.P. Marco Gerardo Monroy Cabra.</w:t>
      </w:r>
    </w:p>
  </w:footnote>
  <w:footnote w:id="4">
    <w:p w14:paraId="3EA5C451" w14:textId="77777777" w:rsidR="002876A0" w:rsidRPr="00656385" w:rsidRDefault="002876A0" w:rsidP="002876A0">
      <w:pPr>
        <w:pStyle w:val="Textonotapie"/>
        <w:ind w:firstLine="708"/>
        <w:jc w:val="both"/>
        <w:rPr>
          <w:rFonts w:ascii="Verdana" w:hAnsi="Verdana" w:cs="Arial"/>
          <w:sz w:val="16"/>
          <w:szCs w:val="16"/>
        </w:rPr>
      </w:pPr>
      <w:r w:rsidRPr="00656385">
        <w:rPr>
          <w:rStyle w:val="Refdenotaalpie"/>
          <w:rFonts w:ascii="Verdana" w:hAnsi="Verdana" w:cs="Arial"/>
          <w:sz w:val="16"/>
          <w:szCs w:val="16"/>
        </w:rPr>
        <w:footnoteRef/>
      </w:r>
      <w:r w:rsidRPr="00656385">
        <w:rPr>
          <w:rFonts w:ascii="Verdana" w:hAnsi="Verdana" w:cs="Arial"/>
          <w:sz w:val="16"/>
          <w:szCs w:val="16"/>
        </w:rPr>
        <w:t xml:space="preserve"> El artículo 17, inciso primero, de la Ley 1150 de 2007 dispone lo siguiente: </w:t>
      </w:r>
      <w:r>
        <w:rPr>
          <w:rFonts w:ascii="Verdana" w:hAnsi="Verdana" w:cs="Arial"/>
          <w:sz w:val="16"/>
          <w:szCs w:val="16"/>
        </w:rPr>
        <w:t>“</w:t>
      </w:r>
      <w:r w:rsidRPr="00656385">
        <w:rPr>
          <w:rFonts w:ascii="Verdana" w:hAnsi="Verdana" w:cs="Arial"/>
          <w:sz w:val="16"/>
          <w:szCs w:val="16"/>
        </w:rPr>
        <w:t>El debido proceso será un principio rector en materia sancionatoria de las actuaciones contractuales. 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footnote>
  <w:footnote w:id="5">
    <w:p w14:paraId="786936CE" w14:textId="77777777" w:rsidR="002876A0" w:rsidRPr="00656385" w:rsidRDefault="002876A0" w:rsidP="002876A0">
      <w:pPr>
        <w:pStyle w:val="Textonotapie"/>
        <w:ind w:firstLine="708"/>
        <w:rPr>
          <w:rStyle w:val="Refdenotaalpie"/>
          <w:rFonts w:ascii="Verdana" w:hAnsi="Verdana" w:cs="Arial"/>
          <w:sz w:val="16"/>
          <w:szCs w:val="16"/>
        </w:rPr>
      </w:pPr>
      <w:r w:rsidRPr="00656385">
        <w:rPr>
          <w:rStyle w:val="Refdenotaalpie"/>
          <w:rFonts w:ascii="Verdana" w:hAnsi="Verdana" w:cs="Arial"/>
          <w:sz w:val="16"/>
          <w:szCs w:val="16"/>
        </w:rPr>
        <w:footnoteRef/>
      </w:r>
      <w:r w:rsidRPr="00656385">
        <w:rPr>
          <w:rStyle w:val="Refdenotaalpie"/>
          <w:rFonts w:ascii="Verdana" w:hAnsi="Verdana" w:cs="Arial"/>
          <w:sz w:val="16"/>
          <w:szCs w:val="16"/>
        </w:rPr>
        <w:t xml:space="preserve">  </w:t>
      </w:r>
      <w:r w:rsidRPr="00656385">
        <w:rPr>
          <w:rFonts w:ascii="Verdana" w:hAnsi="Verdana" w:cs="Arial"/>
          <w:sz w:val="16"/>
          <w:szCs w:val="16"/>
        </w:rPr>
        <w:t xml:space="preserve">CONSEJO DE ESTADO. Sección Tercera. Subsección B. Sentencia de 30 de enero de 2013. Exp. 24.743. C.P. Danilo Rojas Betancourth. </w:t>
      </w:r>
    </w:p>
  </w:footnote>
  <w:footnote w:id="6">
    <w:p w14:paraId="776885CD" w14:textId="77777777" w:rsidR="002876A0" w:rsidRPr="00656385" w:rsidRDefault="002876A0" w:rsidP="002876A0">
      <w:pPr>
        <w:pStyle w:val="Textonotapie"/>
        <w:ind w:firstLine="708"/>
        <w:rPr>
          <w:rFonts w:ascii="Verdana" w:hAnsi="Verdana" w:cs="Arial"/>
          <w:sz w:val="16"/>
          <w:szCs w:val="16"/>
        </w:rPr>
      </w:pPr>
      <w:r w:rsidRPr="00656385">
        <w:rPr>
          <w:rStyle w:val="Refdenotaalpie"/>
          <w:rFonts w:ascii="Verdana" w:hAnsi="Verdana" w:cs="Arial"/>
          <w:sz w:val="16"/>
          <w:szCs w:val="16"/>
        </w:rPr>
        <w:footnoteRef/>
      </w:r>
      <w:r w:rsidRPr="00656385">
        <w:rPr>
          <w:rFonts w:ascii="Verdana" w:hAnsi="Verdana" w:cs="Arial"/>
          <w:sz w:val="16"/>
          <w:szCs w:val="16"/>
        </w:rPr>
        <w:t xml:space="preserve"> </w:t>
      </w:r>
      <w:r w:rsidRPr="00656385">
        <w:rPr>
          <w:rFonts w:ascii="Verdana" w:hAnsi="Verdana" w:cs="Arial"/>
          <w:i/>
          <w:iCs/>
          <w:sz w:val="16"/>
          <w:szCs w:val="16"/>
        </w:rPr>
        <w:t>Ibidem</w:t>
      </w:r>
      <w:r w:rsidRPr="00656385">
        <w:rPr>
          <w:rFonts w:ascii="Verdana" w:hAnsi="Verdana" w:cs="Arial"/>
          <w:sz w:val="16"/>
          <w:szCs w:val="16"/>
        </w:rPr>
        <w:t xml:space="preserve">.  </w:t>
      </w:r>
    </w:p>
  </w:footnote>
  <w:footnote w:id="7">
    <w:p w14:paraId="7FE20B2C" w14:textId="77777777" w:rsidR="002876A0" w:rsidRPr="008457D2" w:rsidRDefault="002876A0" w:rsidP="002876A0">
      <w:pPr>
        <w:pStyle w:val="Textonotapie"/>
        <w:ind w:firstLine="708"/>
        <w:jc w:val="both"/>
        <w:rPr>
          <w:rFonts w:ascii="Verdana" w:hAnsi="Verdana" w:cs="Arial"/>
          <w:color w:val="000000"/>
          <w:sz w:val="16"/>
          <w:szCs w:val="16"/>
          <w:lang w:val="es-ES"/>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w:t>
      </w:r>
      <w:r w:rsidRPr="008457D2">
        <w:rPr>
          <w:rFonts w:ascii="Verdana" w:hAnsi="Verdana"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1DD38103" w14:textId="77777777" w:rsidR="002876A0" w:rsidRPr="008457D2" w:rsidRDefault="002876A0" w:rsidP="002876A0">
      <w:pPr>
        <w:pStyle w:val="Textonotapie"/>
        <w:ind w:firstLine="708"/>
        <w:jc w:val="both"/>
        <w:rPr>
          <w:rFonts w:ascii="Verdana" w:hAnsi="Verdana" w:cs="Arial"/>
          <w:color w:val="000000"/>
          <w:sz w:val="16"/>
          <w:szCs w:val="16"/>
          <w:lang w:val="es-ES"/>
        </w:rPr>
      </w:pPr>
      <w:r w:rsidRPr="008457D2">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56090477" w14:textId="77777777" w:rsidR="002876A0" w:rsidRPr="008457D2" w:rsidRDefault="002876A0" w:rsidP="002876A0">
      <w:pPr>
        <w:pStyle w:val="Textonotapie"/>
        <w:ind w:firstLine="708"/>
        <w:jc w:val="both"/>
        <w:rPr>
          <w:rFonts w:ascii="Verdana" w:hAnsi="Verdana" w:cs="Arial"/>
          <w:color w:val="000000"/>
          <w:sz w:val="16"/>
          <w:szCs w:val="16"/>
          <w:lang w:val="es-ES"/>
        </w:rPr>
      </w:pPr>
      <w:r w:rsidRPr="008457D2">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32FD21CC" w14:textId="77777777" w:rsidR="002876A0" w:rsidRPr="008457D2" w:rsidRDefault="002876A0" w:rsidP="002876A0">
      <w:pPr>
        <w:pStyle w:val="Textonotapie"/>
        <w:ind w:firstLine="708"/>
        <w:jc w:val="both"/>
        <w:rPr>
          <w:rFonts w:ascii="Verdana" w:hAnsi="Verdana" w:cs="Arial"/>
          <w:color w:val="000000"/>
          <w:sz w:val="16"/>
          <w:szCs w:val="16"/>
          <w:lang w:val="es-ES"/>
        </w:rPr>
      </w:pPr>
      <w:r w:rsidRPr="008457D2">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8">
    <w:p w14:paraId="34065D69" w14:textId="77777777" w:rsidR="002876A0" w:rsidRPr="008457D2" w:rsidRDefault="002876A0" w:rsidP="002876A0">
      <w:pPr>
        <w:pStyle w:val="Textonotapie"/>
        <w:ind w:firstLine="708"/>
        <w:jc w:val="both"/>
        <w:rPr>
          <w:rFonts w:ascii="Verdana" w:hAnsi="Verdana" w:cs="Arial"/>
          <w:color w:val="000000"/>
          <w:sz w:val="16"/>
          <w:szCs w:val="16"/>
          <w:lang w:val="es-ES"/>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COLOMBIA COMPRA EFICIENTE. Guía para la Liquidación de los Procesos de Contratación. página 5, disponible en: </w:t>
      </w:r>
      <w:hyperlink r:id="rId1" w:history="1">
        <w:r w:rsidRPr="008457D2">
          <w:rPr>
            <w:rStyle w:val="Hipervnculo"/>
            <w:rFonts w:ascii="Verdana" w:hAnsi="Verdana" w:cs="Arial"/>
            <w:sz w:val="16"/>
            <w:szCs w:val="16"/>
          </w:rPr>
          <w:t xml:space="preserve">https://www.colombiacompra.gov.co/sites/cce_public/files/cce_documents/cce_guia_liquidacion_procesos.pdf  </w:t>
        </w:r>
      </w:hyperlink>
    </w:p>
  </w:footnote>
  <w:footnote w:id="9">
    <w:p w14:paraId="733A57DD" w14:textId="77777777" w:rsidR="002876A0" w:rsidRPr="008457D2" w:rsidRDefault="002876A0" w:rsidP="002876A0">
      <w:pPr>
        <w:pStyle w:val="Textonotapie"/>
        <w:ind w:firstLine="708"/>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0">
    <w:p w14:paraId="2049A782" w14:textId="77777777" w:rsidR="002876A0" w:rsidRPr="008457D2" w:rsidRDefault="002876A0" w:rsidP="002876A0">
      <w:pPr>
        <w:pStyle w:val="Textonotapie"/>
        <w:ind w:firstLine="708"/>
        <w:jc w:val="both"/>
        <w:rPr>
          <w:rFonts w:ascii="Verdana" w:hAnsi="Verdana" w:cs="Arial"/>
          <w:color w:val="000000"/>
          <w:sz w:val="16"/>
          <w:szCs w:val="16"/>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CONSEJO DE ESTADO. Sala de Consulta y Servicio Civil. Concepto de 28 de Junio de 2016. Radicación: 2253. C.P. Álvaro Namén Vargas. </w:t>
      </w:r>
    </w:p>
  </w:footnote>
  <w:footnote w:id="11">
    <w:p w14:paraId="44ABE132" w14:textId="77777777" w:rsidR="002876A0" w:rsidRPr="008457D2" w:rsidRDefault="002876A0" w:rsidP="002876A0">
      <w:pPr>
        <w:pStyle w:val="Textonotapie"/>
        <w:ind w:firstLine="708"/>
        <w:jc w:val="both"/>
        <w:rPr>
          <w:rFonts w:ascii="Verdana" w:hAnsi="Verdana"/>
          <w:color w:val="000000"/>
          <w:sz w:val="16"/>
          <w:szCs w:val="16"/>
          <w:lang w:val="es-ES"/>
        </w:rPr>
      </w:pPr>
      <w:r w:rsidRPr="008457D2">
        <w:rPr>
          <w:rStyle w:val="Refdenotaalpie"/>
          <w:rFonts w:ascii="Verdana" w:hAnsi="Verdana" w:cs="Arial"/>
          <w:color w:val="000000"/>
          <w:sz w:val="16"/>
          <w:szCs w:val="16"/>
        </w:rPr>
        <w:footnoteRef/>
      </w:r>
      <w:r w:rsidRPr="008457D2">
        <w:rPr>
          <w:rFonts w:ascii="Verdana" w:hAnsi="Verdana" w:cs="Arial"/>
          <w:color w:val="000000"/>
          <w:sz w:val="16"/>
          <w:szCs w:val="16"/>
        </w:rPr>
        <w:t xml:space="preserve"> CONSEJO DE ESTADO. Sección Tercera. </w:t>
      </w:r>
      <w:r w:rsidRPr="008457D2">
        <w:rPr>
          <w:rFonts w:ascii="Verdana" w:hAnsi="Verdana" w:cs="Arial"/>
          <w:color w:val="000000"/>
          <w:sz w:val="16"/>
          <w:szCs w:val="16"/>
          <w:lang w:val="es-CO"/>
        </w:rPr>
        <w:t xml:space="preserve">Sala Plena. Auto del 1 de agosto de 2019. </w:t>
      </w:r>
      <w:r w:rsidRPr="008457D2">
        <w:rPr>
          <w:rFonts w:ascii="Verdana" w:hAnsi="Verdana" w:cs="Arial"/>
          <w:color w:val="000000"/>
          <w:sz w:val="16"/>
          <w:szCs w:val="16"/>
        </w:rPr>
        <w:t xml:space="preserve">Exp. 62009. C.P. Jaime Enrique Rodríguez Navas. </w:t>
      </w:r>
      <w:r w:rsidRPr="008457D2">
        <w:rPr>
          <w:rFonts w:ascii="Verdana" w:hAnsi="Verdana"/>
          <w:color w:val="000000"/>
          <w:sz w:val="16"/>
          <w:szCs w:val="16"/>
          <w:lang w:val="es-ES"/>
        </w:rPr>
        <w:t xml:space="preserve"> </w:t>
      </w:r>
    </w:p>
  </w:footnote>
  <w:footnote w:id="12">
    <w:p w14:paraId="10EB1322" w14:textId="77777777" w:rsidR="002876A0" w:rsidRPr="00CD1E9C" w:rsidRDefault="002876A0" w:rsidP="002876A0">
      <w:pPr>
        <w:pStyle w:val="Textonotapie"/>
        <w:ind w:firstLine="708"/>
        <w:jc w:val="both"/>
        <w:rPr>
          <w:rFonts w:ascii="Verdana" w:hAnsi="Verdana"/>
          <w:sz w:val="16"/>
          <w:szCs w:val="16"/>
        </w:rPr>
      </w:pPr>
      <w:r w:rsidRPr="00CD1E9C">
        <w:rPr>
          <w:rStyle w:val="Refdenotaalpie"/>
          <w:rFonts w:ascii="Verdana" w:hAnsi="Verdana"/>
          <w:sz w:val="16"/>
          <w:szCs w:val="16"/>
        </w:rPr>
        <w:footnoteRef/>
      </w:r>
      <w:r w:rsidRPr="00CD1E9C">
        <w:rPr>
          <w:rFonts w:ascii="Verdana" w:hAnsi="Verdana"/>
          <w:sz w:val="16"/>
          <w:szCs w:val="16"/>
        </w:rPr>
        <w:t xml:space="preserve"> </w:t>
      </w:r>
      <w:r>
        <w:rPr>
          <w:rFonts w:ascii="Verdana" w:hAnsi="Verdana"/>
          <w:sz w:val="16"/>
          <w:szCs w:val="16"/>
        </w:rPr>
        <w:t>El artículo 270 del CPACA dispone que “</w:t>
      </w:r>
      <w:r w:rsidRPr="00CD1E9C">
        <w:rPr>
          <w:rFonts w:ascii="Verdana" w:hAnsi="Verdana"/>
          <w:sz w:val="16"/>
          <w:szCs w:val="16"/>
        </w:rPr>
        <w:t>Para los efectos de este Código se tendrán como sentencias de unificación jurisprudencial las que profiera o haya proferido el Consejo de Estado por importancia jurídica o trascendencia económica o social o por necesidad de unificar o sentar jurisprudencia o precisar su alcance o resolver las divergencias en su interpretación y aplicación; las proferidas al decidir los recursos extraordinarios y las relativas al mecanismo eventual de revisión previsto en el artículo 36A de la Ley 270 de 1995, adicionado por el artículo 11 de la Ley 1285 de 2009</w:t>
      </w:r>
      <w:r>
        <w:rPr>
          <w:rFonts w:ascii="Verdana" w:hAnsi="Verdana"/>
          <w:sz w:val="16"/>
          <w:szCs w:val="16"/>
        </w:rPr>
        <w:t>”</w:t>
      </w:r>
      <w:r w:rsidRPr="00CD1E9C">
        <w:rPr>
          <w:rFonts w:ascii="Verdana" w:hAnsi="Verdana"/>
          <w:sz w:val="16"/>
          <w:szCs w:val="16"/>
        </w:rPr>
        <w:t xml:space="preserve">. </w:t>
      </w:r>
      <w:r>
        <w:rPr>
          <w:rFonts w:ascii="Verdana" w:hAnsi="Verdana"/>
          <w:sz w:val="16"/>
          <w:szCs w:val="16"/>
        </w:rPr>
        <w:t xml:space="preserve">El concepto es relevante para la aplicación del artículo 10 </w:t>
      </w:r>
      <w:r w:rsidRPr="00CD1E9C">
        <w:rPr>
          <w:rFonts w:ascii="Verdana" w:hAnsi="Verdana"/>
          <w:i/>
          <w:iCs/>
          <w:sz w:val="16"/>
          <w:szCs w:val="16"/>
        </w:rPr>
        <w:t>ibidem</w:t>
      </w:r>
      <w:r>
        <w:rPr>
          <w:rFonts w:ascii="Verdana" w:hAnsi="Verdana"/>
          <w:sz w:val="16"/>
          <w:szCs w:val="16"/>
        </w:rPr>
        <w:t>, el dispone que “</w:t>
      </w:r>
      <w:r w:rsidRPr="00CD1E9C">
        <w:rPr>
          <w:rFonts w:ascii="Verdana" w:hAnsi="Verdana"/>
          <w:sz w:val="16"/>
          <w:szCs w:val="16"/>
        </w:rPr>
        <w:t xml:space="preserve">Al resolver los asuntos de su competencia, las autoridades aplicarán las disposiciones constitucionales, legales y reglamentarias de manera uniforme a situaciones que tengan los mismos supuestos fácticos y jurídicos. </w:t>
      </w:r>
      <w:r w:rsidRPr="00CD1E9C">
        <w:rPr>
          <w:rFonts w:ascii="Verdana" w:hAnsi="Verdana"/>
          <w:i/>
          <w:iCs/>
          <w:sz w:val="16"/>
          <w:szCs w:val="16"/>
        </w:rPr>
        <w:t>Con este propósito, al adoptar las decisiones de su competencia, deberán tener en cuenta las sentencias de unificación jurisprudencial del Consejo de Estado en las que se interpreten y apliquen dichas normas</w:t>
      </w:r>
      <w:r>
        <w:rPr>
          <w:rFonts w:ascii="Verdana" w:hAnsi="Verdana"/>
          <w:sz w:val="16"/>
          <w:szCs w:val="16"/>
        </w:rPr>
        <w:t>” (Énfasis fuera de texto)</w:t>
      </w:r>
      <w:r w:rsidRPr="00CD1E9C">
        <w:rPr>
          <w:rFonts w:ascii="Verdana" w:hAnsi="Verdana"/>
          <w:sz w:val="16"/>
          <w:szCs w:val="16"/>
        </w:rPr>
        <w:t xml:space="preserve"> </w:t>
      </w:r>
    </w:p>
  </w:footnote>
  <w:footnote w:id="13">
    <w:p w14:paraId="2549BC45" w14:textId="77777777" w:rsidR="002876A0" w:rsidRPr="001344F9" w:rsidRDefault="002876A0" w:rsidP="002876A0">
      <w:pPr>
        <w:pStyle w:val="Textonotapie"/>
        <w:ind w:firstLine="708"/>
        <w:jc w:val="both"/>
        <w:rPr>
          <w:rFonts w:ascii="Verdana" w:hAnsi="Verdana"/>
          <w:sz w:val="16"/>
          <w:szCs w:val="16"/>
        </w:rPr>
      </w:pPr>
      <w:r w:rsidRPr="001344F9">
        <w:rPr>
          <w:rStyle w:val="Refdenotaalpie"/>
          <w:rFonts w:ascii="Verdana" w:hAnsi="Verdana"/>
          <w:sz w:val="16"/>
          <w:szCs w:val="16"/>
        </w:rPr>
        <w:footnoteRef/>
      </w:r>
      <w:r w:rsidRPr="001344F9">
        <w:rPr>
          <w:rFonts w:ascii="Verdana" w:hAnsi="Verdana"/>
          <w:sz w:val="16"/>
          <w:szCs w:val="16"/>
        </w:rPr>
        <w:t xml:space="preserve"> </w:t>
      </w:r>
      <w:r w:rsidRPr="00042DD7">
        <w:rPr>
          <w:rFonts w:ascii="Verdana" w:hAnsi="Verdana"/>
          <w:sz w:val="16"/>
          <w:szCs w:val="16"/>
        </w:rPr>
        <w:t>Como explica la doctrina</w:t>
      </w:r>
      <w:r>
        <w:rPr>
          <w:rFonts w:ascii="Verdana" w:hAnsi="Verdana"/>
          <w:sz w:val="16"/>
          <w:szCs w:val="16"/>
        </w:rPr>
        <w:t xml:space="preserve">, </w:t>
      </w:r>
      <w:r w:rsidRPr="00042DD7">
        <w:rPr>
          <w:rFonts w:ascii="Verdana" w:hAnsi="Verdana"/>
          <w:sz w:val="16"/>
          <w:szCs w:val="16"/>
        </w:rPr>
        <w:t xml:space="preserve">“La eficacia vinculante que la decisión del juez despliega como cosa juzgada respecto del caso decidido, se considera conceptualmente distinta de la autoridad que el criterio de decisión en ella adoptada (la llamada </w:t>
      </w:r>
      <w:r w:rsidRPr="00042DD7">
        <w:rPr>
          <w:rFonts w:ascii="Verdana" w:hAnsi="Verdana"/>
          <w:i/>
          <w:iCs/>
          <w:sz w:val="16"/>
          <w:szCs w:val="16"/>
        </w:rPr>
        <w:t>ratio decidendi</w:t>
      </w:r>
      <w:r w:rsidRPr="00042DD7">
        <w:rPr>
          <w:rFonts w:ascii="Verdana" w:hAnsi="Verdana"/>
          <w:sz w:val="16"/>
          <w:szCs w:val="16"/>
        </w:rPr>
        <w:t xml:space="preserve">) pueda desplegar sobre la convicción de los juicios futuros que vengan llamados a decidir casos semejantes. La autoridad de la decisión precedente en este segundo aspecto no se impone al futuro juez como un precepto jurídico a observar, sino que hace referencia únicamente a la inteligencia y al sentido crítico del que ha de decidir, llamándolo a apreciar el criterio de decisión adoptado en cuanto a su valor interpretativo, o sea a reconocer si éste responde a las exigencias del caso decisivo y al esquema de coherencia del </w:t>
      </w:r>
      <w:r w:rsidRPr="00042DD7">
        <w:rPr>
          <w:rFonts w:ascii="Verdana" w:hAnsi="Verdana"/>
          <w:i/>
          <w:iCs/>
          <w:sz w:val="16"/>
          <w:szCs w:val="16"/>
        </w:rPr>
        <w:t>ius conditum</w:t>
      </w:r>
      <w:r w:rsidRPr="00042DD7">
        <w:rPr>
          <w:rFonts w:ascii="Verdana" w:hAnsi="Verdana"/>
          <w:sz w:val="16"/>
          <w:szCs w:val="16"/>
        </w:rPr>
        <w:t>, es decir, si representa en suma una interpretación exacta de las normas jurídicas en discusión […]”</w:t>
      </w:r>
      <w:r>
        <w:rPr>
          <w:rFonts w:ascii="Verdana" w:hAnsi="Verdana"/>
          <w:sz w:val="16"/>
          <w:szCs w:val="16"/>
        </w:rPr>
        <w:t xml:space="preserve"> (BETTI, Emilio. La interpretación de la ley y los actos jurídicos. Santiago: Ediciones Olejnik, 2018. p. 264).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20CD"/>
    <w:rsid w:val="00055170"/>
    <w:rsid w:val="00061B2A"/>
    <w:rsid w:val="00080E2A"/>
    <w:rsid w:val="00082362"/>
    <w:rsid w:val="000A4D38"/>
    <w:rsid w:val="000A683E"/>
    <w:rsid w:val="000B19B9"/>
    <w:rsid w:val="000D0334"/>
    <w:rsid w:val="000F6486"/>
    <w:rsid w:val="00112B27"/>
    <w:rsid w:val="00125105"/>
    <w:rsid w:val="00127233"/>
    <w:rsid w:val="00151F28"/>
    <w:rsid w:val="001B75B1"/>
    <w:rsid w:val="001E4177"/>
    <w:rsid w:val="001F7DC6"/>
    <w:rsid w:val="0023088D"/>
    <w:rsid w:val="002421BB"/>
    <w:rsid w:val="00251AF1"/>
    <w:rsid w:val="0025796E"/>
    <w:rsid w:val="002707A2"/>
    <w:rsid w:val="002876A0"/>
    <w:rsid w:val="002951A0"/>
    <w:rsid w:val="002962BC"/>
    <w:rsid w:val="002A093D"/>
    <w:rsid w:val="002A0DD0"/>
    <w:rsid w:val="002A49AC"/>
    <w:rsid w:val="002A64FD"/>
    <w:rsid w:val="002C7A84"/>
    <w:rsid w:val="002E4FD9"/>
    <w:rsid w:val="00322A85"/>
    <w:rsid w:val="00324168"/>
    <w:rsid w:val="003448F4"/>
    <w:rsid w:val="00370507"/>
    <w:rsid w:val="00374F5E"/>
    <w:rsid w:val="00377E3E"/>
    <w:rsid w:val="003A26D1"/>
    <w:rsid w:val="003A779E"/>
    <w:rsid w:val="003D0F4D"/>
    <w:rsid w:val="003D5B0D"/>
    <w:rsid w:val="003E0499"/>
    <w:rsid w:val="003E4279"/>
    <w:rsid w:val="003F023E"/>
    <w:rsid w:val="003F3941"/>
    <w:rsid w:val="00404352"/>
    <w:rsid w:val="00406575"/>
    <w:rsid w:val="0042722E"/>
    <w:rsid w:val="0044528D"/>
    <w:rsid w:val="004A1847"/>
    <w:rsid w:val="004A305D"/>
    <w:rsid w:val="004C32B0"/>
    <w:rsid w:val="004F21C4"/>
    <w:rsid w:val="004F685F"/>
    <w:rsid w:val="005566E8"/>
    <w:rsid w:val="00574867"/>
    <w:rsid w:val="00591460"/>
    <w:rsid w:val="00592628"/>
    <w:rsid w:val="005C3777"/>
    <w:rsid w:val="005C5CDC"/>
    <w:rsid w:val="005D476C"/>
    <w:rsid w:val="00610812"/>
    <w:rsid w:val="006219F8"/>
    <w:rsid w:val="006329F3"/>
    <w:rsid w:val="00650FF7"/>
    <w:rsid w:val="00665D70"/>
    <w:rsid w:val="00671DAC"/>
    <w:rsid w:val="006900D9"/>
    <w:rsid w:val="006D12F8"/>
    <w:rsid w:val="006F6206"/>
    <w:rsid w:val="00706C16"/>
    <w:rsid w:val="007430D8"/>
    <w:rsid w:val="00756841"/>
    <w:rsid w:val="007649AB"/>
    <w:rsid w:val="00771D0C"/>
    <w:rsid w:val="00776941"/>
    <w:rsid w:val="007833AC"/>
    <w:rsid w:val="007B268C"/>
    <w:rsid w:val="007B7171"/>
    <w:rsid w:val="007C0C0F"/>
    <w:rsid w:val="007C3DC2"/>
    <w:rsid w:val="007C46DE"/>
    <w:rsid w:val="007E2B60"/>
    <w:rsid w:val="007E5497"/>
    <w:rsid w:val="007E57A6"/>
    <w:rsid w:val="007F59F0"/>
    <w:rsid w:val="00806F5F"/>
    <w:rsid w:val="00807B7E"/>
    <w:rsid w:val="00820278"/>
    <w:rsid w:val="008843B6"/>
    <w:rsid w:val="00891928"/>
    <w:rsid w:val="008A446D"/>
    <w:rsid w:val="008D180B"/>
    <w:rsid w:val="008F0EA7"/>
    <w:rsid w:val="00913334"/>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B0ADB"/>
    <w:rsid w:val="00AC0925"/>
    <w:rsid w:val="00B01B1A"/>
    <w:rsid w:val="00B72CD3"/>
    <w:rsid w:val="00B72FFF"/>
    <w:rsid w:val="00BC3D36"/>
    <w:rsid w:val="00BD7F72"/>
    <w:rsid w:val="00C04FB3"/>
    <w:rsid w:val="00C130E4"/>
    <w:rsid w:val="00C330EB"/>
    <w:rsid w:val="00C754BE"/>
    <w:rsid w:val="00C76B1C"/>
    <w:rsid w:val="00CB6357"/>
    <w:rsid w:val="00CC1B26"/>
    <w:rsid w:val="00CE5CFF"/>
    <w:rsid w:val="00D423A2"/>
    <w:rsid w:val="00D520D8"/>
    <w:rsid w:val="00D607CA"/>
    <w:rsid w:val="00D63AC2"/>
    <w:rsid w:val="00D6460C"/>
    <w:rsid w:val="00D7383B"/>
    <w:rsid w:val="00DA231B"/>
    <w:rsid w:val="00DA23A0"/>
    <w:rsid w:val="00DC39FC"/>
    <w:rsid w:val="00DF5254"/>
    <w:rsid w:val="00E16408"/>
    <w:rsid w:val="00E20894"/>
    <w:rsid w:val="00E245AB"/>
    <w:rsid w:val="00E2764C"/>
    <w:rsid w:val="00E27F2E"/>
    <w:rsid w:val="00E413EA"/>
    <w:rsid w:val="00E41ED7"/>
    <w:rsid w:val="00E46EED"/>
    <w:rsid w:val="00E50AFE"/>
    <w:rsid w:val="00E54564"/>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876A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876A0"/>
    <w:rPr>
      <w:rFonts w:ascii="Geomanist Light" w:hAnsi="Geomanist Light"/>
      <w:lang w:val="es-ES"/>
    </w:rPr>
  </w:style>
  <w:style w:type="paragraph" w:customStyle="1" w:styleId="Textoindependiente21">
    <w:name w:val="Texto independiente 21"/>
    <w:basedOn w:val="Normal"/>
    <w:rsid w:val="002876A0"/>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84989308">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8499081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am.ricardo@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ceficiente.sharepoint.com/sites/SGDEA/TRD_254/EXPEDIENTE_1668/DOCUMENTO_407171/DOCUMENTO_407171.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F26C5423-96B9-4531-8700-1D172CB3B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5405</Words>
  <Characters>29730</Characters>
  <Application>Microsoft Office Word</Application>
  <DocSecurity>0</DocSecurity>
  <Lines>247</Lines>
  <Paragraphs>70</Paragraphs>
  <ScaleCrop>false</ScaleCrop>
  <Company/>
  <LinksUpToDate>false</LinksUpToDate>
  <CharactersWithSpaces>35065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2024-09-17T18:00:00Z</dcterms:created>
  <dcterms:modified xsi:type="dcterms:W3CDTF">2024-09-17T18:00:00Z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