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A112F" w14:textId="77777777" w:rsidR="008A7C1A" w:rsidRPr="001E43FC" w:rsidRDefault="008A7C1A" w:rsidP="008A7C1A">
      <w:pPr>
        <w:spacing w:line="276" w:lineRule="auto"/>
        <w:jc w:val="right"/>
        <w:rPr>
          <w:rFonts w:ascii="Arial" w:eastAsia="Calibri" w:hAnsi="Arial" w:cs="Arial"/>
          <w:b/>
          <w:bCs/>
          <w:sz w:val="16"/>
          <w:szCs w:val="16"/>
        </w:rPr>
      </w:pPr>
      <w:r w:rsidRPr="001E43FC">
        <w:rPr>
          <w:rFonts w:ascii="Arial" w:hAnsi="Arial" w:cs="Arial"/>
          <w:b/>
          <w:bCs/>
          <w:sz w:val="16"/>
          <w:szCs w:val="16"/>
          <w:lang w:eastAsia="es-ES"/>
        </w:rPr>
        <w:t>CCE-DES-FM-17</w:t>
      </w:r>
    </w:p>
    <w:p w14:paraId="60622192" w14:textId="77777777" w:rsidR="008A7C1A" w:rsidRPr="001E43FC" w:rsidRDefault="008A7C1A" w:rsidP="008A7C1A">
      <w:pPr>
        <w:spacing w:after="120"/>
        <w:contextualSpacing/>
        <w:jc w:val="both"/>
        <w:rPr>
          <w:rFonts w:ascii="Arial" w:eastAsia="Calibri" w:hAnsi="Arial" w:cs="Arial"/>
          <w:b/>
          <w:bCs/>
          <w:color w:val="000000" w:themeColor="text1"/>
          <w:sz w:val="20"/>
          <w:szCs w:val="20"/>
          <w:lang w:val="es-ES_tradnl"/>
        </w:rPr>
      </w:pPr>
    </w:p>
    <w:p w14:paraId="2FAED4A7" w14:textId="77777777" w:rsidR="008A7C1A" w:rsidRPr="001E43FC" w:rsidRDefault="008A7C1A" w:rsidP="008A7C1A">
      <w:pPr>
        <w:spacing w:after="120"/>
        <w:contextualSpacing/>
        <w:jc w:val="both"/>
        <w:rPr>
          <w:rFonts w:ascii="Arial" w:eastAsia="Calibri" w:hAnsi="Arial" w:cs="Arial"/>
          <w:b/>
          <w:bCs/>
          <w:color w:val="000000" w:themeColor="text1"/>
          <w:sz w:val="20"/>
          <w:szCs w:val="20"/>
          <w:lang w:val="es-ES_tradnl"/>
        </w:rPr>
      </w:pPr>
      <w:r w:rsidRPr="001E43FC">
        <w:rPr>
          <w:rFonts w:ascii="Arial" w:eastAsia="Calibri" w:hAnsi="Arial" w:cs="Arial"/>
          <w:b/>
          <w:bCs/>
          <w:color w:val="000000" w:themeColor="text1"/>
          <w:sz w:val="20"/>
          <w:szCs w:val="20"/>
          <w:lang w:val="es-ES_tradnl"/>
        </w:rPr>
        <w:t>LEY DE GARANTÍAS ELECTORALES – Finalidad</w:t>
      </w:r>
    </w:p>
    <w:p w14:paraId="6120D2BF" w14:textId="77777777" w:rsidR="008A7C1A" w:rsidRPr="001E43FC" w:rsidRDefault="008A7C1A" w:rsidP="008A7C1A">
      <w:pPr>
        <w:spacing w:after="120"/>
        <w:contextualSpacing/>
        <w:jc w:val="both"/>
        <w:rPr>
          <w:rFonts w:ascii="Arial" w:eastAsia="Calibri" w:hAnsi="Arial" w:cs="Arial"/>
          <w:color w:val="000000" w:themeColor="text1"/>
          <w:sz w:val="20"/>
          <w:szCs w:val="20"/>
          <w:lang w:val="es-ES_tradnl"/>
        </w:rPr>
      </w:pPr>
    </w:p>
    <w:p w14:paraId="4341DF8C" w14:textId="77777777" w:rsidR="008A7C1A" w:rsidRPr="001E43FC" w:rsidRDefault="008A7C1A" w:rsidP="008A7C1A">
      <w:pPr>
        <w:tabs>
          <w:tab w:val="left" w:pos="426"/>
        </w:tabs>
        <w:spacing w:after="120"/>
        <w:jc w:val="both"/>
        <w:rPr>
          <w:rFonts w:ascii="Arial" w:hAnsi="Arial" w:cs="Arial"/>
          <w:bCs/>
          <w:color w:val="000000" w:themeColor="text1"/>
          <w:sz w:val="20"/>
          <w:szCs w:val="20"/>
          <w:lang w:eastAsia="es-CO"/>
        </w:rPr>
      </w:pPr>
      <w:r w:rsidRPr="001E43FC">
        <w:rPr>
          <w:rFonts w:ascii="Arial" w:hAnsi="Arial" w:cs="Arial"/>
          <w:bCs/>
          <w:color w:val="000000" w:themeColor="text1"/>
          <w:sz w:val="20"/>
          <w:szCs w:val="20"/>
          <w:lang w:eastAsia="es-CO"/>
        </w:rPr>
        <w:t>El ordenamiento jurídico colombiano contempla previsiones claras para evitar la obtención de beneficios personales en asuntos propios de la administración pública</w:t>
      </w:r>
      <w:r w:rsidRPr="001E43FC">
        <w:rPr>
          <w:rFonts w:ascii="Arial" w:hAnsi="Arial" w:cs="Arial"/>
          <w:bCs/>
          <w:i/>
          <w:iCs/>
          <w:color w:val="000000" w:themeColor="text1"/>
          <w:sz w:val="20"/>
          <w:szCs w:val="20"/>
          <w:lang w:eastAsia="es-CO"/>
        </w:rPr>
        <w:t xml:space="preserve">. </w:t>
      </w:r>
      <w:r w:rsidRPr="001E43FC">
        <w:rPr>
          <w:rFonts w:ascii="Arial" w:hAnsi="Arial" w:cs="Arial"/>
          <w:bCs/>
          <w:color w:val="000000" w:themeColor="text1"/>
          <w:sz w:val="20"/>
          <w:szCs w:val="20"/>
          <w:lang w:eastAsia="es-CO"/>
        </w:rPr>
        <w:t>Por ejemplo, el artículo 127 de la Constitución Política establece una prohibición contractual a los servidores públicos y en cuanto a aspectos políticos consagra restricciones a ciertos empleados del Estado, incluso en época no electoral. 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1E43FC">
        <w:rPr>
          <w:rFonts w:ascii="Arial" w:hAnsi="Arial" w:cs="Arial"/>
          <w:bCs/>
          <w:color w:val="000000" w:themeColor="text1"/>
          <w:sz w:val="20"/>
          <w:szCs w:val="20"/>
          <w:lang w:val="es-ES_tradnl" w:eastAsia="es-CO"/>
        </w:rPr>
        <w:t xml:space="preserve"> </w:t>
      </w:r>
      <w:r w:rsidRPr="001E43FC">
        <w:rPr>
          <w:rFonts w:ascii="Arial" w:hAnsi="Arial" w:cs="Arial"/>
          <w:bCs/>
          <w:color w:val="000000" w:themeColor="text1"/>
          <w:sz w:val="20"/>
          <w:szCs w:val="20"/>
          <w:lang w:eastAsia="es-CO"/>
        </w:rPr>
        <w:t>En armonía con lo anterior, la Corte Constitucional ha abordado la definición de la Ley de Garantías Electorales</w:t>
      </w:r>
      <w:r w:rsidRPr="001E43FC">
        <w:rPr>
          <w:rFonts w:ascii="Arial" w:hAnsi="Arial" w:cs="Arial"/>
          <w:bCs/>
          <w:color w:val="000000" w:themeColor="text1"/>
          <w:sz w:val="20"/>
          <w:szCs w:val="20"/>
          <w:lang w:val="es-ES_tradnl" w:eastAsia="es-CO"/>
        </w:rPr>
        <w:t xml:space="preserve">. </w:t>
      </w:r>
      <w:r w:rsidRPr="001E43FC">
        <w:rPr>
          <w:rFonts w:ascii="Arial" w:hAnsi="Arial" w:cs="Arial"/>
          <w:bCs/>
          <w:color w:val="000000" w:themeColor="text1"/>
          <w:sz w:val="20"/>
          <w:szCs w:val="20"/>
          <w:lang w:eastAsia="es-CO"/>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w:t>
      </w:r>
    </w:p>
    <w:p w14:paraId="5129E8DB" w14:textId="77777777" w:rsidR="008A7C1A" w:rsidRPr="001E43FC" w:rsidRDefault="008A7C1A" w:rsidP="008A7C1A">
      <w:pPr>
        <w:tabs>
          <w:tab w:val="left" w:pos="426"/>
        </w:tabs>
        <w:jc w:val="both"/>
        <w:rPr>
          <w:rFonts w:ascii="Arial" w:eastAsia="Calibri" w:hAnsi="Arial" w:cs="Arial"/>
          <w:bCs/>
          <w:color w:val="000000" w:themeColor="text1"/>
          <w:sz w:val="20"/>
          <w:szCs w:val="20"/>
          <w:lang w:val="es-ES_tradnl"/>
        </w:rPr>
      </w:pPr>
    </w:p>
    <w:p w14:paraId="4FD70215" w14:textId="77777777" w:rsidR="008A7C1A" w:rsidRPr="001E43FC" w:rsidRDefault="008A7C1A" w:rsidP="008A7C1A">
      <w:pPr>
        <w:tabs>
          <w:tab w:val="left" w:pos="426"/>
        </w:tabs>
        <w:jc w:val="both"/>
        <w:rPr>
          <w:rFonts w:ascii="Arial" w:eastAsia="Calibri" w:hAnsi="Arial" w:cs="Arial"/>
          <w:b/>
          <w:bCs/>
          <w:color w:val="000000" w:themeColor="text1"/>
          <w:sz w:val="20"/>
          <w:szCs w:val="20"/>
          <w:lang w:val="es-ES_tradnl"/>
        </w:rPr>
      </w:pPr>
      <w:bookmarkStart w:id="0" w:name="_Hlk77152637"/>
      <w:bookmarkStart w:id="1" w:name="_Hlk77157066"/>
      <w:r w:rsidRPr="001E43FC">
        <w:rPr>
          <w:rFonts w:ascii="Arial" w:eastAsia="Calibri" w:hAnsi="Arial" w:cs="Arial"/>
          <w:b/>
          <w:bCs/>
          <w:color w:val="000000" w:themeColor="text1"/>
          <w:sz w:val="20"/>
          <w:szCs w:val="20"/>
          <w:lang w:val="es-ES_tradnl"/>
        </w:rPr>
        <w:t>LEY DE GARANTÍAS ELECTORALES ‒</w:t>
      </w:r>
      <w:bookmarkEnd w:id="0"/>
      <w:r w:rsidRPr="001E43FC">
        <w:rPr>
          <w:rFonts w:ascii="Arial" w:eastAsia="Calibri" w:hAnsi="Arial" w:cs="Arial"/>
          <w:b/>
          <w:bCs/>
          <w:color w:val="000000" w:themeColor="text1"/>
          <w:sz w:val="20"/>
          <w:szCs w:val="20"/>
          <w:lang w:val="es-ES_tradnl"/>
        </w:rPr>
        <w:t xml:space="preserve"> Restricciones </w:t>
      </w:r>
      <w:bookmarkStart w:id="2" w:name="_Hlk77157034"/>
      <w:r w:rsidRPr="001E43FC">
        <w:rPr>
          <w:rFonts w:ascii="Arial" w:eastAsia="Calibri" w:hAnsi="Arial" w:cs="Arial"/>
          <w:b/>
          <w:bCs/>
          <w:color w:val="000000" w:themeColor="text1"/>
          <w:sz w:val="20"/>
          <w:szCs w:val="20"/>
          <w:lang w:val="es-ES_tradnl"/>
        </w:rPr>
        <w:t xml:space="preserve">‒ </w:t>
      </w:r>
      <w:bookmarkEnd w:id="2"/>
      <w:r w:rsidRPr="001E43FC">
        <w:rPr>
          <w:rFonts w:ascii="Arial" w:eastAsia="Calibri" w:hAnsi="Arial" w:cs="Arial"/>
          <w:b/>
          <w:bCs/>
          <w:color w:val="000000" w:themeColor="text1"/>
          <w:sz w:val="20"/>
          <w:szCs w:val="20"/>
          <w:lang w:val="es-ES_tradnl"/>
        </w:rPr>
        <w:t>Contratación</w:t>
      </w:r>
      <w:bookmarkStart w:id="3" w:name="_Hlk77153098"/>
      <w:r w:rsidRPr="001E43FC">
        <w:rPr>
          <w:rFonts w:ascii="Arial" w:eastAsia="Calibri" w:hAnsi="Arial" w:cs="Arial"/>
          <w:b/>
          <w:bCs/>
          <w:color w:val="000000" w:themeColor="text1"/>
          <w:sz w:val="20"/>
          <w:szCs w:val="20"/>
          <w:lang w:val="es-ES_tradnl"/>
        </w:rPr>
        <w:t xml:space="preserve"> ‒ Tipos de elección</w:t>
      </w:r>
      <w:bookmarkEnd w:id="3"/>
      <w:r w:rsidRPr="001E43FC">
        <w:rPr>
          <w:rFonts w:ascii="Arial" w:eastAsia="Calibri" w:hAnsi="Arial" w:cs="Arial"/>
          <w:b/>
          <w:bCs/>
          <w:color w:val="000000" w:themeColor="text1"/>
          <w:sz w:val="20"/>
          <w:szCs w:val="20"/>
          <w:lang w:val="es-ES_tradnl"/>
        </w:rPr>
        <w:t xml:space="preserve"> </w:t>
      </w:r>
    </w:p>
    <w:p w14:paraId="0677C862" w14:textId="77777777" w:rsidR="008A7C1A" w:rsidRPr="001E43FC" w:rsidRDefault="008A7C1A" w:rsidP="008A7C1A">
      <w:pPr>
        <w:tabs>
          <w:tab w:val="left" w:pos="426"/>
        </w:tabs>
        <w:jc w:val="both"/>
        <w:rPr>
          <w:rFonts w:ascii="Arial" w:eastAsia="Calibri" w:hAnsi="Arial" w:cs="Arial"/>
          <w:b/>
          <w:bCs/>
          <w:color w:val="000000" w:themeColor="text1"/>
          <w:sz w:val="20"/>
          <w:szCs w:val="20"/>
          <w:lang w:val="es-ES_tradnl"/>
        </w:rPr>
      </w:pPr>
    </w:p>
    <w:p w14:paraId="3C4F0888" w14:textId="77777777" w:rsidR="008A7C1A" w:rsidRPr="001E43FC" w:rsidRDefault="008A7C1A" w:rsidP="008A7C1A">
      <w:pPr>
        <w:tabs>
          <w:tab w:val="left" w:pos="426"/>
        </w:tabs>
        <w:jc w:val="both"/>
        <w:rPr>
          <w:rFonts w:ascii="Arial" w:hAnsi="Arial" w:cs="Arial"/>
          <w:bCs/>
          <w:color w:val="000000" w:themeColor="text1"/>
          <w:sz w:val="20"/>
          <w:szCs w:val="20"/>
          <w:lang w:eastAsia="es-CO"/>
        </w:rPr>
      </w:pPr>
      <w:bookmarkStart w:id="4" w:name="_Hlk77165666"/>
      <w:bookmarkEnd w:id="1"/>
      <w:r w:rsidRPr="001E43FC">
        <w:rPr>
          <w:rFonts w:ascii="Arial" w:hAnsi="Arial" w:cs="Arial"/>
          <w:bCs/>
          <w:color w:val="000000" w:themeColor="text1"/>
          <w:sz w:val="20"/>
          <w:szCs w:val="20"/>
          <w:lang w:val="es-ES_tradnl" w:eastAsia="es-CO" w:bidi="es-ES"/>
        </w:rPr>
        <w:t xml:space="preserve">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 </w:t>
      </w:r>
      <w:r w:rsidRPr="001E43FC">
        <w:rPr>
          <w:rFonts w:ascii="Arial" w:hAnsi="Arial" w:cs="Arial"/>
          <w:bCs/>
          <w:color w:val="000000" w:themeColor="text1"/>
          <w:sz w:val="20"/>
          <w:szCs w:val="20"/>
          <w:lang w:eastAsia="es-CO"/>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1E43FC">
        <w:rPr>
          <w:rFonts w:ascii="Arial" w:hAnsi="Arial" w:cs="Arial"/>
          <w:bCs/>
          <w:color w:val="000000" w:themeColor="text1"/>
          <w:sz w:val="20"/>
          <w:szCs w:val="20"/>
          <w:lang w:val="es-ES_tradnl" w:eastAsia="es-CO" w:bidi="es-ES"/>
        </w:rPr>
        <w:t xml:space="preserve"> </w:t>
      </w:r>
      <w:r w:rsidRPr="001E43FC">
        <w:rPr>
          <w:rFonts w:ascii="Arial" w:hAnsi="Arial" w:cs="Arial"/>
          <w:bCs/>
          <w:color w:val="000000" w:themeColor="text1"/>
          <w:sz w:val="20"/>
          <w:szCs w:val="20"/>
          <w:lang w:eastAsia="es-CO"/>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3F071456" w14:textId="77777777" w:rsidR="008A7C1A" w:rsidRPr="001E43FC" w:rsidRDefault="008A7C1A" w:rsidP="008A7C1A">
      <w:pPr>
        <w:tabs>
          <w:tab w:val="left" w:pos="426"/>
        </w:tabs>
        <w:jc w:val="both"/>
        <w:rPr>
          <w:rFonts w:ascii="Arial" w:hAnsi="Arial" w:cs="Arial"/>
          <w:bCs/>
          <w:color w:val="000000" w:themeColor="text1"/>
          <w:sz w:val="20"/>
          <w:szCs w:val="20"/>
          <w:lang w:val="es-ES_tradnl" w:eastAsia="es-CO" w:bidi="es-ES"/>
        </w:rPr>
      </w:pPr>
    </w:p>
    <w:p w14:paraId="0DA3F34C" w14:textId="77777777" w:rsidR="008A7C1A" w:rsidRPr="001E43FC" w:rsidRDefault="008A7C1A" w:rsidP="008A7C1A">
      <w:pPr>
        <w:tabs>
          <w:tab w:val="left" w:pos="426"/>
        </w:tabs>
        <w:jc w:val="both"/>
        <w:rPr>
          <w:rFonts w:ascii="Arial" w:eastAsia="Calibri" w:hAnsi="Arial" w:cs="Arial"/>
          <w:b/>
          <w:bCs/>
          <w:sz w:val="20"/>
          <w:szCs w:val="20"/>
          <w:lang w:val="es-ES_tradnl"/>
        </w:rPr>
      </w:pPr>
      <w:r w:rsidRPr="001E43FC">
        <w:rPr>
          <w:rFonts w:ascii="Arial" w:eastAsia="Calibri" w:hAnsi="Arial" w:cs="Arial"/>
          <w:b/>
          <w:bCs/>
          <w:sz w:val="20"/>
          <w:szCs w:val="20"/>
          <w:lang w:val="es-ES_tradnl"/>
        </w:rPr>
        <w:t xml:space="preserve">LEY DE GARANTÍAS ELECTORALES ─ Prohibición artículo 33 ‒ </w:t>
      </w:r>
      <w:bookmarkEnd w:id="4"/>
      <w:r w:rsidRPr="001E43FC">
        <w:rPr>
          <w:rFonts w:ascii="Arial" w:eastAsia="Calibri" w:hAnsi="Arial" w:cs="Arial"/>
          <w:b/>
          <w:bCs/>
          <w:sz w:val="20"/>
          <w:szCs w:val="20"/>
          <w:lang w:val="es-ES_tradnl"/>
        </w:rPr>
        <w:t xml:space="preserve">Contratación directa ‒ Alcance </w:t>
      </w:r>
    </w:p>
    <w:p w14:paraId="65B96C18" w14:textId="77777777" w:rsidR="008A7C1A" w:rsidRPr="001E43FC" w:rsidRDefault="008A7C1A" w:rsidP="008A7C1A">
      <w:pPr>
        <w:tabs>
          <w:tab w:val="left" w:pos="426"/>
        </w:tabs>
        <w:jc w:val="both"/>
        <w:rPr>
          <w:rFonts w:ascii="Arial" w:eastAsia="Calibri" w:hAnsi="Arial" w:cs="Arial"/>
          <w:noProof/>
          <w:sz w:val="20"/>
          <w:szCs w:val="20"/>
          <w:lang w:val="es-ES_tradnl"/>
        </w:rPr>
      </w:pPr>
    </w:p>
    <w:p w14:paraId="1574CB7C" w14:textId="77777777" w:rsidR="008A7C1A" w:rsidRPr="001E43FC" w:rsidRDefault="008A7C1A" w:rsidP="008A7C1A">
      <w:pPr>
        <w:jc w:val="both"/>
        <w:rPr>
          <w:rFonts w:ascii="Arial" w:hAnsi="Arial" w:cs="Arial"/>
          <w:bCs/>
          <w:sz w:val="20"/>
          <w:szCs w:val="20"/>
          <w:lang w:val="es-ES_tradnl" w:eastAsia="x-none"/>
        </w:rPr>
      </w:pPr>
      <w:r w:rsidRPr="001E43FC">
        <w:rPr>
          <w:rFonts w:ascii="Arial" w:eastAsia="Calibri" w:hAnsi="Arial" w:cs="Arial"/>
          <w:noProof/>
          <w:sz w:val="20"/>
          <w:szCs w:val="20"/>
          <w:lang w:val="es-ES_tradnl"/>
        </w:rPr>
        <w:t xml:space="preserve">[…] </w:t>
      </w:r>
      <w:r w:rsidRPr="001E43FC">
        <w:rPr>
          <w:rFonts w:ascii="Arial" w:hAnsi="Arial" w:cs="Arial"/>
          <w:bCs/>
          <w:sz w:val="20"/>
          <w:szCs w:val="20"/>
          <w:lang w:val="es-ES_tradnl" w:eastAsia="x-none"/>
        </w:rPr>
        <w:t>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1E43FC">
        <w:rPr>
          <w:rFonts w:ascii="Arial" w:hAnsi="Arial" w:cs="Arial"/>
          <w:sz w:val="20"/>
          <w:szCs w:val="20"/>
          <w:vertAlign w:val="superscript"/>
          <w:lang w:val="es-ES_tradnl" w:eastAsia="x-none"/>
        </w:rPr>
        <w:t xml:space="preserve">. </w:t>
      </w:r>
      <w:r w:rsidRPr="001E43FC">
        <w:rPr>
          <w:rFonts w:ascii="Arial" w:hAnsi="Arial" w:cs="Arial"/>
          <w:bCs/>
          <w:sz w:val="20"/>
          <w:szCs w:val="20"/>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1E43FC">
        <w:rPr>
          <w:rFonts w:ascii="Arial" w:hAnsi="Arial" w:cs="Arial"/>
          <w:sz w:val="20"/>
          <w:szCs w:val="20"/>
          <w:lang w:val="es-ES_tradnl"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3CAF03B4" w14:textId="77777777" w:rsidR="008A7C1A" w:rsidRPr="001E43FC" w:rsidRDefault="008A7C1A" w:rsidP="008A7C1A">
      <w:pPr>
        <w:tabs>
          <w:tab w:val="left" w:pos="426"/>
        </w:tabs>
        <w:jc w:val="both"/>
        <w:rPr>
          <w:rFonts w:ascii="Arial" w:eastAsia="Calibri" w:hAnsi="Arial" w:cs="Arial"/>
          <w:noProof/>
          <w:sz w:val="20"/>
          <w:szCs w:val="20"/>
          <w:lang w:val="es-ES_tradnl"/>
        </w:rPr>
      </w:pPr>
    </w:p>
    <w:p w14:paraId="212DD7F3" w14:textId="77777777" w:rsidR="008A7C1A" w:rsidRPr="001E43FC" w:rsidRDefault="008A7C1A" w:rsidP="008A7C1A">
      <w:pPr>
        <w:jc w:val="both"/>
        <w:rPr>
          <w:rFonts w:ascii="Arial" w:hAnsi="Arial" w:cs="Arial"/>
          <w:b/>
          <w:sz w:val="20"/>
          <w:szCs w:val="20"/>
          <w:lang w:val="es-ES_tradnl" w:eastAsia="es-CO"/>
        </w:rPr>
      </w:pPr>
      <w:r w:rsidRPr="001E43FC">
        <w:rPr>
          <w:rFonts w:ascii="Arial" w:hAnsi="Arial" w:cs="Arial"/>
          <w:b/>
          <w:bCs/>
          <w:sz w:val="20"/>
          <w:szCs w:val="20"/>
          <w:lang w:val="es-ES_tradnl" w:eastAsia="es-CO"/>
        </w:rPr>
        <w:t xml:space="preserve">LEY DE GARANTÍAS ELECTORALES </w:t>
      </w:r>
      <w:bookmarkStart w:id="5" w:name="_Hlk77166669"/>
      <w:r w:rsidRPr="001E43FC">
        <w:rPr>
          <w:rFonts w:ascii="Arial" w:hAnsi="Arial" w:cs="Arial"/>
          <w:b/>
          <w:bCs/>
          <w:sz w:val="20"/>
          <w:szCs w:val="20"/>
          <w:lang w:val="es-ES_tradnl" w:eastAsia="es-CO"/>
        </w:rPr>
        <w:t>‒</w:t>
      </w:r>
      <w:bookmarkEnd w:id="5"/>
      <w:r w:rsidRPr="001E43FC">
        <w:rPr>
          <w:rFonts w:ascii="Arial" w:hAnsi="Arial" w:cs="Arial"/>
          <w:b/>
          <w:bCs/>
          <w:sz w:val="20"/>
          <w:szCs w:val="20"/>
          <w:lang w:val="es-ES_tradnl" w:eastAsia="es-CO"/>
        </w:rPr>
        <w:t xml:space="preserve"> </w:t>
      </w:r>
      <w:r w:rsidRPr="001E43FC">
        <w:rPr>
          <w:rFonts w:ascii="Arial" w:hAnsi="Arial" w:cs="Arial"/>
          <w:b/>
          <w:sz w:val="20"/>
          <w:szCs w:val="20"/>
          <w:lang w:val="es-ES_tradnl" w:eastAsia="es-CO"/>
        </w:rPr>
        <w:t xml:space="preserve">Prohibición del artículo 33 </w:t>
      </w:r>
      <w:r w:rsidRPr="001E43FC">
        <w:rPr>
          <w:rFonts w:ascii="Arial" w:hAnsi="Arial" w:cs="Arial"/>
          <w:b/>
          <w:bCs/>
          <w:sz w:val="20"/>
          <w:szCs w:val="20"/>
          <w:lang w:val="es-ES_tradnl" w:eastAsia="es-CO"/>
        </w:rPr>
        <w:t>‒ Destinatarios</w:t>
      </w:r>
    </w:p>
    <w:p w14:paraId="76C24AA8" w14:textId="77777777" w:rsidR="008A7C1A" w:rsidRPr="001E43FC" w:rsidRDefault="008A7C1A" w:rsidP="008A7C1A">
      <w:pPr>
        <w:tabs>
          <w:tab w:val="left" w:pos="426"/>
        </w:tabs>
        <w:jc w:val="both"/>
        <w:rPr>
          <w:rFonts w:ascii="Arial" w:eastAsia="Calibri" w:hAnsi="Arial" w:cs="Arial"/>
          <w:noProof/>
          <w:sz w:val="20"/>
          <w:szCs w:val="20"/>
          <w:lang w:val="es-ES_tradnl"/>
        </w:rPr>
      </w:pPr>
    </w:p>
    <w:p w14:paraId="16B716E1" w14:textId="77777777" w:rsidR="008A7C1A" w:rsidRPr="001E43FC" w:rsidRDefault="008A7C1A" w:rsidP="008A7C1A">
      <w:pPr>
        <w:tabs>
          <w:tab w:val="left" w:pos="426"/>
        </w:tabs>
        <w:jc w:val="both"/>
        <w:rPr>
          <w:rFonts w:ascii="Arial" w:hAnsi="Arial" w:cs="Arial"/>
          <w:bCs/>
          <w:sz w:val="20"/>
          <w:szCs w:val="20"/>
          <w:lang w:val="es-ES_tradnl" w:eastAsia="x-none"/>
        </w:rPr>
      </w:pPr>
      <w:r w:rsidRPr="001E43FC">
        <w:rPr>
          <w:rFonts w:ascii="Arial" w:hAnsi="Arial" w:cs="Arial"/>
          <w:bCs/>
          <w:sz w:val="20"/>
          <w:szCs w:val="20"/>
          <w:lang w:val="es-ES_tradnl"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1E43FC">
        <w:rPr>
          <w:rFonts w:ascii="Arial" w:eastAsia="Calibri" w:hAnsi="Arial" w:cs="Arial"/>
          <w:sz w:val="20"/>
          <w:szCs w:val="20"/>
          <w:lang w:val="es-ES_tradnl"/>
        </w:rPr>
        <w:t xml:space="preserve"> </w:t>
      </w:r>
      <w:r w:rsidRPr="001E43FC">
        <w:rPr>
          <w:rFonts w:ascii="Arial" w:hAnsi="Arial" w:cs="Arial"/>
          <w:bCs/>
          <w:sz w:val="20"/>
          <w:szCs w:val="20"/>
          <w:lang w:val="es-ES_tradnl" w:eastAsia="x-none"/>
        </w:rPr>
        <w:t>En efecto, tal como lo ha sostenido el Consejo de Estado, el vocablo «todos» utilizado por el legislador comprende</w:t>
      </w:r>
      <w:r w:rsidRPr="001E43FC">
        <w:rPr>
          <w:rFonts w:ascii="Arial" w:eastAsia="Calibri" w:hAnsi="Arial" w:cs="Arial"/>
          <w:sz w:val="20"/>
          <w:szCs w:val="20"/>
          <w:lang w:val="es-ES_tradnl"/>
        </w:rPr>
        <w:t xml:space="preserve"> </w:t>
      </w:r>
      <w:r w:rsidRPr="001E43FC">
        <w:rPr>
          <w:rFonts w:ascii="Arial" w:hAnsi="Arial" w:cs="Arial"/>
          <w:bCs/>
          <w:sz w:val="20"/>
          <w:szCs w:val="20"/>
          <w:lang w:val="es-ES_tradnl"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08F5755B" w14:textId="77777777" w:rsidR="008A7C1A" w:rsidRPr="001E43FC" w:rsidRDefault="008A7C1A" w:rsidP="008A7C1A">
      <w:pPr>
        <w:widowControl w:val="0"/>
        <w:autoSpaceDE w:val="0"/>
        <w:autoSpaceDN w:val="0"/>
        <w:jc w:val="both"/>
        <w:rPr>
          <w:rFonts w:ascii="Arial" w:eastAsia="Arial" w:hAnsi="Arial" w:cs="Arial"/>
          <w:color w:val="000000" w:themeColor="text1"/>
          <w:sz w:val="20"/>
          <w:szCs w:val="20"/>
          <w:lang w:val="es-ES_tradnl" w:eastAsia="es-ES" w:bidi="es-ES"/>
        </w:rPr>
      </w:pPr>
    </w:p>
    <w:p w14:paraId="4BA3DFB3" w14:textId="77777777" w:rsidR="008A7C1A" w:rsidRDefault="008A7C1A" w:rsidP="008A7C1A">
      <w:pPr>
        <w:tabs>
          <w:tab w:val="left" w:pos="3374"/>
        </w:tabs>
        <w:jc w:val="both"/>
        <w:rPr>
          <w:rFonts w:ascii="Arial" w:hAnsi="Arial" w:cs="Arial"/>
          <w:b/>
          <w:sz w:val="20"/>
          <w:szCs w:val="20"/>
          <w:lang w:val="es-ES_tradnl" w:eastAsia="es-CO"/>
        </w:rPr>
      </w:pPr>
      <w:r w:rsidRPr="001E43FC">
        <w:rPr>
          <w:rFonts w:ascii="Arial" w:hAnsi="Arial" w:cs="Arial"/>
          <w:b/>
          <w:sz w:val="20"/>
          <w:szCs w:val="20"/>
          <w:lang w:val="es-ES_tradnl" w:eastAsia="es-CO"/>
        </w:rPr>
        <w:t>EMPRESAS DE SERVICIOS PÚBLICOS DOMICILIARIOS – Aplicación de la Ley 996 de 2005</w:t>
      </w:r>
    </w:p>
    <w:p w14:paraId="68C9C658" w14:textId="77777777" w:rsidR="008A7C1A" w:rsidRDefault="008A7C1A" w:rsidP="008A7C1A">
      <w:pPr>
        <w:tabs>
          <w:tab w:val="left" w:pos="3374"/>
        </w:tabs>
        <w:jc w:val="both"/>
        <w:rPr>
          <w:rFonts w:ascii="Arial" w:hAnsi="Arial" w:cs="Arial"/>
          <w:b/>
          <w:sz w:val="20"/>
          <w:szCs w:val="20"/>
          <w:lang w:val="es-ES_tradnl" w:eastAsia="es-CO"/>
        </w:rPr>
      </w:pPr>
    </w:p>
    <w:p w14:paraId="1FCB0286" w14:textId="77777777" w:rsidR="008A7C1A" w:rsidRPr="001E43FC" w:rsidRDefault="008A7C1A" w:rsidP="008A7C1A">
      <w:pPr>
        <w:tabs>
          <w:tab w:val="left" w:pos="3374"/>
        </w:tabs>
        <w:jc w:val="both"/>
        <w:rPr>
          <w:rFonts w:ascii="Arial" w:hAnsi="Arial" w:cs="Arial"/>
          <w:sz w:val="20"/>
          <w:szCs w:val="20"/>
        </w:rPr>
      </w:pPr>
      <w:r w:rsidRPr="001E43FC">
        <w:rPr>
          <w:rFonts w:ascii="Arial" w:hAnsi="Arial" w:cs="Arial"/>
          <w:sz w:val="20"/>
          <w:szCs w:val="20"/>
        </w:rPr>
        <w:t xml:space="preserve">Así, las empresas prestadoras de servicios públicos domiciliarios pueden ser catalogados como la categoría principal de los prestadores privados. De manera expresa, el artículo 17 de la Ley 142 de 1994 prevé la naturaleza jurídica de éstas </w:t>
      </w:r>
    </w:p>
    <w:p w14:paraId="4A2C9F61" w14:textId="77777777" w:rsidR="008A7C1A" w:rsidRPr="001E43FC" w:rsidRDefault="008A7C1A" w:rsidP="008A7C1A">
      <w:pPr>
        <w:tabs>
          <w:tab w:val="left" w:pos="3374"/>
        </w:tabs>
        <w:jc w:val="both"/>
        <w:rPr>
          <w:rFonts w:ascii="Arial" w:hAnsi="Arial" w:cs="Arial"/>
          <w:sz w:val="20"/>
          <w:szCs w:val="20"/>
        </w:rPr>
      </w:pPr>
      <w:r w:rsidRPr="001E43FC">
        <w:rPr>
          <w:rFonts w:ascii="Arial" w:hAnsi="Arial" w:cs="Arial"/>
          <w:sz w:val="20"/>
          <w:szCs w:val="20"/>
        </w:rPr>
        <w:t>[…]</w:t>
      </w:r>
    </w:p>
    <w:p w14:paraId="2CEB17C4" w14:textId="77777777" w:rsidR="008A7C1A" w:rsidRPr="001E43FC" w:rsidRDefault="008A7C1A" w:rsidP="008A7C1A">
      <w:pPr>
        <w:tabs>
          <w:tab w:val="left" w:pos="3374"/>
        </w:tabs>
        <w:jc w:val="both"/>
        <w:rPr>
          <w:rFonts w:ascii="Arial" w:hAnsi="Arial" w:cs="Arial"/>
          <w:sz w:val="20"/>
          <w:szCs w:val="20"/>
        </w:rPr>
      </w:pPr>
    </w:p>
    <w:p w14:paraId="51FB97A3" w14:textId="77777777" w:rsidR="008A7C1A" w:rsidRPr="001E43FC" w:rsidRDefault="008A7C1A" w:rsidP="008A7C1A">
      <w:pPr>
        <w:spacing w:before="120" w:after="120"/>
        <w:jc w:val="both"/>
        <w:rPr>
          <w:rFonts w:ascii="Arial" w:hAnsi="Arial" w:cs="Arial"/>
          <w:sz w:val="20"/>
          <w:szCs w:val="20"/>
          <w:lang w:val="es-ES_tradnl"/>
        </w:rPr>
      </w:pPr>
      <w:r w:rsidRPr="001E43FC">
        <w:rPr>
          <w:rFonts w:ascii="Arial" w:hAnsi="Arial" w:cs="Arial"/>
          <w:sz w:val="20"/>
          <w:szCs w:val="20"/>
          <w:lang w:val="es-ES_tradnl"/>
        </w:rPr>
        <w:t>resulta claro que son varias las razones que confirman la premisa que permite catalogar a las empresas oficiales de servicios públicos domiciliarios como entidad estatal. Además, es relevante subrayar que tanto la jurisprudencia constitucional</w:t>
      </w:r>
      <w:r w:rsidRPr="001E43FC">
        <w:rPr>
          <w:sz w:val="20"/>
          <w:szCs w:val="20"/>
        </w:rPr>
        <w:t xml:space="preserve"> </w:t>
      </w:r>
      <w:r w:rsidRPr="001E43FC">
        <w:rPr>
          <w:rFonts w:ascii="Arial" w:hAnsi="Arial" w:cs="Arial"/>
          <w:sz w:val="20"/>
          <w:szCs w:val="20"/>
          <w:lang w:val="es-ES_tradnl"/>
        </w:rPr>
        <w:t>como la contencioso - administrativa han concluido que las empresas oficiales de prestación de servicios públicos domiciliarios son, en términos del artículo 38 de la Ley 489 de 1998, administración pública. Por lo tanto, en función de la naturaleza jurídica de este tipo de prestadores de servicios públicos domiciliarios es posible concluir que le es plenamente aplicable la prohibición de contratación directa contenida en el artículo 33 de la Ley de Garantías Electorales, toda vez que las empresas oficiales de servicios públicos domiciliarios oficiales son entes estatales.</w:t>
      </w:r>
    </w:p>
    <w:p w14:paraId="3BF53576" w14:textId="77777777" w:rsidR="008A7C1A" w:rsidRDefault="008A7C1A" w:rsidP="008A7C1A">
      <w:pPr>
        <w:tabs>
          <w:tab w:val="left" w:pos="3374"/>
        </w:tabs>
        <w:jc w:val="both"/>
        <w:rPr>
          <w:rFonts w:ascii="Arial" w:eastAsia="Calibri" w:hAnsi="Arial" w:cs="Arial"/>
          <w:b/>
          <w:sz w:val="20"/>
          <w:szCs w:val="20"/>
        </w:rPr>
      </w:pPr>
    </w:p>
    <w:p w14:paraId="4910C343" w14:textId="77777777" w:rsidR="008A7C1A" w:rsidRDefault="008A7C1A" w:rsidP="008A7C1A">
      <w:pPr>
        <w:tabs>
          <w:tab w:val="left" w:pos="3374"/>
        </w:tabs>
        <w:jc w:val="both"/>
        <w:rPr>
          <w:rFonts w:ascii="Arial" w:eastAsia="Calibri" w:hAnsi="Arial" w:cs="Arial"/>
          <w:b/>
          <w:sz w:val="20"/>
          <w:szCs w:val="20"/>
        </w:rPr>
      </w:pPr>
    </w:p>
    <w:p w14:paraId="231FC18D" w14:textId="77777777" w:rsidR="008A7C1A" w:rsidRDefault="008A7C1A" w:rsidP="008A7C1A">
      <w:pPr>
        <w:tabs>
          <w:tab w:val="left" w:pos="3374"/>
        </w:tabs>
        <w:jc w:val="both"/>
        <w:rPr>
          <w:rFonts w:ascii="Arial" w:eastAsia="Calibri" w:hAnsi="Arial" w:cs="Arial"/>
          <w:b/>
          <w:sz w:val="20"/>
          <w:szCs w:val="20"/>
        </w:rPr>
      </w:pPr>
    </w:p>
    <w:p w14:paraId="1450FA65" w14:textId="77777777" w:rsidR="008A7C1A" w:rsidRDefault="008A7C1A" w:rsidP="008A7C1A">
      <w:pPr>
        <w:tabs>
          <w:tab w:val="left" w:pos="3374"/>
        </w:tabs>
        <w:jc w:val="both"/>
        <w:rPr>
          <w:rFonts w:ascii="Arial" w:eastAsia="Calibri" w:hAnsi="Arial" w:cs="Arial"/>
          <w:b/>
          <w:sz w:val="20"/>
          <w:szCs w:val="20"/>
        </w:rPr>
      </w:pPr>
    </w:p>
    <w:p w14:paraId="01A2A2B4" w14:textId="77777777" w:rsidR="008A7C1A" w:rsidRDefault="008A7C1A" w:rsidP="008A7C1A">
      <w:pPr>
        <w:tabs>
          <w:tab w:val="left" w:pos="3374"/>
        </w:tabs>
        <w:jc w:val="both"/>
        <w:rPr>
          <w:rFonts w:ascii="Arial" w:eastAsia="Calibri" w:hAnsi="Arial" w:cs="Arial"/>
          <w:b/>
          <w:sz w:val="20"/>
          <w:szCs w:val="20"/>
        </w:rPr>
      </w:pPr>
    </w:p>
    <w:p w14:paraId="574874BC" w14:textId="77777777" w:rsidR="008A7C1A" w:rsidRDefault="008A7C1A" w:rsidP="008A7C1A">
      <w:pPr>
        <w:tabs>
          <w:tab w:val="left" w:pos="3374"/>
        </w:tabs>
        <w:jc w:val="both"/>
        <w:rPr>
          <w:rFonts w:ascii="Arial" w:eastAsia="Calibri" w:hAnsi="Arial" w:cs="Arial"/>
          <w:b/>
          <w:sz w:val="20"/>
          <w:szCs w:val="20"/>
        </w:rPr>
      </w:pPr>
    </w:p>
    <w:p w14:paraId="11B3239F" w14:textId="77777777" w:rsidR="008A7C1A" w:rsidRDefault="008A7C1A" w:rsidP="008A7C1A">
      <w:pPr>
        <w:tabs>
          <w:tab w:val="left" w:pos="3374"/>
        </w:tabs>
        <w:jc w:val="both"/>
        <w:rPr>
          <w:rFonts w:ascii="Arial" w:eastAsia="Calibri" w:hAnsi="Arial" w:cs="Arial"/>
          <w:b/>
          <w:sz w:val="20"/>
          <w:szCs w:val="20"/>
        </w:rPr>
      </w:pPr>
    </w:p>
    <w:p w14:paraId="206A491B" w14:textId="77777777" w:rsidR="008A7C1A" w:rsidRDefault="008A7C1A" w:rsidP="008A7C1A">
      <w:pPr>
        <w:jc w:val="right"/>
      </w:pPr>
      <w:r>
        <w:lastRenderedPageBreak/>
        <w:fldChar w:fldCharType="begin"/>
      </w:r>
      <w:r>
        <w:instrText xml:space="preserve"> INCLUDEPICTURE "/var/folders/tb/0fmk9b510f57pz5rwhv8lnpw0000gp/T/com.microsoft.Word/WebArchiveCopyPasteTempFiles/page1image32507728" \* MERGEFORMATINET </w:instrText>
      </w:r>
      <w:r>
        <w:fldChar w:fldCharType="separate"/>
      </w:r>
      <w:r>
        <w:rPr>
          <w:noProof/>
        </w:rPr>
        <w:drawing>
          <wp:inline distT="0" distB="0" distL="0" distR="0" wp14:anchorId="5B6FEE4E" wp14:editId="701609D7">
            <wp:extent cx="2403475" cy="614045"/>
            <wp:effectExtent l="0" t="0" r="0" b="0"/>
            <wp:docPr id="1" name="Imagen 1" descr="page1image32507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250772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03475" cy="614045"/>
                    </a:xfrm>
                    <a:prstGeom prst="rect">
                      <a:avLst/>
                    </a:prstGeom>
                    <a:noFill/>
                    <a:ln>
                      <a:noFill/>
                    </a:ln>
                  </pic:spPr>
                </pic:pic>
              </a:graphicData>
            </a:graphic>
          </wp:inline>
        </w:drawing>
      </w:r>
      <w:r>
        <w:fldChar w:fldCharType="end"/>
      </w:r>
    </w:p>
    <w:p w14:paraId="28834915" w14:textId="77777777" w:rsidR="008A7C1A" w:rsidRDefault="008A7C1A" w:rsidP="008A7C1A"/>
    <w:p w14:paraId="4F976DEA" w14:textId="77777777" w:rsidR="008A7C1A" w:rsidRDefault="008A7C1A" w:rsidP="008A7C1A">
      <w:pPr>
        <w:rPr>
          <w:rFonts w:ascii="Arial" w:eastAsia="Calibri" w:hAnsi="Arial" w:cs="Arial"/>
          <w:sz w:val="22"/>
        </w:rPr>
      </w:pPr>
    </w:p>
    <w:p w14:paraId="7F608830" w14:textId="1C48340C" w:rsidR="008A7C1A" w:rsidRDefault="00EF45D8" w:rsidP="008A7C1A">
      <w:pPr>
        <w:rPr>
          <w:rFonts w:ascii="Arial" w:eastAsia="Calibri" w:hAnsi="Arial" w:cs="Arial"/>
          <w:sz w:val="22"/>
        </w:rPr>
      </w:pPr>
      <w:r>
        <w:rPr>
          <w:rFonts w:ascii="Arial" w:eastAsia="Calibri" w:hAnsi="Arial" w:cs="Arial"/>
          <w:sz w:val="22"/>
        </w:rPr>
        <w:t>Bogotá D.C., 27 de mayo de 2022</w:t>
      </w:r>
    </w:p>
    <w:p w14:paraId="20180EC7" w14:textId="77777777" w:rsidR="00EF45D8" w:rsidRPr="00481068" w:rsidRDefault="00EF45D8" w:rsidP="008A7C1A">
      <w:pPr>
        <w:rPr>
          <w:rFonts w:ascii="Arial" w:eastAsia="Calibri" w:hAnsi="Arial" w:cs="Arial"/>
          <w:sz w:val="22"/>
        </w:rPr>
      </w:pPr>
    </w:p>
    <w:p w14:paraId="3555A601" w14:textId="77777777" w:rsidR="008A7C1A" w:rsidRPr="00481068" w:rsidRDefault="008A7C1A" w:rsidP="008A7C1A">
      <w:pPr>
        <w:jc w:val="both"/>
        <w:rPr>
          <w:rFonts w:ascii="Arial" w:eastAsia="Calibri" w:hAnsi="Arial" w:cs="Arial"/>
          <w:sz w:val="22"/>
        </w:rPr>
      </w:pPr>
      <w:bookmarkStart w:id="6" w:name="_Hlk96417464"/>
      <w:r w:rsidRPr="00481068">
        <w:rPr>
          <w:rFonts w:ascii="Arial" w:eastAsia="Calibri" w:hAnsi="Arial" w:cs="Arial"/>
          <w:sz w:val="22"/>
        </w:rPr>
        <w:t>Señor</w:t>
      </w:r>
      <w:r>
        <w:rPr>
          <w:rFonts w:ascii="Arial" w:eastAsia="Calibri" w:hAnsi="Arial" w:cs="Arial"/>
          <w:sz w:val="22"/>
        </w:rPr>
        <w:t>es</w:t>
      </w:r>
    </w:p>
    <w:p w14:paraId="31CE44EA" w14:textId="77777777" w:rsidR="008A7C1A" w:rsidRDefault="008A7C1A" w:rsidP="008A7C1A">
      <w:pPr>
        <w:jc w:val="both"/>
        <w:rPr>
          <w:rFonts w:ascii="Arial" w:eastAsia="Calibri" w:hAnsi="Arial" w:cs="Arial"/>
          <w:b/>
          <w:sz w:val="22"/>
        </w:rPr>
      </w:pPr>
      <w:r w:rsidRPr="00D37744">
        <w:rPr>
          <w:rFonts w:ascii="Arial" w:eastAsia="Calibri" w:hAnsi="Arial" w:cs="Arial"/>
          <w:b/>
          <w:sz w:val="22"/>
        </w:rPr>
        <w:t xml:space="preserve">Empresa de servicios públicos de Agustín Codazzi </w:t>
      </w:r>
      <w:r>
        <w:rPr>
          <w:rFonts w:ascii="Arial" w:eastAsia="Calibri" w:hAnsi="Arial" w:cs="Arial"/>
          <w:b/>
          <w:sz w:val="22"/>
        </w:rPr>
        <w:t>(</w:t>
      </w:r>
      <w:r w:rsidRPr="00D37744">
        <w:rPr>
          <w:rFonts w:ascii="Arial" w:eastAsia="Calibri" w:hAnsi="Arial" w:cs="Arial"/>
          <w:b/>
          <w:sz w:val="22"/>
        </w:rPr>
        <w:t>EMCODAZZI ESP</w:t>
      </w:r>
      <w:r>
        <w:rPr>
          <w:rFonts w:ascii="Arial" w:eastAsia="Calibri" w:hAnsi="Arial" w:cs="Arial"/>
          <w:b/>
          <w:sz w:val="22"/>
        </w:rPr>
        <w:t>)</w:t>
      </w:r>
    </w:p>
    <w:p w14:paraId="51368299" w14:textId="77777777" w:rsidR="008A7C1A" w:rsidRPr="00094B98" w:rsidRDefault="008A7C1A" w:rsidP="008A7C1A">
      <w:pPr>
        <w:jc w:val="both"/>
        <w:rPr>
          <w:rFonts w:ascii="Arial" w:eastAsia="Calibri" w:hAnsi="Arial" w:cs="Arial"/>
          <w:bCs/>
          <w:sz w:val="22"/>
        </w:rPr>
      </w:pPr>
      <w:r w:rsidRPr="00094B98">
        <w:rPr>
          <w:rFonts w:ascii="Arial" w:eastAsia="Calibri" w:hAnsi="Arial" w:cs="Arial"/>
          <w:bCs/>
          <w:sz w:val="22"/>
        </w:rPr>
        <w:t>Bogotá. D.C</w:t>
      </w:r>
      <w:r>
        <w:rPr>
          <w:rFonts w:ascii="Arial" w:eastAsia="Calibri" w:hAnsi="Arial" w:cs="Arial"/>
          <w:bCs/>
          <w:sz w:val="22"/>
        </w:rPr>
        <w:t>.</w:t>
      </w:r>
    </w:p>
    <w:p w14:paraId="333D0D43" w14:textId="77777777" w:rsidR="008A7C1A" w:rsidRPr="00481068" w:rsidRDefault="008A7C1A" w:rsidP="008A7C1A">
      <w:pPr>
        <w:jc w:val="both"/>
        <w:rPr>
          <w:rFonts w:ascii="Arial" w:eastAsia="Calibri" w:hAnsi="Arial" w:cs="Arial"/>
          <w:b/>
          <w:sz w:val="22"/>
        </w:rPr>
      </w:pPr>
    </w:p>
    <w:p w14:paraId="48328979" w14:textId="77777777" w:rsidR="008A7C1A" w:rsidRPr="00481068" w:rsidRDefault="008A7C1A" w:rsidP="008A7C1A">
      <w:pPr>
        <w:jc w:val="both"/>
        <w:rPr>
          <w:rFonts w:ascii="Arial" w:eastAsia="Calibri" w:hAnsi="Arial" w:cs="Arial"/>
          <w:color w:val="FF0000"/>
          <w:sz w:val="22"/>
        </w:rPr>
      </w:pPr>
    </w:p>
    <w:p w14:paraId="55D0C165" w14:textId="77777777" w:rsidR="008A7C1A" w:rsidRPr="00481068" w:rsidRDefault="008A7C1A" w:rsidP="008A7C1A">
      <w:pPr>
        <w:jc w:val="both"/>
        <w:rPr>
          <w:rFonts w:ascii="Arial" w:eastAsia="Calibri" w:hAnsi="Arial" w:cs="Arial"/>
          <w:color w:val="FF0000"/>
          <w:sz w:val="22"/>
        </w:rPr>
      </w:pPr>
    </w:p>
    <w:p w14:paraId="449822BF" w14:textId="77777777" w:rsidR="008A7C1A" w:rsidRPr="00481068" w:rsidRDefault="008A7C1A" w:rsidP="008A7C1A">
      <w:pPr>
        <w:jc w:val="both"/>
        <w:rPr>
          <w:rFonts w:ascii="Arial" w:eastAsia="Calibri" w:hAnsi="Arial" w:cs="Arial"/>
          <w:sz w:val="22"/>
        </w:rPr>
      </w:pPr>
      <w:r w:rsidRPr="00481068">
        <w:rPr>
          <w:rFonts w:ascii="Arial" w:eastAsia="Calibri" w:hAnsi="Arial" w:cs="Arial"/>
          <w:sz w:val="22"/>
        </w:rPr>
        <w:t xml:space="preserve">                                            </w:t>
      </w:r>
      <w:r w:rsidRPr="00481068">
        <w:rPr>
          <w:rFonts w:ascii="Arial" w:eastAsia="Calibri" w:hAnsi="Arial" w:cs="Arial"/>
          <w:b/>
          <w:sz w:val="22"/>
        </w:rPr>
        <w:t xml:space="preserve">Concepto C – </w:t>
      </w:r>
      <w:r>
        <w:rPr>
          <w:rFonts w:ascii="Arial" w:eastAsia="Calibri" w:hAnsi="Arial" w:cs="Arial"/>
          <w:b/>
          <w:sz w:val="22"/>
        </w:rPr>
        <w:t xml:space="preserve">362 </w:t>
      </w:r>
      <w:r w:rsidRPr="00481068">
        <w:rPr>
          <w:rFonts w:ascii="Arial" w:eastAsia="Calibri" w:hAnsi="Arial" w:cs="Arial"/>
          <w:b/>
          <w:sz w:val="22"/>
        </w:rPr>
        <w:t>de 2022</w:t>
      </w:r>
      <w:r w:rsidRPr="00481068">
        <w:rPr>
          <w:rFonts w:ascii="Arial" w:eastAsia="Calibri" w:hAnsi="Arial" w:cs="Arial"/>
          <w:sz w:val="22"/>
        </w:rPr>
        <w:t xml:space="preserve"> </w:t>
      </w:r>
    </w:p>
    <w:p w14:paraId="1B79D82C" w14:textId="77777777" w:rsidR="008A7C1A" w:rsidRPr="00481068" w:rsidRDefault="008A7C1A" w:rsidP="008A7C1A">
      <w:pPr>
        <w:jc w:val="both"/>
        <w:rPr>
          <w:rFonts w:ascii="Arial" w:eastAsia="Calibri" w:hAnsi="Arial" w:cs="Arial"/>
          <w:b/>
          <w:sz w:val="22"/>
        </w:rPr>
      </w:pPr>
    </w:p>
    <w:tbl>
      <w:tblPr>
        <w:tblStyle w:val="Tablaconcuadrcula1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A7C1A" w:rsidRPr="00481068" w14:paraId="3C7D9D68" w14:textId="77777777" w:rsidTr="002C35E6">
        <w:trPr>
          <w:trHeight w:val="485"/>
        </w:trPr>
        <w:tc>
          <w:tcPr>
            <w:tcW w:w="2689" w:type="dxa"/>
            <w:hideMark/>
          </w:tcPr>
          <w:p w14:paraId="2C66E135" w14:textId="77777777" w:rsidR="008A7C1A" w:rsidRPr="00481068" w:rsidRDefault="008A7C1A" w:rsidP="002C35E6">
            <w:pPr>
              <w:contextualSpacing/>
              <w:rPr>
                <w:rFonts w:ascii="Arial" w:eastAsia="Calibri" w:hAnsi="Arial" w:cs="Arial"/>
                <w:noProof/>
                <w:lang w:val="es-ES_tradnl"/>
              </w:rPr>
            </w:pPr>
            <w:r w:rsidRPr="00481068">
              <w:rPr>
                <w:rFonts w:ascii="Arial" w:eastAsia="Calibri" w:hAnsi="Arial" w:cs="Arial"/>
                <w:b/>
                <w:noProof/>
                <w:lang w:val="es-ES_tradnl"/>
              </w:rPr>
              <w:t>Temas:</w:t>
            </w:r>
            <w:r w:rsidRPr="00481068">
              <w:rPr>
                <w:rFonts w:ascii="Arial" w:eastAsia="Calibri" w:hAnsi="Arial" w:cs="Arial"/>
                <w:noProof/>
                <w:lang w:val="es-ES_tradnl"/>
              </w:rPr>
              <w:t xml:space="preserve">        </w:t>
            </w:r>
          </w:p>
        </w:tc>
        <w:tc>
          <w:tcPr>
            <w:tcW w:w="6237" w:type="dxa"/>
            <w:hideMark/>
          </w:tcPr>
          <w:p w14:paraId="01DA8433" w14:textId="77777777" w:rsidR="008A7C1A" w:rsidRDefault="008A7C1A" w:rsidP="002C35E6">
            <w:pPr>
              <w:spacing w:after="120"/>
              <w:contextualSpacing/>
              <w:jc w:val="both"/>
              <w:rPr>
                <w:rFonts w:ascii="Arial" w:hAnsi="Arial" w:cs="Arial"/>
                <w:bCs/>
                <w:lang w:val="es-ES_tradnl" w:eastAsia="es-CO"/>
              </w:rPr>
            </w:pPr>
            <w:r w:rsidRPr="00481068">
              <w:rPr>
                <w:rFonts w:ascii="Arial" w:eastAsia="Calibri" w:hAnsi="Arial" w:cs="Arial"/>
                <w:bCs/>
                <w:color w:val="000000" w:themeColor="text1"/>
                <w:lang w:val="es-ES_tradnl"/>
              </w:rPr>
              <w:t xml:space="preserve">LEY DE GARANTÍAS ELECTORALES – Finalidad / LEY DE GARANTÍAS ELECTORALES ‒ Restricciones ‒ Contratación ‒ Tipos de elección / </w:t>
            </w:r>
            <w:r w:rsidRPr="00481068">
              <w:rPr>
                <w:rFonts w:ascii="Arial" w:eastAsia="Calibri" w:hAnsi="Arial" w:cs="Arial"/>
                <w:bCs/>
                <w:lang w:val="es-ES_tradnl"/>
              </w:rPr>
              <w:t xml:space="preserve">LEY DE GARANTÍAS ELECTORALES ─ Prohibición artículo 33 ‒ Contratación directa ‒ Alcance </w:t>
            </w:r>
            <w:r w:rsidRPr="00481068">
              <w:rPr>
                <w:rFonts w:ascii="Arial" w:hAnsi="Arial" w:cs="Arial"/>
                <w:lang w:val="es-ES_tradnl" w:eastAsia="es-CO"/>
              </w:rPr>
              <w:t xml:space="preserve">/ </w:t>
            </w:r>
            <w:r w:rsidRPr="00481068">
              <w:rPr>
                <w:rFonts w:ascii="Arial" w:hAnsi="Arial" w:cs="Arial"/>
                <w:bCs/>
                <w:lang w:val="es-ES_tradnl" w:eastAsia="es-CO"/>
              </w:rPr>
              <w:t xml:space="preserve">LEY DE GARANTÍAS ELECTORALES ‒ </w:t>
            </w:r>
            <w:r w:rsidRPr="00481068">
              <w:rPr>
                <w:rFonts w:ascii="Arial" w:hAnsi="Arial" w:cs="Arial"/>
                <w:lang w:val="es-ES_tradnl" w:eastAsia="es-CO"/>
              </w:rPr>
              <w:t xml:space="preserve">Prohibición del artículo 33 </w:t>
            </w:r>
            <w:r w:rsidRPr="00481068">
              <w:rPr>
                <w:rFonts w:ascii="Arial" w:hAnsi="Arial" w:cs="Arial"/>
                <w:bCs/>
                <w:lang w:val="es-ES_tradnl" w:eastAsia="es-CO"/>
              </w:rPr>
              <w:t xml:space="preserve">‒ Destinatarios </w:t>
            </w:r>
            <w:r>
              <w:rPr>
                <w:rFonts w:ascii="Arial" w:hAnsi="Arial" w:cs="Arial"/>
                <w:bCs/>
                <w:lang w:val="es-ES_tradnl" w:eastAsia="es-CO"/>
              </w:rPr>
              <w:t>/ EMPRESAS DE SERVICIOS PÚBLICOS DOMICILIARIOS – Aplicación de la Ley 996 de 2005</w:t>
            </w:r>
          </w:p>
          <w:p w14:paraId="370E591E" w14:textId="77777777" w:rsidR="008A7C1A" w:rsidRPr="00481068" w:rsidRDefault="008A7C1A" w:rsidP="002C35E6">
            <w:pPr>
              <w:spacing w:after="120"/>
              <w:contextualSpacing/>
              <w:jc w:val="both"/>
              <w:rPr>
                <w:rFonts w:ascii="Arial" w:eastAsia="Calibri" w:hAnsi="Arial" w:cs="Arial"/>
                <w:bCs/>
              </w:rPr>
            </w:pPr>
          </w:p>
        </w:tc>
      </w:tr>
      <w:tr w:rsidR="008A7C1A" w:rsidRPr="00481068" w14:paraId="3298F886" w14:textId="77777777" w:rsidTr="002C35E6">
        <w:trPr>
          <w:trHeight w:val="231"/>
        </w:trPr>
        <w:tc>
          <w:tcPr>
            <w:tcW w:w="2689" w:type="dxa"/>
          </w:tcPr>
          <w:p w14:paraId="3A0C7087" w14:textId="77777777" w:rsidR="008A7C1A" w:rsidRPr="00481068" w:rsidRDefault="008A7C1A" w:rsidP="002C35E6">
            <w:pPr>
              <w:contextualSpacing/>
              <w:rPr>
                <w:rFonts w:ascii="Arial" w:eastAsia="Calibri" w:hAnsi="Arial" w:cs="Arial"/>
                <w:b/>
                <w:noProof/>
                <w:lang w:val="es-ES_tradnl"/>
              </w:rPr>
            </w:pPr>
            <w:r w:rsidRPr="00481068">
              <w:rPr>
                <w:rFonts w:ascii="Arial" w:eastAsia="Calibri" w:hAnsi="Arial" w:cs="Arial"/>
                <w:b/>
                <w:noProof/>
                <w:lang w:val="es-ES_tradnl"/>
              </w:rPr>
              <w:t>Radicación:</w:t>
            </w:r>
            <w:r w:rsidRPr="00481068">
              <w:rPr>
                <w:rFonts w:ascii="Arial" w:eastAsia="Calibri" w:hAnsi="Arial" w:cs="Arial"/>
                <w:noProof/>
                <w:lang w:val="es-ES_tradnl"/>
              </w:rPr>
              <w:t xml:space="preserve">                              </w:t>
            </w:r>
          </w:p>
        </w:tc>
        <w:tc>
          <w:tcPr>
            <w:tcW w:w="6237" w:type="dxa"/>
          </w:tcPr>
          <w:p w14:paraId="0A45CB68" w14:textId="77777777" w:rsidR="008A7C1A" w:rsidRPr="00481068" w:rsidRDefault="008A7C1A" w:rsidP="002C35E6">
            <w:pPr>
              <w:jc w:val="both"/>
              <w:rPr>
                <w:rFonts w:ascii="Arial" w:eastAsia="Calibri" w:hAnsi="Arial" w:cs="Arial"/>
                <w:noProof/>
                <w:lang w:val="es-ES_tradnl"/>
              </w:rPr>
            </w:pPr>
            <w:r w:rsidRPr="00481068">
              <w:rPr>
                <w:rFonts w:ascii="Arial" w:eastAsia="Calibri" w:hAnsi="Arial" w:cs="Arial"/>
                <w:noProof/>
                <w:lang w:val="es-ES_tradnl"/>
              </w:rPr>
              <w:t xml:space="preserve">Respuesta a </w:t>
            </w:r>
            <w:r>
              <w:rPr>
                <w:rFonts w:ascii="Arial" w:eastAsia="Calibri" w:hAnsi="Arial" w:cs="Arial"/>
                <w:noProof/>
                <w:lang w:val="es-ES_tradnl"/>
              </w:rPr>
              <w:t xml:space="preserve">la consulta </w:t>
            </w:r>
            <w:r w:rsidRPr="00771E0D">
              <w:rPr>
                <w:rFonts w:ascii="Arial" w:hAnsi="Arial" w:cs="Arial"/>
              </w:rPr>
              <w:t>P20220422003960</w:t>
            </w:r>
          </w:p>
        </w:tc>
      </w:tr>
    </w:tbl>
    <w:p w14:paraId="3182F8CF" w14:textId="77777777" w:rsidR="008A7C1A" w:rsidRPr="00481068" w:rsidRDefault="008A7C1A" w:rsidP="008A7C1A">
      <w:pPr>
        <w:jc w:val="both"/>
        <w:rPr>
          <w:rFonts w:ascii="Arial" w:eastAsia="Calibri" w:hAnsi="Arial" w:cs="Arial"/>
          <w:sz w:val="22"/>
        </w:rPr>
      </w:pPr>
    </w:p>
    <w:p w14:paraId="088FE5A9" w14:textId="77777777" w:rsidR="008A7C1A" w:rsidRDefault="008A7C1A" w:rsidP="008A7C1A">
      <w:pPr>
        <w:jc w:val="both"/>
        <w:rPr>
          <w:rFonts w:ascii="Arial" w:eastAsia="Calibri" w:hAnsi="Arial" w:cs="Arial"/>
          <w:sz w:val="22"/>
        </w:rPr>
      </w:pPr>
    </w:p>
    <w:p w14:paraId="136A2A50" w14:textId="77777777" w:rsidR="008A7C1A" w:rsidRDefault="008A7C1A" w:rsidP="008A7C1A">
      <w:pPr>
        <w:spacing w:line="276" w:lineRule="auto"/>
        <w:jc w:val="both"/>
        <w:rPr>
          <w:rFonts w:ascii="Arial" w:eastAsia="Calibri" w:hAnsi="Arial" w:cs="Arial"/>
          <w:sz w:val="22"/>
        </w:rPr>
      </w:pPr>
      <w:r>
        <w:rPr>
          <w:rFonts w:ascii="Arial" w:eastAsia="Calibri" w:hAnsi="Arial" w:cs="Arial"/>
          <w:sz w:val="22"/>
        </w:rPr>
        <w:t xml:space="preserve">Estimados señores: </w:t>
      </w:r>
    </w:p>
    <w:p w14:paraId="6AE5EF17" w14:textId="77777777" w:rsidR="008A7C1A" w:rsidRPr="00481068" w:rsidRDefault="008A7C1A" w:rsidP="008A7C1A">
      <w:pPr>
        <w:spacing w:line="276" w:lineRule="auto"/>
        <w:jc w:val="both"/>
        <w:rPr>
          <w:rFonts w:ascii="Arial" w:eastAsia="Calibri" w:hAnsi="Arial" w:cs="Arial"/>
          <w:sz w:val="22"/>
        </w:rPr>
      </w:pPr>
    </w:p>
    <w:p w14:paraId="12122FC2" w14:textId="77777777" w:rsidR="008A7C1A" w:rsidRPr="00481068" w:rsidRDefault="008A7C1A" w:rsidP="008A7C1A">
      <w:pPr>
        <w:spacing w:line="276" w:lineRule="auto"/>
        <w:ind w:right="51"/>
        <w:jc w:val="both"/>
        <w:rPr>
          <w:rFonts w:ascii="Arial" w:eastAsia="Calibri" w:hAnsi="Arial" w:cs="Arial"/>
          <w:sz w:val="22"/>
        </w:rPr>
      </w:pPr>
      <w:r w:rsidRPr="00481068">
        <w:rPr>
          <w:rFonts w:ascii="Arial" w:eastAsia="Calibri" w:hAnsi="Arial" w:cs="Arial"/>
          <w:sz w:val="22"/>
        </w:rPr>
        <w:t xml:space="preserve">En ejercicio de la competencia otorgada por el numeral 8 del artículo 11 y el numeral 5 del artículo 3 del Decreto Ley 4170 de 2011, la Agencia Nacional de Contratación Pública – Colombia Compra Eficiente responde la consulta radicada </w:t>
      </w:r>
      <w:r>
        <w:rPr>
          <w:rFonts w:ascii="Arial" w:eastAsia="Calibri" w:hAnsi="Arial" w:cs="Arial"/>
          <w:sz w:val="22"/>
        </w:rPr>
        <w:t xml:space="preserve">el 22 </w:t>
      </w:r>
      <w:r w:rsidRPr="00481068">
        <w:rPr>
          <w:rFonts w:ascii="Arial" w:eastAsia="Calibri" w:hAnsi="Arial" w:cs="Arial"/>
          <w:sz w:val="22"/>
        </w:rPr>
        <w:t>de</w:t>
      </w:r>
      <w:r>
        <w:rPr>
          <w:rFonts w:ascii="Arial" w:eastAsia="Calibri" w:hAnsi="Arial" w:cs="Arial"/>
          <w:sz w:val="22"/>
        </w:rPr>
        <w:t xml:space="preserve"> abril</w:t>
      </w:r>
      <w:r w:rsidRPr="00481068">
        <w:rPr>
          <w:rFonts w:ascii="Arial" w:eastAsia="Calibri" w:hAnsi="Arial" w:cs="Arial"/>
          <w:sz w:val="22"/>
        </w:rPr>
        <w:t xml:space="preserve"> de 2022. </w:t>
      </w:r>
    </w:p>
    <w:p w14:paraId="5EBED641" w14:textId="77777777" w:rsidR="008A7C1A" w:rsidRPr="00481068" w:rsidRDefault="008A7C1A" w:rsidP="008A7C1A">
      <w:pPr>
        <w:spacing w:line="276" w:lineRule="auto"/>
        <w:jc w:val="both"/>
        <w:rPr>
          <w:rFonts w:ascii="Arial" w:eastAsia="Calibri" w:hAnsi="Arial" w:cs="Arial"/>
          <w:sz w:val="22"/>
        </w:rPr>
      </w:pPr>
    </w:p>
    <w:p w14:paraId="5A2E5EF8" w14:textId="77777777" w:rsidR="008A7C1A" w:rsidRPr="00481068" w:rsidRDefault="008A7C1A" w:rsidP="008A7C1A">
      <w:pPr>
        <w:tabs>
          <w:tab w:val="left" w:pos="284"/>
        </w:tabs>
        <w:spacing w:line="276" w:lineRule="auto"/>
        <w:jc w:val="both"/>
        <w:rPr>
          <w:rFonts w:ascii="Arial" w:eastAsia="Calibri" w:hAnsi="Arial" w:cs="Arial"/>
          <w:b/>
          <w:sz w:val="22"/>
        </w:rPr>
      </w:pPr>
      <w:r w:rsidRPr="00481068">
        <w:rPr>
          <w:rFonts w:ascii="Arial" w:eastAsia="Calibri" w:hAnsi="Arial" w:cs="Arial"/>
          <w:b/>
          <w:sz w:val="22"/>
        </w:rPr>
        <w:t xml:space="preserve">1. Problema planteado </w:t>
      </w:r>
    </w:p>
    <w:p w14:paraId="3FFE2463" w14:textId="77777777" w:rsidR="008A7C1A" w:rsidRDefault="008A7C1A" w:rsidP="008A7C1A">
      <w:pPr>
        <w:pStyle w:val="NormalWeb"/>
        <w:jc w:val="both"/>
        <w:rPr>
          <w:rFonts w:ascii="Arial" w:hAnsi="Arial" w:cs="Arial"/>
          <w:color w:val="000000"/>
          <w:sz w:val="22"/>
          <w:szCs w:val="22"/>
          <w:lang w:val="es-ES_tradnl"/>
        </w:rPr>
      </w:pPr>
      <w:bookmarkStart w:id="7" w:name="_Hlk58917991"/>
      <w:bookmarkStart w:id="8" w:name="_Hlk56103000"/>
      <w:bookmarkStart w:id="9" w:name="_Hlk98832248"/>
      <w:bookmarkStart w:id="10" w:name="_Hlk94514883"/>
      <w:r>
        <w:rPr>
          <w:rFonts w:ascii="Arial" w:hAnsi="Arial" w:cs="Arial"/>
          <w:color w:val="000000"/>
          <w:sz w:val="22"/>
          <w:szCs w:val="22"/>
          <w:lang w:val="es-ES_tradnl"/>
        </w:rPr>
        <w:t xml:space="preserve">Usted realiza la siguiente pregunta con base en la aplicación de las restricciones de la Ley de Garantías: </w:t>
      </w:r>
    </w:p>
    <w:p w14:paraId="13C6D112" w14:textId="77777777" w:rsidR="008A7C1A" w:rsidRPr="001E43FC" w:rsidRDefault="008A7C1A" w:rsidP="008A7C1A">
      <w:pPr>
        <w:pStyle w:val="NormalWeb"/>
        <w:spacing w:after="0" w:afterAutospacing="0"/>
        <w:ind w:left="709" w:right="709"/>
        <w:jc w:val="both"/>
        <w:rPr>
          <w:rFonts w:ascii="Arial" w:hAnsi="Arial" w:cs="Arial"/>
          <w:color w:val="000000"/>
          <w:sz w:val="22"/>
          <w:szCs w:val="22"/>
          <w:lang w:val="es-ES_tradnl"/>
        </w:rPr>
      </w:pPr>
      <w:r w:rsidRPr="000F1AC2">
        <w:rPr>
          <w:rFonts w:ascii="Arial" w:hAnsi="Arial" w:cs="Arial"/>
          <w:sz w:val="21"/>
          <w:szCs w:val="21"/>
        </w:rPr>
        <w:t xml:space="preserve">«Llego ante ustedes muy cordialmente solicitando concepto sobre si las empresas de servicios públicos domiciliarios del orden territorial (municipal) con patrimonio 100% público que prestan los servicios públicos de acueducto y alcantarillado pueden realizar contratación directa para garantizar la correcta prestación de los servicios durante la ley de garantías. En nuestro caso actualmente presentamos </w:t>
      </w:r>
      <w:r w:rsidRPr="000F1AC2">
        <w:rPr>
          <w:rFonts w:ascii="Arial" w:hAnsi="Arial" w:cs="Arial"/>
          <w:sz w:val="21"/>
          <w:szCs w:val="21"/>
        </w:rPr>
        <w:lastRenderedPageBreak/>
        <w:t>una contingencia sanitaria en el servicio público de alcantarillado debido a las lluvias presentadas la cual requiere la contratación directa con el fin de subsanar dicha contingencia.»</w:t>
      </w:r>
    </w:p>
    <w:bookmarkEnd w:id="7"/>
    <w:bookmarkEnd w:id="8"/>
    <w:bookmarkEnd w:id="9"/>
    <w:bookmarkEnd w:id="10"/>
    <w:p w14:paraId="4D4F509E" w14:textId="77777777" w:rsidR="008A7C1A" w:rsidRDefault="008A7C1A" w:rsidP="008A7C1A">
      <w:pPr>
        <w:tabs>
          <w:tab w:val="left" w:pos="284"/>
        </w:tabs>
        <w:spacing w:line="276" w:lineRule="auto"/>
        <w:jc w:val="both"/>
        <w:rPr>
          <w:rFonts w:ascii="Arial" w:eastAsia="Calibri" w:hAnsi="Arial" w:cs="Arial"/>
          <w:b/>
          <w:sz w:val="22"/>
        </w:rPr>
      </w:pPr>
    </w:p>
    <w:p w14:paraId="76D49643" w14:textId="77777777" w:rsidR="008A7C1A" w:rsidRDefault="008A7C1A" w:rsidP="008A7C1A">
      <w:pPr>
        <w:tabs>
          <w:tab w:val="left" w:pos="284"/>
        </w:tabs>
        <w:spacing w:line="276" w:lineRule="auto"/>
        <w:jc w:val="both"/>
        <w:rPr>
          <w:rFonts w:ascii="Arial" w:eastAsia="Calibri" w:hAnsi="Arial" w:cs="Arial"/>
          <w:b/>
          <w:sz w:val="22"/>
        </w:rPr>
      </w:pPr>
      <w:r w:rsidRPr="00481068">
        <w:rPr>
          <w:rFonts w:ascii="Arial" w:eastAsia="Calibri" w:hAnsi="Arial" w:cs="Arial"/>
          <w:b/>
          <w:sz w:val="22"/>
        </w:rPr>
        <w:t>2. Consideraciones</w:t>
      </w:r>
    </w:p>
    <w:p w14:paraId="54957283" w14:textId="77777777" w:rsidR="008A7C1A" w:rsidRPr="00481068" w:rsidRDefault="008A7C1A" w:rsidP="008A7C1A">
      <w:pPr>
        <w:tabs>
          <w:tab w:val="left" w:pos="426"/>
        </w:tabs>
        <w:spacing w:line="276" w:lineRule="auto"/>
        <w:ind w:firstLine="709"/>
        <w:jc w:val="both"/>
        <w:rPr>
          <w:rFonts w:ascii="Arial" w:eastAsia="Calibri" w:hAnsi="Arial" w:cs="Arial"/>
          <w:bCs/>
          <w:sz w:val="22"/>
        </w:rPr>
      </w:pPr>
    </w:p>
    <w:p w14:paraId="0456F445" w14:textId="77777777" w:rsidR="008A7C1A" w:rsidRPr="00481068" w:rsidRDefault="008A7C1A" w:rsidP="008A7C1A">
      <w:pPr>
        <w:spacing w:line="276" w:lineRule="auto"/>
        <w:jc w:val="both"/>
        <w:rPr>
          <w:rFonts w:ascii="Arial" w:eastAsia="Calibri" w:hAnsi="Arial" w:cs="Arial"/>
          <w:color w:val="000000"/>
          <w:sz w:val="22"/>
        </w:rPr>
      </w:pPr>
      <w:r w:rsidRPr="00481068">
        <w:rPr>
          <w:rFonts w:ascii="Arial" w:eastAsia="Calibri" w:hAnsi="Arial" w:cs="Arial"/>
          <w:color w:val="000000"/>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481068">
        <w:rPr>
          <w:rFonts w:ascii="Arial" w:eastAsia="Calibri" w:hAnsi="Arial" w:cs="Arial"/>
          <w:color w:val="000000"/>
          <w:sz w:val="22"/>
          <w:vertAlign w:val="superscript"/>
        </w:rPr>
        <w:footnoteReference w:id="1"/>
      </w:r>
      <w:r w:rsidRPr="00481068">
        <w:rPr>
          <w:rFonts w:ascii="Arial" w:eastAsia="Calibri" w:hAnsi="Arial" w:cs="Arial"/>
          <w:color w:val="000000"/>
          <w:sz w:val="22"/>
        </w:rPr>
        <w:t>. Es necesario tener en cuenta que esta entidad solo tiene competencia para responder solicitudes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 de todos los partícipes de la contratación estatal.</w:t>
      </w:r>
    </w:p>
    <w:p w14:paraId="16E5A507" w14:textId="77777777" w:rsidR="008A7C1A" w:rsidRPr="00481068" w:rsidRDefault="008A7C1A" w:rsidP="008A7C1A">
      <w:pPr>
        <w:spacing w:before="120" w:line="276" w:lineRule="auto"/>
        <w:ind w:firstLine="708"/>
        <w:jc w:val="both"/>
        <w:rPr>
          <w:rFonts w:ascii="Arial" w:eastAsia="Calibri" w:hAnsi="Arial" w:cs="Arial"/>
          <w:color w:val="000000"/>
          <w:sz w:val="22"/>
        </w:rPr>
      </w:pPr>
      <w:r w:rsidRPr="00481068">
        <w:rPr>
          <w:rFonts w:ascii="Arial" w:eastAsia="Calibri" w:hAnsi="Arial" w:cs="Arial"/>
          <w:color w:val="000000"/>
          <w:sz w:val="22"/>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02F8CC99" w14:textId="77777777" w:rsidR="008A7C1A" w:rsidRPr="00481068" w:rsidRDefault="008A7C1A" w:rsidP="008A7C1A">
      <w:pPr>
        <w:spacing w:before="120" w:line="276" w:lineRule="auto"/>
        <w:ind w:firstLine="708"/>
        <w:jc w:val="both"/>
        <w:rPr>
          <w:rFonts w:ascii="Arial" w:eastAsia="Calibri" w:hAnsi="Arial" w:cs="Arial"/>
          <w:color w:val="000000"/>
          <w:sz w:val="22"/>
        </w:rPr>
      </w:pPr>
      <w:r w:rsidRPr="00481068">
        <w:rPr>
          <w:rFonts w:ascii="Arial" w:eastAsia="Calibri" w:hAnsi="Arial" w:cs="Arial"/>
          <w:bCs/>
          <w:color w:val="000000"/>
          <w:sz w:val="22"/>
          <w:lang w:eastAsia="es-CO"/>
        </w:rPr>
        <w:t xml:space="preserve">Bajo estas consideraciones, corresponde a cada entidad pública, en ejercicio de su competencia y previa valoración de los elementos fácticos y jurídicos, determinar si es procedente o no la celebración de un determinado contrato en específico. Al tratarse de un análisis que se debe realizar en cada caso concreto, la Agencia, por vía consultiva, no puede definir un criterio universal y absoluto, sino que brinda elementos hermenéuticos de carácter </w:t>
      </w:r>
      <w:r w:rsidRPr="00481068">
        <w:rPr>
          <w:rFonts w:ascii="Arial" w:eastAsia="Calibri" w:hAnsi="Arial" w:cs="Arial"/>
          <w:bCs/>
          <w:color w:val="000000"/>
          <w:sz w:val="22"/>
          <w:lang w:eastAsia="es-CO"/>
        </w:rPr>
        <w:lastRenderedPageBreak/>
        <w:t>general para que los partícipes del sistema de compras y contratación pública adopten la decisión que corresponda, lo cual es acorde con el principio de juridicidad.</w:t>
      </w:r>
    </w:p>
    <w:p w14:paraId="1DCDAEE6" w14:textId="77777777" w:rsidR="008A7C1A" w:rsidRPr="00481068" w:rsidRDefault="008A7C1A" w:rsidP="008A7C1A">
      <w:pPr>
        <w:spacing w:before="120" w:line="276" w:lineRule="auto"/>
        <w:ind w:firstLine="708"/>
        <w:jc w:val="both"/>
        <w:rPr>
          <w:rFonts w:ascii="Arial" w:eastAsia="Calibri" w:hAnsi="Arial" w:cs="Arial"/>
          <w:color w:val="000000"/>
          <w:sz w:val="22"/>
        </w:rPr>
      </w:pPr>
      <w:r w:rsidRPr="00481068">
        <w:rPr>
          <w:rFonts w:ascii="Arial" w:eastAsia="Calibri" w:hAnsi="Arial" w:cs="Arial"/>
          <w:color w:val="000000"/>
          <w:sz w:val="22"/>
        </w:rPr>
        <w:t xml:space="preserve">Sin perjuicio de lo anterior, </w:t>
      </w:r>
      <w:r w:rsidRPr="00481068">
        <w:rPr>
          <w:rFonts w:ascii="Arial" w:eastAsia="Calibri" w:hAnsi="Arial" w:cs="Arial"/>
          <w:color w:val="000000"/>
          <w:sz w:val="22"/>
          <w:lang w:val="es-ES"/>
        </w:rPr>
        <w:t xml:space="preserve">la Agencia –dentro de los límites de sus atribuciones, esto es, </w:t>
      </w:r>
      <w:bookmarkStart w:id="11" w:name="_Hlk61025408"/>
      <w:r w:rsidRPr="00481068">
        <w:rPr>
          <w:rFonts w:ascii="Arial" w:eastAsia="Calibri" w:hAnsi="Arial" w:cs="Arial"/>
          <w:color w:val="000000"/>
          <w:sz w:val="22"/>
          <w:lang w:val="es-ES"/>
        </w:rPr>
        <w:t>haciendo abstracción del caso particular expuesto por el peticionario</w:t>
      </w:r>
      <w:bookmarkEnd w:id="11"/>
      <w:r w:rsidRPr="00481068">
        <w:rPr>
          <w:rFonts w:ascii="Arial" w:eastAsia="Calibri" w:hAnsi="Arial" w:cs="Arial"/>
          <w:color w:val="000000"/>
          <w:sz w:val="22"/>
          <w:lang w:val="es-ES"/>
        </w:rPr>
        <w:t xml:space="preserve">– resolverá la consulta conforme a las normas generales en materia de contratación estatal. </w:t>
      </w:r>
      <w:r w:rsidRPr="00481068">
        <w:rPr>
          <w:rFonts w:ascii="Arial" w:eastAsia="Calibri" w:hAnsi="Arial" w:cs="Arial"/>
          <w:color w:val="000000" w:themeColor="text1"/>
          <w:sz w:val="22"/>
          <w:lang w:val="es-ES"/>
        </w:rPr>
        <w:t>Con este objetivo se analizarán los siguientes temas</w:t>
      </w:r>
      <w:r w:rsidRPr="00481068">
        <w:rPr>
          <w:rFonts w:ascii="Arial" w:eastAsia="Calibri" w:hAnsi="Arial" w:cs="Arial"/>
          <w:color w:val="000000"/>
          <w:sz w:val="22"/>
        </w:rPr>
        <w:t xml:space="preserve">: </w:t>
      </w:r>
      <w:r w:rsidRPr="00481068">
        <w:rPr>
          <w:rFonts w:ascii="Arial" w:eastAsia="Calibri" w:hAnsi="Arial" w:cs="Arial"/>
          <w:color w:val="000000"/>
          <w:sz w:val="22"/>
          <w:lang w:val="es-ES_tradnl"/>
        </w:rPr>
        <w:t xml:space="preserve">i) </w:t>
      </w:r>
      <w:r w:rsidRPr="00831FFE">
        <w:rPr>
          <w:rFonts w:ascii="Arial" w:eastAsia="Calibri" w:hAnsi="Arial" w:cs="Arial"/>
          <w:sz w:val="22"/>
          <w:lang w:val="es-ES_tradnl"/>
        </w:rPr>
        <w:t>Definición y finalidad de la Ley de Garantías Electorales: alcance de las restricciones</w:t>
      </w:r>
      <w:r w:rsidRPr="00831FFE">
        <w:rPr>
          <w:rFonts w:ascii="Arial" w:eastAsia="Calibri" w:hAnsi="Arial" w:cs="Arial"/>
          <w:color w:val="000000"/>
          <w:sz w:val="22"/>
          <w:lang w:val="es-ES_tradnl"/>
        </w:rPr>
        <w:t xml:space="preserve"> «Ley de Garantías Electorales»–,</w:t>
      </w:r>
      <w:r w:rsidRPr="00481068">
        <w:rPr>
          <w:rFonts w:ascii="Arial" w:eastAsia="Calibri" w:hAnsi="Arial" w:cs="Arial"/>
          <w:color w:val="000000"/>
          <w:sz w:val="22"/>
          <w:lang w:val="es-ES_tradnl"/>
        </w:rPr>
        <w:t xml:space="preserve"> ii) restricciones especiales aplicables de cara a las elecciones presidenciales</w:t>
      </w:r>
      <w:r>
        <w:rPr>
          <w:rFonts w:ascii="Arial" w:eastAsia="Calibri" w:hAnsi="Arial" w:cs="Arial"/>
          <w:color w:val="000000"/>
          <w:sz w:val="22"/>
          <w:lang w:val="es-ES_tradnl"/>
        </w:rPr>
        <w:t>, iii) destinatarios de las restricción del artículo 33 y</w:t>
      </w:r>
      <w:r w:rsidRPr="00481068">
        <w:rPr>
          <w:rFonts w:ascii="Arial" w:eastAsia="Calibri" w:hAnsi="Arial" w:cs="Arial"/>
          <w:color w:val="000000"/>
          <w:sz w:val="22"/>
          <w:lang w:val="es-ES_tradnl"/>
        </w:rPr>
        <w:t xml:space="preserve"> </w:t>
      </w:r>
      <w:r>
        <w:rPr>
          <w:rFonts w:ascii="Arial" w:eastAsia="Calibri" w:hAnsi="Arial" w:cs="Arial"/>
          <w:color w:val="000000"/>
          <w:sz w:val="22"/>
          <w:lang w:val="es-ES_tradnl"/>
        </w:rPr>
        <w:t>iv</w:t>
      </w:r>
      <w:r w:rsidRPr="00481068">
        <w:rPr>
          <w:rFonts w:ascii="Arial" w:eastAsia="Calibri" w:hAnsi="Arial" w:cs="Arial"/>
          <w:color w:val="000000"/>
          <w:sz w:val="22"/>
          <w:lang w:val="es-ES_tradnl"/>
        </w:rPr>
        <w:t xml:space="preserve">) </w:t>
      </w:r>
      <w:r>
        <w:rPr>
          <w:rFonts w:ascii="Arial" w:hAnsi="Arial" w:cs="Arial"/>
          <w:sz w:val="22"/>
        </w:rPr>
        <w:t>n</w:t>
      </w:r>
      <w:r w:rsidRPr="00831FFE">
        <w:rPr>
          <w:rFonts w:ascii="Arial" w:hAnsi="Arial" w:cs="Arial"/>
          <w:sz w:val="22"/>
        </w:rPr>
        <w:t>aturaleza y régimen jurídicos contractual de las empresas oficiales prestadoras de servicios públicos domiciliarios: aplicación del artículo 33 de la Ley de garantías</w:t>
      </w:r>
      <w:r>
        <w:rPr>
          <w:rFonts w:ascii="Arial" w:hAnsi="Arial" w:cs="Arial"/>
          <w:sz w:val="22"/>
        </w:rPr>
        <w:t xml:space="preserve">. </w:t>
      </w:r>
    </w:p>
    <w:p w14:paraId="76BB7290" w14:textId="77777777" w:rsidR="008A7C1A" w:rsidRPr="00807DCD" w:rsidRDefault="008A7C1A" w:rsidP="008A7C1A">
      <w:pPr>
        <w:tabs>
          <w:tab w:val="left" w:pos="426"/>
        </w:tabs>
        <w:spacing w:before="120" w:line="276" w:lineRule="auto"/>
        <w:ind w:firstLine="709"/>
        <w:jc w:val="both"/>
        <w:rPr>
          <w:rFonts w:ascii="Arial" w:hAnsi="Arial" w:cs="Arial"/>
          <w:sz w:val="22"/>
        </w:rPr>
      </w:pPr>
      <w:r w:rsidRPr="00481068">
        <w:rPr>
          <w:rFonts w:ascii="Arial" w:eastAsia="Calibri" w:hAnsi="Arial" w:cs="Arial"/>
          <w:color w:val="000000"/>
          <w:sz w:val="22"/>
        </w:rPr>
        <w:t xml:space="preserve"> La Agencia Nacional de Contratación Pública – Colombia Compra Eficiente se ha pronunciado en diferentes ocasiones sobre la Ley de Garantías Electorales,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4201912000006552 del 07 de noviembre de 2019, 4201913000006604 del 17 de diciembre de 2019,  C-227 del 24 de mayo de 2021 y 396 del 13 de agosto de 2021, C-429 del 27 de agosto de 2021, C-456 del 3 de septiembre, C-481 del 9 de septiembre de 2021, C- 528 del 27 de septiembre de 2021, C-550 del 5 de octubre de 2021, C-523 del 10 de octubre de 2021, C-614 del 2 de noviembre de 2021 y C-543 del 11 de noviembre de 2021, C-633 del 11 de noviembre de 2021, 681 del 7 de diciembre de 2021, C-686 del 21 de diciembre de 2021, C-697 del 3 de enero de 2022, C-009 del 15 de febrero de 2022, C-005 del 16 de febrero de  2022, C-014 del 18 de febrero de 2022, C- 022 del 21 de febrero de 2022, C-045 del 3 de marzo de 2022, C-064 del 8 de marzo de 2022, C-072 del 11 de marzo de 2022, C-097 del 18 de febrero de 2022, C-116 del 18 de febrero de 2022 y C-077 del 17 de marzo de 2022, entre otros</w:t>
      </w:r>
      <w:bookmarkStart w:id="12" w:name="_Hlk102372764"/>
      <w:bookmarkStart w:id="13" w:name="_Hlk102372981"/>
      <w:r>
        <w:rPr>
          <w:rFonts w:ascii="Arial" w:eastAsia="Calibri" w:hAnsi="Arial" w:cs="Arial"/>
          <w:sz w:val="22"/>
        </w:rPr>
        <w:t>, p</w:t>
      </w:r>
      <w:r w:rsidRPr="00481068">
        <w:rPr>
          <w:rFonts w:ascii="Arial" w:eastAsia="Calibri" w:hAnsi="Arial" w:cs="Arial"/>
          <w:sz w:val="22"/>
        </w:rPr>
        <w:t>or tanto,</w:t>
      </w:r>
      <w:r w:rsidRPr="00481068">
        <w:rPr>
          <w:rFonts w:ascii="Arial" w:eastAsia="Calibri" w:hAnsi="Arial" w:cs="Arial"/>
          <w:sz w:val="22"/>
          <w:lang w:val="es-ES"/>
        </w:rPr>
        <w:t xml:space="preserve"> la tesis desarrollada en </w:t>
      </w:r>
      <w:r>
        <w:rPr>
          <w:rFonts w:ascii="Arial" w:eastAsia="Calibri" w:hAnsi="Arial" w:cs="Arial"/>
          <w:sz w:val="22"/>
          <w:lang w:val="es-ES"/>
        </w:rPr>
        <w:t xml:space="preserve">ellos </w:t>
      </w:r>
      <w:r w:rsidRPr="00481068">
        <w:rPr>
          <w:rFonts w:ascii="Arial" w:eastAsia="Calibri" w:hAnsi="Arial" w:cs="Arial"/>
          <w:sz w:val="22"/>
          <w:lang w:val="es-ES"/>
        </w:rPr>
        <w:t>se reitera a continuación</w:t>
      </w:r>
      <w:bookmarkEnd w:id="12"/>
      <w:r w:rsidRPr="00481068">
        <w:rPr>
          <w:rFonts w:ascii="Arial" w:eastAsia="Calibri" w:hAnsi="Arial" w:cs="Arial"/>
          <w:sz w:val="22"/>
          <w:lang w:val="es-ES"/>
        </w:rPr>
        <w:t>:</w:t>
      </w:r>
    </w:p>
    <w:bookmarkEnd w:id="13"/>
    <w:p w14:paraId="1026FA52" w14:textId="77777777" w:rsidR="008A7C1A" w:rsidRDefault="008A7C1A" w:rsidP="008A7C1A">
      <w:pPr>
        <w:tabs>
          <w:tab w:val="left" w:pos="426"/>
        </w:tabs>
        <w:spacing w:line="276" w:lineRule="auto"/>
        <w:jc w:val="both"/>
        <w:rPr>
          <w:rFonts w:ascii="Arial" w:eastAsia="Calibri" w:hAnsi="Arial" w:cs="Arial"/>
          <w:b/>
          <w:bCs/>
          <w:sz w:val="22"/>
          <w:lang w:val="es-ES_tradnl"/>
        </w:rPr>
      </w:pPr>
    </w:p>
    <w:p w14:paraId="425DE6F1" w14:textId="77777777" w:rsidR="008A7C1A" w:rsidRPr="00481068" w:rsidRDefault="008A7C1A" w:rsidP="008A7C1A">
      <w:pPr>
        <w:tabs>
          <w:tab w:val="left" w:pos="426"/>
        </w:tabs>
        <w:spacing w:line="276" w:lineRule="auto"/>
        <w:jc w:val="both"/>
        <w:rPr>
          <w:rFonts w:ascii="Arial" w:eastAsia="Calibri" w:hAnsi="Arial" w:cs="Arial"/>
          <w:b/>
          <w:bCs/>
          <w:sz w:val="22"/>
          <w:lang w:val="es-ES_tradnl"/>
        </w:rPr>
      </w:pPr>
      <w:r w:rsidRPr="00481068">
        <w:rPr>
          <w:rFonts w:ascii="Arial" w:eastAsia="Calibri" w:hAnsi="Arial" w:cs="Arial"/>
          <w:b/>
          <w:bCs/>
          <w:sz w:val="22"/>
          <w:lang w:val="es-ES_tradnl"/>
        </w:rPr>
        <w:t>2.1. Definición y finalidad de la Ley de Garantías Electorales: alcance de las restricciones</w:t>
      </w:r>
    </w:p>
    <w:p w14:paraId="27718C83" w14:textId="77777777" w:rsidR="008A7C1A" w:rsidRPr="00481068" w:rsidRDefault="008A7C1A" w:rsidP="008A7C1A">
      <w:pPr>
        <w:tabs>
          <w:tab w:val="left" w:pos="426"/>
        </w:tabs>
        <w:spacing w:line="276" w:lineRule="auto"/>
        <w:ind w:firstLine="709"/>
        <w:jc w:val="both"/>
        <w:rPr>
          <w:rFonts w:ascii="Arial" w:eastAsia="Calibri" w:hAnsi="Arial" w:cs="Arial"/>
          <w:bCs/>
          <w:sz w:val="22"/>
          <w:lang w:val="es-ES_tradnl"/>
        </w:rPr>
      </w:pPr>
    </w:p>
    <w:p w14:paraId="4A2832B7" w14:textId="77777777" w:rsidR="008A7C1A" w:rsidRPr="00481068" w:rsidRDefault="008A7C1A" w:rsidP="008A7C1A">
      <w:pPr>
        <w:tabs>
          <w:tab w:val="left" w:pos="426"/>
        </w:tabs>
        <w:spacing w:after="120" w:line="276" w:lineRule="auto"/>
        <w:jc w:val="both"/>
        <w:rPr>
          <w:rFonts w:ascii="Arial" w:hAnsi="Arial" w:cs="Arial"/>
          <w:bCs/>
          <w:sz w:val="22"/>
          <w:lang w:eastAsia="es-CO"/>
        </w:rPr>
      </w:pPr>
      <w:r w:rsidRPr="00481068">
        <w:rPr>
          <w:rFonts w:ascii="Arial" w:eastAsia="Calibri" w:hAnsi="Arial" w:cs="Arial"/>
          <w:bCs/>
          <w:sz w:val="22"/>
        </w:rPr>
        <w:t>El ordenamiento jurídico colombiano contempla previsiones claras para evitar la obtención de beneficios personales en asuntos propios de la administración pública</w:t>
      </w:r>
      <w:r w:rsidRPr="00481068">
        <w:rPr>
          <w:rFonts w:ascii="Arial" w:eastAsia="Calibri" w:hAnsi="Arial" w:cs="Arial"/>
          <w:bCs/>
          <w:i/>
          <w:iCs/>
          <w:sz w:val="22"/>
        </w:rPr>
        <w:t xml:space="preserve">. </w:t>
      </w:r>
      <w:r w:rsidRPr="00481068">
        <w:rPr>
          <w:rFonts w:ascii="Arial" w:eastAsia="Calibri" w:hAnsi="Arial" w:cs="Arial"/>
          <w:bCs/>
          <w:sz w:val="22"/>
        </w:rPr>
        <w:t xml:space="preserve">Por ejemplo, el artículo 127 de la Constitución Política establece una prohibición contractual a los servidores públicos </w:t>
      </w:r>
      <w:r w:rsidRPr="00481068">
        <w:rPr>
          <w:rFonts w:ascii="Arial" w:eastAsia="Calibri" w:hAnsi="Arial" w:cs="Arial"/>
          <w:bCs/>
          <w:sz w:val="22"/>
        </w:rPr>
        <w:lastRenderedPageBreak/>
        <w:t>y en cuanto a aspectos políticos consagra restricciones a ciertos empleados del Estado, incluso en época no electoral</w:t>
      </w:r>
      <w:r w:rsidRPr="00481068">
        <w:rPr>
          <w:rFonts w:ascii="Arial" w:eastAsia="Calibri" w:hAnsi="Arial" w:cs="Arial"/>
          <w:bCs/>
          <w:sz w:val="22"/>
          <w:vertAlign w:val="superscript"/>
        </w:rPr>
        <w:footnoteReference w:id="2"/>
      </w:r>
      <w:r w:rsidRPr="00481068">
        <w:rPr>
          <w:rFonts w:ascii="Arial" w:eastAsia="Calibri" w:hAnsi="Arial" w:cs="Arial"/>
          <w:bCs/>
          <w:sz w:val="22"/>
        </w:rPr>
        <w:t xml:space="preserve">. </w:t>
      </w:r>
    </w:p>
    <w:p w14:paraId="032E6802" w14:textId="77777777" w:rsidR="008A7C1A" w:rsidRPr="00481068" w:rsidRDefault="008A7C1A" w:rsidP="008A7C1A">
      <w:pPr>
        <w:tabs>
          <w:tab w:val="left" w:pos="426"/>
        </w:tabs>
        <w:spacing w:line="276" w:lineRule="auto"/>
        <w:ind w:firstLine="709"/>
        <w:jc w:val="both"/>
        <w:rPr>
          <w:rFonts w:ascii="Arial" w:hAnsi="Arial" w:cs="Arial"/>
          <w:bCs/>
          <w:sz w:val="22"/>
          <w:lang w:eastAsia="es-CO"/>
        </w:rPr>
      </w:pPr>
      <w:r w:rsidRPr="00481068">
        <w:rPr>
          <w:rFonts w:ascii="Arial" w:hAnsi="Arial" w:cs="Arial"/>
          <w:bCs/>
          <w:sz w:val="22"/>
          <w:lang w:eastAsia="es-CO"/>
        </w:rPr>
        <w:t xml:space="preserve">En el mismo sentido, </w:t>
      </w:r>
      <w:bookmarkStart w:id="14" w:name="_Hlk99576829"/>
      <w:r w:rsidRPr="00481068">
        <w:rPr>
          <w:rFonts w:ascii="Arial" w:hAnsi="Arial" w:cs="Arial"/>
          <w:bCs/>
          <w:sz w:val="22"/>
          <w:lang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481068">
        <w:rPr>
          <w:rFonts w:ascii="Arial" w:hAnsi="Arial" w:cs="Arial"/>
          <w:bCs/>
          <w:sz w:val="22"/>
          <w:vertAlign w:val="superscript"/>
          <w:lang w:eastAsia="es-CO"/>
        </w:rPr>
        <w:footnoteReference w:id="3"/>
      </w:r>
      <w:r w:rsidRPr="00481068">
        <w:rPr>
          <w:rFonts w:ascii="Arial" w:hAnsi="Arial" w:cs="Arial"/>
          <w:bCs/>
          <w:sz w:val="22"/>
          <w:lang w:eastAsia="es-CO"/>
        </w:rPr>
        <w:t>. En esta medida, introduce limitaciones para realizar nombramientos, postulaciones, contrataciones o cualquier otro tipo de actividad que implique destinación de recursos públicos bajo el devenir propio de las entidades estatales.</w:t>
      </w:r>
      <w:r w:rsidRPr="00481068">
        <w:rPr>
          <w:rFonts w:ascii="Arial" w:eastAsia="Calibri" w:hAnsi="Arial" w:cs="Arial"/>
          <w:noProof/>
          <w:sz w:val="22"/>
          <w:lang w:val="es-ES_tradnl"/>
        </w:rPr>
        <w:t xml:space="preserve"> </w:t>
      </w:r>
      <w:bookmarkEnd w:id="14"/>
      <w:r w:rsidRPr="00481068">
        <w:rPr>
          <w:rFonts w:ascii="Arial" w:hAnsi="Arial" w:cs="Arial"/>
          <w:bCs/>
          <w:sz w:val="22"/>
          <w:lang w:eastAsia="es-CO"/>
        </w:rPr>
        <w:t>En armonía con lo anterior, la Corte Constitucional ha abordado la definición de la Ley de Garantías Electorales. De esta manera, explica que tiene como propósito:</w:t>
      </w:r>
    </w:p>
    <w:p w14:paraId="2658B9D1" w14:textId="77777777" w:rsidR="008A7C1A" w:rsidRPr="00481068" w:rsidRDefault="008A7C1A" w:rsidP="008A7C1A">
      <w:pPr>
        <w:spacing w:line="276" w:lineRule="auto"/>
        <w:ind w:right="709"/>
        <w:contextualSpacing/>
        <w:jc w:val="both"/>
        <w:rPr>
          <w:rFonts w:ascii="Arial" w:hAnsi="Arial" w:cs="Arial"/>
          <w:sz w:val="22"/>
          <w:lang w:val="es-ES" w:eastAsia="es-CO"/>
        </w:rPr>
      </w:pPr>
    </w:p>
    <w:p w14:paraId="34DD5D65" w14:textId="77777777" w:rsidR="008A7C1A" w:rsidRPr="00481068" w:rsidRDefault="008A7C1A" w:rsidP="008A7C1A">
      <w:pPr>
        <w:ind w:left="709" w:right="709"/>
        <w:contextualSpacing/>
        <w:jc w:val="both"/>
        <w:rPr>
          <w:rFonts w:ascii="Arial" w:hAnsi="Arial" w:cs="Arial"/>
          <w:bCs/>
          <w:sz w:val="21"/>
          <w:szCs w:val="21"/>
          <w:lang w:eastAsia="es-CO"/>
        </w:rPr>
      </w:pPr>
      <w:r w:rsidRPr="006337DF">
        <w:rPr>
          <w:rFonts w:ascii="Arial" w:hAnsi="Arial" w:cs="Arial"/>
          <w:sz w:val="21"/>
          <w:szCs w:val="21"/>
        </w:rPr>
        <w:t>«</w:t>
      </w:r>
      <w:r w:rsidRPr="00481068">
        <w:rPr>
          <w:rFonts w:ascii="Arial" w:hAnsi="Arial" w:cs="Arial"/>
          <w:sz w:val="21"/>
          <w:szCs w:val="21"/>
          <w:lang w:val="es-ES" w:eastAsia="es-CO"/>
        </w:rPr>
        <w:t xml:space="preserve">[…] </w:t>
      </w:r>
      <w:r w:rsidRPr="00481068">
        <w:rPr>
          <w:rFonts w:ascii="Arial" w:hAnsi="Arial" w:cs="Arial"/>
          <w:bCs/>
          <w:sz w:val="21"/>
          <w:szCs w:val="21"/>
          <w:lang w:eastAsia="es-CO"/>
        </w:rPr>
        <w:t>la definición de reglas claras que permitan acceder a los canales de expresión democrática de manera efectiva e igualitaria. El objetivo de una ley de garantías es definir esas reglas.</w:t>
      </w:r>
    </w:p>
    <w:p w14:paraId="2B54CDB3" w14:textId="77777777" w:rsidR="008A7C1A" w:rsidRPr="00481068" w:rsidRDefault="008A7C1A" w:rsidP="008A7C1A">
      <w:pPr>
        <w:ind w:left="709" w:right="709"/>
        <w:contextualSpacing/>
        <w:jc w:val="both"/>
        <w:rPr>
          <w:rFonts w:ascii="Arial" w:hAnsi="Arial" w:cs="Arial"/>
          <w:bCs/>
          <w:sz w:val="21"/>
          <w:szCs w:val="21"/>
          <w:lang w:eastAsia="es-CO"/>
        </w:rPr>
      </w:pPr>
      <w:r w:rsidRPr="00481068">
        <w:rPr>
          <w:rFonts w:ascii="Arial" w:hAnsi="Arial" w:cs="Arial"/>
          <w:bCs/>
          <w:sz w:val="21"/>
          <w:szCs w:val="21"/>
          <w:lang w:eastAsia="es-CO"/>
        </w:rPr>
        <w:t xml:space="preserve">[…] </w:t>
      </w:r>
    </w:p>
    <w:p w14:paraId="6F6415FB" w14:textId="77777777" w:rsidR="008A7C1A" w:rsidRPr="00481068" w:rsidRDefault="008A7C1A" w:rsidP="008A7C1A">
      <w:pPr>
        <w:ind w:right="709"/>
        <w:contextualSpacing/>
        <w:jc w:val="both"/>
        <w:rPr>
          <w:rFonts w:ascii="Arial" w:hAnsi="Arial" w:cs="Arial"/>
          <w:bCs/>
          <w:sz w:val="21"/>
          <w:szCs w:val="21"/>
          <w:lang w:eastAsia="es-CO"/>
        </w:rPr>
      </w:pPr>
    </w:p>
    <w:p w14:paraId="6DAC22BC" w14:textId="77777777" w:rsidR="008A7C1A" w:rsidRPr="00481068" w:rsidRDefault="008A7C1A" w:rsidP="008A7C1A">
      <w:pPr>
        <w:ind w:left="709" w:right="709"/>
        <w:contextualSpacing/>
        <w:jc w:val="both"/>
        <w:rPr>
          <w:rFonts w:ascii="Arial" w:hAnsi="Arial" w:cs="Arial"/>
          <w:bCs/>
          <w:sz w:val="21"/>
          <w:szCs w:val="21"/>
          <w:lang w:eastAsia="es-CO"/>
        </w:rPr>
      </w:pPr>
      <w:r w:rsidRPr="00481068">
        <w:rPr>
          <w:rFonts w:ascii="Arial" w:hAnsi="Arial" w:cs="Arial"/>
          <w:bCs/>
          <w:sz w:val="21"/>
          <w:szCs w:val="21"/>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6337DF">
        <w:rPr>
          <w:rFonts w:ascii="Arial" w:hAnsi="Arial" w:cs="Arial"/>
          <w:sz w:val="21"/>
          <w:szCs w:val="21"/>
        </w:rPr>
        <w:t>»</w:t>
      </w:r>
      <w:r w:rsidRPr="00481068">
        <w:rPr>
          <w:rFonts w:ascii="Arial" w:eastAsia="Calibri" w:hAnsi="Arial" w:cs="Arial"/>
          <w:sz w:val="20"/>
          <w:szCs w:val="20"/>
          <w:vertAlign w:val="superscript"/>
        </w:rPr>
        <w:footnoteReference w:id="4"/>
      </w:r>
    </w:p>
    <w:p w14:paraId="7FBD7D81" w14:textId="77777777" w:rsidR="008A7C1A" w:rsidRPr="00481068" w:rsidRDefault="008A7C1A" w:rsidP="008A7C1A">
      <w:pPr>
        <w:spacing w:line="276" w:lineRule="auto"/>
        <w:ind w:left="709" w:right="709"/>
        <w:contextualSpacing/>
        <w:jc w:val="both"/>
        <w:rPr>
          <w:rFonts w:ascii="Arial" w:hAnsi="Arial" w:cs="Arial"/>
          <w:bCs/>
          <w:sz w:val="22"/>
          <w:lang w:eastAsia="es-CO"/>
        </w:rPr>
      </w:pPr>
    </w:p>
    <w:p w14:paraId="2384BDC5" w14:textId="77777777" w:rsidR="008A7C1A" w:rsidRPr="00481068" w:rsidRDefault="008A7C1A" w:rsidP="008A7C1A">
      <w:pPr>
        <w:spacing w:line="276" w:lineRule="auto"/>
        <w:ind w:firstLine="709"/>
        <w:jc w:val="both"/>
        <w:rPr>
          <w:rFonts w:ascii="Arial" w:hAnsi="Arial" w:cs="Arial"/>
          <w:bCs/>
          <w:sz w:val="22"/>
          <w:lang w:eastAsia="es-CO"/>
        </w:rPr>
      </w:pPr>
      <w:bookmarkStart w:id="15" w:name="_Hlk78818186"/>
      <w:r w:rsidRPr="00481068">
        <w:rPr>
          <w:rFonts w:ascii="Arial" w:hAnsi="Arial" w:cs="Arial"/>
          <w:bCs/>
          <w:sz w:val="22"/>
          <w:lang w:eastAsia="es-CO"/>
        </w:rPr>
        <w:lastRenderedPageBreak/>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5"/>
      <w:r w:rsidRPr="00481068">
        <w:rPr>
          <w:rFonts w:ascii="Arial" w:hAnsi="Arial" w:cs="Arial"/>
          <w:bCs/>
          <w:sz w:val="22"/>
          <w:lang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3670E471" w14:textId="77777777" w:rsidR="008A7C1A" w:rsidRPr="00481068" w:rsidRDefault="008A7C1A" w:rsidP="008A7C1A">
      <w:pPr>
        <w:spacing w:line="276" w:lineRule="auto"/>
        <w:ind w:firstLine="709"/>
        <w:contextualSpacing/>
        <w:jc w:val="both"/>
        <w:rPr>
          <w:rFonts w:ascii="Arial" w:hAnsi="Arial" w:cs="Arial"/>
          <w:bCs/>
          <w:sz w:val="22"/>
          <w:lang w:eastAsia="es-CO"/>
        </w:rPr>
      </w:pPr>
    </w:p>
    <w:p w14:paraId="23F88D88" w14:textId="77777777" w:rsidR="008A7C1A" w:rsidRPr="00481068" w:rsidRDefault="008A7C1A" w:rsidP="008A7C1A">
      <w:pPr>
        <w:ind w:left="709" w:right="709"/>
        <w:contextualSpacing/>
        <w:jc w:val="both"/>
        <w:rPr>
          <w:rFonts w:ascii="Arial" w:hAnsi="Arial" w:cs="Arial"/>
          <w:bCs/>
          <w:sz w:val="21"/>
          <w:szCs w:val="21"/>
          <w:lang w:eastAsia="es-CO"/>
        </w:rPr>
      </w:pPr>
      <w:r w:rsidRPr="006337DF">
        <w:rPr>
          <w:rFonts w:ascii="Arial" w:hAnsi="Arial" w:cs="Arial"/>
          <w:sz w:val="21"/>
          <w:szCs w:val="21"/>
        </w:rPr>
        <w:t>«</w:t>
      </w:r>
      <w:r w:rsidRPr="00481068">
        <w:rPr>
          <w:rFonts w:ascii="Arial" w:hAnsi="Arial" w:cs="Arial"/>
          <w:bCs/>
          <w:sz w:val="21"/>
          <w:szCs w:val="21"/>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115A6304" w14:textId="77777777" w:rsidR="008A7C1A" w:rsidRPr="00481068" w:rsidRDefault="008A7C1A" w:rsidP="008A7C1A">
      <w:pPr>
        <w:ind w:left="709" w:right="709"/>
        <w:contextualSpacing/>
        <w:jc w:val="both"/>
        <w:rPr>
          <w:rFonts w:ascii="Arial" w:hAnsi="Arial" w:cs="Arial"/>
          <w:bCs/>
          <w:sz w:val="21"/>
          <w:szCs w:val="21"/>
          <w:lang w:eastAsia="es-CO"/>
        </w:rPr>
      </w:pPr>
    </w:p>
    <w:p w14:paraId="5395444D" w14:textId="77777777" w:rsidR="008A7C1A" w:rsidRPr="00481068" w:rsidRDefault="008A7C1A" w:rsidP="008A7C1A">
      <w:pPr>
        <w:ind w:left="709" w:right="709"/>
        <w:contextualSpacing/>
        <w:jc w:val="both"/>
        <w:rPr>
          <w:rFonts w:ascii="Arial" w:hAnsi="Arial" w:cs="Arial"/>
          <w:bCs/>
          <w:sz w:val="21"/>
          <w:szCs w:val="21"/>
          <w:lang w:eastAsia="es-CO"/>
        </w:rPr>
      </w:pPr>
      <w:r w:rsidRPr="00481068">
        <w:rPr>
          <w:rFonts w:ascii="Arial" w:hAnsi="Arial" w:cs="Arial"/>
          <w:bCs/>
          <w:sz w:val="21"/>
          <w:szCs w:val="21"/>
          <w:lang w:eastAsia="es-CO"/>
        </w:rPr>
        <w:t>La jurisprudencia de la Corte Constitucional</w:t>
      </w:r>
      <w:r w:rsidRPr="00481068">
        <w:rPr>
          <w:rFonts w:ascii="Arial" w:hAnsi="Arial" w:cs="Arial"/>
          <w:bCs/>
          <w:sz w:val="21"/>
          <w:szCs w:val="21"/>
          <w:vertAlign w:val="superscript"/>
          <w:lang w:eastAsia="es-CO"/>
        </w:rPr>
        <w:footnoteReference w:id="5"/>
      </w:r>
      <w:r w:rsidRPr="00481068">
        <w:rPr>
          <w:rFonts w:ascii="Arial" w:hAnsi="Arial" w:cs="Arial"/>
          <w:bCs/>
          <w:sz w:val="21"/>
          <w:szCs w:val="21"/>
          <w:lang w:eastAsia="es-CO"/>
        </w:rPr>
        <w:t> y del Consejo de Estado</w:t>
      </w:r>
      <w:r w:rsidRPr="00481068">
        <w:rPr>
          <w:rFonts w:ascii="Arial" w:hAnsi="Arial" w:cs="Arial"/>
          <w:bCs/>
          <w:sz w:val="21"/>
          <w:szCs w:val="21"/>
          <w:vertAlign w:val="superscript"/>
          <w:lang w:eastAsia="es-CO"/>
        </w:rPr>
        <w:footnoteReference w:id="6"/>
      </w:r>
      <w:r w:rsidRPr="00481068">
        <w:rPr>
          <w:rFonts w:ascii="Arial" w:hAnsi="Arial" w:cs="Arial"/>
          <w:bCs/>
          <w:sz w:val="21"/>
          <w:szCs w:val="21"/>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Arial" w:hAnsi="Arial" w:cs="Arial"/>
          <w:sz w:val="21"/>
          <w:szCs w:val="21"/>
        </w:rPr>
        <w:t>.</w:t>
      </w:r>
      <w:r w:rsidRPr="006337DF">
        <w:rPr>
          <w:rFonts w:ascii="Arial" w:hAnsi="Arial" w:cs="Arial"/>
          <w:sz w:val="21"/>
          <w:szCs w:val="21"/>
        </w:rPr>
        <w:t>»</w:t>
      </w:r>
      <w:r w:rsidRPr="00481068">
        <w:rPr>
          <w:rFonts w:ascii="Arial" w:hAnsi="Arial" w:cs="Arial"/>
          <w:bCs/>
          <w:vertAlign w:val="superscript"/>
          <w:lang w:eastAsia="es-CO"/>
        </w:rPr>
        <w:footnoteReference w:id="7"/>
      </w:r>
    </w:p>
    <w:p w14:paraId="206A327D" w14:textId="77777777" w:rsidR="008A7C1A" w:rsidRPr="00481068" w:rsidRDefault="008A7C1A" w:rsidP="008A7C1A">
      <w:pPr>
        <w:spacing w:line="276" w:lineRule="auto"/>
        <w:ind w:right="709"/>
        <w:contextualSpacing/>
        <w:jc w:val="both"/>
        <w:rPr>
          <w:rFonts w:ascii="Arial" w:hAnsi="Arial" w:cs="Arial"/>
          <w:bCs/>
          <w:sz w:val="22"/>
          <w:lang w:eastAsia="es-CO"/>
        </w:rPr>
      </w:pPr>
    </w:p>
    <w:p w14:paraId="251FAA32" w14:textId="77777777" w:rsidR="008A7C1A" w:rsidRPr="00481068" w:rsidRDefault="008A7C1A" w:rsidP="008A7C1A">
      <w:pPr>
        <w:spacing w:after="120" w:line="276" w:lineRule="auto"/>
        <w:jc w:val="both"/>
        <w:rPr>
          <w:rFonts w:ascii="Arial" w:eastAsia="Arial" w:hAnsi="Arial" w:cs="Arial"/>
          <w:sz w:val="22"/>
          <w:lang w:val="es-ES" w:eastAsia="es-ES" w:bidi="es-ES"/>
        </w:rPr>
      </w:pPr>
      <w:r w:rsidRPr="00481068">
        <w:rPr>
          <w:rFonts w:ascii="Arial" w:hAnsi="Arial" w:cs="Arial"/>
          <w:bCs/>
          <w:sz w:val="22"/>
          <w:lang w:eastAsia="es-CO"/>
        </w:rPr>
        <w:lastRenderedPageBreak/>
        <w:tab/>
        <w:t>De</w:t>
      </w:r>
      <w:r w:rsidRPr="00481068">
        <w:rPr>
          <w:rFonts w:ascii="Arial" w:eastAsia="Arial" w:hAnsi="Arial" w:cs="Arial"/>
          <w:sz w:val="22"/>
          <w:lang w:val="es-ES" w:eastAsia="es-ES" w:bidi="es-ES"/>
        </w:rPr>
        <w:t xml:space="preserve"> conformidad con lo anterior, </w:t>
      </w:r>
      <w:bookmarkStart w:id="16" w:name="_Hlk77236098"/>
      <w:r w:rsidRPr="00481068">
        <w:rPr>
          <w:rFonts w:ascii="Arial" w:eastAsia="Arial" w:hAnsi="Arial" w:cs="Arial"/>
          <w:sz w:val="22"/>
          <w:lang w:val="es-ES" w:eastAsia="es-ES" w:bidi="es-ES"/>
        </w:rPr>
        <w:t>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16"/>
    </w:p>
    <w:p w14:paraId="4AD11043" w14:textId="77777777" w:rsidR="008A7C1A" w:rsidRPr="00481068" w:rsidRDefault="008A7C1A" w:rsidP="008A7C1A">
      <w:pPr>
        <w:spacing w:after="120" w:line="276" w:lineRule="auto"/>
        <w:ind w:firstLine="708"/>
        <w:jc w:val="both"/>
        <w:rPr>
          <w:rFonts w:ascii="Arial" w:eastAsia="Calibri" w:hAnsi="Arial" w:cs="Arial"/>
          <w:sz w:val="22"/>
        </w:rPr>
      </w:pPr>
      <w:r w:rsidRPr="00481068">
        <w:rPr>
          <w:rFonts w:ascii="Arial" w:eastAsia="Calibri" w:hAnsi="Arial" w:cs="Arial"/>
          <w:sz w:val="22"/>
        </w:rPr>
        <w:t xml:space="preserve">Por un lado, el artículo 33 de la Ley 996 de 2005 prohíbe </w:t>
      </w:r>
      <w:r w:rsidRPr="00481068">
        <w:rPr>
          <w:rFonts w:ascii="Arial" w:eastAsia="Calibri" w:hAnsi="Arial" w:cs="Arial"/>
          <w:bCs/>
          <w:sz w:val="22"/>
        </w:rPr>
        <w:t xml:space="preserve">«[…] </w:t>
      </w:r>
      <w:r w:rsidRPr="00481068">
        <w:rPr>
          <w:rFonts w:ascii="Arial" w:eastAsia="Calibri" w:hAnsi="Arial" w:cs="Arial"/>
          <w:sz w:val="22"/>
        </w:rPr>
        <w:t>la contratación directa por parte de todos los entes del Estado</w:t>
      </w:r>
      <w:r w:rsidRPr="00481068">
        <w:rPr>
          <w:rFonts w:ascii="Arial" w:eastAsia="Calibri" w:hAnsi="Arial" w:cs="Arial"/>
          <w:bCs/>
          <w:sz w:val="22"/>
        </w:rPr>
        <w:t>»</w:t>
      </w:r>
      <w:r w:rsidRPr="00481068">
        <w:rPr>
          <w:rFonts w:ascii="Arial" w:eastAsia="Calibri" w:hAnsi="Arial" w:cs="Arial"/>
          <w:sz w:val="22"/>
        </w:rPr>
        <w:t xml:space="preserve"> durante los cuatro (4) meses anteriores a las elecciones presidenciales, salvo </w:t>
      </w:r>
      <w:r w:rsidRPr="00481068">
        <w:rPr>
          <w:rFonts w:ascii="Arial" w:eastAsia="Calibri" w:hAnsi="Arial" w:cs="Arial"/>
          <w:bCs/>
          <w:sz w:val="22"/>
        </w:rPr>
        <w:t xml:space="preserve">«[…] </w:t>
      </w:r>
      <w:r w:rsidRPr="00481068">
        <w:rPr>
          <w:rFonts w:ascii="Arial" w:eastAsia="Calibri" w:hAnsi="Arial" w:cs="Arial"/>
          <w:sz w:val="22"/>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81068">
        <w:rPr>
          <w:rFonts w:ascii="Arial" w:eastAsia="Calibri" w:hAnsi="Arial" w:cs="Arial"/>
          <w:bCs/>
          <w:sz w:val="22"/>
        </w:rPr>
        <w:t>»</w:t>
      </w:r>
      <w:r w:rsidRPr="00481068">
        <w:rPr>
          <w:rFonts w:ascii="Arial" w:eastAsia="Calibri" w:hAnsi="Arial" w:cs="Arial"/>
          <w:bCs/>
          <w:sz w:val="22"/>
          <w:vertAlign w:val="superscript"/>
        </w:rPr>
        <w:footnoteReference w:id="8"/>
      </w:r>
      <w:r w:rsidRPr="00481068">
        <w:rPr>
          <w:rFonts w:ascii="Arial" w:eastAsia="Calibri" w:hAnsi="Arial" w:cs="Arial"/>
          <w:sz w:val="22"/>
        </w:rPr>
        <w:t>.</w:t>
      </w:r>
    </w:p>
    <w:p w14:paraId="5169BAD9" w14:textId="77777777" w:rsidR="008A7C1A" w:rsidRPr="00481068" w:rsidRDefault="008A7C1A" w:rsidP="008A7C1A">
      <w:pPr>
        <w:widowControl w:val="0"/>
        <w:autoSpaceDE w:val="0"/>
        <w:autoSpaceDN w:val="0"/>
        <w:spacing w:line="276" w:lineRule="auto"/>
        <w:ind w:right="113" w:firstLine="708"/>
        <w:contextualSpacing/>
        <w:jc w:val="both"/>
        <w:rPr>
          <w:rFonts w:ascii="Arial" w:eastAsia="Arial" w:hAnsi="Arial" w:cs="Arial"/>
          <w:sz w:val="22"/>
          <w:lang w:val="es-ES" w:eastAsia="es-ES" w:bidi="es-ES"/>
        </w:rPr>
      </w:pPr>
      <w:r w:rsidRPr="00481068">
        <w:rPr>
          <w:rFonts w:ascii="Arial" w:eastAsia="Calibri" w:hAnsi="Arial" w:cs="Arial"/>
          <w:sz w:val="22"/>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481068">
        <w:rPr>
          <w:rFonts w:ascii="Arial" w:eastAsia="Calibri" w:hAnsi="Arial" w:cs="Arial"/>
          <w:bCs/>
          <w:sz w:val="22"/>
        </w:rPr>
        <w:t xml:space="preserve">«[…] </w:t>
      </w:r>
      <w:r w:rsidRPr="00481068">
        <w:rPr>
          <w:rFonts w:ascii="Arial" w:eastAsia="Calibri" w:hAnsi="Arial" w:cs="Arial"/>
          <w:sz w:val="22"/>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481068">
        <w:rPr>
          <w:rFonts w:ascii="Arial" w:eastAsia="Calibri" w:hAnsi="Arial" w:cs="Arial"/>
          <w:bCs/>
          <w:sz w:val="22"/>
        </w:rPr>
        <w:t>»</w:t>
      </w:r>
      <w:r w:rsidRPr="00481068">
        <w:rPr>
          <w:rFonts w:ascii="Arial" w:eastAsia="Calibri" w:hAnsi="Arial" w:cs="Arial"/>
          <w:bCs/>
          <w:sz w:val="22"/>
          <w:vertAlign w:val="superscript"/>
        </w:rPr>
        <w:footnoteReference w:id="9"/>
      </w:r>
      <w:r w:rsidRPr="00481068">
        <w:rPr>
          <w:rFonts w:ascii="Arial" w:eastAsia="Calibri" w:hAnsi="Arial" w:cs="Arial"/>
          <w:sz w:val="22"/>
        </w:rPr>
        <w:t>.</w:t>
      </w:r>
      <w:r w:rsidRPr="00481068">
        <w:rPr>
          <w:rFonts w:ascii="Arial" w:eastAsia="Arial" w:hAnsi="Arial" w:cs="Arial"/>
          <w:sz w:val="22"/>
          <w:lang w:val="es-ES" w:eastAsia="es-ES" w:bidi="es-ES"/>
        </w:rPr>
        <w:t xml:space="preserve"> La Sala de </w:t>
      </w:r>
      <w:r w:rsidRPr="00481068">
        <w:rPr>
          <w:rFonts w:ascii="Arial" w:eastAsia="Arial" w:hAnsi="Arial" w:cs="Arial"/>
          <w:sz w:val="22"/>
          <w:lang w:val="es-ES" w:eastAsia="es-ES" w:bidi="es-ES"/>
        </w:rPr>
        <w:lastRenderedPageBreak/>
        <w:t>Consulta y Servicio Civil del Consejo de Estado ha aclarado la distinción en la aplicación de las prohibiciones de la Ley 996 de 2005, dependiendo del tipo de elección que se trate. Al respecto, considera que:</w:t>
      </w:r>
    </w:p>
    <w:p w14:paraId="6031EEDF" w14:textId="77777777" w:rsidR="008A7C1A" w:rsidRPr="00481068" w:rsidRDefault="008A7C1A" w:rsidP="008A7C1A">
      <w:pPr>
        <w:widowControl w:val="0"/>
        <w:autoSpaceDE w:val="0"/>
        <w:autoSpaceDN w:val="0"/>
        <w:spacing w:line="276" w:lineRule="auto"/>
        <w:ind w:left="805" w:right="812"/>
        <w:contextualSpacing/>
        <w:jc w:val="both"/>
        <w:rPr>
          <w:rFonts w:ascii="Arial" w:eastAsia="Arial" w:hAnsi="Arial" w:cs="Arial"/>
          <w:sz w:val="22"/>
          <w:lang w:val="es-ES" w:eastAsia="es-ES" w:bidi="es-ES"/>
        </w:rPr>
      </w:pPr>
    </w:p>
    <w:p w14:paraId="76A5CB42" w14:textId="77777777" w:rsidR="008A7C1A" w:rsidRPr="00481068" w:rsidRDefault="008A7C1A" w:rsidP="008A7C1A">
      <w:pPr>
        <w:widowControl w:val="0"/>
        <w:autoSpaceDE w:val="0"/>
        <w:autoSpaceDN w:val="0"/>
        <w:ind w:left="709" w:right="709"/>
        <w:contextualSpacing/>
        <w:jc w:val="both"/>
        <w:rPr>
          <w:rFonts w:ascii="Arial" w:eastAsia="Arial" w:hAnsi="Arial" w:cs="Arial"/>
          <w:sz w:val="21"/>
          <w:szCs w:val="21"/>
          <w:lang w:val="es-ES" w:eastAsia="es-ES" w:bidi="es-ES"/>
        </w:rPr>
      </w:pPr>
      <w:r w:rsidRPr="006337DF">
        <w:rPr>
          <w:rFonts w:ascii="Arial" w:hAnsi="Arial" w:cs="Arial"/>
          <w:sz w:val="21"/>
          <w:szCs w:val="21"/>
        </w:rPr>
        <w:t>«</w:t>
      </w:r>
      <w:r w:rsidRPr="00481068">
        <w:rPr>
          <w:rFonts w:ascii="Arial" w:eastAsia="Arial" w:hAnsi="Arial" w:cs="Arial"/>
          <w:sz w:val="21"/>
          <w:szCs w:val="21"/>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9" w:name="_Hlk76109421"/>
      <w:r w:rsidRPr="00481068">
        <w:rPr>
          <w:rFonts w:ascii="Arial" w:eastAsia="Arial" w:hAnsi="Arial" w:cs="Arial"/>
          <w:sz w:val="21"/>
          <w:szCs w:val="21"/>
          <w:lang w:val="es-ES" w:eastAsia="es-ES" w:bidi="es-ES"/>
        </w:rPr>
        <w:t>se integran parcialmente</w:t>
      </w:r>
      <w:bookmarkEnd w:id="19"/>
      <w:r w:rsidRPr="00481068">
        <w:rPr>
          <w:rFonts w:ascii="Arial" w:eastAsia="Arial" w:hAnsi="Arial" w:cs="Arial"/>
          <w:sz w:val="21"/>
          <w:szCs w:val="21"/>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481068">
        <w:rPr>
          <w:rFonts w:ascii="Arial" w:eastAsia="Arial" w:hAnsi="Arial" w:cs="Arial"/>
          <w:bCs/>
          <w:sz w:val="21"/>
          <w:szCs w:val="21"/>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481068">
        <w:rPr>
          <w:rFonts w:ascii="Arial" w:eastAsia="Arial" w:hAnsi="Arial" w:cs="Arial"/>
          <w:sz w:val="21"/>
          <w:szCs w:val="21"/>
          <w:lang w:val="es-ES" w:eastAsia="es-ES" w:bidi="es-ES"/>
        </w:rPr>
        <w:t>.</w:t>
      </w:r>
      <w:r w:rsidRPr="006337DF">
        <w:rPr>
          <w:rFonts w:ascii="Arial" w:hAnsi="Arial" w:cs="Arial"/>
          <w:sz w:val="21"/>
          <w:szCs w:val="21"/>
        </w:rPr>
        <w:t>»</w:t>
      </w:r>
      <w:r w:rsidRPr="00481068">
        <w:rPr>
          <w:rFonts w:ascii="Arial" w:eastAsia="Arial" w:hAnsi="Arial" w:cs="Arial"/>
          <w:sz w:val="21"/>
          <w:szCs w:val="21"/>
          <w:vertAlign w:val="superscript"/>
          <w:lang w:val="es-ES" w:eastAsia="es-ES" w:bidi="es-ES"/>
        </w:rPr>
        <w:footnoteReference w:id="10"/>
      </w:r>
    </w:p>
    <w:p w14:paraId="5173928B" w14:textId="77777777" w:rsidR="008A7C1A" w:rsidRPr="00481068" w:rsidRDefault="008A7C1A" w:rsidP="008A7C1A">
      <w:pPr>
        <w:widowControl w:val="0"/>
        <w:autoSpaceDE w:val="0"/>
        <w:autoSpaceDN w:val="0"/>
        <w:spacing w:line="276" w:lineRule="auto"/>
        <w:contextualSpacing/>
        <w:rPr>
          <w:rFonts w:ascii="Arial" w:eastAsia="Arial" w:hAnsi="Arial" w:cs="Arial"/>
          <w:sz w:val="22"/>
          <w:lang w:val="es-ES" w:eastAsia="es-ES" w:bidi="es-ES"/>
        </w:rPr>
      </w:pPr>
    </w:p>
    <w:p w14:paraId="59C9CA2B" w14:textId="77777777" w:rsidR="008A7C1A" w:rsidRPr="00481068" w:rsidRDefault="008A7C1A" w:rsidP="008A7C1A">
      <w:pPr>
        <w:spacing w:after="120" w:line="276" w:lineRule="auto"/>
        <w:ind w:firstLine="709"/>
        <w:jc w:val="both"/>
        <w:rPr>
          <w:rFonts w:ascii="Arial" w:eastAsia="Arial" w:hAnsi="Arial" w:cs="Arial"/>
          <w:sz w:val="22"/>
          <w:lang w:val="es-ES" w:eastAsia="es-ES" w:bidi="es-ES"/>
        </w:rPr>
      </w:pPr>
      <w:r w:rsidRPr="00481068">
        <w:rPr>
          <w:rFonts w:ascii="Arial" w:eastAsia="Arial" w:hAnsi="Arial" w:cs="Arial"/>
          <w:sz w:val="22"/>
          <w:lang w:val="es-ES" w:eastAsia="es-ES" w:bidi="es-ES"/>
        </w:rPr>
        <w:t xml:space="preserve">De conformidad con lo anterior, </w:t>
      </w:r>
      <w:bookmarkStart w:id="20" w:name="_Hlk77236420"/>
      <w:bookmarkStart w:id="21" w:name="_Hlk78818435"/>
      <w:bookmarkStart w:id="22" w:name="_Hlk75780333"/>
      <w:r w:rsidRPr="00481068">
        <w:rPr>
          <w:rFonts w:ascii="Arial" w:eastAsia="Arial" w:hAnsi="Arial" w:cs="Arial"/>
          <w:sz w:val="22"/>
          <w:lang w:val="es-ES" w:eastAsia="es-ES" w:bidi="es-ES"/>
        </w:rPr>
        <w:t xml:space="preserve">la Ley 996 de 2005 establece dos (2) tipos de restricciones en materia de contratación, las cuales coinciden parcialmente. </w:t>
      </w:r>
      <w:r w:rsidRPr="00481068">
        <w:rPr>
          <w:rFonts w:ascii="Arial" w:eastAsia="Arial" w:hAnsi="Arial" w:cs="Arial"/>
          <w:i/>
          <w:iCs/>
          <w:sz w:val="22"/>
          <w:lang w:val="es-ES" w:eastAsia="es-ES" w:bidi="es-ES"/>
        </w:rPr>
        <w:t>En primer lugar</w:t>
      </w:r>
      <w:r w:rsidRPr="00481068">
        <w:rPr>
          <w:rFonts w:ascii="Arial" w:eastAsia="Arial" w:hAnsi="Arial" w:cs="Arial"/>
          <w:sz w:val="22"/>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481068">
        <w:rPr>
          <w:rFonts w:ascii="Arial" w:eastAsia="Arial" w:hAnsi="Arial" w:cs="Arial"/>
          <w:i/>
          <w:iCs/>
          <w:sz w:val="22"/>
          <w:lang w:val="es-ES" w:eastAsia="es-ES" w:bidi="es-ES"/>
        </w:rPr>
        <w:t>En segundo lugar</w:t>
      </w:r>
      <w:r w:rsidRPr="00481068">
        <w:rPr>
          <w:rFonts w:ascii="Arial" w:eastAsia="Arial" w:hAnsi="Arial" w:cs="Arial"/>
          <w:sz w:val="22"/>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20"/>
    </w:p>
    <w:bookmarkEnd w:id="21"/>
    <w:p w14:paraId="2D5DAE23" w14:textId="77777777" w:rsidR="008A7C1A" w:rsidRPr="00481068" w:rsidRDefault="008A7C1A" w:rsidP="008A7C1A">
      <w:pPr>
        <w:spacing w:after="120" w:line="276" w:lineRule="auto"/>
        <w:ind w:firstLine="709"/>
        <w:jc w:val="both"/>
        <w:rPr>
          <w:rFonts w:ascii="Arial" w:eastAsia="Arial" w:hAnsi="Arial" w:cs="Arial"/>
          <w:sz w:val="22"/>
          <w:lang w:val="es-ES" w:eastAsia="es-ES" w:bidi="es-ES"/>
        </w:rPr>
      </w:pPr>
      <w:r w:rsidRPr="00481068">
        <w:rPr>
          <w:rFonts w:ascii="Arial" w:eastAsia="Arial" w:hAnsi="Arial" w:cs="Arial"/>
          <w:sz w:val="22"/>
          <w:lang w:val="es-ES" w:eastAsia="es-ES" w:bidi="es-ES"/>
        </w:rPr>
        <w:lastRenderedPageBreak/>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22"/>
    <w:p w14:paraId="7DEE385F" w14:textId="77777777" w:rsidR="008A7C1A" w:rsidRPr="00481068" w:rsidRDefault="008A7C1A" w:rsidP="008A7C1A">
      <w:pPr>
        <w:spacing w:before="120" w:line="276" w:lineRule="auto"/>
        <w:ind w:firstLine="708"/>
        <w:jc w:val="both"/>
        <w:rPr>
          <w:rFonts w:ascii="Arial" w:eastAsia="Arial" w:hAnsi="Arial" w:cs="Arial"/>
          <w:sz w:val="22"/>
          <w:lang w:val="es-ES_tradnl" w:eastAsia="es-ES" w:bidi="es-ES"/>
        </w:rPr>
      </w:pPr>
      <w:r w:rsidRPr="00481068">
        <w:rPr>
          <w:rFonts w:ascii="Arial" w:eastAsia="Arial" w:hAnsi="Arial" w:cs="Arial"/>
          <w:sz w:val="22"/>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36F5958A" w14:textId="77777777" w:rsidR="008A7C1A" w:rsidRPr="00481068" w:rsidRDefault="008A7C1A" w:rsidP="008A7C1A">
      <w:pPr>
        <w:spacing w:line="276" w:lineRule="auto"/>
        <w:jc w:val="both"/>
        <w:rPr>
          <w:rFonts w:ascii="Arial" w:eastAsia="Arial" w:hAnsi="Arial" w:cs="Arial"/>
          <w:sz w:val="22"/>
          <w:lang w:val="es-ES_tradnl" w:eastAsia="es-ES" w:bidi="es-ES"/>
        </w:rPr>
      </w:pPr>
    </w:p>
    <w:p w14:paraId="0676A0E2" w14:textId="77777777" w:rsidR="008A7C1A" w:rsidRPr="00481068" w:rsidRDefault="008A7C1A" w:rsidP="008A7C1A">
      <w:pPr>
        <w:spacing w:line="276" w:lineRule="auto"/>
        <w:jc w:val="both"/>
        <w:rPr>
          <w:rFonts w:ascii="Arial" w:eastAsia="Calibri" w:hAnsi="Arial" w:cs="Arial"/>
          <w:b/>
          <w:sz w:val="22"/>
          <w:lang w:val="es-ES_tradnl" w:eastAsia="es-CO"/>
        </w:rPr>
      </w:pPr>
      <w:r w:rsidRPr="00481068">
        <w:rPr>
          <w:rFonts w:ascii="Arial" w:eastAsia="Calibri" w:hAnsi="Arial" w:cs="Arial"/>
          <w:b/>
          <w:sz w:val="22"/>
          <w:lang w:val="es-ES_tradnl" w:eastAsia="es-CO"/>
        </w:rPr>
        <w:t xml:space="preserve">2.2. </w:t>
      </w:r>
      <w:r w:rsidRPr="00481068">
        <w:rPr>
          <w:rFonts w:ascii="Arial" w:eastAsia="Calibri" w:hAnsi="Arial" w:cs="Arial"/>
          <w:b/>
          <w:bCs/>
          <w:sz w:val="22"/>
          <w:lang w:val="es-ES_tradnl" w:eastAsia="es-CO"/>
        </w:rPr>
        <w:t>Restricciones en elecciones presidenciales: prohibición del artículo 33 de la Ley 996 de 2005</w:t>
      </w:r>
    </w:p>
    <w:p w14:paraId="1006B819" w14:textId="77777777" w:rsidR="008A7C1A" w:rsidRPr="00481068" w:rsidRDefault="008A7C1A" w:rsidP="008A7C1A">
      <w:pPr>
        <w:spacing w:line="276" w:lineRule="auto"/>
        <w:jc w:val="both"/>
        <w:rPr>
          <w:rFonts w:ascii="Arial" w:eastAsia="Calibri" w:hAnsi="Arial" w:cs="Arial"/>
          <w:bCs/>
          <w:sz w:val="22"/>
          <w:lang w:val="es-ES_tradnl" w:eastAsia="x-none"/>
        </w:rPr>
      </w:pPr>
    </w:p>
    <w:p w14:paraId="6CD1612F" w14:textId="77777777" w:rsidR="008A7C1A" w:rsidRPr="00481068" w:rsidRDefault="008A7C1A" w:rsidP="008A7C1A">
      <w:pPr>
        <w:spacing w:line="276" w:lineRule="auto"/>
        <w:jc w:val="both"/>
        <w:rPr>
          <w:rFonts w:ascii="Arial" w:eastAsia="Calibri" w:hAnsi="Arial" w:cs="Arial"/>
          <w:bCs/>
          <w:sz w:val="22"/>
          <w:lang w:val="es-ES_tradnl" w:eastAsia="es-CO"/>
        </w:rPr>
      </w:pPr>
      <w:r w:rsidRPr="00481068">
        <w:rPr>
          <w:rFonts w:ascii="Arial" w:eastAsia="Calibri" w:hAnsi="Arial" w:cs="Arial"/>
          <w:bCs/>
          <w:sz w:val="22"/>
          <w:lang w:val="es-ES_tradnl" w:eastAsia="x-none"/>
        </w:rPr>
        <w:t xml:space="preserve">El ámbito material de la prohibición contenida en el artículo 33 de la ley 996 de 2005 está delimitado por la expresión </w:t>
      </w:r>
      <w:r w:rsidRPr="00481068">
        <w:rPr>
          <w:rFonts w:ascii="Arial" w:eastAsia="Calibri" w:hAnsi="Arial" w:cs="Arial"/>
          <w:bCs/>
          <w:sz w:val="20"/>
          <w:szCs w:val="20"/>
          <w:lang w:val="es-ES_tradnl"/>
        </w:rPr>
        <w:t>«</w:t>
      </w:r>
      <w:r w:rsidRPr="00481068">
        <w:rPr>
          <w:rFonts w:ascii="Arial" w:eastAsia="Calibri" w:hAnsi="Arial" w:cs="Arial"/>
          <w:bCs/>
          <w:sz w:val="22"/>
          <w:lang w:val="es-ES_tradnl" w:eastAsia="x-none"/>
        </w:rPr>
        <w:t>queda prohibida la contratación directa</w:t>
      </w:r>
      <w:r w:rsidRPr="00481068">
        <w:rPr>
          <w:rFonts w:ascii="Arial" w:eastAsia="Calibri" w:hAnsi="Arial" w:cs="Arial"/>
          <w:sz w:val="20"/>
          <w:szCs w:val="20"/>
          <w:lang w:val="es-ES_tradnl"/>
        </w:rPr>
        <w:t>»</w:t>
      </w:r>
      <w:r w:rsidRPr="00481068">
        <w:rPr>
          <w:rFonts w:ascii="Arial" w:eastAsia="Calibri" w:hAnsi="Arial" w:cs="Arial"/>
          <w:bCs/>
          <w:sz w:val="22"/>
          <w:lang w:val="es-ES_tradnl" w:eastAsia="x-none"/>
        </w:rPr>
        <w:t xml:space="preserve">. </w:t>
      </w:r>
      <w:r w:rsidRPr="00481068">
        <w:rPr>
          <w:rFonts w:ascii="Arial" w:eastAsia="Calibri" w:hAnsi="Arial" w:cs="Arial"/>
          <w:sz w:val="22"/>
          <w:lang w:val="es-ES_tradnl" w:eastAsia="es-CO"/>
        </w:rPr>
        <w:t xml:space="preserve"> A propósito de esta restricción de la Ley de Garantías Electorales, la Sala de Consulta y Servicio Civil del Consejo de Estado ha considerado que:</w:t>
      </w:r>
    </w:p>
    <w:p w14:paraId="378A3A91" w14:textId="77777777" w:rsidR="008A7C1A" w:rsidRPr="00481068" w:rsidRDefault="008A7C1A" w:rsidP="008A7C1A">
      <w:pPr>
        <w:ind w:left="708" w:right="709"/>
        <w:jc w:val="both"/>
        <w:rPr>
          <w:rFonts w:ascii="Arial" w:eastAsia="Calibri" w:hAnsi="Arial" w:cs="Arial"/>
          <w:sz w:val="22"/>
          <w:lang w:val="es-ES_tradnl"/>
        </w:rPr>
      </w:pPr>
    </w:p>
    <w:p w14:paraId="4CF59522" w14:textId="77777777" w:rsidR="008A7C1A" w:rsidRPr="00481068" w:rsidRDefault="008A7C1A" w:rsidP="008A7C1A">
      <w:pPr>
        <w:spacing w:after="120"/>
        <w:ind w:left="709" w:right="709"/>
        <w:jc w:val="both"/>
        <w:rPr>
          <w:rFonts w:ascii="Arial" w:eastAsia="Calibri" w:hAnsi="Arial" w:cs="Arial"/>
          <w:sz w:val="21"/>
          <w:szCs w:val="21"/>
          <w:lang w:val="es-ES_tradnl"/>
        </w:rPr>
      </w:pPr>
      <w:r w:rsidRPr="006337DF">
        <w:rPr>
          <w:rFonts w:ascii="Arial" w:hAnsi="Arial" w:cs="Arial"/>
          <w:sz w:val="21"/>
          <w:szCs w:val="21"/>
        </w:rPr>
        <w:t>«</w:t>
      </w:r>
      <w:r w:rsidRPr="00481068">
        <w:rPr>
          <w:rFonts w:ascii="Arial" w:eastAsia="Calibri" w:hAnsi="Arial" w:cs="Arial"/>
          <w:sz w:val="21"/>
          <w:szCs w:val="21"/>
          <w:lang w:val="es-ES_tradnl"/>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481068">
        <w:rPr>
          <w:rFonts w:ascii="Arial" w:eastAsia="Calibri" w:hAnsi="Arial" w:cs="Arial"/>
          <w:sz w:val="21"/>
          <w:szCs w:val="21"/>
          <w:vertAlign w:val="superscript"/>
        </w:rPr>
        <w:footnoteReference w:id="11"/>
      </w:r>
      <w:r w:rsidRPr="00481068">
        <w:rPr>
          <w:rFonts w:ascii="Arial" w:eastAsia="Calibri" w:hAnsi="Arial" w:cs="Arial"/>
          <w:sz w:val="21"/>
          <w:szCs w:val="21"/>
          <w:lang w:val="es-ES_tradnl"/>
        </w:rPr>
        <w:t>.</w:t>
      </w:r>
    </w:p>
    <w:p w14:paraId="046705A2" w14:textId="77777777" w:rsidR="008A7C1A" w:rsidRPr="00481068" w:rsidRDefault="008A7C1A" w:rsidP="008A7C1A">
      <w:pPr>
        <w:ind w:left="708" w:right="709"/>
        <w:jc w:val="both"/>
        <w:rPr>
          <w:rFonts w:ascii="Arial" w:eastAsia="Calibri" w:hAnsi="Arial" w:cs="Arial"/>
          <w:sz w:val="21"/>
          <w:szCs w:val="21"/>
          <w:lang w:val="es-ES_tradnl"/>
        </w:rPr>
      </w:pPr>
      <w:r w:rsidRPr="00481068">
        <w:rPr>
          <w:rFonts w:ascii="Arial" w:eastAsia="Calibri" w:hAnsi="Arial" w:cs="Arial"/>
          <w:sz w:val="21"/>
          <w:szCs w:val="21"/>
          <w:lang w:val="es-ES_tradnl"/>
        </w:rPr>
        <w:t xml:space="preserve">Esta Sala ha entendido que para los efectos de la ley de garantías, y dada su finalidad, el enunciado ´contratación directa´ es sinónimo de cualquier sistema que no implique convocatoria pública y posibilidad de pluralidad de oferentes, y que, </w:t>
      </w:r>
      <w:r w:rsidRPr="00481068">
        <w:rPr>
          <w:rFonts w:ascii="Arial" w:eastAsia="Calibri" w:hAnsi="Arial" w:cs="Arial"/>
          <w:sz w:val="21"/>
          <w:szCs w:val="21"/>
          <w:lang w:val="es-ES_tradnl"/>
        </w:rPr>
        <w:lastRenderedPageBreak/>
        <w:t>además, no necesariamente hace referencia al procedimiento especial regulado por la ley de contratación estatal, sino a cualquier otro que prescinda de un proceso de licitación pública o concurso</w:t>
      </w:r>
      <w:r w:rsidRPr="00481068">
        <w:rPr>
          <w:rFonts w:ascii="Arial" w:eastAsia="Calibri" w:hAnsi="Arial" w:cs="Arial"/>
          <w:sz w:val="21"/>
          <w:szCs w:val="21"/>
          <w:vertAlign w:val="superscript"/>
        </w:rPr>
        <w:footnoteReference w:id="12"/>
      </w:r>
      <w:r w:rsidRPr="00481068">
        <w:rPr>
          <w:rFonts w:ascii="Arial" w:eastAsia="Calibri" w:hAnsi="Arial" w:cs="Arial"/>
          <w:sz w:val="21"/>
          <w:szCs w:val="21"/>
          <w:vertAlign w:val="superscript"/>
          <w:lang w:val="es-ES_tradnl"/>
        </w:rPr>
        <w:t>.</w:t>
      </w:r>
      <w:r w:rsidRPr="00481068">
        <w:rPr>
          <w:rFonts w:ascii="Arial" w:eastAsia="Calibri" w:hAnsi="Arial" w:cs="Arial"/>
          <w:sz w:val="21"/>
          <w:szCs w:val="21"/>
          <w:lang w:val="es-ES_tradnl"/>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Pr>
          <w:rFonts w:ascii="Arial" w:eastAsia="Calibri" w:hAnsi="Arial" w:cs="Arial"/>
          <w:sz w:val="21"/>
          <w:szCs w:val="21"/>
          <w:lang w:val="es-ES_tradnl"/>
        </w:rPr>
        <w:t>.</w:t>
      </w:r>
      <w:r w:rsidRPr="006337DF">
        <w:rPr>
          <w:rFonts w:ascii="Arial" w:hAnsi="Arial" w:cs="Arial"/>
          <w:sz w:val="21"/>
          <w:szCs w:val="21"/>
        </w:rPr>
        <w:t>»</w:t>
      </w:r>
      <w:r w:rsidRPr="00481068">
        <w:rPr>
          <w:rFonts w:ascii="Arial" w:eastAsia="Calibri" w:hAnsi="Arial" w:cs="Arial"/>
          <w:sz w:val="21"/>
          <w:szCs w:val="21"/>
          <w:vertAlign w:val="superscript"/>
        </w:rPr>
        <w:footnoteReference w:id="13"/>
      </w:r>
    </w:p>
    <w:p w14:paraId="7F4FC7E1" w14:textId="77777777" w:rsidR="008A7C1A" w:rsidRPr="00481068" w:rsidRDefault="008A7C1A" w:rsidP="008A7C1A">
      <w:pPr>
        <w:shd w:val="clear" w:color="auto" w:fill="FFFFFF"/>
        <w:spacing w:line="276" w:lineRule="auto"/>
        <w:ind w:firstLine="709"/>
        <w:jc w:val="both"/>
        <w:rPr>
          <w:rFonts w:ascii="Arial" w:eastAsia="Calibri" w:hAnsi="Arial" w:cs="Arial"/>
          <w:sz w:val="22"/>
          <w:lang w:val="es-ES_tradnl" w:eastAsia="x-none"/>
        </w:rPr>
      </w:pPr>
    </w:p>
    <w:p w14:paraId="32B3ED23" w14:textId="77777777" w:rsidR="008A7C1A" w:rsidRPr="00481068" w:rsidRDefault="008A7C1A" w:rsidP="008A7C1A">
      <w:pPr>
        <w:spacing w:line="276" w:lineRule="auto"/>
        <w:ind w:firstLine="708"/>
        <w:jc w:val="both"/>
        <w:rPr>
          <w:rFonts w:ascii="Arial" w:eastAsia="Calibri" w:hAnsi="Arial" w:cs="Arial"/>
          <w:bCs/>
          <w:sz w:val="22"/>
          <w:lang w:val="es-ES_tradnl" w:eastAsia="x-none"/>
        </w:rPr>
      </w:pPr>
      <w:r w:rsidRPr="00481068">
        <w:rPr>
          <w:rFonts w:ascii="Arial" w:eastAsia="Calibri" w:hAnsi="Arial" w:cs="Arial"/>
          <w:sz w:val="22"/>
          <w:lang w:val="es-ES_tradnl" w:eastAsia="x-none"/>
        </w:rPr>
        <w:t xml:space="preserve">De acuerdo con el citado concepto, la prohibición del artículo 33 de la Ley de Garantías Electorales se refiere a </w:t>
      </w:r>
      <w:r w:rsidRPr="00481068">
        <w:rPr>
          <w:rFonts w:ascii="Arial" w:eastAsia="Calibri" w:hAnsi="Arial" w:cs="Arial"/>
          <w:sz w:val="19"/>
          <w:szCs w:val="19"/>
          <w:lang w:val="es-ES_tradnl" w:eastAsia="en-GB"/>
        </w:rPr>
        <w:t>«</w:t>
      </w:r>
      <w:r w:rsidRPr="00481068">
        <w:rPr>
          <w:rFonts w:ascii="Arial" w:eastAsia="Calibri" w:hAnsi="Arial" w:cs="Arial"/>
          <w:sz w:val="22"/>
          <w:lang w:val="es-ES_tradnl" w:eastAsia="x-none"/>
        </w:rPr>
        <w:t>cualquier sistema que no implique convocatoria pública y posibilidad de pluralidad de oferentes</w:t>
      </w:r>
      <w:r w:rsidRPr="00481068">
        <w:rPr>
          <w:rFonts w:ascii="Arial" w:eastAsia="Calibri" w:hAnsi="Arial" w:cs="Arial"/>
          <w:sz w:val="22"/>
          <w:lang w:val="es-ES_tradnl" w:eastAsia="en-GB"/>
        </w:rPr>
        <w:t>»</w:t>
      </w:r>
      <w:r w:rsidRPr="00481068">
        <w:rPr>
          <w:rFonts w:ascii="Arial" w:eastAsia="Calibri" w:hAnsi="Arial" w:cs="Arial"/>
          <w:sz w:val="22"/>
          <w:lang w:val="es-ES_tradnl" w:eastAsia="x-none"/>
        </w:rPr>
        <w:t>, por lo que excluye las demás modalidades de contratación previstas en la Ley 1150 de 2007, es decir, la licitación pública, la selección abreviada, el concurso de méritos y la mínima cuantía u otros previstos en normas especiales, que contemplen en alguna de sus etapas la posible participación de pluralidad de oferentes. Esta posición es congruente con la expedición de la Ley 1150 de 2007 que, entre otras reformas, introdujo la selección abreviada, rediseñó el concurso de méritos</w:t>
      </w:r>
      <w:r w:rsidRPr="00481068">
        <w:rPr>
          <w:rFonts w:ascii="Arial" w:eastAsia="Calibri" w:hAnsi="Arial" w:cs="Arial"/>
          <w:sz w:val="22"/>
          <w:vertAlign w:val="superscript"/>
        </w:rPr>
        <w:footnoteReference w:id="14"/>
      </w:r>
      <w:r w:rsidRPr="00481068">
        <w:rPr>
          <w:rFonts w:ascii="Arial" w:eastAsia="Calibri" w:hAnsi="Arial" w:cs="Arial"/>
          <w:sz w:val="22"/>
          <w:lang w:val="es-ES_tradnl" w:eastAsia="x-none"/>
        </w:rPr>
        <w:t xml:space="preserve"> y sistematizó las causales de contratación directa</w:t>
      </w:r>
      <w:r w:rsidRPr="00481068">
        <w:rPr>
          <w:rFonts w:ascii="Arial" w:eastAsia="Calibri" w:hAnsi="Arial" w:cs="Arial"/>
          <w:sz w:val="22"/>
          <w:vertAlign w:val="superscript"/>
        </w:rPr>
        <w:footnoteReference w:id="15"/>
      </w:r>
      <w:r w:rsidRPr="00481068">
        <w:rPr>
          <w:rFonts w:ascii="Arial" w:eastAsia="Calibri" w:hAnsi="Arial" w:cs="Arial"/>
          <w:sz w:val="22"/>
          <w:lang w:val="es-ES_tradnl" w:eastAsia="x-none"/>
        </w:rPr>
        <w:t>.</w:t>
      </w:r>
    </w:p>
    <w:p w14:paraId="3B9D2EDB" w14:textId="77777777" w:rsidR="008A7C1A" w:rsidRPr="00481068" w:rsidRDefault="008A7C1A" w:rsidP="008A7C1A">
      <w:pPr>
        <w:spacing w:before="120" w:line="276" w:lineRule="auto"/>
        <w:ind w:firstLine="708"/>
        <w:jc w:val="both"/>
        <w:rPr>
          <w:rFonts w:ascii="Arial" w:eastAsia="Calibri" w:hAnsi="Arial" w:cs="Arial"/>
          <w:sz w:val="22"/>
          <w:lang w:val="es-ES_tradnl" w:eastAsia="x-none"/>
        </w:rPr>
      </w:pPr>
      <w:r w:rsidRPr="00481068">
        <w:rPr>
          <w:rFonts w:ascii="Arial" w:eastAsia="Calibri" w:hAnsi="Arial" w:cs="Arial"/>
          <w:sz w:val="22"/>
          <w:lang w:val="es-ES_tradnl" w:eastAsia="x-none"/>
        </w:rPr>
        <w:t xml:space="preserve">De esta forma, se ha depurado la noción de </w:t>
      </w:r>
      <w:r w:rsidRPr="00481068">
        <w:rPr>
          <w:rFonts w:ascii="Arial" w:eastAsia="Calibri" w:hAnsi="Arial" w:cs="Arial"/>
          <w:sz w:val="22"/>
          <w:lang w:val="es-ES_tradnl" w:eastAsia="en-GB"/>
        </w:rPr>
        <w:t>«</w:t>
      </w:r>
      <w:r w:rsidRPr="00481068">
        <w:rPr>
          <w:rFonts w:ascii="Arial" w:eastAsia="Calibri" w:hAnsi="Arial" w:cs="Arial"/>
          <w:sz w:val="22"/>
          <w:lang w:val="es-ES_tradnl" w:eastAsia="x-none"/>
        </w:rPr>
        <w:t>contratación directa</w:t>
      </w:r>
      <w:r w:rsidRPr="00481068">
        <w:rPr>
          <w:rFonts w:ascii="Arial" w:eastAsia="Calibri" w:hAnsi="Arial" w:cs="Arial"/>
          <w:sz w:val="22"/>
          <w:lang w:val="es-ES_tradnl" w:eastAsia="en-GB"/>
        </w:rPr>
        <w:t>»</w:t>
      </w:r>
      <w:r w:rsidRPr="00481068">
        <w:rPr>
          <w:rFonts w:ascii="Arial" w:eastAsia="Calibri" w:hAnsi="Arial" w:cs="Arial"/>
          <w:sz w:val="22"/>
          <w:lang w:val="es-ES_tradnl"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481068">
        <w:rPr>
          <w:rFonts w:ascii="Arial" w:eastAsia="Calibri" w:hAnsi="Arial" w:cs="Arial"/>
          <w:sz w:val="22"/>
          <w:vertAlign w:val="superscript"/>
        </w:rPr>
        <w:footnoteReference w:id="16"/>
      </w:r>
      <w:r w:rsidRPr="00481068">
        <w:rPr>
          <w:rFonts w:ascii="Arial" w:eastAsia="Calibri" w:hAnsi="Arial" w:cs="Arial"/>
          <w:sz w:val="22"/>
          <w:lang w:val="es-ES_tradnl" w:eastAsia="x-none"/>
        </w:rPr>
        <w:t>, han establecido sistemas de contratación que implican convocatoria pública y participación de varios oferentes</w:t>
      </w:r>
      <w:r w:rsidRPr="00481068">
        <w:rPr>
          <w:rFonts w:ascii="Arial" w:eastAsia="Calibri" w:hAnsi="Arial" w:cs="Arial"/>
          <w:sz w:val="22"/>
          <w:lang w:val="es-ES_tradnl" w:eastAsia="en-GB"/>
        </w:rPr>
        <w:t>»</w:t>
      </w:r>
      <w:r w:rsidRPr="00481068">
        <w:rPr>
          <w:rFonts w:ascii="Arial" w:eastAsia="Calibri" w:hAnsi="Arial" w:cs="Arial"/>
          <w:sz w:val="22"/>
          <w:lang w:val="es-ES_tradnl" w:eastAsia="x-none"/>
        </w:rPr>
        <w:t xml:space="preserve">. </w:t>
      </w:r>
    </w:p>
    <w:p w14:paraId="181B6AEB" w14:textId="77777777" w:rsidR="008A7C1A" w:rsidRPr="00481068" w:rsidRDefault="008A7C1A" w:rsidP="008A7C1A">
      <w:pPr>
        <w:spacing w:before="120" w:line="276" w:lineRule="auto"/>
        <w:ind w:firstLine="708"/>
        <w:jc w:val="both"/>
        <w:rPr>
          <w:rFonts w:ascii="Arial" w:eastAsia="Calibri" w:hAnsi="Arial" w:cs="Arial"/>
          <w:bCs/>
          <w:sz w:val="22"/>
          <w:lang w:val="es-ES_tradnl" w:eastAsia="es-CO"/>
        </w:rPr>
      </w:pPr>
      <w:r w:rsidRPr="00481068">
        <w:rPr>
          <w:rFonts w:ascii="Arial" w:eastAsia="Calibri" w:hAnsi="Arial" w:cs="Arial"/>
          <w:bCs/>
          <w:sz w:val="22"/>
          <w:lang w:val="es-ES_tradnl" w:eastAsia="x-none"/>
        </w:rPr>
        <w:t>E</w:t>
      </w:r>
      <w:r w:rsidRPr="00481068">
        <w:rPr>
          <w:rFonts w:ascii="Arial" w:eastAsia="Calibri" w:hAnsi="Arial" w:cs="Arial"/>
          <w:sz w:val="22"/>
          <w:lang w:val="es-ES_tradnl" w:eastAsia="x-none"/>
        </w:rPr>
        <w:t xml:space="preserve">n efecto, vale la pena mencionar que, en algunos sistemas de contratación, utilizados por entidades públicas con regímenes especiales, o sujetas al derecho privado, la convocatoria o invitación para contratar puede limitarse a aquellas personas que previamente se hayan </w:t>
      </w:r>
      <w:r w:rsidRPr="00481068">
        <w:rPr>
          <w:rFonts w:ascii="Arial" w:eastAsia="Calibri" w:hAnsi="Arial" w:cs="Arial"/>
          <w:sz w:val="22"/>
          <w:lang w:val="es-ES_tradnl" w:eastAsia="x-none"/>
        </w:rPr>
        <w:lastRenderedPageBreak/>
        <w:t>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481068">
        <w:rPr>
          <w:rFonts w:ascii="Arial" w:eastAsia="Calibri" w:hAnsi="Arial" w:cs="Arial"/>
          <w:sz w:val="22"/>
          <w:vertAlign w:val="superscript"/>
        </w:rPr>
        <w:footnoteReference w:id="17"/>
      </w:r>
      <w:r w:rsidRPr="00481068">
        <w:rPr>
          <w:rFonts w:ascii="Arial" w:eastAsia="Calibri" w:hAnsi="Arial" w:cs="Arial"/>
          <w:sz w:val="22"/>
          <w:lang w:val="es-ES_tradnl" w:eastAsia="x-none"/>
        </w:rPr>
        <w:t xml:space="preserve">. </w:t>
      </w:r>
    </w:p>
    <w:p w14:paraId="6EE1674D" w14:textId="77777777" w:rsidR="008A7C1A" w:rsidRPr="00481068" w:rsidRDefault="008A7C1A" w:rsidP="008A7C1A">
      <w:pPr>
        <w:spacing w:before="120" w:line="276" w:lineRule="auto"/>
        <w:ind w:firstLine="708"/>
        <w:jc w:val="both"/>
        <w:rPr>
          <w:rFonts w:ascii="Arial" w:eastAsia="Calibri" w:hAnsi="Arial" w:cs="Arial"/>
          <w:bCs/>
          <w:sz w:val="22"/>
          <w:lang w:val="es-ES_tradnl" w:eastAsia="es-CO"/>
        </w:rPr>
      </w:pPr>
      <w:r w:rsidRPr="00481068">
        <w:rPr>
          <w:rFonts w:ascii="Arial" w:eastAsia="Calibri" w:hAnsi="Arial" w:cs="Arial"/>
          <w:bCs/>
          <w:sz w:val="22"/>
          <w:lang w:val="es-ES_tradnl"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5844DC13" w14:textId="77777777" w:rsidR="008A7C1A" w:rsidRPr="00481068" w:rsidRDefault="008A7C1A" w:rsidP="008A7C1A">
      <w:pPr>
        <w:spacing w:before="120" w:line="276" w:lineRule="auto"/>
        <w:ind w:firstLine="708"/>
        <w:jc w:val="both"/>
        <w:rPr>
          <w:rFonts w:ascii="Arial" w:eastAsia="Calibri" w:hAnsi="Arial" w:cs="Arial"/>
          <w:bCs/>
          <w:sz w:val="22"/>
          <w:lang w:val="es-ES_tradnl" w:eastAsia="x-none"/>
        </w:rPr>
      </w:pPr>
      <w:r w:rsidRPr="00481068">
        <w:rPr>
          <w:rFonts w:ascii="Arial" w:eastAsia="Calibri" w:hAnsi="Arial" w:cs="Arial"/>
          <w:bCs/>
          <w:sz w:val="22"/>
          <w:lang w:val="es-ES_tradnl"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481068">
        <w:rPr>
          <w:rFonts w:ascii="Arial" w:eastAsia="Calibri" w:hAnsi="Arial" w:cs="Arial"/>
          <w:sz w:val="22"/>
          <w:vertAlign w:val="superscript"/>
        </w:rPr>
        <w:footnoteReference w:id="18"/>
      </w:r>
      <w:r w:rsidRPr="00481068">
        <w:rPr>
          <w:rFonts w:ascii="Arial" w:eastAsia="Calibri" w:hAnsi="Arial" w:cs="Arial"/>
          <w:bCs/>
          <w:sz w:val="22"/>
          <w:lang w:val="es-ES_tradnl" w:eastAsia="x-none"/>
        </w:rPr>
        <w:t>.</w:t>
      </w:r>
      <w:r w:rsidRPr="00481068">
        <w:rPr>
          <w:rFonts w:ascii="Arial" w:eastAsia="Calibri" w:hAnsi="Arial" w:cs="Arial"/>
          <w:sz w:val="22"/>
          <w:vertAlign w:val="superscript"/>
          <w:lang w:val="es-ES_tradnl" w:eastAsia="x-none"/>
        </w:rPr>
        <w:t xml:space="preserve"> </w:t>
      </w:r>
    </w:p>
    <w:p w14:paraId="64BB9C57" w14:textId="77777777" w:rsidR="008A7C1A" w:rsidRPr="00481068" w:rsidRDefault="008A7C1A" w:rsidP="008A7C1A">
      <w:pPr>
        <w:spacing w:before="120" w:line="276" w:lineRule="auto"/>
        <w:ind w:firstLine="708"/>
        <w:jc w:val="both"/>
        <w:rPr>
          <w:rFonts w:ascii="Arial" w:eastAsia="Calibri" w:hAnsi="Arial" w:cs="Arial"/>
          <w:sz w:val="22"/>
          <w:lang w:val="es-ES_tradnl" w:eastAsia="x-none"/>
        </w:rPr>
      </w:pPr>
      <w:r w:rsidRPr="00481068">
        <w:rPr>
          <w:rFonts w:ascii="Arial" w:eastAsia="Calibri" w:hAnsi="Arial" w:cs="Arial"/>
          <w:bCs/>
          <w:sz w:val="22"/>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481068">
        <w:rPr>
          <w:rFonts w:ascii="Arial" w:eastAsia="Calibri" w:hAnsi="Arial" w:cs="Arial"/>
          <w:sz w:val="22"/>
          <w:lang w:val="es-ES_tradnl" w:eastAsia="x-none"/>
        </w:rPr>
        <w:t xml:space="preserve"> Por tanto, no son materia de la prohibición las demás modalidades de selección previstas en la Ley 1150 de 2007, es decir, la licitación pública, el concurso de méritos, la selección abreviada y la mínima cuantía, razón por la cual en ese período preelectoral de que trata la disposición las entidades públicas pueden seguir contratando bajo estos procedimientos.</w:t>
      </w:r>
    </w:p>
    <w:p w14:paraId="0C69B4D6" w14:textId="77777777" w:rsidR="008A7C1A" w:rsidRPr="00481068" w:rsidRDefault="008A7C1A" w:rsidP="008A7C1A">
      <w:pPr>
        <w:spacing w:before="120" w:line="276" w:lineRule="auto"/>
        <w:ind w:firstLine="708"/>
        <w:jc w:val="both"/>
        <w:rPr>
          <w:rFonts w:ascii="Arial" w:eastAsia="Calibri" w:hAnsi="Arial" w:cs="Arial"/>
          <w:bCs/>
          <w:sz w:val="22"/>
          <w:lang w:val="es-ES_tradnl" w:eastAsia="x-none"/>
        </w:rPr>
      </w:pPr>
      <w:r w:rsidRPr="00481068">
        <w:rPr>
          <w:rFonts w:ascii="Arial" w:eastAsia="Calibri" w:hAnsi="Arial" w:cs="Arial"/>
          <w:bCs/>
          <w:sz w:val="22"/>
          <w:lang w:val="es-ES_tradnl" w:eastAsia="es-CO"/>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w:t>
      </w:r>
      <w:r w:rsidRPr="00481068">
        <w:rPr>
          <w:rFonts w:ascii="Arial" w:eastAsia="Calibri" w:hAnsi="Arial" w:cs="Arial"/>
          <w:sz w:val="22"/>
          <w:vertAlign w:val="superscript"/>
        </w:rPr>
        <w:footnoteReference w:id="19"/>
      </w:r>
      <w:r w:rsidRPr="00481068">
        <w:rPr>
          <w:rFonts w:ascii="Arial" w:eastAsia="Calibri" w:hAnsi="Arial" w:cs="Arial"/>
          <w:bCs/>
          <w:sz w:val="22"/>
          <w:lang w:val="es-ES_tradnl" w:eastAsia="es-CO"/>
        </w:rPr>
        <w:t xml:space="preserve">. Esto sin que ello haga nugatoria la restricción de la </w:t>
      </w:r>
      <w:r w:rsidRPr="00481068">
        <w:rPr>
          <w:rFonts w:ascii="Arial" w:eastAsia="Calibri" w:hAnsi="Arial" w:cs="Arial"/>
          <w:bCs/>
          <w:sz w:val="22"/>
          <w:lang w:val="es-ES_tradnl" w:eastAsia="es-CO"/>
        </w:rPr>
        <w:lastRenderedPageBreak/>
        <w:t>contratación directa y siempre que cumplan los principios de planeación, transparencia y responsabilidad.</w:t>
      </w:r>
    </w:p>
    <w:p w14:paraId="4E4B398D" w14:textId="77777777" w:rsidR="008A7C1A" w:rsidRPr="00481068" w:rsidRDefault="008A7C1A" w:rsidP="008A7C1A">
      <w:pPr>
        <w:spacing w:before="120" w:line="276" w:lineRule="auto"/>
        <w:ind w:firstLine="708"/>
        <w:jc w:val="both"/>
        <w:rPr>
          <w:rFonts w:ascii="Arial" w:eastAsia="Calibri" w:hAnsi="Arial" w:cs="Arial"/>
          <w:bCs/>
          <w:sz w:val="22"/>
          <w:lang w:val="es-ES_tradnl" w:eastAsia="es-CO"/>
        </w:rPr>
      </w:pPr>
      <w:r w:rsidRPr="00481068">
        <w:rPr>
          <w:rFonts w:ascii="Arial" w:eastAsia="Calibri" w:hAnsi="Arial" w:cs="Arial"/>
          <w:bCs/>
          <w:sz w:val="22"/>
          <w:lang w:val="es-ES_tradnl" w:eastAsia="x-none"/>
        </w:rPr>
        <w:t>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481068">
        <w:rPr>
          <w:rFonts w:ascii="Arial" w:eastAsia="Calibri" w:hAnsi="Arial" w:cs="Arial"/>
          <w:bCs/>
          <w:sz w:val="22"/>
          <w:lang w:val="es-ES_tradnl"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36EBBED3" w14:textId="77777777" w:rsidR="008A7C1A" w:rsidRPr="00481068" w:rsidRDefault="008A7C1A" w:rsidP="008A7C1A">
      <w:pPr>
        <w:spacing w:before="120" w:line="276" w:lineRule="auto"/>
        <w:ind w:firstLine="708"/>
        <w:jc w:val="both"/>
        <w:rPr>
          <w:rFonts w:ascii="Arial" w:eastAsia="Calibri" w:hAnsi="Arial" w:cs="Arial"/>
          <w:bCs/>
          <w:sz w:val="22"/>
          <w:lang w:val="es-ES_tradnl" w:eastAsia="x-none"/>
        </w:rPr>
      </w:pPr>
      <w:r w:rsidRPr="00481068">
        <w:rPr>
          <w:rFonts w:ascii="Arial" w:eastAsia="Calibri" w:hAnsi="Arial" w:cs="Arial"/>
          <w:bCs/>
          <w:sz w:val="22"/>
          <w:lang w:val="es-ES_tradnl" w:eastAsia="x-none"/>
        </w:rPr>
        <w:t>En esta labor es importante tener en cuenta, como lo anotó la Corte Constitucional, en Sentencia C-1153 de noviembre 11 de 2005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481068">
        <w:rPr>
          <w:rFonts w:ascii="Arial" w:eastAsia="Calibri" w:hAnsi="Arial" w:cs="Arial"/>
          <w:sz w:val="22"/>
          <w:vertAlign w:val="superscript"/>
        </w:rPr>
        <w:footnoteReference w:id="20"/>
      </w:r>
      <w:r w:rsidRPr="00481068">
        <w:rPr>
          <w:rFonts w:ascii="Arial" w:eastAsia="Calibri" w:hAnsi="Arial" w:cs="Arial"/>
          <w:bCs/>
          <w:sz w:val="22"/>
          <w:lang w:val="es-ES_tradnl" w:eastAsia="x-none"/>
        </w:rPr>
        <w:t>. De ahí que la Corte haya señalado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0D046E03" w14:textId="77777777" w:rsidR="008A7C1A" w:rsidRDefault="008A7C1A" w:rsidP="008A7C1A">
      <w:pPr>
        <w:spacing w:line="276" w:lineRule="auto"/>
        <w:jc w:val="both"/>
        <w:rPr>
          <w:rFonts w:ascii="Arial" w:hAnsi="Arial" w:cs="Arial"/>
          <w:b/>
          <w:sz w:val="22"/>
          <w:lang w:eastAsia="x-none"/>
        </w:rPr>
      </w:pPr>
    </w:p>
    <w:p w14:paraId="7DFD15E5" w14:textId="77777777" w:rsidR="008A7C1A" w:rsidRPr="00F1057F" w:rsidRDefault="008A7C1A" w:rsidP="008A7C1A">
      <w:pPr>
        <w:spacing w:line="276" w:lineRule="auto"/>
        <w:jc w:val="both"/>
        <w:rPr>
          <w:rFonts w:ascii="Arial" w:hAnsi="Arial" w:cs="Arial"/>
          <w:b/>
          <w:sz w:val="22"/>
          <w:lang w:eastAsia="x-none"/>
        </w:rPr>
      </w:pPr>
      <w:r>
        <w:rPr>
          <w:rFonts w:ascii="Arial" w:hAnsi="Arial" w:cs="Arial"/>
          <w:b/>
          <w:sz w:val="22"/>
          <w:lang w:eastAsia="x-none"/>
        </w:rPr>
        <w:t xml:space="preserve">2.3. </w:t>
      </w:r>
      <w:r w:rsidRPr="00F1057F">
        <w:rPr>
          <w:rFonts w:ascii="Arial" w:hAnsi="Arial" w:cs="Arial"/>
          <w:b/>
          <w:sz w:val="22"/>
          <w:lang w:eastAsia="x-none"/>
        </w:rPr>
        <w:t xml:space="preserve"> Destinatarios de la restricción del artículo 33 de la Ley 996 de 2005</w:t>
      </w:r>
    </w:p>
    <w:p w14:paraId="713DE3DB" w14:textId="77777777" w:rsidR="008A7C1A" w:rsidRPr="00F1057F" w:rsidRDefault="008A7C1A" w:rsidP="008A7C1A">
      <w:pPr>
        <w:spacing w:line="276" w:lineRule="auto"/>
        <w:jc w:val="both"/>
        <w:rPr>
          <w:rFonts w:ascii="Arial" w:hAnsi="Arial" w:cs="Arial"/>
          <w:bCs/>
          <w:sz w:val="22"/>
          <w:lang w:eastAsia="x-none"/>
        </w:rPr>
      </w:pPr>
    </w:p>
    <w:p w14:paraId="6E5B3786" w14:textId="77777777" w:rsidR="008A7C1A" w:rsidRPr="00C84F90" w:rsidRDefault="008A7C1A" w:rsidP="008A7C1A">
      <w:pPr>
        <w:spacing w:line="276" w:lineRule="auto"/>
        <w:jc w:val="both"/>
        <w:rPr>
          <w:rFonts w:ascii="Arial" w:hAnsi="Arial" w:cs="Arial"/>
          <w:bCs/>
          <w:sz w:val="22"/>
          <w:lang w:eastAsia="x-none"/>
        </w:rPr>
      </w:pPr>
      <w:r w:rsidRPr="00C84F90">
        <w:rPr>
          <w:rFonts w:ascii="Arial" w:hAnsi="Arial" w:cs="Arial"/>
          <w:bCs/>
          <w:sz w:val="22"/>
          <w:lang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C84F90">
        <w:t xml:space="preserve"> </w:t>
      </w:r>
      <w:r w:rsidRPr="00C84F90">
        <w:rPr>
          <w:rFonts w:ascii="Arial" w:hAnsi="Arial" w:cs="Arial"/>
          <w:bCs/>
          <w:sz w:val="22"/>
          <w:lang w:eastAsia="x-none"/>
        </w:rPr>
        <w:t>En efecto, tal como lo ha sostenido el Consejo de Estado, el vocablo «todos» utilizado por el legislador comprende</w:t>
      </w:r>
      <w:r w:rsidRPr="00C84F90">
        <w:t xml:space="preserve"> </w:t>
      </w:r>
      <w:r w:rsidRPr="00C84F90">
        <w:rPr>
          <w:rFonts w:ascii="Arial" w:hAnsi="Arial" w:cs="Arial"/>
          <w:bCs/>
          <w:sz w:val="22"/>
          <w:lang w:eastAsia="x-none"/>
        </w:rPr>
        <w:t xml:space="preserve">a la totalidad de los entes del Estado, sin distinción del régimen jurídico, forma de organización o naturaleza, su pertenencia a una u otra rama del poder público o su autonomía, </w:t>
      </w:r>
      <w:r w:rsidRPr="00C84F90">
        <w:rPr>
          <w:rFonts w:ascii="Arial" w:hAnsi="Arial" w:cs="Arial"/>
          <w:bCs/>
          <w:sz w:val="22"/>
          <w:lang w:eastAsia="x-none"/>
        </w:rPr>
        <w:lastRenderedPageBreak/>
        <w:t xml:space="preserve">e incluso si las entidades estatales tienen régimen especial de contratación y están exceptuadas del ámbito de aplicación del Estatuto General de Contratación de la Administración Pública. El Consejo de Estado, en Concepto con radicado 1727 de fecha 20 de febrero de 2006, consideró que: </w:t>
      </w:r>
    </w:p>
    <w:p w14:paraId="3C6E1055" w14:textId="77777777" w:rsidR="008A7C1A" w:rsidRPr="00C84F90" w:rsidRDefault="008A7C1A" w:rsidP="008A7C1A">
      <w:pPr>
        <w:spacing w:line="276" w:lineRule="auto"/>
        <w:ind w:firstLine="708"/>
        <w:jc w:val="both"/>
        <w:rPr>
          <w:rFonts w:ascii="Arial" w:hAnsi="Arial" w:cs="Arial"/>
          <w:bCs/>
          <w:sz w:val="22"/>
          <w:lang w:eastAsia="x-none"/>
        </w:rPr>
      </w:pPr>
    </w:p>
    <w:p w14:paraId="65756212" w14:textId="77777777" w:rsidR="008A7C1A" w:rsidRPr="00C84F90" w:rsidRDefault="008A7C1A" w:rsidP="008A7C1A">
      <w:pPr>
        <w:ind w:left="708" w:right="709"/>
        <w:jc w:val="both"/>
        <w:rPr>
          <w:rFonts w:ascii="Arial" w:hAnsi="Arial" w:cs="Arial"/>
          <w:bCs/>
          <w:sz w:val="21"/>
          <w:szCs w:val="21"/>
          <w:lang w:eastAsia="es-CO"/>
        </w:rPr>
      </w:pPr>
      <w:r w:rsidRPr="006337DF">
        <w:rPr>
          <w:rFonts w:ascii="Arial" w:hAnsi="Arial" w:cs="Arial"/>
          <w:sz w:val="21"/>
          <w:szCs w:val="21"/>
        </w:rPr>
        <w:t>«</w:t>
      </w:r>
      <w:r w:rsidRPr="00C84F90">
        <w:rPr>
          <w:rFonts w:ascii="Arial" w:hAnsi="Arial" w:cs="Arial"/>
          <w:bCs/>
          <w:sz w:val="21"/>
          <w:szCs w:val="21"/>
          <w:lang w:eastAsia="x-none"/>
        </w:rPr>
        <w:t xml:space="preserve">El artículo 33 de la ley 996 de 2005, </w:t>
      </w:r>
      <w:bookmarkStart w:id="23" w:name="_Hlk75787147"/>
      <w:r w:rsidRPr="00C84F90">
        <w:rPr>
          <w:rFonts w:ascii="Arial" w:hAnsi="Arial" w:cs="Arial"/>
          <w:bCs/>
          <w:sz w:val="21"/>
          <w:szCs w:val="21"/>
          <w:lang w:eastAsia="x-none"/>
        </w:rPr>
        <w:t>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Pr>
          <w:rFonts w:ascii="Arial" w:hAnsi="Arial" w:cs="Arial"/>
          <w:bCs/>
          <w:sz w:val="21"/>
          <w:szCs w:val="21"/>
          <w:lang w:eastAsia="x-none"/>
        </w:rPr>
        <w:t>.</w:t>
      </w:r>
      <w:r w:rsidRPr="006337DF">
        <w:rPr>
          <w:rFonts w:ascii="Arial" w:hAnsi="Arial" w:cs="Arial"/>
          <w:sz w:val="21"/>
          <w:szCs w:val="21"/>
        </w:rPr>
        <w:t>»</w:t>
      </w:r>
      <w:r w:rsidRPr="00C84F90">
        <w:rPr>
          <w:rFonts w:ascii="Arial" w:hAnsi="Arial" w:cs="Arial"/>
          <w:bCs/>
          <w:sz w:val="21"/>
          <w:szCs w:val="21"/>
          <w:vertAlign w:val="superscript"/>
          <w:lang w:eastAsia="x-none"/>
        </w:rPr>
        <w:footnoteReference w:id="21"/>
      </w:r>
      <w:r w:rsidRPr="00C84F90">
        <w:rPr>
          <w:rFonts w:ascii="Arial" w:hAnsi="Arial" w:cs="Arial"/>
          <w:bCs/>
          <w:sz w:val="21"/>
          <w:szCs w:val="21"/>
          <w:lang w:eastAsia="es-CO"/>
        </w:rPr>
        <w:t xml:space="preserve"> </w:t>
      </w:r>
    </w:p>
    <w:p w14:paraId="63403A88" w14:textId="77777777" w:rsidR="008A7C1A" w:rsidRPr="00C84F90" w:rsidRDefault="008A7C1A" w:rsidP="008A7C1A">
      <w:pPr>
        <w:spacing w:line="276" w:lineRule="auto"/>
        <w:ind w:firstLine="708"/>
        <w:jc w:val="both"/>
        <w:rPr>
          <w:rFonts w:ascii="Arial" w:hAnsi="Arial" w:cs="Arial"/>
          <w:bCs/>
          <w:sz w:val="22"/>
          <w:lang w:eastAsia="es-CO"/>
        </w:rPr>
      </w:pPr>
    </w:p>
    <w:p w14:paraId="3212661F" w14:textId="77777777" w:rsidR="008A7C1A" w:rsidRPr="00C84F90" w:rsidRDefault="008A7C1A" w:rsidP="008A7C1A">
      <w:pPr>
        <w:spacing w:line="276" w:lineRule="auto"/>
        <w:ind w:firstLine="708"/>
        <w:jc w:val="both"/>
        <w:rPr>
          <w:rFonts w:ascii="Arial" w:hAnsi="Arial" w:cs="Arial"/>
          <w:sz w:val="22"/>
        </w:rPr>
      </w:pPr>
      <w:r>
        <w:rPr>
          <w:rFonts w:ascii="Arial" w:hAnsi="Arial" w:cs="Arial"/>
          <w:bCs/>
          <w:sz w:val="22"/>
          <w:lang w:eastAsia="x-none"/>
        </w:rPr>
        <w:t>De igual forma, e</w:t>
      </w:r>
      <w:r w:rsidRPr="00C84F90">
        <w:rPr>
          <w:rFonts w:ascii="Arial" w:hAnsi="Arial" w:cs="Arial"/>
          <w:bCs/>
          <w:sz w:val="22"/>
          <w:lang w:eastAsia="x-none"/>
        </w:rPr>
        <w:t>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C84F90">
        <w:rPr>
          <w:rFonts w:ascii="Arial" w:hAnsi="Arial" w:cs="Arial"/>
          <w:vertAlign w:val="superscript"/>
        </w:rPr>
        <w:footnoteReference w:id="22"/>
      </w:r>
      <w:r w:rsidRPr="00C84F90">
        <w:rPr>
          <w:rFonts w:ascii="Arial" w:hAnsi="Arial" w:cs="Arial"/>
          <w:bCs/>
          <w:sz w:val="22"/>
          <w:lang w:eastAsia="x-none"/>
        </w:rPr>
        <w:t>.</w:t>
      </w:r>
      <w:r w:rsidRPr="00C84F90">
        <w:rPr>
          <w:rFonts w:ascii="Arial" w:hAnsi="Arial" w:cs="Arial"/>
          <w:sz w:val="22"/>
        </w:rPr>
        <w:t xml:space="preserve"> Sin embargo, debe precisarse el siguiente aspecto que distinguió la Sala de Consulta y Servicio Civil:</w:t>
      </w:r>
    </w:p>
    <w:p w14:paraId="06E490A0" w14:textId="77777777" w:rsidR="008A7C1A" w:rsidRPr="00C84F90" w:rsidRDefault="008A7C1A" w:rsidP="008A7C1A">
      <w:pPr>
        <w:spacing w:line="276" w:lineRule="auto"/>
        <w:jc w:val="both"/>
        <w:rPr>
          <w:rFonts w:ascii="Arial" w:hAnsi="Arial" w:cs="Arial"/>
          <w:sz w:val="22"/>
        </w:rPr>
      </w:pPr>
    </w:p>
    <w:p w14:paraId="098D0A0B" w14:textId="77777777" w:rsidR="008A7C1A" w:rsidRPr="00C84F90" w:rsidRDefault="008A7C1A" w:rsidP="008A7C1A">
      <w:pPr>
        <w:ind w:left="708" w:right="709"/>
        <w:jc w:val="both"/>
        <w:rPr>
          <w:rFonts w:ascii="Arial" w:hAnsi="Arial" w:cs="Arial"/>
          <w:sz w:val="21"/>
          <w:szCs w:val="21"/>
        </w:rPr>
      </w:pPr>
      <w:r w:rsidRPr="006337DF">
        <w:rPr>
          <w:rFonts w:ascii="Arial" w:hAnsi="Arial" w:cs="Arial"/>
          <w:sz w:val="21"/>
          <w:szCs w:val="21"/>
        </w:rPr>
        <w:t>«</w:t>
      </w:r>
      <w:r w:rsidRPr="00C84F90">
        <w:rPr>
          <w:rFonts w:ascii="Arial" w:hAnsi="Arial" w:cs="Arial"/>
          <w:sz w:val="21"/>
          <w:szCs w:val="21"/>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w:t>
      </w:r>
      <w:r w:rsidRPr="00C84F90">
        <w:rPr>
          <w:rFonts w:ascii="Arial" w:hAnsi="Arial" w:cs="Arial"/>
          <w:sz w:val="21"/>
          <w:szCs w:val="21"/>
        </w:rPr>
        <w:lastRenderedPageBreak/>
        <w:t>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Pr>
          <w:rFonts w:ascii="Arial" w:hAnsi="Arial" w:cs="Arial"/>
          <w:sz w:val="21"/>
          <w:szCs w:val="21"/>
        </w:rPr>
        <w:t>.</w:t>
      </w:r>
      <w:r w:rsidRPr="006337DF">
        <w:rPr>
          <w:rFonts w:ascii="Arial" w:hAnsi="Arial" w:cs="Arial"/>
          <w:sz w:val="21"/>
          <w:szCs w:val="21"/>
        </w:rPr>
        <w:t>»</w:t>
      </w:r>
      <w:r w:rsidRPr="00C84F90">
        <w:rPr>
          <w:rFonts w:ascii="Arial" w:hAnsi="Arial" w:cs="Arial"/>
          <w:vertAlign w:val="superscript"/>
        </w:rPr>
        <w:footnoteReference w:id="23"/>
      </w:r>
      <w:r w:rsidRPr="009F1B7D">
        <w:rPr>
          <w:rFonts w:ascii="Arial" w:hAnsi="Arial" w:cs="Arial"/>
          <w:sz w:val="21"/>
          <w:szCs w:val="21"/>
          <w:lang w:val="es-ES"/>
        </w:rPr>
        <w:t xml:space="preserve"> </w:t>
      </w:r>
    </w:p>
    <w:p w14:paraId="02C6F927" w14:textId="77777777" w:rsidR="008A7C1A" w:rsidRPr="00C84F90" w:rsidRDefault="008A7C1A" w:rsidP="008A7C1A">
      <w:pPr>
        <w:spacing w:line="276" w:lineRule="auto"/>
        <w:jc w:val="both"/>
        <w:rPr>
          <w:rFonts w:ascii="Arial" w:hAnsi="Arial" w:cs="Arial"/>
          <w:sz w:val="22"/>
        </w:rPr>
      </w:pPr>
    </w:p>
    <w:p w14:paraId="265106A4" w14:textId="77777777" w:rsidR="008A7C1A" w:rsidRPr="00C84F90" w:rsidRDefault="008A7C1A" w:rsidP="008A7C1A">
      <w:pPr>
        <w:spacing w:after="120" w:line="276" w:lineRule="auto"/>
        <w:ind w:firstLine="709"/>
        <w:jc w:val="both"/>
        <w:rPr>
          <w:rFonts w:ascii="Arial" w:hAnsi="Arial" w:cs="Arial"/>
          <w:bCs/>
          <w:sz w:val="22"/>
          <w:lang w:eastAsia="x-none"/>
        </w:rPr>
      </w:pPr>
      <w:r w:rsidRPr="00C84F90">
        <w:rPr>
          <w:rFonts w:ascii="Arial" w:hAnsi="Arial" w:cs="Arial"/>
          <w:sz w:val="22"/>
        </w:rPr>
        <w:t>Aplicando este razonamiento, se tiene que 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r w:rsidRPr="00C84F90">
        <w:rPr>
          <w:rFonts w:ascii="Arial" w:hAnsi="Arial" w:cs="Arial"/>
          <w:vertAlign w:val="superscript"/>
        </w:rPr>
        <w:t xml:space="preserve"> </w:t>
      </w:r>
      <w:r w:rsidRPr="00C84F90">
        <w:rPr>
          <w:rFonts w:ascii="Arial" w:hAnsi="Arial" w:cs="Arial"/>
          <w:sz w:val="22"/>
          <w:vertAlign w:val="superscript"/>
        </w:rPr>
        <w:footnoteReference w:id="24"/>
      </w:r>
      <w:r w:rsidRPr="00C84F90">
        <w:rPr>
          <w:rFonts w:ascii="Arial" w:hAnsi="Arial" w:cs="Arial"/>
          <w:sz w:val="22"/>
        </w:rPr>
        <w:t>.</w:t>
      </w:r>
    </w:p>
    <w:bookmarkEnd w:id="23"/>
    <w:p w14:paraId="0D788146" w14:textId="77777777" w:rsidR="008A7C1A" w:rsidRPr="000405D1" w:rsidRDefault="008A7C1A" w:rsidP="008A7C1A">
      <w:pPr>
        <w:spacing w:line="276" w:lineRule="auto"/>
        <w:ind w:firstLine="708"/>
        <w:jc w:val="both"/>
        <w:rPr>
          <w:rFonts w:ascii="Arial" w:hAnsi="Arial" w:cs="Arial"/>
          <w:bCs/>
          <w:sz w:val="22"/>
          <w:lang w:eastAsia="x-none"/>
        </w:rPr>
      </w:pPr>
      <w:r w:rsidRPr="00C84F90">
        <w:rPr>
          <w:rFonts w:ascii="Arial" w:hAnsi="Arial" w:cs="Arial"/>
          <w:sz w:val="22"/>
        </w:rPr>
        <w:t xml:space="preserve">Por lo tanto, la restricción prevista en la Ley 996 de 2005, </w:t>
      </w:r>
      <w:r w:rsidRPr="00C84F90">
        <w:rPr>
          <w:rFonts w:ascii="Arial" w:hAnsi="Arial" w:cs="Arial"/>
          <w:bCs/>
          <w:sz w:val="22"/>
          <w:lang w:eastAsia="x-none"/>
        </w:rPr>
        <w:t xml:space="preserve">teniendo en cuenta la finalidad de la ley de garantías electorales, cobija a cualquier ente público que pueda a través de la contratación directa romper el equilibrio entre los candidatos en </w:t>
      </w:r>
      <w:r>
        <w:rPr>
          <w:rFonts w:ascii="Arial" w:hAnsi="Arial" w:cs="Arial"/>
          <w:bCs/>
          <w:sz w:val="22"/>
          <w:lang w:eastAsia="x-none"/>
        </w:rPr>
        <w:t xml:space="preserve">desarrollo de </w:t>
      </w:r>
      <w:r w:rsidRPr="00C84F90">
        <w:rPr>
          <w:rFonts w:ascii="Arial" w:hAnsi="Arial" w:cs="Arial"/>
          <w:bCs/>
          <w:sz w:val="22"/>
          <w:lang w:eastAsia="x-none"/>
        </w:rPr>
        <w:t>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63040DAE" w14:textId="77777777" w:rsidR="008A7C1A" w:rsidRPr="00481068" w:rsidRDefault="008A7C1A" w:rsidP="008A7C1A">
      <w:pPr>
        <w:tabs>
          <w:tab w:val="left" w:pos="426"/>
        </w:tabs>
        <w:spacing w:line="276" w:lineRule="auto"/>
        <w:jc w:val="both"/>
        <w:rPr>
          <w:rFonts w:ascii="Arial" w:eastAsia="Calibri" w:hAnsi="Arial" w:cs="Arial"/>
          <w:bCs/>
          <w:sz w:val="22"/>
          <w:lang w:val="es-ES" w:eastAsia="es-CO"/>
        </w:rPr>
      </w:pPr>
    </w:p>
    <w:p w14:paraId="2D8DAF58" w14:textId="77777777" w:rsidR="008A7C1A" w:rsidRDefault="008A7C1A" w:rsidP="008A7C1A">
      <w:pPr>
        <w:spacing w:line="276" w:lineRule="auto"/>
        <w:jc w:val="both"/>
        <w:rPr>
          <w:rFonts w:ascii="Arial" w:hAnsi="Arial" w:cs="Arial"/>
          <w:b/>
          <w:bCs/>
          <w:sz w:val="22"/>
        </w:rPr>
      </w:pPr>
      <w:r>
        <w:rPr>
          <w:rFonts w:ascii="Arial" w:hAnsi="Arial" w:cs="Arial"/>
          <w:b/>
          <w:bCs/>
          <w:sz w:val="22"/>
        </w:rPr>
        <w:t>2.4</w:t>
      </w:r>
      <w:r w:rsidRPr="00C20D9C">
        <w:rPr>
          <w:rFonts w:ascii="Arial" w:hAnsi="Arial" w:cs="Arial"/>
          <w:b/>
          <w:bCs/>
          <w:sz w:val="22"/>
        </w:rPr>
        <w:t xml:space="preserve"> Naturaleza y régimen jurídicos contractual de las empresas oficiales prestadoras de servicios públicos domiciliarios</w:t>
      </w:r>
      <w:r>
        <w:rPr>
          <w:rFonts w:ascii="Arial" w:hAnsi="Arial" w:cs="Arial"/>
          <w:b/>
          <w:bCs/>
          <w:sz w:val="22"/>
        </w:rPr>
        <w:t>: aplicación del artículo 33 de la Ley de garantías</w:t>
      </w:r>
    </w:p>
    <w:p w14:paraId="2F8C825C" w14:textId="77777777" w:rsidR="008A7C1A" w:rsidRDefault="008A7C1A" w:rsidP="008A7C1A">
      <w:pPr>
        <w:spacing w:line="276" w:lineRule="auto"/>
        <w:jc w:val="both"/>
        <w:rPr>
          <w:rFonts w:ascii="Arial" w:hAnsi="Arial" w:cs="Arial"/>
          <w:b/>
          <w:bCs/>
          <w:sz w:val="22"/>
        </w:rPr>
      </w:pPr>
    </w:p>
    <w:p w14:paraId="3C71D086" w14:textId="77777777" w:rsidR="008A7C1A" w:rsidRPr="00C20D9C" w:rsidRDefault="008A7C1A" w:rsidP="008A7C1A">
      <w:pPr>
        <w:spacing w:line="276" w:lineRule="auto"/>
        <w:jc w:val="both"/>
        <w:rPr>
          <w:rFonts w:ascii="Arial" w:hAnsi="Arial" w:cs="Arial"/>
          <w:b/>
          <w:bCs/>
          <w:sz w:val="22"/>
        </w:rPr>
      </w:pPr>
    </w:p>
    <w:p w14:paraId="75597AFF" w14:textId="77777777" w:rsidR="008A7C1A" w:rsidRDefault="008A7C1A" w:rsidP="008A7C1A">
      <w:pPr>
        <w:spacing w:after="120" w:line="276" w:lineRule="auto"/>
        <w:jc w:val="both"/>
        <w:rPr>
          <w:rFonts w:ascii="Arial" w:hAnsi="Arial" w:cs="Arial"/>
          <w:sz w:val="22"/>
        </w:rPr>
      </w:pPr>
      <w:r>
        <w:rPr>
          <w:rFonts w:ascii="Arial" w:hAnsi="Arial" w:cs="Arial"/>
          <w:sz w:val="22"/>
        </w:rPr>
        <w:t>Con el fin de establecer si a las empresas oficiales de prestación de servicios públicos domiciliarios les es aplicable el artículo 33 de la Ley de Garantías Electorales es necesario analizar la naturaleza jurídica de estos prestadores.</w:t>
      </w:r>
    </w:p>
    <w:p w14:paraId="04D06C12" w14:textId="77777777" w:rsidR="008A7C1A" w:rsidRDefault="008A7C1A" w:rsidP="008A7C1A">
      <w:pPr>
        <w:spacing w:before="120" w:after="120" w:line="276" w:lineRule="auto"/>
        <w:jc w:val="both"/>
        <w:rPr>
          <w:rFonts w:ascii="Arial" w:hAnsi="Arial" w:cs="Arial"/>
          <w:sz w:val="22"/>
        </w:rPr>
      </w:pPr>
      <w:r>
        <w:rPr>
          <w:rFonts w:ascii="Arial" w:hAnsi="Arial" w:cs="Arial"/>
          <w:sz w:val="22"/>
        </w:rPr>
        <w:lastRenderedPageBreak/>
        <w:tab/>
        <w:t xml:space="preserve">El análisis tiene su origen en </w:t>
      </w:r>
      <w:r w:rsidRPr="00D60372">
        <w:rPr>
          <w:rFonts w:ascii="Arial" w:hAnsi="Arial" w:cs="Arial"/>
          <w:sz w:val="22"/>
        </w:rPr>
        <w:t xml:space="preserve">la Constitución Política de 1991, </w:t>
      </w:r>
      <w:r>
        <w:rPr>
          <w:rFonts w:ascii="Arial" w:hAnsi="Arial" w:cs="Arial"/>
          <w:sz w:val="22"/>
        </w:rPr>
        <w:t>en la cual se transformó el rol del</w:t>
      </w:r>
      <w:r w:rsidRPr="00D60372">
        <w:rPr>
          <w:rFonts w:ascii="Arial" w:hAnsi="Arial" w:cs="Arial"/>
          <w:sz w:val="22"/>
        </w:rPr>
        <w:t xml:space="preserve"> Estado colombiano </w:t>
      </w:r>
      <w:r>
        <w:rPr>
          <w:rFonts w:ascii="Arial" w:hAnsi="Arial" w:cs="Arial"/>
          <w:sz w:val="22"/>
        </w:rPr>
        <w:t xml:space="preserve">en la economía, se modificaron los instrumentos de intervención y se dispuso el marco jurídico del mercado de los servicios públicos domiciliarios. En efecto, con el texto constitucional de 1991 el Estado </w:t>
      </w:r>
      <w:r w:rsidRPr="00D60372">
        <w:rPr>
          <w:rFonts w:ascii="Arial" w:hAnsi="Arial" w:cs="Arial"/>
          <w:sz w:val="22"/>
        </w:rPr>
        <w:t xml:space="preserve">abandonó </w:t>
      </w:r>
      <w:r>
        <w:rPr>
          <w:rFonts w:ascii="Arial" w:hAnsi="Arial" w:cs="Arial"/>
          <w:sz w:val="22"/>
        </w:rPr>
        <w:t>su clásico e histórico rol,</w:t>
      </w:r>
      <w:r w:rsidRPr="00D60372">
        <w:rPr>
          <w:rFonts w:ascii="Arial" w:hAnsi="Arial" w:cs="Arial"/>
          <w:sz w:val="22"/>
        </w:rPr>
        <w:t xml:space="preserve"> que lo obligaba a satisfacer de forma</w:t>
      </w:r>
      <w:r>
        <w:rPr>
          <w:rFonts w:ascii="Arial" w:hAnsi="Arial" w:cs="Arial"/>
          <w:sz w:val="22"/>
        </w:rPr>
        <w:t xml:space="preserve"> directa,</w:t>
      </w:r>
      <w:r w:rsidRPr="00D60372">
        <w:rPr>
          <w:rFonts w:ascii="Arial" w:hAnsi="Arial" w:cs="Arial"/>
          <w:sz w:val="22"/>
        </w:rPr>
        <w:t xml:space="preserve"> única, monopólica y asistencial los servicios públicos que se entendían esenciales para el desarrollo armónico de los individuos en sociedad y</w:t>
      </w:r>
      <w:r>
        <w:rPr>
          <w:rFonts w:ascii="Arial" w:hAnsi="Arial" w:cs="Arial"/>
          <w:sz w:val="22"/>
        </w:rPr>
        <w:t>, además, liberalizó el sector, al permitir que los particulares, en ejercicio de su libre</w:t>
      </w:r>
      <w:r w:rsidRPr="00D60372">
        <w:rPr>
          <w:rFonts w:ascii="Arial" w:hAnsi="Arial" w:cs="Arial"/>
          <w:sz w:val="22"/>
        </w:rPr>
        <w:t xml:space="preserve"> iniciativa privada</w:t>
      </w:r>
      <w:r>
        <w:rPr>
          <w:rFonts w:ascii="Arial" w:hAnsi="Arial" w:cs="Arial"/>
          <w:sz w:val="22"/>
        </w:rPr>
        <w:t>,</w:t>
      </w:r>
      <w:r w:rsidRPr="00D60372">
        <w:rPr>
          <w:rFonts w:ascii="Arial" w:hAnsi="Arial" w:cs="Arial"/>
          <w:sz w:val="22"/>
        </w:rPr>
        <w:t xml:space="preserve"> pudiera</w:t>
      </w:r>
      <w:r>
        <w:rPr>
          <w:rFonts w:ascii="Arial" w:hAnsi="Arial" w:cs="Arial"/>
          <w:sz w:val="22"/>
        </w:rPr>
        <w:t>n</w:t>
      </w:r>
      <w:r w:rsidRPr="00D60372">
        <w:rPr>
          <w:rFonts w:ascii="Arial" w:hAnsi="Arial" w:cs="Arial"/>
          <w:sz w:val="22"/>
        </w:rPr>
        <w:t xml:space="preserve"> intervenir en su prestación, sin perjuicio de la dirección económica, la vigilancia, control y </w:t>
      </w:r>
      <w:r>
        <w:rPr>
          <w:rFonts w:ascii="Arial" w:hAnsi="Arial" w:cs="Arial"/>
          <w:sz w:val="22"/>
        </w:rPr>
        <w:t xml:space="preserve">regulación </w:t>
      </w:r>
      <w:r w:rsidRPr="00D60372">
        <w:rPr>
          <w:rFonts w:ascii="Arial" w:hAnsi="Arial" w:cs="Arial"/>
          <w:sz w:val="22"/>
        </w:rPr>
        <w:t>estatal</w:t>
      </w:r>
      <w:r>
        <w:rPr>
          <w:rStyle w:val="Refdenotaalpie"/>
          <w:rFonts w:ascii="Arial" w:hAnsi="Arial" w:cs="Arial"/>
          <w:sz w:val="22"/>
        </w:rPr>
        <w:footnoteReference w:id="25"/>
      </w:r>
      <w:r>
        <w:rPr>
          <w:rFonts w:ascii="Arial" w:hAnsi="Arial" w:cs="Arial"/>
          <w:sz w:val="22"/>
        </w:rPr>
        <w:t xml:space="preserve">. </w:t>
      </w:r>
    </w:p>
    <w:p w14:paraId="4ACEA383" w14:textId="77777777" w:rsidR="008A7C1A" w:rsidRDefault="008A7C1A" w:rsidP="008A7C1A">
      <w:pPr>
        <w:spacing w:before="120" w:after="120" w:line="276" w:lineRule="auto"/>
        <w:ind w:firstLine="708"/>
        <w:jc w:val="both"/>
        <w:rPr>
          <w:rFonts w:ascii="Arial" w:hAnsi="Arial" w:cs="Arial"/>
          <w:sz w:val="22"/>
        </w:rPr>
      </w:pPr>
      <w:r>
        <w:rPr>
          <w:rFonts w:ascii="Arial" w:hAnsi="Arial" w:cs="Arial"/>
          <w:sz w:val="22"/>
        </w:rPr>
        <w:t>Las anteriores premisas se derivan, principal pero no exclusivamente, de los artículos 333</w:t>
      </w:r>
      <w:r>
        <w:rPr>
          <w:rStyle w:val="Refdenotaalpie"/>
          <w:rFonts w:ascii="Arial" w:hAnsi="Arial" w:cs="Arial"/>
          <w:sz w:val="22"/>
        </w:rPr>
        <w:footnoteReference w:id="26"/>
      </w:r>
      <w:r>
        <w:rPr>
          <w:rFonts w:ascii="Arial" w:hAnsi="Arial" w:cs="Arial"/>
          <w:sz w:val="22"/>
        </w:rPr>
        <w:t>, 334</w:t>
      </w:r>
      <w:r>
        <w:rPr>
          <w:rStyle w:val="Refdenotaalpie"/>
          <w:rFonts w:ascii="Arial" w:hAnsi="Arial" w:cs="Arial"/>
          <w:sz w:val="22"/>
        </w:rPr>
        <w:footnoteReference w:id="27"/>
      </w:r>
      <w:r>
        <w:rPr>
          <w:rFonts w:ascii="Arial" w:hAnsi="Arial" w:cs="Arial"/>
          <w:sz w:val="22"/>
        </w:rPr>
        <w:t xml:space="preserve"> y 365</w:t>
      </w:r>
      <w:r>
        <w:rPr>
          <w:rStyle w:val="Refdenotaalpie"/>
          <w:rFonts w:ascii="Arial" w:hAnsi="Arial" w:cs="Arial"/>
          <w:sz w:val="22"/>
        </w:rPr>
        <w:footnoteReference w:id="28"/>
      </w:r>
      <w:r>
        <w:rPr>
          <w:rFonts w:ascii="Arial" w:hAnsi="Arial" w:cs="Arial"/>
          <w:sz w:val="22"/>
        </w:rPr>
        <w:t xml:space="preserve"> de la Constitución Política. En este nuevo </w:t>
      </w:r>
      <w:r w:rsidRPr="00FF16B9">
        <w:rPr>
          <w:rFonts w:ascii="Arial" w:hAnsi="Arial" w:cs="Arial"/>
          <w:sz w:val="22"/>
        </w:rPr>
        <w:t xml:space="preserve">esquema constitucional de </w:t>
      </w:r>
      <w:r w:rsidRPr="00FF16B9">
        <w:rPr>
          <w:rFonts w:ascii="Arial" w:hAnsi="Arial" w:cs="Arial"/>
          <w:sz w:val="22"/>
        </w:rPr>
        <w:lastRenderedPageBreak/>
        <w:t>liberalización económica e intervención del Estado, la prestación de los servicios públicos domiciliarios se insertó en las lógicas propias del mercado y, así, con el objeto de dotarlo de una institución jurídica que respondiera a la realidad de la oferta y la demanda,</w:t>
      </w:r>
      <w:r>
        <w:rPr>
          <w:rFonts w:ascii="Arial" w:hAnsi="Arial" w:cs="Arial"/>
          <w:sz w:val="22"/>
        </w:rPr>
        <w:t xml:space="preserve"> y a la armonización de la dimensión económica y social del servicio público</w:t>
      </w:r>
      <w:r>
        <w:rPr>
          <w:rStyle w:val="Refdenotaalpie"/>
          <w:rFonts w:ascii="Arial" w:hAnsi="Arial" w:cs="Arial"/>
          <w:sz w:val="22"/>
        </w:rPr>
        <w:footnoteReference w:id="29"/>
      </w:r>
      <w:r>
        <w:rPr>
          <w:rFonts w:ascii="Arial" w:hAnsi="Arial" w:cs="Arial"/>
          <w:sz w:val="22"/>
        </w:rPr>
        <w:t xml:space="preserve">, el legislador creó, a través de la Ley 142 de 1994, </w:t>
      </w:r>
      <w:r w:rsidRPr="00FF16B9">
        <w:rPr>
          <w:rFonts w:ascii="Arial" w:hAnsi="Arial" w:cs="Arial"/>
          <w:sz w:val="22"/>
        </w:rPr>
        <w:t>las empresas prestadoras de servicios públicos domiciliarios como una categoría</w:t>
      </w:r>
      <w:r>
        <w:rPr>
          <w:rFonts w:ascii="Arial" w:hAnsi="Arial" w:cs="Arial"/>
          <w:sz w:val="22"/>
        </w:rPr>
        <w:t xml:space="preserve"> estructural</w:t>
      </w:r>
      <w:r w:rsidRPr="00FF16B9">
        <w:rPr>
          <w:rFonts w:ascii="Arial" w:hAnsi="Arial" w:cs="Arial"/>
          <w:sz w:val="22"/>
        </w:rPr>
        <w:t xml:space="preserve"> especial, </w:t>
      </w:r>
      <w:r>
        <w:rPr>
          <w:rFonts w:ascii="Arial" w:hAnsi="Arial" w:cs="Arial"/>
          <w:sz w:val="22"/>
        </w:rPr>
        <w:t>destinada, precisamente a la prestación de esos servicios públicos en las particulares condiciones constitucionales y legales.</w:t>
      </w:r>
    </w:p>
    <w:p w14:paraId="7463C289" w14:textId="77777777" w:rsidR="008A7C1A" w:rsidRDefault="008A7C1A" w:rsidP="008A7C1A">
      <w:pPr>
        <w:spacing w:before="120" w:after="120" w:line="276" w:lineRule="auto"/>
        <w:ind w:firstLine="708"/>
        <w:jc w:val="both"/>
        <w:rPr>
          <w:rFonts w:ascii="Arial" w:hAnsi="Arial" w:cs="Arial"/>
          <w:sz w:val="22"/>
        </w:rPr>
      </w:pPr>
      <w:r>
        <w:rPr>
          <w:rFonts w:ascii="Arial" w:hAnsi="Arial" w:cs="Arial"/>
          <w:sz w:val="22"/>
        </w:rPr>
        <w:t xml:space="preserve">Es decir, en aplicación del régimen constitucional y, particularmente, de lo previsto en el artículo 365, según el cual </w:t>
      </w:r>
      <w:r w:rsidRPr="005F35E9">
        <w:rPr>
          <w:rFonts w:ascii="Arial" w:hAnsi="Arial" w:cs="Arial"/>
          <w:sz w:val="22"/>
        </w:rPr>
        <w:t>«</w:t>
      </w:r>
      <w:r>
        <w:rPr>
          <w:rFonts w:ascii="Arial" w:hAnsi="Arial" w:cs="Arial"/>
          <w:sz w:val="22"/>
        </w:rPr>
        <w:t>[…]</w:t>
      </w:r>
      <w:r w:rsidRPr="005F35E9">
        <w:rPr>
          <w:rFonts w:ascii="Arial" w:hAnsi="Arial" w:cs="Arial"/>
          <w:sz w:val="22"/>
        </w:rPr>
        <w:t>Los servicios públicos estarán sometidos al régimen jurídico que fije la ley, podrán ser prestados por el Estado, directa o indirectamente, por comunidades organizadas, o por particulares</w:t>
      </w:r>
      <w:r>
        <w:rPr>
          <w:rFonts w:ascii="Arial" w:hAnsi="Arial" w:cs="Arial"/>
          <w:sz w:val="22"/>
        </w:rPr>
        <w:t>. […]</w:t>
      </w:r>
      <w:r w:rsidRPr="005F35E9">
        <w:rPr>
          <w:rFonts w:ascii="Arial" w:hAnsi="Arial" w:cs="Arial"/>
          <w:sz w:val="22"/>
        </w:rPr>
        <w:t>»</w:t>
      </w:r>
      <w:r>
        <w:rPr>
          <w:rFonts w:ascii="Arial" w:hAnsi="Arial" w:cs="Arial"/>
          <w:sz w:val="22"/>
        </w:rPr>
        <w:t>, el legislador desarrollo el régimen liberalizado de prestación de los servicios públicos domiciliarios en la Ley 142 de 1994. Con esta norma, sumada a la construcción derivada de la jurisprudencia constitucional y de lo contencioso administrativo, se construye el contenido de la naturaleza jurídica de las ESP oficiales.</w:t>
      </w:r>
    </w:p>
    <w:p w14:paraId="322AFBD4" w14:textId="77777777" w:rsidR="008A7C1A" w:rsidRDefault="008A7C1A" w:rsidP="008A7C1A">
      <w:pPr>
        <w:spacing w:before="120" w:after="120" w:line="276" w:lineRule="auto"/>
        <w:ind w:firstLine="708"/>
        <w:jc w:val="both"/>
        <w:rPr>
          <w:rFonts w:ascii="Arial" w:hAnsi="Arial" w:cs="Arial"/>
          <w:sz w:val="22"/>
          <w:lang w:val="es-ES_tradnl"/>
        </w:rPr>
      </w:pPr>
      <w:r>
        <w:rPr>
          <w:rFonts w:ascii="Arial" w:hAnsi="Arial" w:cs="Arial"/>
          <w:sz w:val="22"/>
        </w:rPr>
        <w:t>En efecto, una</w:t>
      </w:r>
      <w:r w:rsidRPr="006847A6">
        <w:rPr>
          <w:rFonts w:ascii="Arial" w:hAnsi="Arial" w:cs="Arial"/>
          <w:sz w:val="22"/>
        </w:rPr>
        <w:t xml:space="preserve"> de las principales expresiones de la intervención del Estado en el mercado </w:t>
      </w:r>
      <w:r>
        <w:rPr>
          <w:rFonts w:ascii="Arial" w:hAnsi="Arial" w:cs="Arial"/>
          <w:sz w:val="22"/>
        </w:rPr>
        <w:t>liberalizado de</w:t>
      </w:r>
      <w:r w:rsidRPr="006847A6">
        <w:rPr>
          <w:rFonts w:ascii="Arial" w:hAnsi="Arial" w:cs="Arial"/>
          <w:sz w:val="22"/>
        </w:rPr>
        <w:t xml:space="preserve"> prestación de </w:t>
      </w:r>
      <w:r>
        <w:rPr>
          <w:rFonts w:ascii="Arial" w:hAnsi="Arial" w:cs="Arial"/>
          <w:sz w:val="22"/>
        </w:rPr>
        <w:t>este tipo de</w:t>
      </w:r>
      <w:r w:rsidRPr="006847A6">
        <w:rPr>
          <w:rFonts w:ascii="Arial" w:hAnsi="Arial" w:cs="Arial"/>
          <w:sz w:val="22"/>
        </w:rPr>
        <w:t xml:space="preserve"> servicios</w:t>
      </w:r>
      <w:r>
        <w:rPr>
          <w:rFonts w:ascii="Arial" w:hAnsi="Arial" w:cs="Arial"/>
          <w:sz w:val="22"/>
        </w:rPr>
        <w:t xml:space="preserve"> públicos</w:t>
      </w:r>
      <w:r w:rsidRPr="006847A6">
        <w:rPr>
          <w:rFonts w:ascii="Arial" w:hAnsi="Arial" w:cs="Arial"/>
          <w:sz w:val="22"/>
        </w:rPr>
        <w:t xml:space="preserve">, </w:t>
      </w:r>
      <w:r>
        <w:rPr>
          <w:rFonts w:ascii="Arial" w:hAnsi="Arial" w:cs="Arial"/>
          <w:sz w:val="22"/>
        </w:rPr>
        <w:t>se encuentra en</w:t>
      </w:r>
      <w:r w:rsidRPr="006847A6">
        <w:rPr>
          <w:rFonts w:ascii="Arial" w:hAnsi="Arial" w:cs="Arial"/>
          <w:sz w:val="22"/>
        </w:rPr>
        <w:t xml:space="preserve"> la posibilidad que tienen </w:t>
      </w:r>
      <w:r>
        <w:rPr>
          <w:rFonts w:ascii="Arial" w:hAnsi="Arial" w:cs="Arial"/>
          <w:sz w:val="22"/>
        </w:rPr>
        <w:t xml:space="preserve">todas </w:t>
      </w:r>
      <w:r w:rsidRPr="006847A6">
        <w:rPr>
          <w:rFonts w:ascii="Arial" w:hAnsi="Arial" w:cs="Arial"/>
          <w:sz w:val="22"/>
        </w:rPr>
        <w:t>las personas</w:t>
      </w:r>
      <w:r>
        <w:rPr>
          <w:rFonts w:ascii="Arial" w:hAnsi="Arial" w:cs="Arial"/>
          <w:sz w:val="22"/>
        </w:rPr>
        <w:t xml:space="preserve"> (Estado, directa o indirectamente, particulares o comunidades organizadas)</w:t>
      </w:r>
      <w:r w:rsidRPr="006847A6">
        <w:rPr>
          <w:rFonts w:ascii="Arial" w:hAnsi="Arial" w:cs="Arial"/>
          <w:sz w:val="22"/>
        </w:rPr>
        <w:t xml:space="preserve"> de asumir actividades consideradas como servicios públicos domiciliarios o como complementarias de éstos</w:t>
      </w:r>
      <w:r>
        <w:rPr>
          <w:rFonts w:ascii="Arial" w:hAnsi="Arial" w:cs="Arial"/>
          <w:sz w:val="22"/>
        </w:rPr>
        <w:t>, es decir, de prestarlos directamente y asumir el rol de titulares del servicio. L</w:t>
      </w:r>
      <w:r w:rsidRPr="006847A6">
        <w:rPr>
          <w:rFonts w:ascii="Arial" w:hAnsi="Arial" w:cs="Arial"/>
          <w:sz w:val="22"/>
        </w:rPr>
        <w:t xml:space="preserve">o anterior, </w:t>
      </w:r>
      <w:r>
        <w:rPr>
          <w:rFonts w:ascii="Arial" w:hAnsi="Arial" w:cs="Arial"/>
          <w:sz w:val="22"/>
        </w:rPr>
        <w:t xml:space="preserve">previo el cumplimiento del requisito determinado por el legislador, según el cual </w:t>
      </w:r>
      <w:r w:rsidRPr="006847A6">
        <w:rPr>
          <w:rFonts w:ascii="Arial" w:hAnsi="Arial" w:cs="Arial"/>
          <w:sz w:val="22"/>
        </w:rPr>
        <w:t xml:space="preserve">no cualquier persona puede acudir con libertad a dicho mercado, es decir, la persona que desee emprender las actividades </w:t>
      </w:r>
      <w:r>
        <w:rPr>
          <w:rFonts w:ascii="Arial" w:hAnsi="Arial" w:cs="Arial"/>
          <w:sz w:val="22"/>
        </w:rPr>
        <w:t xml:space="preserve">referidas </w:t>
      </w:r>
      <w:r w:rsidRPr="006847A6">
        <w:rPr>
          <w:rFonts w:ascii="Arial" w:hAnsi="Arial" w:cs="Arial"/>
          <w:sz w:val="22"/>
        </w:rPr>
        <w:t xml:space="preserve">debe asumir una de las formas expresamente determinadas por el legislador para el desarrollo de la actividad y que se encuentran señaladas, taxativamente, en </w:t>
      </w:r>
      <w:r>
        <w:rPr>
          <w:rFonts w:ascii="Arial" w:hAnsi="Arial" w:cs="Arial"/>
          <w:sz w:val="22"/>
        </w:rPr>
        <w:t>el artículo 15 de la</w:t>
      </w:r>
      <w:r w:rsidRPr="006847A6">
        <w:rPr>
          <w:rFonts w:ascii="Arial" w:hAnsi="Arial" w:cs="Arial"/>
          <w:sz w:val="22"/>
        </w:rPr>
        <w:t xml:space="preserve"> Ley 142 de 1994</w:t>
      </w:r>
      <w:r>
        <w:rPr>
          <w:rFonts w:ascii="Arial" w:hAnsi="Arial" w:cs="Arial"/>
          <w:sz w:val="22"/>
        </w:rPr>
        <w:t xml:space="preserve">, en el cual están enunciadas las </w:t>
      </w:r>
      <w:bookmarkStart w:id="24" w:name="_Hlk94532157"/>
      <w:r w:rsidRPr="00996366">
        <w:rPr>
          <w:rFonts w:ascii="Arial" w:hAnsi="Arial" w:cs="Arial"/>
          <w:sz w:val="22"/>
          <w:lang w:val="es-ES_tradnl"/>
        </w:rPr>
        <w:t>«</w:t>
      </w:r>
      <w:bookmarkEnd w:id="24"/>
      <w:r>
        <w:rPr>
          <w:rFonts w:ascii="Arial" w:hAnsi="Arial" w:cs="Arial"/>
          <w:sz w:val="22"/>
        </w:rPr>
        <w:t>empresas de servicios públicos</w:t>
      </w:r>
      <w:bookmarkStart w:id="25" w:name="_Hlk97651145"/>
      <w:r w:rsidRPr="00996366">
        <w:rPr>
          <w:rFonts w:ascii="Arial" w:hAnsi="Arial" w:cs="Arial"/>
          <w:sz w:val="22"/>
          <w:lang w:val="es-ES_tradnl"/>
        </w:rPr>
        <w:t>»</w:t>
      </w:r>
      <w:bookmarkEnd w:id="25"/>
      <w:r>
        <w:rPr>
          <w:rFonts w:ascii="Arial" w:hAnsi="Arial" w:cs="Arial"/>
          <w:sz w:val="22"/>
          <w:lang w:val="es-ES_tradnl"/>
        </w:rPr>
        <w:t xml:space="preserve"> (numeral 15.1).</w:t>
      </w:r>
    </w:p>
    <w:p w14:paraId="360BC9CF" w14:textId="77777777" w:rsidR="008A7C1A" w:rsidRDefault="008A7C1A" w:rsidP="008A7C1A">
      <w:pPr>
        <w:spacing w:before="120" w:after="120" w:line="276" w:lineRule="auto"/>
        <w:ind w:firstLine="708"/>
        <w:jc w:val="both"/>
        <w:rPr>
          <w:rFonts w:ascii="Arial" w:hAnsi="Arial" w:cs="Arial"/>
          <w:sz w:val="22"/>
        </w:rPr>
      </w:pPr>
      <w:r>
        <w:rPr>
          <w:rFonts w:ascii="Arial" w:hAnsi="Arial" w:cs="Arial"/>
          <w:sz w:val="22"/>
        </w:rPr>
        <w:t xml:space="preserve">Así, las empresas prestadoras de servicios públicos domiciliarios pueden ser catalogados como </w:t>
      </w:r>
      <w:r w:rsidRPr="008A5F0F">
        <w:rPr>
          <w:rFonts w:ascii="Arial" w:hAnsi="Arial" w:cs="Arial"/>
          <w:sz w:val="22"/>
        </w:rPr>
        <w:t>la categoría principal de los prestadores privados</w:t>
      </w:r>
      <w:r>
        <w:rPr>
          <w:rFonts w:ascii="Arial" w:hAnsi="Arial" w:cs="Arial"/>
          <w:sz w:val="22"/>
        </w:rPr>
        <w:t>. De manera expresa, el artículo 17 de la Ley 142 de 1994 prevé la</w:t>
      </w:r>
      <w:r w:rsidRPr="008A5F0F">
        <w:rPr>
          <w:rFonts w:ascii="Arial" w:hAnsi="Arial" w:cs="Arial"/>
          <w:sz w:val="22"/>
        </w:rPr>
        <w:t xml:space="preserve"> naturaleza jurídica de éstas</w:t>
      </w:r>
      <w:r>
        <w:rPr>
          <w:rFonts w:ascii="Arial" w:hAnsi="Arial" w:cs="Arial"/>
          <w:sz w:val="22"/>
        </w:rPr>
        <w:t>, en los siguientes términos:</w:t>
      </w:r>
    </w:p>
    <w:p w14:paraId="7D49E336" w14:textId="77777777" w:rsidR="008A7C1A" w:rsidRPr="00910681" w:rsidRDefault="008A7C1A" w:rsidP="008A7C1A">
      <w:pPr>
        <w:ind w:left="708" w:right="900"/>
        <w:jc w:val="both"/>
        <w:rPr>
          <w:rFonts w:ascii="Arial" w:hAnsi="Arial" w:cs="Arial"/>
          <w:sz w:val="21"/>
          <w:szCs w:val="21"/>
        </w:rPr>
      </w:pPr>
      <w:r w:rsidRPr="00910681">
        <w:rPr>
          <w:rFonts w:ascii="Arial" w:hAnsi="Arial" w:cs="Arial"/>
          <w:sz w:val="21"/>
          <w:szCs w:val="21"/>
        </w:rPr>
        <w:t xml:space="preserve">«Artículo 17. Las empresas de servicios públicos </w:t>
      </w:r>
      <w:r w:rsidRPr="007654F7">
        <w:rPr>
          <w:rFonts w:ascii="Arial" w:hAnsi="Arial" w:cs="Arial"/>
          <w:i/>
          <w:iCs/>
          <w:sz w:val="21"/>
          <w:szCs w:val="21"/>
        </w:rPr>
        <w:t>son sociedades por acciones</w:t>
      </w:r>
      <w:r w:rsidRPr="00910681">
        <w:rPr>
          <w:rFonts w:ascii="Arial" w:hAnsi="Arial" w:cs="Arial"/>
          <w:sz w:val="21"/>
          <w:szCs w:val="21"/>
        </w:rPr>
        <w:t xml:space="preserve"> cuyo objeto es la prestación de los servicios públicos de que trata esta Ley. </w:t>
      </w:r>
    </w:p>
    <w:p w14:paraId="169E86BB" w14:textId="77777777" w:rsidR="008A7C1A" w:rsidRPr="007654F7" w:rsidRDefault="008A7C1A" w:rsidP="008A7C1A">
      <w:pPr>
        <w:ind w:left="708" w:right="900"/>
        <w:jc w:val="both"/>
        <w:rPr>
          <w:rFonts w:ascii="Arial" w:hAnsi="Arial" w:cs="Arial"/>
          <w:i/>
          <w:iCs/>
          <w:sz w:val="21"/>
          <w:szCs w:val="21"/>
        </w:rPr>
      </w:pPr>
      <w:r w:rsidRPr="00910681">
        <w:rPr>
          <w:rFonts w:ascii="Arial" w:hAnsi="Arial" w:cs="Arial"/>
          <w:sz w:val="21"/>
          <w:szCs w:val="21"/>
        </w:rPr>
        <w:lastRenderedPageBreak/>
        <w:t xml:space="preserve">Parágrafo 1°. </w:t>
      </w:r>
      <w:r w:rsidRPr="007654F7">
        <w:rPr>
          <w:rFonts w:ascii="Arial" w:hAnsi="Arial" w:cs="Arial"/>
          <w:i/>
          <w:iCs/>
          <w:sz w:val="21"/>
          <w:szCs w:val="21"/>
        </w:rPr>
        <w:t>Las entidades descentralizadas de cualquier orden territorial o nacional, cuyos propietarios no deseen que su capital esté representado en acciones, deberán adoptar la forma de empresa industrial y comercial del estado.</w:t>
      </w:r>
    </w:p>
    <w:p w14:paraId="5AA36E00" w14:textId="77777777" w:rsidR="008A7C1A" w:rsidRPr="00910681" w:rsidRDefault="008A7C1A" w:rsidP="008A7C1A">
      <w:pPr>
        <w:ind w:left="708" w:right="900"/>
        <w:jc w:val="both"/>
        <w:rPr>
          <w:rFonts w:ascii="Arial" w:hAnsi="Arial" w:cs="Arial"/>
          <w:sz w:val="21"/>
          <w:szCs w:val="21"/>
        </w:rPr>
      </w:pPr>
      <w:r w:rsidRPr="00910681">
        <w:rPr>
          <w:rFonts w:ascii="Arial" w:hAnsi="Arial" w:cs="Arial"/>
          <w:sz w:val="21"/>
          <w:szCs w:val="21"/>
        </w:rPr>
        <w:t>Mientras la ley a la que se refiere el artículo 352 de la Constitución Política no disponga otra cosa, sus presupuestos serán aprobados por las correspondientes juntas directivas. En todo caso</w:t>
      </w:r>
      <w:r w:rsidRPr="007654F7">
        <w:rPr>
          <w:rFonts w:ascii="Arial" w:hAnsi="Arial" w:cs="Arial"/>
          <w:i/>
          <w:iCs/>
          <w:sz w:val="21"/>
          <w:szCs w:val="21"/>
        </w:rPr>
        <w:t>, el régimen aplicable a las entidades descentralizadas de cualquier nivel territorial que presten servicios públicos, en todo lo que no disponga directamente la Constitución, será el previsto en esta Ley</w:t>
      </w:r>
      <w:r w:rsidRPr="00910681">
        <w:rPr>
          <w:rFonts w:ascii="Arial" w:hAnsi="Arial" w:cs="Arial"/>
          <w:sz w:val="21"/>
          <w:szCs w:val="21"/>
        </w:rPr>
        <w:t>. La Superintendencia de Servicios Públicos podrá exigir modificaciones en los estatutos de las entidades descentralizadas que presten servicios públicos y no hayan sido aprobados por el Congreso, si no se ajustan a lo dispuesto en esta Ley.</w:t>
      </w:r>
    </w:p>
    <w:p w14:paraId="4ABFED6F" w14:textId="77777777" w:rsidR="008A7C1A" w:rsidRDefault="008A7C1A" w:rsidP="008A7C1A">
      <w:pPr>
        <w:ind w:left="708" w:right="900"/>
        <w:jc w:val="both"/>
        <w:rPr>
          <w:rFonts w:ascii="Arial" w:hAnsi="Arial" w:cs="Arial"/>
          <w:sz w:val="21"/>
          <w:szCs w:val="21"/>
        </w:rPr>
      </w:pPr>
      <w:r w:rsidRPr="00910681">
        <w:rPr>
          <w:rFonts w:ascii="Arial" w:hAnsi="Arial" w:cs="Arial"/>
          <w:sz w:val="21"/>
          <w:szCs w:val="21"/>
        </w:rPr>
        <w:t>Parágrafo 2°. Las empresas oficiales de servicios públicos deberán, al finalizar el ejercicio fiscal, constituir reservas para rehabilitación, expansión y reposición de los sistemas</w:t>
      </w:r>
      <w:r>
        <w:rPr>
          <w:rFonts w:ascii="Arial" w:hAnsi="Arial" w:cs="Arial"/>
          <w:sz w:val="21"/>
          <w:szCs w:val="21"/>
        </w:rPr>
        <w:t>.</w:t>
      </w:r>
      <w:r w:rsidRPr="00683DAE">
        <w:rPr>
          <w:rFonts w:ascii="Arial" w:hAnsi="Arial" w:cs="Arial"/>
          <w:sz w:val="21"/>
          <w:szCs w:val="21"/>
        </w:rPr>
        <w:t>»</w:t>
      </w:r>
      <w:r>
        <w:rPr>
          <w:rFonts w:ascii="Arial" w:hAnsi="Arial" w:cs="Arial"/>
          <w:sz w:val="21"/>
          <w:szCs w:val="21"/>
        </w:rPr>
        <w:t xml:space="preserve"> (cursiva fuera de texto)</w:t>
      </w:r>
    </w:p>
    <w:p w14:paraId="4004A9B2" w14:textId="77777777" w:rsidR="008A7C1A" w:rsidRDefault="008A7C1A" w:rsidP="008A7C1A">
      <w:pPr>
        <w:ind w:left="708" w:right="900"/>
        <w:jc w:val="both"/>
        <w:rPr>
          <w:rFonts w:ascii="Arial" w:hAnsi="Arial" w:cs="Arial"/>
          <w:sz w:val="22"/>
        </w:rPr>
      </w:pPr>
    </w:p>
    <w:p w14:paraId="0DEEDA7F" w14:textId="77777777" w:rsidR="008A7C1A" w:rsidRDefault="008A7C1A" w:rsidP="008A7C1A">
      <w:pPr>
        <w:spacing w:before="120" w:after="120" w:line="276" w:lineRule="auto"/>
        <w:ind w:firstLine="708"/>
        <w:jc w:val="both"/>
        <w:rPr>
          <w:rFonts w:ascii="Arial" w:hAnsi="Arial" w:cs="Arial"/>
          <w:sz w:val="22"/>
        </w:rPr>
      </w:pPr>
      <w:r>
        <w:rPr>
          <w:rFonts w:ascii="Arial" w:hAnsi="Arial" w:cs="Arial"/>
          <w:sz w:val="22"/>
        </w:rPr>
        <w:t xml:space="preserve">Como se observa, </w:t>
      </w:r>
      <w:r w:rsidRPr="008A5F0F">
        <w:rPr>
          <w:rFonts w:ascii="Arial" w:hAnsi="Arial" w:cs="Arial"/>
          <w:sz w:val="22"/>
        </w:rPr>
        <w:t>el artículo 17 de la Ley 142 de 1994</w:t>
      </w:r>
      <w:r>
        <w:rPr>
          <w:rFonts w:ascii="Arial" w:hAnsi="Arial" w:cs="Arial"/>
          <w:sz w:val="22"/>
        </w:rPr>
        <w:t xml:space="preserve"> </w:t>
      </w:r>
      <w:r w:rsidRPr="008A5F0F">
        <w:rPr>
          <w:rFonts w:ascii="Arial" w:hAnsi="Arial" w:cs="Arial"/>
          <w:sz w:val="22"/>
        </w:rPr>
        <w:t xml:space="preserve">dispone que dichas empresas deben constituirse </w:t>
      </w:r>
      <w:r>
        <w:rPr>
          <w:rFonts w:ascii="Arial" w:hAnsi="Arial" w:cs="Arial"/>
          <w:sz w:val="22"/>
        </w:rPr>
        <w:t xml:space="preserve">i) </w:t>
      </w:r>
      <w:r w:rsidRPr="008A5F0F">
        <w:rPr>
          <w:rFonts w:ascii="Arial" w:hAnsi="Arial" w:cs="Arial"/>
          <w:sz w:val="22"/>
        </w:rPr>
        <w:t xml:space="preserve">como sociedades por acciones que </w:t>
      </w:r>
      <w:r>
        <w:rPr>
          <w:rFonts w:ascii="Arial" w:hAnsi="Arial" w:cs="Arial"/>
          <w:sz w:val="22"/>
        </w:rPr>
        <w:t>ii</w:t>
      </w:r>
      <w:r w:rsidRPr="008A5F0F">
        <w:rPr>
          <w:rFonts w:ascii="Arial" w:hAnsi="Arial" w:cs="Arial"/>
          <w:sz w:val="22"/>
        </w:rPr>
        <w:t xml:space="preserve">) tengan por objeto la prestación de los servicios públicos de que trata la Ley 142 de 1994 y </w:t>
      </w:r>
      <w:r>
        <w:rPr>
          <w:rFonts w:ascii="Arial" w:hAnsi="Arial" w:cs="Arial"/>
          <w:sz w:val="22"/>
        </w:rPr>
        <w:t>iii</w:t>
      </w:r>
      <w:r w:rsidRPr="008A5F0F">
        <w:rPr>
          <w:rFonts w:ascii="Arial" w:hAnsi="Arial" w:cs="Arial"/>
          <w:sz w:val="22"/>
        </w:rPr>
        <w:t>) que se gobiernen por las disposiciones especiales contenidas en la Ley 142 de 1994, y solo a falta de estas por las señaladas en el Código de Comercio y demás normas concordantes.</w:t>
      </w:r>
      <w:r>
        <w:rPr>
          <w:rFonts w:ascii="Arial" w:hAnsi="Arial" w:cs="Arial"/>
          <w:sz w:val="22"/>
        </w:rPr>
        <w:t xml:space="preserve"> Al respecto, necesario resaltar que es</w:t>
      </w:r>
      <w:r w:rsidRPr="008A5F0F">
        <w:rPr>
          <w:rFonts w:ascii="Arial" w:hAnsi="Arial" w:cs="Arial"/>
          <w:sz w:val="22"/>
        </w:rPr>
        <w:t>te régimen especial, que se aparta en muchos aspectos del señalado de manera general por el Código de Comercio para las sociedades por acciones, tiene como objetivo el cumplimiento de los fines del Estado frente a la prestación de los servicios públicos domiciliarios.</w:t>
      </w:r>
    </w:p>
    <w:p w14:paraId="1F4102E5" w14:textId="77777777" w:rsidR="008A7C1A" w:rsidRPr="00F662EE" w:rsidRDefault="008A7C1A" w:rsidP="008A7C1A">
      <w:pPr>
        <w:spacing w:before="120" w:after="120" w:line="276" w:lineRule="auto"/>
        <w:ind w:firstLine="708"/>
        <w:jc w:val="both"/>
        <w:rPr>
          <w:rFonts w:ascii="Arial" w:hAnsi="Arial" w:cs="Arial"/>
          <w:sz w:val="22"/>
        </w:rPr>
      </w:pPr>
      <w:r>
        <w:rPr>
          <w:rFonts w:ascii="Arial" w:hAnsi="Arial" w:cs="Arial"/>
          <w:sz w:val="22"/>
        </w:rPr>
        <w:t>En</w:t>
      </w:r>
      <w:r w:rsidRPr="00F662EE">
        <w:rPr>
          <w:rFonts w:ascii="Arial" w:hAnsi="Arial" w:cs="Arial"/>
          <w:sz w:val="22"/>
        </w:rPr>
        <w:t xml:space="preserve"> relación </w:t>
      </w:r>
      <w:r>
        <w:rPr>
          <w:rFonts w:ascii="Arial" w:hAnsi="Arial" w:cs="Arial"/>
          <w:sz w:val="22"/>
        </w:rPr>
        <w:t xml:space="preserve">con </w:t>
      </w:r>
      <w:r w:rsidRPr="00F662EE">
        <w:rPr>
          <w:rFonts w:ascii="Arial" w:hAnsi="Arial" w:cs="Arial"/>
          <w:sz w:val="22"/>
        </w:rPr>
        <w:t>l</w:t>
      </w:r>
      <w:r>
        <w:rPr>
          <w:rFonts w:ascii="Arial" w:hAnsi="Arial" w:cs="Arial"/>
          <w:sz w:val="22"/>
        </w:rPr>
        <w:t xml:space="preserve">os tipos de </w:t>
      </w:r>
      <w:r w:rsidRPr="00F662EE">
        <w:rPr>
          <w:rFonts w:ascii="Arial" w:hAnsi="Arial" w:cs="Arial"/>
          <w:sz w:val="22"/>
        </w:rPr>
        <w:t>empresas de servicios públicos domiciliarios, la misma Ley 142 de 1994 estableció la distinción entre empresas de servicios públicos oficiales, mixtas y privadas, en los numerales 5 a 7 de su artículo 14, así:</w:t>
      </w:r>
    </w:p>
    <w:p w14:paraId="1C18CCFB" w14:textId="77777777" w:rsidR="008A7C1A" w:rsidRPr="00F662EE" w:rsidRDefault="008A7C1A" w:rsidP="008A7C1A">
      <w:pPr>
        <w:ind w:firstLine="709"/>
        <w:jc w:val="both"/>
        <w:rPr>
          <w:rFonts w:ascii="Arial" w:hAnsi="Arial" w:cs="Arial"/>
          <w:sz w:val="21"/>
          <w:szCs w:val="21"/>
        </w:rPr>
      </w:pPr>
      <w:r w:rsidRPr="00F662EE">
        <w:rPr>
          <w:rFonts w:ascii="Arial" w:hAnsi="Arial" w:cs="Arial"/>
          <w:sz w:val="21"/>
          <w:szCs w:val="21"/>
          <w:lang w:val="es-ES_tradnl"/>
        </w:rPr>
        <w:t>«</w:t>
      </w:r>
      <w:r w:rsidRPr="00F662EE">
        <w:rPr>
          <w:rFonts w:ascii="Arial" w:hAnsi="Arial" w:cs="Arial"/>
          <w:sz w:val="21"/>
          <w:szCs w:val="21"/>
        </w:rPr>
        <w:t>[…]</w:t>
      </w:r>
    </w:p>
    <w:p w14:paraId="7E7C7F17" w14:textId="77777777" w:rsidR="008A7C1A" w:rsidRPr="00F662EE" w:rsidRDefault="008A7C1A" w:rsidP="008A7C1A">
      <w:pPr>
        <w:ind w:left="708" w:firstLine="1"/>
        <w:jc w:val="both"/>
        <w:rPr>
          <w:rFonts w:ascii="Arial" w:hAnsi="Arial" w:cs="Arial"/>
          <w:sz w:val="21"/>
          <w:szCs w:val="21"/>
        </w:rPr>
      </w:pPr>
      <w:r w:rsidRPr="00F662EE">
        <w:rPr>
          <w:rFonts w:ascii="Arial" w:hAnsi="Arial" w:cs="Arial"/>
          <w:sz w:val="21"/>
          <w:szCs w:val="21"/>
        </w:rPr>
        <w:t>14.5. Empresas de servicios públicos oficiales. Es aquella en cuyo capital la Nación, las entidades territoriales, o las entidades descentralizadas de aquella o estas tienen el 100% de los aportes.</w:t>
      </w:r>
    </w:p>
    <w:p w14:paraId="09248142" w14:textId="77777777" w:rsidR="008A7C1A" w:rsidRPr="00F662EE" w:rsidRDefault="008A7C1A" w:rsidP="008A7C1A">
      <w:pPr>
        <w:ind w:left="708" w:firstLine="1"/>
        <w:jc w:val="both"/>
        <w:rPr>
          <w:rFonts w:ascii="Arial" w:hAnsi="Arial" w:cs="Arial"/>
          <w:sz w:val="21"/>
          <w:szCs w:val="21"/>
        </w:rPr>
      </w:pPr>
      <w:r w:rsidRPr="00F662EE">
        <w:rPr>
          <w:rFonts w:ascii="Arial" w:hAnsi="Arial" w:cs="Arial"/>
          <w:sz w:val="21"/>
          <w:szCs w:val="21"/>
        </w:rPr>
        <w:t>14.6 Empresa de servicios públicos mixta. Es aquella en cuyo capital la Nación, las entidades territoriales, o las entidades descentralizadas de aquella o estas tienen aportes iguales o superiores al 50%.</w:t>
      </w:r>
    </w:p>
    <w:p w14:paraId="587F63AB" w14:textId="77777777" w:rsidR="008A7C1A" w:rsidRPr="008A5F0F" w:rsidRDefault="008A7C1A" w:rsidP="008A7C1A">
      <w:pPr>
        <w:ind w:left="708" w:firstLine="1"/>
        <w:jc w:val="both"/>
        <w:rPr>
          <w:rFonts w:ascii="Arial" w:hAnsi="Arial" w:cs="Arial"/>
          <w:sz w:val="22"/>
        </w:rPr>
      </w:pPr>
      <w:r w:rsidRPr="00F662EE">
        <w:rPr>
          <w:rFonts w:ascii="Arial" w:hAnsi="Arial" w:cs="Arial"/>
          <w:sz w:val="21"/>
          <w:szCs w:val="21"/>
        </w:rPr>
        <w:t>14.7 Empresa de servicios públicos privada. Es aquella cuyo capital pertenece mayoritariamente a particulares, o a entidades surgidas de convenios internacionales que deseen someterse íntegramente para estos efectos a las reglas a las que se someten los particulares. […]</w:t>
      </w:r>
      <w:r w:rsidRPr="00F662EE">
        <w:rPr>
          <w:rFonts w:ascii="Arial" w:hAnsi="Arial" w:cs="Arial"/>
          <w:sz w:val="21"/>
          <w:szCs w:val="21"/>
          <w:lang w:val="es-ES_tradnl"/>
        </w:rPr>
        <w:t>»</w:t>
      </w:r>
    </w:p>
    <w:p w14:paraId="2A1F74C8" w14:textId="77777777" w:rsidR="008A7C1A" w:rsidRDefault="008A7C1A" w:rsidP="008A7C1A">
      <w:pPr>
        <w:spacing w:before="120" w:after="120" w:line="276" w:lineRule="auto"/>
        <w:ind w:firstLine="708"/>
        <w:jc w:val="both"/>
        <w:rPr>
          <w:rFonts w:ascii="Arial" w:hAnsi="Arial" w:cs="Arial"/>
          <w:sz w:val="22"/>
        </w:rPr>
      </w:pPr>
      <w:r>
        <w:rPr>
          <w:rFonts w:ascii="Arial" w:hAnsi="Arial" w:cs="Arial"/>
          <w:sz w:val="22"/>
        </w:rPr>
        <w:lastRenderedPageBreak/>
        <w:t xml:space="preserve">La anterior distinción es importante a efectos de dilucidar la naturaleza de las empresas oficiales de prestación de servicios públicos domiciliarios y la aplicación del artículo 33 de la Ley de emprendimiento pues, si las ESP oficiales son aquellas en donde el capital público en la sociedad es del 100% de los aportes, puede concluirse </w:t>
      </w:r>
      <w:r>
        <w:rPr>
          <w:rFonts w:ascii="Arial" w:hAnsi="Arial" w:cs="Arial"/>
          <w:i/>
          <w:iCs/>
          <w:sz w:val="22"/>
        </w:rPr>
        <w:t xml:space="preserve">prima facie </w:t>
      </w:r>
      <w:r>
        <w:rPr>
          <w:rFonts w:ascii="Arial" w:hAnsi="Arial" w:cs="Arial"/>
          <w:sz w:val="22"/>
        </w:rPr>
        <w:t>que se trata de una entidad estatal y, por tanto, una entidad destinataria del artículo 33 de la Ley de emprendimiento. Esta conclusión preliminar puede reforzarse, al menos, por las siguientes 3 consideraciones:</w:t>
      </w:r>
    </w:p>
    <w:p w14:paraId="13CFF872" w14:textId="77777777" w:rsidR="008A7C1A" w:rsidRDefault="008A7C1A" w:rsidP="008A7C1A">
      <w:pPr>
        <w:spacing w:before="120" w:after="120" w:line="276" w:lineRule="auto"/>
        <w:ind w:firstLine="708"/>
        <w:jc w:val="both"/>
        <w:rPr>
          <w:rFonts w:ascii="Arial" w:hAnsi="Arial" w:cs="Arial"/>
          <w:sz w:val="22"/>
        </w:rPr>
      </w:pPr>
      <w:r>
        <w:rPr>
          <w:rFonts w:ascii="Arial" w:hAnsi="Arial" w:cs="Arial"/>
          <w:sz w:val="22"/>
        </w:rPr>
        <w:t xml:space="preserve">i) El literal d) del numeral 2 del artículo 38 de la Ley 489 de 1998 indica expresamente que las empresas oficiales </w:t>
      </w:r>
      <w:r w:rsidRPr="008405A3">
        <w:rPr>
          <w:rFonts w:ascii="Arial" w:hAnsi="Arial" w:cs="Arial"/>
          <w:sz w:val="22"/>
        </w:rPr>
        <w:t>de servicios públicos domiciliarios</w:t>
      </w:r>
      <w:r>
        <w:rPr>
          <w:rFonts w:ascii="Arial" w:hAnsi="Arial" w:cs="Arial"/>
          <w:sz w:val="22"/>
        </w:rPr>
        <w:t xml:space="preserve"> hacen parte del sector descentralizado por servicios de la rama ejecutiva del poder público en el orden nacional.</w:t>
      </w:r>
    </w:p>
    <w:p w14:paraId="2C7AF473" w14:textId="77777777" w:rsidR="008A7C1A" w:rsidRDefault="008A7C1A" w:rsidP="008A7C1A">
      <w:pPr>
        <w:spacing w:before="120" w:after="120" w:line="276" w:lineRule="auto"/>
        <w:ind w:firstLine="708"/>
        <w:jc w:val="both"/>
        <w:rPr>
          <w:rFonts w:ascii="Arial" w:hAnsi="Arial" w:cs="Arial"/>
          <w:sz w:val="21"/>
          <w:szCs w:val="21"/>
          <w:lang w:val="es-ES_tradnl"/>
        </w:rPr>
      </w:pPr>
      <w:r>
        <w:rPr>
          <w:rFonts w:ascii="Arial" w:hAnsi="Arial" w:cs="Arial"/>
          <w:sz w:val="22"/>
        </w:rPr>
        <w:t xml:space="preserve">ii) Dicho artículo fue objeto de examen de constitucionalidad y la Corte Constitucional concluyó que </w:t>
      </w:r>
      <w:r w:rsidRPr="00B90A77">
        <w:rPr>
          <w:rFonts w:ascii="Arial" w:hAnsi="Arial" w:cs="Arial"/>
          <w:sz w:val="22"/>
        </w:rPr>
        <w:t>«</w:t>
      </w:r>
      <w:r>
        <w:rPr>
          <w:rFonts w:ascii="Arial" w:hAnsi="Arial" w:cs="Arial"/>
          <w:sz w:val="22"/>
        </w:rPr>
        <w:t>[…] l</w:t>
      </w:r>
      <w:r w:rsidRPr="00E22DA0">
        <w:rPr>
          <w:rFonts w:ascii="Arial" w:hAnsi="Arial" w:cs="Arial"/>
          <w:sz w:val="22"/>
        </w:rPr>
        <w:t>a Corte observa que una interpretación armónica del literal d) del artículo 38 de la Ley 489 de 1998, junto con el literal g) de la misma norma, permiten entender que la voluntad legislativa no fue excluir a las empresas de servicios públicos mixtas o privadas de la pertenencia a la Rama Ejecutiva del poder público. Nótese cómo en el literal d) el legislador incluye a las “demás entidades administrativas nacionales con personería jurídica que cree, organice o autorice la ley para que formen parte de la Rama Ejecutiva del Poder Público”, categoría dentro de la cual deben entenderse incluidas las empresas de servicios públicos mixtas o privadas, que de esta manera, se entienden como parte de la Rama Ejecutiva en su sector descentralizado nacional. Así las cosas, de cara a la constitucionalidad del artículo 38 de la Ley 498 de 1998, y concretamente de la expresión “las empresas oficiales de servicios públicos domiciliarios” contenida en su literal d), la Corte declarará su exequibilidad, por considerar que dentro del supuesto normativo del literal g) se comprenden las empresas mixtas o privadas de servicios públicos, que de esta manera viene a conformar también la Rama Ejecutiva del poder público</w:t>
      </w:r>
      <w:r>
        <w:rPr>
          <w:rFonts w:ascii="Arial" w:hAnsi="Arial" w:cs="Arial"/>
          <w:sz w:val="22"/>
        </w:rPr>
        <w:t>.</w:t>
      </w:r>
      <w:r w:rsidRPr="00F662EE">
        <w:rPr>
          <w:rFonts w:ascii="Arial" w:hAnsi="Arial" w:cs="Arial"/>
          <w:sz w:val="21"/>
          <w:szCs w:val="21"/>
          <w:lang w:val="es-ES_tradnl"/>
        </w:rPr>
        <w:t>»</w:t>
      </w:r>
      <w:r>
        <w:rPr>
          <w:rStyle w:val="Refdenotaalpie"/>
          <w:rFonts w:ascii="Arial" w:hAnsi="Arial" w:cs="Arial"/>
          <w:sz w:val="21"/>
          <w:szCs w:val="21"/>
          <w:lang w:val="es-ES_tradnl"/>
        </w:rPr>
        <w:footnoteReference w:id="30"/>
      </w:r>
    </w:p>
    <w:p w14:paraId="04009AC0" w14:textId="77777777" w:rsidR="008A7C1A" w:rsidRPr="00F927CD" w:rsidRDefault="008A7C1A" w:rsidP="008A7C1A">
      <w:pPr>
        <w:spacing w:before="120" w:after="120" w:line="276" w:lineRule="auto"/>
        <w:ind w:firstLine="708"/>
        <w:jc w:val="both"/>
        <w:rPr>
          <w:rFonts w:ascii="Arial" w:hAnsi="Arial" w:cs="Arial"/>
          <w:sz w:val="22"/>
        </w:rPr>
      </w:pPr>
      <w:r w:rsidRPr="00F927CD">
        <w:rPr>
          <w:rFonts w:ascii="Arial" w:hAnsi="Arial" w:cs="Arial"/>
          <w:sz w:val="22"/>
          <w:lang w:val="es-ES_tradnl"/>
        </w:rPr>
        <w:t xml:space="preserve">iii) La parte final del literal a) del numeral 1 del artículo 2 de la Ley 80 de 1993 indica que, a efectos del Estatuto General de Contratación de la Administración Pública, se denomina entidad estatal, entre otras, </w:t>
      </w:r>
      <w:r w:rsidRPr="00F927CD">
        <w:rPr>
          <w:rFonts w:ascii="Arial" w:hAnsi="Arial" w:cs="Arial"/>
          <w:sz w:val="22"/>
        </w:rPr>
        <w:t>«</w:t>
      </w:r>
      <w:r w:rsidRPr="00F927CD">
        <w:rPr>
          <w:rFonts w:ascii="Arial" w:hAnsi="Arial" w:cs="Arial"/>
          <w:sz w:val="22"/>
          <w:lang w:val="es-ES_tradnl"/>
        </w:rPr>
        <w:t>[…] las entidades descentralizadas indirectas y las demás personas jurídicas en las que exista dicha participación pública mayoritaria, cualquiera sea la denominación que ellas adopten, en todos los órdenes y niveles.»</w:t>
      </w:r>
    </w:p>
    <w:p w14:paraId="263D695B" w14:textId="77777777" w:rsidR="008A7C1A" w:rsidRDefault="008A7C1A" w:rsidP="008A7C1A">
      <w:pPr>
        <w:spacing w:before="120" w:line="276" w:lineRule="auto"/>
        <w:ind w:firstLine="708"/>
        <w:jc w:val="both"/>
        <w:rPr>
          <w:rFonts w:ascii="Arial" w:hAnsi="Arial" w:cs="Arial"/>
          <w:sz w:val="21"/>
          <w:szCs w:val="21"/>
          <w:lang w:val="es-ES_tradnl"/>
        </w:rPr>
      </w:pPr>
      <w:r w:rsidRPr="00F927CD">
        <w:rPr>
          <w:rFonts w:ascii="Arial" w:hAnsi="Arial" w:cs="Arial"/>
          <w:sz w:val="22"/>
          <w:lang w:val="es-ES_tradnl"/>
        </w:rPr>
        <w:t xml:space="preserve">De este modo, resulta claro </w:t>
      </w:r>
      <w:r>
        <w:rPr>
          <w:rFonts w:ascii="Arial" w:hAnsi="Arial" w:cs="Arial"/>
          <w:sz w:val="22"/>
          <w:lang w:val="es-ES_tradnl"/>
        </w:rPr>
        <w:t>que</w:t>
      </w:r>
      <w:r w:rsidRPr="00F927CD">
        <w:rPr>
          <w:rFonts w:ascii="Arial" w:hAnsi="Arial" w:cs="Arial"/>
          <w:sz w:val="22"/>
          <w:lang w:val="es-ES_tradnl"/>
        </w:rPr>
        <w:t xml:space="preserve"> son varias las razones que confirman la premisa que permite catalogar a las empresas oficiales de servicios públicos domiciliarios como entidad </w:t>
      </w:r>
      <w:r w:rsidRPr="00F927CD">
        <w:rPr>
          <w:rFonts w:ascii="Arial" w:hAnsi="Arial" w:cs="Arial"/>
          <w:sz w:val="22"/>
          <w:lang w:val="es-ES_tradnl"/>
        </w:rPr>
        <w:lastRenderedPageBreak/>
        <w:t>estatal. Además, es relevante subrayar que tanto la jurisprudencia constitucional</w:t>
      </w:r>
      <w:r>
        <w:rPr>
          <w:rStyle w:val="Refdenotaalpie"/>
          <w:rFonts w:ascii="Arial" w:hAnsi="Arial" w:cs="Arial"/>
          <w:sz w:val="22"/>
          <w:lang w:val="es-ES_tradnl"/>
        </w:rPr>
        <w:footnoteReference w:id="31"/>
      </w:r>
      <w:r w:rsidRPr="00F927CD">
        <w:rPr>
          <w:rFonts w:ascii="Arial" w:hAnsi="Arial" w:cs="Arial"/>
          <w:sz w:val="22"/>
          <w:lang w:val="es-ES_tradnl"/>
        </w:rPr>
        <w:t>como la contencioso - administrativa</w:t>
      </w:r>
      <w:r w:rsidRPr="00F927CD">
        <w:rPr>
          <w:rFonts w:ascii="Arial" w:hAnsi="Arial" w:cs="Arial"/>
          <w:sz w:val="22"/>
          <w:vertAlign w:val="superscript"/>
          <w:lang w:val="es-ES_tradnl"/>
        </w:rPr>
        <w:footnoteReference w:id="32"/>
      </w:r>
      <w:r w:rsidRPr="00F927CD">
        <w:rPr>
          <w:rFonts w:ascii="Arial" w:hAnsi="Arial" w:cs="Arial"/>
          <w:sz w:val="22"/>
          <w:lang w:val="es-ES_tradnl"/>
        </w:rPr>
        <w:t xml:space="preserve"> han concluido que las empresas oficiales de prestación de servicios públicos domiciliarios son, en términos del artículo 38 de la Ley 489 de 1998, administración pública. Por lo tanto, en función de la naturaleza jurídica de este tipo de prestadores de servicios públicos domiciliarios es posible concluir que</w:t>
      </w:r>
      <w:r>
        <w:rPr>
          <w:rFonts w:ascii="Arial" w:hAnsi="Arial" w:cs="Arial"/>
          <w:sz w:val="22"/>
          <w:lang w:val="es-ES_tradnl"/>
        </w:rPr>
        <w:t xml:space="preserve"> le es plenamente aplicable la prohibición de contratación directa contenida en el artículo 33 de la Ley de Garantías Electorales, toda vez que </w:t>
      </w:r>
      <w:r w:rsidRPr="00F927CD">
        <w:rPr>
          <w:rFonts w:ascii="Arial" w:hAnsi="Arial" w:cs="Arial"/>
          <w:sz w:val="22"/>
          <w:lang w:val="es-ES_tradnl"/>
        </w:rPr>
        <w:t>las empresas oficiales de servicios públicos domiciliarios</w:t>
      </w:r>
      <w:r>
        <w:rPr>
          <w:rFonts w:ascii="Arial" w:hAnsi="Arial" w:cs="Arial"/>
          <w:sz w:val="22"/>
          <w:lang w:val="es-ES_tradnl"/>
        </w:rPr>
        <w:t xml:space="preserve"> oficiales son entes estatales</w:t>
      </w:r>
      <w:r w:rsidRPr="00564913">
        <w:rPr>
          <w:rFonts w:ascii="Arial" w:hAnsi="Arial" w:cs="Arial"/>
          <w:sz w:val="21"/>
          <w:szCs w:val="21"/>
          <w:lang w:val="es-ES_tradnl"/>
        </w:rPr>
        <w:t>.</w:t>
      </w:r>
    </w:p>
    <w:p w14:paraId="1CFF84FA" w14:textId="77777777" w:rsidR="008A7C1A" w:rsidRDefault="008A7C1A" w:rsidP="008A7C1A">
      <w:pPr>
        <w:spacing w:line="276" w:lineRule="auto"/>
        <w:jc w:val="both"/>
        <w:rPr>
          <w:rFonts w:ascii="Arial" w:eastAsia="Calibri" w:hAnsi="Arial" w:cs="Arial"/>
          <w:b/>
          <w:sz w:val="22"/>
        </w:rPr>
      </w:pPr>
    </w:p>
    <w:p w14:paraId="119D3826" w14:textId="77777777" w:rsidR="008A7C1A" w:rsidRDefault="008A7C1A" w:rsidP="008A7C1A">
      <w:pPr>
        <w:spacing w:line="276" w:lineRule="auto"/>
        <w:jc w:val="both"/>
        <w:rPr>
          <w:rFonts w:ascii="Arial" w:eastAsia="Calibri" w:hAnsi="Arial" w:cs="Arial"/>
          <w:b/>
          <w:sz w:val="22"/>
        </w:rPr>
      </w:pPr>
      <w:r>
        <w:rPr>
          <w:rFonts w:ascii="Arial" w:eastAsia="Calibri" w:hAnsi="Arial" w:cs="Arial"/>
          <w:b/>
          <w:sz w:val="22"/>
        </w:rPr>
        <w:t xml:space="preserve">3. </w:t>
      </w:r>
      <w:r w:rsidRPr="00094B98">
        <w:rPr>
          <w:rFonts w:ascii="Arial" w:eastAsia="Calibri" w:hAnsi="Arial" w:cs="Arial"/>
          <w:b/>
          <w:sz w:val="22"/>
        </w:rPr>
        <w:t>Respuest</w:t>
      </w:r>
      <w:r>
        <w:rPr>
          <w:rFonts w:ascii="Arial" w:eastAsia="Calibri" w:hAnsi="Arial" w:cs="Arial"/>
          <w:b/>
          <w:sz w:val="22"/>
        </w:rPr>
        <w:t>a</w:t>
      </w:r>
    </w:p>
    <w:p w14:paraId="577FCEAA" w14:textId="77777777" w:rsidR="008A7C1A" w:rsidRDefault="008A7C1A" w:rsidP="008A7C1A">
      <w:pPr>
        <w:spacing w:line="276" w:lineRule="auto"/>
        <w:jc w:val="both"/>
        <w:rPr>
          <w:rFonts w:ascii="Arial" w:eastAsia="Calibri" w:hAnsi="Arial" w:cs="Arial"/>
          <w:b/>
          <w:sz w:val="22"/>
        </w:rPr>
      </w:pPr>
    </w:p>
    <w:p w14:paraId="5D2826D3" w14:textId="77777777" w:rsidR="008A7C1A" w:rsidRPr="005E7F02" w:rsidRDefault="008A7C1A" w:rsidP="008A7C1A">
      <w:pPr>
        <w:pStyle w:val="NormalWeb"/>
        <w:spacing w:before="0" w:beforeAutospacing="0" w:after="0" w:afterAutospacing="0"/>
        <w:ind w:left="709" w:right="709"/>
        <w:jc w:val="both"/>
        <w:rPr>
          <w:rFonts w:ascii="Arial" w:hAnsi="Arial" w:cs="Arial"/>
          <w:sz w:val="21"/>
          <w:szCs w:val="21"/>
        </w:rPr>
      </w:pPr>
      <w:r w:rsidRPr="005E7F02">
        <w:rPr>
          <w:rFonts w:ascii="Arial" w:hAnsi="Arial" w:cs="Arial"/>
          <w:sz w:val="21"/>
          <w:szCs w:val="21"/>
        </w:rPr>
        <w:t>«Llego ante ustedes muy cordialmente solicitando concepto sobre si las empresas de servicios públicos domiciliarios del orden territorial (municipal) con patrimonio 100% público que prestan los servicios públicos de acueducto y alcantarillado pueden realizar contratación directa para garantizar la correcta prestación de los servicios durante la ley de garantías. En nuestro caso actualmente presentamos una contingencia sanitaria en el servicio público de alcantarillado debido a las lluvias presentadas la cual requiere la contratación directa con el fin de subsanar dicha contingencia.»</w:t>
      </w:r>
    </w:p>
    <w:p w14:paraId="68664909" w14:textId="77777777" w:rsidR="008A7C1A" w:rsidRDefault="008A7C1A" w:rsidP="008A7C1A">
      <w:pPr>
        <w:pStyle w:val="NormalWeb"/>
        <w:spacing w:before="0" w:beforeAutospacing="0" w:after="0" w:afterAutospacing="0" w:line="276" w:lineRule="auto"/>
        <w:jc w:val="both"/>
        <w:rPr>
          <w:rFonts w:ascii="Arial" w:hAnsi="Arial" w:cs="Arial"/>
          <w:sz w:val="22"/>
          <w:szCs w:val="22"/>
        </w:rPr>
      </w:pPr>
    </w:p>
    <w:p w14:paraId="370CDD0D" w14:textId="77777777" w:rsidR="008A7C1A" w:rsidRPr="005E7F02" w:rsidRDefault="008A7C1A" w:rsidP="008A7C1A">
      <w:pPr>
        <w:pStyle w:val="NormalWeb"/>
        <w:spacing w:before="0" w:beforeAutospacing="0" w:after="120" w:afterAutospacing="0" w:line="276" w:lineRule="auto"/>
        <w:jc w:val="both"/>
        <w:rPr>
          <w:rFonts w:ascii="Arial" w:hAnsi="Arial" w:cs="Arial"/>
          <w:bCs/>
          <w:sz w:val="22"/>
          <w:szCs w:val="22"/>
          <w:lang w:val="es-MX" w:eastAsia="x-none"/>
        </w:rPr>
      </w:pPr>
      <w:r w:rsidRPr="005E7F02">
        <w:rPr>
          <w:rFonts w:ascii="Arial" w:hAnsi="Arial" w:cs="Arial"/>
          <w:sz w:val="22"/>
          <w:szCs w:val="22"/>
        </w:rPr>
        <w:t xml:space="preserve">De conformidad con las anteriores consideraciones, es posible concluir que las empresas oficiales prestadoras de servicios públicos domiciliarios son entes estatales y, por tanto, les es aplicable la prohibición contenida en el artículo 33 de la ley de garantías electorales, pues sus destinatarios son </w:t>
      </w:r>
      <w:r w:rsidRPr="005E7F02">
        <w:rPr>
          <w:rFonts w:ascii="Arial" w:hAnsi="Arial" w:cs="Arial"/>
          <w:i/>
          <w:iCs/>
          <w:sz w:val="22"/>
          <w:szCs w:val="22"/>
        </w:rPr>
        <w:t>todos los entes del estado</w:t>
      </w:r>
      <w:r w:rsidRPr="005E7F02">
        <w:rPr>
          <w:rFonts w:ascii="Arial" w:hAnsi="Arial" w:cs="Arial"/>
          <w:sz w:val="22"/>
          <w:szCs w:val="22"/>
        </w:rPr>
        <w:t xml:space="preserve">. </w:t>
      </w:r>
      <w:r w:rsidRPr="005E7F02">
        <w:rPr>
          <w:rFonts w:ascii="Arial" w:hAnsi="Arial" w:cs="Arial"/>
          <w:bCs/>
          <w:sz w:val="22"/>
          <w:szCs w:val="22"/>
          <w:lang w:val="es-MX" w:eastAsia="x-none"/>
        </w:rPr>
        <w:t>En efecto, tal como lo ha sostenido el Consejo de Estado, el vocablo «todos» utilizado por el legislador comprende</w:t>
      </w:r>
      <w:r w:rsidRPr="005E7F02">
        <w:rPr>
          <w:rFonts w:ascii="Arial" w:eastAsia="Calibri" w:hAnsi="Arial" w:cs="Arial"/>
          <w:sz w:val="22"/>
          <w:szCs w:val="22"/>
          <w:lang w:val="es-MX"/>
        </w:rPr>
        <w:t xml:space="preserve"> </w:t>
      </w:r>
      <w:r w:rsidRPr="005E7F02">
        <w:rPr>
          <w:rFonts w:ascii="Arial" w:hAnsi="Arial" w:cs="Arial"/>
          <w:bCs/>
          <w:sz w:val="22"/>
          <w:szCs w:val="22"/>
          <w:lang w:val="es-MX" w:eastAsia="x-none"/>
        </w:rPr>
        <w:t>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0388FC17" w14:textId="77777777" w:rsidR="008A7C1A" w:rsidRPr="005E7F02" w:rsidRDefault="008A7C1A" w:rsidP="008A7C1A">
      <w:pPr>
        <w:pStyle w:val="NormalWeb"/>
        <w:spacing w:before="120" w:beforeAutospacing="0" w:after="120" w:afterAutospacing="0" w:line="276" w:lineRule="auto"/>
        <w:ind w:firstLine="708"/>
        <w:jc w:val="both"/>
        <w:rPr>
          <w:rFonts w:ascii="Arial" w:hAnsi="Arial" w:cs="Arial"/>
          <w:bCs/>
          <w:sz w:val="22"/>
          <w:szCs w:val="22"/>
          <w:lang w:val="es-MX" w:eastAsia="x-none"/>
        </w:rPr>
      </w:pPr>
      <w:r w:rsidRPr="005E7F02">
        <w:rPr>
          <w:rFonts w:ascii="Arial" w:hAnsi="Arial" w:cs="Arial"/>
          <w:bCs/>
          <w:sz w:val="22"/>
          <w:szCs w:val="22"/>
          <w:lang w:eastAsia="x-none"/>
        </w:rPr>
        <w:t xml:space="preserve">Ahora bien, la prohibición hace referencia a la la «contratación directa», situacion que ha sido interpretada como cualquier sistema de selección o procedimiento de contratación utilizado por las entidades estatales que no incluya la convocatoria pública en alguna de sus </w:t>
      </w:r>
      <w:r w:rsidRPr="005E7F02">
        <w:rPr>
          <w:rFonts w:ascii="Arial" w:hAnsi="Arial" w:cs="Arial"/>
          <w:bCs/>
          <w:sz w:val="22"/>
          <w:szCs w:val="22"/>
          <w:lang w:eastAsia="x-none"/>
        </w:rPr>
        <w:lastRenderedPageBreak/>
        <w:t>etapas, ni permita la participación de una pluralidad de oferentes. Respecto de esta prohibición el mismo artículo prevé las excepciones aplicables y referentes a</w:t>
      </w:r>
      <w:r w:rsidRPr="005E7F02">
        <w:rPr>
          <w:rFonts w:ascii="Arial" w:eastAsia="Calibri" w:hAnsi="Arial" w:cs="Arial"/>
          <w:color w:val="000000" w:themeColor="text1"/>
          <w:sz w:val="22"/>
          <w:szCs w:val="22"/>
        </w:rPr>
        <w:t xml:space="preserve"> bajo los cuales se excepciona la prohibición de la contratación directa, esto es,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393BB2F5" w14:textId="77777777" w:rsidR="008A7C1A" w:rsidRPr="005E7F02" w:rsidRDefault="008A7C1A" w:rsidP="008A7C1A">
      <w:pPr>
        <w:spacing w:before="120" w:after="120" w:line="276" w:lineRule="auto"/>
        <w:ind w:firstLine="708"/>
        <w:jc w:val="both"/>
        <w:rPr>
          <w:rFonts w:ascii="Arial" w:eastAsia="Calibri" w:hAnsi="Arial" w:cs="Arial"/>
          <w:color w:val="000000" w:themeColor="text1"/>
          <w:sz w:val="22"/>
        </w:rPr>
      </w:pPr>
      <w:r w:rsidRPr="005E7F02">
        <w:rPr>
          <w:rFonts w:ascii="Arial" w:hAnsi="Arial" w:cs="Arial"/>
          <w:bCs/>
          <w:sz w:val="22"/>
          <w:lang w:eastAsia="x-none"/>
        </w:rPr>
        <w:t xml:space="preserve">En otras palabras, y a efectos de su consulta, </w:t>
      </w:r>
      <w:r w:rsidRPr="005E7F02">
        <w:rPr>
          <w:rFonts w:ascii="Arial" w:eastAsia="Calibri" w:hAnsi="Arial" w:cs="Arial"/>
          <w:color w:val="000000" w:themeColor="text1"/>
          <w:sz w:val="22"/>
        </w:rPr>
        <w:t xml:space="preserve">los entes estatales, dentro de los que se encuentran comprendidas las empresas oficiales de prestación de servicios públicos domiciliarios, durante los cuatro (4) meses anteriores a la elección presidencial y hasta la realización de la elección en la segunda vuelta podrán celebrar contratos y convenios siempre que la escogencia del contratista se realice mediante un procedimiento abierto y competitivo, que permita la participación de una pluralidad de oferentes. </w:t>
      </w:r>
      <w:r>
        <w:rPr>
          <w:rFonts w:ascii="Arial" w:eastAsia="Calibri" w:hAnsi="Arial" w:cs="Arial"/>
          <w:color w:val="000000" w:themeColor="text1"/>
          <w:sz w:val="22"/>
        </w:rPr>
        <w:t xml:space="preserve"> </w:t>
      </w:r>
      <w:r w:rsidRPr="005E7F02">
        <w:rPr>
          <w:rFonts w:ascii="Arial" w:eastAsia="Calibri" w:hAnsi="Arial" w:cs="Arial"/>
          <w:color w:val="000000" w:themeColor="text1"/>
          <w:sz w:val="22"/>
        </w:rPr>
        <w:t>Por el contrario, no le será posible a los entes estatales destinatarios del artículo 33 de la Ley 996 de 2005 celebrar contratos de forma directa, esto es a través de cualquier sistema de selección de contratistas en el que no exista convocatoria pública, ni sea posible la participación de una pluralidad de oferentes, independientemente del régimen de contratación que se aplique. Lo último, salvo que el contrato específico a celebrar se enmarque en alguna de las excepciones establecidas en el inciso segundo del artículo 33 de la Ley 996 de 2005.</w:t>
      </w:r>
    </w:p>
    <w:p w14:paraId="424D281C" w14:textId="77777777" w:rsidR="008A7C1A" w:rsidRPr="005E7F02" w:rsidRDefault="008A7C1A" w:rsidP="008A7C1A">
      <w:pPr>
        <w:widowControl w:val="0"/>
        <w:autoSpaceDE w:val="0"/>
        <w:autoSpaceDN w:val="0"/>
        <w:spacing w:before="120" w:line="276" w:lineRule="auto"/>
        <w:ind w:firstLine="708"/>
        <w:jc w:val="both"/>
        <w:rPr>
          <w:rFonts w:ascii="Arial" w:hAnsi="Arial" w:cs="Arial"/>
          <w:bCs/>
          <w:sz w:val="22"/>
          <w:lang w:eastAsia="es-CO"/>
        </w:rPr>
      </w:pPr>
      <w:r w:rsidRPr="005E7F02">
        <w:rPr>
          <w:rFonts w:ascii="Arial" w:eastAsia="Calibri" w:hAnsi="Arial" w:cs="Arial"/>
          <w:color w:val="000000" w:themeColor="text1"/>
          <w:sz w:val="22"/>
        </w:rPr>
        <w:t xml:space="preserve">Al efecto de la aplicación de las excepciones a la prohibición, se recuerda que es responsabilidad del respectivo ente del Estado examinar, en cada caso concreto y en ejercicio de su discrecionalidad administrativa y autonomía contractual, </w:t>
      </w:r>
      <w:r w:rsidRPr="005E7F02">
        <w:rPr>
          <w:rFonts w:ascii="Arial" w:hAnsi="Arial" w:cs="Arial"/>
          <w:bCs/>
          <w:sz w:val="22"/>
          <w:lang w:eastAsia="es-CO"/>
        </w:rPr>
        <w:t xml:space="preserve">la naturaleza de las actividades que pretende adelantar y determinar </w:t>
      </w:r>
      <w:r w:rsidRPr="005E7F02">
        <w:rPr>
          <w:rFonts w:ascii="Arial" w:eastAsia="Calibri" w:hAnsi="Arial" w:cs="Arial"/>
          <w:color w:val="000000" w:themeColor="text1"/>
          <w:sz w:val="22"/>
        </w:rPr>
        <w:t xml:space="preserve">si el contrato a celebrar se enmarca en alguna de las mencionadas excepciones, </w:t>
      </w:r>
      <w:r w:rsidRPr="005E7F02">
        <w:rPr>
          <w:rFonts w:ascii="Arial" w:hAnsi="Arial" w:cs="Arial"/>
          <w:bCs/>
          <w:sz w:val="22"/>
          <w:lang w:eastAsia="es-CO"/>
        </w:rPr>
        <w:t>de manera que se le permita realizar la contratación que necesite en forma directa.</w:t>
      </w:r>
    </w:p>
    <w:p w14:paraId="2508A279" w14:textId="77777777" w:rsidR="008A7C1A" w:rsidRPr="00481068" w:rsidRDefault="008A7C1A" w:rsidP="008A7C1A">
      <w:pPr>
        <w:contextualSpacing/>
        <w:jc w:val="both"/>
        <w:rPr>
          <w:rFonts w:ascii="Arial" w:eastAsia="Calibri" w:hAnsi="Arial" w:cs="Arial"/>
          <w:bCs/>
          <w:color w:val="FF0000"/>
          <w:sz w:val="22"/>
        </w:rPr>
      </w:pPr>
    </w:p>
    <w:p w14:paraId="574DCFCD" w14:textId="77777777" w:rsidR="008A7C1A" w:rsidRPr="00481068" w:rsidRDefault="008A7C1A" w:rsidP="008A7C1A">
      <w:pPr>
        <w:spacing w:line="276" w:lineRule="auto"/>
        <w:jc w:val="both"/>
        <w:rPr>
          <w:rFonts w:ascii="Arial" w:hAnsi="Arial" w:cs="Arial"/>
          <w:color w:val="000000" w:themeColor="text1"/>
          <w:sz w:val="22"/>
          <w:lang w:val="es-ES_tradnl"/>
        </w:rPr>
      </w:pPr>
      <w:bookmarkStart w:id="26" w:name="_Hlk57650395"/>
      <w:r w:rsidRPr="00481068">
        <w:rPr>
          <w:rFonts w:ascii="Arial" w:hAnsi="Arial" w:cs="Arial"/>
          <w:color w:val="000000" w:themeColor="text1"/>
          <w:sz w:val="22"/>
          <w:lang w:val="es-ES_tradnl"/>
        </w:rPr>
        <w:t>Este concepto tiene el alcance previsto en el artículo 28 del Código de Procedimiento Administrativo y de lo Contencioso Administrativo.</w:t>
      </w:r>
    </w:p>
    <w:bookmarkEnd w:id="6"/>
    <w:bookmarkEnd w:id="26"/>
    <w:p w14:paraId="5F29CF20" w14:textId="77777777" w:rsidR="008A7C1A" w:rsidRPr="00481068" w:rsidRDefault="008A7C1A" w:rsidP="008A7C1A">
      <w:pPr>
        <w:spacing w:before="120" w:line="276" w:lineRule="auto"/>
        <w:jc w:val="both"/>
        <w:rPr>
          <w:rFonts w:ascii="Arial" w:hAnsi="Arial" w:cs="Arial"/>
          <w:color w:val="000000" w:themeColor="text1"/>
          <w:sz w:val="22"/>
          <w:lang w:val="es-ES_tradnl"/>
        </w:rPr>
      </w:pPr>
    </w:p>
    <w:p w14:paraId="61FBEECA" w14:textId="77777777" w:rsidR="008A7C1A" w:rsidRDefault="008A7C1A" w:rsidP="008A7C1A">
      <w:pPr>
        <w:pStyle w:val="NormalWeb"/>
        <w:spacing w:before="0" w:beforeAutospacing="0" w:after="0" w:afterAutospacing="0" w:line="276" w:lineRule="auto"/>
        <w:jc w:val="both"/>
        <w:rPr>
          <w:rFonts w:ascii="Arial" w:hAnsi="Arial" w:cs="Arial"/>
          <w:lang w:val="es-ES_tradnl"/>
        </w:rPr>
      </w:pPr>
      <w:r w:rsidRPr="00481068">
        <w:rPr>
          <w:rFonts w:ascii="Arial" w:hAnsi="Arial" w:cs="Arial"/>
          <w:color w:val="000000" w:themeColor="text1"/>
          <w:sz w:val="22"/>
          <w:szCs w:val="22"/>
          <w:lang w:val="es-ES_tradnl"/>
        </w:rPr>
        <w:t>Atentamente,</w:t>
      </w:r>
      <w:r>
        <w:rPr>
          <w:rFonts w:ascii="Arial" w:hAnsi="Arial" w:cs="Arial"/>
          <w:lang w:val="es-ES_tradnl"/>
        </w:rPr>
        <w:t xml:space="preserve"> </w:t>
      </w:r>
    </w:p>
    <w:p w14:paraId="1904B85E" w14:textId="77777777" w:rsidR="008A7C1A" w:rsidRDefault="008A7C1A" w:rsidP="008A7C1A">
      <w:pPr>
        <w:pStyle w:val="NormalWeb"/>
        <w:spacing w:before="0" w:beforeAutospacing="0" w:after="0" w:afterAutospacing="0" w:line="276" w:lineRule="auto"/>
        <w:jc w:val="both"/>
        <w:rPr>
          <w:rFonts w:ascii="Arial" w:hAnsi="Arial" w:cs="Arial"/>
          <w:lang w:val="es-ES_tradnl"/>
        </w:rPr>
      </w:pPr>
    </w:p>
    <w:p w14:paraId="6521A0B9" w14:textId="77777777" w:rsidR="008A7C1A" w:rsidRPr="004C606C" w:rsidRDefault="008A7C1A" w:rsidP="008A7C1A">
      <w:pPr>
        <w:pStyle w:val="NormalWeb"/>
        <w:spacing w:before="0" w:beforeAutospacing="0" w:after="0" w:afterAutospacing="0" w:line="276" w:lineRule="auto"/>
        <w:jc w:val="center"/>
        <w:rPr>
          <w:rFonts w:ascii="Arial" w:hAnsi="Arial" w:cs="Arial"/>
          <w:lang w:val="es-ES_tradnl"/>
        </w:rPr>
      </w:pPr>
      <w:r>
        <w:rPr>
          <w:rFonts w:ascii="Arial" w:hAnsi="Arial" w:cs="Arial"/>
          <w:noProof/>
          <w:color w:val="000000" w:themeColor="text1"/>
          <w:sz w:val="18"/>
          <w:szCs w:val="20"/>
        </w:rPr>
        <w:lastRenderedPageBreak/>
        <w:drawing>
          <wp:inline distT="0" distB="0" distL="0" distR="0" wp14:anchorId="18845F57" wp14:editId="294A452E">
            <wp:extent cx="2514600" cy="111252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4600" cy="1112520"/>
                    </a:xfrm>
                    <a:prstGeom prst="rect">
                      <a:avLst/>
                    </a:prstGeom>
                    <a:noFill/>
                    <a:ln>
                      <a:noFill/>
                    </a:ln>
                  </pic:spPr>
                </pic:pic>
              </a:graphicData>
            </a:graphic>
          </wp:inline>
        </w:drawing>
      </w:r>
    </w:p>
    <w:p w14:paraId="561FCA59" w14:textId="77777777" w:rsidR="008A7C1A" w:rsidRDefault="008A7C1A" w:rsidP="008A7C1A">
      <w:pPr>
        <w:jc w:val="center"/>
        <w:rPr>
          <w:rFonts w:ascii="Arial" w:hAnsi="Arial" w:cs="Arial"/>
          <w:sz w:val="22"/>
          <w:lang w:val="es-ES" w:eastAsia="es-CO"/>
        </w:rPr>
      </w:pPr>
    </w:p>
    <w:p w14:paraId="1CA29CD0" w14:textId="77777777" w:rsidR="008A7C1A" w:rsidRDefault="008A7C1A" w:rsidP="008A7C1A">
      <w:pPr>
        <w:jc w:val="center"/>
        <w:rPr>
          <w:rFonts w:ascii="Arial" w:hAnsi="Arial" w:cs="Arial"/>
          <w:sz w:val="22"/>
          <w:lang w:val="es-ES" w:eastAsia="es-CO"/>
        </w:rPr>
      </w:pPr>
    </w:p>
    <w:p w14:paraId="2566A14B" w14:textId="77777777" w:rsidR="008A7C1A" w:rsidRDefault="008A7C1A" w:rsidP="008A7C1A">
      <w:pPr>
        <w:jc w:val="center"/>
        <w:rPr>
          <w:rFonts w:ascii="Arial" w:hAnsi="Arial" w:cs="Arial"/>
          <w:sz w:val="22"/>
          <w:lang w:val="es-ES" w:eastAsia="es-CO"/>
        </w:rPr>
      </w:pPr>
    </w:p>
    <w:p w14:paraId="6D4689E4" w14:textId="77777777" w:rsidR="008A7C1A" w:rsidRPr="009F5860" w:rsidRDefault="008A7C1A" w:rsidP="008A7C1A">
      <w:pPr>
        <w:jc w:val="center"/>
        <w:rPr>
          <w:rFonts w:ascii="Arial" w:hAnsi="Arial" w:cs="Arial"/>
          <w:sz w:val="22"/>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8A7C1A" w:rsidRPr="009F5860" w14:paraId="31627842" w14:textId="77777777" w:rsidTr="002C35E6">
        <w:trPr>
          <w:trHeight w:val="315"/>
        </w:trPr>
        <w:tc>
          <w:tcPr>
            <w:tcW w:w="812" w:type="dxa"/>
            <w:vAlign w:val="center"/>
            <w:hideMark/>
          </w:tcPr>
          <w:p w14:paraId="4624F341" w14:textId="77777777" w:rsidR="008A7C1A" w:rsidRPr="009F5860" w:rsidRDefault="008A7C1A" w:rsidP="002C35E6">
            <w:pPr>
              <w:rPr>
                <w:rFonts w:ascii="Arial" w:hAnsi="Arial" w:cs="Arial"/>
                <w:sz w:val="16"/>
                <w:szCs w:val="16"/>
                <w:lang w:val="es-ES" w:eastAsia="es-ES"/>
              </w:rPr>
            </w:pPr>
            <w:r w:rsidRPr="009F5860">
              <w:rPr>
                <w:rFonts w:ascii="Arial" w:hAnsi="Arial" w:cs="Arial"/>
                <w:sz w:val="16"/>
                <w:szCs w:val="16"/>
                <w:lang w:val="es-ES" w:eastAsia="es-ES"/>
              </w:rPr>
              <w:t>Elaboró:</w:t>
            </w:r>
          </w:p>
        </w:tc>
        <w:tc>
          <w:tcPr>
            <w:tcW w:w="4291" w:type="dxa"/>
            <w:tcBorders>
              <w:top w:val="nil"/>
              <w:left w:val="nil"/>
              <w:bottom w:val="dotted" w:sz="4" w:space="0" w:color="7F7F7F" w:themeColor="text1" w:themeTint="80"/>
              <w:right w:val="nil"/>
            </w:tcBorders>
            <w:vAlign w:val="center"/>
            <w:hideMark/>
          </w:tcPr>
          <w:p w14:paraId="1294CF2C" w14:textId="77777777" w:rsidR="008A7C1A" w:rsidRPr="005C5D24" w:rsidRDefault="008A7C1A" w:rsidP="002C35E6">
            <w:pPr>
              <w:rPr>
                <w:rFonts w:ascii="Arial" w:hAnsi="Arial" w:cs="Arial"/>
                <w:sz w:val="16"/>
                <w:szCs w:val="16"/>
                <w:lang w:val="es-ES" w:eastAsia="es-ES"/>
              </w:rPr>
            </w:pPr>
            <w:r w:rsidRPr="005C5D24">
              <w:rPr>
                <w:rFonts w:ascii="Arial" w:hAnsi="Arial" w:cs="Arial"/>
                <w:sz w:val="16"/>
                <w:szCs w:val="16"/>
                <w:lang w:val="es-ES" w:eastAsia="es-ES"/>
              </w:rPr>
              <w:t xml:space="preserve">Camilo Perdomo Villamil </w:t>
            </w:r>
          </w:p>
          <w:p w14:paraId="71DC7431" w14:textId="77777777" w:rsidR="008A7C1A" w:rsidRPr="009F5860" w:rsidRDefault="008A7C1A" w:rsidP="002C35E6">
            <w:pPr>
              <w:rPr>
                <w:rFonts w:ascii="Arial" w:hAnsi="Arial" w:cs="Arial"/>
                <w:sz w:val="16"/>
                <w:szCs w:val="16"/>
                <w:lang w:val="es-ES" w:eastAsia="es-ES"/>
              </w:rPr>
            </w:pPr>
            <w:r w:rsidRPr="009F5860">
              <w:rPr>
                <w:rFonts w:ascii="Arial" w:hAnsi="Arial" w:cs="Arial"/>
                <w:sz w:val="16"/>
                <w:szCs w:val="16"/>
                <w:lang w:val="es-ES" w:eastAsia="es-ES"/>
              </w:rPr>
              <w:t>Contratista de la Subdirección de Gestión Contractual</w:t>
            </w:r>
          </w:p>
        </w:tc>
      </w:tr>
      <w:tr w:rsidR="008A7C1A" w:rsidRPr="009F5860" w14:paraId="62223244" w14:textId="77777777" w:rsidTr="002C35E6">
        <w:trPr>
          <w:trHeight w:val="330"/>
        </w:trPr>
        <w:tc>
          <w:tcPr>
            <w:tcW w:w="812" w:type="dxa"/>
            <w:vAlign w:val="center"/>
            <w:hideMark/>
          </w:tcPr>
          <w:p w14:paraId="29AC4A94" w14:textId="77777777" w:rsidR="008A7C1A" w:rsidRPr="009F5860" w:rsidRDefault="008A7C1A" w:rsidP="002C35E6">
            <w:pPr>
              <w:rPr>
                <w:rFonts w:ascii="Arial" w:hAnsi="Arial" w:cs="Arial"/>
                <w:sz w:val="16"/>
                <w:szCs w:val="16"/>
                <w:lang w:val="es-ES" w:eastAsia="es-ES"/>
              </w:rPr>
            </w:pPr>
            <w:r w:rsidRPr="009F5860">
              <w:rPr>
                <w:rFonts w:ascii="Arial" w:hAnsi="Arial" w:cs="Arial"/>
                <w:sz w:val="16"/>
                <w:szCs w:val="16"/>
                <w:lang w:val="es-ES" w:eastAsia="es-ES"/>
              </w:rPr>
              <w:t>Revisó: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51B5D7FF" w14:textId="77777777" w:rsidR="008A7C1A" w:rsidRPr="00C00312" w:rsidRDefault="008A7C1A" w:rsidP="002C35E6">
            <w:pPr>
              <w:rPr>
                <w:rFonts w:ascii="Arial" w:hAnsi="Arial" w:cs="Arial"/>
                <w:sz w:val="16"/>
                <w:szCs w:val="16"/>
                <w:lang w:val="es-ES" w:eastAsia="es-ES"/>
              </w:rPr>
            </w:pPr>
            <w:r>
              <w:rPr>
                <w:rFonts w:ascii="Arial" w:hAnsi="Arial" w:cs="Arial"/>
                <w:sz w:val="16"/>
                <w:szCs w:val="16"/>
                <w:lang w:val="es-ES" w:eastAsia="es-ES"/>
              </w:rPr>
              <w:t>Alejandro Sarmiento Cantillo</w:t>
            </w:r>
          </w:p>
          <w:p w14:paraId="482C2F5F" w14:textId="77777777" w:rsidR="008A7C1A" w:rsidRPr="009F5860" w:rsidRDefault="008A7C1A" w:rsidP="002C35E6">
            <w:pPr>
              <w:rPr>
                <w:rFonts w:ascii="Arial" w:hAnsi="Arial" w:cs="Arial"/>
                <w:sz w:val="16"/>
                <w:szCs w:val="16"/>
                <w:lang w:val="es-ES" w:eastAsia="es-ES"/>
              </w:rPr>
            </w:pPr>
            <w:r w:rsidRPr="00C00312">
              <w:rPr>
                <w:rFonts w:ascii="Arial" w:hAnsi="Arial" w:cs="Arial"/>
                <w:sz w:val="16"/>
                <w:szCs w:val="16"/>
                <w:lang w:val="es-ES" w:eastAsia="es-ES"/>
              </w:rPr>
              <w:t>Gestor T1-15 de la Subdirección de Gestión Contractual</w:t>
            </w:r>
          </w:p>
        </w:tc>
      </w:tr>
      <w:tr w:rsidR="008A7C1A" w:rsidRPr="0008465D" w14:paraId="59DF6429" w14:textId="77777777" w:rsidTr="002C35E6">
        <w:trPr>
          <w:trHeight w:val="300"/>
        </w:trPr>
        <w:tc>
          <w:tcPr>
            <w:tcW w:w="812" w:type="dxa"/>
            <w:vAlign w:val="center"/>
            <w:hideMark/>
          </w:tcPr>
          <w:p w14:paraId="54EF43FA" w14:textId="77777777" w:rsidR="008A7C1A" w:rsidRPr="009F5860" w:rsidRDefault="008A7C1A" w:rsidP="002C35E6">
            <w:pPr>
              <w:rPr>
                <w:rFonts w:ascii="Arial" w:hAnsi="Arial" w:cs="Arial"/>
                <w:sz w:val="16"/>
                <w:szCs w:val="16"/>
                <w:lang w:val="es-ES" w:eastAsia="es-ES"/>
              </w:rPr>
            </w:pPr>
            <w:r w:rsidRPr="009F5860">
              <w:rPr>
                <w:rFonts w:ascii="Arial" w:hAnsi="Arial" w:cs="Arial"/>
                <w:sz w:val="16"/>
                <w:szCs w:val="16"/>
                <w:lang w:val="es-ES" w:eastAsia="es-ES"/>
              </w:rPr>
              <w:t>Aprobó:</w:t>
            </w:r>
          </w:p>
        </w:tc>
        <w:tc>
          <w:tcPr>
            <w:tcW w:w="4291" w:type="dxa"/>
            <w:tcBorders>
              <w:top w:val="dotted" w:sz="4" w:space="0" w:color="7F7F7F" w:themeColor="text1" w:themeTint="80"/>
              <w:left w:val="nil"/>
              <w:bottom w:val="dotted" w:sz="4" w:space="0" w:color="7F7F7F" w:themeColor="text1" w:themeTint="80"/>
              <w:right w:val="nil"/>
            </w:tcBorders>
            <w:vAlign w:val="center"/>
            <w:hideMark/>
          </w:tcPr>
          <w:p w14:paraId="7A0FAF86" w14:textId="77777777" w:rsidR="008A7C1A" w:rsidRPr="00150200" w:rsidRDefault="008A7C1A" w:rsidP="002C35E6">
            <w:pPr>
              <w:rPr>
                <w:rFonts w:ascii="Arial" w:hAnsi="Arial" w:cs="Arial"/>
                <w:sz w:val="16"/>
                <w:szCs w:val="16"/>
                <w:lang w:val="es-ES_tradnl" w:eastAsia="es-ES"/>
              </w:rPr>
            </w:pPr>
            <w:r w:rsidRPr="00150200">
              <w:rPr>
                <w:rFonts w:ascii="Arial" w:hAnsi="Arial" w:cs="Arial"/>
                <w:sz w:val="16"/>
                <w:szCs w:val="16"/>
                <w:lang w:val="es-ES_tradnl" w:eastAsia="es-ES"/>
              </w:rPr>
              <w:t>Jorge Augusto Tirado Navarro</w:t>
            </w:r>
          </w:p>
          <w:p w14:paraId="46CDA27D" w14:textId="77777777" w:rsidR="008A7C1A" w:rsidRPr="0008465D" w:rsidRDefault="008A7C1A" w:rsidP="002C35E6">
            <w:pPr>
              <w:rPr>
                <w:rFonts w:ascii="Arial" w:hAnsi="Arial" w:cs="Arial"/>
                <w:sz w:val="16"/>
                <w:szCs w:val="16"/>
                <w:lang w:val="es-ES" w:eastAsia="es-ES"/>
              </w:rPr>
            </w:pPr>
            <w:r w:rsidRPr="00150200">
              <w:rPr>
                <w:rFonts w:ascii="Arial" w:hAnsi="Arial" w:cs="Arial"/>
                <w:sz w:val="16"/>
                <w:szCs w:val="16"/>
                <w:lang w:val="es-ES_tradnl" w:eastAsia="es-ES"/>
              </w:rPr>
              <w:t>Subdirector de Gestión Contractual ANCP – CCE</w:t>
            </w:r>
          </w:p>
        </w:tc>
      </w:tr>
    </w:tbl>
    <w:p w14:paraId="6A124F0F" w14:textId="77777777" w:rsidR="008A7C1A" w:rsidRPr="00B60BAC" w:rsidRDefault="008A7C1A" w:rsidP="008A7C1A">
      <w:pPr>
        <w:tabs>
          <w:tab w:val="left" w:pos="426"/>
        </w:tabs>
        <w:spacing w:before="120" w:after="120" w:line="276" w:lineRule="auto"/>
        <w:jc w:val="both"/>
        <w:rPr>
          <w:rFonts w:ascii="Arial" w:eastAsia="Calibri" w:hAnsi="Arial" w:cs="Arial"/>
          <w:bCs/>
          <w:sz w:val="22"/>
          <w:lang w:val="es-ES_tradnl"/>
        </w:rPr>
      </w:pPr>
    </w:p>
    <w:p w14:paraId="38F08DBB" w14:textId="77777777" w:rsidR="008A7C1A" w:rsidRDefault="008A7C1A"/>
    <w:sectPr w:rsidR="008A7C1A" w:rsidSect="009D6F48">
      <w:headerReference w:type="default" r:id="rId11"/>
      <w:footerReference w:type="default" r:id="rId12"/>
      <w:pgSz w:w="12240" w:h="15840"/>
      <w:pgMar w:top="2041" w:right="1701" w:bottom="1418" w:left="141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FC536" w14:textId="77777777" w:rsidR="00BC4245" w:rsidRDefault="00BC4245" w:rsidP="008A7C1A">
      <w:r>
        <w:separator/>
      </w:r>
    </w:p>
  </w:endnote>
  <w:endnote w:type="continuationSeparator" w:id="0">
    <w:p w14:paraId="355C9A46" w14:textId="77777777" w:rsidR="00BC4245" w:rsidRDefault="00BC4245" w:rsidP="008A7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1E798" w14:textId="77777777" w:rsidR="000A47AF" w:rsidRDefault="00000000" w:rsidP="00322937">
    <w:pPr>
      <w:pStyle w:val="Sinespaciado"/>
      <w:jc w:val="right"/>
      <w:rPr>
        <w:rFonts w:ascii="Arial" w:hAnsi="Arial" w:cs="Arial"/>
        <w:sz w:val="18"/>
        <w:szCs w:val="18"/>
      </w:rPr>
    </w:pPr>
  </w:p>
  <w:p w14:paraId="06DE5E81" w14:textId="77777777" w:rsidR="000A47AF" w:rsidRPr="008217B7" w:rsidRDefault="007C0C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1BDC3BC2" w14:textId="77777777" w:rsidR="000A47AF" w:rsidRDefault="007C0C8E" w:rsidP="00322937">
    <w:pPr>
      <w:pStyle w:val="Piedepgina"/>
      <w:jc w:val="center"/>
      <w:rPr>
        <w:lang w:val="es-ES"/>
      </w:rPr>
    </w:pPr>
    <w:r>
      <w:rPr>
        <w:noProof/>
      </w:rPr>
      <w:drawing>
        <wp:inline distT="0" distB="0" distL="0" distR="0" wp14:anchorId="0019E329" wp14:editId="7C2C4D32">
          <wp:extent cx="3700130" cy="519139"/>
          <wp:effectExtent l="0" t="0" r="0" b="0"/>
          <wp:docPr id="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AED311F" w14:textId="77777777" w:rsidR="000A47AF" w:rsidRDefault="00000000" w:rsidP="007B0854">
    <w:pPr>
      <w:pStyle w:val="Piedepgina"/>
      <w:jc w:val="center"/>
      <w:rPr>
        <w:lang w:val="es-ES"/>
      </w:rPr>
    </w:pPr>
  </w:p>
  <w:p w14:paraId="288250EF" w14:textId="77777777" w:rsidR="000A47AF" w:rsidRPr="007B0854" w:rsidRDefault="00000000" w:rsidP="007B0854">
    <w:pPr>
      <w:pStyle w:val="Piedepgina"/>
      <w:jc w:val="center"/>
      <w:rPr>
        <w:lang w:val="es-ES"/>
      </w:rPr>
    </w:pPr>
  </w:p>
  <w:p w14:paraId="2A67BAD1" w14:textId="77777777" w:rsidR="00183D77" w:rsidRDefault="00000000"/>
  <w:p w14:paraId="68769D2B" w14:textId="77777777" w:rsidR="00183D77" w:rsidRDefault="00000000"/>
  <w:p w14:paraId="29787222" w14:textId="77777777" w:rsidR="00183D77"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4D04E" w14:textId="77777777" w:rsidR="00BC4245" w:rsidRDefault="00BC4245" w:rsidP="008A7C1A">
      <w:r>
        <w:separator/>
      </w:r>
    </w:p>
  </w:footnote>
  <w:footnote w:type="continuationSeparator" w:id="0">
    <w:p w14:paraId="31E68172" w14:textId="77777777" w:rsidR="00BC4245" w:rsidRDefault="00BC4245" w:rsidP="008A7C1A">
      <w:r>
        <w:continuationSeparator/>
      </w:r>
    </w:p>
  </w:footnote>
  <w:footnote w:id="1">
    <w:p w14:paraId="214CAE82" w14:textId="77777777" w:rsidR="008A7C1A" w:rsidRPr="00F1057F" w:rsidRDefault="008A7C1A" w:rsidP="008A7C1A">
      <w:pPr>
        <w:pStyle w:val="Textonotapie"/>
        <w:ind w:firstLine="708"/>
        <w:contextualSpacing/>
        <w:jc w:val="both"/>
        <w:rPr>
          <w:rFonts w:ascii="Arial" w:hAnsi="Arial" w:cs="Arial"/>
          <w:sz w:val="19"/>
          <w:szCs w:val="19"/>
        </w:rPr>
      </w:pPr>
      <w:r w:rsidRPr="00F1057F">
        <w:rPr>
          <w:rStyle w:val="Refdenotaalpie"/>
          <w:rFonts w:ascii="Arial" w:hAnsi="Arial" w:cs="Arial"/>
          <w:sz w:val="19"/>
          <w:szCs w:val="19"/>
        </w:rPr>
        <w:footnoteRef/>
      </w:r>
      <w:r w:rsidRPr="00F1057F">
        <w:rPr>
          <w:rFonts w:ascii="Arial" w:hAnsi="Arial" w:cs="Arial"/>
          <w:sz w:val="19"/>
          <w:szCs w:val="19"/>
        </w:rPr>
        <w:t xml:space="preserve"> «Artículo 3°. Funciones. La Agencia Nacional de Contratación Pública –Colombia Compra Eficiente– ejercerá las siguientes funciones: </w:t>
      </w:r>
    </w:p>
    <w:p w14:paraId="15CF7EEE" w14:textId="77777777" w:rsidR="008A7C1A" w:rsidRPr="00F1057F" w:rsidRDefault="008A7C1A" w:rsidP="008A7C1A">
      <w:pPr>
        <w:pStyle w:val="Textonotapie"/>
        <w:ind w:firstLine="709"/>
        <w:contextualSpacing/>
        <w:jc w:val="both"/>
        <w:rPr>
          <w:rFonts w:ascii="Arial" w:hAnsi="Arial" w:cs="Arial"/>
          <w:sz w:val="19"/>
          <w:szCs w:val="19"/>
          <w:lang w:val="es-ES"/>
        </w:rPr>
      </w:pPr>
      <w:r w:rsidRPr="00F1057F">
        <w:rPr>
          <w:rFonts w:ascii="Arial" w:hAnsi="Arial" w:cs="Arial"/>
          <w:sz w:val="19"/>
          <w:szCs w:val="19"/>
          <w:lang w:val="es-ES"/>
        </w:rPr>
        <w:t xml:space="preserve">»[...] </w:t>
      </w:r>
    </w:p>
    <w:p w14:paraId="544531CC" w14:textId="77777777" w:rsidR="008A7C1A" w:rsidRPr="00F1057F" w:rsidRDefault="008A7C1A" w:rsidP="008A7C1A">
      <w:pPr>
        <w:pStyle w:val="Textonotapie"/>
        <w:ind w:firstLine="709"/>
        <w:contextualSpacing/>
        <w:jc w:val="both"/>
        <w:rPr>
          <w:rFonts w:ascii="Arial" w:hAnsi="Arial" w:cs="Arial"/>
          <w:sz w:val="19"/>
          <w:szCs w:val="19"/>
          <w:lang w:val="es-ES"/>
        </w:rPr>
      </w:pPr>
      <w:r w:rsidRPr="00F1057F">
        <w:rPr>
          <w:rFonts w:ascii="Arial" w:hAnsi="Arial" w:cs="Arial"/>
          <w:sz w:val="19"/>
          <w:szCs w:val="19"/>
          <w:lang w:val="es-ES"/>
        </w:rPr>
        <w:t>»5. Absolver consultas sobre la aplicación de normas de carácter general y expedir circulares externas en materia de compras y contratación pública».</w:t>
      </w:r>
    </w:p>
    <w:p w14:paraId="7D9447EE" w14:textId="77777777" w:rsidR="008A7C1A" w:rsidRPr="00F1057F" w:rsidRDefault="008A7C1A" w:rsidP="008A7C1A">
      <w:pPr>
        <w:pStyle w:val="Textonotapie"/>
        <w:ind w:firstLine="709"/>
        <w:contextualSpacing/>
        <w:jc w:val="both"/>
        <w:rPr>
          <w:rFonts w:ascii="Arial" w:hAnsi="Arial" w:cs="Arial"/>
          <w:sz w:val="19"/>
          <w:szCs w:val="19"/>
          <w:lang w:val="es-ES"/>
        </w:rPr>
      </w:pPr>
      <w:r w:rsidRPr="00F1057F">
        <w:rPr>
          <w:rFonts w:ascii="Arial" w:eastAsia="Times New Roman" w:hAnsi="Arial" w:cs="Arial"/>
          <w:sz w:val="19"/>
          <w:szCs w:val="19"/>
          <w:lang w:val="es-CO" w:eastAsia="es-ES_tradnl"/>
        </w:rPr>
        <w:t>«</w:t>
      </w:r>
      <w:r w:rsidRPr="00F1057F">
        <w:rPr>
          <w:rFonts w:ascii="Arial" w:hAnsi="Arial" w:cs="Arial"/>
          <w:sz w:val="19"/>
          <w:szCs w:val="19"/>
          <w:lang w:val="es-ES"/>
        </w:rPr>
        <w:t xml:space="preserve">Artículo 11. Subdirección de Gestión Contractual. Son funciones de la Subdirección de Gestión Contractual las siguientes: </w:t>
      </w:r>
    </w:p>
    <w:p w14:paraId="3C987A16" w14:textId="77777777" w:rsidR="008A7C1A" w:rsidRPr="00F1057F" w:rsidRDefault="008A7C1A" w:rsidP="008A7C1A">
      <w:pPr>
        <w:pStyle w:val="Textonotapie"/>
        <w:ind w:firstLine="709"/>
        <w:contextualSpacing/>
        <w:jc w:val="both"/>
        <w:rPr>
          <w:rFonts w:ascii="Arial" w:hAnsi="Arial" w:cs="Arial"/>
          <w:sz w:val="19"/>
          <w:szCs w:val="19"/>
          <w:lang w:val="es-ES"/>
        </w:rPr>
      </w:pPr>
      <w:r w:rsidRPr="00F1057F">
        <w:rPr>
          <w:rFonts w:ascii="Arial" w:hAnsi="Arial" w:cs="Arial"/>
          <w:sz w:val="19"/>
          <w:szCs w:val="19"/>
          <w:lang w:val="es-ES"/>
        </w:rPr>
        <w:t xml:space="preserve">»[...] </w:t>
      </w:r>
    </w:p>
    <w:p w14:paraId="409064F3" w14:textId="77777777" w:rsidR="008A7C1A" w:rsidRPr="00F1057F" w:rsidRDefault="008A7C1A" w:rsidP="008A7C1A">
      <w:pPr>
        <w:pStyle w:val="Textonotapie"/>
        <w:ind w:firstLine="708"/>
        <w:contextualSpacing/>
        <w:jc w:val="both"/>
        <w:rPr>
          <w:rFonts w:ascii="Arial" w:hAnsi="Arial" w:cs="Arial"/>
          <w:sz w:val="19"/>
          <w:szCs w:val="19"/>
        </w:rPr>
      </w:pPr>
      <w:r w:rsidRPr="00F1057F">
        <w:rPr>
          <w:rFonts w:ascii="Arial" w:eastAsia="Times New Roman" w:hAnsi="Arial" w:cs="Arial"/>
          <w:sz w:val="19"/>
          <w:szCs w:val="19"/>
          <w:lang w:val="es-CO" w:eastAsia="es-ES_tradnl"/>
        </w:rPr>
        <w:t>»</w:t>
      </w:r>
      <w:r w:rsidRPr="00F1057F">
        <w:rPr>
          <w:rFonts w:ascii="Arial" w:hAnsi="Arial" w:cs="Arial"/>
          <w:sz w:val="19"/>
          <w:szCs w:val="19"/>
          <w:lang w:val="es-ES"/>
        </w:rPr>
        <w:t>8. Absolver consultas sobre la aplicación de normas de carácter general».</w:t>
      </w:r>
    </w:p>
  </w:footnote>
  <w:footnote w:id="2">
    <w:p w14:paraId="7E7D98A3" w14:textId="77777777" w:rsidR="008A7C1A" w:rsidRPr="00F1057F" w:rsidRDefault="008A7C1A" w:rsidP="008A7C1A">
      <w:pPr>
        <w:pStyle w:val="Textonotapie"/>
        <w:ind w:firstLine="709"/>
        <w:contextualSpacing/>
        <w:jc w:val="both"/>
        <w:rPr>
          <w:rFonts w:ascii="Arial" w:hAnsi="Arial" w:cs="Arial"/>
          <w:sz w:val="19"/>
          <w:szCs w:val="19"/>
        </w:rPr>
      </w:pPr>
      <w:r w:rsidRPr="00F1057F">
        <w:rPr>
          <w:rStyle w:val="Refdenotaalpie"/>
          <w:rFonts w:ascii="Arial" w:hAnsi="Arial" w:cs="Arial"/>
          <w:sz w:val="19"/>
          <w:szCs w:val="19"/>
        </w:rPr>
        <w:footnoteRef/>
      </w:r>
      <w:r w:rsidRPr="00F1057F">
        <w:rPr>
          <w:rFonts w:ascii="Arial" w:hAnsi="Arial" w:cs="Arial"/>
          <w:sz w:val="19"/>
          <w:szCs w:val="19"/>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355A7AB" w14:textId="77777777" w:rsidR="008A7C1A" w:rsidRPr="00F1057F" w:rsidRDefault="008A7C1A" w:rsidP="008A7C1A">
      <w:pPr>
        <w:pStyle w:val="Textonotapie"/>
        <w:ind w:firstLine="709"/>
        <w:contextualSpacing/>
        <w:jc w:val="both"/>
        <w:rPr>
          <w:rFonts w:ascii="Arial" w:hAnsi="Arial" w:cs="Arial"/>
          <w:sz w:val="19"/>
          <w:szCs w:val="19"/>
        </w:rPr>
      </w:pPr>
      <w:r w:rsidRPr="00F1057F">
        <w:rPr>
          <w:rFonts w:ascii="Arial" w:hAnsi="Arial" w:cs="Arial"/>
          <w:sz w:val="19"/>
          <w:szCs w:val="19"/>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3">
    <w:p w14:paraId="780E07BC" w14:textId="77777777" w:rsidR="008A7C1A" w:rsidRPr="00F1057F" w:rsidRDefault="008A7C1A" w:rsidP="008A7C1A">
      <w:pPr>
        <w:pStyle w:val="Textonotapie"/>
        <w:ind w:firstLine="709"/>
        <w:contextualSpacing/>
        <w:jc w:val="both"/>
        <w:rPr>
          <w:rFonts w:ascii="Arial" w:hAnsi="Arial" w:cs="Arial"/>
          <w:sz w:val="19"/>
          <w:szCs w:val="19"/>
        </w:rPr>
      </w:pPr>
    </w:p>
    <w:p w14:paraId="4D4BB57A" w14:textId="77777777" w:rsidR="008A7C1A" w:rsidRPr="00F1057F" w:rsidRDefault="008A7C1A" w:rsidP="008A7C1A">
      <w:pPr>
        <w:pStyle w:val="Textonotapie"/>
        <w:ind w:firstLine="709"/>
        <w:contextualSpacing/>
        <w:jc w:val="both"/>
        <w:rPr>
          <w:rFonts w:ascii="Arial" w:hAnsi="Arial" w:cs="Arial"/>
          <w:sz w:val="19"/>
          <w:szCs w:val="19"/>
        </w:rPr>
      </w:pPr>
      <w:r w:rsidRPr="00F1057F">
        <w:rPr>
          <w:rStyle w:val="Refdenotaalpie"/>
          <w:rFonts w:ascii="Arial" w:hAnsi="Arial" w:cs="Arial"/>
          <w:sz w:val="19"/>
          <w:szCs w:val="19"/>
        </w:rPr>
        <w:footnoteRef/>
      </w:r>
      <w:r w:rsidRPr="00F1057F">
        <w:rPr>
          <w:rFonts w:ascii="Arial" w:hAnsi="Arial" w:cs="Arial"/>
          <w:sz w:val="19"/>
          <w:szCs w:val="19"/>
        </w:rPr>
        <w:t xml:space="preserve"> Gaceta del Congreso de la República No. 71 del 2005.</w:t>
      </w:r>
    </w:p>
  </w:footnote>
  <w:footnote w:id="4">
    <w:p w14:paraId="6C7DDEA9" w14:textId="77777777" w:rsidR="008A7C1A" w:rsidRPr="00F1057F" w:rsidRDefault="008A7C1A" w:rsidP="008A7C1A">
      <w:pPr>
        <w:pStyle w:val="Textonotapie"/>
        <w:ind w:firstLine="709"/>
        <w:contextualSpacing/>
        <w:jc w:val="both"/>
        <w:rPr>
          <w:rFonts w:ascii="Arial" w:hAnsi="Arial" w:cs="Arial"/>
          <w:sz w:val="19"/>
          <w:szCs w:val="19"/>
        </w:rPr>
      </w:pPr>
    </w:p>
    <w:p w14:paraId="33D3F554" w14:textId="77777777" w:rsidR="008A7C1A" w:rsidRPr="00F1057F" w:rsidRDefault="008A7C1A" w:rsidP="008A7C1A">
      <w:pPr>
        <w:pStyle w:val="Textonotapie"/>
        <w:ind w:firstLine="709"/>
        <w:contextualSpacing/>
        <w:jc w:val="both"/>
        <w:rPr>
          <w:rFonts w:ascii="Arial" w:hAnsi="Arial" w:cs="Arial"/>
          <w:sz w:val="19"/>
          <w:szCs w:val="19"/>
        </w:rPr>
      </w:pPr>
      <w:r w:rsidRPr="00F1057F">
        <w:rPr>
          <w:rStyle w:val="Refdenotaalpie"/>
          <w:rFonts w:ascii="Arial" w:hAnsi="Arial" w:cs="Arial"/>
          <w:sz w:val="19"/>
          <w:szCs w:val="19"/>
        </w:rPr>
        <w:footnoteRef/>
      </w:r>
      <w:r w:rsidRPr="00F1057F">
        <w:rPr>
          <w:rFonts w:ascii="Arial" w:hAnsi="Arial" w:cs="Arial"/>
          <w:sz w:val="19"/>
          <w:szCs w:val="19"/>
        </w:rPr>
        <w:t xml:space="preserve"> Corte Constitucional, Sentencia C- 1153 de 2005, M.P. Marco Gerardo Monroy Cabra.</w:t>
      </w:r>
    </w:p>
    <w:p w14:paraId="65775BC6" w14:textId="77777777" w:rsidR="008A7C1A" w:rsidRPr="00F1057F" w:rsidRDefault="008A7C1A" w:rsidP="008A7C1A">
      <w:pPr>
        <w:pStyle w:val="Textonotapie"/>
        <w:ind w:firstLine="709"/>
        <w:contextualSpacing/>
        <w:jc w:val="both"/>
        <w:rPr>
          <w:rFonts w:ascii="Arial" w:hAnsi="Arial" w:cs="Arial"/>
          <w:sz w:val="19"/>
          <w:szCs w:val="19"/>
        </w:rPr>
      </w:pPr>
    </w:p>
  </w:footnote>
  <w:footnote w:id="5">
    <w:p w14:paraId="2F08A6FA" w14:textId="77777777" w:rsidR="008A7C1A" w:rsidRPr="00F1057F" w:rsidRDefault="008A7C1A" w:rsidP="008A7C1A">
      <w:pPr>
        <w:pStyle w:val="Textonotapie"/>
        <w:ind w:firstLine="709"/>
        <w:contextualSpacing/>
        <w:jc w:val="both"/>
        <w:rPr>
          <w:rFonts w:ascii="Arial" w:hAnsi="Arial" w:cs="Arial"/>
          <w:sz w:val="19"/>
          <w:szCs w:val="19"/>
        </w:rPr>
      </w:pPr>
      <w:r w:rsidRPr="00F1057F">
        <w:rPr>
          <w:rStyle w:val="Refdenotaalpie"/>
          <w:rFonts w:ascii="Arial" w:hAnsi="Arial" w:cs="Arial"/>
          <w:sz w:val="19"/>
          <w:szCs w:val="19"/>
        </w:rPr>
        <w:footnoteRef/>
      </w:r>
      <w:r w:rsidRPr="00F1057F">
        <w:rPr>
          <w:rFonts w:ascii="Arial" w:hAnsi="Arial" w:cs="Arial"/>
          <w:sz w:val="19"/>
          <w:szCs w:val="19"/>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6">
    <w:p w14:paraId="79FA9BCF" w14:textId="77777777" w:rsidR="008A7C1A" w:rsidRPr="00F1057F" w:rsidRDefault="008A7C1A" w:rsidP="008A7C1A">
      <w:pPr>
        <w:pStyle w:val="Textonotapie"/>
        <w:ind w:firstLine="709"/>
        <w:contextualSpacing/>
        <w:jc w:val="both"/>
        <w:rPr>
          <w:rFonts w:ascii="Arial" w:hAnsi="Arial" w:cs="Arial"/>
          <w:sz w:val="19"/>
          <w:szCs w:val="19"/>
          <w:lang w:val="es-CO"/>
        </w:rPr>
      </w:pPr>
    </w:p>
    <w:p w14:paraId="1E384FFC" w14:textId="77777777" w:rsidR="008A7C1A" w:rsidRPr="00F1057F" w:rsidRDefault="008A7C1A" w:rsidP="008A7C1A">
      <w:pPr>
        <w:pStyle w:val="Textonotapie"/>
        <w:ind w:firstLine="709"/>
        <w:contextualSpacing/>
        <w:jc w:val="both"/>
        <w:rPr>
          <w:rFonts w:ascii="Arial" w:hAnsi="Arial" w:cs="Arial"/>
          <w:sz w:val="19"/>
          <w:szCs w:val="19"/>
          <w:lang w:val="es-CO"/>
        </w:rPr>
      </w:pPr>
      <w:r w:rsidRPr="00F1057F">
        <w:rPr>
          <w:rStyle w:val="Refdenotaalpie"/>
          <w:rFonts w:ascii="Arial" w:hAnsi="Arial" w:cs="Arial"/>
          <w:sz w:val="19"/>
          <w:szCs w:val="19"/>
        </w:rPr>
        <w:footnoteRef/>
      </w:r>
      <w:r w:rsidRPr="00F1057F">
        <w:rPr>
          <w:rFonts w:ascii="Arial" w:hAnsi="Arial" w:cs="Arial"/>
          <w:sz w:val="19"/>
          <w:szCs w:val="19"/>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7">
    <w:p w14:paraId="71612CB8" w14:textId="77777777" w:rsidR="008A7C1A" w:rsidRPr="00F1057F" w:rsidRDefault="008A7C1A" w:rsidP="008A7C1A">
      <w:pPr>
        <w:pStyle w:val="Textonotapie"/>
        <w:ind w:firstLine="709"/>
        <w:contextualSpacing/>
        <w:jc w:val="both"/>
        <w:rPr>
          <w:rFonts w:ascii="Arial" w:hAnsi="Arial" w:cs="Arial"/>
          <w:sz w:val="19"/>
          <w:szCs w:val="19"/>
        </w:rPr>
      </w:pPr>
      <w:r w:rsidRPr="00F1057F">
        <w:rPr>
          <w:rStyle w:val="Refdenotaalpie"/>
          <w:rFonts w:ascii="Arial" w:hAnsi="Arial" w:cs="Arial"/>
          <w:sz w:val="19"/>
          <w:szCs w:val="19"/>
        </w:rPr>
        <w:footnoteRef/>
      </w:r>
      <w:r w:rsidRPr="00F1057F">
        <w:rPr>
          <w:rFonts w:ascii="Arial" w:hAnsi="Arial" w:cs="Arial"/>
          <w:sz w:val="19"/>
          <w:szCs w:val="19"/>
        </w:rPr>
        <w:t xml:space="preserve"> Consejo de Estado, Sala de Consulta y Servicio Civil de fecha 24 de julio de 2013, radicado 2166, Consejero Ponente: Álvaro Namén Vargas.  </w:t>
      </w:r>
    </w:p>
    <w:p w14:paraId="37FD7532" w14:textId="77777777" w:rsidR="008A7C1A" w:rsidRPr="00F1057F" w:rsidRDefault="008A7C1A" w:rsidP="008A7C1A">
      <w:pPr>
        <w:pStyle w:val="Textonotapie"/>
        <w:ind w:firstLine="709"/>
        <w:contextualSpacing/>
        <w:jc w:val="both"/>
        <w:rPr>
          <w:rFonts w:ascii="Arial" w:hAnsi="Arial" w:cs="Arial"/>
          <w:sz w:val="19"/>
          <w:szCs w:val="19"/>
        </w:rPr>
      </w:pPr>
    </w:p>
  </w:footnote>
  <w:footnote w:id="8">
    <w:p w14:paraId="1185DDCD" w14:textId="77777777" w:rsidR="008A7C1A" w:rsidRPr="00F1057F" w:rsidRDefault="008A7C1A" w:rsidP="008A7C1A">
      <w:pPr>
        <w:ind w:firstLine="709"/>
        <w:contextualSpacing/>
        <w:jc w:val="both"/>
        <w:rPr>
          <w:rFonts w:ascii="Arial" w:hAnsi="Arial" w:cs="Arial"/>
          <w:sz w:val="19"/>
          <w:szCs w:val="19"/>
        </w:rPr>
      </w:pPr>
      <w:r w:rsidRPr="00F1057F">
        <w:rPr>
          <w:rStyle w:val="Refdenotaalpie"/>
          <w:rFonts w:ascii="Arial" w:hAnsi="Arial" w:cs="Arial"/>
          <w:sz w:val="19"/>
          <w:szCs w:val="19"/>
        </w:rPr>
        <w:footnoteRef/>
      </w:r>
      <w:r w:rsidRPr="00F1057F">
        <w:rPr>
          <w:rFonts w:ascii="Arial" w:hAnsi="Arial" w:cs="Arial"/>
          <w:sz w:val="19"/>
          <w:szCs w:val="19"/>
        </w:rPr>
        <w:t xml:space="preserve"> </w:t>
      </w:r>
      <w:bookmarkStart w:id="17" w:name="33"/>
      <w:r w:rsidRPr="00F1057F">
        <w:rPr>
          <w:rFonts w:ascii="Arial" w:eastAsia="Calibri" w:hAnsi="Arial" w:cs="Arial"/>
          <w:color w:val="000000"/>
          <w:sz w:val="19"/>
          <w:szCs w:val="19"/>
        </w:rPr>
        <w:t>«</w:t>
      </w:r>
      <w:r w:rsidRPr="00F1057F">
        <w:rPr>
          <w:rFonts w:ascii="Arial" w:hAnsi="Arial" w:cs="Arial"/>
          <w:sz w:val="19"/>
          <w:szCs w:val="19"/>
        </w:rPr>
        <w:t>Artículo 33. Restricciones a la contratación pública.</w:t>
      </w:r>
      <w:bookmarkEnd w:id="17"/>
      <w:r w:rsidRPr="00F1057F">
        <w:rPr>
          <w:rFonts w:ascii="Arial" w:hAnsi="Arial" w:cs="Arial"/>
          <w:sz w:val="19"/>
          <w:szCs w:val="19"/>
        </w:rPr>
        <w:t> Durante los cuatro (4) meses anteriores a la elección presidencial y hasta la realización de la elección en la segunda vuelta, si fuere el caso, queda prohibida la contratación directa por parte de todos los entes del Estado.</w:t>
      </w:r>
    </w:p>
    <w:p w14:paraId="579AC4C2" w14:textId="77777777" w:rsidR="008A7C1A" w:rsidRPr="00F1057F" w:rsidRDefault="008A7C1A" w:rsidP="008A7C1A">
      <w:pPr>
        <w:ind w:firstLine="709"/>
        <w:contextualSpacing/>
        <w:jc w:val="both"/>
        <w:rPr>
          <w:rFonts w:ascii="Arial" w:hAnsi="Arial" w:cs="Arial"/>
          <w:sz w:val="19"/>
          <w:szCs w:val="19"/>
        </w:rPr>
      </w:pPr>
      <w:r w:rsidRPr="00F1057F">
        <w:rPr>
          <w:rFonts w:ascii="Arial" w:eastAsia="Calibri" w:hAnsi="Arial" w:cs="Arial"/>
          <w:color w:val="000000"/>
          <w:sz w:val="19"/>
          <w:szCs w:val="19"/>
        </w:rPr>
        <w:t>»</w:t>
      </w:r>
      <w:r w:rsidRPr="00F1057F">
        <w:rPr>
          <w:rFonts w:ascii="Arial" w:hAnsi="Arial" w:cs="Arial"/>
          <w:sz w:val="19"/>
          <w:szCs w:val="19"/>
        </w:rPr>
        <w:t xml:space="preserv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F1057F">
        <w:rPr>
          <w:rFonts w:ascii="Arial" w:eastAsia="Calibri" w:hAnsi="Arial" w:cs="Arial"/>
          <w:color w:val="000000"/>
          <w:sz w:val="19"/>
          <w:szCs w:val="19"/>
        </w:rPr>
        <w:t>»</w:t>
      </w:r>
      <w:r w:rsidRPr="00F1057F">
        <w:rPr>
          <w:rFonts w:ascii="Arial" w:hAnsi="Arial" w:cs="Arial"/>
          <w:sz w:val="19"/>
          <w:szCs w:val="19"/>
        </w:rPr>
        <w:t>.</w:t>
      </w:r>
    </w:p>
  </w:footnote>
  <w:footnote w:id="9">
    <w:p w14:paraId="677B24A9" w14:textId="77777777" w:rsidR="008A7C1A" w:rsidRPr="00F1057F" w:rsidRDefault="008A7C1A" w:rsidP="008A7C1A">
      <w:pPr>
        <w:pStyle w:val="NormalWeb"/>
        <w:spacing w:before="0" w:beforeAutospacing="0" w:after="0" w:afterAutospacing="0"/>
        <w:ind w:firstLine="709"/>
        <w:contextualSpacing/>
        <w:jc w:val="both"/>
        <w:rPr>
          <w:rFonts w:ascii="Arial" w:hAnsi="Arial" w:cs="Arial"/>
          <w:sz w:val="19"/>
          <w:szCs w:val="19"/>
        </w:rPr>
      </w:pPr>
    </w:p>
    <w:p w14:paraId="7A3A4D98" w14:textId="77777777" w:rsidR="008A7C1A" w:rsidRPr="00F1057F" w:rsidRDefault="008A7C1A" w:rsidP="008A7C1A">
      <w:pPr>
        <w:pStyle w:val="NormalWeb"/>
        <w:spacing w:before="0" w:beforeAutospacing="0" w:after="0" w:afterAutospacing="0"/>
        <w:ind w:firstLine="709"/>
        <w:contextualSpacing/>
        <w:jc w:val="both"/>
        <w:rPr>
          <w:rFonts w:ascii="Arial" w:hAnsi="Arial" w:cs="Arial"/>
          <w:sz w:val="19"/>
          <w:szCs w:val="19"/>
          <w:lang w:val="es-MX"/>
        </w:rPr>
      </w:pPr>
      <w:r w:rsidRPr="00F1057F">
        <w:rPr>
          <w:rStyle w:val="Refdenotaalpie"/>
          <w:rFonts w:ascii="Arial" w:hAnsi="Arial" w:cs="Arial"/>
          <w:sz w:val="19"/>
          <w:szCs w:val="19"/>
        </w:rPr>
        <w:footnoteRef/>
      </w:r>
      <w:r w:rsidRPr="00F1057F">
        <w:rPr>
          <w:rFonts w:ascii="Arial" w:hAnsi="Arial" w:cs="Arial"/>
          <w:sz w:val="19"/>
          <w:szCs w:val="19"/>
        </w:rPr>
        <w:t xml:space="preserve"> </w:t>
      </w:r>
      <w:bookmarkStart w:id="18" w:name="38"/>
      <w:r w:rsidRPr="00F1057F">
        <w:rPr>
          <w:rFonts w:ascii="Arial" w:eastAsia="Calibri" w:hAnsi="Arial" w:cs="Arial"/>
          <w:color w:val="000000"/>
          <w:sz w:val="19"/>
          <w:szCs w:val="19"/>
        </w:rPr>
        <w:t>«</w:t>
      </w:r>
      <w:r w:rsidRPr="00F1057F">
        <w:rPr>
          <w:rFonts w:ascii="Arial" w:hAnsi="Arial" w:cs="Arial"/>
          <w:sz w:val="19"/>
          <w:szCs w:val="19"/>
          <w:lang w:val="es-MX"/>
        </w:rPr>
        <w:t>Artículo 38. Prohibiciones para los servidores públicos. A los empleados del Estado les está prohibido:</w:t>
      </w:r>
      <w:bookmarkEnd w:id="18"/>
    </w:p>
    <w:p w14:paraId="29BFB722" w14:textId="77777777" w:rsidR="008A7C1A" w:rsidRPr="00F1057F" w:rsidRDefault="008A7C1A" w:rsidP="008A7C1A">
      <w:pPr>
        <w:pStyle w:val="NormalWeb"/>
        <w:spacing w:before="0" w:beforeAutospacing="0" w:after="0" w:afterAutospacing="0"/>
        <w:ind w:firstLine="709"/>
        <w:contextualSpacing/>
        <w:jc w:val="both"/>
        <w:rPr>
          <w:rFonts w:ascii="Arial" w:hAnsi="Arial" w:cs="Arial"/>
          <w:sz w:val="19"/>
          <w:szCs w:val="19"/>
          <w:lang w:val="es-MX"/>
        </w:rPr>
      </w:pPr>
      <w:r w:rsidRPr="00F1057F">
        <w:rPr>
          <w:rFonts w:ascii="Arial" w:eastAsia="Calibri" w:hAnsi="Arial" w:cs="Arial"/>
          <w:color w:val="000000"/>
          <w:sz w:val="19"/>
          <w:szCs w:val="19"/>
        </w:rPr>
        <w:t>»</w:t>
      </w:r>
      <w:r w:rsidRPr="00F1057F">
        <w:rPr>
          <w:rFonts w:ascii="Arial" w:hAnsi="Arial" w:cs="Arial"/>
          <w:sz w:val="19"/>
          <w:szCs w:val="19"/>
          <w:lang w:val="es-MX"/>
        </w:rPr>
        <w:t xml:space="preserve"> […]</w:t>
      </w:r>
    </w:p>
    <w:p w14:paraId="3AE15105" w14:textId="77777777" w:rsidR="008A7C1A" w:rsidRPr="00F1057F" w:rsidRDefault="008A7C1A" w:rsidP="008A7C1A">
      <w:pPr>
        <w:pStyle w:val="NormalWeb"/>
        <w:spacing w:before="0" w:beforeAutospacing="0" w:after="0" w:afterAutospacing="0"/>
        <w:ind w:firstLine="709"/>
        <w:contextualSpacing/>
        <w:jc w:val="both"/>
        <w:rPr>
          <w:rFonts w:ascii="Arial" w:hAnsi="Arial" w:cs="Arial"/>
          <w:sz w:val="19"/>
          <w:szCs w:val="19"/>
          <w:lang w:val="es-MX"/>
        </w:rPr>
      </w:pPr>
      <w:r w:rsidRPr="00F1057F">
        <w:rPr>
          <w:rFonts w:ascii="Arial" w:eastAsia="Calibri" w:hAnsi="Arial" w:cs="Arial"/>
          <w:color w:val="000000"/>
          <w:sz w:val="19"/>
          <w:szCs w:val="19"/>
        </w:rPr>
        <w:t>»</w:t>
      </w:r>
      <w:r w:rsidRPr="00F1057F">
        <w:rPr>
          <w:rStyle w:val="baj"/>
          <w:rFonts w:ascii="Arial" w:hAnsi="Arial" w:cs="Arial"/>
          <w:sz w:val="19"/>
          <w:szCs w:val="19"/>
          <w:lang w:val="es-MX"/>
        </w:rPr>
        <w:t xml:space="preserve"> Parágrafo.</w:t>
      </w:r>
      <w:r w:rsidRPr="00F1057F">
        <w:rPr>
          <w:rFonts w:ascii="Arial" w:hAnsi="Arial" w:cs="Arial"/>
          <w:sz w:val="19"/>
          <w:szCs w:val="19"/>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F1057F">
        <w:rPr>
          <w:rFonts w:ascii="Arial" w:eastAsia="Calibri" w:hAnsi="Arial" w:cs="Arial"/>
          <w:color w:val="000000"/>
          <w:sz w:val="19"/>
          <w:szCs w:val="19"/>
        </w:rPr>
        <w:t>»</w:t>
      </w:r>
      <w:r w:rsidRPr="00F1057F">
        <w:rPr>
          <w:rFonts w:ascii="Arial" w:hAnsi="Arial" w:cs="Arial"/>
          <w:sz w:val="19"/>
          <w:szCs w:val="19"/>
          <w:lang w:val="es-MX"/>
        </w:rPr>
        <w:t>.</w:t>
      </w:r>
    </w:p>
    <w:p w14:paraId="70EDF319" w14:textId="77777777" w:rsidR="008A7C1A" w:rsidRPr="00F1057F" w:rsidRDefault="008A7C1A" w:rsidP="008A7C1A">
      <w:pPr>
        <w:pStyle w:val="NormalWeb"/>
        <w:spacing w:before="0" w:beforeAutospacing="0" w:after="0" w:afterAutospacing="0"/>
        <w:ind w:firstLine="709"/>
        <w:contextualSpacing/>
        <w:jc w:val="both"/>
        <w:rPr>
          <w:rFonts w:ascii="Arial" w:hAnsi="Arial" w:cs="Arial"/>
          <w:sz w:val="19"/>
          <w:szCs w:val="19"/>
          <w:lang w:val="es-MX"/>
        </w:rPr>
      </w:pPr>
    </w:p>
  </w:footnote>
  <w:footnote w:id="10">
    <w:p w14:paraId="7393EE74" w14:textId="77777777" w:rsidR="008A7C1A" w:rsidRPr="00F1057F" w:rsidRDefault="008A7C1A" w:rsidP="008A7C1A">
      <w:pPr>
        <w:ind w:left="100" w:right="244" w:firstLine="709"/>
        <w:contextualSpacing/>
        <w:jc w:val="both"/>
        <w:rPr>
          <w:rFonts w:ascii="Arial" w:hAnsi="Arial" w:cs="Arial"/>
          <w:sz w:val="19"/>
          <w:szCs w:val="19"/>
          <w:lang w:val="es-ES"/>
        </w:rPr>
      </w:pPr>
      <w:r w:rsidRPr="00F1057F">
        <w:rPr>
          <w:rStyle w:val="Refdenotaalpie"/>
          <w:rFonts w:ascii="Arial" w:hAnsi="Arial" w:cs="Arial"/>
          <w:sz w:val="19"/>
          <w:szCs w:val="19"/>
        </w:rPr>
        <w:footnoteRef/>
      </w:r>
      <w:r w:rsidRPr="00F1057F">
        <w:rPr>
          <w:rFonts w:ascii="Arial" w:hAnsi="Arial" w:cs="Arial"/>
          <w:sz w:val="19"/>
          <w:szCs w:val="19"/>
        </w:rPr>
        <w:t xml:space="preserve"> Consejo de Estado. Sala de Consulta y Servicio Civil. Concepto del 17 de febrero de 2015. C.P. William Zambrano Cetina. Radicación No. 11001-03-06-000-2015-00164-00(2269).</w:t>
      </w:r>
    </w:p>
  </w:footnote>
  <w:footnote w:id="11">
    <w:p w14:paraId="0D2FD965" w14:textId="77777777" w:rsidR="008A7C1A" w:rsidRPr="00F1057F" w:rsidRDefault="008A7C1A" w:rsidP="008A7C1A">
      <w:pPr>
        <w:pStyle w:val="Textonotapie"/>
        <w:ind w:firstLine="709"/>
        <w:jc w:val="both"/>
        <w:rPr>
          <w:rFonts w:ascii="Arial" w:hAnsi="Arial" w:cs="Arial"/>
          <w:color w:val="000000"/>
          <w:sz w:val="19"/>
          <w:szCs w:val="19"/>
        </w:rPr>
      </w:pPr>
      <w:r w:rsidRPr="00F1057F">
        <w:rPr>
          <w:rStyle w:val="Refdenotaalpie"/>
          <w:rFonts w:ascii="Arial" w:hAnsi="Arial" w:cs="Arial"/>
          <w:sz w:val="19"/>
          <w:szCs w:val="19"/>
        </w:rPr>
        <w:footnoteRef/>
      </w:r>
      <w:r w:rsidRPr="00F1057F">
        <w:rPr>
          <w:rFonts w:ascii="Arial" w:hAnsi="Arial" w:cs="Arial"/>
          <w:color w:val="000000"/>
          <w:sz w:val="19"/>
          <w:szCs w:val="19"/>
        </w:rPr>
        <w:t xml:space="preserve"> «</w:t>
      </w:r>
      <w:r w:rsidRPr="00F1057F">
        <w:rPr>
          <w:rFonts w:ascii="Arial" w:hAnsi="Arial" w:cs="Arial"/>
          <w:color w:val="000000"/>
          <w:sz w:val="19"/>
          <w:szCs w:val="19"/>
          <w:lang w:val="es-ES"/>
        </w:rPr>
        <w:t xml:space="preserve">[25] </w:t>
      </w:r>
      <w:r w:rsidRPr="00F1057F">
        <w:rPr>
          <w:rFonts w:ascii="Arial" w:hAnsi="Arial" w:cs="Arial"/>
          <w:color w:val="000000"/>
          <w:sz w:val="19"/>
          <w:szCs w:val="19"/>
        </w:rPr>
        <w:t>Cfr. Consejo de Estado. Sección Tercera. Sentencia de 3 de diciembre de 2007. Radicados: 24.715, 25.206, 25.409, 24.524, 27.834, 25.410, 26.105, 28.244, 31.447 -acumulados-».</w:t>
      </w:r>
    </w:p>
    <w:p w14:paraId="7FB3B7E7" w14:textId="77777777" w:rsidR="008A7C1A" w:rsidRPr="00F1057F" w:rsidRDefault="008A7C1A" w:rsidP="008A7C1A">
      <w:pPr>
        <w:pStyle w:val="Textonotapie"/>
        <w:ind w:firstLine="709"/>
        <w:jc w:val="both"/>
        <w:rPr>
          <w:rFonts w:ascii="Arial" w:hAnsi="Arial" w:cs="Arial"/>
          <w:color w:val="000000"/>
          <w:sz w:val="19"/>
          <w:szCs w:val="19"/>
        </w:rPr>
      </w:pPr>
    </w:p>
  </w:footnote>
  <w:footnote w:id="12">
    <w:p w14:paraId="2CA30C4F" w14:textId="77777777" w:rsidR="008A7C1A" w:rsidRPr="00F1057F" w:rsidRDefault="008A7C1A" w:rsidP="008A7C1A">
      <w:pPr>
        <w:pStyle w:val="Textonotapie"/>
        <w:ind w:firstLine="709"/>
        <w:jc w:val="both"/>
        <w:rPr>
          <w:rFonts w:ascii="Arial" w:hAnsi="Arial" w:cs="Arial"/>
          <w:color w:val="000000"/>
          <w:sz w:val="19"/>
          <w:szCs w:val="19"/>
        </w:rPr>
      </w:pPr>
      <w:r w:rsidRPr="00F1057F">
        <w:rPr>
          <w:rStyle w:val="Refdenotaalpie"/>
          <w:rFonts w:ascii="Arial" w:hAnsi="Arial" w:cs="Arial"/>
          <w:sz w:val="19"/>
          <w:szCs w:val="19"/>
        </w:rPr>
        <w:footnoteRef/>
      </w:r>
      <w:r w:rsidRPr="00F1057F">
        <w:rPr>
          <w:rFonts w:ascii="Arial" w:hAnsi="Arial" w:cs="Arial"/>
          <w:color w:val="000000"/>
          <w:sz w:val="19"/>
          <w:szCs w:val="19"/>
        </w:rPr>
        <w:t xml:space="preserve"> «</w:t>
      </w:r>
      <w:r w:rsidRPr="00F1057F">
        <w:rPr>
          <w:rFonts w:ascii="Arial" w:hAnsi="Arial" w:cs="Arial"/>
          <w:color w:val="000000"/>
          <w:sz w:val="19"/>
          <w:szCs w:val="19"/>
          <w:lang w:val="es-ES"/>
        </w:rPr>
        <w:t xml:space="preserve">[26] </w:t>
      </w:r>
      <w:r w:rsidRPr="00F1057F">
        <w:rPr>
          <w:rFonts w:ascii="Arial" w:hAnsi="Arial" w:cs="Arial"/>
          <w:color w:val="000000"/>
          <w:sz w:val="19"/>
          <w:szCs w:val="19"/>
        </w:rPr>
        <w:t>Al respecto ver el concepto 1712 de 2 de febrero de 2006. Consejo de Estado Sala de Consulta y Servicio Civil».</w:t>
      </w:r>
    </w:p>
  </w:footnote>
  <w:footnote w:id="13">
    <w:p w14:paraId="061C020D" w14:textId="77777777" w:rsidR="008A7C1A" w:rsidRPr="00F1057F" w:rsidRDefault="008A7C1A" w:rsidP="008A7C1A">
      <w:pPr>
        <w:pStyle w:val="Textonotapie"/>
        <w:ind w:firstLine="709"/>
        <w:jc w:val="both"/>
        <w:rPr>
          <w:rFonts w:ascii="Arial" w:hAnsi="Arial" w:cs="Arial"/>
          <w:color w:val="000000"/>
          <w:sz w:val="19"/>
          <w:szCs w:val="19"/>
        </w:rPr>
      </w:pPr>
    </w:p>
    <w:p w14:paraId="7B876DE8" w14:textId="77777777" w:rsidR="008A7C1A" w:rsidRPr="00F1057F" w:rsidRDefault="008A7C1A" w:rsidP="008A7C1A">
      <w:pPr>
        <w:pStyle w:val="Textonotapie"/>
        <w:ind w:firstLine="709"/>
        <w:jc w:val="both"/>
        <w:rPr>
          <w:rFonts w:ascii="Arial" w:hAnsi="Arial" w:cs="Arial"/>
          <w:color w:val="000000"/>
          <w:sz w:val="19"/>
          <w:szCs w:val="19"/>
        </w:rPr>
      </w:pPr>
      <w:r w:rsidRPr="00F1057F">
        <w:rPr>
          <w:rStyle w:val="Refdenotaalpie"/>
          <w:rFonts w:ascii="Arial" w:hAnsi="Arial" w:cs="Arial"/>
          <w:sz w:val="19"/>
          <w:szCs w:val="19"/>
        </w:rPr>
        <w:footnoteRef/>
      </w:r>
      <w:r w:rsidRPr="00F1057F">
        <w:rPr>
          <w:rFonts w:ascii="Arial" w:hAnsi="Arial" w:cs="Arial"/>
          <w:color w:val="000000"/>
          <w:sz w:val="19"/>
          <w:szCs w:val="19"/>
        </w:rPr>
        <w:t xml:space="preserve"> Consejo de Estado. Sala de Consulta y Servicio Civil. Concepto del 2 de septiembre de 2013. Radicación número: 11001-03-06-000-2013-00412-00 (2168). Consejero Ponente: Álvaro Namén Vargas.</w:t>
      </w:r>
    </w:p>
  </w:footnote>
  <w:footnote w:id="14">
    <w:p w14:paraId="15905E89" w14:textId="77777777" w:rsidR="008A7C1A" w:rsidRPr="00F1057F" w:rsidRDefault="008A7C1A" w:rsidP="008A7C1A">
      <w:pPr>
        <w:pStyle w:val="Textonotapie"/>
        <w:ind w:firstLine="709"/>
        <w:jc w:val="both"/>
        <w:rPr>
          <w:rFonts w:ascii="Arial" w:hAnsi="Arial" w:cs="Arial"/>
          <w:color w:val="000000"/>
          <w:sz w:val="19"/>
          <w:szCs w:val="19"/>
        </w:rPr>
      </w:pPr>
    </w:p>
    <w:p w14:paraId="5E876DFB" w14:textId="77777777" w:rsidR="008A7C1A" w:rsidRPr="00F1057F" w:rsidRDefault="008A7C1A" w:rsidP="008A7C1A">
      <w:pPr>
        <w:pStyle w:val="Textonotapie"/>
        <w:ind w:firstLine="709"/>
        <w:jc w:val="both"/>
        <w:rPr>
          <w:rFonts w:ascii="Arial" w:hAnsi="Arial" w:cs="Arial"/>
          <w:color w:val="000000"/>
          <w:sz w:val="19"/>
          <w:szCs w:val="19"/>
          <w:lang w:val="es-ES"/>
        </w:rPr>
      </w:pPr>
      <w:r w:rsidRPr="00F1057F">
        <w:rPr>
          <w:rStyle w:val="Refdenotaalpie"/>
          <w:rFonts w:ascii="Arial" w:hAnsi="Arial" w:cs="Arial"/>
          <w:sz w:val="19"/>
          <w:szCs w:val="19"/>
        </w:rPr>
        <w:footnoteRef/>
      </w:r>
      <w:r w:rsidRPr="00F1057F">
        <w:rPr>
          <w:rFonts w:ascii="Arial" w:hAnsi="Arial" w:cs="Arial"/>
          <w:color w:val="000000"/>
          <w:sz w:val="19"/>
          <w:szCs w:val="19"/>
        </w:rPr>
        <w:t xml:space="preserve"> </w:t>
      </w:r>
      <w:r w:rsidRPr="00F1057F">
        <w:rPr>
          <w:rFonts w:ascii="Arial" w:hAnsi="Arial" w:cs="Arial"/>
          <w:color w:val="000000"/>
          <w:sz w:val="19"/>
          <w:szCs w:val="19"/>
          <w:lang w:val="es-ES"/>
        </w:rPr>
        <w:t xml:space="preserve">Artículo 2. </w:t>
      </w:r>
    </w:p>
  </w:footnote>
  <w:footnote w:id="15">
    <w:p w14:paraId="0C932994" w14:textId="77777777" w:rsidR="008A7C1A" w:rsidRPr="00F1057F" w:rsidRDefault="008A7C1A" w:rsidP="008A7C1A">
      <w:pPr>
        <w:pStyle w:val="Textonotapie"/>
        <w:ind w:firstLine="709"/>
        <w:jc w:val="both"/>
        <w:rPr>
          <w:rFonts w:ascii="Arial" w:hAnsi="Arial" w:cs="Arial"/>
          <w:color w:val="000000"/>
          <w:sz w:val="19"/>
          <w:szCs w:val="19"/>
        </w:rPr>
      </w:pPr>
    </w:p>
    <w:p w14:paraId="04AEBBC1" w14:textId="77777777" w:rsidR="008A7C1A" w:rsidRPr="00F1057F" w:rsidRDefault="008A7C1A" w:rsidP="008A7C1A">
      <w:pPr>
        <w:pStyle w:val="Textonotapie"/>
        <w:ind w:firstLine="709"/>
        <w:jc w:val="both"/>
        <w:rPr>
          <w:rFonts w:ascii="Arial" w:hAnsi="Arial" w:cs="Arial"/>
          <w:color w:val="000000"/>
          <w:sz w:val="19"/>
          <w:szCs w:val="19"/>
          <w:lang w:val="es-ES"/>
        </w:rPr>
      </w:pPr>
      <w:r w:rsidRPr="00F1057F">
        <w:rPr>
          <w:rStyle w:val="Refdenotaalpie"/>
          <w:rFonts w:ascii="Arial" w:hAnsi="Arial" w:cs="Arial"/>
          <w:sz w:val="19"/>
          <w:szCs w:val="19"/>
        </w:rPr>
        <w:footnoteRef/>
      </w:r>
      <w:r w:rsidRPr="00F1057F">
        <w:rPr>
          <w:rFonts w:ascii="Arial" w:hAnsi="Arial" w:cs="Arial"/>
          <w:color w:val="000000"/>
          <w:sz w:val="19"/>
          <w:szCs w:val="19"/>
        </w:rPr>
        <w:t xml:space="preserve"> </w:t>
      </w:r>
      <w:r w:rsidRPr="00F1057F">
        <w:rPr>
          <w:rFonts w:ascii="Arial" w:hAnsi="Arial" w:cs="Arial"/>
          <w:i/>
          <w:color w:val="000000"/>
          <w:sz w:val="19"/>
          <w:szCs w:val="19"/>
          <w:lang w:val="es-ES"/>
        </w:rPr>
        <w:t>Ídem</w:t>
      </w:r>
      <w:r w:rsidRPr="00F1057F">
        <w:rPr>
          <w:rFonts w:ascii="Arial" w:hAnsi="Arial" w:cs="Arial"/>
          <w:color w:val="000000"/>
          <w:sz w:val="19"/>
          <w:szCs w:val="19"/>
          <w:lang w:val="es-ES"/>
        </w:rPr>
        <w:t>.</w:t>
      </w:r>
    </w:p>
  </w:footnote>
  <w:footnote w:id="16">
    <w:p w14:paraId="3E659C4D" w14:textId="77777777" w:rsidR="008A7C1A" w:rsidRPr="00F1057F" w:rsidRDefault="008A7C1A" w:rsidP="008A7C1A">
      <w:pPr>
        <w:pStyle w:val="Textonotapie"/>
        <w:ind w:firstLine="709"/>
        <w:jc w:val="both"/>
        <w:rPr>
          <w:rFonts w:ascii="Arial" w:hAnsi="Arial" w:cs="Arial"/>
          <w:color w:val="000000"/>
          <w:sz w:val="19"/>
          <w:szCs w:val="19"/>
          <w:lang w:val="es-ES"/>
        </w:rPr>
      </w:pPr>
      <w:r w:rsidRPr="00F1057F">
        <w:rPr>
          <w:rStyle w:val="Refdenotaalpie"/>
          <w:rFonts w:ascii="Arial" w:hAnsi="Arial" w:cs="Arial"/>
          <w:sz w:val="19"/>
          <w:szCs w:val="19"/>
        </w:rPr>
        <w:footnoteRef/>
      </w:r>
      <w:r w:rsidRPr="00F1057F">
        <w:rPr>
          <w:rStyle w:val="Refdenotaalpie"/>
          <w:rFonts w:ascii="Arial" w:hAnsi="Arial" w:cs="Arial"/>
          <w:color w:val="000000"/>
          <w:sz w:val="19"/>
          <w:szCs w:val="19"/>
        </w:rPr>
        <w:t xml:space="preserve"> </w:t>
      </w:r>
      <w:r w:rsidRPr="00F1057F">
        <w:rPr>
          <w:rFonts w:ascii="Arial" w:hAnsi="Arial" w:cs="Arial"/>
          <w:color w:val="000000"/>
          <w:sz w:val="19"/>
          <w:szCs w:val="19"/>
          <w:lang w:val="es-ES"/>
        </w:rPr>
        <w:t xml:space="preserve">«[…] A este respecto, cabe recordar que el artículo 860 del Código de Comercio regula la licitación en el derecho privado». </w:t>
      </w:r>
    </w:p>
    <w:p w14:paraId="5B2A10DC" w14:textId="77777777" w:rsidR="008A7C1A" w:rsidRPr="00F1057F" w:rsidRDefault="008A7C1A" w:rsidP="008A7C1A">
      <w:pPr>
        <w:pStyle w:val="Textonotapie"/>
        <w:ind w:firstLine="709"/>
        <w:jc w:val="both"/>
        <w:rPr>
          <w:rFonts w:ascii="Arial" w:hAnsi="Arial" w:cs="Arial"/>
          <w:color w:val="000000"/>
          <w:sz w:val="19"/>
          <w:szCs w:val="19"/>
          <w:lang w:val="es-ES"/>
        </w:rPr>
      </w:pPr>
    </w:p>
  </w:footnote>
  <w:footnote w:id="17">
    <w:p w14:paraId="77D5AE6C" w14:textId="77777777" w:rsidR="008A7C1A" w:rsidRPr="00F1057F" w:rsidRDefault="008A7C1A" w:rsidP="008A7C1A">
      <w:pPr>
        <w:shd w:val="clear" w:color="auto" w:fill="FFFFFF"/>
        <w:ind w:firstLine="709"/>
        <w:jc w:val="both"/>
        <w:rPr>
          <w:rFonts w:ascii="Arial" w:hAnsi="Arial" w:cs="Arial"/>
          <w:color w:val="000000"/>
          <w:sz w:val="19"/>
          <w:szCs w:val="19"/>
          <w:lang w:val="es-ES"/>
        </w:rPr>
      </w:pPr>
      <w:r w:rsidRPr="00F1057F">
        <w:rPr>
          <w:rStyle w:val="Refdenotaalpie"/>
          <w:rFonts w:ascii="Arial" w:hAnsi="Arial" w:cs="Arial"/>
          <w:sz w:val="19"/>
          <w:szCs w:val="19"/>
        </w:rPr>
        <w:footnoteRef/>
      </w:r>
      <w:r w:rsidRPr="00F1057F">
        <w:rPr>
          <w:rStyle w:val="Refdenotaalpie"/>
          <w:rFonts w:ascii="Arial" w:hAnsi="Arial" w:cs="Arial"/>
          <w:color w:val="000000"/>
          <w:sz w:val="19"/>
          <w:szCs w:val="19"/>
        </w:rPr>
        <w:t xml:space="preserve"> </w:t>
      </w:r>
      <w:r w:rsidRPr="00F1057F">
        <w:rPr>
          <w:rFonts w:ascii="Arial" w:hAnsi="Arial" w:cs="Arial"/>
          <w:color w:val="000000"/>
          <w:sz w:val="19"/>
          <w:szCs w:val="19"/>
          <w:lang w:val="es-ES"/>
        </w:rPr>
        <w:t>Consejo de Estado. Sala de Consulta y Servicio Civil, Concepto de 8 de mayo de 2018. Radicación Número: 11001-03-06-000-2018-00095-00(2382). Consejero Ponente: Álvaro Namén Vargas.</w:t>
      </w:r>
    </w:p>
  </w:footnote>
  <w:footnote w:id="18">
    <w:p w14:paraId="5B9151A7" w14:textId="77777777" w:rsidR="008A7C1A" w:rsidRPr="00F1057F" w:rsidRDefault="008A7C1A" w:rsidP="008A7C1A">
      <w:pPr>
        <w:pStyle w:val="Textonotapie"/>
        <w:ind w:firstLine="709"/>
        <w:jc w:val="both"/>
        <w:rPr>
          <w:rFonts w:ascii="Arial" w:hAnsi="Arial" w:cs="Arial"/>
          <w:color w:val="000000"/>
          <w:sz w:val="19"/>
          <w:szCs w:val="19"/>
        </w:rPr>
      </w:pPr>
    </w:p>
    <w:p w14:paraId="70F66D93" w14:textId="77777777" w:rsidR="008A7C1A" w:rsidRDefault="008A7C1A" w:rsidP="008A7C1A">
      <w:pPr>
        <w:pStyle w:val="Textonotapie"/>
        <w:ind w:firstLine="709"/>
        <w:jc w:val="both"/>
        <w:rPr>
          <w:rFonts w:ascii="Arial" w:hAnsi="Arial" w:cs="Arial"/>
          <w:color w:val="000000"/>
          <w:sz w:val="19"/>
          <w:szCs w:val="19"/>
        </w:rPr>
      </w:pPr>
      <w:r w:rsidRPr="00F1057F">
        <w:rPr>
          <w:rStyle w:val="Refdenotaalpie"/>
          <w:rFonts w:ascii="Arial" w:hAnsi="Arial" w:cs="Arial"/>
          <w:sz w:val="19"/>
          <w:szCs w:val="19"/>
        </w:rPr>
        <w:footnoteRef/>
      </w:r>
      <w:r w:rsidRPr="00F1057F">
        <w:rPr>
          <w:rFonts w:ascii="Arial" w:hAnsi="Arial" w:cs="Arial"/>
          <w:color w:val="000000"/>
          <w:sz w:val="19"/>
          <w:szCs w:val="19"/>
        </w:rPr>
        <w:t xml:space="preserve"> Consejo de Estado. Sala de Consulta y Servicio Civil. Concepto del 08 de mayo de 2018. Exp. 2.382. C.P. Álvaro Namén Vargas.</w:t>
      </w:r>
    </w:p>
    <w:p w14:paraId="38D68E8C" w14:textId="77777777" w:rsidR="008A7C1A" w:rsidRPr="00F1057F" w:rsidRDefault="008A7C1A" w:rsidP="008A7C1A">
      <w:pPr>
        <w:pStyle w:val="Textonotapie"/>
        <w:ind w:firstLine="709"/>
        <w:jc w:val="both"/>
        <w:rPr>
          <w:rFonts w:ascii="Arial" w:hAnsi="Arial" w:cs="Arial"/>
          <w:color w:val="000000"/>
          <w:sz w:val="19"/>
          <w:szCs w:val="19"/>
        </w:rPr>
      </w:pPr>
    </w:p>
  </w:footnote>
  <w:footnote w:id="19">
    <w:p w14:paraId="1A276B4D" w14:textId="77777777" w:rsidR="008A7C1A" w:rsidRPr="00F1057F" w:rsidRDefault="008A7C1A" w:rsidP="008A7C1A">
      <w:pPr>
        <w:pStyle w:val="Textonotapie"/>
        <w:ind w:firstLine="709"/>
        <w:jc w:val="both"/>
        <w:rPr>
          <w:rFonts w:ascii="Arial" w:hAnsi="Arial" w:cs="Arial"/>
          <w:color w:val="000000"/>
          <w:sz w:val="19"/>
          <w:szCs w:val="19"/>
        </w:rPr>
      </w:pPr>
      <w:r w:rsidRPr="00F1057F">
        <w:rPr>
          <w:rStyle w:val="Refdenotaalpie"/>
          <w:rFonts w:ascii="Arial" w:hAnsi="Arial" w:cs="Arial"/>
          <w:sz w:val="19"/>
          <w:szCs w:val="19"/>
        </w:rPr>
        <w:footnoteRef/>
      </w:r>
      <w:r w:rsidRPr="00F1057F">
        <w:rPr>
          <w:rFonts w:ascii="Arial" w:hAnsi="Arial" w:cs="Arial"/>
          <w:color w:val="000000"/>
          <w:sz w:val="19"/>
          <w:szCs w:val="19"/>
        </w:rPr>
        <w:t xml:space="preserve"> Cfr. Concepto C-757 del 30 de diciembre de 2021.</w:t>
      </w:r>
    </w:p>
    <w:p w14:paraId="754C25A9" w14:textId="77777777" w:rsidR="008A7C1A" w:rsidRPr="00F1057F" w:rsidRDefault="008A7C1A" w:rsidP="008A7C1A">
      <w:pPr>
        <w:pStyle w:val="Textonotapie"/>
        <w:ind w:firstLine="709"/>
        <w:jc w:val="both"/>
        <w:rPr>
          <w:rFonts w:ascii="Arial" w:hAnsi="Arial" w:cs="Arial"/>
          <w:color w:val="000000"/>
          <w:sz w:val="19"/>
          <w:szCs w:val="19"/>
        </w:rPr>
      </w:pPr>
    </w:p>
  </w:footnote>
  <w:footnote w:id="20">
    <w:p w14:paraId="054DC98C" w14:textId="77777777" w:rsidR="008A7C1A" w:rsidRPr="00F1057F" w:rsidRDefault="008A7C1A" w:rsidP="008A7C1A">
      <w:pPr>
        <w:pStyle w:val="Textonotapie"/>
        <w:ind w:firstLine="709"/>
        <w:jc w:val="both"/>
        <w:rPr>
          <w:rFonts w:ascii="Arial" w:hAnsi="Arial" w:cs="Arial"/>
          <w:color w:val="000000"/>
          <w:sz w:val="19"/>
          <w:szCs w:val="19"/>
        </w:rPr>
      </w:pPr>
      <w:r w:rsidRPr="00F1057F">
        <w:rPr>
          <w:rStyle w:val="Refdenotaalpie"/>
          <w:rFonts w:ascii="Arial" w:hAnsi="Arial" w:cs="Arial"/>
          <w:sz w:val="19"/>
          <w:szCs w:val="19"/>
        </w:rPr>
        <w:footnoteRef/>
      </w:r>
      <w:r w:rsidRPr="00F1057F">
        <w:rPr>
          <w:rFonts w:ascii="Arial" w:hAnsi="Arial" w:cs="Arial"/>
          <w:color w:val="000000"/>
          <w:sz w:val="19"/>
          <w:szCs w:val="19"/>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1">
    <w:p w14:paraId="1439AACC" w14:textId="77777777" w:rsidR="008A7C1A" w:rsidRPr="00F1057F" w:rsidRDefault="008A7C1A" w:rsidP="008A7C1A">
      <w:pPr>
        <w:ind w:firstLine="709"/>
        <w:jc w:val="both"/>
        <w:rPr>
          <w:rFonts w:ascii="Arial" w:hAnsi="Arial" w:cs="Arial"/>
          <w:sz w:val="19"/>
          <w:szCs w:val="19"/>
        </w:rPr>
      </w:pPr>
      <w:r w:rsidRPr="00F1057F">
        <w:rPr>
          <w:rStyle w:val="Refdenotaalpie"/>
          <w:rFonts w:ascii="Arial" w:hAnsi="Arial" w:cs="Arial"/>
          <w:sz w:val="19"/>
          <w:szCs w:val="19"/>
        </w:rPr>
        <w:footnoteRef/>
      </w:r>
      <w:r w:rsidRPr="00F1057F">
        <w:rPr>
          <w:rFonts w:ascii="Arial" w:hAnsi="Arial" w:cs="Arial"/>
          <w:sz w:val="19"/>
          <w:szCs w:val="19"/>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2">
    <w:p w14:paraId="035A0AA9" w14:textId="77777777" w:rsidR="008A7C1A" w:rsidRPr="00F1057F" w:rsidRDefault="008A7C1A" w:rsidP="008A7C1A">
      <w:pPr>
        <w:pStyle w:val="Textonotapie"/>
        <w:ind w:right="51" w:firstLine="709"/>
        <w:jc w:val="both"/>
        <w:rPr>
          <w:rFonts w:ascii="Arial" w:hAnsi="Arial" w:cs="Arial"/>
          <w:sz w:val="19"/>
          <w:szCs w:val="19"/>
        </w:rPr>
      </w:pPr>
      <w:r w:rsidRPr="00F1057F">
        <w:rPr>
          <w:rStyle w:val="Refdenotaalpie"/>
          <w:rFonts w:ascii="Arial" w:hAnsi="Arial" w:cs="Arial"/>
          <w:sz w:val="19"/>
          <w:szCs w:val="19"/>
        </w:rPr>
        <w:footnoteRef/>
      </w:r>
      <w:r w:rsidRPr="00F1057F">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r w:rsidRPr="00F1057F">
        <w:rPr>
          <w:rFonts w:ascii="Arial" w:eastAsia="Times New Roman" w:hAnsi="Arial" w:cs="Arial"/>
          <w:sz w:val="19"/>
          <w:szCs w:val="19"/>
          <w:lang w:eastAsia="x-none"/>
        </w:rPr>
        <w:t xml:space="preserve"> «</w:t>
      </w:r>
      <w:r w:rsidRPr="00F1057F">
        <w:rPr>
          <w:rFonts w:ascii="Arial" w:hAnsi="Arial" w:cs="Arial"/>
          <w:sz w:val="19"/>
          <w:szCs w:val="19"/>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F1057F">
        <w:rPr>
          <w:rFonts w:ascii="Arial" w:eastAsia="Times New Roman" w:hAnsi="Arial" w:cs="Arial"/>
          <w:sz w:val="19"/>
          <w:szCs w:val="19"/>
          <w:lang w:eastAsia="x-none"/>
        </w:rPr>
        <w:t>».</w:t>
      </w:r>
    </w:p>
  </w:footnote>
  <w:footnote w:id="23">
    <w:p w14:paraId="3057B1DD" w14:textId="77777777" w:rsidR="008A7C1A" w:rsidRPr="00F1057F" w:rsidRDefault="008A7C1A" w:rsidP="008A7C1A">
      <w:pPr>
        <w:pStyle w:val="Textonotapie"/>
        <w:ind w:right="51" w:firstLine="709"/>
        <w:jc w:val="both"/>
        <w:rPr>
          <w:rFonts w:ascii="Arial" w:hAnsi="Arial" w:cs="Arial"/>
          <w:sz w:val="19"/>
          <w:szCs w:val="19"/>
        </w:rPr>
      </w:pPr>
      <w:r w:rsidRPr="00F1057F">
        <w:rPr>
          <w:rStyle w:val="Refdenotaalpie"/>
          <w:rFonts w:ascii="Arial" w:hAnsi="Arial" w:cs="Arial"/>
          <w:sz w:val="19"/>
          <w:szCs w:val="19"/>
        </w:rPr>
        <w:footnoteRef/>
      </w:r>
      <w:r w:rsidRPr="00F1057F">
        <w:rPr>
          <w:rFonts w:ascii="Arial" w:hAnsi="Arial" w:cs="Arial"/>
          <w:sz w:val="19"/>
          <w:szCs w:val="19"/>
        </w:rPr>
        <w:t xml:space="preserve"> Consejo de Estado. Sala de Consulta y Servicio Civil. Concepto de 6 de abril de 2006. Radicación Número: 11001-03-06-000-2006-00038-00(1738). Consejero Ponente: Enrique José Arboleda Perdomo.</w:t>
      </w:r>
    </w:p>
    <w:p w14:paraId="2F4F352A" w14:textId="77777777" w:rsidR="008A7C1A" w:rsidRPr="00F1057F" w:rsidRDefault="008A7C1A" w:rsidP="008A7C1A">
      <w:pPr>
        <w:pStyle w:val="Textonotapie"/>
        <w:ind w:right="51" w:firstLine="709"/>
        <w:jc w:val="both"/>
        <w:rPr>
          <w:rFonts w:ascii="Arial" w:hAnsi="Arial" w:cs="Arial"/>
          <w:sz w:val="19"/>
          <w:szCs w:val="19"/>
        </w:rPr>
      </w:pPr>
    </w:p>
  </w:footnote>
  <w:footnote w:id="24">
    <w:p w14:paraId="0CB769D9" w14:textId="77777777" w:rsidR="008A7C1A" w:rsidRPr="00F1057F" w:rsidRDefault="008A7C1A" w:rsidP="008A7C1A">
      <w:pPr>
        <w:pStyle w:val="Textonotapie"/>
        <w:ind w:right="51" w:firstLine="709"/>
        <w:jc w:val="both"/>
        <w:rPr>
          <w:rFonts w:ascii="Arial" w:hAnsi="Arial" w:cs="Arial"/>
          <w:sz w:val="19"/>
          <w:szCs w:val="19"/>
        </w:rPr>
      </w:pPr>
      <w:r w:rsidRPr="00F1057F">
        <w:rPr>
          <w:rStyle w:val="Refdenotaalpie"/>
          <w:rFonts w:ascii="Arial" w:hAnsi="Arial" w:cs="Arial"/>
          <w:sz w:val="19"/>
          <w:szCs w:val="19"/>
        </w:rPr>
        <w:footnoteRef/>
      </w:r>
      <w:r w:rsidRPr="00F1057F">
        <w:rPr>
          <w:rFonts w:ascii="Arial" w:hAnsi="Arial" w:cs="Arial"/>
          <w:sz w:val="19"/>
          <w:szCs w:val="19"/>
        </w:rPr>
        <w:t xml:space="preserve"> Consejo de Estado. Sala de Consulta y Servicio Civil, ídem.</w:t>
      </w:r>
    </w:p>
  </w:footnote>
  <w:footnote w:id="25">
    <w:p w14:paraId="73645849" w14:textId="77777777" w:rsidR="008A7C1A" w:rsidRPr="00F1057F" w:rsidRDefault="008A7C1A" w:rsidP="008A7C1A">
      <w:pPr>
        <w:pStyle w:val="Textonotapie"/>
        <w:ind w:firstLine="708"/>
        <w:rPr>
          <w:rFonts w:ascii="Arial" w:hAnsi="Arial" w:cs="Arial"/>
          <w:sz w:val="19"/>
          <w:szCs w:val="19"/>
          <w:lang w:val="es-CO"/>
        </w:rPr>
      </w:pPr>
      <w:r w:rsidRPr="00F1057F">
        <w:rPr>
          <w:rStyle w:val="Refdenotaalpie"/>
          <w:rFonts w:ascii="Arial" w:hAnsi="Arial" w:cs="Arial"/>
          <w:sz w:val="19"/>
          <w:szCs w:val="19"/>
        </w:rPr>
        <w:footnoteRef/>
      </w:r>
      <w:r w:rsidRPr="00F1057F">
        <w:rPr>
          <w:rFonts w:ascii="Arial" w:hAnsi="Arial" w:cs="Arial"/>
          <w:sz w:val="19"/>
          <w:szCs w:val="19"/>
        </w:rPr>
        <w:t xml:space="preserve"> Consejo de Estado. Sala de lo Contencioso Administrativo. Sección Tercera. Subsección A. Sentencia del 22 de octubre de 2021. Rad. 81001-23-33-000-2014-00084-01(56313. Consejero Ponente: José Roberto Sáchica Méndez.</w:t>
      </w:r>
    </w:p>
  </w:footnote>
  <w:footnote w:id="26">
    <w:p w14:paraId="6B9BDA09" w14:textId="77777777" w:rsidR="008A7C1A" w:rsidRPr="00F1057F" w:rsidRDefault="008A7C1A" w:rsidP="008A7C1A">
      <w:pPr>
        <w:pStyle w:val="Textonotapie"/>
        <w:ind w:firstLine="708"/>
        <w:rPr>
          <w:rFonts w:ascii="Arial" w:hAnsi="Arial" w:cs="Arial"/>
          <w:sz w:val="19"/>
          <w:szCs w:val="19"/>
        </w:rPr>
      </w:pPr>
    </w:p>
    <w:p w14:paraId="55086C4D" w14:textId="77777777" w:rsidR="008A7C1A" w:rsidRPr="00F1057F" w:rsidRDefault="008A7C1A" w:rsidP="008A7C1A">
      <w:pPr>
        <w:pStyle w:val="Textonotapie"/>
        <w:ind w:firstLine="708"/>
        <w:rPr>
          <w:rFonts w:ascii="Arial" w:hAnsi="Arial" w:cs="Arial"/>
          <w:sz w:val="19"/>
          <w:szCs w:val="19"/>
        </w:rPr>
      </w:pPr>
      <w:r w:rsidRPr="00F1057F">
        <w:rPr>
          <w:rStyle w:val="Refdenotaalpie"/>
          <w:rFonts w:ascii="Arial" w:hAnsi="Arial" w:cs="Arial"/>
          <w:sz w:val="19"/>
          <w:szCs w:val="19"/>
        </w:rPr>
        <w:footnoteRef/>
      </w:r>
      <w:r w:rsidRPr="00F1057F">
        <w:rPr>
          <w:rFonts w:ascii="Arial" w:hAnsi="Arial" w:cs="Arial"/>
          <w:sz w:val="19"/>
          <w:szCs w:val="19"/>
        </w:rPr>
        <w:t xml:space="preserve"> «Artículo 333. La actividad económica y la iniciativa privada son libres, dentro de los límites del bien común. Para su ejercicio, nadie podrá exigir permisos previos ni requisitos, sin autorización de la ley.</w:t>
      </w:r>
    </w:p>
    <w:p w14:paraId="3F2FA881" w14:textId="77777777" w:rsidR="008A7C1A" w:rsidRPr="00F1057F" w:rsidRDefault="008A7C1A" w:rsidP="008A7C1A">
      <w:pPr>
        <w:pStyle w:val="Textonotapie"/>
        <w:ind w:firstLine="708"/>
        <w:rPr>
          <w:rFonts w:ascii="Arial" w:hAnsi="Arial" w:cs="Arial"/>
          <w:sz w:val="19"/>
          <w:szCs w:val="19"/>
        </w:rPr>
      </w:pPr>
      <w:r w:rsidRPr="00F1057F">
        <w:rPr>
          <w:rFonts w:ascii="Arial" w:hAnsi="Arial" w:cs="Arial"/>
          <w:sz w:val="19"/>
          <w:szCs w:val="19"/>
        </w:rPr>
        <w:t>La libre competencia económica es un derecho de todos que supone responsabilidades.</w:t>
      </w:r>
    </w:p>
    <w:p w14:paraId="2260313C" w14:textId="77777777" w:rsidR="008A7C1A" w:rsidRPr="00F1057F" w:rsidRDefault="008A7C1A" w:rsidP="008A7C1A">
      <w:pPr>
        <w:pStyle w:val="Textonotapie"/>
        <w:ind w:firstLine="708"/>
        <w:rPr>
          <w:rFonts w:ascii="Arial" w:hAnsi="Arial" w:cs="Arial"/>
          <w:sz w:val="19"/>
          <w:szCs w:val="19"/>
        </w:rPr>
      </w:pPr>
      <w:r w:rsidRPr="00F1057F">
        <w:rPr>
          <w:rFonts w:ascii="Arial" w:hAnsi="Arial" w:cs="Arial"/>
          <w:sz w:val="19"/>
          <w:szCs w:val="19"/>
        </w:rPr>
        <w:t>La empresa, como base del desarrollo, tiene una función social que implica obligaciones. El Estado fortalecerá las organizaciones solidarias y estimulará el desarrollo empresarial.</w:t>
      </w:r>
    </w:p>
    <w:p w14:paraId="5F4D9280" w14:textId="77777777" w:rsidR="008A7C1A" w:rsidRPr="00F1057F" w:rsidRDefault="008A7C1A" w:rsidP="008A7C1A">
      <w:pPr>
        <w:pStyle w:val="Textonotapie"/>
        <w:ind w:firstLine="708"/>
        <w:rPr>
          <w:rFonts w:ascii="Arial" w:hAnsi="Arial" w:cs="Arial"/>
          <w:sz w:val="19"/>
          <w:szCs w:val="19"/>
        </w:rPr>
      </w:pPr>
      <w:r w:rsidRPr="00F1057F">
        <w:rPr>
          <w:rFonts w:ascii="Arial" w:hAnsi="Arial" w:cs="Arial"/>
          <w:sz w:val="19"/>
          <w:szCs w:val="19"/>
        </w:rPr>
        <w:t>El Estado, por mandato de la ley, impedirá que se obstruya o se restrinja la libertad económica y evitará o controlará cualquier abuso que personas o empresas hagan de su posición dominante en el mercado nacional.</w:t>
      </w:r>
    </w:p>
    <w:p w14:paraId="3DFA322F" w14:textId="77777777" w:rsidR="008A7C1A" w:rsidRPr="00F1057F" w:rsidRDefault="008A7C1A" w:rsidP="008A7C1A">
      <w:pPr>
        <w:pStyle w:val="Textonotapie"/>
        <w:ind w:firstLine="708"/>
        <w:rPr>
          <w:rFonts w:ascii="Arial" w:hAnsi="Arial" w:cs="Arial"/>
          <w:sz w:val="19"/>
          <w:szCs w:val="19"/>
        </w:rPr>
      </w:pPr>
      <w:r w:rsidRPr="00F1057F">
        <w:rPr>
          <w:rFonts w:ascii="Arial" w:hAnsi="Arial" w:cs="Arial"/>
          <w:sz w:val="19"/>
          <w:szCs w:val="19"/>
        </w:rPr>
        <w:t>La ley delimitará el alcance de la libertad económica cuando así lo exijan el interés social, el ambiente y el patrimonio cultural de la Nación.»</w:t>
      </w:r>
    </w:p>
    <w:p w14:paraId="42640E50" w14:textId="77777777" w:rsidR="008A7C1A" w:rsidRPr="00F1057F" w:rsidRDefault="008A7C1A" w:rsidP="008A7C1A">
      <w:pPr>
        <w:pStyle w:val="Textonotapie"/>
        <w:ind w:firstLine="708"/>
        <w:rPr>
          <w:rFonts w:ascii="Arial" w:hAnsi="Arial" w:cs="Arial"/>
          <w:sz w:val="19"/>
          <w:szCs w:val="19"/>
          <w:lang w:val="es-CO"/>
        </w:rPr>
      </w:pPr>
    </w:p>
  </w:footnote>
  <w:footnote w:id="27">
    <w:p w14:paraId="1385F9B8" w14:textId="77777777" w:rsidR="008A7C1A" w:rsidRPr="00F1057F" w:rsidRDefault="008A7C1A" w:rsidP="008A7C1A">
      <w:pPr>
        <w:pStyle w:val="Textonotapie"/>
        <w:ind w:firstLine="708"/>
        <w:rPr>
          <w:rFonts w:ascii="Arial" w:hAnsi="Arial" w:cs="Arial"/>
          <w:sz w:val="19"/>
          <w:szCs w:val="19"/>
          <w:lang w:val="es-CO"/>
        </w:rPr>
      </w:pPr>
      <w:r w:rsidRPr="00F1057F">
        <w:rPr>
          <w:rStyle w:val="Refdenotaalpie"/>
          <w:rFonts w:ascii="Arial" w:hAnsi="Arial" w:cs="Arial"/>
          <w:sz w:val="19"/>
          <w:szCs w:val="19"/>
        </w:rPr>
        <w:footnoteRef/>
      </w:r>
      <w:r w:rsidRPr="00F1057F">
        <w:rPr>
          <w:rFonts w:ascii="Arial" w:hAnsi="Arial" w:cs="Arial"/>
          <w:sz w:val="19"/>
          <w:szCs w:val="19"/>
        </w:rPr>
        <w:t xml:space="preserve"> «Artículo 334. La dirección general de la economía estará a cargo del Estado. Este intervendrá, por mandato de la ley, en la explotación de los recursos naturales, en el uso del suelo, en la producción, distribución, utilización y consumo de los bienes, y en los servicios públicos y privados, para racionalizar la economía con el fin de conseguir en el plano nacional y territorial, en un marco de sostenibilidad fiscal, el mejoramiento de la calidad de vida de los habitantes, la distribución equitativa de las oportunidades y los beneficios del desarrollo y la preservación de un ambiente sano. Dicho marco de sostenibilidad fiscal deberá fungir como instrumento para alcanzar de manera progresiva los objetivos del Estado Social de Derecho. En cualquier caso el gasto público social será prioritario. […]»</w:t>
      </w:r>
    </w:p>
  </w:footnote>
  <w:footnote w:id="28">
    <w:p w14:paraId="15C9B57A" w14:textId="77777777" w:rsidR="008A7C1A" w:rsidRPr="00F1057F" w:rsidRDefault="008A7C1A" w:rsidP="008A7C1A">
      <w:pPr>
        <w:pStyle w:val="Textonotapie"/>
        <w:rPr>
          <w:rFonts w:ascii="Arial" w:hAnsi="Arial" w:cs="Arial"/>
          <w:sz w:val="19"/>
          <w:szCs w:val="19"/>
        </w:rPr>
      </w:pPr>
    </w:p>
    <w:p w14:paraId="7643D48C" w14:textId="77777777" w:rsidR="008A7C1A" w:rsidRPr="00F1057F" w:rsidRDefault="008A7C1A" w:rsidP="008A7C1A">
      <w:pPr>
        <w:pStyle w:val="Textonotapie"/>
        <w:ind w:firstLine="708"/>
        <w:rPr>
          <w:rFonts w:ascii="Arial" w:hAnsi="Arial" w:cs="Arial"/>
          <w:sz w:val="19"/>
          <w:szCs w:val="19"/>
        </w:rPr>
      </w:pPr>
      <w:r w:rsidRPr="00F1057F">
        <w:rPr>
          <w:rStyle w:val="Refdenotaalpie"/>
          <w:rFonts w:ascii="Arial" w:hAnsi="Arial" w:cs="Arial"/>
          <w:sz w:val="19"/>
          <w:szCs w:val="19"/>
        </w:rPr>
        <w:footnoteRef/>
      </w:r>
      <w:r w:rsidRPr="00F1057F">
        <w:rPr>
          <w:rFonts w:ascii="Arial" w:hAnsi="Arial" w:cs="Arial"/>
          <w:sz w:val="19"/>
          <w:szCs w:val="19"/>
        </w:rPr>
        <w:t xml:space="preserve"> «Artículo 365. Los servicios públicos son inherentes a la finalidad social del Estado. Es deber del Estado asegurar su prestación eficiente a todos los habitantes del territorio nacional.</w:t>
      </w:r>
    </w:p>
    <w:p w14:paraId="233DE6C9" w14:textId="77777777" w:rsidR="008A7C1A" w:rsidRPr="00F1057F" w:rsidRDefault="008A7C1A" w:rsidP="008A7C1A">
      <w:pPr>
        <w:pStyle w:val="Textonotapie"/>
        <w:ind w:firstLine="708"/>
        <w:rPr>
          <w:rFonts w:ascii="Arial" w:hAnsi="Arial" w:cs="Arial"/>
          <w:sz w:val="19"/>
          <w:szCs w:val="19"/>
        </w:rPr>
      </w:pPr>
      <w:r w:rsidRPr="00F1057F">
        <w:rPr>
          <w:rFonts w:ascii="Arial" w:hAnsi="Arial" w:cs="Arial"/>
          <w:sz w:val="19"/>
          <w:szCs w:val="19"/>
        </w:rPr>
        <w:t>Los servicios públicos estarán sometidos al régimen jurídico que fije la ley, podrán ser prestados por el Estado, directa o indirectamente, por comunidades organizadas, o por particulares. 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que en virtud de dicha ley, queden privadas del ejercicio de una actividad lícita.»</w:t>
      </w:r>
    </w:p>
    <w:p w14:paraId="18CB8477" w14:textId="77777777" w:rsidR="008A7C1A" w:rsidRPr="00F1057F" w:rsidRDefault="008A7C1A" w:rsidP="008A7C1A">
      <w:pPr>
        <w:pStyle w:val="Textonotapie"/>
        <w:ind w:firstLine="708"/>
        <w:rPr>
          <w:rFonts w:ascii="Arial" w:hAnsi="Arial" w:cs="Arial"/>
          <w:sz w:val="19"/>
          <w:szCs w:val="19"/>
          <w:lang w:val="es-CO"/>
        </w:rPr>
      </w:pPr>
    </w:p>
  </w:footnote>
  <w:footnote w:id="29">
    <w:p w14:paraId="52A57BBB" w14:textId="77777777" w:rsidR="008A7C1A" w:rsidRPr="00F1057F" w:rsidRDefault="008A7C1A" w:rsidP="008A7C1A">
      <w:pPr>
        <w:pStyle w:val="Textonotapie"/>
        <w:ind w:firstLine="708"/>
        <w:rPr>
          <w:rFonts w:ascii="Arial" w:hAnsi="Arial" w:cs="Arial"/>
          <w:sz w:val="19"/>
          <w:szCs w:val="19"/>
          <w:lang w:val="es-CO"/>
        </w:rPr>
      </w:pPr>
      <w:r w:rsidRPr="00F1057F">
        <w:rPr>
          <w:rStyle w:val="Refdenotaalpie"/>
          <w:rFonts w:ascii="Arial" w:hAnsi="Arial" w:cs="Arial"/>
          <w:sz w:val="19"/>
          <w:szCs w:val="19"/>
        </w:rPr>
        <w:footnoteRef/>
      </w:r>
      <w:r w:rsidRPr="00F1057F">
        <w:rPr>
          <w:rFonts w:ascii="Arial" w:hAnsi="Arial" w:cs="Arial"/>
          <w:sz w:val="19"/>
          <w:szCs w:val="19"/>
        </w:rPr>
        <w:t xml:space="preserve"> MONTAÑA PLATA, Alberto.  El concepto de servicio público en el derecho administrativo, Bogotá: Universidad Externado de Colombia, 2005, p. 184.</w:t>
      </w:r>
    </w:p>
  </w:footnote>
  <w:footnote w:id="30">
    <w:p w14:paraId="31889F1C" w14:textId="77777777" w:rsidR="008A7C1A" w:rsidRPr="00F1057F" w:rsidRDefault="008A7C1A" w:rsidP="008A7C1A">
      <w:pPr>
        <w:pStyle w:val="Textonotapie"/>
        <w:ind w:firstLine="708"/>
        <w:rPr>
          <w:rFonts w:ascii="Arial" w:hAnsi="Arial" w:cs="Arial"/>
          <w:sz w:val="19"/>
          <w:szCs w:val="19"/>
          <w:lang w:val="es-CO"/>
        </w:rPr>
      </w:pPr>
      <w:r w:rsidRPr="00F1057F">
        <w:rPr>
          <w:rStyle w:val="Refdenotaalpie"/>
          <w:rFonts w:ascii="Arial" w:hAnsi="Arial" w:cs="Arial"/>
          <w:sz w:val="19"/>
          <w:szCs w:val="19"/>
        </w:rPr>
        <w:footnoteRef/>
      </w:r>
      <w:r w:rsidRPr="00F1057F">
        <w:rPr>
          <w:rFonts w:ascii="Arial" w:hAnsi="Arial" w:cs="Arial"/>
          <w:sz w:val="19"/>
          <w:szCs w:val="19"/>
        </w:rPr>
        <w:t xml:space="preserve"> </w:t>
      </w:r>
      <w:r w:rsidRPr="00F1057F">
        <w:rPr>
          <w:rFonts w:ascii="Arial" w:hAnsi="Arial" w:cs="Arial"/>
          <w:sz w:val="19"/>
          <w:szCs w:val="19"/>
          <w:lang w:val="es-CO"/>
        </w:rPr>
        <w:t>Corte Constitucional, sentencia C-736 de 2007. Magistrado ponente: Marco Gerardo Monroy Cabra.</w:t>
      </w:r>
    </w:p>
    <w:p w14:paraId="614CB768" w14:textId="77777777" w:rsidR="008A7C1A" w:rsidRPr="00F1057F" w:rsidRDefault="008A7C1A" w:rsidP="008A7C1A">
      <w:pPr>
        <w:pStyle w:val="Textonotapie"/>
        <w:ind w:firstLine="708"/>
        <w:rPr>
          <w:rFonts w:ascii="Arial" w:hAnsi="Arial" w:cs="Arial"/>
          <w:sz w:val="19"/>
          <w:szCs w:val="19"/>
          <w:lang w:val="es-CO"/>
        </w:rPr>
      </w:pPr>
    </w:p>
  </w:footnote>
  <w:footnote w:id="31">
    <w:p w14:paraId="57250080" w14:textId="77777777" w:rsidR="008A7C1A" w:rsidRPr="00F1057F" w:rsidRDefault="008A7C1A" w:rsidP="008A7C1A">
      <w:pPr>
        <w:pStyle w:val="Textonotapie"/>
        <w:ind w:firstLine="708"/>
        <w:rPr>
          <w:sz w:val="19"/>
          <w:szCs w:val="19"/>
          <w:lang w:val="es-ES"/>
        </w:rPr>
      </w:pPr>
      <w:r w:rsidRPr="00F1057F">
        <w:rPr>
          <w:rStyle w:val="Refdenotaalpie"/>
          <w:sz w:val="19"/>
          <w:szCs w:val="19"/>
        </w:rPr>
        <w:footnoteRef/>
      </w:r>
      <w:r w:rsidRPr="00F1057F">
        <w:rPr>
          <w:sz w:val="19"/>
          <w:szCs w:val="19"/>
        </w:rPr>
        <w:t xml:space="preserve"> </w:t>
      </w:r>
      <w:r w:rsidRPr="00F1057F">
        <w:rPr>
          <w:rFonts w:ascii="Arial" w:hAnsi="Arial" w:cs="Arial"/>
          <w:sz w:val="19"/>
          <w:szCs w:val="19"/>
          <w:lang w:val="es-CO"/>
        </w:rPr>
        <w:t>Corte Constitucional, sentencia C-736 de 2007. Magistrado ponente: Marco Gerardo Monroy Cabra; Corte Constitucional, sentencia C-741 de 2003. Magistrado ponente: Manuel José Cepeda Espinosa.</w:t>
      </w:r>
    </w:p>
  </w:footnote>
  <w:footnote w:id="32">
    <w:p w14:paraId="419101AC" w14:textId="77777777" w:rsidR="008A7C1A" w:rsidRPr="00F1057F" w:rsidRDefault="008A7C1A" w:rsidP="008A7C1A">
      <w:pPr>
        <w:pStyle w:val="Textonotapie"/>
        <w:ind w:firstLine="708"/>
        <w:rPr>
          <w:rFonts w:ascii="Arial" w:hAnsi="Arial" w:cs="Arial"/>
          <w:sz w:val="19"/>
          <w:szCs w:val="19"/>
        </w:rPr>
      </w:pPr>
    </w:p>
    <w:p w14:paraId="72F9EEC9" w14:textId="77777777" w:rsidR="008A7C1A" w:rsidRPr="00F1057F" w:rsidRDefault="008A7C1A" w:rsidP="008A7C1A">
      <w:pPr>
        <w:pStyle w:val="Textonotapie"/>
        <w:ind w:firstLine="708"/>
        <w:rPr>
          <w:rFonts w:ascii="Arial" w:hAnsi="Arial" w:cs="Arial"/>
          <w:sz w:val="19"/>
          <w:szCs w:val="19"/>
          <w:lang w:val="es-CO"/>
        </w:rPr>
      </w:pPr>
      <w:r w:rsidRPr="00F1057F">
        <w:rPr>
          <w:rStyle w:val="Refdenotaalpie"/>
          <w:rFonts w:ascii="Arial" w:hAnsi="Arial" w:cs="Arial"/>
          <w:sz w:val="19"/>
          <w:szCs w:val="19"/>
        </w:rPr>
        <w:footnoteRef/>
      </w:r>
      <w:r w:rsidRPr="00F1057F">
        <w:rPr>
          <w:rFonts w:ascii="Arial" w:hAnsi="Arial" w:cs="Arial"/>
          <w:sz w:val="19"/>
          <w:szCs w:val="19"/>
        </w:rPr>
        <w:t xml:space="preserve"> Consejo de Estado. Sala de lo Contencioso Administrativo. Sección Tercera. Subsección A. Sentencia del 22 de octubre de 2021. Rad. 81001-23-33-000-2014-00084-01(56313. Consejero Ponente: José Roberto Sáchica Méndez.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A83E9" w14:textId="77777777" w:rsidR="000A47AF" w:rsidRDefault="007C0C8E">
    <w:pPr>
      <w:pStyle w:val="Encabezado"/>
    </w:pPr>
    <w:r>
      <w:rPr>
        <w:noProof/>
        <w:lang w:val="en-US"/>
      </w:rPr>
      <w:drawing>
        <wp:anchor distT="0" distB="0" distL="114300" distR="114300" simplePos="0" relativeHeight="251659264" behindDoc="1" locked="0" layoutInCell="1" allowOverlap="1" wp14:anchorId="229FC83A" wp14:editId="66D12233">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AB37B41" w14:textId="77777777" w:rsidR="00183D77" w:rsidRDefault="00000000"/>
  <w:p w14:paraId="128C3EF6" w14:textId="77777777" w:rsidR="00183D77" w:rsidRDefault="00000000"/>
  <w:p w14:paraId="29582EBF" w14:textId="77777777" w:rsidR="00183D77" w:rsidRDefault="0000000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C1A"/>
    <w:rsid w:val="007C0C8E"/>
    <w:rsid w:val="008A7C1A"/>
    <w:rsid w:val="00BC4245"/>
    <w:rsid w:val="00EF45D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5250D"/>
  <w15:chartTrackingRefBased/>
  <w15:docId w15:val="{B1483243-342D-5B4A-96B9-C853E177B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C1A"/>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A7C1A"/>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8A7C1A"/>
    <w:rPr>
      <w:szCs w:val="22"/>
      <w:lang w:val="es-MX"/>
    </w:rPr>
  </w:style>
  <w:style w:type="paragraph" w:styleId="Encabezado">
    <w:name w:val="header"/>
    <w:basedOn w:val="Normal"/>
    <w:link w:val="EncabezadoCar"/>
    <w:uiPriority w:val="99"/>
    <w:unhideWhenUsed/>
    <w:rsid w:val="008A7C1A"/>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8A7C1A"/>
    <w:rPr>
      <w:szCs w:val="22"/>
      <w:lang w:val="es-MX"/>
    </w:rPr>
  </w:style>
  <w:style w:type="table" w:styleId="Tablaconcuadrcula">
    <w:name w:val="Table Grid"/>
    <w:basedOn w:val="Tablanormal"/>
    <w:uiPriority w:val="59"/>
    <w:qFormat/>
    <w:rsid w:val="008A7C1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8A7C1A"/>
    <w:pPr>
      <w:spacing w:before="100" w:beforeAutospacing="1" w:after="100" w:afterAutospacing="1"/>
    </w:pPr>
    <w:rPr>
      <w:lang w:eastAsia="es-CO"/>
    </w:rPr>
  </w:style>
  <w:style w:type="paragraph" w:styleId="Sinespaciado">
    <w:name w:val="No Spacing"/>
    <w:aliases w:val="No Indent"/>
    <w:uiPriority w:val="1"/>
    <w:qFormat/>
    <w:rsid w:val="008A7C1A"/>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A7C1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
    <w:basedOn w:val="Normal"/>
    <w:link w:val="TextonotapieCar"/>
    <w:uiPriority w:val="99"/>
    <w:unhideWhenUsed/>
    <w:qFormat/>
    <w:rsid w:val="008A7C1A"/>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8A7C1A"/>
    <w:rPr>
      <w:rFonts w:ascii="Times New Roman" w:eastAsia="Times New Roman" w:hAnsi="Times New Roman" w:cs="Times New Roman"/>
      <w:sz w:val="20"/>
      <w:szCs w:val="20"/>
      <w:lang w:eastAsia="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8A7C1A"/>
    <w:rPr>
      <w:vertAlign w:val="superscript"/>
    </w:rPr>
  </w:style>
  <w:style w:type="character" w:customStyle="1" w:styleId="NormalWebCar">
    <w:name w:val="Normal (Web) Car"/>
    <w:link w:val="NormalWeb"/>
    <w:uiPriority w:val="99"/>
    <w:rsid w:val="008A7C1A"/>
    <w:rPr>
      <w:rFonts w:ascii="Times New Roman" w:eastAsia="Times New Roman" w:hAnsi="Times New Roman" w:cs="Times New Roman"/>
      <w:lang w:eastAsia="es-CO"/>
    </w:rPr>
  </w:style>
  <w:style w:type="paragraph" w:customStyle="1" w:styleId="Appelnotedebasde">
    <w:name w:val="Appel note de bas de..."/>
    <w:basedOn w:val="Normal"/>
    <w:link w:val="Refdenotaalpie"/>
    <w:uiPriority w:val="99"/>
    <w:rsid w:val="008A7C1A"/>
    <w:pPr>
      <w:spacing w:after="160" w:line="240" w:lineRule="exact"/>
    </w:pPr>
    <w:rPr>
      <w:rFonts w:asciiTheme="minorHAnsi" w:eastAsiaTheme="minorHAnsi" w:hAnsiTheme="minorHAnsi" w:cstheme="minorBidi"/>
      <w:vertAlign w:val="superscript"/>
      <w:lang w:eastAsia="en-US"/>
    </w:rPr>
  </w:style>
  <w:style w:type="character" w:customStyle="1" w:styleId="baj">
    <w:name w:val="b_aj"/>
    <w:basedOn w:val="Fuentedeprrafopredeter"/>
    <w:rsid w:val="008A7C1A"/>
  </w:style>
  <w:style w:type="table" w:customStyle="1" w:styleId="Tablaconcuadrcula11">
    <w:name w:val="Tabla con cuadrícula11"/>
    <w:basedOn w:val="Tablanormal"/>
    <w:next w:val="Tablaconcuadrcula"/>
    <w:uiPriority w:val="39"/>
    <w:rsid w:val="008A7C1A"/>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07EC08-49E8-479E-9347-C6609470ECD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4B2A12E4-D39B-4F10-83F5-9902A79B30D9}">
  <ds:schemaRefs>
    <ds:schemaRef ds:uri="http://schemas.microsoft.com/sharepoint/v3/contenttype/forms"/>
  </ds:schemaRefs>
</ds:datastoreItem>
</file>

<file path=customXml/itemProps3.xml><?xml version="1.0" encoding="utf-8"?>
<ds:datastoreItem xmlns:ds="http://schemas.openxmlformats.org/officeDocument/2006/customXml" ds:itemID="{A6F30E13-346A-4C46-B964-DC48A9626D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7748</Words>
  <Characters>42617</Characters>
  <Application>Microsoft Office Word</Application>
  <DocSecurity>0</DocSecurity>
  <Lines>355</Lines>
  <Paragraphs>100</Paragraphs>
  <ScaleCrop>false</ScaleCrop>
  <Company/>
  <LinksUpToDate>false</LinksUpToDate>
  <CharactersWithSpaces>50265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Martin Rojas Mejia</cp:lastModifiedBy>
  <cp:revision>2</cp:revision>
  <dcterms:created xsi:type="dcterms:W3CDTF">2022-05-28T13:09:00Z</dcterms:created>
  <dcterms:modified xsi:type="dcterms:W3CDTF">2022-07-28T21:45:00Z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