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DA05F" w14:textId="77777777" w:rsidR="007208B3" w:rsidRPr="00AF1555" w:rsidRDefault="007208B3" w:rsidP="007208B3">
      <w:pPr>
        <w:tabs>
          <w:tab w:val="left" w:pos="709"/>
        </w:tabs>
        <w:spacing w:after="0" w:line="240" w:lineRule="auto"/>
        <w:jc w:val="both"/>
        <w:rPr>
          <w:rFonts w:ascii="Verdana" w:eastAsia="Calibri" w:hAnsi="Verdana" w:cs="Arial"/>
          <w:bCs/>
          <w:sz w:val="20"/>
          <w:szCs w:val="20"/>
          <w:lang w:val="es-ES_tradnl" w:eastAsia="es-ES_tradnl"/>
        </w:rPr>
      </w:pPr>
    </w:p>
    <w:p w14:paraId="4DCE3946" w14:textId="77777777" w:rsidR="007208B3" w:rsidRPr="00AF1555" w:rsidRDefault="007208B3" w:rsidP="007208B3">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CONTRATO DE OBRA PÚBLICA</w:t>
      </w:r>
      <w:r w:rsidRPr="003B0095">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Concepto – Sentido restringido</w:t>
      </w:r>
      <w:r w:rsidRPr="00AF1555">
        <w:rPr>
          <w:rFonts w:ascii="Verdana" w:eastAsia="Calibri" w:hAnsi="Verdana" w:cs="Arial"/>
          <w:b/>
          <w:color w:val="000000" w:themeColor="text1"/>
          <w:lang w:val="es-ES"/>
        </w:rPr>
        <w:t xml:space="preserve"> </w:t>
      </w:r>
    </w:p>
    <w:p w14:paraId="7B780752" w14:textId="77777777" w:rsidR="007208B3" w:rsidRPr="00AF1555" w:rsidRDefault="007208B3" w:rsidP="007208B3">
      <w:pPr>
        <w:spacing w:after="0" w:line="240" w:lineRule="auto"/>
        <w:jc w:val="both"/>
        <w:rPr>
          <w:rFonts w:ascii="Verdana" w:eastAsia="Calibri" w:hAnsi="Verdana" w:cs="Arial"/>
          <w:bCs/>
          <w:color w:val="000000" w:themeColor="text1"/>
          <w:sz w:val="20"/>
          <w:szCs w:val="20"/>
          <w:lang w:val="es-ES"/>
        </w:rPr>
      </w:pPr>
    </w:p>
    <w:p w14:paraId="46BDCD46" w14:textId="77777777" w:rsidR="007208B3" w:rsidRDefault="007208B3" w:rsidP="007208B3">
      <w:pPr>
        <w:spacing w:after="0" w:line="240" w:lineRule="auto"/>
        <w:jc w:val="both"/>
        <w:rPr>
          <w:rFonts w:ascii="Verdana" w:eastAsia="Calibri" w:hAnsi="Verdana" w:cs="Arial"/>
          <w:color w:val="000000" w:themeColor="text1"/>
          <w:sz w:val="20"/>
          <w:szCs w:val="20"/>
          <w:lang w:val="es-ES_tradnl" w:eastAsia="es-ES_tradnl"/>
        </w:rPr>
      </w:pPr>
      <w:r w:rsidRPr="00C36F9F">
        <w:rPr>
          <w:rFonts w:ascii="Verdana" w:eastAsia="Calibri" w:hAnsi="Verdana" w:cs="Arial"/>
          <w:color w:val="000000" w:themeColor="text1"/>
          <w:sz w:val="20"/>
          <w:szCs w:val="20"/>
          <w:lang w:val="es-ES_tradnl" w:eastAsia="es-ES_tradnl"/>
        </w:rPr>
        <w:t xml:space="preserve">En </w:t>
      </w:r>
      <w:r w:rsidRPr="00C36F9F">
        <w:rPr>
          <w:rFonts w:ascii="Verdana" w:eastAsia="Calibri" w:hAnsi="Verdana" w:cs="Arial"/>
          <w:i/>
          <w:iCs/>
          <w:color w:val="000000" w:themeColor="text1"/>
          <w:sz w:val="20"/>
          <w:szCs w:val="20"/>
          <w:lang w:val="es-ES_tradnl" w:eastAsia="es-ES_tradnl"/>
        </w:rPr>
        <w:t>sentido amplio</w:t>
      </w:r>
      <w:r w:rsidRPr="00C36F9F">
        <w:rPr>
          <w:rFonts w:ascii="Verdana" w:eastAsia="Calibri" w:hAnsi="Verdana" w:cs="Arial"/>
          <w:color w:val="000000" w:themeColor="text1"/>
          <w:sz w:val="20"/>
          <w:szCs w:val="20"/>
          <w:lang w:val="es-ES_tradnl" w:eastAsia="es-ES_tradnl"/>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C36F9F">
        <w:rPr>
          <w:rFonts w:ascii="Verdana" w:eastAsia="Calibri" w:hAnsi="Verdana" w:cs="Arial"/>
          <w:i/>
          <w:iCs/>
          <w:color w:val="000000" w:themeColor="text1"/>
          <w:sz w:val="20"/>
          <w:szCs w:val="20"/>
          <w:lang w:val="es-ES_tradnl" w:eastAsia="es-ES_tradnl"/>
        </w:rPr>
        <w:t>sentido restringido</w:t>
      </w:r>
      <w:r w:rsidRPr="00C36F9F">
        <w:rPr>
          <w:rFonts w:ascii="Verdana" w:eastAsia="Calibri" w:hAnsi="Verdana" w:cs="Arial"/>
          <w:color w:val="000000" w:themeColor="text1"/>
          <w:sz w:val="20"/>
          <w:szCs w:val="20"/>
          <w:lang w:val="es-ES_tradnl" w:eastAsia="es-ES_tradn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p>
    <w:p w14:paraId="7A78D343" w14:textId="77777777" w:rsidR="007208B3" w:rsidRPr="00C36F9F" w:rsidRDefault="007208B3" w:rsidP="007208B3">
      <w:pPr>
        <w:spacing w:after="0" w:line="240" w:lineRule="auto"/>
        <w:jc w:val="both"/>
        <w:rPr>
          <w:rFonts w:ascii="Verdana" w:eastAsia="Calibri" w:hAnsi="Verdana" w:cs="Arial"/>
          <w:color w:val="000000" w:themeColor="text1"/>
          <w:sz w:val="20"/>
          <w:szCs w:val="20"/>
          <w:lang w:val="es-ES_tradnl" w:eastAsia="es-ES_tradnl"/>
        </w:rPr>
      </w:pPr>
      <w:r w:rsidRPr="00C36F9F">
        <w:rPr>
          <w:rFonts w:ascii="Verdana" w:eastAsia="Calibri" w:hAnsi="Verdana" w:cs="Arial"/>
          <w:color w:val="000000" w:themeColor="text1"/>
          <w:sz w:val="20"/>
          <w:szCs w:val="20"/>
          <w:lang w:val="es-ES_tradnl" w:eastAsia="es-ES_tradnl"/>
        </w:rPr>
        <w:t xml:space="preserve"> </w:t>
      </w:r>
    </w:p>
    <w:p w14:paraId="084DB392" w14:textId="77777777" w:rsidR="007208B3" w:rsidRPr="00AF1555" w:rsidRDefault="007208B3" w:rsidP="007208B3">
      <w:pPr>
        <w:spacing w:after="0" w:line="240" w:lineRule="auto"/>
        <w:jc w:val="both"/>
        <w:rPr>
          <w:rFonts w:ascii="Verdana" w:eastAsia="Calibri" w:hAnsi="Verdana" w:cs="Arial"/>
          <w:color w:val="000000" w:themeColor="text1"/>
          <w:sz w:val="20"/>
          <w:szCs w:val="20"/>
          <w:lang w:val="es-ES_tradnl"/>
        </w:rPr>
      </w:pPr>
      <w:r w:rsidRPr="00C36F9F">
        <w:rPr>
          <w:rFonts w:ascii="Verdana" w:eastAsia="Calibri" w:hAnsi="Verdana" w:cs="Arial"/>
          <w:color w:val="000000" w:themeColor="text1"/>
          <w:sz w:val="20"/>
          <w:szCs w:val="20"/>
          <w:lang w:val="es-ES_tradnl" w:eastAsia="es-ES_tradnl"/>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Pr="00AF1555">
        <w:rPr>
          <w:rFonts w:ascii="Verdana" w:eastAsia="Calibri" w:hAnsi="Verdana" w:cs="Arial"/>
          <w:color w:val="000000" w:themeColor="text1"/>
          <w:sz w:val="20"/>
          <w:szCs w:val="20"/>
          <w:lang w:val="es-ES_tradnl"/>
        </w:rPr>
        <w:t>.</w:t>
      </w:r>
    </w:p>
    <w:p w14:paraId="27EE8FAE" w14:textId="77777777" w:rsidR="007208B3" w:rsidRPr="00AF1555" w:rsidRDefault="007208B3" w:rsidP="007208B3">
      <w:pPr>
        <w:spacing w:after="0" w:line="240" w:lineRule="auto"/>
        <w:rPr>
          <w:rFonts w:ascii="Verdana" w:eastAsia="Geomanist Light" w:hAnsi="Verdana" w:cs="Arial"/>
          <w:color w:val="000000" w:themeColor="text1"/>
          <w:sz w:val="20"/>
          <w:szCs w:val="20"/>
          <w:lang w:val="es-ES_tradnl"/>
        </w:rPr>
      </w:pPr>
    </w:p>
    <w:p w14:paraId="060ABD10" w14:textId="77777777" w:rsidR="007208B3" w:rsidRPr="00AF1555" w:rsidRDefault="007208B3" w:rsidP="007208B3">
      <w:pPr>
        <w:spacing w:after="0" w:line="240" w:lineRule="auto"/>
        <w:jc w:val="both"/>
        <w:rPr>
          <w:rFonts w:ascii="Verdana" w:eastAsia="Calibri" w:hAnsi="Verdana" w:cs="Arial"/>
          <w:b/>
          <w:lang w:val="es-ES"/>
        </w:rPr>
      </w:pPr>
      <w:r>
        <w:rPr>
          <w:rFonts w:ascii="Verdana" w:eastAsia="Calibri" w:hAnsi="Verdana" w:cs="Arial"/>
          <w:b/>
          <w:lang w:val="es-ES"/>
        </w:rPr>
        <w:t>RÉGIMEN CONTRACTUAL – Obra pública – No depende de la nominación de las partes</w:t>
      </w:r>
    </w:p>
    <w:p w14:paraId="6503C0CA" w14:textId="77777777" w:rsidR="007208B3" w:rsidRPr="00AF1555" w:rsidRDefault="007208B3" w:rsidP="007208B3">
      <w:pPr>
        <w:spacing w:after="0" w:line="240" w:lineRule="auto"/>
        <w:jc w:val="both"/>
        <w:rPr>
          <w:rFonts w:ascii="Verdana" w:eastAsia="Calibri" w:hAnsi="Verdana" w:cs="Arial"/>
          <w:b/>
          <w:sz w:val="20"/>
          <w:szCs w:val="20"/>
          <w:lang w:val="es-ES"/>
        </w:rPr>
      </w:pPr>
    </w:p>
    <w:p w14:paraId="5C07E524" w14:textId="77777777" w:rsidR="007208B3" w:rsidRPr="00AF1555" w:rsidRDefault="007208B3" w:rsidP="007208B3">
      <w:pPr>
        <w:spacing w:after="0" w:line="240" w:lineRule="auto"/>
        <w:jc w:val="both"/>
        <w:rPr>
          <w:rFonts w:ascii="Verdana" w:eastAsia="Calibri" w:hAnsi="Verdana" w:cs="Arial"/>
          <w:color w:val="000000"/>
          <w:sz w:val="20"/>
          <w:szCs w:val="20"/>
          <w:lang w:val="es-ES_tradnl"/>
        </w:rPr>
      </w:pPr>
      <w:r w:rsidRPr="0099151E">
        <w:rPr>
          <w:rFonts w:ascii="Verdana" w:eastAsia="Calibri" w:hAnsi="Verdana" w:cs="Arial"/>
          <w:bCs/>
          <w:sz w:val="20"/>
          <w:szCs w:val="20"/>
          <w:lang w:val="es-ES"/>
        </w:rPr>
        <w:t xml:space="preserve">Como la obra pública existe con independencia de la modalidad de ejecución o de pago, sea que el objeto se ejecute a través de contrato o convenio de gerencia integral o de administración delegada, dichas categorías pertenecen a la tipología del numeral 1 del artículo 32 de la Ley 80 de 1993. Es decir, al margen de la nominación asignada por las partes, cualquier negocio jurídico que implique un trabajo material sobre bienes inmuebles a favor de alguna de las entidades descritas en el artículo 2 </w:t>
      </w:r>
      <w:r w:rsidRPr="0099151E">
        <w:rPr>
          <w:rFonts w:ascii="Verdana" w:eastAsia="Calibri" w:hAnsi="Verdana" w:cs="Arial"/>
          <w:bCs/>
          <w:i/>
          <w:iCs/>
          <w:sz w:val="20"/>
          <w:szCs w:val="20"/>
          <w:lang w:val="es-ES"/>
        </w:rPr>
        <w:t>ibidem</w:t>
      </w:r>
      <w:r w:rsidRPr="0099151E">
        <w:rPr>
          <w:rFonts w:ascii="Verdana" w:eastAsia="Calibri" w:hAnsi="Verdana" w:cs="Arial"/>
          <w:bCs/>
          <w:sz w:val="20"/>
          <w:szCs w:val="20"/>
          <w:lang w:val="es-ES"/>
        </w:rPr>
        <w:t>, tiene la naturaleza jurídica de una obra pública y está sometida al Estatuto General de Contratación de la Administración Pública</w:t>
      </w:r>
      <w:r w:rsidRPr="00AF1555">
        <w:rPr>
          <w:rFonts w:ascii="Verdana" w:eastAsia="Calibri" w:hAnsi="Verdana" w:cs="Arial"/>
          <w:color w:val="000000"/>
          <w:sz w:val="20"/>
          <w:szCs w:val="20"/>
          <w:lang w:val="es-ES_tradnl"/>
        </w:rPr>
        <w:t>.</w:t>
      </w:r>
    </w:p>
    <w:p w14:paraId="35EE752A" w14:textId="77777777" w:rsidR="007208B3" w:rsidRPr="00AF1555" w:rsidRDefault="007208B3" w:rsidP="007208B3">
      <w:pPr>
        <w:spacing w:after="0" w:line="240" w:lineRule="auto"/>
        <w:rPr>
          <w:rFonts w:ascii="Verdana" w:eastAsia="Geomanist Light" w:hAnsi="Verdana" w:cs="Arial"/>
          <w:color w:val="000000" w:themeColor="text1"/>
          <w:sz w:val="20"/>
          <w:szCs w:val="20"/>
          <w:lang w:val="es-ES_tradnl"/>
        </w:rPr>
      </w:pPr>
    </w:p>
    <w:p w14:paraId="181192FE" w14:textId="77777777" w:rsidR="007208B3" w:rsidRPr="00AF1555" w:rsidRDefault="007208B3" w:rsidP="007208B3">
      <w:pPr>
        <w:tabs>
          <w:tab w:val="left" w:pos="426"/>
        </w:tabs>
        <w:spacing w:after="0" w:line="240" w:lineRule="auto"/>
        <w:jc w:val="both"/>
        <w:rPr>
          <w:rFonts w:ascii="Verdana" w:hAnsi="Verdana" w:cs="Arial"/>
          <w:b/>
          <w:lang w:eastAsia="es-CO"/>
        </w:rPr>
      </w:pPr>
      <w:r>
        <w:rPr>
          <w:rFonts w:ascii="Verdana" w:hAnsi="Verdana" w:cs="Arial"/>
          <w:b/>
          <w:lang w:eastAsia="es-CO"/>
        </w:rPr>
        <w:t>INTERVENTORÍA CONTRACTUAL</w:t>
      </w:r>
      <w:r w:rsidRPr="003B0095">
        <w:rPr>
          <w:rFonts w:ascii="Verdana" w:hAnsi="Verdana" w:cs="Arial"/>
          <w:b/>
          <w:lang w:eastAsia="es-CO"/>
        </w:rPr>
        <w:t xml:space="preserve"> – </w:t>
      </w:r>
      <w:r>
        <w:rPr>
          <w:rFonts w:ascii="Verdana" w:hAnsi="Verdana" w:cs="Arial"/>
          <w:b/>
          <w:lang w:eastAsia="es-CO"/>
        </w:rPr>
        <w:t>Obligatoriedad – Normatividad especial</w:t>
      </w:r>
      <w:r w:rsidRPr="00AF1555">
        <w:rPr>
          <w:rFonts w:ascii="Verdana" w:hAnsi="Verdana" w:cs="Arial"/>
          <w:b/>
          <w:lang w:eastAsia="es-CO"/>
        </w:rPr>
        <w:t xml:space="preserve">  </w:t>
      </w:r>
    </w:p>
    <w:p w14:paraId="7540DFBB" w14:textId="77777777" w:rsidR="007208B3" w:rsidRPr="00AF1555" w:rsidRDefault="007208B3" w:rsidP="007208B3">
      <w:pPr>
        <w:tabs>
          <w:tab w:val="left" w:pos="426"/>
        </w:tabs>
        <w:spacing w:after="0" w:line="240" w:lineRule="auto"/>
        <w:jc w:val="both"/>
        <w:rPr>
          <w:rFonts w:ascii="Verdana" w:hAnsi="Verdana" w:cs="Arial"/>
          <w:b/>
          <w:sz w:val="20"/>
          <w:szCs w:val="20"/>
          <w:lang w:eastAsia="es-CO"/>
        </w:rPr>
      </w:pPr>
    </w:p>
    <w:p w14:paraId="54D3F162" w14:textId="77777777" w:rsidR="007208B3" w:rsidRPr="003B0095" w:rsidRDefault="007208B3" w:rsidP="007208B3">
      <w:pPr>
        <w:tabs>
          <w:tab w:val="left" w:pos="426"/>
        </w:tabs>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CB3433">
        <w:rPr>
          <w:rFonts w:ascii="Verdana" w:hAnsi="Verdana" w:cs="Arial"/>
          <w:bCs/>
          <w:sz w:val="20"/>
          <w:szCs w:val="20"/>
          <w:lang w:eastAsia="es-CO" w:bidi="es-ES"/>
        </w:rPr>
        <w:t xml:space="preserve">en el marco de los contratos sometidos al EGCAP, la interventoría es obligatoria en los supuestos descritos en el inciso segundo del artículo 32.1 de la Ley 80 de 1993 y en el inciso tercero del artículo 83 de la Ley 1474 de 2011. </w:t>
      </w:r>
      <w:r w:rsidRPr="00CB3433">
        <w:rPr>
          <w:rFonts w:ascii="Verdana" w:hAnsi="Verdana" w:cs="Arial"/>
          <w:bCs/>
          <w:i/>
          <w:iCs/>
          <w:sz w:val="20"/>
          <w:szCs w:val="20"/>
          <w:lang w:eastAsia="es-CO" w:bidi="es-ES"/>
        </w:rPr>
        <w:t>Por un lado</w:t>
      </w:r>
      <w:r w:rsidRPr="00CB3433">
        <w:rPr>
          <w:rFonts w:ascii="Verdana" w:hAnsi="Verdana" w:cs="Arial"/>
          <w:bCs/>
          <w:sz w:val="20"/>
          <w:szCs w:val="20"/>
          <w:lang w:eastAsia="es-CO" w:bidi="es-ES"/>
        </w:rPr>
        <w:t>, “</w:t>
      </w:r>
      <w:r w:rsidRPr="00CB3433">
        <w:rPr>
          <w:rFonts w:ascii="Verdana" w:hAnsi="Verdana" w:cs="Arial"/>
          <w:bCs/>
          <w:i/>
          <w:iCs/>
          <w:sz w:val="20"/>
          <w:szCs w:val="20"/>
          <w:lang w:eastAsia="es-CO" w:bidi="es-ES"/>
        </w:rPr>
        <w:t>En los contratos de obra que hayan sido celebrados como resultado de un proceso de licitación, la interventoría deberá ser contratada con una persona independiente de la entidad contratante y del contratista</w:t>
      </w:r>
      <w:r w:rsidRPr="00CB3433">
        <w:rPr>
          <w:rFonts w:ascii="Verdana" w:hAnsi="Verdana" w:cs="Arial"/>
          <w:bCs/>
          <w:sz w:val="20"/>
          <w:szCs w:val="20"/>
          <w:lang w:eastAsia="es-CO" w:bidi="es-ES"/>
        </w:rPr>
        <w:t xml:space="preserve">, quien responderá por los hechos y omisiones que le fueren imputables en los términos previstos en el artículo 53 del presente estatuto” (Énfasis fuera de texto). </w:t>
      </w:r>
      <w:r w:rsidRPr="00CB3433">
        <w:rPr>
          <w:rFonts w:ascii="Verdana" w:hAnsi="Verdana" w:cs="Arial"/>
          <w:bCs/>
          <w:i/>
          <w:iCs/>
          <w:sz w:val="20"/>
          <w:szCs w:val="20"/>
          <w:lang w:eastAsia="es-CO" w:bidi="es-ES"/>
        </w:rPr>
        <w:t>Por otra parte</w:t>
      </w:r>
      <w:r w:rsidRPr="00CB3433">
        <w:rPr>
          <w:rFonts w:ascii="Verdana" w:hAnsi="Verdana" w:cs="Arial"/>
          <w:bCs/>
          <w:sz w:val="20"/>
          <w:szCs w:val="20"/>
          <w:lang w:eastAsia="es-CO" w:bidi="es-ES"/>
        </w:rPr>
        <w:t>, “</w:t>
      </w:r>
      <w:r w:rsidRPr="00CB3433">
        <w:rPr>
          <w:rFonts w:ascii="Verdana" w:hAnsi="Verdana" w:cs="Arial"/>
          <w:bCs/>
          <w:i/>
          <w:iCs/>
          <w:sz w:val="20"/>
          <w:szCs w:val="20"/>
          <w:lang w:eastAsia="es-CO" w:bidi="es-ES"/>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w:t>
      </w:r>
      <w:r w:rsidRPr="00CB3433">
        <w:rPr>
          <w:rFonts w:ascii="Verdana" w:hAnsi="Verdana" w:cs="Arial"/>
          <w:bCs/>
          <w:sz w:val="20"/>
          <w:szCs w:val="20"/>
          <w:lang w:eastAsia="es-CO" w:bidi="es-ES"/>
        </w:rPr>
        <w:t xml:space="preserve">. No obstante, lo anterior cuando la entidad lo encuentre justificado y acorde a la naturaleza del contrato principal, podrá contratar el seguimiento administrativo, técnico, financiero, contable, jurídico del objeto o contrato dentro de la interventoría” </w:t>
      </w:r>
      <w:r w:rsidRPr="00CB3433">
        <w:rPr>
          <w:rFonts w:ascii="Verdana" w:hAnsi="Verdana" w:cs="Arial"/>
          <w:bCs/>
          <w:sz w:val="20"/>
          <w:szCs w:val="20"/>
          <w:lang w:eastAsia="es-CO" w:bidi="es-ES"/>
        </w:rPr>
        <w:lastRenderedPageBreak/>
        <w:t>(Énfasis fuera de texto). Por ello, sin perjuicio de la regulación especial del artículo 33 de la Ley 1508 de 2012, en los demás casos la interventoría es facultativa</w:t>
      </w:r>
      <w:r w:rsidRPr="00A6594B">
        <w:rPr>
          <w:rFonts w:ascii="Verdana" w:hAnsi="Verdana" w:cs="Arial"/>
          <w:bCs/>
          <w:sz w:val="20"/>
          <w:szCs w:val="20"/>
          <w:lang w:eastAsia="es-CO"/>
        </w:rPr>
        <w:t>.</w:t>
      </w:r>
    </w:p>
    <w:p w14:paraId="2C4C1EED" w14:textId="77777777" w:rsidR="007208B3" w:rsidRPr="007208B3" w:rsidRDefault="007208B3" w:rsidP="0061795A">
      <w:pPr>
        <w:spacing w:after="0" w:line="240" w:lineRule="auto"/>
        <w:rPr>
          <w:rFonts w:ascii="Verdana" w:eastAsia="Geomanist Light" w:hAnsi="Verdana" w:cs="Arial"/>
          <w:color w:val="000000" w:themeColor="text1"/>
        </w:rPr>
      </w:pPr>
    </w:p>
    <w:p w14:paraId="01FC2815" w14:textId="77777777" w:rsidR="007208B3" w:rsidRDefault="007208B3" w:rsidP="0061795A">
      <w:pPr>
        <w:spacing w:after="0" w:line="240" w:lineRule="auto"/>
        <w:rPr>
          <w:rFonts w:ascii="Verdana" w:eastAsia="Geomanist Light" w:hAnsi="Verdana" w:cs="Arial"/>
          <w:color w:val="000000" w:themeColor="text1"/>
          <w:lang w:val="es-MX"/>
        </w:rPr>
      </w:pPr>
    </w:p>
    <w:p w14:paraId="5CD68019" w14:textId="77777777" w:rsidR="007208B3" w:rsidRDefault="007208B3" w:rsidP="0061795A">
      <w:pPr>
        <w:spacing w:after="0" w:line="240" w:lineRule="auto"/>
        <w:rPr>
          <w:rFonts w:ascii="Verdana" w:eastAsia="Geomanist Light" w:hAnsi="Verdana" w:cs="Arial"/>
          <w:color w:val="000000" w:themeColor="text1"/>
          <w:lang w:val="es-MX"/>
        </w:rPr>
      </w:pPr>
    </w:p>
    <w:p w14:paraId="7026E712" w14:textId="77777777" w:rsidR="007208B3" w:rsidRDefault="007208B3" w:rsidP="0061795A">
      <w:pPr>
        <w:spacing w:after="0" w:line="240" w:lineRule="auto"/>
        <w:rPr>
          <w:rFonts w:ascii="Verdana" w:eastAsia="Geomanist Light" w:hAnsi="Verdana" w:cs="Arial"/>
          <w:color w:val="000000" w:themeColor="text1"/>
          <w:lang w:val="es-MX"/>
        </w:rPr>
      </w:pPr>
    </w:p>
    <w:p w14:paraId="612EF87F" w14:textId="77777777" w:rsidR="007208B3" w:rsidRDefault="007208B3" w:rsidP="0061795A">
      <w:pPr>
        <w:spacing w:after="0" w:line="240" w:lineRule="auto"/>
        <w:rPr>
          <w:rFonts w:ascii="Verdana" w:eastAsia="Geomanist Light" w:hAnsi="Verdana" w:cs="Arial"/>
          <w:color w:val="000000" w:themeColor="text1"/>
          <w:lang w:val="es-MX"/>
        </w:rPr>
      </w:pPr>
    </w:p>
    <w:p w14:paraId="380B309E" w14:textId="77777777" w:rsidR="007208B3" w:rsidRDefault="007208B3" w:rsidP="0061795A">
      <w:pPr>
        <w:spacing w:after="0" w:line="240" w:lineRule="auto"/>
        <w:rPr>
          <w:rFonts w:ascii="Verdana" w:eastAsia="Geomanist Light" w:hAnsi="Verdana" w:cs="Arial"/>
          <w:color w:val="000000" w:themeColor="text1"/>
          <w:lang w:val="es-MX"/>
        </w:rPr>
      </w:pPr>
    </w:p>
    <w:p w14:paraId="74F723D7" w14:textId="77777777" w:rsidR="007208B3" w:rsidRDefault="007208B3" w:rsidP="0061795A">
      <w:pPr>
        <w:spacing w:after="0" w:line="240" w:lineRule="auto"/>
        <w:rPr>
          <w:rFonts w:ascii="Verdana" w:eastAsia="Geomanist Light" w:hAnsi="Verdana" w:cs="Arial"/>
          <w:color w:val="000000" w:themeColor="text1"/>
          <w:lang w:val="es-MX"/>
        </w:rPr>
      </w:pPr>
    </w:p>
    <w:p w14:paraId="1772A9FD" w14:textId="77777777" w:rsidR="007208B3" w:rsidRDefault="007208B3" w:rsidP="0061795A">
      <w:pPr>
        <w:spacing w:after="0" w:line="240" w:lineRule="auto"/>
        <w:rPr>
          <w:rFonts w:ascii="Verdana" w:eastAsia="Geomanist Light" w:hAnsi="Verdana" w:cs="Arial"/>
          <w:color w:val="000000" w:themeColor="text1"/>
          <w:lang w:val="es-MX"/>
        </w:rPr>
      </w:pPr>
    </w:p>
    <w:p w14:paraId="2753393B" w14:textId="77777777" w:rsidR="007208B3" w:rsidRDefault="007208B3" w:rsidP="0061795A">
      <w:pPr>
        <w:spacing w:after="0" w:line="240" w:lineRule="auto"/>
        <w:rPr>
          <w:rFonts w:ascii="Verdana" w:eastAsia="Geomanist Light" w:hAnsi="Verdana" w:cs="Arial"/>
          <w:color w:val="000000" w:themeColor="text1"/>
          <w:lang w:val="es-MX"/>
        </w:rPr>
      </w:pPr>
    </w:p>
    <w:p w14:paraId="02B3FCB8" w14:textId="77777777" w:rsidR="007208B3" w:rsidRDefault="007208B3" w:rsidP="0061795A">
      <w:pPr>
        <w:spacing w:after="0" w:line="240" w:lineRule="auto"/>
        <w:rPr>
          <w:rFonts w:ascii="Verdana" w:eastAsia="Geomanist Light" w:hAnsi="Verdana" w:cs="Arial"/>
          <w:color w:val="000000" w:themeColor="text1"/>
          <w:lang w:val="es-MX"/>
        </w:rPr>
      </w:pPr>
    </w:p>
    <w:p w14:paraId="758FDB93" w14:textId="77777777" w:rsidR="007208B3" w:rsidRDefault="007208B3" w:rsidP="0061795A">
      <w:pPr>
        <w:spacing w:after="0" w:line="240" w:lineRule="auto"/>
        <w:rPr>
          <w:rFonts w:ascii="Verdana" w:eastAsia="Geomanist Light" w:hAnsi="Verdana" w:cs="Arial"/>
          <w:color w:val="000000" w:themeColor="text1"/>
          <w:lang w:val="es-MX"/>
        </w:rPr>
      </w:pPr>
    </w:p>
    <w:p w14:paraId="114A4CE7" w14:textId="77777777" w:rsidR="007208B3" w:rsidRDefault="007208B3" w:rsidP="0061795A">
      <w:pPr>
        <w:spacing w:after="0" w:line="240" w:lineRule="auto"/>
        <w:rPr>
          <w:rFonts w:ascii="Verdana" w:eastAsia="Geomanist Light" w:hAnsi="Verdana" w:cs="Arial"/>
          <w:color w:val="000000" w:themeColor="text1"/>
          <w:lang w:val="es-MX"/>
        </w:rPr>
      </w:pPr>
    </w:p>
    <w:p w14:paraId="25D4CA0F" w14:textId="77777777" w:rsidR="007208B3" w:rsidRDefault="007208B3" w:rsidP="0061795A">
      <w:pPr>
        <w:spacing w:after="0" w:line="240" w:lineRule="auto"/>
        <w:rPr>
          <w:rFonts w:ascii="Verdana" w:eastAsia="Geomanist Light" w:hAnsi="Verdana" w:cs="Arial"/>
          <w:color w:val="000000" w:themeColor="text1"/>
          <w:lang w:val="es-MX"/>
        </w:rPr>
      </w:pPr>
    </w:p>
    <w:p w14:paraId="2E8D4DEE" w14:textId="77777777" w:rsidR="007208B3" w:rsidRDefault="007208B3" w:rsidP="0061795A">
      <w:pPr>
        <w:spacing w:after="0" w:line="240" w:lineRule="auto"/>
        <w:rPr>
          <w:rFonts w:ascii="Verdana" w:eastAsia="Geomanist Light" w:hAnsi="Verdana" w:cs="Arial"/>
          <w:color w:val="000000" w:themeColor="text1"/>
          <w:lang w:val="es-MX"/>
        </w:rPr>
      </w:pPr>
    </w:p>
    <w:p w14:paraId="7EA820D6" w14:textId="77777777" w:rsidR="007208B3" w:rsidRDefault="007208B3" w:rsidP="0061795A">
      <w:pPr>
        <w:spacing w:after="0" w:line="240" w:lineRule="auto"/>
        <w:rPr>
          <w:rFonts w:ascii="Verdana" w:eastAsia="Geomanist Light" w:hAnsi="Verdana" w:cs="Arial"/>
          <w:color w:val="000000" w:themeColor="text1"/>
          <w:lang w:val="es-MX"/>
        </w:rPr>
      </w:pPr>
    </w:p>
    <w:p w14:paraId="194D89FB" w14:textId="77777777" w:rsidR="007208B3" w:rsidRDefault="007208B3" w:rsidP="0061795A">
      <w:pPr>
        <w:spacing w:after="0" w:line="240" w:lineRule="auto"/>
        <w:rPr>
          <w:rFonts w:ascii="Verdana" w:eastAsia="Geomanist Light" w:hAnsi="Verdana" w:cs="Arial"/>
          <w:color w:val="000000" w:themeColor="text1"/>
          <w:lang w:val="es-MX"/>
        </w:rPr>
      </w:pPr>
    </w:p>
    <w:p w14:paraId="4652F194" w14:textId="77777777" w:rsidR="007208B3" w:rsidRDefault="007208B3" w:rsidP="0061795A">
      <w:pPr>
        <w:spacing w:after="0" w:line="240" w:lineRule="auto"/>
        <w:rPr>
          <w:rFonts w:ascii="Verdana" w:eastAsia="Geomanist Light" w:hAnsi="Verdana" w:cs="Arial"/>
          <w:color w:val="000000" w:themeColor="text1"/>
          <w:lang w:val="es-MX"/>
        </w:rPr>
      </w:pPr>
    </w:p>
    <w:p w14:paraId="695BCDDA" w14:textId="77777777" w:rsidR="007208B3" w:rsidRDefault="007208B3" w:rsidP="0061795A">
      <w:pPr>
        <w:spacing w:after="0" w:line="240" w:lineRule="auto"/>
        <w:rPr>
          <w:rFonts w:ascii="Verdana" w:eastAsia="Geomanist Light" w:hAnsi="Verdana" w:cs="Arial"/>
          <w:color w:val="000000" w:themeColor="text1"/>
          <w:lang w:val="es-MX"/>
        </w:rPr>
      </w:pPr>
    </w:p>
    <w:p w14:paraId="3362BBA9" w14:textId="77777777" w:rsidR="007208B3" w:rsidRDefault="007208B3" w:rsidP="0061795A">
      <w:pPr>
        <w:spacing w:after="0" w:line="240" w:lineRule="auto"/>
        <w:rPr>
          <w:rFonts w:ascii="Verdana" w:eastAsia="Geomanist Light" w:hAnsi="Verdana" w:cs="Arial"/>
          <w:color w:val="000000" w:themeColor="text1"/>
          <w:lang w:val="es-MX"/>
        </w:rPr>
      </w:pPr>
    </w:p>
    <w:p w14:paraId="62A96451" w14:textId="77777777" w:rsidR="007208B3" w:rsidRDefault="007208B3" w:rsidP="0061795A">
      <w:pPr>
        <w:spacing w:after="0" w:line="240" w:lineRule="auto"/>
        <w:rPr>
          <w:rFonts w:ascii="Verdana" w:eastAsia="Geomanist Light" w:hAnsi="Verdana" w:cs="Arial"/>
          <w:color w:val="000000" w:themeColor="text1"/>
          <w:lang w:val="es-MX"/>
        </w:rPr>
      </w:pPr>
    </w:p>
    <w:p w14:paraId="4DDF4918" w14:textId="77777777" w:rsidR="007208B3" w:rsidRDefault="007208B3" w:rsidP="0061795A">
      <w:pPr>
        <w:spacing w:after="0" w:line="240" w:lineRule="auto"/>
        <w:rPr>
          <w:rFonts w:ascii="Verdana" w:eastAsia="Geomanist Light" w:hAnsi="Verdana" w:cs="Arial"/>
          <w:color w:val="000000" w:themeColor="text1"/>
          <w:lang w:val="es-MX"/>
        </w:rPr>
      </w:pPr>
    </w:p>
    <w:p w14:paraId="5656ADF2" w14:textId="77777777" w:rsidR="007208B3" w:rsidRDefault="007208B3" w:rsidP="0061795A">
      <w:pPr>
        <w:spacing w:after="0" w:line="240" w:lineRule="auto"/>
        <w:rPr>
          <w:rFonts w:ascii="Verdana" w:eastAsia="Geomanist Light" w:hAnsi="Verdana" w:cs="Arial"/>
          <w:color w:val="000000" w:themeColor="text1"/>
          <w:lang w:val="es-MX"/>
        </w:rPr>
      </w:pPr>
    </w:p>
    <w:p w14:paraId="23BC7D44" w14:textId="77777777" w:rsidR="007208B3" w:rsidRDefault="007208B3" w:rsidP="0061795A">
      <w:pPr>
        <w:spacing w:after="0" w:line="240" w:lineRule="auto"/>
        <w:rPr>
          <w:rFonts w:ascii="Verdana" w:eastAsia="Geomanist Light" w:hAnsi="Verdana" w:cs="Arial"/>
          <w:color w:val="000000" w:themeColor="text1"/>
          <w:lang w:val="es-MX"/>
        </w:rPr>
      </w:pPr>
    </w:p>
    <w:p w14:paraId="562CC539" w14:textId="77777777" w:rsidR="007208B3" w:rsidRDefault="007208B3" w:rsidP="0061795A">
      <w:pPr>
        <w:spacing w:after="0" w:line="240" w:lineRule="auto"/>
        <w:rPr>
          <w:rFonts w:ascii="Verdana" w:eastAsia="Geomanist Light" w:hAnsi="Verdana" w:cs="Arial"/>
          <w:color w:val="000000" w:themeColor="text1"/>
          <w:lang w:val="es-MX"/>
        </w:rPr>
      </w:pPr>
    </w:p>
    <w:p w14:paraId="5028CF9A" w14:textId="77777777" w:rsidR="007208B3" w:rsidRDefault="007208B3" w:rsidP="0061795A">
      <w:pPr>
        <w:spacing w:after="0" w:line="240" w:lineRule="auto"/>
        <w:rPr>
          <w:rFonts w:ascii="Verdana" w:eastAsia="Geomanist Light" w:hAnsi="Verdana" w:cs="Arial"/>
          <w:color w:val="000000" w:themeColor="text1"/>
          <w:lang w:val="es-MX"/>
        </w:rPr>
      </w:pPr>
    </w:p>
    <w:p w14:paraId="4C946417" w14:textId="77777777" w:rsidR="007208B3" w:rsidRDefault="007208B3" w:rsidP="0061795A">
      <w:pPr>
        <w:spacing w:after="0" w:line="240" w:lineRule="auto"/>
        <w:rPr>
          <w:rFonts w:ascii="Verdana" w:eastAsia="Geomanist Light" w:hAnsi="Verdana" w:cs="Arial"/>
          <w:color w:val="000000" w:themeColor="text1"/>
          <w:lang w:val="es-MX"/>
        </w:rPr>
      </w:pPr>
    </w:p>
    <w:p w14:paraId="2633E91D" w14:textId="77777777" w:rsidR="007208B3" w:rsidRDefault="007208B3" w:rsidP="0061795A">
      <w:pPr>
        <w:spacing w:after="0" w:line="240" w:lineRule="auto"/>
        <w:rPr>
          <w:rFonts w:ascii="Verdana" w:eastAsia="Geomanist Light" w:hAnsi="Verdana" w:cs="Arial"/>
          <w:color w:val="000000" w:themeColor="text1"/>
          <w:lang w:val="es-MX"/>
        </w:rPr>
      </w:pPr>
    </w:p>
    <w:p w14:paraId="231DB71F" w14:textId="77777777" w:rsidR="007208B3" w:rsidRDefault="007208B3" w:rsidP="0061795A">
      <w:pPr>
        <w:spacing w:after="0" w:line="240" w:lineRule="auto"/>
        <w:rPr>
          <w:rFonts w:ascii="Verdana" w:eastAsia="Geomanist Light" w:hAnsi="Verdana" w:cs="Arial"/>
          <w:color w:val="000000" w:themeColor="text1"/>
          <w:lang w:val="es-MX"/>
        </w:rPr>
      </w:pPr>
    </w:p>
    <w:p w14:paraId="13E6926E" w14:textId="77777777" w:rsidR="007208B3" w:rsidRDefault="007208B3" w:rsidP="0061795A">
      <w:pPr>
        <w:spacing w:after="0" w:line="240" w:lineRule="auto"/>
        <w:rPr>
          <w:rFonts w:ascii="Verdana" w:eastAsia="Geomanist Light" w:hAnsi="Verdana" w:cs="Arial"/>
          <w:color w:val="000000" w:themeColor="text1"/>
          <w:lang w:val="es-MX"/>
        </w:rPr>
      </w:pPr>
    </w:p>
    <w:p w14:paraId="15ABDF83" w14:textId="77777777" w:rsidR="007208B3" w:rsidRDefault="007208B3" w:rsidP="0061795A">
      <w:pPr>
        <w:spacing w:after="0" w:line="240" w:lineRule="auto"/>
        <w:rPr>
          <w:rFonts w:ascii="Verdana" w:eastAsia="Geomanist Light" w:hAnsi="Verdana" w:cs="Arial"/>
          <w:color w:val="000000" w:themeColor="text1"/>
          <w:lang w:val="es-MX"/>
        </w:rPr>
      </w:pPr>
    </w:p>
    <w:p w14:paraId="0C65C5D1" w14:textId="77777777" w:rsidR="007208B3" w:rsidRDefault="007208B3" w:rsidP="0061795A">
      <w:pPr>
        <w:spacing w:after="0" w:line="240" w:lineRule="auto"/>
        <w:rPr>
          <w:rFonts w:ascii="Verdana" w:eastAsia="Geomanist Light" w:hAnsi="Verdana" w:cs="Arial"/>
          <w:color w:val="000000" w:themeColor="text1"/>
          <w:lang w:val="es-MX"/>
        </w:rPr>
      </w:pPr>
    </w:p>
    <w:p w14:paraId="5A481513" w14:textId="77777777" w:rsidR="007208B3" w:rsidRDefault="007208B3" w:rsidP="0061795A">
      <w:pPr>
        <w:spacing w:after="0" w:line="240" w:lineRule="auto"/>
        <w:rPr>
          <w:rFonts w:ascii="Verdana" w:eastAsia="Geomanist Light" w:hAnsi="Verdana" w:cs="Arial"/>
          <w:color w:val="000000" w:themeColor="text1"/>
          <w:lang w:val="es-MX"/>
        </w:rPr>
      </w:pPr>
    </w:p>
    <w:p w14:paraId="0AD26125" w14:textId="77777777" w:rsidR="007208B3" w:rsidRDefault="007208B3" w:rsidP="0061795A">
      <w:pPr>
        <w:spacing w:after="0" w:line="240" w:lineRule="auto"/>
        <w:rPr>
          <w:rFonts w:ascii="Verdana" w:eastAsia="Geomanist Light" w:hAnsi="Verdana" w:cs="Arial"/>
          <w:color w:val="000000" w:themeColor="text1"/>
          <w:lang w:val="es-MX"/>
        </w:rPr>
      </w:pPr>
    </w:p>
    <w:p w14:paraId="572E6844" w14:textId="77777777" w:rsidR="007208B3" w:rsidRDefault="007208B3" w:rsidP="0061795A">
      <w:pPr>
        <w:spacing w:after="0" w:line="240" w:lineRule="auto"/>
        <w:rPr>
          <w:rFonts w:ascii="Verdana" w:eastAsia="Geomanist Light" w:hAnsi="Verdana" w:cs="Arial"/>
          <w:color w:val="000000" w:themeColor="text1"/>
          <w:lang w:val="es-MX"/>
        </w:rPr>
      </w:pPr>
    </w:p>
    <w:p w14:paraId="2B8777EE" w14:textId="77777777" w:rsidR="007208B3" w:rsidRDefault="007208B3" w:rsidP="0061795A">
      <w:pPr>
        <w:spacing w:after="0" w:line="240" w:lineRule="auto"/>
        <w:rPr>
          <w:rFonts w:ascii="Verdana" w:eastAsia="Geomanist Light" w:hAnsi="Verdana" w:cs="Arial"/>
          <w:color w:val="000000" w:themeColor="text1"/>
          <w:lang w:val="es-MX"/>
        </w:rPr>
      </w:pPr>
    </w:p>
    <w:p w14:paraId="25462427" w14:textId="77777777" w:rsidR="007208B3" w:rsidRDefault="007208B3" w:rsidP="0061795A">
      <w:pPr>
        <w:spacing w:after="0" w:line="240" w:lineRule="auto"/>
        <w:rPr>
          <w:rFonts w:ascii="Verdana" w:eastAsia="Geomanist Light" w:hAnsi="Verdana" w:cs="Arial"/>
          <w:color w:val="000000" w:themeColor="text1"/>
          <w:lang w:val="es-MX"/>
        </w:rPr>
      </w:pPr>
    </w:p>
    <w:p w14:paraId="1AF9454E" w14:textId="77777777" w:rsidR="007208B3" w:rsidRDefault="007208B3" w:rsidP="0061795A">
      <w:pPr>
        <w:spacing w:after="0" w:line="240" w:lineRule="auto"/>
        <w:rPr>
          <w:rFonts w:ascii="Verdana" w:eastAsia="Geomanist Light" w:hAnsi="Verdana" w:cs="Arial"/>
          <w:color w:val="000000" w:themeColor="text1"/>
          <w:lang w:val="es-MX"/>
        </w:rPr>
      </w:pPr>
    </w:p>
    <w:p w14:paraId="43D7D06C" w14:textId="77777777" w:rsidR="007208B3" w:rsidRDefault="007208B3" w:rsidP="0061795A">
      <w:pPr>
        <w:spacing w:after="0" w:line="240" w:lineRule="auto"/>
        <w:rPr>
          <w:rFonts w:ascii="Verdana" w:eastAsia="Geomanist Light" w:hAnsi="Verdana" w:cs="Arial"/>
          <w:color w:val="000000" w:themeColor="text1"/>
          <w:lang w:val="es-MX"/>
        </w:rPr>
      </w:pPr>
    </w:p>
    <w:p w14:paraId="0D16BE07" w14:textId="77777777" w:rsidR="007208B3" w:rsidRDefault="007208B3" w:rsidP="0061795A">
      <w:pPr>
        <w:spacing w:after="0" w:line="240" w:lineRule="auto"/>
        <w:rPr>
          <w:rFonts w:ascii="Verdana" w:eastAsia="Geomanist Light" w:hAnsi="Verdana" w:cs="Arial"/>
          <w:color w:val="000000" w:themeColor="text1"/>
          <w:lang w:val="es-MX"/>
        </w:rPr>
      </w:pPr>
    </w:p>
    <w:p w14:paraId="4AF2D367" w14:textId="77777777" w:rsidR="007208B3" w:rsidRDefault="007208B3" w:rsidP="0061795A">
      <w:pPr>
        <w:spacing w:after="0" w:line="240" w:lineRule="auto"/>
        <w:rPr>
          <w:rFonts w:ascii="Verdana" w:eastAsia="Geomanist Light" w:hAnsi="Verdana" w:cs="Arial"/>
          <w:color w:val="000000" w:themeColor="text1"/>
          <w:lang w:val="es-MX"/>
        </w:rPr>
      </w:pPr>
    </w:p>
    <w:p w14:paraId="35AFC279" w14:textId="77777777" w:rsidR="007208B3" w:rsidRDefault="007208B3" w:rsidP="0061795A">
      <w:pPr>
        <w:spacing w:after="0" w:line="240" w:lineRule="auto"/>
        <w:rPr>
          <w:rFonts w:ascii="Verdana" w:eastAsia="Geomanist Light" w:hAnsi="Verdana" w:cs="Arial"/>
          <w:color w:val="000000" w:themeColor="text1"/>
          <w:lang w:val="es-MX"/>
        </w:rPr>
      </w:pPr>
    </w:p>
    <w:p w14:paraId="3494B40B" w14:textId="77777777" w:rsidR="007208B3" w:rsidRDefault="007208B3" w:rsidP="0061795A">
      <w:pPr>
        <w:spacing w:after="0" w:line="240" w:lineRule="auto"/>
        <w:rPr>
          <w:rFonts w:ascii="Verdana" w:eastAsia="Geomanist Light" w:hAnsi="Verdana" w:cs="Arial"/>
          <w:color w:val="000000" w:themeColor="text1"/>
          <w:lang w:val="es-MX"/>
        </w:rPr>
      </w:pPr>
    </w:p>
    <w:p w14:paraId="60324B23" w14:textId="32C46CF5" w:rsidR="0061795A" w:rsidRPr="002C6323" w:rsidRDefault="0061795A" w:rsidP="0061795A">
      <w:pPr>
        <w:spacing w:after="0" w:line="240" w:lineRule="auto"/>
        <w:rPr>
          <w:rFonts w:ascii="Verdana" w:eastAsia="Geomanist Light" w:hAnsi="Verdana" w:cs="Arial"/>
          <w:color w:val="201F1E"/>
          <w:lang w:val="es-MX"/>
        </w:rPr>
      </w:pPr>
      <w:r w:rsidRPr="002C6323">
        <w:rPr>
          <w:rFonts w:ascii="Verdana" w:eastAsia="Geomanist Light" w:hAnsi="Verdana" w:cs="Arial"/>
          <w:color w:val="000000" w:themeColor="text1"/>
          <w:lang w:val="es-MX"/>
        </w:rPr>
        <w:lastRenderedPageBreak/>
        <w:t>Bogotá D.C., </w:t>
      </w:r>
      <w:r w:rsidR="00EF6980" w:rsidRPr="00EF6980">
        <w:rPr>
          <w:rFonts w:ascii="Verdana" w:eastAsia="Geomanist Light" w:hAnsi="Verdana" w:cs="Arial"/>
          <w:color w:val="201F1E"/>
          <w:lang w:val="es-MX"/>
        </w:rPr>
        <w:t>02 de Septiembre de 2024</w:t>
      </w:r>
    </w:p>
    <w:p w14:paraId="04796C77" w14:textId="77777777" w:rsidR="0061795A" w:rsidRDefault="0061795A" w:rsidP="0061795A">
      <w:pPr>
        <w:spacing w:after="0" w:line="240" w:lineRule="auto"/>
        <w:jc w:val="both"/>
        <w:rPr>
          <w:rFonts w:ascii="Verdana" w:eastAsia="Calibri" w:hAnsi="Verdana" w:cs="Arial"/>
          <w:color w:val="000000"/>
          <w:lang w:val="es-ES"/>
        </w:rPr>
      </w:pPr>
    </w:p>
    <w:p w14:paraId="23072D0E" w14:textId="57F8747D" w:rsidR="00EF6980" w:rsidRPr="002C6323" w:rsidRDefault="00EF6980" w:rsidP="00EF6980">
      <w:pPr>
        <w:spacing w:after="0" w:line="240" w:lineRule="auto"/>
        <w:jc w:val="right"/>
        <w:rPr>
          <w:rFonts w:ascii="Verdana" w:eastAsia="Calibri" w:hAnsi="Verdana" w:cs="Arial"/>
          <w:color w:val="000000"/>
          <w:lang w:val="es-ES"/>
        </w:rPr>
      </w:pPr>
      <w:r w:rsidRPr="00EF6980">
        <w:rPr>
          <w:rFonts w:ascii="Verdana" w:eastAsia="Calibri" w:hAnsi="Verdana" w:cs="Arial"/>
          <w:noProof/>
          <w:color w:val="000000"/>
          <w:lang w:val="es-ES"/>
        </w:rPr>
        <w:drawing>
          <wp:inline distT="0" distB="0" distL="0" distR="0" wp14:anchorId="7199BFC4" wp14:editId="325EB2AC">
            <wp:extent cx="3238500" cy="901700"/>
            <wp:effectExtent l="0" t="0" r="0" b="0"/>
            <wp:docPr id="612227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2754" name=""/>
                    <pic:cNvPicPr/>
                  </pic:nvPicPr>
                  <pic:blipFill>
                    <a:blip r:embed="rId10"/>
                    <a:stretch>
                      <a:fillRect/>
                    </a:stretch>
                  </pic:blipFill>
                  <pic:spPr>
                    <a:xfrm>
                      <a:off x="0" y="0"/>
                      <a:ext cx="3238500" cy="901700"/>
                    </a:xfrm>
                    <a:prstGeom prst="rect">
                      <a:avLst/>
                    </a:prstGeom>
                  </pic:spPr>
                </pic:pic>
              </a:graphicData>
            </a:graphic>
          </wp:inline>
        </w:drawing>
      </w:r>
    </w:p>
    <w:p w14:paraId="4142C72E" w14:textId="77777777" w:rsidR="0061795A" w:rsidRPr="002C6323" w:rsidRDefault="0061795A" w:rsidP="0061795A">
      <w:pPr>
        <w:spacing w:after="0" w:line="240" w:lineRule="auto"/>
        <w:jc w:val="both"/>
        <w:rPr>
          <w:rFonts w:ascii="Verdana" w:eastAsia="Calibri" w:hAnsi="Verdana" w:cs="Arial"/>
          <w:color w:val="000000"/>
          <w:lang w:val="es-ES"/>
        </w:rPr>
      </w:pPr>
    </w:p>
    <w:p w14:paraId="39E00129" w14:textId="77777777" w:rsidR="0061795A" w:rsidRPr="002C6323" w:rsidRDefault="0061795A" w:rsidP="0061795A">
      <w:pPr>
        <w:spacing w:after="0" w:line="240" w:lineRule="auto"/>
        <w:jc w:val="both"/>
        <w:rPr>
          <w:rFonts w:ascii="Verdana" w:eastAsia="Calibri" w:hAnsi="Verdana" w:cs="Arial"/>
          <w:lang w:val="es-ES" w:eastAsia="es-ES"/>
        </w:rPr>
      </w:pPr>
      <w:r w:rsidRPr="002C6323">
        <w:rPr>
          <w:rFonts w:ascii="Verdana" w:eastAsia="Calibri" w:hAnsi="Verdana" w:cs="Arial"/>
          <w:lang w:val="es-ES" w:eastAsia="es-ES"/>
        </w:rPr>
        <w:t>Señor</w:t>
      </w:r>
    </w:p>
    <w:p w14:paraId="61994661" w14:textId="77777777" w:rsidR="0061795A" w:rsidRPr="002C6323" w:rsidRDefault="0061795A" w:rsidP="0061795A">
      <w:pPr>
        <w:spacing w:after="0" w:line="240" w:lineRule="auto"/>
        <w:rPr>
          <w:rFonts w:ascii="Verdana" w:eastAsia="Calibri" w:hAnsi="Verdana" w:cs="Arial"/>
          <w:b/>
          <w:lang w:val="es-ES_tradnl" w:eastAsia="es-ES_tradnl"/>
        </w:rPr>
      </w:pPr>
      <w:r w:rsidRPr="002C6323">
        <w:rPr>
          <w:rFonts w:ascii="Verdana" w:eastAsia="Calibri" w:hAnsi="Verdana" w:cs="Arial"/>
          <w:b/>
          <w:lang w:val="es-ES_tradnl" w:eastAsia="es-ES_tradnl"/>
        </w:rPr>
        <w:t>Felipe Heras Montes</w:t>
      </w:r>
    </w:p>
    <w:p w14:paraId="502DD1D3" w14:textId="77777777" w:rsidR="0061795A" w:rsidRPr="002C6323" w:rsidRDefault="00000000" w:rsidP="0061795A">
      <w:pPr>
        <w:spacing w:after="0" w:line="240" w:lineRule="auto"/>
        <w:rPr>
          <w:rFonts w:ascii="Verdana" w:eastAsia="Calibri" w:hAnsi="Verdana" w:cs="Arial"/>
          <w:lang w:val="es-ES" w:eastAsia="es-ES"/>
        </w:rPr>
      </w:pPr>
      <w:hyperlink r:id="rId11" w:history="1">
        <w:r w:rsidR="0061795A" w:rsidRPr="002C6323">
          <w:rPr>
            <w:rStyle w:val="Hipervnculo"/>
            <w:rFonts w:ascii="Verdana" w:hAnsi="Verdana"/>
          </w:rPr>
          <w:t>herasnotificaciones@gmail.com</w:t>
        </w:r>
      </w:hyperlink>
      <w:r w:rsidR="0061795A" w:rsidRPr="002C6323">
        <w:rPr>
          <w:rFonts w:ascii="Verdana" w:eastAsia="Calibri" w:hAnsi="Verdana" w:cs="Arial"/>
          <w:lang w:val="es-ES" w:eastAsia="es-ES"/>
        </w:rPr>
        <w:t xml:space="preserve">   </w:t>
      </w:r>
    </w:p>
    <w:p w14:paraId="08D77CA6" w14:textId="77777777" w:rsidR="0061795A" w:rsidRPr="002C6323" w:rsidRDefault="0061795A" w:rsidP="0061795A">
      <w:pPr>
        <w:spacing w:after="0" w:line="240" w:lineRule="auto"/>
        <w:rPr>
          <w:rFonts w:ascii="Verdana" w:eastAsia="Calibri" w:hAnsi="Verdana" w:cs="Arial"/>
          <w:lang w:val="es-ES" w:eastAsia="es-ES"/>
        </w:rPr>
      </w:pPr>
      <w:r w:rsidRPr="002C6323">
        <w:rPr>
          <w:rFonts w:ascii="Verdana" w:eastAsia="Calibri" w:hAnsi="Verdana" w:cs="Arial"/>
          <w:lang w:val="es-ES" w:eastAsia="es-ES"/>
        </w:rPr>
        <w:t xml:space="preserve">Barranquilla, Atlántico </w:t>
      </w:r>
    </w:p>
    <w:p w14:paraId="4DD59C7C" w14:textId="77777777" w:rsidR="0061795A" w:rsidRPr="002C6323" w:rsidRDefault="0061795A" w:rsidP="0061795A">
      <w:pPr>
        <w:spacing w:after="0" w:line="240" w:lineRule="auto"/>
        <w:rPr>
          <w:rFonts w:ascii="Verdana" w:eastAsia="Calibri" w:hAnsi="Verdana" w:cs="Arial"/>
          <w:b/>
          <w:bCs/>
          <w:color w:val="000000"/>
          <w:lang w:val="es-ES_tradnl" w:eastAsia="es-ES_tradnl"/>
        </w:rPr>
      </w:pPr>
    </w:p>
    <w:p w14:paraId="16E11305" w14:textId="77777777" w:rsidR="0061795A" w:rsidRPr="002C6323" w:rsidRDefault="0061795A" w:rsidP="0061795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1795A" w:rsidRPr="002C6323" w14:paraId="186034BF" w14:textId="77777777" w:rsidTr="004002F5">
        <w:trPr>
          <w:trHeight w:val="884"/>
        </w:trPr>
        <w:tc>
          <w:tcPr>
            <w:tcW w:w="2689" w:type="dxa"/>
          </w:tcPr>
          <w:p w14:paraId="53A375B7" w14:textId="77777777" w:rsidR="0061795A" w:rsidRPr="002C6323" w:rsidRDefault="0061795A" w:rsidP="004002F5">
            <w:pPr>
              <w:jc w:val="both"/>
              <w:rPr>
                <w:rFonts w:ascii="Verdana" w:eastAsia="Calibri" w:hAnsi="Verdana" w:cs="Arial"/>
                <w:b/>
                <w:bCs/>
                <w:color w:val="7030A0"/>
                <w:lang w:val="es-ES_tradnl" w:eastAsia="es-ES_tradnl"/>
              </w:rPr>
            </w:pPr>
          </w:p>
        </w:tc>
        <w:tc>
          <w:tcPr>
            <w:tcW w:w="6100" w:type="dxa"/>
          </w:tcPr>
          <w:p w14:paraId="40E7D196" w14:textId="77777777" w:rsidR="0061795A" w:rsidRPr="002C6323" w:rsidRDefault="0061795A" w:rsidP="004002F5">
            <w:pPr>
              <w:jc w:val="both"/>
              <w:rPr>
                <w:rFonts w:ascii="Verdana" w:eastAsia="Calibri" w:hAnsi="Verdana" w:cs="Arial"/>
                <w:b/>
                <w:bCs/>
                <w:color w:val="7030A0"/>
                <w:lang w:val="es-ES" w:eastAsia="es-ES"/>
              </w:rPr>
            </w:pPr>
            <w:r w:rsidRPr="002C6323">
              <w:rPr>
                <w:rFonts w:ascii="Verdana" w:eastAsia="Calibri" w:hAnsi="Verdana" w:cs="Arial"/>
                <w:b/>
                <w:bCs/>
                <w:lang w:val="es-ES" w:eastAsia="es-ES"/>
              </w:rPr>
              <w:t>Concepto C – 364 de 2024</w:t>
            </w:r>
          </w:p>
        </w:tc>
      </w:tr>
      <w:tr w:rsidR="0061795A" w:rsidRPr="002C6323" w14:paraId="34C5821A" w14:textId="77777777" w:rsidTr="004002F5">
        <w:trPr>
          <w:trHeight w:val="884"/>
        </w:trPr>
        <w:tc>
          <w:tcPr>
            <w:tcW w:w="2689" w:type="dxa"/>
          </w:tcPr>
          <w:p w14:paraId="3DD44147" w14:textId="77777777" w:rsidR="0061795A" w:rsidRPr="002C6323" w:rsidRDefault="0061795A" w:rsidP="004002F5">
            <w:pPr>
              <w:jc w:val="both"/>
              <w:rPr>
                <w:rFonts w:ascii="Verdana" w:eastAsia="Calibri" w:hAnsi="Verdana" w:cs="Arial"/>
                <w:color w:val="000000"/>
                <w:lang w:val="es-ES_tradnl" w:eastAsia="es-ES_tradnl"/>
              </w:rPr>
            </w:pPr>
            <w:r w:rsidRPr="002C6323">
              <w:rPr>
                <w:rFonts w:ascii="Verdana" w:eastAsia="Calibri" w:hAnsi="Verdana" w:cs="Arial"/>
                <w:b/>
                <w:color w:val="000000"/>
                <w:lang w:val="es-ES_tradnl" w:eastAsia="es-ES_tradnl"/>
              </w:rPr>
              <w:t>Temas:</w:t>
            </w:r>
            <w:r w:rsidRPr="002C6323">
              <w:rPr>
                <w:rFonts w:ascii="Verdana" w:eastAsia="Calibri" w:hAnsi="Verdana" w:cs="Arial"/>
                <w:color w:val="000000"/>
                <w:lang w:val="es-ES_tradnl" w:eastAsia="es-ES_tradnl"/>
              </w:rPr>
              <w:t xml:space="preserve">                   </w:t>
            </w:r>
          </w:p>
        </w:tc>
        <w:tc>
          <w:tcPr>
            <w:tcW w:w="6100" w:type="dxa"/>
          </w:tcPr>
          <w:p w14:paraId="12D91BFC" w14:textId="77777777" w:rsidR="0061795A" w:rsidRPr="002C6323" w:rsidRDefault="0061795A" w:rsidP="004002F5">
            <w:pPr>
              <w:spacing w:line="276" w:lineRule="auto"/>
              <w:jc w:val="both"/>
              <w:rPr>
                <w:rFonts w:ascii="Verdana" w:eastAsia="Calibri" w:hAnsi="Verdana" w:cs="Arial"/>
                <w:lang w:val="es-ES" w:eastAsia="es-ES"/>
              </w:rPr>
            </w:pPr>
            <w:r w:rsidRPr="002C6323">
              <w:rPr>
                <w:rFonts w:ascii="Verdana" w:eastAsia="Calibri" w:hAnsi="Verdana" w:cs="Arial"/>
                <w:lang w:val="es-ES" w:eastAsia="es-ES"/>
              </w:rPr>
              <w:t xml:space="preserve">CONTRATO DE OBRA PÚBLICA – Concepto – Sentido restringido / RÉGIMEN CONTRACTUAL – Obra pública – No depende de la nominación de las partes / INTERVENTORÍA CONTRACTUAL – Obligatoriedad – Normatividad especial  </w:t>
            </w:r>
          </w:p>
          <w:p w14:paraId="2E134832" w14:textId="77777777" w:rsidR="0061795A" w:rsidRPr="002C6323" w:rsidRDefault="0061795A" w:rsidP="004002F5">
            <w:pPr>
              <w:spacing w:line="276" w:lineRule="auto"/>
              <w:jc w:val="both"/>
              <w:rPr>
                <w:rFonts w:ascii="Verdana" w:eastAsia="Calibri" w:hAnsi="Verdana" w:cs="Arial"/>
                <w:lang w:val="es-ES" w:eastAsia="es-ES"/>
              </w:rPr>
            </w:pPr>
            <w:r w:rsidRPr="002C6323">
              <w:rPr>
                <w:rFonts w:ascii="Verdana" w:eastAsia="Calibri" w:hAnsi="Verdana" w:cs="Arial"/>
                <w:lang w:val="es-ES" w:eastAsia="es-ES"/>
              </w:rPr>
              <w:t xml:space="preserve">  </w:t>
            </w:r>
          </w:p>
        </w:tc>
      </w:tr>
      <w:tr w:rsidR="0061795A" w:rsidRPr="002C6323" w14:paraId="1335494D" w14:textId="77777777" w:rsidTr="004002F5">
        <w:tc>
          <w:tcPr>
            <w:tcW w:w="2689" w:type="dxa"/>
          </w:tcPr>
          <w:p w14:paraId="181CF46B" w14:textId="77777777" w:rsidR="0061795A" w:rsidRPr="002C6323" w:rsidRDefault="0061795A" w:rsidP="004002F5">
            <w:pPr>
              <w:jc w:val="both"/>
              <w:rPr>
                <w:rFonts w:ascii="Verdana" w:eastAsia="Calibri" w:hAnsi="Verdana" w:cs="Arial"/>
                <w:b/>
                <w:lang w:val="es-ES_tradnl" w:eastAsia="es-ES_tradnl"/>
              </w:rPr>
            </w:pPr>
            <w:r w:rsidRPr="002C6323">
              <w:rPr>
                <w:rFonts w:ascii="Verdana" w:eastAsia="Calibri" w:hAnsi="Verdana" w:cs="Arial"/>
                <w:b/>
                <w:lang w:val="es-ES_tradnl" w:eastAsia="es-ES_tradnl"/>
              </w:rPr>
              <w:t>Radicación:</w:t>
            </w:r>
            <w:r w:rsidRPr="002C6323">
              <w:rPr>
                <w:rFonts w:ascii="Verdana" w:eastAsia="Calibri" w:hAnsi="Verdana" w:cs="Arial"/>
                <w:lang w:val="es-ES_tradnl" w:eastAsia="es-ES_tradnl"/>
              </w:rPr>
              <w:t xml:space="preserve">               </w:t>
            </w:r>
          </w:p>
        </w:tc>
        <w:tc>
          <w:tcPr>
            <w:tcW w:w="6100" w:type="dxa"/>
          </w:tcPr>
          <w:p w14:paraId="29D95F99" w14:textId="77777777" w:rsidR="0061795A" w:rsidRPr="002C6323" w:rsidRDefault="0061795A" w:rsidP="004002F5">
            <w:pPr>
              <w:jc w:val="both"/>
              <w:rPr>
                <w:rFonts w:ascii="Verdana" w:eastAsia="Calibri" w:hAnsi="Verdana" w:cs="Arial"/>
                <w:lang w:eastAsia="es-ES_tradnl"/>
              </w:rPr>
            </w:pPr>
            <w:r w:rsidRPr="002C6323">
              <w:rPr>
                <w:rFonts w:ascii="Verdana" w:eastAsia="Calibri" w:hAnsi="Verdana" w:cs="Arial"/>
                <w:lang w:val="es-ES_tradnl" w:eastAsia="es-ES_tradnl"/>
              </w:rPr>
              <w:t xml:space="preserve">Respuesta a consulta con radicado No. P20240718007375                                    </w:t>
            </w:r>
          </w:p>
        </w:tc>
      </w:tr>
    </w:tbl>
    <w:p w14:paraId="7E49C4D8" w14:textId="77777777" w:rsidR="0061795A" w:rsidRPr="002C6323" w:rsidRDefault="0061795A" w:rsidP="0061795A">
      <w:pPr>
        <w:spacing w:after="0" w:line="240" w:lineRule="auto"/>
        <w:jc w:val="both"/>
        <w:rPr>
          <w:rFonts w:ascii="Verdana" w:eastAsia="Calibri" w:hAnsi="Verdana" w:cs="Arial"/>
          <w:color w:val="000000"/>
          <w:lang w:val="es-ES_tradnl" w:eastAsia="es-ES_tradnl"/>
        </w:rPr>
      </w:pPr>
    </w:p>
    <w:p w14:paraId="6F11834F" w14:textId="77777777" w:rsidR="0061795A" w:rsidRPr="002C6323" w:rsidRDefault="0061795A" w:rsidP="0061795A">
      <w:pPr>
        <w:spacing w:after="0" w:line="240" w:lineRule="auto"/>
        <w:jc w:val="both"/>
        <w:rPr>
          <w:rFonts w:ascii="Verdana" w:eastAsia="Calibri" w:hAnsi="Verdana" w:cs="Arial"/>
          <w:color w:val="000000"/>
          <w:lang w:val="es-ES_tradnl" w:eastAsia="es-ES_tradnl"/>
        </w:rPr>
      </w:pPr>
    </w:p>
    <w:p w14:paraId="0DE75CAC" w14:textId="77777777" w:rsidR="0061795A" w:rsidRPr="002C6323" w:rsidRDefault="0061795A" w:rsidP="0061795A">
      <w:pPr>
        <w:spacing w:after="0" w:line="276" w:lineRule="auto"/>
        <w:jc w:val="both"/>
        <w:rPr>
          <w:rFonts w:ascii="Verdana" w:eastAsia="Calibri" w:hAnsi="Verdana" w:cs="Arial"/>
          <w:lang w:val="es-ES" w:eastAsia="es-ES"/>
        </w:rPr>
      </w:pPr>
      <w:r w:rsidRPr="002C6323">
        <w:rPr>
          <w:rFonts w:ascii="Verdana" w:eastAsia="Calibri" w:hAnsi="Verdana" w:cs="Arial"/>
          <w:lang w:val="es-ES" w:eastAsia="es-ES"/>
        </w:rPr>
        <w:t xml:space="preserve">Estimado señor Heras Montes: </w:t>
      </w:r>
    </w:p>
    <w:p w14:paraId="7FDAE668" w14:textId="77777777" w:rsidR="0061795A" w:rsidRPr="002C6323" w:rsidRDefault="0061795A" w:rsidP="0061795A">
      <w:pPr>
        <w:tabs>
          <w:tab w:val="left" w:pos="3768"/>
        </w:tabs>
        <w:spacing w:after="0" w:line="276" w:lineRule="auto"/>
        <w:jc w:val="both"/>
        <w:rPr>
          <w:rFonts w:ascii="Verdana" w:eastAsia="Calibri" w:hAnsi="Verdana" w:cs="Arial"/>
          <w:color w:val="000000" w:themeColor="text1"/>
          <w:lang w:val="es-ES" w:eastAsia="es-ES"/>
        </w:rPr>
      </w:pPr>
      <w:r w:rsidRPr="002C6323">
        <w:rPr>
          <w:rFonts w:ascii="Verdana" w:eastAsia="Calibri" w:hAnsi="Verdana" w:cs="Arial"/>
          <w:color w:val="000000" w:themeColor="text1"/>
          <w:lang w:val="es-ES" w:eastAsia="es-ES"/>
        </w:rPr>
        <w:tab/>
      </w:r>
    </w:p>
    <w:p w14:paraId="0BC61F44" w14:textId="77777777" w:rsidR="0061795A" w:rsidRPr="002C6323" w:rsidRDefault="0061795A" w:rsidP="0061795A">
      <w:pPr>
        <w:spacing w:after="0" w:line="276" w:lineRule="auto"/>
        <w:jc w:val="both"/>
        <w:rPr>
          <w:rFonts w:ascii="Verdana" w:eastAsia="Calibri" w:hAnsi="Verdana" w:cs="Arial"/>
          <w:color w:val="7030A0"/>
          <w:lang w:val="es-ES" w:eastAsia="es-ES"/>
        </w:rPr>
      </w:pPr>
      <w:r w:rsidRPr="002C6323">
        <w:rPr>
          <w:rFonts w:ascii="Verdana" w:eastAsia="Calibri" w:hAnsi="Verdana" w:cs="Arial"/>
          <w:color w:val="000000" w:themeColor="text1"/>
          <w:lang w:val="es-ES" w:eastAsia="es-ES"/>
        </w:rPr>
        <w:t>En ejercicio de la competencia otorgada por los artículos 3, numeral 5º, y 11, numeral 8º, del Decreto Ley 4170 de 2011,</w:t>
      </w:r>
      <w:r w:rsidRPr="002C6323">
        <w:rPr>
          <w:rFonts w:ascii="Verdana" w:eastAsia="Arial MT" w:hAnsi="Verdana" w:cs="Arial MT"/>
          <w:lang w:val="es-ES" w:eastAsia="es-ES"/>
        </w:rPr>
        <w:t xml:space="preserve"> </w:t>
      </w:r>
      <w:r w:rsidRPr="002C6323">
        <w:rPr>
          <w:rFonts w:ascii="Verdana" w:hAnsi="Verdana" w:cs="Arial"/>
        </w:rPr>
        <w:t xml:space="preserve">así como lo establecido en el artículo 4 de la Resolución 1707 de 2018 expedida por esta Entidad, </w:t>
      </w:r>
      <w:r w:rsidRPr="002C6323">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C6323">
        <w:rPr>
          <w:rFonts w:ascii="Verdana" w:eastAsia="Calibri" w:hAnsi="Verdana" w:cs="Arial"/>
          <w:lang w:val="es-ES" w:eastAsia="es-ES"/>
        </w:rPr>
        <w:t xml:space="preserve">fecha 8 de julio de 2024, en la cual pregunta lo siguiente: </w:t>
      </w:r>
    </w:p>
    <w:p w14:paraId="4AAA345E" w14:textId="77777777" w:rsidR="0061795A" w:rsidRPr="002C6323" w:rsidRDefault="0061795A" w:rsidP="0061795A">
      <w:pPr>
        <w:pStyle w:val="Prrafodelista"/>
        <w:tabs>
          <w:tab w:val="left" w:pos="142"/>
          <w:tab w:val="left" w:pos="284"/>
        </w:tabs>
        <w:spacing w:after="0" w:line="276" w:lineRule="auto"/>
        <w:ind w:left="0"/>
        <w:jc w:val="both"/>
        <w:rPr>
          <w:rFonts w:ascii="Verdana" w:eastAsia="Century Gothic" w:hAnsi="Verdana" w:cs="Century Gothic"/>
          <w:b/>
          <w:bCs/>
        </w:rPr>
      </w:pPr>
    </w:p>
    <w:p w14:paraId="7EA7CA9E" w14:textId="77777777" w:rsidR="0061795A" w:rsidRPr="002C6323" w:rsidRDefault="0061795A" w:rsidP="0061795A">
      <w:pPr>
        <w:spacing w:after="120" w:line="240" w:lineRule="auto"/>
        <w:ind w:left="709" w:right="709"/>
        <w:jc w:val="both"/>
        <w:rPr>
          <w:rStyle w:val="normaltextrun"/>
          <w:rFonts w:ascii="Verdana" w:hAnsi="Verdana" w:cs="Arial"/>
          <w:sz w:val="20"/>
          <w:szCs w:val="20"/>
          <w:shd w:val="clear" w:color="auto" w:fill="FFFFFF"/>
          <w:lang w:val="es-ES"/>
        </w:rPr>
      </w:pPr>
      <w:bookmarkStart w:id="0" w:name="_Hlk95313578"/>
      <w:r w:rsidRPr="002C6323">
        <w:rPr>
          <w:rFonts w:ascii="Verdana" w:eastAsia="Century Gothic" w:hAnsi="Verdana" w:cs="Century Gothic"/>
          <w:sz w:val="20"/>
          <w:szCs w:val="20"/>
          <w:lang w:val="es-ES"/>
        </w:rPr>
        <w:t>“</w:t>
      </w:r>
      <w:r w:rsidRPr="002C6323">
        <w:rPr>
          <w:rStyle w:val="normaltextrun"/>
          <w:rFonts w:ascii="Verdana" w:hAnsi="Verdana" w:cs="Arial"/>
          <w:sz w:val="20"/>
          <w:szCs w:val="20"/>
          <w:shd w:val="clear" w:color="auto" w:fill="FFFFFF"/>
          <w:lang w:val="es-ES"/>
        </w:rPr>
        <w:t>1) ¿Cuáles son los elementos distintivos para identificar un Contrato de Gerencia Integral de Obras frente a un Convenio de Gerencia Integral de Obras?</w:t>
      </w:r>
    </w:p>
    <w:p w14:paraId="061512C0" w14:textId="77777777" w:rsidR="0008202D" w:rsidRPr="002C6323" w:rsidRDefault="0008202D" w:rsidP="0008202D">
      <w:pPr>
        <w:spacing w:after="120" w:line="240" w:lineRule="auto"/>
        <w:ind w:left="709" w:right="709"/>
        <w:jc w:val="both"/>
        <w:rPr>
          <w:rStyle w:val="normaltextrun"/>
          <w:rFonts w:ascii="Verdana" w:hAnsi="Verdana" w:cs="Arial"/>
          <w:sz w:val="20"/>
          <w:szCs w:val="20"/>
          <w:shd w:val="clear" w:color="auto" w:fill="FFFFFF"/>
          <w:lang w:val="es-ES"/>
        </w:rPr>
      </w:pPr>
      <w:r w:rsidRPr="002C6323">
        <w:rPr>
          <w:rStyle w:val="normaltextrun"/>
          <w:rFonts w:ascii="Verdana" w:hAnsi="Verdana" w:cs="Arial"/>
          <w:sz w:val="20"/>
          <w:szCs w:val="20"/>
          <w:shd w:val="clear" w:color="auto" w:fill="FFFFFF"/>
          <w:lang w:val="es-ES"/>
        </w:rPr>
        <w:t xml:space="preserve">2) ¿Cuáles son los criterios para determinar cuándo se trata de un Contrato de Administración </w:t>
      </w:r>
      <w:proofErr w:type="gramStart"/>
      <w:r w:rsidRPr="002C6323">
        <w:rPr>
          <w:rStyle w:val="normaltextrun"/>
          <w:rFonts w:ascii="Verdana" w:hAnsi="Verdana" w:cs="Arial"/>
          <w:sz w:val="20"/>
          <w:szCs w:val="20"/>
          <w:shd w:val="clear" w:color="auto" w:fill="FFFFFF"/>
          <w:lang w:val="es-ES"/>
        </w:rPr>
        <w:t>Delegada</w:t>
      </w:r>
      <w:proofErr w:type="gramEnd"/>
      <w:r w:rsidRPr="002C6323">
        <w:rPr>
          <w:rStyle w:val="normaltextrun"/>
          <w:rFonts w:ascii="Verdana" w:hAnsi="Verdana" w:cs="Arial"/>
          <w:sz w:val="20"/>
          <w:szCs w:val="20"/>
          <w:shd w:val="clear" w:color="auto" w:fill="FFFFFF"/>
          <w:lang w:val="es-ES"/>
        </w:rPr>
        <w:t xml:space="preserve"> y cuándo se trata de un Convenio de Administración Delegada?</w:t>
      </w:r>
    </w:p>
    <w:p w14:paraId="6658BE10" w14:textId="376A308F" w:rsidR="0008202D" w:rsidRPr="002C6323" w:rsidRDefault="0008202D" w:rsidP="00A00D6F">
      <w:pPr>
        <w:spacing w:after="120" w:line="240" w:lineRule="auto"/>
        <w:ind w:left="709" w:right="709"/>
        <w:jc w:val="both"/>
        <w:rPr>
          <w:rStyle w:val="normaltextrun"/>
          <w:rFonts w:ascii="Verdana" w:hAnsi="Verdana" w:cs="Arial"/>
          <w:sz w:val="20"/>
          <w:szCs w:val="20"/>
          <w:shd w:val="clear" w:color="auto" w:fill="FFFFFF"/>
          <w:lang w:val="es-ES"/>
        </w:rPr>
      </w:pPr>
      <w:r w:rsidRPr="002C6323">
        <w:rPr>
          <w:rStyle w:val="normaltextrun"/>
          <w:rFonts w:ascii="Verdana" w:hAnsi="Verdana" w:cs="Arial"/>
          <w:sz w:val="20"/>
          <w:szCs w:val="20"/>
          <w:shd w:val="clear" w:color="auto" w:fill="FFFFFF"/>
          <w:lang w:val="es-ES"/>
        </w:rPr>
        <w:lastRenderedPageBreak/>
        <w:t xml:space="preserve">3) ¿Cuáles son las distinciones entre un Contrato o Convenio de Gerencia Integral de Obras y un Contrato o Convenio de Administración </w:t>
      </w:r>
      <w:proofErr w:type="gramStart"/>
      <w:r w:rsidRPr="002C6323">
        <w:rPr>
          <w:rStyle w:val="normaltextrun"/>
          <w:rFonts w:ascii="Verdana" w:hAnsi="Verdana" w:cs="Arial"/>
          <w:sz w:val="20"/>
          <w:szCs w:val="20"/>
          <w:shd w:val="clear" w:color="auto" w:fill="FFFFFF"/>
          <w:lang w:val="es-ES"/>
        </w:rPr>
        <w:t>Delegada</w:t>
      </w:r>
      <w:proofErr w:type="gramEnd"/>
      <w:r w:rsidRPr="002C6323">
        <w:rPr>
          <w:rStyle w:val="normaltextrun"/>
          <w:rFonts w:ascii="Verdana" w:hAnsi="Verdana" w:cs="Arial"/>
          <w:sz w:val="20"/>
          <w:szCs w:val="20"/>
          <w:shd w:val="clear" w:color="auto" w:fill="FFFFFF"/>
          <w:lang w:val="es-ES"/>
        </w:rPr>
        <w:t xml:space="preserve"> de Obras?</w:t>
      </w:r>
    </w:p>
    <w:p w14:paraId="75806C03" w14:textId="77777777" w:rsidR="0008202D" w:rsidRPr="002C6323" w:rsidRDefault="0008202D" w:rsidP="0008202D">
      <w:pPr>
        <w:spacing w:after="120" w:line="240" w:lineRule="auto"/>
        <w:ind w:left="709" w:right="709"/>
        <w:jc w:val="both"/>
        <w:rPr>
          <w:rStyle w:val="normaltextrun"/>
          <w:rFonts w:ascii="Verdana" w:hAnsi="Verdana" w:cs="Arial"/>
          <w:sz w:val="20"/>
          <w:szCs w:val="20"/>
          <w:shd w:val="clear" w:color="auto" w:fill="FFFFFF"/>
          <w:lang w:val="es-ES"/>
        </w:rPr>
      </w:pPr>
      <w:r w:rsidRPr="002C6323">
        <w:rPr>
          <w:rStyle w:val="normaltextrun"/>
          <w:rFonts w:ascii="Verdana" w:hAnsi="Verdana" w:cs="Arial"/>
          <w:sz w:val="20"/>
          <w:szCs w:val="20"/>
          <w:shd w:val="clear" w:color="auto" w:fill="FFFFFF"/>
          <w:lang w:val="es-ES"/>
        </w:rPr>
        <w:t xml:space="preserve">H4) ¿Qué normatividad regula el Contrato o Convenio de Gerencia Integral de Obras y al Contrato o Convenio de Administración </w:t>
      </w:r>
      <w:proofErr w:type="gramStart"/>
      <w:r w:rsidRPr="002C6323">
        <w:rPr>
          <w:rStyle w:val="normaltextrun"/>
          <w:rFonts w:ascii="Verdana" w:hAnsi="Verdana" w:cs="Arial"/>
          <w:sz w:val="20"/>
          <w:szCs w:val="20"/>
          <w:shd w:val="clear" w:color="auto" w:fill="FFFFFF"/>
          <w:lang w:val="es-ES"/>
        </w:rPr>
        <w:t>Delegada</w:t>
      </w:r>
      <w:proofErr w:type="gramEnd"/>
      <w:r w:rsidRPr="002C6323">
        <w:rPr>
          <w:rStyle w:val="normaltextrun"/>
          <w:rFonts w:ascii="Verdana" w:hAnsi="Verdana" w:cs="Arial"/>
          <w:sz w:val="20"/>
          <w:szCs w:val="20"/>
          <w:shd w:val="clear" w:color="auto" w:fill="FFFFFF"/>
          <w:lang w:val="es-ES"/>
        </w:rPr>
        <w:t>?</w:t>
      </w:r>
    </w:p>
    <w:p w14:paraId="5ABCA720" w14:textId="77777777" w:rsidR="0008202D" w:rsidRPr="002C6323" w:rsidRDefault="0008202D" w:rsidP="0008202D">
      <w:pPr>
        <w:spacing w:after="120" w:line="240" w:lineRule="auto"/>
        <w:ind w:left="709" w:right="709"/>
        <w:jc w:val="both"/>
        <w:rPr>
          <w:rStyle w:val="normaltextrun"/>
          <w:rFonts w:ascii="Verdana" w:hAnsi="Verdana" w:cs="Arial"/>
          <w:sz w:val="20"/>
          <w:szCs w:val="20"/>
          <w:shd w:val="clear" w:color="auto" w:fill="FFFFFF"/>
          <w:lang w:val="es-ES"/>
        </w:rPr>
      </w:pPr>
      <w:r w:rsidRPr="002C6323">
        <w:rPr>
          <w:rStyle w:val="normaltextrun"/>
          <w:rFonts w:ascii="Verdana" w:hAnsi="Verdana" w:cs="Arial"/>
          <w:sz w:val="20"/>
          <w:szCs w:val="20"/>
          <w:shd w:val="clear" w:color="auto" w:fill="FFFFFF"/>
          <w:lang w:val="es-ES"/>
        </w:rPr>
        <w:t xml:space="preserve">5) ¿Es factible estipular un costo a cargo de la entidad pública en los Contratos o Convenios de Gerencia Integral de Obras y en los Contratos o Convenios de Administración </w:t>
      </w:r>
      <w:proofErr w:type="gramStart"/>
      <w:r w:rsidRPr="002C6323">
        <w:rPr>
          <w:rStyle w:val="normaltextrun"/>
          <w:rFonts w:ascii="Verdana" w:hAnsi="Verdana" w:cs="Arial"/>
          <w:sz w:val="20"/>
          <w:szCs w:val="20"/>
          <w:shd w:val="clear" w:color="auto" w:fill="FFFFFF"/>
          <w:lang w:val="es-ES"/>
        </w:rPr>
        <w:t>Delegada</w:t>
      </w:r>
      <w:proofErr w:type="gramEnd"/>
      <w:r w:rsidRPr="002C6323">
        <w:rPr>
          <w:rStyle w:val="normaltextrun"/>
          <w:rFonts w:ascii="Verdana" w:hAnsi="Verdana" w:cs="Arial"/>
          <w:sz w:val="20"/>
          <w:szCs w:val="20"/>
          <w:shd w:val="clear" w:color="auto" w:fill="FFFFFF"/>
          <w:lang w:val="es-ES"/>
        </w:rPr>
        <w:t>?</w:t>
      </w:r>
    </w:p>
    <w:p w14:paraId="12645004" w14:textId="77777777" w:rsidR="0061795A" w:rsidRPr="002C6323" w:rsidRDefault="0061795A" w:rsidP="0061795A">
      <w:pPr>
        <w:spacing w:after="120" w:line="240" w:lineRule="auto"/>
        <w:ind w:left="709" w:right="709"/>
        <w:jc w:val="both"/>
        <w:rPr>
          <w:rStyle w:val="normaltextrun"/>
          <w:rFonts w:ascii="Verdana" w:hAnsi="Verdana" w:cs="Arial"/>
          <w:sz w:val="20"/>
          <w:szCs w:val="20"/>
          <w:shd w:val="clear" w:color="auto" w:fill="FFFFFF"/>
          <w:lang w:val="es-ES"/>
        </w:rPr>
      </w:pPr>
      <w:r w:rsidRPr="002C6323">
        <w:rPr>
          <w:rStyle w:val="normaltextrun"/>
          <w:rFonts w:ascii="Verdana" w:hAnsi="Verdana" w:cs="Arial"/>
          <w:sz w:val="20"/>
          <w:szCs w:val="20"/>
          <w:shd w:val="clear" w:color="auto" w:fill="FFFFFF"/>
          <w:lang w:val="es-ES"/>
        </w:rPr>
        <w:t>6) ¿Es obligatorio contar con un interventor para llevar a cabo las actividades en el Contrato o Convenio de Obra, o puede el supervisor del contrato realizarlas?</w:t>
      </w:r>
    </w:p>
    <w:p w14:paraId="2D5E77AE" w14:textId="77777777" w:rsidR="0061795A" w:rsidRPr="002C6323" w:rsidRDefault="0061795A" w:rsidP="0061795A">
      <w:pPr>
        <w:spacing w:after="0" w:line="240" w:lineRule="auto"/>
        <w:ind w:left="709" w:right="709"/>
        <w:jc w:val="both"/>
        <w:rPr>
          <w:rFonts w:ascii="Verdana" w:hAnsi="Verdana" w:cs="Arial"/>
          <w:sz w:val="20"/>
          <w:szCs w:val="20"/>
          <w:shd w:val="clear" w:color="auto" w:fill="FFFFFF"/>
          <w:lang w:val="es-ES"/>
        </w:rPr>
      </w:pPr>
      <w:r w:rsidRPr="002C6323">
        <w:rPr>
          <w:rStyle w:val="normaltextrun"/>
          <w:rFonts w:ascii="Verdana" w:hAnsi="Verdana" w:cs="Arial"/>
          <w:sz w:val="20"/>
          <w:szCs w:val="20"/>
          <w:shd w:val="clear" w:color="auto" w:fill="FFFFFF"/>
          <w:lang w:val="es-ES"/>
        </w:rPr>
        <w:t>7) Si la pregunta anterior es afirmativa, ¿Cuál es el porcentaje estipulado para remunerar al interventor en el marco del Contrato o Convenio de obra?</w:t>
      </w:r>
      <w:r w:rsidRPr="002C6323">
        <w:rPr>
          <w:rFonts w:ascii="Verdana" w:eastAsia="Century Gothic" w:hAnsi="Verdana" w:cs="Century Gothic"/>
          <w:sz w:val="20"/>
          <w:szCs w:val="20"/>
          <w:lang w:val="es-ES"/>
        </w:rPr>
        <w:t>”</w:t>
      </w:r>
      <w:bookmarkEnd w:id="0"/>
      <w:r w:rsidRPr="002C6323">
        <w:rPr>
          <w:rFonts w:ascii="Verdana" w:eastAsia="Century Gothic" w:hAnsi="Verdana" w:cs="Century Gothic"/>
          <w:sz w:val="20"/>
          <w:szCs w:val="20"/>
          <w:lang w:val="es-ES"/>
        </w:rPr>
        <w:t>.</w:t>
      </w:r>
    </w:p>
    <w:p w14:paraId="1C2219F7" w14:textId="77777777" w:rsidR="0061795A" w:rsidRPr="002C6323" w:rsidRDefault="0061795A" w:rsidP="0061795A">
      <w:pPr>
        <w:pStyle w:val="Prrafodelista"/>
        <w:tabs>
          <w:tab w:val="left" w:pos="142"/>
          <w:tab w:val="left" w:pos="284"/>
        </w:tabs>
        <w:spacing w:after="0" w:line="276" w:lineRule="auto"/>
        <w:ind w:left="0"/>
        <w:jc w:val="both"/>
        <w:rPr>
          <w:rFonts w:ascii="Verdana" w:eastAsia="Century Gothic" w:hAnsi="Verdana" w:cs="Century Gothic"/>
          <w:b/>
          <w:bCs/>
        </w:rPr>
      </w:pPr>
    </w:p>
    <w:p w14:paraId="634AE4B5" w14:textId="77777777" w:rsidR="0061795A" w:rsidRPr="002C6323" w:rsidRDefault="0061795A" w:rsidP="0061795A">
      <w:pPr>
        <w:spacing w:after="120" w:line="276" w:lineRule="auto"/>
        <w:ind w:firstLine="709"/>
        <w:jc w:val="both"/>
        <w:rPr>
          <w:rFonts w:ascii="Verdana" w:eastAsia="Calibri" w:hAnsi="Verdana" w:cs="Arial"/>
          <w:color w:val="000000"/>
          <w:lang w:val="es-ES" w:eastAsia="es-ES"/>
        </w:rPr>
      </w:pPr>
      <w:r w:rsidRPr="002C6323">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sidRPr="002C6323">
        <w:rPr>
          <w:rFonts w:ascii="Verdana" w:eastAsia="Calibri" w:hAnsi="Verdana" w:cs="Arial"/>
          <w:color w:val="000000"/>
          <w:szCs w:val="24"/>
          <w:lang w:val="es-ES_tradnl" w:eastAsia="es-ES_tradnl"/>
        </w:rPr>
        <w:tab/>
      </w:r>
    </w:p>
    <w:p w14:paraId="4B34D4A3" w14:textId="77777777" w:rsidR="0061795A" w:rsidRPr="002C6323" w:rsidRDefault="0061795A" w:rsidP="0061795A">
      <w:pPr>
        <w:spacing w:after="0" w:line="276" w:lineRule="auto"/>
        <w:ind w:firstLine="709"/>
        <w:jc w:val="both"/>
        <w:rPr>
          <w:rFonts w:ascii="Verdana" w:eastAsia="Calibri" w:hAnsi="Verdana" w:cs="Arial"/>
          <w:color w:val="000000"/>
          <w:lang w:val="es-ES" w:eastAsia="es-ES"/>
        </w:rPr>
      </w:pPr>
      <w:r w:rsidRPr="002C632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w:t>
      </w:r>
      <w:r w:rsidR="0008202D" w:rsidRPr="002C6323">
        <w:rPr>
          <w:rFonts w:ascii="Verdana" w:eastAsia="Calibri" w:hAnsi="Verdana" w:cs="Arial"/>
          <w:color w:val="000000"/>
          <w:lang w:val="es-ES" w:eastAsia="es-ES"/>
        </w:rPr>
        <w:t>la</w:t>
      </w:r>
      <w:r w:rsidRPr="002C6323">
        <w:rPr>
          <w:rFonts w:ascii="Verdana" w:eastAsia="Calibri" w:hAnsi="Verdana" w:cs="Arial"/>
          <w:color w:val="000000"/>
          <w:lang w:val="es-ES" w:eastAsia="es-ES"/>
        </w:rPr>
        <w:t xml:space="preserve"> petición, pero haciendo unas consideraciones sobre las normas generales relacionadas con el</w:t>
      </w:r>
      <w:r w:rsidRPr="002C6323">
        <w:rPr>
          <w:rFonts w:ascii="Verdana" w:eastAsia="Calibri" w:hAnsi="Verdana" w:cs="Arial"/>
          <w:color w:val="7030A0"/>
          <w:lang w:val="es-ES" w:eastAsia="es-ES"/>
        </w:rPr>
        <w:t xml:space="preserve"> </w:t>
      </w:r>
      <w:r w:rsidRPr="002C6323">
        <w:rPr>
          <w:rFonts w:ascii="Verdana" w:eastAsia="Calibri" w:hAnsi="Verdana" w:cs="Arial"/>
          <w:color w:val="000000"/>
          <w:lang w:val="es-ES" w:eastAsia="es-ES"/>
        </w:rPr>
        <w:t>problema</w:t>
      </w:r>
      <w:r w:rsidRPr="002C6323">
        <w:rPr>
          <w:rFonts w:ascii="Verdana" w:eastAsia="Calibri" w:hAnsi="Verdana" w:cs="Arial"/>
          <w:color w:val="7030A0"/>
          <w:lang w:val="es-ES" w:eastAsia="es-ES"/>
        </w:rPr>
        <w:t xml:space="preserve"> </w:t>
      </w:r>
      <w:r w:rsidRPr="002C6323">
        <w:rPr>
          <w:rFonts w:ascii="Verdana" w:eastAsia="Calibri" w:hAnsi="Verdana" w:cs="Arial"/>
          <w:color w:val="000000"/>
          <w:lang w:val="es-ES" w:eastAsia="es-ES"/>
        </w:rPr>
        <w:t>jurídico</w:t>
      </w:r>
      <w:r w:rsidRPr="002C6323">
        <w:rPr>
          <w:rFonts w:ascii="Verdana" w:eastAsia="Calibri" w:hAnsi="Verdana" w:cs="Arial"/>
          <w:color w:val="7030A0"/>
          <w:lang w:val="es-ES" w:eastAsia="es-ES"/>
        </w:rPr>
        <w:t xml:space="preserve"> </w:t>
      </w:r>
      <w:r w:rsidRPr="002C6323">
        <w:rPr>
          <w:rFonts w:ascii="Verdana" w:eastAsia="Calibri" w:hAnsi="Verdana" w:cs="Arial"/>
          <w:color w:val="000000"/>
          <w:lang w:val="es-ES" w:eastAsia="es-ES"/>
        </w:rPr>
        <w:t xml:space="preserve">de su consulta. </w:t>
      </w:r>
    </w:p>
    <w:p w14:paraId="44CE45BC" w14:textId="77777777" w:rsidR="0008202D" w:rsidRPr="002C6323" w:rsidRDefault="0008202D" w:rsidP="0008202D">
      <w:pPr>
        <w:spacing w:after="0" w:line="276" w:lineRule="auto"/>
        <w:ind w:firstLine="709"/>
        <w:jc w:val="both"/>
        <w:rPr>
          <w:rFonts w:ascii="Verdana" w:eastAsia="Calibri" w:hAnsi="Verdana" w:cs="Arial"/>
          <w:color w:val="000000"/>
          <w:lang w:val="es-ES" w:eastAsia="es-ES"/>
        </w:rPr>
      </w:pPr>
    </w:p>
    <w:p w14:paraId="385612F1" w14:textId="77777777" w:rsidR="0008202D" w:rsidRPr="002C6323" w:rsidRDefault="0008202D" w:rsidP="0008202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6323">
        <w:rPr>
          <w:rFonts w:ascii="Verdana" w:eastAsia="Century Gothic" w:hAnsi="Verdana" w:cs="Century Gothic"/>
          <w:b/>
          <w:bCs/>
        </w:rPr>
        <w:t>Problemas planteados:</w:t>
      </w:r>
    </w:p>
    <w:p w14:paraId="592172A1" w14:textId="77777777" w:rsidR="0008202D" w:rsidRPr="002C6323" w:rsidRDefault="0008202D" w:rsidP="0008202D">
      <w:pPr>
        <w:tabs>
          <w:tab w:val="left" w:pos="426"/>
        </w:tabs>
        <w:spacing w:after="0" w:line="276" w:lineRule="auto"/>
        <w:jc w:val="both"/>
        <w:rPr>
          <w:rFonts w:ascii="Verdana" w:eastAsia="Century Gothic" w:hAnsi="Verdana" w:cs="Century Gothic"/>
          <w:lang w:val="es-ES"/>
        </w:rPr>
      </w:pPr>
    </w:p>
    <w:p w14:paraId="73376479" w14:textId="77777777" w:rsidR="0008202D" w:rsidRPr="002C6323" w:rsidRDefault="0008202D" w:rsidP="0008202D">
      <w:pPr>
        <w:spacing w:after="0" w:line="276" w:lineRule="auto"/>
        <w:jc w:val="both"/>
        <w:rPr>
          <w:rFonts w:ascii="Verdana" w:eastAsia="Century Gothic" w:hAnsi="Verdana" w:cs="Century Gothic"/>
        </w:rPr>
      </w:pPr>
      <w:r w:rsidRPr="002C6323">
        <w:rPr>
          <w:rFonts w:ascii="Verdana" w:eastAsia="Century Gothic" w:hAnsi="Verdana" w:cs="Century Gothic"/>
        </w:rPr>
        <w:t xml:space="preserve">De acuerdo con el contenido de su solicitud, esta Agencia resolverá los siguientes problemas jurídicos: i) ¿la naturaleza de la obra pública y sus obligaciones, para efectos de régimen contractual aplicable, depende de su nominación como contrato o convenio de </w:t>
      </w:r>
      <w:bookmarkStart w:id="1" w:name="_Hlk174032201"/>
      <w:r w:rsidRPr="002C6323">
        <w:rPr>
          <w:rFonts w:ascii="Verdana" w:eastAsia="Century Gothic" w:hAnsi="Verdana" w:cs="Century Gothic"/>
        </w:rPr>
        <w:t>gerencia integral o de administración delegada</w:t>
      </w:r>
      <w:bookmarkEnd w:id="1"/>
      <w:r w:rsidRPr="002C6323">
        <w:rPr>
          <w:rFonts w:ascii="Verdana" w:eastAsia="Century Gothic" w:hAnsi="Verdana" w:cs="Century Gothic"/>
        </w:rPr>
        <w:t xml:space="preserve">?, </w:t>
      </w:r>
      <w:proofErr w:type="spellStart"/>
      <w:r w:rsidRPr="002C6323">
        <w:rPr>
          <w:rFonts w:ascii="Verdana" w:eastAsia="Century Gothic" w:hAnsi="Verdana" w:cs="Century Gothic"/>
        </w:rPr>
        <w:t>ii</w:t>
      </w:r>
      <w:proofErr w:type="spellEnd"/>
      <w:r w:rsidRPr="002C6323">
        <w:rPr>
          <w:rFonts w:ascii="Verdana" w:eastAsia="Century Gothic" w:hAnsi="Verdana" w:cs="Century Gothic"/>
        </w:rPr>
        <w:t xml:space="preserve">) ¿el </w:t>
      </w:r>
      <w:r w:rsidRPr="002C6323">
        <w:rPr>
          <w:rFonts w:ascii="Verdana" w:eastAsia="Century Gothic" w:hAnsi="Verdana" w:cs="Century Gothic"/>
        </w:rPr>
        <w:lastRenderedPageBreak/>
        <w:t xml:space="preserve">intercambio patrimonial es de una o ambas partes del negocio jurídico? y </w:t>
      </w:r>
      <w:proofErr w:type="spellStart"/>
      <w:r w:rsidRPr="002C6323">
        <w:rPr>
          <w:rFonts w:ascii="Verdana" w:eastAsia="Century Gothic" w:hAnsi="Verdana" w:cs="Century Gothic"/>
        </w:rPr>
        <w:t>iii</w:t>
      </w:r>
      <w:proofErr w:type="spellEnd"/>
      <w:r w:rsidRPr="002C6323">
        <w:rPr>
          <w:rFonts w:ascii="Verdana" w:eastAsia="Century Gothic" w:hAnsi="Verdana" w:cs="Century Gothic"/>
        </w:rPr>
        <w:t xml:space="preserve">) ¿dichos contratos deben contar obligatoriamente con un interventor y cómo se fija la remuneración correspondiente?  </w:t>
      </w:r>
      <w:r w:rsidRPr="002C6323">
        <w:rPr>
          <w:rFonts w:ascii="Verdana" w:eastAsia="Century Gothic" w:hAnsi="Verdana" w:cs="Century Gothic"/>
          <w:color w:val="7030A0"/>
        </w:rPr>
        <w:t xml:space="preserve"> </w:t>
      </w:r>
    </w:p>
    <w:p w14:paraId="2F167BEE" w14:textId="77777777" w:rsidR="0008202D" w:rsidRPr="002C6323" w:rsidRDefault="0008202D" w:rsidP="0008202D">
      <w:pPr>
        <w:spacing w:after="0" w:line="276" w:lineRule="auto"/>
        <w:jc w:val="both"/>
        <w:rPr>
          <w:rFonts w:ascii="Verdana" w:eastAsia="Calibri" w:hAnsi="Verdana" w:cs="Arial"/>
          <w:color w:val="7030A0"/>
          <w:lang w:val="es-ES"/>
        </w:rPr>
      </w:pPr>
    </w:p>
    <w:p w14:paraId="0C9D2A9D" w14:textId="77777777" w:rsidR="0008202D" w:rsidRPr="002C6323" w:rsidRDefault="0008202D" w:rsidP="0008202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6323">
        <w:rPr>
          <w:rFonts w:ascii="Verdana" w:eastAsia="Century Gothic" w:hAnsi="Verdana" w:cs="Century Gothic"/>
          <w:b/>
          <w:bCs/>
        </w:rPr>
        <w:t>Respuestas:</w:t>
      </w:r>
    </w:p>
    <w:p w14:paraId="047871A6" w14:textId="77777777" w:rsidR="0008202D" w:rsidRPr="002C6323" w:rsidRDefault="0008202D" w:rsidP="0008202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8202D" w:rsidRPr="002C6323" w14:paraId="5E7588D9" w14:textId="77777777" w:rsidTr="009C6AB5">
        <w:trPr>
          <w:jc w:val="center"/>
        </w:trPr>
        <w:tc>
          <w:tcPr>
            <w:tcW w:w="8828" w:type="dxa"/>
            <w:shd w:val="clear" w:color="auto" w:fill="auto"/>
          </w:tcPr>
          <w:p w14:paraId="1BACB204" w14:textId="77777777" w:rsidR="0008202D" w:rsidRPr="002C6323" w:rsidRDefault="0008202D" w:rsidP="00C84048">
            <w:pPr>
              <w:widowControl w:val="0"/>
              <w:autoSpaceDE w:val="0"/>
              <w:autoSpaceDN w:val="0"/>
              <w:spacing w:after="120" w:line="276" w:lineRule="auto"/>
              <w:jc w:val="both"/>
              <w:rPr>
                <w:rFonts w:ascii="Verdana" w:eastAsia="Calibri" w:hAnsi="Verdana" w:cs="Arial"/>
                <w:color w:val="000000" w:themeColor="text1"/>
                <w:lang w:val="es-MX" w:eastAsia="es-ES" w:bidi="es-ES"/>
              </w:rPr>
            </w:pPr>
            <w:r w:rsidRPr="002C6323">
              <w:rPr>
                <w:rFonts w:ascii="Verdana" w:eastAsia="Calibri" w:hAnsi="Verdana" w:cs="Arial"/>
                <w:i/>
                <w:iCs/>
                <w:color w:val="000000" w:themeColor="text1"/>
                <w:lang w:val="es-ES" w:eastAsia="es-ES" w:bidi="es-ES"/>
              </w:rPr>
              <w:t>En primer lugar</w:t>
            </w:r>
            <w:r w:rsidRPr="002C6323">
              <w:rPr>
                <w:rFonts w:ascii="Verdana" w:eastAsia="Calibri" w:hAnsi="Verdana" w:cs="Arial"/>
                <w:color w:val="000000" w:themeColor="text1"/>
                <w:lang w:val="es-ES" w:eastAsia="es-ES" w:bidi="es-ES"/>
              </w:rPr>
              <w:t xml:space="preserve">, </w:t>
            </w:r>
            <w:r w:rsidRPr="002C6323">
              <w:rPr>
                <w:rFonts w:ascii="Verdana" w:eastAsia="Calibri" w:hAnsi="Verdana" w:cs="Arial"/>
                <w:color w:val="000000" w:themeColor="text1"/>
                <w:lang w:val="es-MX" w:eastAsia="es-ES" w:bidi="es-ES"/>
              </w:rPr>
              <w:t>el hecho de que el negocio jurídico incluya la “gerencia integral” o la “administración delegada” no suponen elementos distintivos o adicionales a la obra pública que tipifica el Estatuto General de Contratación. El objeto es el mismo que señala el artículo 32.1 de la Ley 80 de 1993 en ambos casos, sin perjuicio de lo que las partes dispongan en torno al alcance del proyecto o las obligaciones específicas de la entidad contratante o del contratista.</w:t>
            </w:r>
          </w:p>
          <w:p w14:paraId="4B360C95" w14:textId="77777777" w:rsidR="0008202D" w:rsidRPr="002C6323" w:rsidRDefault="0008202D" w:rsidP="009C6AB5">
            <w:pPr>
              <w:widowControl w:val="0"/>
              <w:autoSpaceDE w:val="0"/>
              <w:autoSpaceDN w:val="0"/>
              <w:spacing w:after="120" w:line="276" w:lineRule="auto"/>
              <w:ind w:firstLine="731"/>
              <w:jc w:val="both"/>
              <w:rPr>
                <w:rFonts w:ascii="Verdana" w:eastAsia="Calibri" w:hAnsi="Verdana" w:cs="Arial"/>
                <w:color w:val="000000" w:themeColor="text1"/>
                <w:lang w:eastAsia="es-ES" w:bidi="es-ES"/>
              </w:rPr>
            </w:pPr>
            <w:r w:rsidRPr="002C6323">
              <w:rPr>
                <w:rFonts w:ascii="Verdana" w:eastAsia="Calibri" w:hAnsi="Verdana" w:cs="Arial"/>
                <w:color w:val="000000" w:themeColor="text1"/>
                <w:lang w:val="es-ES" w:eastAsia="es-ES" w:bidi="es-ES"/>
              </w:rPr>
              <w:t>No obstante, pese a los matices específicos entre los contratos y los convenios interadministrativos, el régimen jurídico aplicable dependerá a su vez del régimen contractual de las entidades que los suscriban. Si se celebra entre dos o más entidades estatales sometidas al Estatuto General de Contratación de la Administración Pública, éstas deben aplicar las disposiciones de dicho cuerpo normativo. En cambio, si se suscribe entre entidades estatales que, por voluntad del legislador, se encuentran exceptuadas de tal Estatuto –porque se rigen por el derecho privado–, este será el régimen que deberán aplicar. A esta deducción se llega porque el artículo 95 de la Ley 489 de 1998 no establece un régimen especial para la celebración de tales convenios.</w:t>
            </w:r>
            <w:r w:rsidRPr="002C6323">
              <w:rPr>
                <w:rFonts w:ascii="Verdana" w:eastAsia="Calibri" w:hAnsi="Verdana" w:cs="Arial"/>
                <w:color w:val="000000" w:themeColor="text1"/>
                <w:lang w:eastAsia="es-ES" w:bidi="es-ES"/>
              </w:rPr>
              <w:t xml:space="preserve"> A su vez, esto define si es aplicable o no la definición de obra pública del artículo 32.1 de la Ley 80 de 1993.</w:t>
            </w:r>
          </w:p>
          <w:p w14:paraId="738D94C1" w14:textId="77777777" w:rsidR="0008202D" w:rsidRPr="002C6323" w:rsidRDefault="0008202D" w:rsidP="009C6AB5">
            <w:pPr>
              <w:widowControl w:val="0"/>
              <w:autoSpaceDE w:val="0"/>
              <w:autoSpaceDN w:val="0"/>
              <w:spacing w:after="120" w:line="276" w:lineRule="auto"/>
              <w:ind w:firstLine="731"/>
              <w:jc w:val="both"/>
              <w:rPr>
                <w:rFonts w:ascii="Verdana" w:eastAsia="Calibri" w:hAnsi="Verdana" w:cs="Arial"/>
                <w:bCs/>
                <w:color w:val="000000" w:themeColor="text1"/>
                <w:lang w:eastAsia="es-ES" w:bidi="es-ES"/>
              </w:rPr>
            </w:pPr>
            <w:r w:rsidRPr="002C6323">
              <w:rPr>
                <w:rFonts w:ascii="Verdana" w:eastAsia="Calibri" w:hAnsi="Verdana" w:cs="Arial"/>
                <w:i/>
                <w:iCs/>
                <w:color w:val="000000" w:themeColor="text1"/>
                <w:lang w:eastAsia="es-ES" w:bidi="es-ES"/>
              </w:rPr>
              <w:t>En segundo lugar</w:t>
            </w:r>
            <w:r w:rsidRPr="002C6323">
              <w:rPr>
                <w:rFonts w:ascii="Verdana" w:eastAsia="Calibri" w:hAnsi="Verdana" w:cs="Arial"/>
                <w:color w:val="000000" w:themeColor="text1"/>
                <w:lang w:eastAsia="es-ES" w:bidi="es-ES"/>
              </w:rPr>
              <w:t>, es necesario tener en cuenta que, aunque los contratos y convenios</w:t>
            </w:r>
            <w:r w:rsidRPr="002C6323">
              <w:rPr>
                <w:rFonts w:ascii="Verdana" w:eastAsia="Calibri" w:hAnsi="Verdana" w:cs="Arial"/>
                <w:bCs/>
                <w:color w:val="000000" w:themeColor="text1"/>
                <w:lang w:eastAsia="es-ES" w:bidi="es-ES"/>
              </w:rPr>
              <w:t xml:space="preserve"> interadministrativos tienen un tronco común, se diferencian en su naturaleza y finalidad en la medida en que los contratos comportan obligaciones de contenido patrimonial que se traducen en intereses contrapuestos entre las partes pues implican un gravamen a cambio de un beneficio en una relación de carácter conmutativo, mientras que los convenios  involucran la ejecución de actividades en función de un interés común para las partes; si bien se puede pactar remuneración, en esencia se pretende el cumplimiento de fines coincidentes entre quienes lo ejecutan. Desde esta perspectiva, una o ambas partes pueden asumir las obligaciones de contenido patrimonial en función del negocio suscrito. </w:t>
            </w:r>
          </w:p>
          <w:p w14:paraId="1990AE25" w14:textId="77777777" w:rsidR="0008202D" w:rsidRPr="002C6323" w:rsidRDefault="0008202D" w:rsidP="009C6AB5">
            <w:pPr>
              <w:widowControl w:val="0"/>
              <w:autoSpaceDE w:val="0"/>
              <w:autoSpaceDN w:val="0"/>
              <w:spacing w:line="276" w:lineRule="auto"/>
              <w:ind w:firstLine="731"/>
              <w:jc w:val="both"/>
              <w:rPr>
                <w:rFonts w:ascii="Verdana" w:eastAsia="Calibri" w:hAnsi="Verdana" w:cs="Arial"/>
                <w:bCs/>
                <w:color w:val="000000" w:themeColor="text1"/>
                <w:lang w:eastAsia="es-ES" w:bidi="es-ES"/>
              </w:rPr>
            </w:pPr>
            <w:r w:rsidRPr="002C6323">
              <w:rPr>
                <w:rFonts w:ascii="Verdana" w:eastAsia="Calibri" w:hAnsi="Verdana" w:cs="Arial"/>
                <w:i/>
                <w:iCs/>
                <w:color w:val="000000" w:themeColor="text1"/>
                <w:lang w:val="es-ES" w:eastAsia="es-ES" w:bidi="es-ES"/>
              </w:rPr>
              <w:t>Finalmente</w:t>
            </w:r>
            <w:r w:rsidRPr="002C6323">
              <w:rPr>
                <w:rFonts w:ascii="Verdana" w:eastAsia="Calibri" w:hAnsi="Verdana" w:cs="Arial"/>
                <w:color w:val="000000" w:themeColor="text1"/>
                <w:lang w:val="es-ES" w:eastAsia="es-ES" w:bidi="es-ES"/>
              </w:rPr>
              <w:t xml:space="preserve">, en el marco de los contratos sometidos al EGCAP, la </w:t>
            </w:r>
            <w:r w:rsidRPr="002C6323">
              <w:rPr>
                <w:rFonts w:ascii="Verdana" w:eastAsia="Calibri" w:hAnsi="Verdana" w:cs="Arial"/>
                <w:color w:val="000000" w:themeColor="text1"/>
                <w:lang w:val="es-ES" w:eastAsia="es-ES" w:bidi="es-ES"/>
              </w:rPr>
              <w:lastRenderedPageBreak/>
              <w:t>interventoría es obligatoria en los supuestos descritos en el inciso segundo del artículo 32.1 de la Ley 80 de 1993 y en el inciso tercero del artículo 83 de la Ley 1474 de 2011. Por ello, sin perjuicio de la regulación especial del artículo 33 de la Ley 1508 de 2012, en los demás casos la interventoría es facultativa. En todo caso, ninguna de estas normas</w:t>
            </w:r>
            <w:r w:rsidRPr="002C6323">
              <w:rPr>
                <w:rFonts w:ascii="Verdana" w:eastAsia="Calibri" w:hAnsi="Verdana" w:cs="Arial"/>
                <w:color w:val="000000" w:themeColor="text1"/>
                <w:lang w:val="es-MX" w:eastAsia="es-ES" w:bidi="es-ES"/>
              </w:rPr>
              <w:t xml:space="preserve"> establece un porcentaje a título de remuneración por los servicios prestados, por lo que el mismo debe ser determinado en ejercicio de la autonomía de la voluntad, incluyendo el valor que se considere más adecuado y proporcional al objeto del contrato, de acuerdo con el estudio de mercado realizado en el analis del sector económico. </w:t>
            </w:r>
            <w:r w:rsidRPr="002C6323">
              <w:rPr>
                <w:rFonts w:ascii="Verdana" w:eastAsia="Calibri" w:hAnsi="Verdana" w:cs="Arial"/>
                <w:color w:val="000000" w:themeColor="text1"/>
                <w:lang w:val="es-ES" w:eastAsia="es-ES" w:bidi="es-ES"/>
              </w:rPr>
              <w:t xml:space="preserve"> </w:t>
            </w:r>
            <w:r w:rsidRPr="002C6323">
              <w:rPr>
                <w:rFonts w:ascii="Verdana" w:eastAsia="Calibri" w:hAnsi="Verdana" w:cs="Arial"/>
                <w:color w:val="000000" w:themeColor="text1"/>
                <w:lang w:eastAsia="es-ES" w:bidi="es-ES"/>
              </w:rPr>
              <w:t xml:space="preserve"> </w:t>
            </w:r>
          </w:p>
        </w:tc>
      </w:tr>
    </w:tbl>
    <w:p w14:paraId="5E0FCAA4" w14:textId="77777777" w:rsidR="0061795A" w:rsidRPr="002C6323" w:rsidRDefault="0061795A" w:rsidP="0061795A">
      <w:pPr>
        <w:tabs>
          <w:tab w:val="left" w:pos="142"/>
          <w:tab w:val="left" w:pos="284"/>
        </w:tabs>
        <w:spacing w:after="0" w:line="276" w:lineRule="auto"/>
        <w:jc w:val="both"/>
        <w:rPr>
          <w:rFonts w:ascii="Verdana" w:eastAsia="Century Gothic" w:hAnsi="Verdana" w:cs="Century Gothic"/>
          <w:b/>
          <w:bCs/>
          <w:lang w:val="es-ES"/>
        </w:rPr>
      </w:pPr>
    </w:p>
    <w:p w14:paraId="1EDDDF4E" w14:textId="77777777" w:rsidR="0061795A" w:rsidRPr="002C6323" w:rsidRDefault="0061795A" w:rsidP="0061795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6323">
        <w:rPr>
          <w:rFonts w:ascii="Verdana" w:eastAsia="Century Gothic" w:hAnsi="Verdana" w:cs="Century Gothic"/>
          <w:b/>
          <w:bCs/>
        </w:rPr>
        <w:t>Razones de las respuestas:</w:t>
      </w:r>
    </w:p>
    <w:p w14:paraId="40CC7220" w14:textId="77777777" w:rsidR="0061795A" w:rsidRPr="002C6323" w:rsidRDefault="0061795A" w:rsidP="0061795A">
      <w:pPr>
        <w:spacing w:after="0" w:line="276" w:lineRule="auto"/>
        <w:jc w:val="both"/>
        <w:rPr>
          <w:rFonts w:ascii="Verdana" w:eastAsia="Calibri" w:hAnsi="Verdana" w:cs="Arial"/>
          <w:color w:val="7030A0"/>
          <w:lang w:val="es-ES"/>
        </w:rPr>
      </w:pPr>
    </w:p>
    <w:p w14:paraId="7E4317B4" w14:textId="77777777" w:rsidR="0061795A" w:rsidRPr="002C6323" w:rsidRDefault="0061795A" w:rsidP="0061795A">
      <w:pPr>
        <w:spacing w:after="0" w:line="276" w:lineRule="auto"/>
        <w:jc w:val="both"/>
        <w:rPr>
          <w:rFonts w:ascii="Verdana" w:eastAsia="Calibri" w:hAnsi="Verdana" w:cs="Arial"/>
          <w:lang w:val="es-ES"/>
        </w:rPr>
      </w:pPr>
      <w:r w:rsidRPr="002C6323">
        <w:rPr>
          <w:rFonts w:ascii="Verdana" w:eastAsia="Calibri" w:hAnsi="Verdana" w:cs="Arial"/>
          <w:lang w:val="es-ES"/>
        </w:rPr>
        <w:t xml:space="preserve">Lo anterior se sustenta en las siguientes consideraciones: </w:t>
      </w:r>
    </w:p>
    <w:p w14:paraId="6EF14BAD" w14:textId="77777777" w:rsidR="0061795A" w:rsidRPr="002C6323" w:rsidRDefault="0061795A" w:rsidP="0061795A">
      <w:pPr>
        <w:spacing w:after="0" w:line="276" w:lineRule="auto"/>
        <w:jc w:val="both"/>
        <w:rPr>
          <w:rFonts w:ascii="Verdana" w:eastAsia="Calibri" w:hAnsi="Verdana" w:cs="Arial"/>
          <w:lang w:val="es-ES"/>
        </w:rPr>
      </w:pPr>
    </w:p>
    <w:p w14:paraId="39F10C48" w14:textId="77777777" w:rsidR="0061795A" w:rsidRPr="002C6323" w:rsidRDefault="0061795A" w:rsidP="0061795A">
      <w:pPr>
        <w:widowControl w:val="0"/>
        <w:autoSpaceDE w:val="0"/>
        <w:autoSpaceDN w:val="0"/>
        <w:spacing w:line="276" w:lineRule="auto"/>
        <w:jc w:val="both"/>
        <w:rPr>
          <w:rFonts w:ascii="Verdana" w:eastAsia="Calibri" w:hAnsi="Verdana" w:cs="Arial"/>
          <w:color w:val="000000"/>
          <w:lang w:val="es-ES_tradnl" w:eastAsia="es-ES" w:bidi="es-ES"/>
        </w:rPr>
      </w:pPr>
      <w:r w:rsidRPr="002C6323">
        <w:rPr>
          <w:rFonts w:ascii="Verdana" w:eastAsia="Calibri" w:hAnsi="Verdana" w:cs="Arial"/>
          <w:lang w:val="es-MX"/>
        </w:rPr>
        <w:t>La</w:t>
      </w:r>
      <w:r w:rsidRPr="002C6323">
        <w:rPr>
          <w:rFonts w:ascii="Verdana" w:eastAsia="Calibri" w:hAnsi="Verdana" w:cs="Arial"/>
          <w:color w:val="000000"/>
          <w:lang w:val="es-ES_tradnl" w:eastAsia="es-ES" w:bidi="es-ES"/>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6F70F74D" w14:textId="77777777" w:rsidR="0061795A" w:rsidRPr="002C6323" w:rsidRDefault="0061795A" w:rsidP="0061795A">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002C6323">
        <w:rPr>
          <w:rFonts w:ascii="Verdana" w:eastAsia="Calibri" w:hAnsi="Verdana" w:cs="Arial"/>
          <w:color w:val="000000" w:themeColor="text1"/>
          <w:lang w:val="es-ES" w:eastAsia="es-ES" w:bidi="es-ES"/>
        </w:rPr>
        <w:t xml:space="preserve">En efecto, </w:t>
      </w:r>
      <w:bookmarkStart w:id="2" w:name="_Hlk81432298"/>
      <w:r w:rsidRPr="002C6323">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2"/>
      <w:r w:rsidRPr="002C6323">
        <w:rPr>
          <w:rFonts w:ascii="Verdana" w:eastAsia="Calibri" w:hAnsi="Verdana" w:cs="Arial"/>
          <w:color w:val="000000" w:themeColor="text1"/>
          <w:lang w:val="es-ES" w:eastAsia="es-ES" w:bidi="es-ES"/>
        </w:rPr>
        <w:t>Así, la doctrina considera que:</w:t>
      </w:r>
    </w:p>
    <w:p w14:paraId="5BCC3A4F" w14:textId="77777777" w:rsidR="0061795A" w:rsidRPr="002C6323" w:rsidRDefault="0061795A" w:rsidP="0061795A">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44E5D3C6" w14:textId="77777777" w:rsidR="0061795A" w:rsidRPr="002C6323" w:rsidRDefault="0061795A" w:rsidP="0061795A">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2C6323">
        <w:rPr>
          <w:rFonts w:ascii="Verdana" w:eastAsia="Calibri" w:hAnsi="Verdana" w:cs="Arial"/>
          <w:color w:val="000000"/>
          <w:sz w:val="21"/>
          <w:szCs w:val="21"/>
          <w:lang w:val="es-ES_tradnl" w:eastAsia="es-ES" w:bidi="es-ES"/>
        </w:rPr>
        <w:t xml:space="preserve">“Puede definirse el arrendamiento de obra o contrato de confección de obra material como aquél por el cual una persona llamada artífice, se </w:t>
      </w:r>
      <w:r w:rsidRPr="002C6323">
        <w:rPr>
          <w:rFonts w:ascii="Verdana" w:eastAsia="Calibri" w:hAnsi="Verdana" w:cs="Arial"/>
          <w:color w:val="000000"/>
          <w:sz w:val="21"/>
          <w:szCs w:val="21"/>
          <w:lang w:val="es-ES_tradnl" w:eastAsia="es-ES" w:bidi="es-ES"/>
        </w:rPr>
        <w:lastRenderedPageBreak/>
        <w:t>obliga, mediante cierto precio, a ejecutar una obra material. Los elementos de este contrato, fuera del consentimiento indispensable en todo contrato, son la ejecución de la obra y el precio.</w:t>
      </w:r>
    </w:p>
    <w:p w14:paraId="3FFA1C0F" w14:textId="77777777" w:rsidR="0061795A" w:rsidRPr="002C6323" w:rsidRDefault="0061795A" w:rsidP="0061795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2C6323">
        <w:rPr>
          <w:rFonts w:ascii="Verdana" w:eastAsia="Calibri" w:hAnsi="Verdana"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2C6323">
        <w:rPr>
          <w:rFonts w:ascii="Verdana" w:eastAsia="Calibri" w:hAnsi="Verdana" w:cs="Arial"/>
          <w:color w:val="000000"/>
          <w:sz w:val="21"/>
          <w:szCs w:val="21"/>
          <w:vertAlign w:val="superscript"/>
          <w:lang w:val="es-ES_tradnl" w:eastAsia="es-ES" w:bidi="es-ES"/>
        </w:rPr>
        <w:footnoteReference w:id="2"/>
      </w:r>
      <w:r w:rsidRPr="002C6323">
        <w:rPr>
          <w:rFonts w:ascii="Verdana" w:eastAsia="Calibri" w:hAnsi="Verdana" w:cs="Arial"/>
          <w:color w:val="000000"/>
          <w:sz w:val="21"/>
          <w:szCs w:val="21"/>
          <w:lang w:val="es-ES_tradnl" w:eastAsia="es-ES" w:bidi="es-ES"/>
        </w:rPr>
        <w:t xml:space="preserve">.  </w:t>
      </w:r>
    </w:p>
    <w:p w14:paraId="79135013" w14:textId="77777777" w:rsidR="0061795A" w:rsidRPr="002C6323" w:rsidRDefault="0061795A" w:rsidP="0061795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2C6323">
        <w:rPr>
          <w:rFonts w:ascii="Verdana" w:eastAsia="Calibri" w:hAnsi="Verdana" w:cs="Arial"/>
          <w:color w:val="000000"/>
          <w:sz w:val="21"/>
          <w:szCs w:val="21"/>
          <w:lang w:val="es-ES_tradnl" w:eastAsia="es-ES" w:bidi="es-ES"/>
        </w:rPr>
        <w:t xml:space="preserve">    </w:t>
      </w:r>
    </w:p>
    <w:p w14:paraId="74F3E6EE" w14:textId="77777777" w:rsidR="0061795A" w:rsidRPr="002C6323" w:rsidRDefault="0061795A" w:rsidP="0061795A">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bookmarkStart w:id="3" w:name="_Hlk35420344"/>
      <w:r w:rsidRPr="002C6323">
        <w:rPr>
          <w:rFonts w:ascii="Verdana" w:eastAsia="Calibri" w:hAnsi="Verdana" w:cs="Arial"/>
          <w:color w:val="000000"/>
          <w:lang w:val="es-ES_tradnl" w:eastAsia="es-ES" w:bidi="es-ES"/>
        </w:rPr>
        <w:t xml:space="preserve">En </w:t>
      </w:r>
      <w:r w:rsidRPr="002C6323">
        <w:rPr>
          <w:rFonts w:ascii="Verdana" w:eastAsia="Calibri" w:hAnsi="Verdana" w:cs="Arial"/>
          <w:i/>
          <w:iCs/>
          <w:color w:val="000000"/>
          <w:lang w:val="es-ES_tradnl" w:eastAsia="es-ES" w:bidi="es-ES"/>
        </w:rPr>
        <w:t>sentido amplio</w:t>
      </w:r>
      <w:r w:rsidRPr="002C6323">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4" w:name="_Hlk81428563"/>
      <w:r w:rsidRPr="002C6323">
        <w:rPr>
          <w:rFonts w:ascii="Verdana" w:eastAsia="Calibri" w:hAnsi="Verdana" w:cs="Arial"/>
          <w:color w:val="000000"/>
          <w:lang w:val="es-ES_tradnl" w:eastAsia="es-ES" w:bidi="es-ES"/>
        </w:rPr>
        <w:t xml:space="preserve">el numeral 1 del artículo 32 de la Ley 80 de 1993 opta por un </w:t>
      </w:r>
      <w:r w:rsidRPr="002C6323">
        <w:rPr>
          <w:rFonts w:ascii="Verdana" w:eastAsia="Calibri" w:hAnsi="Verdana" w:cs="Arial"/>
          <w:i/>
          <w:iCs/>
          <w:color w:val="000000"/>
          <w:lang w:val="es-ES_tradnl" w:eastAsia="es-ES" w:bidi="es-ES"/>
        </w:rPr>
        <w:t>sentido restringido</w:t>
      </w:r>
      <w:r w:rsidRPr="002C6323">
        <w:rPr>
          <w:rFonts w:ascii="Verdana" w:eastAsia="Calibri" w:hAnsi="Verdana" w:cs="Arial"/>
          <w:color w:val="000000"/>
          <w:lang w:val="es-ES_tradnl" w:eastAsia="es-ES" w:bidi="es-ES"/>
        </w:rPr>
        <w:t xml:space="preserve">, al disponer que “Son contratos de obra los que celebren las entidades estatales para la </w:t>
      </w:r>
      <w:bookmarkStart w:id="5" w:name="_Hlk171668266"/>
      <w:r w:rsidRPr="002C6323">
        <w:rPr>
          <w:rFonts w:ascii="Verdana" w:eastAsia="Calibri" w:hAnsi="Verdana" w:cs="Arial"/>
          <w:color w:val="000000"/>
          <w:lang w:val="es-ES_tradnl" w:eastAsia="es-ES" w:bidi="es-ES"/>
        </w:rPr>
        <w:t>construcción, mantenimiento, instalación</w:t>
      </w:r>
      <w:bookmarkEnd w:id="5"/>
      <w:r w:rsidRPr="002C6323">
        <w:rPr>
          <w:rFonts w:ascii="Verdana" w:eastAsia="Calibri" w:hAnsi="Verdana" w:cs="Arial"/>
          <w:color w:val="000000"/>
          <w:lang w:val="es-ES_tradnl" w:eastAsia="es-ES" w:bidi="es-ES"/>
        </w:rPr>
        <w:t xml:space="preserve"> y, en general, para la realización de cualquier otro trabajo material sobre bienes inmuebles, </w:t>
      </w:r>
      <w:bookmarkStart w:id="6" w:name="_Hlk171667437"/>
      <w:r w:rsidRPr="002C6323">
        <w:rPr>
          <w:rFonts w:ascii="Verdana" w:eastAsia="Calibri" w:hAnsi="Verdana" w:cs="Arial"/>
          <w:color w:val="000000"/>
          <w:lang w:val="es-ES_tradnl" w:eastAsia="es-ES" w:bidi="es-ES"/>
        </w:rPr>
        <w:t>cualquiera que sea la modalidad de ejecución y pago</w:t>
      </w:r>
      <w:bookmarkEnd w:id="6"/>
      <w:r w:rsidRPr="002C6323">
        <w:rPr>
          <w:rFonts w:ascii="Verdana" w:eastAsia="Calibri" w:hAnsi="Verdana" w:cs="Arial"/>
          <w:color w:val="000000"/>
          <w:lang w:val="es-ES_tradnl" w:eastAsia="es-ES" w:bidi="es-ES"/>
        </w:rPr>
        <w:t>”, de manera que este tipo de contrato no aplica a los trabajos materiales realizados sobre bienes muebles</w:t>
      </w:r>
      <w:r w:rsidRPr="002C6323">
        <w:rPr>
          <w:rStyle w:val="Refdenotaalpie"/>
          <w:rFonts w:ascii="Verdana" w:eastAsia="Calibri" w:hAnsi="Verdana" w:cs="Arial"/>
          <w:color w:val="000000"/>
          <w:lang w:val="es-ES_tradnl" w:eastAsia="es-ES" w:bidi="es-ES"/>
        </w:rPr>
        <w:footnoteReference w:id="3"/>
      </w:r>
      <w:r w:rsidRPr="002C6323">
        <w:rPr>
          <w:rFonts w:ascii="Verdana" w:eastAsia="Calibri" w:hAnsi="Verdana" w:cs="Arial"/>
          <w:color w:val="000000"/>
          <w:lang w:val="es-ES_tradnl" w:eastAsia="es-ES" w:bidi="es-ES"/>
        </w:rPr>
        <w:t xml:space="preserve">. </w:t>
      </w:r>
    </w:p>
    <w:p w14:paraId="4BEF263B" w14:textId="77777777" w:rsidR="0061795A" w:rsidRPr="002C6323" w:rsidRDefault="0061795A" w:rsidP="0061795A">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2C6323">
        <w:rPr>
          <w:rFonts w:ascii="Verdana" w:eastAsia="Calibri" w:hAnsi="Verdana" w:cs="Arial"/>
          <w:color w:val="000000"/>
          <w:lang w:val="es-ES_tradnl" w:eastAsia="es-ES" w:bidi="es-ES"/>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3"/>
      <w:bookmarkEnd w:id="4"/>
      <w:r w:rsidRPr="002C6323">
        <w:rPr>
          <w:rFonts w:ascii="Verdana" w:eastAsia="Calibri" w:hAnsi="Verdana" w:cs="Arial"/>
          <w:color w:val="000000"/>
          <w:vertAlign w:val="superscript"/>
          <w:lang w:val="es-ES_tradnl" w:eastAsia="es-ES" w:bidi="es-ES"/>
        </w:rPr>
        <w:footnoteReference w:id="4"/>
      </w:r>
      <w:r w:rsidRPr="002C6323">
        <w:rPr>
          <w:rFonts w:ascii="Verdana" w:eastAsia="Calibri" w:hAnsi="Verdana" w:cs="Arial"/>
          <w:color w:val="000000"/>
          <w:lang w:val="es-ES_tradnl" w:eastAsia="es-ES" w:bidi="es-ES"/>
        </w:rPr>
        <w:t>. De esta manera:</w:t>
      </w:r>
    </w:p>
    <w:p w14:paraId="309A8352" w14:textId="77777777" w:rsidR="0061795A" w:rsidRPr="002C6323" w:rsidRDefault="0061795A" w:rsidP="0061795A">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32ACAB1E" w14:textId="77777777" w:rsidR="0061795A" w:rsidRPr="002C6323" w:rsidRDefault="0061795A" w:rsidP="0061795A">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2C6323">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w:t>
      </w:r>
      <w:r w:rsidRPr="002C6323">
        <w:rPr>
          <w:rFonts w:ascii="Verdana" w:eastAsia="Calibri" w:hAnsi="Verdana" w:cs="Arial"/>
          <w:color w:val="000000"/>
          <w:sz w:val="21"/>
          <w:szCs w:val="21"/>
          <w:lang w:val="es-ES_tradnl" w:eastAsia="es-ES" w:bidi="es-ES"/>
        </w:rPr>
        <w:lastRenderedPageBreak/>
        <w:t xml:space="preserve">derecho comparado, que vinculan la tipificación del contrato de obra a aquellas actividades realizadas sobre bienes inmuebles. </w:t>
      </w:r>
    </w:p>
    <w:p w14:paraId="252D7EEF" w14:textId="77777777" w:rsidR="0061795A" w:rsidRPr="002C6323" w:rsidRDefault="0061795A" w:rsidP="0061795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2C6323">
        <w:rPr>
          <w:rFonts w:ascii="Verdana" w:eastAsia="Calibri" w:hAnsi="Verdana"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2C6323">
        <w:rPr>
          <w:rFonts w:ascii="Verdana" w:eastAsia="Calibri" w:hAnsi="Verdana" w:cs="Arial"/>
          <w:color w:val="000000"/>
          <w:sz w:val="21"/>
          <w:szCs w:val="21"/>
          <w:vertAlign w:val="superscript"/>
          <w:lang w:val="es-ES_tradnl" w:eastAsia="es-ES" w:bidi="es-ES"/>
        </w:rPr>
        <w:footnoteReference w:id="5"/>
      </w:r>
      <w:r w:rsidRPr="002C6323">
        <w:rPr>
          <w:rFonts w:ascii="Verdana" w:eastAsia="Calibri" w:hAnsi="Verdana" w:cs="Arial"/>
          <w:color w:val="000000"/>
          <w:sz w:val="21"/>
          <w:szCs w:val="21"/>
          <w:lang w:val="es-ES_tradnl" w:eastAsia="es-ES" w:bidi="es-ES"/>
        </w:rPr>
        <w:t>.</w:t>
      </w:r>
    </w:p>
    <w:p w14:paraId="5D6B52EA" w14:textId="77777777" w:rsidR="0061795A" w:rsidRPr="002C6323" w:rsidRDefault="0061795A" w:rsidP="0061795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7958CEC5" w14:textId="77777777" w:rsidR="0061795A" w:rsidRPr="002C6323" w:rsidRDefault="0061795A" w:rsidP="0061795A">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r w:rsidRPr="002C6323">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5F014DC1" w14:textId="77777777" w:rsidR="0061795A" w:rsidRPr="002C6323" w:rsidRDefault="0061795A" w:rsidP="0061795A">
      <w:pPr>
        <w:widowControl w:val="0"/>
        <w:autoSpaceDE w:val="0"/>
        <w:autoSpaceDN w:val="0"/>
        <w:spacing w:after="120" w:line="276" w:lineRule="auto"/>
        <w:ind w:firstLine="709"/>
        <w:jc w:val="both"/>
        <w:rPr>
          <w:rFonts w:ascii="Verdana" w:eastAsia="Calibri" w:hAnsi="Verdana" w:cs="Arial"/>
          <w:color w:val="000000" w:themeColor="text1"/>
          <w:lang w:val="es-ES" w:eastAsia="es-ES" w:bidi="es-ES"/>
        </w:rPr>
      </w:pPr>
      <w:r w:rsidRPr="002C6323">
        <w:rPr>
          <w:rFonts w:ascii="Verdana" w:eastAsia="Calibri" w:hAnsi="Verdana" w:cs="Arial"/>
          <w:color w:val="000000" w:themeColor="text1"/>
          <w:lang w:val="es-ES" w:eastAsia="es-ES" w:bidi="es-ES"/>
        </w:rPr>
        <w:t xml:space="preserve">En consecuencia, como la obra pública existe con independencia de la modalidad de ejecución o de pago, sea que el objeto se ejecute a través de gerencia integral o de administración delegada, ambas categorías pertenecen a la tipología contractual del numeral 1 del artículo 32 de la Ley 80 de 1993. Es decir, al margen de la nominación asignada por las partes, cualquier negocio jurídico que implique un trabajo material sobre bienes inmuebles a favor de alguna de las entidades descritas en el artículo 2 </w:t>
      </w:r>
      <w:r w:rsidRPr="002C6323">
        <w:rPr>
          <w:rFonts w:ascii="Verdana" w:eastAsia="Calibri" w:hAnsi="Verdana" w:cs="Arial"/>
          <w:i/>
          <w:iCs/>
          <w:color w:val="000000" w:themeColor="text1"/>
          <w:lang w:val="es-ES" w:eastAsia="es-ES" w:bidi="es-ES"/>
        </w:rPr>
        <w:t>ibidem</w:t>
      </w:r>
      <w:r w:rsidRPr="002C6323">
        <w:rPr>
          <w:rFonts w:ascii="Verdana" w:eastAsia="Calibri" w:hAnsi="Verdana" w:cs="Arial"/>
          <w:color w:val="000000" w:themeColor="text1"/>
          <w:lang w:val="es-ES" w:eastAsia="es-ES" w:bidi="es-ES"/>
        </w:rPr>
        <w:t xml:space="preserve">, tiene la naturaleza jurídica de una obra pública y está sometida al Estatuto General de Contratación de la Administración Pública. </w:t>
      </w:r>
    </w:p>
    <w:p w14:paraId="5010DE6C" w14:textId="77777777" w:rsidR="0008202D" w:rsidRPr="002C6323" w:rsidRDefault="0008202D" w:rsidP="0008202D">
      <w:pPr>
        <w:widowControl w:val="0"/>
        <w:autoSpaceDE w:val="0"/>
        <w:autoSpaceDN w:val="0"/>
        <w:spacing w:after="120" w:line="276" w:lineRule="auto"/>
        <w:ind w:firstLine="709"/>
        <w:jc w:val="both"/>
        <w:rPr>
          <w:rFonts w:ascii="Verdana" w:eastAsia="Calibri" w:hAnsi="Verdana" w:cs="Arial"/>
          <w:color w:val="000000" w:themeColor="text1"/>
          <w:lang w:val="es-ES" w:eastAsia="es-ES" w:bidi="es-ES"/>
        </w:rPr>
      </w:pPr>
      <w:r w:rsidRPr="002C6323">
        <w:rPr>
          <w:rFonts w:ascii="Verdana" w:eastAsia="Calibri" w:hAnsi="Verdana" w:cs="Arial"/>
          <w:color w:val="000000" w:themeColor="text1"/>
          <w:lang w:val="es-ES" w:eastAsia="es-ES" w:bidi="es-ES"/>
        </w:rPr>
        <w:t xml:space="preserve">Como este contrato tiene carácter bilateral y oneroso, en los términos del inciso primero del artículo 41 del EGCAP, las obligaciones básicas dependen del acuerdo sobre el inmueble objeto de construcción, mantenimiento, instalación, reforma o demolición, por un lado, y la remuneración del contratista de acuerdo con la forma de ejecución, por el otro. Así, </w:t>
      </w:r>
      <w:r w:rsidRPr="002C6323">
        <w:rPr>
          <w:rFonts w:ascii="Verdana" w:eastAsia="Calibri" w:hAnsi="Verdana" w:cs="Arial"/>
          <w:color w:val="000000" w:themeColor="text1"/>
          <w:lang w:val="es-MX" w:eastAsia="es-ES" w:bidi="es-ES"/>
        </w:rPr>
        <w:t xml:space="preserve">el hecho de que el negocio jurídico incluya la </w:t>
      </w:r>
      <w:r w:rsidRPr="002C6323">
        <w:rPr>
          <w:rFonts w:ascii="Verdana" w:eastAsia="Calibri" w:hAnsi="Verdana" w:cs="Arial"/>
          <w:color w:val="000000" w:themeColor="text1"/>
          <w:sz w:val="18"/>
          <w:szCs w:val="18"/>
          <w:lang w:val="es-MX" w:eastAsia="es-ES" w:bidi="es-ES"/>
        </w:rPr>
        <w:t>“</w:t>
      </w:r>
      <w:r w:rsidRPr="002C6323">
        <w:rPr>
          <w:rFonts w:ascii="Verdana" w:eastAsia="Calibri" w:hAnsi="Verdana" w:cs="Arial"/>
          <w:color w:val="000000" w:themeColor="text1"/>
          <w:lang w:val="es-MX" w:eastAsia="es-ES" w:bidi="es-ES"/>
        </w:rPr>
        <w:t xml:space="preserve">gerencia integral” o la “administración delegada” no suponen elementos distintivos o adicionales a la obra pública que tipifica el Estatuto General de Contratación. El objeto es el mismo en ambos casos, sin perjuicio de </w:t>
      </w:r>
      <w:r w:rsidRPr="002C6323">
        <w:rPr>
          <w:rFonts w:ascii="Verdana" w:eastAsia="Calibri" w:hAnsi="Verdana" w:cs="Arial"/>
          <w:color w:val="000000" w:themeColor="text1"/>
          <w:lang w:val="es-MX" w:eastAsia="es-ES" w:bidi="es-ES"/>
        </w:rPr>
        <w:lastRenderedPageBreak/>
        <w:t xml:space="preserve">lo que las partes dispongan en torno al alcance del proyecto o las obligaciones específicas de la entidad contratante o del contratista. </w:t>
      </w:r>
    </w:p>
    <w:p w14:paraId="3231B1FF" w14:textId="77777777" w:rsidR="0008202D" w:rsidRPr="002C6323" w:rsidRDefault="0008202D" w:rsidP="0008202D">
      <w:pPr>
        <w:widowControl w:val="0"/>
        <w:autoSpaceDE w:val="0"/>
        <w:autoSpaceDN w:val="0"/>
        <w:spacing w:after="0" w:line="276" w:lineRule="auto"/>
        <w:ind w:firstLine="709"/>
        <w:jc w:val="both"/>
        <w:rPr>
          <w:rFonts w:ascii="Verdana" w:eastAsia="Calibri" w:hAnsi="Verdana" w:cs="Arial"/>
          <w:color w:val="000000" w:themeColor="text1"/>
          <w:lang w:val="es-ES" w:eastAsia="es-ES" w:bidi="es-ES"/>
        </w:rPr>
      </w:pPr>
      <w:r w:rsidRPr="002C6323">
        <w:rPr>
          <w:rFonts w:ascii="Verdana" w:eastAsia="Calibri" w:hAnsi="Verdana" w:cs="Arial"/>
          <w:color w:val="000000" w:themeColor="text1"/>
          <w:lang w:val="es-ES" w:eastAsia="es-ES" w:bidi="es-ES"/>
        </w:rPr>
        <w:t xml:space="preserve">Igualmente, también es necesario preguntarse si la naturaleza de la obra pública y del régimen jurídico aplicable es independiente de que el negocio se celebre como contrato o convenio. Al respecto, </w:t>
      </w:r>
      <w:r w:rsidRPr="002C6323">
        <w:rPr>
          <w:rFonts w:ascii="Verdana" w:eastAsia="Calibri" w:hAnsi="Verdana" w:cs="Arial"/>
          <w:bCs/>
          <w:color w:val="000000" w:themeColor="text1"/>
          <w:szCs w:val="24"/>
          <w:lang w:eastAsia="es-ES_tradnl" w:bidi="es-ES"/>
        </w:rPr>
        <w:t xml:space="preserve">la doctrina y la jurisprudencia recientes han resaltado las diferencias entre los contratos y los convenios interadministrativos de que trata el artículo 95 de la Ley 489 de 1998. </w:t>
      </w:r>
      <w:r w:rsidRPr="002C6323">
        <w:rPr>
          <w:rFonts w:ascii="Verdana" w:eastAsia="Calibri" w:hAnsi="Verdana" w:cs="Arial"/>
          <w:bCs/>
          <w:color w:val="000000" w:themeColor="text1"/>
          <w:lang w:eastAsia="es-ES_tradnl" w:bidi="es-ES"/>
        </w:rPr>
        <w:t xml:space="preserve"> </w:t>
      </w:r>
      <w:r w:rsidRPr="002C6323">
        <w:rPr>
          <w:rFonts w:ascii="Verdana" w:eastAsia="Calibri" w:hAnsi="Verdana" w:cs="Arial"/>
          <w:bCs/>
          <w:color w:val="000000" w:themeColor="text1"/>
          <w:szCs w:val="24"/>
          <w:lang w:eastAsia="es-ES_tradnl" w:bidi="es-ES"/>
        </w:rPr>
        <w:t xml:space="preserve">Al respecto, la Sala de Consulta y Servicio Civil del Consejo de Estado expresó lo siguiente: </w:t>
      </w:r>
    </w:p>
    <w:p w14:paraId="37865888" w14:textId="77777777" w:rsidR="0008202D" w:rsidRPr="002C6323" w:rsidRDefault="0008202D" w:rsidP="0008202D">
      <w:pPr>
        <w:spacing w:beforeLines="120" w:before="288" w:afterLines="120" w:after="288" w:line="276" w:lineRule="auto"/>
        <w:ind w:firstLine="708"/>
        <w:contextualSpacing/>
        <w:jc w:val="both"/>
        <w:rPr>
          <w:rFonts w:ascii="Verdana" w:eastAsia="Calibri" w:hAnsi="Verdana" w:cs="Arial"/>
          <w:bCs/>
          <w:color w:val="000000" w:themeColor="text1"/>
          <w:szCs w:val="24"/>
          <w:lang w:eastAsia="es-ES_tradnl" w:bidi="es-ES"/>
        </w:rPr>
      </w:pPr>
    </w:p>
    <w:p w14:paraId="37FF2B87" w14:textId="77777777" w:rsidR="0008202D" w:rsidRPr="002C6323" w:rsidRDefault="0008202D" w:rsidP="0008202D">
      <w:pPr>
        <w:spacing w:after="0" w:line="240" w:lineRule="auto"/>
        <w:ind w:left="709" w:right="709"/>
        <w:contextualSpacing/>
        <w:jc w:val="both"/>
        <w:rPr>
          <w:rFonts w:ascii="Verdana" w:eastAsia="Calibri" w:hAnsi="Verdana" w:cs="Arial"/>
          <w:bCs/>
          <w:color w:val="000000" w:themeColor="text1"/>
          <w:sz w:val="21"/>
          <w:szCs w:val="21"/>
          <w:lang w:eastAsia="es-ES_tradnl" w:bidi="es-ES"/>
        </w:rPr>
      </w:pPr>
      <w:r w:rsidRPr="002C6323">
        <w:rPr>
          <w:rFonts w:ascii="Verdana" w:eastAsia="Calibri" w:hAnsi="Verdana" w:cs="Arial"/>
          <w:bCs/>
          <w:color w:val="000000" w:themeColor="text1"/>
          <w:sz w:val="21"/>
          <w:szCs w:val="21"/>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2C6323">
        <w:rPr>
          <w:rFonts w:ascii="Verdana" w:eastAsia="Calibri" w:hAnsi="Verdana" w:cs="Arial"/>
          <w:bCs/>
          <w:color w:val="000000" w:themeColor="text1"/>
          <w:sz w:val="21"/>
          <w:vertAlign w:val="superscript"/>
          <w:lang w:val="es-ES_tradnl" w:eastAsia="es-ES_tradnl" w:bidi="es-ES"/>
        </w:rPr>
        <w:t xml:space="preserve"> </w:t>
      </w:r>
      <w:r w:rsidRPr="002C6323">
        <w:rPr>
          <w:rFonts w:ascii="Verdana" w:eastAsia="Calibri" w:hAnsi="Verdana" w:cs="Arial"/>
          <w:bCs/>
          <w:color w:val="000000" w:themeColor="text1"/>
          <w:sz w:val="21"/>
          <w:vertAlign w:val="superscript"/>
          <w:lang w:val="es-ES_tradnl" w:eastAsia="es-ES_tradnl" w:bidi="es-ES"/>
        </w:rPr>
        <w:footnoteReference w:id="6"/>
      </w:r>
    </w:p>
    <w:p w14:paraId="5335B6E1" w14:textId="77777777" w:rsidR="0008202D" w:rsidRPr="002C6323" w:rsidRDefault="0008202D" w:rsidP="0008202D">
      <w:pPr>
        <w:spacing w:beforeLines="120" w:before="288" w:afterLines="120" w:after="288" w:line="276" w:lineRule="auto"/>
        <w:ind w:firstLine="708"/>
        <w:contextualSpacing/>
        <w:jc w:val="both"/>
        <w:rPr>
          <w:rFonts w:ascii="Verdana" w:eastAsia="Calibri" w:hAnsi="Verdana" w:cs="Arial"/>
          <w:bCs/>
          <w:color w:val="000000" w:themeColor="text1"/>
          <w:szCs w:val="24"/>
          <w:lang w:eastAsia="es-ES_tradnl" w:bidi="es-ES"/>
        </w:rPr>
      </w:pPr>
    </w:p>
    <w:p w14:paraId="4EB5B19A" w14:textId="77777777" w:rsidR="0008202D" w:rsidRPr="002C6323" w:rsidRDefault="0008202D" w:rsidP="0008202D">
      <w:pPr>
        <w:spacing w:after="0" w:line="276" w:lineRule="auto"/>
        <w:ind w:firstLine="709"/>
        <w:contextualSpacing/>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t>En línea con lo anterior, la Sala Contenciosa Administrativa del Consejo de Estado en sentencia del 14 de junio de 2019 también señaló:</w:t>
      </w:r>
    </w:p>
    <w:p w14:paraId="2B6B2EF2" w14:textId="77777777" w:rsidR="0008202D" w:rsidRPr="002C6323" w:rsidRDefault="0008202D" w:rsidP="0008202D">
      <w:pPr>
        <w:spacing w:beforeLines="120" w:before="288" w:afterLines="120" w:after="288" w:line="276" w:lineRule="auto"/>
        <w:contextualSpacing/>
        <w:rPr>
          <w:rFonts w:ascii="Verdana" w:eastAsia="Calibri" w:hAnsi="Verdana" w:cs="Arial"/>
          <w:bCs/>
          <w:color w:val="000000" w:themeColor="text1"/>
          <w:szCs w:val="24"/>
          <w:lang w:eastAsia="es-ES_tradnl" w:bidi="es-ES"/>
        </w:rPr>
      </w:pPr>
    </w:p>
    <w:p w14:paraId="49F4D720" w14:textId="77777777" w:rsidR="0008202D" w:rsidRPr="002C6323" w:rsidRDefault="0008202D" w:rsidP="0008202D">
      <w:pPr>
        <w:spacing w:after="120" w:line="240" w:lineRule="auto"/>
        <w:ind w:left="709" w:right="709"/>
        <w:contextualSpacing/>
        <w:jc w:val="both"/>
        <w:rPr>
          <w:rFonts w:ascii="Verdana" w:eastAsia="Calibri" w:hAnsi="Verdana" w:cs="Arial"/>
          <w:bCs/>
          <w:color w:val="000000" w:themeColor="text1"/>
          <w:sz w:val="21"/>
          <w:szCs w:val="21"/>
          <w:lang w:val="es-ES_tradnl" w:eastAsia="es-ES_tradnl" w:bidi="es-ES"/>
        </w:rPr>
      </w:pPr>
      <w:r w:rsidRPr="002C6323">
        <w:rPr>
          <w:rFonts w:ascii="Verdana" w:eastAsia="Calibri" w:hAnsi="Verdana" w:cs="Arial"/>
          <w:bCs/>
          <w:color w:val="000000" w:themeColor="text1"/>
          <w:sz w:val="21"/>
          <w:szCs w:val="21"/>
          <w:lang w:val="es-ES_tradnl" w:eastAsia="es-ES_tradnl" w:bidi="es-ES"/>
        </w:rPr>
        <w:t>“La Sala de Consulta y Servicio Civil</w:t>
      </w:r>
      <w:r w:rsidRPr="002C6323">
        <w:rPr>
          <w:rFonts w:ascii="Verdana" w:eastAsia="Calibri" w:hAnsi="Verdana" w:cs="Arial"/>
          <w:bCs/>
          <w:color w:val="000000" w:themeColor="text1"/>
          <w:sz w:val="21"/>
          <w:szCs w:val="21"/>
          <w:vertAlign w:val="superscript"/>
          <w:lang w:val="es-ES_tradnl" w:eastAsia="es-ES_tradnl" w:bidi="es-ES"/>
        </w:rPr>
        <w:footnoteReference w:id="7"/>
      </w:r>
      <w:r w:rsidRPr="002C6323">
        <w:rPr>
          <w:rFonts w:ascii="Verdana" w:eastAsia="Calibri" w:hAnsi="Verdana" w:cs="Arial"/>
          <w:bCs/>
          <w:color w:val="000000" w:themeColor="text1"/>
          <w:sz w:val="21"/>
          <w:szCs w:val="21"/>
          <w:lang w:val="es-ES_tradnl" w:eastAsia="es-ES_tradnl" w:bidi="es-ES"/>
        </w:rPr>
        <w:t xml:space="preserve"> de esta Corporación se ha referido a los </w:t>
      </w:r>
      <w:r w:rsidRPr="002C6323">
        <w:rPr>
          <w:rFonts w:ascii="Verdana" w:eastAsia="Calibri" w:hAnsi="Verdana" w:cs="Arial"/>
          <w:bCs/>
          <w:i/>
          <w:color w:val="000000" w:themeColor="text1"/>
          <w:sz w:val="21"/>
          <w:szCs w:val="21"/>
          <w:lang w:val="es-ES_tradnl" w:eastAsia="es-ES_tradnl" w:bidi="es-ES"/>
        </w:rPr>
        <w:t>“convenios interadministrativos”</w:t>
      </w:r>
      <w:r w:rsidRPr="002C6323">
        <w:rPr>
          <w:rFonts w:ascii="Verdana" w:eastAsia="Calibri" w:hAnsi="Verdana" w:cs="Arial"/>
          <w:bCs/>
          <w:color w:val="000000" w:themeColor="text1"/>
          <w:sz w:val="21"/>
          <w:szCs w:val="21"/>
          <w:lang w:val="es-ES_tradnl" w:eastAsia="es-ES_tradnl" w:bidi="es-ES"/>
        </w:rPr>
        <w:t xml:space="preserve"> a los cuales alude el artículo 95 de la Ley 489 de 1998, calificándolos de </w:t>
      </w:r>
      <w:r w:rsidRPr="002C6323">
        <w:rPr>
          <w:rFonts w:ascii="Verdana" w:eastAsia="Calibri" w:hAnsi="Verdana" w:cs="Arial"/>
          <w:bCs/>
          <w:i/>
          <w:color w:val="000000" w:themeColor="text1"/>
          <w:sz w:val="21"/>
          <w:szCs w:val="21"/>
          <w:lang w:val="es-ES_tradnl" w:eastAsia="es-ES_tradnl" w:bidi="es-ES"/>
        </w:rPr>
        <w:t xml:space="preserve">“puros” </w:t>
      </w:r>
      <w:r w:rsidRPr="002C6323">
        <w:rPr>
          <w:rFonts w:ascii="Verdana" w:eastAsia="Calibri" w:hAnsi="Verdana" w:cs="Arial"/>
          <w:bCs/>
          <w:color w:val="000000" w:themeColor="text1"/>
          <w:sz w:val="21"/>
          <w:szCs w:val="21"/>
          <w:lang w:val="es-ES_tradnl" w:eastAsia="es-ES_tradnl" w:bidi="es-ES"/>
        </w:rPr>
        <w:t xml:space="preserve">y entendiendo que estos, además de perseguir la finalidad de cooperación antes indicada, no implican intereses contrapuestos ni tampoco se circunscriben a un </w:t>
      </w:r>
      <w:r w:rsidRPr="002C6323">
        <w:rPr>
          <w:rFonts w:ascii="Verdana" w:eastAsia="Calibri" w:hAnsi="Verdana" w:cs="Arial"/>
          <w:bCs/>
          <w:i/>
          <w:color w:val="000000" w:themeColor="text1"/>
          <w:sz w:val="21"/>
          <w:szCs w:val="21"/>
          <w:lang w:val="es-ES_tradnl" w:eastAsia="es-ES_tradnl" w:bidi="es-ES"/>
        </w:rPr>
        <w:t>“intercambio patrimonial”</w:t>
      </w:r>
      <w:r w:rsidRPr="002C6323">
        <w:rPr>
          <w:rFonts w:ascii="Verdana" w:eastAsia="Calibri" w:hAnsi="Verdana" w:cs="Arial"/>
          <w:bCs/>
          <w:color w:val="000000" w:themeColor="text1"/>
          <w:sz w:val="21"/>
          <w:szCs w:val="21"/>
          <w:lang w:val="es-ES_tradnl" w:eastAsia="es-ES_tradnl" w:bidi="es-ES"/>
        </w:rPr>
        <w:t>. Sin perjuicio de lo anterior, en otra oportunidad, la misma Sala</w:t>
      </w:r>
      <w:r w:rsidRPr="002C6323">
        <w:rPr>
          <w:rFonts w:ascii="Verdana" w:eastAsia="Calibri" w:hAnsi="Verdana" w:cs="Arial"/>
          <w:bCs/>
          <w:color w:val="000000" w:themeColor="text1"/>
          <w:sz w:val="21"/>
          <w:szCs w:val="21"/>
          <w:vertAlign w:val="superscript"/>
          <w:lang w:val="es-ES_tradnl" w:eastAsia="es-ES_tradnl" w:bidi="es-ES"/>
        </w:rPr>
        <w:footnoteReference w:id="8"/>
      </w:r>
      <w:r w:rsidRPr="002C6323">
        <w:rPr>
          <w:rFonts w:ascii="Verdana" w:eastAsia="Calibri" w:hAnsi="Verdana" w:cs="Arial"/>
          <w:bCs/>
          <w:color w:val="000000" w:themeColor="text1"/>
          <w:sz w:val="21"/>
          <w:szCs w:val="21"/>
          <w:lang w:val="es-ES_tradnl" w:eastAsia="es-ES_tradnl" w:bidi="es-ES"/>
        </w:rPr>
        <w:t xml:space="preserve"> había indicado que, si bien en dichos convenios no se daba un </w:t>
      </w:r>
      <w:r w:rsidRPr="002C6323">
        <w:rPr>
          <w:rFonts w:ascii="Verdana" w:eastAsia="Calibri" w:hAnsi="Verdana" w:cs="Arial"/>
          <w:bCs/>
          <w:i/>
          <w:color w:val="000000" w:themeColor="text1"/>
          <w:sz w:val="21"/>
          <w:szCs w:val="21"/>
          <w:lang w:val="es-ES_tradnl" w:eastAsia="es-ES_tradnl" w:bidi="es-ES"/>
        </w:rPr>
        <w:t xml:space="preserve">“verdadero intercambio de bienes o servicios </w:t>
      </w:r>
      <w:r w:rsidRPr="002C6323">
        <w:rPr>
          <w:rFonts w:ascii="Verdana" w:eastAsia="Calibri" w:hAnsi="Verdana" w:cs="Arial"/>
          <w:bCs/>
          <w:i/>
          <w:color w:val="000000" w:themeColor="text1"/>
          <w:sz w:val="21"/>
          <w:szCs w:val="21"/>
          <w:lang w:val="es-ES_tradnl" w:eastAsia="es-ES_tradnl" w:bidi="es-ES"/>
        </w:rPr>
        <w:lastRenderedPageBreak/>
        <w:t>(contrato conmutativo)”</w:t>
      </w:r>
      <w:r w:rsidRPr="002C6323">
        <w:rPr>
          <w:rFonts w:ascii="Verdana" w:eastAsia="Calibri" w:hAnsi="Verdana" w:cs="Arial"/>
          <w:bCs/>
          <w:color w:val="000000" w:themeColor="text1"/>
          <w:sz w:val="21"/>
          <w:szCs w:val="21"/>
          <w:lang w:val="es-ES_tradnl" w:eastAsia="es-ES_tradnl" w:bidi="es-ES"/>
        </w:rPr>
        <w:t>, ello no impedía que se conviniera una remuneración a cargo de alguna(s) entidad(es).</w:t>
      </w:r>
    </w:p>
    <w:p w14:paraId="50EDBEF7" w14:textId="77777777" w:rsidR="0008202D" w:rsidRPr="002C6323" w:rsidRDefault="0008202D" w:rsidP="0008202D">
      <w:pPr>
        <w:spacing w:after="120" w:line="240" w:lineRule="auto"/>
        <w:ind w:left="709" w:right="709"/>
        <w:contextualSpacing/>
        <w:jc w:val="both"/>
        <w:rPr>
          <w:rFonts w:ascii="Verdana" w:eastAsia="Calibri" w:hAnsi="Verdana" w:cs="Arial"/>
          <w:bCs/>
          <w:color w:val="000000" w:themeColor="text1"/>
          <w:sz w:val="12"/>
          <w:szCs w:val="12"/>
          <w:lang w:val="es-ES_tradnl" w:eastAsia="es-ES_tradnl" w:bidi="es-ES"/>
        </w:rPr>
      </w:pPr>
    </w:p>
    <w:p w14:paraId="4BC3E97D" w14:textId="77777777" w:rsidR="0008202D" w:rsidRPr="002C6323" w:rsidRDefault="0008202D" w:rsidP="0008202D">
      <w:pPr>
        <w:spacing w:beforeLines="120" w:before="288" w:afterLines="120" w:after="288" w:line="240" w:lineRule="auto"/>
        <w:ind w:left="708" w:right="709"/>
        <w:contextualSpacing/>
        <w:jc w:val="both"/>
        <w:rPr>
          <w:rFonts w:ascii="Verdana" w:eastAsia="Calibri" w:hAnsi="Verdana" w:cs="Arial"/>
          <w:bCs/>
          <w:color w:val="000000" w:themeColor="text1"/>
          <w:sz w:val="21"/>
          <w:szCs w:val="21"/>
          <w:lang w:eastAsia="es-ES_tradnl" w:bidi="es-ES"/>
        </w:rPr>
      </w:pPr>
      <w:r w:rsidRPr="002C6323">
        <w:rPr>
          <w:rFonts w:ascii="Verdana" w:eastAsia="Calibri" w:hAnsi="Verdana" w:cs="Arial"/>
          <w:bCs/>
          <w:color w:val="000000" w:themeColor="text1"/>
          <w:sz w:val="21"/>
          <w:szCs w:val="21"/>
          <w:lang w:val="es-ES_tradnl" w:eastAsia="es-ES_tradnl" w:bidi="es-ES"/>
        </w:rPr>
        <w:t xml:space="preserve">Lo expuesto evidencia que, en general, las interpretaciones en torno a los </w:t>
      </w:r>
      <w:r w:rsidRPr="002C6323">
        <w:rPr>
          <w:rFonts w:ascii="Verdana" w:eastAsia="Calibri" w:hAnsi="Verdana" w:cs="Arial"/>
          <w:bCs/>
          <w:i/>
          <w:color w:val="000000" w:themeColor="text1"/>
          <w:sz w:val="21"/>
          <w:szCs w:val="21"/>
          <w:lang w:val="es-ES_tradnl" w:eastAsia="es-ES_tradnl" w:bidi="es-ES"/>
        </w:rPr>
        <w:t>“convenios interadministrativos”</w:t>
      </w:r>
      <w:r w:rsidRPr="002C6323">
        <w:rPr>
          <w:rFonts w:ascii="Verdana" w:eastAsia="Calibri" w:hAnsi="Verdana" w:cs="Arial"/>
          <w:bCs/>
          <w:color w:val="000000" w:themeColor="text1"/>
          <w:sz w:val="21"/>
          <w:szCs w:val="21"/>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2C6323">
        <w:rPr>
          <w:rFonts w:ascii="Verdana" w:eastAsia="Calibri" w:hAnsi="Verdana" w:cs="Arial"/>
          <w:bCs/>
          <w:color w:val="000000" w:themeColor="text1"/>
          <w:sz w:val="21"/>
          <w:szCs w:val="21"/>
          <w:vertAlign w:val="superscript"/>
          <w:lang w:val="es-ES_tradnl" w:eastAsia="es-ES_tradnl" w:bidi="es-ES"/>
        </w:rPr>
        <w:footnoteReference w:id="9"/>
      </w:r>
      <w:r w:rsidRPr="002C6323">
        <w:rPr>
          <w:rFonts w:ascii="Verdana" w:eastAsia="Calibri" w:hAnsi="Verdana" w:cs="Arial"/>
          <w:bCs/>
          <w:color w:val="000000" w:themeColor="text1"/>
          <w:sz w:val="21"/>
          <w:szCs w:val="21"/>
          <w:lang w:val="es-ES_tradnl" w:eastAsia="es-ES_tradnl" w:bidi="es-ES"/>
        </w:rPr>
        <w:t>.</w:t>
      </w:r>
      <w:r w:rsidRPr="002C6323">
        <w:rPr>
          <w:rStyle w:val="Refdenotaalpie"/>
          <w:rFonts w:ascii="Verdana" w:eastAsia="Calibri" w:hAnsi="Verdana" w:cs="Arial"/>
          <w:bCs/>
          <w:color w:val="000000" w:themeColor="text1"/>
          <w:sz w:val="21"/>
          <w:szCs w:val="21"/>
          <w:lang w:eastAsia="es-ES_tradnl" w:bidi="es-ES"/>
        </w:rPr>
        <w:footnoteReference w:id="10"/>
      </w:r>
      <w:r w:rsidRPr="002C6323">
        <w:rPr>
          <w:rFonts w:ascii="Verdana" w:eastAsia="Calibri" w:hAnsi="Verdana" w:cs="Arial"/>
          <w:bCs/>
          <w:color w:val="000000" w:themeColor="text1"/>
          <w:sz w:val="21"/>
          <w:szCs w:val="21"/>
          <w:lang w:val="es-ES_tradnl" w:eastAsia="es-ES_tradnl" w:bidi="es-ES"/>
        </w:rPr>
        <w:t xml:space="preserve"> </w:t>
      </w:r>
    </w:p>
    <w:p w14:paraId="35E13F7F" w14:textId="77777777" w:rsidR="0008202D" w:rsidRPr="002C6323" w:rsidRDefault="0008202D" w:rsidP="0008202D">
      <w:pPr>
        <w:spacing w:beforeLines="120" w:before="288" w:afterLines="120" w:after="288" w:line="276" w:lineRule="auto"/>
        <w:contextualSpacing/>
        <w:rPr>
          <w:rFonts w:ascii="Verdana" w:eastAsia="Calibri" w:hAnsi="Verdana" w:cs="Arial"/>
          <w:bCs/>
          <w:color w:val="000000" w:themeColor="text1"/>
          <w:szCs w:val="24"/>
          <w:lang w:eastAsia="es-ES_tradnl" w:bidi="es-ES"/>
        </w:rPr>
      </w:pPr>
    </w:p>
    <w:p w14:paraId="1D4DB1DF" w14:textId="77777777" w:rsidR="0008202D" w:rsidRPr="002C6323" w:rsidRDefault="0008202D" w:rsidP="0008202D">
      <w:pPr>
        <w:spacing w:after="0" w:line="276" w:lineRule="auto"/>
        <w:ind w:firstLine="709"/>
        <w:contextualSpacing/>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t>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si bien se puede pactar remuneración</w:t>
      </w:r>
      <w:r w:rsidRPr="002C6323">
        <w:rPr>
          <w:rStyle w:val="Refdenotaalpie"/>
          <w:rFonts w:ascii="Verdana" w:eastAsia="Calibri" w:hAnsi="Verdana" w:cs="Arial"/>
          <w:bCs/>
          <w:color w:val="000000" w:themeColor="text1"/>
          <w:szCs w:val="24"/>
          <w:lang w:eastAsia="es-ES_tradnl" w:bidi="es-ES"/>
        </w:rPr>
        <w:footnoteReference w:id="11"/>
      </w:r>
      <w:r w:rsidRPr="002C6323">
        <w:rPr>
          <w:rFonts w:ascii="Verdana" w:eastAsia="Calibri" w:hAnsi="Verdana" w:cs="Arial"/>
          <w:bCs/>
          <w:color w:val="000000" w:themeColor="text1"/>
          <w:szCs w:val="24"/>
          <w:lang w:eastAsia="es-ES_tradnl" w:bidi="es-ES"/>
        </w:rPr>
        <w:t xml:space="preserve">, en esencia se pretende el cumplimiento de fines coincidentes entre quienes lo ejecutan. Desde esta perspectiva, una o ambas partes pueden asumir las obligaciones de contenido patrimonial en función del negocio suscrito. </w:t>
      </w:r>
    </w:p>
    <w:p w14:paraId="48AD7D78" w14:textId="77777777" w:rsidR="0008202D" w:rsidRPr="002C6323" w:rsidRDefault="0008202D" w:rsidP="0008202D">
      <w:pPr>
        <w:spacing w:before="120" w:after="0" w:line="276" w:lineRule="auto"/>
        <w:ind w:firstLine="709"/>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lastRenderedPageBreak/>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42B34D0B" w14:textId="77777777" w:rsidR="0008202D" w:rsidRPr="002C6323" w:rsidRDefault="0008202D" w:rsidP="0008202D">
      <w:pPr>
        <w:spacing w:before="120" w:after="0" w:line="276" w:lineRule="auto"/>
        <w:ind w:firstLine="709"/>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t>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w:t>
      </w:r>
      <w:r w:rsidRPr="002C6323">
        <w:rPr>
          <w:rFonts w:ascii="Verdana" w:eastAsia="Calibri" w:hAnsi="Verdana" w:cs="Arial"/>
          <w:bCs/>
          <w:color w:val="000000" w:themeColor="text1"/>
          <w:lang w:eastAsia="es-ES_tradnl" w:bidi="es-ES"/>
        </w:rPr>
        <w:t xml:space="preserve"> existe una contraprestación directa a favor de la entidad contratista que ha entregado el bien o prestado el servicio o realizado la obra a favor de la entidad contratante. </w:t>
      </w:r>
      <w:r w:rsidRPr="002C6323">
        <w:rPr>
          <w:rFonts w:ascii="Verdana" w:eastAsia="Calibri" w:hAnsi="Verdana" w:cs="Arial"/>
          <w:bCs/>
          <w:color w:val="000000" w:themeColor="text1"/>
          <w:szCs w:val="24"/>
          <w:lang w:eastAsia="es-ES_tradnl" w:bidi="es-ES"/>
        </w:rPr>
        <w:t>De aquí que la Sala de Consulta y Servicio Civil del Consejo de Estado</w:t>
      </w:r>
      <w:r w:rsidRPr="002C6323">
        <w:rPr>
          <w:rFonts w:ascii="Verdana" w:eastAsia="Calibri" w:hAnsi="Verdana" w:cs="Arial"/>
          <w:bCs/>
          <w:color w:val="000000" w:themeColor="text1"/>
          <w:szCs w:val="24"/>
          <w:vertAlign w:val="superscript"/>
          <w:lang w:eastAsia="es-ES_tradnl" w:bidi="es-ES"/>
        </w:rPr>
        <w:footnoteReference w:id="12"/>
      </w:r>
      <w:r w:rsidRPr="002C6323">
        <w:rPr>
          <w:rFonts w:ascii="Verdana" w:eastAsia="Calibri" w:hAnsi="Verdana" w:cs="Arial"/>
          <w:bCs/>
          <w:color w:val="000000" w:themeColor="text1"/>
          <w:szCs w:val="24"/>
          <w:lang w:eastAsia="es-ES_tradnl" w:bidi="es-ES"/>
        </w:rPr>
        <w:t xml:space="preserve"> haya señalado la necesidad de diferenciar el régimen jurídico aplicable a ciertas situaciones específicas del convenio interadministrativo que se separan del régimen jurídico común:</w:t>
      </w:r>
    </w:p>
    <w:p w14:paraId="739F80C6" w14:textId="77777777" w:rsidR="0008202D" w:rsidRPr="002C6323" w:rsidRDefault="0008202D" w:rsidP="0008202D">
      <w:pPr>
        <w:spacing w:beforeLines="120" w:before="288" w:afterLines="120" w:after="288" w:line="276" w:lineRule="auto"/>
        <w:ind w:firstLine="708"/>
        <w:contextualSpacing/>
        <w:rPr>
          <w:rFonts w:ascii="Verdana" w:eastAsia="Calibri" w:hAnsi="Verdana" w:cs="Arial"/>
          <w:bCs/>
          <w:color w:val="000000" w:themeColor="text1"/>
          <w:szCs w:val="24"/>
          <w:lang w:eastAsia="es-ES_tradnl" w:bidi="es-ES"/>
        </w:rPr>
      </w:pPr>
    </w:p>
    <w:p w14:paraId="491C2DB5" w14:textId="77777777" w:rsidR="0008202D" w:rsidRPr="002C6323" w:rsidRDefault="0008202D" w:rsidP="0008202D">
      <w:pPr>
        <w:spacing w:beforeLines="120" w:before="288" w:afterLines="120" w:after="288" w:line="240" w:lineRule="auto"/>
        <w:ind w:left="708" w:right="709"/>
        <w:contextualSpacing/>
        <w:jc w:val="both"/>
        <w:rPr>
          <w:rFonts w:ascii="Verdana" w:eastAsia="Calibri" w:hAnsi="Verdana" w:cs="Arial"/>
          <w:bCs/>
          <w:color w:val="000000" w:themeColor="text1"/>
          <w:sz w:val="21"/>
          <w:lang w:eastAsia="es-ES_tradnl" w:bidi="es-ES"/>
        </w:rPr>
      </w:pPr>
      <w:r w:rsidRPr="002C6323">
        <w:rPr>
          <w:rFonts w:ascii="Verdana" w:eastAsia="Calibri" w:hAnsi="Verdana" w:cs="Arial"/>
          <w:bCs/>
          <w:color w:val="000000" w:themeColor="text1"/>
          <w:sz w:val="21"/>
          <w:lang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5912434E" w14:textId="77777777" w:rsidR="0008202D" w:rsidRPr="002C6323" w:rsidRDefault="0008202D" w:rsidP="0008202D">
      <w:pPr>
        <w:spacing w:beforeLines="120" w:before="288" w:afterLines="120" w:after="288" w:line="240" w:lineRule="auto"/>
        <w:ind w:left="708" w:right="709"/>
        <w:contextualSpacing/>
        <w:jc w:val="both"/>
        <w:rPr>
          <w:rFonts w:ascii="Verdana" w:eastAsia="Calibri" w:hAnsi="Verdana" w:cs="Arial"/>
          <w:bCs/>
          <w:color w:val="000000" w:themeColor="text1"/>
          <w:sz w:val="12"/>
          <w:szCs w:val="12"/>
          <w:lang w:eastAsia="es-ES_tradnl" w:bidi="es-ES"/>
        </w:rPr>
      </w:pPr>
    </w:p>
    <w:p w14:paraId="2CACFD46" w14:textId="77777777" w:rsidR="0008202D" w:rsidRPr="002C6323" w:rsidRDefault="0008202D" w:rsidP="0008202D">
      <w:pPr>
        <w:spacing w:beforeLines="120" w:before="288" w:afterLines="120" w:after="288" w:line="240" w:lineRule="auto"/>
        <w:ind w:left="708" w:right="709"/>
        <w:contextualSpacing/>
        <w:jc w:val="both"/>
        <w:rPr>
          <w:rFonts w:ascii="Verdana" w:eastAsia="Calibri" w:hAnsi="Verdana" w:cs="Arial"/>
          <w:bCs/>
          <w:color w:val="000000" w:themeColor="text1"/>
          <w:sz w:val="21"/>
          <w:lang w:eastAsia="es-ES_tradnl" w:bidi="es-ES"/>
        </w:rPr>
      </w:pPr>
      <w:r w:rsidRPr="002C6323">
        <w:rPr>
          <w:rFonts w:ascii="Verdana" w:eastAsia="Calibri" w:hAnsi="Verdana" w:cs="Arial"/>
          <w:bCs/>
          <w:color w:val="000000" w:themeColor="text1"/>
          <w:sz w:val="21"/>
          <w:lang w:eastAsia="es-ES_tradnl" w:bidi="es-ES"/>
        </w:rPr>
        <w:t>Ahora, dada la naturaleza jurídica explicada de los convenios interadministrativos</w:t>
      </w:r>
      <w:r w:rsidRPr="002C6323">
        <w:rPr>
          <w:rFonts w:ascii="Verdana" w:eastAsia="Calibri" w:hAnsi="Verdana" w:cs="Arial"/>
          <w:bCs/>
          <w:i/>
          <w:iCs/>
          <w:color w:val="000000" w:themeColor="text1"/>
          <w:sz w:val="21"/>
          <w:lang w:eastAsia="es-ES_tradnl" w:bidi="es-ES"/>
        </w:rPr>
        <w:t xml:space="preserve">,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w:t>
      </w:r>
      <w:r w:rsidRPr="002C6323">
        <w:rPr>
          <w:rFonts w:ascii="Verdana" w:eastAsia="Calibri" w:hAnsi="Verdana" w:cs="Arial"/>
          <w:bCs/>
          <w:i/>
          <w:iCs/>
          <w:color w:val="000000" w:themeColor="text1"/>
          <w:sz w:val="21"/>
          <w:lang w:eastAsia="es-ES_tradnl" w:bidi="es-ES"/>
        </w:rPr>
        <w:lastRenderedPageBreak/>
        <w:t>analizarse, de conformidad con la naturaleza jurídica, objeto y finalidad que se pretende cumplir o desarrollar con el respectivo convenio, si la disposición correspondiente del Estatuto Contractual es aplicable o no</w:t>
      </w:r>
      <w:r w:rsidRPr="002C6323">
        <w:rPr>
          <w:rFonts w:ascii="Verdana" w:eastAsia="Calibri" w:hAnsi="Verdana" w:cs="Arial"/>
          <w:bCs/>
          <w:color w:val="000000" w:themeColor="text1"/>
          <w:sz w:val="21"/>
          <w:lang w:eastAsia="es-ES_tradnl" w:bidi="es-ES"/>
        </w:rPr>
        <w:t xml:space="preserve">”. (Cursiva fuera del texto original) </w:t>
      </w:r>
    </w:p>
    <w:p w14:paraId="037D3C87" w14:textId="77777777" w:rsidR="0008202D" w:rsidRPr="002C6323" w:rsidRDefault="0008202D" w:rsidP="0008202D">
      <w:pPr>
        <w:spacing w:beforeLines="120" w:before="288" w:afterLines="120" w:after="288" w:line="276" w:lineRule="auto"/>
        <w:ind w:firstLine="708"/>
        <w:contextualSpacing/>
        <w:rPr>
          <w:rFonts w:ascii="Verdana" w:eastAsia="Calibri" w:hAnsi="Verdana" w:cs="Arial"/>
          <w:bCs/>
          <w:color w:val="000000" w:themeColor="text1"/>
          <w:szCs w:val="24"/>
          <w:lang w:eastAsia="es-ES_tradnl" w:bidi="es-ES"/>
        </w:rPr>
      </w:pPr>
    </w:p>
    <w:p w14:paraId="7687AF34" w14:textId="77777777" w:rsidR="0008202D" w:rsidRPr="002C6323" w:rsidRDefault="0008202D" w:rsidP="0008202D">
      <w:pPr>
        <w:snapToGrid w:val="0"/>
        <w:spacing w:after="0" w:line="276" w:lineRule="auto"/>
        <w:ind w:firstLine="709"/>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14:paraId="4E594584" w14:textId="77777777" w:rsidR="0008202D" w:rsidRPr="002C6323" w:rsidRDefault="0008202D" w:rsidP="0008202D">
      <w:pPr>
        <w:snapToGrid w:val="0"/>
        <w:spacing w:before="120" w:after="0" w:line="276" w:lineRule="auto"/>
        <w:ind w:firstLine="709"/>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t>En ese orden, por ejemplo, no serán aplicables, en principio, para los convenios interadministrativos, las cláusulas excepcionales al derecho común</w:t>
      </w:r>
      <w:r w:rsidRPr="002C6323">
        <w:rPr>
          <w:rFonts w:ascii="Verdana" w:eastAsia="Calibri" w:hAnsi="Verdana" w:cs="Arial"/>
          <w:bCs/>
          <w:color w:val="000000" w:themeColor="text1"/>
          <w:szCs w:val="24"/>
          <w:vertAlign w:val="superscript"/>
          <w:lang w:eastAsia="es-ES_tradnl" w:bidi="es-ES"/>
        </w:rPr>
        <w:footnoteReference w:id="13"/>
      </w:r>
      <w:r w:rsidRPr="002C6323">
        <w:rPr>
          <w:rFonts w:ascii="Verdana" w:eastAsia="Calibri" w:hAnsi="Verdana" w:cs="Arial"/>
          <w:bCs/>
          <w:color w:val="000000" w:themeColor="text1"/>
          <w:szCs w:val="24"/>
          <w:lang w:eastAsia="es-ES_tradnl" w:bidi="es-ES"/>
        </w:rPr>
        <w:t xml:space="preserve"> y tampoco sería procedente la inclusión de figuras contractuales como liquidación unilateral</w:t>
      </w:r>
      <w:r w:rsidRPr="002C6323">
        <w:rPr>
          <w:rStyle w:val="Refdenotaalpie"/>
          <w:rFonts w:ascii="Verdana" w:eastAsia="Calibri" w:hAnsi="Verdana" w:cs="Arial"/>
          <w:bCs/>
          <w:color w:val="000000" w:themeColor="text1"/>
          <w:szCs w:val="24"/>
          <w:lang w:eastAsia="es-ES_tradnl" w:bidi="es-ES"/>
        </w:rPr>
        <w:footnoteReference w:id="14"/>
      </w:r>
      <w:r w:rsidRPr="002C6323">
        <w:rPr>
          <w:rFonts w:ascii="Verdana" w:eastAsia="Calibri" w:hAnsi="Verdana" w:cs="Arial"/>
          <w:bCs/>
          <w:color w:val="000000" w:themeColor="text1"/>
          <w:szCs w:val="24"/>
          <w:lang w:eastAsia="es-ES_tradnl" w:bidi="es-ES"/>
        </w:rPr>
        <w:t xml:space="preserve">. En todo caso, siguiendo la senda interpretativa expuesta por la Sala de Consulta y Servicio Civil en el concepto que acaba de citarse, la aplicación o inaplicación de estas y otras instituciones contractuales deberá definirse al analizar el contenido preciso de cada convenio interadministrativo celebrado y tal cuestión no puede concluirse </w:t>
      </w:r>
      <w:r w:rsidRPr="002C6323">
        <w:rPr>
          <w:rFonts w:ascii="Verdana" w:eastAsia="Calibri" w:hAnsi="Verdana" w:cs="Arial"/>
          <w:bCs/>
          <w:i/>
          <w:iCs/>
          <w:color w:val="000000" w:themeColor="text1"/>
          <w:szCs w:val="24"/>
          <w:lang w:eastAsia="es-ES_tradnl" w:bidi="es-ES"/>
        </w:rPr>
        <w:t>a priori</w:t>
      </w:r>
      <w:r w:rsidRPr="002C6323">
        <w:rPr>
          <w:rFonts w:ascii="Verdana" w:eastAsia="Calibri" w:hAnsi="Verdana" w:cs="Arial"/>
          <w:bCs/>
          <w:color w:val="000000" w:themeColor="text1"/>
          <w:szCs w:val="24"/>
          <w:lang w:eastAsia="es-ES_tradnl" w:bidi="es-ES"/>
        </w:rPr>
        <w:t xml:space="preserve"> o de manera automática. </w:t>
      </w:r>
    </w:p>
    <w:p w14:paraId="51CCBAE2" w14:textId="77777777" w:rsidR="0008202D" w:rsidRPr="002C6323" w:rsidRDefault="0008202D" w:rsidP="0008202D">
      <w:pPr>
        <w:snapToGrid w:val="0"/>
        <w:spacing w:before="120" w:after="120" w:line="276" w:lineRule="auto"/>
        <w:ind w:firstLine="709"/>
        <w:jc w:val="both"/>
        <w:rPr>
          <w:rFonts w:ascii="Verdana" w:eastAsia="Calibri" w:hAnsi="Verdana" w:cs="Arial"/>
          <w:bCs/>
          <w:color w:val="000000" w:themeColor="text1"/>
          <w:szCs w:val="24"/>
          <w:lang w:eastAsia="es-ES_tradnl" w:bidi="es-ES"/>
        </w:rPr>
      </w:pPr>
      <w:r w:rsidRPr="002C6323">
        <w:rPr>
          <w:rFonts w:ascii="Verdana" w:eastAsia="Calibri" w:hAnsi="Verdana" w:cs="Arial"/>
          <w:bCs/>
          <w:color w:val="000000" w:themeColor="text1"/>
          <w:szCs w:val="24"/>
          <w:lang w:eastAsia="es-ES_tradnl" w:bidi="es-ES"/>
        </w:rPr>
        <w:t xml:space="preserve">Esto por cuanto, por una parte, el carácter de convenio interadministrativo no se deriva de su simple denominación como tal, sino de que el acuerdo de voluntades respectivo cumpla a cabalidad con las características que la normativa, la jurisprudencia y la doctrina le han atribuido y que han sido explicados en este concepto. Así, aun si el negocio jurídico de que se trate se suscriba bajo la denominación de “convenio interadministrativo” o algo similar, pero de la lectura de sus cláusulas se concluya una relación conmutativa y claramente onerosa entre las partes y se nota ausente la finalidad asociativa o </w:t>
      </w:r>
      <w:r w:rsidRPr="002C6323">
        <w:rPr>
          <w:rFonts w:ascii="Verdana" w:eastAsia="Calibri" w:hAnsi="Verdana" w:cs="Arial"/>
          <w:bCs/>
          <w:color w:val="000000" w:themeColor="text1"/>
          <w:szCs w:val="24"/>
          <w:lang w:eastAsia="es-ES_tradnl" w:bidi="es-ES"/>
        </w:rPr>
        <w:lastRenderedPageBreak/>
        <w:t xml:space="preserve">colaborativa entre las entidades suscribientes, entonces, tal acuerdo no podría corresponder a la figura de convenio interadministrativo por carecer de sus elementos esenciales. En ese sentido, en tal caso, será distinto el análisis sobre la aplicación de institutos como la liquidación unilateral y de las demás figuras contractuales que se analicen en determinado caso. Además, para efectos de definir si la respectiva figura es o no aplicable al convenio interadministrativo, habrá que determinar si la misma es o no compatible con la naturaleza y contenido de dicho convenio, es decir, si es acorde con su finalidad asociativa, su carácter no oneroso o la ausencia de un objeto o finalidad patrimonial. </w:t>
      </w:r>
    </w:p>
    <w:p w14:paraId="362A5974" w14:textId="77777777" w:rsidR="0008202D" w:rsidRPr="002C6323" w:rsidRDefault="0008202D" w:rsidP="0008202D">
      <w:pPr>
        <w:widowControl w:val="0"/>
        <w:autoSpaceDE w:val="0"/>
        <w:autoSpaceDN w:val="0"/>
        <w:spacing w:after="120" w:line="276" w:lineRule="auto"/>
        <w:ind w:firstLine="709"/>
        <w:jc w:val="both"/>
        <w:rPr>
          <w:rFonts w:ascii="Verdana" w:eastAsia="Calibri" w:hAnsi="Verdana" w:cs="Arial"/>
          <w:color w:val="000000" w:themeColor="text1"/>
          <w:lang w:eastAsia="es-ES" w:bidi="es-ES"/>
        </w:rPr>
      </w:pPr>
      <w:r w:rsidRPr="002C6323">
        <w:rPr>
          <w:rFonts w:ascii="Verdana" w:eastAsia="Calibri" w:hAnsi="Verdana" w:cs="Arial"/>
          <w:color w:val="000000" w:themeColor="text1"/>
          <w:lang w:eastAsia="es-ES" w:bidi="es-ES"/>
        </w:rPr>
        <w:t xml:space="preserve">Al margen de los matices explicados anteriormente, </w:t>
      </w:r>
      <w:r w:rsidRPr="002C6323">
        <w:rPr>
          <w:rFonts w:ascii="Verdana" w:eastAsia="Calibri" w:hAnsi="Verdana" w:cs="Arial"/>
          <w:color w:val="000000" w:themeColor="text1"/>
          <w:lang w:val="es-ES" w:eastAsia="es-ES" w:bidi="es-ES"/>
        </w:rPr>
        <w:t>el régimen jurídico aplicable a los contratos y convenios dependerá a su vez del régimen contractual de las entidades que los suscriban. Si se celebra entre dos o más entidades estatales sometidas al Estatuto General de Contratación de la Administración Pública, éstas deben aplicar las disposiciones de dicho cuerpo normativo. En cambio, si se suscribe entre entidades estatales que, por voluntad del legislador, se encuentran exceptuadas de tal Estatuto –porque se rigen por el derecho privado–, este será el régimen que deberán aplicar. A esta deducción se llega porque el artículo 95 de la Ley 489 de 1998 no establece un régimen especial para la celebración de tales convenios.</w:t>
      </w:r>
      <w:r w:rsidRPr="002C6323">
        <w:rPr>
          <w:rFonts w:ascii="Verdana" w:eastAsia="Calibri" w:hAnsi="Verdana" w:cs="Arial"/>
          <w:color w:val="000000" w:themeColor="text1"/>
          <w:lang w:eastAsia="es-ES" w:bidi="es-ES"/>
        </w:rPr>
        <w:t xml:space="preserve"> A su vez, esto define si es aplicable o no la definición de obra pública del artículo 32.1 de la Ley 80 de 1993. </w:t>
      </w:r>
    </w:p>
    <w:p w14:paraId="11B67975" w14:textId="77777777" w:rsidR="0061795A" w:rsidRPr="002C6323" w:rsidRDefault="0061795A" w:rsidP="0061795A">
      <w:pPr>
        <w:widowControl w:val="0"/>
        <w:autoSpaceDE w:val="0"/>
        <w:autoSpaceDN w:val="0"/>
        <w:spacing w:after="120" w:line="276" w:lineRule="auto"/>
        <w:ind w:firstLine="709"/>
        <w:jc w:val="both"/>
        <w:rPr>
          <w:rFonts w:ascii="Verdana" w:eastAsia="Calibri" w:hAnsi="Verdana" w:cs="Arial"/>
          <w:color w:val="000000" w:themeColor="text1"/>
          <w:lang w:val="es-ES" w:eastAsia="es-ES" w:bidi="es-ES"/>
        </w:rPr>
      </w:pPr>
      <w:r w:rsidRPr="002C6323">
        <w:rPr>
          <w:rFonts w:ascii="Verdana" w:eastAsia="Calibri" w:hAnsi="Verdana" w:cs="Arial"/>
          <w:color w:val="000000" w:themeColor="text1"/>
          <w:lang w:val="es-ES" w:eastAsia="es-ES" w:bidi="es-ES"/>
        </w:rPr>
        <w:t xml:space="preserve">Finalmente, en el marco de los contratos sometidos al EGCAP, la interventoría es obligatoria en los supuestos descritos en el inciso segundo del artículo 32.1 de la Ley 80 de 1993 y en el inciso tercero del artículo 83 de la Ley 1474 de 2011. </w:t>
      </w:r>
      <w:r w:rsidRPr="002C6323">
        <w:rPr>
          <w:rFonts w:ascii="Verdana" w:eastAsia="Calibri" w:hAnsi="Verdana" w:cs="Arial"/>
          <w:i/>
          <w:iCs/>
          <w:color w:val="000000" w:themeColor="text1"/>
          <w:lang w:val="es-ES" w:eastAsia="es-ES" w:bidi="es-ES"/>
        </w:rPr>
        <w:t>Por un lado</w:t>
      </w:r>
      <w:r w:rsidRPr="002C6323">
        <w:rPr>
          <w:rFonts w:ascii="Verdana" w:eastAsia="Calibri" w:hAnsi="Verdana" w:cs="Arial"/>
          <w:color w:val="000000" w:themeColor="text1"/>
          <w:lang w:val="es-ES" w:eastAsia="es-ES" w:bidi="es-ES"/>
        </w:rPr>
        <w:t>, “</w:t>
      </w:r>
      <w:r w:rsidRPr="002C6323">
        <w:rPr>
          <w:rFonts w:ascii="Verdana" w:eastAsia="Calibri" w:hAnsi="Verdana" w:cs="Arial"/>
          <w:i/>
          <w:iCs/>
          <w:color w:val="000000" w:themeColor="text1"/>
          <w:lang w:val="es-ES" w:eastAsia="es-ES" w:bidi="es-ES"/>
        </w:rPr>
        <w:t>En los contratos de obra que hayan sido celebrados como resultado de un proceso de licitación, la interventoría deberá ser contratada con una persona independiente de la entidad contratante y del contratista</w:t>
      </w:r>
      <w:r w:rsidRPr="002C6323">
        <w:rPr>
          <w:rFonts w:ascii="Verdana" w:eastAsia="Calibri" w:hAnsi="Verdana" w:cs="Arial"/>
          <w:color w:val="000000" w:themeColor="text1"/>
          <w:lang w:val="es-ES" w:eastAsia="es-ES" w:bidi="es-ES"/>
        </w:rPr>
        <w:t xml:space="preserve">, quien responderá por los hechos y omisiones que le fueren imputables en los términos previstos en el artículo 53 del presente estatuto” (Énfasis fuera de texto). </w:t>
      </w:r>
      <w:r w:rsidRPr="002C6323">
        <w:rPr>
          <w:rFonts w:ascii="Verdana" w:eastAsia="Calibri" w:hAnsi="Verdana" w:cs="Arial"/>
          <w:i/>
          <w:iCs/>
          <w:color w:val="000000" w:themeColor="text1"/>
          <w:lang w:val="es-ES" w:eastAsia="es-ES" w:bidi="es-ES"/>
        </w:rPr>
        <w:t>Por otra parte</w:t>
      </w:r>
      <w:r w:rsidRPr="002C6323">
        <w:rPr>
          <w:rFonts w:ascii="Verdana" w:eastAsia="Calibri" w:hAnsi="Verdana" w:cs="Arial"/>
          <w:color w:val="000000" w:themeColor="text1"/>
          <w:lang w:val="es-ES" w:eastAsia="es-ES" w:bidi="es-ES"/>
        </w:rPr>
        <w:t>, “</w:t>
      </w:r>
      <w:r w:rsidRPr="002C6323">
        <w:rPr>
          <w:rFonts w:ascii="Verdana" w:eastAsia="Calibri" w:hAnsi="Verdana" w:cs="Arial"/>
          <w:i/>
          <w:iCs/>
          <w:color w:val="000000" w:themeColor="text1"/>
          <w:lang w:val="es-ES" w:eastAsia="es-ES" w:bidi="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2C6323">
        <w:rPr>
          <w:rFonts w:ascii="Verdana" w:eastAsia="Calibri" w:hAnsi="Verdana" w:cs="Arial"/>
          <w:i/>
          <w:iCs/>
          <w:color w:val="000000" w:themeColor="text1"/>
          <w:lang w:val="es-ES" w:eastAsia="es-ES" w:bidi="es-ES"/>
        </w:rPr>
        <w:t>del mismo</w:t>
      </w:r>
      <w:proofErr w:type="gramEnd"/>
      <w:r w:rsidRPr="002C6323">
        <w:rPr>
          <w:rFonts w:ascii="Verdana" w:eastAsia="Calibri" w:hAnsi="Verdana" w:cs="Arial"/>
          <w:i/>
          <w:iCs/>
          <w:color w:val="000000" w:themeColor="text1"/>
          <w:lang w:val="es-ES" w:eastAsia="es-ES" w:bidi="es-ES"/>
        </w:rPr>
        <w:t xml:space="preserve"> lo justifiquen</w:t>
      </w:r>
      <w:r w:rsidRPr="002C6323">
        <w:rPr>
          <w:rFonts w:ascii="Verdana" w:eastAsia="Calibri" w:hAnsi="Verdana" w:cs="Arial"/>
          <w:color w:val="000000" w:themeColor="text1"/>
          <w:lang w:val="es-ES" w:eastAsia="es-ES" w:bidi="es-ES"/>
        </w:rPr>
        <w:t xml:space="preserve">. No obstante, lo anterior cuando la entidad lo encuentre justificado y acorde a la naturaleza del contrato principal, podrá contratar el seguimiento administrativo, técnico, financiero, contable, jurídico del objeto o contrato dentro de la interventoría” (Énfasis fuera de texto). Por ello, sin perjuicio de la regulación especial del </w:t>
      </w:r>
      <w:r w:rsidRPr="002C6323">
        <w:rPr>
          <w:rFonts w:ascii="Verdana" w:eastAsia="Calibri" w:hAnsi="Verdana" w:cs="Arial"/>
          <w:color w:val="000000" w:themeColor="text1"/>
          <w:lang w:val="es-ES" w:eastAsia="es-ES" w:bidi="es-ES"/>
        </w:rPr>
        <w:lastRenderedPageBreak/>
        <w:t>artículo 33 de la Ley 1508 de 2012, en los demás casos la interventoría es facultativa</w:t>
      </w:r>
      <w:r w:rsidRPr="002C6323">
        <w:rPr>
          <w:rStyle w:val="Refdenotaalpie"/>
          <w:rFonts w:ascii="Verdana" w:eastAsia="Calibri" w:hAnsi="Verdana" w:cs="Arial"/>
          <w:color w:val="000000" w:themeColor="text1"/>
          <w:lang w:val="es-ES" w:eastAsia="es-ES" w:bidi="es-ES"/>
        </w:rPr>
        <w:footnoteReference w:id="15"/>
      </w:r>
      <w:r w:rsidRPr="002C6323">
        <w:rPr>
          <w:rFonts w:ascii="Verdana" w:eastAsia="Calibri" w:hAnsi="Verdana" w:cs="Arial"/>
          <w:color w:val="000000" w:themeColor="text1"/>
          <w:lang w:val="es-ES" w:eastAsia="es-ES" w:bidi="es-ES"/>
        </w:rPr>
        <w:t xml:space="preserve">. </w:t>
      </w:r>
      <w:r w:rsidR="0008202D" w:rsidRPr="002C6323">
        <w:rPr>
          <w:rFonts w:ascii="Verdana" w:eastAsia="Calibri" w:hAnsi="Verdana" w:cs="Arial"/>
          <w:color w:val="000000" w:themeColor="text1"/>
          <w:lang w:val="es-ES" w:eastAsia="es-ES" w:bidi="es-ES"/>
        </w:rPr>
        <w:t>En todo caso, ninguna de estas normas</w:t>
      </w:r>
      <w:r w:rsidR="0008202D" w:rsidRPr="002C6323">
        <w:rPr>
          <w:rFonts w:ascii="Verdana" w:eastAsia="Calibri" w:hAnsi="Verdana" w:cs="Arial"/>
          <w:color w:val="000000" w:themeColor="text1"/>
          <w:lang w:val="es-MX" w:eastAsia="es-ES" w:bidi="es-ES"/>
        </w:rPr>
        <w:t xml:space="preserve"> establece un porcentaje a título de remuneración por los servicios prestados, por lo que el mismo debe ser determinado en ejercicio de la autonomía de la voluntad, incluyendo el valor que se considere más adecuado y proporcional al objeto del contrato, de acuerdo con el estudio de mercado realizado en el analis del sector económico. </w:t>
      </w:r>
      <w:r w:rsidR="0008202D" w:rsidRPr="002C6323">
        <w:rPr>
          <w:rFonts w:ascii="Verdana" w:eastAsia="Calibri" w:hAnsi="Verdana" w:cs="Arial"/>
          <w:color w:val="000000" w:themeColor="text1"/>
          <w:lang w:val="es-ES" w:eastAsia="es-ES" w:bidi="es-ES"/>
        </w:rPr>
        <w:t xml:space="preserve"> </w:t>
      </w:r>
    </w:p>
    <w:p w14:paraId="205E2777" w14:textId="77777777" w:rsidR="0061795A" w:rsidRPr="002C6323" w:rsidRDefault="0061795A" w:rsidP="0061795A">
      <w:pPr>
        <w:widowControl w:val="0"/>
        <w:autoSpaceDE w:val="0"/>
        <w:autoSpaceDN w:val="0"/>
        <w:spacing w:after="120" w:line="276" w:lineRule="auto"/>
        <w:ind w:firstLine="708"/>
        <w:jc w:val="both"/>
        <w:rPr>
          <w:rFonts w:ascii="Verdana" w:hAnsi="Verdana" w:cs="Arial"/>
        </w:rPr>
      </w:pPr>
      <w:r w:rsidRPr="002C6323">
        <w:rPr>
          <w:rFonts w:ascii="Verdana" w:hAnsi="Verdana" w:cs="Arial"/>
        </w:rPr>
        <w:t xml:space="preserve">Al margen de la explicación precedente debe advertirse que el análisis requerido para </w:t>
      </w:r>
      <w:r w:rsidRPr="002C6323">
        <w:rPr>
          <w:rFonts w:ascii="Verdana" w:eastAsia="Calibri" w:hAnsi="Verdana" w:cs="Arial"/>
          <w:color w:val="000000"/>
          <w:lang w:val="es-ES" w:eastAsia="es-ES"/>
        </w:rPr>
        <w:t>estipular de costos a cargo de la entidad y/o determinar el porcentaje adecuado para remunerar al interventor</w:t>
      </w:r>
      <w:r w:rsidRPr="002C6323">
        <w:rPr>
          <w:rFonts w:ascii="Verdana" w:hAnsi="Verdana" w:cs="Arial"/>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571CCF47" w14:textId="77777777" w:rsidR="0061795A" w:rsidRPr="002C6323" w:rsidRDefault="0061795A" w:rsidP="0061795A">
      <w:pPr>
        <w:widowControl w:val="0"/>
        <w:autoSpaceDE w:val="0"/>
        <w:autoSpaceDN w:val="0"/>
        <w:spacing w:after="0" w:line="276" w:lineRule="auto"/>
        <w:ind w:firstLine="708"/>
        <w:jc w:val="both"/>
        <w:rPr>
          <w:rFonts w:ascii="Verdana" w:hAnsi="Verdana" w:cs="Arial"/>
        </w:rPr>
      </w:pPr>
      <w:r w:rsidRPr="002C6323">
        <w:rPr>
          <w:rFonts w:ascii="Verdana"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0748C8D6" w14:textId="77777777" w:rsidR="0061795A" w:rsidRPr="002C6323" w:rsidRDefault="0061795A" w:rsidP="0061795A">
      <w:pPr>
        <w:widowControl w:val="0"/>
        <w:autoSpaceDE w:val="0"/>
        <w:autoSpaceDN w:val="0"/>
        <w:spacing w:after="0" w:line="276" w:lineRule="auto"/>
        <w:jc w:val="both"/>
        <w:rPr>
          <w:rFonts w:ascii="Verdana" w:hAnsi="Verdana" w:cs="Arial"/>
        </w:rPr>
      </w:pPr>
    </w:p>
    <w:p w14:paraId="0E4D7EC1" w14:textId="77777777" w:rsidR="0061795A" w:rsidRPr="002C6323" w:rsidRDefault="0061795A" w:rsidP="0061795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6323">
        <w:rPr>
          <w:rFonts w:ascii="Verdana" w:eastAsia="Century Gothic" w:hAnsi="Verdana" w:cs="Century Gothic"/>
          <w:b/>
          <w:bCs/>
        </w:rPr>
        <w:t>Referencias normativas:</w:t>
      </w:r>
    </w:p>
    <w:p w14:paraId="4E0470C1" w14:textId="77777777" w:rsidR="0061795A" w:rsidRPr="002C6323" w:rsidRDefault="0061795A" w:rsidP="0061795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1795A" w:rsidRPr="002C6323" w14:paraId="6F409A3D" w14:textId="77777777" w:rsidTr="004002F5">
        <w:trPr>
          <w:trHeight w:val="870"/>
          <w:jc w:val="center"/>
        </w:trPr>
        <w:tc>
          <w:tcPr>
            <w:tcW w:w="8647" w:type="dxa"/>
          </w:tcPr>
          <w:p w14:paraId="1B667043" w14:textId="77777777" w:rsidR="0061795A" w:rsidRPr="002C6323" w:rsidRDefault="0061795A" w:rsidP="004002F5">
            <w:pPr>
              <w:pStyle w:val="Prrafodelista"/>
              <w:widowControl w:val="0"/>
              <w:numPr>
                <w:ilvl w:val="0"/>
                <w:numId w:val="17"/>
              </w:numPr>
              <w:autoSpaceDE w:val="0"/>
              <w:autoSpaceDN w:val="0"/>
              <w:spacing w:after="120" w:line="276" w:lineRule="auto"/>
              <w:jc w:val="both"/>
              <w:rPr>
                <w:rFonts w:ascii="Verdana" w:hAnsi="Verdana" w:cs="Arial"/>
              </w:rPr>
            </w:pPr>
            <w:r w:rsidRPr="002C6323">
              <w:rPr>
                <w:rFonts w:ascii="Verdana" w:hAnsi="Verdana" w:cs="Arial"/>
              </w:rPr>
              <w:t xml:space="preserve">Ley 80 de 1992, artículos 2, 13, 32 y 40. </w:t>
            </w:r>
          </w:p>
          <w:p w14:paraId="43ED6D24" w14:textId="77777777" w:rsidR="0061795A" w:rsidRPr="002C6323" w:rsidRDefault="0061795A" w:rsidP="004002F5">
            <w:pPr>
              <w:pStyle w:val="Prrafodelista"/>
              <w:widowControl w:val="0"/>
              <w:autoSpaceDE w:val="0"/>
              <w:autoSpaceDN w:val="0"/>
              <w:spacing w:after="120" w:line="276" w:lineRule="auto"/>
              <w:jc w:val="both"/>
              <w:rPr>
                <w:rFonts w:ascii="Verdana" w:hAnsi="Verdana" w:cs="Arial"/>
                <w:sz w:val="12"/>
                <w:szCs w:val="12"/>
              </w:rPr>
            </w:pPr>
          </w:p>
          <w:p w14:paraId="0680DDC4" w14:textId="77777777" w:rsidR="0061795A" w:rsidRPr="002C6323" w:rsidRDefault="0061795A" w:rsidP="004002F5">
            <w:pPr>
              <w:pStyle w:val="Prrafodelista"/>
              <w:widowControl w:val="0"/>
              <w:numPr>
                <w:ilvl w:val="0"/>
                <w:numId w:val="17"/>
              </w:numPr>
              <w:autoSpaceDE w:val="0"/>
              <w:autoSpaceDN w:val="0"/>
              <w:spacing w:line="276" w:lineRule="auto"/>
              <w:contextualSpacing w:val="0"/>
              <w:jc w:val="both"/>
              <w:rPr>
                <w:rFonts w:ascii="Verdana" w:hAnsi="Verdana" w:cs="Arial"/>
              </w:rPr>
            </w:pPr>
            <w:r w:rsidRPr="002C6323">
              <w:rPr>
                <w:rFonts w:ascii="Verdana" w:hAnsi="Verdana" w:cs="Arial"/>
              </w:rPr>
              <w:t>Ley 1474 de 2011, artículo 83.</w:t>
            </w:r>
          </w:p>
          <w:p w14:paraId="18C859F5" w14:textId="77777777" w:rsidR="0061795A" w:rsidRPr="002C6323" w:rsidRDefault="0061795A" w:rsidP="004002F5">
            <w:pPr>
              <w:pStyle w:val="Prrafodelista"/>
              <w:rPr>
                <w:rFonts w:ascii="Verdana" w:hAnsi="Verdana" w:cs="Arial"/>
                <w:sz w:val="12"/>
                <w:szCs w:val="12"/>
              </w:rPr>
            </w:pPr>
          </w:p>
          <w:p w14:paraId="592FD6DB" w14:textId="77777777" w:rsidR="0061795A" w:rsidRPr="002C6323" w:rsidRDefault="0061795A" w:rsidP="004002F5">
            <w:pPr>
              <w:pStyle w:val="Prrafodelista"/>
              <w:widowControl w:val="0"/>
              <w:numPr>
                <w:ilvl w:val="0"/>
                <w:numId w:val="17"/>
              </w:numPr>
              <w:autoSpaceDE w:val="0"/>
              <w:autoSpaceDN w:val="0"/>
              <w:spacing w:line="276" w:lineRule="auto"/>
              <w:contextualSpacing w:val="0"/>
              <w:jc w:val="both"/>
              <w:rPr>
                <w:rFonts w:ascii="Verdana" w:hAnsi="Verdana" w:cs="Arial"/>
              </w:rPr>
            </w:pPr>
            <w:r w:rsidRPr="002C6323">
              <w:rPr>
                <w:rFonts w:ascii="Verdana" w:hAnsi="Verdana" w:cs="Arial"/>
              </w:rPr>
              <w:lastRenderedPageBreak/>
              <w:t>Ley 1508 de 2012, artículo 33</w:t>
            </w:r>
          </w:p>
          <w:p w14:paraId="1B527B02" w14:textId="77777777" w:rsidR="0061795A" w:rsidRPr="002C6323" w:rsidRDefault="0061795A" w:rsidP="004002F5">
            <w:pPr>
              <w:pStyle w:val="Prrafodelista"/>
              <w:rPr>
                <w:rFonts w:ascii="Verdana" w:hAnsi="Verdana" w:cs="Arial"/>
                <w:sz w:val="12"/>
                <w:szCs w:val="12"/>
              </w:rPr>
            </w:pPr>
          </w:p>
          <w:p w14:paraId="4645C156" w14:textId="77777777" w:rsidR="0061795A" w:rsidRPr="002C6323" w:rsidRDefault="0061795A" w:rsidP="004002F5">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2C6323">
              <w:rPr>
                <w:rFonts w:ascii="Verdana" w:hAnsi="Verdana" w:cs="Arial"/>
              </w:rPr>
              <w:t xml:space="preserve">Código Civil, artículos 1495, 2053, 2060 y 2061. </w:t>
            </w:r>
          </w:p>
          <w:p w14:paraId="7D16D043" w14:textId="77777777" w:rsidR="0061795A" w:rsidRPr="002C6323" w:rsidRDefault="0061795A" w:rsidP="004002F5">
            <w:pPr>
              <w:pStyle w:val="Prrafodelista"/>
              <w:widowControl w:val="0"/>
              <w:numPr>
                <w:ilvl w:val="0"/>
                <w:numId w:val="17"/>
              </w:numPr>
              <w:autoSpaceDE w:val="0"/>
              <w:autoSpaceDN w:val="0"/>
              <w:spacing w:line="276" w:lineRule="auto"/>
              <w:contextualSpacing w:val="0"/>
              <w:jc w:val="both"/>
              <w:rPr>
                <w:rFonts w:ascii="Verdana" w:hAnsi="Verdana" w:cs="Arial"/>
              </w:rPr>
            </w:pPr>
            <w:r w:rsidRPr="002C6323">
              <w:rPr>
                <w:rFonts w:ascii="Verdana" w:hAnsi="Verdana" w:cs="Arial"/>
              </w:rPr>
              <w:t>Decreto 1082 de 2015, artículo 2.2.1.2.1.4.4.</w:t>
            </w:r>
          </w:p>
        </w:tc>
      </w:tr>
    </w:tbl>
    <w:p w14:paraId="1C6A18C3" w14:textId="77777777" w:rsidR="0061795A" w:rsidRPr="002C6323" w:rsidRDefault="0061795A" w:rsidP="0061795A">
      <w:pPr>
        <w:widowControl w:val="0"/>
        <w:autoSpaceDE w:val="0"/>
        <w:autoSpaceDN w:val="0"/>
        <w:spacing w:after="0" w:line="276" w:lineRule="auto"/>
        <w:jc w:val="both"/>
        <w:rPr>
          <w:rFonts w:ascii="Verdana" w:hAnsi="Verdana" w:cs="Arial"/>
        </w:rPr>
      </w:pPr>
    </w:p>
    <w:p w14:paraId="2D44BB65" w14:textId="77777777" w:rsidR="0061795A" w:rsidRPr="002C6323" w:rsidRDefault="0061795A" w:rsidP="0061795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6323">
        <w:rPr>
          <w:rFonts w:ascii="Verdana" w:eastAsia="Century Gothic" w:hAnsi="Verdana" w:cs="Century Gothic"/>
          <w:b/>
          <w:bCs/>
        </w:rPr>
        <w:t>Doctrina de la Agencia Nacional de Contratación Pública:</w:t>
      </w:r>
    </w:p>
    <w:p w14:paraId="40D5E144" w14:textId="77777777" w:rsidR="0061795A" w:rsidRPr="002C6323" w:rsidRDefault="0061795A" w:rsidP="0061795A">
      <w:pPr>
        <w:widowControl w:val="0"/>
        <w:autoSpaceDE w:val="0"/>
        <w:autoSpaceDN w:val="0"/>
        <w:spacing w:after="0" w:line="276" w:lineRule="auto"/>
        <w:jc w:val="both"/>
        <w:rPr>
          <w:rFonts w:ascii="Verdana" w:hAnsi="Verdana" w:cs="Arial"/>
        </w:rPr>
      </w:pPr>
    </w:p>
    <w:p w14:paraId="682FC3CB" w14:textId="77777777" w:rsidR="0061795A" w:rsidRPr="002C6323" w:rsidRDefault="0061795A" w:rsidP="0061795A">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C6323">
        <w:rPr>
          <w:rStyle w:val="normaltextrun"/>
          <w:rFonts w:ascii="Verdana" w:hAnsi="Verdana" w:cs="Arial"/>
          <w:shd w:val="clear" w:color="auto" w:fill="FFFFFF"/>
          <w:lang w:val="es-ES"/>
        </w:rPr>
        <w:t>Esta Subdirección se ha pronunciado sobre el objeto y las características del contrato de obra pública en los Conceptos 4201913000008014 del 24 de diciembre del año 2019, C-530 del 13 de agosto de 2020 y C-038 del 5 de abril de 2021</w:t>
      </w:r>
      <w:r w:rsidRPr="002C6323">
        <w:rPr>
          <w:rStyle w:val="normaltextrun"/>
          <w:rFonts w:ascii="Verdana" w:hAnsi="Verdana" w:cs="Arial"/>
          <w:color w:val="000000"/>
        </w:rPr>
        <w:t>.</w:t>
      </w:r>
      <w:r w:rsidRPr="002C6323">
        <w:rPr>
          <w:rStyle w:val="normaltextrun"/>
          <w:rFonts w:ascii="Verdana" w:hAnsi="Verdana" w:cs="Arial"/>
          <w:shd w:val="clear" w:color="auto" w:fill="FFFFFF"/>
          <w:lang w:val="es-ES"/>
        </w:rPr>
        <w:t xml:space="preserve"> Es</w:t>
      </w:r>
      <w:r w:rsidRPr="002C6323">
        <w:rPr>
          <w:rFonts w:ascii="Verdana" w:hAnsi="Verdana"/>
        </w:rPr>
        <w:t>tos y otros se encuentran disponibles para consulta en el Sistema de relatoría de la Agencia, al cual puede accederse a través del siguiente enlace:</w:t>
      </w:r>
      <w:r w:rsidRPr="002C6323">
        <w:rPr>
          <w:rStyle w:val="normaltextrun"/>
          <w:rFonts w:ascii="Verdana" w:hAnsi="Verdana" w:cs="Arial"/>
          <w:shd w:val="clear" w:color="auto" w:fill="FFFFFF"/>
          <w:lang w:val="es-ES"/>
        </w:rPr>
        <w:t xml:space="preserve"> </w:t>
      </w:r>
      <w:hyperlink r:id="rId12" w:history="1">
        <w:r w:rsidRPr="002C6323">
          <w:rPr>
            <w:rStyle w:val="Hipervnculo"/>
            <w:rFonts w:ascii="Verdana" w:hAnsi="Verdana" w:cs="Arial"/>
            <w:shd w:val="clear" w:color="auto" w:fill="FFFFFF"/>
            <w:lang w:val="es-ES"/>
          </w:rPr>
          <w:t>https://relatoria.colombiacompra.gov.co/busqueda/conceptos</w:t>
        </w:r>
      </w:hyperlink>
      <w:r w:rsidRPr="002C6323">
        <w:rPr>
          <w:rStyle w:val="normaltextrun"/>
          <w:rFonts w:ascii="Verdana" w:hAnsi="Verdana" w:cs="Arial"/>
          <w:shd w:val="clear" w:color="auto" w:fill="FFFFFF"/>
          <w:lang w:val="es-ES"/>
        </w:rPr>
        <w:t>.</w:t>
      </w:r>
      <w:r w:rsidRPr="002C6323">
        <w:rPr>
          <w:rStyle w:val="normaltextrun"/>
          <w:rFonts w:ascii="Verdana" w:hAnsi="Verdana" w:cs="Arial"/>
          <w:color w:val="FF0000"/>
          <w:shd w:val="clear" w:color="auto" w:fill="FFFFFF"/>
          <w:lang w:val="es-ES"/>
        </w:rPr>
        <w:t xml:space="preserve"> </w:t>
      </w:r>
    </w:p>
    <w:p w14:paraId="0B7737A3" w14:textId="77777777" w:rsidR="0061795A" w:rsidRPr="002C6323" w:rsidRDefault="0061795A" w:rsidP="0061795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79E2979" w14:textId="77777777" w:rsidR="0061795A" w:rsidRPr="002C6323" w:rsidRDefault="0061795A" w:rsidP="0061795A">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2C6323">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2C6323">
        <w:rPr>
          <w:rStyle w:val="normaltextrun"/>
          <w:rFonts w:ascii="Verdana" w:hAnsi="Verdana" w:cs="Arial"/>
          <w:color w:val="FF0000"/>
          <w:shd w:val="clear" w:color="auto" w:fill="FFFFFF"/>
          <w:lang w:val="es-ES"/>
        </w:rPr>
        <w:t xml:space="preserve"> </w:t>
      </w:r>
      <w:hyperlink r:id="rId13" w:history="1">
        <w:r w:rsidRPr="002C6323">
          <w:rPr>
            <w:rStyle w:val="Hipervnculo"/>
            <w:rFonts w:ascii="Verdana" w:hAnsi="Verdana" w:cs="Arial"/>
            <w:shd w:val="clear" w:color="auto" w:fill="FFFFFF"/>
            <w:lang w:val="es-ES"/>
          </w:rPr>
          <w:t>https://www.colombiacompra.gov.co/sala-de-prensa/boletin-digital</w:t>
        </w:r>
      </w:hyperlink>
      <w:r w:rsidRPr="002C6323">
        <w:rPr>
          <w:rStyle w:val="Hipervnculo"/>
          <w:rFonts w:ascii="Verdana" w:hAnsi="Verdana" w:cs="Arial"/>
          <w:shd w:val="clear" w:color="auto" w:fill="FFFFFF"/>
          <w:lang w:val="es-ES"/>
        </w:rPr>
        <w:t>.</w:t>
      </w:r>
      <w:r w:rsidRPr="002C6323">
        <w:rPr>
          <w:rStyle w:val="normaltextrun"/>
          <w:rFonts w:ascii="Verdana" w:hAnsi="Verdana" w:cs="Arial"/>
          <w:color w:val="FF0000"/>
          <w:shd w:val="clear" w:color="auto" w:fill="FFFFFF"/>
          <w:lang w:val="es-ES"/>
        </w:rPr>
        <w:t xml:space="preserve">      </w:t>
      </w:r>
    </w:p>
    <w:p w14:paraId="09AA0F2E" w14:textId="77777777" w:rsidR="0061795A" w:rsidRPr="002C6323" w:rsidRDefault="0061795A" w:rsidP="0061795A">
      <w:pPr>
        <w:widowControl w:val="0"/>
        <w:autoSpaceDE w:val="0"/>
        <w:autoSpaceDN w:val="0"/>
        <w:spacing w:after="0" w:line="276" w:lineRule="auto"/>
        <w:jc w:val="both"/>
        <w:rPr>
          <w:rFonts w:ascii="Verdana" w:hAnsi="Verdana" w:cs="Arial"/>
        </w:rPr>
      </w:pPr>
    </w:p>
    <w:p w14:paraId="5C1513BA" w14:textId="77777777" w:rsidR="0061795A" w:rsidRPr="002C6323" w:rsidRDefault="0061795A" w:rsidP="0061795A">
      <w:pPr>
        <w:widowControl w:val="0"/>
        <w:autoSpaceDE w:val="0"/>
        <w:autoSpaceDN w:val="0"/>
        <w:spacing w:after="0" w:line="276" w:lineRule="auto"/>
        <w:jc w:val="both"/>
        <w:rPr>
          <w:rFonts w:ascii="Verdana" w:hAnsi="Verdana" w:cs="Arial"/>
          <w:lang w:val="es-ES_tradnl"/>
        </w:rPr>
      </w:pPr>
      <w:r w:rsidRPr="002C6323">
        <w:rPr>
          <w:rFonts w:ascii="Verdana" w:hAnsi="Verdana" w:cs="Arial"/>
        </w:rPr>
        <w:t xml:space="preserve">Este concepto tiene el alcance previsto en el artículo 28 del Código de Procedimiento Administrativo y de lo Contencioso Administrativo </w:t>
      </w:r>
      <w:r w:rsidRPr="002C6323">
        <w:rPr>
          <w:rFonts w:ascii="Verdana" w:hAnsi="Verdana" w:cs="Arial"/>
          <w:lang w:val="es-ES_tradnl"/>
        </w:rPr>
        <w:t>y las expresiones aquí utilizadas con mayúscula inicial deben ser entendidas con el significado que les otorga el artículo 2.2.1.1.1.3.1. del Decreto 1082 de 2015.</w:t>
      </w:r>
    </w:p>
    <w:p w14:paraId="2FA2B35E" w14:textId="77777777" w:rsidR="0061795A" w:rsidRPr="002C6323" w:rsidRDefault="0061795A" w:rsidP="0061795A">
      <w:pPr>
        <w:widowControl w:val="0"/>
        <w:autoSpaceDE w:val="0"/>
        <w:autoSpaceDN w:val="0"/>
        <w:spacing w:after="0" w:line="276" w:lineRule="auto"/>
        <w:jc w:val="both"/>
        <w:rPr>
          <w:rFonts w:ascii="Verdana" w:hAnsi="Verdana" w:cs="Arial"/>
        </w:rPr>
      </w:pPr>
    </w:p>
    <w:p w14:paraId="0FC7ED1A" w14:textId="77777777" w:rsidR="0061795A" w:rsidRPr="002C6323" w:rsidRDefault="0061795A" w:rsidP="0061795A">
      <w:pPr>
        <w:spacing w:after="0" w:line="240" w:lineRule="auto"/>
        <w:rPr>
          <w:rFonts w:ascii="Verdana" w:hAnsi="Verdana" w:cs="Arial"/>
          <w:lang w:eastAsia="es-CO"/>
        </w:rPr>
      </w:pPr>
      <w:r w:rsidRPr="002C6323">
        <w:rPr>
          <w:rFonts w:ascii="Verdana" w:eastAsia="Times New Roman" w:hAnsi="Verdana" w:cs="Arial"/>
          <w:lang w:eastAsia="es-CO"/>
        </w:rPr>
        <w:t>Atentamente,</w:t>
      </w:r>
      <w:r w:rsidRPr="002C6323">
        <w:rPr>
          <w:rFonts w:ascii="Verdana" w:hAnsi="Verdana" w:cs="Arial"/>
          <w:lang w:eastAsia="es-CO"/>
        </w:rPr>
        <w:t xml:space="preserve"> </w:t>
      </w:r>
    </w:p>
    <w:p w14:paraId="03DFAAA8" w14:textId="05EBF051" w:rsidR="0061795A" w:rsidRPr="002C6323" w:rsidRDefault="00C84048" w:rsidP="0061795A">
      <w:pPr>
        <w:spacing w:line="276" w:lineRule="auto"/>
        <w:jc w:val="center"/>
        <w:rPr>
          <w:rFonts w:ascii="Verdana" w:hAnsi="Verdana" w:cs="Arial"/>
          <w:color w:val="000000"/>
          <w:lang w:val="es-ES_tradnl" w:eastAsia="es-CO"/>
        </w:rPr>
      </w:pPr>
      <w:r>
        <w:rPr>
          <w:noProof/>
        </w:rPr>
        <w:drawing>
          <wp:inline distT="0" distB="0" distL="0" distR="0" wp14:anchorId="476F1656" wp14:editId="0BB8C2F4">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1795A" w:rsidRPr="002C6323" w14:paraId="1B18E994" w14:textId="77777777" w:rsidTr="004002F5">
        <w:trPr>
          <w:trHeight w:val="315"/>
        </w:trPr>
        <w:tc>
          <w:tcPr>
            <w:tcW w:w="893" w:type="dxa"/>
            <w:vAlign w:val="center"/>
            <w:hideMark/>
          </w:tcPr>
          <w:p w14:paraId="36A2A8F4" w14:textId="77777777" w:rsidR="0061795A" w:rsidRPr="002C6323" w:rsidRDefault="0061795A" w:rsidP="004002F5">
            <w:pPr>
              <w:contextualSpacing/>
              <w:rPr>
                <w:rFonts w:ascii="Verdana" w:hAnsi="Verdana" w:cs="Arial"/>
                <w:sz w:val="16"/>
                <w:szCs w:val="16"/>
                <w:lang w:val="es-ES" w:eastAsia="es-ES"/>
              </w:rPr>
            </w:pPr>
            <w:r w:rsidRPr="002C63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385BC7" w14:textId="77777777" w:rsidR="0061795A" w:rsidRPr="002C6323" w:rsidRDefault="0061795A" w:rsidP="004002F5">
            <w:pPr>
              <w:contextualSpacing/>
              <w:rPr>
                <w:rStyle w:val="normaltextrun"/>
                <w:rFonts w:ascii="Verdana" w:hAnsi="Verdana"/>
                <w:sz w:val="16"/>
                <w:szCs w:val="16"/>
              </w:rPr>
            </w:pPr>
            <w:r w:rsidRPr="002C6323">
              <w:rPr>
                <w:rStyle w:val="normaltextrun"/>
                <w:rFonts w:ascii="Verdana" w:hAnsi="Verdana"/>
                <w:sz w:val="16"/>
                <w:szCs w:val="16"/>
              </w:rPr>
              <w:t>Juan David Montoya Penagos</w:t>
            </w:r>
          </w:p>
          <w:p w14:paraId="2225B18B" w14:textId="77777777" w:rsidR="0061795A" w:rsidRPr="002C6323" w:rsidRDefault="0061795A" w:rsidP="004002F5">
            <w:pPr>
              <w:contextualSpacing/>
              <w:rPr>
                <w:rFonts w:ascii="Verdana" w:eastAsia="Arial" w:hAnsi="Verdana" w:cs="Arial"/>
                <w:sz w:val="16"/>
                <w:szCs w:val="16"/>
              </w:rPr>
            </w:pPr>
            <w:r w:rsidRPr="002C6323">
              <w:rPr>
                <w:rStyle w:val="normaltextrun"/>
                <w:rFonts w:ascii="Verdana" w:hAnsi="Verdana"/>
                <w:sz w:val="16"/>
                <w:szCs w:val="16"/>
              </w:rPr>
              <w:t>Contratista de la Subdirección de Gestión Contractual</w:t>
            </w:r>
          </w:p>
        </w:tc>
      </w:tr>
      <w:tr w:rsidR="0061795A" w:rsidRPr="002C6323" w14:paraId="4FB1B775" w14:textId="77777777" w:rsidTr="004002F5">
        <w:trPr>
          <w:trHeight w:val="330"/>
        </w:trPr>
        <w:tc>
          <w:tcPr>
            <w:tcW w:w="893" w:type="dxa"/>
            <w:vAlign w:val="center"/>
            <w:hideMark/>
          </w:tcPr>
          <w:p w14:paraId="25C5A291" w14:textId="77777777" w:rsidR="0061795A" w:rsidRPr="002C6323" w:rsidRDefault="0061795A" w:rsidP="004002F5">
            <w:pPr>
              <w:contextualSpacing/>
              <w:rPr>
                <w:rFonts w:ascii="Verdana" w:hAnsi="Verdana" w:cs="Arial"/>
                <w:sz w:val="16"/>
                <w:szCs w:val="16"/>
                <w:lang w:val="es-ES" w:eastAsia="es-ES"/>
              </w:rPr>
            </w:pPr>
            <w:r w:rsidRPr="002C63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9FA5950" w14:textId="77777777" w:rsidR="0061795A" w:rsidRPr="002C6323" w:rsidRDefault="0061795A" w:rsidP="004002F5">
            <w:pPr>
              <w:pStyle w:val="paragraph"/>
              <w:spacing w:after="0"/>
              <w:contextualSpacing/>
              <w:textAlignment w:val="baseline"/>
              <w:rPr>
                <w:rStyle w:val="normaltextrun"/>
                <w:rFonts w:ascii="Verdana" w:hAnsi="Verdana" w:cs="Arial"/>
                <w:sz w:val="16"/>
                <w:szCs w:val="16"/>
                <w:lang w:val="es-ES"/>
              </w:rPr>
            </w:pPr>
            <w:r w:rsidRPr="002C6323">
              <w:rPr>
                <w:rStyle w:val="normaltextrun"/>
                <w:rFonts w:ascii="Verdana" w:hAnsi="Verdana" w:cs="Arial"/>
                <w:sz w:val="16"/>
                <w:szCs w:val="16"/>
                <w:lang w:val="es-ES"/>
              </w:rPr>
              <w:t>Alejandro Sarmiento Cantillo</w:t>
            </w:r>
          </w:p>
          <w:p w14:paraId="0441143A" w14:textId="77777777" w:rsidR="0061795A" w:rsidRPr="002C6323" w:rsidRDefault="0061795A" w:rsidP="004002F5">
            <w:pPr>
              <w:pStyle w:val="paragraph"/>
              <w:spacing w:before="0" w:beforeAutospacing="0" w:after="0" w:afterAutospacing="0"/>
              <w:contextualSpacing/>
              <w:textAlignment w:val="baseline"/>
              <w:rPr>
                <w:rFonts w:ascii="Verdana" w:hAnsi="Verdana" w:cs="Segoe UI"/>
                <w:sz w:val="16"/>
                <w:szCs w:val="16"/>
              </w:rPr>
            </w:pPr>
            <w:r w:rsidRPr="002C6323">
              <w:rPr>
                <w:rStyle w:val="normaltextrun"/>
                <w:rFonts w:ascii="Verdana" w:hAnsi="Verdana" w:cs="Arial"/>
                <w:sz w:val="16"/>
                <w:szCs w:val="16"/>
                <w:lang w:val="es-ES"/>
              </w:rPr>
              <w:t>Gestor T1 ‒ 15 de la Subdirección de Gestión Contractual</w:t>
            </w:r>
            <w:r w:rsidRPr="002C6323">
              <w:rPr>
                <w:rStyle w:val="eop"/>
                <w:rFonts w:ascii="Verdana" w:hAnsi="Verdana" w:cs="Arial"/>
                <w:sz w:val="16"/>
                <w:szCs w:val="16"/>
              </w:rPr>
              <w:t> </w:t>
            </w:r>
          </w:p>
        </w:tc>
      </w:tr>
      <w:tr w:rsidR="0061795A" w:rsidRPr="00593A5F" w14:paraId="49B6A76D" w14:textId="77777777" w:rsidTr="004002F5">
        <w:trPr>
          <w:trHeight w:val="300"/>
        </w:trPr>
        <w:tc>
          <w:tcPr>
            <w:tcW w:w="893" w:type="dxa"/>
            <w:vAlign w:val="center"/>
          </w:tcPr>
          <w:p w14:paraId="6FD7DACB" w14:textId="77777777" w:rsidR="0061795A" w:rsidRPr="002C6323" w:rsidRDefault="0061795A" w:rsidP="004002F5">
            <w:pPr>
              <w:contextualSpacing/>
              <w:rPr>
                <w:rFonts w:ascii="Verdana" w:hAnsi="Verdana" w:cs="Arial"/>
                <w:sz w:val="16"/>
                <w:szCs w:val="16"/>
                <w:lang w:val="es-ES" w:eastAsia="es-ES"/>
              </w:rPr>
            </w:pPr>
            <w:r w:rsidRPr="002C63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6F18F0A" w14:textId="77777777" w:rsidR="0061795A" w:rsidRPr="002C6323" w:rsidRDefault="0061795A" w:rsidP="004002F5">
            <w:pPr>
              <w:contextualSpacing/>
              <w:rPr>
                <w:rFonts w:ascii="Verdana" w:eastAsia="Calibri" w:hAnsi="Verdana" w:cs="Arial"/>
                <w:sz w:val="16"/>
                <w:szCs w:val="16"/>
                <w:lang w:val="pt-BR" w:eastAsia="es-ES"/>
              </w:rPr>
            </w:pPr>
            <w:r w:rsidRPr="002C6323">
              <w:rPr>
                <w:rFonts w:ascii="Verdana" w:eastAsia="Calibri" w:hAnsi="Verdana" w:cs="Arial"/>
                <w:sz w:val="16"/>
                <w:szCs w:val="16"/>
                <w:lang w:val="pt-BR" w:eastAsia="es-ES"/>
              </w:rPr>
              <w:t xml:space="preserve">Carolina Quintero </w:t>
            </w:r>
            <w:proofErr w:type="spellStart"/>
            <w:r w:rsidRPr="002C6323">
              <w:rPr>
                <w:rFonts w:ascii="Verdana" w:eastAsia="Calibri" w:hAnsi="Verdana" w:cs="Arial"/>
                <w:sz w:val="16"/>
                <w:szCs w:val="16"/>
                <w:lang w:val="pt-BR" w:eastAsia="es-ES"/>
              </w:rPr>
              <w:t>Gacharná</w:t>
            </w:r>
            <w:proofErr w:type="spellEnd"/>
          </w:p>
          <w:p w14:paraId="3C093EB0" w14:textId="77777777" w:rsidR="0061795A" w:rsidRPr="003751C7" w:rsidRDefault="0061795A" w:rsidP="004002F5">
            <w:pPr>
              <w:contextualSpacing/>
              <w:rPr>
                <w:rFonts w:ascii="Verdana" w:eastAsia="Calibri" w:hAnsi="Verdana" w:cs="Arial"/>
                <w:sz w:val="16"/>
                <w:szCs w:val="16"/>
                <w:lang w:val="pt-BR" w:eastAsia="es-ES"/>
              </w:rPr>
            </w:pPr>
            <w:r w:rsidRPr="002C6323">
              <w:rPr>
                <w:rFonts w:ascii="Verdana" w:eastAsia="Calibri" w:hAnsi="Verdana" w:cs="Arial"/>
                <w:sz w:val="16"/>
                <w:szCs w:val="16"/>
                <w:lang w:eastAsia="es-ES"/>
              </w:rPr>
              <w:t>Subdirectora</w:t>
            </w:r>
            <w:r w:rsidRPr="002C6323">
              <w:rPr>
                <w:rFonts w:ascii="Verdana" w:eastAsia="Calibri" w:hAnsi="Verdana" w:cs="Arial"/>
                <w:sz w:val="16"/>
                <w:szCs w:val="16"/>
                <w:lang w:val="pt-BR" w:eastAsia="es-ES"/>
              </w:rPr>
              <w:t xml:space="preserve"> de Gestión Contractual ANCP – CCE</w:t>
            </w:r>
          </w:p>
        </w:tc>
      </w:tr>
    </w:tbl>
    <w:p w14:paraId="0F293BF4" w14:textId="7BBFAB11" w:rsidR="00127233" w:rsidRPr="0003421F" w:rsidRDefault="00127233" w:rsidP="0003421F"/>
    <w:sectPr w:rsidR="00127233" w:rsidRPr="0003421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12E64" w14:textId="77777777" w:rsidR="00FB3C40" w:rsidRDefault="00FB3C40" w:rsidP="004A1847">
      <w:pPr>
        <w:spacing w:after="0" w:line="240" w:lineRule="auto"/>
      </w:pPr>
      <w:r>
        <w:separator/>
      </w:r>
    </w:p>
  </w:endnote>
  <w:endnote w:type="continuationSeparator" w:id="0">
    <w:p w14:paraId="02A8946F" w14:textId="77777777" w:rsidR="00FB3C40" w:rsidRDefault="00FB3C40" w:rsidP="004A1847">
      <w:pPr>
        <w:spacing w:after="0" w:line="240" w:lineRule="auto"/>
      </w:pPr>
      <w:r>
        <w:continuationSeparator/>
      </w:r>
    </w:p>
  </w:endnote>
  <w:endnote w:type="continuationNotice" w:id="1">
    <w:p w14:paraId="46DDE17A" w14:textId="77777777" w:rsidR="00FB3C40" w:rsidRDefault="00FB3C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51BAE5" w14:textId="77777777" w:rsidR="00FB3C40" w:rsidRDefault="00FB3C40" w:rsidP="004A1847">
      <w:pPr>
        <w:spacing w:after="0" w:line="240" w:lineRule="auto"/>
      </w:pPr>
      <w:r>
        <w:separator/>
      </w:r>
    </w:p>
  </w:footnote>
  <w:footnote w:type="continuationSeparator" w:id="0">
    <w:p w14:paraId="1AD9100A" w14:textId="77777777" w:rsidR="00FB3C40" w:rsidRDefault="00FB3C40" w:rsidP="004A1847">
      <w:pPr>
        <w:spacing w:after="0" w:line="240" w:lineRule="auto"/>
      </w:pPr>
      <w:r>
        <w:continuationSeparator/>
      </w:r>
    </w:p>
  </w:footnote>
  <w:footnote w:type="continuationNotice" w:id="1">
    <w:p w14:paraId="503718C6" w14:textId="77777777" w:rsidR="00FB3C40" w:rsidRDefault="00FB3C40">
      <w:pPr>
        <w:spacing w:after="0" w:line="240" w:lineRule="auto"/>
      </w:pPr>
    </w:p>
  </w:footnote>
  <w:footnote w:id="2">
    <w:p w14:paraId="702CDD36" w14:textId="77777777" w:rsidR="0061795A" w:rsidRPr="00B00BCF" w:rsidRDefault="0061795A" w:rsidP="0061795A">
      <w:pPr>
        <w:pStyle w:val="Textonotapie"/>
        <w:ind w:firstLine="709"/>
        <w:jc w:val="both"/>
        <w:rPr>
          <w:rFonts w:ascii="Verdana" w:hAnsi="Verdana" w:cs="Arial"/>
          <w:color w:val="000000"/>
          <w:sz w:val="16"/>
          <w:szCs w:val="16"/>
        </w:rPr>
      </w:pPr>
      <w:r w:rsidRPr="00B00BCF">
        <w:rPr>
          <w:rStyle w:val="Refdenotaalpie"/>
          <w:rFonts w:ascii="Verdana" w:hAnsi="Verdana" w:cs="Arial"/>
          <w:color w:val="000000"/>
          <w:sz w:val="16"/>
          <w:szCs w:val="16"/>
        </w:rPr>
        <w:footnoteRef/>
      </w:r>
      <w:r w:rsidRPr="00B00BCF">
        <w:rPr>
          <w:rFonts w:ascii="Verdana" w:hAnsi="Verdana" w:cs="Arial"/>
          <w:color w:val="000000"/>
          <w:sz w:val="16"/>
          <w:szCs w:val="16"/>
        </w:rPr>
        <w:t xml:space="preserve"> ALESSANDRI RODRÍGUEZ, Arturo. De los contratos. Santiago de Chile: Editorial Jurídica EDIAR-CONOCSUR LTDA, 1988. p. 182. </w:t>
      </w:r>
    </w:p>
  </w:footnote>
  <w:footnote w:id="3">
    <w:p w14:paraId="042F4EB1" w14:textId="77777777" w:rsidR="0061795A" w:rsidRPr="00B00BCF" w:rsidRDefault="0061795A" w:rsidP="0061795A">
      <w:pPr>
        <w:pStyle w:val="Textonotapie"/>
        <w:ind w:firstLine="708"/>
        <w:jc w:val="both"/>
        <w:rPr>
          <w:rFonts w:ascii="Verdana" w:hAnsi="Verdana" w:cs="Arial"/>
          <w:sz w:val="16"/>
          <w:szCs w:val="16"/>
          <w:lang w:val="es-ES_tradnl"/>
        </w:rPr>
      </w:pPr>
      <w:r w:rsidRPr="00B00BCF">
        <w:rPr>
          <w:rStyle w:val="Refdenotaalpie"/>
          <w:rFonts w:ascii="Verdana" w:hAnsi="Verdana" w:cs="Arial"/>
          <w:sz w:val="16"/>
          <w:szCs w:val="16"/>
        </w:rPr>
        <w:footnoteRef/>
      </w:r>
      <w:r w:rsidRPr="00B00BCF">
        <w:rPr>
          <w:rFonts w:ascii="Verdana" w:hAnsi="Verdana" w:cs="Arial"/>
          <w:sz w:val="16"/>
          <w:szCs w:val="16"/>
        </w:rPr>
        <w:t xml:space="preserve"> </w:t>
      </w:r>
      <w:r w:rsidRPr="00B00BCF">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4">
    <w:p w14:paraId="25EA8956" w14:textId="77777777" w:rsidR="0061795A" w:rsidRPr="00B00BCF" w:rsidRDefault="0061795A" w:rsidP="0061795A">
      <w:pPr>
        <w:pStyle w:val="Textonotapie"/>
        <w:ind w:firstLine="709"/>
        <w:jc w:val="both"/>
        <w:rPr>
          <w:rFonts w:ascii="Verdana" w:hAnsi="Verdana" w:cs="Arial"/>
          <w:color w:val="000000"/>
          <w:sz w:val="16"/>
          <w:szCs w:val="16"/>
        </w:rPr>
      </w:pPr>
      <w:r w:rsidRPr="00B00BCF">
        <w:rPr>
          <w:rStyle w:val="Refdenotaalpie"/>
          <w:rFonts w:ascii="Verdana" w:hAnsi="Verdana" w:cs="Arial"/>
          <w:color w:val="000000"/>
          <w:sz w:val="16"/>
          <w:szCs w:val="16"/>
        </w:rPr>
        <w:footnoteRef/>
      </w:r>
      <w:r w:rsidRPr="00B00BCF">
        <w:rPr>
          <w:rFonts w:ascii="Verdana" w:hAnsi="Verdana" w:cs="Arial"/>
          <w:color w:val="000000"/>
          <w:sz w:val="16"/>
          <w:szCs w:val="16"/>
        </w:rPr>
        <w:t xml:space="preserve"> OSPINA MENA, Jesús Marino. Régimen de la Contratación Estatal. Un salto a la contratación liquida. Bogotá: Dike, 2020. p. 168.</w:t>
      </w:r>
    </w:p>
  </w:footnote>
  <w:footnote w:id="5">
    <w:p w14:paraId="31A36217" w14:textId="77777777" w:rsidR="0061795A" w:rsidRPr="00B00BCF" w:rsidRDefault="0061795A" w:rsidP="0061795A">
      <w:pPr>
        <w:pStyle w:val="Textonotapie"/>
        <w:ind w:firstLine="709"/>
        <w:jc w:val="both"/>
        <w:rPr>
          <w:rFonts w:ascii="Verdana" w:hAnsi="Verdana" w:cs="Arial"/>
          <w:color w:val="000000"/>
          <w:sz w:val="16"/>
          <w:szCs w:val="16"/>
        </w:rPr>
      </w:pPr>
      <w:r w:rsidRPr="00B00BCF">
        <w:rPr>
          <w:rStyle w:val="Refdenotaalpie"/>
          <w:rFonts w:ascii="Verdana" w:hAnsi="Verdana" w:cs="Arial"/>
          <w:color w:val="000000"/>
          <w:sz w:val="16"/>
          <w:szCs w:val="16"/>
        </w:rPr>
        <w:footnoteRef/>
      </w:r>
      <w:r w:rsidRPr="00B00BCF">
        <w:rPr>
          <w:rFonts w:ascii="Verdana" w:hAnsi="Verdana" w:cs="Arial"/>
          <w:color w:val="000000"/>
          <w:sz w:val="16"/>
          <w:szCs w:val="16"/>
        </w:rPr>
        <w:t xml:space="preserve"> CONSEJO DE ESTADO. Sala de Consulta y Servicio Civil. Concepto del 5 de septiembre de 2018. Rad. 2.386. C.P. Edgar González López.</w:t>
      </w:r>
    </w:p>
  </w:footnote>
  <w:footnote w:id="6">
    <w:p w14:paraId="63F6C885" w14:textId="77777777" w:rsidR="0008202D" w:rsidRPr="002F0869" w:rsidRDefault="0008202D" w:rsidP="0008202D">
      <w:pPr>
        <w:ind w:firstLine="708"/>
        <w:contextualSpacing/>
        <w:jc w:val="both"/>
        <w:rPr>
          <w:rFonts w:ascii="Arial" w:hAnsi="Arial" w:cs="Arial"/>
          <w:sz w:val="18"/>
          <w:szCs w:val="18"/>
        </w:rPr>
      </w:pPr>
      <w:r w:rsidRPr="002F0869">
        <w:rPr>
          <w:rStyle w:val="Refdenotaalpie"/>
          <w:rFonts w:ascii="Arial" w:hAnsi="Arial" w:cs="Arial"/>
          <w:sz w:val="18"/>
          <w:szCs w:val="18"/>
        </w:rPr>
        <w:footnoteRef/>
      </w:r>
      <w:r w:rsidRPr="002F0869">
        <w:rPr>
          <w:rFonts w:ascii="Arial" w:hAnsi="Arial" w:cs="Arial"/>
          <w:sz w:val="18"/>
          <w:szCs w:val="18"/>
        </w:rPr>
        <w:t xml:space="preserve"> Consejo de Estado. Sala de Consulta y Servicio Civil. Concepto 26 de julio de 2016. Exp. 2.257. C.P. Álvaro Namén Vargas.</w:t>
      </w:r>
    </w:p>
  </w:footnote>
  <w:footnote w:id="7">
    <w:p w14:paraId="0D77910D" w14:textId="77777777" w:rsidR="0008202D" w:rsidRPr="002F0869" w:rsidRDefault="0008202D" w:rsidP="0008202D">
      <w:pPr>
        <w:ind w:firstLine="708"/>
        <w:contextualSpacing/>
        <w:jc w:val="both"/>
        <w:rPr>
          <w:rFonts w:ascii="Arial" w:hAnsi="Arial" w:cs="Arial"/>
          <w:sz w:val="18"/>
          <w:szCs w:val="18"/>
        </w:rPr>
      </w:pPr>
      <w:r w:rsidRPr="002F0869">
        <w:rPr>
          <w:rStyle w:val="Refdenotaalpie"/>
          <w:rFonts w:ascii="Arial" w:hAnsi="Arial" w:cs="Arial"/>
          <w:sz w:val="18"/>
          <w:szCs w:val="18"/>
        </w:rPr>
        <w:footnoteRef/>
      </w:r>
      <w:r w:rsidRPr="002F0869">
        <w:rPr>
          <w:rFonts w:ascii="Arial" w:hAnsi="Arial" w:cs="Arial"/>
          <w:sz w:val="18"/>
          <w:szCs w:val="18"/>
        </w:rPr>
        <w:t xml:space="preserve"> [Referencia propia de la cita] </w:t>
      </w:r>
      <w:r>
        <w:rPr>
          <w:rFonts w:ascii="Arial" w:hAnsi="Arial" w:cs="Arial"/>
          <w:sz w:val="18"/>
          <w:szCs w:val="18"/>
        </w:rPr>
        <w:t>“</w:t>
      </w:r>
      <w:r w:rsidRPr="002F0869">
        <w:rPr>
          <w:rFonts w:ascii="Arial" w:hAnsi="Arial" w:cs="Arial"/>
          <w:sz w:val="18"/>
          <w:szCs w:val="18"/>
        </w:rPr>
        <w:t>CE. SCSC. Concepto de 1 de noviembre de 2016 [Rad. 11001-03-06-000-2016-00125-00(2305)]. MP. Germán Alberto Bula Escobar</w:t>
      </w:r>
      <w:r>
        <w:rPr>
          <w:rFonts w:ascii="Arial" w:hAnsi="Arial" w:cs="Arial"/>
          <w:sz w:val="18"/>
          <w:szCs w:val="18"/>
        </w:rPr>
        <w:t>”</w:t>
      </w:r>
      <w:r w:rsidRPr="002F0869">
        <w:rPr>
          <w:rFonts w:ascii="Arial" w:hAnsi="Arial" w:cs="Arial"/>
          <w:sz w:val="18"/>
          <w:szCs w:val="18"/>
        </w:rPr>
        <w:t>.</w:t>
      </w:r>
    </w:p>
  </w:footnote>
  <w:footnote w:id="8">
    <w:p w14:paraId="3F04676E" w14:textId="77777777" w:rsidR="0008202D" w:rsidRPr="002F0869" w:rsidRDefault="0008202D" w:rsidP="0008202D">
      <w:pPr>
        <w:ind w:firstLine="708"/>
        <w:contextualSpacing/>
        <w:jc w:val="both"/>
        <w:rPr>
          <w:rFonts w:ascii="Arial" w:hAnsi="Arial" w:cs="Arial"/>
          <w:sz w:val="18"/>
          <w:szCs w:val="18"/>
        </w:rPr>
      </w:pPr>
      <w:r w:rsidRPr="002F0869">
        <w:rPr>
          <w:rStyle w:val="Refdenotaalpie"/>
          <w:rFonts w:ascii="Arial" w:hAnsi="Arial" w:cs="Arial"/>
          <w:sz w:val="18"/>
          <w:szCs w:val="18"/>
        </w:rPr>
        <w:footnoteRef/>
      </w:r>
      <w:r w:rsidRPr="002F0869">
        <w:rPr>
          <w:rFonts w:ascii="Arial" w:hAnsi="Arial" w:cs="Arial"/>
          <w:sz w:val="18"/>
          <w:szCs w:val="18"/>
        </w:rPr>
        <w:t xml:space="preserve"> [Referencia propia de la cita] </w:t>
      </w:r>
      <w:r>
        <w:rPr>
          <w:rFonts w:ascii="Arial" w:hAnsi="Arial" w:cs="Arial"/>
          <w:sz w:val="18"/>
          <w:szCs w:val="18"/>
        </w:rPr>
        <w:t>“</w:t>
      </w:r>
      <w:r w:rsidRPr="002F0869">
        <w:rPr>
          <w:rFonts w:ascii="Arial" w:hAnsi="Arial" w:cs="Arial"/>
          <w:sz w:val="18"/>
          <w:szCs w:val="18"/>
        </w:rPr>
        <w:t xml:space="preserve">CE. SCSC. Concepto de 30 de abril de 2008 [Rad. 11001-03-06-000-2008-00013-00(1881)]. MP. Enrique José Arboleda Perdomo. En esta oportunidad, la Sala indicó que el contenido </w:t>
      </w:r>
      <w:r w:rsidRPr="002F0869">
        <w:rPr>
          <w:rFonts w:ascii="Arial" w:hAnsi="Arial" w:cs="Arial"/>
          <w:i/>
          <w:sz w:val="18"/>
          <w:szCs w:val="18"/>
        </w:rPr>
        <w:t>“obligacional”</w:t>
      </w:r>
      <w:r w:rsidRPr="002F0869">
        <w:rPr>
          <w:rFonts w:ascii="Arial" w:hAnsi="Arial" w:cs="Arial"/>
          <w:sz w:val="18"/>
          <w:szCs w:val="18"/>
        </w:rPr>
        <w:t xml:space="preserve"> de los convenios se estructura definiendo el resultado querido por las partes y los medios que cada entidad despliega para la obtención del respectivo objeto</w:t>
      </w:r>
      <w:r>
        <w:rPr>
          <w:rFonts w:ascii="Arial" w:hAnsi="Arial" w:cs="Arial"/>
          <w:sz w:val="18"/>
          <w:szCs w:val="18"/>
        </w:rPr>
        <w:t>”</w:t>
      </w:r>
      <w:r w:rsidRPr="002F0869">
        <w:rPr>
          <w:rFonts w:ascii="Arial" w:hAnsi="Arial" w:cs="Arial"/>
          <w:sz w:val="18"/>
          <w:szCs w:val="18"/>
        </w:rPr>
        <w:t>.</w:t>
      </w:r>
    </w:p>
  </w:footnote>
  <w:footnote w:id="9">
    <w:p w14:paraId="2700BA48" w14:textId="77777777" w:rsidR="0008202D" w:rsidRPr="002F0869" w:rsidRDefault="0008202D" w:rsidP="0008202D">
      <w:pPr>
        <w:spacing w:after="0" w:line="240" w:lineRule="auto"/>
        <w:ind w:firstLine="709"/>
        <w:contextualSpacing/>
        <w:jc w:val="both"/>
        <w:rPr>
          <w:rFonts w:ascii="Arial" w:hAnsi="Arial" w:cs="Arial"/>
          <w:sz w:val="18"/>
          <w:szCs w:val="18"/>
        </w:rPr>
      </w:pPr>
      <w:r w:rsidRPr="002F0869">
        <w:rPr>
          <w:rStyle w:val="Refdenotaalpie"/>
          <w:rFonts w:ascii="Arial" w:hAnsi="Arial" w:cs="Arial"/>
          <w:sz w:val="18"/>
          <w:szCs w:val="18"/>
        </w:rPr>
        <w:footnoteRef/>
      </w:r>
      <w:r w:rsidRPr="002F0869">
        <w:rPr>
          <w:rFonts w:ascii="Arial" w:hAnsi="Arial" w:cs="Arial"/>
          <w:sz w:val="18"/>
          <w:szCs w:val="18"/>
        </w:rPr>
        <w:t xml:space="preserve"> [Referencia propia de la cita] </w:t>
      </w:r>
      <w:r>
        <w:rPr>
          <w:rFonts w:ascii="Arial" w:hAnsi="Arial" w:cs="Arial"/>
          <w:sz w:val="18"/>
          <w:szCs w:val="18"/>
        </w:rPr>
        <w:t>“</w:t>
      </w:r>
      <w:r w:rsidRPr="002F0869">
        <w:rPr>
          <w:rFonts w:ascii="Arial" w:hAnsi="Arial" w:cs="Arial"/>
          <w:sz w:val="18"/>
          <w:szCs w:val="18"/>
        </w:rPr>
        <w:t xml:space="preserve">La normativa vigente del EGCAP </w:t>
      </w:r>
      <w:r w:rsidRPr="002F0869">
        <w:rPr>
          <w:rFonts w:ascii="Arial" w:hAnsi="Arial" w:cs="Arial"/>
          <w:i/>
          <w:sz w:val="18"/>
          <w:szCs w:val="18"/>
        </w:rPr>
        <w:t>[literal c) del numeral 4. del artículo 2 de la Ley 1150/07]</w:t>
      </w:r>
      <w:r w:rsidRPr="002F0869">
        <w:rPr>
          <w:rFonts w:ascii="Arial" w:hAnsi="Arial" w:cs="Arial"/>
          <w:sz w:val="18"/>
          <w:szCs w:val="18"/>
        </w:rPr>
        <w:t xml:space="preserve"> se refiere a </w:t>
      </w:r>
      <w:r w:rsidRPr="002F0869">
        <w:rPr>
          <w:rFonts w:ascii="Arial" w:hAnsi="Arial" w:cs="Arial"/>
          <w:i/>
          <w:sz w:val="18"/>
          <w:szCs w:val="18"/>
        </w:rPr>
        <w:t>“contratos interadministrativos”</w:t>
      </w:r>
      <w:r w:rsidRPr="002F0869">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r>
        <w:rPr>
          <w:rFonts w:ascii="Arial" w:hAnsi="Arial" w:cs="Arial"/>
          <w:sz w:val="18"/>
          <w:szCs w:val="18"/>
        </w:rPr>
        <w:t>”</w:t>
      </w:r>
      <w:r w:rsidRPr="002F0869">
        <w:rPr>
          <w:rFonts w:ascii="Arial" w:hAnsi="Arial" w:cs="Arial"/>
          <w:sz w:val="18"/>
          <w:szCs w:val="18"/>
        </w:rPr>
        <w:t>.</w:t>
      </w:r>
    </w:p>
  </w:footnote>
  <w:footnote w:id="10">
    <w:p w14:paraId="61F73565" w14:textId="77777777" w:rsidR="0008202D" w:rsidRPr="00D042C8" w:rsidRDefault="0008202D" w:rsidP="0008202D">
      <w:pPr>
        <w:pStyle w:val="Textonotapie"/>
        <w:ind w:firstLine="709"/>
        <w:jc w:val="both"/>
        <w:rPr>
          <w:rFonts w:ascii="Arial" w:hAnsi="Arial" w:cs="Arial"/>
          <w:sz w:val="18"/>
          <w:szCs w:val="18"/>
          <w:lang w:val="es-ES"/>
        </w:rPr>
      </w:pPr>
      <w:r w:rsidRPr="00B21C59">
        <w:rPr>
          <w:rStyle w:val="Refdenotaalpie"/>
          <w:rFonts w:ascii="Arial" w:hAnsi="Arial" w:cs="Arial"/>
          <w:sz w:val="18"/>
          <w:szCs w:val="18"/>
        </w:rPr>
        <w:footnoteRef/>
      </w:r>
      <w:r w:rsidRPr="00B21C59">
        <w:rPr>
          <w:rFonts w:ascii="Arial" w:hAnsi="Arial" w:cs="Arial"/>
          <w:sz w:val="18"/>
          <w:szCs w:val="18"/>
        </w:rPr>
        <w:t xml:space="preserve"> En sentido similar </w:t>
      </w:r>
      <w:r w:rsidRPr="00B114BD">
        <w:rPr>
          <w:rFonts w:ascii="Arial" w:hAnsi="Arial" w:cs="Arial"/>
          <w:sz w:val="18"/>
          <w:szCs w:val="18"/>
          <w:lang w:val="es-ES"/>
        </w:rPr>
        <w:t>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w:t>
      </w:r>
      <w:r w:rsidRPr="00B21C59">
        <w:rPr>
          <w:rFonts w:ascii="Arial" w:hAnsi="Arial" w:cs="Arial"/>
          <w:sz w:val="18"/>
          <w:szCs w:val="18"/>
          <w:lang w:val="es-ES"/>
        </w:rPr>
        <w:t xml:space="preserve"> </w:t>
      </w:r>
    </w:p>
  </w:footnote>
  <w:footnote w:id="11">
    <w:p w14:paraId="63C84A57" w14:textId="77777777" w:rsidR="0008202D" w:rsidRPr="00B21C59" w:rsidRDefault="0008202D" w:rsidP="0008202D">
      <w:pPr>
        <w:pStyle w:val="Textonotapie"/>
        <w:ind w:firstLine="708"/>
        <w:jc w:val="both"/>
        <w:rPr>
          <w:rFonts w:ascii="Arial" w:hAnsi="Arial" w:cs="Arial"/>
          <w:sz w:val="18"/>
          <w:szCs w:val="18"/>
        </w:rPr>
      </w:pPr>
      <w:r w:rsidRPr="00B21C59">
        <w:rPr>
          <w:rStyle w:val="Refdenotaalpie"/>
          <w:rFonts w:ascii="Arial" w:hAnsi="Arial" w:cs="Arial"/>
          <w:sz w:val="18"/>
          <w:szCs w:val="18"/>
        </w:rPr>
        <w:footnoteRef/>
      </w:r>
      <w:r w:rsidRPr="00B21C59">
        <w:rPr>
          <w:rFonts w:ascii="Arial" w:hAnsi="Arial" w:cs="Arial"/>
          <w:sz w:val="18"/>
          <w:szCs w:val="18"/>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w:t>
      </w:r>
      <w:r>
        <w:rPr>
          <w:rFonts w:ascii="Arial" w:hAnsi="Arial" w:cs="Arial"/>
          <w:sz w:val="18"/>
          <w:szCs w:val="18"/>
        </w:rPr>
        <w:t>“</w:t>
      </w:r>
      <w:r w:rsidRPr="00B21C59">
        <w:rPr>
          <w:rFonts w:ascii="Arial" w:hAnsi="Arial" w:cs="Arial"/>
          <w:sz w:val="18"/>
          <w:szCs w:val="18"/>
        </w:rPr>
        <w:t>en realidad, los convenios en los cuales las partes se obligan patrimonialmente constituyen contratos en toda la extensión del concepto y con todos los efectos de esa particular institución jurídica</w:t>
      </w:r>
      <w:r>
        <w:rPr>
          <w:rFonts w:ascii="Arial" w:hAnsi="Arial" w:cs="Arial"/>
          <w:sz w:val="18"/>
          <w:szCs w:val="18"/>
        </w:rPr>
        <w:t>”</w:t>
      </w:r>
      <w:r w:rsidRPr="00B21C59">
        <w:rPr>
          <w:rFonts w:ascii="Arial" w:hAnsi="Arial" w:cs="Arial"/>
          <w:sz w:val="18"/>
          <w:szCs w:val="18"/>
        </w:rPr>
        <w:t>,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 w:id="12">
    <w:p w14:paraId="15D8E5F7" w14:textId="77777777" w:rsidR="0008202D" w:rsidRPr="00B21C59" w:rsidRDefault="0008202D" w:rsidP="0008202D">
      <w:pPr>
        <w:pStyle w:val="Textonotapie"/>
        <w:ind w:firstLine="708"/>
        <w:jc w:val="both"/>
        <w:rPr>
          <w:rFonts w:ascii="Arial" w:hAnsi="Arial" w:cs="Arial"/>
          <w:sz w:val="18"/>
          <w:szCs w:val="18"/>
        </w:rPr>
      </w:pPr>
      <w:r w:rsidRPr="00B21C59">
        <w:rPr>
          <w:rStyle w:val="Refdenotaalpie"/>
          <w:rFonts w:ascii="Arial" w:hAnsi="Arial" w:cs="Arial"/>
          <w:sz w:val="18"/>
          <w:szCs w:val="18"/>
        </w:rPr>
        <w:footnoteRef/>
      </w:r>
      <w:r w:rsidRPr="00B21C59">
        <w:rPr>
          <w:rFonts w:ascii="Arial" w:hAnsi="Arial" w:cs="Arial"/>
          <w:sz w:val="18"/>
          <w:szCs w:val="18"/>
        </w:rPr>
        <w:t xml:space="preserve"> CONSEJO DE ESTADO. Sala de Consulta y Servicio Civil. Concepto 26 de julio de 2016. Exp. 2.257. C.P. Álvaro Namén Vargas.</w:t>
      </w:r>
    </w:p>
  </w:footnote>
  <w:footnote w:id="13">
    <w:p w14:paraId="3CFAFFF6" w14:textId="77777777" w:rsidR="0008202D" w:rsidRPr="00B21C59" w:rsidRDefault="0008202D" w:rsidP="0008202D">
      <w:pPr>
        <w:pStyle w:val="Textonotapie"/>
        <w:ind w:firstLine="708"/>
        <w:jc w:val="both"/>
        <w:rPr>
          <w:rFonts w:ascii="Arial" w:hAnsi="Arial" w:cs="Arial"/>
          <w:sz w:val="18"/>
          <w:szCs w:val="18"/>
        </w:rPr>
      </w:pPr>
      <w:r w:rsidRPr="00B21C59">
        <w:rPr>
          <w:rStyle w:val="Refdenotaalpie"/>
          <w:rFonts w:ascii="Arial" w:hAnsi="Arial" w:cs="Arial"/>
          <w:sz w:val="18"/>
          <w:szCs w:val="18"/>
        </w:rPr>
        <w:footnoteRef/>
      </w:r>
      <w:r w:rsidRPr="00B21C59">
        <w:rPr>
          <w:rFonts w:ascii="Arial" w:hAnsi="Arial" w:cs="Arial"/>
          <w:sz w:val="18"/>
          <w:szCs w:val="18"/>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w:t>
      </w:r>
      <w:r>
        <w:rPr>
          <w:rFonts w:ascii="Arial" w:hAnsi="Arial" w:cs="Arial"/>
          <w:sz w:val="18"/>
          <w:szCs w:val="18"/>
        </w:rPr>
        <w:t>“</w:t>
      </w:r>
      <w:r w:rsidRPr="00B21C59">
        <w:rPr>
          <w:rFonts w:ascii="Arial" w:hAnsi="Arial" w:cs="Arial"/>
          <w:sz w:val="18"/>
          <w:szCs w:val="18"/>
        </w:rPr>
        <w:t xml:space="preserve">dado el ámbito de subordinación, no puede descartarse </w:t>
      </w:r>
      <w:r w:rsidRPr="00B21C59">
        <w:rPr>
          <w:rFonts w:ascii="Arial" w:hAnsi="Arial" w:cs="Arial"/>
          <w:i/>
          <w:iCs/>
          <w:sz w:val="18"/>
          <w:szCs w:val="18"/>
        </w:rPr>
        <w:t>prima facie</w:t>
      </w:r>
      <w:r>
        <w:rPr>
          <w:rFonts w:ascii="Arial" w:hAnsi="Arial" w:cs="Arial"/>
          <w:sz w:val="18"/>
          <w:szCs w:val="18"/>
        </w:rPr>
        <w:t>”</w:t>
      </w:r>
      <w:r w:rsidRPr="00B21C59">
        <w:rPr>
          <w:rFonts w:ascii="Arial" w:hAnsi="Arial" w:cs="Arial"/>
          <w:sz w:val="18"/>
          <w:szCs w:val="18"/>
        </w:rPr>
        <w:t xml:space="preserve">. De hecho, se ha referido en concreto a la procedencia de la imposición de multas, sanciones y declaratorias de incumplimiento en contratos interadministrativos. (Consejo de Estado. Sala de Consulta y Servicio Civil, </w:t>
      </w:r>
      <w:r w:rsidRPr="00B21C59">
        <w:rPr>
          <w:rFonts w:ascii="Arial" w:hAnsi="Arial" w:cs="Arial"/>
          <w:i/>
          <w:iCs/>
          <w:sz w:val="18"/>
          <w:szCs w:val="18"/>
        </w:rPr>
        <w:t>ibídem</w:t>
      </w:r>
      <w:r w:rsidRPr="00B21C59">
        <w:rPr>
          <w:rFonts w:ascii="Arial" w:hAnsi="Arial" w:cs="Arial"/>
          <w:sz w:val="18"/>
          <w:szCs w:val="18"/>
        </w:rPr>
        <w:t>). Cfr. SANTOS Rodríguez Jorge Enrique. “Consideraciones sobre los contratos y convenios interadministrativos”. Revista Digital de Derecho Administrativo, Núm. 1, Universidad Externado de Colombia, Bogotá, 2009. Pág. 19.</w:t>
      </w:r>
    </w:p>
  </w:footnote>
  <w:footnote w:id="14">
    <w:p w14:paraId="043A41EF" w14:textId="77777777" w:rsidR="0008202D" w:rsidRPr="00B21C59" w:rsidRDefault="0008202D" w:rsidP="0008202D">
      <w:pPr>
        <w:pStyle w:val="Textonotapie"/>
        <w:ind w:firstLine="708"/>
        <w:jc w:val="both"/>
        <w:rPr>
          <w:rFonts w:ascii="Arial" w:hAnsi="Arial" w:cs="Arial"/>
          <w:lang w:val="es-ES"/>
        </w:rPr>
      </w:pPr>
      <w:r w:rsidRPr="00B21C59">
        <w:rPr>
          <w:rStyle w:val="Refdenotaalpie"/>
          <w:rFonts w:ascii="Arial" w:hAnsi="Arial" w:cs="Arial"/>
        </w:rPr>
        <w:footnoteRef/>
      </w:r>
      <w:r w:rsidRPr="00B21C59">
        <w:rPr>
          <w:rFonts w:ascii="Arial" w:hAnsi="Arial" w:cs="Arial"/>
        </w:rPr>
        <w:t xml:space="preserve"> </w:t>
      </w:r>
      <w:r w:rsidRPr="00B21C59">
        <w:rPr>
          <w:rFonts w:ascii="Arial" w:hAnsi="Arial" w:cs="Arial"/>
          <w:sz w:val="18"/>
          <w:szCs w:val="18"/>
          <w:lang w:val="es-ES"/>
        </w:rPr>
        <w:t xml:space="preserve">CONSEJO DE ESTADO, Sección Tercera, Sentencia del 05 de febrero de 2021, rad. </w:t>
      </w:r>
      <w:r w:rsidRPr="00B21C59">
        <w:rPr>
          <w:rFonts w:ascii="Arial" w:hAnsi="Arial" w:cs="Arial"/>
          <w:sz w:val="18"/>
          <w:szCs w:val="18"/>
        </w:rPr>
        <w:t>25000-23-26-000-2011-00144-01(49792), M.P. María Adriana Marín.</w:t>
      </w:r>
      <w:r w:rsidRPr="00B21C59">
        <w:rPr>
          <w:rFonts w:ascii="Arial" w:hAnsi="Arial" w:cs="Arial"/>
          <w:b/>
        </w:rPr>
        <w:t xml:space="preserve"> </w:t>
      </w:r>
      <w:r w:rsidRPr="00B21C59">
        <w:rPr>
          <w:rFonts w:ascii="Arial" w:hAnsi="Arial" w:cs="Arial"/>
          <w:bCs/>
          <w:sz w:val="18"/>
          <w:szCs w:val="18"/>
        </w:rPr>
        <w:t>Esta posición fue acogida por esta Subdirección a través del Concepto C-168 del 29 de abril de 2021.</w:t>
      </w:r>
      <w:r w:rsidRPr="00B21C59">
        <w:rPr>
          <w:rFonts w:ascii="Arial" w:hAnsi="Arial" w:cs="Arial"/>
          <w:b/>
          <w:sz w:val="18"/>
          <w:szCs w:val="18"/>
        </w:rPr>
        <w:t xml:space="preserve"> </w:t>
      </w:r>
    </w:p>
  </w:footnote>
  <w:footnote w:id="15">
    <w:p w14:paraId="4A001ED4" w14:textId="77777777" w:rsidR="0061795A" w:rsidRPr="00B00BCF" w:rsidRDefault="0061795A" w:rsidP="0061795A">
      <w:pPr>
        <w:pStyle w:val="Textonotapie"/>
        <w:ind w:firstLine="708"/>
        <w:jc w:val="both"/>
        <w:rPr>
          <w:rFonts w:ascii="Verdana" w:hAnsi="Verdana"/>
          <w:sz w:val="16"/>
          <w:szCs w:val="16"/>
        </w:rPr>
      </w:pPr>
      <w:r w:rsidRPr="00B00BCF">
        <w:rPr>
          <w:rStyle w:val="Refdenotaalpie"/>
          <w:rFonts w:ascii="Verdana" w:hAnsi="Verdana"/>
          <w:sz w:val="16"/>
          <w:szCs w:val="16"/>
        </w:rPr>
        <w:footnoteRef/>
      </w:r>
      <w:r w:rsidRPr="00B00BCF">
        <w:rPr>
          <w:rFonts w:ascii="Verdana" w:hAnsi="Verdana"/>
          <w:sz w:val="16"/>
          <w:szCs w:val="16"/>
        </w:rPr>
        <w:t xml:space="preserve"> El inciso segundo del artículo 33 de la Ley 1508 de 2012, modificado por el artículo 7 de la Ley 1882 de 2018, prescribe lo siguiente: “En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421F"/>
    <w:rsid w:val="0005458F"/>
    <w:rsid w:val="00061B2A"/>
    <w:rsid w:val="0008202D"/>
    <w:rsid w:val="00082362"/>
    <w:rsid w:val="00085B68"/>
    <w:rsid w:val="00087372"/>
    <w:rsid w:val="000A683E"/>
    <w:rsid w:val="000B19B9"/>
    <w:rsid w:val="000D0334"/>
    <w:rsid w:val="000F6486"/>
    <w:rsid w:val="00125105"/>
    <w:rsid w:val="00127233"/>
    <w:rsid w:val="00136AAF"/>
    <w:rsid w:val="00175830"/>
    <w:rsid w:val="0019202B"/>
    <w:rsid w:val="001B304E"/>
    <w:rsid w:val="001C5C98"/>
    <w:rsid w:val="001E4177"/>
    <w:rsid w:val="001F7DC6"/>
    <w:rsid w:val="00202447"/>
    <w:rsid w:val="00233892"/>
    <w:rsid w:val="002421BB"/>
    <w:rsid w:val="002535C0"/>
    <w:rsid w:val="0025796E"/>
    <w:rsid w:val="002677C2"/>
    <w:rsid w:val="002707A2"/>
    <w:rsid w:val="002951A0"/>
    <w:rsid w:val="002962BC"/>
    <w:rsid w:val="002A093D"/>
    <w:rsid w:val="002A0DD0"/>
    <w:rsid w:val="002A49AC"/>
    <w:rsid w:val="002A64FD"/>
    <w:rsid w:val="002C19F1"/>
    <w:rsid w:val="002C6323"/>
    <w:rsid w:val="002C7A84"/>
    <w:rsid w:val="002D62A5"/>
    <w:rsid w:val="002E4FD9"/>
    <w:rsid w:val="003015CE"/>
    <w:rsid w:val="00322357"/>
    <w:rsid w:val="00322A85"/>
    <w:rsid w:val="00324168"/>
    <w:rsid w:val="00326ED6"/>
    <w:rsid w:val="003448F4"/>
    <w:rsid w:val="00357536"/>
    <w:rsid w:val="00374F5E"/>
    <w:rsid w:val="00377E3E"/>
    <w:rsid w:val="00387CC4"/>
    <w:rsid w:val="003A26D1"/>
    <w:rsid w:val="003A779E"/>
    <w:rsid w:val="003A7B85"/>
    <w:rsid w:val="003D0F4D"/>
    <w:rsid w:val="003D5B0D"/>
    <w:rsid w:val="003E0499"/>
    <w:rsid w:val="003F3941"/>
    <w:rsid w:val="00406575"/>
    <w:rsid w:val="0042722E"/>
    <w:rsid w:val="0044528D"/>
    <w:rsid w:val="004A1847"/>
    <w:rsid w:val="004A305D"/>
    <w:rsid w:val="004F21C4"/>
    <w:rsid w:val="004F685F"/>
    <w:rsid w:val="00525758"/>
    <w:rsid w:val="005566E8"/>
    <w:rsid w:val="00574867"/>
    <w:rsid w:val="00591460"/>
    <w:rsid w:val="00592628"/>
    <w:rsid w:val="005A6F1A"/>
    <w:rsid w:val="005C3777"/>
    <w:rsid w:val="005C5CDC"/>
    <w:rsid w:val="005D320C"/>
    <w:rsid w:val="005D3A67"/>
    <w:rsid w:val="005D476C"/>
    <w:rsid w:val="005D5D2D"/>
    <w:rsid w:val="00610812"/>
    <w:rsid w:val="006115D0"/>
    <w:rsid w:val="0061795A"/>
    <w:rsid w:val="006219F8"/>
    <w:rsid w:val="00650FF7"/>
    <w:rsid w:val="00665D70"/>
    <w:rsid w:val="00671DAC"/>
    <w:rsid w:val="006900D9"/>
    <w:rsid w:val="006B3E75"/>
    <w:rsid w:val="006C30A2"/>
    <w:rsid w:val="006D0221"/>
    <w:rsid w:val="006D12F8"/>
    <w:rsid w:val="00706C16"/>
    <w:rsid w:val="00712F71"/>
    <w:rsid w:val="007208B3"/>
    <w:rsid w:val="007538F5"/>
    <w:rsid w:val="00756841"/>
    <w:rsid w:val="007649AB"/>
    <w:rsid w:val="00771D0C"/>
    <w:rsid w:val="00773F62"/>
    <w:rsid w:val="007750F6"/>
    <w:rsid w:val="007833AC"/>
    <w:rsid w:val="007A50E0"/>
    <w:rsid w:val="007B268C"/>
    <w:rsid w:val="007B7171"/>
    <w:rsid w:val="007C0C0F"/>
    <w:rsid w:val="007C3DC2"/>
    <w:rsid w:val="007C46DE"/>
    <w:rsid w:val="007E5497"/>
    <w:rsid w:val="007E57A6"/>
    <w:rsid w:val="007F595B"/>
    <w:rsid w:val="00806F5F"/>
    <w:rsid w:val="00820278"/>
    <w:rsid w:val="0085190C"/>
    <w:rsid w:val="008843B6"/>
    <w:rsid w:val="00891928"/>
    <w:rsid w:val="008A446D"/>
    <w:rsid w:val="008B281B"/>
    <w:rsid w:val="008D180B"/>
    <w:rsid w:val="008E2928"/>
    <w:rsid w:val="008E58E5"/>
    <w:rsid w:val="008F0EA7"/>
    <w:rsid w:val="00923EEF"/>
    <w:rsid w:val="009419F9"/>
    <w:rsid w:val="00952F9B"/>
    <w:rsid w:val="0095685E"/>
    <w:rsid w:val="00961B09"/>
    <w:rsid w:val="00965334"/>
    <w:rsid w:val="00966743"/>
    <w:rsid w:val="0097093E"/>
    <w:rsid w:val="00983B21"/>
    <w:rsid w:val="00987C0A"/>
    <w:rsid w:val="009A0DFA"/>
    <w:rsid w:val="009B2D26"/>
    <w:rsid w:val="009C71FA"/>
    <w:rsid w:val="009C72E7"/>
    <w:rsid w:val="009D3058"/>
    <w:rsid w:val="009E6CC7"/>
    <w:rsid w:val="009F3A13"/>
    <w:rsid w:val="00A00D6F"/>
    <w:rsid w:val="00A122D3"/>
    <w:rsid w:val="00A17F13"/>
    <w:rsid w:val="00A20739"/>
    <w:rsid w:val="00A33C78"/>
    <w:rsid w:val="00A35F34"/>
    <w:rsid w:val="00AB0ADB"/>
    <w:rsid w:val="00AB7ED1"/>
    <w:rsid w:val="00B01B1A"/>
    <w:rsid w:val="00B06015"/>
    <w:rsid w:val="00B724B7"/>
    <w:rsid w:val="00B72CD3"/>
    <w:rsid w:val="00B72FFF"/>
    <w:rsid w:val="00B97273"/>
    <w:rsid w:val="00BC3D36"/>
    <w:rsid w:val="00BC4E99"/>
    <w:rsid w:val="00BD7F72"/>
    <w:rsid w:val="00C04FB3"/>
    <w:rsid w:val="00C10C18"/>
    <w:rsid w:val="00C10DFC"/>
    <w:rsid w:val="00C130E4"/>
    <w:rsid w:val="00C27999"/>
    <w:rsid w:val="00C330EB"/>
    <w:rsid w:val="00C754BE"/>
    <w:rsid w:val="00C76B1C"/>
    <w:rsid w:val="00C84048"/>
    <w:rsid w:val="00CA11CA"/>
    <w:rsid w:val="00CB488E"/>
    <w:rsid w:val="00CB6357"/>
    <w:rsid w:val="00CC1B26"/>
    <w:rsid w:val="00CC577E"/>
    <w:rsid w:val="00D21919"/>
    <w:rsid w:val="00D347B8"/>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349F"/>
    <w:rsid w:val="00E8772A"/>
    <w:rsid w:val="00E90F6B"/>
    <w:rsid w:val="00E92C27"/>
    <w:rsid w:val="00EA0E3D"/>
    <w:rsid w:val="00EC38A7"/>
    <w:rsid w:val="00EE1AA8"/>
    <w:rsid w:val="00EF6980"/>
    <w:rsid w:val="00F31EDC"/>
    <w:rsid w:val="00F43AF9"/>
    <w:rsid w:val="00F462B3"/>
    <w:rsid w:val="00F5664F"/>
    <w:rsid w:val="00F666C4"/>
    <w:rsid w:val="00F76AFC"/>
    <w:rsid w:val="00F93ACF"/>
    <w:rsid w:val="00FA47C0"/>
    <w:rsid w:val="00FB3C40"/>
    <w:rsid w:val="00FB5DD1"/>
    <w:rsid w:val="00FC2B5D"/>
    <w:rsid w:val="00FC3DBA"/>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1795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1795A"/>
    <w:rPr>
      <w:rFonts w:ascii="Geomanist Light" w:hAnsi="Geomanist Light"/>
      <w:lang w:val="es-ES"/>
    </w:rPr>
  </w:style>
  <w:style w:type="character" w:styleId="Refdecomentario">
    <w:name w:val="annotation reference"/>
    <w:basedOn w:val="Fuentedeprrafopredeter"/>
    <w:uiPriority w:val="99"/>
    <w:semiHidden/>
    <w:unhideWhenUsed/>
    <w:rsid w:val="007538F5"/>
    <w:rPr>
      <w:sz w:val="16"/>
      <w:szCs w:val="16"/>
    </w:rPr>
  </w:style>
  <w:style w:type="paragraph" w:styleId="Textocomentario">
    <w:name w:val="annotation text"/>
    <w:basedOn w:val="Normal"/>
    <w:link w:val="TextocomentarioCar"/>
    <w:uiPriority w:val="99"/>
    <w:unhideWhenUsed/>
    <w:rsid w:val="007538F5"/>
    <w:pPr>
      <w:spacing w:line="240" w:lineRule="auto"/>
    </w:pPr>
    <w:rPr>
      <w:sz w:val="20"/>
      <w:szCs w:val="20"/>
    </w:rPr>
  </w:style>
  <w:style w:type="character" w:customStyle="1" w:styleId="TextocomentarioCar">
    <w:name w:val="Texto comentario Car"/>
    <w:basedOn w:val="Fuentedeprrafopredeter"/>
    <w:link w:val="Textocomentario"/>
    <w:uiPriority w:val="99"/>
    <w:rsid w:val="007538F5"/>
    <w:rPr>
      <w:sz w:val="20"/>
      <w:szCs w:val="20"/>
    </w:rPr>
  </w:style>
  <w:style w:type="paragraph" w:styleId="Asuntodelcomentario">
    <w:name w:val="annotation subject"/>
    <w:basedOn w:val="Textocomentario"/>
    <w:next w:val="Textocomentario"/>
    <w:link w:val="AsuntodelcomentarioCar"/>
    <w:uiPriority w:val="99"/>
    <w:semiHidden/>
    <w:unhideWhenUsed/>
    <w:rsid w:val="007538F5"/>
    <w:rPr>
      <w:b/>
      <w:bCs/>
    </w:rPr>
  </w:style>
  <w:style w:type="character" w:customStyle="1" w:styleId="AsuntodelcomentarioCar">
    <w:name w:val="Asunto del comentario Car"/>
    <w:basedOn w:val="TextocomentarioCar"/>
    <w:link w:val="Asuntodelcomentario"/>
    <w:uiPriority w:val="99"/>
    <w:semiHidden/>
    <w:rsid w:val="007538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rasnotificacione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9C09D79-E9D2-4C94-9160-424AD601C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4837</Words>
  <Characters>26609</Characters>
  <Application>Microsoft Office Word</Application>
  <DocSecurity>0</DocSecurity>
  <Lines>221</Lines>
  <Paragraphs>62</Paragraphs>
  <ScaleCrop>false</ScaleCrop>
  <Company/>
  <LinksUpToDate>false</LinksUpToDate>
  <CharactersWithSpaces>31384</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1376317</vt:i4>
      </vt:variant>
      <vt:variant>
        <vt:i4>0</vt:i4>
      </vt:variant>
      <vt:variant>
        <vt:i4>0</vt:i4>
      </vt:variant>
      <vt:variant>
        <vt:i4>5</vt:i4>
      </vt:variant>
      <vt:variant>
        <vt:lpwstr>mailto:herasnotificaciones@gmail.com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2024-09-17T19:26:00Z</dcterms:created>
  <dcterms:modified xsi:type="dcterms:W3CDTF">2024-09-17T19:26:00Z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