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66F4D" w14:textId="77777777" w:rsidR="006C1E39" w:rsidRDefault="006C1E39" w:rsidP="003979B8">
      <w:pPr>
        <w:spacing w:after="0"/>
        <w:rPr>
          <w:rFonts w:ascii="Verdana" w:hAnsi="Verdana"/>
        </w:rPr>
      </w:pPr>
    </w:p>
    <w:p w14:paraId="3C74B808" w14:textId="77777777" w:rsidR="006C1E39" w:rsidRPr="00B6726E" w:rsidRDefault="006C1E39" w:rsidP="006C1E39">
      <w:pPr>
        <w:spacing w:after="0" w:line="240" w:lineRule="auto"/>
        <w:jc w:val="both"/>
        <w:rPr>
          <w:rFonts w:ascii="Verdana" w:eastAsia="Calibri" w:hAnsi="Verdana" w:cs="Arial"/>
          <w:b/>
          <w:bCs/>
          <w:lang w:val="es-ES" w:eastAsia="es-ES"/>
        </w:rPr>
      </w:pPr>
      <w:r w:rsidRPr="00B6726E">
        <w:rPr>
          <w:rFonts w:ascii="Verdana" w:eastAsia="Calibri" w:hAnsi="Verdana" w:cs="Arial"/>
          <w:b/>
          <w:bCs/>
          <w:lang w:val="es-ES" w:eastAsia="es-ES"/>
        </w:rPr>
        <w:t>CONSTITUCIÓN DE GARANTÍAS – Obligación</w:t>
      </w:r>
    </w:p>
    <w:p w14:paraId="64C4D1DD" w14:textId="77777777" w:rsidR="006C1E39" w:rsidRPr="00B6726E" w:rsidRDefault="006C1E39" w:rsidP="006C1E39">
      <w:pPr>
        <w:spacing w:after="0" w:line="240" w:lineRule="auto"/>
        <w:jc w:val="both"/>
        <w:rPr>
          <w:rFonts w:ascii="Verdana" w:eastAsia="Calibri" w:hAnsi="Verdana" w:cs="Arial"/>
          <w:sz w:val="20"/>
          <w:szCs w:val="20"/>
          <w:lang w:val="es-ES" w:eastAsia="es-ES"/>
        </w:rPr>
      </w:pPr>
    </w:p>
    <w:p w14:paraId="6DB3E5A5" w14:textId="77777777" w:rsidR="006C1E39" w:rsidRPr="00B6726E" w:rsidRDefault="006C1E39" w:rsidP="006C1E39">
      <w:pPr>
        <w:spacing w:after="0" w:line="240" w:lineRule="auto"/>
        <w:jc w:val="both"/>
        <w:rPr>
          <w:rFonts w:ascii="Verdana" w:eastAsia="Calibri" w:hAnsi="Verdana" w:cs="Arial"/>
          <w:sz w:val="20"/>
          <w:szCs w:val="20"/>
          <w:lang w:val="es-ES" w:eastAsia="es-ES"/>
        </w:rPr>
      </w:pPr>
      <w:r w:rsidRPr="00B6726E">
        <w:rPr>
          <w:rFonts w:ascii="Verdana" w:eastAsia="Calibri" w:hAnsi="Verdana" w:cs="Arial"/>
          <w:color w:val="000000"/>
          <w:sz w:val="20"/>
          <w:szCs w:val="20"/>
          <w:lang w:val="es-ES_tradnl"/>
        </w:rPr>
        <w:t>De acuerdo con el Estatuto General de Contratación de la Administración Pública, p</w:t>
      </w:r>
      <w:r w:rsidRPr="00B6726E">
        <w:rPr>
          <w:rFonts w:ascii="Verdana" w:eastAsia="Calibri" w:hAnsi="Verdana" w:cs="Arial"/>
          <w:color w:val="000000" w:themeColor="text1"/>
          <w:sz w:val="20"/>
          <w:szCs w:val="20"/>
          <w:lang w:val="es-ES_tradnl"/>
        </w:rPr>
        <w:t xml:space="preserve">or regla general, </w:t>
      </w:r>
      <w:r w:rsidRPr="00B6726E">
        <w:rPr>
          <w:rFonts w:ascii="Verdana" w:eastAsia="Calibri" w:hAnsi="Verdana" w:cs="Arial"/>
          <w:color w:val="000000" w:themeColor="text1"/>
          <w:sz w:val="20"/>
          <w:szCs w:val="20"/>
          <w:lang w:val="es-ES"/>
        </w:rPr>
        <w:t>para seleccionar los contratistas y para ejecutar los contratos se requiere la constitución de garantías</w:t>
      </w:r>
      <w:r w:rsidRPr="00B6726E">
        <w:rPr>
          <w:rFonts w:ascii="Verdana" w:eastAsia="Calibri" w:hAnsi="Verdana" w:cs="Arial"/>
          <w:color w:val="000000" w:themeColor="text1"/>
          <w:sz w:val="20"/>
          <w:szCs w:val="20"/>
          <w:lang w:val="es-ES_tradnl"/>
        </w:rPr>
        <w:t>. Por ello,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w:t>
      </w:r>
    </w:p>
    <w:p w14:paraId="297DED65" w14:textId="77777777" w:rsidR="006C1E39" w:rsidRPr="00B6726E" w:rsidRDefault="006C1E39" w:rsidP="006C1E39">
      <w:pPr>
        <w:spacing w:after="0" w:line="240" w:lineRule="auto"/>
        <w:jc w:val="both"/>
        <w:rPr>
          <w:rFonts w:ascii="Verdana" w:eastAsia="Calibri" w:hAnsi="Verdana" w:cs="Arial"/>
          <w:sz w:val="20"/>
          <w:szCs w:val="20"/>
          <w:lang w:val="es-ES" w:eastAsia="es-ES"/>
        </w:rPr>
      </w:pPr>
    </w:p>
    <w:p w14:paraId="5F08F84F" w14:textId="77777777" w:rsidR="006C1E39" w:rsidRPr="00B6726E" w:rsidRDefault="006C1E39" w:rsidP="006C1E39">
      <w:pPr>
        <w:spacing w:after="0" w:line="240" w:lineRule="auto"/>
        <w:jc w:val="both"/>
        <w:rPr>
          <w:rFonts w:ascii="Verdana" w:eastAsia="Calibri" w:hAnsi="Verdana" w:cs="Arial"/>
          <w:b/>
          <w:bCs/>
          <w:lang w:val="es-ES" w:eastAsia="es-ES"/>
        </w:rPr>
      </w:pPr>
      <w:r w:rsidRPr="00B6726E">
        <w:rPr>
          <w:rFonts w:ascii="Verdana" w:eastAsia="Calibri" w:hAnsi="Verdana" w:cs="Arial"/>
          <w:b/>
          <w:bCs/>
          <w:lang w:val="es-ES" w:eastAsia="es-ES"/>
        </w:rPr>
        <w:t>EJECUCIÓN DEL CONTRATO ESTATAL – Requisitos – Artículo 41 de la Ley 80 de 1993</w:t>
      </w:r>
    </w:p>
    <w:p w14:paraId="762AC683" w14:textId="77777777" w:rsidR="006C1E39" w:rsidRPr="00B6726E" w:rsidRDefault="006C1E39" w:rsidP="006C1E39">
      <w:pPr>
        <w:spacing w:after="0" w:line="240" w:lineRule="auto"/>
        <w:jc w:val="both"/>
        <w:rPr>
          <w:rFonts w:ascii="Verdana" w:eastAsia="Calibri" w:hAnsi="Verdana" w:cs="Arial"/>
          <w:sz w:val="20"/>
          <w:szCs w:val="20"/>
          <w:lang w:val="es-ES" w:eastAsia="es-ES"/>
        </w:rPr>
      </w:pPr>
    </w:p>
    <w:p w14:paraId="620E8B4B" w14:textId="77777777" w:rsidR="006C1E39" w:rsidRPr="00B6726E" w:rsidRDefault="006C1E39" w:rsidP="006C1E39">
      <w:pPr>
        <w:spacing w:after="0" w:line="240" w:lineRule="auto"/>
        <w:jc w:val="both"/>
        <w:rPr>
          <w:rFonts w:ascii="Verdana" w:eastAsia="Calibri" w:hAnsi="Verdana" w:cs="Arial"/>
          <w:sz w:val="20"/>
          <w:szCs w:val="20"/>
        </w:rPr>
      </w:pPr>
      <w:r w:rsidRPr="00B6726E">
        <w:rPr>
          <w:rFonts w:ascii="Verdana" w:hAnsi="Verdana" w:cs="Arial"/>
          <w:color w:val="000000" w:themeColor="text1"/>
          <w:sz w:val="20"/>
          <w:szCs w:val="20"/>
          <w:lang w:val="es-MX"/>
        </w:rPr>
        <w:t>[Los] aspectos desarrollados por el Decreto 1082 de 2015 deben ser verificados por las entidades estatales, para determinar si los amparos constituidos por sus contratistas en cumplimiento de la obligación derivada del artículo 7 de la Ley 1150 de 2007 se ajustan o no a lo exigido por el reglamento respecto del objeto y valor del contrato.</w:t>
      </w:r>
      <w:r w:rsidRPr="00B6726E">
        <w:rPr>
          <w:rFonts w:ascii="Verdana" w:hAnsi="Verdana" w:cs="Arial"/>
          <w:color w:val="000000" w:themeColor="text1"/>
          <w:sz w:val="20"/>
          <w:szCs w:val="20"/>
        </w:rPr>
        <w:t xml:space="preserve"> Lo expuesto resulta de especial relevancia, teniendo en cuenta que el cumplimiento de la obligación de los contratistas de constituir las correspondientes garantías, y el deber de las entidades estatales de aprobarlas, una vez verificados los requisitos mínimos exigidos, son presupuestos para la ejecución del contrato, de conformidad con el artículo 41 de la Ley 80 de 1993</w:t>
      </w:r>
      <w:r w:rsidRPr="00B6726E">
        <w:rPr>
          <w:rFonts w:ascii="Verdana" w:eastAsia="Calibri" w:hAnsi="Verdana" w:cs="Arial"/>
          <w:sz w:val="20"/>
          <w:szCs w:val="20"/>
        </w:rPr>
        <w:t>.</w:t>
      </w:r>
    </w:p>
    <w:p w14:paraId="6302B840" w14:textId="77777777" w:rsidR="006C1E39" w:rsidRPr="00B6726E" w:rsidRDefault="006C1E39" w:rsidP="006C1E39">
      <w:pPr>
        <w:spacing w:after="0" w:line="240" w:lineRule="auto"/>
        <w:jc w:val="both"/>
        <w:rPr>
          <w:rFonts w:ascii="Verdana" w:hAnsi="Verdana" w:cs="Arial"/>
          <w:color w:val="000000" w:themeColor="text1"/>
          <w:sz w:val="20"/>
          <w:szCs w:val="20"/>
        </w:rPr>
      </w:pPr>
      <w:r w:rsidRPr="00B6726E">
        <w:rPr>
          <w:rFonts w:ascii="Verdana" w:eastAsia="Calibri" w:hAnsi="Verdana" w:cs="Arial"/>
          <w:sz w:val="20"/>
          <w:szCs w:val="20"/>
        </w:rPr>
        <w:t xml:space="preserve"> </w:t>
      </w:r>
    </w:p>
    <w:p w14:paraId="7A6360B0" w14:textId="77777777" w:rsidR="006C1E39" w:rsidRPr="00B6726E" w:rsidRDefault="006C1E39" w:rsidP="006C1E39">
      <w:pPr>
        <w:spacing w:after="0" w:line="240" w:lineRule="auto"/>
        <w:jc w:val="both"/>
        <w:rPr>
          <w:rFonts w:ascii="Verdana" w:eastAsia="Calibri" w:hAnsi="Verdana" w:cs="Arial"/>
          <w:sz w:val="20"/>
          <w:szCs w:val="20"/>
          <w:lang w:val="es-ES" w:eastAsia="es-ES"/>
        </w:rPr>
      </w:pPr>
      <w:r w:rsidRPr="00B6726E">
        <w:rPr>
          <w:rFonts w:ascii="Verdana" w:eastAsia="Calibri" w:hAnsi="Verdana" w:cs="Arial"/>
          <w:sz w:val="20"/>
          <w:szCs w:val="20"/>
        </w:rPr>
        <w:t xml:space="preserve">En efecto, </w:t>
      </w:r>
      <w:r w:rsidRPr="00B6726E">
        <w:rPr>
          <w:rFonts w:ascii="Verdana" w:hAnsi="Verdana" w:cs="Arial"/>
          <w:color w:val="000000" w:themeColor="text1"/>
          <w:sz w:val="20"/>
          <w:szCs w:val="20"/>
          <w:lang w:val="es-MX"/>
        </w:rPr>
        <w:t>el referido artículo establece en su inciso primero que los contratos estatales se perfeccionan “</w:t>
      </w:r>
      <w:r w:rsidRPr="00B6726E">
        <w:rPr>
          <w:rFonts w:ascii="Verdana" w:hAnsi="Verdana" w:cs="Arial"/>
          <w:color w:val="000000" w:themeColor="text1"/>
          <w:sz w:val="20"/>
          <w:szCs w:val="20"/>
          <w:lang w:eastAsia="es-CO"/>
        </w:rPr>
        <w:t>cuando se logre acuerdo sobre el objeto y la contraprestación y éste se eleve a escrito</w:t>
      </w:r>
      <w:r w:rsidRPr="00B6726E">
        <w:rPr>
          <w:rFonts w:ascii="Verdana" w:hAnsi="Verdana" w:cs="Arial"/>
          <w:color w:val="000000" w:themeColor="text1"/>
          <w:sz w:val="20"/>
          <w:szCs w:val="20"/>
          <w:lang w:val="es-MX"/>
        </w:rPr>
        <w:t>”. Por su parte el inciso segundo establece que “P</w:t>
      </w:r>
      <w:r w:rsidRPr="00B6726E">
        <w:rPr>
          <w:rFonts w:ascii="Verdana" w:hAnsi="Verdana" w:cs="Arial"/>
          <w:color w:val="000000" w:themeColor="text1"/>
          <w:sz w:val="20"/>
          <w:szCs w:val="20"/>
          <w:lang w:eastAsia="es-CO"/>
        </w:rPr>
        <w:t>ara la ejecución se requerirá de la aprobación de la garantía”, lo que se traduce en que, sin perjuicio del perfeccionamiento del contrato, no podrá ejecutarse sin que se hayan aprobado las garantías por parte de la entidad estatal contratante.</w:t>
      </w:r>
    </w:p>
    <w:p w14:paraId="5181404A" w14:textId="77777777" w:rsidR="006C1E39" w:rsidRPr="00B6726E" w:rsidRDefault="006C1E39" w:rsidP="006C1E39">
      <w:pPr>
        <w:spacing w:after="0" w:line="240" w:lineRule="auto"/>
        <w:jc w:val="both"/>
        <w:rPr>
          <w:rFonts w:ascii="Verdana" w:eastAsia="Calibri" w:hAnsi="Verdana" w:cs="Arial"/>
          <w:sz w:val="20"/>
          <w:szCs w:val="20"/>
          <w:lang w:val="es-ES" w:eastAsia="es-ES"/>
        </w:rPr>
      </w:pPr>
    </w:p>
    <w:p w14:paraId="668C3690" w14:textId="77777777" w:rsidR="006C1E39" w:rsidRPr="00B6726E" w:rsidRDefault="006C1E39" w:rsidP="006C1E39">
      <w:pPr>
        <w:spacing w:after="0" w:line="240" w:lineRule="auto"/>
        <w:jc w:val="both"/>
        <w:rPr>
          <w:rFonts w:ascii="Verdana" w:eastAsia="Calibri" w:hAnsi="Verdana" w:cs="Arial"/>
          <w:b/>
          <w:bCs/>
          <w:lang w:val="es-ES" w:eastAsia="es-ES"/>
        </w:rPr>
      </w:pPr>
      <w:r w:rsidRPr="00B6726E">
        <w:rPr>
          <w:rFonts w:ascii="Verdana" w:eastAsia="Calibri" w:hAnsi="Verdana" w:cs="Arial"/>
          <w:b/>
          <w:bCs/>
          <w:lang w:val="es-ES" w:eastAsia="es-ES"/>
        </w:rPr>
        <w:t xml:space="preserve">APROBACIÓN DE GARANTÍAS – Verificación de la Entidad </w:t>
      </w:r>
    </w:p>
    <w:p w14:paraId="2C1630CB" w14:textId="77777777" w:rsidR="006C1E39" w:rsidRPr="00B6726E" w:rsidRDefault="006C1E39" w:rsidP="006C1E39">
      <w:pPr>
        <w:spacing w:after="0" w:line="240" w:lineRule="auto"/>
        <w:jc w:val="both"/>
        <w:rPr>
          <w:rFonts w:ascii="Verdana" w:eastAsia="Calibri" w:hAnsi="Verdana" w:cs="Arial"/>
          <w:sz w:val="20"/>
          <w:szCs w:val="20"/>
          <w:lang w:val="es-ES" w:eastAsia="es-ES"/>
        </w:rPr>
      </w:pPr>
    </w:p>
    <w:p w14:paraId="6A5AA699" w14:textId="77777777" w:rsidR="006C1E39" w:rsidRPr="00B6726E" w:rsidRDefault="006C1E39" w:rsidP="7E10FB8E">
      <w:pPr>
        <w:spacing w:after="0" w:line="240" w:lineRule="auto"/>
        <w:jc w:val="both"/>
        <w:rPr>
          <w:rFonts w:ascii="Verdana" w:eastAsia="Calibri" w:hAnsi="Verdana" w:cs="Arial"/>
          <w:sz w:val="20"/>
          <w:szCs w:val="20"/>
          <w:lang w:val="es-ES" w:eastAsia="es-ES"/>
        </w:rPr>
      </w:pPr>
      <w:r w:rsidRPr="7E10FB8E">
        <w:rPr>
          <w:rFonts w:ascii="Verdana" w:eastAsia="Calibri" w:hAnsi="Verdana" w:cs="Arial"/>
          <w:sz w:val="20"/>
          <w:szCs w:val="20"/>
          <w:lang w:val="es-ES" w:eastAsia="es-ES"/>
        </w:rPr>
        <w:t>[L]a obligación de constituir las garantías contractuales y su aprobación tiene como propósito cumplir con el requisito de ejecución del contrato, pues estas se erigen como un “instrumento para salvaguardar intereses de carácter general, garantizar el adecuado cumplimiento del objeto contractual y proteger el patrimonio público de los detrimentos que se puedan causar con ocasión de eventuales incumplimientos en que incurra el contratista</w:t>
      </w:r>
      <w:proofErr w:type="gramStart"/>
      <w:r w:rsidRPr="7E10FB8E">
        <w:rPr>
          <w:rFonts w:ascii="Verdana" w:eastAsia="Calibri" w:hAnsi="Verdana" w:cs="Arial"/>
          <w:sz w:val="20"/>
          <w:szCs w:val="20"/>
          <w:lang w:val="es-ES" w:eastAsia="es-ES"/>
        </w:rPr>
        <w:t>” .</w:t>
      </w:r>
      <w:proofErr w:type="gramEnd"/>
      <w:r w:rsidRPr="7E10FB8E">
        <w:rPr>
          <w:rFonts w:ascii="Verdana" w:eastAsia="Calibri" w:hAnsi="Verdana" w:cs="Arial"/>
          <w:sz w:val="20"/>
          <w:szCs w:val="20"/>
          <w:lang w:val="es-ES" w:eastAsia="es-ES"/>
        </w:rPr>
        <w:t xml:space="preserve"> En este sentido, previo a la aprobación de las garantías pactadas en el contrato, la entidad debe realizar la respectiva verificación de los amparos y suficiencia de las garantías exigidas, con la finalidad de asegurar que estas protejan el patrimonio del Estado de los perjuicios que eventualmente se derivarían de la materialización de los riesgos amparados.</w:t>
      </w:r>
    </w:p>
    <w:p w14:paraId="32B62708" w14:textId="77777777" w:rsidR="006C1E39" w:rsidRPr="00B6726E" w:rsidRDefault="006C1E39" w:rsidP="006C1E39">
      <w:pPr>
        <w:spacing w:after="0" w:line="240" w:lineRule="auto"/>
        <w:jc w:val="both"/>
        <w:rPr>
          <w:rFonts w:ascii="Verdana" w:eastAsia="Calibri" w:hAnsi="Verdana" w:cs="Arial"/>
          <w:sz w:val="20"/>
          <w:szCs w:val="20"/>
          <w:lang w:val="es-ES_tradnl" w:eastAsia="es-ES"/>
        </w:rPr>
      </w:pPr>
      <w:r w:rsidRPr="00B6726E">
        <w:rPr>
          <w:rFonts w:ascii="Verdana" w:eastAsia="Calibri" w:hAnsi="Verdana" w:cs="Arial"/>
          <w:sz w:val="20"/>
          <w:szCs w:val="20"/>
          <w:lang w:val="es-ES_tradnl" w:eastAsia="es-ES"/>
        </w:rPr>
        <w:t xml:space="preserve"> </w:t>
      </w:r>
    </w:p>
    <w:p w14:paraId="11042385" w14:textId="77777777" w:rsidR="006C1E39" w:rsidRPr="00B6726E" w:rsidRDefault="006C1E39" w:rsidP="7E10FB8E">
      <w:pPr>
        <w:spacing w:after="0" w:line="240" w:lineRule="auto"/>
        <w:jc w:val="both"/>
        <w:rPr>
          <w:rFonts w:ascii="Verdana" w:eastAsia="Calibri" w:hAnsi="Verdana" w:cs="Arial"/>
          <w:sz w:val="20"/>
          <w:szCs w:val="20"/>
          <w:lang w:val="es-ES" w:eastAsia="es-ES"/>
        </w:rPr>
      </w:pPr>
      <w:r w:rsidRPr="7E10FB8E">
        <w:rPr>
          <w:rFonts w:ascii="Verdana" w:eastAsia="Calibri" w:hAnsi="Verdana" w:cs="Arial"/>
          <w:sz w:val="20"/>
          <w:szCs w:val="20"/>
          <w:lang w:val="es-ES" w:eastAsia="es-ES"/>
        </w:rPr>
        <w:t xml:space="preserve">Esta labor de verificación por parte de la entidad implica validar el origen de las garantías y revisar “que los valores asegurados coincidan con los que se exigieron en el contrato, así como su vigencia; verificar que estén identificados plenamente el tomador y el beneficiario, y que vengan adjuntas las condiciones generales de la póliza. Sólo con la </w:t>
      </w:r>
      <w:r w:rsidRPr="7E10FB8E">
        <w:rPr>
          <w:rFonts w:ascii="Verdana" w:eastAsia="Calibri" w:hAnsi="Verdana" w:cs="Arial"/>
          <w:sz w:val="20"/>
          <w:szCs w:val="20"/>
          <w:lang w:val="es-ES" w:eastAsia="es-ES"/>
        </w:rPr>
        <w:lastRenderedPageBreak/>
        <w:t>certeza que brinda este análisis, se puede tener la seguridad que no se causarán perjuicios al ente estatal. De tal manera, una vez revisada la póliza, sus anexos (condiciones generales) y su contenido y si está de acuerdo con lo exigido, se impartirá la aprobación correspondiente</w:t>
      </w:r>
      <w:proofErr w:type="gramStart"/>
      <w:r w:rsidRPr="7E10FB8E">
        <w:rPr>
          <w:rFonts w:ascii="Verdana" w:eastAsia="Calibri" w:hAnsi="Verdana" w:cs="Arial"/>
          <w:sz w:val="20"/>
          <w:szCs w:val="20"/>
          <w:lang w:val="es-ES" w:eastAsia="es-ES"/>
        </w:rPr>
        <w:t>” .</w:t>
      </w:r>
      <w:proofErr w:type="gramEnd"/>
      <w:r w:rsidRPr="7E10FB8E">
        <w:rPr>
          <w:rFonts w:ascii="Verdana" w:eastAsia="Calibri" w:hAnsi="Verdana" w:cs="Arial"/>
          <w:sz w:val="20"/>
          <w:szCs w:val="20"/>
          <w:lang w:val="es-ES" w:eastAsia="es-ES"/>
        </w:rPr>
        <w:t xml:space="preserve"> De este modo, con la aprobación de las garantías la entidad estatal estará acreditando el cumplimiento de la obligación del artículo 7 de la Ley 1150 de 2007, y entonces el contrato podrá ejecutarse, siempre que se cumplan los demás requisitos establece el artículo 41 de la Ley 80 de 1993, para efectos de su posterior liquidación.</w:t>
      </w:r>
    </w:p>
    <w:p w14:paraId="66D34EF9" w14:textId="77777777" w:rsidR="006C1E39" w:rsidRPr="00A11406" w:rsidRDefault="006C1E39" w:rsidP="006C1E39">
      <w:pPr>
        <w:spacing w:after="0" w:line="276" w:lineRule="auto"/>
        <w:jc w:val="both"/>
        <w:rPr>
          <w:rFonts w:ascii="Verdana" w:eastAsia="Calibri" w:hAnsi="Verdana" w:cs="Arial"/>
          <w:lang w:val="es-ES" w:eastAsia="es-ES"/>
        </w:rPr>
      </w:pPr>
      <w:r w:rsidRPr="0006268C">
        <w:rPr>
          <w:rFonts w:ascii="Verdana" w:eastAsia="Calibri" w:hAnsi="Verdana" w:cs="Arial"/>
          <w:lang w:val="es-ES" w:eastAsia="es-ES"/>
        </w:rPr>
        <w:t xml:space="preserve">  </w:t>
      </w:r>
    </w:p>
    <w:p w14:paraId="5389A65C" w14:textId="77777777" w:rsidR="006C1E39" w:rsidRPr="00B6726E" w:rsidRDefault="006C1E39" w:rsidP="006C1E39">
      <w:pPr>
        <w:spacing w:after="0" w:line="240" w:lineRule="auto"/>
        <w:rPr>
          <w:rFonts w:ascii="Verdana" w:eastAsia="Geomanist Light" w:hAnsi="Verdana" w:cs="Arial"/>
          <w:color w:val="000000" w:themeColor="text1"/>
          <w:lang w:val="es-ES"/>
        </w:rPr>
      </w:pPr>
    </w:p>
    <w:p w14:paraId="62BFF395" w14:textId="77777777" w:rsidR="006C1E39" w:rsidRDefault="006C1E39" w:rsidP="006C1E39">
      <w:pPr>
        <w:spacing w:after="0" w:line="240" w:lineRule="auto"/>
        <w:rPr>
          <w:rFonts w:ascii="Verdana" w:eastAsia="Geomanist Light" w:hAnsi="Verdana" w:cs="Arial"/>
          <w:color w:val="000000" w:themeColor="text1"/>
          <w:lang w:val="es-MX"/>
        </w:rPr>
      </w:pPr>
    </w:p>
    <w:p w14:paraId="78F08500" w14:textId="77777777" w:rsidR="006C1E39" w:rsidRDefault="006C1E39" w:rsidP="006C1E39">
      <w:pPr>
        <w:spacing w:after="0" w:line="240" w:lineRule="auto"/>
        <w:rPr>
          <w:rFonts w:ascii="Verdana" w:eastAsia="Geomanist Light" w:hAnsi="Verdana" w:cs="Arial"/>
          <w:color w:val="000000" w:themeColor="text1"/>
          <w:lang w:val="es-MX"/>
        </w:rPr>
      </w:pPr>
    </w:p>
    <w:p w14:paraId="3E2B4417" w14:textId="77777777" w:rsidR="006C1E39" w:rsidRDefault="006C1E39" w:rsidP="006C1E39">
      <w:pPr>
        <w:spacing w:after="0" w:line="240" w:lineRule="auto"/>
        <w:rPr>
          <w:rFonts w:ascii="Verdana" w:eastAsia="Geomanist Light" w:hAnsi="Verdana" w:cs="Arial"/>
          <w:color w:val="000000" w:themeColor="text1"/>
          <w:lang w:val="es-MX"/>
        </w:rPr>
      </w:pPr>
    </w:p>
    <w:p w14:paraId="1CE00032" w14:textId="77777777" w:rsidR="006C1E39" w:rsidRDefault="006C1E39" w:rsidP="006C1E39">
      <w:pPr>
        <w:spacing w:after="0" w:line="240" w:lineRule="auto"/>
        <w:rPr>
          <w:rFonts w:ascii="Verdana" w:eastAsia="Geomanist Light" w:hAnsi="Verdana" w:cs="Arial"/>
          <w:color w:val="000000" w:themeColor="text1"/>
          <w:lang w:val="es-MX"/>
        </w:rPr>
      </w:pPr>
    </w:p>
    <w:p w14:paraId="58744FD6" w14:textId="77777777" w:rsidR="006C1E39" w:rsidRDefault="006C1E39" w:rsidP="006C1E39">
      <w:pPr>
        <w:spacing w:after="0" w:line="240" w:lineRule="auto"/>
        <w:rPr>
          <w:rFonts w:ascii="Verdana" w:eastAsia="Geomanist Light" w:hAnsi="Verdana" w:cs="Arial"/>
          <w:color w:val="000000" w:themeColor="text1"/>
          <w:lang w:val="es-MX"/>
        </w:rPr>
      </w:pPr>
    </w:p>
    <w:p w14:paraId="01279E23" w14:textId="77777777" w:rsidR="006C1E39" w:rsidRDefault="006C1E39" w:rsidP="006C1E39">
      <w:pPr>
        <w:spacing w:after="0" w:line="240" w:lineRule="auto"/>
        <w:rPr>
          <w:rFonts w:ascii="Verdana" w:eastAsia="Geomanist Light" w:hAnsi="Verdana" w:cs="Arial"/>
          <w:color w:val="000000" w:themeColor="text1"/>
          <w:lang w:val="es-MX"/>
        </w:rPr>
      </w:pPr>
    </w:p>
    <w:p w14:paraId="67EA4C93" w14:textId="77777777" w:rsidR="006C1E39" w:rsidRDefault="006C1E39" w:rsidP="006C1E39">
      <w:pPr>
        <w:spacing w:after="0" w:line="240" w:lineRule="auto"/>
        <w:rPr>
          <w:rFonts w:ascii="Verdana" w:eastAsia="Geomanist Light" w:hAnsi="Verdana" w:cs="Arial"/>
          <w:color w:val="000000" w:themeColor="text1"/>
          <w:lang w:val="es-MX"/>
        </w:rPr>
      </w:pPr>
    </w:p>
    <w:p w14:paraId="22889585" w14:textId="77777777" w:rsidR="006C1E39" w:rsidRDefault="006C1E39" w:rsidP="006C1E39">
      <w:pPr>
        <w:spacing w:after="0" w:line="240" w:lineRule="auto"/>
        <w:rPr>
          <w:rFonts w:ascii="Verdana" w:eastAsia="Geomanist Light" w:hAnsi="Verdana" w:cs="Arial"/>
          <w:color w:val="000000" w:themeColor="text1"/>
          <w:lang w:val="es-MX"/>
        </w:rPr>
      </w:pPr>
    </w:p>
    <w:p w14:paraId="6CDCE6C1" w14:textId="77777777" w:rsidR="006C1E39" w:rsidRDefault="006C1E39" w:rsidP="006C1E39">
      <w:pPr>
        <w:spacing w:after="0"/>
        <w:rPr>
          <w:rFonts w:ascii="Verdana" w:hAnsi="Verdana"/>
        </w:rPr>
      </w:pPr>
    </w:p>
    <w:p w14:paraId="718D7957" w14:textId="77777777" w:rsidR="006C1E39" w:rsidRDefault="006C1E39" w:rsidP="006C1E39">
      <w:pPr>
        <w:spacing w:after="0"/>
        <w:rPr>
          <w:rFonts w:ascii="Verdana" w:hAnsi="Verdana"/>
        </w:rPr>
      </w:pPr>
    </w:p>
    <w:p w14:paraId="5B74E8ED" w14:textId="77777777" w:rsidR="006C1E39" w:rsidRDefault="006C1E39" w:rsidP="006C1E39">
      <w:pPr>
        <w:spacing w:after="0"/>
        <w:rPr>
          <w:rFonts w:ascii="Verdana" w:hAnsi="Verdana"/>
        </w:rPr>
      </w:pPr>
    </w:p>
    <w:p w14:paraId="2F18C2B6" w14:textId="77777777" w:rsidR="006C1E39" w:rsidRDefault="006C1E39" w:rsidP="006C1E39">
      <w:pPr>
        <w:spacing w:after="0"/>
        <w:rPr>
          <w:rFonts w:ascii="Verdana" w:hAnsi="Verdana"/>
        </w:rPr>
      </w:pPr>
    </w:p>
    <w:p w14:paraId="63F28832" w14:textId="77777777" w:rsidR="006C1E39" w:rsidRDefault="006C1E39" w:rsidP="006C1E39">
      <w:pPr>
        <w:spacing w:after="0"/>
        <w:rPr>
          <w:rFonts w:ascii="Verdana" w:hAnsi="Verdana"/>
        </w:rPr>
      </w:pPr>
    </w:p>
    <w:p w14:paraId="6A5FDC53" w14:textId="77777777" w:rsidR="006C1E39" w:rsidRDefault="006C1E39" w:rsidP="006C1E39">
      <w:pPr>
        <w:spacing w:after="0"/>
        <w:rPr>
          <w:rFonts w:ascii="Verdana" w:hAnsi="Verdana"/>
        </w:rPr>
      </w:pPr>
    </w:p>
    <w:p w14:paraId="7A944726" w14:textId="77777777" w:rsidR="006C1E39" w:rsidRDefault="006C1E39" w:rsidP="006C1E39">
      <w:pPr>
        <w:spacing w:after="0"/>
        <w:rPr>
          <w:rFonts w:ascii="Verdana" w:hAnsi="Verdana"/>
        </w:rPr>
      </w:pPr>
    </w:p>
    <w:p w14:paraId="257A6555" w14:textId="77777777" w:rsidR="006C1E39" w:rsidRDefault="006C1E39" w:rsidP="006C1E39">
      <w:pPr>
        <w:spacing w:after="0"/>
        <w:rPr>
          <w:rFonts w:ascii="Verdana" w:hAnsi="Verdana"/>
        </w:rPr>
      </w:pPr>
    </w:p>
    <w:p w14:paraId="638E3057" w14:textId="77777777" w:rsidR="006C1E39" w:rsidRDefault="006C1E39" w:rsidP="006C1E39">
      <w:pPr>
        <w:spacing w:after="0"/>
        <w:rPr>
          <w:rFonts w:ascii="Verdana" w:hAnsi="Verdana"/>
        </w:rPr>
      </w:pPr>
    </w:p>
    <w:p w14:paraId="60E157DD" w14:textId="77777777" w:rsidR="006C1E39" w:rsidRDefault="006C1E39" w:rsidP="006C1E39">
      <w:pPr>
        <w:spacing w:after="0"/>
        <w:rPr>
          <w:rFonts w:ascii="Verdana" w:hAnsi="Verdana"/>
        </w:rPr>
      </w:pPr>
    </w:p>
    <w:p w14:paraId="3FF4A675" w14:textId="77777777" w:rsidR="006C1E39" w:rsidRDefault="006C1E39" w:rsidP="006C1E39">
      <w:pPr>
        <w:spacing w:after="0"/>
        <w:rPr>
          <w:rFonts w:ascii="Verdana" w:hAnsi="Verdana"/>
        </w:rPr>
      </w:pPr>
    </w:p>
    <w:p w14:paraId="1682B699" w14:textId="77777777" w:rsidR="006C1E39" w:rsidRDefault="006C1E39" w:rsidP="003979B8">
      <w:pPr>
        <w:spacing w:after="0"/>
        <w:rPr>
          <w:rFonts w:ascii="Verdana" w:hAnsi="Verdana"/>
        </w:rPr>
      </w:pPr>
    </w:p>
    <w:p w14:paraId="39978098" w14:textId="77777777" w:rsidR="006C1E39" w:rsidRDefault="006C1E39" w:rsidP="003979B8">
      <w:pPr>
        <w:spacing w:after="0"/>
        <w:rPr>
          <w:rFonts w:ascii="Verdana" w:hAnsi="Verdana"/>
        </w:rPr>
      </w:pPr>
    </w:p>
    <w:p w14:paraId="5103FD83" w14:textId="77777777" w:rsidR="006C1E39" w:rsidRDefault="006C1E39" w:rsidP="003979B8">
      <w:pPr>
        <w:spacing w:after="0"/>
        <w:rPr>
          <w:rFonts w:ascii="Verdana" w:hAnsi="Verdana"/>
        </w:rPr>
      </w:pPr>
    </w:p>
    <w:p w14:paraId="17C650C4" w14:textId="77777777" w:rsidR="006C1E39" w:rsidRDefault="006C1E39" w:rsidP="003979B8">
      <w:pPr>
        <w:spacing w:after="0"/>
        <w:rPr>
          <w:rFonts w:ascii="Verdana" w:hAnsi="Verdana"/>
        </w:rPr>
      </w:pPr>
    </w:p>
    <w:p w14:paraId="7F137A05" w14:textId="77777777" w:rsidR="006C1E39" w:rsidRDefault="006C1E39" w:rsidP="003979B8">
      <w:pPr>
        <w:spacing w:after="0"/>
        <w:rPr>
          <w:rFonts w:ascii="Verdana" w:hAnsi="Verdana"/>
        </w:rPr>
      </w:pPr>
    </w:p>
    <w:p w14:paraId="290E22F0" w14:textId="77777777" w:rsidR="006C1E39" w:rsidRDefault="006C1E39" w:rsidP="003979B8">
      <w:pPr>
        <w:spacing w:after="0"/>
        <w:rPr>
          <w:rFonts w:ascii="Verdana" w:hAnsi="Verdana"/>
        </w:rPr>
      </w:pPr>
    </w:p>
    <w:p w14:paraId="430E2835" w14:textId="77777777" w:rsidR="006C1E39" w:rsidRDefault="006C1E39" w:rsidP="003979B8">
      <w:pPr>
        <w:spacing w:after="0"/>
        <w:rPr>
          <w:rFonts w:ascii="Verdana" w:hAnsi="Verdana"/>
        </w:rPr>
      </w:pPr>
    </w:p>
    <w:p w14:paraId="7A14E980" w14:textId="77777777" w:rsidR="006C1E39" w:rsidRDefault="006C1E39" w:rsidP="003979B8">
      <w:pPr>
        <w:spacing w:after="0"/>
        <w:rPr>
          <w:rFonts w:ascii="Verdana" w:hAnsi="Verdana"/>
        </w:rPr>
      </w:pPr>
    </w:p>
    <w:p w14:paraId="5ADDB796" w14:textId="77777777" w:rsidR="006C1E39" w:rsidRDefault="006C1E39" w:rsidP="003979B8">
      <w:pPr>
        <w:spacing w:after="0"/>
        <w:rPr>
          <w:rFonts w:ascii="Verdana" w:hAnsi="Verdana"/>
        </w:rPr>
      </w:pPr>
    </w:p>
    <w:p w14:paraId="48DE474C" w14:textId="77777777" w:rsidR="006C1E39" w:rsidRDefault="006C1E39" w:rsidP="003979B8">
      <w:pPr>
        <w:spacing w:after="0"/>
        <w:rPr>
          <w:rFonts w:ascii="Verdana" w:hAnsi="Verdana"/>
        </w:rPr>
      </w:pPr>
    </w:p>
    <w:p w14:paraId="56F6496C" w14:textId="77777777" w:rsidR="006C1E39" w:rsidRDefault="006C1E39" w:rsidP="003979B8">
      <w:pPr>
        <w:spacing w:after="0"/>
        <w:rPr>
          <w:rFonts w:ascii="Verdana" w:hAnsi="Verdana"/>
        </w:rPr>
      </w:pPr>
    </w:p>
    <w:p w14:paraId="563360B4" w14:textId="77777777" w:rsidR="006C1E39" w:rsidRDefault="006C1E39" w:rsidP="003979B8">
      <w:pPr>
        <w:spacing w:after="0"/>
        <w:rPr>
          <w:rFonts w:ascii="Verdana" w:hAnsi="Verdana"/>
        </w:rPr>
      </w:pPr>
    </w:p>
    <w:p w14:paraId="1EA289C5" w14:textId="77777777" w:rsidR="006C1E39" w:rsidRDefault="006C1E39" w:rsidP="003979B8">
      <w:pPr>
        <w:spacing w:after="0"/>
        <w:rPr>
          <w:rFonts w:ascii="Verdana" w:hAnsi="Verdana"/>
        </w:rPr>
      </w:pPr>
    </w:p>
    <w:p w14:paraId="2ADB5C67" w14:textId="77777777" w:rsidR="006C1E39" w:rsidRDefault="006C1E39" w:rsidP="003979B8">
      <w:pPr>
        <w:spacing w:after="0"/>
        <w:rPr>
          <w:rFonts w:ascii="Verdana" w:hAnsi="Verdana"/>
        </w:rPr>
      </w:pPr>
    </w:p>
    <w:p w14:paraId="66F359C1" w14:textId="77777777" w:rsidR="006C1E39" w:rsidRDefault="006C1E39" w:rsidP="003979B8">
      <w:pPr>
        <w:spacing w:after="0"/>
        <w:rPr>
          <w:rFonts w:ascii="Verdana" w:hAnsi="Verdana"/>
        </w:rPr>
      </w:pPr>
    </w:p>
    <w:p w14:paraId="455CC171" w14:textId="4B6DFBA4" w:rsidR="006C1E39" w:rsidRDefault="006C1E39" w:rsidP="006C1E39">
      <w:pPr>
        <w:spacing w:after="0"/>
        <w:ind w:left="5664"/>
        <w:rPr>
          <w:rFonts w:ascii="Verdana" w:hAnsi="Verdana"/>
        </w:rPr>
      </w:pPr>
      <w:r>
        <w:rPr>
          <w:noProof/>
        </w:rPr>
        <w:drawing>
          <wp:inline distT="0" distB="0" distL="0" distR="0" wp14:anchorId="555B900E" wp14:editId="477A97A1">
            <wp:extent cx="2381250" cy="742950"/>
            <wp:effectExtent l="0" t="0" r="0" b="0"/>
            <wp:docPr id="5537942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794222" name=""/>
                    <pic:cNvPicPr/>
                  </pic:nvPicPr>
                  <pic:blipFill>
                    <a:blip r:embed="rId11"/>
                    <a:stretch>
                      <a:fillRect/>
                    </a:stretch>
                  </pic:blipFill>
                  <pic:spPr>
                    <a:xfrm>
                      <a:off x="0" y="0"/>
                      <a:ext cx="2381250" cy="742950"/>
                    </a:xfrm>
                    <a:prstGeom prst="rect">
                      <a:avLst/>
                    </a:prstGeom>
                  </pic:spPr>
                </pic:pic>
              </a:graphicData>
            </a:graphic>
          </wp:inline>
        </w:drawing>
      </w:r>
    </w:p>
    <w:p w14:paraId="41148A05" w14:textId="77777777" w:rsidR="006C1E39" w:rsidRDefault="006C1E39" w:rsidP="006C1E39">
      <w:pPr>
        <w:spacing w:after="0"/>
        <w:ind w:left="5664"/>
        <w:rPr>
          <w:rFonts w:ascii="Verdana" w:hAnsi="Verdana"/>
        </w:rPr>
      </w:pPr>
    </w:p>
    <w:p w14:paraId="3ACA3635" w14:textId="65D4AC1A" w:rsidR="003979B8" w:rsidRDefault="003979B8" w:rsidP="003979B8">
      <w:pPr>
        <w:spacing w:after="0"/>
        <w:rPr>
          <w:rFonts w:ascii="Verdana" w:hAnsi="Verdana"/>
        </w:rPr>
      </w:pPr>
      <w:r w:rsidRPr="0044528D">
        <w:rPr>
          <w:rFonts w:ascii="Verdana" w:hAnsi="Verdana"/>
        </w:rPr>
        <w:t xml:space="preserve">Bogotá D.C., </w:t>
      </w:r>
      <w:r>
        <w:rPr>
          <w:rFonts w:ascii="Verdana" w:hAnsi="Verdana"/>
        </w:rPr>
        <w:t>02 de mayo de 2025.</w:t>
      </w:r>
    </w:p>
    <w:p w14:paraId="7A8E584E" w14:textId="77777777" w:rsidR="003979B8" w:rsidRDefault="003979B8" w:rsidP="003979B8">
      <w:pPr>
        <w:spacing w:after="0"/>
        <w:rPr>
          <w:rFonts w:ascii="Verdana" w:hAnsi="Verdana"/>
        </w:rPr>
      </w:pPr>
      <w:bookmarkStart w:id="0" w:name="_Hlk180638295"/>
    </w:p>
    <w:p w14:paraId="41DEAC5C" w14:textId="77777777" w:rsidR="003979B8" w:rsidRPr="005E62E2" w:rsidRDefault="003979B8" w:rsidP="003979B8">
      <w:pPr>
        <w:spacing w:after="0" w:line="240" w:lineRule="auto"/>
        <w:jc w:val="both"/>
        <w:rPr>
          <w:rFonts w:ascii="Verdana" w:eastAsia="Calibri" w:hAnsi="Verdana" w:cs="Arial"/>
          <w:lang w:eastAsia="es-ES"/>
        </w:rPr>
      </w:pPr>
      <w:bookmarkStart w:id="1" w:name="_Hlk181166167"/>
      <w:r w:rsidRPr="005E62E2">
        <w:rPr>
          <w:rFonts w:ascii="Verdana" w:eastAsia="Calibri" w:hAnsi="Verdana" w:cs="Arial"/>
          <w:lang w:eastAsia="es-ES"/>
        </w:rPr>
        <w:t>Señor</w:t>
      </w:r>
      <w:r w:rsidRPr="005E62E2">
        <w:rPr>
          <w:rFonts w:ascii="Verdana" w:eastAsia="Calibri" w:hAnsi="Verdana" w:cs="Arial"/>
          <w:lang w:eastAsia="es-ES"/>
        </w:rPr>
        <w:tab/>
      </w:r>
    </w:p>
    <w:p w14:paraId="1687215D" w14:textId="77777777" w:rsidR="003979B8" w:rsidRPr="00B6773F" w:rsidRDefault="003979B8" w:rsidP="003979B8">
      <w:pPr>
        <w:spacing w:after="0" w:line="240" w:lineRule="auto"/>
        <w:rPr>
          <w:rFonts w:ascii="Verdana" w:eastAsia="Calibri" w:hAnsi="Verdana" w:cs="Arial"/>
          <w:b/>
          <w:bCs/>
          <w:color w:val="000000"/>
          <w:lang w:val="pt-PT" w:eastAsia="es-ES_tradnl"/>
        </w:rPr>
      </w:pPr>
      <w:r>
        <w:rPr>
          <w:rFonts w:ascii="Verdana" w:eastAsia="Calibri" w:hAnsi="Verdana" w:cs="Arial"/>
          <w:b/>
          <w:bCs/>
          <w:color w:val="000000"/>
          <w:lang w:val="pt-PT" w:eastAsia="es-ES_tradnl"/>
        </w:rPr>
        <w:t>ORLANDO JOSE REALES ACOSTA</w:t>
      </w:r>
    </w:p>
    <w:p w14:paraId="59179B64" w14:textId="77777777" w:rsidR="003979B8" w:rsidRPr="00B6773F" w:rsidRDefault="003979B8" w:rsidP="003979B8">
      <w:pPr>
        <w:spacing w:after="0" w:line="240" w:lineRule="auto"/>
        <w:rPr>
          <w:rFonts w:ascii="Verdana" w:hAnsi="Verdana"/>
          <w:lang w:val="pt-PT"/>
        </w:rPr>
      </w:pPr>
      <w:hyperlink r:id="rId12" w:history="1">
        <w:r w:rsidRPr="00282A94">
          <w:rPr>
            <w:rStyle w:val="Hipervnculo"/>
            <w:rFonts w:ascii="Verdana" w:hAnsi="Verdana"/>
            <w:lang w:val="pt-PT"/>
          </w:rPr>
          <w:t>orlandojosereales33@</w:t>
        </w:r>
      </w:hyperlink>
      <w:r>
        <w:rPr>
          <w:rStyle w:val="Hipervnculo"/>
          <w:rFonts w:ascii="Verdana" w:hAnsi="Verdana"/>
        </w:rPr>
        <w:t>gmail.com</w:t>
      </w:r>
    </w:p>
    <w:p w14:paraId="79B1246A" w14:textId="77777777" w:rsidR="003979B8" w:rsidRPr="00B6773F" w:rsidRDefault="003979B8" w:rsidP="003979B8">
      <w:pPr>
        <w:spacing w:after="0" w:line="240" w:lineRule="auto"/>
        <w:rPr>
          <w:rFonts w:ascii="Verdana" w:eastAsia="Calibri" w:hAnsi="Verdana" w:cs="Arial"/>
          <w:b/>
          <w:bCs/>
          <w:color w:val="000000"/>
          <w:lang w:val="pt-PT"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468"/>
        <w:gridCol w:w="336"/>
      </w:tblGrid>
      <w:tr w:rsidR="003979B8" w:rsidRPr="00593A5F" w14:paraId="21226B6A" w14:textId="77777777" w:rsidTr="65AD1BB5">
        <w:trPr>
          <w:trHeight w:val="884"/>
        </w:trPr>
        <w:tc>
          <w:tcPr>
            <w:tcW w:w="2410" w:type="dxa"/>
          </w:tcPr>
          <w:p w14:paraId="1BCEF597" w14:textId="77777777" w:rsidR="003979B8" w:rsidRPr="00B6773F" w:rsidRDefault="003979B8" w:rsidP="00033B44">
            <w:pPr>
              <w:jc w:val="both"/>
              <w:rPr>
                <w:rFonts w:ascii="Verdana" w:eastAsia="Calibri" w:hAnsi="Verdana" w:cs="Arial"/>
                <w:b/>
                <w:bCs/>
                <w:color w:val="7030A0"/>
                <w:lang w:val="pt-PT" w:eastAsia="es-ES_tradnl"/>
              </w:rPr>
            </w:pPr>
          </w:p>
        </w:tc>
        <w:tc>
          <w:tcPr>
            <w:tcW w:w="6804" w:type="dxa"/>
            <w:gridSpan w:val="2"/>
          </w:tcPr>
          <w:p w14:paraId="6DB057BA" w14:textId="77777777" w:rsidR="003979B8" w:rsidRPr="002B5057" w:rsidRDefault="003979B8" w:rsidP="00033B44">
            <w:pPr>
              <w:jc w:val="both"/>
              <w:rPr>
                <w:rFonts w:ascii="Verdana" w:eastAsia="Calibri" w:hAnsi="Verdana" w:cs="Arial"/>
                <w:b/>
                <w:bCs/>
                <w:color w:val="7030A0"/>
                <w:lang w:val="es-ES" w:eastAsia="es-ES"/>
              </w:rPr>
            </w:pPr>
            <w:r w:rsidRPr="002B5057">
              <w:rPr>
                <w:rFonts w:ascii="Verdana" w:eastAsia="Calibri" w:hAnsi="Verdana" w:cs="Arial"/>
                <w:b/>
                <w:bCs/>
                <w:lang w:val="es-ES" w:eastAsia="es-ES"/>
              </w:rPr>
              <w:t>Concepto C- 364 de 2025</w:t>
            </w:r>
          </w:p>
        </w:tc>
      </w:tr>
      <w:tr w:rsidR="003979B8" w:rsidRPr="00593A5F" w14:paraId="1D66EBAF" w14:textId="77777777" w:rsidTr="65AD1BB5">
        <w:trPr>
          <w:trHeight w:val="884"/>
        </w:trPr>
        <w:tc>
          <w:tcPr>
            <w:tcW w:w="2410" w:type="dxa"/>
          </w:tcPr>
          <w:p w14:paraId="407F8A43" w14:textId="77777777" w:rsidR="003979B8" w:rsidRPr="00593A5F" w:rsidRDefault="003979B8" w:rsidP="00033B44">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804" w:type="dxa"/>
            <w:gridSpan w:val="2"/>
          </w:tcPr>
          <w:p w14:paraId="77E8147D" w14:textId="255751AD" w:rsidR="003979B8" w:rsidRPr="00606078" w:rsidRDefault="003979B8" w:rsidP="65AD1BB5">
            <w:pPr>
              <w:spacing w:line="276" w:lineRule="auto"/>
              <w:jc w:val="both"/>
              <w:rPr>
                <w:rFonts w:ascii="Verdana" w:eastAsia="Calibri" w:hAnsi="Verdana" w:cs="Arial"/>
                <w:b/>
                <w:bCs/>
                <w:highlight w:val="yellow"/>
                <w:lang w:val="es-ES" w:eastAsia="es-ES"/>
              </w:rPr>
            </w:pPr>
            <w:r w:rsidRPr="65AD1BB5">
              <w:rPr>
                <w:rFonts w:ascii="Verdana" w:eastAsia="Calibri" w:hAnsi="Verdana" w:cs="Arial"/>
                <w:lang w:val="es-ES" w:eastAsia="es-ES"/>
              </w:rPr>
              <w:t>IDENTIFICACIÓN RIESGO-matriz / CONSTITUCIÓN DE GARANTÍAS – Obligación</w:t>
            </w:r>
          </w:p>
        </w:tc>
      </w:tr>
      <w:tr w:rsidR="003979B8" w:rsidRPr="00593A5F" w14:paraId="6C44F59E" w14:textId="77777777" w:rsidTr="65AD1BB5">
        <w:tc>
          <w:tcPr>
            <w:tcW w:w="2410" w:type="dxa"/>
          </w:tcPr>
          <w:p w14:paraId="106C5E30" w14:textId="77777777" w:rsidR="003979B8" w:rsidRPr="006730E9" w:rsidRDefault="003979B8" w:rsidP="00033B44">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804" w:type="dxa"/>
            <w:gridSpan w:val="2"/>
          </w:tcPr>
          <w:p w14:paraId="28660119" w14:textId="77777777" w:rsidR="003979B8" w:rsidRPr="006730E9" w:rsidRDefault="003979B8" w:rsidP="00033B44">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Pr="00B6773F">
              <w:rPr>
                <w:rFonts w:ascii="Verdana" w:eastAsia="Calibri" w:hAnsi="Verdana" w:cs="Arial"/>
                <w:lang w:val="es-ES_tradnl" w:eastAsia="es-ES_tradnl"/>
              </w:rPr>
              <w:t>P20250326002906</w:t>
            </w:r>
            <w:r>
              <w:rPr>
                <w:rFonts w:ascii="Verdana" w:eastAsia="Calibri" w:hAnsi="Verdana" w:cs="Arial"/>
                <w:lang w:val="es-ES_tradnl" w:eastAsia="es-ES_tradnl"/>
              </w:rPr>
              <w:t>.</w:t>
            </w:r>
          </w:p>
        </w:tc>
      </w:tr>
      <w:tr w:rsidR="003979B8" w:rsidRPr="00DB23D2" w14:paraId="1F8337C3" w14:textId="77777777" w:rsidTr="65AD1BB5">
        <w:trPr>
          <w:gridAfter w:val="1"/>
          <w:wAfter w:w="336" w:type="dxa"/>
          <w:trHeight w:val="233"/>
        </w:trPr>
        <w:tc>
          <w:tcPr>
            <w:tcW w:w="8878" w:type="dxa"/>
            <w:gridSpan w:val="2"/>
          </w:tcPr>
          <w:p w14:paraId="2C8FB0ED" w14:textId="77777777" w:rsidR="003979B8" w:rsidRPr="00DB23D2" w:rsidRDefault="003979B8" w:rsidP="00033B44">
            <w:pPr>
              <w:spacing w:after="120" w:line="276" w:lineRule="auto"/>
              <w:jc w:val="both"/>
              <w:rPr>
                <w:rFonts w:ascii="Verdana" w:eastAsia="Calibri" w:hAnsi="Verdana" w:cs="Arial"/>
                <w:lang w:val="es-ES_tradnl" w:eastAsia="es-ES"/>
              </w:rPr>
            </w:pPr>
          </w:p>
        </w:tc>
      </w:tr>
    </w:tbl>
    <w:p w14:paraId="07FEE825" w14:textId="77777777" w:rsidR="003979B8" w:rsidRPr="006730E9" w:rsidRDefault="003979B8" w:rsidP="003979B8">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o </w:t>
      </w:r>
      <w:r w:rsidRPr="006730E9">
        <w:rPr>
          <w:rFonts w:ascii="Verdana" w:eastAsia="Calibri" w:hAnsi="Verdana" w:cs="Arial"/>
          <w:lang w:val="es-ES" w:eastAsia="es-ES"/>
        </w:rPr>
        <w:t>señor</w:t>
      </w:r>
      <w:r>
        <w:rPr>
          <w:rFonts w:ascii="Verdana" w:eastAsia="Calibri" w:hAnsi="Verdana" w:cs="Arial"/>
          <w:lang w:val="es-ES" w:eastAsia="es-ES"/>
        </w:rPr>
        <w:t xml:space="preserve"> Martínez;</w:t>
      </w:r>
    </w:p>
    <w:p w14:paraId="591C7EAD" w14:textId="77777777" w:rsidR="003979B8" w:rsidRDefault="003979B8" w:rsidP="003979B8">
      <w:pPr>
        <w:tabs>
          <w:tab w:val="left" w:pos="3768"/>
        </w:tabs>
        <w:spacing w:after="0" w:line="276" w:lineRule="auto"/>
        <w:jc w:val="both"/>
        <w:rPr>
          <w:rFonts w:ascii="Verdana" w:eastAsia="Calibri" w:hAnsi="Verdana" w:cs="Arial"/>
          <w:color w:val="000000" w:themeColor="text1"/>
          <w:lang w:val="es-ES" w:eastAsia="es-ES"/>
        </w:rPr>
      </w:pPr>
    </w:p>
    <w:p w14:paraId="35348545" w14:textId="77777777" w:rsidR="003979B8" w:rsidRPr="006730E9" w:rsidRDefault="003979B8" w:rsidP="003979B8">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 xml:space="preserve">la Agencia Nacional de Contratación Pública – Colombia Compra Eficiente– responde </w:t>
      </w:r>
      <w:r>
        <w:rPr>
          <w:rFonts w:ascii="Verdana" w:eastAsia="Calibri" w:hAnsi="Verdana" w:cs="Arial"/>
          <w:lang w:val="es-ES" w:eastAsia="es-ES"/>
        </w:rPr>
        <w:t>a su</w:t>
      </w:r>
      <w:r w:rsidRPr="006730E9">
        <w:rPr>
          <w:rFonts w:ascii="Verdana" w:eastAsia="Calibri" w:hAnsi="Verdana" w:cs="Arial"/>
          <w:lang w:val="es-ES" w:eastAsia="es-ES"/>
        </w:rPr>
        <w:t xml:space="preserve"> solicitud </w:t>
      </w:r>
      <w:r>
        <w:rPr>
          <w:rFonts w:ascii="Verdana" w:eastAsia="Calibri" w:hAnsi="Verdana" w:cs="Arial"/>
          <w:lang w:val="es-ES" w:eastAsia="es-ES"/>
        </w:rPr>
        <w:t xml:space="preserve">radicada en esta entidad </w:t>
      </w:r>
      <w:r w:rsidRPr="00E5644F">
        <w:rPr>
          <w:rFonts w:ascii="Verdana" w:eastAsia="Calibri" w:hAnsi="Verdana" w:cs="Arial"/>
          <w:lang w:val="es-ES" w:eastAsia="es-ES"/>
        </w:rPr>
        <w:t xml:space="preserve">el </w:t>
      </w:r>
      <w:r>
        <w:rPr>
          <w:rFonts w:ascii="Verdana" w:eastAsia="Calibri" w:hAnsi="Verdana" w:cs="Arial"/>
          <w:lang w:val="es-ES" w:eastAsia="es-ES"/>
        </w:rPr>
        <w:t xml:space="preserve">26 </w:t>
      </w:r>
      <w:r w:rsidRPr="00E5644F">
        <w:rPr>
          <w:rFonts w:ascii="Verdana" w:eastAsia="Calibri" w:hAnsi="Verdana" w:cs="Arial"/>
          <w:lang w:val="es-ES" w:eastAsia="es-ES"/>
        </w:rPr>
        <w:t xml:space="preserve">de </w:t>
      </w:r>
      <w:r>
        <w:rPr>
          <w:rFonts w:ascii="Verdana" w:eastAsia="Calibri" w:hAnsi="Verdana" w:cs="Arial"/>
          <w:lang w:val="es-ES" w:eastAsia="es-ES"/>
        </w:rPr>
        <w:t>marzo</w:t>
      </w:r>
      <w:r w:rsidRPr="00E5644F">
        <w:rPr>
          <w:rFonts w:ascii="Verdana" w:eastAsia="Calibri" w:hAnsi="Verdana" w:cs="Arial"/>
          <w:lang w:val="es-ES" w:eastAsia="es-ES"/>
        </w:rPr>
        <w:t xml:space="preserve"> de</w:t>
      </w:r>
      <w:r>
        <w:rPr>
          <w:rFonts w:ascii="Verdana" w:eastAsia="Calibri" w:hAnsi="Verdana" w:cs="Arial"/>
          <w:lang w:val="es-ES" w:eastAsia="es-ES"/>
        </w:rPr>
        <w:t xml:space="preserve"> </w:t>
      </w:r>
      <w:r w:rsidRPr="00E5644F">
        <w:rPr>
          <w:rFonts w:ascii="Verdana" w:eastAsia="Calibri" w:hAnsi="Verdana" w:cs="Arial"/>
          <w:lang w:val="es-ES" w:eastAsia="es-ES"/>
        </w:rPr>
        <w:t>202</w:t>
      </w:r>
      <w:r>
        <w:rPr>
          <w:rFonts w:ascii="Verdana" w:eastAsia="Calibri" w:hAnsi="Verdana" w:cs="Arial"/>
          <w:lang w:val="es-ES" w:eastAsia="es-ES"/>
        </w:rPr>
        <w:t>5</w:t>
      </w:r>
      <w:r w:rsidRPr="00E5644F">
        <w:rPr>
          <w:rFonts w:ascii="Verdana" w:eastAsia="Calibri" w:hAnsi="Verdana" w:cs="Arial"/>
          <w:lang w:val="es-ES" w:eastAsia="es-ES"/>
        </w:rPr>
        <w:t xml:space="preserve">, </w:t>
      </w:r>
      <w:r>
        <w:rPr>
          <w:rFonts w:ascii="Verdana" w:eastAsia="Calibri" w:hAnsi="Verdana" w:cs="Arial"/>
          <w:lang w:val="es-ES" w:eastAsia="es-ES"/>
        </w:rPr>
        <w:t xml:space="preserve">mediante </w:t>
      </w:r>
      <w:r w:rsidRPr="006730E9">
        <w:rPr>
          <w:rFonts w:ascii="Verdana" w:eastAsia="Calibri" w:hAnsi="Verdana" w:cs="Arial"/>
          <w:lang w:val="es-ES" w:eastAsia="es-ES"/>
        </w:rPr>
        <w:t>la</w:t>
      </w:r>
      <w:r>
        <w:rPr>
          <w:rFonts w:ascii="Verdana" w:eastAsia="Calibri" w:hAnsi="Verdana" w:cs="Arial"/>
          <w:lang w:val="es-ES" w:eastAsia="es-ES"/>
        </w:rPr>
        <w:t>s</w:t>
      </w:r>
      <w:r w:rsidRPr="006730E9">
        <w:rPr>
          <w:rFonts w:ascii="Verdana" w:eastAsia="Calibri" w:hAnsi="Verdana" w:cs="Arial"/>
          <w:lang w:val="es-ES" w:eastAsia="es-ES"/>
        </w:rPr>
        <w:t xml:space="preserve"> cual</w:t>
      </w:r>
      <w:r>
        <w:rPr>
          <w:rFonts w:ascii="Verdana" w:eastAsia="Calibri" w:hAnsi="Verdana" w:cs="Arial"/>
          <w:lang w:val="es-ES" w:eastAsia="es-ES"/>
        </w:rPr>
        <w:t>es</w:t>
      </w:r>
      <w:r w:rsidRPr="006730E9">
        <w:rPr>
          <w:rFonts w:ascii="Verdana" w:eastAsia="Calibri" w:hAnsi="Verdana" w:cs="Arial"/>
          <w:lang w:val="es-ES" w:eastAsia="es-ES"/>
        </w:rPr>
        <w:t xml:space="preserve"> manifiesta lo siguiente: </w:t>
      </w:r>
    </w:p>
    <w:p w14:paraId="3AE97A6A" w14:textId="77777777" w:rsidR="003979B8" w:rsidRPr="00326382" w:rsidRDefault="003979B8" w:rsidP="003979B8">
      <w:pPr>
        <w:spacing w:after="0" w:line="240" w:lineRule="auto"/>
        <w:ind w:left="709" w:right="474"/>
        <w:jc w:val="both"/>
        <w:rPr>
          <w:rFonts w:ascii="Verdana" w:hAnsi="Verdana" w:cs="Arial"/>
          <w:sz w:val="20"/>
          <w:szCs w:val="20"/>
          <w:shd w:val="clear" w:color="auto" w:fill="FFFFFF"/>
        </w:rPr>
      </w:pPr>
      <w:bookmarkStart w:id="2" w:name="_Hlk95313578"/>
    </w:p>
    <w:bookmarkEnd w:id="2"/>
    <w:p w14:paraId="2A09FFE3" w14:textId="77777777" w:rsidR="003979B8" w:rsidRPr="005758A5" w:rsidRDefault="003979B8" w:rsidP="003979B8">
      <w:pPr>
        <w:pStyle w:val="Prrafodelista"/>
        <w:tabs>
          <w:tab w:val="left" w:pos="142"/>
          <w:tab w:val="left" w:pos="284"/>
        </w:tabs>
        <w:ind w:left="709" w:right="709"/>
        <w:jc w:val="both"/>
        <w:rPr>
          <w:rFonts w:ascii="Verdana" w:eastAsia="Century Gothic" w:hAnsi="Verdana" w:cs="Century Gothic"/>
          <w:i/>
          <w:iCs/>
        </w:rPr>
      </w:pPr>
      <w:r w:rsidRPr="005758A5">
        <w:rPr>
          <w:rFonts w:ascii="Verdana" w:eastAsia="Century Gothic" w:hAnsi="Verdana" w:cs="Century Gothic"/>
          <w:i/>
          <w:iCs/>
          <w:lang w:val="es-CO"/>
        </w:rPr>
        <w:t>“(…)</w:t>
      </w:r>
    </w:p>
    <w:p w14:paraId="5CAA76F6" w14:textId="77777777" w:rsidR="003979B8" w:rsidRPr="000852B0" w:rsidRDefault="003979B8" w:rsidP="003979B8">
      <w:pPr>
        <w:pStyle w:val="Prrafodelista"/>
        <w:tabs>
          <w:tab w:val="left" w:pos="142"/>
          <w:tab w:val="left" w:pos="284"/>
        </w:tabs>
        <w:ind w:left="709" w:right="709"/>
        <w:jc w:val="both"/>
        <w:rPr>
          <w:rFonts w:ascii="Verdana" w:hAnsi="Verdana"/>
          <w:i/>
          <w:iCs/>
        </w:rPr>
      </w:pPr>
    </w:p>
    <w:p w14:paraId="12A2B0DC" w14:textId="77777777" w:rsidR="003979B8" w:rsidRDefault="003979B8" w:rsidP="003979B8">
      <w:pPr>
        <w:pStyle w:val="Prrafodelista"/>
        <w:tabs>
          <w:tab w:val="left" w:pos="142"/>
          <w:tab w:val="left" w:pos="284"/>
        </w:tabs>
        <w:ind w:left="709" w:right="709"/>
        <w:jc w:val="both"/>
        <w:rPr>
          <w:rFonts w:ascii="Verdana" w:hAnsi="Verdana"/>
          <w:i/>
          <w:iCs/>
          <w:lang w:val="es-CO"/>
        </w:rPr>
      </w:pPr>
      <w:r w:rsidRPr="005A7EAD">
        <w:rPr>
          <w:rFonts w:ascii="Verdana" w:hAnsi="Verdana"/>
          <w:i/>
          <w:iCs/>
          <w:lang w:val="es-CO"/>
        </w:rPr>
        <w:t>SI EL CONTRATISTA PRESENTÓ LAS GARANTÍAS POSTERIOR AL PLAZO DE</w:t>
      </w:r>
      <w:r>
        <w:rPr>
          <w:rFonts w:ascii="Verdana" w:hAnsi="Verdana"/>
          <w:i/>
          <w:iCs/>
          <w:lang w:val="es-CO"/>
        </w:rPr>
        <w:t xml:space="preserve"> </w:t>
      </w:r>
      <w:r w:rsidRPr="005A7EAD">
        <w:rPr>
          <w:rFonts w:ascii="Verdana" w:hAnsi="Verdana"/>
          <w:i/>
          <w:iCs/>
          <w:lang w:val="es-CO"/>
        </w:rPr>
        <w:t>TERMINACIÓN DEL CONTRATO Y ESTAS FUERON APROBADAS POR LA</w:t>
      </w:r>
      <w:r>
        <w:rPr>
          <w:rFonts w:ascii="Verdana" w:hAnsi="Verdana"/>
          <w:i/>
          <w:iCs/>
          <w:lang w:val="es-CO"/>
        </w:rPr>
        <w:t xml:space="preserve"> </w:t>
      </w:r>
      <w:r w:rsidRPr="005A7EAD">
        <w:rPr>
          <w:rFonts w:ascii="Verdana" w:hAnsi="Verdana"/>
          <w:i/>
          <w:iCs/>
          <w:lang w:val="es-CO"/>
        </w:rPr>
        <w:t>ENTIDAD, QUE ANTECEDENTES JURÍDICOS EXISTIRÍAN PARA DETERMINAR</w:t>
      </w:r>
      <w:r>
        <w:rPr>
          <w:rFonts w:ascii="Verdana" w:hAnsi="Verdana"/>
          <w:i/>
          <w:iCs/>
          <w:lang w:val="es-CO"/>
        </w:rPr>
        <w:t xml:space="preserve"> </w:t>
      </w:r>
      <w:r w:rsidRPr="005A7EAD">
        <w:rPr>
          <w:rFonts w:ascii="Verdana" w:hAnsi="Verdana"/>
          <w:i/>
          <w:iCs/>
          <w:lang w:val="es-CO"/>
        </w:rPr>
        <w:t>CUÁL SERÍA LA FECHA DE INICIO DEL CONTRATO</w:t>
      </w:r>
      <w:r>
        <w:rPr>
          <w:rFonts w:ascii="Verdana" w:hAnsi="Verdana"/>
          <w:i/>
          <w:iCs/>
          <w:lang w:val="es-CO"/>
        </w:rPr>
        <w:t>.</w:t>
      </w:r>
    </w:p>
    <w:p w14:paraId="06679435" w14:textId="77777777" w:rsidR="003979B8" w:rsidRDefault="003979B8" w:rsidP="003979B8">
      <w:pPr>
        <w:pStyle w:val="Prrafodelista"/>
        <w:tabs>
          <w:tab w:val="left" w:pos="142"/>
          <w:tab w:val="left" w:pos="284"/>
        </w:tabs>
        <w:ind w:left="709" w:right="709"/>
        <w:jc w:val="both"/>
        <w:rPr>
          <w:rFonts w:ascii="Verdana" w:hAnsi="Verdana"/>
          <w:i/>
          <w:iCs/>
          <w:lang w:val="es-CO"/>
        </w:rPr>
      </w:pPr>
    </w:p>
    <w:p w14:paraId="4EAD7624" w14:textId="77777777" w:rsidR="003979B8" w:rsidRPr="000852B0" w:rsidRDefault="003979B8" w:rsidP="003979B8">
      <w:pPr>
        <w:pStyle w:val="Prrafodelista"/>
        <w:tabs>
          <w:tab w:val="left" w:pos="142"/>
          <w:tab w:val="left" w:pos="284"/>
        </w:tabs>
        <w:ind w:left="709" w:right="709"/>
        <w:jc w:val="both"/>
        <w:rPr>
          <w:rFonts w:ascii="Verdana" w:hAnsi="Verdana"/>
          <w:i/>
          <w:iCs/>
        </w:rPr>
      </w:pPr>
      <w:r w:rsidRPr="005A7EAD">
        <w:rPr>
          <w:rFonts w:ascii="Verdana" w:hAnsi="Verdana"/>
          <w:i/>
          <w:iCs/>
          <w:lang w:val="es-CO"/>
        </w:rPr>
        <w:t xml:space="preserve"> </w:t>
      </w:r>
      <w:r w:rsidRPr="000852B0">
        <w:rPr>
          <w:rFonts w:ascii="Verdana" w:eastAsia="Century Gothic" w:hAnsi="Verdana" w:cs="Century Gothic"/>
          <w:i/>
          <w:iCs/>
          <w:lang w:val="es-CO"/>
        </w:rPr>
        <w:t>(…)</w:t>
      </w:r>
    </w:p>
    <w:p w14:paraId="6F9A2874" w14:textId="77777777" w:rsidR="003979B8" w:rsidRPr="00AA3B9F" w:rsidRDefault="003979B8" w:rsidP="003979B8">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080EE121" w14:textId="77777777" w:rsidR="003979B8" w:rsidRDefault="003979B8" w:rsidP="003979B8">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Conforme lo expuesto, en aras de satisfacer el derecho fundamental de petición se resolverá su</w:t>
      </w:r>
      <w:r>
        <w:rPr>
          <w:rFonts w:ascii="Verdana" w:eastAsia="Calibri" w:hAnsi="Verdana" w:cs="Arial"/>
          <w:lang w:val="es-ES" w:eastAsia="es-ES"/>
        </w:rPr>
        <w:t>s</w:t>
      </w:r>
      <w:r w:rsidRPr="00AA3B9F">
        <w:rPr>
          <w:rFonts w:ascii="Verdana" w:eastAsia="Calibri" w:hAnsi="Verdana" w:cs="Arial"/>
          <w:lang w:val="es-ES" w:eastAsia="es-ES"/>
        </w:rPr>
        <w:t xml:space="preserve"> consulta</w:t>
      </w:r>
      <w:r>
        <w:rPr>
          <w:rFonts w:ascii="Verdana" w:eastAsia="Calibri" w:hAnsi="Verdana" w:cs="Arial"/>
          <w:lang w:val="es-ES" w:eastAsia="es-ES"/>
        </w:rPr>
        <w:t>s</w:t>
      </w:r>
      <w:r w:rsidRPr="00AA3B9F">
        <w:rPr>
          <w:rFonts w:ascii="Verdana" w:eastAsia="Calibri" w:hAnsi="Verdana" w:cs="Arial"/>
          <w:lang w:val="es-ES" w:eastAsia="es-ES"/>
        </w:rPr>
        <w:t xml:space="preserve"> dentro de los límites de la referida competencia consultiva, esto es, haciendo abstracción de las circunstancias particulares y concretas mencionadas en su</w:t>
      </w:r>
      <w:r>
        <w:rPr>
          <w:rFonts w:ascii="Verdana" w:eastAsia="Calibri" w:hAnsi="Verdana" w:cs="Arial"/>
          <w:lang w:val="es-ES" w:eastAsia="es-ES"/>
        </w:rPr>
        <w:t>s</w:t>
      </w:r>
      <w:r w:rsidRPr="00AA3B9F">
        <w:rPr>
          <w:rFonts w:ascii="Verdana" w:eastAsia="Calibri" w:hAnsi="Verdana" w:cs="Arial"/>
          <w:lang w:val="es-ES" w:eastAsia="es-ES"/>
        </w:rPr>
        <w:t xml:space="preserve"> peticion</w:t>
      </w:r>
      <w:r>
        <w:rPr>
          <w:rFonts w:ascii="Verdana" w:eastAsia="Calibri" w:hAnsi="Verdana" w:cs="Arial"/>
          <w:lang w:val="es-ES" w:eastAsia="es-ES"/>
        </w:rPr>
        <w:t>es</w:t>
      </w:r>
      <w:r w:rsidRPr="00AA3B9F">
        <w:rPr>
          <w:rFonts w:ascii="Verdana" w:eastAsia="Calibri" w:hAnsi="Verdana" w:cs="Arial"/>
          <w:lang w:val="es-ES" w:eastAsia="es-ES"/>
        </w:rPr>
        <w:t>, pero haciendo unas consideraciones sobre las normas generales relacionadas con los problemas jurídicos de su</w:t>
      </w:r>
      <w:r>
        <w:rPr>
          <w:rFonts w:ascii="Verdana" w:eastAsia="Calibri" w:hAnsi="Verdana" w:cs="Arial"/>
          <w:lang w:val="es-ES" w:eastAsia="es-ES"/>
        </w:rPr>
        <w:t>s</w:t>
      </w:r>
      <w:r w:rsidRPr="00AA3B9F">
        <w:rPr>
          <w:rFonts w:ascii="Verdana" w:eastAsia="Calibri" w:hAnsi="Verdana" w:cs="Arial"/>
          <w:lang w:val="es-ES" w:eastAsia="es-ES"/>
        </w:rPr>
        <w:t xml:space="preserve"> consulta</w:t>
      </w:r>
      <w:r>
        <w:rPr>
          <w:rFonts w:ascii="Verdana" w:eastAsia="Calibri" w:hAnsi="Verdana" w:cs="Arial"/>
          <w:lang w:val="es-ES" w:eastAsia="es-ES"/>
        </w:rPr>
        <w:t>s</w:t>
      </w:r>
      <w:r w:rsidRPr="00AA3B9F">
        <w:rPr>
          <w:rFonts w:ascii="Verdana" w:eastAsia="Calibri" w:hAnsi="Verdana" w:cs="Arial"/>
          <w:lang w:val="es-ES" w:eastAsia="es-ES"/>
        </w:rPr>
        <w:t xml:space="preserve">.  </w:t>
      </w:r>
    </w:p>
    <w:p w14:paraId="3DDF738C" w14:textId="77777777" w:rsidR="003979B8" w:rsidRPr="00AA3B9F" w:rsidRDefault="003979B8" w:rsidP="003979B8">
      <w:pPr>
        <w:spacing w:after="0" w:line="276" w:lineRule="auto"/>
        <w:ind w:firstLine="709"/>
        <w:jc w:val="both"/>
        <w:rPr>
          <w:rFonts w:ascii="Verdana" w:eastAsia="Calibri" w:hAnsi="Verdana" w:cs="Arial"/>
          <w:lang w:val="es-ES" w:eastAsia="es-ES"/>
        </w:rPr>
      </w:pPr>
    </w:p>
    <w:p w14:paraId="4060A36B" w14:textId="77777777" w:rsidR="003979B8" w:rsidRPr="00593A5F" w:rsidRDefault="003979B8" w:rsidP="003979B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s</w:t>
      </w:r>
      <w:r w:rsidRPr="00593A5F">
        <w:rPr>
          <w:rFonts w:ascii="Verdana" w:eastAsia="Century Gothic" w:hAnsi="Verdana" w:cs="Century Gothic"/>
          <w:b/>
          <w:bCs/>
        </w:rPr>
        <w:t xml:space="preserve"> </w:t>
      </w:r>
      <w:r>
        <w:rPr>
          <w:rFonts w:ascii="Verdana" w:eastAsia="Century Gothic" w:hAnsi="Verdana" w:cs="Century Gothic"/>
          <w:b/>
          <w:bCs/>
        </w:rPr>
        <w:t xml:space="preserve">jurídicos </w:t>
      </w:r>
      <w:r w:rsidRPr="00593A5F">
        <w:rPr>
          <w:rFonts w:ascii="Verdana" w:eastAsia="Century Gothic" w:hAnsi="Verdana" w:cs="Century Gothic"/>
          <w:b/>
          <w:bCs/>
        </w:rPr>
        <w:t>planteado</w:t>
      </w:r>
      <w:r>
        <w:rPr>
          <w:rFonts w:ascii="Verdana" w:eastAsia="Century Gothic" w:hAnsi="Verdana" w:cs="Century Gothic"/>
          <w:b/>
          <w:bCs/>
        </w:rPr>
        <w:t>s</w:t>
      </w:r>
      <w:r w:rsidRPr="00593A5F">
        <w:rPr>
          <w:rFonts w:ascii="Verdana" w:eastAsia="Century Gothic" w:hAnsi="Verdana" w:cs="Century Gothic"/>
          <w:b/>
          <w:bCs/>
        </w:rPr>
        <w:t>:</w:t>
      </w:r>
    </w:p>
    <w:p w14:paraId="566A0661" w14:textId="77777777" w:rsidR="003979B8" w:rsidRPr="00593A5F" w:rsidRDefault="003979B8" w:rsidP="003979B8">
      <w:pPr>
        <w:tabs>
          <w:tab w:val="left" w:pos="426"/>
        </w:tabs>
        <w:spacing w:after="0" w:line="276" w:lineRule="auto"/>
        <w:jc w:val="both"/>
        <w:rPr>
          <w:rFonts w:ascii="Verdana" w:eastAsia="Century Gothic" w:hAnsi="Verdana" w:cs="Century Gothic"/>
          <w:lang w:val="es-ES"/>
        </w:rPr>
      </w:pPr>
    </w:p>
    <w:p w14:paraId="3C838E28" w14:textId="4FFCA4B9" w:rsidR="003979B8" w:rsidRPr="008A574A" w:rsidRDefault="003979B8" w:rsidP="003979B8">
      <w:pPr>
        <w:pStyle w:val="Prrafodelista"/>
        <w:ind w:left="0" w:right="49"/>
        <w:jc w:val="both"/>
        <w:rPr>
          <w:rFonts w:ascii="Verdana" w:eastAsia="Century Gothic" w:hAnsi="Verdana" w:cs="Century Gothic"/>
        </w:rPr>
      </w:pPr>
      <w:r w:rsidRPr="008A574A">
        <w:rPr>
          <w:rFonts w:ascii="Verdana" w:eastAsia="Century Gothic" w:hAnsi="Verdana" w:cs="Century Gothic"/>
        </w:rPr>
        <w:t xml:space="preserve">De acuerdo con el contenido de su solicitud, esta Agencia resolverá el siguiente problema jurídico: </w:t>
      </w:r>
      <w:r w:rsidRPr="008A574A">
        <w:rPr>
          <w:rFonts w:ascii="Verdana" w:hAnsi="Verdana"/>
        </w:rPr>
        <w:t>¿</w:t>
      </w:r>
      <w:r w:rsidRPr="008A574A">
        <w:rPr>
          <w:rFonts w:ascii="Arial" w:eastAsia="Century Gothic" w:hAnsi="Arial" w:cs="Arial"/>
          <w:lang w:val="es-CO"/>
        </w:rPr>
        <w:t>​</w:t>
      </w:r>
      <w:r w:rsidR="59BBAA6B" w:rsidRPr="008A574A">
        <w:rPr>
          <w:rFonts w:ascii="Verdana" w:eastAsia="Century Gothic" w:hAnsi="Verdana" w:cs="Arial"/>
          <w:lang w:val="es-CO"/>
        </w:rPr>
        <w:t xml:space="preserve">es requisito para suscribir el acta de inicio de un contrato que se haya aprobado la </w:t>
      </w:r>
      <w:r w:rsidR="056F6A95" w:rsidRPr="008A574A">
        <w:rPr>
          <w:rFonts w:ascii="Verdana" w:eastAsia="Century Gothic" w:hAnsi="Verdana" w:cs="Arial"/>
          <w:lang w:val="es-CO"/>
        </w:rPr>
        <w:t>garantía</w:t>
      </w:r>
      <w:r w:rsidR="59BBAA6B" w:rsidRPr="008A574A">
        <w:rPr>
          <w:rFonts w:ascii="Verdana" w:eastAsia="Century Gothic" w:hAnsi="Verdana" w:cs="Arial"/>
          <w:lang w:val="es-CO"/>
        </w:rPr>
        <w:t xml:space="preserve"> </w:t>
      </w:r>
      <w:r w:rsidR="0EEAB857" w:rsidRPr="008A574A">
        <w:rPr>
          <w:rFonts w:ascii="Verdana" w:eastAsia="Century Gothic" w:hAnsi="Verdana" w:cs="Arial"/>
          <w:lang w:val="es-CO"/>
        </w:rPr>
        <w:t>única</w:t>
      </w:r>
      <w:r w:rsidR="59BBAA6B" w:rsidRPr="008A574A">
        <w:rPr>
          <w:rFonts w:ascii="Verdana" w:eastAsia="Century Gothic" w:hAnsi="Verdana" w:cs="Arial"/>
          <w:lang w:val="es-CO"/>
        </w:rPr>
        <w:t xml:space="preserve"> de cumplimiento</w:t>
      </w:r>
      <w:r w:rsidR="3015F486" w:rsidRPr="008A574A">
        <w:rPr>
          <w:rFonts w:ascii="Verdana" w:eastAsia="Century Gothic" w:hAnsi="Verdana" w:cs="Arial"/>
          <w:lang w:val="es-CO"/>
        </w:rPr>
        <w:t xml:space="preserve">; es posible </w:t>
      </w:r>
      <w:proofErr w:type="gramStart"/>
      <w:r w:rsidR="59BBAA6B" w:rsidRPr="008A574A">
        <w:rPr>
          <w:rFonts w:ascii="Verdana" w:eastAsia="Century Gothic" w:hAnsi="Verdana" w:cs="Arial"/>
          <w:lang w:val="es-CO"/>
        </w:rPr>
        <w:t>dar inicio a</w:t>
      </w:r>
      <w:proofErr w:type="gramEnd"/>
      <w:r w:rsidR="59BBAA6B" w:rsidRPr="008A574A">
        <w:rPr>
          <w:rFonts w:ascii="Verdana" w:eastAsia="Century Gothic" w:hAnsi="Verdana" w:cs="Arial"/>
          <w:lang w:val="es-CO"/>
        </w:rPr>
        <w:t xml:space="preserve"> un contrato estatal sin tener</w:t>
      </w:r>
      <w:r w:rsidR="546D7975" w:rsidRPr="008A574A">
        <w:rPr>
          <w:rFonts w:ascii="Verdana" w:eastAsia="Century Gothic" w:hAnsi="Verdana" w:cs="Arial"/>
          <w:lang w:val="es-CO"/>
        </w:rPr>
        <w:t xml:space="preserve"> aprobadas las garantías exigidas en el mismo? </w:t>
      </w:r>
    </w:p>
    <w:p w14:paraId="1DF162FC" w14:textId="77777777" w:rsidR="003979B8" w:rsidRDefault="003979B8" w:rsidP="003979B8">
      <w:pPr>
        <w:pStyle w:val="Prrafodelista"/>
        <w:ind w:left="0" w:right="49"/>
        <w:jc w:val="both"/>
        <w:rPr>
          <w:rFonts w:ascii="Verdana" w:eastAsia="Century Gothic" w:hAnsi="Verdana" w:cs="Century Gothic"/>
          <w:lang w:val="es-CO"/>
        </w:rPr>
      </w:pPr>
    </w:p>
    <w:p w14:paraId="506F17D7" w14:textId="77777777" w:rsidR="003979B8" w:rsidRPr="00593A5F" w:rsidRDefault="003979B8" w:rsidP="003979B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50F27915" w14:textId="77777777" w:rsidR="003979B8" w:rsidRPr="00593A5F" w:rsidRDefault="003979B8" w:rsidP="003979B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979B8" w:rsidRPr="00593A5F" w14:paraId="7555F793" w14:textId="77777777" w:rsidTr="65AD1BB5">
        <w:tc>
          <w:tcPr>
            <w:tcW w:w="8828" w:type="dxa"/>
            <w:shd w:val="clear" w:color="auto" w:fill="auto"/>
          </w:tcPr>
          <w:p w14:paraId="011BFCA4" w14:textId="77777777" w:rsidR="003979B8" w:rsidRDefault="003979B8" w:rsidP="00033B44">
            <w:pPr>
              <w:spacing w:line="276" w:lineRule="auto"/>
              <w:jc w:val="both"/>
              <w:rPr>
                <w:rFonts w:ascii="Verdana" w:eastAsia="Calibri" w:hAnsi="Verdana" w:cs="Arial"/>
                <w:bCs/>
                <w:lang w:val="es-MX" w:eastAsia="es-ES" w:bidi="es-ES"/>
              </w:rPr>
            </w:pPr>
          </w:p>
          <w:p w14:paraId="29B7C32C" w14:textId="77777777" w:rsidR="003979B8" w:rsidRDefault="003979B8" w:rsidP="00033B44">
            <w:pPr>
              <w:spacing w:line="276" w:lineRule="auto"/>
              <w:jc w:val="both"/>
              <w:rPr>
                <w:rFonts w:ascii="Verdana" w:hAnsi="Verdana" w:cs="Arial"/>
                <w:color w:val="000000" w:themeColor="text1"/>
                <w:lang w:eastAsia="es-CO"/>
              </w:rPr>
            </w:pPr>
            <w:r>
              <w:rPr>
                <w:rFonts w:ascii="Verdana" w:eastAsia="Calibri" w:hAnsi="Verdana" w:cs="Arial"/>
                <w:bCs/>
                <w:lang w:val="es-MX" w:eastAsia="es-ES" w:bidi="es-ES"/>
              </w:rPr>
              <w:t xml:space="preserve">         De manera preliminar </w:t>
            </w:r>
            <w:r w:rsidRPr="00BF39D1">
              <w:rPr>
                <w:rFonts w:ascii="Verdana" w:eastAsia="Calibri" w:hAnsi="Verdana" w:cs="Arial"/>
                <w:bCs/>
                <w:lang w:val="es-MX" w:eastAsia="es-ES" w:bidi="es-ES"/>
              </w:rPr>
              <w:t xml:space="preserve">se debe precisar que </w:t>
            </w:r>
            <w:r>
              <w:rPr>
                <w:rFonts w:ascii="Verdana" w:eastAsia="Calibri" w:hAnsi="Verdana" w:cs="Arial"/>
                <w:bCs/>
                <w:lang w:val="es-MX" w:eastAsia="es-ES" w:bidi="es-ES"/>
              </w:rPr>
              <w:t xml:space="preserve">en virtud de lo previsto en el </w:t>
            </w:r>
            <w:r w:rsidRPr="00C31767">
              <w:rPr>
                <w:rFonts w:ascii="Verdana" w:eastAsia="Calibri" w:hAnsi="Verdana" w:cs="Arial"/>
                <w:lang w:val="es-ES"/>
              </w:rPr>
              <w:t>inciso segundo del artículo 41 de la Ley 80 de 1993</w:t>
            </w:r>
            <w:r>
              <w:rPr>
                <w:rFonts w:ascii="Verdana" w:eastAsia="Calibri" w:hAnsi="Verdana" w:cs="Arial"/>
                <w:lang w:val="es-ES"/>
              </w:rPr>
              <w:t xml:space="preserve">, </w:t>
            </w:r>
            <w:r w:rsidRPr="00C31767">
              <w:rPr>
                <w:rFonts w:ascii="Verdana" w:hAnsi="Verdana" w:cs="Arial"/>
                <w:color w:val="000000" w:themeColor="text1"/>
                <w:lang w:eastAsia="es-CO"/>
              </w:rPr>
              <w:t>para proceder con la ejecución del contrato, el contratista debe cumplir con la obligación de constituir las garantías, para lo cual deberá presentar el respectivo instrumento para la verificación por parte de la entidad estatal, quien procederá a su aprobación siempre que se cumplan con las condiciones pactadas en el contrato</w:t>
            </w:r>
            <w:r>
              <w:rPr>
                <w:rFonts w:ascii="Verdana" w:hAnsi="Verdana" w:cs="Arial"/>
                <w:color w:val="000000" w:themeColor="text1"/>
                <w:lang w:eastAsia="es-CO"/>
              </w:rPr>
              <w:t>.</w:t>
            </w:r>
          </w:p>
          <w:p w14:paraId="09C72D2E" w14:textId="77777777" w:rsidR="003979B8" w:rsidRDefault="003979B8" w:rsidP="00033B44">
            <w:pPr>
              <w:spacing w:line="276" w:lineRule="auto"/>
              <w:jc w:val="both"/>
              <w:rPr>
                <w:color w:val="000000" w:themeColor="text1"/>
                <w:lang w:eastAsia="es-CO"/>
              </w:rPr>
            </w:pPr>
          </w:p>
          <w:p w14:paraId="48D9E823" w14:textId="057FF890" w:rsidR="008A574A" w:rsidRDefault="003979B8" w:rsidP="00033B44">
            <w:pPr>
              <w:spacing w:line="276" w:lineRule="auto"/>
              <w:jc w:val="both"/>
              <w:rPr>
                <w:rFonts w:ascii="Verdana" w:hAnsi="Verdana" w:cs="Arial"/>
                <w:color w:val="000000" w:themeColor="text1"/>
                <w:lang w:val="es-MX"/>
              </w:rPr>
            </w:pPr>
            <w:r>
              <w:lastRenderedPageBreak/>
              <w:t xml:space="preserve"> </w:t>
            </w:r>
            <w:r w:rsidR="008A574A">
              <w:t xml:space="preserve">               </w:t>
            </w:r>
            <w:r w:rsidRPr="65AD1BB5">
              <w:rPr>
                <w:rFonts w:ascii="Verdana" w:hAnsi="Verdana" w:cs="Arial"/>
                <w:color w:val="000000" w:themeColor="text1"/>
                <w:lang w:eastAsia="es-CO"/>
              </w:rPr>
              <w:t xml:space="preserve">Así las </w:t>
            </w:r>
            <w:r w:rsidR="72448422" w:rsidRPr="65AD1BB5">
              <w:rPr>
                <w:rFonts w:ascii="Verdana" w:hAnsi="Verdana" w:cs="Arial"/>
                <w:color w:val="000000" w:themeColor="text1"/>
                <w:lang w:eastAsia="es-CO"/>
              </w:rPr>
              <w:t xml:space="preserve">cosas, </w:t>
            </w:r>
            <w:r w:rsidR="006317F5">
              <w:rPr>
                <w:rFonts w:ascii="Verdana" w:hAnsi="Verdana" w:cs="Arial"/>
                <w:color w:val="000000" w:themeColor="text1"/>
                <w:lang w:eastAsia="es-CO"/>
              </w:rPr>
              <w:t>en virtud d</w:t>
            </w:r>
            <w:r w:rsidR="006317F5" w:rsidRPr="00C31767">
              <w:rPr>
                <w:rFonts w:ascii="Verdana" w:eastAsia="Calibri" w:hAnsi="Verdana" w:cs="Arial"/>
                <w:color w:val="000000" w:themeColor="text1"/>
                <w:lang w:val="es-ES_tradnl"/>
              </w:rPr>
              <w:t>el artículo 7 de la Ley 1150 de 2007</w:t>
            </w:r>
            <w:r w:rsidR="006317F5">
              <w:rPr>
                <w:rFonts w:ascii="Verdana" w:eastAsia="Calibri" w:hAnsi="Verdana" w:cs="Arial"/>
                <w:color w:val="000000" w:themeColor="text1"/>
                <w:lang w:val="es-ES_tradnl"/>
              </w:rPr>
              <w:t xml:space="preserve">, </w:t>
            </w:r>
            <w:r w:rsidR="006317F5" w:rsidRPr="00C31767">
              <w:rPr>
                <w:rFonts w:ascii="Verdana" w:eastAsia="Calibri" w:hAnsi="Verdana" w:cs="Arial"/>
                <w:color w:val="000000" w:themeColor="text1"/>
                <w:lang w:val="es-ES_tradnl"/>
              </w:rPr>
              <w:t>los contratistas tienen la obligación</w:t>
            </w:r>
            <w:r w:rsidR="008A574A">
              <w:rPr>
                <w:rFonts w:ascii="Verdana" w:eastAsia="Calibri" w:hAnsi="Verdana" w:cs="Arial"/>
                <w:color w:val="000000" w:themeColor="text1"/>
                <w:lang w:val="es-ES_tradnl"/>
              </w:rPr>
              <w:t>, previo al inicio de la ejecución,</w:t>
            </w:r>
            <w:r w:rsidR="006317F5" w:rsidRPr="00C31767">
              <w:rPr>
                <w:rFonts w:ascii="Verdana" w:eastAsia="Calibri" w:hAnsi="Verdana" w:cs="Arial"/>
                <w:color w:val="000000" w:themeColor="text1"/>
                <w:lang w:val="es-ES_tradnl"/>
              </w:rPr>
              <w:t xml:space="preserve"> de constituir garantías para el cumplimiento de las obligaciones surgidas del contrato, </w:t>
            </w:r>
            <w:r w:rsidR="006317F5">
              <w:rPr>
                <w:rFonts w:ascii="Verdana" w:hAnsi="Verdana" w:cs="Arial"/>
                <w:color w:val="000000" w:themeColor="text1"/>
                <w:lang w:val="es-MX"/>
              </w:rPr>
              <w:t xml:space="preserve">bajo las condiciones </w:t>
            </w:r>
            <w:r w:rsidR="008A574A">
              <w:rPr>
                <w:rFonts w:ascii="Verdana" w:hAnsi="Verdana" w:cs="Arial"/>
                <w:color w:val="000000" w:themeColor="text1"/>
                <w:lang w:val="es-MX"/>
              </w:rPr>
              <w:t>reglamentadas</w:t>
            </w:r>
            <w:r w:rsidR="006317F5">
              <w:rPr>
                <w:rFonts w:ascii="Verdana" w:hAnsi="Verdana" w:cs="Arial"/>
                <w:color w:val="000000" w:themeColor="text1"/>
                <w:lang w:val="es-MX"/>
              </w:rPr>
              <w:t xml:space="preserve"> en los </w:t>
            </w:r>
            <w:r w:rsidR="006317F5" w:rsidRPr="00C31767">
              <w:rPr>
                <w:rFonts w:ascii="Verdana" w:hAnsi="Verdana" w:cs="Arial"/>
                <w:color w:val="000000" w:themeColor="text1"/>
                <w:lang w:val="es-MX"/>
              </w:rPr>
              <w:t>artículos 2.2.1.2.3.1.1. y 2.2.1.2.3.1.19</w:t>
            </w:r>
            <w:r w:rsidR="006317F5">
              <w:rPr>
                <w:rFonts w:ascii="Verdana" w:hAnsi="Verdana" w:cs="Arial"/>
                <w:color w:val="000000" w:themeColor="text1"/>
                <w:lang w:val="es-MX"/>
              </w:rPr>
              <w:t xml:space="preserve"> d</w:t>
            </w:r>
            <w:r w:rsidR="006317F5" w:rsidRPr="00C31767">
              <w:rPr>
                <w:rFonts w:ascii="Verdana" w:hAnsi="Verdana" w:cs="Arial"/>
                <w:color w:val="000000" w:themeColor="text1"/>
                <w:lang w:val="es-MX"/>
              </w:rPr>
              <w:t>el Decreto 1082 de 2015</w:t>
            </w:r>
            <w:r w:rsidR="008A574A">
              <w:rPr>
                <w:rFonts w:ascii="Verdana" w:hAnsi="Verdana" w:cs="Arial"/>
                <w:color w:val="000000" w:themeColor="text1"/>
                <w:lang w:val="es-MX"/>
              </w:rPr>
              <w:t>.</w:t>
            </w:r>
          </w:p>
          <w:p w14:paraId="5DF779DE" w14:textId="77777777" w:rsidR="008A574A" w:rsidRDefault="008A574A" w:rsidP="00033B44">
            <w:pPr>
              <w:spacing w:line="276" w:lineRule="auto"/>
              <w:jc w:val="both"/>
              <w:rPr>
                <w:rFonts w:cs="Arial"/>
                <w:color w:val="000000" w:themeColor="text1"/>
                <w:lang w:eastAsia="es-CO"/>
                <w14:ligatures w14:val="standardContextual"/>
              </w:rPr>
            </w:pPr>
          </w:p>
          <w:p w14:paraId="00186315" w14:textId="77777777" w:rsidR="003979B8" w:rsidRPr="00DB4737" w:rsidRDefault="003979B8" w:rsidP="00033B44">
            <w:pPr>
              <w:spacing w:line="276" w:lineRule="auto"/>
              <w:ind w:firstLine="360"/>
              <w:contextualSpacing/>
              <w:jc w:val="both"/>
              <w:rPr>
                <w:rFonts w:ascii="Verdana" w:eastAsia="Calibri" w:hAnsi="Verdana" w:cs="Times New Roman"/>
                <w:lang w:val="es-ES"/>
              </w:rPr>
            </w:pPr>
            <w:r>
              <w:rPr>
                <w:rFonts w:ascii="Verdana" w:eastAsia="Calibri" w:hAnsi="Verdana" w:cs="Times New Roman"/>
                <w:lang w:val="es-ES"/>
              </w:rPr>
              <w:t xml:space="preserve">     </w:t>
            </w:r>
            <w:r w:rsidRPr="00DB4737">
              <w:rPr>
                <w:rFonts w:ascii="Verdana" w:eastAsia="Calibri" w:hAnsi="Verdana" w:cs="Times New Roman"/>
                <w:lang w:val="es-ES"/>
              </w:rPr>
              <w:t xml:space="preserve">Finalmente debe advertirse, que el análisis para resolver problemas específicos en torno </w:t>
            </w:r>
            <w:r>
              <w:rPr>
                <w:rFonts w:ascii="Verdana" w:eastAsia="Calibri" w:hAnsi="Verdana" w:cs="Times New Roman"/>
                <w:lang w:val="es-ES"/>
              </w:rPr>
              <w:t xml:space="preserve">a los procesos de contratación </w:t>
            </w:r>
            <w:r w:rsidRPr="00DB4737">
              <w:rPr>
                <w:rFonts w:ascii="Verdana" w:eastAsia="Calibri" w:hAnsi="Verdana" w:cs="Times New Roman"/>
                <w:lang w:val="es-ES"/>
              </w:rPr>
              <w:t>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429DDFFD" w14:textId="77777777" w:rsidR="003979B8" w:rsidRPr="00DB4737" w:rsidRDefault="003979B8" w:rsidP="00033B44">
            <w:pPr>
              <w:ind w:left="720"/>
              <w:contextualSpacing/>
              <w:rPr>
                <w:rFonts w:ascii="Verdana" w:eastAsia="Calibri" w:hAnsi="Verdana" w:cs="Times New Roman"/>
                <w:lang w:val="es-ES"/>
              </w:rPr>
            </w:pPr>
          </w:p>
          <w:p w14:paraId="3DA6D211" w14:textId="0FD13928" w:rsidR="003979B8" w:rsidRPr="00DB4737" w:rsidRDefault="008A574A" w:rsidP="00033B44">
            <w:pPr>
              <w:spacing w:line="276" w:lineRule="auto"/>
              <w:ind w:firstLine="360"/>
              <w:contextualSpacing/>
              <w:jc w:val="both"/>
              <w:rPr>
                <w:rFonts w:ascii="Verdana" w:eastAsia="Calibri" w:hAnsi="Verdana" w:cs="Times New Roman"/>
                <w:lang w:val="es-ES"/>
              </w:rPr>
            </w:pPr>
            <w:r>
              <w:rPr>
                <w:rFonts w:ascii="Verdana" w:eastAsia="Calibri" w:hAnsi="Verdana" w:cs="Times New Roman"/>
                <w:lang w:val="es-ES"/>
              </w:rPr>
              <w:t xml:space="preserve">     </w:t>
            </w:r>
            <w:r w:rsidR="003979B8"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43D59F88" w14:textId="77777777" w:rsidR="003979B8" w:rsidRPr="00F40564" w:rsidRDefault="003979B8" w:rsidP="00033B44">
            <w:pPr>
              <w:pStyle w:val="Prrafodelista"/>
              <w:spacing w:line="276" w:lineRule="auto"/>
              <w:ind w:left="306"/>
              <w:jc w:val="both"/>
              <w:rPr>
                <w:rFonts w:ascii="Verdana" w:hAnsi="Verdana" w:cs="Arial"/>
                <w:bCs/>
                <w:color w:val="000000" w:themeColor="text1"/>
              </w:rPr>
            </w:pPr>
          </w:p>
        </w:tc>
      </w:tr>
      <w:tr w:rsidR="003979B8" w:rsidRPr="00593A5F" w14:paraId="0893DF26" w14:textId="77777777" w:rsidTr="65AD1BB5">
        <w:tc>
          <w:tcPr>
            <w:tcW w:w="8828" w:type="dxa"/>
            <w:shd w:val="clear" w:color="auto" w:fill="auto"/>
          </w:tcPr>
          <w:p w14:paraId="7E07B411" w14:textId="77777777" w:rsidR="003979B8" w:rsidRPr="002973E9" w:rsidRDefault="003979B8" w:rsidP="00033B44">
            <w:pPr>
              <w:spacing w:line="276" w:lineRule="auto"/>
              <w:jc w:val="both"/>
              <w:rPr>
                <w:rFonts w:ascii="Verdana" w:eastAsia="Calibri" w:hAnsi="Verdana" w:cs="Arial"/>
                <w:lang w:val="es-ES"/>
              </w:rPr>
            </w:pPr>
          </w:p>
        </w:tc>
      </w:tr>
    </w:tbl>
    <w:p w14:paraId="2BE468BB" w14:textId="77777777" w:rsidR="003979B8" w:rsidRDefault="003979B8" w:rsidP="003979B8">
      <w:pPr>
        <w:tabs>
          <w:tab w:val="left" w:pos="142"/>
          <w:tab w:val="left" w:pos="284"/>
        </w:tabs>
        <w:spacing w:after="0" w:line="276" w:lineRule="auto"/>
        <w:jc w:val="both"/>
        <w:rPr>
          <w:rFonts w:ascii="Verdana" w:eastAsia="Century Gothic" w:hAnsi="Verdana" w:cs="Century Gothic"/>
          <w:b/>
          <w:bCs/>
          <w:lang w:val="es-ES"/>
        </w:rPr>
      </w:pPr>
    </w:p>
    <w:p w14:paraId="7492A30D" w14:textId="77777777" w:rsidR="003979B8" w:rsidRPr="00593A5F" w:rsidRDefault="003979B8" w:rsidP="003979B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388610C0" w14:textId="77777777" w:rsidR="003979B8" w:rsidRPr="00593A5F" w:rsidRDefault="003979B8" w:rsidP="003979B8">
      <w:pPr>
        <w:spacing w:after="0" w:line="276" w:lineRule="auto"/>
        <w:jc w:val="both"/>
        <w:rPr>
          <w:rFonts w:ascii="Verdana" w:eastAsia="Calibri" w:hAnsi="Verdana" w:cs="Arial"/>
          <w:color w:val="7030A0"/>
          <w:lang w:val="es-ES"/>
        </w:rPr>
      </w:pPr>
    </w:p>
    <w:p w14:paraId="0A3D664D" w14:textId="77777777" w:rsidR="003979B8" w:rsidRPr="00C31767" w:rsidRDefault="003979B8" w:rsidP="003979B8">
      <w:pPr>
        <w:spacing w:after="0" w:line="276" w:lineRule="auto"/>
        <w:ind w:firstLine="708"/>
        <w:jc w:val="both"/>
        <w:rPr>
          <w:rFonts w:ascii="Verdana" w:eastAsia="Calibri" w:hAnsi="Verdana" w:cs="Arial"/>
          <w:color w:val="000000" w:themeColor="text1"/>
          <w:lang w:val="es-ES_tradnl"/>
        </w:rPr>
      </w:pPr>
      <w:r w:rsidRPr="00C31767">
        <w:rPr>
          <w:rFonts w:ascii="Verdana" w:eastAsia="Calibri" w:hAnsi="Verdana" w:cs="Arial"/>
          <w:color w:val="000000"/>
          <w:lang w:val="es-ES_tradnl"/>
        </w:rPr>
        <w:t>De acuerdo con el Estatuto General de Contratación de la Administración Pública, p</w:t>
      </w:r>
      <w:r w:rsidRPr="00C31767">
        <w:rPr>
          <w:rFonts w:ascii="Verdana" w:eastAsia="Calibri" w:hAnsi="Verdana" w:cs="Arial"/>
          <w:color w:val="000000" w:themeColor="text1"/>
          <w:lang w:val="es-ES_tradnl"/>
        </w:rPr>
        <w:t xml:space="preserve">or regla general, </w:t>
      </w:r>
      <w:r w:rsidRPr="00C31767">
        <w:rPr>
          <w:rFonts w:ascii="Verdana" w:eastAsia="Calibri" w:hAnsi="Verdana" w:cs="Arial"/>
          <w:color w:val="000000" w:themeColor="text1"/>
          <w:lang w:val="es-ES"/>
        </w:rPr>
        <w:t>para seleccionar los contratistas y para ejecutar los contratos se requiere la constitución de garantías</w:t>
      </w:r>
      <w:r w:rsidRPr="00C31767">
        <w:rPr>
          <w:rFonts w:ascii="Verdana" w:eastAsia="Calibri" w:hAnsi="Verdana" w:cs="Arial"/>
          <w:color w:val="000000" w:themeColor="text1"/>
          <w:lang w:val="es-ES_tradnl"/>
        </w:rPr>
        <w:t>. Por ello,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 Esta norma dispone lo siguiente:</w:t>
      </w:r>
    </w:p>
    <w:p w14:paraId="708A5590" w14:textId="77777777" w:rsidR="003979B8" w:rsidRPr="00C31767" w:rsidRDefault="003979B8" w:rsidP="003979B8">
      <w:pPr>
        <w:spacing w:after="0" w:line="276" w:lineRule="auto"/>
        <w:ind w:firstLine="708"/>
        <w:jc w:val="both"/>
        <w:rPr>
          <w:rFonts w:ascii="Verdana" w:hAnsi="Verdana" w:cs="Arial"/>
          <w:color w:val="000000" w:themeColor="text1"/>
          <w:lang w:eastAsia="es-CO"/>
        </w:rPr>
      </w:pPr>
    </w:p>
    <w:p w14:paraId="06015AFE" w14:textId="77777777" w:rsidR="003979B8" w:rsidRPr="00C31767" w:rsidRDefault="003979B8" w:rsidP="003979B8">
      <w:pPr>
        <w:spacing w:after="120" w:line="240" w:lineRule="auto"/>
        <w:ind w:left="709" w:right="709"/>
        <w:jc w:val="both"/>
        <w:rPr>
          <w:rFonts w:ascii="Verdana" w:hAnsi="Verdana" w:cs="Arial"/>
          <w:color w:val="000000" w:themeColor="text1"/>
          <w:sz w:val="21"/>
          <w:szCs w:val="21"/>
          <w:lang w:eastAsia="es-CO"/>
        </w:rPr>
      </w:pPr>
      <w:r w:rsidRPr="00C31767">
        <w:rPr>
          <w:rFonts w:ascii="Verdana" w:hAnsi="Verdana" w:cs="Arial"/>
          <w:color w:val="000000" w:themeColor="text1"/>
          <w:sz w:val="21"/>
          <w:szCs w:val="21"/>
          <w:lang w:eastAsia="es-CO"/>
        </w:rPr>
        <w:lastRenderedPageBreak/>
        <w:t>“Artículo 7. Los contratistas prestarán garantía única para el cumplimiento de las obligaciones surgidas del contrato. Los proponentes prestarán garantía de seriedad de los ofrecimientos hechos. </w:t>
      </w:r>
    </w:p>
    <w:p w14:paraId="7D0C887A" w14:textId="77777777" w:rsidR="003979B8" w:rsidRPr="00C31767" w:rsidRDefault="003979B8" w:rsidP="003979B8">
      <w:pPr>
        <w:spacing w:after="120" w:line="240" w:lineRule="auto"/>
        <w:ind w:left="709" w:right="709"/>
        <w:jc w:val="both"/>
        <w:rPr>
          <w:rFonts w:ascii="Verdana" w:hAnsi="Verdana" w:cs="Arial"/>
          <w:color w:val="000000" w:themeColor="text1"/>
          <w:sz w:val="21"/>
          <w:szCs w:val="21"/>
          <w:lang w:eastAsia="es-CO"/>
        </w:rPr>
      </w:pPr>
      <w:r w:rsidRPr="00C31767">
        <w:rPr>
          <w:rFonts w:ascii="Verdana" w:hAnsi="Verdana" w:cs="Arial"/>
          <w:color w:val="000000" w:themeColor="text1"/>
          <w:sz w:val="21"/>
          <w:szCs w:val="21"/>
          <w:lang w:eastAsia="es-CO"/>
        </w:rPr>
        <w:t>Las garantías consistirán en pólizas expedidas por compañías de seguros legalmente autorizadas para funcionar en Colombia, en garantías bancarias y en general, en los demás mecanismos de cobertura del riesgo autorizados por el reglamento para el efecto. Tratándose de pólizas, las mismas no expirarán por falta de pago de la prima o por revocatoria unilateral. El Gobierno Nacional señalará las condiciones generales que deberán ser incluidas en las pólizas de cumplimiento de los contratos estatales. </w:t>
      </w:r>
    </w:p>
    <w:p w14:paraId="64DCB817" w14:textId="77777777" w:rsidR="003979B8" w:rsidRPr="00C31767" w:rsidRDefault="003979B8" w:rsidP="003979B8">
      <w:pPr>
        <w:spacing w:after="120" w:line="240" w:lineRule="auto"/>
        <w:ind w:left="709" w:right="709"/>
        <w:jc w:val="both"/>
        <w:rPr>
          <w:rFonts w:ascii="Verdana" w:hAnsi="Verdana" w:cs="Arial"/>
          <w:color w:val="000000" w:themeColor="text1"/>
          <w:sz w:val="21"/>
          <w:szCs w:val="21"/>
          <w:lang w:eastAsia="es-CO"/>
        </w:rPr>
      </w:pPr>
      <w:r w:rsidRPr="00C31767">
        <w:rPr>
          <w:rFonts w:ascii="Verdana" w:hAnsi="Verdana" w:cs="Arial"/>
          <w:color w:val="000000" w:themeColor="text1"/>
          <w:sz w:val="21"/>
          <w:szCs w:val="21"/>
          <w:lang w:eastAsia="es-CO"/>
        </w:rPr>
        <w:t xml:space="preserve">El Gobierno Nacional señalará los criterios que seguirán las entidades para la exigencia de garantías, las clases y niveles de amparo de los riesgos de los contratos, así como los casos en </w:t>
      </w:r>
      <w:proofErr w:type="gramStart"/>
      <w:r w:rsidRPr="00C31767">
        <w:rPr>
          <w:rFonts w:ascii="Verdana" w:hAnsi="Verdana" w:cs="Arial"/>
          <w:color w:val="000000" w:themeColor="text1"/>
          <w:sz w:val="21"/>
          <w:szCs w:val="21"/>
          <w:lang w:eastAsia="es-CO"/>
        </w:rPr>
        <w:t>que</w:t>
      </w:r>
      <w:proofErr w:type="gramEnd"/>
      <w:r w:rsidRPr="00C31767">
        <w:rPr>
          <w:rFonts w:ascii="Verdana" w:hAnsi="Verdana" w:cs="Arial"/>
          <w:color w:val="000000" w:themeColor="text1"/>
          <w:sz w:val="21"/>
          <w:szCs w:val="21"/>
          <w:lang w:eastAsia="es-CO"/>
        </w:rPr>
        <w:t xml:space="preserve"> por las características y complejidad del contrato a celebrar, la garantía pueda ser dividida teniendo en cuenta las etapas o riesgos relativos a la ejecución del respectivo contrato. </w:t>
      </w:r>
    </w:p>
    <w:p w14:paraId="028F294B" w14:textId="77777777" w:rsidR="003979B8" w:rsidRPr="00C31767" w:rsidRDefault="003979B8" w:rsidP="003979B8">
      <w:pPr>
        <w:spacing w:after="120" w:line="240" w:lineRule="auto"/>
        <w:ind w:left="709" w:right="709"/>
        <w:jc w:val="both"/>
        <w:rPr>
          <w:rFonts w:ascii="Verdana" w:hAnsi="Verdana" w:cs="Arial"/>
          <w:color w:val="000000" w:themeColor="text1"/>
          <w:sz w:val="21"/>
          <w:szCs w:val="21"/>
          <w:lang w:eastAsia="es-CO"/>
        </w:rPr>
      </w:pPr>
      <w:r w:rsidRPr="00C31767">
        <w:rPr>
          <w:rFonts w:ascii="Verdana" w:hAnsi="Verdana" w:cs="Arial"/>
          <w:color w:val="000000" w:themeColor="text1"/>
          <w:sz w:val="21"/>
          <w:szCs w:val="21"/>
          <w:lang w:eastAsia="es-CO"/>
        </w:rPr>
        <w:t>El acaecimiento del siniestro que amparan las garantías será comunicado por la entidad pública al respectivo asegurador mediante la notificación del acto administrativo que así lo declare. </w:t>
      </w:r>
    </w:p>
    <w:p w14:paraId="492FDB0B" w14:textId="77777777" w:rsidR="003979B8" w:rsidRPr="00C31767" w:rsidRDefault="003979B8" w:rsidP="003979B8">
      <w:pPr>
        <w:spacing w:after="0" w:line="240" w:lineRule="auto"/>
        <w:ind w:left="709" w:right="709"/>
        <w:jc w:val="both"/>
        <w:rPr>
          <w:rFonts w:ascii="Verdana" w:hAnsi="Verdana" w:cs="Arial"/>
          <w:color w:val="000000" w:themeColor="text1"/>
          <w:sz w:val="21"/>
          <w:szCs w:val="21"/>
          <w:lang w:eastAsia="es-CO"/>
        </w:rPr>
      </w:pPr>
      <w:r w:rsidRPr="00C31767">
        <w:rPr>
          <w:rFonts w:ascii="Verdana" w:hAnsi="Verdana" w:cs="Arial"/>
          <w:color w:val="000000" w:themeColor="text1"/>
          <w:sz w:val="21"/>
          <w:szCs w:val="21"/>
          <w:lang w:eastAsia="es-CO"/>
        </w:rPr>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p>
    <w:p w14:paraId="4BF302B3" w14:textId="77777777" w:rsidR="003979B8" w:rsidRPr="00C31767" w:rsidRDefault="003979B8" w:rsidP="003979B8">
      <w:pPr>
        <w:spacing w:after="0" w:line="276" w:lineRule="auto"/>
        <w:ind w:left="709" w:right="709"/>
        <w:jc w:val="both"/>
        <w:rPr>
          <w:rFonts w:ascii="Verdana" w:hAnsi="Verdana" w:cs="Arial"/>
          <w:color w:val="000000" w:themeColor="text1"/>
          <w:lang w:eastAsia="es-CO"/>
        </w:rPr>
      </w:pPr>
    </w:p>
    <w:p w14:paraId="44BB655E" w14:textId="77777777" w:rsidR="003979B8" w:rsidRPr="00C31767" w:rsidRDefault="003979B8" w:rsidP="003979B8">
      <w:pPr>
        <w:spacing w:line="276" w:lineRule="auto"/>
        <w:ind w:firstLine="708"/>
        <w:jc w:val="both"/>
        <w:rPr>
          <w:rFonts w:ascii="Verdana" w:hAnsi="Verdana" w:cs="Arial"/>
          <w:color w:val="000000" w:themeColor="text1"/>
          <w:lang w:val="es-MX"/>
        </w:rPr>
      </w:pPr>
      <w:r w:rsidRPr="00C31767">
        <w:rPr>
          <w:rFonts w:ascii="Verdana" w:hAnsi="Verdana" w:cs="Arial"/>
          <w:color w:val="000000" w:themeColor="text1"/>
          <w:lang w:val="es-MX"/>
        </w:rPr>
        <w:t xml:space="preserve">Las condiciones en las que debe cumplirse esta obligación fueron reglamentadas por el Decreto 1082 de 2015, el cual entre sus artículos 2.2.1.2.3.1.1. y 2.2.1.2.3.1.19 se refiere a asuntos como las clases de garantías permitidas, su indivisibilidad, los diferentes riesgos que deben ser objeto de garantía, la vigencia y valores mínimos que deben cubrir los amparos, entre otros aspectos que debe cumplir las garantías constituidas por los contratistas ya sea a través de pólizas de seguro, garantías bancarías o patrimonios autónomos. </w:t>
      </w:r>
    </w:p>
    <w:p w14:paraId="642CA6E8" w14:textId="77777777" w:rsidR="003979B8" w:rsidRPr="00C31767" w:rsidRDefault="003979B8" w:rsidP="003979B8">
      <w:pPr>
        <w:spacing w:before="120" w:line="276" w:lineRule="auto"/>
        <w:ind w:firstLine="708"/>
        <w:jc w:val="both"/>
        <w:rPr>
          <w:rFonts w:ascii="Verdana" w:hAnsi="Verdana" w:cs="Arial"/>
          <w:color w:val="000000" w:themeColor="text1"/>
          <w:lang w:eastAsia="es-CO"/>
        </w:rPr>
      </w:pPr>
      <w:r w:rsidRPr="00C31767">
        <w:rPr>
          <w:rFonts w:ascii="Verdana" w:hAnsi="Verdana" w:cs="Arial"/>
          <w:color w:val="000000" w:themeColor="text1"/>
          <w:lang w:val="es-MX"/>
        </w:rPr>
        <w:t xml:space="preserve">El artículo 2.2.1.2.3.1.3, por ejemplo, establece que la “garantía de cobertura del Riesgo es indivisible”, además de la obligación de los contratantes de establecer en los pliegos de condiciones las garantías exigidas para cada periodo contractual. Seguidamente el artículo 2.2.1.3.1.7 prescribe que la garantía de cumplimiento debe cubrir: i) el buen manejo y correcta inversión del </w:t>
      </w:r>
      <w:r w:rsidRPr="00C31767">
        <w:rPr>
          <w:rFonts w:ascii="Verdana" w:hAnsi="Verdana" w:cs="Arial"/>
          <w:color w:val="000000" w:themeColor="text1"/>
          <w:lang w:val="es-MX"/>
        </w:rPr>
        <w:lastRenderedPageBreak/>
        <w:t xml:space="preserve">anticipo; </w:t>
      </w:r>
      <w:proofErr w:type="spellStart"/>
      <w:r w:rsidRPr="00C31767">
        <w:rPr>
          <w:rFonts w:ascii="Verdana" w:hAnsi="Verdana" w:cs="Arial"/>
          <w:color w:val="000000" w:themeColor="text1"/>
          <w:lang w:val="es-MX"/>
        </w:rPr>
        <w:t>ii</w:t>
      </w:r>
      <w:proofErr w:type="spellEnd"/>
      <w:r w:rsidRPr="00C31767">
        <w:rPr>
          <w:rFonts w:ascii="Verdana" w:hAnsi="Verdana" w:cs="Arial"/>
          <w:color w:val="000000" w:themeColor="text1"/>
          <w:lang w:val="es-MX"/>
        </w:rPr>
        <w:t xml:space="preserve">) la devolución del pago anticipado; </w:t>
      </w:r>
      <w:proofErr w:type="spellStart"/>
      <w:r w:rsidRPr="00C31767">
        <w:rPr>
          <w:rFonts w:ascii="Verdana" w:hAnsi="Verdana" w:cs="Arial"/>
          <w:color w:val="000000" w:themeColor="text1"/>
          <w:lang w:val="es-MX"/>
        </w:rPr>
        <w:t>iii</w:t>
      </w:r>
      <w:proofErr w:type="spellEnd"/>
      <w:r w:rsidRPr="00C31767">
        <w:rPr>
          <w:rFonts w:ascii="Verdana" w:hAnsi="Verdana" w:cs="Arial"/>
          <w:color w:val="000000" w:themeColor="text1"/>
          <w:lang w:val="es-MX"/>
        </w:rPr>
        <w:t xml:space="preserve">) cumplimiento del contrato; </w:t>
      </w:r>
      <w:proofErr w:type="spellStart"/>
      <w:r w:rsidRPr="00C31767">
        <w:rPr>
          <w:rFonts w:ascii="Verdana" w:hAnsi="Verdana" w:cs="Arial"/>
          <w:color w:val="000000" w:themeColor="text1"/>
          <w:lang w:val="es-MX"/>
        </w:rPr>
        <w:t>iv</w:t>
      </w:r>
      <w:proofErr w:type="spellEnd"/>
      <w:r w:rsidRPr="00C31767">
        <w:rPr>
          <w:rFonts w:ascii="Verdana" w:hAnsi="Verdana" w:cs="Arial"/>
          <w:color w:val="000000" w:themeColor="text1"/>
          <w:lang w:val="es-MX"/>
        </w:rPr>
        <w:t xml:space="preserve">) pago de salarios, prestaciones sociales legales e indemnizaciones laborales; v) estabilidad y calidad de la obra; vi) </w:t>
      </w:r>
      <w:r w:rsidRPr="00C31767">
        <w:rPr>
          <w:rFonts w:ascii="Verdana" w:hAnsi="Verdana" w:cs="Arial"/>
          <w:color w:val="000000" w:themeColor="text1"/>
          <w:lang w:eastAsia="es-CO"/>
        </w:rPr>
        <w:t xml:space="preserve">calidad del servicio; </w:t>
      </w:r>
      <w:proofErr w:type="spellStart"/>
      <w:r w:rsidRPr="00C31767">
        <w:rPr>
          <w:rFonts w:ascii="Verdana" w:hAnsi="Verdana" w:cs="Arial"/>
          <w:color w:val="000000" w:themeColor="text1"/>
          <w:lang w:eastAsia="es-CO"/>
        </w:rPr>
        <w:t>vii</w:t>
      </w:r>
      <w:proofErr w:type="spellEnd"/>
      <w:r w:rsidRPr="00C31767">
        <w:rPr>
          <w:rFonts w:ascii="Verdana" w:hAnsi="Verdana" w:cs="Arial"/>
          <w:color w:val="000000" w:themeColor="text1"/>
          <w:lang w:eastAsia="es-CO"/>
        </w:rPr>
        <w:t xml:space="preserve">) calidad y correcto funcionamiento de los bienes; y </w:t>
      </w:r>
      <w:proofErr w:type="spellStart"/>
      <w:r w:rsidRPr="00C31767">
        <w:rPr>
          <w:rFonts w:ascii="Verdana" w:hAnsi="Verdana" w:cs="Arial"/>
          <w:color w:val="000000" w:themeColor="text1"/>
          <w:lang w:eastAsia="es-CO"/>
        </w:rPr>
        <w:t>viii</w:t>
      </w:r>
      <w:proofErr w:type="spellEnd"/>
      <w:r w:rsidRPr="00C31767">
        <w:rPr>
          <w:rFonts w:ascii="Verdana" w:hAnsi="Verdana" w:cs="Arial"/>
          <w:color w:val="000000" w:themeColor="text1"/>
          <w:lang w:eastAsia="es-CO"/>
        </w:rPr>
        <w:t>) los demás incumplimientos de las obligaciones que la entidad estatal considere deben ser amparados. Por su parte, el artículo 2.2.1.2.3.1.12 regula la suficiencia del amparo de cumplimiento, al determinar que esta debe tener una vigencia mínima hasta la liquidación del contrato y un valor de por lo menos el diez por ciento (10%) del total del contrato, siempre que este sea inferior a un millón (1.000.000) de S.M.M.L.V., estableciendo otros mínimos para el valor de las pólizas en contratos con montos superiores</w:t>
      </w:r>
      <w:r w:rsidRPr="00C31767">
        <w:rPr>
          <w:rFonts w:ascii="Verdana" w:hAnsi="Verdana" w:cs="Arial"/>
          <w:color w:val="000000" w:themeColor="text1"/>
          <w:vertAlign w:val="superscript"/>
          <w:lang w:eastAsia="es-CO"/>
        </w:rPr>
        <w:footnoteReference w:id="2"/>
      </w:r>
      <w:r w:rsidRPr="00C31767">
        <w:rPr>
          <w:rFonts w:ascii="Verdana" w:hAnsi="Verdana" w:cs="Arial"/>
          <w:color w:val="000000" w:themeColor="text1"/>
          <w:lang w:eastAsia="es-CO"/>
        </w:rPr>
        <w:t xml:space="preserve">.   </w:t>
      </w:r>
    </w:p>
    <w:p w14:paraId="200BF15E" w14:textId="77777777" w:rsidR="003979B8" w:rsidRPr="00C31767" w:rsidRDefault="003979B8" w:rsidP="003979B8">
      <w:pPr>
        <w:spacing w:before="120" w:line="276" w:lineRule="auto"/>
        <w:ind w:firstLine="708"/>
        <w:jc w:val="both"/>
        <w:rPr>
          <w:rFonts w:ascii="Verdana" w:hAnsi="Verdana" w:cs="Arial"/>
          <w:color w:val="000000" w:themeColor="text1"/>
        </w:rPr>
      </w:pPr>
      <w:r w:rsidRPr="00C31767">
        <w:rPr>
          <w:rFonts w:ascii="Verdana" w:hAnsi="Verdana" w:cs="Arial"/>
          <w:color w:val="000000" w:themeColor="text1"/>
          <w:lang w:val="es-MX"/>
        </w:rPr>
        <w:t>Los anteriores y otros aspectos desarrollados por el Decreto 1082 de 2015 deben ser verificados por las entidades estatales, para determinar si los amparos constituidos por sus contratistas en cumplimiento de la obligación derivada del artículo 7 de la Ley 1150 de 2007 se ajustan o no a lo exigido por el reglamento respecto del objeto y valor del contrato.</w:t>
      </w:r>
      <w:r w:rsidRPr="00C31767">
        <w:rPr>
          <w:rFonts w:ascii="Verdana" w:hAnsi="Verdana" w:cs="Arial"/>
          <w:color w:val="000000" w:themeColor="text1"/>
        </w:rPr>
        <w:t xml:space="preserve"> Lo expuesto resulta de especial relevancia, teniendo en cuenta que el cumplimiento de la obligación de los contratistas de constituir las correspondientes garantías, y el deber de las entidades estatales de aprobarlas, una vez verificados los requisitos mínimos exigidos, son presupuestos para la ejecución del contrato, de conformidad con el artículo 41 de la Ley 80 de 1993</w:t>
      </w:r>
      <w:r w:rsidRPr="00C31767">
        <w:rPr>
          <w:rFonts w:ascii="Verdana" w:eastAsia="Calibri" w:hAnsi="Verdana" w:cs="Arial"/>
        </w:rPr>
        <w:t xml:space="preserve">. </w:t>
      </w:r>
    </w:p>
    <w:p w14:paraId="053769E2" w14:textId="77777777" w:rsidR="003979B8" w:rsidRPr="00C31767" w:rsidRDefault="003979B8" w:rsidP="003979B8">
      <w:pPr>
        <w:spacing w:before="120" w:line="276" w:lineRule="auto"/>
        <w:ind w:firstLine="708"/>
        <w:jc w:val="both"/>
        <w:rPr>
          <w:rFonts w:ascii="Verdana" w:hAnsi="Verdana" w:cs="Arial"/>
          <w:color w:val="000000" w:themeColor="text1"/>
          <w:lang w:val="es-ES_tradnl"/>
        </w:rPr>
      </w:pPr>
      <w:r w:rsidRPr="00C31767">
        <w:rPr>
          <w:rFonts w:ascii="Verdana" w:eastAsia="Calibri" w:hAnsi="Verdana" w:cs="Arial"/>
        </w:rPr>
        <w:t xml:space="preserve">En efecto, </w:t>
      </w:r>
      <w:r w:rsidRPr="00C31767">
        <w:rPr>
          <w:rFonts w:ascii="Verdana" w:hAnsi="Verdana" w:cs="Arial"/>
          <w:color w:val="000000" w:themeColor="text1"/>
          <w:lang w:val="es-MX"/>
        </w:rPr>
        <w:t>el referido artículo establece en su inciso primero que los contratos estatales se perfeccionan “</w:t>
      </w:r>
      <w:r w:rsidRPr="00C31767">
        <w:rPr>
          <w:rFonts w:ascii="Verdana" w:hAnsi="Verdana" w:cs="Arial"/>
          <w:color w:val="000000" w:themeColor="text1"/>
          <w:lang w:eastAsia="es-CO"/>
        </w:rPr>
        <w:t>cuando se logre acuerdo sobre el objeto y la contraprestación y éste se eleve a escrito</w:t>
      </w:r>
      <w:r w:rsidRPr="00C31767">
        <w:rPr>
          <w:rFonts w:ascii="Verdana" w:hAnsi="Verdana" w:cs="Arial"/>
          <w:color w:val="000000" w:themeColor="text1"/>
          <w:lang w:val="es-MX"/>
        </w:rPr>
        <w:t>”. Por su parte el inciso segundo establece que “P</w:t>
      </w:r>
      <w:r w:rsidRPr="00C31767">
        <w:rPr>
          <w:rFonts w:ascii="Verdana" w:hAnsi="Verdana" w:cs="Arial"/>
          <w:color w:val="000000" w:themeColor="text1"/>
          <w:lang w:eastAsia="es-CO"/>
        </w:rPr>
        <w:t xml:space="preserve">ara la ejecución se requerirá de la aprobación de la garantía”, lo que se traduce en que, sin perjuicio del perfeccionamiento del contrato, no </w:t>
      </w:r>
      <w:r w:rsidRPr="00C31767">
        <w:rPr>
          <w:rFonts w:ascii="Verdana" w:hAnsi="Verdana" w:cs="Arial"/>
          <w:color w:val="000000" w:themeColor="text1"/>
          <w:lang w:eastAsia="es-CO"/>
        </w:rPr>
        <w:lastRenderedPageBreak/>
        <w:t>podrá ejecutarse sin que se hayan aprobado las garantías por parte de la entidad estatal contratante.</w:t>
      </w:r>
    </w:p>
    <w:p w14:paraId="39E5C890" w14:textId="77777777" w:rsidR="003979B8" w:rsidRPr="00C31767" w:rsidRDefault="003979B8" w:rsidP="003979B8">
      <w:pPr>
        <w:spacing w:before="120" w:after="0" w:line="276" w:lineRule="auto"/>
        <w:ind w:firstLine="708"/>
        <w:jc w:val="both"/>
        <w:rPr>
          <w:rFonts w:ascii="Verdana" w:hAnsi="Verdana" w:cs="Arial"/>
          <w:color w:val="000000" w:themeColor="text1"/>
          <w:lang w:val="es-MX"/>
        </w:rPr>
      </w:pPr>
      <w:r w:rsidRPr="00C31767">
        <w:rPr>
          <w:rFonts w:ascii="Verdana" w:hAnsi="Verdana" w:cs="Arial"/>
          <w:color w:val="000000" w:themeColor="text1"/>
          <w:lang w:eastAsia="es-CO"/>
        </w:rPr>
        <w:t xml:space="preserve">Al interpretar la regulación del precitado artículo, el Consejo de Estado ha diferenciado los requisitos de perfeccionamiento del contrato de los concernientes a la ejecución, al entender que el acuerdo de voluntades elevado a escrito suscrito por las partes perfecciona el contrato estatal, mientras que la aprobación de las garantías es un requisito para su ejecución, el cual no está sometido al libre arbitrio del contratante, en la medida que tal aprobación consiste </w:t>
      </w:r>
      <w:r w:rsidRPr="00C31767">
        <w:rPr>
          <w:rFonts w:ascii="Verdana" w:hAnsi="Verdana" w:cs="Arial"/>
          <w:color w:val="000000" w:themeColor="text1"/>
          <w:lang w:val="es-MX"/>
        </w:rPr>
        <w:t>en un reconocimiento por parte de la Administración de que el contratista ha cumplido con la obligación de la garantía requerida por la ley y que esta se ajuste a lo pactado en el contrato.  Así lo expresó la Sección Tercera del Consejo de Estado en Sentencia del 28 de junio de 2012:</w:t>
      </w:r>
    </w:p>
    <w:p w14:paraId="3F4BFE66" w14:textId="77777777" w:rsidR="003979B8" w:rsidRPr="00C31767" w:rsidRDefault="003979B8" w:rsidP="003979B8">
      <w:pPr>
        <w:spacing w:after="0" w:line="276" w:lineRule="auto"/>
        <w:ind w:firstLine="709"/>
        <w:jc w:val="both"/>
        <w:rPr>
          <w:rFonts w:ascii="Verdana" w:hAnsi="Verdana" w:cs="Arial"/>
          <w:color w:val="000000" w:themeColor="text1"/>
          <w:lang w:eastAsia="es-CO"/>
        </w:rPr>
      </w:pPr>
    </w:p>
    <w:p w14:paraId="616B70D6" w14:textId="77777777" w:rsidR="003979B8" w:rsidRPr="00C31767" w:rsidRDefault="003979B8" w:rsidP="003979B8">
      <w:pPr>
        <w:spacing w:after="120" w:line="240" w:lineRule="auto"/>
        <w:ind w:left="709" w:right="709"/>
        <w:jc w:val="both"/>
        <w:rPr>
          <w:rFonts w:ascii="Verdana" w:hAnsi="Verdana" w:cs="Arial"/>
          <w:color w:val="000000" w:themeColor="text1"/>
          <w:sz w:val="21"/>
          <w:szCs w:val="21"/>
          <w:lang w:val="es-MX"/>
        </w:rPr>
      </w:pPr>
      <w:r w:rsidRPr="00C31767">
        <w:rPr>
          <w:rFonts w:ascii="Verdana" w:hAnsi="Verdana" w:cs="Arial"/>
          <w:color w:val="000000" w:themeColor="text1"/>
          <w:sz w:val="21"/>
          <w:szCs w:val="21"/>
          <w:lang w:val="es-MX"/>
        </w:rPr>
        <w:t xml:space="preserve">“[…] Por virtud de lo dispuesto en la Ley 80 de 1993, el contrato estatal existe cuando el acuerdo sobre el objeto y la contraprestación se eleva a escrito y, es ejecutable, cuando se cumplen las condiciones previstas en el inciso segundo del artículo 41 de la ley, en concordancia con lo dispuesto en el artículo 49 de la Ley 179 de 1994, compilado en el artículo 71 del Estatuto Orgánico de Presupuesto -Decreto ley 111 de 1996-, esto es, cuando además de la aprobación de la garantía, se cuenta con las disponibilidades presupuestales correspondientes, salvo que se trate de contratación con recursos de vigencias futuras, de conformidad con lo previsto en la ley orgánica del presupuesto.  </w:t>
      </w:r>
    </w:p>
    <w:p w14:paraId="71D49D27" w14:textId="77777777" w:rsidR="003979B8" w:rsidRPr="00C31767" w:rsidRDefault="003979B8" w:rsidP="003979B8">
      <w:pPr>
        <w:spacing w:after="120" w:line="240" w:lineRule="auto"/>
        <w:ind w:left="709" w:right="709"/>
        <w:jc w:val="both"/>
        <w:rPr>
          <w:rFonts w:ascii="Verdana" w:hAnsi="Verdana" w:cs="Arial"/>
          <w:color w:val="000000" w:themeColor="text1"/>
          <w:sz w:val="21"/>
          <w:szCs w:val="21"/>
          <w:lang w:val="es-MX"/>
        </w:rPr>
      </w:pPr>
      <w:r w:rsidRPr="00C31767">
        <w:rPr>
          <w:rFonts w:ascii="Verdana" w:hAnsi="Verdana" w:cs="Arial"/>
          <w:color w:val="000000" w:themeColor="text1"/>
          <w:sz w:val="21"/>
          <w:szCs w:val="21"/>
          <w:lang w:val="es-MX"/>
        </w:rPr>
        <w:t xml:space="preserve">Ello significa que, una vez elevado a escrito, lo cual supone su suscripción por ambas partes, el contrato estatal existe y requiere del registro presupuestal, al igual que de la aprobación de la garantía para su ejecución, condiciones que cumplidas le otorgan eficacia. La aprobación de la póliza </w:t>
      </w:r>
      <w:proofErr w:type="gramStart"/>
      <w:r w:rsidRPr="00C31767">
        <w:rPr>
          <w:rFonts w:ascii="Verdana" w:hAnsi="Verdana" w:cs="Arial"/>
          <w:color w:val="000000" w:themeColor="text1"/>
          <w:sz w:val="21"/>
          <w:szCs w:val="21"/>
          <w:lang w:val="es-MX"/>
        </w:rPr>
        <w:t>entonces,</w:t>
      </w:r>
      <w:proofErr w:type="gramEnd"/>
      <w:r w:rsidRPr="00C31767">
        <w:rPr>
          <w:rFonts w:ascii="Verdana" w:hAnsi="Verdana" w:cs="Arial"/>
          <w:color w:val="000000" w:themeColor="text1"/>
          <w:sz w:val="21"/>
          <w:szCs w:val="21"/>
          <w:lang w:val="es-MX"/>
        </w:rPr>
        <w:t xml:space="preserve"> no tiene alcance diferente al reconocimiento de parte de la administración sobre que el contratista cumplió con la obligación de la garantía en orden a la ejecución del contrato y el registro presupuestal comporta que la contratante hizo lo propio. </w:t>
      </w:r>
    </w:p>
    <w:p w14:paraId="049DD217" w14:textId="77777777" w:rsidR="003979B8" w:rsidRPr="00C31767" w:rsidRDefault="003979B8" w:rsidP="003979B8">
      <w:pPr>
        <w:spacing w:after="0" w:line="240" w:lineRule="auto"/>
        <w:ind w:left="709" w:right="709"/>
        <w:jc w:val="both"/>
        <w:rPr>
          <w:rFonts w:ascii="Verdana" w:hAnsi="Verdana" w:cs="Arial"/>
          <w:color w:val="000000" w:themeColor="text1"/>
          <w:sz w:val="21"/>
          <w:szCs w:val="21"/>
          <w:lang w:val="es-MX"/>
        </w:rPr>
      </w:pPr>
      <w:r w:rsidRPr="00C31767">
        <w:rPr>
          <w:rFonts w:ascii="Verdana" w:hAnsi="Verdana" w:cs="Arial"/>
          <w:color w:val="000000" w:themeColor="text1"/>
          <w:sz w:val="21"/>
          <w:szCs w:val="21"/>
          <w:lang w:val="es-MX"/>
        </w:rPr>
        <w:t xml:space="preserve">En ese orden de ideas, </w:t>
      </w:r>
      <w:r w:rsidRPr="00C31767">
        <w:rPr>
          <w:rFonts w:ascii="Verdana" w:hAnsi="Verdana" w:cs="Arial"/>
          <w:i/>
          <w:iCs/>
          <w:color w:val="000000" w:themeColor="text1"/>
          <w:sz w:val="21"/>
          <w:szCs w:val="21"/>
          <w:lang w:val="es-MX"/>
        </w:rPr>
        <w:t>si bien la aprobación de la garantía, condicionan la iniciación del contrato, su ejecución, vigencia y plazo, se sujeta a que la póliza cumpla con los requisitos legales y que la administración los avale, sin que le esté dado a la entidad hacer gala de su mera liberalidad para demorar su aprobación o negarla, porque, de no ser ello así, de nada serviría la previsión legal, pues lo sujeto a la potestad unilateral nada condiciona</w:t>
      </w:r>
      <w:r w:rsidRPr="00C31767">
        <w:rPr>
          <w:rFonts w:ascii="Verdana" w:hAnsi="Verdana" w:cs="Arial"/>
          <w:color w:val="000000" w:themeColor="text1"/>
          <w:sz w:val="21"/>
          <w:szCs w:val="21"/>
          <w:lang w:val="es-MX"/>
        </w:rPr>
        <w:t>”</w:t>
      </w:r>
      <w:r w:rsidRPr="00C31767">
        <w:rPr>
          <w:rFonts w:ascii="Verdana" w:hAnsi="Verdana" w:cs="Arial"/>
          <w:color w:val="000000" w:themeColor="text1"/>
          <w:sz w:val="21"/>
          <w:szCs w:val="21"/>
          <w:vertAlign w:val="superscript"/>
          <w:lang w:val="es-MX"/>
        </w:rPr>
        <w:footnoteReference w:id="3"/>
      </w:r>
      <w:r w:rsidRPr="00C31767">
        <w:rPr>
          <w:rFonts w:ascii="Verdana" w:hAnsi="Verdana" w:cs="Arial"/>
          <w:color w:val="000000" w:themeColor="text1"/>
          <w:sz w:val="21"/>
          <w:szCs w:val="21"/>
          <w:lang w:val="es-MX"/>
        </w:rPr>
        <w:t>. (Énfasis fuera de texto)</w:t>
      </w:r>
    </w:p>
    <w:p w14:paraId="359165A4" w14:textId="77777777" w:rsidR="003979B8" w:rsidRPr="00C31767" w:rsidRDefault="003979B8" w:rsidP="003979B8">
      <w:pPr>
        <w:spacing w:after="0" w:line="276" w:lineRule="auto"/>
        <w:ind w:firstLine="708"/>
        <w:jc w:val="both"/>
        <w:rPr>
          <w:rFonts w:ascii="Verdana" w:hAnsi="Verdana" w:cs="Arial"/>
          <w:color w:val="000000" w:themeColor="text1"/>
          <w:lang w:eastAsia="es-CO"/>
        </w:rPr>
      </w:pPr>
    </w:p>
    <w:p w14:paraId="25F521A4" w14:textId="77777777" w:rsidR="003979B8" w:rsidRPr="00C31767" w:rsidRDefault="003979B8" w:rsidP="003979B8">
      <w:pPr>
        <w:spacing w:line="276" w:lineRule="auto"/>
        <w:ind w:firstLine="709"/>
        <w:jc w:val="both"/>
        <w:rPr>
          <w:rFonts w:ascii="Verdana" w:hAnsi="Verdana" w:cs="Arial"/>
          <w:color w:val="000000" w:themeColor="text1"/>
          <w:lang w:eastAsia="es-CO"/>
        </w:rPr>
      </w:pPr>
      <w:r w:rsidRPr="00C31767">
        <w:rPr>
          <w:rFonts w:ascii="Verdana" w:hAnsi="Verdana" w:cs="Arial"/>
          <w:color w:val="000000" w:themeColor="text1"/>
          <w:lang w:eastAsia="es-CO"/>
        </w:rPr>
        <w:t xml:space="preserve">De esta manera, para proceder con </w:t>
      </w:r>
      <w:r>
        <w:rPr>
          <w:rFonts w:ascii="Verdana" w:hAnsi="Verdana" w:cs="Arial"/>
          <w:color w:val="000000" w:themeColor="text1"/>
          <w:lang w:eastAsia="es-CO"/>
        </w:rPr>
        <w:t>el inicio</w:t>
      </w:r>
      <w:r w:rsidRPr="00C31767">
        <w:rPr>
          <w:rFonts w:ascii="Verdana" w:hAnsi="Verdana" w:cs="Arial"/>
          <w:color w:val="000000" w:themeColor="text1"/>
          <w:lang w:eastAsia="es-CO"/>
        </w:rPr>
        <w:t xml:space="preserve"> del contrato, el contratista debe cumplir con la obligación de constituir las garantías, para lo cual deberá presentar el respectivo instrumento para la verificación por parte de la entidad estatal, quien procederá a su aprobación siempre que se cumplan con las condiciones pactadas en el contrato. Cabe aclarar que las garantías que debe presentar el contratista para aprobación de la entidad en el marco del artículo 41 de la ley 80 de 1993, corresponden a las garantías contractuales </w:t>
      </w:r>
      <w:r w:rsidRPr="00C31767">
        <w:rPr>
          <w:rFonts w:ascii="Verdana" w:hAnsi="Verdana" w:cs="Arial"/>
          <w:color w:val="000000" w:themeColor="text1"/>
          <w:lang w:val="es-ES_tradnl" w:eastAsia="es-CO"/>
        </w:rPr>
        <w:t>que cubren los riesgos asociados al contrato celebrado y a las obligaciones posteriores a su ejecución, esto es, la garantía única de cumplimiento –con sus respectivos amparos– y la garantía de responsabilidad civil extracontractual</w:t>
      </w:r>
      <w:r w:rsidRPr="00C31767">
        <w:rPr>
          <w:rStyle w:val="Refdenotaalpie"/>
          <w:rFonts w:ascii="Verdana" w:hAnsi="Verdana" w:cs="Arial"/>
          <w:color w:val="000000" w:themeColor="text1"/>
          <w:lang w:val="es-ES_tradnl" w:eastAsia="es-CO"/>
        </w:rPr>
        <w:footnoteReference w:id="4"/>
      </w:r>
      <w:r w:rsidRPr="00C31767">
        <w:rPr>
          <w:rFonts w:ascii="Verdana" w:hAnsi="Verdana" w:cs="Arial"/>
          <w:color w:val="000000" w:themeColor="text1"/>
          <w:lang w:val="es-ES_tradnl" w:eastAsia="es-CO"/>
        </w:rPr>
        <w:t>.</w:t>
      </w:r>
    </w:p>
    <w:p w14:paraId="48185AFB" w14:textId="77777777" w:rsidR="003979B8" w:rsidRPr="00C31767" w:rsidRDefault="003979B8" w:rsidP="003979B8">
      <w:pPr>
        <w:spacing w:before="120" w:line="276" w:lineRule="auto"/>
        <w:ind w:firstLine="709"/>
        <w:jc w:val="both"/>
        <w:rPr>
          <w:rFonts w:ascii="Verdana" w:hAnsi="Verdana" w:cs="Arial"/>
          <w:color w:val="000000" w:themeColor="text1"/>
          <w:lang w:val="es-ES"/>
        </w:rPr>
      </w:pPr>
      <w:r w:rsidRPr="00C31767">
        <w:rPr>
          <w:rFonts w:ascii="Verdana" w:eastAsia="Calibri" w:hAnsi="Verdana" w:cs="Arial"/>
          <w:color w:val="000000"/>
          <w:lang w:eastAsia="en-GB"/>
        </w:rPr>
        <w:t xml:space="preserve">En este contexto, </w:t>
      </w:r>
      <w:bookmarkStart w:id="3" w:name="_Hlk173079147"/>
      <w:r w:rsidRPr="00C31767">
        <w:rPr>
          <w:rFonts w:ascii="Verdana" w:eastAsia="Calibri" w:hAnsi="Verdana" w:cs="Arial"/>
          <w:color w:val="000000"/>
          <w:lang w:eastAsia="en-GB"/>
        </w:rPr>
        <w:t xml:space="preserve">la obligación de constituir las garantías contractuales y su aprobación tiene como propósito cumplir con el requisito de ejecución del contrato, pues estas se erigen como un </w:t>
      </w:r>
      <w:r w:rsidRPr="00C31767">
        <w:rPr>
          <w:rFonts w:ascii="Verdana" w:hAnsi="Verdana" w:cs="Arial"/>
          <w:color w:val="000000" w:themeColor="text1"/>
          <w:lang w:val="es-MX"/>
        </w:rPr>
        <w:t>“</w:t>
      </w:r>
      <w:r w:rsidRPr="00C31767">
        <w:rPr>
          <w:rFonts w:ascii="Verdana" w:eastAsia="Calibri" w:hAnsi="Verdana" w:cs="Arial"/>
          <w:color w:val="000000"/>
          <w:lang w:eastAsia="en-GB"/>
        </w:rPr>
        <w:t>instrumento para salvaguardar intereses de carácter general, garantizar el adecuado cumplimiento del objeto contractual y proteger el patrimonio público de los detrimentos que se puedan causar con ocasión de eventuales incumplimientos en que incurra el contratista”</w:t>
      </w:r>
      <w:r w:rsidRPr="00C31767">
        <w:rPr>
          <w:rStyle w:val="Refdenotaalpie"/>
          <w:rFonts w:ascii="Verdana" w:eastAsia="Calibri" w:hAnsi="Verdana" w:cs="Arial"/>
          <w:color w:val="000000"/>
          <w:lang w:eastAsia="en-GB"/>
        </w:rPr>
        <w:footnoteReference w:id="5"/>
      </w:r>
      <w:r w:rsidRPr="00C31767">
        <w:rPr>
          <w:rFonts w:ascii="Verdana" w:hAnsi="Verdana" w:cs="Arial"/>
          <w:color w:val="000000" w:themeColor="text1"/>
          <w:lang w:eastAsia="es-CO"/>
        </w:rPr>
        <w:t>.</w:t>
      </w:r>
      <w:r w:rsidRPr="00C31767">
        <w:rPr>
          <w:rFonts w:ascii="Verdana" w:hAnsi="Verdana" w:cs="Arial"/>
          <w:color w:val="000000" w:themeColor="text1"/>
          <w:lang w:val="es-MX"/>
        </w:rPr>
        <w:t xml:space="preserve"> En este sentido, previo a l</w:t>
      </w:r>
      <w:r w:rsidRPr="00C31767">
        <w:rPr>
          <w:rFonts w:ascii="Verdana" w:hAnsi="Verdana" w:cs="Arial"/>
          <w:color w:val="000000" w:themeColor="text1"/>
          <w:lang w:val="es-ES_tradnl"/>
        </w:rPr>
        <w:t>a aprobación de las garantías pactadas en el contrato, la entidad debe realizar la respectiva verificación de los amparos y suficiencia de las garantías exigidas, con la finalidad de</w:t>
      </w:r>
      <w:r w:rsidRPr="00C31767">
        <w:rPr>
          <w:rFonts w:ascii="Verdana" w:hAnsi="Verdana" w:cs="Arial"/>
          <w:color w:val="000000" w:themeColor="text1"/>
        </w:rPr>
        <w:t xml:space="preserve"> asegurar que estas </w:t>
      </w:r>
      <w:r w:rsidRPr="00C31767">
        <w:rPr>
          <w:rFonts w:ascii="Verdana" w:hAnsi="Verdana" w:cs="Arial"/>
          <w:color w:val="000000" w:themeColor="text1"/>
          <w:lang w:val="es-ES"/>
        </w:rPr>
        <w:t xml:space="preserve">protejan el patrimonio del Estado de los perjuicios que eventualmente se derivarían de la materialización de los riesgos amparados. </w:t>
      </w:r>
    </w:p>
    <w:p w14:paraId="6967372F" w14:textId="77777777" w:rsidR="003979B8" w:rsidRPr="00C31767" w:rsidRDefault="003979B8" w:rsidP="65AD1BB5">
      <w:pPr>
        <w:spacing w:before="120" w:line="276" w:lineRule="auto"/>
        <w:ind w:firstLine="709"/>
        <w:jc w:val="both"/>
        <w:rPr>
          <w:rFonts w:ascii="Verdana" w:hAnsi="Verdana" w:cs="Arial"/>
          <w:color w:val="000000" w:themeColor="text1"/>
          <w:lang w:val="es-ES"/>
        </w:rPr>
      </w:pPr>
      <w:r w:rsidRPr="65AD1BB5">
        <w:rPr>
          <w:rFonts w:ascii="Verdana" w:hAnsi="Verdana" w:cs="Arial"/>
          <w:color w:val="000000" w:themeColor="text1"/>
          <w:lang w:val="es-ES"/>
        </w:rPr>
        <w:t xml:space="preserve">Esta labor de verificación por parte de la entidad implica validar el origen de las garantías y revisar </w:t>
      </w:r>
      <w:r w:rsidRPr="00C31767">
        <w:rPr>
          <w:rFonts w:ascii="Verdana" w:hAnsi="Verdana" w:cs="Arial"/>
          <w:color w:val="000000" w:themeColor="text1"/>
          <w:lang w:val="es-MX"/>
        </w:rPr>
        <w:t>“</w:t>
      </w:r>
      <w:r w:rsidRPr="00C31767">
        <w:rPr>
          <w:rFonts w:ascii="Verdana" w:eastAsia="Calibri" w:hAnsi="Verdana" w:cs="Arial"/>
        </w:rPr>
        <w:t>que los valores asegurados coincidan con los que se exigieron en el contrato, así como su vigencia; verificar que estén identificados plenamente el tomador y el beneficiario, y que vengan adjuntas las condiciones generales de la póliza. Sólo con la certeza que brinda este análisis, se puede tener la seguridad que no se causarán perjuicios al ente estatal. De tal manera, una vez revisada la póliza, sus anexos (condiciones generales) y su contenido y si está de acuerdo con lo exigido, se impartirá la aprobación correspondiente”</w:t>
      </w:r>
      <w:r w:rsidRPr="00C31767">
        <w:rPr>
          <w:rStyle w:val="Refdenotaalpie"/>
          <w:rFonts w:ascii="Verdana" w:eastAsia="Calibri" w:hAnsi="Verdana" w:cs="Arial"/>
        </w:rPr>
        <w:footnoteReference w:id="6"/>
      </w:r>
      <w:r w:rsidRPr="00C31767">
        <w:rPr>
          <w:rFonts w:ascii="Verdana" w:hAnsi="Verdana" w:cs="Arial"/>
          <w:color w:val="000000" w:themeColor="text1"/>
          <w:lang w:val="es-MX"/>
        </w:rPr>
        <w:t>.</w:t>
      </w:r>
      <w:r w:rsidRPr="00C31767">
        <w:rPr>
          <w:rFonts w:ascii="Verdana" w:hAnsi="Verdana" w:cs="Arial"/>
          <w:color w:val="000000" w:themeColor="text1"/>
          <w:lang w:val="es-ES"/>
        </w:rPr>
        <w:t xml:space="preserve"> </w:t>
      </w:r>
      <w:r w:rsidRPr="00C31767">
        <w:rPr>
          <w:rFonts w:ascii="Verdana" w:hAnsi="Verdana" w:cs="Arial"/>
          <w:color w:val="000000" w:themeColor="text1"/>
          <w:lang w:val="es-MX"/>
        </w:rPr>
        <w:t xml:space="preserve">De este modo, </w:t>
      </w:r>
      <w:r w:rsidRPr="65AD1BB5">
        <w:rPr>
          <w:rFonts w:ascii="Verdana" w:hAnsi="Verdana" w:cs="Arial"/>
          <w:color w:val="000000" w:themeColor="text1"/>
          <w:lang w:val="es-ES"/>
        </w:rPr>
        <w:t xml:space="preserve">con la aprobación de las garantías la entidad estatal </w:t>
      </w:r>
      <w:r w:rsidRPr="00C31767">
        <w:rPr>
          <w:rFonts w:ascii="Verdana" w:hAnsi="Verdana" w:cs="Arial"/>
          <w:color w:val="000000" w:themeColor="text1"/>
          <w:lang w:eastAsia="es-CO"/>
        </w:rPr>
        <w:t xml:space="preserve">estará acreditando el cumplimiento de la obligación del artículo 7 de la Ley 1150 de </w:t>
      </w:r>
      <w:r w:rsidRPr="00C31767">
        <w:rPr>
          <w:rFonts w:ascii="Verdana" w:hAnsi="Verdana" w:cs="Arial"/>
          <w:color w:val="000000" w:themeColor="text1"/>
          <w:lang w:eastAsia="es-CO"/>
        </w:rPr>
        <w:lastRenderedPageBreak/>
        <w:t xml:space="preserve">2007, </w:t>
      </w:r>
      <w:r w:rsidRPr="65AD1BB5">
        <w:rPr>
          <w:rFonts w:ascii="Verdana" w:hAnsi="Verdana" w:cs="Arial"/>
          <w:color w:val="000000" w:themeColor="text1"/>
          <w:lang w:val="es-ES"/>
        </w:rPr>
        <w:t xml:space="preserve">y entonces el contrato podrá ejecutarse, siempre que se cumplan los demás requisitos establece el artículo 41 de la Ley 80 de 1993, para efectos de su posterior liquidación. </w:t>
      </w:r>
    </w:p>
    <w:bookmarkEnd w:id="3"/>
    <w:p w14:paraId="37BCE469" w14:textId="46C413E2" w:rsidR="003979B8" w:rsidRDefault="003979B8" w:rsidP="003979B8">
      <w:pPr>
        <w:spacing w:line="276" w:lineRule="auto"/>
        <w:ind w:firstLine="360"/>
        <w:jc w:val="both"/>
        <w:rPr>
          <w:rFonts w:ascii="Verdana" w:hAnsi="Verdana" w:cs="Arial"/>
          <w:color w:val="000000" w:themeColor="text1"/>
          <w:lang w:eastAsia="es-CO"/>
        </w:rPr>
      </w:pPr>
      <w:r w:rsidRPr="65AD1BB5">
        <w:rPr>
          <w:rFonts w:ascii="Verdana" w:hAnsi="Verdana" w:cs="Arial"/>
          <w:color w:val="000000" w:themeColor="text1"/>
          <w:lang w:eastAsia="es-CO"/>
        </w:rPr>
        <w:t xml:space="preserve">Así las </w:t>
      </w:r>
      <w:r w:rsidR="6A42171B" w:rsidRPr="65AD1BB5">
        <w:rPr>
          <w:rFonts w:ascii="Verdana" w:hAnsi="Verdana" w:cs="Arial"/>
          <w:color w:val="000000" w:themeColor="text1"/>
          <w:lang w:eastAsia="es-CO"/>
        </w:rPr>
        <w:t>cosas, la</w:t>
      </w:r>
      <w:r w:rsidRPr="65AD1BB5">
        <w:rPr>
          <w:rFonts w:ascii="Verdana" w:hAnsi="Verdana" w:cs="Arial"/>
          <w:color w:val="000000" w:themeColor="text1"/>
          <w:lang w:eastAsia="es-CO"/>
        </w:rPr>
        <w:t xml:space="preserve"> fecha de inicio de un contrato estatal debe establecerse una vez se hayan cumplido todos los requisitos legales y convencionales de ejecución. Si las garantías se presentan y aprueban después del plazo inicialmente previsto para la ejecución del contrato, corresponderá a las partes encontrar el mecanismo jurídico por medio del cual se ajuste las fechas de inicio y terminación, garantizando la legalidad y eficacia del contrato.</w:t>
      </w:r>
    </w:p>
    <w:p w14:paraId="64935DEB" w14:textId="77777777" w:rsidR="003979B8" w:rsidRPr="00DB4737" w:rsidRDefault="003979B8" w:rsidP="003979B8">
      <w:pPr>
        <w:spacing w:after="0" w:line="276" w:lineRule="auto"/>
        <w:ind w:firstLine="360"/>
        <w:contextualSpacing/>
        <w:jc w:val="both"/>
        <w:rPr>
          <w:rFonts w:ascii="Verdana" w:eastAsia="Calibri" w:hAnsi="Verdana" w:cs="Times New Roman"/>
          <w:lang w:val="es-ES"/>
        </w:rPr>
      </w:pPr>
      <w:r>
        <w:rPr>
          <w:rFonts w:ascii="Verdana" w:eastAsia="Calibri" w:hAnsi="Verdana" w:cs="Times New Roman"/>
          <w:lang w:val="es-ES"/>
        </w:rPr>
        <w:t xml:space="preserve">     </w:t>
      </w:r>
      <w:r w:rsidRPr="00B00396">
        <w:rPr>
          <w:rFonts w:ascii="Verdana" w:eastAsia="Calibri" w:hAnsi="Verdana" w:cs="Times New Roman"/>
          <w:lang w:val="es-ES"/>
        </w:rPr>
        <w:t xml:space="preserve">Finalmente debe advertirse, que el análisis para </w:t>
      </w:r>
      <w:r w:rsidRPr="00DB4737">
        <w:rPr>
          <w:rFonts w:ascii="Verdana" w:eastAsia="Calibri" w:hAnsi="Verdana" w:cs="Times New Roman"/>
          <w:lang w:val="es-ES"/>
        </w:rPr>
        <w:t xml:space="preserve">resolver problemas específicos en torno </w:t>
      </w:r>
      <w:r>
        <w:rPr>
          <w:rFonts w:ascii="Verdana" w:eastAsia="Calibri" w:hAnsi="Verdana" w:cs="Times New Roman"/>
          <w:lang w:val="es-ES"/>
        </w:rPr>
        <w:t>a los procesos de contratación</w:t>
      </w:r>
      <w:r w:rsidRPr="002B5057">
        <w:rPr>
          <w:rFonts w:ascii="Verdana" w:eastAsia="Calibri" w:hAnsi="Verdana" w:cs="Times New Roman"/>
          <w:lang w:val="es-ES"/>
        </w:rPr>
        <w:t xml:space="preserve"> debe ser realizado por quienes tengan interés en ello.</w:t>
      </w:r>
      <w:r w:rsidRPr="00B00396">
        <w:rPr>
          <w:rFonts w:ascii="Verdana" w:eastAsia="Calibri" w:hAnsi="Verdana" w:cs="Times New Roman"/>
          <w:lang w:val="es-ES"/>
        </w:rPr>
        <w:t xml:space="preserve"> De esta forma, las afirmaciones aquí realizadas</w:t>
      </w:r>
      <w:r w:rsidRPr="00DB4737">
        <w:rPr>
          <w:rFonts w:ascii="Verdana" w:eastAsia="Calibri" w:hAnsi="Verdana" w:cs="Times New Roman"/>
          <w:lang w:val="es-ES"/>
        </w:rPr>
        <w:t xml:space="preserve">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0486EF0B" w14:textId="77777777" w:rsidR="003979B8" w:rsidRPr="00DB4737" w:rsidRDefault="003979B8" w:rsidP="003979B8">
      <w:pPr>
        <w:spacing w:after="0"/>
        <w:ind w:left="720"/>
        <w:contextualSpacing/>
        <w:rPr>
          <w:rFonts w:ascii="Verdana" w:eastAsia="Calibri" w:hAnsi="Verdana" w:cs="Times New Roman"/>
          <w:lang w:val="es-ES"/>
        </w:rPr>
      </w:pPr>
    </w:p>
    <w:p w14:paraId="478D3756" w14:textId="77777777" w:rsidR="003979B8" w:rsidRDefault="003979B8" w:rsidP="003979B8">
      <w:pPr>
        <w:spacing w:after="120" w:line="276" w:lineRule="auto"/>
        <w:ind w:firstLine="708"/>
        <w:jc w:val="both"/>
        <w:rPr>
          <w:rFonts w:ascii="Verdana" w:hAnsi="Verdana" w:cs="Arial"/>
          <w:lang w:eastAsia="es-ES"/>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0F90BCE1" w14:textId="77777777" w:rsidR="003979B8" w:rsidRPr="00593A5F" w:rsidRDefault="003979B8" w:rsidP="003979B8">
      <w:pPr>
        <w:spacing w:after="120" w:line="276" w:lineRule="auto"/>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3EAAC706" w14:textId="77777777" w:rsidR="003979B8" w:rsidRPr="00593A5F" w:rsidRDefault="003979B8" w:rsidP="003979B8">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979B8" w:rsidRPr="00593A5F" w14:paraId="1A5C8676" w14:textId="77777777" w:rsidTr="00033B44">
        <w:trPr>
          <w:trHeight w:val="870"/>
        </w:trPr>
        <w:tc>
          <w:tcPr>
            <w:tcW w:w="8647" w:type="dxa"/>
          </w:tcPr>
          <w:p w14:paraId="38A20F5E" w14:textId="77777777" w:rsidR="003979B8" w:rsidRDefault="003979B8" w:rsidP="003979B8">
            <w:pPr>
              <w:pStyle w:val="Prrafodelista"/>
              <w:widowControl w:val="0"/>
              <w:numPr>
                <w:ilvl w:val="0"/>
                <w:numId w:val="17"/>
              </w:numPr>
              <w:autoSpaceDE w:val="0"/>
              <w:autoSpaceDN w:val="0"/>
              <w:spacing w:after="120" w:line="276" w:lineRule="auto"/>
              <w:jc w:val="both"/>
              <w:rPr>
                <w:rFonts w:ascii="Verdana" w:hAnsi="Verdana" w:cs="Arial"/>
              </w:rPr>
            </w:pPr>
            <w:r w:rsidRPr="00EA612E">
              <w:rPr>
                <w:rFonts w:ascii="Verdana" w:hAnsi="Verdana" w:cs="Arial"/>
              </w:rPr>
              <w:t xml:space="preserve">Ley 1150 de 2007, artículo 7. </w:t>
            </w:r>
          </w:p>
          <w:p w14:paraId="3C3448FD" w14:textId="77777777" w:rsidR="003979B8" w:rsidRDefault="003979B8" w:rsidP="00033B44">
            <w:pPr>
              <w:pStyle w:val="Prrafodelista"/>
              <w:widowControl w:val="0"/>
              <w:autoSpaceDE w:val="0"/>
              <w:autoSpaceDN w:val="0"/>
              <w:spacing w:after="120" w:line="276" w:lineRule="auto"/>
              <w:jc w:val="both"/>
              <w:rPr>
                <w:rFonts w:ascii="Verdana" w:hAnsi="Verdana" w:cs="Arial"/>
              </w:rPr>
            </w:pPr>
          </w:p>
          <w:p w14:paraId="3CE0E275" w14:textId="77777777" w:rsidR="003979B8" w:rsidRPr="002B5057" w:rsidRDefault="003979B8" w:rsidP="003979B8">
            <w:pPr>
              <w:pStyle w:val="Prrafodelista"/>
              <w:widowControl w:val="0"/>
              <w:numPr>
                <w:ilvl w:val="0"/>
                <w:numId w:val="17"/>
              </w:numPr>
              <w:autoSpaceDE w:val="0"/>
              <w:autoSpaceDN w:val="0"/>
              <w:spacing w:after="120" w:line="276" w:lineRule="auto"/>
              <w:jc w:val="both"/>
              <w:rPr>
                <w:rFonts w:ascii="Verdana" w:hAnsi="Verdana" w:cs="Arial"/>
              </w:rPr>
            </w:pPr>
            <w:r w:rsidRPr="002B5057">
              <w:rPr>
                <w:rFonts w:ascii="Verdana" w:hAnsi="Verdana" w:cs="Arial"/>
              </w:rPr>
              <w:t xml:space="preserve">Decreto 1082 de 2015, artículos 2.2.1.2.3.1.1 a 2.2.1.2.3.1.19.  </w:t>
            </w:r>
          </w:p>
        </w:tc>
      </w:tr>
    </w:tbl>
    <w:p w14:paraId="6A9F1C2E" w14:textId="77777777" w:rsidR="003979B8" w:rsidRPr="00593A5F" w:rsidRDefault="003979B8" w:rsidP="003979B8">
      <w:pPr>
        <w:widowControl w:val="0"/>
        <w:autoSpaceDE w:val="0"/>
        <w:autoSpaceDN w:val="0"/>
        <w:spacing w:after="0" w:line="276" w:lineRule="auto"/>
        <w:jc w:val="both"/>
        <w:rPr>
          <w:rFonts w:ascii="Verdana" w:hAnsi="Verdana" w:cs="Arial"/>
        </w:rPr>
      </w:pPr>
    </w:p>
    <w:p w14:paraId="7508FD34" w14:textId="77777777" w:rsidR="003979B8" w:rsidRPr="00593A5F" w:rsidRDefault="003979B8" w:rsidP="003979B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74E6B4B1" w14:textId="77777777" w:rsidR="003979B8" w:rsidRDefault="003979B8" w:rsidP="003979B8">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51AECD6E" w14:textId="77777777" w:rsidR="003979B8" w:rsidRPr="00185EE9" w:rsidRDefault="003979B8" w:rsidP="003979B8">
      <w:pPr>
        <w:widowControl w:val="0"/>
        <w:autoSpaceDE w:val="0"/>
        <w:autoSpaceDN w:val="0"/>
        <w:spacing w:after="0" w:line="276" w:lineRule="auto"/>
        <w:jc w:val="both"/>
        <w:rPr>
          <w:rFonts w:ascii="Verdana" w:eastAsia="Calibri" w:hAnsi="Verdana" w:cs="Times New Roman"/>
        </w:rPr>
      </w:pPr>
      <w:r w:rsidRPr="00DD781E">
        <w:rPr>
          <w:rStyle w:val="normaltextrun"/>
          <w:rFonts w:ascii="Verdana" w:hAnsi="Verdana" w:cs="Arial"/>
          <w:shd w:val="clear" w:color="auto" w:fill="FFFFFF"/>
          <w:lang w:val="es-ES"/>
        </w:rPr>
        <w:t>Esta Subdirección se ha pronunciado sobre el régimen de garantías en los Conceptos</w:t>
      </w:r>
      <w:r w:rsidRPr="00DD781E">
        <w:rPr>
          <w:rStyle w:val="normaltextrun"/>
          <w:rFonts w:ascii="Verdana" w:hAnsi="Verdana" w:cs="Calibri"/>
          <w:shd w:val="clear" w:color="auto" w:fill="FFFFFF"/>
        </w:rPr>
        <w:t xml:space="preserve"> </w:t>
      </w:r>
      <w:r w:rsidRPr="00EE1B01">
        <w:rPr>
          <w:rStyle w:val="normaltextrun"/>
          <w:rFonts w:ascii="Verdana" w:hAnsi="Verdana" w:cs="Arial"/>
          <w:shd w:val="clear" w:color="auto" w:fill="FFFFFF"/>
          <w:lang w:val="es-ES"/>
        </w:rPr>
        <w:t xml:space="preserve">2201913000009075 del 9 de diciembre de 2019, C-080 del 8 de abril </w:t>
      </w:r>
      <w:r w:rsidRPr="00EE1B01">
        <w:rPr>
          <w:rStyle w:val="normaltextrun"/>
          <w:rFonts w:ascii="Verdana" w:hAnsi="Verdana" w:cs="Arial"/>
          <w:shd w:val="clear" w:color="auto" w:fill="FFFFFF"/>
          <w:lang w:val="es-ES"/>
        </w:rPr>
        <w:lastRenderedPageBreak/>
        <w:t>de 2021, C-525 del 27 de septiembre de 2021, C- 567 del 08 de octubre del 2021, C-036 del 28 de febrero del 2022, C-126 de 25 de marzo de 2022, C-583 del 19 de octubre de 2022, C-584 del 26 de septiembre de 2022, C-712 del 13 de octubre de 2022 y C-845 del 7 de diciembre de 2022, C-036 del 31 de marzo de 2023</w:t>
      </w:r>
      <w:r w:rsidRPr="00DD781E">
        <w:rPr>
          <w:rStyle w:val="normaltextrun"/>
          <w:rFonts w:ascii="Verdana" w:hAnsi="Verdana" w:cs="Arial"/>
          <w:shd w:val="clear" w:color="auto" w:fill="FFFFFF"/>
          <w:lang w:val="es-ES"/>
        </w:rPr>
        <w:t xml:space="preserve"> y C-</w:t>
      </w:r>
      <w:r>
        <w:rPr>
          <w:rStyle w:val="normaltextrun"/>
          <w:rFonts w:ascii="Verdana" w:hAnsi="Verdana" w:cs="Arial"/>
          <w:shd w:val="clear" w:color="auto" w:fill="FFFFFF"/>
          <w:lang w:val="es-ES"/>
        </w:rPr>
        <w:t>386</w:t>
      </w:r>
      <w:r w:rsidRPr="00DD781E">
        <w:rPr>
          <w:rStyle w:val="normaltextrun"/>
          <w:rFonts w:ascii="Verdana" w:hAnsi="Verdana" w:cs="Arial"/>
          <w:shd w:val="clear" w:color="auto" w:fill="FFFFFF"/>
          <w:lang w:val="es-ES"/>
        </w:rPr>
        <w:t xml:space="preserve"> del </w:t>
      </w:r>
      <w:r>
        <w:rPr>
          <w:rStyle w:val="normaltextrun"/>
          <w:rFonts w:ascii="Verdana" w:hAnsi="Verdana" w:cs="Arial"/>
          <w:shd w:val="clear" w:color="auto" w:fill="FFFFFF"/>
          <w:lang w:val="es-ES"/>
        </w:rPr>
        <w:t>31</w:t>
      </w:r>
      <w:r w:rsidRPr="00DD781E">
        <w:rPr>
          <w:rStyle w:val="normaltextrun"/>
          <w:rFonts w:ascii="Verdana" w:hAnsi="Verdana" w:cs="Arial"/>
          <w:shd w:val="clear" w:color="auto" w:fill="FFFFFF"/>
          <w:lang w:val="es-ES"/>
        </w:rPr>
        <w:t xml:space="preserve"> de </w:t>
      </w:r>
      <w:r>
        <w:rPr>
          <w:rStyle w:val="normaltextrun"/>
          <w:rFonts w:ascii="Verdana" w:hAnsi="Verdana" w:cs="Arial"/>
          <w:shd w:val="clear" w:color="auto" w:fill="FFFFFF"/>
          <w:lang w:val="es-ES"/>
        </w:rPr>
        <w:t>enero</w:t>
      </w:r>
      <w:r w:rsidRPr="00DD781E">
        <w:rPr>
          <w:rStyle w:val="normaltextrun"/>
          <w:rFonts w:ascii="Verdana" w:hAnsi="Verdana" w:cs="Arial"/>
          <w:shd w:val="clear" w:color="auto" w:fill="FFFFFF"/>
          <w:lang w:val="es-ES"/>
        </w:rPr>
        <w:t xml:space="preserve"> de 202</w:t>
      </w:r>
      <w:r>
        <w:rPr>
          <w:rStyle w:val="normaltextrun"/>
          <w:rFonts w:ascii="Verdana" w:hAnsi="Verdana" w:cs="Arial"/>
          <w:shd w:val="clear" w:color="auto" w:fill="FFFFFF"/>
          <w:lang w:val="es-ES"/>
        </w:rPr>
        <w:t>4</w:t>
      </w:r>
      <w:r>
        <w:rPr>
          <w:rFonts w:ascii="Verdana" w:eastAsia="Aptos" w:hAnsi="Verdana" w:cs="Arial"/>
          <w:shd w:val="clear" w:color="auto" w:fill="FFFFFF"/>
          <w:lang w:val="es-ES"/>
        </w:rPr>
        <w:t>,</w:t>
      </w:r>
      <w:r w:rsidRPr="00B52642">
        <w:rPr>
          <w:rFonts w:ascii="Verdana" w:eastAsia="Aptos" w:hAnsi="Verdana" w:cs="Arial"/>
          <w:shd w:val="clear" w:color="auto" w:fill="FFFFFF"/>
          <w:lang w:val="es-ES"/>
        </w:rPr>
        <w:t xml:space="preserve"> entre otros</w:t>
      </w:r>
      <w:r>
        <w:rPr>
          <w:rFonts w:ascii="Verdana" w:eastAsia="Calibri" w:hAnsi="Verdana" w:cs="Times New Roman"/>
        </w:rPr>
        <w:t>,</w:t>
      </w:r>
      <w:r w:rsidRPr="00185EE9">
        <w:rPr>
          <w:rFonts w:ascii="Verdana" w:eastAsia="Calibri" w:hAnsi="Verdana" w:cs="Times New Roman"/>
        </w:rPr>
        <w:t xml:space="preserve"> </w:t>
      </w:r>
      <w:r>
        <w:rPr>
          <w:rFonts w:ascii="Verdana" w:eastAsia="Calibri" w:hAnsi="Verdana" w:cs="Times New Roman"/>
        </w:rPr>
        <w:t xml:space="preserve">estos </w:t>
      </w:r>
      <w:r w:rsidRPr="00185EE9">
        <w:rPr>
          <w:rFonts w:ascii="Verdana" w:eastAsia="Calibri" w:hAnsi="Verdana" w:cs="Times New Roman"/>
        </w:rPr>
        <w:t>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3A0BDACA" w14:textId="77777777" w:rsidR="003979B8" w:rsidRPr="0065720B" w:rsidRDefault="003979B8" w:rsidP="003979B8">
      <w:pPr>
        <w:widowControl w:val="0"/>
        <w:autoSpaceDE w:val="0"/>
        <w:autoSpaceDN w:val="0"/>
        <w:spacing w:after="0" w:line="276" w:lineRule="auto"/>
        <w:jc w:val="both"/>
        <w:rPr>
          <w:rStyle w:val="normaltextrun"/>
          <w:rFonts w:ascii="Verdana" w:eastAsia="Calibri" w:hAnsi="Verdana" w:cs="Arial"/>
          <w:lang w:val="es-ES_tradnl" w:eastAsia="en-GB"/>
        </w:rPr>
      </w:pPr>
      <w:hyperlink r:id="rId13" w:history="1">
        <w:r w:rsidRPr="00191357">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w:t>
      </w:r>
    </w:p>
    <w:p w14:paraId="73D54B73" w14:textId="77777777" w:rsidR="003979B8" w:rsidRDefault="003979B8" w:rsidP="003979B8">
      <w:pPr>
        <w:widowControl w:val="0"/>
        <w:autoSpaceDE w:val="0"/>
        <w:autoSpaceDN w:val="0"/>
        <w:spacing w:after="0" w:line="276" w:lineRule="auto"/>
        <w:jc w:val="both"/>
        <w:rPr>
          <w:rStyle w:val="normaltextrun"/>
          <w:rFonts w:ascii="Verdana" w:hAnsi="Verdana" w:cs="Arial"/>
          <w:shd w:val="clear" w:color="auto" w:fill="FFFFFF"/>
          <w:lang w:val="es-ES"/>
        </w:rPr>
      </w:pPr>
    </w:p>
    <w:p w14:paraId="58BC7356" w14:textId="77777777" w:rsidR="003979B8" w:rsidRPr="00505CD6" w:rsidRDefault="003979B8" w:rsidP="003979B8">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50A18E1F" w14:textId="77777777" w:rsidR="003979B8" w:rsidRPr="00505CD6" w:rsidRDefault="003979B8" w:rsidP="003979B8">
      <w:pPr>
        <w:widowControl w:val="0"/>
        <w:autoSpaceDE w:val="0"/>
        <w:autoSpaceDN w:val="0"/>
        <w:spacing w:after="0" w:line="276" w:lineRule="auto"/>
        <w:jc w:val="both"/>
        <w:rPr>
          <w:rFonts w:ascii="Verdana" w:hAnsi="Verdana" w:cs="Arial"/>
          <w:color w:val="000000" w:themeColor="text1"/>
          <w:shd w:val="clear" w:color="auto" w:fill="FFFFFF"/>
        </w:rPr>
      </w:pPr>
    </w:p>
    <w:p w14:paraId="60D619F8" w14:textId="77777777" w:rsidR="003979B8" w:rsidRPr="00505CD6" w:rsidRDefault="003979B8" w:rsidP="003979B8">
      <w:pPr>
        <w:widowControl w:val="0"/>
        <w:numPr>
          <w:ilvl w:val="0"/>
          <w:numId w:val="18"/>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r:id="rId14" w:tgtFrame="_blank" w:tooltip="Dirección URL original: https://www.colombiacompra.gov.co/content/03-documentos-tipo-para-los-procesos-de-seleccion-de-interventoria-de-obra-publica-de. Haga clic o pulse si confía en este vínculo." w:history="1">
        <w:r w:rsidRPr="00505CD6">
          <w:rPr>
            <w:rFonts w:ascii="Verdana" w:hAnsi="Verdana" w:cs="Arial"/>
            <w:color w:val="0563C1" w:themeColor="hyperlink"/>
            <w:u w:val="single"/>
            <w:shd w:val="clear" w:color="auto" w:fill="FFFFFF"/>
          </w:rPr>
          <w:t>03. Documentos tipo para los procesos de selección de interventoría de obra pública de infraestructura de transporte – versión 3 | Colombia Compra Eficiente | Agencia Nacional de Contratación Pública</w:t>
        </w:r>
      </w:hyperlink>
    </w:p>
    <w:p w14:paraId="10AF2FB7" w14:textId="77777777" w:rsidR="003979B8" w:rsidRPr="00505CD6" w:rsidRDefault="003979B8" w:rsidP="003979B8">
      <w:pPr>
        <w:widowControl w:val="0"/>
        <w:numPr>
          <w:ilvl w:val="0"/>
          <w:numId w:val="18"/>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505CD6">
        <w:rPr>
          <w:rFonts w:ascii="Verdana" w:hAnsi="Verdana" w:cs="Arial"/>
          <w:color w:val="000000" w:themeColor="text1"/>
          <w:shd w:val="clear" w:color="auto" w:fill="FFFFFF"/>
        </w:rPr>
        <w:t> </w:t>
      </w:r>
      <w:hyperlink r:id="rId15" w:tgtFrame="_blank" w:tooltip="Dirección URL original: https://www.colombiacompra.gov.co/content/02-documentos-tipo-para-los-procesos-de-seleccion-de-consultoria-de-obra-publica-de. Haga clic o pulse si confía en este vínculo." w:history="1">
        <w:r w:rsidRPr="00505CD6">
          <w:rPr>
            <w:rFonts w:ascii="Verdana" w:hAnsi="Verdana" w:cs="Arial"/>
            <w:color w:val="0563C1" w:themeColor="hyperlink"/>
            <w:u w:val="single"/>
            <w:shd w:val="clear" w:color="auto" w:fill="FFFFFF"/>
          </w:rPr>
          <w:t>02. Documentos tipo para los procesos de selección de consultoría de obra pública de infraestructura de transporte – versión 2. | Colombia Compra Eficiente | Agencia Nacional de Contratación Pública</w:t>
        </w:r>
      </w:hyperlink>
    </w:p>
    <w:p w14:paraId="2BC6332F" w14:textId="77777777" w:rsidR="003979B8" w:rsidRPr="00505CD6" w:rsidRDefault="003979B8" w:rsidP="003979B8">
      <w:pPr>
        <w:widowControl w:val="0"/>
        <w:autoSpaceDE w:val="0"/>
        <w:autoSpaceDN w:val="0"/>
        <w:spacing w:after="0" w:line="276" w:lineRule="auto"/>
        <w:jc w:val="both"/>
        <w:rPr>
          <w:rFonts w:ascii="Verdana" w:hAnsi="Verdana" w:cs="Arial"/>
          <w:color w:val="000000" w:themeColor="text1"/>
          <w:shd w:val="clear" w:color="auto" w:fill="FFFFFF"/>
        </w:rPr>
      </w:pPr>
    </w:p>
    <w:p w14:paraId="6DA65249" w14:textId="77777777" w:rsidR="003979B8" w:rsidRPr="00505CD6" w:rsidRDefault="003979B8" w:rsidP="003979B8">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p>
    <w:p w14:paraId="20AFADE9" w14:textId="77777777" w:rsidR="003979B8" w:rsidRPr="00505CD6" w:rsidRDefault="003979B8" w:rsidP="003979B8">
      <w:pPr>
        <w:widowControl w:val="0"/>
        <w:autoSpaceDE w:val="0"/>
        <w:autoSpaceDN w:val="0"/>
        <w:spacing w:after="0" w:line="276" w:lineRule="auto"/>
        <w:jc w:val="both"/>
        <w:rPr>
          <w:rFonts w:ascii="Verdana" w:eastAsia="Calibri" w:hAnsi="Verdana" w:cs="Arial"/>
          <w:color w:val="000000" w:themeColor="text1"/>
        </w:rPr>
      </w:pPr>
    </w:p>
    <w:p w14:paraId="0EAF92FF" w14:textId="77777777" w:rsidR="003979B8" w:rsidRPr="00505CD6" w:rsidRDefault="003979B8" w:rsidP="003979B8">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 xml:space="preserve">y las </w:t>
      </w:r>
      <w:r w:rsidRPr="00505CD6">
        <w:rPr>
          <w:rFonts w:ascii="Verdana" w:hAnsi="Verdana" w:cs="Arial"/>
          <w:lang w:val="es-ES_tradnl"/>
        </w:rPr>
        <w:lastRenderedPageBreak/>
        <w:t>expresiones aquí utilizadas con mayúscula inicial deben ser entendidas con el significado que les otorga el artículo 2.2.1.1.1.3.1. del Decreto 1082 de 2015.</w:t>
      </w:r>
    </w:p>
    <w:p w14:paraId="00A701D4" w14:textId="77777777" w:rsidR="003979B8" w:rsidRPr="00505CD6" w:rsidRDefault="003979B8" w:rsidP="003979B8">
      <w:pPr>
        <w:widowControl w:val="0"/>
        <w:autoSpaceDE w:val="0"/>
        <w:autoSpaceDN w:val="0"/>
        <w:spacing w:after="0" w:line="276" w:lineRule="auto"/>
        <w:jc w:val="both"/>
        <w:rPr>
          <w:rFonts w:ascii="Verdana" w:hAnsi="Verdana" w:cs="Arial"/>
        </w:rPr>
      </w:pPr>
    </w:p>
    <w:p w14:paraId="21FDD68B" w14:textId="77777777" w:rsidR="003979B8" w:rsidRPr="00505CD6" w:rsidRDefault="003979B8" w:rsidP="003979B8">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221C52A3" w14:textId="2B46F766" w:rsidR="003979B8" w:rsidRPr="00EF055B" w:rsidRDefault="006C1E39" w:rsidP="003979B8">
      <w:pPr>
        <w:spacing w:line="276" w:lineRule="auto"/>
        <w:jc w:val="center"/>
        <w:rPr>
          <w:noProof/>
          <w:color w:val="000000"/>
        </w:rPr>
      </w:pPr>
      <w:r>
        <w:rPr>
          <w:noProof/>
          <w:color w:val="000000"/>
        </w:rPr>
        <w:drawing>
          <wp:inline distT="0" distB="0" distL="0" distR="0" wp14:anchorId="5C8DCB03" wp14:editId="2107E751">
            <wp:extent cx="3009900" cy="1294141"/>
            <wp:effectExtent l="0" t="0" r="0" b="1270"/>
            <wp:docPr id="10552136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213668" name="Imagen 1055213668"/>
                    <pic:cNvPicPr/>
                  </pic:nvPicPr>
                  <pic:blipFill>
                    <a:blip r:embed="rId17">
                      <a:extLst>
                        <a:ext uri="{28A0092B-C50C-407E-A947-70E740481C1C}">
                          <a14:useLocalDpi xmlns:a14="http://schemas.microsoft.com/office/drawing/2010/main" val="0"/>
                        </a:ext>
                      </a:extLst>
                    </a:blip>
                    <a:stretch>
                      <a:fillRect/>
                    </a:stretch>
                  </pic:blipFill>
                  <pic:spPr>
                    <a:xfrm>
                      <a:off x="0" y="0"/>
                      <a:ext cx="3020489" cy="1298694"/>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979B8" w:rsidRPr="00593A5F" w14:paraId="07A0E282" w14:textId="77777777" w:rsidTr="00033B44">
        <w:trPr>
          <w:trHeight w:val="315"/>
        </w:trPr>
        <w:tc>
          <w:tcPr>
            <w:tcW w:w="893" w:type="dxa"/>
            <w:vAlign w:val="center"/>
            <w:hideMark/>
          </w:tcPr>
          <w:p w14:paraId="339B08C6" w14:textId="77777777" w:rsidR="003979B8" w:rsidRPr="003751C7" w:rsidRDefault="003979B8" w:rsidP="00033B44">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DAC760C" w14:textId="77777777" w:rsidR="003979B8" w:rsidRDefault="003979B8" w:rsidP="00033B44">
            <w:pPr>
              <w:pStyle w:val="paragraph"/>
              <w:spacing w:before="0" w:beforeAutospacing="0" w:after="0" w:afterAutospacing="0"/>
              <w:contextualSpacing/>
              <w:textAlignment w:val="baseline"/>
              <w:rPr>
                <w:rStyle w:val="normaltextrun"/>
                <w:rFonts w:ascii="Verdana" w:hAnsi="Verdana" w:cstheme="minorHAnsi"/>
                <w:sz w:val="16"/>
                <w:szCs w:val="16"/>
              </w:rPr>
            </w:pPr>
            <w:proofErr w:type="spellStart"/>
            <w:r>
              <w:rPr>
                <w:rStyle w:val="normaltextrun"/>
                <w:rFonts w:ascii="Verdana" w:hAnsi="Verdana" w:cstheme="minorHAnsi"/>
                <w:sz w:val="16"/>
                <w:szCs w:val="16"/>
              </w:rPr>
              <w:t>Karol</w:t>
            </w:r>
            <w:proofErr w:type="spellEnd"/>
            <w:r>
              <w:rPr>
                <w:rStyle w:val="normaltextrun"/>
                <w:rFonts w:ascii="Verdana" w:hAnsi="Verdana" w:cstheme="minorHAnsi"/>
                <w:sz w:val="16"/>
                <w:szCs w:val="16"/>
              </w:rPr>
              <w:t xml:space="preserve"> Andrea González Marín.</w:t>
            </w:r>
          </w:p>
          <w:p w14:paraId="3C3991F3" w14:textId="77777777" w:rsidR="003979B8" w:rsidRPr="000015E6" w:rsidRDefault="003979B8" w:rsidP="00033B44">
            <w:pPr>
              <w:contextualSpacing/>
              <w:rPr>
                <w:rFonts w:ascii="Verdana" w:eastAsia="Arial" w:hAnsi="Verdana" w:cs="Arial"/>
                <w:sz w:val="16"/>
                <w:szCs w:val="16"/>
              </w:rPr>
            </w:pPr>
            <w:r w:rsidRPr="00E24803">
              <w:rPr>
                <w:rFonts w:ascii="Verdana" w:hAnsi="Verdana"/>
                <w:sz w:val="16"/>
                <w:szCs w:val="16"/>
              </w:rPr>
              <w:t>Contratista de la Subdirección de Gestión Contractual</w:t>
            </w:r>
          </w:p>
        </w:tc>
      </w:tr>
      <w:tr w:rsidR="003979B8" w:rsidRPr="00593A5F" w14:paraId="11F82D3D" w14:textId="77777777" w:rsidTr="00033B44">
        <w:trPr>
          <w:trHeight w:val="330"/>
        </w:trPr>
        <w:tc>
          <w:tcPr>
            <w:tcW w:w="893" w:type="dxa"/>
            <w:vAlign w:val="center"/>
            <w:hideMark/>
          </w:tcPr>
          <w:p w14:paraId="421E56CA" w14:textId="77777777" w:rsidR="003979B8" w:rsidRPr="003751C7" w:rsidRDefault="003979B8" w:rsidP="00033B44">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0F45AC0" w14:textId="77777777" w:rsidR="003979B8" w:rsidRDefault="003979B8" w:rsidP="00033B44">
            <w:pPr>
              <w:pStyle w:val="paragraph"/>
              <w:spacing w:before="0" w:beforeAutospacing="0" w:after="0" w:afterAutospacing="0"/>
              <w:contextualSpacing/>
              <w:textAlignment w:val="baseline"/>
              <w:rPr>
                <w:rStyle w:val="normaltextrun"/>
                <w:rFonts w:ascii="Verdana" w:hAnsi="Verdana" w:cstheme="minorHAnsi"/>
                <w:sz w:val="16"/>
                <w:szCs w:val="16"/>
              </w:rPr>
            </w:pPr>
            <w:r>
              <w:rPr>
                <w:rStyle w:val="normaltextrun"/>
                <w:rFonts w:ascii="Verdana" w:hAnsi="Verdana" w:cstheme="minorHAnsi"/>
                <w:sz w:val="16"/>
                <w:szCs w:val="16"/>
              </w:rPr>
              <w:t>Juan Carlos González.</w:t>
            </w:r>
          </w:p>
          <w:p w14:paraId="594A49A5" w14:textId="77777777" w:rsidR="003979B8" w:rsidRPr="00EF40D2" w:rsidRDefault="003979B8" w:rsidP="00033B44">
            <w:pPr>
              <w:pStyle w:val="paragraph"/>
              <w:spacing w:before="0" w:beforeAutospacing="0" w:after="0" w:afterAutospacing="0"/>
              <w:contextualSpacing/>
              <w:textAlignment w:val="baseline"/>
              <w:rPr>
                <w:rFonts w:ascii="Verdana" w:hAnsi="Verdana" w:cstheme="minorHAnsi"/>
                <w:sz w:val="16"/>
                <w:szCs w:val="16"/>
              </w:rPr>
            </w:pPr>
            <w:r>
              <w:rPr>
                <w:rStyle w:val="normaltextrun"/>
                <w:rFonts w:ascii="Verdana" w:eastAsia="Arial" w:hAnsi="Verdana" w:cs="Arial"/>
                <w:sz w:val="16"/>
                <w:szCs w:val="16"/>
              </w:rPr>
              <w:t xml:space="preserve">Contratista </w:t>
            </w:r>
            <w:r w:rsidRPr="000015E6">
              <w:rPr>
                <w:rStyle w:val="normaltextrun"/>
                <w:rFonts w:ascii="Verdana" w:eastAsia="Arial" w:hAnsi="Verdana" w:cs="Arial"/>
                <w:sz w:val="16"/>
                <w:szCs w:val="16"/>
              </w:rPr>
              <w:t>Subdirección de Gestión Contractual</w:t>
            </w:r>
          </w:p>
        </w:tc>
      </w:tr>
      <w:tr w:rsidR="003979B8" w:rsidRPr="00593A5F" w14:paraId="6C646D74" w14:textId="77777777" w:rsidTr="00033B44">
        <w:trPr>
          <w:trHeight w:val="300"/>
        </w:trPr>
        <w:tc>
          <w:tcPr>
            <w:tcW w:w="893" w:type="dxa"/>
            <w:vAlign w:val="center"/>
          </w:tcPr>
          <w:p w14:paraId="78EC3F05" w14:textId="77777777" w:rsidR="003979B8" w:rsidRPr="003751C7" w:rsidRDefault="003979B8" w:rsidP="00033B44">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A3A960F" w14:textId="77777777" w:rsidR="003979B8" w:rsidRPr="000015E6" w:rsidRDefault="003979B8" w:rsidP="00033B44">
            <w:pPr>
              <w:contextualSpacing/>
              <w:rPr>
                <w:rFonts w:ascii="Verdana" w:eastAsia="Calibri" w:hAnsi="Verdana" w:cs="Arial"/>
                <w:sz w:val="16"/>
                <w:szCs w:val="16"/>
                <w:lang w:val="pt-BR" w:eastAsia="es-ES"/>
              </w:rPr>
            </w:pPr>
            <w:r w:rsidRPr="000015E6">
              <w:rPr>
                <w:rFonts w:ascii="Verdana" w:eastAsia="Calibri" w:hAnsi="Verdana" w:cs="Arial"/>
                <w:sz w:val="16"/>
                <w:szCs w:val="16"/>
                <w:lang w:val="pt-BR" w:eastAsia="es-ES"/>
              </w:rPr>
              <w:t>Carolina Quintero Ganchará</w:t>
            </w:r>
            <w:r>
              <w:rPr>
                <w:rFonts w:ascii="Verdana" w:eastAsia="Calibri" w:hAnsi="Verdana" w:cs="Arial"/>
                <w:sz w:val="16"/>
                <w:szCs w:val="16"/>
                <w:lang w:val="pt-BR" w:eastAsia="es-ES"/>
              </w:rPr>
              <w:t>.</w:t>
            </w:r>
          </w:p>
          <w:p w14:paraId="549B7F03" w14:textId="77777777" w:rsidR="003979B8" w:rsidRPr="000015E6" w:rsidRDefault="003979B8" w:rsidP="00033B44">
            <w:pPr>
              <w:contextualSpacing/>
              <w:rPr>
                <w:rFonts w:ascii="Verdana" w:eastAsia="Calibri" w:hAnsi="Verdana" w:cs="Arial"/>
                <w:sz w:val="16"/>
                <w:szCs w:val="16"/>
                <w:lang w:val="pt-BR" w:eastAsia="es-ES"/>
              </w:rPr>
            </w:pPr>
            <w:r w:rsidRPr="000015E6">
              <w:rPr>
                <w:rFonts w:ascii="Verdana" w:eastAsia="Calibri" w:hAnsi="Verdana" w:cs="Arial"/>
                <w:sz w:val="16"/>
                <w:szCs w:val="16"/>
                <w:lang w:eastAsia="es-ES"/>
              </w:rPr>
              <w:t>Subdirectora</w:t>
            </w:r>
            <w:r w:rsidRPr="000015E6">
              <w:rPr>
                <w:rFonts w:ascii="Verdana" w:eastAsia="Calibri" w:hAnsi="Verdana" w:cs="Arial"/>
                <w:sz w:val="16"/>
                <w:szCs w:val="16"/>
                <w:lang w:val="pt-BR" w:eastAsia="es-ES"/>
              </w:rPr>
              <w:t xml:space="preserve"> de Gestión Contratual ANCP – CCE</w:t>
            </w:r>
          </w:p>
        </w:tc>
      </w:tr>
      <w:bookmarkEnd w:id="0"/>
      <w:bookmarkEnd w:id="1"/>
    </w:tbl>
    <w:p w14:paraId="63C7F366" w14:textId="77777777" w:rsidR="003979B8" w:rsidRPr="0044528D" w:rsidRDefault="003979B8" w:rsidP="003979B8">
      <w:pPr>
        <w:spacing w:after="0"/>
        <w:rPr>
          <w:rFonts w:ascii="Verdana" w:hAnsi="Verdana"/>
        </w:rPr>
      </w:pPr>
    </w:p>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C382E" w14:textId="77777777" w:rsidR="00721AD1" w:rsidRDefault="00721AD1" w:rsidP="004A1847">
      <w:pPr>
        <w:spacing w:after="0" w:line="240" w:lineRule="auto"/>
      </w:pPr>
      <w:r>
        <w:separator/>
      </w:r>
    </w:p>
  </w:endnote>
  <w:endnote w:type="continuationSeparator" w:id="0">
    <w:p w14:paraId="39733472" w14:textId="77777777" w:rsidR="00721AD1" w:rsidRDefault="00721AD1" w:rsidP="004A1847">
      <w:pPr>
        <w:spacing w:after="0" w:line="240" w:lineRule="auto"/>
      </w:pPr>
      <w:r>
        <w:continuationSeparator/>
      </w:r>
    </w:p>
  </w:endnote>
  <w:endnote w:type="continuationNotice" w:id="1">
    <w:p w14:paraId="1771D118" w14:textId="77777777" w:rsidR="00B139D7" w:rsidRDefault="00B139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DE717" w14:textId="77777777" w:rsidR="00721AD1" w:rsidRDefault="00721AD1" w:rsidP="004A1847">
      <w:pPr>
        <w:spacing w:after="0" w:line="240" w:lineRule="auto"/>
      </w:pPr>
      <w:r>
        <w:separator/>
      </w:r>
    </w:p>
  </w:footnote>
  <w:footnote w:type="continuationSeparator" w:id="0">
    <w:p w14:paraId="4EE13404" w14:textId="77777777" w:rsidR="00721AD1" w:rsidRDefault="00721AD1" w:rsidP="004A1847">
      <w:pPr>
        <w:spacing w:after="0" w:line="240" w:lineRule="auto"/>
      </w:pPr>
      <w:r>
        <w:continuationSeparator/>
      </w:r>
    </w:p>
  </w:footnote>
  <w:footnote w:type="continuationNotice" w:id="1">
    <w:p w14:paraId="6A5BF118" w14:textId="77777777" w:rsidR="00B139D7" w:rsidRDefault="00B139D7">
      <w:pPr>
        <w:spacing w:after="0" w:line="240" w:lineRule="auto"/>
      </w:pPr>
    </w:p>
  </w:footnote>
  <w:footnote w:id="2">
    <w:p w14:paraId="5FA718B7" w14:textId="77777777" w:rsidR="003979B8" w:rsidRPr="00AC4B25" w:rsidRDefault="003979B8" w:rsidP="003979B8">
      <w:pPr>
        <w:pStyle w:val="Textonotapie"/>
        <w:ind w:firstLine="708"/>
        <w:jc w:val="both"/>
        <w:rPr>
          <w:rFonts w:ascii="Verdana" w:hAnsi="Verdana" w:cs="Arial"/>
          <w:sz w:val="16"/>
          <w:szCs w:val="16"/>
        </w:rPr>
      </w:pPr>
      <w:r w:rsidRPr="00AC4B25">
        <w:rPr>
          <w:rStyle w:val="Refdenotaalpie"/>
          <w:rFonts w:ascii="Verdana" w:hAnsi="Verdana" w:cs="Arial"/>
          <w:sz w:val="16"/>
          <w:szCs w:val="16"/>
        </w:rPr>
        <w:footnoteRef/>
      </w:r>
      <w:r w:rsidRPr="00AC4B25">
        <w:rPr>
          <w:rFonts w:ascii="Verdana" w:hAnsi="Verdana" w:cs="Arial"/>
          <w:sz w:val="16"/>
          <w:szCs w:val="16"/>
        </w:rPr>
        <w:t xml:space="preserve"> “Artículo 2.2.1.2.3.1.12. Suficiencia de la garantía de cumplimiento. La garantía de cumplimiento del contrato debe tener una vigencia mínima hasta la liquidación del contrato. El valor de esta garantía debe ser de por lo menos el diez por ciento (10%) del valor del contrato a menos que el valor del contrato sea superior a un millón (1.000.000) de smmlv, caso en el cual la Entidad Estatal aplicará las siguientes reglas: </w:t>
      </w:r>
    </w:p>
    <w:p w14:paraId="286C0CA2" w14:textId="77777777" w:rsidR="003979B8" w:rsidRPr="00AC4B25" w:rsidRDefault="003979B8" w:rsidP="003979B8">
      <w:pPr>
        <w:pStyle w:val="Textonotapie"/>
        <w:ind w:firstLine="708"/>
        <w:jc w:val="both"/>
        <w:rPr>
          <w:rFonts w:ascii="Verdana" w:hAnsi="Verdana" w:cs="Arial"/>
          <w:sz w:val="16"/>
          <w:szCs w:val="16"/>
        </w:rPr>
      </w:pPr>
      <w:r w:rsidRPr="00AC4B25">
        <w:rPr>
          <w:rFonts w:ascii="Verdana" w:hAnsi="Verdana" w:cs="Arial"/>
          <w:sz w:val="16"/>
          <w:szCs w:val="16"/>
        </w:rPr>
        <w:t xml:space="preserve">1. Si el valor del contrato es superior a un millón (1.000.000) de smmlv y hasta cinco millones (5.000.000) de smmlv, la Entidad Estatal puede aceptar garantías que cubran al menos el dos punto cinco por ciento (2,5%) del valor del contrato. </w:t>
      </w:r>
    </w:p>
    <w:p w14:paraId="542D68C2" w14:textId="77777777" w:rsidR="003979B8" w:rsidRPr="00AC4B25" w:rsidRDefault="003979B8" w:rsidP="003979B8">
      <w:pPr>
        <w:pStyle w:val="Textonotapie"/>
        <w:ind w:firstLine="708"/>
        <w:jc w:val="both"/>
        <w:rPr>
          <w:rFonts w:ascii="Verdana" w:hAnsi="Verdana" w:cs="Arial"/>
          <w:sz w:val="16"/>
          <w:szCs w:val="16"/>
        </w:rPr>
      </w:pPr>
      <w:r w:rsidRPr="00AC4B25">
        <w:rPr>
          <w:rFonts w:ascii="Verdana" w:hAnsi="Verdana" w:cs="Arial"/>
          <w:sz w:val="16"/>
          <w:szCs w:val="16"/>
        </w:rPr>
        <w:t xml:space="preserve">2. Si el valor del contrato es superior a cinco millones (5.000.000) de smmlv y hasta diez millones (10.000.000) de smmlv, la Entidad Estatal puede aceptar garantías que cubran al menos el uno por ciento (1%) del valor del contrato. </w:t>
      </w:r>
    </w:p>
    <w:p w14:paraId="6D18C65F" w14:textId="77777777" w:rsidR="003979B8" w:rsidRPr="00AC4B25" w:rsidRDefault="003979B8" w:rsidP="003979B8">
      <w:pPr>
        <w:pStyle w:val="Textonotapie"/>
        <w:ind w:firstLine="708"/>
        <w:jc w:val="both"/>
        <w:rPr>
          <w:rFonts w:ascii="Verdana" w:hAnsi="Verdana" w:cs="Arial"/>
          <w:sz w:val="16"/>
          <w:szCs w:val="16"/>
        </w:rPr>
      </w:pPr>
      <w:r w:rsidRPr="00AC4B25">
        <w:rPr>
          <w:rFonts w:ascii="Verdana" w:hAnsi="Verdana" w:cs="Arial"/>
          <w:sz w:val="16"/>
          <w:szCs w:val="16"/>
        </w:rPr>
        <w:t>3. Si el valor del contrato es superior a diez millones (10.000.000) de smmlv, la Entidad Estatal puede aceptar garantías que cubran al menos el cero punto cinco por ciento (0,5%) del valor del contrato.</w:t>
      </w:r>
    </w:p>
    <w:p w14:paraId="6A7F19EE" w14:textId="77777777" w:rsidR="003979B8" w:rsidRPr="00AC4B25" w:rsidRDefault="003979B8" w:rsidP="003979B8">
      <w:pPr>
        <w:pStyle w:val="Textonotapie"/>
        <w:ind w:firstLine="708"/>
        <w:jc w:val="both"/>
        <w:rPr>
          <w:rFonts w:ascii="Verdana" w:hAnsi="Verdana" w:cs="Arial"/>
          <w:sz w:val="16"/>
          <w:szCs w:val="16"/>
          <w:lang w:val="es-CO"/>
        </w:rPr>
      </w:pPr>
      <w:r w:rsidRPr="00AC4B25">
        <w:rPr>
          <w:rFonts w:ascii="Verdana" w:hAnsi="Verdana" w:cs="Arial"/>
          <w:sz w:val="16"/>
          <w:szCs w:val="16"/>
        </w:rPr>
        <w:t>4. Colombia Compra Eficiente debe determinar el valor de la garantía única de cumplimiento del Acuerdo Marco de Precios de acuerdo con el objeto, el valor, la naturaleza y las obligaciones contenidas en este”.</w:t>
      </w:r>
    </w:p>
  </w:footnote>
  <w:footnote w:id="3">
    <w:p w14:paraId="29129D33" w14:textId="77777777" w:rsidR="003979B8" w:rsidRPr="00AC4B25" w:rsidRDefault="003979B8" w:rsidP="003979B8">
      <w:pPr>
        <w:pStyle w:val="Textonotapie"/>
        <w:ind w:firstLine="708"/>
        <w:jc w:val="both"/>
        <w:rPr>
          <w:rFonts w:ascii="Verdana" w:hAnsi="Verdana" w:cs="Arial"/>
          <w:sz w:val="16"/>
          <w:szCs w:val="16"/>
        </w:rPr>
      </w:pPr>
      <w:r w:rsidRPr="00AC4B25">
        <w:rPr>
          <w:rStyle w:val="Refdenotaalpie"/>
          <w:rFonts w:ascii="Verdana" w:hAnsi="Verdana" w:cs="Arial"/>
          <w:sz w:val="16"/>
          <w:szCs w:val="16"/>
        </w:rPr>
        <w:footnoteRef/>
      </w:r>
      <w:r w:rsidRPr="00AC4B25">
        <w:rPr>
          <w:rFonts w:ascii="Verdana" w:hAnsi="Verdana" w:cs="Arial"/>
          <w:sz w:val="16"/>
          <w:szCs w:val="16"/>
        </w:rPr>
        <w:t xml:space="preserve"> Consejo de Estado, Sección Tercera, Subsección B. Sentencia de 28 de junio de 2012. Radicación número: 25000-23-26-000-1997-05346-01(23966). C.P: Stella Conto Diaz Del Castillo.</w:t>
      </w:r>
    </w:p>
  </w:footnote>
  <w:footnote w:id="4">
    <w:p w14:paraId="4A2569EB" w14:textId="77777777" w:rsidR="003979B8" w:rsidRPr="00AC4B25" w:rsidRDefault="003979B8" w:rsidP="003979B8">
      <w:pPr>
        <w:pStyle w:val="Textonotapie"/>
        <w:ind w:firstLine="708"/>
        <w:jc w:val="both"/>
        <w:rPr>
          <w:rFonts w:ascii="Verdana" w:hAnsi="Verdana" w:cs="Arial"/>
          <w:sz w:val="16"/>
          <w:szCs w:val="16"/>
          <w:shd w:val="clear" w:color="auto" w:fill="FFFFFF"/>
        </w:rPr>
      </w:pPr>
      <w:r w:rsidRPr="00AC4B25">
        <w:rPr>
          <w:rStyle w:val="Refdenotaalpie"/>
          <w:rFonts w:ascii="Verdana" w:hAnsi="Verdana" w:cs="Arial"/>
          <w:sz w:val="16"/>
          <w:szCs w:val="16"/>
        </w:rPr>
        <w:footnoteRef/>
      </w:r>
      <w:r w:rsidRPr="00AC4B25">
        <w:rPr>
          <w:rFonts w:ascii="Verdana" w:hAnsi="Verdana" w:cs="Arial"/>
          <w:sz w:val="16"/>
          <w:szCs w:val="16"/>
        </w:rPr>
        <w:t xml:space="preserve"> De conformidad con el artículo </w:t>
      </w:r>
      <w:r w:rsidRPr="00AC4B25">
        <w:rPr>
          <w:rStyle w:val="Textoennegrita"/>
          <w:rFonts w:ascii="Verdana" w:hAnsi="Verdana" w:cs="Arial"/>
          <w:sz w:val="16"/>
          <w:szCs w:val="16"/>
          <w:shd w:val="clear" w:color="auto" w:fill="FFFFFF"/>
        </w:rPr>
        <w:t>2.2.1.2.3.1.5</w:t>
      </w:r>
      <w:r w:rsidRPr="00AC4B25">
        <w:rPr>
          <w:rFonts w:ascii="Verdana" w:hAnsi="Verdana" w:cs="Arial"/>
          <w:sz w:val="16"/>
          <w:szCs w:val="16"/>
          <w:shd w:val="clear" w:color="auto" w:fill="FFFFFF"/>
        </w:rPr>
        <w:t xml:space="preserve"> del Decreto 1082 de 2015, </w:t>
      </w:r>
      <w:r w:rsidRPr="00AC4B25">
        <w:rPr>
          <w:rFonts w:ascii="Verdana" w:hAnsi="Verdana" w:cs="Arial"/>
          <w:sz w:val="16"/>
          <w:szCs w:val="16"/>
        </w:rPr>
        <w:t>“</w:t>
      </w:r>
      <w:r w:rsidRPr="00AC4B25">
        <w:rPr>
          <w:rFonts w:ascii="Verdana" w:hAnsi="Verdana" w:cs="Arial"/>
          <w:sz w:val="16"/>
          <w:szCs w:val="16"/>
          <w:shd w:val="clear" w:color="auto" w:fill="FFFFFF"/>
        </w:rPr>
        <w:t>La responsabilidad extracontractual de la administración derivada de las actuaciones, hechos u omisiones de sus contratistas o subcontratistas solamente puede ser amparada con un contrato de seguro</w:t>
      </w:r>
      <w:r w:rsidRPr="00AC4B25">
        <w:rPr>
          <w:rFonts w:ascii="Verdana" w:hAnsi="Verdana" w:cs="Arial"/>
          <w:sz w:val="16"/>
          <w:szCs w:val="16"/>
        </w:rPr>
        <w:t>”</w:t>
      </w:r>
      <w:r w:rsidRPr="00AC4B25">
        <w:rPr>
          <w:rFonts w:ascii="Verdana" w:hAnsi="Verdana" w:cs="Arial"/>
          <w:sz w:val="16"/>
          <w:szCs w:val="16"/>
          <w:shd w:val="clear" w:color="auto" w:fill="FFFFFF"/>
        </w:rPr>
        <w:t>.</w:t>
      </w:r>
    </w:p>
  </w:footnote>
  <w:footnote w:id="5">
    <w:p w14:paraId="185D45A6" w14:textId="77777777" w:rsidR="003979B8" w:rsidRPr="00AC4B25" w:rsidRDefault="003979B8" w:rsidP="003979B8">
      <w:pPr>
        <w:pStyle w:val="Textonotapie"/>
        <w:ind w:firstLine="709"/>
        <w:jc w:val="both"/>
        <w:rPr>
          <w:rFonts w:ascii="Verdana" w:hAnsi="Verdana" w:cs="Arial"/>
          <w:sz w:val="16"/>
          <w:szCs w:val="16"/>
        </w:rPr>
      </w:pPr>
      <w:r w:rsidRPr="00AC4B25">
        <w:rPr>
          <w:rStyle w:val="Refdenotaalpie"/>
          <w:rFonts w:ascii="Verdana" w:hAnsi="Verdana" w:cs="Arial"/>
          <w:sz w:val="16"/>
          <w:szCs w:val="16"/>
        </w:rPr>
        <w:footnoteRef/>
      </w:r>
      <w:r w:rsidRPr="00AC4B25">
        <w:rPr>
          <w:rFonts w:ascii="Verdana" w:hAnsi="Verdana" w:cs="Arial"/>
          <w:sz w:val="16"/>
          <w:szCs w:val="16"/>
        </w:rPr>
        <w:t xml:space="preserve"> Consejo de Estado, Sección Tercera, Subsección A. Sentencia del 14 de junio del 2019. Radicación número: 11001 03 26 000 2009 00047 00 (36860)</w:t>
      </w:r>
      <w:r w:rsidRPr="00AC4B25">
        <w:rPr>
          <w:rFonts w:ascii="Verdana" w:hAnsi="Verdana" w:cs="Arial"/>
          <w:bCs/>
          <w:sz w:val="16"/>
          <w:szCs w:val="16"/>
          <w:lang w:val="es-CO"/>
        </w:rPr>
        <w:t xml:space="preserve">. </w:t>
      </w:r>
      <w:r w:rsidRPr="00AC4B25">
        <w:rPr>
          <w:rFonts w:ascii="Verdana" w:hAnsi="Verdana" w:cs="Arial"/>
          <w:sz w:val="16"/>
          <w:szCs w:val="16"/>
        </w:rPr>
        <w:t>C.P: Carlos Alberto Zambrano Barrera.</w:t>
      </w:r>
    </w:p>
  </w:footnote>
  <w:footnote w:id="6">
    <w:p w14:paraId="4D45ACA6" w14:textId="77777777" w:rsidR="003979B8" w:rsidRPr="00AC4B25" w:rsidRDefault="003979B8" w:rsidP="003979B8">
      <w:pPr>
        <w:pStyle w:val="Textonotapie"/>
        <w:ind w:firstLine="709"/>
        <w:jc w:val="both"/>
        <w:rPr>
          <w:rFonts w:ascii="Verdana" w:hAnsi="Verdana" w:cs="Arial"/>
          <w:sz w:val="16"/>
          <w:szCs w:val="16"/>
          <w:lang w:val="es-CO"/>
        </w:rPr>
      </w:pPr>
      <w:r w:rsidRPr="00AC4B25">
        <w:rPr>
          <w:rStyle w:val="Refdenotaalpie"/>
          <w:rFonts w:ascii="Verdana" w:hAnsi="Verdana" w:cs="Arial"/>
          <w:sz w:val="16"/>
          <w:szCs w:val="16"/>
        </w:rPr>
        <w:footnoteRef/>
      </w:r>
      <w:r w:rsidRPr="00AC4B25">
        <w:rPr>
          <w:rFonts w:ascii="Verdana" w:hAnsi="Verdana" w:cs="Arial"/>
          <w:sz w:val="16"/>
          <w:szCs w:val="16"/>
        </w:rPr>
        <w:t xml:space="preserve"> Consejo de Estado, Sección Segunda, Subsección A. Sentencia del 25 de enero del 2018. Radicación número: </w:t>
      </w:r>
      <w:r w:rsidRPr="00AC4B25">
        <w:rPr>
          <w:rFonts w:ascii="Verdana" w:hAnsi="Verdana" w:cs="Arial"/>
          <w:bCs/>
          <w:sz w:val="16"/>
          <w:szCs w:val="16"/>
          <w:lang w:val="es-CO"/>
        </w:rPr>
        <w:t>11001-03-25-000-2011-00489-00(1924-11).</w:t>
      </w:r>
      <w:r w:rsidRPr="00AC4B25">
        <w:rPr>
          <w:rFonts w:ascii="Verdana" w:hAnsi="Verdana" w:cs="Arial"/>
          <w:b/>
          <w:sz w:val="16"/>
          <w:szCs w:val="16"/>
          <w:lang w:val="es-CO"/>
        </w:rPr>
        <w:t xml:space="preserve"> </w:t>
      </w:r>
      <w:r w:rsidRPr="00AC4B25">
        <w:rPr>
          <w:rFonts w:ascii="Verdana" w:hAnsi="Verdana" w:cs="Arial"/>
          <w:sz w:val="16"/>
          <w:szCs w:val="16"/>
        </w:rPr>
        <w:t>C.P: Gabriel Valbuena Hernández.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CA394B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71521937" o:spid="_x0000_i1025" type="#_x0000_t75" style="width:11.25pt;height:11.25pt;visibility:visible;mso-wrap-style:square">
            <v:imagedata r:id="rId1" o:title=""/>
          </v:shape>
        </w:pict>
      </mc:Choice>
      <mc:Fallback>
        <w:drawing>
          <wp:inline distT="0" distB="0" distL="0" distR="0" wp14:anchorId="576F7B87">
            <wp:extent cx="142875" cy="142875"/>
            <wp:effectExtent l="0" t="0" r="0" b="0"/>
            <wp:docPr id="771521937" name="Imagen 771521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80713882">
    <w:abstractNumId w:val="0"/>
  </w:num>
  <w:num w:numId="17" w16cid:durableId="679089576">
    <w:abstractNumId w:val="9"/>
  </w:num>
  <w:num w:numId="18" w16cid:durableId="198229990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E4177"/>
    <w:rsid w:val="001F7DC6"/>
    <w:rsid w:val="002421BB"/>
    <w:rsid w:val="0025796E"/>
    <w:rsid w:val="002707A2"/>
    <w:rsid w:val="002951A0"/>
    <w:rsid w:val="002962BC"/>
    <w:rsid w:val="002A093D"/>
    <w:rsid w:val="002A0DD0"/>
    <w:rsid w:val="002A49AC"/>
    <w:rsid w:val="002A64FD"/>
    <w:rsid w:val="002C7A84"/>
    <w:rsid w:val="002E3EBF"/>
    <w:rsid w:val="002E4FD9"/>
    <w:rsid w:val="00322A85"/>
    <w:rsid w:val="00324168"/>
    <w:rsid w:val="00342DAB"/>
    <w:rsid w:val="003448F4"/>
    <w:rsid w:val="00374F5E"/>
    <w:rsid w:val="00377E3E"/>
    <w:rsid w:val="003979B8"/>
    <w:rsid w:val="003A779E"/>
    <w:rsid w:val="003C5DC7"/>
    <w:rsid w:val="003D0F4D"/>
    <w:rsid w:val="003D5B0D"/>
    <w:rsid w:val="003E0499"/>
    <w:rsid w:val="003F3941"/>
    <w:rsid w:val="00406575"/>
    <w:rsid w:val="00414C74"/>
    <w:rsid w:val="0042722E"/>
    <w:rsid w:val="0044528D"/>
    <w:rsid w:val="004606A2"/>
    <w:rsid w:val="00473B0B"/>
    <w:rsid w:val="0048457F"/>
    <w:rsid w:val="004A1847"/>
    <w:rsid w:val="004A305D"/>
    <w:rsid w:val="004A48AE"/>
    <w:rsid w:val="004F21C4"/>
    <w:rsid w:val="004F685F"/>
    <w:rsid w:val="00505A8C"/>
    <w:rsid w:val="00546386"/>
    <w:rsid w:val="005566E8"/>
    <w:rsid w:val="00574867"/>
    <w:rsid w:val="00591460"/>
    <w:rsid w:val="005B3816"/>
    <w:rsid w:val="005C3777"/>
    <w:rsid w:val="005C5CDC"/>
    <w:rsid w:val="005D476C"/>
    <w:rsid w:val="006219F8"/>
    <w:rsid w:val="006317F5"/>
    <w:rsid w:val="00665D70"/>
    <w:rsid w:val="006900D9"/>
    <w:rsid w:val="006C1E39"/>
    <w:rsid w:val="00706C16"/>
    <w:rsid w:val="00721AD1"/>
    <w:rsid w:val="00750C1B"/>
    <w:rsid w:val="00756841"/>
    <w:rsid w:val="007649AB"/>
    <w:rsid w:val="00771D0C"/>
    <w:rsid w:val="007833AC"/>
    <w:rsid w:val="007B268C"/>
    <w:rsid w:val="007B7171"/>
    <w:rsid w:val="007C0C0F"/>
    <w:rsid w:val="007C3DC2"/>
    <w:rsid w:val="007E5497"/>
    <w:rsid w:val="00806F5F"/>
    <w:rsid w:val="00820278"/>
    <w:rsid w:val="00867F95"/>
    <w:rsid w:val="008803A5"/>
    <w:rsid w:val="008843B6"/>
    <w:rsid w:val="00891928"/>
    <w:rsid w:val="0089734A"/>
    <w:rsid w:val="008A446D"/>
    <w:rsid w:val="008A574A"/>
    <w:rsid w:val="008B6643"/>
    <w:rsid w:val="008D180B"/>
    <w:rsid w:val="008F04CF"/>
    <w:rsid w:val="008F0EA7"/>
    <w:rsid w:val="00923EEF"/>
    <w:rsid w:val="00940730"/>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61E70"/>
    <w:rsid w:val="00AB0ADB"/>
    <w:rsid w:val="00B01B1A"/>
    <w:rsid w:val="00B139D7"/>
    <w:rsid w:val="00B66319"/>
    <w:rsid w:val="00B72CD3"/>
    <w:rsid w:val="00B72FFF"/>
    <w:rsid w:val="00BC3D36"/>
    <w:rsid w:val="00BD7F72"/>
    <w:rsid w:val="00C04FB3"/>
    <w:rsid w:val="00C330EB"/>
    <w:rsid w:val="00C41061"/>
    <w:rsid w:val="00C754BE"/>
    <w:rsid w:val="00C76B1C"/>
    <w:rsid w:val="00CB6357"/>
    <w:rsid w:val="00CC1B26"/>
    <w:rsid w:val="00D148BF"/>
    <w:rsid w:val="00D423A2"/>
    <w:rsid w:val="00D520D8"/>
    <w:rsid w:val="00D63AC2"/>
    <w:rsid w:val="00D7383B"/>
    <w:rsid w:val="00DA231B"/>
    <w:rsid w:val="00DC39FC"/>
    <w:rsid w:val="00DF5254"/>
    <w:rsid w:val="00E16408"/>
    <w:rsid w:val="00E20894"/>
    <w:rsid w:val="00E245AB"/>
    <w:rsid w:val="00E2764C"/>
    <w:rsid w:val="00E27F2E"/>
    <w:rsid w:val="00E40B19"/>
    <w:rsid w:val="00E50AFE"/>
    <w:rsid w:val="00E75C92"/>
    <w:rsid w:val="00E771DC"/>
    <w:rsid w:val="00E8772A"/>
    <w:rsid w:val="00E90F6B"/>
    <w:rsid w:val="00E92C27"/>
    <w:rsid w:val="00EA0E3D"/>
    <w:rsid w:val="00EB6A7D"/>
    <w:rsid w:val="00EC38A7"/>
    <w:rsid w:val="00ED7384"/>
    <w:rsid w:val="00EE1AA8"/>
    <w:rsid w:val="00F31EDC"/>
    <w:rsid w:val="00F462B3"/>
    <w:rsid w:val="00F5664F"/>
    <w:rsid w:val="00F666C4"/>
    <w:rsid w:val="00F76AFC"/>
    <w:rsid w:val="00FA47C0"/>
    <w:rsid w:val="00FB5DD1"/>
    <w:rsid w:val="00FC2B5D"/>
    <w:rsid w:val="00FF04B2"/>
    <w:rsid w:val="00FF1449"/>
    <w:rsid w:val="00FF6C1E"/>
    <w:rsid w:val="040259CD"/>
    <w:rsid w:val="056F6A95"/>
    <w:rsid w:val="05BA9ED2"/>
    <w:rsid w:val="0EEAB857"/>
    <w:rsid w:val="123DABC9"/>
    <w:rsid w:val="1B415BCC"/>
    <w:rsid w:val="1E579CCA"/>
    <w:rsid w:val="2359BA7F"/>
    <w:rsid w:val="2BDF23FC"/>
    <w:rsid w:val="3015F486"/>
    <w:rsid w:val="3F99A950"/>
    <w:rsid w:val="47C0CE03"/>
    <w:rsid w:val="4BDE6E22"/>
    <w:rsid w:val="4CAEEE13"/>
    <w:rsid w:val="4DB2D145"/>
    <w:rsid w:val="546D7975"/>
    <w:rsid w:val="59BBAA6B"/>
    <w:rsid w:val="5FBD8EC5"/>
    <w:rsid w:val="65AD1BB5"/>
    <w:rsid w:val="6A42171B"/>
    <w:rsid w:val="6C418ED2"/>
    <w:rsid w:val="72448422"/>
    <w:rsid w:val="75AA4612"/>
    <w:rsid w:val="76E586AA"/>
    <w:rsid w:val="7A620F04"/>
    <w:rsid w:val="7E10FB8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979B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979B8"/>
    <w:rPr>
      <w:rFonts w:ascii="Geomanist Light" w:hAnsi="Geomanist Light"/>
      <w:lang w:val="es-ES"/>
    </w:rPr>
  </w:style>
  <w:style w:type="character" w:styleId="Textoennegrita">
    <w:name w:val="Strong"/>
    <w:basedOn w:val="Fuentedeprrafopredeter"/>
    <w:uiPriority w:val="22"/>
    <w:qFormat/>
    <w:rsid w:val="003979B8"/>
    <w:rPr>
      <w:b/>
      <w:bCs/>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orlandojosereales33@" TargetMode="Externa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ontent%2F02-documentos-tipo-para-los-procesos-de-seleccion-de-consultoria-de-obra-publica-de&amp;data=05%7C02%7Ctatiana.baquero%40colombiacompra.gov.co%7Cb18b651bca3a4eb8eab008dd269b400d%7C7b09041e245149d08cb179d5e3d8c1be%7C0%7C0%7C638709170413412866%7CUnknown%7CTWFpbGZsb3d8eyJFbXB0eU1hcGkiOnRydWUsIlYiOiIwLjAuMDAwMCIsIlAiOiJXaW4zMiIsIkFOIjoiTWFpbCIsIldUIjoyfQ%3D%3D%7C0%7C%7C%7C&amp;sdata=PAnHKU3mzjh606XwuurlqFiVuXeZ%2Fam6YwLEN4IyFu0%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content%2F03-documentos-tipo-para-los-procesos-de-seleccion-de-interventoria-de-obra-publica-de&amp;data=05%7C02%7Ctatiana.baquero%40colombiacompra.gov.co%7Cb18b651bca3a4eb8eab008dd269b400d%7C7b09041e245149d08cb179d5e3d8c1be%7C0%7C0%7C638709170413398117%7CUnknown%7CTWFpbGZsb3d8eyJFbXB0eU1hcGkiOnRydWUsIlYiOiIwLjAuMDAwMCIsIlAiOiJXaW4zMiIsIkFOIjoiTWFpbCIsIldUIjoyfQ%3D%3D%7C0%7C%7C%7C&amp;sdata=H%2Bi4oqFOijFnEd25YmVyIY5nqS9u05elRgoH8ytBTRc%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209D5C9E-B3C7-44A9-B7D8-3431253A209A}">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C52FE071-E4BD-4CC4-B6D8-648BBC8CC0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12</Pages>
  <Words>4002</Words>
  <Characters>22015</Characters>
  <Application>Microsoft Office Word</Application>
  <DocSecurity>0</DocSecurity>
  <Lines>183</Lines>
  <Paragraphs>51</Paragraphs>
  <ScaleCrop>false</ScaleCrop>
  <Company/>
  <LinksUpToDate>false</LinksUpToDate>
  <CharactersWithSpaces>25966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helena Diaz</cp:lastModifiedBy>
  <cp:revision>2</cp:revision>
  <cp:lastPrinted>2023-01-10T21:18:00Z</cp:lastPrinted>
  <dcterms:created xsi:type="dcterms:W3CDTF">2025-05-06T15:34:00Z</dcterms:created>
  <dcterms:modified xsi:type="dcterms:W3CDTF">2025-05-06T15:34:00Z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