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023C6" w14:textId="30530847" w:rsidR="00D649A0" w:rsidRPr="00D649A0" w:rsidRDefault="00D649A0" w:rsidP="00D649A0">
      <w:pPr>
        <w:jc w:val="both"/>
        <w:rPr>
          <w:rFonts w:ascii="Verdana" w:eastAsia="Geomanist Light" w:hAnsi="Verdana" w:cs="Arial"/>
          <w:b/>
          <w:color w:val="000000" w:themeColor="text1"/>
        </w:rPr>
      </w:pPr>
      <w:r w:rsidRPr="00D649A0">
        <w:rPr>
          <w:rFonts w:ascii="Verdana" w:eastAsia="Geomanist Light" w:hAnsi="Verdana" w:cs="Arial"/>
          <w:b/>
          <w:color w:val="000000" w:themeColor="text1"/>
        </w:rPr>
        <w:t>PLANEACIÓN – Estudios previos</w:t>
      </w:r>
    </w:p>
    <w:p w14:paraId="31195499" w14:textId="77777777" w:rsidR="00D649A0" w:rsidRPr="00D649A0" w:rsidRDefault="00D649A0" w:rsidP="00D649A0">
      <w:pPr>
        <w:jc w:val="both"/>
        <w:rPr>
          <w:rFonts w:ascii="Verdana" w:eastAsia="Geomanist Light" w:hAnsi="Verdana" w:cs="Arial"/>
          <w:bCs/>
          <w:color w:val="000000" w:themeColor="text1"/>
          <w:sz w:val="20"/>
          <w:szCs w:val="20"/>
          <w:lang w:val="es-ES_tradnl"/>
        </w:rPr>
      </w:pPr>
      <w:r w:rsidRPr="00D649A0">
        <w:rPr>
          <w:rFonts w:ascii="Verdana" w:eastAsia="Geomanist Light" w:hAnsi="Verdana" w:cs="Arial"/>
          <w:bCs/>
          <w:color w:val="000000" w:themeColor="text1"/>
          <w:sz w:val="20"/>
          <w:szCs w:val="20"/>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p>
    <w:p w14:paraId="33CF3A1D" w14:textId="77777777" w:rsidR="00D649A0" w:rsidRPr="00D649A0" w:rsidRDefault="00D649A0" w:rsidP="00D649A0">
      <w:pPr>
        <w:jc w:val="both"/>
        <w:rPr>
          <w:rFonts w:ascii="Verdana" w:eastAsia="Geomanist Light" w:hAnsi="Verdana" w:cs="Arial"/>
          <w:bCs/>
          <w:color w:val="000000" w:themeColor="text1"/>
          <w:lang w:val="es-ES_tradnl"/>
        </w:rPr>
      </w:pPr>
    </w:p>
    <w:p w14:paraId="6E4FF3ED" w14:textId="1D6FE409" w:rsidR="00D649A0" w:rsidRPr="00D649A0" w:rsidRDefault="00D649A0" w:rsidP="00D649A0">
      <w:pPr>
        <w:jc w:val="both"/>
        <w:rPr>
          <w:rFonts w:ascii="Verdana" w:eastAsia="Geomanist Light" w:hAnsi="Verdana" w:cs="Arial"/>
          <w:b/>
          <w:color w:val="000000" w:themeColor="text1"/>
        </w:rPr>
      </w:pPr>
      <w:r w:rsidRPr="00D649A0">
        <w:rPr>
          <w:rFonts w:ascii="Verdana" w:eastAsia="Geomanist Light" w:hAnsi="Verdana" w:cs="Arial"/>
          <w:b/>
          <w:color w:val="000000" w:themeColor="text1"/>
        </w:rPr>
        <w:t>ESTUDIOS PREVIOS – Planeación – Análisis del sector – Requisitos habilitantes y ponderables</w:t>
      </w:r>
    </w:p>
    <w:p w14:paraId="0C4DB5E0" w14:textId="77777777" w:rsidR="00D649A0" w:rsidRPr="00D649A0" w:rsidRDefault="00D649A0" w:rsidP="00D649A0">
      <w:pPr>
        <w:jc w:val="both"/>
        <w:rPr>
          <w:rFonts w:ascii="Verdana" w:eastAsia="Geomanist Light" w:hAnsi="Verdana" w:cs="Arial"/>
          <w:color w:val="000000" w:themeColor="text1"/>
          <w:sz w:val="20"/>
          <w:szCs w:val="20"/>
          <w:lang w:val="es-MX"/>
        </w:rPr>
      </w:pPr>
      <w:r w:rsidRPr="00D649A0">
        <w:rPr>
          <w:rFonts w:ascii="Verdana" w:eastAsia="Geomanist Light" w:hAnsi="Verdana" w:cs="Arial"/>
          <w:bCs/>
          <w:color w:val="000000" w:themeColor="text1"/>
          <w:sz w:val="20"/>
          <w:szCs w:val="20"/>
          <w:lang w:val="es-MX"/>
        </w:rPr>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w:t>
      </w:r>
    </w:p>
    <w:p w14:paraId="21C65E73" w14:textId="77777777" w:rsidR="00D649A0" w:rsidRDefault="00D649A0" w:rsidP="00DF538D">
      <w:pPr>
        <w:rPr>
          <w:rFonts w:ascii="Verdana" w:eastAsia="Geomanist Light" w:hAnsi="Verdana" w:cs="Arial"/>
          <w:color w:val="000000" w:themeColor="text1"/>
          <w:lang w:val="es-MX"/>
        </w:rPr>
      </w:pPr>
    </w:p>
    <w:p w14:paraId="19E223C2" w14:textId="66CF919F" w:rsidR="00833C50" w:rsidRPr="00833C50" w:rsidRDefault="00833C50" w:rsidP="00833C50">
      <w:pPr>
        <w:rPr>
          <w:rFonts w:ascii="Verdana" w:eastAsia="Geomanist Light" w:hAnsi="Verdana" w:cs="Arial"/>
          <w:b/>
          <w:color w:val="000000" w:themeColor="text1"/>
          <w:lang w:val="es-MX"/>
        </w:rPr>
      </w:pPr>
      <w:r w:rsidRPr="00833C50">
        <w:rPr>
          <w:rFonts w:ascii="Verdana" w:eastAsia="Geomanist Light" w:hAnsi="Verdana" w:cs="Arial"/>
          <w:b/>
          <w:bCs/>
          <w:color w:val="000000" w:themeColor="text1"/>
          <w:lang w:val="es-ES_tradnl"/>
        </w:rPr>
        <w:t xml:space="preserve">SECOP II </w:t>
      </w:r>
      <w:r w:rsidRPr="00833C50">
        <w:rPr>
          <w:rFonts w:ascii="Verdana" w:eastAsia="Geomanist Light" w:hAnsi="Verdana" w:cs="Arial"/>
          <w:b/>
          <w:color w:val="000000" w:themeColor="text1"/>
          <w:lang w:val="es-MX"/>
        </w:rPr>
        <w:t>– Generalidades – Plataforma transaccional – Publicidad</w:t>
      </w:r>
    </w:p>
    <w:p w14:paraId="13828A98" w14:textId="77777777" w:rsidR="00833C50" w:rsidRPr="00833C50" w:rsidRDefault="00833C50" w:rsidP="00833C50">
      <w:pPr>
        <w:jc w:val="both"/>
        <w:rPr>
          <w:rFonts w:ascii="Verdana" w:eastAsia="Geomanist Light" w:hAnsi="Verdana" w:cs="Arial"/>
          <w:color w:val="000000" w:themeColor="text1"/>
          <w:sz w:val="20"/>
          <w:szCs w:val="20"/>
          <w:lang w:val="es-ES_tradnl"/>
        </w:rPr>
      </w:pPr>
      <w:r w:rsidRPr="00833C50">
        <w:rPr>
          <w:rFonts w:ascii="Verdana" w:eastAsia="Geomanist Light" w:hAnsi="Verdana" w:cs="Arial"/>
          <w:color w:val="000000" w:themeColor="text1"/>
          <w:sz w:val="20"/>
          <w:szCs w:val="20"/>
          <w:lang w:val="es-ES_tradnl"/>
        </w:rPr>
        <w:t>El SECOP II es una plataforma transaccional, que permite gestionar en línea los procedimientos de contratación, con cuentas y usuarios asociados a estas, para las entidades y los proveedores, y otorga una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p w14:paraId="120B96C7" w14:textId="77777777" w:rsidR="00833C50" w:rsidRPr="00833C50" w:rsidRDefault="00833C50" w:rsidP="00833C50">
      <w:pPr>
        <w:jc w:val="both"/>
        <w:rPr>
          <w:rFonts w:ascii="Verdana" w:eastAsia="Geomanist Light" w:hAnsi="Verdana" w:cs="Arial"/>
          <w:color w:val="000000" w:themeColor="text1"/>
          <w:sz w:val="20"/>
          <w:szCs w:val="20"/>
          <w:lang w:val="es-ES_tradnl"/>
        </w:rPr>
      </w:pPr>
      <w:r w:rsidRPr="00833C50">
        <w:rPr>
          <w:rFonts w:ascii="Verdana" w:eastAsia="Geomanist Light" w:hAnsi="Verdana" w:cs="Arial"/>
          <w:color w:val="000000" w:themeColor="text1"/>
          <w:sz w:val="20"/>
          <w:szCs w:val="20"/>
          <w:lang w:val="es-ES_tradnl"/>
        </w:rPr>
        <w:t>[…]</w:t>
      </w:r>
    </w:p>
    <w:p w14:paraId="61A4148D" w14:textId="77777777" w:rsidR="00833C50" w:rsidRPr="00833C50" w:rsidRDefault="00833C50" w:rsidP="00833C50">
      <w:pPr>
        <w:jc w:val="both"/>
        <w:rPr>
          <w:rFonts w:ascii="Verdana" w:eastAsia="Geomanist Light" w:hAnsi="Verdana" w:cs="Arial"/>
          <w:color w:val="000000" w:themeColor="text1"/>
          <w:sz w:val="20"/>
          <w:szCs w:val="20"/>
          <w:lang w:val="es-ES_tradnl"/>
        </w:rPr>
      </w:pPr>
      <w:r w:rsidRPr="00833C50">
        <w:rPr>
          <w:rFonts w:ascii="Verdana" w:eastAsia="Geomanist Light" w:hAnsi="Verdana" w:cs="Arial"/>
          <w:color w:val="000000" w:themeColor="text1"/>
          <w:sz w:val="20"/>
          <w:szCs w:val="20"/>
          <w:lang w:val="es-ES_tradnl"/>
        </w:rPr>
        <w:t xml:space="preserve">Si bien los documentos que deben publicarse en el SECOP II corresponden a los mismos que deben publicarse en el SECOP I, esto es, todos los expedidos con ocasión el Proceso de Contratación 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Esto a diferencia de los procesos publicados en el SECOP I, en los que primero se generan los documentos escritos y luego se publican en la plataforma dentro del plazo de tres (3) días previsto en el artículo 2.2.1.1.1.7.1 del Decreto 1082 de 2015. </w:t>
      </w:r>
      <w:r w:rsidRPr="00833C50">
        <w:rPr>
          <w:rFonts w:ascii="Verdana" w:eastAsia="Geomanist Light" w:hAnsi="Verdana" w:cs="Arial"/>
          <w:color w:val="000000" w:themeColor="text1"/>
          <w:sz w:val="20"/>
          <w:szCs w:val="20"/>
          <w:lang w:val="es-ES_tradnl"/>
        </w:rPr>
        <w:lastRenderedPageBreak/>
        <w:t>Esto significa que, el término de tres (3) días para publicar, en la práctica, no opera en las actuaciones generadas de manera electrónica dentro de los procedimientos gestionados a través de SECOP II, comoquiera que tales documentos son creados o expedidos mediante la propia plataforma, razón por la que una vez estos se aprueban quedan inmediatamente publicados, sin que transcurra el referido término.</w:t>
      </w:r>
    </w:p>
    <w:p w14:paraId="0142A888" w14:textId="77777777" w:rsidR="00D649A0" w:rsidRPr="00833C50" w:rsidRDefault="00D649A0" w:rsidP="00DF538D">
      <w:pPr>
        <w:rPr>
          <w:rFonts w:ascii="Verdana" w:eastAsia="Geomanist Light" w:hAnsi="Verdana" w:cs="Arial"/>
          <w:color w:val="000000" w:themeColor="text1"/>
          <w:lang w:val="es-ES_tradnl"/>
        </w:rPr>
      </w:pPr>
    </w:p>
    <w:p w14:paraId="67E83A09" w14:textId="77777777" w:rsidR="00D649A0" w:rsidRDefault="00D649A0" w:rsidP="00DF538D">
      <w:pPr>
        <w:rPr>
          <w:rFonts w:ascii="Verdana" w:eastAsia="Geomanist Light" w:hAnsi="Verdana" w:cs="Arial"/>
          <w:color w:val="000000" w:themeColor="text1"/>
          <w:lang w:val="es-MX"/>
        </w:rPr>
      </w:pPr>
    </w:p>
    <w:p w14:paraId="5B65B8A6" w14:textId="77777777" w:rsidR="00D649A0" w:rsidRDefault="00D649A0" w:rsidP="00DF538D">
      <w:pPr>
        <w:rPr>
          <w:rFonts w:ascii="Verdana" w:eastAsia="Geomanist Light" w:hAnsi="Verdana" w:cs="Arial"/>
          <w:color w:val="000000" w:themeColor="text1"/>
          <w:lang w:val="es-MX"/>
        </w:rPr>
      </w:pPr>
    </w:p>
    <w:p w14:paraId="385FC15A" w14:textId="77777777" w:rsidR="00D649A0" w:rsidRDefault="00D649A0" w:rsidP="00DF538D">
      <w:pPr>
        <w:rPr>
          <w:rFonts w:ascii="Verdana" w:eastAsia="Geomanist Light" w:hAnsi="Verdana" w:cs="Arial"/>
          <w:color w:val="000000" w:themeColor="text1"/>
          <w:lang w:val="es-MX"/>
        </w:rPr>
      </w:pPr>
    </w:p>
    <w:p w14:paraId="4DF47988" w14:textId="77777777" w:rsidR="00D649A0" w:rsidRDefault="00D649A0" w:rsidP="00DF538D">
      <w:pPr>
        <w:rPr>
          <w:rFonts w:ascii="Verdana" w:eastAsia="Geomanist Light" w:hAnsi="Verdana" w:cs="Arial"/>
          <w:color w:val="000000" w:themeColor="text1"/>
          <w:lang w:val="es-MX"/>
        </w:rPr>
      </w:pPr>
    </w:p>
    <w:p w14:paraId="5D35BDF0" w14:textId="77777777" w:rsidR="00D649A0" w:rsidRDefault="00D649A0" w:rsidP="00DF538D">
      <w:pPr>
        <w:rPr>
          <w:rFonts w:ascii="Verdana" w:eastAsia="Geomanist Light" w:hAnsi="Verdana" w:cs="Arial"/>
          <w:color w:val="000000" w:themeColor="text1"/>
          <w:lang w:val="es-MX"/>
        </w:rPr>
      </w:pPr>
    </w:p>
    <w:p w14:paraId="1C13D2FD" w14:textId="77777777" w:rsidR="00D649A0" w:rsidRDefault="00D649A0" w:rsidP="00DF538D">
      <w:pPr>
        <w:rPr>
          <w:rFonts w:ascii="Verdana" w:eastAsia="Geomanist Light" w:hAnsi="Verdana" w:cs="Arial"/>
          <w:color w:val="000000" w:themeColor="text1"/>
          <w:lang w:val="es-MX"/>
        </w:rPr>
      </w:pPr>
    </w:p>
    <w:p w14:paraId="5F7CE38F" w14:textId="77777777" w:rsidR="00D649A0" w:rsidRDefault="00D649A0" w:rsidP="00DF538D">
      <w:pPr>
        <w:rPr>
          <w:rFonts w:ascii="Verdana" w:eastAsia="Geomanist Light" w:hAnsi="Verdana" w:cs="Arial"/>
          <w:color w:val="000000" w:themeColor="text1"/>
          <w:lang w:val="es-MX"/>
        </w:rPr>
      </w:pPr>
    </w:p>
    <w:p w14:paraId="1BE72258" w14:textId="77777777" w:rsidR="00D649A0" w:rsidRDefault="00D649A0" w:rsidP="00DF538D">
      <w:pPr>
        <w:rPr>
          <w:rFonts w:ascii="Verdana" w:eastAsia="Geomanist Light" w:hAnsi="Verdana" w:cs="Arial"/>
          <w:color w:val="000000" w:themeColor="text1"/>
          <w:lang w:val="es-MX"/>
        </w:rPr>
      </w:pPr>
    </w:p>
    <w:p w14:paraId="370D019A" w14:textId="77777777" w:rsidR="00D649A0" w:rsidRDefault="00D649A0" w:rsidP="00DF538D">
      <w:pPr>
        <w:rPr>
          <w:rFonts w:ascii="Verdana" w:eastAsia="Geomanist Light" w:hAnsi="Verdana" w:cs="Arial"/>
          <w:color w:val="000000" w:themeColor="text1"/>
          <w:lang w:val="es-MX"/>
        </w:rPr>
      </w:pPr>
    </w:p>
    <w:p w14:paraId="5E199589" w14:textId="77777777" w:rsidR="00D649A0" w:rsidRDefault="00D649A0" w:rsidP="00DF538D">
      <w:pPr>
        <w:rPr>
          <w:rFonts w:ascii="Verdana" w:eastAsia="Geomanist Light" w:hAnsi="Verdana" w:cs="Arial"/>
          <w:color w:val="000000" w:themeColor="text1"/>
          <w:lang w:val="es-MX"/>
        </w:rPr>
      </w:pPr>
    </w:p>
    <w:p w14:paraId="5CC6D510" w14:textId="77777777" w:rsidR="00D649A0" w:rsidRDefault="00D649A0" w:rsidP="00DF538D">
      <w:pPr>
        <w:rPr>
          <w:rFonts w:ascii="Verdana" w:eastAsia="Geomanist Light" w:hAnsi="Verdana" w:cs="Arial"/>
          <w:color w:val="000000" w:themeColor="text1"/>
          <w:lang w:val="es-MX"/>
        </w:rPr>
      </w:pPr>
    </w:p>
    <w:p w14:paraId="45280D25" w14:textId="77777777" w:rsidR="00D649A0" w:rsidRDefault="00D649A0" w:rsidP="00DF538D">
      <w:pPr>
        <w:rPr>
          <w:rFonts w:ascii="Verdana" w:eastAsia="Geomanist Light" w:hAnsi="Verdana" w:cs="Arial"/>
          <w:color w:val="000000" w:themeColor="text1"/>
          <w:lang w:val="es-MX"/>
        </w:rPr>
      </w:pPr>
    </w:p>
    <w:p w14:paraId="3D707A96" w14:textId="77777777" w:rsidR="00D649A0" w:rsidRDefault="00D649A0" w:rsidP="00DF538D">
      <w:pPr>
        <w:rPr>
          <w:rFonts w:ascii="Verdana" w:eastAsia="Geomanist Light" w:hAnsi="Verdana" w:cs="Arial"/>
          <w:color w:val="000000" w:themeColor="text1"/>
          <w:lang w:val="es-MX"/>
        </w:rPr>
      </w:pPr>
    </w:p>
    <w:p w14:paraId="02A09E5E" w14:textId="77777777" w:rsidR="00D649A0" w:rsidRDefault="00D649A0" w:rsidP="00DF538D">
      <w:pPr>
        <w:rPr>
          <w:rFonts w:ascii="Verdana" w:eastAsia="Geomanist Light" w:hAnsi="Verdana" w:cs="Arial"/>
          <w:color w:val="000000" w:themeColor="text1"/>
          <w:lang w:val="es-MX"/>
        </w:rPr>
      </w:pPr>
    </w:p>
    <w:p w14:paraId="718C806C" w14:textId="77777777" w:rsidR="00D649A0" w:rsidRDefault="00D649A0" w:rsidP="00DF538D">
      <w:pPr>
        <w:rPr>
          <w:rFonts w:ascii="Verdana" w:eastAsia="Geomanist Light" w:hAnsi="Verdana" w:cs="Arial"/>
          <w:color w:val="000000" w:themeColor="text1"/>
          <w:lang w:val="es-MX"/>
        </w:rPr>
      </w:pPr>
    </w:p>
    <w:p w14:paraId="28BC2D4E" w14:textId="77777777" w:rsidR="00D649A0" w:rsidRDefault="00D649A0" w:rsidP="00DF538D">
      <w:pPr>
        <w:rPr>
          <w:rFonts w:ascii="Verdana" w:eastAsia="Geomanist Light" w:hAnsi="Verdana" w:cs="Arial"/>
          <w:color w:val="000000" w:themeColor="text1"/>
          <w:lang w:val="es-MX"/>
        </w:rPr>
      </w:pPr>
    </w:p>
    <w:p w14:paraId="10B1C6B5" w14:textId="77777777" w:rsidR="00D649A0" w:rsidRDefault="00D649A0" w:rsidP="00DF538D">
      <w:pPr>
        <w:rPr>
          <w:rFonts w:ascii="Verdana" w:eastAsia="Geomanist Light" w:hAnsi="Verdana" w:cs="Arial"/>
          <w:color w:val="000000" w:themeColor="text1"/>
          <w:lang w:val="es-MX"/>
        </w:rPr>
      </w:pPr>
    </w:p>
    <w:p w14:paraId="786511CC" w14:textId="77777777" w:rsidR="00D649A0" w:rsidRDefault="00D649A0" w:rsidP="00DF538D">
      <w:pPr>
        <w:rPr>
          <w:rFonts w:ascii="Verdana" w:eastAsia="Geomanist Light" w:hAnsi="Verdana" w:cs="Arial"/>
          <w:color w:val="000000" w:themeColor="text1"/>
          <w:lang w:val="es-MX"/>
        </w:rPr>
      </w:pPr>
    </w:p>
    <w:p w14:paraId="463549BD" w14:textId="77777777" w:rsidR="00D649A0" w:rsidRDefault="00D649A0" w:rsidP="00DF538D">
      <w:pPr>
        <w:rPr>
          <w:rFonts w:ascii="Verdana" w:eastAsia="Geomanist Light" w:hAnsi="Verdana" w:cs="Arial"/>
          <w:color w:val="000000" w:themeColor="text1"/>
          <w:lang w:val="es-MX"/>
        </w:rPr>
      </w:pPr>
    </w:p>
    <w:p w14:paraId="00F408B9" w14:textId="77777777" w:rsidR="00D649A0" w:rsidRDefault="00D649A0" w:rsidP="00DF538D">
      <w:pPr>
        <w:rPr>
          <w:rFonts w:ascii="Verdana" w:eastAsia="Geomanist Light" w:hAnsi="Verdana" w:cs="Arial"/>
          <w:color w:val="000000" w:themeColor="text1"/>
          <w:lang w:val="es-MX"/>
        </w:rPr>
      </w:pPr>
    </w:p>
    <w:p w14:paraId="599FF7E9" w14:textId="77777777" w:rsidR="00D649A0" w:rsidRDefault="00D649A0" w:rsidP="00DF538D">
      <w:pPr>
        <w:rPr>
          <w:rFonts w:ascii="Verdana" w:eastAsia="Geomanist Light" w:hAnsi="Verdana" w:cs="Arial"/>
          <w:color w:val="000000" w:themeColor="text1"/>
          <w:lang w:val="es-MX"/>
        </w:rPr>
      </w:pPr>
    </w:p>
    <w:p w14:paraId="564FD98B" w14:textId="77777777" w:rsidR="00D649A0" w:rsidRDefault="00D649A0" w:rsidP="00DF538D">
      <w:pPr>
        <w:rPr>
          <w:rFonts w:ascii="Verdana" w:eastAsia="Geomanist Light" w:hAnsi="Verdana" w:cs="Arial"/>
          <w:color w:val="000000" w:themeColor="text1"/>
          <w:lang w:val="es-MX"/>
        </w:rPr>
      </w:pPr>
    </w:p>
    <w:p w14:paraId="3466D596" w14:textId="7347E4A9" w:rsidR="00660885" w:rsidRPr="00DF538D" w:rsidRDefault="00703AD4" w:rsidP="00DF538D">
      <w:pPr>
        <w:rPr>
          <w:rFonts w:ascii="Verdana" w:eastAsia="Geomanist Light" w:hAnsi="Verdana" w:cs="Arial"/>
          <w:color w:val="000000" w:themeColor="text1"/>
          <w:lang w:val="es-MX"/>
        </w:rPr>
      </w:pPr>
      <w:r w:rsidRPr="00703AD4">
        <w:rPr>
          <w:rFonts w:ascii="Verdana" w:eastAsia="Calibri" w:hAnsi="Verdana" w:cs="Arial"/>
          <w:color w:val="000000" w:themeColor="text1"/>
          <w:lang w:val="es-ES"/>
        </w:rPr>
        <w:lastRenderedPageBreak/>
        <w:drawing>
          <wp:anchor distT="0" distB="0" distL="114300" distR="114300" simplePos="0" relativeHeight="251659264" behindDoc="1" locked="0" layoutInCell="1" allowOverlap="1" wp14:anchorId="4E72584E" wp14:editId="0227FEE9">
            <wp:simplePos x="0" y="0"/>
            <wp:positionH relativeFrom="column">
              <wp:posOffset>2767965</wp:posOffset>
            </wp:positionH>
            <wp:positionV relativeFrom="paragraph">
              <wp:posOffset>289560</wp:posOffset>
            </wp:positionV>
            <wp:extent cx="3486150" cy="1047750"/>
            <wp:effectExtent l="0" t="0" r="0" b="0"/>
            <wp:wrapTight wrapText="bothSides">
              <wp:wrapPolygon edited="0">
                <wp:start x="0" y="0"/>
                <wp:lineTo x="0" y="21207"/>
                <wp:lineTo x="21482" y="21207"/>
                <wp:lineTo x="21482" y="0"/>
                <wp:lineTo x="0" y="0"/>
              </wp:wrapPolygon>
            </wp:wrapTight>
            <wp:docPr id="46854449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4449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86150" cy="1047750"/>
                    </a:xfrm>
                    <a:prstGeom prst="rect">
                      <a:avLst/>
                    </a:prstGeom>
                  </pic:spPr>
                </pic:pic>
              </a:graphicData>
            </a:graphic>
          </wp:anchor>
        </w:drawing>
      </w:r>
      <w:r w:rsidR="00660885" w:rsidRPr="00115E3D">
        <w:rPr>
          <w:rFonts w:ascii="Verdana" w:eastAsia="Geomanist Light" w:hAnsi="Verdana" w:cs="Arial"/>
          <w:color w:val="000000" w:themeColor="text1"/>
          <w:lang w:val="es-MX"/>
        </w:rPr>
        <w:t>Bogotá D.C., [Día] de [</w:t>
      </w:r>
      <w:proofErr w:type="spellStart"/>
      <w:r w:rsidR="00660885" w:rsidRPr="00115E3D">
        <w:rPr>
          <w:rFonts w:ascii="Verdana" w:eastAsia="Geomanist Light" w:hAnsi="Verdana" w:cs="Arial"/>
          <w:color w:val="000000" w:themeColor="text1"/>
          <w:lang w:val="es-MX"/>
        </w:rPr>
        <w:t>Mes.NombreCapitalizado</w:t>
      </w:r>
      <w:proofErr w:type="spellEnd"/>
      <w:r w:rsidR="00660885" w:rsidRPr="00115E3D">
        <w:rPr>
          <w:rFonts w:ascii="Verdana" w:eastAsia="Geomanist Light" w:hAnsi="Verdana" w:cs="Arial"/>
          <w:color w:val="000000" w:themeColor="text1"/>
          <w:lang w:val="es-MX"/>
        </w:rPr>
        <w:t>] de [Año]</w:t>
      </w:r>
    </w:p>
    <w:p w14:paraId="4EE46E3F" w14:textId="1320FAF2" w:rsidR="007C4B32" w:rsidRPr="00115E3D" w:rsidRDefault="007C4B32" w:rsidP="00660885">
      <w:pPr>
        <w:jc w:val="both"/>
        <w:rPr>
          <w:rFonts w:ascii="Verdana" w:eastAsia="Calibri" w:hAnsi="Verdana" w:cs="Arial"/>
          <w:color w:val="000000" w:themeColor="text1"/>
          <w:lang w:val="es-ES"/>
        </w:rPr>
      </w:pPr>
    </w:p>
    <w:p w14:paraId="5A9B10BD" w14:textId="77777777" w:rsidR="00703AD4" w:rsidRDefault="00703AD4" w:rsidP="007C4B32">
      <w:pPr>
        <w:spacing w:after="0" w:line="240" w:lineRule="auto"/>
        <w:jc w:val="both"/>
        <w:rPr>
          <w:rFonts w:ascii="Verdana" w:eastAsia="Calibri" w:hAnsi="Verdana" w:cs="Arial"/>
          <w:color w:val="000000" w:themeColor="text1"/>
          <w:lang w:val="es-ES" w:eastAsia="es-ES"/>
        </w:rPr>
      </w:pPr>
    </w:p>
    <w:p w14:paraId="27B60370" w14:textId="77777777" w:rsidR="00703AD4" w:rsidRDefault="00703AD4" w:rsidP="007C4B32">
      <w:pPr>
        <w:spacing w:after="0" w:line="240" w:lineRule="auto"/>
        <w:jc w:val="both"/>
        <w:rPr>
          <w:rFonts w:ascii="Verdana" w:eastAsia="Calibri" w:hAnsi="Verdana" w:cs="Arial"/>
          <w:color w:val="000000" w:themeColor="text1"/>
          <w:lang w:val="es-ES" w:eastAsia="es-ES"/>
        </w:rPr>
      </w:pPr>
    </w:p>
    <w:p w14:paraId="212DD9F9" w14:textId="77777777" w:rsidR="00703AD4" w:rsidRDefault="00703AD4" w:rsidP="007C4B32">
      <w:pPr>
        <w:spacing w:after="0" w:line="240" w:lineRule="auto"/>
        <w:jc w:val="both"/>
        <w:rPr>
          <w:rFonts w:ascii="Verdana" w:eastAsia="Calibri" w:hAnsi="Verdana" w:cs="Arial"/>
          <w:color w:val="000000" w:themeColor="text1"/>
          <w:lang w:val="es-ES" w:eastAsia="es-ES"/>
        </w:rPr>
      </w:pPr>
    </w:p>
    <w:p w14:paraId="3A210B09" w14:textId="77777777" w:rsidR="00703AD4" w:rsidRDefault="00703AD4" w:rsidP="007C4B32">
      <w:pPr>
        <w:spacing w:after="0" w:line="240" w:lineRule="auto"/>
        <w:jc w:val="both"/>
        <w:rPr>
          <w:rFonts w:ascii="Verdana" w:eastAsia="Calibri" w:hAnsi="Verdana" w:cs="Arial"/>
          <w:color w:val="000000" w:themeColor="text1"/>
          <w:lang w:val="es-ES" w:eastAsia="es-ES"/>
        </w:rPr>
      </w:pPr>
    </w:p>
    <w:p w14:paraId="681C9915" w14:textId="770FF46E" w:rsidR="00660885" w:rsidRPr="00115E3D" w:rsidRDefault="00660885" w:rsidP="007C4B32">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2C29A04F" w14:textId="77777777" w:rsidR="00660885" w:rsidRPr="00115E3D" w:rsidRDefault="00660885" w:rsidP="007C4B32">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Diana Milena Echeverri Álvarez</w:t>
      </w:r>
    </w:p>
    <w:p w14:paraId="53F7BCD5" w14:textId="77777777" w:rsidR="00660885" w:rsidRDefault="00EB0D4D" w:rsidP="007C4B32">
      <w:pPr>
        <w:spacing w:after="0" w:line="240" w:lineRule="auto"/>
        <w:rPr>
          <w:rFonts w:ascii="Verdana" w:eastAsia="Calibri" w:hAnsi="Verdana" w:cs="Arial"/>
          <w:color w:val="000000" w:themeColor="text1"/>
          <w:u w:val="single"/>
          <w:lang w:val="es-ES" w:eastAsia="es-ES"/>
        </w:rPr>
      </w:pPr>
      <w:hyperlink r:id="rId11" w:history="1">
        <w:r w:rsidR="00660885" w:rsidRPr="00A84EEE">
          <w:rPr>
            <w:rStyle w:val="Hipervnculo"/>
            <w:rFonts w:ascii="Verdana" w:eastAsia="Calibri" w:hAnsi="Verdana" w:cs="Arial"/>
            <w:lang w:val="es-ES" w:eastAsia="es-ES"/>
          </w:rPr>
          <w:t>dmecheverry@gmail.com</w:t>
        </w:r>
      </w:hyperlink>
    </w:p>
    <w:p w14:paraId="621411D1" w14:textId="77777777" w:rsidR="00660885" w:rsidRPr="00115E3D" w:rsidRDefault="00660885" w:rsidP="007C4B32">
      <w:pPr>
        <w:spacing w:after="0" w:line="240" w:lineRule="auto"/>
        <w:rPr>
          <w:rFonts w:ascii="Verdana" w:eastAsia="Calibri" w:hAnsi="Verdana" w:cs="Arial"/>
          <w:b/>
          <w:bCs/>
          <w:color w:val="000000" w:themeColor="text1"/>
          <w:lang w:val="es-ES" w:eastAsia="es-ES"/>
        </w:rPr>
      </w:pPr>
      <w:r>
        <w:rPr>
          <w:rFonts w:ascii="Verdana" w:eastAsia="Calibri" w:hAnsi="Verdana" w:cs="Arial"/>
          <w:color w:val="000000" w:themeColor="text1"/>
          <w:lang w:val="es-ES" w:eastAsia="es-ES"/>
        </w:rPr>
        <w:t>Pereira</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 xml:space="preserve">Risaralda </w:t>
      </w:r>
    </w:p>
    <w:p w14:paraId="36FC61FB" w14:textId="77777777" w:rsidR="00660885" w:rsidRPr="00115E3D" w:rsidRDefault="00660885" w:rsidP="00660885">
      <w:pPr>
        <w:rPr>
          <w:rFonts w:ascii="Verdana" w:eastAsia="Calibri" w:hAnsi="Verdana" w:cs="Arial"/>
          <w:b/>
          <w:bCs/>
          <w:color w:val="000000" w:themeColor="text1"/>
          <w:lang w:val="es-ES_tradnl" w:eastAsia="es-ES_tradnl"/>
        </w:rPr>
      </w:pPr>
    </w:p>
    <w:p w14:paraId="0B47B8F9" w14:textId="77777777" w:rsidR="00660885" w:rsidRPr="00115E3D" w:rsidRDefault="00660885" w:rsidP="00660885">
      <w:pPr>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521"/>
      </w:tblGrid>
      <w:tr w:rsidR="00660885" w:rsidRPr="00115E3D" w14:paraId="15D71D1A" w14:textId="77777777" w:rsidTr="00344DC8">
        <w:trPr>
          <w:trHeight w:val="599"/>
        </w:trPr>
        <w:tc>
          <w:tcPr>
            <w:tcW w:w="2268" w:type="dxa"/>
          </w:tcPr>
          <w:p w14:paraId="598FD351" w14:textId="77777777" w:rsidR="00660885" w:rsidRPr="00115E3D" w:rsidRDefault="00660885" w:rsidP="00A3378E">
            <w:pPr>
              <w:jc w:val="both"/>
              <w:rPr>
                <w:rFonts w:ascii="Verdana" w:eastAsia="Calibri" w:hAnsi="Verdana" w:cs="Arial"/>
                <w:b/>
                <w:bCs/>
                <w:color w:val="000000" w:themeColor="text1"/>
                <w:lang w:val="es-ES_tradnl" w:eastAsia="es-ES_tradnl"/>
              </w:rPr>
            </w:pPr>
          </w:p>
        </w:tc>
        <w:tc>
          <w:tcPr>
            <w:tcW w:w="6521" w:type="dxa"/>
          </w:tcPr>
          <w:p w14:paraId="7DAAA05D" w14:textId="77777777" w:rsidR="00660885" w:rsidRPr="00115E3D" w:rsidRDefault="00660885" w:rsidP="00A3378E">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365</w:t>
            </w:r>
            <w:r w:rsidRPr="00115E3D">
              <w:rPr>
                <w:rFonts w:ascii="Verdana" w:eastAsia="Calibri" w:hAnsi="Verdana" w:cs="Arial"/>
                <w:b/>
                <w:bCs/>
                <w:color w:val="000000" w:themeColor="text1"/>
                <w:lang w:val="es-ES" w:eastAsia="es-ES"/>
              </w:rPr>
              <w:t xml:space="preserve"> de 2024</w:t>
            </w:r>
          </w:p>
        </w:tc>
      </w:tr>
      <w:tr w:rsidR="00660885" w:rsidRPr="00115E3D" w14:paraId="07DFCD87" w14:textId="77777777" w:rsidTr="00344DC8">
        <w:trPr>
          <w:trHeight w:val="884"/>
        </w:trPr>
        <w:tc>
          <w:tcPr>
            <w:tcW w:w="2268" w:type="dxa"/>
          </w:tcPr>
          <w:p w14:paraId="78843819" w14:textId="77777777" w:rsidR="00660885" w:rsidRPr="00115E3D" w:rsidRDefault="00660885" w:rsidP="00A3378E">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521" w:type="dxa"/>
          </w:tcPr>
          <w:p w14:paraId="03690621" w14:textId="77777777" w:rsidR="00660885" w:rsidRPr="00054422" w:rsidRDefault="00660885" w:rsidP="00A3378E">
            <w:pPr>
              <w:spacing w:line="276" w:lineRule="auto"/>
              <w:jc w:val="both"/>
              <w:rPr>
                <w:rFonts w:ascii="Verdana" w:eastAsia="Calibri" w:hAnsi="Verdana" w:cs="Arial"/>
                <w:color w:val="000000" w:themeColor="text1"/>
                <w:lang w:val="es-ES" w:eastAsia="es-ES"/>
              </w:rPr>
            </w:pPr>
            <w:r w:rsidRPr="00BA0FFE">
              <w:rPr>
                <w:rFonts w:ascii="Verdana" w:eastAsia="Calibri" w:hAnsi="Verdana" w:cs="Arial"/>
                <w:bCs/>
                <w:color w:val="000000" w:themeColor="text1"/>
                <w:lang w:eastAsia="es-ES"/>
              </w:rPr>
              <w:t>PLANEACIÓN – Estudios previos / ESTUDIOS PREVIOS – Planeación</w:t>
            </w:r>
            <w:r>
              <w:rPr>
                <w:rFonts w:ascii="Verdana" w:eastAsia="Calibri" w:hAnsi="Verdana" w:cs="Arial"/>
                <w:bCs/>
                <w:color w:val="000000" w:themeColor="text1"/>
                <w:lang w:eastAsia="es-ES"/>
              </w:rPr>
              <w:t xml:space="preserve"> </w:t>
            </w:r>
            <w:r w:rsidRPr="00BA0FFE">
              <w:rPr>
                <w:rFonts w:ascii="Verdana" w:eastAsia="Calibri" w:hAnsi="Verdana" w:cs="Arial"/>
                <w:bCs/>
                <w:color w:val="000000" w:themeColor="text1"/>
                <w:lang w:val="es-ES" w:eastAsia="es-ES"/>
              </w:rPr>
              <w:t>– Naturaleza jurídica</w:t>
            </w:r>
            <w:r>
              <w:rPr>
                <w:rFonts w:ascii="Verdana" w:eastAsia="Calibri" w:hAnsi="Verdana" w:cs="Arial"/>
                <w:bCs/>
                <w:color w:val="000000" w:themeColor="text1"/>
                <w:lang w:val="es-ES" w:eastAsia="es-ES"/>
              </w:rPr>
              <w:t xml:space="preserve"> </w:t>
            </w:r>
            <w:r w:rsidRPr="00BA0FFE">
              <w:rPr>
                <w:rFonts w:ascii="Verdana" w:eastAsia="Calibri" w:hAnsi="Verdana" w:cs="Arial"/>
                <w:bCs/>
                <w:color w:val="000000" w:themeColor="text1"/>
                <w:lang w:val="es-MX" w:eastAsia="es-ES"/>
              </w:rPr>
              <w:t xml:space="preserve">– Carácter prevalente – Selección objetiva </w:t>
            </w:r>
            <w:r>
              <w:rPr>
                <w:rFonts w:ascii="Verdana" w:eastAsia="Calibri" w:hAnsi="Verdana" w:cs="Arial"/>
                <w:bCs/>
                <w:color w:val="000000" w:themeColor="text1"/>
                <w:lang w:val="es-MX" w:eastAsia="es-ES"/>
              </w:rPr>
              <w:t xml:space="preserve">– </w:t>
            </w:r>
            <w:r w:rsidRPr="00054422">
              <w:rPr>
                <w:rFonts w:ascii="Verdana" w:eastAsia="Calibri" w:hAnsi="Verdana" w:cs="Arial"/>
                <w:color w:val="000000" w:themeColor="text1"/>
                <w:lang w:val="es-ES" w:eastAsia="es-ES"/>
              </w:rPr>
              <w:t>SECOP II </w:t>
            </w:r>
            <w:r w:rsidRPr="00054422">
              <w:rPr>
                <w:rFonts w:ascii="Verdana" w:eastAsia="Calibri" w:hAnsi="Verdana" w:cs="Arial"/>
                <w:color w:val="000000" w:themeColor="text1"/>
                <w:lang w:eastAsia="es-ES"/>
              </w:rPr>
              <w:t>–</w:t>
            </w:r>
            <w:r w:rsidRPr="00054422">
              <w:rPr>
                <w:rFonts w:ascii="Verdana" w:eastAsia="Calibri" w:hAnsi="Verdana" w:cs="Arial"/>
                <w:color w:val="000000" w:themeColor="text1"/>
                <w:lang w:val="es-ES" w:eastAsia="es-ES"/>
              </w:rPr>
              <w:t xml:space="preserve"> Deber de publicación </w:t>
            </w:r>
          </w:p>
          <w:p w14:paraId="4108C0F8" w14:textId="77777777" w:rsidR="00660885" w:rsidRPr="00115E3D" w:rsidRDefault="00660885" w:rsidP="00A3378E">
            <w:pPr>
              <w:spacing w:line="276" w:lineRule="auto"/>
              <w:jc w:val="both"/>
              <w:rPr>
                <w:rFonts w:ascii="Verdana" w:eastAsia="Calibri" w:hAnsi="Verdana" w:cs="Arial"/>
                <w:color w:val="000000" w:themeColor="text1"/>
                <w:lang w:val="es-ES" w:eastAsia="es-ES"/>
              </w:rPr>
            </w:pPr>
          </w:p>
        </w:tc>
      </w:tr>
      <w:tr w:rsidR="00660885" w:rsidRPr="00115E3D" w14:paraId="43A41D0D" w14:textId="77777777" w:rsidTr="00344DC8">
        <w:trPr>
          <w:trHeight w:val="536"/>
        </w:trPr>
        <w:tc>
          <w:tcPr>
            <w:tcW w:w="2268" w:type="dxa"/>
          </w:tcPr>
          <w:p w14:paraId="2FDC68F2" w14:textId="77777777" w:rsidR="00660885" w:rsidRPr="00115E3D" w:rsidRDefault="00660885" w:rsidP="00A3378E">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521" w:type="dxa"/>
          </w:tcPr>
          <w:p w14:paraId="26C3E139" w14:textId="4A06DA03" w:rsidR="00660885" w:rsidRPr="00344DC8" w:rsidRDefault="00660885" w:rsidP="00A3378E">
            <w:pPr>
              <w:jc w:val="both"/>
              <w:rPr>
                <w:rFonts w:ascii="Verdana" w:eastAsia="Calibri" w:hAnsi="Verdana" w:cs="Arial"/>
                <w:color w:val="000000" w:themeColor="text1"/>
                <w:lang w:val="es-ES_tradnl" w:eastAsia="es-ES_tradnl"/>
              </w:rPr>
            </w:pPr>
            <w:r w:rsidRPr="00123B52">
              <w:rPr>
                <w:rFonts w:ascii="Verdana" w:eastAsia="Calibri" w:hAnsi="Verdana" w:cs="Arial"/>
                <w:color w:val="000000" w:themeColor="text1"/>
                <w:lang w:val="es-ES_tradnl" w:eastAsia="es-ES_tradnl"/>
              </w:rPr>
              <w:t xml:space="preserve">Respuesta a consulta con radicado No. </w:t>
            </w:r>
            <w:r w:rsidRPr="00123B52">
              <w:rPr>
                <w:rFonts w:ascii="Verdana" w:hAnsi="Verdana"/>
                <w:color w:val="000000"/>
              </w:rPr>
              <w:t>P20240719007410</w:t>
            </w:r>
          </w:p>
        </w:tc>
      </w:tr>
    </w:tbl>
    <w:p w14:paraId="096A6E5C" w14:textId="77777777" w:rsidR="00660885" w:rsidRPr="00115E3D" w:rsidRDefault="00660885" w:rsidP="00660885">
      <w:pPr>
        <w:jc w:val="both"/>
        <w:rPr>
          <w:rFonts w:ascii="Verdana" w:eastAsia="Calibri" w:hAnsi="Verdana" w:cs="Arial"/>
          <w:color w:val="000000" w:themeColor="text1"/>
          <w:lang w:val="es-ES_tradnl" w:eastAsia="es-ES_tradnl"/>
        </w:rPr>
      </w:pPr>
    </w:p>
    <w:p w14:paraId="6CA08BDA" w14:textId="7450513B" w:rsidR="00660885" w:rsidRPr="00115E3D" w:rsidRDefault="00660885" w:rsidP="007C4B32">
      <w:pPr>
        <w:spacing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w:t>
      </w:r>
      <w:r w:rsidR="009E385A">
        <w:rPr>
          <w:rFonts w:ascii="Verdana" w:eastAsia="Calibri" w:hAnsi="Verdana" w:cs="Arial"/>
          <w:color w:val="000000" w:themeColor="text1"/>
          <w:lang w:val="es-ES" w:eastAsia="es-ES"/>
        </w:rPr>
        <w:t xml:space="preserve">Diana </w:t>
      </w:r>
      <w:r>
        <w:rPr>
          <w:rFonts w:ascii="Verdana" w:eastAsia="Calibri" w:hAnsi="Verdana" w:cs="Arial"/>
          <w:color w:val="000000" w:themeColor="text1"/>
          <w:lang w:val="es-ES" w:eastAsia="es-ES"/>
        </w:rPr>
        <w:t>Milena</w:t>
      </w:r>
      <w:r w:rsidRPr="00115E3D">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ab/>
      </w:r>
    </w:p>
    <w:p w14:paraId="46FB05CD" w14:textId="28C17346" w:rsidR="00660885" w:rsidRPr="007C4B32" w:rsidRDefault="00660885" w:rsidP="007C4B32">
      <w:pPr>
        <w:spacing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19</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julio</w:t>
      </w:r>
      <w:r w:rsidRPr="00115E3D">
        <w:rPr>
          <w:rFonts w:ascii="Verdana" w:eastAsia="Calibri" w:hAnsi="Verdana" w:cs="Arial"/>
          <w:color w:val="000000" w:themeColor="text1"/>
          <w:lang w:val="es-ES" w:eastAsia="es-ES"/>
        </w:rPr>
        <w:t xml:space="preserve"> de 2</w:t>
      </w:r>
      <w:r>
        <w:rPr>
          <w:rFonts w:ascii="Verdana" w:eastAsia="Calibri" w:hAnsi="Verdana" w:cs="Arial"/>
          <w:color w:val="000000" w:themeColor="text1"/>
          <w:lang w:val="es-ES" w:eastAsia="es-ES"/>
        </w:rPr>
        <w:t>024</w:t>
      </w:r>
      <w:r w:rsidRPr="00115E3D">
        <w:rPr>
          <w:rFonts w:ascii="Verdana" w:eastAsia="Calibri" w:hAnsi="Verdana" w:cs="Arial"/>
          <w:color w:val="000000" w:themeColor="text1"/>
          <w:lang w:val="es-ES" w:eastAsia="es-ES"/>
        </w:rPr>
        <w:t xml:space="preserve">, en la cual manifiesta lo siguiente: </w:t>
      </w:r>
    </w:p>
    <w:p w14:paraId="271A5A3F" w14:textId="77777777" w:rsidR="00660885" w:rsidRPr="007C4B32" w:rsidRDefault="00660885" w:rsidP="00660885">
      <w:pPr>
        <w:ind w:left="709" w:right="709"/>
        <w:jc w:val="both"/>
        <w:rPr>
          <w:rFonts w:ascii="Verdana" w:eastAsia="Century Gothic" w:hAnsi="Verdana" w:cs="Century Gothic"/>
          <w:i/>
          <w:color w:val="000000" w:themeColor="text1"/>
          <w:sz w:val="20"/>
          <w:szCs w:val="20"/>
          <w:lang w:val="es-ES"/>
        </w:rPr>
      </w:pPr>
      <w:bookmarkStart w:id="0" w:name="_Hlk95313578"/>
      <w:r w:rsidRPr="007C4B32">
        <w:rPr>
          <w:rFonts w:ascii="Verdana" w:eastAsia="Century Gothic" w:hAnsi="Verdana" w:cs="Century Gothic"/>
          <w:i/>
          <w:color w:val="000000" w:themeColor="text1"/>
          <w:sz w:val="20"/>
          <w:szCs w:val="20"/>
          <w:lang w:val="es-ES"/>
        </w:rPr>
        <w:t>“</w:t>
      </w:r>
      <w:bookmarkEnd w:id="0"/>
      <w:r w:rsidRPr="007C4B32">
        <w:rPr>
          <w:rFonts w:ascii="Verdana" w:eastAsia="Century Gothic" w:hAnsi="Verdana" w:cs="Century Gothic"/>
          <w:i/>
          <w:color w:val="000000" w:themeColor="text1"/>
          <w:sz w:val="20"/>
          <w:szCs w:val="20"/>
          <w:lang w:val="es-ES"/>
        </w:rPr>
        <w:t>Solicito su valiosa ayuda para que se sirva dar un concepto sobre el siguiente tema:</w:t>
      </w:r>
    </w:p>
    <w:p w14:paraId="3904F562" w14:textId="77777777" w:rsidR="00660885" w:rsidRPr="007C4B32" w:rsidRDefault="00660885" w:rsidP="00660885">
      <w:pPr>
        <w:ind w:left="709" w:right="709"/>
        <w:jc w:val="both"/>
        <w:rPr>
          <w:rFonts w:ascii="Verdana" w:eastAsia="Century Gothic" w:hAnsi="Verdana" w:cs="Century Gothic"/>
          <w:i/>
          <w:color w:val="000000" w:themeColor="text1"/>
          <w:sz w:val="20"/>
          <w:szCs w:val="20"/>
          <w:lang w:val="es-ES"/>
        </w:rPr>
      </w:pPr>
      <w:r w:rsidRPr="007C4B32">
        <w:rPr>
          <w:rFonts w:ascii="Verdana" w:eastAsia="Century Gothic" w:hAnsi="Verdana" w:cs="Century Gothic"/>
          <w:i/>
          <w:color w:val="000000" w:themeColor="text1"/>
          <w:sz w:val="20"/>
          <w:szCs w:val="20"/>
          <w:lang w:val="es-ES"/>
        </w:rPr>
        <w:t xml:space="preserve">En la plataforma </w:t>
      </w:r>
      <w:proofErr w:type="spellStart"/>
      <w:r w:rsidRPr="007C4B32">
        <w:rPr>
          <w:rFonts w:ascii="Verdana" w:eastAsia="Century Gothic" w:hAnsi="Verdana" w:cs="Century Gothic"/>
          <w:i/>
          <w:color w:val="000000" w:themeColor="text1"/>
          <w:sz w:val="20"/>
          <w:szCs w:val="20"/>
          <w:lang w:val="es-ES"/>
        </w:rPr>
        <w:t>Secop</w:t>
      </w:r>
      <w:proofErr w:type="spellEnd"/>
      <w:r w:rsidRPr="007C4B32">
        <w:rPr>
          <w:rFonts w:ascii="Verdana" w:eastAsia="Century Gothic" w:hAnsi="Verdana" w:cs="Century Gothic"/>
          <w:i/>
          <w:color w:val="000000" w:themeColor="text1"/>
          <w:sz w:val="20"/>
          <w:szCs w:val="20"/>
          <w:lang w:val="es-ES"/>
        </w:rPr>
        <w:t xml:space="preserve"> II, si un clausulado de un contrato de prestación de servicios para persona natural, quedan las obligaciones específicas diferentes a las del estudio previo, siendo éstas las correctas para la realización del contrato, dicho contrato debe </w:t>
      </w:r>
      <w:proofErr w:type="spellStart"/>
      <w:r w:rsidRPr="007C4B32">
        <w:rPr>
          <w:rFonts w:ascii="Verdana" w:eastAsia="Century Gothic" w:hAnsi="Verdana" w:cs="Century Gothic"/>
          <w:i/>
          <w:color w:val="000000" w:themeColor="text1"/>
          <w:sz w:val="20"/>
          <w:szCs w:val="20"/>
          <w:lang w:val="es-ES"/>
        </w:rPr>
        <w:t>resiliarse</w:t>
      </w:r>
      <w:proofErr w:type="spellEnd"/>
      <w:r w:rsidRPr="007C4B32">
        <w:rPr>
          <w:rFonts w:ascii="Verdana" w:eastAsia="Century Gothic" w:hAnsi="Verdana" w:cs="Century Gothic"/>
          <w:i/>
          <w:color w:val="000000" w:themeColor="text1"/>
          <w:sz w:val="20"/>
          <w:szCs w:val="20"/>
          <w:lang w:val="es-ES"/>
        </w:rPr>
        <w:t xml:space="preserve"> y cargarse uno nuevo? o </w:t>
      </w:r>
      <w:proofErr w:type="gramStart"/>
      <w:r w:rsidRPr="007C4B32">
        <w:rPr>
          <w:rFonts w:ascii="Verdana" w:eastAsia="Century Gothic" w:hAnsi="Verdana" w:cs="Century Gothic"/>
          <w:i/>
          <w:color w:val="000000" w:themeColor="text1"/>
          <w:sz w:val="20"/>
          <w:szCs w:val="20"/>
          <w:lang w:val="es-ES"/>
        </w:rPr>
        <w:t>se  permite</w:t>
      </w:r>
      <w:proofErr w:type="gramEnd"/>
      <w:r w:rsidRPr="007C4B32">
        <w:rPr>
          <w:rFonts w:ascii="Verdana" w:eastAsia="Century Gothic" w:hAnsi="Verdana" w:cs="Century Gothic"/>
          <w:i/>
          <w:color w:val="000000" w:themeColor="text1"/>
          <w:sz w:val="20"/>
          <w:szCs w:val="20"/>
          <w:lang w:val="es-ES"/>
        </w:rPr>
        <w:t xml:space="preserve"> una </w:t>
      </w:r>
      <w:proofErr w:type="spellStart"/>
      <w:r w:rsidRPr="007C4B32">
        <w:rPr>
          <w:rFonts w:ascii="Verdana" w:eastAsia="Century Gothic" w:hAnsi="Verdana" w:cs="Century Gothic"/>
          <w:i/>
          <w:color w:val="000000" w:themeColor="text1"/>
          <w:sz w:val="20"/>
          <w:szCs w:val="20"/>
          <w:lang w:val="es-ES"/>
        </w:rPr>
        <w:t>modificaciòn</w:t>
      </w:r>
      <w:proofErr w:type="spellEnd"/>
      <w:r w:rsidRPr="007C4B32">
        <w:rPr>
          <w:rFonts w:ascii="Verdana" w:eastAsia="Century Gothic" w:hAnsi="Verdana" w:cs="Century Gothic"/>
          <w:i/>
          <w:color w:val="000000" w:themeColor="text1"/>
          <w:sz w:val="20"/>
          <w:szCs w:val="20"/>
          <w:lang w:val="es-ES"/>
        </w:rPr>
        <w:t xml:space="preserve"> a dicho clausulado.</w:t>
      </w:r>
    </w:p>
    <w:p w14:paraId="4325C3A1" w14:textId="02DB90BD" w:rsidR="00660885" w:rsidRPr="00A35E8B" w:rsidRDefault="00660885" w:rsidP="00A35E8B">
      <w:pPr>
        <w:ind w:left="709" w:right="709"/>
        <w:jc w:val="both"/>
        <w:rPr>
          <w:rFonts w:ascii="Verdana" w:eastAsia="Century Gothic" w:hAnsi="Verdana" w:cs="Century Gothic"/>
          <w:color w:val="000000" w:themeColor="text1"/>
          <w:sz w:val="20"/>
          <w:szCs w:val="20"/>
          <w:lang w:val="es-ES"/>
        </w:rPr>
      </w:pPr>
      <w:r w:rsidRPr="007C4B32">
        <w:rPr>
          <w:rFonts w:ascii="Verdana" w:eastAsia="Century Gothic" w:hAnsi="Verdana" w:cs="Century Gothic"/>
          <w:i/>
          <w:color w:val="000000" w:themeColor="text1"/>
          <w:sz w:val="20"/>
          <w:szCs w:val="20"/>
          <w:lang w:val="es-ES"/>
        </w:rPr>
        <w:t xml:space="preserve">El clausulado aún no tiene numeración ni estampillas, el contratista tampoco ha adquirido pólizas, </w:t>
      </w:r>
      <w:proofErr w:type="spellStart"/>
      <w:r w:rsidRPr="007C4B32">
        <w:rPr>
          <w:rFonts w:ascii="Verdana" w:eastAsia="Century Gothic" w:hAnsi="Verdana" w:cs="Century Gothic"/>
          <w:i/>
          <w:color w:val="000000" w:themeColor="text1"/>
          <w:sz w:val="20"/>
          <w:szCs w:val="20"/>
          <w:lang w:val="es-ES"/>
        </w:rPr>
        <w:t>ademàs</w:t>
      </w:r>
      <w:proofErr w:type="spellEnd"/>
      <w:r w:rsidRPr="007C4B32">
        <w:rPr>
          <w:rFonts w:ascii="Verdana" w:eastAsia="Century Gothic" w:hAnsi="Verdana" w:cs="Century Gothic"/>
          <w:i/>
          <w:color w:val="000000" w:themeColor="text1"/>
          <w:sz w:val="20"/>
          <w:szCs w:val="20"/>
          <w:lang w:val="es-ES"/>
        </w:rPr>
        <w:t xml:space="preserve"> las obligaciones específicas del </w:t>
      </w:r>
      <w:r w:rsidRPr="007C4B32">
        <w:rPr>
          <w:rFonts w:ascii="Verdana" w:eastAsia="Century Gothic" w:hAnsi="Verdana" w:cs="Century Gothic"/>
          <w:i/>
          <w:color w:val="000000" w:themeColor="text1"/>
          <w:sz w:val="20"/>
          <w:szCs w:val="20"/>
          <w:lang w:val="es-ES"/>
        </w:rPr>
        <w:lastRenderedPageBreak/>
        <w:t>estudio previo quedaron idénticas a las de la oferta del contratista, quedando el yerro solamente en el clausulado del contrato</w:t>
      </w:r>
      <w:r w:rsidRPr="007C4B32">
        <w:rPr>
          <w:rFonts w:ascii="Verdana" w:eastAsia="Century Gothic" w:hAnsi="Verdana" w:cs="Century Gothic"/>
          <w:i/>
          <w:iCs/>
          <w:color w:val="000000" w:themeColor="text1"/>
          <w:sz w:val="20"/>
          <w:szCs w:val="20"/>
          <w:lang w:val="es-ES"/>
        </w:rPr>
        <w:t>.</w:t>
      </w:r>
      <w:r w:rsidR="00A35E8B">
        <w:rPr>
          <w:rFonts w:ascii="Verdana" w:eastAsia="Century Gothic" w:hAnsi="Verdana" w:cs="Century Gothic"/>
          <w:i/>
          <w:iCs/>
          <w:color w:val="000000" w:themeColor="text1"/>
          <w:sz w:val="20"/>
          <w:szCs w:val="20"/>
          <w:lang w:val="es-ES"/>
        </w:rPr>
        <w:t>”</w:t>
      </w:r>
    </w:p>
    <w:p w14:paraId="1ACEC75D" w14:textId="77777777" w:rsidR="00660885" w:rsidRPr="00115E3D" w:rsidRDefault="00660885" w:rsidP="00660885">
      <w:pPr>
        <w:spacing w:after="120" w:line="276" w:lineRule="auto"/>
        <w:ind w:firstLine="709"/>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lang w:val="es-ES_tradnl" w:eastAsia="es-ES_tradnl"/>
        </w:rPr>
        <w:tab/>
      </w:r>
    </w:p>
    <w:p w14:paraId="19D8E85F" w14:textId="5BC93001" w:rsidR="00660885" w:rsidRPr="00115E3D" w:rsidRDefault="00660885" w:rsidP="00660885">
      <w:pPr>
        <w:spacing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C561C32" w14:textId="1B1A1DE4" w:rsidR="00660885" w:rsidRPr="00F8578D" w:rsidRDefault="00660885" w:rsidP="00F8578D">
      <w:pPr>
        <w:spacing w:after="120" w:line="276" w:lineRule="auto"/>
        <w:jc w:val="both"/>
        <w:rPr>
          <w:rFonts w:ascii="Verdana" w:eastAsia="Calibri" w:hAnsi="Verdana" w:cs="Arial"/>
          <w:b/>
          <w:color w:val="000000" w:themeColor="text1"/>
          <w:lang w:val="es-ES" w:eastAsia="es-ES"/>
        </w:rPr>
      </w:pPr>
      <w:r w:rsidRPr="00115E3D">
        <w:rPr>
          <w:rFonts w:ascii="Verdana" w:eastAsia="Century Gothic" w:hAnsi="Verdana" w:cs="Century Gothic"/>
          <w:b/>
          <w:bCs/>
          <w:color w:val="000000" w:themeColor="text1"/>
        </w:rPr>
        <w:t xml:space="preserve">Problema </w:t>
      </w:r>
      <w:r w:rsidRPr="00F8578D">
        <w:rPr>
          <w:rFonts w:ascii="Verdana" w:eastAsia="Calibri" w:hAnsi="Verdana" w:cs="Arial"/>
          <w:b/>
          <w:color w:val="000000" w:themeColor="text1"/>
          <w:lang w:val="es-ES" w:eastAsia="es-ES"/>
        </w:rPr>
        <w:t>planteado:</w:t>
      </w:r>
    </w:p>
    <w:p w14:paraId="12F5E4FC" w14:textId="1B4B5895" w:rsidR="00660885" w:rsidRPr="00F8578D" w:rsidRDefault="00660885" w:rsidP="00F8578D">
      <w:pPr>
        <w:spacing w:after="120" w:line="276" w:lineRule="auto"/>
        <w:jc w:val="both"/>
        <w:rPr>
          <w:rFonts w:ascii="Verdana" w:eastAsia="Calibri" w:hAnsi="Verdana" w:cs="Arial"/>
          <w:color w:val="000000" w:themeColor="text1"/>
          <w:lang w:val="es-ES" w:eastAsia="es-ES"/>
        </w:rPr>
      </w:pPr>
      <w:r w:rsidRPr="00F8578D">
        <w:rPr>
          <w:rFonts w:ascii="Verdana" w:eastAsia="Calibri" w:hAnsi="Verdana" w:cs="Arial"/>
          <w:color w:val="000000" w:themeColor="text1"/>
          <w:lang w:val="es-ES" w:eastAsia="es-ES"/>
        </w:rPr>
        <w:t xml:space="preserve">De acuerdo con el contenido de su solicitud, esta Agencia resolverá el siguiente problema jurídico: </w:t>
      </w:r>
    </w:p>
    <w:p w14:paraId="251B7FBE" w14:textId="60A10BCD" w:rsidR="00660885" w:rsidRPr="00F8578D" w:rsidRDefault="00660885" w:rsidP="00F8578D">
      <w:pPr>
        <w:jc w:val="both"/>
        <w:rPr>
          <w:rFonts w:ascii="Verdana" w:hAnsi="Verdana"/>
        </w:rPr>
      </w:pPr>
      <w:r w:rsidRPr="0078691A">
        <w:rPr>
          <w:rFonts w:ascii="Verdana" w:hAnsi="Verdana"/>
        </w:rPr>
        <w:t>¿Qué sucede si en un contrato de prestación de servicio que se encuentra cargado en el SECOP II quedan plasmadas las obligaciones del contrato diferentes a las del estudio previo?</w:t>
      </w:r>
    </w:p>
    <w:p w14:paraId="47CB5518" w14:textId="72E77B15" w:rsidR="00660885" w:rsidRDefault="00660885" w:rsidP="006608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115E3D">
        <w:rPr>
          <w:rFonts w:ascii="Verdana" w:eastAsia="Century Gothic" w:hAnsi="Verdana" w:cs="Century Gothic"/>
          <w:b/>
          <w:bCs/>
          <w:color w:val="000000" w:themeColor="text1"/>
        </w:rPr>
        <w:t>Respuesta:</w:t>
      </w:r>
    </w:p>
    <w:p w14:paraId="3778A82A" w14:textId="77777777" w:rsidR="003E35BD" w:rsidRPr="003E35BD" w:rsidRDefault="003E35BD" w:rsidP="003E35BD">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0885" w:rsidRPr="00115E3D" w14:paraId="1DCB6134" w14:textId="77777777" w:rsidTr="00A3378E">
        <w:tc>
          <w:tcPr>
            <w:tcW w:w="8828" w:type="dxa"/>
            <w:shd w:val="clear" w:color="auto" w:fill="auto"/>
          </w:tcPr>
          <w:p w14:paraId="5E8C5CD9" w14:textId="77777777" w:rsidR="00660885" w:rsidRPr="00E768DF" w:rsidRDefault="00660885" w:rsidP="00A3378E">
            <w:pPr>
              <w:spacing w:after="120" w:line="276" w:lineRule="auto"/>
              <w:jc w:val="both"/>
              <w:rPr>
                <w:rFonts w:ascii="Verdana" w:eastAsia="Times New Roman" w:hAnsi="Verdana" w:cs="Times New Roman"/>
                <w:lang w:val="es-ES"/>
              </w:rPr>
            </w:pPr>
            <w:r w:rsidRPr="00E768DF">
              <w:rPr>
                <w:rFonts w:ascii="Verdana" w:eastAsia="Calibri" w:hAnsi="Verdana" w:cs="Arial"/>
                <w:color w:val="000000" w:themeColor="text1"/>
                <w:lang w:val="es-ES"/>
              </w:rPr>
              <w:t xml:space="preserve">Sobre la utilización de SECOP II, es necesario aclarar que el procedimiento contractual se desarrolla en línea y dentro de la plataforma, conformándose un expediente electrónico, lo cual denota una diferencia con el SECOP I, donde el procedimiento es físico, esto es, con documentos escritos y físicos que se publican para cumplir las obligaciones de las entidades antes señaladas conforme al artículo 2.2.1.1.1.7.1 del Decreto 1082 de 2015. Al existir esa diferencia entre las dos versiones del SECOP, el cumplimiento del deber de </w:t>
            </w:r>
            <w:r w:rsidRPr="00E768DF">
              <w:rPr>
                <w:rFonts w:ascii="Verdana" w:eastAsia="Calibri" w:hAnsi="Verdana" w:cs="Arial"/>
                <w:color w:val="000000" w:themeColor="text1"/>
                <w:lang w:val="es-ES"/>
              </w:rPr>
              <w:lastRenderedPageBreak/>
              <w:t xml:space="preserve">publicidad de las actuaciones contractuales en SECOP II tiene ciertas </w:t>
            </w:r>
            <w:r w:rsidRPr="00E768DF">
              <w:rPr>
                <w:rFonts w:ascii="Verdana" w:eastAsia="Times New Roman" w:hAnsi="Verdana" w:cs="Times New Roman"/>
                <w:lang w:val="es-ES"/>
              </w:rPr>
              <w:t>particularidades.</w:t>
            </w:r>
          </w:p>
          <w:p w14:paraId="49D2D696" w14:textId="77777777" w:rsidR="00660885" w:rsidRPr="00E768DF" w:rsidRDefault="00660885" w:rsidP="00A3378E">
            <w:pPr>
              <w:spacing w:after="120" w:line="276" w:lineRule="auto"/>
              <w:jc w:val="both"/>
              <w:rPr>
                <w:rFonts w:ascii="Verdana" w:eastAsia="Calibri" w:hAnsi="Verdana" w:cs="Arial"/>
                <w:color w:val="000000" w:themeColor="text1"/>
                <w:lang w:val="es-ES"/>
              </w:rPr>
            </w:pPr>
            <w:r w:rsidRPr="00E768DF">
              <w:rPr>
                <w:rFonts w:ascii="Verdana" w:eastAsia="Times New Roman" w:hAnsi="Verdana" w:cs="Times New Roman"/>
                <w:lang w:val="es-ES"/>
              </w:rPr>
              <w:t>Ahora</w:t>
            </w:r>
            <w:r w:rsidRPr="00E768DF">
              <w:rPr>
                <w:rFonts w:ascii="Verdana" w:eastAsia="Calibri" w:hAnsi="Verdana" w:cs="Arial"/>
                <w:color w:val="000000" w:themeColor="text1"/>
                <w:lang w:val="es-ES"/>
              </w:rPr>
              <w:t xml:space="preserve"> bien, deber de publicar la actividad contractual de las entidades estatales no solo está regulado en el artículo 3 de la Ley 1150 de 2007, y en el artículo 2.2.1.1.1.7.1. del Decreto 1082 de 2015, sino también en la Ley 1712 de 2014, y en el Decreto 1081 de 2015, normas que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E768DF">
              <w:rPr>
                <w:rFonts w:ascii="Verdana" w:eastAsia="Calibri" w:hAnsi="Verdana" w:cs="Arial"/>
                <w:i/>
                <w:iCs/>
                <w:color w:val="000000" w:themeColor="text1"/>
                <w:lang w:val="es-ES"/>
              </w:rPr>
              <w:t xml:space="preserve">Documentos del Proceso </w:t>
            </w:r>
            <w:r w:rsidRPr="00E768DF">
              <w:rPr>
                <w:rFonts w:ascii="Verdana" w:eastAsia="Calibri" w:hAnsi="Verdana" w:cs="Arial"/>
                <w:color w:val="000000" w:themeColor="text1"/>
                <w:lang w:val="es-ES"/>
              </w:rPr>
              <w:t>expedidos por la “entidad estatal”.</w:t>
            </w:r>
          </w:p>
          <w:p w14:paraId="387F0598" w14:textId="77777777" w:rsidR="00660885" w:rsidRPr="004A004A" w:rsidRDefault="00660885" w:rsidP="00A3378E">
            <w:pPr>
              <w:spacing w:after="120" w:line="276" w:lineRule="auto"/>
              <w:jc w:val="both"/>
              <w:rPr>
                <w:rFonts w:ascii="Verdana" w:hAnsi="Verdana"/>
                <w:lang w:val="es-ES"/>
              </w:rPr>
            </w:pPr>
            <w:r w:rsidRPr="00E91A05">
              <w:rPr>
                <w:rFonts w:ascii="Verdana" w:hAnsi="Verdana"/>
                <w:lang w:val="es-ES"/>
              </w:rPr>
              <w:t>De otro lado, el artículo 2.1.1.2.1.8, establece los efectos de la obligación contenida en el literal g) del artículo 11 de la Ley 1712 de 2014, en relación con los documentos producidos durante la ejecución del contrato, señalando que se deben publicar las aprobaciones, autorizaciones, requerimientos o informes del supervisor o interventor, que prueben la ejecución del contrato.</w:t>
            </w:r>
          </w:p>
          <w:p w14:paraId="7C066E88" w14:textId="77777777" w:rsidR="00660885" w:rsidRPr="00E768DF" w:rsidRDefault="00660885" w:rsidP="00A3378E">
            <w:pPr>
              <w:spacing w:after="120" w:line="276" w:lineRule="auto"/>
              <w:jc w:val="both"/>
              <w:rPr>
                <w:rFonts w:ascii="Verdana" w:eastAsia="Times New Roman" w:hAnsi="Verdana" w:cs="Times New Roman"/>
                <w:lang w:val="es-ES"/>
              </w:rPr>
            </w:pPr>
            <w:r w:rsidRPr="004A004A">
              <w:rPr>
                <w:rFonts w:ascii="Verdana" w:hAnsi="Verdana" w:cs="Arial"/>
              </w:rPr>
              <w:t>Con todo, corresponde a las Entidades Estatales</w:t>
            </w:r>
            <w:r w:rsidRPr="004A004A">
              <w:rPr>
                <w:rFonts w:ascii="Verdana" w:hAnsi="Verdana" w:cs="Arial"/>
                <w:spacing w:val="1"/>
              </w:rPr>
              <w:t xml:space="preserve"> </w:t>
            </w:r>
            <w:r w:rsidRPr="004A004A">
              <w:rPr>
                <w:rFonts w:ascii="Verdana" w:hAnsi="Verdana" w:cs="Arial"/>
              </w:rPr>
              <w:t xml:space="preserve">contratantes analizar en cada caso concreto si en efecto se presentan contradicciones entre el contenido de los diferentes los Documentos del Proceso, en aras de determinar el tratamiento interpretativo del que deben ser objeto las mismas en aras de </w:t>
            </w:r>
            <w:r w:rsidRPr="004A004A">
              <w:rPr>
                <w:rFonts w:ascii="Verdana" w:hAnsi="Verdana"/>
                <w:lang w:val="es-ES"/>
              </w:rPr>
              <w:t xml:space="preserve">preservar la legalidad del Proceso de Contratación. </w:t>
            </w:r>
          </w:p>
        </w:tc>
      </w:tr>
    </w:tbl>
    <w:p w14:paraId="1E5CBCDE" w14:textId="77777777" w:rsidR="00660885" w:rsidRPr="00115E3D" w:rsidRDefault="00660885" w:rsidP="00660885">
      <w:pPr>
        <w:tabs>
          <w:tab w:val="left" w:pos="142"/>
          <w:tab w:val="left" w:pos="284"/>
        </w:tabs>
        <w:spacing w:line="276" w:lineRule="auto"/>
        <w:jc w:val="both"/>
        <w:rPr>
          <w:rFonts w:ascii="Verdana" w:eastAsia="Century Gothic" w:hAnsi="Verdana" w:cs="Century Gothic"/>
          <w:b/>
          <w:bCs/>
          <w:color w:val="000000" w:themeColor="text1"/>
          <w:lang w:val="es-ES"/>
        </w:rPr>
      </w:pPr>
    </w:p>
    <w:p w14:paraId="619A557D" w14:textId="7CF0E798" w:rsidR="00660885" w:rsidRDefault="00660885" w:rsidP="0066088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color w:val="000000" w:themeColor="text1"/>
        </w:rPr>
      </w:pPr>
      <w:r w:rsidRPr="00115E3D">
        <w:rPr>
          <w:rFonts w:ascii="Verdana" w:eastAsia="Century Gothic" w:hAnsi="Verdana" w:cs="Century Gothic"/>
          <w:b/>
          <w:bCs/>
          <w:color w:val="000000" w:themeColor="text1"/>
        </w:rPr>
        <w:t>Razones de la respuesta:</w:t>
      </w:r>
    </w:p>
    <w:p w14:paraId="119BFEE7" w14:textId="77777777" w:rsidR="003E35BD" w:rsidRPr="003E35BD" w:rsidRDefault="003E35BD" w:rsidP="003E35BD">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28BCEBD2" w14:textId="5C456EB4" w:rsidR="00660885" w:rsidRPr="00115E3D" w:rsidRDefault="00660885" w:rsidP="00660885">
      <w:pPr>
        <w:spacing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72AFAD3B" w14:textId="77777777" w:rsidR="00660885" w:rsidRPr="004A004A" w:rsidRDefault="00660885" w:rsidP="00660885">
      <w:pPr>
        <w:spacing w:line="276" w:lineRule="auto"/>
        <w:jc w:val="both"/>
        <w:rPr>
          <w:rFonts w:ascii="Verdana" w:hAnsi="Verdana"/>
          <w:lang w:val="es-MX"/>
        </w:rPr>
      </w:pPr>
      <w:bookmarkStart w:id="1" w:name="_Hlk54011258"/>
      <w:r w:rsidRPr="004A004A">
        <w:rPr>
          <w:rFonts w:ascii="Verdana" w:hAnsi="Verdana" w:cs="Arial"/>
          <w:bCs/>
          <w:lang w:val="es-ES_tradnl"/>
        </w:rPr>
        <w:t>La planeación contractual es una herramienta de gerencia pública, que exige estructurar el proceso contractual dedicando tiempo y esfuerzos para elaborar estudios previos, con el fin de determinar la necesidad que pretende satisfacer la entidad estatal y cuál es la mejor manera de hacerlo, consultando el tipo de bienes y servicios que ofrece el mercado y sus características, especificaciones, precios, costos, riesgos, garantías, disponibilidad, oferentes, etc. Lo anterior con la finalidad de realizar la escogencia diligente de la mejor oferta, para beneficiar los intereses y fines públicos inmersos en la contratación de las entidades estatales</w:t>
      </w:r>
      <w:bookmarkEnd w:id="1"/>
      <w:r w:rsidRPr="004A004A">
        <w:rPr>
          <w:rFonts w:ascii="Verdana" w:hAnsi="Verdana" w:cs="Arial"/>
          <w:bCs/>
          <w:sz w:val="21"/>
          <w:szCs w:val="21"/>
          <w:lang w:val="es-ES_tradnl"/>
        </w:rPr>
        <w:t>.</w:t>
      </w:r>
    </w:p>
    <w:p w14:paraId="7DDD7A9E" w14:textId="0E7B2E40" w:rsidR="00660885" w:rsidRPr="004A004A" w:rsidRDefault="00660885" w:rsidP="003E35BD">
      <w:pPr>
        <w:spacing w:before="120" w:line="276" w:lineRule="auto"/>
        <w:ind w:firstLine="708"/>
        <w:jc w:val="both"/>
        <w:rPr>
          <w:rFonts w:ascii="Verdana" w:hAnsi="Verdana" w:cs="Arial"/>
          <w:bCs/>
          <w:lang w:val="es-ES"/>
        </w:rPr>
      </w:pPr>
      <w:r w:rsidRPr="004A004A">
        <w:rPr>
          <w:rFonts w:ascii="Verdana" w:hAnsi="Verdana" w:cs="Arial"/>
          <w:bCs/>
          <w:lang w:val="es-MX"/>
        </w:rPr>
        <w:lastRenderedPageBreak/>
        <w:t xml:space="preserve">El Estatuto General de Contratación de la Administración Pública contiene disposiciones que exigen a las entidades estatales el deber de realizar planeación en la etapa precontractual, para que los procesos de contratación satisfagan las necesidades de la Administración, cumplan sus fines, logren la continua y eficiente prestación de los servicios públicos y permitan la efectividad de los derechos e intereses de los administrados que colaboran en la consecución. En relación con el valor del futuro contrato y su correlativo respaldo presupuestal, se tienen, por ejemplo, las siguientes reglas derivadas de la aplicación del principio de economía previsto en el artículo 25 de la Ley 80 de 1993: </w:t>
      </w:r>
    </w:p>
    <w:p w14:paraId="34B5EE71" w14:textId="77777777" w:rsidR="00660885" w:rsidRPr="004A004A" w:rsidRDefault="00660885" w:rsidP="00660885">
      <w:pPr>
        <w:ind w:left="709" w:right="709"/>
        <w:jc w:val="both"/>
        <w:rPr>
          <w:rFonts w:ascii="Verdana" w:hAnsi="Verdana" w:cs="Arial"/>
          <w:sz w:val="20"/>
          <w:szCs w:val="20"/>
          <w:lang w:val="es-MX"/>
        </w:rPr>
      </w:pPr>
      <w:r w:rsidRPr="004A004A">
        <w:rPr>
          <w:rFonts w:ascii="Verdana" w:hAnsi="Verdana" w:cs="Arial"/>
          <w:sz w:val="20"/>
          <w:szCs w:val="20"/>
          <w:lang w:val="es-MX"/>
        </w:rPr>
        <w:t>“7o. La conveniencia o inconveniencia del objeto a contratar y las autorizaciones y aprobaciones para ello, se analizarán o impartirán con antelación al inicio del proceso de selección del contratista o al de la firma del contrato, según el caso.</w:t>
      </w:r>
    </w:p>
    <w:p w14:paraId="42894662" w14:textId="77777777" w:rsidR="00660885" w:rsidRPr="004A004A" w:rsidRDefault="00660885" w:rsidP="00660885">
      <w:pPr>
        <w:spacing w:after="120"/>
        <w:ind w:left="709" w:right="709"/>
        <w:jc w:val="both"/>
        <w:rPr>
          <w:rFonts w:ascii="Verdana" w:hAnsi="Verdana" w:cs="Arial"/>
          <w:sz w:val="20"/>
          <w:szCs w:val="20"/>
          <w:lang w:val="es-MX"/>
        </w:rPr>
      </w:pPr>
      <w:r w:rsidRPr="004A004A">
        <w:rPr>
          <w:rFonts w:ascii="Verdana" w:hAnsi="Verdana" w:cs="Arial"/>
          <w:sz w:val="20"/>
          <w:szCs w:val="20"/>
          <w:lang w:val="es-MX"/>
        </w:rPr>
        <w:t>[…]</w:t>
      </w:r>
    </w:p>
    <w:p w14:paraId="275DF592" w14:textId="77777777" w:rsidR="00660885" w:rsidRPr="004A004A" w:rsidRDefault="00660885" w:rsidP="00660885">
      <w:pPr>
        <w:spacing w:after="120"/>
        <w:ind w:left="709" w:right="709"/>
        <w:jc w:val="both"/>
        <w:rPr>
          <w:rFonts w:ascii="Verdana" w:hAnsi="Verdana" w:cs="Arial"/>
          <w:sz w:val="20"/>
          <w:szCs w:val="20"/>
          <w:lang w:val="es-MX"/>
        </w:rPr>
      </w:pPr>
      <w:r w:rsidRPr="004A004A">
        <w:rPr>
          <w:rFonts w:ascii="Verdana" w:hAnsi="Verdana" w:cs="Arial"/>
          <w:sz w:val="20"/>
          <w:szCs w:val="20"/>
          <w:lang w:val="es-MX"/>
        </w:rPr>
        <w:t>12. Previo a la apertura de un proceso de selección, o a la firma del contrato en el caso en que la modalidad de selección sea contratación directa, deberán elaborarse los estudios, diseños y proyectos requeridos, y los pliegos de condiciones, según corresponda.</w:t>
      </w:r>
    </w:p>
    <w:p w14:paraId="5AA29EF4" w14:textId="77777777" w:rsidR="00660885" w:rsidRPr="004A004A" w:rsidRDefault="00660885" w:rsidP="00660885">
      <w:pPr>
        <w:spacing w:after="120"/>
        <w:ind w:left="709" w:right="709"/>
        <w:jc w:val="both"/>
        <w:rPr>
          <w:rFonts w:ascii="Verdana" w:hAnsi="Verdana" w:cs="Arial"/>
          <w:sz w:val="20"/>
          <w:szCs w:val="20"/>
          <w:lang w:val="es-MX"/>
        </w:rPr>
      </w:pPr>
      <w:r w:rsidRPr="004A004A">
        <w:rPr>
          <w:rFonts w:ascii="Verdana" w:hAnsi="Verdana" w:cs="Arial"/>
          <w:sz w:val="20"/>
          <w:szCs w:val="20"/>
          <w:lang w:val="es-MX"/>
        </w:rPr>
        <w:t>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w:t>
      </w:r>
    </w:p>
    <w:p w14:paraId="2BB8EA55" w14:textId="77777777" w:rsidR="00660885" w:rsidRPr="004A004A" w:rsidRDefault="00660885" w:rsidP="00660885">
      <w:pPr>
        <w:spacing w:after="120"/>
        <w:ind w:left="709" w:right="709"/>
        <w:jc w:val="both"/>
        <w:rPr>
          <w:rFonts w:ascii="Verdana" w:hAnsi="Verdana" w:cs="Arial"/>
          <w:sz w:val="20"/>
          <w:szCs w:val="20"/>
          <w:lang w:val="es-MX"/>
        </w:rPr>
      </w:pPr>
      <w:r w:rsidRPr="004A004A">
        <w:rPr>
          <w:rFonts w:ascii="Verdana" w:hAnsi="Verdana" w:cs="Arial"/>
          <w:sz w:val="20"/>
          <w:szCs w:val="20"/>
          <w:lang w:val="es-MX"/>
        </w:rPr>
        <w:t>13. Las autoridades constituirán las reservas y compromisos presupuestales necesarios, tomando como base el valor de las prestaciones al momento de celebrar el contrato y el estimativo de los ajustes resultantes de la aplicación de la cláusula de actualización de precios.</w:t>
      </w:r>
    </w:p>
    <w:p w14:paraId="2B84C0BA" w14:textId="2F7FE631" w:rsidR="00660885" w:rsidRPr="003E35BD" w:rsidRDefault="00660885" w:rsidP="003E35BD">
      <w:pPr>
        <w:ind w:left="709" w:right="709"/>
        <w:jc w:val="both"/>
        <w:rPr>
          <w:rFonts w:ascii="Verdana" w:hAnsi="Verdana" w:cs="Arial"/>
          <w:sz w:val="20"/>
          <w:szCs w:val="20"/>
          <w:lang w:val="es-MX"/>
        </w:rPr>
      </w:pPr>
      <w:r w:rsidRPr="004A004A">
        <w:rPr>
          <w:rFonts w:ascii="Verdana" w:hAnsi="Verdana" w:cs="Arial"/>
          <w:sz w:val="20"/>
          <w:szCs w:val="20"/>
          <w:lang w:val="es-MX"/>
        </w:rPr>
        <w:t>14. Las entidades incluirán en sus presupuestos anuales una apropiación global destinada a cubrir los costos imprevistos ocasionados por los retardos en los pagos, así como los que se originen en la revisión de los precios pactados por razón de los cambios o alteraciones en las condiciones iniciales de los contratos por ellas celebrados […]”.</w:t>
      </w:r>
    </w:p>
    <w:p w14:paraId="1EE27C1C" w14:textId="77777777" w:rsidR="00660885" w:rsidRPr="0027528C" w:rsidRDefault="00660885" w:rsidP="00660885">
      <w:pPr>
        <w:spacing w:after="120" w:line="276" w:lineRule="auto"/>
        <w:ind w:firstLine="709"/>
        <w:jc w:val="both"/>
        <w:rPr>
          <w:rFonts w:ascii="Verdana" w:hAnsi="Verdana" w:cs="Arial"/>
          <w:lang w:val="es-MX"/>
        </w:rPr>
      </w:pPr>
      <w:r w:rsidRPr="0027528C">
        <w:rPr>
          <w:rFonts w:ascii="Verdana" w:hAnsi="Verdana" w:cs="Arial"/>
          <w:lang w:val="es-MX"/>
        </w:rPr>
        <w:t xml:space="preserve">Lo anterior le permitirá a la entidad estatal identificar desde el punto de vista técnico y financiero el objeto del contrato, las particularidades de su ejecución, los potenciales proponentes, requisitos mínimos para evaluar la idoneidad del contratista, así como analizar todas las variables que puedan afectar el procedimiento de selección, celebración y ejecución del contrato. Tal </w:t>
      </w:r>
      <w:r w:rsidRPr="0027528C">
        <w:rPr>
          <w:rFonts w:ascii="Verdana" w:hAnsi="Verdana" w:cs="Arial"/>
          <w:lang w:val="es-MX"/>
        </w:rPr>
        <w:lastRenderedPageBreak/>
        <w:t>es la importancia de los estudios y documentos previos que su deficiencia o ausencia, “[...] genera prácticas indebidas, revocatoria de actos administrativos de apertura, declaratorias de desierta de procesos de selección, comisión de faltas disciplinarias, mayores costos o mayor permanencia de la obra y, en general, el fracaso en la ejecución de contratos estatales”</w:t>
      </w:r>
      <w:r w:rsidRPr="0027528C">
        <w:rPr>
          <w:rFonts w:ascii="Verdana" w:hAnsi="Verdana"/>
          <w:vertAlign w:val="superscript"/>
          <w:lang w:val="es-MX"/>
        </w:rPr>
        <w:footnoteReference w:id="2"/>
      </w:r>
      <w:r w:rsidRPr="0027528C">
        <w:rPr>
          <w:rFonts w:ascii="Verdana" w:hAnsi="Verdana" w:cs="Arial"/>
          <w:lang w:val="es-MX"/>
        </w:rPr>
        <w:t>.</w:t>
      </w:r>
    </w:p>
    <w:p w14:paraId="6D864960" w14:textId="4BEAF041" w:rsidR="00660885" w:rsidRPr="003E35BD" w:rsidRDefault="00660885" w:rsidP="003E35BD">
      <w:pPr>
        <w:spacing w:line="276" w:lineRule="auto"/>
        <w:ind w:firstLine="709"/>
        <w:jc w:val="both"/>
        <w:rPr>
          <w:rFonts w:ascii="Verdana" w:hAnsi="Verdana" w:cs="Arial"/>
          <w:lang w:val="es-MX"/>
        </w:rPr>
      </w:pPr>
      <w:r w:rsidRPr="0027528C">
        <w:rPr>
          <w:rFonts w:ascii="Verdana" w:hAnsi="Verdana" w:cs="Arial"/>
          <w:lang w:val="es-MX"/>
        </w:rPr>
        <w:t>Con base en la norma enunciada de la Ley 80 de 1993, el Decreto Único Reglamentario del Sector Administrativo de Planeación Nacional –Decreto 1082 de 2015–, establece en el artículo 2.2.1.1.2.1.1. el contenido mínimo de los estudios y documentos previos</w:t>
      </w:r>
      <w:r w:rsidRPr="004A004A">
        <w:rPr>
          <w:rFonts w:ascii="Verdana" w:hAnsi="Verdana" w:cs="Arial"/>
          <w:lang w:val="es-MX"/>
        </w:rPr>
        <w:t>:</w:t>
      </w:r>
    </w:p>
    <w:p w14:paraId="53B9EA06" w14:textId="77777777" w:rsidR="00660885" w:rsidRPr="004A004A" w:rsidRDefault="00660885" w:rsidP="00660885">
      <w:pPr>
        <w:spacing w:after="120"/>
        <w:ind w:left="709" w:right="709"/>
        <w:jc w:val="both"/>
        <w:rPr>
          <w:rFonts w:ascii="Verdana" w:hAnsi="Verdana" w:cs="Arial"/>
          <w:sz w:val="20"/>
          <w:szCs w:val="20"/>
          <w:lang w:val="es-MX"/>
        </w:rPr>
      </w:pPr>
      <w:r w:rsidRPr="004A004A">
        <w:rPr>
          <w:rFonts w:ascii="Verdana" w:hAnsi="Verdana" w:cs="Arial"/>
          <w:sz w:val="20"/>
          <w:szCs w:val="20"/>
          <w:lang w:val="es-MX"/>
        </w:rPr>
        <w:t>“Artículo 2.2.1.1.2.1.1.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w:t>
      </w:r>
      <w:r w:rsidRPr="004A004A">
        <w:rPr>
          <w:rFonts w:ascii="Verdana" w:hAnsi="Verdana" w:cs="Arial"/>
          <w:spacing w:val="-15"/>
          <w:sz w:val="20"/>
          <w:szCs w:val="20"/>
          <w:lang w:val="es-MX"/>
        </w:rPr>
        <w:t xml:space="preserve"> </w:t>
      </w:r>
      <w:r w:rsidRPr="004A004A">
        <w:rPr>
          <w:rFonts w:ascii="Verdana" w:hAnsi="Verdana" w:cs="Arial"/>
          <w:sz w:val="20"/>
          <w:szCs w:val="20"/>
          <w:lang w:val="es-MX"/>
        </w:rPr>
        <w:t>selección:</w:t>
      </w:r>
    </w:p>
    <w:p w14:paraId="1E53D5A7" w14:textId="77777777" w:rsidR="00660885" w:rsidRPr="004A004A" w:rsidRDefault="00660885" w:rsidP="00660885">
      <w:pPr>
        <w:widowControl w:val="0"/>
        <w:tabs>
          <w:tab w:val="left" w:pos="1223"/>
        </w:tabs>
        <w:autoSpaceDE w:val="0"/>
        <w:autoSpaceDN w:val="0"/>
        <w:spacing w:after="120"/>
        <w:ind w:left="709" w:right="709"/>
        <w:jc w:val="both"/>
        <w:rPr>
          <w:rFonts w:ascii="Verdana" w:hAnsi="Verdana" w:cs="Arial"/>
          <w:sz w:val="20"/>
          <w:szCs w:val="20"/>
          <w:lang w:val="es-MX"/>
        </w:rPr>
      </w:pPr>
      <w:r w:rsidRPr="004A004A">
        <w:rPr>
          <w:rFonts w:ascii="Verdana" w:hAnsi="Verdana" w:cs="Arial"/>
          <w:sz w:val="20"/>
          <w:szCs w:val="20"/>
          <w:lang w:val="es-MX"/>
        </w:rPr>
        <w:t>1. La descripción de la necesidad que la Entidad Estatal pretende satisfacer con el Proceso de</w:t>
      </w:r>
      <w:r w:rsidRPr="004A004A">
        <w:rPr>
          <w:rFonts w:ascii="Verdana" w:hAnsi="Verdana" w:cs="Arial"/>
          <w:spacing w:val="-2"/>
          <w:sz w:val="20"/>
          <w:szCs w:val="20"/>
          <w:lang w:val="es-MX"/>
        </w:rPr>
        <w:t xml:space="preserve"> </w:t>
      </w:r>
      <w:r w:rsidRPr="004A004A">
        <w:rPr>
          <w:rFonts w:ascii="Verdana" w:hAnsi="Verdana" w:cs="Arial"/>
          <w:sz w:val="20"/>
          <w:szCs w:val="20"/>
          <w:lang w:val="es-MX"/>
        </w:rPr>
        <w:t>Contratación.</w:t>
      </w:r>
    </w:p>
    <w:p w14:paraId="1138299C" w14:textId="77777777" w:rsidR="00660885" w:rsidRPr="004A004A" w:rsidRDefault="00660885" w:rsidP="00660885">
      <w:pPr>
        <w:widowControl w:val="0"/>
        <w:tabs>
          <w:tab w:val="left" w:pos="1283"/>
        </w:tabs>
        <w:autoSpaceDE w:val="0"/>
        <w:autoSpaceDN w:val="0"/>
        <w:spacing w:after="120"/>
        <w:ind w:left="709" w:right="709"/>
        <w:jc w:val="both"/>
        <w:rPr>
          <w:rFonts w:ascii="Verdana" w:hAnsi="Verdana" w:cs="Arial"/>
          <w:sz w:val="20"/>
          <w:szCs w:val="20"/>
          <w:lang w:val="es-MX"/>
        </w:rPr>
      </w:pPr>
      <w:r w:rsidRPr="004A004A">
        <w:rPr>
          <w:rFonts w:ascii="Verdana" w:hAnsi="Verdana" w:cs="Arial"/>
          <w:sz w:val="20"/>
          <w:szCs w:val="20"/>
          <w:lang w:val="es-MX"/>
        </w:rPr>
        <w:t>2. El objeto a contratar, con sus especificaciones, las autorizaciones, permisos y licencias requeridos para su ejecución, y cuando el contrato incluye diseño y construcción, los documentos técnicos para el desarrollo del</w:t>
      </w:r>
      <w:r w:rsidRPr="004A004A">
        <w:rPr>
          <w:rFonts w:ascii="Verdana" w:hAnsi="Verdana" w:cs="Arial"/>
          <w:spacing w:val="-12"/>
          <w:sz w:val="20"/>
          <w:szCs w:val="20"/>
          <w:lang w:val="es-MX"/>
        </w:rPr>
        <w:t xml:space="preserve"> </w:t>
      </w:r>
      <w:r w:rsidRPr="004A004A">
        <w:rPr>
          <w:rFonts w:ascii="Verdana" w:hAnsi="Verdana" w:cs="Arial"/>
          <w:sz w:val="20"/>
          <w:szCs w:val="20"/>
          <w:lang w:val="es-MX"/>
        </w:rPr>
        <w:t>proyecto.</w:t>
      </w:r>
    </w:p>
    <w:p w14:paraId="32A0F328" w14:textId="77777777" w:rsidR="00660885" w:rsidRPr="004A004A" w:rsidRDefault="00660885" w:rsidP="00660885">
      <w:pPr>
        <w:widowControl w:val="0"/>
        <w:tabs>
          <w:tab w:val="left" w:pos="1378"/>
        </w:tabs>
        <w:autoSpaceDE w:val="0"/>
        <w:autoSpaceDN w:val="0"/>
        <w:spacing w:after="120"/>
        <w:ind w:left="709" w:right="709"/>
        <w:jc w:val="both"/>
        <w:rPr>
          <w:rFonts w:ascii="Verdana" w:hAnsi="Verdana" w:cs="Arial"/>
          <w:sz w:val="20"/>
          <w:szCs w:val="20"/>
          <w:lang w:val="es-MX"/>
        </w:rPr>
      </w:pPr>
      <w:r w:rsidRPr="004A004A">
        <w:rPr>
          <w:rFonts w:ascii="Verdana" w:hAnsi="Verdana"/>
          <w:sz w:val="20"/>
          <w:szCs w:val="20"/>
          <w:lang w:val="es-MX"/>
        </w:rPr>
        <w:t xml:space="preserve">3. </w:t>
      </w:r>
      <w:r w:rsidRPr="004A004A">
        <w:rPr>
          <w:rFonts w:ascii="Verdana" w:hAnsi="Verdana" w:cs="Arial"/>
          <w:sz w:val="20"/>
          <w:szCs w:val="20"/>
          <w:lang w:val="es-MX"/>
        </w:rPr>
        <w:t>La modalidad de selección del contratista y su justificación, incluyendo los fundamentos jurídicos.</w:t>
      </w:r>
    </w:p>
    <w:p w14:paraId="639D02D2" w14:textId="77777777" w:rsidR="00660885" w:rsidRPr="004A004A" w:rsidRDefault="00660885" w:rsidP="00660885">
      <w:pPr>
        <w:widowControl w:val="0"/>
        <w:tabs>
          <w:tab w:val="left" w:pos="1273"/>
        </w:tabs>
        <w:autoSpaceDE w:val="0"/>
        <w:autoSpaceDN w:val="0"/>
        <w:spacing w:after="120"/>
        <w:ind w:left="709" w:right="709"/>
        <w:jc w:val="both"/>
        <w:rPr>
          <w:rFonts w:ascii="Verdana" w:hAnsi="Verdana" w:cs="Arial"/>
          <w:sz w:val="20"/>
          <w:szCs w:val="20"/>
          <w:lang w:val="es-MX"/>
        </w:rPr>
      </w:pPr>
      <w:r w:rsidRPr="004A004A">
        <w:rPr>
          <w:rFonts w:ascii="Verdana" w:hAnsi="Verdana" w:cs="Arial"/>
          <w:sz w:val="20"/>
          <w:szCs w:val="20"/>
          <w:lang w:val="es-MX"/>
        </w:rPr>
        <w:t xml:space="preserve">4. El valor estimado del contrato y la justificación </w:t>
      </w:r>
      <w:proofErr w:type="gramStart"/>
      <w:r w:rsidRPr="004A004A">
        <w:rPr>
          <w:rFonts w:ascii="Verdana" w:hAnsi="Verdana" w:cs="Arial"/>
          <w:sz w:val="20"/>
          <w:szCs w:val="20"/>
          <w:lang w:val="es-MX"/>
        </w:rPr>
        <w:t>del mismo</w:t>
      </w:r>
      <w:proofErr w:type="gramEnd"/>
      <w:r w:rsidRPr="004A004A">
        <w:rPr>
          <w:rFonts w:ascii="Verdana" w:hAnsi="Verdana" w:cs="Arial"/>
          <w:sz w:val="20"/>
          <w:szCs w:val="20"/>
          <w:lang w:val="es-MX"/>
        </w:rPr>
        <w:t>. Cuando el valor del contrato esté determinado por precios unitarios, la Entidad Estatal debe incluir la forma</w:t>
      </w:r>
      <w:r w:rsidRPr="004A004A">
        <w:rPr>
          <w:rFonts w:ascii="Verdana" w:hAnsi="Verdana" w:cs="Arial"/>
          <w:spacing w:val="8"/>
          <w:sz w:val="20"/>
          <w:szCs w:val="20"/>
          <w:lang w:val="es-MX"/>
        </w:rPr>
        <w:t xml:space="preserve"> </w:t>
      </w:r>
      <w:r w:rsidRPr="004A004A">
        <w:rPr>
          <w:rFonts w:ascii="Verdana" w:hAnsi="Verdana" w:cs="Arial"/>
          <w:sz w:val="20"/>
          <w:szCs w:val="20"/>
          <w:lang w:val="es-MX"/>
        </w:rPr>
        <w:t>como</w:t>
      </w:r>
      <w:r w:rsidRPr="004A004A">
        <w:rPr>
          <w:rFonts w:ascii="Verdana" w:hAnsi="Verdana" w:cs="Arial"/>
          <w:spacing w:val="7"/>
          <w:sz w:val="20"/>
          <w:szCs w:val="20"/>
          <w:lang w:val="es-MX"/>
        </w:rPr>
        <w:t xml:space="preserve"> </w:t>
      </w:r>
      <w:r w:rsidRPr="004A004A">
        <w:rPr>
          <w:rFonts w:ascii="Verdana" w:hAnsi="Verdana" w:cs="Arial"/>
          <w:sz w:val="20"/>
          <w:szCs w:val="20"/>
          <w:lang w:val="es-MX"/>
        </w:rPr>
        <w:t>los</w:t>
      </w:r>
      <w:r w:rsidRPr="004A004A">
        <w:rPr>
          <w:rFonts w:ascii="Verdana" w:hAnsi="Verdana" w:cs="Arial"/>
          <w:spacing w:val="9"/>
          <w:sz w:val="20"/>
          <w:szCs w:val="20"/>
          <w:lang w:val="es-MX"/>
        </w:rPr>
        <w:t xml:space="preserve"> </w:t>
      </w:r>
      <w:r w:rsidRPr="004A004A">
        <w:rPr>
          <w:rFonts w:ascii="Verdana" w:hAnsi="Verdana" w:cs="Arial"/>
          <w:sz w:val="20"/>
          <w:szCs w:val="20"/>
          <w:lang w:val="es-MX"/>
        </w:rPr>
        <w:t>calculó</w:t>
      </w:r>
      <w:r w:rsidRPr="004A004A">
        <w:rPr>
          <w:rFonts w:ascii="Verdana" w:hAnsi="Verdana" w:cs="Arial"/>
          <w:spacing w:val="14"/>
          <w:sz w:val="20"/>
          <w:szCs w:val="20"/>
          <w:lang w:val="es-MX"/>
        </w:rPr>
        <w:t xml:space="preserve"> </w:t>
      </w:r>
      <w:r w:rsidRPr="004A004A">
        <w:rPr>
          <w:rFonts w:ascii="Verdana" w:hAnsi="Verdana" w:cs="Arial"/>
          <w:sz w:val="20"/>
          <w:szCs w:val="20"/>
          <w:lang w:val="es-MX"/>
        </w:rPr>
        <w:t>y</w:t>
      </w:r>
      <w:r w:rsidRPr="004A004A">
        <w:rPr>
          <w:rFonts w:ascii="Verdana" w:hAnsi="Verdana" w:cs="Arial"/>
          <w:spacing w:val="7"/>
          <w:sz w:val="20"/>
          <w:szCs w:val="20"/>
          <w:lang w:val="es-MX"/>
        </w:rPr>
        <w:t xml:space="preserve"> </w:t>
      </w:r>
      <w:r w:rsidRPr="004A004A">
        <w:rPr>
          <w:rFonts w:ascii="Verdana" w:hAnsi="Verdana" w:cs="Arial"/>
          <w:sz w:val="20"/>
          <w:szCs w:val="20"/>
          <w:lang w:val="es-MX"/>
        </w:rPr>
        <w:t>soportar</w:t>
      </w:r>
      <w:r w:rsidRPr="004A004A">
        <w:rPr>
          <w:rFonts w:ascii="Verdana" w:hAnsi="Verdana" w:cs="Arial"/>
          <w:spacing w:val="10"/>
          <w:sz w:val="20"/>
          <w:szCs w:val="20"/>
          <w:lang w:val="es-MX"/>
        </w:rPr>
        <w:t xml:space="preserve"> </w:t>
      </w:r>
      <w:r w:rsidRPr="004A004A">
        <w:rPr>
          <w:rFonts w:ascii="Verdana" w:hAnsi="Verdana" w:cs="Arial"/>
          <w:sz w:val="20"/>
          <w:szCs w:val="20"/>
          <w:lang w:val="es-MX"/>
        </w:rPr>
        <w:t>sus</w:t>
      </w:r>
      <w:r w:rsidRPr="004A004A">
        <w:rPr>
          <w:rFonts w:ascii="Verdana" w:hAnsi="Verdana" w:cs="Arial"/>
          <w:spacing w:val="9"/>
          <w:sz w:val="20"/>
          <w:szCs w:val="20"/>
          <w:lang w:val="es-MX"/>
        </w:rPr>
        <w:t xml:space="preserve"> </w:t>
      </w:r>
      <w:r w:rsidRPr="004A004A">
        <w:rPr>
          <w:rFonts w:ascii="Verdana" w:hAnsi="Verdana" w:cs="Arial"/>
          <w:sz w:val="20"/>
          <w:szCs w:val="20"/>
          <w:lang w:val="es-MX"/>
        </w:rPr>
        <w:t>cálculos</w:t>
      </w:r>
      <w:r w:rsidRPr="004A004A">
        <w:rPr>
          <w:rFonts w:ascii="Verdana" w:hAnsi="Verdana" w:cs="Arial"/>
          <w:spacing w:val="12"/>
          <w:sz w:val="20"/>
          <w:szCs w:val="20"/>
          <w:lang w:val="es-MX"/>
        </w:rPr>
        <w:t xml:space="preserve"> </w:t>
      </w:r>
      <w:r w:rsidRPr="004A004A">
        <w:rPr>
          <w:rFonts w:ascii="Verdana" w:hAnsi="Verdana" w:cs="Arial"/>
          <w:sz w:val="20"/>
          <w:szCs w:val="20"/>
          <w:lang w:val="es-MX"/>
        </w:rPr>
        <w:t>de</w:t>
      </w:r>
      <w:r w:rsidRPr="004A004A">
        <w:rPr>
          <w:rFonts w:ascii="Verdana" w:hAnsi="Verdana" w:cs="Arial"/>
          <w:spacing w:val="11"/>
          <w:sz w:val="20"/>
          <w:szCs w:val="20"/>
          <w:lang w:val="es-MX"/>
        </w:rPr>
        <w:t xml:space="preserve"> </w:t>
      </w:r>
      <w:r w:rsidRPr="004A004A">
        <w:rPr>
          <w:rFonts w:ascii="Verdana" w:hAnsi="Verdana" w:cs="Arial"/>
          <w:sz w:val="20"/>
          <w:szCs w:val="20"/>
          <w:lang w:val="es-MX"/>
        </w:rPr>
        <w:t>presupuesto</w:t>
      </w:r>
      <w:r w:rsidRPr="004A004A">
        <w:rPr>
          <w:rFonts w:ascii="Verdana" w:hAnsi="Verdana" w:cs="Arial"/>
          <w:spacing w:val="10"/>
          <w:sz w:val="20"/>
          <w:szCs w:val="20"/>
          <w:lang w:val="es-MX"/>
        </w:rPr>
        <w:t xml:space="preserve"> </w:t>
      </w:r>
      <w:r w:rsidRPr="004A004A">
        <w:rPr>
          <w:rFonts w:ascii="Verdana" w:hAnsi="Verdana" w:cs="Arial"/>
          <w:sz w:val="20"/>
          <w:szCs w:val="20"/>
          <w:lang w:val="es-MX"/>
        </w:rPr>
        <w:t>en</w:t>
      </w:r>
      <w:r w:rsidRPr="004A004A">
        <w:rPr>
          <w:rFonts w:ascii="Verdana" w:hAnsi="Verdana" w:cs="Arial"/>
          <w:spacing w:val="8"/>
          <w:sz w:val="20"/>
          <w:szCs w:val="20"/>
          <w:lang w:val="es-MX"/>
        </w:rPr>
        <w:t xml:space="preserve"> </w:t>
      </w:r>
      <w:r w:rsidRPr="004A004A">
        <w:rPr>
          <w:rFonts w:ascii="Verdana" w:hAnsi="Verdana" w:cs="Arial"/>
          <w:sz w:val="20"/>
          <w:szCs w:val="20"/>
          <w:lang w:val="es-MX"/>
        </w:rPr>
        <w:t>la</w:t>
      </w:r>
      <w:r w:rsidRPr="004A004A">
        <w:rPr>
          <w:rFonts w:ascii="Verdana" w:hAnsi="Verdana" w:cs="Arial"/>
          <w:spacing w:val="11"/>
          <w:sz w:val="20"/>
          <w:szCs w:val="20"/>
          <w:lang w:val="es-MX"/>
        </w:rPr>
        <w:t xml:space="preserve"> </w:t>
      </w:r>
      <w:r w:rsidRPr="004A004A">
        <w:rPr>
          <w:rFonts w:ascii="Verdana" w:hAnsi="Verdana" w:cs="Arial"/>
          <w:sz w:val="20"/>
          <w:szCs w:val="20"/>
          <w:lang w:val="es-MX"/>
        </w:rPr>
        <w:t>estimación</w:t>
      </w:r>
      <w:r w:rsidRPr="004A004A">
        <w:rPr>
          <w:rFonts w:ascii="Verdana" w:hAnsi="Verdana" w:cs="Arial"/>
          <w:spacing w:val="11"/>
          <w:sz w:val="20"/>
          <w:szCs w:val="20"/>
          <w:lang w:val="es-MX"/>
        </w:rPr>
        <w:t xml:space="preserve"> </w:t>
      </w:r>
      <w:r w:rsidRPr="004A004A">
        <w:rPr>
          <w:rFonts w:ascii="Verdana" w:hAnsi="Verdana" w:cs="Arial"/>
          <w:sz w:val="20"/>
          <w:szCs w:val="20"/>
          <w:lang w:val="es-MX"/>
        </w:rPr>
        <w:t>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w:t>
      </w:r>
    </w:p>
    <w:p w14:paraId="19822276" w14:textId="77777777" w:rsidR="00660885" w:rsidRPr="004A004A" w:rsidRDefault="00660885" w:rsidP="00660885">
      <w:pPr>
        <w:widowControl w:val="0"/>
        <w:tabs>
          <w:tab w:val="left" w:pos="1217"/>
        </w:tabs>
        <w:autoSpaceDE w:val="0"/>
        <w:autoSpaceDN w:val="0"/>
        <w:spacing w:after="120"/>
        <w:ind w:left="709" w:right="709"/>
        <w:rPr>
          <w:rFonts w:ascii="Verdana" w:hAnsi="Verdana" w:cs="Arial"/>
          <w:sz w:val="20"/>
          <w:szCs w:val="20"/>
          <w:lang w:val="es-MX"/>
        </w:rPr>
      </w:pPr>
      <w:r w:rsidRPr="004A004A">
        <w:rPr>
          <w:rFonts w:ascii="Verdana" w:hAnsi="Verdana" w:cs="Arial"/>
          <w:sz w:val="20"/>
          <w:szCs w:val="20"/>
          <w:lang w:val="es-MX"/>
        </w:rPr>
        <w:t>5. Los criterios para seleccionar la oferta más</w:t>
      </w:r>
      <w:r w:rsidRPr="004A004A">
        <w:rPr>
          <w:rFonts w:ascii="Verdana" w:hAnsi="Verdana" w:cs="Arial"/>
          <w:spacing w:val="-7"/>
          <w:sz w:val="20"/>
          <w:szCs w:val="20"/>
          <w:lang w:val="es-MX"/>
        </w:rPr>
        <w:t xml:space="preserve"> </w:t>
      </w:r>
      <w:r w:rsidRPr="004A004A">
        <w:rPr>
          <w:rFonts w:ascii="Verdana" w:hAnsi="Verdana" w:cs="Arial"/>
          <w:sz w:val="20"/>
          <w:szCs w:val="20"/>
          <w:lang w:val="es-MX"/>
        </w:rPr>
        <w:t>favorable.</w:t>
      </w:r>
    </w:p>
    <w:p w14:paraId="3070B91F" w14:textId="77777777" w:rsidR="00660885" w:rsidRPr="004A004A" w:rsidRDefault="00660885" w:rsidP="00660885">
      <w:pPr>
        <w:widowControl w:val="0"/>
        <w:tabs>
          <w:tab w:val="left" w:pos="1217"/>
        </w:tabs>
        <w:autoSpaceDE w:val="0"/>
        <w:autoSpaceDN w:val="0"/>
        <w:spacing w:after="120"/>
        <w:ind w:left="709" w:right="709"/>
        <w:rPr>
          <w:rFonts w:ascii="Verdana" w:hAnsi="Verdana" w:cs="Arial"/>
          <w:sz w:val="20"/>
          <w:szCs w:val="20"/>
          <w:lang w:val="es-MX"/>
        </w:rPr>
      </w:pPr>
      <w:r w:rsidRPr="004A004A">
        <w:rPr>
          <w:rFonts w:ascii="Verdana" w:hAnsi="Verdana" w:cs="Arial"/>
          <w:sz w:val="20"/>
          <w:szCs w:val="20"/>
          <w:lang w:val="es-MX"/>
        </w:rPr>
        <w:t>6. El análisis de Riesgo y la forma de</w:t>
      </w:r>
      <w:r w:rsidRPr="004A004A">
        <w:rPr>
          <w:rFonts w:ascii="Verdana" w:hAnsi="Verdana" w:cs="Arial"/>
          <w:spacing w:val="-8"/>
          <w:sz w:val="20"/>
          <w:szCs w:val="20"/>
          <w:lang w:val="es-MX"/>
        </w:rPr>
        <w:t xml:space="preserve"> </w:t>
      </w:r>
      <w:r w:rsidRPr="004A004A">
        <w:rPr>
          <w:rFonts w:ascii="Verdana" w:hAnsi="Verdana" w:cs="Arial"/>
          <w:sz w:val="20"/>
          <w:szCs w:val="20"/>
          <w:lang w:val="es-MX"/>
        </w:rPr>
        <w:t>mitigarlo.</w:t>
      </w:r>
    </w:p>
    <w:p w14:paraId="6F7AB333" w14:textId="77777777" w:rsidR="00660885" w:rsidRPr="004A004A" w:rsidRDefault="00660885" w:rsidP="00660885">
      <w:pPr>
        <w:widowControl w:val="0"/>
        <w:tabs>
          <w:tab w:val="left" w:pos="1443"/>
        </w:tabs>
        <w:autoSpaceDE w:val="0"/>
        <w:autoSpaceDN w:val="0"/>
        <w:spacing w:after="120"/>
        <w:ind w:left="709" w:right="709"/>
        <w:rPr>
          <w:rFonts w:ascii="Verdana" w:hAnsi="Verdana" w:cs="Arial"/>
          <w:sz w:val="20"/>
          <w:szCs w:val="20"/>
          <w:lang w:val="es-MX"/>
        </w:rPr>
      </w:pPr>
      <w:r w:rsidRPr="004A004A">
        <w:rPr>
          <w:rFonts w:ascii="Verdana" w:hAnsi="Verdana" w:cs="Arial"/>
          <w:sz w:val="20"/>
          <w:szCs w:val="20"/>
          <w:lang w:val="es-MX"/>
        </w:rPr>
        <w:t xml:space="preserve">7. Las garantías que la Entidad Estatal contempla exigir en el Proceso de </w:t>
      </w:r>
      <w:r w:rsidRPr="004A004A">
        <w:rPr>
          <w:rFonts w:ascii="Verdana" w:hAnsi="Verdana" w:cs="Arial"/>
          <w:sz w:val="20"/>
          <w:szCs w:val="20"/>
          <w:lang w:val="es-MX"/>
        </w:rPr>
        <w:lastRenderedPageBreak/>
        <w:t>Contratación.</w:t>
      </w:r>
    </w:p>
    <w:p w14:paraId="2A3C30C0" w14:textId="29F31105" w:rsidR="00660885" w:rsidRPr="003E35BD" w:rsidRDefault="00660885" w:rsidP="003E35BD">
      <w:pPr>
        <w:widowControl w:val="0"/>
        <w:tabs>
          <w:tab w:val="left" w:pos="1305"/>
        </w:tabs>
        <w:autoSpaceDE w:val="0"/>
        <w:autoSpaceDN w:val="0"/>
        <w:spacing w:after="120"/>
        <w:ind w:left="709" w:right="709"/>
        <w:rPr>
          <w:rFonts w:ascii="Verdana" w:hAnsi="Verdana" w:cs="Arial"/>
          <w:sz w:val="20"/>
          <w:szCs w:val="20"/>
          <w:lang w:val="es-MX"/>
        </w:rPr>
      </w:pPr>
      <w:r w:rsidRPr="004A004A">
        <w:rPr>
          <w:rFonts w:ascii="Verdana" w:hAnsi="Verdana" w:cs="Arial"/>
          <w:sz w:val="20"/>
          <w:szCs w:val="20"/>
          <w:lang w:val="es-MX"/>
        </w:rPr>
        <w:t>8. La indicación de si el Proceso de Contratación está cobijado por un Acuerdo Comercial”.</w:t>
      </w:r>
    </w:p>
    <w:p w14:paraId="62270D6A" w14:textId="77777777" w:rsidR="00660885" w:rsidRPr="0027528C" w:rsidRDefault="00660885" w:rsidP="00660885">
      <w:pPr>
        <w:spacing w:after="120" w:line="276" w:lineRule="auto"/>
        <w:ind w:firstLine="709"/>
        <w:jc w:val="both"/>
        <w:rPr>
          <w:rFonts w:ascii="Verdana" w:hAnsi="Verdana"/>
          <w:lang w:val="es-MX"/>
        </w:rPr>
      </w:pPr>
      <w:bookmarkStart w:id="2" w:name="_Hlk54011351"/>
      <w:r w:rsidRPr="0027528C">
        <w:rPr>
          <w:rFonts w:ascii="Verdana" w:hAnsi="Verdana"/>
          <w:lang w:val="es-MX"/>
        </w:rPr>
        <w:t xml:space="preserve">De esta manera, antes de iniciar un procedimiento de selección, la entidad estatal podrá determinar con los estudios previos: i) la verdadera necesidad de la celebración del contrato; </w:t>
      </w:r>
      <w:proofErr w:type="spellStart"/>
      <w:r w:rsidRPr="0027528C">
        <w:rPr>
          <w:rFonts w:ascii="Verdana" w:hAnsi="Verdana"/>
          <w:lang w:val="es-MX"/>
        </w:rPr>
        <w:t>ii</w:t>
      </w:r>
      <w:proofErr w:type="spellEnd"/>
      <w:r w:rsidRPr="0027528C">
        <w:rPr>
          <w:rFonts w:ascii="Verdana" w:hAnsi="Verdana"/>
          <w:lang w:val="es-MX"/>
        </w:rPr>
        <w:t xml:space="preserve">) las modalidades existentes para satisfacer esa necesidad y las razones que justifiquen la modalidad o tipo contractual que se escoja; </w:t>
      </w:r>
      <w:proofErr w:type="spellStart"/>
      <w:r w:rsidRPr="0027528C">
        <w:rPr>
          <w:rFonts w:ascii="Verdana" w:hAnsi="Verdana"/>
          <w:lang w:val="es-MX"/>
        </w:rPr>
        <w:t>iii</w:t>
      </w:r>
      <w:proofErr w:type="spellEnd"/>
      <w:r w:rsidRPr="0027528C">
        <w:rPr>
          <w:rFonts w:ascii="Verdana" w:hAnsi="Verdana"/>
          <w:lang w:val="es-MX"/>
        </w:rPr>
        <w:t xml:space="preserve">) las calidades, especificaciones, cantidades y demás características que puedan o deban reunir los bienes, las obras, los servicios, etcétera, cuya contratación, se haya determinado necesaria, </w:t>
      </w:r>
      <w:proofErr w:type="spellStart"/>
      <w:r w:rsidRPr="0027528C">
        <w:rPr>
          <w:rFonts w:ascii="Verdana" w:hAnsi="Verdana"/>
          <w:lang w:val="es-MX"/>
        </w:rPr>
        <w:t>iv</w:t>
      </w:r>
      <w:proofErr w:type="spellEnd"/>
      <w:r w:rsidRPr="0027528C">
        <w:rPr>
          <w:rFonts w:ascii="Verdana" w:hAnsi="Verdana"/>
          <w:lang w:val="es-MX"/>
        </w:rPr>
        <w:t xml:space="preserve">) los costos, valores y alternativas que, a precios de mercado reales, podría demandar la celebración y ejecución del contrato, v) la disponibilidad de recursos o la capacidad financiera de la entidad contratante, para asumir las obligaciones de pago producto de la celebración de ese pretendido contrato; vi) la existencia y disponibilidad, en el mercado nacional o internacional, de proveedores, constructores, profesionales, etc., en condiciones de atender los requerimientos y satisfacer las necesidades y </w:t>
      </w:r>
      <w:proofErr w:type="spellStart"/>
      <w:r w:rsidRPr="0027528C">
        <w:rPr>
          <w:rFonts w:ascii="Verdana" w:hAnsi="Verdana"/>
          <w:lang w:val="es-MX"/>
        </w:rPr>
        <w:t>vii</w:t>
      </w:r>
      <w:proofErr w:type="spellEnd"/>
      <w:r w:rsidRPr="0027528C">
        <w:rPr>
          <w:rFonts w:ascii="Verdana" w:hAnsi="Verdana"/>
          <w:lang w:val="es-MX"/>
        </w:rPr>
        <w:t>) los procedimientos, trámites y requisitos que deban satisfacerse, reunirse u obtenerse para llevar a cabo la selección del respectivo contratista y la celebración del contrato que se pretenda celebrar.</w:t>
      </w:r>
    </w:p>
    <w:bookmarkEnd w:id="2"/>
    <w:p w14:paraId="0F3A8948" w14:textId="77777777" w:rsidR="00660885" w:rsidRPr="0027528C" w:rsidRDefault="00660885" w:rsidP="00660885">
      <w:pPr>
        <w:spacing w:after="120" w:line="276" w:lineRule="auto"/>
        <w:ind w:firstLine="709"/>
        <w:jc w:val="both"/>
        <w:rPr>
          <w:rFonts w:ascii="Verdana" w:hAnsi="Verdana"/>
          <w:lang w:val="es-MX"/>
        </w:rPr>
      </w:pPr>
      <w:r w:rsidRPr="0027528C">
        <w:rPr>
          <w:rFonts w:ascii="Verdana" w:hAnsi="Verdana"/>
          <w:lang w:val="es-MX"/>
        </w:rPr>
        <w:t xml:space="preserve">Cuando las entidades cumplen con los elementos mínimos establecidos en la norma y aquellos adicionales que identifiquen en la etapa de planeación de los </w:t>
      </w:r>
      <w:r w:rsidRPr="0027528C">
        <w:rPr>
          <w:rFonts w:ascii="Verdana" w:hAnsi="Verdana"/>
          <w:bCs/>
          <w:lang w:val="es-ES_tradnl"/>
        </w:rPr>
        <w:t xml:space="preserve">procedimientos de contratación, permiten que los contratos resultantes cuenten con el sustento técnico, económico y jurídico que incidirá </w:t>
      </w:r>
      <w:r w:rsidRPr="0027528C">
        <w:rPr>
          <w:rFonts w:ascii="Verdana" w:hAnsi="Verdana"/>
          <w:lang w:val="es-MX"/>
        </w:rPr>
        <w:t>en una adecuada ejecución.</w:t>
      </w:r>
    </w:p>
    <w:p w14:paraId="53B1469A" w14:textId="77777777" w:rsidR="00660885" w:rsidRPr="0027528C" w:rsidRDefault="00660885" w:rsidP="00660885">
      <w:pPr>
        <w:spacing w:after="120" w:line="276" w:lineRule="auto"/>
        <w:ind w:firstLine="709"/>
        <w:jc w:val="both"/>
        <w:rPr>
          <w:rFonts w:ascii="Verdana" w:hAnsi="Verdana"/>
          <w:lang w:val="es-MX"/>
        </w:rPr>
      </w:pPr>
      <w:r w:rsidRPr="0027528C">
        <w:rPr>
          <w:rFonts w:ascii="Verdana" w:hAnsi="Verdana"/>
          <w:lang w:val="es-MX"/>
        </w:rPr>
        <w:t xml:space="preserve">Mas allá del cumplimiento de la normativa, </w:t>
      </w:r>
      <w:r w:rsidRPr="0027528C">
        <w:rPr>
          <w:rFonts w:ascii="Verdana" w:hAnsi="Verdana"/>
          <w:i/>
          <w:iCs/>
          <w:lang w:val="es-MX"/>
        </w:rPr>
        <w:t>“los estudios y documentos previos son el soporte para elaborar el proyecto de pliegos, los pliegos de condiciones, y el contrato”</w:t>
      </w:r>
      <w:r w:rsidRPr="0027528C">
        <w:rPr>
          <w:rFonts w:ascii="Verdana" w:hAnsi="Verdana"/>
          <w:i/>
          <w:iCs/>
          <w:vertAlign w:val="superscript"/>
          <w:lang w:val="es-MX"/>
        </w:rPr>
        <w:footnoteReference w:id="3"/>
      </w:r>
      <w:r w:rsidRPr="0027528C">
        <w:rPr>
          <w:rFonts w:ascii="Verdana" w:hAnsi="Verdana"/>
          <w:i/>
          <w:iCs/>
          <w:lang w:val="es-MX"/>
        </w:rPr>
        <w:t>,</w:t>
      </w:r>
      <w:r w:rsidRPr="0027528C">
        <w:rPr>
          <w:rFonts w:ascii="Verdana" w:hAnsi="Verdana"/>
          <w:lang w:val="es-MX"/>
        </w:rPr>
        <w:t xml:space="preserve"> por lo que deben publicarse en la etapa precontractual y sirven de motivación para los documentos expedidos unilateralmente por la entidad estatal tales como el acto administrativo de apertura, los pliegos de condiciones y el acto de adjudicación, entre otros.</w:t>
      </w:r>
    </w:p>
    <w:p w14:paraId="52EE6BAB" w14:textId="77777777" w:rsidR="00660885" w:rsidRPr="004A004A" w:rsidRDefault="00660885" w:rsidP="00660885">
      <w:pPr>
        <w:spacing w:after="120" w:line="276" w:lineRule="auto"/>
        <w:ind w:right="105" w:firstLine="709"/>
        <w:jc w:val="both"/>
        <w:rPr>
          <w:rFonts w:ascii="Verdana" w:hAnsi="Verdana"/>
          <w:lang w:val="es-MX"/>
        </w:rPr>
      </w:pPr>
      <w:bookmarkStart w:id="4" w:name="_Hlk54011438"/>
      <w:r w:rsidRPr="004A004A">
        <w:rPr>
          <w:rFonts w:ascii="Verdana" w:hAnsi="Verdana"/>
          <w:lang w:val="es-MX"/>
        </w:rPr>
        <w:t xml:space="preserve">De lo explicado se desprende que los estudios y documentos previos son necesarios antes de la celebración del contrato, pues fundamentan las </w:t>
      </w:r>
      <w:r w:rsidRPr="004A004A">
        <w:rPr>
          <w:rFonts w:ascii="Verdana" w:hAnsi="Verdana"/>
          <w:lang w:val="es-MX"/>
        </w:rPr>
        <w:lastRenderedPageBreak/>
        <w:t>condiciones que la entidad estatal exige en su proceso de contratación. Sin embargo, luego de la suscripción del contrato la entidad no debe actuar unilateralmente, sino que debe respetar la buena fe contractual y proceder de acuerdo con lo pactado</w:t>
      </w:r>
      <w:bookmarkEnd w:id="4"/>
      <w:r w:rsidRPr="004A004A">
        <w:rPr>
          <w:rFonts w:ascii="Verdana" w:hAnsi="Verdana"/>
          <w:vertAlign w:val="superscript"/>
          <w:lang w:val="es-MX"/>
        </w:rPr>
        <w:footnoteReference w:id="4"/>
      </w:r>
      <w:r w:rsidRPr="004A004A">
        <w:rPr>
          <w:rFonts w:ascii="Verdana" w:hAnsi="Verdana"/>
          <w:lang w:val="es-MX"/>
        </w:rPr>
        <w:t>.</w:t>
      </w:r>
    </w:p>
    <w:p w14:paraId="1FA56447" w14:textId="77777777" w:rsidR="00660885" w:rsidRPr="004A004A" w:rsidRDefault="00660885" w:rsidP="00660885">
      <w:pPr>
        <w:spacing w:after="120" w:line="276" w:lineRule="auto"/>
        <w:ind w:firstLine="709"/>
        <w:jc w:val="both"/>
        <w:rPr>
          <w:rFonts w:ascii="Verdana" w:hAnsi="Verdana"/>
          <w:lang w:val="es-ES"/>
        </w:rPr>
      </w:pPr>
      <w:r>
        <w:rPr>
          <w:rFonts w:ascii="Verdana" w:hAnsi="Verdana"/>
          <w:lang w:val="es-ES"/>
        </w:rPr>
        <w:t>Ahora bien</w:t>
      </w:r>
      <w:r w:rsidRPr="004A004A">
        <w:rPr>
          <w:rFonts w:ascii="Verdana" w:hAnsi="Verdana"/>
          <w:lang w:val="es-ES"/>
        </w:rPr>
        <w:t xml:space="preserve">, el carácter prevalente del pliego de condiciones no puede alegarse con la finalidad de transgredir el interés general o el ordenamiento. Sobre este punto el Consejo de Estado ha indicado: </w:t>
      </w:r>
    </w:p>
    <w:p w14:paraId="2704B383" w14:textId="77777777" w:rsidR="00660885" w:rsidRPr="004A004A" w:rsidRDefault="00660885" w:rsidP="00660885">
      <w:pPr>
        <w:spacing w:after="120"/>
        <w:ind w:left="709" w:right="709"/>
        <w:jc w:val="both"/>
        <w:rPr>
          <w:rFonts w:ascii="Verdana" w:hAnsi="Verdana"/>
          <w:sz w:val="20"/>
          <w:szCs w:val="20"/>
          <w:lang w:val="es-ES"/>
        </w:rPr>
      </w:pPr>
      <w:r w:rsidRPr="004A004A">
        <w:rPr>
          <w:rFonts w:ascii="Verdana" w:hAnsi="Verdana"/>
          <w:sz w:val="20"/>
          <w:szCs w:val="20"/>
        </w:rPr>
        <w:t>“Se ha sostenido que, en lo que al contenido respecta, las cláusulas de los pliegos de condiciones admiten una suerte de categorización, en tanto un grupo o categoría de cláusulas cumplen la función práctico-jurídica de determinar las reglas generales con arreglo a las cuales el contrato habrá de ejecutarse, en tanto otro grupo o categoría está orientado a disciplinar el reglamento que habrá de regir el proceso de selección del oferente.</w:t>
      </w:r>
      <w:r w:rsidRPr="004A004A">
        <w:rPr>
          <w:rFonts w:ascii="Verdana" w:hAnsi="Verdana"/>
          <w:sz w:val="20"/>
          <w:szCs w:val="20"/>
        </w:rPr>
        <w:br/>
      </w:r>
      <w:r w:rsidRPr="004A004A">
        <w:rPr>
          <w:rFonts w:ascii="Verdana" w:hAnsi="Verdana"/>
          <w:i/>
          <w:iCs/>
          <w:sz w:val="20"/>
          <w:szCs w:val="20"/>
        </w:rPr>
        <w:t>Pues bien, sea que se trate de las cláusulas cuya función es disciplinar el procedimiento de selección exclusivamente, ya se trate de aquellas que se integran al contenido del contrato estatal, es lo cierto que la Administración no puede establecer criterios irrazonables que no consulten el interés general presente tanto en el proceso de selección como en la ejecución del contrato estatal, so pena de ineficacia de dichas cláusulas predispuestas ante casos de violación mayúscula del ordenamiento jurídico -v. gr., contravención de norma de orden público-, o de exponerse a un control riguroso de contenido por parte del juez del contrato</w:t>
      </w:r>
      <w:r w:rsidRPr="004A004A">
        <w:rPr>
          <w:rFonts w:ascii="Verdana" w:hAnsi="Verdana"/>
          <w:sz w:val="20"/>
          <w:szCs w:val="20"/>
        </w:rPr>
        <w:t>, quien por la vía de la cláusula general de buena fe o, bajo la óptica del principio de objetividad o de igualdad, puede corregir o ajustar el contenido de la cláusula, con el propósito de preservar la eficacia vinculante de la que ha sido predispuesta, garantizando así, en todo caso, la aplicación cabal de los principios informadores de la contratación estatal”</w:t>
      </w:r>
      <w:r w:rsidRPr="004A004A">
        <w:rPr>
          <w:rFonts w:ascii="Verdana" w:hAnsi="Verdana"/>
          <w:sz w:val="20"/>
          <w:szCs w:val="20"/>
          <w:vertAlign w:val="superscript"/>
        </w:rPr>
        <w:footnoteReference w:id="5"/>
      </w:r>
      <w:r w:rsidRPr="004A004A">
        <w:rPr>
          <w:rFonts w:ascii="Verdana" w:hAnsi="Verdana"/>
          <w:sz w:val="20"/>
          <w:szCs w:val="20"/>
        </w:rPr>
        <w:t>.</w:t>
      </w:r>
      <w:r w:rsidRPr="004A004A">
        <w:rPr>
          <w:rFonts w:ascii="Verdana" w:hAnsi="Verdana"/>
          <w:sz w:val="20"/>
          <w:szCs w:val="20"/>
          <w:lang w:val="es-ES"/>
        </w:rPr>
        <w:t xml:space="preserve"> [</w:t>
      </w:r>
      <w:r w:rsidRPr="004A004A">
        <w:rPr>
          <w:rFonts w:ascii="Verdana" w:hAnsi="Verdana" w:cs="Arial"/>
          <w:iCs/>
        </w:rPr>
        <w:t>Énfasis fuera de texto].</w:t>
      </w:r>
    </w:p>
    <w:p w14:paraId="7A677982" w14:textId="77777777" w:rsidR="00660885" w:rsidRDefault="00660885" w:rsidP="00660885">
      <w:pPr>
        <w:spacing w:after="120" w:line="276" w:lineRule="auto"/>
        <w:ind w:firstLine="709"/>
        <w:jc w:val="both"/>
        <w:rPr>
          <w:rFonts w:ascii="Verdana" w:hAnsi="Verdana"/>
          <w:lang w:val="es-ES"/>
        </w:rPr>
      </w:pPr>
      <w:r w:rsidRPr="004A004A">
        <w:rPr>
          <w:rFonts w:ascii="Verdana" w:hAnsi="Verdana"/>
          <w:lang w:val="es-ES"/>
        </w:rPr>
        <w:t xml:space="preserve">De acuerdo con lo anterior, es importante tener en cuenta que el pliego de condiciones definitivo es un acto que surge como resultado de una fase previa de planeación en el marco de la cual se establece su contenido. Tal planeación se expresa en el análisis del sector, ejercicio en el marco del cual, de acuerdo el artículo 2.2.1.1.1.6.2 del Decreto 1082 de 2015, se deben determinar los requisitos habilitantes, así como en los estudios y documentos previos, dentro </w:t>
      </w:r>
      <w:r w:rsidRPr="004A004A">
        <w:rPr>
          <w:rFonts w:ascii="Verdana" w:hAnsi="Verdana"/>
          <w:lang w:val="es-ES"/>
        </w:rPr>
        <w:lastRenderedPageBreak/>
        <w:t xml:space="preserve">de los cuales se deben establecer </w:t>
      </w:r>
      <w:r w:rsidRPr="004A004A">
        <w:rPr>
          <w:rFonts w:ascii="Verdana" w:hAnsi="Verdana"/>
        </w:rPr>
        <w:t xml:space="preserve">los criterios para seleccionar la oferta más favorable, según lo indicado en el numeral 5 del artículo </w:t>
      </w:r>
      <w:r w:rsidRPr="004A004A">
        <w:rPr>
          <w:rFonts w:ascii="Verdana" w:hAnsi="Verdana"/>
          <w:lang w:val="es-ES"/>
        </w:rPr>
        <w:t xml:space="preserve">2.2.1.1.2.1.1 del Decreto 1082 de 2015. En ese sentido, sin perjuicio de las modificaciones que puedan realizarse en respuesta a las observaciones al proyecto de pliego de condiciones, es claro que los requisitos de participación y adjudicación que deben expresarse en el mismo deben guardar relación con lo establecido en los documentos precontractuales expedidos el marco de la planeación, garantizando la selección objetiva. </w:t>
      </w:r>
    </w:p>
    <w:p w14:paraId="6EAD7705"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0FBBF255"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 (Énfasis fuera de texto). </w:t>
      </w:r>
    </w:p>
    <w:p w14:paraId="384C4F91"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No obstante,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Ibídem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6295395A"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artículo 2.2.1.1.1.3.1. </w:t>
      </w:r>
    </w:p>
    <w:p w14:paraId="11C61D12"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En ese sentido, la interpretación sistemática de los preceptos del Decreto 1082 de 2015, de acuerdo con el principio de publicidad, inicialmente, indica que </w:t>
      </w:r>
      <w:r w:rsidRPr="00E91A05">
        <w:rPr>
          <w:rFonts w:ascii="Verdana" w:hAnsi="Verdana"/>
          <w:lang w:val="es-ES"/>
        </w:rPr>
        <w:lastRenderedPageBreak/>
        <w:t>las entidades estatales tienen la obligación de publicar todos los documentos que expidan con ocasión del Proceso de Contratación, esto es, desde la fase de planeación hasta “el vencimiento de las garantías de calidad, estabilidad y mantenimiento, o las condiciones de disposición final o recuperación ambiental de las obras o bienes o el vencimiento del plazo, lo que ocurra más tarde”, lo que significa que todos los documentos expedidos por la entidad durante las etapas precontractual, de ejecución y postcontractual deberán ser publicados en SECOP dentro de los tres (3) días siguientes a su expedición, para  cumplir el deber de publicidad regulado por el artículo 2.2.1.1.1.7.1. del Decreto 1082 de 2015.</w:t>
      </w:r>
    </w:p>
    <w:p w14:paraId="7855FA2D"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En todo caso, de conformidad con la segunda parte del inciso primero del artículo 2.2.1.1.1.7.1 Ibídem, el deber de publicar las actuaciones realizadas en el marco del proceso de contratación, en lo referente a las ofertas presentadas, solo se predica de la propuesta del adjudicatario, así que no es necesario publicar las demás. Sin embargo, eso no quiere decir que las ofertas tengan algún tipo de reserva, toda vez que la audiencia de adjudicación es publica y, además, se permite al interesado consultar el expediente del Proceso de Contratación. En ese sentido, si bien la entidad no está obligada a publicar las ofertas de los demás participantes, lo cierto es que, sobre las mismas, no se presenta reserva legal. Del deber de publicidad, de conformidad con la tercera parte del inciso primero de la referida norma, también se encuentran exentos los documentos de las operaciones que se realicen en bolsa de productos.</w:t>
      </w:r>
    </w:p>
    <w:p w14:paraId="156B8ADC"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El inciso segundo del artículo 2.2.1.1.1.7.1 </w:t>
      </w:r>
      <w:proofErr w:type="spellStart"/>
      <w:r w:rsidRPr="00E91A05">
        <w:rPr>
          <w:rFonts w:ascii="Verdana" w:hAnsi="Verdana"/>
          <w:lang w:val="es-ES"/>
        </w:rPr>
        <w:t>ejusdem</w:t>
      </w:r>
      <w:proofErr w:type="spellEnd"/>
      <w:r w:rsidRPr="00E91A05">
        <w:rPr>
          <w:rFonts w:ascii="Verdana" w:hAnsi="Verdana"/>
          <w:lang w:val="es-ES"/>
        </w:rPr>
        <w:t xml:space="preserve">, hace explícito el deber de las entidades estatales de publicar el aviso de convocatoria con el objeto de que los interesados formulen observaciones al proyecto de pliego de condiciones o soliciten aclaraciones en los términos del artículo 2.2.1.1.2.1.4, deber que hace extensivo a la invitación a participar en procesos de mínima cuantía. No obstante, de conformidad con el inciso final del artículo 2.2.1.1.2.1.2 del Decreto 1082 de 2015, la expedición y publicación en el SECOP del aviso de convocatoria no es necesaria en las modalidades de selección de contratación directa y mínima cuantía. </w:t>
      </w:r>
    </w:p>
    <w:p w14:paraId="59BACCCC"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Proceso de Contratación expedidos durante las etapas precontractual, de ejecución y postcontractual, dentro de los tres (3) días hábiles siguientes a su producción , deber que aplica a todas las </w:t>
      </w:r>
      <w:r w:rsidRPr="00E91A05">
        <w:rPr>
          <w:rFonts w:ascii="Verdana" w:hAnsi="Verdana"/>
          <w:lang w:val="es-ES"/>
        </w:rPr>
        <w:lastRenderedPageBreak/>
        <w:t>modalidades de selección y entidades regidas por el Estatuto General de Contratación de la Administración Pública, y del que solo se encuentran excluidas las ofertas ganadoras y los documentos expedidos en el marco de operaciones de bolsa de productos.</w:t>
      </w:r>
    </w:p>
    <w:p w14:paraId="6E4F94C2" w14:textId="77777777" w:rsidR="00660885" w:rsidRPr="00E91A05" w:rsidRDefault="00660885" w:rsidP="00660885">
      <w:pPr>
        <w:spacing w:after="120" w:line="276" w:lineRule="auto"/>
        <w:ind w:firstLine="709"/>
        <w:jc w:val="both"/>
        <w:rPr>
          <w:rFonts w:ascii="Verdana" w:hAnsi="Verdana"/>
          <w:lang w:val="es-ES"/>
        </w:rPr>
      </w:pPr>
      <w:r w:rsidRPr="00E91A05">
        <w:rPr>
          <w:rFonts w:ascii="Verdana" w:hAnsi="Verdana"/>
          <w:lang w:val="es-ES"/>
        </w:rPr>
        <w:t xml:space="preserve">No obstante, conforme se estableció supra, el deber de publicar los documentos relacionados con la contratación no se encuentra regulado solamente por las normas del Estatuto General de Contratación  de la Administración Pública, ya que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Esta obligación, está reglamentada en el Decreto 1081 de 2015. Este señala, en el artículo 2.1.1.2.1.7, que las entidades deberán publicar en el SECOP la información de su gestión contractual. Por su parte, el artículo 2.1.1.2.1.9 expresa que las entidades deberán publicar los procedimientos, lineamientos y políticas en materia de adquisición, que no son otros que los previstos en el manual de contratación, el cual debe publicarse en el sitio web del sujeto obligado. El artículo 2.1.1.2.1.10 establece la obligación que tienen las entidades de publicar en el SECOP el Plan Anual de Adquisiciones. </w:t>
      </w:r>
    </w:p>
    <w:p w14:paraId="22E6D8EF" w14:textId="732501C2" w:rsidR="00660885" w:rsidRPr="002C0BD3" w:rsidRDefault="00660885" w:rsidP="00660885">
      <w:pPr>
        <w:spacing w:after="120" w:line="276" w:lineRule="auto"/>
        <w:ind w:firstLine="709"/>
        <w:jc w:val="both"/>
        <w:rPr>
          <w:rFonts w:ascii="Verdana" w:hAnsi="Verdana" w:cs="Arial"/>
          <w:lang w:val="es-MX"/>
        </w:rPr>
      </w:pPr>
      <w:r w:rsidRPr="002C0BD3">
        <w:rPr>
          <w:rFonts w:ascii="Verdana" w:hAnsi="Verdana"/>
          <w:lang w:val="es-ES"/>
        </w:rPr>
        <w:t>Finalmente</w:t>
      </w:r>
      <w:r w:rsidRPr="002C0BD3">
        <w:rPr>
          <w:rFonts w:ascii="Verdana" w:hAnsi="Verdana" w:cs="Arial"/>
        </w:rPr>
        <w:t xml:space="preserve">, </w:t>
      </w:r>
      <w:r w:rsidRPr="002C0BD3">
        <w:rPr>
          <w:rFonts w:ascii="Verdana" w:hAnsi="Verdana" w:cs="Arial"/>
          <w:lang w:val="es-MX"/>
        </w:rPr>
        <w:t>se aclara que la publicidad de los contratos estatales debe realizarse a través de SECOP, independientemente del régimen aplicable al contrato o que este implique o no la erogación de recursos públicos, como quiera que las referidas normas no sujetan la obligación de publicar en dicha plataforma a tales condiciones. Esto en la medida en que, independientemente de que se realice alguna erogación o no,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que tengan como parte a una entidad estatal, deberán publicarse en el SECOP independientemente del régimen aplicable o que impliquen o no erogación de recursos públicos.</w:t>
      </w:r>
    </w:p>
    <w:p w14:paraId="045BAADB" w14:textId="12F45CFA" w:rsidR="00660885" w:rsidRDefault="00660885" w:rsidP="00775A7F">
      <w:pPr>
        <w:numPr>
          <w:ilvl w:val="0"/>
          <w:numId w:val="16"/>
        </w:numPr>
        <w:tabs>
          <w:tab w:val="left" w:pos="142"/>
          <w:tab w:val="left" w:pos="284"/>
        </w:tabs>
        <w:spacing w:after="0" w:line="276" w:lineRule="auto"/>
        <w:ind w:left="0" w:firstLine="0"/>
        <w:jc w:val="both"/>
        <w:rPr>
          <w:rFonts w:ascii="Verdana" w:hAnsi="Verdana" w:cs="Century Gothic"/>
          <w:b/>
          <w:lang w:val="es-ES"/>
        </w:rPr>
      </w:pPr>
      <w:r w:rsidRPr="004A004A">
        <w:rPr>
          <w:rFonts w:ascii="Verdana" w:hAnsi="Verdana" w:cs="Century Gothic"/>
          <w:b/>
          <w:bCs/>
          <w:lang w:val="es-ES"/>
        </w:rPr>
        <w:t>Referencias normativas, jurisprudenciales y otras fuentes:</w:t>
      </w:r>
    </w:p>
    <w:p w14:paraId="5B308079" w14:textId="77777777" w:rsidR="00775A7F" w:rsidRPr="00775A7F" w:rsidRDefault="00775A7F" w:rsidP="00775A7F">
      <w:pPr>
        <w:tabs>
          <w:tab w:val="left" w:pos="142"/>
          <w:tab w:val="left" w:pos="284"/>
        </w:tabs>
        <w:spacing w:after="0" w:line="276" w:lineRule="auto"/>
        <w:jc w:val="both"/>
        <w:rPr>
          <w:rFonts w:ascii="Verdana" w:hAnsi="Verdana" w:cs="Century Gothic"/>
          <w:b/>
          <w:bCs/>
          <w:lang w:val="es-ES"/>
        </w:rPr>
      </w:pPr>
    </w:p>
    <w:tbl>
      <w:tblPr>
        <w:tblStyle w:val="Tablaconcuadrcula1"/>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0885" w:rsidRPr="004A004A" w14:paraId="1F4E8889" w14:textId="77777777" w:rsidTr="006622DE">
        <w:trPr>
          <w:trHeight w:val="4949"/>
        </w:trPr>
        <w:tc>
          <w:tcPr>
            <w:tcW w:w="8647" w:type="dxa"/>
          </w:tcPr>
          <w:p w14:paraId="4BB63DAB" w14:textId="77777777" w:rsidR="00660885" w:rsidRPr="004A004A" w:rsidRDefault="00660885" w:rsidP="00660885">
            <w:pPr>
              <w:widowControl w:val="0"/>
              <w:numPr>
                <w:ilvl w:val="0"/>
                <w:numId w:val="17"/>
              </w:numPr>
              <w:autoSpaceDE w:val="0"/>
              <w:autoSpaceDN w:val="0"/>
              <w:spacing w:after="120" w:line="276" w:lineRule="auto"/>
              <w:ind w:left="714" w:hanging="357"/>
              <w:jc w:val="both"/>
              <w:rPr>
                <w:rFonts w:ascii="Verdana" w:hAnsi="Verdana" w:cs="Arial"/>
                <w:lang w:val="es-ES"/>
              </w:rPr>
            </w:pPr>
            <w:r w:rsidRPr="004A004A">
              <w:rPr>
                <w:rFonts w:ascii="Verdana" w:hAnsi="Verdana" w:cs="Arial"/>
                <w:lang w:val="es-ES"/>
              </w:rPr>
              <w:lastRenderedPageBreak/>
              <w:t>Ley 80 de 1993, artículos 25, numeral 2.</w:t>
            </w:r>
          </w:p>
          <w:p w14:paraId="2968A61C" w14:textId="77777777" w:rsidR="00660885" w:rsidRPr="004A004A" w:rsidRDefault="00660885" w:rsidP="00660885">
            <w:pPr>
              <w:widowControl w:val="0"/>
              <w:numPr>
                <w:ilvl w:val="0"/>
                <w:numId w:val="17"/>
              </w:numPr>
              <w:autoSpaceDE w:val="0"/>
              <w:autoSpaceDN w:val="0"/>
              <w:spacing w:after="120" w:line="276" w:lineRule="auto"/>
              <w:ind w:left="714" w:hanging="357"/>
              <w:jc w:val="both"/>
              <w:rPr>
                <w:rFonts w:ascii="Verdana" w:hAnsi="Verdana" w:cs="Arial"/>
                <w:lang w:val="es-ES"/>
              </w:rPr>
            </w:pPr>
            <w:r w:rsidRPr="004A004A">
              <w:rPr>
                <w:rFonts w:ascii="Verdana" w:hAnsi="Verdana" w:cs="Arial"/>
                <w:lang w:val="es-ES"/>
              </w:rPr>
              <w:t xml:space="preserve">Ley 1150 de 2007, artículo 5.   </w:t>
            </w:r>
          </w:p>
          <w:p w14:paraId="2EB9439C" w14:textId="77777777" w:rsidR="00660885" w:rsidRPr="004A004A" w:rsidRDefault="00660885" w:rsidP="00660885">
            <w:pPr>
              <w:widowControl w:val="0"/>
              <w:numPr>
                <w:ilvl w:val="0"/>
                <w:numId w:val="17"/>
              </w:numPr>
              <w:autoSpaceDE w:val="0"/>
              <w:autoSpaceDN w:val="0"/>
              <w:spacing w:after="120" w:line="276" w:lineRule="auto"/>
              <w:ind w:left="714" w:hanging="357"/>
              <w:jc w:val="both"/>
              <w:rPr>
                <w:rFonts w:ascii="Verdana" w:hAnsi="Verdana" w:cs="Arial"/>
                <w:lang w:val="es-ES"/>
              </w:rPr>
            </w:pPr>
            <w:r w:rsidRPr="004A004A">
              <w:rPr>
                <w:rFonts w:ascii="Verdana" w:hAnsi="Verdana" w:cs="Arial"/>
                <w:lang w:val="es-ES"/>
              </w:rPr>
              <w:t>Ley 2069 de 2020, artículo 32.</w:t>
            </w:r>
          </w:p>
          <w:p w14:paraId="14637D6F" w14:textId="77777777" w:rsidR="00660885" w:rsidRDefault="00660885" w:rsidP="00660885">
            <w:pPr>
              <w:widowControl w:val="0"/>
              <w:numPr>
                <w:ilvl w:val="0"/>
                <w:numId w:val="17"/>
              </w:numPr>
              <w:autoSpaceDE w:val="0"/>
              <w:autoSpaceDN w:val="0"/>
              <w:spacing w:after="120" w:line="276" w:lineRule="auto"/>
              <w:ind w:left="714" w:hanging="357"/>
              <w:jc w:val="both"/>
              <w:rPr>
                <w:rFonts w:ascii="Verdana" w:hAnsi="Verdana" w:cs="Arial"/>
                <w:lang w:val="es-ES"/>
              </w:rPr>
            </w:pPr>
            <w:r w:rsidRPr="004A004A">
              <w:rPr>
                <w:rFonts w:ascii="Verdana" w:hAnsi="Verdana" w:cs="Arial"/>
                <w:lang w:val="es-ES"/>
              </w:rPr>
              <w:t xml:space="preserve">Decreto 1082 de 2015, artículos </w:t>
            </w:r>
            <w:r w:rsidRPr="004A004A">
              <w:rPr>
                <w:rFonts w:ascii="Verdana" w:hAnsi="Verdana"/>
                <w:lang w:val="es-ES"/>
              </w:rPr>
              <w:t xml:space="preserve">2.2.1.1.1.6.2, </w:t>
            </w:r>
            <w:r w:rsidRPr="004A004A">
              <w:rPr>
                <w:rFonts w:ascii="Verdana" w:hAnsi="Verdana" w:cs="Arial"/>
                <w:lang w:val="es-ES"/>
              </w:rPr>
              <w:t>2.2.1.1.2.1.1, 2.2.1.1.2.1.3 y 2.2.1.2.4.2.15.</w:t>
            </w:r>
          </w:p>
          <w:p w14:paraId="47CFC2EC" w14:textId="77777777" w:rsidR="00660885" w:rsidRPr="004A004A" w:rsidRDefault="00660885" w:rsidP="00660885">
            <w:pPr>
              <w:widowControl w:val="0"/>
              <w:numPr>
                <w:ilvl w:val="0"/>
                <w:numId w:val="17"/>
              </w:numPr>
              <w:autoSpaceDE w:val="0"/>
              <w:autoSpaceDN w:val="0"/>
              <w:spacing w:after="120" w:line="276" w:lineRule="auto"/>
              <w:ind w:left="714" w:hanging="357"/>
              <w:jc w:val="both"/>
              <w:rPr>
                <w:rFonts w:ascii="Verdana" w:hAnsi="Verdana" w:cs="Arial"/>
                <w:lang w:val="es-ES"/>
              </w:rPr>
            </w:pPr>
            <w:r w:rsidRPr="00275EAB">
              <w:rPr>
                <w:rFonts w:ascii="Verdana" w:hAnsi="Verdana" w:cs="Arial"/>
                <w:lang w:val="es-ES"/>
              </w:rPr>
              <w:t>Decreto 1082 de 2015</w:t>
            </w:r>
            <w:r>
              <w:rPr>
                <w:rFonts w:ascii="Verdana" w:hAnsi="Verdana" w:cs="Arial"/>
                <w:lang w:val="es-ES"/>
              </w:rPr>
              <w:t>,</w:t>
            </w:r>
            <w:r w:rsidRPr="00275EAB">
              <w:rPr>
                <w:rFonts w:ascii="Arial" w:hAnsi="Arial" w:cs="Arial"/>
                <w:lang w:val="es-ES" w:eastAsia="es-ES_tradnl"/>
              </w:rPr>
              <w:t xml:space="preserve"> </w:t>
            </w:r>
            <w:r w:rsidRPr="00275EAB">
              <w:rPr>
                <w:rFonts w:ascii="Verdana" w:hAnsi="Verdana" w:cs="Arial"/>
                <w:lang w:val="es-ES"/>
              </w:rPr>
              <w:t>artículo 2.2.1.1.1.7.1</w:t>
            </w:r>
          </w:p>
          <w:p w14:paraId="0875A909" w14:textId="77777777" w:rsidR="00660885" w:rsidRPr="004A004A" w:rsidRDefault="00660885" w:rsidP="00660885">
            <w:pPr>
              <w:widowControl w:val="0"/>
              <w:numPr>
                <w:ilvl w:val="0"/>
                <w:numId w:val="17"/>
              </w:numPr>
              <w:autoSpaceDE w:val="0"/>
              <w:autoSpaceDN w:val="0"/>
              <w:spacing w:after="120" w:line="276" w:lineRule="auto"/>
              <w:ind w:left="714" w:hanging="357"/>
              <w:jc w:val="both"/>
              <w:rPr>
                <w:rFonts w:ascii="Verdana" w:hAnsi="Verdana" w:cs="Arial"/>
                <w:lang w:val="es-ES"/>
              </w:rPr>
            </w:pPr>
            <w:r w:rsidRPr="004A004A">
              <w:rPr>
                <w:rFonts w:ascii="Verdana" w:hAnsi="Verdana" w:cs="Arial"/>
                <w:lang w:val="es-ES"/>
              </w:rPr>
              <w:t xml:space="preserve">Decreto 1860 de 2021, artículo 3. </w:t>
            </w:r>
          </w:p>
          <w:p w14:paraId="24E274D2" w14:textId="77777777" w:rsidR="00660885" w:rsidRPr="004A004A" w:rsidRDefault="00660885" w:rsidP="00660885">
            <w:pPr>
              <w:numPr>
                <w:ilvl w:val="0"/>
                <w:numId w:val="17"/>
              </w:numPr>
              <w:jc w:val="both"/>
              <w:rPr>
                <w:rFonts w:ascii="Verdana" w:hAnsi="Verdana" w:cs="Arial"/>
                <w:color w:val="000000"/>
                <w:lang w:val="es-MX"/>
              </w:rPr>
            </w:pPr>
            <w:r w:rsidRPr="004A004A">
              <w:rPr>
                <w:rFonts w:ascii="Verdana" w:hAnsi="Verdana" w:cs="Arial"/>
                <w:color w:val="000000"/>
                <w:lang w:val="es-MX"/>
              </w:rPr>
              <w:t>CORTE CONSTITUCIONAL. Sentencia C-128 de 2003. M.P. Álvaro Tafur Galvis.</w:t>
            </w:r>
          </w:p>
          <w:p w14:paraId="1EA858C2" w14:textId="77777777" w:rsidR="00660885" w:rsidRPr="004A004A" w:rsidRDefault="00660885" w:rsidP="00A3378E">
            <w:pPr>
              <w:jc w:val="both"/>
              <w:rPr>
                <w:rFonts w:ascii="Verdana" w:hAnsi="Verdana"/>
                <w:lang w:val="es-MX"/>
              </w:rPr>
            </w:pPr>
          </w:p>
          <w:p w14:paraId="3B61D45B" w14:textId="77777777" w:rsidR="00660885" w:rsidRPr="004A004A" w:rsidRDefault="00660885" w:rsidP="00660885">
            <w:pPr>
              <w:numPr>
                <w:ilvl w:val="0"/>
                <w:numId w:val="17"/>
              </w:numPr>
              <w:contextualSpacing/>
              <w:jc w:val="both"/>
              <w:rPr>
                <w:rFonts w:ascii="Verdana" w:hAnsi="Verdana"/>
                <w:lang w:val="es-ES"/>
              </w:rPr>
            </w:pPr>
            <w:r w:rsidRPr="004A004A">
              <w:rPr>
                <w:rFonts w:ascii="Verdana" w:hAnsi="Verdana"/>
                <w:lang w:val="es-ES"/>
              </w:rPr>
              <w:t xml:space="preserve">CONSEJO DE ESTADO, Sección Tercera, Sentencia del 3 de mayo de 1999, </w:t>
            </w:r>
            <w:proofErr w:type="spellStart"/>
            <w:r w:rsidRPr="004A004A">
              <w:rPr>
                <w:rFonts w:ascii="Verdana" w:hAnsi="Verdana"/>
                <w:lang w:val="es-ES"/>
              </w:rPr>
              <w:t>Exp</w:t>
            </w:r>
            <w:proofErr w:type="spellEnd"/>
            <w:r w:rsidRPr="004A004A">
              <w:rPr>
                <w:rFonts w:ascii="Verdana" w:hAnsi="Verdana"/>
                <w:lang w:val="es-ES"/>
              </w:rPr>
              <w:t>. No. 12344, C.P. Daniel Suarez Hernández.</w:t>
            </w:r>
          </w:p>
          <w:p w14:paraId="331C84A5" w14:textId="77777777" w:rsidR="00660885" w:rsidRPr="004A004A" w:rsidRDefault="00660885" w:rsidP="00A3378E">
            <w:pPr>
              <w:jc w:val="both"/>
              <w:rPr>
                <w:rFonts w:ascii="Verdana" w:hAnsi="Verdana"/>
              </w:rPr>
            </w:pPr>
          </w:p>
          <w:p w14:paraId="681982C2" w14:textId="77777777" w:rsidR="00660885" w:rsidRPr="004A004A" w:rsidRDefault="00660885" w:rsidP="00660885">
            <w:pPr>
              <w:numPr>
                <w:ilvl w:val="0"/>
                <w:numId w:val="17"/>
              </w:numPr>
              <w:jc w:val="both"/>
              <w:rPr>
                <w:rFonts w:ascii="Verdana" w:hAnsi="Verdana"/>
                <w:lang w:val="es-MX"/>
              </w:rPr>
            </w:pPr>
            <w:r w:rsidRPr="004A004A">
              <w:rPr>
                <w:rFonts w:ascii="Verdana" w:hAnsi="Verdana"/>
                <w:lang w:val="es-MX"/>
              </w:rPr>
              <w:t xml:space="preserve">CONSEJO DE ESTADO, Sección Tercera, Sentencia del 29 de enero de 2004, C.P. Alier Eduardo Hernández Enríquez, </w:t>
            </w:r>
            <w:proofErr w:type="spellStart"/>
            <w:r w:rsidRPr="004A004A">
              <w:rPr>
                <w:rFonts w:ascii="Verdana" w:hAnsi="Verdana"/>
                <w:lang w:val="es-MX"/>
              </w:rPr>
              <w:t>Exp</w:t>
            </w:r>
            <w:proofErr w:type="spellEnd"/>
            <w:r w:rsidRPr="004A004A">
              <w:rPr>
                <w:rFonts w:ascii="Verdana" w:hAnsi="Verdana"/>
                <w:lang w:val="es-MX"/>
              </w:rPr>
              <w:t xml:space="preserve">. No. 10.779.  </w:t>
            </w:r>
          </w:p>
          <w:p w14:paraId="7C45DD7A" w14:textId="77777777" w:rsidR="00660885" w:rsidRPr="004A004A" w:rsidRDefault="00660885" w:rsidP="00CB03B2">
            <w:pPr>
              <w:ind w:left="720"/>
              <w:jc w:val="both"/>
              <w:rPr>
                <w:rFonts w:ascii="Verdana" w:hAnsi="Verdana" w:cs="Arial"/>
                <w:lang w:val="es-ES"/>
              </w:rPr>
            </w:pPr>
          </w:p>
        </w:tc>
      </w:tr>
    </w:tbl>
    <w:p w14:paraId="22D8A2F3" w14:textId="77777777" w:rsidR="00660885" w:rsidRPr="004A004A" w:rsidRDefault="00660885" w:rsidP="00660885">
      <w:pPr>
        <w:widowControl w:val="0"/>
        <w:autoSpaceDE w:val="0"/>
        <w:autoSpaceDN w:val="0"/>
        <w:spacing w:line="276" w:lineRule="auto"/>
        <w:jc w:val="both"/>
        <w:rPr>
          <w:rFonts w:ascii="Verdana" w:hAnsi="Verdana" w:cs="Arial"/>
        </w:rPr>
      </w:pPr>
    </w:p>
    <w:p w14:paraId="705994C6" w14:textId="6C2BACAC" w:rsidR="00660885" w:rsidRDefault="00660885" w:rsidP="006622DE">
      <w:pPr>
        <w:numPr>
          <w:ilvl w:val="0"/>
          <w:numId w:val="16"/>
        </w:numPr>
        <w:tabs>
          <w:tab w:val="left" w:pos="142"/>
          <w:tab w:val="left" w:pos="284"/>
        </w:tabs>
        <w:spacing w:after="0" w:line="276" w:lineRule="auto"/>
        <w:ind w:left="0" w:firstLine="0"/>
        <w:jc w:val="both"/>
        <w:rPr>
          <w:rFonts w:ascii="Verdana" w:hAnsi="Verdana" w:cs="Century Gothic"/>
          <w:b/>
          <w:lang w:val="es-ES"/>
        </w:rPr>
      </w:pPr>
      <w:r w:rsidRPr="004A004A">
        <w:rPr>
          <w:rFonts w:ascii="Verdana" w:hAnsi="Verdana" w:cs="Century Gothic"/>
          <w:b/>
          <w:bCs/>
          <w:lang w:val="es-ES"/>
        </w:rPr>
        <w:t>Doctrina de la Agencia Nacional de Contratación Pública:</w:t>
      </w:r>
    </w:p>
    <w:p w14:paraId="358EBDA9" w14:textId="77777777" w:rsidR="006622DE" w:rsidRPr="006622DE" w:rsidRDefault="006622DE" w:rsidP="006622DE">
      <w:pPr>
        <w:tabs>
          <w:tab w:val="left" w:pos="142"/>
          <w:tab w:val="left" w:pos="284"/>
        </w:tabs>
        <w:spacing w:after="0" w:line="276" w:lineRule="auto"/>
        <w:jc w:val="both"/>
        <w:rPr>
          <w:rFonts w:ascii="Verdana" w:hAnsi="Verdana" w:cs="Century Gothic"/>
          <w:b/>
          <w:bCs/>
          <w:lang w:val="es-ES"/>
        </w:rPr>
      </w:pPr>
    </w:p>
    <w:p w14:paraId="11BF709B" w14:textId="268178AC" w:rsidR="00660885" w:rsidRPr="00775A7F" w:rsidRDefault="00660885" w:rsidP="00775A7F">
      <w:pPr>
        <w:jc w:val="both"/>
        <w:rPr>
          <w:rFonts w:ascii="Verdana" w:hAnsi="Verdana" w:cs="Calibri"/>
          <w:shd w:val="clear" w:color="auto" w:fill="FFFFFF"/>
        </w:rPr>
      </w:pPr>
      <w:r w:rsidRPr="004A004A">
        <w:rPr>
          <w:rFonts w:ascii="Verdana" w:hAnsi="Verdana" w:cs="Arial"/>
          <w:shd w:val="clear" w:color="auto" w:fill="FFFFFF"/>
          <w:lang w:val="es-ES"/>
        </w:rPr>
        <w:t xml:space="preserve">Sobre </w:t>
      </w:r>
      <w:r w:rsidRPr="004A004A">
        <w:rPr>
          <w:rFonts w:ascii="Verdana" w:hAnsi="Verdana" w:cs="Arial"/>
          <w:bCs/>
          <w:lang w:eastAsia="es-ES_tradnl"/>
        </w:rPr>
        <w:t>los estudios previos, planeación en los procesos de contratación pública</w:t>
      </w:r>
      <w:r w:rsidRPr="004A004A">
        <w:rPr>
          <w:rFonts w:ascii="Verdana" w:hAnsi="Verdana" w:cs="Arial"/>
          <w:bCs/>
          <w:lang w:val="es-ES_tradnl" w:eastAsia="es-ES_tradnl"/>
        </w:rPr>
        <w:t xml:space="preserve">, </w:t>
      </w:r>
      <w:r w:rsidRPr="004A004A">
        <w:rPr>
          <w:rFonts w:ascii="Verdana" w:hAnsi="Verdana" w:cs="Arial"/>
          <w:bCs/>
          <w:lang w:val="es-ES" w:eastAsia="es-ES"/>
        </w:rPr>
        <w:t>pliego de condiciones, su naturaleza,</w:t>
      </w:r>
      <w:r w:rsidRPr="004A004A">
        <w:rPr>
          <w:rFonts w:ascii="Verdana" w:hAnsi="Verdana" w:cs="Arial"/>
          <w:bCs/>
          <w:lang w:val="es-MX" w:eastAsia="es-ES"/>
        </w:rPr>
        <w:t xml:space="preserve"> claridad y precisión de su contenido</w:t>
      </w:r>
      <w:r w:rsidRPr="004A004A">
        <w:rPr>
          <w:rFonts w:ascii="Verdana" w:hAnsi="Verdana" w:cs="Arial"/>
          <w:shd w:val="clear" w:color="auto" w:fill="FFFFFF"/>
          <w:lang w:val="es-ES"/>
        </w:rPr>
        <w:t xml:space="preserve"> se pronunció esta Subdirección en los conceptos</w:t>
      </w:r>
      <w:r w:rsidRPr="004A004A">
        <w:rPr>
          <w:rFonts w:ascii="Verdana" w:hAnsi="Verdana" w:cs="Calibri"/>
          <w:shd w:val="clear" w:color="auto" w:fill="FFFFFF"/>
        </w:rPr>
        <w:t xml:space="preserve"> C-218 de 13 julio del 2023, C-274 de 14 julio del 2023, C-309 de 28 julio del 2023, C-344 de 18 agosto del 2023, C-346 de 25 agosto del 2023, C-297 de 3 octubre del 2023, C-201 de 26 octubre de 2023, C-144 de 6 diciembre del 2023, C-440 de 12 diciembre del 2023, C-001 de 25 enero del 2024, C-030 de 9 abril del 2024, C-053 de 7 mayo del 2024</w:t>
      </w:r>
      <w:r w:rsidRPr="004A004A">
        <w:rPr>
          <w:rFonts w:ascii="Verdana" w:hAnsi="Verdana" w:cs="Arial"/>
          <w:shd w:val="clear" w:color="auto" w:fill="FFFFFF"/>
          <w:lang w:val="es-ES"/>
        </w:rPr>
        <w:t xml:space="preserve">. </w:t>
      </w:r>
      <w:r w:rsidRPr="004A004A">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4A004A">
          <w:rPr>
            <w:rFonts w:ascii="Verdana" w:hAnsi="Verdana" w:cs="Arial"/>
            <w:color w:val="0000FF"/>
            <w:u w:val="single"/>
            <w:shd w:val="clear" w:color="auto" w:fill="FFFFFF"/>
          </w:rPr>
          <w:t>https://relatoria.colombiacompra.gov.co/</w:t>
        </w:r>
      </w:hyperlink>
      <w:r w:rsidRPr="004A004A">
        <w:rPr>
          <w:rFonts w:ascii="Verdana" w:hAnsi="Verdana" w:cs="Arial"/>
          <w:shd w:val="clear" w:color="auto" w:fill="FFFFFF"/>
        </w:rPr>
        <w:t> . Te invitamos también a revisar la tercera edición del  Boletín de Relatoría de 2024 en el cual podrás consultar en detalle el marco normativo de documentos tipo: </w:t>
      </w:r>
      <w:hyperlink r:id="rId13" w:tgtFrame="_blank" w:tooltip="Dirección URL original: https://www.colombiacompra.gov.co/sites/cce_public/files/files_2020/boletin_de_realtoria_iii.pdf. Haga clic o pulse si confía en este vínculo." w:history="1">
        <w:r w:rsidRPr="004A004A">
          <w:rPr>
            <w:rFonts w:ascii="Verdana" w:hAnsi="Verdana" w:cs="Arial"/>
            <w:color w:val="0000FF"/>
            <w:u w:val="single"/>
            <w:shd w:val="clear" w:color="auto" w:fill="FFFFFF"/>
          </w:rPr>
          <w:t>https://www.colombiacompra.gov.co/sites/cce_public/files/files_2020/boletin_de_realtoria_iii.pdf</w:t>
        </w:r>
      </w:hyperlink>
      <w:r w:rsidRPr="004A004A">
        <w:rPr>
          <w:rFonts w:ascii="Verdana" w:hAnsi="Verdana" w:cs="Arial"/>
          <w:shd w:val="clear" w:color="auto" w:fill="FFFFFF"/>
        </w:rPr>
        <w:t> ".  </w:t>
      </w:r>
    </w:p>
    <w:p w14:paraId="784F9876" w14:textId="77777777" w:rsidR="00660885" w:rsidRPr="004A004A" w:rsidRDefault="00660885" w:rsidP="00660885">
      <w:pPr>
        <w:widowControl w:val="0"/>
        <w:autoSpaceDE w:val="0"/>
        <w:autoSpaceDN w:val="0"/>
        <w:spacing w:line="276" w:lineRule="auto"/>
        <w:jc w:val="both"/>
        <w:rPr>
          <w:rFonts w:ascii="Verdana" w:hAnsi="Verdana" w:cs="Arial"/>
          <w:shd w:val="clear" w:color="auto" w:fill="FFFFFF"/>
        </w:rPr>
      </w:pPr>
      <w:r w:rsidRPr="004A004A">
        <w:rPr>
          <w:rFonts w:ascii="Verdana" w:hAnsi="Verdana" w:cs="Arial"/>
          <w:shd w:val="clear" w:color="auto" w:fill="FFFFFF"/>
        </w:rPr>
        <w:t xml:space="preserve">De otra parte, te informamos que entre el 15 al 29 de agosto de 2024 estará disponible para comentarios la Guía para Promover la Participación de las </w:t>
      </w:r>
      <w:r w:rsidRPr="004A004A">
        <w:rPr>
          <w:rFonts w:ascii="Verdana" w:hAnsi="Verdana" w:cs="Arial"/>
          <w:shd w:val="clear" w:color="auto" w:fill="FFFFFF"/>
        </w:rPr>
        <w:lastRenderedPageBreak/>
        <w:t>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4" w:tgtFrame="_blank" w:tooltip="Dirección URL original: https://www.sucop.gov.co/entidades/colombiacompra/Normativa?IDNorma=17363. Haga clic o pulse si confía en este vínculo." w:history="1">
        <w:r w:rsidRPr="004A004A">
          <w:rPr>
            <w:rFonts w:ascii="Verdana" w:hAnsi="Verdana" w:cs="Arial"/>
            <w:color w:val="0000FF"/>
            <w:u w:val="single"/>
            <w:shd w:val="clear" w:color="auto" w:fill="FFFFFF"/>
          </w:rPr>
          <w:t>https://www.sucop.gov.co/entidades/colombiacompra/Normativa?IDNorma=17363</w:t>
        </w:r>
      </w:hyperlink>
      <w:r w:rsidRPr="004A004A">
        <w:rPr>
          <w:rFonts w:ascii="Verdana" w:hAnsi="Verdana" w:cs="Arial"/>
          <w:shd w:val="clear" w:color="auto" w:fill="FFFFFF"/>
        </w:rPr>
        <w:t> y </w:t>
      </w:r>
      <w:hyperlink r:id="rId15" w:tgtFrame="_blank" w:tooltip="Dirección URL original: https://www.colombiacompra.gov.co/content/convocatorias. Haga clic o pulse si confía en este vínculo." w:history="1">
        <w:r w:rsidRPr="004A004A">
          <w:rPr>
            <w:rFonts w:ascii="Verdana" w:hAnsi="Verdana" w:cs="Arial"/>
            <w:color w:val="0000FF"/>
            <w:u w:val="single"/>
            <w:shd w:val="clear" w:color="auto" w:fill="FFFFFF"/>
          </w:rPr>
          <w:t>https://www.colombiacompra.gov.co/content/convocatorias</w:t>
        </w:r>
      </w:hyperlink>
      <w:r w:rsidRPr="004A004A">
        <w:rPr>
          <w:rFonts w:ascii="Verdana" w:hAnsi="Verdana" w:cs="Arial"/>
          <w:shd w:val="clear" w:color="auto" w:fill="FFFFFF"/>
        </w:rPr>
        <w:t> </w:t>
      </w:r>
    </w:p>
    <w:p w14:paraId="24447688" w14:textId="2C85FC96" w:rsidR="00660885" w:rsidRPr="004A004A" w:rsidRDefault="00660885" w:rsidP="00660885">
      <w:pPr>
        <w:jc w:val="both"/>
        <w:rPr>
          <w:rFonts w:ascii="Verdana" w:hAnsi="Verdana"/>
        </w:rPr>
      </w:pPr>
      <w:r w:rsidRPr="004A004A">
        <w:rPr>
          <w:rFonts w:ascii="Verdana" w:hAnsi="Verdana"/>
        </w:rPr>
        <w:t xml:space="preserve">Por último, lo invitamos a seguirnos en las redes sociales en las cuales se difunde información institucional: </w:t>
      </w:r>
    </w:p>
    <w:p w14:paraId="7183F9FF" w14:textId="77777777" w:rsidR="00660885" w:rsidRPr="004A004A" w:rsidRDefault="00660885" w:rsidP="00660885">
      <w:pPr>
        <w:jc w:val="both"/>
        <w:rPr>
          <w:rFonts w:ascii="Verdana" w:hAnsi="Verdana"/>
        </w:rPr>
      </w:pPr>
      <w:r w:rsidRPr="004A004A">
        <w:rPr>
          <w:rFonts w:ascii="Verdana" w:hAnsi="Verdana"/>
        </w:rPr>
        <w:t xml:space="preserve">Twitter: </w:t>
      </w:r>
      <w:r w:rsidRPr="004A004A">
        <w:rPr>
          <w:rFonts w:ascii="Verdana" w:hAnsi="Verdana"/>
          <w:color w:val="4472C4"/>
          <w:u w:val="single"/>
        </w:rPr>
        <w:t>@colombiacompra</w:t>
      </w:r>
      <w:r w:rsidRPr="004A004A">
        <w:rPr>
          <w:rFonts w:ascii="Verdana" w:hAnsi="Verdana"/>
          <w:color w:val="4472C4"/>
        </w:rPr>
        <w:t xml:space="preserve"> </w:t>
      </w:r>
    </w:p>
    <w:p w14:paraId="6F1AAD7C" w14:textId="77777777" w:rsidR="00660885" w:rsidRPr="004A004A" w:rsidRDefault="00660885" w:rsidP="00660885">
      <w:pPr>
        <w:jc w:val="both"/>
        <w:rPr>
          <w:rFonts w:ascii="Verdana" w:hAnsi="Verdana"/>
        </w:rPr>
      </w:pPr>
      <w:r w:rsidRPr="004A004A">
        <w:rPr>
          <w:rFonts w:ascii="Verdana" w:hAnsi="Verdana"/>
        </w:rPr>
        <w:t xml:space="preserve">Facebook: </w:t>
      </w:r>
      <w:proofErr w:type="spellStart"/>
      <w:r w:rsidRPr="004A004A">
        <w:rPr>
          <w:rFonts w:ascii="Verdana" w:hAnsi="Verdana"/>
          <w:color w:val="4472C4"/>
          <w:u w:val="single"/>
        </w:rPr>
        <w:t>ColombiaCompraEficiente</w:t>
      </w:r>
      <w:proofErr w:type="spellEnd"/>
    </w:p>
    <w:p w14:paraId="251C2D39" w14:textId="47538C9A" w:rsidR="00660885" w:rsidRPr="006622DE" w:rsidRDefault="00660885" w:rsidP="006622DE">
      <w:pPr>
        <w:jc w:val="both"/>
        <w:rPr>
          <w:rFonts w:ascii="Verdana" w:hAnsi="Verdana"/>
        </w:rPr>
      </w:pPr>
      <w:r w:rsidRPr="004A004A">
        <w:rPr>
          <w:rFonts w:ascii="Verdana" w:hAnsi="Verdana"/>
        </w:rPr>
        <w:t xml:space="preserve">LinkedIn: </w:t>
      </w:r>
      <w:r w:rsidRPr="004A004A">
        <w:rPr>
          <w:rFonts w:ascii="Verdana" w:hAnsi="Verdana"/>
          <w:color w:val="4472C4"/>
          <w:u w:val="single"/>
        </w:rPr>
        <w:t>Agencia Nacional de Contratación Pública - Colombia Compra Eficiente</w:t>
      </w:r>
      <w:r w:rsidRPr="004A004A">
        <w:rPr>
          <w:rFonts w:ascii="Verdana" w:hAnsi="Verdana"/>
          <w:color w:val="4472C4"/>
        </w:rPr>
        <w:t xml:space="preserve"> </w:t>
      </w:r>
      <w:r w:rsidRPr="004A004A">
        <w:rPr>
          <w:rFonts w:ascii="Verdana" w:hAnsi="Verdana"/>
        </w:rPr>
        <w:t xml:space="preserve">Instagram: </w:t>
      </w:r>
      <w:r w:rsidRPr="004A004A">
        <w:rPr>
          <w:rFonts w:ascii="Verdana" w:hAnsi="Verdana"/>
          <w:color w:val="4472C4"/>
          <w:u w:val="single"/>
        </w:rPr>
        <w:t>@colombiacompraeficiente_cce</w:t>
      </w:r>
    </w:p>
    <w:p w14:paraId="2206364F" w14:textId="115827BA" w:rsidR="00660885" w:rsidRPr="006622DE" w:rsidRDefault="00660885" w:rsidP="00660885">
      <w:pPr>
        <w:widowControl w:val="0"/>
        <w:autoSpaceDE w:val="0"/>
        <w:autoSpaceDN w:val="0"/>
        <w:spacing w:line="276" w:lineRule="auto"/>
        <w:jc w:val="both"/>
        <w:rPr>
          <w:rFonts w:ascii="Verdana" w:hAnsi="Verdana" w:cs="Arial"/>
          <w:lang w:val="es-ES_tradnl"/>
        </w:rPr>
      </w:pPr>
      <w:r w:rsidRPr="004A004A">
        <w:rPr>
          <w:rFonts w:ascii="Verdana" w:hAnsi="Verdana" w:cs="Arial"/>
        </w:rPr>
        <w:t xml:space="preserve">Este concepto tiene el alcance previsto en el artículo 28 del Código de Procedimiento Administrativo y de lo Contencioso Administrativo </w:t>
      </w:r>
      <w:r w:rsidRPr="004A004A">
        <w:rPr>
          <w:rFonts w:ascii="Verdana" w:hAnsi="Verdana" w:cs="Arial"/>
          <w:lang w:val="es-ES_tradnl"/>
        </w:rPr>
        <w:t>y las expresiones aquí utilizadas con mayúscula inicial deben ser entendidas con el significado que les otorga el artículo 2.2.1.1.1.3.1. del Decreto 1082 de 2015.</w:t>
      </w:r>
    </w:p>
    <w:p w14:paraId="3C13AE2D" w14:textId="0D825A92" w:rsidR="00660885" w:rsidRPr="00017AE3" w:rsidRDefault="00660885" w:rsidP="00660885">
      <w:pPr>
        <w:rPr>
          <w:rFonts w:ascii="Verdana" w:hAnsi="Verdana" w:cs="Arial"/>
        </w:rPr>
      </w:pPr>
      <w:r w:rsidRPr="004A004A">
        <w:rPr>
          <w:rFonts w:ascii="Verdana" w:hAnsi="Verdana" w:cs="Arial"/>
        </w:rPr>
        <w:t xml:space="preserve">Atentamente, </w:t>
      </w:r>
    </w:p>
    <w:p w14:paraId="5A0DC9FD" w14:textId="5CD95AF8" w:rsidR="00660885" w:rsidRDefault="00EB0D4D" w:rsidP="00660885">
      <w:r>
        <w:rPr>
          <w:noProof/>
        </w:rPr>
        <w:drawing>
          <wp:anchor distT="0" distB="0" distL="114300" distR="114300" simplePos="0" relativeHeight="251660288" behindDoc="1" locked="0" layoutInCell="1" allowOverlap="1" wp14:anchorId="1EE6F601" wp14:editId="3669C0B0">
            <wp:simplePos x="0" y="0"/>
            <wp:positionH relativeFrom="column">
              <wp:posOffset>900430</wp:posOffset>
            </wp:positionH>
            <wp:positionV relativeFrom="paragraph">
              <wp:posOffset>72390</wp:posOffset>
            </wp:positionV>
            <wp:extent cx="3705225" cy="1373505"/>
            <wp:effectExtent l="0" t="0" r="9525" b="0"/>
            <wp:wrapTight wrapText="bothSides">
              <wp:wrapPolygon edited="0">
                <wp:start x="0" y="0"/>
                <wp:lineTo x="0" y="21270"/>
                <wp:lineTo x="21544" y="21270"/>
                <wp:lineTo x="21544" y="0"/>
                <wp:lineTo x="0" y="0"/>
              </wp:wrapPolygon>
            </wp:wrapTight>
            <wp:docPr id="1"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Descripción generada automáticamente"/>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705225" cy="1373505"/>
                    </a:xfrm>
                    <a:prstGeom prst="rect">
                      <a:avLst/>
                    </a:prstGeom>
                  </pic:spPr>
                </pic:pic>
              </a:graphicData>
            </a:graphic>
            <wp14:sizeRelH relativeFrom="margin">
              <wp14:pctWidth>0</wp14:pctWidth>
            </wp14:sizeRelH>
            <wp14:sizeRelV relativeFrom="margin">
              <wp14:pctHeight>0</wp14:pctHeight>
            </wp14:sizeRelV>
          </wp:anchor>
        </w:drawing>
      </w:r>
    </w:p>
    <w:p w14:paraId="5E0AE05A" w14:textId="4CA9ECA0" w:rsidR="00660885" w:rsidRDefault="00660885" w:rsidP="00660885"/>
    <w:p w14:paraId="5A66372E" w14:textId="581E7EE9" w:rsidR="00660885" w:rsidRDefault="00660885" w:rsidP="00660885"/>
    <w:p w14:paraId="5B300A5D" w14:textId="77777777" w:rsidR="00EB0D4D" w:rsidRDefault="00EB0D4D" w:rsidP="00660885"/>
    <w:p w14:paraId="77FFDA8E" w14:textId="77777777" w:rsidR="00EB0D4D" w:rsidRDefault="00EB0D4D" w:rsidP="00660885"/>
    <w:p w14:paraId="4E873182" w14:textId="77777777" w:rsidR="00EB0D4D" w:rsidRDefault="00EB0D4D" w:rsidP="00660885"/>
    <w:tbl>
      <w:tblPr>
        <w:tblStyle w:val="Tablaconcuadrcula"/>
        <w:tblW w:w="6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
        <w:gridCol w:w="5718"/>
      </w:tblGrid>
      <w:tr w:rsidR="00660885" w:rsidRPr="00D93047" w14:paraId="5C4513A6" w14:textId="77777777" w:rsidTr="00A3378E">
        <w:trPr>
          <w:trHeight w:val="278"/>
        </w:trPr>
        <w:tc>
          <w:tcPr>
            <w:tcW w:w="907" w:type="dxa"/>
            <w:vAlign w:val="center"/>
            <w:hideMark/>
          </w:tcPr>
          <w:p w14:paraId="1E5FD739" w14:textId="77777777" w:rsidR="00660885" w:rsidRPr="00D93047" w:rsidRDefault="00660885" w:rsidP="00A3378E">
            <w:pPr>
              <w:contextualSpacing/>
              <w:rPr>
                <w:rFonts w:ascii="Verdana" w:hAnsi="Verdana" w:cs="Arial"/>
                <w:sz w:val="14"/>
                <w:szCs w:val="14"/>
                <w:lang w:val="es-ES" w:eastAsia="es-ES"/>
              </w:rPr>
            </w:pPr>
            <w:r w:rsidRPr="00D93047">
              <w:rPr>
                <w:rFonts w:ascii="Verdana" w:hAnsi="Verdana" w:cs="Arial"/>
                <w:sz w:val="14"/>
                <w:szCs w:val="14"/>
                <w:lang w:val="es-ES" w:eastAsia="es-ES"/>
              </w:rPr>
              <w:t>Elaboró:</w:t>
            </w:r>
          </w:p>
        </w:tc>
        <w:tc>
          <w:tcPr>
            <w:tcW w:w="5718" w:type="dxa"/>
            <w:tcBorders>
              <w:top w:val="nil"/>
              <w:left w:val="nil"/>
              <w:bottom w:val="dotted" w:sz="4" w:space="0" w:color="7F7F7F" w:themeColor="text1" w:themeTint="80"/>
              <w:right w:val="nil"/>
            </w:tcBorders>
            <w:vAlign w:val="center"/>
            <w:hideMark/>
          </w:tcPr>
          <w:p w14:paraId="5DD074AE" w14:textId="77777777" w:rsidR="00660885" w:rsidRPr="00D93047" w:rsidRDefault="00660885" w:rsidP="00A3378E">
            <w:pPr>
              <w:contextualSpacing/>
              <w:rPr>
                <w:rFonts w:ascii="Verdana" w:eastAsia="Arial" w:hAnsi="Verdana" w:cs="Arial"/>
                <w:sz w:val="14"/>
                <w:szCs w:val="14"/>
              </w:rPr>
            </w:pPr>
            <w:r w:rsidRPr="00D93047">
              <w:rPr>
                <w:rFonts w:ascii="Verdana" w:eastAsia="Arial" w:hAnsi="Verdana" w:cs="Arial"/>
                <w:sz w:val="14"/>
                <w:szCs w:val="14"/>
              </w:rPr>
              <w:t xml:space="preserve">Andreina Cerpa Muñoz </w:t>
            </w:r>
          </w:p>
          <w:p w14:paraId="21192249" w14:textId="77777777" w:rsidR="00660885" w:rsidRPr="00D93047" w:rsidRDefault="00660885" w:rsidP="00A3378E">
            <w:pPr>
              <w:contextualSpacing/>
              <w:rPr>
                <w:rFonts w:ascii="Verdana" w:eastAsia="Arial" w:hAnsi="Verdana" w:cs="Arial"/>
                <w:sz w:val="14"/>
                <w:szCs w:val="14"/>
              </w:rPr>
            </w:pPr>
            <w:r w:rsidRPr="00D93047">
              <w:rPr>
                <w:rStyle w:val="normaltextrun"/>
                <w:rFonts w:ascii="Verdana" w:eastAsia="Arial" w:hAnsi="Verdana" w:cs="Arial"/>
                <w:sz w:val="14"/>
                <w:szCs w:val="14"/>
              </w:rPr>
              <w:t>Analista T2 – 02 de la Subdirección de Gestión Contractual</w:t>
            </w:r>
          </w:p>
        </w:tc>
      </w:tr>
      <w:tr w:rsidR="00660885" w:rsidRPr="00D93047" w14:paraId="59CC6685" w14:textId="77777777" w:rsidTr="00A3378E">
        <w:trPr>
          <w:trHeight w:val="291"/>
        </w:trPr>
        <w:tc>
          <w:tcPr>
            <w:tcW w:w="907" w:type="dxa"/>
            <w:vAlign w:val="center"/>
            <w:hideMark/>
          </w:tcPr>
          <w:p w14:paraId="610FABEF" w14:textId="77777777" w:rsidR="00660885" w:rsidRPr="00D93047" w:rsidRDefault="00660885" w:rsidP="00A3378E">
            <w:pPr>
              <w:contextualSpacing/>
              <w:rPr>
                <w:rFonts w:ascii="Verdana" w:hAnsi="Verdana" w:cs="Arial"/>
                <w:sz w:val="14"/>
                <w:szCs w:val="14"/>
                <w:lang w:val="es-ES" w:eastAsia="es-ES"/>
              </w:rPr>
            </w:pPr>
            <w:r w:rsidRPr="00D93047">
              <w:rPr>
                <w:rFonts w:ascii="Verdana" w:hAnsi="Verdana" w:cs="Arial"/>
                <w:sz w:val="14"/>
                <w:szCs w:val="14"/>
                <w:lang w:val="es-ES" w:eastAsia="es-ES"/>
              </w:rPr>
              <w:t>Revisó:</w:t>
            </w:r>
          </w:p>
        </w:tc>
        <w:tc>
          <w:tcPr>
            <w:tcW w:w="5718" w:type="dxa"/>
            <w:tcBorders>
              <w:top w:val="dotted" w:sz="4" w:space="0" w:color="7F7F7F" w:themeColor="text1" w:themeTint="80"/>
              <w:left w:val="nil"/>
              <w:bottom w:val="dotted" w:sz="4" w:space="0" w:color="7F7F7F" w:themeColor="text1" w:themeTint="80"/>
              <w:right w:val="nil"/>
            </w:tcBorders>
            <w:vAlign w:val="center"/>
            <w:hideMark/>
          </w:tcPr>
          <w:p w14:paraId="3143C77E" w14:textId="77777777" w:rsidR="00660885" w:rsidRPr="00D93047" w:rsidRDefault="00660885" w:rsidP="00A3378E">
            <w:pPr>
              <w:textAlignment w:val="baseline"/>
              <w:rPr>
                <w:rFonts w:ascii="Verdana" w:hAnsi="Verdana" w:cs="Arial"/>
                <w:kern w:val="2"/>
                <w:sz w:val="14"/>
                <w:szCs w:val="14"/>
              </w:rPr>
            </w:pPr>
            <w:r w:rsidRPr="00D93047">
              <w:rPr>
                <w:rFonts w:ascii="Verdana" w:hAnsi="Verdana" w:cs="Arial"/>
                <w:kern w:val="2"/>
                <w:sz w:val="14"/>
                <w:szCs w:val="14"/>
              </w:rPr>
              <w:t>Libardo Alberto Verjel De Filippis</w:t>
            </w:r>
          </w:p>
          <w:p w14:paraId="1048F42F" w14:textId="77777777" w:rsidR="00660885" w:rsidRPr="00D93047" w:rsidRDefault="00660885" w:rsidP="00A3378E">
            <w:pPr>
              <w:pStyle w:val="paragraph"/>
              <w:spacing w:before="0" w:beforeAutospacing="0" w:after="0" w:afterAutospacing="0"/>
              <w:textAlignment w:val="baseline"/>
              <w:rPr>
                <w:rFonts w:ascii="Verdana" w:hAnsi="Verdana" w:cs="Arial"/>
                <w:sz w:val="14"/>
                <w:szCs w:val="14"/>
              </w:rPr>
            </w:pPr>
            <w:r w:rsidRPr="00D93047">
              <w:rPr>
                <w:rFonts w:ascii="Verdana" w:hAnsi="Verdana" w:cs="Arial"/>
                <w:kern w:val="2"/>
                <w:sz w:val="14"/>
                <w:szCs w:val="14"/>
              </w:rPr>
              <w:t>Experto G3-08 de la Subdirección de Gestión Contractual</w:t>
            </w:r>
          </w:p>
        </w:tc>
      </w:tr>
      <w:tr w:rsidR="00660885" w:rsidRPr="00D93047" w14:paraId="5B44155E" w14:textId="77777777" w:rsidTr="00A3378E">
        <w:trPr>
          <w:trHeight w:val="265"/>
        </w:trPr>
        <w:tc>
          <w:tcPr>
            <w:tcW w:w="907" w:type="dxa"/>
            <w:vAlign w:val="center"/>
          </w:tcPr>
          <w:p w14:paraId="1185E60B" w14:textId="77777777" w:rsidR="00660885" w:rsidRPr="00D93047" w:rsidRDefault="00660885" w:rsidP="00A3378E">
            <w:pPr>
              <w:contextualSpacing/>
              <w:rPr>
                <w:rFonts w:ascii="Verdana" w:hAnsi="Verdana" w:cs="Arial"/>
                <w:sz w:val="14"/>
                <w:szCs w:val="14"/>
                <w:lang w:val="es-ES" w:eastAsia="es-ES"/>
              </w:rPr>
            </w:pPr>
            <w:r w:rsidRPr="00D93047">
              <w:rPr>
                <w:rFonts w:ascii="Verdana" w:hAnsi="Verdana" w:cs="Arial"/>
                <w:sz w:val="14"/>
                <w:szCs w:val="14"/>
                <w:lang w:val="es-ES" w:eastAsia="es-ES"/>
              </w:rPr>
              <w:t>Aprobó:</w:t>
            </w:r>
          </w:p>
        </w:tc>
        <w:tc>
          <w:tcPr>
            <w:tcW w:w="5718" w:type="dxa"/>
            <w:tcBorders>
              <w:top w:val="dotted" w:sz="4" w:space="0" w:color="7F7F7F" w:themeColor="text1" w:themeTint="80"/>
              <w:left w:val="nil"/>
              <w:bottom w:val="dotted" w:sz="4" w:space="0" w:color="7F7F7F" w:themeColor="text1" w:themeTint="80"/>
              <w:right w:val="nil"/>
            </w:tcBorders>
            <w:vAlign w:val="center"/>
          </w:tcPr>
          <w:p w14:paraId="58D6F2C9" w14:textId="77777777" w:rsidR="00660885" w:rsidRPr="00D93047" w:rsidRDefault="00660885" w:rsidP="00A3378E">
            <w:pPr>
              <w:contextualSpacing/>
              <w:rPr>
                <w:rFonts w:ascii="Verdana" w:eastAsia="Calibri" w:hAnsi="Verdana" w:cs="Arial"/>
                <w:sz w:val="14"/>
                <w:szCs w:val="14"/>
                <w:lang w:val="pt-BR" w:eastAsia="es-ES"/>
              </w:rPr>
            </w:pPr>
            <w:r w:rsidRPr="00D93047">
              <w:rPr>
                <w:rFonts w:ascii="Verdana" w:eastAsia="Calibri" w:hAnsi="Verdana" w:cs="Arial"/>
                <w:sz w:val="14"/>
                <w:szCs w:val="14"/>
                <w:lang w:val="pt-BR" w:eastAsia="es-ES"/>
              </w:rPr>
              <w:t xml:space="preserve">Carolina Quintero </w:t>
            </w:r>
            <w:proofErr w:type="spellStart"/>
            <w:r w:rsidRPr="00D93047">
              <w:rPr>
                <w:rFonts w:ascii="Verdana" w:eastAsia="Calibri" w:hAnsi="Verdana" w:cs="Arial"/>
                <w:sz w:val="14"/>
                <w:szCs w:val="14"/>
                <w:lang w:val="pt-BR" w:eastAsia="es-ES"/>
              </w:rPr>
              <w:t>Gacharná</w:t>
            </w:r>
            <w:proofErr w:type="spellEnd"/>
          </w:p>
          <w:p w14:paraId="492CEB1A" w14:textId="77777777" w:rsidR="00660885" w:rsidRPr="00D93047" w:rsidRDefault="00660885" w:rsidP="00A3378E">
            <w:pPr>
              <w:contextualSpacing/>
              <w:rPr>
                <w:rFonts w:ascii="Verdana" w:eastAsia="Calibri" w:hAnsi="Verdana" w:cs="Arial"/>
                <w:sz w:val="14"/>
                <w:szCs w:val="14"/>
                <w:lang w:val="pt-BR" w:eastAsia="es-ES"/>
              </w:rPr>
            </w:pPr>
            <w:r w:rsidRPr="00D93047">
              <w:rPr>
                <w:rFonts w:ascii="Verdana" w:eastAsia="Calibri" w:hAnsi="Verdana" w:cs="Arial"/>
                <w:sz w:val="14"/>
                <w:szCs w:val="14"/>
                <w:lang w:eastAsia="es-ES"/>
              </w:rPr>
              <w:t>Subdirectora</w:t>
            </w:r>
            <w:r w:rsidRPr="00D93047">
              <w:rPr>
                <w:rFonts w:ascii="Verdana" w:eastAsia="Calibri" w:hAnsi="Verdana" w:cs="Arial"/>
                <w:sz w:val="14"/>
                <w:szCs w:val="14"/>
                <w:lang w:val="pt-BR" w:eastAsia="es-ES"/>
              </w:rPr>
              <w:t xml:space="preserve"> de Gestión </w:t>
            </w:r>
            <w:proofErr w:type="spellStart"/>
            <w:r w:rsidRPr="00D93047">
              <w:rPr>
                <w:rFonts w:ascii="Verdana" w:eastAsia="Calibri" w:hAnsi="Verdana" w:cs="Arial"/>
                <w:sz w:val="14"/>
                <w:szCs w:val="14"/>
                <w:lang w:val="pt-BR" w:eastAsia="es-ES"/>
              </w:rPr>
              <w:t>Contractual</w:t>
            </w:r>
            <w:proofErr w:type="spellEnd"/>
            <w:r w:rsidRPr="00D93047">
              <w:rPr>
                <w:rFonts w:ascii="Verdana" w:eastAsia="Calibri" w:hAnsi="Verdana" w:cs="Arial"/>
                <w:sz w:val="14"/>
                <w:szCs w:val="14"/>
                <w:lang w:val="pt-BR" w:eastAsia="es-ES"/>
              </w:rPr>
              <w:t xml:space="preserve"> ANCP – CCE</w:t>
            </w:r>
          </w:p>
        </w:tc>
      </w:tr>
    </w:tbl>
    <w:p w14:paraId="0F293BF4" w14:textId="7BBFAB11" w:rsidR="00127233" w:rsidRPr="00775A7F" w:rsidRDefault="00127233" w:rsidP="00660885">
      <w:pPr>
        <w:rPr>
          <w:sz w:val="10"/>
          <w:szCs w:val="10"/>
        </w:rPr>
      </w:pPr>
    </w:p>
    <w:sectPr w:rsidR="00127233" w:rsidRPr="00775A7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440806" w14:textId="77777777" w:rsidR="003A26D1" w:rsidRDefault="003A26D1" w:rsidP="004A1847">
      <w:pPr>
        <w:spacing w:after="0" w:line="240" w:lineRule="auto"/>
      </w:pPr>
      <w:r>
        <w:separator/>
      </w:r>
    </w:p>
  </w:endnote>
  <w:endnote w:type="continuationSeparator" w:id="0">
    <w:p w14:paraId="32660A6E" w14:textId="77777777" w:rsidR="003A26D1" w:rsidRDefault="003A26D1" w:rsidP="004A1847">
      <w:pPr>
        <w:spacing w:after="0" w:line="240" w:lineRule="auto"/>
      </w:pPr>
      <w:r>
        <w:continuationSeparator/>
      </w:r>
    </w:p>
  </w:endnote>
  <w:endnote w:type="continuationNotice" w:id="1">
    <w:p w14:paraId="1461889F" w14:textId="77777777" w:rsidR="006E2E7F" w:rsidRDefault="006E2E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A1572" w14:textId="77777777" w:rsidR="003A26D1" w:rsidRDefault="003A26D1" w:rsidP="004A1847">
      <w:pPr>
        <w:spacing w:after="0" w:line="240" w:lineRule="auto"/>
      </w:pPr>
      <w:r>
        <w:separator/>
      </w:r>
    </w:p>
  </w:footnote>
  <w:footnote w:type="continuationSeparator" w:id="0">
    <w:p w14:paraId="0C69800C" w14:textId="77777777" w:rsidR="003A26D1" w:rsidRDefault="003A26D1" w:rsidP="004A1847">
      <w:pPr>
        <w:spacing w:after="0" w:line="240" w:lineRule="auto"/>
      </w:pPr>
      <w:r>
        <w:continuationSeparator/>
      </w:r>
    </w:p>
  </w:footnote>
  <w:footnote w:type="continuationNotice" w:id="1">
    <w:p w14:paraId="7650F0E3" w14:textId="77777777" w:rsidR="006E2E7F" w:rsidRDefault="006E2E7F">
      <w:pPr>
        <w:spacing w:after="0" w:line="240" w:lineRule="auto"/>
      </w:pPr>
    </w:p>
  </w:footnote>
  <w:footnote w:id="2">
    <w:p w14:paraId="58BE80B8" w14:textId="77777777" w:rsidR="00660885" w:rsidRPr="00305AB1" w:rsidRDefault="00660885" w:rsidP="00660885">
      <w:pPr>
        <w:spacing w:line="244" w:lineRule="auto"/>
        <w:ind w:left="120" w:firstLine="707"/>
        <w:jc w:val="both"/>
        <w:rPr>
          <w:rFonts w:ascii="Verdana" w:hAnsi="Verdana" w:cs="Arial"/>
          <w:sz w:val="16"/>
          <w:szCs w:val="16"/>
        </w:rPr>
      </w:pPr>
      <w:r w:rsidRPr="00305AB1">
        <w:rPr>
          <w:rFonts w:ascii="Verdana" w:hAnsi="Verdana" w:cs="Arial"/>
          <w:sz w:val="16"/>
          <w:szCs w:val="16"/>
          <w:vertAlign w:val="superscript"/>
        </w:rPr>
        <w:footnoteRef/>
      </w:r>
      <w:r w:rsidRPr="00305AB1">
        <w:rPr>
          <w:rFonts w:ascii="Verdana" w:hAnsi="Verdana" w:cs="Arial"/>
          <w:position w:val="6"/>
          <w:sz w:val="16"/>
          <w:szCs w:val="16"/>
        </w:rPr>
        <w:t xml:space="preserve"> </w:t>
      </w:r>
      <w:r w:rsidRPr="00305AB1">
        <w:rPr>
          <w:rFonts w:ascii="Verdana" w:hAnsi="Verdana" w:cs="Arial"/>
          <w:sz w:val="16"/>
          <w:szCs w:val="16"/>
        </w:rPr>
        <w:t>DEIK ACOSTAMADIEDO, Carolina, Guía de Contratación Estatal: Deber de planeación y modalidades de selección, Buenos Aires, 2015, p. 59.</w:t>
      </w:r>
    </w:p>
    <w:p w14:paraId="1F5CFAFF" w14:textId="77777777" w:rsidR="00660885" w:rsidRDefault="00660885" w:rsidP="00660885">
      <w:pPr>
        <w:spacing w:line="244" w:lineRule="auto"/>
        <w:ind w:left="120" w:firstLine="707"/>
        <w:jc w:val="both"/>
      </w:pPr>
    </w:p>
  </w:footnote>
  <w:footnote w:id="3">
    <w:p w14:paraId="4D15CE8B" w14:textId="77777777" w:rsidR="00660885" w:rsidRPr="00305AB1" w:rsidRDefault="00660885" w:rsidP="00660885">
      <w:pPr>
        <w:pStyle w:val="Textoindependiente"/>
        <w:spacing w:after="0"/>
        <w:ind w:right="103" w:firstLine="709"/>
        <w:jc w:val="both"/>
        <w:rPr>
          <w:rFonts w:ascii="Verdana" w:hAnsi="Verdana"/>
          <w:sz w:val="16"/>
          <w:szCs w:val="16"/>
        </w:rPr>
      </w:pPr>
      <w:r w:rsidRPr="00305AB1">
        <w:rPr>
          <w:rFonts w:ascii="Verdana" w:hAnsi="Verdana"/>
          <w:sz w:val="16"/>
          <w:szCs w:val="16"/>
          <w:vertAlign w:val="superscript"/>
        </w:rPr>
        <w:footnoteRef/>
      </w:r>
      <w:r w:rsidRPr="00305AB1">
        <w:rPr>
          <w:rFonts w:ascii="Verdana" w:hAnsi="Verdana"/>
          <w:sz w:val="16"/>
          <w:szCs w:val="16"/>
        </w:rPr>
        <w:t xml:space="preserve"> </w:t>
      </w:r>
      <w:r w:rsidRPr="00305AB1">
        <w:rPr>
          <w:rFonts w:ascii="Verdana" w:hAnsi="Verdana"/>
          <w:position w:val="6"/>
          <w:sz w:val="16"/>
          <w:szCs w:val="16"/>
        </w:rPr>
        <w:t xml:space="preserve"> </w:t>
      </w:r>
      <w:r>
        <w:rPr>
          <w:rFonts w:ascii="Verdana" w:hAnsi="Verdana"/>
          <w:sz w:val="16"/>
          <w:szCs w:val="16"/>
        </w:rPr>
        <w:t>“</w:t>
      </w:r>
      <w:r w:rsidRPr="00305AB1">
        <w:rPr>
          <w:rFonts w:ascii="Verdana" w:hAnsi="Verdana"/>
          <w:sz w:val="16"/>
          <w:szCs w:val="16"/>
        </w:rPr>
        <w:t xml:space="preserve">Artículo </w:t>
      </w:r>
      <w:bookmarkStart w:id="3" w:name="_Hlk54173885"/>
      <w:r w:rsidRPr="00305AB1">
        <w:rPr>
          <w:rFonts w:ascii="Verdana" w:hAnsi="Verdana"/>
          <w:sz w:val="16"/>
          <w:szCs w:val="16"/>
        </w:rPr>
        <w:t>2.2.1.1.2.1.1</w:t>
      </w:r>
      <w:bookmarkEnd w:id="3"/>
      <w:r w:rsidRPr="00305AB1">
        <w:rPr>
          <w:rFonts w:ascii="Verdana" w:hAnsi="Verdana"/>
          <w:sz w:val="16"/>
          <w:szCs w:val="16"/>
        </w:rPr>
        <w:t>. Estudios y documentos previos. 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r>
        <w:rPr>
          <w:rFonts w:ascii="Verdana" w:hAnsi="Verdana"/>
          <w:sz w:val="16"/>
          <w:szCs w:val="16"/>
        </w:rPr>
        <w:t>”</w:t>
      </w:r>
      <w:r w:rsidRPr="00305AB1">
        <w:rPr>
          <w:rFonts w:ascii="Verdana" w:hAnsi="Verdana"/>
          <w:sz w:val="16"/>
          <w:szCs w:val="16"/>
        </w:rPr>
        <w:t>.</w:t>
      </w:r>
    </w:p>
    <w:p w14:paraId="58A19664" w14:textId="77777777" w:rsidR="00660885" w:rsidRDefault="00660885" w:rsidP="00660885">
      <w:pPr>
        <w:pStyle w:val="Textoindependiente"/>
        <w:spacing w:after="0"/>
        <w:ind w:right="103" w:firstLine="709"/>
        <w:jc w:val="both"/>
      </w:pPr>
    </w:p>
  </w:footnote>
  <w:footnote w:id="4">
    <w:p w14:paraId="65CCA20C" w14:textId="3D823284" w:rsidR="00660885" w:rsidRDefault="00660885" w:rsidP="00660885">
      <w:pPr>
        <w:pStyle w:val="Textoindependiente"/>
        <w:spacing w:before="1" w:after="0"/>
        <w:ind w:right="108" w:firstLine="709"/>
        <w:jc w:val="both"/>
      </w:pPr>
      <w:r w:rsidRPr="00305AB1">
        <w:rPr>
          <w:rFonts w:ascii="Verdana" w:hAnsi="Verdana"/>
          <w:sz w:val="16"/>
          <w:szCs w:val="16"/>
          <w:vertAlign w:val="superscript"/>
        </w:rPr>
        <w:footnoteRef/>
      </w:r>
      <w:r w:rsidRPr="00305AB1">
        <w:rPr>
          <w:rFonts w:ascii="Verdana" w:hAnsi="Verdana"/>
          <w:sz w:val="16"/>
          <w:szCs w:val="16"/>
        </w:rPr>
        <w:t xml:space="preserve"> Consejo de Estado, Sección Tercera, Subsección B, 31 de agosto de 2011, </w:t>
      </w:r>
      <w:proofErr w:type="spellStart"/>
      <w:r>
        <w:rPr>
          <w:rFonts w:ascii="Verdana" w:hAnsi="Verdana"/>
          <w:sz w:val="16"/>
          <w:szCs w:val="16"/>
        </w:rPr>
        <w:t>E</w:t>
      </w:r>
      <w:r w:rsidRPr="00305AB1">
        <w:rPr>
          <w:rFonts w:ascii="Verdana" w:hAnsi="Verdana"/>
          <w:sz w:val="16"/>
          <w:szCs w:val="16"/>
        </w:rPr>
        <w:t>xp</w:t>
      </w:r>
      <w:proofErr w:type="spellEnd"/>
      <w:r w:rsidRPr="00305AB1">
        <w:rPr>
          <w:rFonts w:ascii="Verdana" w:hAnsi="Verdana"/>
          <w:sz w:val="16"/>
          <w:szCs w:val="16"/>
        </w:rPr>
        <w:t>.</w:t>
      </w:r>
      <w:r>
        <w:rPr>
          <w:rFonts w:ascii="Verdana" w:hAnsi="Verdana"/>
          <w:sz w:val="16"/>
          <w:szCs w:val="16"/>
        </w:rPr>
        <w:t xml:space="preserve"> No.</w:t>
      </w:r>
      <w:r w:rsidRPr="00305AB1">
        <w:rPr>
          <w:rFonts w:ascii="Verdana" w:hAnsi="Verdana"/>
          <w:sz w:val="16"/>
          <w:szCs w:val="16"/>
        </w:rPr>
        <w:t xml:space="preserve"> 18080, C.P. Ruth Stella Correa Palacio: </w:t>
      </w:r>
      <w:r>
        <w:rPr>
          <w:rFonts w:ascii="Verdana" w:hAnsi="Verdana"/>
          <w:sz w:val="16"/>
          <w:szCs w:val="16"/>
        </w:rPr>
        <w:t>“</w:t>
      </w:r>
      <w:r w:rsidRPr="00305AB1">
        <w:rPr>
          <w:rFonts w:ascii="Verdana" w:hAnsi="Verdana"/>
          <w:sz w:val="16"/>
          <w:szCs w:val="16"/>
        </w:rPr>
        <w:t>(…) recuérdese que la aplicación de la buena fe en materia negocial implica para las partes la observancia la observancia de una conducta enmarcada dentro del contexto de los deberes de corrección, claridad y recíproca lealtad que se deben los contratantes, para remitir la realización de los efectos finales buscados en el contrato</w:t>
      </w:r>
      <w:r>
        <w:rPr>
          <w:rFonts w:ascii="Verdana" w:hAnsi="Verdana"/>
          <w:sz w:val="16"/>
          <w:szCs w:val="16"/>
        </w:rPr>
        <w:t>”</w:t>
      </w:r>
      <w:r w:rsidRPr="00305AB1">
        <w:rPr>
          <w:rFonts w:ascii="Verdana" w:hAnsi="Verdana"/>
          <w:sz w:val="16"/>
          <w:szCs w:val="16"/>
        </w:rPr>
        <w:t>.</w:t>
      </w:r>
    </w:p>
  </w:footnote>
  <w:footnote w:id="5">
    <w:p w14:paraId="76718225" w14:textId="77777777" w:rsidR="00660885" w:rsidRDefault="00660885" w:rsidP="00660885">
      <w:pPr>
        <w:pStyle w:val="Textonotapie"/>
        <w:ind w:firstLine="708"/>
      </w:pPr>
      <w:r>
        <w:rPr>
          <w:vertAlign w:val="superscript"/>
        </w:rPr>
        <w:footnoteRef/>
      </w:r>
      <w:r>
        <w:t xml:space="preserve"> </w:t>
      </w:r>
      <w:r w:rsidRPr="00BD704E">
        <w:rPr>
          <w:rFonts w:ascii="Verdana" w:hAnsi="Verdana"/>
          <w:sz w:val="16"/>
          <w:szCs w:val="16"/>
        </w:rPr>
        <w:t>CONSEJO DE ESTADO</w:t>
      </w:r>
      <w:r>
        <w:rPr>
          <w:rFonts w:ascii="Verdana" w:hAnsi="Verdana"/>
          <w:sz w:val="16"/>
          <w:szCs w:val="16"/>
        </w:rPr>
        <w:t xml:space="preserve">, Sección Tercera, Sentencia del 3 de mayo de 1999, </w:t>
      </w:r>
      <w:proofErr w:type="spellStart"/>
      <w:r>
        <w:rPr>
          <w:rFonts w:ascii="Verdana" w:hAnsi="Verdana"/>
          <w:sz w:val="16"/>
          <w:szCs w:val="16"/>
        </w:rPr>
        <w:t>Exp</w:t>
      </w:r>
      <w:proofErr w:type="spellEnd"/>
      <w:r>
        <w:rPr>
          <w:rFonts w:ascii="Verdana" w:hAnsi="Verdana"/>
          <w:sz w:val="16"/>
          <w:szCs w:val="16"/>
        </w:rPr>
        <w:t xml:space="preserve">. No. 12344, C.P. Daniel Suarez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30A3DE" w14:textId="77777777" w:rsidR="00DF538D" w:rsidRDefault="00DF538D">
    <w:pPr>
      <w:pStyle w:val="Encabezado"/>
    </w:pPr>
  </w:p>
  <w:p w14:paraId="435F4D03" w14:textId="0CEDDC7F"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716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7AE3"/>
    <w:rsid w:val="00061B2A"/>
    <w:rsid w:val="00061D20"/>
    <w:rsid w:val="00082362"/>
    <w:rsid w:val="000A683E"/>
    <w:rsid w:val="000B19B9"/>
    <w:rsid w:val="000D0334"/>
    <w:rsid w:val="000F6486"/>
    <w:rsid w:val="00125105"/>
    <w:rsid w:val="00127233"/>
    <w:rsid w:val="001E4177"/>
    <w:rsid w:val="001F7DC6"/>
    <w:rsid w:val="002421BB"/>
    <w:rsid w:val="0025796E"/>
    <w:rsid w:val="002707A2"/>
    <w:rsid w:val="002951A0"/>
    <w:rsid w:val="002962BC"/>
    <w:rsid w:val="002A093D"/>
    <w:rsid w:val="002A0DD0"/>
    <w:rsid w:val="002A49AC"/>
    <w:rsid w:val="002A64FD"/>
    <w:rsid w:val="002B771F"/>
    <w:rsid w:val="002C7A84"/>
    <w:rsid w:val="002E4FD9"/>
    <w:rsid w:val="00322A85"/>
    <w:rsid w:val="00324168"/>
    <w:rsid w:val="00324F04"/>
    <w:rsid w:val="003448F4"/>
    <w:rsid w:val="00344DC8"/>
    <w:rsid w:val="00374F5E"/>
    <w:rsid w:val="00377E3E"/>
    <w:rsid w:val="003A26D1"/>
    <w:rsid w:val="003A779E"/>
    <w:rsid w:val="003B6256"/>
    <w:rsid w:val="003D0F4D"/>
    <w:rsid w:val="003D5B0D"/>
    <w:rsid w:val="003E0499"/>
    <w:rsid w:val="003E35BD"/>
    <w:rsid w:val="003F3941"/>
    <w:rsid w:val="00406575"/>
    <w:rsid w:val="0042722E"/>
    <w:rsid w:val="004359D4"/>
    <w:rsid w:val="0044528D"/>
    <w:rsid w:val="004A1847"/>
    <w:rsid w:val="004A305D"/>
    <w:rsid w:val="004F21C4"/>
    <w:rsid w:val="004F685F"/>
    <w:rsid w:val="00521583"/>
    <w:rsid w:val="005566E8"/>
    <w:rsid w:val="00574867"/>
    <w:rsid w:val="00591460"/>
    <w:rsid w:val="00592628"/>
    <w:rsid w:val="005C3777"/>
    <w:rsid w:val="005C5CDC"/>
    <w:rsid w:val="005D476C"/>
    <w:rsid w:val="00610812"/>
    <w:rsid w:val="006219F8"/>
    <w:rsid w:val="00650FF7"/>
    <w:rsid w:val="00660885"/>
    <w:rsid w:val="006622DE"/>
    <w:rsid w:val="00665D70"/>
    <w:rsid w:val="00671DAC"/>
    <w:rsid w:val="006900D9"/>
    <w:rsid w:val="006D12F8"/>
    <w:rsid w:val="006E2E7F"/>
    <w:rsid w:val="00703AD4"/>
    <w:rsid w:val="00706C16"/>
    <w:rsid w:val="00756841"/>
    <w:rsid w:val="007649AB"/>
    <w:rsid w:val="00771D0C"/>
    <w:rsid w:val="00775A7F"/>
    <w:rsid w:val="007833AC"/>
    <w:rsid w:val="00783933"/>
    <w:rsid w:val="007B268C"/>
    <w:rsid w:val="007B7171"/>
    <w:rsid w:val="007C0C0F"/>
    <w:rsid w:val="007C3DC2"/>
    <w:rsid w:val="007C4B32"/>
    <w:rsid w:val="007E5497"/>
    <w:rsid w:val="00806F5F"/>
    <w:rsid w:val="00820278"/>
    <w:rsid w:val="00833C50"/>
    <w:rsid w:val="008723D2"/>
    <w:rsid w:val="008843B6"/>
    <w:rsid w:val="00891928"/>
    <w:rsid w:val="008A446D"/>
    <w:rsid w:val="008D180B"/>
    <w:rsid w:val="008E40FE"/>
    <w:rsid w:val="008F0EA7"/>
    <w:rsid w:val="00923EEF"/>
    <w:rsid w:val="009403A8"/>
    <w:rsid w:val="009419F9"/>
    <w:rsid w:val="0095685E"/>
    <w:rsid w:val="00961B09"/>
    <w:rsid w:val="00965334"/>
    <w:rsid w:val="0097093E"/>
    <w:rsid w:val="009A0DFA"/>
    <w:rsid w:val="009B2D26"/>
    <w:rsid w:val="009C71FA"/>
    <w:rsid w:val="009C72E7"/>
    <w:rsid w:val="009D3058"/>
    <w:rsid w:val="009E385A"/>
    <w:rsid w:val="009F3A13"/>
    <w:rsid w:val="00A122D3"/>
    <w:rsid w:val="00A17F13"/>
    <w:rsid w:val="00A20739"/>
    <w:rsid w:val="00A33C78"/>
    <w:rsid w:val="00A35E8B"/>
    <w:rsid w:val="00AB0ADB"/>
    <w:rsid w:val="00AC2154"/>
    <w:rsid w:val="00B01B1A"/>
    <w:rsid w:val="00B070CF"/>
    <w:rsid w:val="00B078EC"/>
    <w:rsid w:val="00B72CD3"/>
    <w:rsid w:val="00B72FFF"/>
    <w:rsid w:val="00BC3D36"/>
    <w:rsid w:val="00BD20D0"/>
    <w:rsid w:val="00BD7F72"/>
    <w:rsid w:val="00C04FB3"/>
    <w:rsid w:val="00C330EB"/>
    <w:rsid w:val="00C754BE"/>
    <w:rsid w:val="00C76B1C"/>
    <w:rsid w:val="00CB03B2"/>
    <w:rsid w:val="00CB6357"/>
    <w:rsid w:val="00CC1B26"/>
    <w:rsid w:val="00CD64FF"/>
    <w:rsid w:val="00D423A2"/>
    <w:rsid w:val="00D520D8"/>
    <w:rsid w:val="00D63AC2"/>
    <w:rsid w:val="00D649A0"/>
    <w:rsid w:val="00D7383B"/>
    <w:rsid w:val="00DA231B"/>
    <w:rsid w:val="00DA23A0"/>
    <w:rsid w:val="00DC39FC"/>
    <w:rsid w:val="00DE2A88"/>
    <w:rsid w:val="00DF5254"/>
    <w:rsid w:val="00DF538D"/>
    <w:rsid w:val="00E132BB"/>
    <w:rsid w:val="00E16408"/>
    <w:rsid w:val="00E20894"/>
    <w:rsid w:val="00E245AB"/>
    <w:rsid w:val="00E2764C"/>
    <w:rsid w:val="00E27F2E"/>
    <w:rsid w:val="00E413EA"/>
    <w:rsid w:val="00E50AFE"/>
    <w:rsid w:val="00E75C92"/>
    <w:rsid w:val="00E771DC"/>
    <w:rsid w:val="00E8772A"/>
    <w:rsid w:val="00E90F6B"/>
    <w:rsid w:val="00E92C27"/>
    <w:rsid w:val="00EA0E3D"/>
    <w:rsid w:val="00EB0D4D"/>
    <w:rsid w:val="00EC38A7"/>
    <w:rsid w:val="00EE1AA8"/>
    <w:rsid w:val="00F252F6"/>
    <w:rsid w:val="00F31EDC"/>
    <w:rsid w:val="00F462B3"/>
    <w:rsid w:val="00F5664F"/>
    <w:rsid w:val="00F666C4"/>
    <w:rsid w:val="00F76AFC"/>
    <w:rsid w:val="00F8578D"/>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60885"/>
    <w:rPr>
      <w:rFonts w:ascii="Geomanist Light" w:hAnsi="Geomanist Light"/>
      <w:lang w:val="es-ES"/>
    </w:rPr>
  </w:style>
  <w:style w:type="paragraph" w:styleId="Textoindependiente">
    <w:name w:val="Body Text"/>
    <w:basedOn w:val="Normal"/>
    <w:link w:val="TextoindependienteCar"/>
    <w:uiPriority w:val="1"/>
    <w:unhideWhenUsed/>
    <w:qFormat/>
    <w:rsid w:val="00660885"/>
    <w:pPr>
      <w:spacing w:after="120" w:line="240" w:lineRule="auto"/>
    </w:pPr>
    <w:rPr>
      <w:rFonts w:ascii="Times New Roman" w:eastAsia="Times New Roman" w:hAnsi="Times New Roman" w:cs="Times New Roman"/>
      <w:sz w:val="24"/>
      <w:szCs w:val="24"/>
      <w:lang w:eastAsia="es-CO"/>
      <w14:ligatures w14:val="standardContextual"/>
    </w:rPr>
  </w:style>
  <w:style w:type="character" w:customStyle="1" w:styleId="TextoindependienteCar">
    <w:name w:val="Texto independiente Car"/>
    <w:basedOn w:val="Fuentedeprrafopredeter"/>
    <w:link w:val="Textoindependiente"/>
    <w:uiPriority w:val="1"/>
    <w:rsid w:val="00660885"/>
    <w:rPr>
      <w:rFonts w:ascii="Times New Roman" w:eastAsia="Times New Roman" w:hAnsi="Times New Roman" w:cs="Times New Roman"/>
      <w:sz w:val="24"/>
      <w:szCs w:val="24"/>
      <w:lang w:eastAsia="es-CO"/>
      <w14:ligatures w14:val="standardContextual"/>
    </w:rPr>
  </w:style>
  <w:style w:type="table" w:customStyle="1" w:styleId="Tablaconcuadrcula1">
    <w:name w:val="Tabla con cuadrícula1"/>
    <w:basedOn w:val="Tablanormal"/>
    <w:next w:val="Tablaconcuadrcula"/>
    <w:uiPriority w:val="39"/>
    <w:qFormat/>
    <w:rsid w:val="00660885"/>
    <w:pPr>
      <w:spacing w:after="0" w:line="240" w:lineRule="auto"/>
    </w:pPr>
    <w:rPr>
      <w:rFonts w:eastAsia="Times New Roman" w:cs="Times New Roma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files_2020%2Fboletin_de_realtoria_iii.pdf&amp;data=05%7C02%7Cjose.garcia%40colombiacompra.gov.co%7C5aad36a736844ec87b2108dcc1fa4639%7C7b09041e245149d08cb179d5e3d8c1be%7C0%7C0%7C638598527919586336%7CUnknown%7CTWFpbGZsb3d8eyJWIjoiMC4wLjAwMDAiLCJQIjoiV2luMzIiLCJBTiI6Ik1haWwiLCJXVCI6Mn0%3D%7C0%7C%7C%7C&amp;sdata=3OWqvX2vNeq0sJlIbcVLjxHBJmXZsckuX8h9xNnXvRQ%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ose.garcia%40colombiacompra.gov.co%7C5aad36a736844ec87b2108dcc1fa4639%7C7b09041e245149d08cb179d5e3d8c1be%7C0%7C0%7C638598527919569564%7CUnknown%7CTWFpbGZsb3d8eyJWIjoiMC4wLjAwMDAiLCJQIjoiV2luMzIiLCJBTiI6Ik1haWwiLCJXVCI6Mn0%3D%7C0%7C%7C%7C&amp;sdata=dxd5A4gL5eWAFf8ZLcaVWYdH0y65hi6R6J0wtaeazGQ%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mecheverry@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convocatorias&amp;data=05%7C02%7Cjose.garcia%40colombiacompra.gov.co%7C5aad36a736844ec87b2108dcc1fa4639%7C7b09041e245149d08cb179d5e3d8c1be%7C0%7C0%7C638598527919601958%7CUnknown%7CTWFpbGZsb3d8eyJWIjoiMC4wLjAwMDAiLCJQIjoiV2luMzIiLCJBTiI6Ik1haWwiLCJXVCI6Mn0%3D%7C0%7C%7C%7C&amp;sdata=4xNNmjXVrn1b4lp%2FsmoDY7vqjg1pT00Z2lkIbUY6uwE%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7363&amp;data=05%7C02%7Cjose.garcia%40colombiacompra.gov.co%7C5aad36a736844ec87b2108dcc1fa4639%7C7b09041e245149d08cb179d5e3d8c1be%7C0%7C0%7C638598527919594874%7CUnknown%7CTWFpbGZsb3d8eyJWIjoiMC4wLjAwMDAiLCJQIjoiV2luMzIiLCJBTiI6Ik1haWwiLCJXVCI6Mn0%3D%7C0%7C%7C%7C&amp;sdata=krqmE8%2FpYqPCPNeHY4Zy3Kwu7RqL9pAwK1dRj5ceqss%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documentManagement/types"/>
    <ds:schemaRef ds:uri="http://purl.org/dc/terms/"/>
    <ds:schemaRef ds:uri="http://purl.org/dc/dcmitype/"/>
    <ds:schemaRef ds:uri="http://schemas.microsoft.com/office/2006/metadata/properties"/>
    <ds:schemaRef ds:uri="8ae15d26-076e-464e-81a7-6f76a0fb3917"/>
    <ds:schemaRef ds:uri="http://schemas.openxmlformats.org/package/2006/metadata/core-properties"/>
    <ds:schemaRef ds:uri="http://purl.org/dc/elements/1.1/"/>
    <ds:schemaRef ds:uri="36c82cfe-0eda-494d-b392-a9281b89aaf0"/>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23324A0E-1A24-41A8-AC1A-CDF5BDB1F41E}"/>
</file>

<file path=docProps/app.xml><?xml version="1.0" encoding="utf-8"?>
<Properties xmlns="http://schemas.openxmlformats.org/officeDocument/2006/extended-properties" xmlns:vt="http://schemas.openxmlformats.org/officeDocument/2006/docPropsVTypes">
  <Template>Normal</Template>
  <TotalTime>10</TotalTime>
  <Pages>14</Pages>
  <Words>4955</Words>
  <Characters>27253</Characters>
  <Application>Microsoft Office Word</Application>
  <DocSecurity>0</DocSecurity>
  <Lines>227</Lines>
  <Paragraphs>64</Paragraphs>
  <ScaleCrop>false</ScaleCrop>
  <Company/>
  <LinksUpToDate>false</LinksUpToDate>
  <CharactersWithSpaces>32144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9</cp:revision>
  <cp:lastPrinted>2023-01-10T21:18:00Z</cp:lastPrinted>
  <dcterms:created xsi:type="dcterms:W3CDTF">2024-09-03T17:30:00Z</dcterms:created>
  <dcterms:modified xsi:type="dcterms:W3CDTF">2024-09-06T13:59:00Z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