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A06D8" w14:textId="77777777" w:rsidR="00A71CEA" w:rsidRPr="00A03A61" w:rsidRDefault="00A71CEA" w:rsidP="00A71CEA">
      <w:pPr>
        <w:jc w:val="right"/>
        <w:rPr>
          <w:rFonts w:ascii="Arial" w:hAnsi="Arial" w:cs="Arial"/>
          <w:b/>
          <w:color w:val="000000" w:themeColor="text1"/>
          <w:sz w:val="16"/>
          <w:szCs w:val="16"/>
          <w:lang w:eastAsia="es-ES"/>
        </w:rPr>
      </w:pPr>
      <w:r w:rsidRPr="00A03A61">
        <w:rPr>
          <w:rFonts w:ascii="Arial" w:hAnsi="Arial" w:cs="Arial"/>
          <w:b/>
          <w:color w:val="000000" w:themeColor="text1"/>
          <w:sz w:val="16"/>
          <w:szCs w:val="16"/>
          <w:lang w:eastAsia="es-ES"/>
        </w:rPr>
        <w:t>CCE-DES-FM-17</w:t>
      </w:r>
    </w:p>
    <w:p w14:paraId="36BB2BCB" w14:textId="77777777" w:rsidR="00B8408D" w:rsidRPr="00A03A61" w:rsidRDefault="00B8408D" w:rsidP="00B8408D">
      <w:pPr>
        <w:pStyle w:val="Textoindependiente"/>
        <w:spacing w:before="3"/>
        <w:rPr>
          <w:b/>
          <w:bCs/>
          <w:sz w:val="16"/>
        </w:rPr>
      </w:pPr>
    </w:p>
    <w:p w14:paraId="24F38834" w14:textId="77777777" w:rsidR="005C5C68" w:rsidRPr="00A03A61" w:rsidRDefault="005C5C68" w:rsidP="005C5C68">
      <w:pPr>
        <w:jc w:val="both"/>
        <w:rPr>
          <w:rFonts w:ascii="Arial" w:eastAsia="Calibri" w:hAnsi="Arial" w:cs="Arial"/>
          <w:bCs/>
          <w:sz w:val="20"/>
          <w:szCs w:val="20"/>
        </w:rPr>
      </w:pPr>
    </w:p>
    <w:p w14:paraId="740F95D6" w14:textId="77777777" w:rsidR="00E5012F" w:rsidRPr="00742BED" w:rsidRDefault="00E5012F" w:rsidP="00E5012F">
      <w:pPr>
        <w:jc w:val="both"/>
        <w:rPr>
          <w:rFonts w:ascii="Arial" w:eastAsia="Calibri" w:hAnsi="Arial" w:cs="Arial"/>
          <w:b/>
          <w:sz w:val="22"/>
          <w:lang w:val="es-ES_tradnl"/>
        </w:rPr>
      </w:pPr>
      <w:r w:rsidRPr="00742BED">
        <w:rPr>
          <w:rFonts w:ascii="Arial" w:eastAsia="Calibri" w:hAnsi="Arial" w:cs="Arial"/>
          <w:b/>
          <w:sz w:val="22"/>
          <w:lang w:val="es-ES_tradnl"/>
        </w:rPr>
        <w:t>CONCURSO DE MÉRITOS – Concepto – Modalidades</w:t>
      </w:r>
    </w:p>
    <w:p w14:paraId="14F427D9" w14:textId="77777777" w:rsidR="00E5012F" w:rsidRPr="00742BED" w:rsidRDefault="00E5012F" w:rsidP="00E5012F">
      <w:pPr>
        <w:jc w:val="both"/>
        <w:rPr>
          <w:rFonts w:ascii="Arial" w:eastAsia="Calibri" w:hAnsi="Arial" w:cs="Arial"/>
          <w:b/>
          <w:sz w:val="22"/>
          <w:lang w:val="es-ES_tradnl"/>
        </w:rPr>
      </w:pPr>
    </w:p>
    <w:p w14:paraId="75A976C9" w14:textId="77777777" w:rsidR="00E5012F" w:rsidRPr="00742BED" w:rsidRDefault="00E5012F" w:rsidP="00015F47">
      <w:pPr>
        <w:spacing w:after="120"/>
        <w:jc w:val="both"/>
        <w:rPr>
          <w:rFonts w:ascii="Arial" w:hAnsi="Arial" w:cs="Arial"/>
          <w:color w:val="000000" w:themeColor="text1"/>
          <w:sz w:val="20"/>
          <w:szCs w:val="20"/>
          <w:lang w:val="es-ES_tradnl"/>
        </w:rPr>
      </w:pPr>
      <w:r w:rsidRPr="00742BED">
        <w:rPr>
          <w:rFonts w:ascii="Arial" w:hAnsi="Arial" w:cs="Arial"/>
          <w:color w:val="000000" w:themeColor="text1"/>
          <w:sz w:val="20"/>
          <w:szCs w:val="20"/>
          <w:lang w:val="es-ES_tradnl"/>
        </w:rPr>
        <w:t xml:space="preserve">El </w:t>
      </w:r>
      <w:r w:rsidRPr="00742BED">
        <w:rPr>
          <w:rFonts w:ascii="Arial" w:hAnsi="Arial" w:cs="Arial"/>
          <w:i/>
          <w:iCs/>
          <w:color w:val="000000" w:themeColor="text1"/>
          <w:sz w:val="20"/>
          <w:szCs w:val="20"/>
          <w:lang w:val="es-ES_tradnl"/>
        </w:rPr>
        <w:t xml:space="preserve">concurso de méritos </w:t>
      </w:r>
      <w:r w:rsidRPr="00742BED">
        <w:rPr>
          <w:rFonts w:ascii="Arial" w:hAnsi="Arial" w:cs="Arial"/>
          <w:color w:val="000000" w:themeColor="text1"/>
          <w:sz w:val="20"/>
          <w:szCs w:val="20"/>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6899649F" w14:textId="77777777" w:rsidR="00E5012F" w:rsidRPr="00742BED" w:rsidRDefault="00E5012F" w:rsidP="00E5012F">
      <w:pPr>
        <w:jc w:val="both"/>
        <w:rPr>
          <w:rFonts w:ascii="Arial" w:hAnsi="Arial" w:cs="Arial"/>
          <w:color w:val="000000" w:themeColor="text1"/>
          <w:sz w:val="20"/>
          <w:szCs w:val="20"/>
          <w:lang w:val="es-ES_tradnl"/>
        </w:rPr>
      </w:pPr>
      <w:r w:rsidRPr="00742BED">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742BED">
        <w:rPr>
          <w:rFonts w:ascii="Arial" w:hAnsi="Arial" w:cs="Arial"/>
          <w:i/>
          <w:iCs/>
          <w:color w:val="000000" w:themeColor="text1"/>
          <w:sz w:val="20"/>
          <w:szCs w:val="20"/>
          <w:lang w:val="es-ES_tradnl"/>
        </w:rPr>
        <w:t>ibídem</w:t>
      </w:r>
      <w:r w:rsidRPr="00742BED">
        <w:rPr>
          <w:rFonts w:ascii="Arial" w:hAnsi="Arial" w:cs="Arial"/>
          <w:color w:val="000000" w:themeColor="text1"/>
          <w:sz w:val="20"/>
          <w:szCs w:val="20"/>
          <w:lang w:val="es-ES_tradnl"/>
        </w:rPr>
        <w:t xml:space="preserve">. El segundo, además de los dos artículos anteriores, lo regulan los artículos 2.2.1.2.1.3.3. a 2.2.1.2.1.3.7. </w:t>
      </w:r>
      <w:proofErr w:type="spellStart"/>
      <w:r w:rsidRPr="00742BED">
        <w:rPr>
          <w:rFonts w:ascii="Arial" w:hAnsi="Arial" w:cs="Arial"/>
          <w:i/>
          <w:iCs/>
          <w:color w:val="000000" w:themeColor="text1"/>
          <w:sz w:val="20"/>
          <w:szCs w:val="20"/>
          <w:lang w:val="es-ES_tradnl"/>
        </w:rPr>
        <w:t>ejusdem</w:t>
      </w:r>
      <w:proofErr w:type="spellEnd"/>
      <w:r w:rsidRPr="00742BED">
        <w:rPr>
          <w:rFonts w:ascii="Arial" w:hAnsi="Arial" w:cs="Arial"/>
          <w:color w:val="000000" w:themeColor="text1"/>
          <w:sz w:val="20"/>
          <w:szCs w:val="20"/>
          <w:lang w:val="es-ES_tradnl"/>
        </w:rPr>
        <w:t>. El tercero lo regulan los artículos 2.2.1.2.1.3.8. a 2.2.1.2.1.3.25. del mencionado Decreto.</w:t>
      </w:r>
    </w:p>
    <w:p w14:paraId="5FB6189A" w14:textId="77777777" w:rsidR="00E5012F" w:rsidRPr="00742BED" w:rsidRDefault="00E5012F" w:rsidP="00E5012F">
      <w:pPr>
        <w:jc w:val="both"/>
        <w:rPr>
          <w:rFonts w:ascii="Arial" w:eastAsia="Calibri" w:hAnsi="Arial" w:cs="Arial"/>
          <w:b/>
          <w:sz w:val="22"/>
          <w:lang w:val="es-ES_tradnl"/>
        </w:rPr>
      </w:pPr>
    </w:p>
    <w:p w14:paraId="67DAC660" w14:textId="77777777" w:rsidR="00E5012F" w:rsidRPr="002B40B7" w:rsidRDefault="00E5012F" w:rsidP="00E5012F">
      <w:pPr>
        <w:jc w:val="both"/>
        <w:rPr>
          <w:rFonts w:ascii="Arial" w:eastAsia="Calibri" w:hAnsi="Arial" w:cs="Arial"/>
          <w:b/>
          <w:sz w:val="22"/>
          <w:szCs w:val="22"/>
          <w:lang w:val="es-ES_tradnl"/>
        </w:rPr>
      </w:pPr>
      <w:r w:rsidRPr="002B40B7">
        <w:rPr>
          <w:rFonts w:ascii="Arial" w:eastAsia="Calibri" w:hAnsi="Arial" w:cs="Arial"/>
          <w:b/>
          <w:sz w:val="22"/>
          <w:szCs w:val="22"/>
          <w:lang w:val="es-ES_tradnl"/>
        </w:rPr>
        <w:t xml:space="preserve">CONCURSO DE MÉRITOS – Decreto 1082 de 2015 – </w:t>
      </w:r>
      <w:r w:rsidRPr="00015F47">
        <w:rPr>
          <w:rFonts w:ascii="Arial" w:hAnsi="Arial" w:cs="Arial"/>
          <w:b/>
          <w:color w:val="000000" w:themeColor="text1"/>
          <w:sz w:val="22"/>
          <w:szCs w:val="22"/>
          <w:lang w:val="es-ES_tradnl"/>
        </w:rPr>
        <w:t xml:space="preserve">artículo 2.2.1.2.1.3.2 – </w:t>
      </w:r>
      <w:r w:rsidRPr="002B40B7">
        <w:rPr>
          <w:rFonts w:ascii="Arial" w:eastAsia="Calibri" w:hAnsi="Arial" w:cs="Arial"/>
          <w:b/>
          <w:sz w:val="22"/>
          <w:szCs w:val="22"/>
          <w:lang w:val="es-ES_tradnl"/>
        </w:rPr>
        <w:t>Suspensión provisional</w:t>
      </w:r>
    </w:p>
    <w:p w14:paraId="4EF9496F" w14:textId="77777777" w:rsidR="00E5012F" w:rsidRPr="00015F47" w:rsidRDefault="00E5012F" w:rsidP="00015F47">
      <w:pPr>
        <w:jc w:val="both"/>
        <w:rPr>
          <w:rFonts w:ascii="Arial" w:eastAsia="Calibri" w:hAnsi="Arial" w:cs="Arial"/>
          <w:b/>
          <w:sz w:val="20"/>
          <w:szCs w:val="20"/>
          <w:lang w:val="es-ES_tradnl"/>
        </w:rPr>
      </w:pPr>
    </w:p>
    <w:p w14:paraId="1A0258D2" w14:textId="2FA67CDC" w:rsidR="00015F47" w:rsidRPr="00015F47" w:rsidRDefault="00015F47" w:rsidP="00015F47">
      <w:pPr>
        <w:spacing w:before="120" w:after="120"/>
        <w:jc w:val="both"/>
        <w:rPr>
          <w:rFonts w:ascii="Arial" w:hAnsi="Arial" w:cs="Arial"/>
          <w:color w:val="000000" w:themeColor="text1"/>
          <w:sz w:val="20"/>
          <w:szCs w:val="20"/>
          <w:lang w:val="es-ES_tradnl"/>
        </w:rPr>
      </w:pPr>
      <w:r w:rsidRPr="00015F47">
        <w:rPr>
          <w:rFonts w:ascii="Arial" w:hAnsi="Arial" w:cs="Arial"/>
          <w:color w:val="000000" w:themeColor="text1"/>
          <w:sz w:val="20"/>
          <w:szCs w:val="20"/>
          <w:lang w:val="es-ES_tradnl"/>
        </w:rPr>
        <w:t>De este modo, el Consejo de Estado consideró que los numerales 3, 4 y 5 vulneraban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de lo contencioso administrativo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1B777C50" w14:textId="77777777" w:rsidR="00E5012F" w:rsidRPr="00015F47" w:rsidRDefault="00E5012F" w:rsidP="00015F47">
      <w:pPr>
        <w:jc w:val="both"/>
        <w:rPr>
          <w:rFonts w:ascii="Arial" w:eastAsia="Calibri" w:hAnsi="Arial" w:cs="Arial"/>
          <w:color w:val="000000" w:themeColor="text1"/>
          <w:sz w:val="20"/>
          <w:szCs w:val="20"/>
          <w:lang w:val="es-ES_tradnl"/>
        </w:rPr>
      </w:pPr>
      <w:r w:rsidRPr="00015F47">
        <w:rPr>
          <w:rFonts w:ascii="Arial" w:hAnsi="Arial" w:cs="Arial"/>
          <w:color w:val="000000" w:themeColor="text1"/>
          <w:sz w:val="20"/>
          <w:szCs w:val="20"/>
          <w:lang w:val="es-ES_tradnl"/>
        </w:rPr>
        <w:t xml:space="preserve">En consecuencia, </w:t>
      </w:r>
      <w:r w:rsidRPr="00015F47">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015F47">
        <w:rPr>
          <w:rFonts w:ascii="Arial" w:hAnsi="Arial" w:cs="Arial"/>
          <w:color w:val="000000" w:themeColor="text1"/>
          <w:sz w:val="20"/>
          <w:szCs w:val="20"/>
          <w:lang w:val="es-ES_tradnl"/>
        </w:rPr>
        <w:t xml:space="preserve"> artículo 2.2.1.2.1.3.2 del Decreto 1082 de 2015. Por lo tanto, </w:t>
      </w:r>
      <w:r w:rsidRPr="00015F47">
        <w:rPr>
          <w:rFonts w:ascii="Arial" w:hAnsi="Arial" w:cs="Arial"/>
          <w:i/>
          <w:iCs/>
          <w:color w:val="000000" w:themeColor="text1"/>
          <w:sz w:val="20"/>
          <w:szCs w:val="20"/>
          <w:lang w:val="es-ES_tradnl"/>
        </w:rPr>
        <w:t>siempre que estuviera dentro del presupuesto oficial</w:t>
      </w:r>
      <w:r w:rsidRPr="00015F47">
        <w:rPr>
          <w:rFonts w:ascii="Arial" w:hAnsi="Arial" w:cs="Arial"/>
          <w:color w:val="000000" w:themeColor="text1"/>
          <w:sz w:val="20"/>
          <w:szCs w:val="20"/>
          <w:lang w:val="es-ES_tradnl"/>
        </w:rPr>
        <w:t>, la entidad estatal debía adjudicar el contrato al proponente que ocupara el primer puesto en el orden de elegibilidad, independientemente del valor ofrecido</w:t>
      </w:r>
      <w:r w:rsidRPr="00015F47">
        <w:rPr>
          <w:rFonts w:ascii="Arial" w:eastAsia="Calibri" w:hAnsi="Arial" w:cs="Arial"/>
          <w:color w:val="000000" w:themeColor="text1"/>
          <w:sz w:val="20"/>
          <w:szCs w:val="20"/>
          <w:lang w:val="es-ES_tradnl"/>
        </w:rPr>
        <w:t>.</w:t>
      </w:r>
    </w:p>
    <w:p w14:paraId="51E8BC63" w14:textId="77777777" w:rsidR="00E5012F" w:rsidRPr="00015F47" w:rsidRDefault="00E5012F" w:rsidP="00015F47">
      <w:pPr>
        <w:jc w:val="both"/>
        <w:rPr>
          <w:rFonts w:ascii="Arial" w:eastAsia="Calibri" w:hAnsi="Arial" w:cs="Arial"/>
          <w:b/>
          <w:color w:val="000000" w:themeColor="text1"/>
          <w:sz w:val="20"/>
          <w:szCs w:val="20"/>
          <w:lang w:val="es-ES_tradnl"/>
        </w:rPr>
      </w:pPr>
    </w:p>
    <w:p w14:paraId="479F0D98" w14:textId="4494B454" w:rsidR="00015F47" w:rsidRPr="00015F47" w:rsidRDefault="00E5012F" w:rsidP="00015F47">
      <w:pPr>
        <w:jc w:val="both"/>
        <w:rPr>
          <w:rFonts w:ascii="Arial" w:eastAsia="Calibri" w:hAnsi="Arial" w:cs="Arial"/>
          <w:b/>
          <w:sz w:val="22"/>
          <w:szCs w:val="22"/>
          <w:lang w:val="es-ES_tradnl"/>
        </w:rPr>
      </w:pPr>
      <w:r w:rsidRPr="00015F47">
        <w:rPr>
          <w:rFonts w:ascii="Arial" w:eastAsia="Calibri" w:hAnsi="Arial" w:cs="Arial"/>
          <w:b/>
          <w:sz w:val="22"/>
          <w:szCs w:val="22"/>
          <w:lang w:val="es-ES_tradnl"/>
        </w:rPr>
        <w:t xml:space="preserve">CONCURSO DE MÉRITOS – Decreto 1082 de 2015 – </w:t>
      </w:r>
      <w:r w:rsidRPr="00015F47">
        <w:rPr>
          <w:rFonts w:ascii="Arial" w:hAnsi="Arial" w:cs="Arial"/>
          <w:b/>
          <w:color w:val="000000" w:themeColor="text1"/>
          <w:sz w:val="22"/>
          <w:szCs w:val="22"/>
          <w:lang w:val="es-ES_tradnl"/>
        </w:rPr>
        <w:t xml:space="preserve">artículo 2.2.1.2.1.3.2 – </w:t>
      </w:r>
      <w:r w:rsidRPr="00015F47">
        <w:rPr>
          <w:rFonts w:ascii="Arial" w:eastAsia="Calibri" w:hAnsi="Arial" w:cs="Arial"/>
          <w:b/>
          <w:sz w:val="22"/>
          <w:szCs w:val="22"/>
          <w:lang w:val="es-ES_tradnl"/>
        </w:rPr>
        <w:t>Decreto 399 de 2021 – Artículo 2</w:t>
      </w:r>
    </w:p>
    <w:p w14:paraId="792BA371" w14:textId="77777777" w:rsidR="00E5012F" w:rsidRPr="00015F47" w:rsidRDefault="00E5012F" w:rsidP="00015F47">
      <w:pPr>
        <w:jc w:val="both"/>
        <w:rPr>
          <w:rFonts w:ascii="Arial" w:hAnsi="Arial" w:cs="Arial"/>
          <w:color w:val="000000" w:themeColor="text1"/>
          <w:sz w:val="20"/>
          <w:szCs w:val="20"/>
          <w:lang w:val="es-ES_tradnl"/>
        </w:rPr>
      </w:pPr>
    </w:p>
    <w:p w14:paraId="3AC885DC" w14:textId="2F3F93DE" w:rsidR="00015F47" w:rsidRPr="00015F47" w:rsidRDefault="00015F47" w:rsidP="00015F47">
      <w:pPr>
        <w:spacing w:after="120"/>
        <w:jc w:val="both"/>
        <w:rPr>
          <w:rFonts w:ascii="Arial" w:eastAsia="Calibri" w:hAnsi="Arial" w:cs="Arial"/>
          <w:color w:val="000000" w:themeColor="text1"/>
          <w:sz w:val="20"/>
          <w:szCs w:val="20"/>
          <w:lang w:val="es-ES_tradnl"/>
        </w:rPr>
      </w:pPr>
      <w:r w:rsidRPr="00015F47">
        <w:rPr>
          <w:rFonts w:ascii="Arial" w:eastAsia="Calibri" w:hAnsi="Arial" w:cs="Arial"/>
          <w:color w:val="000000" w:themeColor="text1"/>
          <w:sz w:val="20"/>
          <w:szCs w:val="20"/>
          <w:lang w:val="es-ES_tradnl"/>
        </w:rPr>
        <w:t>Como se observa,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vigor del artículo 2 del Decreto 399 de 2021 se observan los siguientes cambios:</w:t>
      </w:r>
    </w:p>
    <w:p w14:paraId="39C42F80" w14:textId="77777777" w:rsidR="00015F47" w:rsidRPr="00015F47" w:rsidRDefault="00015F47" w:rsidP="00015F47">
      <w:pPr>
        <w:spacing w:before="120" w:after="120"/>
        <w:ind w:firstLine="709"/>
        <w:jc w:val="both"/>
        <w:rPr>
          <w:rFonts w:ascii="Arial" w:eastAsia="Calibri" w:hAnsi="Arial" w:cs="Arial"/>
          <w:color w:val="000000" w:themeColor="text1"/>
          <w:sz w:val="20"/>
          <w:szCs w:val="20"/>
          <w:lang w:val="es-ES_tradnl"/>
        </w:rPr>
      </w:pPr>
      <w:r w:rsidRPr="00015F47">
        <w:rPr>
          <w:rFonts w:ascii="Arial" w:eastAsia="Calibri" w:hAnsi="Arial" w:cs="Arial"/>
          <w:color w:val="000000" w:themeColor="text1"/>
          <w:sz w:val="20"/>
          <w:szCs w:val="20"/>
          <w:lang w:val="es-ES_tradnl"/>
        </w:rPr>
        <w:lastRenderedPageBreak/>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365F0E87" w14:textId="77777777" w:rsidR="00015F47" w:rsidRPr="00015F47" w:rsidRDefault="00015F47" w:rsidP="00015F47">
      <w:pPr>
        <w:spacing w:before="120" w:after="120"/>
        <w:ind w:firstLine="709"/>
        <w:jc w:val="both"/>
        <w:rPr>
          <w:rFonts w:ascii="Arial" w:eastAsia="Calibri" w:hAnsi="Arial" w:cs="Arial"/>
          <w:color w:val="000000" w:themeColor="text1"/>
          <w:sz w:val="20"/>
          <w:szCs w:val="20"/>
          <w:lang w:val="es-ES_tradnl"/>
        </w:rPr>
      </w:pPr>
      <w:r w:rsidRPr="00015F47">
        <w:rPr>
          <w:rFonts w:ascii="Arial" w:eastAsia="Calibri" w:hAnsi="Arial" w:cs="Arial"/>
          <w:color w:val="000000" w:themeColor="text1"/>
          <w:sz w:val="20"/>
          <w:szCs w:val="20"/>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En su lugar, señala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7BD2064" w14:textId="77777777" w:rsidR="00015F47" w:rsidRPr="00015F47" w:rsidRDefault="00015F47" w:rsidP="00015F47">
      <w:pPr>
        <w:spacing w:before="120" w:after="120"/>
        <w:ind w:firstLine="709"/>
        <w:jc w:val="both"/>
        <w:rPr>
          <w:rFonts w:ascii="Arial" w:eastAsia="Calibri" w:hAnsi="Arial" w:cs="Arial"/>
          <w:color w:val="000000" w:themeColor="text1"/>
          <w:sz w:val="20"/>
          <w:szCs w:val="20"/>
          <w:lang w:val="es-ES_tradnl"/>
        </w:rPr>
      </w:pPr>
      <w:r w:rsidRPr="00015F47">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4968A12E" w14:textId="77777777" w:rsidR="00E5012F" w:rsidRPr="00742BED" w:rsidRDefault="00E5012F" w:rsidP="00E5012F">
      <w:pPr>
        <w:jc w:val="both"/>
        <w:rPr>
          <w:rFonts w:ascii="Arial" w:eastAsia="Calibri" w:hAnsi="Arial" w:cs="Arial"/>
          <w:b/>
          <w:sz w:val="22"/>
          <w:lang w:val="es-ES_tradnl"/>
        </w:rPr>
      </w:pPr>
    </w:p>
    <w:p w14:paraId="1ED341D9" w14:textId="7A6CC012" w:rsidR="00E5012F" w:rsidRDefault="00E5012F" w:rsidP="00E5012F">
      <w:pPr>
        <w:jc w:val="both"/>
        <w:rPr>
          <w:rFonts w:ascii="Arial" w:eastAsia="Calibri" w:hAnsi="Arial" w:cs="Arial"/>
          <w:color w:val="000000" w:themeColor="text1"/>
          <w:sz w:val="20"/>
          <w:szCs w:val="20"/>
          <w:lang w:val="es-ES_tradnl"/>
        </w:rPr>
      </w:pPr>
    </w:p>
    <w:p w14:paraId="39115FEF" w14:textId="6A9A3527" w:rsidR="00E5012F" w:rsidRDefault="00E5012F" w:rsidP="00E5012F">
      <w:pPr>
        <w:jc w:val="both"/>
        <w:rPr>
          <w:rFonts w:ascii="Arial" w:eastAsia="Calibri" w:hAnsi="Arial" w:cs="Arial"/>
          <w:color w:val="000000" w:themeColor="text1"/>
          <w:sz w:val="20"/>
          <w:szCs w:val="20"/>
          <w:lang w:val="es-ES_tradnl"/>
        </w:rPr>
      </w:pPr>
    </w:p>
    <w:p w14:paraId="38F6177F" w14:textId="53F0466A" w:rsidR="00E5012F" w:rsidRDefault="00E5012F" w:rsidP="00E5012F">
      <w:pPr>
        <w:jc w:val="both"/>
        <w:rPr>
          <w:rFonts w:ascii="Arial" w:eastAsia="Calibri" w:hAnsi="Arial" w:cs="Arial"/>
          <w:color w:val="000000" w:themeColor="text1"/>
          <w:sz w:val="20"/>
          <w:szCs w:val="20"/>
          <w:lang w:val="es-ES_tradnl"/>
        </w:rPr>
      </w:pPr>
    </w:p>
    <w:p w14:paraId="43CA4432" w14:textId="41A71D63" w:rsidR="00E5012F" w:rsidRDefault="00E5012F" w:rsidP="00E5012F">
      <w:pPr>
        <w:jc w:val="both"/>
        <w:rPr>
          <w:rFonts w:ascii="Arial" w:eastAsia="Calibri" w:hAnsi="Arial" w:cs="Arial"/>
          <w:color w:val="000000" w:themeColor="text1"/>
          <w:sz w:val="20"/>
          <w:szCs w:val="20"/>
          <w:lang w:val="es-ES_tradnl"/>
        </w:rPr>
      </w:pPr>
    </w:p>
    <w:p w14:paraId="431F3608" w14:textId="1F68AD4C" w:rsidR="00E5012F" w:rsidRDefault="00E5012F" w:rsidP="00E5012F">
      <w:pPr>
        <w:jc w:val="both"/>
        <w:rPr>
          <w:rFonts w:ascii="Arial" w:eastAsia="Calibri" w:hAnsi="Arial" w:cs="Arial"/>
          <w:color w:val="000000" w:themeColor="text1"/>
          <w:sz w:val="20"/>
          <w:szCs w:val="20"/>
          <w:lang w:val="es-ES_tradnl"/>
        </w:rPr>
      </w:pPr>
    </w:p>
    <w:p w14:paraId="0DCCEEAA" w14:textId="09ECB020" w:rsidR="00E5012F" w:rsidRDefault="00E5012F" w:rsidP="00E5012F">
      <w:pPr>
        <w:jc w:val="both"/>
        <w:rPr>
          <w:rFonts w:ascii="Arial" w:eastAsia="Calibri" w:hAnsi="Arial" w:cs="Arial"/>
          <w:color w:val="000000" w:themeColor="text1"/>
          <w:sz w:val="20"/>
          <w:szCs w:val="20"/>
          <w:lang w:val="es-ES_tradnl"/>
        </w:rPr>
      </w:pPr>
    </w:p>
    <w:p w14:paraId="582D7039" w14:textId="6237282D" w:rsidR="00E5012F" w:rsidRDefault="00E5012F" w:rsidP="00E5012F">
      <w:pPr>
        <w:jc w:val="both"/>
        <w:rPr>
          <w:rFonts w:ascii="Arial" w:eastAsia="Calibri" w:hAnsi="Arial" w:cs="Arial"/>
          <w:color w:val="000000" w:themeColor="text1"/>
          <w:sz w:val="20"/>
          <w:szCs w:val="20"/>
          <w:lang w:val="es-ES_tradnl"/>
        </w:rPr>
      </w:pPr>
    </w:p>
    <w:p w14:paraId="790D2EA5" w14:textId="09C36A27" w:rsidR="00E5012F" w:rsidRDefault="00E5012F" w:rsidP="00E5012F">
      <w:pPr>
        <w:jc w:val="both"/>
        <w:rPr>
          <w:rFonts w:ascii="Arial" w:eastAsia="Calibri" w:hAnsi="Arial" w:cs="Arial"/>
          <w:color w:val="000000" w:themeColor="text1"/>
          <w:sz w:val="20"/>
          <w:szCs w:val="20"/>
          <w:lang w:val="es-ES_tradnl"/>
        </w:rPr>
      </w:pPr>
    </w:p>
    <w:p w14:paraId="28CC1789" w14:textId="38AFB38B" w:rsidR="00E5012F" w:rsidRDefault="00E5012F" w:rsidP="00E5012F">
      <w:pPr>
        <w:jc w:val="both"/>
        <w:rPr>
          <w:rFonts w:ascii="Arial" w:eastAsia="Calibri" w:hAnsi="Arial" w:cs="Arial"/>
          <w:color w:val="000000" w:themeColor="text1"/>
          <w:sz w:val="20"/>
          <w:szCs w:val="20"/>
          <w:lang w:val="es-ES_tradnl"/>
        </w:rPr>
      </w:pPr>
    </w:p>
    <w:p w14:paraId="4787ADFE" w14:textId="3B2AC297" w:rsidR="00E5012F" w:rsidRDefault="00E5012F" w:rsidP="00E5012F">
      <w:pPr>
        <w:jc w:val="both"/>
        <w:rPr>
          <w:rFonts w:ascii="Arial" w:eastAsia="Calibri" w:hAnsi="Arial" w:cs="Arial"/>
          <w:color w:val="000000" w:themeColor="text1"/>
          <w:sz w:val="20"/>
          <w:szCs w:val="20"/>
          <w:lang w:val="es-ES_tradnl"/>
        </w:rPr>
      </w:pPr>
    </w:p>
    <w:p w14:paraId="7277E21C" w14:textId="7C2A4268" w:rsidR="00E5012F" w:rsidRDefault="00E5012F" w:rsidP="00E5012F">
      <w:pPr>
        <w:jc w:val="both"/>
        <w:rPr>
          <w:rFonts w:ascii="Arial" w:eastAsia="Calibri" w:hAnsi="Arial" w:cs="Arial"/>
          <w:color w:val="000000" w:themeColor="text1"/>
          <w:sz w:val="20"/>
          <w:szCs w:val="20"/>
          <w:lang w:val="es-ES_tradnl"/>
        </w:rPr>
      </w:pPr>
    </w:p>
    <w:p w14:paraId="7C4281E5" w14:textId="1E7E209C" w:rsidR="00E5012F" w:rsidRDefault="00E5012F" w:rsidP="00E5012F">
      <w:pPr>
        <w:jc w:val="both"/>
        <w:rPr>
          <w:rFonts w:ascii="Arial" w:eastAsia="Calibri" w:hAnsi="Arial" w:cs="Arial"/>
          <w:color w:val="000000" w:themeColor="text1"/>
          <w:sz w:val="20"/>
          <w:szCs w:val="20"/>
          <w:lang w:val="es-ES_tradnl"/>
        </w:rPr>
      </w:pPr>
    </w:p>
    <w:p w14:paraId="67B5C23B" w14:textId="42E94F2A" w:rsidR="00E5012F" w:rsidRDefault="00E5012F" w:rsidP="00E5012F">
      <w:pPr>
        <w:jc w:val="both"/>
        <w:rPr>
          <w:rFonts w:ascii="Arial" w:eastAsia="Calibri" w:hAnsi="Arial" w:cs="Arial"/>
          <w:color w:val="000000" w:themeColor="text1"/>
          <w:sz w:val="20"/>
          <w:szCs w:val="20"/>
          <w:lang w:val="es-ES_tradnl"/>
        </w:rPr>
      </w:pPr>
    </w:p>
    <w:p w14:paraId="0B8ED028" w14:textId="00D45677" w:rsidR="00E5012F" w:rsidRDefault="00E5012F" w:rsidP="00E5012F">
      <w:pPr>
        <w:jc w:val="both"/>
        <w:rPr>
          <w:rFonts w:ascii="Arial" w:eastAsia="Calibri" w:hAnsi="Arial" w:cs="Arial"/>
          <w:color w:val="000000" w:themeColor="text1"/>
          <w:sz w:val="20"/>
          <w:szCs w:val="20"/>
          <w:lang w:val="es-ES_tradnl"/>
        </w:rPr>
      </w:pPr>
    </w:p>
    <w:p w14:paraId="6D05D517" w14:textId="13CCC699" w:rsidR="00E5012F" w:rsidRDefault="00E5012F" w:rsidP="00E5012F">
      <w:pPr>
        <w:jc w:val="both"/>
        <w:rPr>
          <w:rFonts w:ascii="Arial" w:eastAsia="Calibri" w:hAnsi="Arial" w:cs="Arial"/>
          <w:color w:val="000000" w:themeColor="text1"/>
          <w:sz w:val="20"/>
          <w:szCs w:val="20"/>
          <w:lang w:val="es-ES_tradnl"/>
        </w:rPr>
      </w:pPr>
    </w:p>
    <w:p w14:paraId="31EBA889" w14:textId="38AD5827" w:rsidR="00E5012F" w:rsidRDefault="00E5012F" w:rsidP="00E5012F">
      <w:pPr>
        <w:jc w:val="both"/>
        <w:rPr>
          <w:rFonts w:ascii="Arial" w:eastAsia="Calibri" w:hAnsi="Arial" w:cs="Arial"/>
          <w:color w:val="000000" w:themeColor="text1"/>
          <w:sz w:val="20"/>
          <w:szCs w:val="20"/>
          <w:lang w:val="es-ES_tradnl"/>
        </w:rPr>
      </w:pPr>
    </w:p>
    <w:p w14:paraId="6D1B9579" w14:textId="564243D5" w:rsidR="00E5012F" w:rsidRDefault="00E5012F" w:rsidP="00E5012F">
      <w:pPr>
        <w:jc w:val="both"/>
        <w:rPr>
          <w:rFonts w:ascii="Arial" w:eastAsia="Calibri" w:hAnsi="Arial" w:cs="Arial"/>
          <w:color w:val="000000" w:themeColor="text1"/>
          <w:sz w:val="20"/>
          <w:szCs w:val="20"/>
          <w:lang w:val="es-ES_tradnl"/>
        </w:rPr>
      </w:pPr>
    </w:p>
    <w:p w14:paraId="47312C67" w14:textId="44814615" w:rsidR="00E5012F" w:rsidRDefault="00E5012F" w:rsidP="00E5012F">
      <w:pPr>
        <w:jc w:val="both"/>
        <w:rPr>
          <w:rFonts w:ascii="Arial" w:eastAsia="Calibri" w:hAnsi="Arial" w:cs="Arial"/>
          <w:color w:val="000000" w:themeColor="text1"/>
          <w:sz w:val="20"/>
          <w:szCs w:val="20"/>
          <w:lang w:val="es-ES_tradnl"/>
        </w:rPr>
      </w:pPr>
    </w:p>
    <w:p w14:paraId="2E6A653A" w14:textId="42BA347E" w:rsidR="00E5012F" w:rsidRDefault="00E5012F" w:rsidP="00E5012F">
      <w:pPr>
        <w:jc w:val="both"/>
        <w:rPr>
          <w:rFonts w:ascii="Arial" w:eastAsia="Calibri" w:hAnsi="Arial" w:cs="Arial"/>
          <w:color w:val="000000" w:themeColor="text1"/>
          <w:sz w:val="20"/>
          <w:szCs w:val="20"/>
          <w:lang w:val="es-ES_tradnl"/>
        </w:rPr>
      </w:pPr>
    </w:p>
    <w:p w14:paraId="7C7C981E" w14:textId="77777777" w:rsidR="00E5012F" w:rsidRPr="00742BED" w:rsidRDefault="00E5012F" w:rsidP="00E5012F">
      <w:pPr>
        <w:jc w:val="both"/>
        <w:rPr>
          <w:rFonts w:ascii="Arial" w:eastAsia="Calibri" w:hAnsi="Arial" w:cs="Arial"/>
          <w:color w:val="000000" w:themeColor="text1"/>
          <w:sz w:val="20"/>
          <w:szCs w:val="20"/>
          <w:lang w:val="es-ES_tradnl"/>
        </w:rPr>
      </w:pPr>
    </w:p>
    <w:p w14:paraId="1710D337" w14:textId="77777777" w:rsidR="00B8408D" w:rsidRPr="00A03A61" w:rsidRDefault="00B8408D" w:rsidP="00187312">
      <w:pPr>
        <w:jc w:val="both"/>
        <w:rPr>
          <w:rFonts w:ascii="Arial" w:eastAsia="Calibri" w:hAnsi="Arial" w:cs="Arial"/>
          <w:b/>
          <w:sz w:val="22"/>
          <w:szCs w:val="22"/>
        </w:rPr>
      </w:pPr>
    </w:p>
    <w:p w14:paraId="75AC480E" w14:textId="4AC351ED" w:rsidR="008214EE" w:rsidRPr="008214EE" w:rsidRDefault="008214EE" w:rsidP="00110542">
      <w:pPr>
        <w:jc w:val="right"/>
      </w:pPr>
      <w:r w:rsidRPr="008214EE">
        <w:lastRenderedPageBreak/>
        <w:fldChar w:fldCharType="begin"/>
      </w:r>
      <w:r w:rsidRPr="008214EE">
        <w:instrText xml:space="preserve"> INCLUDEPICTURE "/var/folders/tb/0fmk9b510f57pz5rwhv8lnpw0000gp/T/com.microsoft.Word/WebArchiveCopyPasteTempFiles/page1image38831536" \* MERGEFORMATINET </w:instrText>
      </w:r>
      <w:r w:rsidRPr="008214EE">
        <w:fldChar w:fldCharType="separate"/>
      </w:r>
      <w:r w:rsidRPr="008214EE">
        <w:rPr>
          <w:noProof/>
        </w:rPr>
        <w:drawing>
          <wp:inline distT="0" distB="0" distL="0" distR="0" wp14:anchorId="13DBE351" wp14:editId="273581DA">
            <wp:extent cx="2406015" cy="613410"/>
            <wp:effectExtent l="0" t="0" r="0" b="0"/>
            <wp:docPr id="4" name="Imagen 4" descr="page1image3883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8315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6015" cy="613410"/>
                    </a:xfrm>
                    <a:prstGeom prst="rect">
                      <a:avLst/>
                    </a:prstGeom>
                    <a:noFill/>
                    <a:ln>
                      <a:noFill/>
                    </a:ln>
                  </pic:spPr>
                </pic:pic>
              </a:graphicData>
            </a:graphic>
          </wp:inline>
        </w:drawing>
      </w:r>
      <w:r w:rsidRPr="008214EE">
        <w:fldChar w:fldCharType="end"/>
      </w:r>
    </w:p>
    <w:p w14:paraId="1957FB31" w14:textId="45B70D59" w:rsidR="00B8408D" w:rsidRDefault="00B8408D" w:rsidP="00B8408D">
      <w:pPr>
        <w:pStyle w:val="Textoindependiente"/>
        <w:rPr>
          <w:b/>
          <w:color w:val="000000" w:themeColor="text1"/>
          <w:sz w:val="22"/>
          <w:szCs w:val="22"/>
          <w:lang w:val="pt-BR"/>
        </w:rPr>
      </w:pPr>
    </w:p>
    <w:p w14:paraId="1A87E14E" w14:textId="77777777" w:rsidR="000B5851" w:rsidRPr="00A03A61" w:rsidRDefault="000B5851" w:rsidP="00B8408D">
      <w:pPr>
        <w:pStyle w:val="Textoindependiente"/>
        <w:rPr>
          <w:b/>
          <w:color w:val="000000" w:themeColor="text1"/>
          <w:sz w:val="22"/>
          <w:szCs w:val="22"/>
          <w:lang w:val="pt-BR"/>
        </w:rPr>
      </w:pPr>
    </w:p>
    <w:p w14:paraId="5F4C454A" w14:textId="06E17845" w:rsidR="00B8408D" w:rsidRPr="00A03A61" w:rsidRDefault="00B8408D" w:rsidP="00187312">
      <w:pPr>
        <w:pStyle w:val="Textoindependiente"/>
        <w:rPr>
          <w:color w:val="000000" w:themeColor="text1"/>
          <w:sz w:val="22"/>
          <w:szCs w:val="22"/>
        </w:rPr>
      </w:pPr>
      <w:r w:rsidRPr="00A03A61">
        <w:rPr>
          <w:color w:val="000000" w:themeColor="text1"/>
          <w:sz w:val="22"/>
          <w:szCs w:val="22"/>
        </w:rPr>
        <w:t>Señor</w:t>
      </w:r>
      <w:r w:rsidR="004E5D5C">
        <w:rPr>
          <w:color w:val="000000" w:themeColor="text1"/>
          <w:sz w:val="22"/>
          <w:szCs w:val="22"/>
        </w:rPr>
        <w:t>a</w:t>
      </w:r>
    </w:p>
    <w:p w14:paraId="0C0B1475" w14:textId="65B54977" w:rsidR="00B8408D" w:rsidRPr="00A03A61" w:rsidRDefault="008214EE" w:rsidP="0085443D">
      <w:pPr>
        <w:pStyle w:val="Ttulo1"/>
        <w:spacing w:before="37" w:line="253" w:lineRule="exact"/>
        <w:rPr>
          <w:rFonts w:ascii="Arial" w:hAnsi="Arial" w:cs="Arial"/>
          <w:b/>
          <w:bCs/>
          <w:color w:val="000000" w:themeColor="text1"/>
          <w:sz w:val="22"/>
          <w:szCs w:val="22"/>
        </w:rPr>
      </w:pPr>
      <w:r>
        <w:rPr>
          <w:rFonts w:ascii="Arial" w:hAnsi="Arial" w:cs="Arial"/>
          <w:b/>
          <w:bCs/>
          <w:color w:val="000000" w:themeColor="text1"/>
          <w:sz w:val="22"/>
          <w:szCs w:val="22"/>
        </w:rPr>
        <w:t>XXXX</w:t>
      </w:r>
    </w:p>
    <w:p w14:paraId="201C878D" w14:textId="55A448EF" w:rsidR="00B8408D" w:rsidRPr="00A03A61" w:rsidRDefault="004E5D5C" w:rsidP="0085443D">
      <w:pPr>
        <w:pStyle w:val="Textoindependiente"/>
        <w:rPr>
          <w:color w:val="000000" w:themeColor="text1"/>
          <w:sz w:val="22"/>
          <w:szCs w:val="22"/>
        </w:rPr>
      </w:pPr>
      <w:r>
        <w:rPr>
          <w:color w:val="000000" w:themeColor="text1"/>
          <w:sz w:val="22"/>
          <w:szCs w:val="22"/>
        </w:rPr>
        <w:t xml:space="preserve">Pereira, Risaralda </w:t>
      </w:r>
    </w:p>
    <w:p w14:paraId="7BBE1EE7" w14:textId="69DB3C3C" w:rsidR="00B8408D" w:rsidRDefault="00B8408D" w:rsidP="00B8408D">
      <w:pPr>
        <w:pStyle w:val="Textoindependiente"/>
        <w:spacing w:before="1"/>
        <w:rPr>
          <w:color w:val="000000" w:themeColor="text1"/>
          <w:sz w:val="22"/>
          <w:szCs w:val="22"/>
        </w:rPr>
      </w:pPr>
    </w:p>
    <w:p w14:paraId="1AA2ADE7" w14:textId="77777777" w:rsidR="000B5851" w:rsidRPr="00A03A61" w:rsidRDefault="000B5851" w:rsidP="00B8408D">
      <w:pPr>
        <w:pStyle w:val="Textoindependiente"/>
        <w:spacing w:before="1"/>
        <w:rPr>
          <w:color w:val="000000" w:themeColor="text1"/>
          <w:sz w:val="22"/>
          <w:szCs w:val="22"/>
        </w:rPr>
      </w:pPr>
    </w:p>
    <w:p w14:paraId="47B477FC" w14:textId="74C44EF6" w:rsidR="00B8408D" w:rsidRPr="00A03A61" w:rsidRDefault="0085443D" w:rsidP="00187312">
      <w:pPr>
        <w:pStyle w:val="Ttulo1"/>
        <w:spacing w:before="0"/>
        <w:ind w:left="2124"/>
        <w:rPr>
          <w:rFonts w:ascii="Arial" w:hAnsi="Arial" w:cs="Arial"/>
          <w:b/>
          <w:bCs/>
          <w:color w:val="000000" w:themeColor="text1"/>
          <w:sz w:val="22"/>
          <w:szCs w:val="22"/>
        </w:rPr>
      </w:pPr>
      <w:r w:rsidRPr="00A03A61">
        <w:rPr>
          <w:rFonts w:ascii="Arial" w:hAnsi="Arial" w:cs="Arial"/>
          <w:b/>
          <w:bCs/>
          <w:color w:val="000000" w:themeColor="text1"/>
          <w:sz w:val="22"/>
          <w:szCs w:val="22"/>
        </w:rPr>
        <w:t xml:space="preserve">    </w:t>
      </w:r>
      <w:r w:rsidR="00B8408D" w:rsidRPr="00A03A61">
        <w:rPr>
          <w:rFonts w:ascii="Arial" w:hAnsi="Arial" w:cs="Arial"/>
          <w:b/>
          <w:bCs/>
          <w:color w:val="000000" w:themeColor="text1"/>
          <w:sz w:val="22"/>
          <w:szCs w:val="22"/>
        </w:rPr>
        <w:t xml:space="preserve">Concepto C ‒ </w:t>
      </w:r>
      <w:r w:rsidR="004E5D5C">
        <w:rPr>
          <w:rFonts w:ascii="Arial" w:hAnsi="Arial" w:cs="Arial"/>
          <w:b/>
          <w:bCs/>
          <w:color w:val="000000" w:themeColor="text1"/>
          <w:sz w:val="22"/>
          <w:szCs w:val="22"/>
        </w:rPr>
        <w:t>367</w:t>
      </w:r>
      <w:r w:rsidR="00B8408D" w:rsidRPr="00A03A61">
        <w:rPr>
          <w:rFonts w:ascii="Arial" w:hAnsi="Arial" w:cs="Arial"/>
          <w:b/>
          <w:bCs/>
          <w:color w:val="000000" w:themeColor="text1"/>
          <w:sz w:val="22"/>
          <w:szCs w:val="22"/>
        </w:rPr>
        <w:t xml:space="preserve"> de 2021</w:t>
      </w:r>
    </w:p>
    <w:p w14:paraId="4F6AB5E1" w14:textId="77777777" w:rsidR="00B8408D" w:rsidRPr="00A03A61" w:rsidRDefault="00B8408D" w:rsidP="00B8408D">
      <w:pPr>
        <w:pStyle w:val="Textoindependiente"/>
        <w:spacing w:before="6"/>
        <w:rPr>
          <w:b/>
          <w:sz w:val="22"/>
          <w:szCs w:val="22"/>
        </w:rPr>
      </w:pPr>
    </w:p>
    <w:tbl>
      <w:tblPr>
        <w:tblStyle w:val="TableNormal"/>
        <w:tblW w:w="9440" w:type="dxa"/>
        <w:tblLayout w:type="fixed"/>
        <w:tblLook w:val="01E0" w:firstRow="1" w:lastRow="1" w:firstColumn="1" w:lastColumn="1" w:noHBand="0" w:noVBand="0"/>
      </w:tblPr>
      <w:tblGrid>
        <w:gridCol w:w="2277"/>
        <w:gridCol w:w="7163"/>
      </w:tblGrid>
      <w:tr w:rsidR="00B8408D" w:rsidRPr="00E06DF7" w14:paraId="0BCBECD7" w14:textId="77777777" w:rsidTr="00BD6EA9">
        <w:trPr>
          <w:trHeight w:val="514"/>
        </w:trPr>
        <w:tc>
          <w:tcPr>
            <w:tcW w:w="2277" w:type="dxa"/>
          </w:tcPr>
          <w:p w14:paraId="4BD0648F" w14:textId="77777777" w:rsidR="00B8408D" w:rsidRPr="00E06DF7" w:rsidRDefault="00B8408D" w:rsidP="00187312">
            <w:pPr>
              <w:pStyle w:val="TableParagraph"/>
              <w:spacing w:line="246" w:lineRule="exact"/>
              <w:ind w:left="0"/>
              <w:rPr>
                <w:b/>
              </w:rPr>
            </w:pPr>
            <w:r w:rsidRPr="00E06DF7">
              <w:rPr>
                <w:b/>
              </w:rPr>
              <w:t>Temas:</w:t>
            </w:r>
          </w:p>
        </w:tc>
        <w:tc>
          <w:tcPr>
            <w:tcW w:w="7163" w:type="dxa"/>
          </w:tcPr>
          <w:p w14:paraId="14AEAA67" w14:textId="65659424" w:rsidR="00DB0B26" w:rsidRPr="00E06DF7" w:rsidRDefault="00F773A6" w:rsidP="00A54650">
            <w:pPr>
              <w:pStyle w:val="Textoindependiente"/>
              <w:jc w:val="both"/>
              <w:rPr>
                <w:bCs/>
                <w:sz w:val="22"/>
                <w:szCs w:val="22"/>
              </w:rPr>
            </w:pPr>
            <w:r w:rsidRPr="00E06DF7">
              <w:rPr>
                <w:rFonts w:eastAsia="Calibri"/>
                <w:bCs/>
                <w:sz w:val="22"/>
                <w:szCs w:val="22"/>
                <w:lang w:val="es-ES_tradnl"/>
              </w:rPr>
              <w:t xml:space="preserve">CONCURSO DE MÉRITOS – Concepto – Modalidades / CONCURSO DE MÉRITOS – Decreto 1082 de 2015 – </w:t>
            </w:r>
            <w:r w:rsidRPr="00E06DF7">
              <w:rPr>
                <w:bCs/>
                <w:color w:val="000000" w:themeColor="text1"/>
                <w:sz w:val="22"/>
                <w:szCs w:val="22"/>
                <w:lang w:val="es-ES_tradnl"/>
              </w:rPr>
              <w:t xml:space="preserve">artículo 2.2.1.2.1.3.2 – </w:t>
            </w:r>
            <w:r w:rsidRPr="00E06DF7">
              <w:rPr>
                <w:rFonts w:eastAsia="Calibri"/>
                <w:bCs/>
                <w:sz w:val="22"/>
                <w:szCs w:val="22"/>
                <w:lang w:val="es-ES_tradnl"/>
              </w:rPr>
              <w:t xml:space="preserve">Suspensión provisional / CONCURSO DE MÉRITOS – Decreto 1082 de 2015 – </w:t>
            </w:r>
            <w:r w:rsidRPr="00E06DF7">
              <w:rPr>
                <w:bCs/>
                <w:color w:val="000000" w:themeColor="text1"/>
                <w:sz w:val="22"/>
                <w:szCs w:val="22"/>
                <w:lang w:val="es-ES_tradnl"/>
              </w:rPr>
              <w:t xml:space="preserve">artículo 2.2.1.2.1.3.2 – </w:t>
            </w:r>
            <w:r w:rsidRPr="00E06DF7">
              <w:rPr>
                <w:rFonts w:eastAsia="Calibri"/>
                <w:bCs/>
                <w:sz w:val="22"/>
                <w:szCs w:val="22"/>
                <w:lang w:val="es-ES_tradnl"/>
              </w:rPr>
              <w:t>Decreto 399 de 2021 – Artículo 2</w:t>
            </w:r>
          </w:p>
        </w:tc>
      </w:tr>
      <w:tr w:rsidR="00B8408D" w:rsidRPr="00E06DF7" w14:paraId="1E53D192" w14:textId="77777777" w:rsidTr="00187312">
        <w:trPr>
          <w:trHeight w:val="279"/>
        </w:trPr>
        <w:tc>
          <w:tcPr>
            <w:tcW w:w="2277" w:type="dxa"/>
          </w:tcPr>
          <w:p w14:paraId="2949A928" w14:textId="77777777" w:rsidR="00B8408D" w:rsidRPr="00E06DF7" w:rsidRDefault="00B8408D" w:rsidP="00187312">
            <w:pPr>
              <w:pStyle w:val="TableParagraph"/>
              <w:spacing w:before="56"/>
              <w:ind w:left="0"/>
              <w:rPr>
                <w:b/>
              </w:rPr>
            </w:pPr>
            <w:r w:rsidRPr="00E06DF7">
              <w:rPr>
                <w:b/>
              </w:rPr>
              <w:t>Radicación:</w:t>
            </w:r>
          </w:p>
        </w:tc>
        <w:tc>
          <w:tcPr>
            <w:tcW w:w="7163" w:type="dxa"/>
          </w:tcPr>
          <w:p w14:paraId="09EB2E17" w14:textId="2E91D323" w:rsidR="00B8408D" w:rsidRPr="00E06DF7" w:rsidRDefault="00B8408D" w:rsidP="000E4860">
            <w:pPr>
              <w:pStyle w:val="TableParagraph"/>
              <w:tabs>
                <w:tab w:val="left" w:pos="2230"/>
                <w:tab w:val="left" w:pos="2812"/>
                <w:tab w:val="left" w:pos="3552"/>
                <w:tab w:val="left" w:pos="4939"/>
              </w:tabs>
              <w:spacing w:before="56" w:line="250" w:lineRule="atLeast"/>
              <w:ind w:left="0" w:right="200"/>
            </w:pPr>
            <w:r w:rsidRPr="00E06DF7">
              <w:rPr>
                <w:rFonts w:eastAsia="Calibri"/>
                <w:bCs/>
                <w:color w:val="000000" w:themeColor="text1"/>
              </w:rPr>
              <w:t>Respuesta a consulta</w:t>
            </w:r>
            <w:r w:rsidR="006E36F6" w:rsidRPr="00E06DF7">
              <w:rPr>
                <w:rFonts w:eastAsia="Calibri"/>
              </w:rPr>
              <w:t xml:space="preserve"> P20210</w:t>
            </w:r>
            <w:r w:rsidR="004E5D5C" w:rsidRPr="00E06DF7">
              <w:rPr>
                <w:rFonts w:eastAsia="Calibri"/>
              </w:rPr>
              <w:t>609005070</w:t>
            </w:r>
          </w:p>
        </w:tc>
      </w:tr>
    </w:tbl>
    <w:p w14:paraId="109B7DC6" w14:textId="77777777" w:rsidR="00B8408D" w:rsidRPr="00A03A61" w:rsidRDefault="00B8408D" w:rsidP="00B8408D">
      <w:pPr>
        <w:pStyle w:val="Textoindependiente"/>
        <w:rPr>
          <w:b/>
          <w:sz w:val="22"/>
          <w:szCs w:val="22"/>
        </w:rPr>
      </w:pPr>
    </w:p>
    <w:p w14:paraId="3834BD18" w14:textId="77777777" w:rsidR="00B8408D" w:rsidRPr="00A03A61" w:rsidRDefault="00B8408D" w:rsidP="00B8408D">
      <w:pPr>
        <w:pStyle w:val="Textoindependiente"/>
        <w:spacing w:before="4" w:line="276" w:lineRule="auto"/>
        <w:rPr>
          <w:b/>
          <w:sz w:val="22"/>
          <w:szCs w:val="22"/>
        </w:rPr>
      </w:pPr>
    </w:p>
    <w:p w14:paraId="5A4702FB" w14:textId="312A5182" w:rsidR="00B8408D" w:rsidRPr="00A03A61" w:rsidRDefault="00B8408D" w:rsidP="00B8408D">
      <w:pPr>
        <w:pStyle w:val="Textoindependiente"/>
        <w:spacing w:line="276" w:lineRule="auto"/>
        <w:rPr>
          <w:sz w:val="22"/>
          <w:szCs w:val="22"/>
        </w:rPr>
      </w:pPr>
      <w:r w:rsidRPr="00A03A61">
        <w:rPr>
          <w:sz w:val="22"/>
          <w:szCs w:val="22"/>
        </w:rPr>
        <w:t>Estimad</w:t>
      </w:r>
      <w:r w:rsidR="004E5D5C">
        <w:rPr>
          <w:sz w:val="22"/>
          <w:szCs w:val="22"/>
        </w:rPr>
        <w:t>a</w:t>
      </w:r>
      <w:r w:rsidRPr="00A03A61">
        <w:rPr>
          <w:sz w:val="22"/>
          <w:szCs w:val="22"/>
        </w:rPr>
        <w:t xml:space="preserve"> </w:t>
      </w:r>
      <w:proofErr w:type="spellStart"/>
      <w:r w:rsidRPr="00A03A61">
        <w:rPr>
          <w:sz w:val="22"/>
          <w:szCs w:val="22"/>
        </w:rPr>
        <w:t>señor</w:t>
      </w:r>
      <w:r w:rsidR="004E5D5C">
        <w:rPr>
          <w:sz w:val="22"/>
          <w:szCs w:val="22"/>
        </w:rPr>
        <w:t>a</w:t>
      </w:r>
      <w:r w:rsidR="008214EE">
        <w:rPr>
          <w:sz w:val="22"/>
          <w:szCs w:val="22"/>
        </w:rPr>
        <w:t>XXXXX</w:t>
      </w:r>
      <w:proofErr w:type="spellEnd"/>
      <w:r w:rsidRPr="00A03A61">
        <w:rPr>
          <w:sz w:val="22"/>
          <w:szCs w:val="22"/>
        </w:rPr>
        <w:t>:</w:t>
      </w:r>
    </w:p>
    <w:p w14:paraId="714A390A" w14:textId="77777777" w:rsidR="00B8408D" w:rsidRPr="00A03A61" w:rsidRDefault="00B8408D" w:rsidP="00B8408D">
      <w:pPr>
        <w:pStyle w:val="Textoindependiente"/>
        <w:spacing w:before="1" w:line="276" w:lineRule="auto"/>
        <w:rPr>
          <w:sz w:val="22"/>
          <w:szCs w:val="22"/>
        </w:rPr>
      </w:pPr>
    </w:p>
    <w:p w14:paraId="3C5B71F6" w14:textId="65D132C4" w:rsidR="004E2E77" w:rsidRPr="00A03A61" w:rsidRDefault="00B8408D" w:rsidP="004E2E77">
      <w:pPr>
        <w:pStyle w:val="Textoindependiente"/>
        <w:spacing w:line="276" w:lineRule="auto"/>
        <w:jc w:val="both"/>
        <w:rPr>
          <w:sz w:val="22"/>
          <w:szCs w:val="22"/>
        </w:rPr>
      </w:pPr>
      <w:r w:rsidRPr="00A03A61">
        <w:rPr>
          <w:sz w:val="22"/>
          <w:szCs w:val="22"/>
        </w:rPr>
        <w:t>En ejercicio de la competencia otorgada por el numeral 8 del artículo 11 y el numeral 5 del artículo 3 del Decreto Ley 4170 de 2011, la Agencia Nacional de Contratación</w:t>
      </w:r>
      <w:r w:rsidRPr="00A03A61">
        <w:rPr>
          <w:spacing w:val="-3"/>
          <w:sz w:val="22"/>
          <w:szCs w:val="22"/>
        </w:rPr>
        <w:t xml:space="preserve"> </w:t>
      </w:r>
      <w:r w:rsidRPr="00A03A61">
        <w:rPr>
          <w:sz w:val="22"/>
          <w:szCs w:val="22"/>
        </w:rPr>
        <w:t xml:space="preserve">Pública </w:t>
      </w:r>
      <w:r w:rsidR="00D81CA8" w:rsidRPr="00A03A61">
        <w:rPr>
          <w:sz w:val="22"/>
          <w:szCs w:val="22"/>
        </w:rPr>
        <w:t>–</w:t>
      </w:r>
      <w:r w:rsidRPr="00A03A61">
        <w:rPr>
          <w:sz w:val="22"/>
          <w:szCs w:val="22"/>
        </w:rPr>
        <w:t xml:space="preserve"> Colombia Compra Eficiente responde su consulta del </w:t>
      </w:r>
      <w:r w:rsidR="004E5D5C">
        <w:rPr>
          <w:sz w:val="22"/>
          <w:szCs w:val="22"/>
        </w:rPr>
        <w:t>9 de junio</w:t>
      </w:r>
      <w:r w:rsidRPr="00A03A61">
        <w:rPr>
          <w:sz w:val="22"/>
          <w:szCs w:val="22"/>
        </w:rPr>
        <w:t xml:space="preserve"> de 2021.</w:t>
      </w:r>
    </w:p>
    <w:p w14:paraId="063B1515" w14:textId="4AF6BA6F" w:rsidR="004E2E77" w:rsidRDefault="004E2E77" w:rsidP="004E2E77">
      <w:pPr>
        <w:pStyle w:val="Textoindependiente"/>
        <w:spacing w:line="276" w:lineRule="auto"/>
        <w:jc w:val="both"/>
        <w:rPr>
          <w:sz w:val="22"/>
          <w:szCs w:val="22"/>
        </w:rPr>
      </w:pPr>
    </w:p>
    <w:p w14:paraId="13C74649" w14:textId="0614CFEE" w:rsidR="00B8408D" w:rsidRPr="00A03A61" w:rsidRDefault="00B8408D" w:rsidP="004E2E77">
      <w:pPr>
        <w:pStyle w:val="Textoindependiente"/>
        <w:numPr>
          <w:ilvl w:val="0"/>
          <w:numId w:val="21"/>
        </w:numPr>
        <w:spacing w:line="276" w:lineRule="auto"/>
        <w:ind w:left="360"/>
        <w:jc w:val="both"/>
        <w:rPr>
          <w:sz w:val="22"/>
          <w:szCs w:val="22"/>
        </w:rPr>
      </w:pPr>
      <w:r w:rsidRPr="00A03A61">
        <w:rPr>
          <w:b/>
          <w:bCs/>
          <w:color w:val="000000" w:themeColor="text1"/>
          <w:sz w:val="22"/>
          <w:szCs w:val="22"/>
        </w:rPr>
        <w:t>Problema</w:t>
      </w:r>
      <w:r w:rsidRPr="00A03A61">
        <w:rPr>
          <w:b/>
          <w:bCs/>
          <w:color w:val="000000" w:themeColor="text1"/>
          <w:spacing w:val="-2"/>
          <w:sz w:val="22"/>
          <w:szCs w:val="22"/>
        </w:rPr>
        <w:t xml:space="preserve"> </w:t>
      </w:r>
      <w:r w:rsidRPr="00A03A61">
        <w:rPr>
          <w:b/>
          <w:bCs/>
          <w:color w:val="000000" w:themeColor="text1"/>
          <w:sz w:val="22"/>
          <w:szCs w:val="22"/>
        </w:rPr>
        <w:t>planteado</w:t>
      </w:r>
    </w:p>
    <w:p w14:paraId="67799CA0" w14:textId="77777777" w:rsidR="006E36F6" w:rsidRPr="00A03A61" w:rsidRDefault="006E36F6" w:rsidP="006E36F6">
      <w:pPr>
        <w:pStyle w:val="Textoindependiente"/>
        <w:spacing w:line="276" w:lineRule="auto"/>
        <w:ind w:left="360"/>
        <w:jc w:val="both"/>
        <w:rPr>
          <w:sz w:val="22"/>
          <w:szCs w:val="22"/>
        </w:rPr>
      </w:pPr>
    </w:p>
    <w:p w14:paraId="54DEFEC0" w14:textId="714454CD" w:rsidR="00AC0C2F" w:rsidRPr="00A03A61" w:rsidRDefault="002F6A04" w:rsidP="006E36F6">
      <w:pPr>
        <w:pStyle w:val="NormalWeb"/>
        <w:spacing w:before="0" w:beforeAutospacing="0" w:after="0" w:afterAutospacing="0" w:line="276" w:lineRule="auto"/>
        <w:jc w:val="both"/>
        <w:rPr>
          <w:rFonts w:ascii="Arial" w:hAnsi="Arial" w:cs="Arial"/>
          <w:sz w:val="22"/>
          <w:szCs w:val="22"/>
        </w:rPr>
      </w:pPr>
      <w:r w:rsidRPr="00A03A61">
        <w:rPr>
          <w:rFonts w:ascii="Arial" w:hAnsi="Arial" w:cs="Arial"/>
          <w:sz w:val="22"/>
          <w:szCs w:val="22"/>
        </w:rPr>
        <w:t>Usted realiza l</w:t>
      </w:r>
      <w:r w:rsidR="006E36F6" w:rsidRPr="00A03A61">
        <w:rPr>
          <w:rFonts w:ascii="Arial" w:hAnsi="Arial" w:cs="Arial"/>
          <w:sz w:val="22"/>
          <w:szCs w:val="22"/>
        </w:rPr>
        <w:t>a</w:t>
      </w:r>
      <w:r w:rsidR="004E5D5C">
        <w:rPr>
          <w:rFonts w:ascii="Arial" w:hAnsi="Arial" w:cs="Arial"/>
          <w:sz w:val="22"/>
          <w:szCs w:val="22"/>
        </w:rPr>
        <w:t>s siguientes preguntas</w:t>
      </w:r>
      <w:r w:rsidR="006E36F6" w:rsidRPr="00A03A61">
        <w:rPr>
          <w:rFonts w:ascii="Arial" w:hAnsi="Arial" w:cs="Arial"/>
          <w:sz w:val="22"/>
          <w:szCs w:val="22"/>
        </w:rPr>
        <w:t xml:space="preserve">: </w:t>
      </w:r>
    </w:p>
    <w:p w14:paraId="6214AAD6" w14:textId="04F11474" w:rsidR="00C23CFD" w:rsidRPr="008D7F99" w:rsidRDefault="002F6A04" w:rsidP="008D7F99">
      <w:pPr>
        <w:pStyle w:val="NormalWeb"/>
        <w:numPr>
          <w:ilvl w:val="0"/>
          <w:numId w:val="22"/>
        </w:numPr>
        <w:jc w:val="both"/>
        <w:rPr>
          <w:rFonts w:ascii="Arial" w:hAnsi="Arial" w:cs="Arial"/>
          <w:sz w:val="22"/>
          <w:szCs w:val="22"/>
        </w:rPr>
      </w:pPr>
      <w:r w:rsidRPr="008D7F99">
        <w:rPr>
          <w:rFonts w:ascii="Arial" w:hAnsi="Arial" w:cs="Arial"/>
          <w:sz w:val="22"/>
          <w:szCs w:val="22"/>
        </w:rPr>
        <w:t>«</w:t>
      </w:r>
      <w:r w:rsidR="004E5D5C" w:rsidRPr="008D7F99">
        <w:rPr>
          <w:rFonts w:ascii="Arial" w:hAnsi="Arial" w:cs="Arial"/>
          <w:sz w:val="22"/>
          <w:szCs w:val="22"/>
        </w:rPr>
        <w:t xml:space="preserve">¿Cual es momento correcto </w:t>
      </w:r>
      <w:r w:rsidR="00C23CFD" w:rsidRPr="008D7F99">
        <w:rPr>
          <w:rFonts w:ascii="Arial" w:hAnsi="Arial" w:cs="Arial"/>
          <w:sz w:val="22"/>
          <w:szCs w:val="22"/>
        </w:rPr>
        <w:t>según</w:t>
      </w:r>
      <w:r w:rsidR="004E5D5C" w:rsidRPr="008D7F99">
        <w:rPr>
          <w:rFonts w:ascii="Arial" w:hAnsi="Arial" w:cs="Arial"/>
          <w:sz w:val="22"/>
          <w:szCs w:val="22"/>
        </w:rPr>
        <w:t xml:space="preserve"> la ley y el reglamento para la apertura del sobre </w:t>
      </w:r>
      <w:r w:rsidR="00C23CFD" w:rsidRPr="008D7F99">
        <w:rPr>
          <w:rFonts w:ascii="Arial" w:hAnsi="Arial" w:cs="Arial"/>
          <w:sz w:val="22"/>
          <w:szCs w:val="22"/>
        </w:rPr>
        <w:t>económico</w:t>
      </w:r>
      <w:r w:rsidR="004E5D5C" w:rsidRPr="008D7F99">
        <w:rPr>
          <w:rFonts w:ascii="Arial" w:hAnsi="Arial" w:cs="Arial"/>
          <w:sz w:val="22"/>
          <w:szCs w:val="22"/>
        </w:rPr>
        <w:t xml:space="preserve"> del Concurso de </w:t>
      </w:r>
      <w:r w:rsidR="00C23CFD" w:rsidRPr="008D7F99">
        <w:rPr>
          <w:rFonts w:ascii="Arial" w:hAnsi="Arial" w:cs="Arial"/>
          <w:sz w:val="22"/>
          <w:szCs w:val="22"/>
        </w:rPr>
        <w:t>Méritos</w:t>
      </w:r>
      <w:r w:rsidR="004E5D5C" w:rsidRPr="008D7F99">
        <w:rPr>
          <w:rFonts w:ascii="Arial" w:hAnsi="Arial" w:cs="Arial"/>
          <w:sz w:val="22"/>
          <w:szCs w:val="22"/>
        </w:rPr>
        <w:t xml:space="preserve"> (pliego tipo de </w:t>
      </w:r>
      <w:r w:rsidR="00C23CFD" w:rsidRPr="008D7F99">
        <w:rPr>
          <w:rFonts w:ascii="Arial" w:hAnsi="Arial" w:cs="Arial"/>
          <w:sz w:val="22"/>
          <w:szCs w:val="22"/>
        </w:rPr>
        <w:t>interventoría</w:t>
      </w:r>
      <w:r w:rsidR="004E5D5C" w:rsidRPr="008D7F99">
        <w:rPr>
          <w:rFonts w:ascii="Arial" w:hAnsi="Arial" w:cs="Arial"/>
          <w:sz w:val="22"/>
          <w:szCs w:val="22"/>
        </w:rPr>
        <w:t xml:space="preserve"> de transporte)?».</w:t>
      </w:r>
    </w:p>
    <w:p w14:paraId="012D8195" w14:textId="0FA6DB5B" w:rsidR="000B5851" w:rsidRPr="000B5851" w:rsidRDefault="004E5D5C" w:rsidP="000B5851">
      <w:pPr>
        <w:pStyle w:val="NormalWeb"/>
        <w:numPr>
          <w:ilvl w:val="0"/>
          <w:numId w:val="22"/>
        </w:numPr>
        <w:jc w:val="both"/>
        <w:rPr>
          <w:rFonts w:ascii="Arial" w:hAnsi="Arial" w:cs="Arial"/>
          <w:sz w:val="22"/>
          <w:szCs w:val="22"/>
        </w:rPr>
      </w:pPr>
      <w:r w:rsidRPr="008D7F99">
        <w:rPr>
          <w:rFonts w:ascii="Arial" w:hAnsi="Arial" w:cs="Arial"/>
          <w:sz w:val="22"/>
          <w:szCs w:val="22"/>
        </w:rPr>
        <w:t xml:space="preserve">«¿Es viable abrir el sobre </w:t>
      </w:r>
      <w:r w:rsidR="00C23CFD" w:rsidRPr="008D7F99">
        <w:rPr>
          <w:rFonts w:ascii="Arial" w:hAnsi="Arial" w:cs="Arial"/>
          <w:sz w:val="22"/>
          <w:szCs w:val="22"/>
        </w:rPr>
        <w:t>económico</w:t>
      </w:r>
      <w:r w:rsidRPr="008D7F99">
        <w:rPr>
          <w:rFonts w:ascii="Arial" w:hAnsi="Arial" w:cs="Arial"/>
          <w:sz w:val="22"/>
          <w:szCs w:val="22"/>
        </w:rPr>
        <w:t xml:space="preserve"> a la par con el sobre 1 y 2?</w:t>
      </w:r>
      <w:r w:rsidR="002F6A04" w:rsidRPr="008D7F99">
        <w:rPr>
          <w:rFonts w:ascii="Arial" w:hAnsi="Arial" w:cs="Arial"/>
          <w:sz w:val="22"/>
          <w:szCs w:val="22"/>
        </w:rPr>
        <w:t>».</w:t>
      </w:r>
    </w:p>
    <w:p w14:paraId="592A06C0" w14:textId="73F97910" w:rsidR="00B8408D" w:rsidRPr="00A03A61" w:rsidRDefault="00B8408D" w:rsidP="004E2E77">
      <w:pPr>
        <w:pStyle w:val="Ttulo1"/>
        <w:keepNext w:val="0"/>
        <w:keepLines w:val="0"/>
        <w:widowControl w:val="0"/>
        <w:numPr>
          <w:ilvl w:val="0"/>
          <w:numId w:val="21"/>
        </w:numPr>
        <w:tabs>
          <w:tab w:val="left" w:pos="586"/>
        </w:tabs>
        <w:autoSpaceDE w:val="0"/>
        <w:autoSpaceDN w:val="0"/>
        <w:spacing w:before="0"/>
        <w:ind w:left="360"/>
        <w:jc w:val="both"/>
        <w:rPr>
          <w:rFonts w:ascii="Arial" w:hAnsi="Arial" w:cs="Arial"/>
          <w:b/>
          <w:bCs/>
          <w:sz w:val="22"/>
          <w:szCs w:val="22"/>
        </w:rPr>
      </w:pPr>
      <w:r w:rsidRPr="00A03A61">
        <w:rPr>
          <w:rFonts w:ascii="Arial" w:hAnsi="Arial" w:cs="Arial"/>
          <w:b/>
          <w:bCs/>
          <w:color w:val="000000" w:themeColor="text1"/>
          <w:sz w:val="22"/>
          <w:szCs w:val="22"/>
        </w:rPr>
        <w:t>Consideraciones</w:t>
      </w:r>
    </w:p>
    <w:p w14:paraId="3C51D9BA" w14:textId="77777777" w:rsidR="00B8408D" w:rsidRPr="00A03A61" w:rsidRDefault="00B8408D" w:rsidP="00B8408D">
      <w:pPr>
        <w:pStyle w:val="Textoindependiente"/>
        <w:rPr>
          <w:b/>
          <w:sz w:val="22"/>
          <w:szCs w:val="22"/>
        </w:rPr>
      </w:pPr>
    </w:p>
    <w:p w14:paraId="5EF3D7FF" w14:textId="77777777" w:rsidR="00AC0C2F" w:rsidRPr="00A03A61" w:rsidRDefault="00AC0C2F" w:rsidP="00E43A90">
      <w:pPr>
        <w:spacing w:before="120" w:after="120" w:line="276" w:lineRule="auto"/>
        <w:jc w:val="both"/>
        <w:rPr>
          <w:rFonts w:ascii="Arial" w:hAnsi="Arial" w:cs="Arial"/>
          <w:bCs/>
          <w:sz w:val="22"/>
        </w:rPr>
      </w:pPr>
      <w:r w:rsidRPr="00A03A61">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463E6B8" w14:textId="77777777" w:rsidR="00E43A90" w:rsidRDefault="001B235C" w:rsidP="00E43A90">
      <w:pPr>
        <w:spacing w:before="120" w:after="120" w:line="276" w:lineRule="auto"/>
        <w:jc w:val="both"/>
        <w:rPr>
          <w:rFonts w:ascii="Arial" w:hAnsi="Arial" w:cs="Arial"/>
          <w:sz w:val="22"/>
          <w:szCs w:val="22"/>
        </w:rPr>
      </w:pPr>
      <w:bookmarkStart w:id="0" w:name="_Hlk61701014"/>
      <w:bookmarkStart w:id="1" w:name="_Hlk62136649"/>
      <w:r w:rsidRPr="00A03A61">
        <w:rPr>
          <w:rFonts w:ascii="Arial" w:hAnsi="Arial" w:cs="Arial"/>
          <w:sz w:val="22"/>
          <w:lang w:val="es-ES"/>
        </w:rPr>
        <w:lastRenderedPageBreak/>
        <w:tab/>
      </w:r>
      <w:bookmarkEnd w:id="0"/>
      <w:bookmarkEnd w:id="1"/>
      <w:r w:rsidRPr="00A03A61">
        <w:rPr>
          <w:rFonts w:ascii="Arial" w:hAnsi="Arial" w:cs="Arial"/>
          <w:sz w:val="22"/>
          <w:lang w:val="es-ES"/>
        </w:rPr>
        <w:t>Para resolver las preguntas del peticionario se desarrollarán los siguientes temas</w:t>
      </w:r>
      <w:r w:rsidR="00B8408D" w:rsidRPr="00A03A61">
        <w:rPr>
          <w:rFonts w:ascii="Arial" w:hAnsi="Arial" w:cs="Arial"/>
          <w:sz w:val="22"/>
          <w:szCs w:val="22"/>
        </w:rPr>
        <w:t xml:space="preserve">: </w:t>
      </w:r>
      <w:r w:rsidR="006E36F6" w:rsidRPr="00A03A61">
        <w:rPr>
          <w:rFonts w:ascii="Arial" w:hAnsi="Arial" w:cs="Arial"/>
          <w:sz w:val="22"/>
          <w:szCs w:val="22"/>
        </w:rPr>
        <w:t>i)</w:t>
      </w:r>
      <w:r w:rsidRPr="00A03A61">
        <w:rPr>
          <w:rFonts w:ascii="Arial" w:hAnsi="Arial" w:cs="Arial"/>
          <w:sz w:val="22"/>
          <w:szCs w:val="22"/>
        </w:rPr>
        <w:t xml:space="preserve"> </w:t>
      </w:r>
      <w:r w:rsidR="00C23CFD">
        <w:rPr>
          <w:rFonts w:ascii="Arial" w:hAnsi="Arial" w:cs="Arial"/>
          <w:sz w:val="22"/>
          <w:szCs w:val="22"/>
        </w:rPr>
        <w:t xml:space="preserve">procedimiento del concurso de méritos después de los autos de suspensión provisional del Consejo de Estado y posterior a la expedición del Decreto 399 de 2021 y ii) naturaleza jurídica de los documentos tipo. </w:t>
      </w:r>
    </w:p>
    <w:p w14:paraId="43B3B38F" w14:textId="35801543" w:rsidR="00AE0358" w:rsidRDefault="00C23CFD" w:rsidP="00364DC1">
      <w:pPr>
        <w:spacing w:before="120" w:after="120" w:line="276" w:lineRule="auto"/>
        <w:ind w:firstLine="709"/>
        <w:jc w:val="both"/>
        <w:rPr>
          <w:rFonts w:ascii="Arial" w:eastAsia="Calibri" w:hAnsi="Arial" w:cs="Arial"/>
          <w:b/>
          <w:bCs/>
          <w:color w:val="000000" w:themeColor="text1"/>
          <w:sz w:val="22"/>
        </w:rPr>
      </w:pPr>
      <w:r w:rsidRPr="00742BED">
        <w:rPr>
          <w:rFonts w:ascii="Arial" w:eastAsia="Calibri" w:hAnsi="Arial" w:cs="Arial"/>
          <w:color w:val="000000" w:themeColor="text1"/>
          <w:sz w:val="22"/>
          <w:szCs w:val="22"/>
          <w:lang w:val="es-ES_tradnl"/>
        </w:rPr>
        <w:t>Es importante destacar que la Agencia Nacional de Contratación Pública – Colombia Compra Eficiente se pronunció</w:t>
      </w:r>
      <w:r>
        <w:rPr>
          <w:rFonts w:ascii="Arial" w:eastAsia="Calibri" w:hAnsi="Arial" w:cs="Arial"/>
          <w:color w:val="000000" w:themeColor="text1"/>
          <w:sz w:val="22"/>
          <w:szCs w:val="22"/>
          <w:lang w:val="es-ES_tradnl"/>
        </w:rPr>
        <w:t xml:space="preserve"> en </w:t>
      </w:r>
      <w:r w:rsidRPr="00742BED">
        <w:rPr>
          <w:rFonts w:ascii="Arial" w:eastAsia="Calibri" w:hAnsi="Arial" w:cs="Arial"/>
          <w:color w:val="000000" w:themeColor="text1"/>
          <w:sz w:val="22"/>
          <w:lang w:val="es-ES_tradnl"/>
        </w:rPr>
        <w:t>los conceptos C-124 del 25 de marzo de 2020, C-406 y C-477 del 13 de julio de 2020</w:t>
      </w:r>
      <w:r w:rsidR="00EE1291">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C-612 del 2 de octubre de 2020 y C-761 del 5 de enero de 2021, en los cuales analizó la forma como se debe desarrollar el concurso de méritos, luego de los pronunciamientos del Consejo de Estado que suspendieron provisionalmente algunos numerales del artículo 2.2.1.2.1.3.2. del Decreto 1082 de 2015. </w:t>
      </w:r>
    </w:p>
    <w:p w14:paraId="41A421C6" w14:textId="77777777" w:rsidR="00364DC1" w:rsidRDefault="00364DC1" w:rsidP="00364DC1">
      <w:pPr>
        <w:tabs>
          <w:tab w:val="left" w:pos="426"/>
        </w:tabs>
        <w:jc w:val="both"/>
        <w:rPr>
          <w:rFonts w:ascii="Arial" w:eastAsia="Calibri" w:hAnsi="Arial" w:cs="Arial"/>
          <w:b/>
          <w:bCs/>
          <w:color w:val="000000" w:themeColor="text1"/>
          <w:sz w:val="22"/>
        </w:rPr>
      </w:pPr>
    </w:p>
    <w:p w14:paraId="5BD6C4B3" w14:textId="77AEE325" w:rsidR="00137BD0" w:rsidRDefault="00EE1291" w:rsidP="00137BD0">
      <w:pPr>
        <w:tabs>
          <w:tab w:val="left" w:pos="426"/>
        </w:tabs>
        <w:spacing w:line="276" w:lineRule="auto"/>
        <w:jc w:val="both"/>
        <w:rPr>
          <w:rFonts w:ascii="Arial" w:hAnsi="Arial" w:cs="Arial"/>
          <w:b/>
          <w:bCs/>
          <w:sz w:val="22"/>
          <w:szCs w:val="22"/>
        </w:rPr>
      </w:pPr>
      <w:r>
        <w:rPr>
          <w:rFonts w:ascii="Arial" w:eastAsia="Calibri" w:hAnsi="Arial" w:cs="Arial"/>
          <w:b/>
          <w:bCs/>
          <w:color w:val="000000" w:themeColor="text1"/>
          <w:sz w:val="22"/>
        </w:rPr>
        <w:t xml:space="preserve">2.1. </w:t>
      </w:r>
      <w:r w:rsidR="00E43A90">
        <w:rPr>
          <w:rFonts w:ascii="Arial" w:eastAsia="Calibri" w:hAnsi="Arial" w:cs="Arial"/>
          <w:b/>
          <w:bCs/>
          <w:color w:val="000000" w:themeColor="text1"/>
          <w:sz w:val="22"/>
        </w:rPr>
        <w:t>P</w:t>
      </w:r>
      <w:r w:rsidR="00C23CFD" w:rsidRPr="008D7F99">
        <w:rPr>
          <w:rFonts w:ascii="Arial" w:eastAsia="Calibri" w:hAnsi="Arial" w:cs="Arial"/>
          <w:b/>
          <w:bCs/>
          <w:color w:val="000000" w:themeColor="text1"/>
          <w:sz w:val="22"/>
        </w:rPr>
        <w:t xml:space="preserve">rocedimiento del concurso de méritos </w:t>
      </w:r>
      <w:r w:rsidR="00C23CFD" w:rsidRPr="008D7F99">
        <w:rPr>
          <w:rFonts w:ascii="Arial" w:hAnsi="Arial" w:cs="Arial"/>
          <w:b/>
          <w:bCs/>
          <w:sz w:val="22"/>
          <w:szCs w:val="22"/>
        </w:rPr>
        <w:t>después de los autos de suspensión provisional del Consejo de Estado y posterior a la expedición del Decreto 399 de 2021</w:t>
      </w:r>
    </w:p>
    <w:p w14:paraId="0F1155DB" w14:textId="77777777" w:rsidR="00364DC1" w:rsidRPr="008D7F99" w:rsidRDefault="00364DC1" w:rsidP="00364DC1">
      <w:pPr>
        <w:tabs>
          <w:tab w:val="left" w:pos="426"/>
        </w:tabs>
        <w:jc w:val="both"/>
        <w:rPr>
          <w:rFonts w:ascii="Arial" w:eastAsia="Calibri" w:hAnsi="Arial" w:cs="Arial"/>
          <w:b/>
          <w:bCs/>
          <w:color w:val="000000" w:themeColor="text1"/>
          <w:sz w:val="22"/>
        </w:rPr>
      </w:pPr>
    </w:p>
    <w:p w14:paraId="36DE0870" w14:textId="77777777" w:rsidR="00C23CFD" w:rsidRPr="00742BED" w:rsidRDefault="00C23CFD" w:rsidP="002E44D9">
      <w:pPr>
        <w:spacing w:before="120" w:after="120" w:line="276" w:lineRule="auto"/>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El </w:t>
      </w:r>
      <w:r w:rsidRPr="00742BED">
        <w:rPr>
          <w:rFonts w:ascii="Arial" w:hAnsi="Arial" w:cs="Arial"/>
          <w:i/>
          <w:iCs/>
          <w:color w:val="000000" w:themeColor="text1"/>
          <w:sz w:val="22"/>
          <w:lang w:val="es-ES_tradnl"/>
        </w:rPr>
        <w:t xml:space="preserve">concurso de méritos </w:t>
      </w:r>
      <w:r w:rsidRPr="00742BED">
        <w:rPr>
          <w:rFonts w:ascii="Arial" w:hAnsi="Arial" w:cs="Arial"/>
          <w:color w:val="000000" w:themeColor="text1"/>
          <w:sz w:val="22"/>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7EF68A13" w14:textId="77777777" w:rsidR="00C23CFD" w:rsidRPr="00742BED" w:rsidRDefault="00C23CFD" w:rsidP="002E44D9">
      <w:pPr>
        <w:spacing w:before="120" w:after="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742BED">
        <w:rPr>
          <w:rFonts w:ascii="Arial" w:hAnsi="Arial" w:cs="Arial"/>
          <w:i/>
          <w:iCs/>
          <w:color w:val="000000" w:themeColor="text1"/>
          <w:sz w:val="22"/>
          <w:lang w:val="es-ES_tradnl"/>
        </w:rPr>
        <w:t>ibídem</w:t>
      </w:r>
      <w:r w:rsidRPr="00742BED">
        <w:rPr>
          <w:rFonts w:ascii="Arial" w:hAnsi="Arial" w:cs="Arial"/>
          <w:color w:val="000000" w:themeColor="text1"/>
          <w:sz w:val="22"/>
          <w:lang w:val="es-ES_tradnl"/>
        </w:rPr>
        <w:t xml:space="preserve">. El segundo, además de los dos artículos anteriores, lo regulan los artículos 2.2.1.2.1.3.3. a 2.2.1.2.1.3.7. </w:t>
      </w:r>
      <w:proofErr w:type="spellStart"/>
      <w:r w:rsidRPr="00742BED">
        <w:rPr>
          <w:rFonts w:ascii="Arial" w:hAnsi="Arial" w:cs="Arial"/>
          <w:i/>
          <w:iCs/>
          <w:color w:val="000000" w:themeColor="text1"/>
          <w:sz w:val="22"/>
          <w:lang w:val="es-ES_tradnl"/>
        </w:rPr>
        <w:t>ejusdem</w:t>
      </w:r>
      <w:proofErr w:type="spellEnd"/>
      <w:r w:rsidRPr="00742BED">
        <w:rPr>
          <w:rFonts w:ascii="Arial" w:hAnsi="Arial" w:cs="Arial"/>
          <w:color w:val="000000" w:themeColor="text1"/>
          <w:sz w:val="22"/>
          <w:lang w:val="es-ES_tradnl"/>
        </w:rPr>
        <w:t>. El tercero lo regulan los artículos 2.2.1.2.1.3.8. a 2.2.1.2.1.3.25. del mencionado Decreto.</w:t>
      </w:r>
    </w:p>
    <w:p w14:paraId="531BEF7D" w14:textId="77777777" w:rsidR="00C23CFD" w:rsidRPr="00742BED" w:rsidRDefault="00C23CFD" w:rsidP="002E44D9">
      <w:pPr>
        <w:spacing w:before="120" w:after="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Ahora bien, </w:t>
      </w:r>
      <w:bookmarkStart w:id="2" w:name="_Hlk43918348"/>
      <w:r w:rsidRPr="00742BED">
        <w:rPr>
          <w:rFonts w:ascii="Arial" w:hAnsi="Arial" w:cs="Arial"/>
          <w:color w:val="000000" w:themeColor="text1"/>
          <w:sz w:val="22"/>
          <w:lang w:val="es-ES_tradnl"/>
        </w:rPr>
        <w:t>la Sección Tercera del Consejo de Estado, en autos del 25 de julio de 2018</w:t>
      </w:r>
      <w:r w:rsidRPr="00742BED">
        <w:rPr>
          <w:rStyle w:val="Refdenotaalpie"/>
          <w:rFonts w:ascii="Arial" w:hAnsi="Arial" w:cs="Arial"/>
          <w:color w:val="000000" w:themeColor="text1"/>
          <w:sz w:val="22"/>
          <w:lang w:val="es-ES_tradnl"/>
        </w:rPr>
        <w:footnoteReference w:id="1"/>
      </w:r>
      <w:r w:rsidRPr="00742BED">
        <w:rPr>
          <w:rFonts w:ascii="Arial" w:hAnsi="Arial" w:cs="Arial"/>
          <w:color w:val="000000" w:themeColor="text1"/>
          <w:sz w:val="22"/>
          <w:lang w:val="es-ES_tradnl"/>
        </w:rPr>
        <w:t xml:space="preserve"> y del 20 de febrero de 2019</w:t>
      </w:r>
      <w:r w:rsidRPr="00742BED">
        <w:rPr>
          <w:rStyle w:val="Refdenotaalpie"/>
          <w:rFonts w:ascii="Arial" w:hAnsi="Arial" w:cs="Arial"/>
          <w:color w:val="000000" w:themeColor="text1"/>
          <w:sz w:val="22"/>
          <w:lang w:val="es-ES_tradnl"/>
        </w:rPr>
        <w:footnoteReference w:id="2"/>
      </w:r>
      <w:r w:rsidRPr="00742BED">
        <w:rPr>
          <w:rFonts w:ascii="Arial" w:hAnsi="Arial" w:cs="Arial"/>
          <w:color w:val="000000" w:themeColor="text1"/>
          <w:sz w:val="22"/>
          <w:lang w:val="es-ES_tradnl"/>
        </w:rPr>
        <w:t xml:space="preserve">, suspendió provisionalmente, por un lado, el numeral 6 del artículo 2.2.1.2.1.3.2. del Decreto 1082 de 2015 y, por el otro, los numerales 3, 4 y 5 de </w:t>
      </w:r>
      <w:r w:rsidRPr="00742BED">
        <w:rPr>
          <w:rFonts w:ascii="Arial" w:hAnsi="Arial" w:cs="Arial"/>
          <w:color w:val="000000" w:themeColor="text1"/>
          <w:sz w:val="22"/>
          <w:lang w:val="es-ES_tradnl"/>
        </w:rPr>
        <w:lastRenderedPageBreak/>
        <w:t>la misma disposición. Las normas suspendidas regulaban el concurso de méritos abierto o sin precalificación</w:t>
      </w:r>
      <w:bookmarkEnd w:id="2"/>
      <w:r w:rsidRPr="00742BED">
        <w:rPr>
          <w:rFonts w:ascii="Arial" w:hAnsi="Arial" w:cs="Arial"/>
          <w:color w:val="000000" w:themeColor="text1"/>
          <w:sz w:val="22"/>
          <w:lang w:val="es-ES_tradnl"/>
        </w:rPr>
        <w:t xml:space="preserve">. El texto de estos numerales disponía lo siguiente: </w:t>
      </w:r>
    </w:p>
    <w:p w14:paraId="5AB28705" w14:textId="6E0407A9" w:rsidR="00C23CFD" w:rsidRPr="00742BED" w:rsidRDefault="002E44D9" w:rsidP="00C23CFD">
      <w:pPr>
        <w:pStyle w:val="Sinespaciado"/>
        <w:spacing w:after="120"/>
        <w:ind w:left="709" w:right="709"/>
        <w:jc w:val="both"/>
        <w:rPr>
          <w:rFonts w:ascii="Arial" w:hAnsi="Arial" w:cs="Arial"/>
          <w:color w:val="000000" w:themeColor="text1"/>
          <w:sz w:val="21"/>
          <w:szCs w:val="21"/>
          <w:lang w:val="es-ES_tradnl"/>
        </w:rPr>
      </w:pPr>
      <w:r w:rsidRPr="002E44D9">
        <w:rPr>
          <w:rFonts w:ascii="Arial" w:hAnsi="Arial" w:cs="Arial"/>
          <w:color w:val="000000" w:themeColor="text1"/>
          <w:sz w:val="21"/>
          <w:szCs w:val="21"/>
          <w:lang w:val="es-ES_tradnl"/>
        </w:rPr>
        <w:t>«</w:t>
      </w:r>
      <w:r w:rsidR="00C23CFD" w:rsidRPr="00742BED">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0DF2ABDA" w14:textId="77777777" w:rsidR="00C23CFD" w:rsidRPr="00742BED" w:rsidRDefault="00C23CFD" w:rsidP="00C23CFD">
      <w:pPr>
        <w:pStyle w:val="Sinespaciado"/>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31B7864A" w14:textId="77777777" w:rsidR="00C23CFD" w:rsidRPr="00742BED" w:rsidRDefault="00C23CFD" w:rsidP="00C23CFD">
      <w:pPr>
        <w:pStyle w:val="Sinespaciado"/>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68A79248" w14:textId="77777777" w:rsidR="00C23CFD" w:rsidRPr="00742BED" w:rsidRDefault="00C23CFD" w:rsidP="00C23CFD">
      <w:pPr>
        <w:pStyle w:val="Sinespaciado"/>
        <w:spacing w:after="120"/>
        <w:ind w:left="709" w:right="709"/>
        <w:jc w:val="both"/>
        <w:rPr>
          <w:rFonts w:ascii="Arial" w:hAnsi="Arial" w:cs="Arial"/>
          <w:i/>
          <w:color w:val="000000" w:themeColor="text1"/>
          <w:sz w:val="21"/>
          <w:szCs w:val="21"/>
          <w:lang w:val="es-ES_tradnl"/>
        </w:rPr>
      </w:pPr>
      <w:r w:rsidRPr="00742BED">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7FA3C658" w14:textId="77777777" w:rsidR="00C23CFD" w:rsidRPr="00742BED" w:rsidRDefault="00C23CFD" w:rsidP="00C23CFD">
      <w:pPr>
        <w:pStyle w:val="Sinespaciado"/>
        <w:spacing w:after="120"/>
        <w:ind w:left="709" w:right="709"/>
        <w:jc w:val="both"/>
        <w:rPr>
          <w:rFonts w:ascii="Arial" w:hAnsi="Arial" w:cs="Arial"/>
          <w:i/>
          <w:color w:val="000000" w:themeColor="text1"/>
          <w:sz w:val="21"/>
          <w:szCs w:val="21"/>
          <w:lang w:val="es-ES_tradnl"/>
        </w:rPr>
      </w:pPr>
      <w:r w:rsidRPr="00742BED">
        <w:rPr>
          <w:rFonts w:ascii="Arial" w:hAnsi="Arial" w:cs="Arial"/>
          <w:i/>
          <w:color w:val="000000" w:themeColor="text1"/>
          <w:sz w:val="21"/>
          <w:szCs w:val="21"/>
          <w:lang w:val="es-ES_tradnl"/>
        </w:rPr>
        <w:t xml:space="preserve">4. La Entidad Estatal debe revisar con el oferente calificado en el primer lugar de elegibilidad la coherencia y consistencia entre: i) la necesidad identificada por la Entidad Estatal y el alcance de la oferta; ii) la </w:t>
      </w:r>
      <w:proofErr w:type="gramStart"/>
      <w:r w:rsidRPr="00742BED">
        <w:rPr>
          <w:rFonts w:ascii="Arial" w:hAnsi="Arial" w:cs="Arial"/>
          <w:i/>
          <w:color w:val="000000" w:themeColor="text1"/>
          <w:sz w:val="21"/>
          <w:szCs w:val="21"/>
          <w:lang w:val="es-ES_tradnl"/>
        </w:rPr>
        <w:t>consultoría ofrecida y el precio ofrecido</w:t>
      </w:r>
      <w:proofErr w:type="gramEnd"/>
      <w:r w:rsidRPr="00742BED">
        <w:rPr>
          <w:rFonts w:ascii="Arial" w:hAnsi="Arial" w:cs="Arial"/>
          <w:i/>
          <w:color w:val="000000" w:themeColor="text1"/>
          <w:sz w:val="21"/>
          <w:szCs w:val="21"/>
          <w:lang w:val="es-ES_tradnl"/>
        </w:rPr>
        <w:t xml:space="preserve">, y iii) el precio ofrecido y la disponibilidad presupuestal del respectivo Proceso de Contratación. Si la Entidad Estatal y el oferente llegan a un acuerdo sobre el alcance y el valor del contrato, dejarán constancia </w:t>
      </w:r>
      <w:proofErr w:type="gramStart"/>
      <w:r w:rsidRPr="00742BED">
        <w:rPr>
          <w:rFonts w:ascii="Arial" w:hAnsi="Arial" w:cs="Arial"/>
          <w:i/>
          <w:color w:val="000000" w:themeColor="text1"/>
          <w:sz w:val="21"/>
          <w:szCs w:val="21"/>
          <w:lang w:val="es-ES_tradnl"/>
        </w:rPr>
        <w:t>del mismo</w:t>
      </w:r>
      <w:proofErr w:type="gramEnd"/>
      <w:r w:rsidRPr="00742BED">
        <w:rPr>
          <w:rFonts w:ascii="Arial" w:hAnsi="Arial" w:cs="Arial"/>
          <w:i/>
          <w:color w:val="000000" w:themeColor="text1"/>
          <w:sz w:val="21"/>
          <w:szCs w:val="21"/>
          <w:lang w:val="es-ES_tradnl"/>
        </w:rPr>
        <w:t xml:space="preserve"> y firmarán el contrato.</w:t>
      </w:r>
    </w:p>
    <w:p w14:paraId="48FD1747" w14:textId="77777777" w:rsidR="00C23CFD" w:rsidRPr="00742BED" w:rsidRDefault="00C23CFD" w:rsidP="00C23CFD">
      <w:pPr>
        <w:pStyle w:val="Sinespaciado"/>
        <w:spacing w:after="120"/>
        <w:ind w:left="709" w:right="709"/>
        <w:jc w:val="both"/>
        <w:rPr>
          <w:rFonts w:ascii="Arial" w:hAnsi="Arial" w:cs="Arial"/>
          <w:i/>
          <w:color w:val="000000" w:themeColor="text1"/>
          <w:sz w:val="21"/>
          <w:szCs w:val="21"/>
          <w:lang w:val="es-ES_tradnl"/>
        </w:rPr>
      </w:pPr>
      <w:r w:rsidRPr="00742BED">
        <w:rPr>
          <w:rFonts w:ascii="Arial" w:hAnsi="Arial" w:cs="Arial"/>
          <w:i/>
          <w:color w:val="000000" w:themeColor="text1"/>
          <w:sz w:val="21"/>
          <w:szCs w:val="21"/>
          <w:lang w:val="es-ES_tradnl"/>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742BED">
        <w:rPr>
          <w:rFonts w:ascii="Arial" w:hAnsi="Arial" w:cs="Arial"/>
          <w:i/>
          <w:color w:val="000000" w:themeColor="text1"/>
          <w:sz w:val="21"/>
          <w:szCs w:val="21"/>
          <w:lang w:val="es-ES_tradnl"/>
        </w:rPr>
        <w:t>del mismo</w:t>
      </w:r>
      <w:proofErr w:type="gramEnd"/>
      <w:r w:rsidRPr="00742BED">
        <w:rPr>
          <w:rFonts w:ascii="Arial" w:hAnsi="Arial" w:cs="Arial"/>
          <w:i/>
          <w:color w:val="000000" w:themeColor="text1"/>
          <w:sz w:val="21"/>
          <w:szCs w:val="21"/>
          <w:lang w:val="es-ES_tradnl"/>
        </w:rPr>
        <w:t xml:space="preserve"> y firmarán el contrato.</w:t>
      </w:r>
    </w:p>
    <w:p w14:paraId="3072DBA1" w14:textId="4ADA91CB" w:rsidR="00C23CFD" w:rsidRPr="00742BED" w:rsidRDefault="00C23CFD" w:rsidP="00C23CFD">
      <w:pPr>
        <w:pStyle w:val="Sinespaciado"/>
        <w:ind w:left="709" w:right="709"/>
        <w:jc w:val="both"/>
        <w:rPr>
          <w:rFonts w:ascii="Arial" w:hAnsi="Arial" w:cs="Arial"/>
          <w:color w:val="000000" w:themeColor="text1"/>
          <w:sz w:val="21"/>
          <w:szCs w:val="21"/>
          <w:lang w:val="es-ES_tradnl"/>
        </w:rPr>
      </w:pPr>
      <w:r w:rsidRPr="00742BED">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742BED">
        <w:rPr>
          <w:rFonts w:ascii="Arial" w:hAnsi="Arial" w:cs="Arial"/>
          <w:color w:val="000000" w:themeColor="text1"/>
          <w:sz w:val="21"/>
          <w:szCs w:val="21"/>
          <w:lang w:val="es-ES_tradnl"/>
        </w:rPr>
        <w:t>.</w:t>
      </w:r>
      <w:r w:rsidR="002E44D9" w:rsidRPr="00742BED">
        <w:rPr>
          <w:rFonts w:ascii="Arial" w:hAnsi="Arial" w:cs="Arial"/>
          <w:color w:val="000000" w:themeColor="text1"/>
          <w:sz w:val="22"/>
          <w:lang w:val="es-ES_tradnl"/>
        </w:rPr>
        <w:t>»</w:t>
      </w:r>
      <w:r w:rsidRPr="00742BED">
        <w:rPr>
          <w:rFonts w:ascii="Arial" w:hAnsi="Arial" w:cs="Arial"/>
          <w:color w:val="000000" w:themeColor="text1"/>
          <w:sz w:val="21"/>
          <w:szCs w:val="21"/>
          <w:lang w:val="es-ES_tradnl"/>
        </w:rPr>
        <w:t xml:space="preserve"> (Énfasis fuera de texto)</w:t>
      </w:r>
    </w:p>
    <w:p w14:paraId="41608B5A" w14:textId="77777777" w:rsidR="00C23CFD" w:rsidRPr="00742BED" w:rsidRDefault="00C23CFD" w:rsidP="00C23CFD">
      <w:pPr>
        <w:jc w:val="both"/>
        <w:rPr>
          <w:rFonts w:ascii="Arial" w:hAnsi="Arial" w:cs="Arial"/>
          <w:color w:val="000000" w:themeColor="text1"/>
          <w:sz w:val="22"/>
          <w:lang w:val="es-ES_tradnl"/>
        </w:rPr>
      </w:pPr>
    </w:p>
    <w:p w14:paraId="2FCEC9B2" w14:textId="4876A857" w:rsidR="00C23CFD" w:rsidRPr="00742BED" w:rsidRDefault="00C23CFD" w:rsidP="007766C8">
      <w:pPr>
        <w:spacing w:before="120" w:after="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w:t>
      </w:r>
      <w:r w:rsidR="007766C8">
        <w:rPr>
          <w:rFonts w:ascii="Arial" w:hAnsi="Arial" w:cs="Arial"/>
          <w:color w:val="000000" w:themeColor="text1"/>
          <w:sz w:val="22"/>
          <w:lang w:val="es-ES_tradnl"/>
        </w:rPr>
        <w:t>,</w:t>
      </w:r>
      <w:r w:rsidRPr="00742BED">
        <w:rPr>
          <w:rFonts w:ascii="Arial" w:hAnsi="Arial" w:cs="Arial"/>
          <w:color w:val="000000" w:themeColor="text1"/>
          <w:sz w:val="22"/>
          <w:lang w:val="es-ES_tradnl"/>
        </w:rPr>
        <w:t xml:space="preserve"> si no era posible llegar a un acuerdo con este, procedía la declaración de desierta. </w:t>
      </w:r>
    </w:p>
    <w:p w14:paraId="2B1C8EE0" w14:textId="21D8CB4F" w:rsidR="00C23CFD" w:rsidRPr="00742BED" w:rsidRDefault="007766C8" w:rsidP="007766C8">
      <w:pPr>
        <w:spacing w:before="120" w:after="120" w:line="276" w:lineRule="auto"/>
        <w:ind w:firstLine="709"/>
        <w:jc w:val="both"/>
        <w:rPr>
          <w:rFonts w:ascii="Arial" w:hAnsi="Arial" w:cs="Arial"/>
          <w:color w:val="000000" w:themeColor="text1"/>
          <w:sz w:val="22"/>
          <w:lang w:val="es-ES_tradnl"/>
        </w:rPr>
      </w:pPr>
      <w:bookmarkStart w:id="4" w:name="_Hlk43918393"/>
      <w:r>
        <w:rPr>
          <w:rFonts w:ascii="Arial" w:hAnsi="Arial" w:cs="Arial"/>
          <w:color w:val="000000" w:themeColor="text1"/>
          <w:sz w:val="22"/>
          <w:lang w:val="es-ES_tradnl"/>
        </w:rPr>
        <w:t>De este modo, el</w:t>
      </w:r>
      <w:r w:rsidR="00C23CFD" w:rsidRPr="00742BED">
        <w:rPr>
          <w:rFonts w:ascii="Arial" w:hAnsi="Arial" w:cs="Arial"/>
          <w:color w:val="000000" w:themeColor="text1"/>
          <w:sz w:val="22"/>
          <w:lang w:val="es-ES_tradnl"/>
        </w:rPr>
        <w:t xml:space="preserve"> Consejo de Estado consideró que los numerales 3, 4 y 5 v</w:t>
      </w:r>
      <w:r>
        <w:rPr>
          <w:rFonts w:ascii="Arial" w:hAnsi="Arial" w:cs="Arial"/>
          <w:color w:val="000000" w:themeColor="text1"/>
          <w:sz w:val="22"/>
          <w:lang w:val="es-ES_tradnl"/>
        </w:rPr>
        <w:t xml:space="preserve">ulneraban </w:t>
      </w:r>
      <w:r w:rsidR="00C23CFD" w:rsidRPr="00742BED">
        <w:rPr>
          <w:rFonts w:ascii="Arial" w:hAnsi="Arial" w:cs="Arial"/>
          <w:color w:val="000000" w:themeColor="text1"/>
          <w:sz w:val="22"/>
          <w:lang w:val="es-ES_tradnl"/>
        </w:rPr>
        <w:t xml:space="preserve">el artículo 5, numeral 4, último inciso, de la Ley 1150 de 2007, pues señaló que: </w:t>
      </w:r>
      <w:r w:rsidR="00C23CFD" w:rsidRPr="00742BED">
        <w:rPr>
          <w:rFonts w:ascii="Arial" w:hAnsi="Arial" w:cs="Arial"/>
          <w:color w:val="000000" w:themeColor="text1"/>
          <w:sz w:val="22"/>
          <w:lang w:val="es-ES_tradnl"/>
        </w:rPr>
        <w:lastRenderedPageBreak/>
        <w:t xml:space="preserve">«en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w:t>
      </w:r>
      <w:r>
        <w:rPr>
          <w:rFonts w:ascii="Arial" w:hAnsi="Arial" w:cs="Arial"/>
          <w:color w:val="000000" w:themeColor="text1"/>
          <w:sz w:val="22"/>
          <w:lang w:val="es-ES_tradnl"/>
        </w:rPr>
        <w:t>A</w:t>
      </w:r>
      <w:r w:rsidR="00C23CFD" w:rsidRPr="00742BED">
        <w:rPr>
          <w:rFonts w:ascii="Arial" w:hAnsi="Arial" w:cs="Arial"/>
          <w:color w:val="000000" w:themeColor="text1"/>
          <w:sz w:val="22"/>
          <w:lang w:val="es-ES_tradnl"/>
        </w:rPr>
        <w:t xml:space="preserve">lto </w:t>
      </w:r>
      <w:r>
        <w:rPr>
          <w:rFonts w:ascii="Arial" w:hAnsi="Arial" w:cs="Arial"/>
          <w:color w:val="000000" w:themeColor="text1"/>
          <w:sz w:val="22"/>
          <w:lang w:val="es-ES_tradnl"/>
        </w:rPr>
        <w:t>T</w:t>
      </w:r>
      <w:r w:rsidR="00C23CFD" w:rsidRPr="00742BED">
        <w:rPr>
          <w:rFonts w:ascii="Arial" w:hAnsi="Arial" w:cs="Arial"/>
          <w:color w:val="000000" w:themeColor="text1"/>
          <w:sz w:val="22"/>
          <w:lang w:val="es-ES_tradnl"/>
        </w:rPr>
        <w:t>ribunal</w:t>
      </w:r>
      <w:r>
        <w:rPr>
          <w:rFonts w:ascii="Arial" w:hAnsi="Arial" w:cs="Arial"/>
          <w:color w:val="000000" w:themeColor="text1"/>
          <w:sz w:val="22"/>
          <w:lang w:val="es-ES_tradnl"/>
        </w:rPr>
        <w:t xml:space="preserve"> de lo contencioso administrativo</w:t>
      </w:r>
      <w:r w:rsidR="00C23CFD" w:rsidRPr="00742BED">
        <w:rPr>
          <w:rFonts w:ascii="Arial" w:hAnsi="Arial" w:cs="Arial"/>
          <w:color w:val="000000" w:themeColor="text1"/>
          <w:sz w:val="22"/>
          <w:lang w:val="es-ES_tradnl"/>
        </w:rPr>
        <w:t xml:space="preserve"> explicó que la verificación de la coherencia del precio con la disponibilidad presupuestal y la necesidad de que se logre un acuerdo en relación con el mismo desconocía el principio de selección objetiva, convirtiendo el precio en un factor de selección</w:t>
      </w:r>
      <w:r w:rsidR="00C23CFD" w:rsidRPr="00742BED">
        <w:rPr>
          <w:rStyle w:val="Refdenotaalpie"/>
          <w:rFonts w:ascii="Arial" w:hAnsi="Arial" w:cs="Arial"/>
          <w:color w:val="000000" w:themeColor="text1"/>
          <w:sz w:val="22"/>
          <w:lang w:val="es-ES_tradnl"/>
        </w:rPr>
        <w:footnoteReference w:id="3"/>
      </w:r>
      <w:r w:rsidR="00C23CFD" w:rsidRPr="00742BED">
        <w:rPr>
          <w:rFonts w:ascii="Arial" w:hAnsi="Arial" w:cs="Arial"/>
          <w:color w:val="000000" w:themeColor="text1"/>
          <w:sz w:val="22"/>
          <w:lang w:val="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4"/>
      <w:r w:rsidR="00C23CFD" w:rsidRPr="00742BED">
        <w:rPr>
          <w:rStyle w:val="Refdenotaalpie"/>
          <w:rFonts w:ascii="Arial" w:hAnsi="Arial" w:cs="Arial"/>
          <w:color w:val="000000" w:themeColor="text1"/>
          <w:sz w:val="22"/>
          <w:lang w:val="es-ES_tradnl"/>
        </w:rPr>
        <w:footnoteReference w:id="4"/>
      </w:r>
      <w:r w:rsidR="00C23CFD" w:rsidRPr="00742BED">
        <w:rPr>
          <w:rFonts w:ascii="Arial" w:hAnsi="Arial" w:cs="Arial"/>
          <w:color w:val="000000" w:themeColor="text1"/>
          <w:sz w:val="22"/>
          <w:lang w:val="es-ES_tradnl"/>
        </w:rPr>
        <w:t>.</w:t>
      </w:r>
    </w:p>
    <w:p w14:paraId="01A1FFB8" w14:textId="77777777" w:rsidR="00C23CFD" w:rsidRPr="00742BED" w:rsidRDefault="00C23CFD" w:rsidP="007766C8">
      <w:pPr>
        <w:spacing w:before="120" w:after="120" w:line="276" w:lineRule="auto"/>
        <w:ind w:firstLine="709"/>
        <w:jc w:val="both"/>
        <w:rPr>
          <w:rFonts w:ascii="Arial" w:hAnsi="Arial" w:cs="Arial"/>
          <w:color w:val="000000" w:themeColor="text1"/>
          <w:sz w:val="22"/>
          <w:lang w:val="es-ES_tradnl"/>
        </w:rPr>
      </w:pPr>
      <w:bookmarkStart w:id="5" w:name="_Hlk43916091"/>
      <w:r w:rsidRPr="00742BED">
        <w:rPr>
          <w:rFonts w:ascii="Arial" w:hAnsi="Arial" w:cs="Arial"/>
          <w:color w:val="000000" w:themeColor="text1"/>
          <w:sz w:val="22"/>
          <w:lang w:val="es-ES_tradnl"/>
        </w:rPr>
        <w:t xml:space="preserve">En consecuencia, </w:t>
      </w:r>
      <w:r w:rsidRPr="00742BED">
        <w:rPr>
          <w:rFonts w:ascii="Arial" w:eastAsia="Calibri" w:hAnsi="Arial" w:cs="Arial"/>
          <w:color w:val="000000" w:themeColor="text1"/>
          <w:sz w:val="22"/>
          <w:lang w:val="es-ES_tradnl"/>
        </w:rPr>
        <w:t>con los autos de suspensión provisional, el concurso de méritos abierto debía desarrollarse aplicando únicamente los numerales 1 y 2 del</w:t>
      </w:r>
      <w:r w:rsidRPr="00742BED">
        <w:rPr>
          <w:rFonts w:ascii="Arial" w:hAnsi="Arial" w:cs="Arial"/>
          <w:color w:val="000000" w:themeColor="text1"/>
          <w:sz w:val="22"/>
          <w:lang w:val="es-ES_tradnl"/>
        </w:rPr>
        <w:t xml:space="preserve"> artículo 2.2.1.2.1.3.2 del Decreto 1082 de 2015.</w:t>
      </w:r>
      <w:bookmarkStart w:id="6" w:name="_Hlk43916290"/>
      <w:bookmarkEnd w:id="5"/>
      <w:r w:rsidRPr="00742BED">
        <w:rPr>
          <w:rFonts w:ascii="Arial" w:hAnsi="Arial" w:cs="Arial"/>
          <w:color w:val="000000" w:themeColor="text1"/>
          <w:sz w:val="22"/>
          <w:lang w:val="es-ES_tradnl"/>
        </w:rPr>
        <w:t xml:space="preserve"> Por lo tanto, </w:t>
      </w:r>
      <w:r w:rsidRPr="00742BED">
        <w:rPr>
          <w:rFonts w:ascii="Arial" w:hAnsi="Arial" w:cs="Arial"/>
          <w:i/>
          <w:iCs/>
          <w:color w:val="000000" w:themeColor="text1"/>
          <w:sz w:val="22"/>
          <w:lang w:val="es-ES_tradnl"/>
        </w:rPr>
        <w:t>siempre que estuviera dentro del presupuesto oficial</w:t>
      </w:r>
      <w:r w:rsidRPr="00742BED">
        <w:rPr>
          <w:rFonts w:ascii="Arial" w:hAnsi="Arial" w:cs="Arial"/>
          <w:color w:val="000000" w:themeColor="text1"/>
          <w:sz w:val="22"/>
          <w:lang w:val="es-ES_tradnl"/>
        </w:rPr>
        <w:t>, la entidad estatal debía adjudicar el contrato al proponente que ocupara el primer puesto en el orden de elegibilidad, independientemente del valor ofrecido</w:t>
      </w:r>
      <w:r w:rsidRPr="00742BED">
        <w:rPr>
          <w:rFonts w:ascii="Arial" w:eastAsia="Calibri" w:hAnsi="Arial" w:cs="Arial"/>
          <w:color w:val="000000" w:themeColor="text1"/>
          <w:sz w:val="22"/>
          <w:lang w:val="es-ES_tradnl"/>
        </w:rPr>
        <w:t>.</w:t>
      </w:r>
    </w:p>
    <w:p w14:paraId="3EDBEF3D" w14:textId="0B4D03D9" w:rsidR="00C23CFD" w:rsidRPr="00742BED" w:rsidRDefault="00330BDF" w:rsidP="007766C8">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otro lado, e</w:t>
      </w:r>
      <w:r w:rsidR="00C23CFD" w:rsidRPr="00742BED">
        <w:rPr>
          <w:rFonts w:ascii="Arial" w:eastAsia="Calibri" w:hAnsi="Arial" w:cs="Arial"/>
          <w:color w:val="000000" w:themeColor="text1"/>
          <w:sz w:val="22"/>
          <w:lang w:val="es-ES_tradnl"/>
        </w:rPr>
        <w:t>l artículo 2 del Decreto 399 de 2021 modificó el artículo 2.2.1.2.1.3.2. del Decreto 1082 de 2015, en los siguientes términos:</w:t>
      </w:r>
    </w:p>
    <w:p w14:paraId="41A90115" w14:textId="4EC04521" w:rsidR="00C23CFD" w:rsidRPr="007766C8" w:rsidRDefault="007766C8" w:rsidP="00C23CFD">
      <w:pPr>
        <w:shd w:val="clear" w:color="auto" w:fill="FFFFFF"/>
        <w:ind w:left="709" w:right="709"/>
        <w:jc w:val="both"/>
        <w:rPr>
          <w:rFonts w:ascii="Arial" w:hAnsi="Arial" w:cs="Arial"/>
          <w:color w:val="000000" w:themeColor="text1"/>
          <w:sz w:val="21"/>
          <w:szCs w:val="21"/>
          <w:lang w:val="es-ES_tradnl"/>
        </w:rPr>
      </w:pPr>
      <w:r w:rsidRPr="007766C8">
        <w:rPr>
          <w:rFonts w:ascii="Arial" w:hAnsi="Arial" w:cs="Arial"/>
          <w:color w:val="000000" w:themeColor="text1"/>
          <w:sz w:val="21"/>
          <w:szCs w:val="21"/>
          <w:lang w:val="es-ES_tradnl"/>
        </w:rPr>
        <w:lastRenderedPageBreak/>
        <w:t>«</w:t>
      </w:r>
      <w:r w:rsidR="00C23CFD" w:rsidRPr="00742BED">
        <w:rPr>
          <w:rFonts w:ascii="Arial" w:hAnsi="Arial" w:cs="Arial"/>
          <w:color w:val="000000" w:themeColor="text1"/>
          <w:sz w:val="21"/>
          <w:szCs w:val="21"/>
          <w:lang w:val="es-ES_tradnl"/>
        </w:rPr>
        <w:t xml:space="preserve">Artículo 2. </w:t>
      </w:r>
      <w:r w:rsidR="00C23CFD" w:rsidRPr="007766C8">
        <w:rPr>
          <w:rFonts w:ascii="Arial" w:hAnsi="Arial" w:cs="Arial"/>
          <w:color w:val="000000" w:themeColor="text1"/>
          <w:sz w:val="21"/>
          <w:szCs w:val="21"/>
          <w:lang w:val="es-ES_tradnl"/>
        </w:rPr>
        <w:t>Modificación del artículo </w:t>
      </w:r>
      <w:hyperlink r:id="rId12" w:anchor="2.2.1.2.1.3.2" w:history="1">
        <w:r w:rsidR="00C23CFD" w:rsidRPr="007766C8">
          <w:rPr>
            <w:rStyle w:val="Hipervnculo"/>
            <w:rFonts w:ascii="Arial" w:eastAsia="Arial" w:hAnsi="Arial" w:cs="Arial"/>
            <w:color w:val="000000" w:themeColor="text1"/>
            <w:sz w:val="21"/>
            <w:szCs w:val="21"/>
            <w:u w:val="none"/>
            <w:lang w:val="es-ES_tradnl"/>
          </w:rPr>
          <w:t>2.2.1.2.1.3.2</w:t>
        </w:r>
      </w:hyperlink>
      <w:r w:rsidR="00C23CFD" w:rsidRPr="007766C8">
        <w:rPr>
          <w:rFonts w:ascii="Arial" w:hAnsi="Arial" w:cs="Arial"/>
          <w:color w:val="000000" w:themeColor="text1"/>
          <w:sz w:val="21"/>
          <w:szCs w:val="21"/>
          <w:lang w:val="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0B9B6670" w14:textId="77777777" w:rsidR="00C23CFD" w:rsidRPr="007766C8" w:rsidRDefault="00C23CFD" w:rsidP="00C23CFD">
      <w:pPr>
        <w:shd w:val="clear" w:color="auto" w:fill="FFFFFF"/>
        <w:ind w:left="709" w:right="709"/>
        <w:jc w:val="both"/>
        <w:rPr>
          <w:rFonts w:ascii="Arial" w:hAnsi="Arial" w:cs="Arial"/>
          <w:color w:val="000000" w:themeColor="text1"/>
          <w:sz w:val="21"/>
          <w:szCs w:val="21"/>
          <w:lang w:val="es-ES_tradnl"/>
        </w:rPr>
      </w:pPr>
      <w:r w:rsidRPr="007766C8">
        <w:rPr>
          <w:rFonts w:ascii="Arial" w:hAnsi="Arial" w:cs="Arial"/>
          <w:color w:val="000000" w:themeColor="text1"/>
          <w:sz w:val="21"/>
          <w:szCs w:val="21"/>
          <w:lang w:val="es-ES_tradnl"/>
        </w:rPr>
        <w:t> </w:t>
      </w:r>
    </w:p>
    <w:p w14:paraId="63B58810" w14:textId="4A6F9E8E" w:rsidR="00C23CFD" w:rsidRPr="00742BED" w:rsidRDefault="00881DCE" w:rsidP="00C23CFD">
      <w:pPr>
        <w:shd w:val="clear" w:color="auto" w:fill="FFFFFF"/>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C23CFD" w:rsidRPr="007766C8">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w:t>
      </w:r>
      <w:r w:rsidR="00C23CFD" w:rsidRPr="00742BED">
        <w:rPr>
          <w:rFonts w:ascii="Arial" w:hAnsi="Arial" w:cs="Arial"/>
          <w:color w:val="000000" w:themeColor="text1"/>
          <w:sz w:val="21"/>
          <w:szCs w:val="21"/>
          <w:lang w:val="es-ES_tradnl"/>
        </w:rPr>
        <w:t xml:space="preserve"> o con precalificación:</w:t>
      </w:r>
    </w:p>
    <w:p w14:paraId="4631C28D" w14:textId="77777777"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7E0174E9" w14:textId="77777777"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18EEF8BF" w14:textId="77777777"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22C972A8" w14:textId="77777777"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25406482" w14:textId="77777777"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325CA206" w14:textId="2DC515D1"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r w:rsidR="00881DCE">
        <w:rPr>
          <w:rFonts w:ascii="Arial" w:hAnsi="Arial" w:cs="Arial"/>
          <w:color w:val="000000" w:themeColor="text1"/>
          <w:sz w:val="21"/>
          <w:szCs w:val="21"/>
          <w:lang w:val="es-ES_tradnl"/>
        </w:rPr>
        <w:t>”</w:t>
      </w:r>
      <w:r w:rsidR="007766C8" w:rsidRPr="007766C8">
        <w:rPr>
          <w:rFonts w:ascii="Arial" w:hAnsi="Arial" w:cs="Arial"/>
          <w:color w:val="000000" w:themeColor="text1"/>
          <w:sz w:val="21"/>
          <w:szCs w:val="21"/>
          <w:lang w:val="es-ES_tradnl"/>
        </w:rPr>
        <w:t>»</w:t>
      </w:r>
    </w:p>
    <w:p w14:paraId="26C08F02" w14:textId="77777777" w:rsidR="00C23CFD" w:rsidRPr="00742BED" w:rsidRDefault="00C23CFD" w:rsidP="00C23CFD">
      <w:pPr>
        <w:rPr>
          <w:color w:val="000000" w:themeColor="text1"/>
          <w:lang w:val="es-ES_tradnl"/>
        </w:rPr>
      </w:pPr>
    </w:p>
    <w:p w14:paraId="443AF680" w14:textId="5B72E025" w:rsidR="00C23CFD" w:rsidRPr="00742BED" w:rsidRDefault="00C23CFD" w:rsidP="00881DCE">
      <w:pPr>
        <w:spacing w:before="120"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742BED">
        <w:rPr>
          <w:rStyle w:val="Refdenotaalpie"/>
          <w:rFonts w:ascii="Arial" w:eastAsia="Calibri" w:hAnsi="Arial" w:cs="Arial"/>
          <w:color w:val="000000" w:themeColor="text1"/>
          <w:sz w:val="22"/>
          <w:lang w:val="es-ES_tradnl"/>
        </w:rPr>
        <w:footnoteReference w:id="5"/>
      </w:r>
      <w:r w:rsidRPr="00742BED">
        <w:rPr>
          <w:rFonts w:ascii="Arial" w:eastAsia="Calibri" w:hAnsi="Arial" w:cs="Arial"/>
          <w:color w:val="000000" w:themeColor="text1"/>
          <w:sz w:val="22"/>
          <w:lang w:val="es-ES_tradnl"/>
        </w:rPr>
        <w:t>. A diferencia de lo que establecía este artículo en su redacción inicial, con la entrada en vig</w:t>
      </w:r>
      <w:r w:rsidR="00881DCE">
        <w:rPr>
          <w:rFonts w:ascii="Arial" w:eastAsia="Calibri" w:hAnsi="Arial" w:cs="Arial"/>
          <w:color w:val="000000" w:themeColor="text1"/>
          <w:sz w:val="22"/>
          <w:lang w:val="es-ES_tradnl"/>
        </w:rPr>
        <w:t xml:space="preserve">or </w:t>
      </w:r>
      <w:r w:rsidRPr="00742BED">
        <w:rPr>
          <w:rFonts w:ascii="Arial" w:eastAsia="Calibri" w:hAnsi="Arial" w:cs="Arial"/>
          <w:color w:val="000000" w:themeColor="text1"/>
          <w:sz w:val="22"/>
          <w:lang w:val="es-ES_tradnl"/>
        </w:rPr>
        <w:t>del artículo 2 del Decreto 399 de 2021 se observan los siguientes cambios:</w:t>
      </w:r>
    </w:p>
    <w:p w14:paraId="250F5DE0" w14:textId="77777777" w:rsidR="00C23CFD" w:rsidRPr="00742BED" w:rsidRDefault="00C23CFD" w:rsidP="000E7A59">
      <w:pPr>
        <w:spacing w:before="120"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w:t>
      </w:r>
      <w:r w:rsidRPr="00742BED">
        <w:rPr>
          <w:rFonts w:ascii="Arial" w:eastAsia="Calibri" w:hAnsi="Arial" w:cs="Arial"/>
          <w:color w:val="000000" w:themeColor="text1"/>
          <w:sz w:val="22"/>
          <w:lang w:val="es-ES_tradnl"/>
        </w:rPr>
        <w:lastRenderedPageBreak/>
        <w:t>disposición permite que los interesados ejerzan su derecho a conocer el informe de evaluación y a formular las observaciones que consideren pertinentes.</w:t>
      </w:r>
    </w:p>
    <w:p w14:paraId="599117E4" w14:textId="24995168" w:rsidR="00C23CFD" w:rsidRPr="00742BED" w:rsidRDefault="00C23CFD" w:rsidP="00BB2191">
      <w:pPr>
        <w:spacing w:before="120"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w:t>
      </w:r>
      <w:r w:rsidR="001B755F">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w:t>
      </w:r>
      <w:r w:rsidR="001B755F">
        <w:rPr>
          <w:rFonts w:ascii="Arial" w:eastAsia="Calibri" w:hAnsi="Arial" w:cs="Arial"/>
          <w:color w:val="000000" w:themeColor="text1"/>
          <w:sz w:val="22"/>
          <w:lang w:val="es-ES_tradnl"/>
        </w:rPr>
        <w:t>E</w:t>
      </w:r>
      <w:r w:rsidRPr="00742BED">
        <w:rPr>
          <w:rFonts w:ascii="Arial" w:eastAsia="Calibri" w:hAnsi="Arial" w:cs="Arial"/>
          <w:color w:val="000000" w:themeColor="text1"/>
          <w:sz w:val="22"/>
          <w:lang w:val="es-ES_tradnl"/>
        </w:rPr>
        <w:t>n su lugar,</w:t>
      </w:r>
      <w:r w:rsidR="001B755F">
        <w:rPr>
          <w:rFonts w:ascii="Arial" w:eastAsia="Calibri" w:hAnsi="Arial" w:cs="Arial"/>
          <w:color w:val="000000" w:themeColor="text1"/>
          <w:sz w:val="22"/>
          <w:lang w:val="es-ES_tradnl"/>
        </w:rPr>
        <w:t xml:space="preserve"> señala</w:t>
      </w:r>
      <w:r w:rsidRPr="00742BED">
        <w:rPr>
          <w:rFonts w:ascii="Arial" w:eastAsia="Calibri" w:hAnsi="Arial" w:cs="Arial"/>
          <w:color w:val="000000" w:themeColor="text1"/>
          <w:sz w:val="22"/>
          <w:lang w:val="es-ES_tradnl"/>
        </w:rPr>
        <w:t xml:space="preserve">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2E4E648A" w14:textId="77777777" w:rsidR="00C23CFD" w:rsidRPr="00742BED" w:rsidRDefault="00C23CFD" w:rsidP="00BB2191">
      <w:pPr>
        <w:spacing w:before="120"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1073CC64" w14:textId="77777777" w:rsidR="00C23CFD" w:rsidRPr="00742BED" w:rsidRDefault="00C23CFD" w:rsidP="00BB2191">
      <w:pPr>
        <w:spacing w:before="120"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2CC40F1F" w14:textId="572F2761" w:rsidR="00C23CFD" w:rsidRPr="00742BED" w:rsidRDefault="00BB2191" w:rsidP="00C23CFD">
      <w:pPr>
        <w:shd w:val="clear" w:color="auto" w:fill="FFFFFF"/>
        <w:ind w:left="709" w:right="709"/>
        <w:jc w:val="both"/>
        <w:rPr>
          <w:rFonts w:ascii="Arial" w:hAnsi="Arial" w:cs="Arial"/>
          <w:color w:val="000000" w:themeColor="text1"/>
          <w:sz w:val="21"/>
          <w:szCs w:val="21"/>
          <w:lang w:val="es-ES_tradnl"/>
        </w:rPr>
      </w:pPr>
      <w:r w:rsidRPr="00BB2191">
        <w:rPr>
          <w:rFonts w:ascii="Arial" w:hAnsi="Arial" w:cs="Arial"/>
          <w:color w:val="000000" w:themeColor="text1"/>
          <w:sz w:val="21"/>
          <w:szCs w:val="21"/>
          <w:lang w:val="es-ES_tradnl"/>
        </w:rPr>
        <w:t>«</w:t>
      </w:r>
      <w:r w:rsidR="00C23CFD" w:rsidRPr="00742BED">
        <w:rPr>
          <w:rFonts w:ascii="Arial" w:hAnsi="Arial" w:cs="Arial"/>
          <w:color w:val="000000" w:themeColor="text1"/>
          <w:sz w:val="21"/>
          <w:szCs w:val="21"/>
          <w:lang w:val="es-ES_tradnl"/>
        </w:rPr>
        <w:t xml:space="preserve">Que en consideración a la importancia de conocer los valores y criterios utilizados por las entidades estatales que sirvan de soporte para definir el valor estimado del contrato en la modalidad de selección de concurso de méritos, y </w:t>
      </w:r>
      <w:r w:rsidR="00C23CFD" w:rsidRPr="00742BED">
        <w:rPr>
          <w:rFonts w:ascii="Arial" w:hAnsi="Arial" w:cs="Arial"/>
          <w:color w:val="000000" w:themeColor="text1"/>
          <w:sz w:val="21"/>
          <w:szCs w:val="21"/>
          <w:lang w:val="es-ES_tradnl"/>
        </w:rPr>
        <w:lastRenderedPageBreak/>
        <w:t>ante la inexistencia de una reserva legal de esta información, es necesario eliminar la restricción respecto al deber de publicación de dichos análisis.</w:t>
      </w:r>
    </w:p>
    <w:p w14:paraId="7884E549" w14:textId="77777777"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1D5D173C" w14:textId="21B0B9B9" w:rsidR="00C23CFD" w:rsidRPr="00742BED" w:rsidRDefault="00C23CFD" w:rsidP="00C23CFD">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00BB2191" w:rsidRPr="00BB2191">
        <w:rPr>
          <w:rFonts w:ascii="Arial" w:hAnsi="Arial" w:cs="Arial"/>
          <w:color w:val="000000" w:themeColor="text1"/>
          <w:sz w:val="21"/>
          <w:szCs w:val="21"/>
          <w:lang w:val="es-ES_tradnl"/>
        </w:rPr>
        <w:t>»</w:t>
      </w:r>
      <w:r w:rsidRPr="00742BED">
        <w:rPr>
          <w:rFonts w:ascii="Arial" w:eastAsia="Calibri" w:hAnsi="Arial" w:cs="Arial"/>
          <w:color w:val="000000" w:themeColor="text1"/>
          <w:sz w:val="22"/>
          <w:lang w:val="es-ES_tradnl"/>
        </w:rPr>
        <w:t xml:space="preserve">  </w:t>
      </w:r>
    </w:p>
    <w:p w14:paraId="17511A10" w14:textId="77777777" w:rsidR="00C23CFD" w:rsidRPr="00742BED" w:rsidRDefault="00C23CFD" w:rsidP="00C23CFD">
      <w:pPr>
        <w:spacing w:line="276" w:lineRule="auto"/>
        <w:ind w:firstLine="709"/>
        <w:jc w:val="both"/>
        <w:rPr>
          <w:rFonts w:ascii="Arial" w:eastAsia="Calibri" w:hAnsi="Arial" w:cs="Arial"/>
          <w:color w:val="000000" w:themeColor="text1"/>
          <w:sz w:val="22"/>
          <w:lang w:val="es-ES_tradnl"/>
        </w:rPr>
      </w:pPr>
    </w:p>
    <w:p w14:paraId="0EA89A05" w14:textId="77777777" w:rsidR="001B755F" w:rsidRDefault="00C23CFD" w:rsidP="008D7F99">
      <w:pPr>
        <w:spacing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Por lo tanto, a partir de la entrada en </w:t>
      </w:r>
      <w:r w:rsidR="00BB2191">
        <w:rPr>
          <w:rFonts w:ascii="Arial" w:eastAsia="Calibri" w:hAnsi="Arial" w:cs="Arial"/>
          <w:color w:val="000000" w:themeColor="text1"/>
          <w:sz w:val="22"/>
          <w:lang w:val="es-ES_tradnl"/>
        </w:rPr>
        <w:t>vigor</w:t>
      </w:r>
      <w:r w:rsidRPr="00742BED">
        <w:rPr>
          <w:rFonts w:ascii="Arial" w:eastAsia="Calibri" w:hAnsi="Arial" w:cs="Arial"/>
          <w:color w:val="000000" w:themeColor="text1"/>
          <w:sz w:val="22"/>
          <w:lang w:val="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w:t>
      </w:r>
    </w:p>
    <w:p w14:paraId="0E4A7081" w14:textId="28D4D7C0" w:rsidR="004C77DD" w:rsidRPr="00742BED" w:rsidRDefault="001B755F" w:rsidP="008D7F99">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Debe resaltarse que e</w:t>
      </w:r>
      <w:r w:rsidR="00C23CFD" w:rsidRPr="00742BED">
        <w:rPr>
          <w:rFonts w:ascii="Arial" w:eastAsia="Calibri" w:hAnsi="Arial" w:cs="Arial"/>
          <w:color w:val="000000" w:themeColor="text1"/>
          <w:sz w:val="22"/>
          <w:lang w:val="es-ES_tradnl"/>
        </w:rPr>
        <w:t>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En consecuencia, cuando el valor de la oferta exceda dicho presupuesto oficial y tal inconsistencia no sea subsanada, deberá procederse con el rechazo y esto debe quedar consignado en el informe de evaluación</w:t>
      </w:r>
      <w:r w:rsidR="00C23CFD" w:rsidRPr="00742BED">
        <w:rPr>
          <w:rStyle w:val="Refdenotaalpie"/>
          <w:rFonts w:ascii="Arial" w:eastAsia="Calibri" w:hAnsi="Arial" w:cs="Arial"/>
          <w:color w:val="000000" w:themeColor="text1"/>
          <w:sz w:val="22"/>
          <w:lang w:val="es-ES_tradnl"/>
        </w:rPr>
        <w:footnoteReference w:id="6"/>
      </w:r>
      <w:r w:rsidR="00C23CFD" w:rsidRPr="00742BED">
        <w:rPr>
          <w:rFonts w:ascii="Arial" w:eastAsia="Calibri" w:hAnsi="Arial" w:cs="Arial"/>
          <w:color w:val="000000" w:themeColor="text1"/>
          <w:sz w:val="22"/>
          <w:lang w:val="es-ES_tradnl"/>
        </w:rPr>
        <w:t xml:space="preserve">. </w:t>
      </w:r>
    </w:p>
    <w:p w14:paraId="6EF1CF59" w14:textId="77777777" w:rsidR="00757D4E" w:rsidRDefault="00C23CFD" w:rsidP="00757D4E">
      <w:pPr>
        <w:spacing w:before="120" w:after="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lastRenderedPageBreak/>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establecidos en el pliego de condiciones.</w:t>
      </w:r>
    </w:p>
    <w:p w14:paraId="4EE67809" w14:textId="2A245A76" w:rsidR="004C77DD" w:rsidRPr="00742BED" w:rsidRDefault="00330BDF" w:rsidP="004C77DD">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Teniendo en cuenta el marco jurídico indicado, en relación con el funcionamiento del SECOP, vale la pena señalar que esta </w:t>
      </w:r>
      <w:r w:rsidR="004C77DD" w:rsidRPr="00742BED">
        <w:rPr>
          <w:rFonts w:ascii="Arial" w:eastAsia="Calibri" w:hAnsi="Arial" w:cs="Arial"/>
          <w:color w:val="000000" w:themeColor="text1"/>
          <w:sz w:val="22"/>
          <w:lang w:val="es-ES_tradnl"/>
        </w:rPr>
        <w:t>Agencia recientemente expidió la Circular Externa 002 del 8 de junio de 2021, donde estableció lo siguiente, en relación con la publicidad temporal de los concursos de méritos:</w:t>
      </w:r>
    </w:p>
    <w:p w14:paraId="7A97C736" w14:textId="77777777" w:rsidR="004C77DD" w:rsidRPr="00742BED" w:rsidRDefault="004C77DD" w:rsidP="004C77DD">
      <w:pPr>
        <w:spacing w:line="276" w:lineRule="auto"/>
        <w:ind w:firstLine="709"/>
        <w:jc w:val="both"/>
        <w:rPr>
          <w:rFonts w:ascii="Arial" w:eastAsia="Calibri" w:hAnsi="Arial" w:cs="Arial"/>
          <w:color w:val="000000" w:themeColor="text1"/>
          <w:sz w:val="22"/>
          <w:lang w:val="es-ES_tradnl"/>
        </w:rPr>
      </w:pPr>
    </w:p>
    <w:p w14:paraId="2BC24992" w14:textId="652CEC39" w:rsidR="004C77DD" w:rsidRPr="00742BED" w:rsidRDefault="00CB0116" w:rsidP="004C77DD">
      <w:pPr>
        <w:shd w:val="clear" w:color="auto" w:fill="FFFFFF"/>
        <w:spacing w:after="120"/>
        <w:ind w:left="709" w:right="709"/>
        <w:jc w:val="both"/>
        <w:rPr>
          <w:rFonts w:ascii="Arial" w:hAnsi="Arial" w:cs="Arial"/>
          <w:color w:val="000000" w:themeColor="text1"/>
          <w:sz w:val="21"/>
          <w:szCs w:val="21"/>
          <w:lang w:val="es-ES_tradnl"/>
        </w:rPr>
      </w:pPr>
      <w:r w:rsidRPr="00CB0116">
        <w:rPr>
          <w:rFonts w:ascii="Arial" w:hAnsi="Arial" w:cs="Arial"/>
          <w:color w:val="000000" w:themeColor="text1"/>
          <w:sz w:val="21"/>
          <w:szCs w:val="21"/>
          <w:lang w:val="es-ES_tradnl"/>
        </w:rPr>
        <w:t>«</w:t>
      </w:r>
      <w:r w:rsidR="004C77DD" w:rsidRPr="00742BED">
        <w:rPr>
          <w:rFonts w:ascii="Arial" w:hAnsi="Arial" w:cs="Arial"/>
          <w:color w:val="000000" w:themeColor="text1"/>
          <w:sz w:val="21"/>
          <w:szCs w:val="21"/>
          <w:lang w:val="es-ES_tradnl"/>
        </w:rPr>
        <w:t>Así las cosas, el Concurso de Méritos definido en el artículo 2.2.1.2.1.3.1. del Decreto 1082 de 2015, y de acuerdo con el procedimiento establecido en el artículo 2.2.1.2.1.3.2. modificado por el artículo 2 del Decreto 399 de 2021, deberá adelantarse y publicarse de manera temporal a través del Sistema Electrónico de Contratación Pública – SECOP I.</w:t>
      </w:r>
    </w:p>
    <w:p w14:paraId="578D2FB1" w14:textId="77777777" w:rsidR="004C77DD" w:rsidRPr="00742BED" w:rsidRDefault="004C77DD" w:rsidP="004C77DD">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En tal sentido, a las Entidades Estatales se les habilitará temporalmente el SECOP I para que publiquen los documentos del concurso de méritos abierto o con precalificación dentro de los tres (3) días siguientes a su expedición, como lo ordena el artículo 2.2.1.1.1.7.1. del Decreto 1082 de 2015.</w:t>
      </w:r>
    </w:p>
    <w:p w14:paraId="5E6B8858" w14:textId="77777777" w:rsidR="004C77DD" w:rsidRPr="00742BED" w:rsidRDefault="004C77DD" w:rsidP="004C77DD">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Los procedimientos de selección que se realicen utilizando los documentos tipo adoptados por la Agencia Nacional de Contratación Pública – Colombia Compra Eficiente, que se adelanten por la modalidad de selección de Concurso de Méritos, también se publicarán transitoriamente en la plataforma SECOP I, mientras se habilita el módulo de Concurso de Méritos en la plataforma SECOP II, teniendo en cuenta la regulación establecida en el Decreto 399 de 2021.</w:t>
      </w:r>
    </w:p>
    <w:p w14:paraId="5E5A7926" w14:textId="77777777" w:rsidR="004C77DD" w:rsidRPr="00742BED" w:rsidRDefault="004C77DD" w:rsidP="004C77DD">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Una vez la funcionalidad para la publicación de Concurso de Méritos (abierto o con precalificación) sea implementada en el SECOP II, notificaremos a todos nuestros usuarios a través de nuestros canales oficiales.</w:t>
      </w:r>
    </w:p>
    <w:p w14:paraId="4D321931" w14:textId="1A27CEE6" w:rsidR="00736116" w:rsidRPr="00742BED" w:rsidRDefault="004C77DD" w:rsidP="008D7F99">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La habilitación de permisos en el SECOP I se verá reflejada a partir del 08 de junio 2021.</w:t>
      </w:r>
      <w:r w:rsidR="00CB0116" w:rsidRPr="00CB0116">
        <w:rPr>
          <w:rFonts w:ascii="Arial" w:hAnsi="Arial" w:cs="Arial"/>
          <w:color w:val="000000" w:themeColor="text1"/>
          <w:sz w:val="21"/>
          <w:szCs w:val="21"/>
          <w:lang w:val="es-ES_tradnl"/>
        </w:rPr>
        <w:t>»</w:t>
      </w:r>
    </w:p>
    <w:p w14:paraId="5C4344AF" w14:textId="77777777" w:rsidR="004C77DD" w:rsidRPr="00742BED" w:rsidRDefault="004C77DD" w:rsidP="004C77DD">
      <w:pPr>
        <w:spacing w:line="276" w:lineRule="auto"/>
        <w:jc w:val="both"/>
        <w:rPr>
          <w:rFonts w:ascii="Arial" w:eastAsia="Calibri" w:hAnsi="Arial" w:cs="Arial"/>
          <w:color w:val="000000" w:themeColor="text1"/>
          <w:sz w:val="22"/>
          <w:lang w:val="es-ES_tradnl"/>
        </w:rPr>
      </w:pPr>
    </w:p>
    <w:p w14:paraId="06BD8290" w14:textId="26924148" w:rsidR="00330BDF" w:rsidRDefault="004C77DD" w:rsidP="008D7F99">
      <w:pPr>
        <w:spacing w:line="276" w:lineRule="auto"/>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ab/>
        <w:t xml:space="preserve">Teniendo en cuenta lo establecido en la Circular citada, </w:t>
      </w:r>
      <w:r w:rsidR="00330BDF">
        <w:rPr>
          <w:rFonts w:ascii="Arial" w:eastAsia="Calibri" w:hAnsi="Arial" w:cs="Arial"/>
          <w:color w:val="000000" w:themeColor="text1"/>
          <w:sz w:val="22"/>
          <w:lang w:val="es-ES_tradnl"/>
        </w:rPr>
        <w:t>los concursos de méritos que realicen las entidades estatales deberán adelantarse transitoriamente en el SECOP I, mientras se realizan los ajustes en la plataforma del SECOP II, de manera que esta resulte armónica con el marco jurídico explicado. Además, vale la pena destacar que esto también aplica, como se señala en la Circular, para los concursos de méritos que se realicen utilizando los documentos tipo.</w:t>
      </w:r>
    </w:p>
    <w:bookmarkEnd w:id="6"/>
    <w:p w14:paraId="1F55067F" w14:textId="77777777" w:rsidR="00A012F5" w:rsidRDefault="00A012F5" w:rsidP="006256EA">
      <w:pPr>
        <w:pStyle w:val="Ttulo1"/>
        <w:keepNext w:val="0"/>
        <w:keepLines w:val="0"/>
        <w:widowControl w:val="0"/>
        <w:tabs>
          <w:tab w:val="left" w:pos="544"/>
        </w:tabs>
        <w:autoSpaceDE w:val="0"/>
        <w:autoSpaceDN w:val="0"/>
        <w:spacing w:before="0" w:line="276" w:lineRule="auto"/>
        <w:rPr>
          <w:rFonts w:ascii="Arial" w:hAnsi="Arial" w:cs="Arial"/>
          <w:b/>
          <w:bCs/>
          <w:color w:val="000000" w:themeColor="text1"/>
          <w:sz w:val="22"/>
          <w:szCs w:val="22"/>
        </w:rPr>
      </w:pPr>
    </w:p>
    <w:p w14:paraId="54F8B269" w14:textId="1628AD78" w:rsidR="00B8408D" w:rsidRDefault="00EE1291" w:rsidP="006256EA">
      <w:pPr>
        <w:pStyle w:val="Ttulo1"/>
        <w:keepNext w:val="0"/>
        <w:keepLines w:val="0"/>
        <w:widowControl w:val="0"/>
        <w:tabs>
          <w:tab w:val="left" w:pos="544"/>
        </w:tabs>
        <w:autoSpaceDE w:val="0"/>
        <w:autoSpaceDN w:val="0"/>
        <w:spacing w:before="0" w:line="276" w:lineRule="auto"/>
        <w:rPr>
          <w:rFonts w:ascii="Arial" w:hAnsi="Arial" w:cs="Arial"/>
          <w:b/>
          <w:bCs/>
          <w:color w:val="000000" w:themeColor="text1"/>
          <w:sz w:val="22"/>
          <w:szCs w:val="22"/>
        </w:rPr>
      </w:pPr>
      <w:r>
        <w:rPr>
          <w:rFonts w:ascii="Arial" w:hAnsi="Arial" w:cs="Arial"/>
          <w:b/>
          <w:bCs/>
          <w:color w:val="000000" w:themeColor="text1"/>
          <w:sz w:val="22"/>
          <w:szCs w:val="22"/>
        </w:rPr>
        <w:t>3</w:t>
      </w:r>
      <w:r w:rsidR="006256EA" w:rsidRPr="00A03A61">
        <w:rPr>
          <w:rFonts w:ascii="Arial" w:hAnsi="Arial" w:cs="Arial"/>
          <w:b/>
          <w:bCs/>
          <w:color w:val="000000" w:themeColor="text1"/>
          <w:sz w:val="22"/>
          <w:szCs w:val="22"/>
        </w:rPr>
        <w:t xml:space="preserve">. </w:t>
      </w:r>
      <w:r w:rsidR="00B8408D" w:rsidRPr="00A03A61">
        <w:rPr>
          <w:rFonts w:ascii="Arial" w:hAnsi="Arial" w:cs="Arial"/>
          <w:b/>
          <w:bCs/>
          <w:color w:val="000000" w:themeColor="text1"/>
          <w:sz w:val="22"/>
          <w:szCs w:val="22"/>
        </w:rPr>
        <w:t>Respuesta</w:t>
      </w:r>
    </w:p>
    <w:p w14:paraId="64832BDE" w14:textId="77777777" w:rsidR="004C4FEB" w:rsidRPr="00015F47" w:rsidRDefault="004C4FEB" w:rsidP="00015F47"/>
    <w:p w14:paraId="224F0C89" w14:textId="3193A3B8" w:rsidR="004C4FEB" w:rsidRPr="00015F47" w:rsidRDefault="00F773A6" w:rsidP="00015F47">
      <w:pPr>
        <w:pStyle w:val="NormalWeb"/>
        <w:spacing w:before="0" w:beforeAutospacing="0" w:after="0" w:afterAutospacing="0"/>
        <w:ind w:left="1077" w:right="709"/>
        <w:jc w:val="both"/>
        <w:rPr>
          <w:rFonts w:ascii="Arial" w:hAnsi="Arial" w:cs="Arial"/>
          <w:sz w:val="21"/>
          <w:szCs w:val="21"/>
        </w:rPr>
      </w:pPr>
      <w:r w:rsidRPr="00015F47">
        <w:rPr>
          <w:rFonts w:ascii="Arial" w:hAnsi="Arial" w:cs="Arial"/>
          <w:sz w:val="21"/>
          <w:szCs w:val="21"/>
        </w:rPr>
        <w:t>«¿Cual es momento correcto según la ley y el reglamento para la apertura del sobre económico del Concurso de Méritos (pliego tipo de interventoría de transporte)?».</w:t>
      </w:r>
    </w:p>
    <w:p w14:paraId="389D9497" w14:textId="77777777" w:rsidR="004C4FEB" w:rsidRPr="00015F47" w:rsidRDefault="004C4FEB" w:rsidP="00015F47">
      <w:pPr>
        <w:pStyle w:val="NormalWeb"/>
        <w:spacing w:before="0" w:beforeAutospacing="0" w:after="0" w:afterAutospacing="0"/>
        <w:ind w:left="1077" w:right="709"/>
        <w:jc w:val="both"/>
        <w:rPr>
          <w:rFonts w:ascii="Arial" w:hAnsi="Arial" w:cs="Arial"/>
          <w:sz w:val="21"/>
          <w:szCs w:val="21"/>
        </w:rPr>
      </w:pPr>
    </w:p>
    <w:p w14:paraId="28E70E5C" w14:textId="4B434F3F" w:rsidR="006E36F6" w:rsidRDefault="00F773A6" w:rsidP="004C4FEB">
      <w:pPr>
        <w:pStyle w:val="NormalWeb"/>
        <w:spacing w:before="0" w:beforeAutospacing="0" w:after="0" w:afterAutospacing="0"/>
        <w:ind w:left="1080" w:right="709"/>
        <w:jc w:val="both"/>
        <w:rPr>
          <w:rFonts w:ascii="Arial" w:hAnsi="Arial" w:cs="Arial"/>
          <w:sz w:val="21"/>
          <w:szCs w:val="21"/>
        </w:rPr>
      </w:pPr>
      <w:r w:rsidRPr="00015F47">
        <w:rPr>
          <w:rFonts w:ascii="Arial" w:hAnsi="Arial" w:cs="Arial"/>
          <w:sz w:val="21"/>
          <w:szCs w:val="21"/>
        </w:rPr>
        <w:t>«¿Es viable abrir el sobre económico a la par con el sobre 1 y 2?».</w:t>
      </w:r>
    </w:p>
    <w:p w14:paraId="7043F269" w14:textId="77777777" w:rsidR="00BD4AFF" w:rsidRPr="00015F47" w:rsidRDefault="00BD4AFF" w:rsidP="00015F47">
      <w:pPr>
        <w:pStyle w:val="NormalWeb"/>
        <w:spacing w:before="0" w:beforeAutospacing="0" w:after="0" w:afterAutospacing="0"/>
        <w:ind w:left="1080" w:right="709"/>
        <w:jc w:val="both"/>
        <w:rPr>
          <w:rFonts w:ascii="Arial" w:hAnsi="Arial" w:cs="Arial"/>
          <w:sz w:val="21"/>
          <w:szCs w:val="21"/>
        </w:rPr>
      </w:pPr>
    </w:p>
    <w:p w14:paraId="71F75798" w14:textId="59D88D60" w:rsidR="00D10946" w:rsidRPr="008D7F99" w:rsidRDefault="00F773A6" w:rsidP="00015F47">
      <w:pPr>
        <w:spacing w:before="120" w:after="120" w:line="276" w:lineRule="auto"/>
        <w:jc w:val="both"/>
        <w:rPr>
          <w:rFonts w:ascii="Arial" w:hAnsi="Arial" w:cs="Arial"/>
          <w:color w:val="201F1E"/>
          <w:sz w:val="22"/>
          <w:szCs w:val="22"/>
        </w:rPr>
      </w:pPr>
      <w:r w:rsidRPr="008D7F99">
        <w:rPr>
          <w:rFonts w:ascii="Arial" w:hAnsi="Arial" w:cs="Arial"/>
          <w:color w:val="000000"/>
          <w:sz w:val="22"/>
          <w:szCs w:val="22"/>
          <w:bdr w:val="none" w:sz="0" w:space="0" w:color="auto" w:frame="1"/>
        </w:rPr>
        <w:t>De conformidad con las anteriores consideraciones, es pertinente resaltar que normativamente no se ha previsto el momento en el que deba realizarse la apertura del sobre que contenga la oferta económica</w:t>
      </w:r>
      <w:r w:rsidR="00314F2B">
        <w:rPr>
          <w:rFonts w:ascii="Arial" w:hAnsi="Arial" w:cs="Arial"/>
          <w:color w:val="000000"/>
          <w:sz w:val="22"/>
          <w:szCs w:val="22"/>
          <w:bdr w:val="none" w:sz="0" w:space="0" w:color="auto" w:frame="1"/>
        </w:rPr>
        <w:t xml:space="preserve"> en la modalidad de concurso de méritos,</w:t>
      </w:r>
      <w:r w:rsidR="001A24A5">
        <w:rPr>
          <w:rFonts w:ascii="Arial" w:hAnsi="Arial" w:cs="Arial"/>
          <w:color w:val="000000"/>
          <w:sz w:val="22"/>
          <w:szCs w:val="22"/>
          <w:bdr w:val="none" w:sz="0" w:space="0" w:color="auto" w:frame="1"/>
        </w:rPr>
        <w:t xml:space="preserve"> ni siquiera que esta tenga que presentarse en un sobre independiente</w:t>
      </w:r>
      <w:r w:rsidRPr="008D7F99">
        <w:rPr>
          <w:rFonts w:ascii="Arial" w:hAnsi="Arial" w:cs="Arial"/>
          <w:color w:val="000000"/>
          <w:sz w:val="22"/>
          <w:szCs w:val="22"/>
          <w:bdr w:val="none" w:sz="0" w:space="0" w:color="auto" w:frame="1"/>
        </w:rPr>
        <w:t>. </w:t>
      </w:r>
      <w:r w:rsidR="0058574A">
        <w:rPr>
          <w:rFonts w:ascii="Arial" w:hAnsi="Arial" w:cs="Arial"/>
          <w:color w:val="000000"/>
          <w:sz w:val="22"/>
          <w:szCs w:val="22"/>
          <w:bdr w:val="none" w:sz="0" w:space="0" w:color="auto" w:frame="1"/>
        </w:rPr>
        <w:t>Sin embargo, de acuerdo con lo expuesto, esta Subdirección considera que</w:t>
      </w:r>
      <w:r w:rsidRPr="008D7F99">
        <w:rPr>
          <w:rFonts w:ascii="Arial" w:hAnsi="Arial" w:cs="Arial"/>
          <w:color w:val="000000"/>
          <w:sz w:val="22"/>
          <w:szCs w:val="22"/>
          <w:bdr w:val="none" w:sz="0" w:space="0" w:color="auto" w:frame="1"/>
        </w:rPr>
        <w:t xml:space="preserve"> en el concurso de méritos </w:t>
      </w:r>
      <w:r w:rsidR="0058574A">
        <w:rPr>
          <w:rFonts w:ascii="Arial" w:hAnsi="Arial" w:cs="Arial"/>
          <w:color w:val="000000"/>
          <w:sz w:val="22"/>
          <w:szCs w:val="22"/>
          <w:bdr w:val="none" w:sz="0" w:space="0" w:color="auto" w:frame="1"/>
        </w:rPr>
        <w:t>las ofertas económicas deben evaluarse</w:t>
      </w:r>
      <w:r w:rsidR="00314F2B">
        <w:rPr>
          <w:rFonts w:ascii="Arial" w:hAnsi="Arial" w:cs="Arial"/>
          <w:color w:val="000000"/>
          <w:sz w:val="22"/>
          <w:szCs w:val="22"/>
          <w:bdr w:val="none" w:sz="0" w:space="0" w:color="auto" w:frame="1"/>
        </w:rPr>
        <w:t>, aunque no asignen puntaje,</w:t>
      </w:r>
      <w:r w:rsidRPr="008D7F99">
        <w:rPr>
          <w:rFonts w:ascii="Arial" w:hAnsi="Arial" w:cs="Arial"/>
          <w:color w:val="000000"/>
          <w:sz w:val="22"/>
          <w:szCs w:val="22"/>
          <w:bdr w:val="none" w:sz="0" w:space="0" w:color="auto" w:frame="1"/>
        </w:rPr>
        <w:t xml:space="preserve"> </w:t>
      </w:r>
      <w:r w:rsidR="00B506F6">
        <w:rPr>
          <w:rFonts w:ascii="Arial" w:hAnsi="Arial" w:cs="Arial"/>
          <w:color w:val="000000"/>
          <w:sz w:val="22"/>
          <w:szCs w:val="22"/>
          <w:bdr w:val="none" w:sz="0" w:space="0" w:color="auto" w:frame="1"/>
        </w:rPr>
        <w:t>simultáneamente con</w:t>
      </w:r>
      <w:r w:rsidRPr="008D7F99">
        <w:rPr>
          <w:rFonts w:ascii="Arial" w:hAnsi="Arial" w:cs="Arial"/>
          <w:color w:val="000000"/>
          <w:sz w:val="22"/>
          <w:szCs w:val="22"/>
          <w:bdr w:val="none" w:sz="0" w:space="0" w:color="auto" w:frame="1"/>
        </w:rPr>
        <w:t xml:space="preserve"> los </w:t>
      </w:r>
      <w:r w:rsidR="00B506F6">
        <w:rPr>
          <w:rFonts w:ascii="Arial" w:hAnsi="Arial" w:cs="Arial"/>
          <w:color w:val="000000"/>
          <w:sz w:val="22"/>
          <w:szCs w:val="22"/>
          <w:bdr w:val="none" w:sz="0" w:space="0" w:color="auto" w:frame="1"/>
        </w:rPr>
        <w:t>demás requisitos</w:t>
      </w:r>
      <w:r w:rsidRPr="008D7F99">
        <w:rPr>
          <w:rFonts w:ascii="Arial" w:hAnsi="Arial" w:cs="Arial"/>
          <w:color w:val="000000"/>
          <w:sz w:val="22"/>
          <w:szCs w:val="22"/>
          <w:bdr w:val="none" w:sz="0" w:space="0" w:color="auto" w:frame="1"/>
        </w:rPr>
        <w:t xml:space="preserve"> habilitantes y ponderables,</w:t>
      </w:r>
      <w:r w:rsidR="00314F2B">
        <w:rPr>
          <w:rFonts w:ascii="Arial" w:hAnsi="Arial" w:cs="Arial"/>
          <w:color w:val="000000"/>
          <w:sz w:val="22"/>
          <w:szCs w:val="22"/>
          <w:bdr w:val="none" w:sz="0" w:space="0" w:color="auto" w:frame="1"/>
        </w:rPr>
        <w:t xml:space="preserve"> con la finalidad de determinar que estén acordes con el presupuesto oficial,</w:t>
      </w:r>
      <w:r w:rsidRPr="008D7F99">
        <w:rPr>
          <w:rFonts w:ascii="Arial" w:hAnsi="Arial" w:cs="Arial"/>
          <w:color w:val="000000"/>
          <w:sz w:val="22"/>
          <w:szCs w:val="22"/>
          <w:bdr w:val="none" w:sz="0" w:space="0" w:color="auto" w:frame="1"/>
        </w:rPr>
        <w:t xml:space="preserve"> </w:t>
      </w:r>
      <w:r w:rsidR="00B506F6">
        <w:rPr>
          <w:rFonts w:ascii="Arial" w:hAnsi="Arial" w:cs="Arial"/>
          <w:color w:val="000000"/>
          <w:sz w:val="22"/>
          <w:szCs w:val="22"/>
          <w:bdr w:val="none" w:sz="0" w:space="0" w:color="auto" w:frame="1"/>
        </w:rPr>
        <w:t>lo que resulta coherente con</w:t>
      </w:r>
      <w:r w:rsidRPr="008D7F99">
        <w:rPr>
          <w:rFonts w:ascii="Arial" w:hAnsi="Arial" w:cs="Arial"/>
          <w:color w:val="000000"/>
          <w:sz w:val="22"/>
          <w:szCs w:val="22"/>
          <w:bdr w:val="none" w:sz="0" w:space="0" w:color="auto" w:frame="1"/>
        </w:rPr>
        <w:t xml:space="preserve"> la jurisprudencia del Consejo de Estado </w:t>
      </w:r>
      <w:r w:rsidR="00503E5A">
        <w:rPr>
          <w:rFonts w:ascii="Arial" w:hAnsi="Arial" w:cs="Arial"/>
          <w:color w:val="000000"/>
          <w:sz w:val="22"/>
          <w:szCs w:val="22"/>
          <w:bdr w:val="none" w:sz="0" w:space="0" w:color="auto" w:frame="1"/>
        </w:rPr>
        <w:t>como con</w:t>
      </w:r>
      <w:r w:rsidR="00B506F6" w:rsidRPr="008D7F99">
        <w:rPr>
          <w:rFonts w:ascii="Arial" w:hAnsi="Arial" w:cs="Arial"/>
          <w:color w:val="000000"/>
          <w:sz w:val="22"/>
          <w:szCs w:val="22"/>
          <w:bdr w:val="none" w:sz="0" w:space="0" w:color="auto" w:frame="1"/>
        </w:rPr>
        <w:t xml:space="preserve"> </w:t>
      </w:r>
      <w:r w:rsidRPr="008D7F99">
        <w:rPr>
          <w:rFonts w:ascii="Arial" w:hAnsi="Arial" w:cs="Arial"/>
          <w:color w:val="000000"/>
          <w:sz w:val="22"/>
          <w:szCs w:val="22"/>
          <w:bdr w:val="none" w:sz="0" w:space="0" w:color="auto" w:frame="1"/>
        </w:rPr>
        <w:t>la nueva reglamentación sobre el procedimiento de concurso de méritos</w:t>
      </w:r>
      <w:r w:rsidR="00B506F6">
        <w:rPr>
          <w:rFonts w:ascii="Arial" w:hAnsi="Arial" w:cs="Arial"/>
          <w:color w:val="000000"/>
          <w:sz w:val="22"/>
          <w:szCs w:val="22"/>
          <w:bdr w:val="none" w:sz="0" w:space="0" w:color="auto" w:frame="1"/>
        </w:rPr>
        <w:t xml:space="preserve">. En efecto, </w:t>
      </w:r>
      <w:r w:rsidR="00D10946">
        <w:rPr>
          <w:rFonts w:ascii="Arial" w:eastAsia="Calibri" w:hAnsi="Arial" w:cs="Arial"/>
          <w:color w:val="000000" w:themeColor="text1"/>
          <w:sz w:val="22"/>
          <w:lang w:val="es-ES_tradnl"/>
        </w:rPr>
        <w:t xml:space="preserve">según </w:t>
      </w:r>
      <w:r w:rsidR="00D10946" w:rsidRPr="00742BED">
        <w:rPr>
          <w:rFonts w:ascii="Arial" w:eastAsia="Calibri" w:hAnsi="Arial" w:cs="Arial"/>
          <w:color w:val="000000" w:themeColor="text1"/>
          <w:sz w:val="22"/>
          <w:lang w:val="es-ES_tradnl"/>
        </w:rPr>
        <w:t xml:space="preserve">el artículo 2 del Decreto 399 de 2021 «Una vez resueltas las observaciones al informe de evaluación, la entidad adjudicará el contrato mediante acto administrativo al oferente que haya cumplido todos los requisitos exigidos en el pliego de condiciones y haya obtenido el mayor puntaje». </w:t>
      </w:r>
      <w:r w:rsidR="00D10946">
        <w:rPr>
          <w:rFonts w:ascii="Arial" w:eastAsia="Calibri" w:hAnsi="Arial" w:cs="Arial"/>
          <w:color w:val="000000" w:themeColor="text1"/>
          <w:sz w:val="22"/>
          <w:lang w:val="es-ES_tradnl"/>
        </w:rPr>
        <w:t xml:space="preserve">Es decir, </w:t>
      </w:r>
      <w:r w:rsidR="00D10946" w:rsidRPr="00742BED">
        <w:rPr>
          <w:rFonts w:ascii="Arial" w:eastAsia="Calibri" w:hAnsi="Arial" w:cs="Arial"/>
          <w:color w:val="000000" w:themeColor="text1"/>
          <w:sz w:val="22"/>
          <w:lang w:val="es-ES_tradnl"/>
        </w:rPr>
        <w:t>después de la respuesta a las observaciones del informe de evaluación ya la entidad estatal no debe</w:t>
      </w:r>
      <w:r w:rsidR="00503E5A">
        <w:rPr>
          <w:rFonts w:ascii="Arial" w:eastAsia="Calibri" w:hAnsi="Arial" w:cs="Arial"/>
          <w:color w:val="000000" w:themeColor="text1"/>
          <w:sz w:val="22"/>
          <w:lang w:val="es-ES_tradnl"/>
        </w:rPr>
        <w:t>, como sucedía antes,</w:t>
      </w:r>
      <w:r w:rsidR="00D10946" w:rsidRPr="00742BED">
        <w:rPr>
          <w:rFonts w:ascii="Arial" w:eastAsia="Calibri" w:hAnsi="Arial" w:cs="Arial"/>
          <w:color w:val="000000" w:themeColor="text1"/>
          <w:sz w:val="22"/>
          <w:lang w:val="es-ES_tradnl"/>
        </w:rPr>
        <w:t xml:space="preserve"> revisar que la oferta económica sea acorde </w:t>
      </w:r>
      <w:r w:rsidR="00503E5A">
        <w:rPr>
          <w:rFonts w:ascii="Arial" w:eastAsia="Calibri" w:hAnsi="Arial" w:cs="Arial"/>
          <w:color w:val="000000" w:themeColor="text1"/>
          <w:sz w:val="22"/>
          <w:lang w:val="es-ES_tradnl"/>
        </w:rPr>
        <w:t>con el</w:t>
      </w:r>
      <w:r w:rsidR="00D10946" w:rsidRPr="00742BED">
        <w:rPr>
          <w:rFonts w:ascii="Arial" w:eastAsia="Calibri" w:hAnsi="Arial" w:cs="Arial"/>
          <w:color w:val="000000" w:themeColor="text1"/>
          <w:sz w:val="22"/>
          <w:lang w:val="es-ES_tradnl"/>
        </w:rPr>
        <w:t xml:space="preserve">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663F2E47" w14:textId="77777777" w:rsidR="006E36F6" w:rsidRPr="00FE777A" w:rsidRDefault="006E36F6" w:rsidP="006E36F6">
      <w:pPr>
        <w:pStyle w:val="NormalWeb"/>
        <w:spacing w:before="0" w:beforeAutospacing="0" w:after="0" w:afterAutospacing="0"/>
        <w:jc w:val="both"/>
        <w:rPr>
          <w:rFonts w:ascii="Arial" w:hAnsi="Arial" w:cs="Arial"/>
          <w:color w:val="000000"/>
        </w:rPr>
      </w:pPr>
    </w:p>
    <w:p w14:paraId="0738C8F4" w14:textId="77777777" w:rsidR="00A71CEA" w:rsidRPr="00A03A61" w:rsidRDefault="00A71CEA" w:rsidP="00A71CEA">
      <w:pPr>
        <w:spacing w:line="276" w:lineRule="auto"/>
        <w:jc w:val="both"/>
        <w:rPr>
          <w:rFonts w:ascii="Arial" w:eastAsia="Calibri" w:hAnsi="Arial" w:cs="Arial"/>
          <w:color w:val="000000" w:themeColor="text1"/>
          <w:sz w:val="22"/>
          <w:szCs w:val="22"/>
        </w:rPr>
      </w:pPr>
      <w:r w:rsidRPr="00A03A61">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27A116DB" w14:textId="77777777" w:rsidR="00B55679" w:rsidRPr="00A03A61" w:rsidRDefault="00B55679" w:rsidP="00623378">
      <w:pPr>
        <w:jc w:val="both"/>
        <w:rPr>
          <w:rFonts w:ascii="Arial" w:eastAsia="Calibri" w:hAnsi="Arial" w:cs="Arial"/>
          <w:color w:val="000000" w:themeColor="text1"/>
          <w:sz w:val="22"/>
          <w:szCs w:val="22"/>
        </w:rPr>
      </w:pPr>
    </w:p>
    <w:p w14:paraId="1BD8E63C" w14:textId="77777777" w:rsidR="00A71CEA" w:rsidRPr="00A03A61" w:rsidRDefault="00A71CEA" w:rsidP="00A71CEA">
      <w:pPr>
        <w:jc w:val="both"/>
        <w:rPr>
          <w:rFonts w:ascii="Arial" w:hAnsi="Arial" w:cs="Arial"/>
          <w:color w:val="000000" w:themeColor="text1"/>
          <w:sz w:val="22"/>
          <w:szCs w:val="22"/>
          <w:lang w:eastAsia="es-CO"/>
        </w:rPr>
      </w:pPr>
      <w:r w:rsidRPr="00A03A61">
        <w:rPr>
          <w:rFonts w:ascii="Arial" w:hAnsi="Arial" w:cs="Arial"/>
          <w:color w:val="000000" w:themeColor="text1"/>
          <w:sz w:val="22"/>
          <w:szCs w:val="22"/>
          <w:lang w:eastAsia="es-CO"/>
        </w:rPr>
        <w:t>Atentamente,</w:t>
      </w:r>
    </w:p>
    <w:p w14:paraId="6B055B12" w14:textId="3F85B0D5" w:rsidR="00A71CEA" w:rsidRPr="00A03A61" w:rsidRDefault="008214EE" w:rsidP="00A71CEA">
      <w:pPr>
        <w:jc w:val="center"/>
        <w:rPr>
          <w:rFonts w:ascii="Arial" w:hAnsi="Arial" w:cs="Arial"/>
          <w:color w:val="000000" w:themeColor="text1"/>
          <w:sz w:val="22"/>
          <w:szCs w:val="22"/>
          <w:lang w:eastAsia="es-CO"/>
        </w:rPr>
      </w:pPr>
      <w:r w:rsidRPr="00FC4438">
        <w:rPr>
          <w:noProof/>
        </w:rPr>
        <w:lastRenderedPageBreak/>
        <w:drawing>
          <wp:inline distT="0" distB="0" distL="0" distR="0" wp14:anchorId="4C56587B" wp14:editId="278D4997">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14600" cy="1114425"/>
                    </a:xfrm>
                    <a:prstGeom prst="rect">
                      <a:avLst/>
                    </a:prstGeom>
                  </pic:spPr>
                </pic:pic>
              </a:graphicData>
            </a:graphic>
          </wp:inline>
        </w:drawing>
      </w:r>
    </w:p>
    <w:p w14:paraId="4783A21F" w14:textId="77777777" w:rsidR="00A71CEA" w:rsidRPr="00A03A61" w:rsidRDefault="00A71CEA" w:rsidP="00A71CEA">
      <w:pPr>
        <w:jc w:val="center"/>
        <w:rPr>
          <w:rFonts w:ascii="Arial" w:hAnsi="Arial" w:cs="Arial"/>
          <w:color w:val="000000" w:themeColor="text1"/>
          <w:sz w:val="22"/>
          <w:szCs w:val="22"/>
          <w:lang w:eastAsia="es-CO"/>
        </w:rPr>
      </w:pPr>
    </w:p>
    <w:p w14:paraId="1FEF5E59" w14:textId="77777777" w:rsidR="00A71CEA" w:rsidRPr="00A03A61" w:rsidRDefault="00A71CEA" w:rsidP="00A71CEA">
      <w:pPr>
        <w:jc w:val="center"/>
        <w:rPr>
          <w:rFonts w:ascii="Arial"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A03A61" w14:paraId="6FD066C0" w14:textId="77777777" w:rsidTr="007F1895">
        <w:trPr>
          <w:trHeight w:val="315"/>
        </w:trPr>
        <w:tc>
          <w:tcPr>
            <w:tcW w:w="812" w:type="dxa"/>
            <w:vAlign w:val="center"/>
            <w:hideMark/>
          </w:tcPr>
          <w:p w14:paraId="3D034311"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 xml:space="preserve">Camilo Perdomo Villamil </w:t>
            </w:r>
          </w:p>
          <w:p w14:paraId="02C2374E"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Contratista de la Subdirección de Gestión Contractual</w:t>
            </w:r>
          </w:p>
        </w:tc>
      </w:tr>
      <w:tr w:rsidR="00A71CEA" w:rsidRPr="00A03A61" w14:paraId="6CE7FA18" w14:textId="77777777" w:rsidTr="007F1895">
        <w:trPr>
          <w:trHeight w:val="330"/>
        </w:trPr>
        <w:tc>
          <w:tcPr>
            <w:tcW w:w="812" w:type="dxa"/>
            <w:vAlign w:val="center"/>
            <w:hideMark/>
          </w:tcPr>
          <w:p w14:paraId="2902D588"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CB0244" w14:textId="77777777" w:rsidR="00E43A90" w:rsidRDefault="00E43A90" w:rsidP="00E43A90">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15D02354" w14:textId="1E228A1A" w:rsidR="00A71CEA" w:rsidRPr="00A03A61" w:rsidRDefault="00E43A90" w:rsidP="00E43A90">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A71CEA" w:rsidRPr="00A03A61" w14:paraId="4BA2BDE6" w14:textId="77777777" w:rsidTr="007F1895">
        <w:trPr>
          <w:trHeight w:val="300"/>
        </w:trPr>
        <w:tc>
          <w:tcPr>
            <w:tcW w:w="812" w:type="dxa"/>
            <w:vAlign w:val="center"/>
            <w:hideMark/>
          </w:tcPr>
          <w:p w14:paraId="1A726DD9"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Jorge Augusto Tirado Navarro</w:t>
            </w:r>
          </w:p>
          <w:p w14:paraId="416E9DA6" w14:textId="77777777" w:rsidR="00A71CEA" w:rsidRPr="00A03A61" w:rsidRDefault="00A71CEA" w:rsidP="007F1895">
            <w:pPr>
              <w:rPr>
                <w:rFonts w:ascii="Arial" w:hAnsi="Arial" w:cs="Arial"/>
                <w:color w:val="000000" w:themeColor="text1"/>
                <w:sz w:val="16"/>
                <w:szCs w:val="16"/>
                <w:lang w:eastAsia="es-ES"/>
              </w:rPr>
            </w:pPr>
            <w:r w:rsidRPr="00A03A61">
              <w:rPr>
                <w:rFonts w:ascii="Arial" w:hAnsi="Arial" w:cs="Arial"/>
                <w:color w:val="000000" w:themeColor="text1"/>
                <w:sz w:val="16"/>
                <w:szCs w:val="16"/>
                <w:lang w:eastAsia="es-ES"/>
              </w:rPr>
              <w:t>Subdirector de Gestión Contractual ANCP – CCE</w:t>
            </w:r>
          </w:p>
        </w:tc>
      </w:tr>
    </w:tbl>
    <w:p w14:paraId="3D5BFD2B" w14:textId="77777777" w:rsidR="00A71CEA" w:rsidRPr="00A03A61" w:rsidRDefault="00A71CEA" w:rsidP="0085443D">
      <w:pPr>
        <w:rPr>
          <w:rFonts w:ascii="Arial" w:hAnsi="Arial" w:cs="Arial"/>
          <w:sz w:val="22"/>
          <w:szCs w:val="22"/>
        </w:rPr>
      </w:pPr>
    </w:p>
    <w:sectPr w:rsidR="00A71CEA" w:rsidRPr="00A03A61" w:rsidSect="007F1895">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9F342" w14:textId="77777777" w:rsidR="00625B32" w:rsidRDefault="00625B32" w:rsidP="00A71CEA">
      <w:r>
        <w:separator/>
      </w:r>
    </w:p>
  </w:endnote>
  <w:endnote w:type="continuationSeparator" w:id="0">
    <w:p w14:paraId="4BBC32F5" w14:textId="77777777" w:rsidR="00625B32" w:rsidRDefault="00625B32"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7F7EB" w14:textId="77777777" w:rsidR="00625B32" w:rsidRDefault="00625B32" w:rsidP="00A71CEA">
      <w:r>
        <w:separator/>
      </w:r>
    </w:p>
  </w:footnote>
  <w:footnote w:type="continuationSeparator" w:id="0">
    <w:p w14:paraId="058BBFEB" w14:textId="77777777" w:rsidR="00625B32" w:rsidRDefault="00625B32" w:rsidP="00A71CEA">
      <w:r>
        <w:continuationSeparator/>
      </w:r>
    </w:p>
  </w:footnote>
  <w:footnote w:id="1">
    <w:p w14:paraId="2A6C236F" w14:textId="77777777" w:rsidR="00C23CFD" w:rsidRPr="00CF30C9" w:rsidRDefault="00C23CFD" w:rsidP="00C23CFD">
      <w:pPr>
        <w:pStyle w:val="Textonotapie"/>
        <w:ind w:firstLine="709"/>
        <w:jc w:val="both"/>
        <w:rPr>
          <w:rFonts w:ascii="Arial" w:hAnsi="Arial" w:cs="Arial"/>
          <w:color w:val="000000" w:themeColor="text1"/>
          <w:sz w:val="19"/>
          <w:szCs w:val="19"/>
        </w:rPr>
      </w:pPr>
      <w:r w:rsidRPr="00CF30C9">
        <w:rPr>
          <w:rStyle w:val="Refdenotaalpie"/>
          <w:rFonts w:ascii="Arial" w:hAnsi="Arial" w:cs="Arial"/>
          <w:color w:val="000000" w:themeColor="text1"/>
          <w:sz w:val="19"/>
          <w:szCs w:val="19"/>
        </w:rPr>
        <w:footnoteRef/>
      </w:r>
      <w:r w:rsidRPr="00CF30C9">
        <w:rPr>
          <w:rFonts w:ascii="Arial" w:hAnsi="Arial" w:cs="Arial"/>
          <w:color w:val="000000" w:themeColor="text1"/>
          <w:sz w:val="19"/>
          <w:szCs w:val="19"/>
        </w:rPr>
        <w:t xml:space="preserve"> CONSEJO DE ESTADO. Sección Tercera. Subsección A. Auto del 25 de julio de 2018. Rad. 56.165A. C.P. Marta Nubia Velásquez Rico. </w:t>
      </w:r>
    </w:p>
    <w:p w14:paraId="11981A4A" w14:textId="77777777" w:rsidR="00C23CFD" w:rsidRPr="00CF30C9" w:rsidRDefault="00C23CFD" w:rsidP="00C23CFD">
      <w:pPr>
        <w:pStyle w:val="Textonotapie"/>
        <w:ind w:firstLine="709"/>
        <w:jc w:val="both"/>
        <w:rPr>
          <w:rFonts w:ascii="Arial" w:hAnsi="Arial" w:cs="Arial"/>
          <w:color w:val="000000" w:themeColor="text1"/>
          <w:sz w:val="19"/>
          <w:szCs w:val="19"/>
          <w:lang w:val="es-ES"/>
        </w:rPr>
      </w:pPr>
    </w:p>
  </w:footnote>
  <w:footnote w:id="2">
    <w:p w14:paraId="13354EDE" w14:textId="77777777" w:rsidR="00C23CFD" w:rsidRPr="00CF30C9" w:rsidRDefault="00C23CFD" w:rsidP="00C23CFD">
      <w:pPr>
        <w:pStyle w:val="Textonotapie"/>
        <w:ind w:firstLine="709"/>
        <w:jc w:val="both"/>
        <w:rPr>
          <w:rFonts w:ascii="Arial" w:hAnsi="Arial" w:cs="Arial"/>
          <w:color w:val="000000" w:themeColor="text1"/>
          <w:sz w:val="19"/>
          <w:szCs w:val="19"/>
          <w:lang w:val="es-ES"/>
        </w:rPr>
      </w:pPr>
      <w:r w:rsidRPr="00CF30C9">
        <w:rPr>
          <w:rStyle w:val="Refdenotaalpie"/>
          <w:rFonts w:ascii="Arial" w:hAnsi="Arial" w:cs="Arial"/>
          <w:color w:val="000000" w:themeColor="text1"/>
          <w:sz w:val="19"/>
          <w:szCs w:val="19"/>
        </w:rPr>
        <w:footnoteRef/>
      </w:r>
      <w:r w:rsidRPr="00CF30C9">
        <w:rPr>
          <w:rFonts w:ascii="Arial" w:hAnsi="Arial" w:cs="Arial"/>
          <w:color w:val="000000" w:themeColor="text1"/>
          <w:sz w:val="19"/>
          <w:szCs w:val="19"/>
        </w:rPr>
        <w:t xml:space="preserve"> </w:t>
      </w:r>
      <w:bookmarkStart w:id="3" w:name="_Hlk43903111"/>
      <w:r w:rsidRPr="00CF30C9">
        <w:rPr>
          <w:rFonts w:ascii="Arial" w:hAnsi="Arial" w:cs="Arial"/>
          <w:color w:val="000000" w:themeColor="text1"/>
          <w:sz w:val="19"/>
          <w:szCs w:val="19"/>
        </w:rPr>
        <w:t>CONSEJO DE ESTADO. Sección Tercera. Subsección A. Auto del 20 de febrero de 2019. Rad. 61.463. C.P. Carlos Alberto Zambrano Barrera.</w:t>
      </w:r>
      <w:bookmarkEnd w:id="3"/>
    </w:p>
  </w:footnote>
  <w:footnote w:id="3">
    <w:p w14:paraId="7F1F6726" w14:textId="77777777" w:rsidR="00C23CFD" w:rsidRPr="00CF30C9" w:rsidRDefault="00C23CFD" w:rsidP="00C23CFD">
      <w:pPr>
        <w:pStyle w:val="Textonotapie"/>
        <w:ind w:firstLine="709"/>
        <w:jc w:val="both"/>
        <w:rPr>
          <w:rFonts w:ascii="Arial" w:hAnsi="Arial" w:cs="Arial"/>
          <w:sz w:val="19"/>
          <w:szCs w:val="19"/>
        </w:rPr>
      </w:pPr>
      <w:r w:rsidRPr="00CF30C9">
        <w:rPr>
          <w:rStyle w:val="Refdenotaalpie"/>
          <w:rFonts w:ascii="Arial" w:hAnsi="Arial" w:cs="Arial"/>
          <w:sz w:val="19"/>
          <w:szCs w:val="19"/>
        </w:rPr>
        <w:footnoteRef/>
      </w:r>
      <w:r w:rsidRPr="00CF30C9">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72C50819" w14:textId="77777777" w:rsidR="00C23CFD" w:rsidRPr="00CF30C9" w:rsidRDefault="00C23CFD" w:rsidP="00C23CFD">
      <w:pPr>
        <w:pStyle w:val="Textonotapie"/>
        <w:ind w:firstLine="709"/>
        <w:jc w:val="both"/>
        <w:rPr>
          <w:rFonts w:ascii="Arial" w:hAnsi="Arial" w:cs="Arial"/>
          <w:sz w:val="19"/>
          <w:szCs w:val="19"/>
        </w:rPr>
      </w:pPr>
      <w:r w:rsidRPr="00CF30C9">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0BD4AB7C" w14:textId="77777777" w:rsidR="00C23CFD" w:rsidRPr="00CF30C9" w:rsidRDefault="00C23CFD" w:rsidP="00C23CFD">
      <w:pPr>
        <w:pStyle w:val="Textonotapie"/>
        <w:ind w:firstLine="709"/>
        <w:jc w:val="both"/>
        <w:rPr>
          <w:rFonts w:ascii="Arial" w:hAnsi="Arial" w:cs="Arial"/>
          <w:sz w:val="19"/>
          <w:szCs w:val="19"/>
          <w:lang w:val="es-ES"/>
        </w:rPr>
      </w:pPr>
    </w:p>
  </w:footnote>
  <w:footnote w:id="4">
    <w:p w14:paraId="78C36605" w14:textId="77777777" w:rsidR="00C23CFD" w:rsidRPr="00CF30C9" w:rsidRDefault="00C23CFD" w:rsidP="00C23CFD">
      <w:pPr>
        <w:pStyle w:val="Textonotapie"/>
        <w:ind w:firstLine="709"/>
        <w:jc w:val="both"/>
        <w:rPr>
          <w:rFonts w:ascii="Arial" w:hAnsi="Arial" w:cs="Arial"/>
          <w:color w:val="000000" w:themeColor="text1"/>
          <w:sz w:val="19"/>
          <w:szCs w:val="19"/>
        </w:rPr>
      </w:pPr>
      <w:r w:rsidRPr="00CF30C9">
        <w:rPr>
          <w:rStyle w:val="Refdenotaalpie"/>
          <w:rFonts w:ascii="Arial" w:hAnsi="Arial" w:cs="Arial"/>
          <w:sz w:val="19"/>
          <w:szCs w:val="19"/>
        </w:rPr>
        <w:footnoteRef/>
      </w:r>
      <w:r w:rsidRPr="00CF30C9">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CF30C9">
        <w:rPr>
          <w:rFonts w:ascii="Arial" w:hAnsi="Arial" w:cs="Arial"/>
          <w:color w:val="000000" w:themeColor="text1"/>
          <w:sz w:val="19"/>
          <w:szCs w:val="19"/>
        </w:rPr>
        <w:t>CONSEJO DE ESTADO. Sección Tercera. Subsección A. Auto del 25 de julio de 2018. Rad. 56.165A. C.P. Marta Nubia Velásquez Rico)</w:t>
      </w:r>
      <w:r w:rsidRPr="00CF30C9">
        <w:rPr>
          <w:rFonts w:ascii="Arial" w:hAnsi="Arial" w:cs="Arial"/>
          <w:sz w:val="19"/>
          <w:szCs w:val="19"/>
        </w:rPr>
        <w:t>.</w:t>
      </w:r>
    </w:p>
  </w:footnote>
  <w:footnote w:id="5">
    <w:p w14:paraId="28287D6C" w14:textId="76D323FF" w:rsidR="00C23CFD" w:rsidRPr="00CF30C9" w:rsidRDefault="00C23CFD" w:rsidP="00BB2191">
      <w:pPr>
        <w:ind w:firstLine="709"/>
        <w:jc w:val="both"/>
        <w:rPr>
          <w:rFonts w:ascii="Arial" w:hAnsi="Arial" w:cs="Arial"/>
          <w:sz w:val="19"/>
          <w:szCs w:val="19"/>
        </w:rPr>
      </w:pPr>
      <w:r w:rsidRPr="00CF30C9">
        <w:rPr>
          <w:rStyle w:val="Refdenotaalpie"/>
          <w:rFonts w:ascii="Arial" w:hAnsi="Arial" w:cs="Arial"/>
          <w:sz w:val="19"/>
          <w:szCs w:val="19"/>
        </w:rPr>
        <w:footnoteRef/>
      </w:r>
      <w:r w:rsidRPr="00CF30C9">
        <w:rPr>
          <w:rFonts w:ascii="Arial" w:hAnsi="Arial" w:cs="Arial"/>
          <w:sz w:val="19"/>
          <w:szCs w:val="19"/>
        </w:rPr>
        <w:t xml:space="preserve"> </w:t>
      </w:r>
      <w:r w:rsidRPr="00CF30C9">
        <w:rPr>
          <w:rFonts w:ascii="Arial" w:hAnsi="Arial" w:cs="Arial"/>
          <w:sz w:val="19"/>
          <w:szCs w:val="19"/>
          <w:lang w:val="es-ES"/>
        </w:rPr>
        <w:t>En efecto, dentro de las consideraciones que motivan el Decreto 399 de 2021 se lee la siguiente: «</w:t>
      </w:r>
      <w:r w:rsidRPr="00CF30C9">
        <w:rPr>
          <w:rFonts w:ascii="Arial" w:eastAsiaTheme="minorHAnsi" w:hAnsi="Arial" w:cs="Arial"/>
          <w:sz w:val="19"/>
          <w:szCs w:val="19"/>
          <w:lang w:val="es-ES" w:eastAsia="en-US"/>
        </w:rPr>
        <w:t xml:space="preserve">Que teniendo en cuenta que el Auto del 20 de febrero de 2019 </w:t>
      </w:r>
      <w:proofErr w:type="spellStart"/>
      <w:r w:rsidRPr="00CF30C9">
        <w:rPr>
          <w:rFonts w:ascii="Arial" w:eastAsiaTheme="minorHAnsi" w:hAnsi="Arial" w:cs="Arial"/>
          <w:sz w:val="19"/>
          <w:szCs w:val="19"/>
          <w:lang w:val="es-ES" w:eastAsia="en-US"/>
        </w:rPr>
        <w:t>Exp</w:t>
      </w:r>
      <w:proofErr w:type="spellEnd"/>
      <w:r w:rsidRPr="00CF30C9">
        <w:rPr>
          <w:rFonts w:ascii="Arial" w:eastAsiaTheme="minorHAnsi" w:hAnsi="Arial" w:cs="Arial"/>
          <w:sz w:val="19"/>
          <w:szCs w:val="19"/>
          <w:lang w:val="es-ES" w:eastAsia="en-US"/>
        </w:rPr>
        <w:t xml:space="preserve">. 61.463 de la Subsección A de la Sección Tercera del Consejo de Estado suspendió provisionalmente los numerales 3, 4 y 5 del artículo 2.2.1.2.1.3.2. del Decreto 1082 de 2015, Único Reglamentario del Sector Administrativo de Planeación Nacional y que el Auto del 25 de julio de 2018 </w:t>
      </w:r>
      <w:proofErr w:type="spellStart"/>
      <w:r w:rsidRPr="00CF30C9">
        <w:rPr>
          <w:rFonts w:ascii="Arial" w:eastAsiaTheme="minorHAnsi" w:hAnsi="Arial" w:cs="Arial"/>
          <w:sz w:val="19"/>
          <w:szCs w:val="19"/>
          <w:lang w:val="es-ES" w:eastAsia="en-US"/>
        </w:rPr>
        <w:t>Exp</w:t>
      </w:r>
      <w:proofErr w:type="spellEnd"/>
      <w:r w:rsidRPr="00CF30C9">
        <w:rPr>
          <w:rFonts w:ascii="Arial" w:eastAsiaTheme="minorHAnsi" w:hAnsi="Arial" w:cs="Arial"/>
          <w:sz w:val="19"/>
          <w:szCs w:val="19"/>
          <w:lang w:val="es-ES" w:eastAsia="en-US"/>
        </w:rPr>
        <w:t>.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footnote>
  <w:footnote w:id="6">
    <w:p w14:paraId="34606CFB" w14:textId="77777777" w:rsidR="00C23CFD" w:rsidRPr="00CF30C9" w:rsidRDefault="00C23CFD" w:rsidP="00C23CFD">
      <w:pPr>
        <w:pStyle w:val="Textonotapie"/>
        <w:ind w:firstLine="708"/>
        <w:jc w:val="both"/>
        <w:rPr>
          <w:rFonts w:ascii="Arial" w:hAnsi="Arial" w:cs="Arial"/>
          <w:sz w:val="19"/>
          <w:szCs w:val="19"/>
        </w:rPr>
      </w:pPr>
      <w:r w:rsidRPr="00CF30C9">
        <w:rPr>
          <w:rStyle w:val="Refdenotaalpie"/>
          <w:rFonts w:ascii="Arial" w:hAnsi="Arial" w:cs="Arial"/>
          <w:sz w:val="19"/>
          <w:szCs w:val="19"/>
        </w:rPr>
        <w:footnoteRef/>
      </w:r>
      <w:r w:rsidRPr="00CF30C9">
        <w:rPr>
          <w:rFonts w:ascii="Arial" w:hAnsi="Arial" w:cs="Arial"/>
          <w:sz w:val="19"/>
          <w:szCs w:val="19"/>
        </w:rPr>
        <w:t xml:space="preserve"> Lo indicado es coherente con lo establecido en el artículo 25, numeral 6, de la Ley 80 de 1993 que establece que: «Artículo 25. Del principio de economía. En virtud de este principio: […] 6o. Las entidades estatales abrirán licitaciones e iniciarán procesos de suscripción de contratos, cuando existan las respectivas partidas o disponibilidades presupuestales».</w:t>
      </w:r>
    </w:p>
    <w:p w14:paraId="72419D5E" w14:textId="77777777" w:rsidR="00C23CFD" w:rsidRPr="00CF30C9" w:rsidRDefault="00C23CFD" w:rsidP="00C23CFD">
      <w:pPr>
        <w:pStyle w:val="Textonotapie"/>
        <w:ind w:firstLine="708"/>
        <w:jc w:val="both"/>
        <w:rPr>
          <w:rFonts w:ascii="Arial" w:hAnsi="Arial" w:cs="Arial"/>
          <w:sz w:val="19"/>
          <w:szCs w:val="19"/>
        </w:rPr>
      </w:pPr>
      <w:r w:rsidRPr="00CF30C9">
        <w:rPr>
          <w:rFonts w:ascii="Arial" w:hAnsi="Arial" w:cs="Arial"/>
          <w:sz w:val="19"/>
          <w:szCs w:val="19"/>
        </w:rPr>
        <w:t xml:space="preserve">Además, guarda armonía con lo establecido en el artículo 41 de la Ley 80 de 1993, respecto a los requisitos de perfeccionamiento y ejecución de los contratos estatales: «Artículo 41. Del perfeccionamiento del contrato. </w:t>
      </w:r>
      <w:r w:rsidRPr="00CF30C9">
        <w:rPr>
          <w:rFonts w:ascii="Arial" w:hAnsi="Arial" w:cs="Arial"/>
          <w:i/>
          <w:iCs/>
          <w:sz w:val="19"/>
          <w:szCs w:val="19"/>
        </w:rPr>
        <w:t>Los contratos del Estado se perfeccionan cuando se logre acuerdo sobre el objeto y la contraprestación y éste se eleve a escrito</w:t>
      </w:r>
      <w:r w:rsidRPr="00CF30C9">
        <w:rPr>
          <w:rFonts w:ascii="Arial" w:hAnsi="Arial" w:cs="Arial"/>
          <w:sz w:val="19"/>
          <w:szCs w:val="19"/>
        </w:rPr>
        <w:t>.</w:t>
      </w:r>
    </w:p>
    <w:p w14:paraId="5A3F043A" w14:textId="77777777" w:rsidR="00C23CFD" w:rsidRPr="00CF30C9" w:rsidRDefault="00C23CFD" w:rsidP="00C23CFD">
      <w:pPr>
        <w:pStyle w:val="Textonotapie"/>
        <w:ind w:firstLine="708"/>
        <w:jc w:val="both"/>
        <w:rPr>
          <w:rFonts w:ascii="Arial" w:hAnsi="Arial" w:cs="Arial"/>
          <w:sz w:val="19"/>
          <w:szCs w:val="19"/>
          <w:lang w:val="es-CO"/>
        </w:rPr>
      </w:pPr>
      <w:r w:rsidRPr="00CF30C9">
        <w:rPr>
          <w:rFonts w:ascii="Arial" w:hAnsi="Arial" w:cs="Arial"/>
          <w:sz w:val="19"/>
          <w:szCs w:val="19"/>
        </w:rPr>
        <w:t xml:space="preserve">»Para la ejecución se requerirá de la aprobación de la garantía y </w:t>
      </w:r>
      <w:r w:rsidRPr="00CF30C9">
        <w:rPr>
          <w:rFonts w:ascii="Arial" w:hAnsi="Arial" w:cs="Arial"/>
          <w:i/>
          <w:iCs/>
          <w:sz w:val="19"/>
          <w:szCs w:val="19"/>
        </w:rPr>
        <w:t>de la existencia de las disponibilidades presupuestales correspondientes</w:t>
      </w:r>
      <w:r w:rsidRPr="00CF30C9">
        <w:rPr>
          <w:rFonts w:ascii="Arial" w:hAnsi="Arial" w:cs="Arial"/>
          <w:sz w:val="19"/>
          <w:szCs w:val="19"/>
        </w:rPr>
        <w:t xml:space="preserve">,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(Cursiva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626ACD"/>
    <w:multiLevelType w:val="hybridMultilevel"/>
    <w:tmpl w:val="F8206DF2"/>
    <w:lvl w:ilvl="0" w:tplc="6D143684">
      <w:start w:val="1"/>
      <w:numFmt w:val="upperRoman"/>
      <w:lvlText w:val="%1."/>
      <w:lvlJc w:val="left"/>
      <w:pPr>
        <w:ind w:left="1010" w:hanging="203"/>
      </w:pPr>
      <w:rPr>
        <w:rFonts w:ascii="Arial" w:eastAsia="Arial" w:hAnsi="Arial" w:cs="Arial" w:hint="default"/>
        <w:spacing w:val="-1"/>
        <w:w w:val="100"/>
        <w:sz w:val="21"/>
        <w:szCs w:val="21"/>
        <w:lang w:val="es-ES" w:eastAsia="es-ES" w:bidi="es-ES"/>
      </w:rPr>
    </w:lvl>
    <w:lvl w:ilvl="1" w:tplc="C218C684">
      <w:numFmt w:val="bullet"/>
      <w:lvlText w:val="•"/>
      <w:lvlJc w:val="left"/>
      <w:pPr>
        <w:ind w:left="1872" w:hanging="203"/>
      </w:pPr>
      <w:rPr>
        <w:rFonts w:hint="default"/>
        <w:lang w:val="es-ES" w:eastAsia="es-ES" w:bidi="es-ES"/>
      </w:rPr>
    </w:lvl>
    <w:lvl w:ilvl="2" w:tplc="455A0BF0">
      <w:numFmt w:val="bullet"/>
      <w:lvlText w:val="•"/>
      <w:lvlJc w:val="left"/>
      <w:pPr>
        <w:ind w:left="2724" w:hanging="203"/>
      </w:pPr>
      <w:rPr>
        <w:rFonts w:hint="default"/>
        <w:lang w:val="es-ES" w:eastAsia="es-ES" w:bidi="es-ES"/>
      </w:rPr>
    </w:lvl>
    <w:lvl w:ilvl="3" w:tplc="6E88D314">
      <w:numFmt w:val="bullet"/>
      <w:lvlText w:val="•"/>
      <w:lvlJc w:val="left"/>
      <w:pPr>
        <w:ind w:left="3576" w:hanging="203"/>
      </w:pPr>
      <w:rPr>
        <w:rFonts w:hint="default"/>
        <w:lang w:val="es-ES" w:eastAsia="es-ES" w:bidi="es-ES"/>
      </w:rPr>
    </w:lvl>
    <w:lvl w:ilvl="4" w:tplc="2F7C34D2">
      <w:numFmt w:val="bullet"/>
      <w:lvlText w:val="•"/>
      <w:lvlJc w:val="left"/>
      <w:pPr>
        <w:ind w:left="4428" w:hanging="203"/>
      </w:pPr>
      <w:rPr>
        <w:rFonts w:hint="default"/>
        <w:lang w:val="es-ES" w:eastAsia="es-ES" w:bidi="es-ES"/>
      </w:rPr>
    </w:lvl>
    <w:lvl w:ilvl="5" w:tplc="A95233E8">
      <w:numFmt w:val="bullet"/>
      <w:lvlText w:val="•"/>
      <w:lvlJc w:val="left"/>
      <w:pPr>
        <w:ind w:left="5280" w:hanging="203"/>
      </w:pPr>
      <w:rPr>
        <w:rFonts w:hint="default"/>
        <w:lang w:val="es-ES" w:eastAsia="es-ES" w:bidi="es-ES"/>
      </w:rPr>
    </w:lvl>
    <w:lvl w:ilvl="6" w:tplc="978EBA4C">
      <w:numFmt w:val="bullet"/>
      <w:lvlText w:val="•"/>
      <w:lvlJc w:val="left"/>
      <w:pPr>
        <w:ind w:left="6132" w:hanging="203"/>
      </w:pPr>
      <w:rPr>
        <w:rFonts w:hint="default"/>
        <w:lang w:val="es-ES" w:eastAsia="es-ES" w:bidi="es-ES"/>
      </w:rPr>
    </w:lvl>
    <w:lvl w:ilvl="7" w:tplc="7BACED10">
      <w:numFmt w:val="bullet"/>
      <w:lvlText w:val="•"/>
      <w:lvlJc w:val="left"/>
      <w:pPr>
        <w:ind w:left="6984" w:hanging="203"/>
      </w:pPr>
      <w:rPr>
        <w:rFonts w:hint="default"/>
        <w:lang w:val="es-ES" w:eastAsia="es-ES" w:bidi="es-ES"/>
      </w:rPr>
    </w:lvl>
    <w:lvl w:ilvl="8" w:tplc="1AC8AAB0">
      <w:numFmt w:val="bullet"/>
      <w:lvlText w:val="•"/>
      <w:lvlJc w:val="left"/>
      <w:pPr>
        <w:ind w:left="7836" w:hanging="203"/>
      </w:pPr>
      <w:rPr>
        <w:rFonts w:hint="default"/>
        <w:lang w:val="es-ES" w:eastAsia="es-ES" w:bidi="es-ES"/>
      </w:rPr>
    </w:lvl>
  </w:abstractNum>
  <w:abstractNum w:abstractNumId="2" w15:restartNumberingAfterBreak="0">
    <w:nsid w:val="061747B0"/>
    <w:multiLevelType w:val="hybridMultilevel"/>
    <w:tmpl w:val="E9A85940"/>
    <w:lvl w:ilvl="0" w:tplc="61E02558">
      <w:start w:val="1"/>
      <w:numFmt w:val="lowerRoman"/>
      <w:lvlText w:val="%1)"/>
      <w:lvlJc w:val="left"/>
      <w:pPr>
        <w:ind w:left="1080" w:hanging="720"/>
      </w:pPr>
      <w:rPr>
        <w:rFonts w:ascii="Arial" w:hAnsi="Arial" w:cs="Arial" w:hint="default"/>
        <w:sz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3A168D"/>
    <w:multiLevelType w:val="hybridMultilevel"/>
    <w:tmpl w:val="B73C1D12"/>
    <w:lvl w:ilvl="0" w:tplc="9AF2AB20">
      <w:start w:val="1"/>
      <w:numFmt w:val="lowerLetter"/>
      <w:lvlText w:val="%1)"/>
      <w:lvlJc w:val="left"/>
      <w:pPr>
        <w:ind w:left="1010" w:hanging="268"/>
      </w:pPr>
      <w:rPr>
        <w:rFonts w:ascii="Arial" w:eastAsia="Arial" w:hAnsi="Arial" w:cs="Arial" w:hint="default"/>
        <w:w w:val="100"/>
        <w:sz w:val="21"/>
        <w:szCs w:val="21"/>
        <w:lang w:val="es-ES" w:eastAsia="es-ES" w:bidi="es-ES"/>
      </w:rPr>
    </w:lvl>
    <w:lvl w:ilvl="1" w:tplc="7590974C">
      <w:numFmt w:val="bullet"/>
      <w:lvlText w:val="•"/>
      <w:lvlJc w:val="left"/>
      <w:pPr>
        <w:ind w:left="1872" w:hanging="268"/>
      </w:pPr>
      <w:rPr>
        <w:rFonts w:hint="default"/>
        <w:lang w:val="es-ES" w:eastAsia="es-ES" w:bidi="es-ES"/>
      </w:rPr>
    </w:lvl>
    <w:lvl w:ilvl="2" w:tplc="DA2C68A4">
      <w:numFmt w:val="bullet"/>
      <w:lvlText w:val="•"/>
      <w:lvlJc w:val="left"/>
      <w:pPr>
        <w:ind w:left="2724" w:hanging="268"/>
      </w:pPr>
      <w:rPr>
        <w:rFonts w:hint="default"/>
        <w:lang w:val="es-ES" w:eastAsia="es-ES" w:bidi="es-ES"/>
      </w:rPr>
    </w:lvl>
    <w:lvl w:ilvl="3" w:tplc="B8C60F6C">
      <w:numFmt w:val="bullet"/>
      <w:lvlText w:val="•"/>
      <w:lvlJc w:val="left"/>
      <w:pPr>
        <w:ind w:left="3576" w:hanging="268"/>
      </w:pPr>
      <w:rPr>
        <w:rFonts w:hint="default"/>
        <w:lang w:val="es-ES" w:eastAsia="es-ES" w:bidi="es-ES"/>
      </w:rPr>
    </w:lvl>
    <w:lvl w:ilvl="4" w:tplc="F0381CAA">
      <w:numFmt w:val="bullet"/>
      <w:lvlText w:val="•"/>
      <w:lvlJc w:val="left"/>
      <w:pPr>
        <w:ind w:left="4428" w:hanging="268"/>
      </w:pPr>
      <w:rPr>
        <w:rFonts w:hint="default"/>
        <w:lang w:val="es-ES" w:eastAsia="es-ES" w:bidi="es-ES"/>
      </w:rPr>
    </w:lvl>
    <w:lvl w:ilvl="5" w:tplc="0D62EB56">
      <w:numFmt w:val="bullet"/>
      <w:lvlText w:val="•"/>
      <w:lvlJc w:val="left"/>
      <w:pPr>
        <w:ind w:left="5280" w:hanging="268"/>
      </w:pPr>
      <w:rPr>
        <w:rFonts w:hint="default"/>
        <w:lang w:val="es-ES" w:eastAsia="es-ES" w:bidi="es-ES"/>
      </w:rPr>
    </w:lvl>
    <w:lvl w:ilvl="6" w:tplc="02C828DC">
      <w:numFmt w:val="bullet"/>
      <w:lvlText w:val="•"/>
      <w:lvlJc w:val="left"/>
      <w:pPr>
        <w:ind w:left="6132" w:hanging="268"/>
      </w:pPr>
      <w:rPr>
        <w:rFonts w:hint="default"/>
        <w:lang w:val="es-ES" w:eastAsia="es-ES" w:bidi="es-ES"/>
      </w:rPr>
    </w:lvl>
    <w:lvl w:ilvl="7" w:tplc="CBD099F4">
      <w:numFmt w:val="bullet"/>
      <w:lvlText w:val="•"/>
      <w:lvlJc w:val="left"/>
      <w:pPr>
        <w:ind w:left="6984" w:hanging="268"/>
      </w:pPr>
      <w:rPr>
        <w:rFonts w:hint="default"/>
        <w:lang w:val="es-ES" w:eastAsia="es-ES" w:bidi="es-ES"/>
      </w:rPr>
    </w:lvl>
    <w:lvl w:ilvl="8" w:tplc="A8B6D9E2">
      <w:numFmt w:val="bullet"/>
      <w:lvlText w:val="•"/>
      <w:lvlJc w:val="left"/>
      <w:pPr>
        <w:ind w:left="7836" w:hanging="268"/>
      </w:pPr>
      <w:rPr>
        <w:rFonts w:hint="default"/>
        <w:lang w:val="es-ES" w:eastAsia="es-ES" w:bidi="es-ES"/>
      </w:rPr>
    </w:lvl>
  </w:abstractNum>
  <w:abstractNum w:abstractNumId="4" w15:restartNumberingAfterBreak="0">
    <w:nsid w:val="0CC16F09"/>
    <w:multiLevelType w:val="multilevel"/>
    <w:tmpl w:val="689213B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112C7E54"/>
    <w:multiLevelType w:val="hybridMultilevel"/>
    <w:tmpl w:val="33F00796"/>
    <w:lvl w:ilvl="0" w:tplc="6554C952">
      <w:start w:val="1"/>
      <w:numFmt w:val="lowerRoman"/>
      <w:lvlText w:val="%1)"/>
      <w:lvlJc w:val="left"/>
      <w:pPr>
        <w:ind w:left="1080" w:hanging="720"/>
      </w:pPr>
      <w:rPr>
        <w:rFonts w:ascii="Arial" w:eastAsia="Times New Roman" w:hAnsi="Arial" w:cs="Arial"/>
        <w:sz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C00088"/>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1B18261E"/>
    <w:multiLevelType w:val="hybridMultilevel"/>
    <w:tmpl w:val="0A70B606"/>
    <w:lvl w:ilvl="0" w:tplc="032E7668">
      <w:start w:val="1"/>
      <w:numFmt w:val="low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A718DA"/>
    <w:multiLevelType w:val="hybridMultilevel"/>
    <w:tmpl w:val="1FB85F8A"/>
    <w:lvl w:ilvl="0" w:tplc="A8041186">
      <w:start w:val="2"/>
      <w:numFmt w:val="decimal"/>
      <w:lvlText w:val="%1."/>
      <w:lvlJc w:val="left"/>
      <w:pPr>
        <w:ind w:left="1010" w:hanging="238"/>
      </w:pPr>
      <w:rPr>
        <w:rFonts w:ascii="Arial" w:eastAsia="Arial" w:hAnsi="Arial" w:cs="Arial" w:hint="default"/>
        <w:w w:val="100"/>
        <w:sz w:val="21"/>
        <w:szCs w:val="21"/>
        <w:lang w:val="es-ES" w:eastAsia="es-ES" w:bidi="es-ES"/>
      </w:rPr>
    </w:lvl>
    <w:lvl w:ilvl="1" w:tplc="AFD4D846">
      <w:numFmt w:val="bullet"/>
      <w:lvlText w:val="•"/>
      <w:lvlJc w:val="left"/>
      <w:pPr>
        <w:ind w:left="1872" w:hanging="238"/>
      </w:pPr>
      <w:rPr>
        <w:rFonts w:hint="default"/>
        <w:lang w:val="es-ES" w:eastAsia="es-ES" w:bidi="es-ES"/>
      </w:rPr>
    </w:lvl>
    <w:lvl w:ilvl="2" w:tplc="B404B1BE">
      <w:numFmt w:val="bullet"/>
      <w:lvlText w:val="•"/>
      <w:lvlJc w:val="left"/>
      <w:pPr>
        <w:ind w:left="2724" w:hanging="238"/>
      </w:pPr>
      <w:rPr>
        <w:rFonts w:hint="default"/>
        <w:lang w:val="es-ES" w:eastAsia="es-ES" w:bidi="es-ES"/>
      </w:rPr>
    </w:lvl>
    <w:lvl w:ilvl="3" w:tplc="700A9DA6">
      <w:numFmt w:val="bullet"/>
      <w:lvlText w:val="•"/>
      <w:lvlJc w:val="left"/>
      <w:pPr>
        <w:ind w:left="3576" w:hanging="238"/>
      </w:pPr>
      <w:rPr>
        <w:rFonts w:hint="default"/>
        <w:lang w:val="es-ES" w:eastAsia="es-ES" w:bidi="es-ES"/>
      </w:rPr>
    </w:lvl>
    <w:lvl w:ilvl="4" w:tplc="89D8A7D0">
      <w:numFmt w:val="bullet"/>
      <w:lvlText w:val="•"/>
      <w:lvlJc w:val="left"/>
      <w:pPr>
        <w:ind w:left="4428" w:hanging="238"/>
      </w:pPr>
      <w:rPr>
        <w:rFonts w:hint="default"/>
        <w:lang w:val="es-ES" w:eastAsia="es-ES" w:bidi="es-ES"/>
      </w:rPr>
    </w:lvl>
    <w:lvl w:ilvl="5" w:tplc="6DE699B0">
      <w:numFmt w:val="bullet"/>
      <w:lvlText w:val="•"/>
      <w:lvlJc w:val="left"/>
      <w:pPr>
        <w:ind w:left="5280" w:hanging="238"/>
      </w:pPr>
      <w:rPr>
        <w:rFonts w:hint="default"/>
        <w:lang w:val="es-ES" w:eastAsia="es-ES" w:bidi="es-ES"/>
      </w:rPr>
    </w:lvl>
    <w:lvl w:ilvl="6" w:tplc="81E6D9B8">
      <w:numFmt w:val="bullet"/>
      <w:lvlText w:val="•"/>
      <w:lvlJc w:val="left"/>
      <w:pPr>
        <w:ind w:left="6132" w:hanging="238"/>
      </w:pPr>
      <w:rPr>
        <w:rFonts w:hint="default"/>
        <w:lang w:val="es-ES" w:eastAsia="es-ES" w:bidi="es-ES"/>
      </w:rPr>
    </w:lvl>
    <w:lvl w:ilvl="7" w:tplc="F1D06D84">
      <w:numFmt w:val="bullet"/>
      <w:lvlText w:val="•"/>
      <w:lvlJc w:val="left"/>
      <w:pPr>
        <w:ind w:left="6984" w:hanging="238"/>
      </w:pPr>
      <w:rPr>
        <w:rFonts w:hint="default"/>
        <w:lang w:val="es-ES" w:eastAsia="es-ES" w:bidi="es-ES"/>
      </w:rPr>
    </w:lvl>
    <w:lvl w:ilvl="8" w:tplc="D658A6BE">
      <w:numFmt w:val="bullet"/>
      <w:lvlText w:val="•"/>
      <w:lvlJc w:val="left"/>
      <w:pPr>
        <w:ind w:left="7836" w:hanging="238"/>
      </w:pPr>
      <w:rPr>
        <w:rFonts w:hint="default"/>
        <w:lang w:val="es-ES" w:eastAsia="es-ES" w:bidi="es-ES"/>
      </w:rPr>
    </w:lvl>
  </w:abstractNum>
  <w:abstractNum w:abstractNumId="10" w15:restartNumberingAfterBreak="0">
    <w:nsid w:val="371E3CF4"/>
    <w:multiLevelType w:val="hybridMultilevel"/>
    <w:tmpl w:val="44E6A1F2"/>
    <w:lvl w:ilvl="0" w:tplc="032E7668">
      <w:start w:val="2"/>
      <w:numFmt w:val="lowerRoman"/>
      <w:lvlText w:val="%1)"/>
      <w:lvlJc w:val="left"/>
      <w:pPr>
        <w:ind w:left="1428" w:hanging="72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7BB3129"/>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41B27946"/>
    <w:multiLevelType w:val="multilevel"/>
    <w:tmpl w:val="8D822D46"/>
    <w:lvl w:ilvl="0">
      <w:start w:val="2"/>
      <w:numFmt w:val="decimal"/>
      <w:lvlText w:val="%1."/>
      <w:lvlJc w:val="left"/>
      <w:pPr>
        <w:ind w:left="360" w:hanging="360"/>
      </w:pPr>
      <w:rPr>
        <w:rFonts w:hint="default"/>
      </w:rPr>
    </w:lvl>
    <w:lvl w:ilvl="1">
      <w:start w:val="1"/>
      <w:numFmt w:val="decimal"/>
      <w:lvlText w:val="%1.%2."/>
      <w:lvlJc w:val="left"/>
      <w:pPr>
        <w:ind w:left="1740" w:hanging="72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4140" w:hanging="108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540" w:hanging="144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940" w:hanging="1800"/>
      </w:pPr>
      <w:rPr>
        <w:rFonts w:hint="default"/>
      </w:rPr>
    </w:lvl>
    <w:lvl w:ilvl="8">
      <w:start w:val="1"/>
      <w:numFmt w:val="decimal"/>
      <w:lvlText w:val="%1.%2.%3.%4.%5.%6.%7.%8.%9."/>
      <w:lvlJc w:val="left"/>
      <w:pPr>
        <w:ind w:left="9960" w:hanging="1800"/>
      </w:pPr>
      <w:rPr>
        <w:rFonts w:hint="default"/>
      </w:rPr>
    </w:lvl>
  </w:abstractNum>
  <w:abstractNum w:abstractNumId="13" w15:restartNumberingAfterBreak="0">
    <w:nsid w:val="4322434E"/>
    <w:multiLevelType w:val="hybridMultilevel"/>
    <w:tmpl w:val="44E6A1F2"/>
    <w:lvl w:ilvl="0" w:tplc="032E7668">
      <w:start w:val="2"/>
      <w:numFmt w:val="lowerRoman"/>
      <w:lvlText w:val="%1)"/>
      <w:lvlJc w:val="left"/>
      <w:pPr>
        <w:ind w:left="1428" w:hanging="72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E0964FC"/>
    <w:multiLevelType w:val="hybridMultilevel"/>
    <w:tmpl w:val="BBB4934E"/>
    <w:lvl w:ilvl="0" w:tplc="A6BA9EEA">
      <w:start w:val="1"/>
      <w:numFmt w:val="lowerLetter"/>
      <w:lvlText w:val="%1)"/>
      <w:lvlJc w:val="left"/>
      <w:pPr>
        <w:ind w:left="1010" w:hanging="255"/>
      </w:pPr>
      <w:rPr>
        <w:rFonts w:ascii="Arial" w:eastAsia="Arial" w:hAnsi="Arial" w:cs="Arial" w:hint="default"/>
        <w:w w:val="100"/>
        <w:sz w:val="21"/>
        <w:szCs w:val="21"/>
        <w:lang w:val="es-ES" w:eastAsia="es-ES" w:bidi="es-ES"/>
      </w:rPr>
    </w:lvl>
    <w:lvl w:ilvl="1" w:tplc="E7007492">
      <w:numFmt w:val="bullet"/>
      <w:lvlText w:val="•"/>
      <w:lvlJc w:val="left"/>
      <w:pPr>
        <w:ind w:left="1872" w:hanging="255"/>
      </w:pPr>
      <w:rPr>
        <w:rFonts w:hint="default"/>
        <w:lang w:val="es-ES" w:eastAsia="es-ES" w:bidi="es-ES"/>
      </w:rPr>
    </w:lvl>
    <w:lvl w:ilvl="2" w:tplc="7384F016">
      <w:numFmt w:val="bullet"/>
      <w:lvlText w:val="•"/>
      <w:lvlJc w:val="left"/>
      <w:pPr>
        <w:ind w:left="2724" w:hanging="255"/>
      </w:pPr>
      <w:rPr>
        <w:rFonts w:hint="default"/>
        <w:lang w:val="es-ES" w:eastAsia="es-ES" w:bidi="es-ES"/>
      </w:rPr>
    </w:lvl>
    <w:lvl w:ilvl="3" w:tplc="077212C8">
      <w:numFmt w:val="bullet"/>
      <w:lvlText w:val="•"/>
      <w:lvlJc w:val="left"/>
      <w:pPr>
        <w:ind w:left="3576" w:hanging="255"/>
      </w:pPr>
      <w:rPr>
        <w:rFonts w:hint="default"/>
        <w:lang w:val="es-ES" w:eastAsia="es-ES" w:bidi="es-ES"/>
      </w:rPr>
    </w:lvl>
    <w:lvl w:ilvl="4" w:tplc="F2F2D53E">
      <w:numFmt w:val="bullet"/>
      <w:lvlText w:val="•"/>
      <w:lvlJc w:val="left"/>
      <w:pPr>
        <w:ind w:left="4428" w:hanging="255"/>
      </w:pPr>
      <w:rPr>
        <w:rFonts w:hint="default"/>
        <w:lang w:val="es-ES" w:eastAsia="es-ES" w:bidi="es-ES"/>
      </w:rPr>
    </w:lvl>
    <w:lvl w:ilvl="5" w:tplc="2CA04538">
      <w:numFmt w:val="bullet"/>
      <w:lvlText w:val="•"/>
      <w:lvlJc w:val="left"/>
      <w:pPr>
        <w:ind w:left="5280" w:hanging="255"/>
      </w:pPr>
      <w:rPr>
        <w:rFonts w:hint="default"/>
        <w:lang w:val="es-ES" w:eastAsia="es-ES" w:bidi="es-ES"/>
      </w:rPr>
    </w:lvl>
    <w:lvl w:ilvl="6" w:tplc="0B005232">
      <w:numFmt w:val="bullet"/>
      <w:lvlText w:val="•"/>
      <w:lvlJc w:val="left"/>
      <w:pPr>
        <w:ind w:left="6132" w:hanging="255"/>
      </w:pPr>
      <w:rPr>
        <w:rFonts w:hint="default"/>
        <w:lang w:val="es-ES" w:eastAsia="es-ES" w:bidi="es-ES"/>
      </w:rPr>
    </w:lvl>
    <w:lvl w:ilvl="7" w:tplc="BC5E1D4A">
      <w:numFmt w:val="bullet"/>
      <w:lvlText w:val="•"/>
      <w:lvlJc w:val="left"/>
      <w:pPr>
        <w:ind w:left="6984" w:hanging="255"/>
      </w:pPr>
      <w:rPr>
        <w:rFonts w:hint="default"/>
        <w:lang w:val="es-ES" w:eastAsia="es-ES" w:bidi="es-ES"/>
      </w:rPr>
    </w:lvl>
    <w:lvl w:ilvl="8" w:tplc="1D943224">
      <w:numFmt w:val="bullet"/>
      <w:lvlText w:val="•"/>
      <w:lvlJc w:val="left"/>
      <w:pPr>
        <w:ind w:left="7836" w:hanging="255"/>
      </w:pPr>
      <w:rPr>
        <w:rFonts w:hint="default"/>
        <w:lang w:val="es-ES" w:eastAsia="es-ES" w:bidi="es-ES"/>
      </w:rPr>
    </w:lvl>
  </w:abstractNum>
  <w:abstractNum w:abstractNumId="16" w15:restartNumberingAfterBreak="0">
    <w:nsid w:val="584A47E2"/>
    <w:multiLevelType w:val="multilevel"/>
    <w:tmpl w:val="16669D16"/>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s-ES" w:bidi="es-ES"/>
      </w:rPr>
    </w:lvl>
    <w:lvl w:ilvl="1">
      <w:start w:val="1"/>
      <w:numFmt w:val="decimal"/>
      <w:lvlText w:val="%1.%2."/>
      <w:lvlJc w:val="left"/>
      <w:pPr>
        <w:ind w:left="725" w:hanging="425"/>
      </w:pPr>
      <w:rPr>
        <w:rFonts w:ascii="Arial" w:eastAsia="Arial" w:hAnsi="Arial" w:cs="Arial" w:hint="default"/>
        <w:b/>
        <w:bCs/>
        <w:spacing w:val="-1"/>
        <w:w w:val="100"/>
        <w:sz w:val="22"/>
        <w:szCs w:val="22"/>
        <w:lang w:val="es-ES" w:eastAsia="es-ES" w:bidi="es-ES"/>
      </w:rPr>
    </w:lvl>
    <w:lvl w:ilvl="2">
      <w:start w:val="1"/>
      <w:numFmt w:val="lowerRoman"/>
      <w:lvlText w:val="%3."/>
      <w:lvlJc w:val="left"/>
      <w:pPr>
        <w:ind w:left="1728" w:hanging="720"/>
      </w:pPr>
      <w:rPr>
        <w:rFonts w:ascii="Arial" w:eastAsia="Arial" w:hAnsi="Arial" w:cs="Arial" w:hint="default"/>
        <w:spacing w:val="-3"/>
        <w:w w:val="100"/>
        <w:sz w:val="21"/>
        <w:szCs w:val="21"/>
        <w:lang w:val="es-ES" w:eastAsia="es-ES" w:bidi="es-ES"/>
      </w:rPr>
    </w:lvl>
    <w:lvl w:ilvl="3">
      <w:numFmt w:val="bullet"/>
      <w:lvlText w:val="•"/>
      <w:lvlJc w:val="left"/>
      <w:pPr>
        <w:ind w:left="2697" w:hanging="720"/>
      </w:pPr>
      <w:rPr>
        <w:rFonts w:hint="default"/>
        <w:lang w:val="es-ES" w:eastAsia="es-ES" w:bidi="es-ES"/>
      </w:rPr>
    </w:lvl>
    <w:lvl w:ilvl="4">
      <w:numFmt w:val="bullet"/>
      <w:lvlText w:val="•"/>
      <w:lvlJc w:val="left"/>
      <w:pPr>
        <w:ind w:left="3675" w:hanging="720"/>
      </w:pPr>
      <w:rPr>
        <w:rFonts w:hint="default"/>
        <w:lang w:val="es-ES" w:eastAsia="es-ES" w:bidi="es-ES"/>
      </w:rPr>
    </w:lvl>
    <w:lvl w:ilvl="5">
      <w:numFmt w:val="bullet"/>
      <w:lvlText w:val="•"/>
      <w:lvlJc w:val="left"/>
      <w:pPr>
        <w:ind w:left="4652" w:hanging="720"/>
      </w:pPr>
      <w:rPr>
        <w:rFonts w:hint="default"/>
        <w:lang w:val="es-ES" w:eastAsia="es-ES" w:bidi="es-ES"/>
      </w:rPr>
    </w:lvl>
    <w:lvl w:ilvl="6">
      <w:numFmt w:val="bullet"/>
      <w:lvlText w:val="•"/>
      <w:lvlJc w:val="left"/>
      <w:pPr>
        <w:ind w:left="5630" w:hanging="720"/>
      </w:pPr>
      <w:rPr>
        <w:rFonts w:hint="default"/>
        <w:lang w:val="es-ES" w:eastAsia="es-ES" w:bidi="es-ES"/>
      </w:rPr>
    </w:lvl>
    <w:lvl w:ilvl="7">
      <w:numFmt w:val="bullet"/>
      <w:lvlText w:val="•"/>
      <w:lvlJc w:val="left"/>
      <w:pPr>
        <w:ind w:left="6607" w:hanging="720"/>
      </w:pPr>
      <w:rPr>
        <w:rFonts w:hint="default"/>
        <w:lang w:val="es-ES" w:eastAsia="es-ES" w:bidi="es-ES"/>
      </w:rPr>
    </w:lvl>
    <w:lvl w:ilvl="8">
      <w:numFmt w:val="bullet"/>
      <w:lvlText w:val="•"/>
      <w:lvlJc w:val="left"/>
      <w:pPr>
        <w:ind w:left="7585" w:hanging="720"/>
      </w:pPr>
      <w:rPr>
        <w:rFonts w:hint="default"/>
        <w:lang w:val="es-ES" w:eastAsia="es-ES" w:bidi="es-ES"/>
      </w:rPr>
    </w:lvl>
  </w:abstractNum>
  <w:abstractNum w:abstractNumId="17" w15:restartNumberingAfterBreak="0">
    <w:nsid w:val="5A552591"/>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5AB9383E"/>
    <w:multiLevelType w:val="hybridMultilevel"/>
    <w:tmpl w:val="1A660842"/>
    <w:lvl w:ilvl="0" w:tplc="360CDDE0">
      <w:start w:val="1"/>
      <w:numFmt w:val="decimal"/>
      <w:lvlText w:val="%1."/>
      <w:lvlJc w:val="left"/>
      <w:pPr>
        <w:ind w:left="660" w:hanging="360"/>
      </w:pPr>
      <w:rPr>
        <w:rFonts w:hint="default"/>
        <w:color w:val="000000" w:themeColor="text1"/>
      </w:rPr>
    </w:lvl>
    <w:lvl w:ilvl="1" w:tplc="080A0019">
      <w:start w:val="1"/>
      <w:numFmt w:val="lowerLetter"/>
      <w:lvlText w:val="%2."/>
      <w:lvlJc w:val="left"/>
      <w:pPr>
        <w:ind w:left="1380" w:hanging="360"/>
      </w:pPr>
    </w:lvl>
    <w:lvl w:ilvl="2" w:tplc="080A001B">
      <w:start w:val="1"/>
      <w:numFmt w:val="lowerRoman"/>
      <w:lvlText w:val="%3."/>
      <w:lvlJc w:val="right"/>
      <w:pPr>
        <w:ind w:left="2100" w:hanging="180"/>
      </w:pPr>
    </w:lvl>
    <w:lvl w:ilvl="3" w:tplc="080A000F" w:tentative="1">
      <w:start w:val="1"/>
      <w:numFmt w:val="decimal"/>
      <w:lvlText w:val="%4."/>
      <w:lvlJc w:val="left"/>
      <w:pPr>
        <w:ind w:left="2820" w:hanging="360"/>
      </w:pPr>
    </w:lvl>
    <w:lvl w:ilvl="4" w:tplc="080A0019" w:tentative="1">
      <w:start w:val="1"/>
      <w:numFmt w:val="lowerLetter"/>
      <w:lvlText w:val="%5."/>
      <w:lvlJc w:val="left"/>
      <w:pPr>
        <w:ind w:left="3540" w:hanging="360"/>
      </w:pPr>
    </w:lvl>
    <w:lvl w:ilvl="5" w:tplc="080A001B" w:tentative="1">
      <w:start w:val="1"/>
      <w:numFmt w:val="lowerRoman"/>
      <w:lvlText w:val="%6."/>
      <w:lvlJc w:val="right"/>
      <w:pPr>
        <w:ind w:left="4260" w:hanging="180"/>
      </w:pPr>
    </w:lvl>
    <w:lvl w:ilvl="6" w:tplc="080A000F" w:tentative="1">
      <w:start w:val="1"/>
      <w:numFmt w:val="decimal"/>
      <w:lvlText w:val="%7."/>
      <w:lvlJc w:val="left"/>
      <w:pPr>
        <w:ind w:left="4980" w:hanging="360"/>
      </w:pPr>
    </w:lvl>
    <w:lvl w:ilvl="7" w:tplc="080A0019" w:tentative="1">
      <w:start w:val="1"/>
      <w:numFmt w:val="lowerLetter"/>
      <w:lvlText w:val="%8."/>
      <w:lvlJc w:val="left"/>
      <w:pPr>
        <w:ind w:left="5700" w:hanging="360"/>
      </w:pPr>
    </w:lvl>
    <w:lvl w:ilvl="8" w:tplc="080A001B" w:tentative="1">
      <w:start w:val="1"/>
      <w:numFmt w:val="lowerRoman"/>
      <w:lvlText w:val="%9."/>
      <w:lvlJc w:val="right"/>
      <w:pPr>
        <w:ind w:left="6420" w:hanging="180"/>
      </w:pPr>
    </w:lvl>
  </w:abstractNum>
  <w:abstractNum w:abstractNumId="19" w15:restartNumberingAfterBreak="0">
    <w:nsid w:val="667F5C51"/>
    <w:multiLevelType w:val="multilevel"/>
    <w:tmpl w:val="8F7E7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80047E"/>
    <w:multiLevelType w:val="hybridMultilevel"/>
    <w:tmpl w:val="F4B8D518"/>
    <w:lvl w:ilvl="0" w:tplc="A2262576">
      <w:start w:val="3"/>
      <w:numFmt w:val="decimal"/>
      <w:lvlText w:val="%1."/>
      <w:lvlJc w:val="left"/>
      <w:pPr>
        <w:ind w:left="543" w:hanging="243"/>
      </w:pPr>
      <w:rPr>
        <w:rFonts w:ascii="Arial" w:eastAsia="Arial" w:hAnsi="Arial" w:cs="Arial" w:hint="default"/>
        <w:b/>
        <w:bCs/>
        <w:spacing w:val="-1"/>
        <w:w w:val="100"/>
        <w:sz w:val="22"/>
        <w:szCs w:val="22"/>
        <w:lang w:val="es-ES" w:eastAsia="es-ES" w:bidi="es-ES"/>
      </w:rPr>
    </w:lvl>
    <w:lvl w:ilvl="1" w:tplc="6214FDF0">
      <w:start w:val="1"/>
      <w:numFmt w:val="lowerRoman"/>
      <w:lvlText w:val="%2)"/>
      <w:lvlJc w:val="left"/>
      <w:pPr>
        <w:ind w:left="1010" w:hanging="190"/>
      </w:pPr>
      <w:rPr>
        <w:rFonts w:ascii="Arial" w:eastAsia="Arial" w:hAnsi="Arial" w:cs="Arial" w:hint="default"/>
        <w:w w:val="100"/>
        <w:sz w:val="21"/>
        <w:szCs w:val="21"/>
        <w:lang w:val="es-ES" w:eastAsia="es-ES" w:bidi="es-ES"/>
      </w:rPr>
    </w:lvl>
    <w:lvl w:ilvl="2" w:tplc="64BA9508">
      <w:numFmt w:val="bullet"/>
      <w:lvlText w:val="•"/>
      <w:lvlJc w:val="left"/>
      <w:pPr>
        <w:ind w:left="1966" w:hanging="190"/>
      </w:pPr>
      <w:rPr>
        <w:rFonts w:hint="default"/>
        <w:lang w:val="es-ES" w:eastAsia="es-ES" w:bidi="es-ES"/>
      </w:rPr>
    </w:lvl>
    <w:lvl w:ilvl="3" w:tplc="E1D2D3FA">
      <w:numFmt w:val="bullet"/>
      <w:lvlText w:val="•"/>
      <w:lvlJc w:val="left"/>
      <w:pPr>
        <w:ind w:left="2913" w:hanging="190"/>
      </w:pPr>
      <w:rPr>
        <w:rFonts w:hint="default"/>
        <w:lang w:val="es-ES" w:eastAsia="es-ES" w:bidi="es-ES"/>
      </w:rPr>
    </w:lvl>
    <w:lvl w:ilvl="4" w:tplc="D6286852">
      <w:numFmt w:val="bullet"/>
      <w:lvlText w:val="•"/>
      <w:lvlJc w:val="left"/>
      <w:pPr>
        <w:ind w:left="3860" w:hanging="190"/>
      </w:pPr>
      <w:rPr>
        <w:rFonts w:hint="default"/>
        <w:lang w:val="es-ES" w:eastAsia="es-ES" w:bidi="es-ES"/>
      </w:rPr>
    </w:lvl>
    <w:lvl w:ilvl="5" w:tplc="8AE6FCAE">
      <w:numFmt w:val="bullet"/>
      <w:lvlText w:val="•"/>
      <w:lvlJc w:val="left"/>
      <w:pPr>
        <w:ind w:left="4806" w:hanging="190"/>
      </w:pPr>
      <w:rPr>
        <w:rFonts w:hint="default"/>
        <w:lang w:val="es-ES" w:eastAsia="es-ES" w:bidi="es-ES"/>
      </w:rPr>
    </w:lvl>
    <w:lvl w:ilvl="6" w:tplc="5AA62E3C">
      <w:numFmt w:val="bullet"/>
      <w:lvlText w:val="•"/>
      <w:lvlJc w:val="left"/>
      <w:pPr>
        <w:ind w:left="5753" w:hanging="190"/>
      </w:pPr>
      <w:rPr>
        <w:rFonts w:hint="default"/>
        <w:lang w:val="es-ES" w:eastAsia="es-ES" w:bidi="es-ES"/>
      </w:rPr>
    </w:lvl>
    <w:lvl w:ilvl="7" w:tplc="110E97BA">
      <w:numFmt w:val="bullet"/>
      <w:lvlText w:val="•"/>
      <w:lvlJc w:val="left"/>
      <w:pPr>
        <w:ind w:left="6700" w:hanging="190"/>
      </w:pPr>
      <w:rPr>
        <w:rFonts w:hint="default"/>
        <w:lang w:val="es-ES" w:eastAsia="es-ES" w:bidi="es-ES"/>
      </w:rPr>
    </w:lvl>
    <w:lvl w:ilvl="8" w:tplc="4B2E7BD2">
      <w:numFmt w:val="bullet"/>
      <w:lvlText w:val="•"/>
      <w:lvlJc w:val="left"/>
      <w:pPr>
        <w:ind w:left="7646" w:hanging="190"/>
      </w:pPr>
      <w:rPr>
        <w:rFonts w:hint="default"/>
        <w:lang w:val="es-ES" w:eastAsia="es-ES" w:bidi="es-ES"/>
      </w:rPr>
    </w:lvl>
  </w:abstractNum>
  <w:abstractNum w:abstractNumId="21"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2" w15:restartNumberingAfterBreak="0">
    <w:nsid w:val="7C8009A2"/>
    <w:multiLevelType w:val="multilevel"/>
    <w:tmpl w:val="173229A4"/>
    <w:lvl w:ilvl="0">
      <w:start w:val="1"/>
      <w:numFmt w:val="decimal"/>
      <w:lvlText w:val="%1."/>
      <w:lvlJc w:val="left"/>
      <w:pPr>
        <w:ind w:left="720" w:hanging="360"/>
      </w:pPr>
      <w:rPr>
        <w:rFonts w:hint="default"/>
        <w:b/>
        <w:bCs/>
        <w:color w:val="000000" w:themeColor="text1"/>
      </w:rPr>
    </w:lvl>
    <w:lvl w:ilvl="1">
      <w:start w:val="2"/>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1"/>
  </w:num>
  <w:num w:numId="4">
    <w:abstractNumId w:val="5"/>
  </w:num>
  <w:num w:numId="5">
    <w:abstractNumId w:val="1"/>
  </w:num>
  <w:num w:numId="6">
    <w:abstractNumId w:val="20"/>
  </w:num>
  <w:num w:numId="7">
    <w:abstractNumId w:val="15"/>
  </w:num>
  <w:num w:numId="8">
    <w:abstractNumId w:val="3"/>
  </w:num>
  <w:num w:numId="9">
    <w:abstractNumId w:val="9"/>
  </w:num>
  <w:num w:numId="10">
    <w:abstractNumId w:val="16"/>
  </w:num>
  <w:num w:numId="11">
    <w:abstractNumId w:val="8"/>
  </w:num>
  <w:num w:numId="12">
    <w:abstractNumId w:val="19"/>
  </w:num>
  <w:num w:numId="13">
    <w:abstractNumId w:val="18"/>
  </w:num>
  <w:num w:numId="14">
    <w:abstractNumId w:val="12"/>
  </w:num>
  <w:num w:numId="15">
    <w:abstractNumId w:val="4"/>
  </w:num>
  <w:num w:numId="16">
    <w:abstractNumId w:val="13"/>
  </w:num>
  <w:num w:numId="17">
    <w:abstractNumId w:val="17"/>
  </w:num>
  <w:num w:numId="18">
    <w:abstractNumId w:val="11"/>
  </w:num>
  <w:num w:numId="19">
    <w:abstractNumId w:val="7"/>
  </w:num>
  <w:num w:numId="20">
    <w:abstractNumId w:val="10"/>
  </w:num>
  <w:num w:numId="21">
    <w:abstractNumId w:val="22"/>
  </w:num>
  <w:num w:numId="22">
    <w:abstractNumId w:val="2"/>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3DF0"/>
    <w:rsid w:val="00015CAC"/>
    <w:rsid w:val="00015F47"/>
    <w:rsid w:val="00036131"/>
    <w:rsid w:val="000533D7"/>
    <w:rsid w:val="00072333"/>
    <w:rsid w:val="00072C96"/>
    <w:rsid w:val="000755E1"/>
    <w:rsid w:val="00081827"/>
    <w:rsid w:val="00094B59"/>
    <w:rsid w:val="000A541F"/>
    <w:rsid w:val="000A5E3D"/>
    <w:rsid w:val="000A615D"/>
    <w:rsid w:val="000A6E7E"/>
    <w:rsid w:val="000A734C"/>
    <w:rsid w:val="000A7701"/>
    <w:rsid w:val="000B4AB7"/>
    <w:rsid w:val="000B5851"/>
    <w:rsid w:val="000B627E"/>
    <w:rsid w:val="000B62D1"/>
    <w:rsid w:val="000B6A48"/>
    <w:rsid w:val="000C7645"/>
    <w:rsid w:val="000D46A2"/>
    <w:rsid w:val="000E4860"/>
    <w:rsid w:val="000E7A59"/>
    <w:rsid w:val="000F2F6E"/>
    <w:rsid w:val="00110542"/>
    <w:rsid w:val="00112852"/>
    <w:rsid w:val="0011477D"/>
    <w:rsid w:val="00114CA7"/>
    <w:rsid w:val="0011553A"/>
    <w:rsid w:val="001244D7"/>
    <w:rsid w:val="00130030"/>
    <w:rsid w:val="00135CEA"/>
    <w:rsid w:val="0013760E"/>
    <w:rsid w:val="0013782C"/>
    <w:rsid w:val="00137BD0"/>
    <w:rsid w:val="00140A7F"/>
    <w:rsid w:val="0015117A"/>
    <w:rsid w:val="00154863"/>
    <w:rsid w:val="00161966"/>
    <w:rsid w:val="00175FAD"/>
    <w:rsid w:val="001764A8"/>
    <w:rsid w:val="00176C66"/>
    <w:rsid w:val="001820AA"/>
    <w:rsid w:val="00187312"/>
    <w:rsid w:val="001900DE"/>
    <w:rsid w:val="00195596"/>
    <w:rsid w:val="00196128"/>
    <w:rsid w:val="0019728C"/>
    <w:rsid w:val="001A24A5"/>
    <w:rsid w:val="001A7CA5"/>
    <w:rsid w:val="001B235C"/>
    <w:rsid w:val="001B755F"/>
    <w:rsid w:val="001C096E"/>
    <w:rsid w:val="001C0DFF"/>
    <w:rsid w:val="001C26EF"/>
    <w:rsid w:val="001E080C"/>
    <w:rsid w:val="001F5D6E"/>
    <w:rsid w:val="001F6F85"/>
    <w:rsid w:val="00201DB9"/>
    <w:rsid w:val="002057A4"/>
    <w:rsid w:val="00216826"/>
    <w:rsid w:val="00223F65"/>
    <w:rsid w:val="002343A7"/>
    <w:rsid w:val="0024505E"/>
    <w:rsid w:val="00252B4C"/>
    <w:rsid w:val="00256962"/>
    <w:rsid w:val="002577D8"/>
    <w:rsid w:val="00262AB2"/>
    <w:rsid w:val="00262DCF"/>
    <w:rsid w:val="00263999"/>
    <w:rsid w:val="0026403F"/>
    <w:rsid w:val="00265A2D"/>
    <w:rsid w:val="002663A9"/>
    <w:rsid w:val="0026761A"/>
    <w:rsid w:val="002676B8"/>
    <w:rsid w:val="00271499"/>
    <w:rsid w:val="002748E2"/>
    <w:rsid w:val="002762D1"/>
    <w:rsid w:val="00282D3F"/>
    <w:rsid w:val="002835AE"/>
    <w:rsid w:val="00290E90"/>
    <w:rsid w:val="00292743"/>
    <w:rsid w:val="002A75EC"/>
    <w:rsid w:val="002B19F5"/>
    <w:rsid w:val="002B40B7"/>
    <w:rsid w:val="002C1A0C"/>
    <w:rsid w:val="002D7B8D"/>
    <w:rsid w:val="002E44D9"/>
    <w:rsid w:val="002F6A04"/>
    <w:rsid w:val="00300B5B"/>
    <w:rsid w:val="00302B8D"/>
    <w:rsid w:val="00314F2B"/>
    <w:rsid w:val="003179E1"/>
    <w:rsid w:val="00322739"/>
    <w:rsid w:val="003233A2"/>
    <w:rsid w:val="00327D60"/>
    <w:rsid w:val="00330BDF"/>
    <w:rsid w:val="00336AC6"/>
    <w:rsid w:val="00337876"/>
    <w:rsid w:val="003447DE"/>
    <w:rsid w:val="00345FBC"/>
    <w:rsid w:val="0035154E"/>
    <w:rsid w:val="00353092"/>
    <w:rsid w:val="00353468"/>
    <w:rsid w:val="0035732E"/>
    <w:rsid w:val="0035746D"/>
    <w:rsid w:val="00360748"/>
    <w:rsid w:val="00364DC1"/>
    <w:rsid w:val="00365D3A"/>
    <w:rsid w:val="0037075E"/>
    <w:rsid w:val="0037178A"/>
    <w:rsid w:val="00373FD5"/>
    <w:rsid w:val="00380F1A"/>
    <w:rsid w:val="00384FE5"/>
    <w:rsid w:val="00387886"/>
    <w:rsid w:val="0039105F"/>
    <w:rsid w:val="00392411"/>
    <w:rsid w:val="0039530A"/>
    <w:rsid w:val="00396A0B"/>
    <w:rsid w:val="003A5C98"/>
    <w:rsid w:val="003A78C6"/>
    <w:rsid w:val="003C5DD6"/>
    <w:rsid w:val="003D2225"/>
    <w:rsid w:val="003D22F3"/>
    <w:rsid w:val="003D3DD4"/>
    <w:rsid w:val="003D5148"/>
    <w:rsid w:val="003D588A"/>
    <w:rsid w:val="003D58BB"/>
    <w:rsid w:val="003D73E9"/>
    <w:rsid w:val="003E248F"/>
    <w:rsid w:val="003E4FB0"/>
    <w:rsid w:val="003F1924"/>
    <w:rsid w:val="003F2B42"/>
    <w:rsid w:val="003F461C"/>
    <w:rsid w:val="003F7B87"/>
    <w:rsid w:val="003F7FB1"/>
    <w:rsid w:val="00401A82"/>
    <w:rsid w:val="00403054"/>
    <w:rsid w:val="004164FC"/>
    <w:rsid w:val="00424B46"/>
    <w:rsid w:val="00425732"/>
    <w:rsid w:val="00431654"/>
    <w:rsid w:val="004335C3"/>
    <w:rsid w:val="00451C32"/>
    <w:rsid w:val="00454997"/>
    <w:rsid w:val="0046507A"/>
    <w:rsid w:val="004710AE"/>
    <w:rsid w:val="00475DD2"/>
    <w:rsid w:val="00476147"/>
    <w:rsid w:val="00476544"/>
    <w:rsid w:val="0048044A"/>
    <w:rsid w:val="00480C45"/>
    <w:rsid w:val="0048469A"/>
    <w:rsid w:val="004853AF"/>
    <w:rsid w:val="00491FEA"/>
    <w:rsid w:val="004B0029"/>
    <w:rsid w:val="004B39F3"/>
    <w:rsid w:val="004C4FEB"/>
    <w:rsid w:val="004C6ABD"/>
    <w:rsid w:val="004C77DD"/>
    <w:rsid w:val="004D35AA"/>
    <w:rsid w:val="004D7DE2"/>
    <w:rsid w:val="004E2E77"/>
    <w:rsid w:val="004E4E33"/>
    <w:rsid w:val="004E5D5C"/>
    <w:rsid w:val="004E7410"/>
    <w:rsid w:val="004F2411"/>
    <w:rsid w:val="004F2E83"/>
    <w:rsid w:val="00502061"/>
    <w:rsid w:val="00503E5A"/>
    <w:rsid w:val="005119E2"/>
    <w:rsid w:val="00521FC6"/>
    <w:rsid w:val="00522726"/>
    <w:rsid w:val="00524B49"/>
    <w:rsid w:val="005303D7"/>
    <w:rsid w:val="00530EF6"/>
    <w:rsid w:val="00531E6B"/>
    <w:rsid w:val="005342DB"/>
    <w:rsid w:val="00542C9D"/>
    <w:rsid w:val="00547A9E"/>
    <w:rsid w:val="00554D93"/>
    <w:rsid w:val="0055529C"/>
    <w:rsid w:val="0056049D"/>
    <w:rsid w:val="00560BA2"/>
    <w:rsid w:val="00563519"/>
    <w:rsid w:val="00565AF2"/>
    <w:rsid w:val="005668C1"/>
    <w:rsid w:val="00570C7B"/>
    <w:rsid w:val="0057168B"/>
    <w:rsid w:val="00580C97"/>
    <w:rsid w:val="00580EDD"/>
    <w:rsid w:val="00584ECB"/>
    <w:rsid w:val="0058574A"/>
    <w:rsid w:val="00587130"/>
    <w:rsid w:val="00590067"/>
    <w:rsid w:val="00591EB1"/>
    <w:rsid w:val="0059390B"/>
    <w:rsid w:val="005A2602"/>
    <w:rsid w:val="005A5EFD"/>
    <w:rsid w:val="005B056E"/>
    <w:rsid w:val="005B14A6"/>
    <w:rsid w:val="005B76C7"/>
    <w:rsid w:val="005C5C68"/>
    <w:rsid w:val="005D1439"/>
    <w:rsid w:val="005D1A82"/>
    <w:rsid w:val="005D4FC8"/>
    <w:rsid w:val="005E481C"/>
    <w:rsid w:val="005E4AB2"/>
    <w:rsid w:val="005E66B0"/>
    <w:rsid w:val="005E672E"/>
    <w:rsid w:val="005E736D"/>
    <w:rsid w:val="005F04B8"/>
    <w:rsid w:val="005F1D9D"/>
    <w:rsid w:val="006065A9"/>
    <w:rsid w:val="00611B99"/>
    <w:rsid w:val="006142EC"/>
    <w:rsid w:val="00616CB8"/>
    <w:rsid w:val="00621CEE"/>
    <w:rsid w:val="00623378"/>
    <w:rsid w:val="006256EA"/>
    <w:rsid w:val="00625B32"/>
    <w:rsid w:val="0063407B"/>
    <w:rsid w:val="0063632C"/>
    <w:rsid w:val="006663C2"/>
    <w:rsid w:val="006747FD"/>
    <w:rsid w:val="00675349"/>
    <w:rsid w:val="006764F3"/>
    <w:rsid w:val="006769B8"/>
    <w:rsid w:val="00676D9E"/>
    <w:rsid w:val="00681BEB"/>
    <w:rsid w:val="00685E80"/>
    <w:rsid w:val="006870BE"/>
    <w:rsid w:val="00687BDD"/>
    <w:rsid w:val="006A34D3"/>
    <w:rsid w:val="006A5982"/>
    <w:rsid w:val="006B04C0"/>
    <w:rsid w:val="006B04F9"/>
    <w:rsid w:val="006C6997"/>
    <w:rsid w:val="006D2C01"/>
    <w:rsid w:val="006D3DBD"/>
    <w:rsid w:val="006D64B1"/>
    <w:rsid w:val="006E36F6"/>
    <w:rsid w:val="006F5928"/>
    <w:rsid w:val="0070332B"/>
    <w:rsid w:val="00703E5A"/>
    <w:rsid w:val="007118B2"/>
    <w:rsid w:val="00722642"/>
    <w:rsid w:val="007343B6"/>
    <w:rsid w:val="00736116"/>
    <w:rsid w:val="00745302"/>
    <w:rsid w:val="00746027"/>
    <w:rsid w:val="00746295"/>
    <w:rsid w:val="007474E3"/>
    <w:rsid w:val="00757D4E"/>
    <w:rsid w:val="00770A3E"/>
    <w:rsid w:val="00776374"/>
    <w:rsid w:val="007766C8"/>
    <w:rsid w:val="007820EF"/>
    <w:rsid w:val="0079126B"/>
    <w:rsid w:val="007A4AE6"/>
    <w:rsid w:val="007B2580"/>
    <w:rsid w:val="007B338F"/>
    <w:rsid w:val="007C5E25"/>
    <w:rsid w:val="007C65B9"/>
    <w:rsid w:val="007D0E95"/>
    <w:rsid w:val="007E4FA7"/>
    <w:rsid w:val="007E5394"/>
    <w:rsid w:val="007F1895"/>
    <w:rsid w:val="007F2F49"/>
    <w:rsid w:val="007F304E"/>
    <w:rsid w:val="007F3E47"/>
    <w:rsid w:val="007F6298"/>
    <w:rsid w:val="007F7557"/>
    <w:rsid w:val="007F7A62"/>
    <w:rsid w:val="007F7C03"/>
    <w:rsid w:val="00801CF8"/>
    <w:rsid w:val="008043C4"/>
    <w:rsid w:val="00804685"/>
    <w:rsid w:val="008072FF"/>
    <w:rsid w:val="008105BA"/>
    <w:rsid w:val="00811D01"/>
    <w:rsid w:val="00820F88"/>
    <w:rsid w:val="008214EE"/>
    <w:rsid w:val="008231BB"/>
    <w:rsid w:val="00827A2A"/>
    <w:rsid w:val="008312A3"/>
    <w:rsid w:val="00833D8C"/>
    <w:rsid w:val="00837D3C"/>
    <w:rsid w:val="00847BA2"/>
    <w:rsid w:val="0085443D"/>
    <w:rsid w:val="0087155A"/>
    <w:rsid w:val="0087449C"/>
    <w:rsid w:val="00880110"/>
    <w:rsid w:val="00881D58"/>
    <w:rsid w:val="00881DCE"/>
    <w:rsid w:val="008855C4"/>
    <w:rsid w:val="00891BFA"/>
    <w:rsid w:val="00892FA4"/>
    <w:rsid w:val="00897109"/>
    <w:rsid w:val="008B52AD"/>
    <w:rsid w:val="008C3F91"/>
    <w:rsid w:val="008C40DE"/>
    <w:rsid w:val="008C425C"/>
    <w:rsid w:val="008C5B45"/>
    <w:rsid w:val="008D5087"/>
    <w:rsid w:val="008D5645"/>
    <w:rsid w:val="008D7F99"/>
    <w:rsid w:val="008E21FD"/>
    <w:rsid w:val="008E60D2"/>
    <w:rsid w:val="008F088D"/>
    <w:rsid w:val="008F4324"/>
    <w:rsid w:val="008F6437"/>
    <w:rsid w:val="00920D95"/>
    <w:rsid w:val="0092222C"/>
    <w:rsid w:val="00923848"/>
    <w:rsid w:val="00930FAE"/>
    <w:rsid w:val="009332FC"/>
    <w:rsid w:val="0093646C"/>
    <w:rsid w:val="00960FD1"/>
    <w:rsid w:val="009649BF"/>
    <w:rsid w:val="00965D7F"/>
    <w:rsid w:val="00973FF7"/>
    <w:rsid w:val="009771C5"/>
    <w:rsid w:val="00980E1C"/>
    <w:rsid w:val="009835EF"/>
    <w:rsid w:val="00992791"/>
    <w:rsid w:val="00994DFC"/>
    <w:rsid w:val="0099768D"/>
    <w:rsid w:val="009A3A2B"/>
    <w:rsid w:val="009C289D"/>
    <w:rsid w:val="009D0381"/>
    <w:rsid w:val="009D4314"/>
    <w:rsid w:val="009D5279"/>
    <w:rsid w:val="009D7A61"/>
    <w:rsid w:val="009E36A9"/>
    <w:rsid w:val="009F1B3C"/>
    <w:rsid w:val="00A012BF"/>
    <w:rsid w:val="00A012F5"/>
    <w:rsid w:val="00A03A61"/>
    <w:rsid w:val="00A21E65"/>
    <w:rsid w:val="00A30CDD"/>
    <w:rsid w:val="00A32040"/>
    <w:rsid w:val="00A4095E"/>
    <w:rsid w:val="00A4457D"/>
    <w:rsid w:val="00A5027F"/>
    <w:rsid w:val="00A51E80"/>
    <w:rsid w:val="00A53195"/>
    <w:rsid w:val="00A54650"/>
    <w:rsid w:val="00A626F7"/>
    <w:rsid w:val="00A62BBF"/>
    <w:rsid w:val="00A64034"/>
    <w:rsid w:val="00A71CEA"/>
    <w:rsid w:val="00A83158"/>
    <w:rsid w:val="00A9164B"/>
    <w:rsid w:val="00A94237"/>
    <w:rsid w:val="00AA5749"/>
    <w:rsid w:val="00AB0071"/>
    <w:rsid w:val="00AB0AC0"/>
    <w:rsid w:val="00AB2CBD"/>
    <w:rsid w:val="00AB6125"/>
    <w:rsid w:val="00AB6DE8"/>
    <w:rsid w:val="00AC0C2F"/>
    <w:rsid w:val="00AC173D"/>
    <w:rsid w:val="00AC3C11"/>
    <w:rsid w:val="00AC44CB"/>
    <w:rsid w:val="00AC7423"/>
    <w:rsid w:val="00AD2763"/>
    <w:rsid w:val="00AD4216"/>
    <w:rsid w:val="00AD501B"/>
    <w:rsid w:val="00AD6DA5"/>
    <w:rsid w:val="00AE0358"/>
    <w:rsid w:val="00AF0ED8"/>
    <w:rsid w:val="00AF4156"/>
    <w:rsid w:val="00AF6237"/>
    <w:rsid w:val="00B0076F"/>
    <w:rsid w:val="00B01160"/>
    <w:rsid w:val="00B02D49"/>
    <w:rsid w:val="00B04DAB"/>
    <w:rsid w:val="00B06567"/>
    <w:rsid w:val="00B12F0E"/>
    <w:rsid w:val="00B2523E"/>
    <w:rsid w:val="00B26A90"/>
    <w:rsid w:val="00B315E0"/>
    <w:rsid w:val="00B31C5C"/>
    <w:rsid w:val="00B32B26"/>
    <w:rsid w:val="00B43119"/>
    <w:rsid w:val="00B506F6"/>
    <w:rsid w:val="00B52EF4"/>
    <w:rsid w:val="00B55679"/>
    <w:rsid w:val="00B5768A"/>
    <w:rsid w:val="00B63398"/>
    <w:rsid w:val="00B651A5"/>
    <w:rsid w:val="00B7045A"/>
    <w:rsid w:val="00B71711"/>
    <w:rsid w:val="00B73A62"/>
    <w:rsid w:val="00B81795"/>
    <w:rsid w:val="00B81F3F"/>
    <w:rsid w:val="00B8408D"/>
    <w:rsid w:val="00B8757F"/>
    <w:rsid w:val="00B913DC"/>
    <w:rsid w:val="00B937CA"/>
    <w:rsid w:val="00B93DD8"/>
    <w:rsid w:val="00B943F5"/>
    <w:rsid w:val="00BA084A"/>
    <w:rsid w:val="00BA1FBE"/>
    <w:rsid w:val="00BA3C72"/>
    <w:rsid w:val="00BA55C6"/>
    <w:rsid w:val="00BA75D3"/>
    <w:rsid w:val="00BA7F22"/>
    <w:rsid w:val="00BB0D17"/>
    <w:rsid w:val="00BB2191"/>
    <w:rsid w:val="00BB29B9"/>
    <w:rsid w:val="00BB32FE"/>
    <w:rsid w:val="00BB51F3"/>
    <w:rsid w:val="00BC0FB8"/>
    <w:rsid w:val="00BC1F98"/>
    <w:rsid w:val="00BC2159"/>
    <w:rsid w:val="00BC3923"/>
    <w:rsid w:val="00BD0F08"/>
    <w:rsid w:val="00BD4AFF"/>
    <w:rsid w:val="00BD6EA9"/>
    <w:rsid w:val="00BF18D6"/>
    <w:rsid w:val="00C014D3"/>
    <w:rsid w:val="00C1196F"/>
    <w:rsid w:val="00C15D6A"/>
    <w:rsid w:val="00C21A71"/>
    <w:rsid w:val="00C23CFD"/>
    <w:rsid w:val="00C276B8"/>
    <w:rsid w:val="00C33B62"/>
    <w:rsid w:val="00C35FD1"/>
    <w:rsid w:val="00C47437"/>
    <w:rsid w:val="00C50129"/>
    <w:rsid w:val="00C635D5"/>
    <w:rsid w:val="00C63CEA"/>
    <w:rsid w:val="00C640FF"/>
    <w:rsid w:val="00C64C2A"/>
    <w:rsid w:val="00C71ACE"/>
    <w:rsid w:val="00C71D3A"/>
    <w:rsid w:val="00C81BEB"/>
    <w:rsid w:val="00C87984"/>
    <w:rsid w:val="00C94735"/>
    <w:rsid w:val="00CB0116"/>
    <w:rsid w:val="00CB1C41"/>
    <w:rsid w:val="00CB3515"/>
    <w:rsid w:val="00CF30C9"/>
    <w:rsid w:val="00D0122C"/>
    <w:rsid w:val="00D039FB"/>
    <w:rsid w:val="00D04E67"/>
    <w:rsid w:val="00D10946"/>
    <w:rsid w:val="00D21902"/>
    <w:rsid w:val="00D25329"/>
    <w:rsid w:val="00D361AE"/>
    <w:rsid w:val="00D40D72"/>
    <w:rsid w:val="00D53EC8"/>
    <w:rsid w:val="00D54E70"/>
    <w:rsid w:val="00D60108"/>
    <w:rsid w:val="00D64ACD"/>
    <w:rsid w:val="00D70A03"/>
    <w:rsid w:val="00D7246A"/>
    <w:rsid w:val="00D738B2"/>
    <w:rsid w:val="00D750C2"/>
    <w:rsid w:val="00D76B34"/>
    <w:rsid w:val="00D774DE"/>
    <w:rsid w:val="00D77BB0"/>
    <w:rsid w:val="00D80564"/>
    <w:rsid w:val="00D811B8"/>
    <w:rsid w:val="00D81CA8"/>
    <w:rsid w:val="00D842C4"/>
    <w:rsid w:val="00D8449F"/>
    <w:rsid w:val="00D848EA"/>
    <w:rsid w:val="00D8778D"/>
    <w:rsid w:val="00D91930"/>
    <w:rsid w:val="00D95ECB"/>
    <w:rsid w:val="00DA2C5A"/>
    <w:rsid w:val="00DA352E"/>
    <w:rsid w:val="00DB0B26"/>
    <w:rsid w:val="00DB0FC7"/>
    <w:rsid w:val="00DC3B04"/>
    <w:rsid w:val="00DD0D94"/>
    <w:rsid w:val="00DD24FF"/>
    <w:rsid w:val="00DE736C"/>
    <w:rsid w:val="00DF2D7B"/>
    <w:rsid w:val="00E02A6A"/>
    <w:rsid w:val="00E06DF7"/>
    <w:rsid w:val="00E131F1"/>
    <w:rsid w:val="00E30C0A"/>
    <w:rsid w:val="00E32788"/>
    <w:rsid w:val="00E40483"/>
    <w:rsid w:val="00E43A90"/>
    <w:rsid w:val="00E441F5"/>
    <w:rsid w:val="00E46C4E"/>
    <w:rsid w:val="00E5012F"/>
    <w:rsid w:val="00E5645F"/>
    <w:rsid w:val="00E673A1"/>
    <w:rsid w:val="00E70647"/>
    <w:rsid w:val="00E833FA"/>
    <w:rsid w:val="00E903E2"/>
    <w:rsid w:val="00E90C94"/>
    <w:rsid w:val="00EA41E8"/>
    <w:rsid w:val="00EA513C"/>
    <w:rsid w:val="00EB27BA"/>
    <w:rsid w:val="00EB3066"/>
    <w:rsid w:val="00EB5133"/>
    <w:rsid w:val="00EB5AA1"/>
    <w:rsid w:val="00EB5F14"/>
    <w:rsid w:val="00EC07EF"/>
    <w:rsid w:val="00EC433E"/>
    <w:rsid w:val="00EC4E42"/>
    <w:rsid w:val="00ED1EBA"/>
    <w:rsid w:val="00ED3195"/>
    <w:rsid w:val="00ED63E2"/>
    <w:rsid w:val="00ED6C10"/>
    <w:rsid w:val="00ED7D9E"/>
    <w:rsid w:val="00EE1291"/>
    <w:rsid w:val="00EE54C6"/>
    <w:rsid w:val="00EE5E75"/>
    <w:rsid w:val="00EE66CC"/>
    <w:rsid w:val="00EF17B8"/>
    <w:rsid w:val="00EF1FC8"/>
    <w:rsid w:val="00F0401C"/>
    <w:rsid w:val="00F053F3"/>
    <w:rsid w:val="00F06565"/>
    <w:rsid w:val="00F10A2F"/>
    <w:rsid w:val="00F10D38"/>
    <w:rsid w:val="00F13BAE"/>
    <w:rsid w:val="00F3225B"/>
    <w:rsid w:val="00F3683B"/>
    <w:rsid w:val="00F37679"/>
    <w:rsid w:val="00F40BB1"/>
    <w:rsid w:val="00F45611"/>
    <w:rsid w:val="00F5219A"/>
    <w:rsid w:val="00F53CB0"/>
    <w:rsid w:val="00F55F52"/>
    <w:rsid w:val="00F6354C"/>
    <w:rsid w:val="00F66114"/>
    <w:rsid w:val="00F67268"/>
    <w:rsid w:val="00F773A6"/>
    <w:rsid w:val="00F779BA"/>
    <w:rsid w:val="00F80877"/>
    <w:rsid w:val="00F909BB"/>
    <w:rsid w:val="00F93FD8"/>
    <w:rsid w:val="00F96DEA"/>
    <w:rsid w:val="00FA2654"/>
    <w:rsid w:val="00FA42DC"/>
    <w:rsid w:val="00FA4CC2"/>
    <w:rsid w:val="00FB0FC6"/>
    <w:rsid w:val="00FB7F21"/>
    <w:rsid w:val="00FC2B81"/>
    <w:rsid w:val="00FC2EFC"/>
    <w:rsid w:val="00FC7033"/>
    <w:rsid w:val="00FD0147"/>
    <w:rsid w:val="00FD1489"/>
    <w:rsid w:val="00FD27D7"/>
    <w:rsid w:val="00FD3E77"/>
    <w:rsid w:val="00FD40D5"/>
    <w:rsid w:val="00FD68AB"/>
    <w:rsid w:val="00FD6D80"/>
    <w:rsid w:val="00FE06EC"/>
    <w:rsid w:val="00FE11D0"/>
    <w:rsid w:val="00FE777A"/>
    <w:rsid w:val="00FF0F91"/>
    <w:rsid w:val="00FF1F9E"/>
    <w:rsid w:val="00FF29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9E"/>
    <w:rPr>
      <w:rFonts w:ascii="Times New Roman" w:eastAsia="Times New Roman" w:hAnsi="Times New Roman" w:cs="Times New Roman"/>
      <w:lang w:eastAsia="es-MX"/>
    </w:rPr>
  </w:style>
  <w:style w:type="paragraph" w:styleId="Ttulo1">
    <w:name w:val="heading 1"/>
    <w:basedOn w:val="Normal"/>
    <w:next w:val="Normal"/>
    <w:link w:val="Ttulo1Car"/>
    <w:uiPriority w:val="9"/>
    <w:qFormat/>
    <w:rsid w:val="00B840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5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Ttulo1Car">
    <w:name w:val="Título 1 Car"/>
    <w:basedOn w:val="Fuentedeprrafopredeter"/>
    <w:link w:val="Ttulo1"/>
    <w:uiPriority w:val="9"/>
    <w:rsid w:val="00B8408D"/>
    <w:rPr>
      <w:rFonts w:asciiTheme="majorHAnsi" w:eastAsiaTheme="majorEastAsia" w:hAnsiTheme="majorHAnsi" w:cstheme="majorBidi"/>
      <w:color w:val="2F5496" w:themeColor="accent1" w:themeShade="BF"/>
      <w:sz w:val="32"/>
      <w:szCs w:val="32"/>
      <w:lang w:eastAsia="es-MX"/>
    </w:rPr>
  </w:style>
  <w:style w:type="table" w:customStyle="1" w:styleId="TableNormal">
    <w:name w:val="Table Normal"/>
    <w:uiPriority w:val="2"/>
    <w:semiHidden/>
    <w:unhideWhenUsed/>
    <w:qFormat/>
    <w:rsid w:val="00B8408D"/>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408D"/>
    <w:pPr>
      <w:widowControl w:val="0"/>
      <w:autoSpaceDE w:val="0"/>
      <w:autoSpaceDN w:val="0"/>
      <w:ind w:left="107"/>
    </w:pPr>
    <w:rPr>
      <w:rFonts w:ascii="Arial" w:eastAsia="Arial" w:hAnsi="Arial" w:cs="Arial"/>
      <w:sz w:val="22"/>
      <w:szCs w:val="22"/>
      <w:lang w:val="es-ES" w:eastAsia="es-ES" w:bidi="es-ES"/>
    </w:rPr>
  </w:style>
  <w:style w:type="character" w:customStyle="1" w:styleId="NormalWebCar">
    <w:name w:val="Normal (Web) Car"/>
    <w:link w:val="NormalWeb"/>
    <w:uiPriority w:val="99"/>
    <w:rsid w:val="006E36F6"/>
    <w:rPr>
      <w:rFonts w:ascii="Times New Roman" w:eastAsia="Times New Roman" w:hAnsi="Times New Roman" w:cs="Times New Roman"/>
      <w:lang w:eastAsia="es-MX"/>
    </w:rPr>
  </w:style>
  <w:style w:type="paragraph" w:styleId="Revisin">
    <w:name w:val="Revision"/>
    <w:hidden/>
    <w:uiPriority w:val="99"/>
    <w:semiHidden/>
    <w:rsid w:val="00015F47"/>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79760047">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68529050">
      <w:bodyDiv w:val="1"/>
      <w:marLeft w:val="0"/>
      <w:marRight w:val="0"/>
      <w:marTop w:val="0"/>
      <w:marBottom w:val="0"/>
      <w:divBdr>
        <w:top w:val="none" w:sz="0" w:space="0" w:color="auto"/>
        <w:left w:val="none" w:sz="0" w:space="0" w:color="auto"/>
        <w:bottom w:val="none" w:sz="0" w:space="0" w:color="auto"/>
        <w:right w:val="none" w:sz="0" w:space="0" w:color="auto"/>
      </w:divBdr>
      <w:divsChild>
        <w:div w:id="1542283922">
          <w:marLeft w:val="0"/>
          <w:marRight w:val="0"/>
          <w:marTop w:val="0"/>
          <w:marBottom w:val="0"/>
          <w:divBdr>
            <w:top w:val="none" w:sz="0" w:space="0" w:color="auto"/>
            <w:left w:val="none" w:sz="0" w:space="0" w:color="auto"/>
            <w:bottom w:val="none" w:sz="0" w:space="0" w:color="auto"/>
            <w:right w:val="none" w:sz="0" w:space="0" w:color="auto"/>
          </w:divBdr>
          <w:divsChild>
            <w:div w:id="2051761181">
              <w:marLeft w:val="0"/>
              <w:marRight w:val="0"/>
              <w:marTop w:val="0"/>
              <w:marBottom w:val="0"/>
              <w:divBdr>
                <w:top w:val="none" w:sz="0" w:space="0" w:color="auto"/>
                <w:left w:val="none" w:sz="0" w:space="0" w:color="auto"/>
                <w:bottom w:val="none" w:sz="0" w:space="0" w:color="auto"/>
                <w:right w:val="none" w:sz="0" w:space="0" w:color="auto"/>
              </w:divBdr>
              <w:divsChild>
                <w:div w:id="12314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874738167">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038699974">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47695202">
      <w:bodyDiv w:val="1"/>
      <w:marLeft w:val="0"/>
      <w:marRight w:val="0"/>
      <w:marTop w:val="0"/>
      <w:marBottom w:val="0"/>
      <w:divBdr>
        <w:top w:val="none" w:sz="0" w:space="0" w:color="auto"/>
        <w:left w:val="none" w:sz="0" w:space="0" w:color="auto"/>
        <w:bottom w:val="none" w:sz="0" w:space="0" w:color="auto"/>
        <w:right w:val="none" w:sz="0" w:space="0" w:color="auto"/>
      </w:divBdr>
      <w:divsChild>
        <w:div w:id="15740106">
          <w:marLeft w:val="0"/>
          <w:marRight w:val="0"/>
          <w:marTop w:val="0"/>
          <w:marBottom w:val="0"/>
          <w:divBdr>
            <w:top w:val="none" w:sz="0" w:space="0" w:color="auto"/>
            <w:left w:val="none" w:sz="0" w:space="0" w:color="auto"/>
            <w:bottom w:val="none" w:sz="0" w:space="0" w:color="auto"/>
            <w:right w:val="none" w:sz="0" w:space="0" w:color="auto"/>
          </w:divBdr>
        </w:div>
      </w:divsChild>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2.xml><?xml version="1.0" encoding="utf-8"?>
<ds:datastoreItem xmlns:ds="http://schemas.openxmlformats.org/officeDocument/2006/customXml" ds:itemID="{B2B16CE3-A68C-4716-BC3A-9EBF917A5CA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986FD66-2417-42AA-936D-B10B1C42EFA6}">
  <ds:schemaRefs>
    <ds:schemaRef ds:uri="http://schemas.microsoft.com/sharepoint/v3/contenttype/forms"/>
  </ds:schemaRefs>
</ds:datastoreItem>
</file>

<file path=customXml/itemProps4.xml><?xml version="1.0" encoding="utf-8"?>
<ds:datastoreItem xmlns:ds="http://schemas.openxmlformats.org/officeDocument/2006/customXml" ds:itemID="{FEF2381E-0511-4786-8991-C97900E52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4295</Words>
  <Characters>23626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 BONILLA</cp:lastModifiedBy>
  <cp:revision>3</cp:revision>
  <dcterms:created xsi:type="dcterms:W3CDTF">2021-08-02T16:17:00Z</dcterms:created>
  <dcterms:modified xsi:type="dcterms:W3CDTF">2021-08-30T13:22:00Z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