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62F8" w14:textId="7FFAC4E9" w:rsidR="007F7C03" w:rsidRPr="0063204C" w:rsidRDefault="00A71CEA" w:rsidP="0063204C">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14:paraId="3E6509C7" w14:textId="77777777" w:rsidR="0031456F" w:rsidRDefault="0031456F" w:rsidP="00C33A69">
      <w:pPr>
        <w:spacing w:line="276" w:lineRule="auto"/>
        <w:rPr>
          <w:rFonts w:ascii="Arial" w:eastAsia="Calibri" w:hAnsi="Arial" w:cs="Arial"/>
          <w:b/>
          <w:color w:val="000000" w:themeColor="text1"/>
          <w:sz w:val="22"/>
        </w:rPr>
      </w:pPr>
    </w:p>
    <w:p w14:paraId="51AEC007" w14:textId="263DA738" w:rsidR="0098230F" w:rsidRDefault="00EE309B" w:rsidP="00C33A69">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 xml:space="preserve">CAPACIDAD RESIDUAL – </w:t>
      </w:r>
      <w:r w:rsidR="003221FB">
        <w:rPr>
          <w:rFonts w:ascii="Arial" w:eastAsia="Calibri" w:hAnsi="Arial" w:cs="Arial"/>
          <w:b/>
          <w:color w:val="000000" w:themeColor="text1"/>
          <w:sz w:val="22"/>
        </w:rPr>
        <w:t xml:space="preserve">Regulación </w:t>
      </w:r>
    </w:p>
    <w:p w14:paraId="6B315EF5" w14:textId="6014DFFA" w:rsidR="0098230F" w:rsidRPr="008B79F9" w:rsidRDefault="0098230F" w:rsidP="008B79F9">
      <w:pPr>
        <w:jc w:val="both"/>
        <w:rPr>
          <w:rFonts w:ascii="Arial" w:eastAsia="Calibri" w:hAnsi="Arial" w:cs="Arial"/>
          <w:b/>
          <w:color w:val="000000" w:themeColor="text1"/>
          <w:sz w:val="20"/>
          <w:szCs w:val="20"/>
        </w:rPr>
      </w:pPr>
    </w:p>
    <w:p w14:paraId="2B59AA55" w14:textId="2DA1E53D" w:rsidR="007328D2" w:rsidRDefault="007328D2" w:rsidP="007328D2">
      <w:pPr>
        <w:jc w:val="both"/>
        <w:rPr>
          <w:rFonts w:ascii="Arial" w:eastAsiaTheme="minorHAnsi" w:hAnsi="Arial" w:cs="Arial"/>
          <w:color w:val="000000" w:themeColor="text1"/>
          <w:sz w:val="20"/>
          <w:szCs w:val="20"/>
          <w:lang w:val="es-MX" w:eastAsia="en-US"/>
        </w:rPr>
      </w:pPr>
      <w:r>
        <w:rPr>
          <w:rFonts w:ascii="Arial" w:eastAsiaTheme="minorHAnsi" w:hAnsi="Arial" w:cs="Arial"/>
          <w:color w:val="000000" w:themeColor="text1"/>
          <w:sz w:val="20"/>
          <w:szCs w:val="20"/>
          <w:lang w:val="es-MX" w:eastAsia="en-US"/>
        </w:rPr>
        <w:t>L</w:t>
      </w:r>
      <w:r w:rsidRPr="007328D2">
        <w:rPr>
          <w:rFonts w:ascii="Arial" w:eastAsiaTheme="minorHAnsi" w:hAnsi="Arial" w:cs="Arial"/>
          <w:color w:val="000000" w:themeColor="text1"/>
          <w:sz w:val="20"/>
          <w:szCs w:val="20"/>
          <w:lang w:val="es-MX" w:eastAsia="en-US"/>
        </w:rPr>
        <w:t xml:space="preserve">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 la diferencia que existe entre el potencial de contratación que se tiene y los compromisos que haya adquirido y que se encuentren en ejecución, para la fecha de presentación de la oferta».En tales términos, la capacidad residual hace referencia a la suficiencia que tiene el proponente para asumir nuevas obligaciones que se derivan del contrato objeto del proceso de contratación, en relación con las obligaciones que ya adquirió frente a otros contratos. </w:t>
      </w:r>
    </w:p>
    <w:p w14:paraId="7F229F67" w14:textId="77777777" w:rsidR="007328D2" w:rsidRPr="007328D2" w:rsidRDefault="007328D2" w:rsidP="007328D2">
      <w:pPr>
        <w:jc w:val="both"/>
        <w:rPr>
          <w:rFonts w:ascii="Arial" w:eastAsiaTheme="minorHAnsi" w:hAnsi="Arial" w:cs="Arial"/>
          <w:color w:val="000000" w:themeColor="text1"/>
          <w:sz w:val="20"/>
          <w:szCs w:val="20"/>
          <w:lang w:val="es-MX" w:eastAsia="en-US"/>
        </w:rPr>
      </w:pPr>
    </w:p>
    <w:p w14:paraId="7F74A6D9" w14:textId="3EA6BB71" w:rsidR="00EE309B" w:rsidRPr="008B79F9" w:rsidRDefault="007328D2" w:rsidP="007328D2">
      <w:pPr>
        <w:jc w:val="both"/>
        <w:rPr>
          <w:rFonts w:ascii="Arial" w:eastAsia="Calibri" w:hAnsi="Arial" w:cs="Arial"/>
          <w:b/>
          <w:color w:val="000000" w:themeColor="text1"/>
          <w:sz w:val="20"/>
          <w:szCs w:val="20"/>
        </w:rPr>
      </w:pPr>
      <w:r w:rsidRPr="007328D2">
        <w:rPr>
          <w:rFonts w:ascii="Arial" w:eastAsiaTheme="minorHAnsi" w:hAnsi="Arial" w:cs="Arial"/>
          <w:color w:val="000000" w:themeColor="text1"/>
          <w:sz w:val="20"/>
          <w:szCs w:val="20"/>
          <w:lang w:val="es-MX" w:eastAsia="en-US"/>
        </w:rPr>
        <w:t xml:space="preserve">El artículo 6 de la Ley 1150 de 2007 estableció como condición «para poder participar en los procesos de selección de los contratos de obra, la capacidad residual del proponente o </w:t>
      </w:r>
      <w:r w:rsidRPr="007328D2">
        <w:rPr>
          <w:rFonts w:ascii="Arial" w:eastAsiaTheme="minorHAnsi" w:hAnsi="Arial" w:cs="Arial"/>
          <w:i/>
          <w:iCs/>
          <w:color w:val="000000" w:themeColor="text1"/>
          <w:sz w:val="20"/>
          <w:szCs w:val="20"/>
          <w:lang w:val="es-MX" w:eastAsia="en-US"/>
        </w:rPr>
        <w:t>K</w:t>
      </w:r>
      <w:r w:rsidRPr="007328D2">
        <w:rPr>
          <w:rFonts w:ascii="Arial" w:eastAsiaTheme="minorHAnsi" w:hAnsi="Arial" w:cs="Arial"/>
          <w:color w:val="000000" w:themeColor="text1"/>
          <w:sz w:val="20"/>
          <w:szCs w:val="20"/>
          <w:lang w:val="es-MX" w:eastAsia="en-US"/>
        </w:rPr>
        <w:t xml:space="preserve"> de contratación»</w:t>
      </w:r>
    </w:p>
    <w:p w14:paraId="68ED569B" w14:textId="35E4828A" w:rsidR="0098230F" w:rsidRDefault="0098230F" w:rsidP="00C33A69">
      <w:pPr>
        <w:spacing w:line="276" w:lineRule="auto"/>
        <w:rPr>
          <w:rFonts w:ascii="Arial" w:eastAsia="Calibri" w:hAnsi="Arial" w:cs="Arial"/>
          <w:b/>
          <w:color w:val="000000" w:themeColor="text1"/>
          <w:sz w:val="22"/>
        </w:rPr>
      </w:pPr>
    </w:p>
    <w:p w14:paraId="38E30DC1" w14:textId="1B04C663" w:rsidR="001C068E" w:rsidRDefault="001C068E" w:rsidP="00C33A69">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REQUISITOS HABILITANTES –</w:t>
      </w:r>
      <w:r w:rsidR="007328D2">
        <w:rPr>
          <w:rFonts w:ascii="Arial" w:eastAsia="Calibri" w:hAnsi="Arial" w:cs="Arial"/>
          <w:b/>
          <w:color w:val="000000" w:themeColor="text1"/>
          <w:sz w:val="22"/>
        </w:rPr>
        <w:t xml:space="preserve">EXPERIENCIA – Calculo </w:t>
      </w:r>
    </w:p>
    <w:p w14:paraId="5B7B8B6F" w14:textId="77777777" w:rsidR="001C068E" w:rsidRDefault="001C068E" w:rsidP="00C33A69">
      <w:pPr>
        <w:spacing w:line="276" w:lineRule="auto"/>
        <w:rPr>
          <w:rFonts w:ascii="Arial" w:eastAsia="Calibri" w:hAnsi="Arial" w:cs="Arial"/>
          <w:b/>
          <w:color w:val="000000" w:themeColor="text1"/>
          <w:sz w:val="22"/>
        </w:rPr>
      </w:pPr>
    </w:p>
    <w:p w14:paraId="3A7C89B5" w14:textId="0D33C6E2" w:rsidR="007328D2" w:rsidRPr="007328D2" w:rsidRDefault="007328D2" w:rsidP="007328D2">
      <w:pPr>
        <w:spacing w:before="120" w:after="120"/>
        <w:jc w:val="both"/>
        <w:rPr>
          <w:rFonts w:ascii="Arial" w:hAnsi="Arial" w:cs="Arial"/>
          <w:color w:val="000000" w:themeColor="text1"/>
          <w:sz w:val="20"/>
          <w:szCs w:val="20"/>
        </w:rPr>
      </w:pPr>
      <w:r w:rsidRPr="007328D2">
        <w:rPr>
          <w:rFonts w:ascii="Arial" w:hAnsi="Arial" w:cs="Arial"/>
          <w:color w:val="000000" w:themeColor="text1"/>
          <w:sz w:val="20"/>
          <w:szCs w:val="20"/>
        </w:rPr>
        <w:t>Respecto de factor de experiencia (</w:t>
      </w:r>
      <w:r w:rsidRPr="007328D2">
        <w:rPr>
          <w:rFonts w:ascii="Arial" w:hAnsi="Arial" w:cs="Arial"/>
          <w:i/>
          <w:iCs/>
          <w:color w:val="000000" w:themeColor="text1"/>
          <w:sz w:val="20"/>
          <w:szCs w:val="20"/>
        </w:rPr>
        <w:t>E</w:t>
      </w:r>
      <w:r w:rsidRPr="007328D2">
        <w:rPr>
          <w:rFonts w:ascii="Arial" w:hAnsi="Arial" w:cs="Arial"/>
          <w:color w:val="000000" w:themeColor="text1"/>
          <w:sz w:val="20"/>
          <w:szCs w:val="20"/>
        </w:rPr>
        <w:t xml:space="preserve"> ), esta Agencia, en la </w:t>
      </w:r>
      <w:r w:rsidRPr="007328D2">
        <w:rPr>
          <w:rFonts w:ascii="Arial" w:hAnsi="Arial" w:cs="Arial"/>
          <w:i/>
          <w:iCs/>
          <w:color w:val="000000" w:themeColor="text1"/>
          <w:sz w:val="20"/>
          <w:szCs w:val="20"/>
        </w:rPr>
        <w:t>Guía para Determinar y Verificar la Capacidad Residual del Proponente en los Procesos de Contratación de Obra Pública</w:t>
      </w:r>
      <w:r w:rsidRPr="007328D2">
        <w:rPr>
          <w:rFonts w:ascii="Arial" w:hAnsi="Arial" w:cs="Arial"/>
          <w:color w:val="000000" w:themeColor="text1"/>
          <w:sz w:val="20"/>
          <w:szCs w:val="20"/>
        </w:rPr>
        <w:t xml:space="preserve"> estableció una fórmula particular para su cálculo. Esta se obtiene realizando una operación aritmética de división  del valor total en pesos de los contratos que figuran en el RUP, entre el presupuesto oficial estimado del procedimiento contractual. El cociente de esta operación «[…] indica el número de veces que el proponente ha ejecutado contratos equivalentes a la cuantía del Proceso de Contratación objeto de la acreditación de la Capacidad Residual».</w:t>
      </w:r>
    </w:p>
    <w:p w14:paraId="166178C3" w14:textId="3C73F407" w:rsidR="007328D2" w:rsidRPr="007328D2" w:rsidRDefault="007328D2" w:rsidP="007328D2">
      <w:pPr>
        <w:spacing w:before="120" w:after="120"/>
        <w:jc w:val="both"/>
        <w:rPr>
          <w:rFonts w:ascii="Arial" w:hAnsi="Arial" w:cs="Arial"/>
          <w:color w:val="000000" w:themeColor="text1"/>
          <w:sz w:val="20"/>
          <w:szCs w:val="20"/>
        </w:rPr>
      </w:pPr>
      <w:r w:rsidRPr="007328D2">
        <w:rPr>
          <w:rFonts w:ascii="Arial" w:hAnsi="Arial" w:cs="Arial"/>
          <w:color w:val="000000" w:themeColor="text1"/>
          <w:sz w:val="20"/>
          <w:szCs w:val="20"/>
        </w:rPr>
        <w:t xml:space="preserve">Debe advertirse que, para el cálculo del factor de experiencia (E), el proponente debe diligenciar el formato correspondiente al Anexo 1 de la referida Guía. Dicho anexo consiste en una tabla en la que deben identificarse los contratos inscritos en el RUP del proponente en el segmento 72 del Clasificador UNSPSC –correspondiente a </w:t>
      </w:r>
      <w:r w:rsidRPr="007328D2">
        <w:rPr>
          <w:rFonts w:ascii="Arial" w:hAnsi="Arial" w:cs="Arial"/>
          <w:color w:val="000000"/>
          <w:sz w:val="20"/>
          <w:szCs w:val="20"/>
          <w:bdr w:val="none" w:sz="0" w:space="0" w:color="auto" w:frame="1"/>
        </w:rPr>
        <w:t>“Servicios de Edificación, Construcción de Instalaciones y Mantenimiento”–</w:t>
      </w:r>
      <w:r w:rsidRPr="007328D2">
        <w:rPr>
          <w:rFonts w:ascii="Arial" w:hAnsi="Arial" w:cs="Arial"/>
          <w:color w:val="000000" w:themeColor="text1"/>
          <w:sz w:val="20"/>
          <w:szCs w:val="20"/>
        </w:rPr>
        <w:t>, su valor total en pesos colombianos liquidados con el SMMLV y el porcentaje de participación del proponente en la ejecución de cada uno de estos contratos. Tratándose de personas jurídicas con existencia inferior a tres (3) años, de conformidad con lo dispuesto en el numeral 2.5 del artículo 2.2.1.1.1.5.2. del Decreto 1082 de 2015 es posible que las mismas acrediten la experiencia de sus accionistas, socios o constituyentes, por lo que podrán tenerse en cuenta para el calculo de la capacidad residual.</w:t>
      </w:r>
    </w:p>
    <w:p w14:paraId="2BF5973E" w14:textId="77777777" w:rsidR="001C068E" w:rsidRDefault="001C068E" w:rsidP="00C33A69">
      <w:pPr>
        <w:spacing w:line="276" w:lineRule="auto"/>
        <w:rPr>
          <w:rFonts w:ascii="Arial" w:eastAsia="Calibri" w:hAnsi="Arial" w:cs="Arial"/>
          <w:b/>
          <w:color w:val="000000" w:themeColor="text1"/>
          <w:sz w:val="22"/>
        </w:rPr>
      </w:pPr>
    </w:p>
    <w:p w14:paraId="419515E6" w14:textId="77777777" w:rsidR="00EE309B" w:rsidRDefault="00EE309B" w:rsidP="00C33A69">
      <w:pPr>
        <w:spacing w:line="276" w:lineRule="auto"/>
        <w:rPr>
          <w:rFonts w:ascii="Arial" w:eastAsia="Calibri" w:hAnsi="Arial" w:cs="Arial"/>
          <w:b/>
          <w:color w:val="000000" w:themeColor="text1"/>
          <w:sz w:val="22"/>
        </w:rPr>
      </w:pPr>
    </w:p>
    <w:p w14:paraId="2FD6E0D6" w14:textId="77777777" w:rsidR="00EE309B" w:rsidRDefault="00EE309B" w:rsidP="00C33A69">
      <w:pPr>
        <w:spacing w:line="276" w:lineRule="auto"/>
        <w:rPr>
          <w:rFonts w:ascii="Arial" w:eastAsia="Calibri" w:hAnsi="Arial" w:cs="Arial"/>
          <w:b/>
          <w:color w:val="000000" w:themeColor="text1"/>
          <w:sz w:val="22"/>
        </w:rPr>
      </w:pPr>
    </w:p>
    <w:p w14:paraId="7D42BBF3" w14:textId="043153A4" w:rsidR="0098230F" w:rsidRDefault="0098230F" w:rsidP="00C33A69">
      <w:pPr>
        <w:spacing w:line="276" w:lineRule="auto"/>
        <w:rPr>
          <w:rFonts w:ascii="Arial" w:eastAsia="Calibri" w:hAnsi="Arial" w:cs="Arial"/>
          <w:b/>
          <w:color w:val="000000" w:themeColor="text1"/>
          <w:sz w:val="22"/>
        </w:rPr>
      </w:pPr>
    </w:p>
    <w:p w14:paraId="73625F84" w14:textId="1FF739D9" w:rsidR="0098230F" w:rsidRDefault="0098230F" w:rsidP="00C33A69">
      <w:pPr>
        <w:spacing w:line="276" w:lineRule="auto"/>
        <w:rPr>
          <w:rFonts w:ascii="Arial" w:eastAsia="Calibri" w:hAnsi="Arial" w:cs="Arial"/>
          <w:b/>
          <w:color w:val="000000" w:themeColor="text1"/>
          <w:sz w:val="22"/>
        </w:rPr>
      </w:pPr>
    </w:p>
    <w:p w14:paraId="6A730D13" w14:textId="0308016E" w:rsidR="0098230F" w:rsidRDefault="0098230F" w:rsidP="00C33A69">
      <w:pPr>
        <w:spacing w:line="276" w:lineRule="auto"/>
        <w:rPr>
          <w:rFonts w:ascii="Arial" w:eastAsia="Calibri" w:hAnsi="Arial" w:cs="Arial"/>
          <w:b/>
          <w:color w:val="000000" w:themeColor="text1"/>
          <w:sz w:val="22"/>
        </w:rPr>
      </w:pPr>
    </w:p>
    <w:p w14:paraId="652B8936" w14:textId="523BDBEC" w:rsidR="0031456F" w:rsidRDefault="0031456F" w:rsidP="00C33A69">
      <w:pPr>
        <w:spacing w:line="276" w:lineRule="auto"/>
        <w:rPr>
          <w:rFonts w:ascii="Arial" w:eastAsia="Calibri" w:hAnsi="Arial" w:cs="Arial"/>
          <w:b/>
          <w:color w:val="000000" w:themeColor="text1"/>
          <w:sz w:val="22"/>
        </w:rPr>
      </w:pPr>
    </w:p>
    <w:p w14:paraId="76FB53C3" w14:textId="22C96630" w:rsidR="0098230F" w:rsidRDefault="0098230F" w:rsidP="00C33A69">
      <w:pPr>
        <w:spacing w:line="276" w:lineRule="auto"/>
        <w:rPr>
          <w:rFonts w:ascii="Arial" w:eastAsia="Calibri" w:hAnsi="Arial" w:cs="Arial"/>
          <w:b/>
          <w:color w:val="000000" w:themeColor="text1"/>
          <w:sz w:val="22"/>
        </w:rPr>
      </w:pPr>
    </w:p>
    <w:p w14:paraId="23620D24" w14:textId="0CC22C1A" w:rsidR="0098230F" w:rsidRDefault="0098230F" w:rsidP="00C33A69">
      <w:pPr>
        <w:spacing w:line="276" w:lineRule="auto"/>
        <w:rPr>
          <w:rFonts w:ascii="Arial" w:eastAsia="Calibri" w:hAnsi="Arial" w:cs="Arial"/>
          <w:b/>
          <w:color w:val="000000" w:themeColor="text1"/>
          <w:sz w:val="22"/>
        </w:rPr>
      </w:pPr>
    </w:p>
    <w:p w14:paraId="4AB7D070" w14:textId="7F33A592" w:rsidR="00304325" w:rsidRPr="00304325" w:rsidRDefault="00304325" w:rsidP="00076B68">
      <w:pPr>
        <w:jc w:val="right"/>
      </w:pPr>
      <w:r w:rsidRPr="00304325">
        <w:lastRenderedPageBreak/>
        <w:fldChar w:fldCharType="begin"/>
      </w:r>
      <w:r w:rsidRPr="00304325">
        <w:instrText xml:space="preserve"> INCLUDEPICTURE "/var/folders/tb/0fmk9b510f57pz5rwhv8lnpw0000gp/T/com.microsoft.Word/WebArchiveCopyPasteTempFiles/page1image38802096" \* MERGEFORMATINET </w:instrText>
      </w:r>
      <w:r w:rsidRPr="00304325">
        <w:fldChar w:fldCharType="separate"/>
      </w:r>
      <w:r w:rsidRPr="00304325">
        <w:rPr>
          <w:noProof/>
        </w:rPr>
        <w:drawing>
          <wp:inline distT="0" distB="0" distL="0" distR="0" wp14:anchorId="5FDD5FFA" wp14:editId="4A10BD1C">
            <wp:extent cx="2406015" cy="613410"/>
            <wp:effectExtent l="0" t="0" r="0" b="0"/>
            <wp:docPr id="5" name="Imagen 5" descr="page1image3880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8020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6015" cy="613410"/>
                    </a:xfrm>
                    <a:prstGeom prst="rect">
                      <a:avLst/>
                    </a:prstGeom>
                    <a:noFill/>
                    <a:ln>
                      <a:noFill/>
                    </a:ln>
                  </pic:spPr>
                </pic:pic>
              </a:graphicData>
            </a:graphic>
          </wp:inline>
        </w:drawing>
      </w:r>
      <w:r w:rsidRPr="00304325">
        <w:fldChar w:fldCharType="end"/>
      </w:r>
    </w:p>
    <w:p w14:paraId="67BD63DA" w14:textId="5BBE269A" w:rsidR="00C33A69" w:rsidRDefault="00C33A69" w:rsidP="00C33A69">
      <w:pPr>
        <w:spacing w:line="276" w:lineRule="auto"/>
        <w:jc w:val="right"/>
        <w:rPr>
          <w:rFonts w:ascii="Arial" w:hAnsi="Arial" w:cs="Arial"/>
          <w:b/>
          <w:bCs/>
          <w:sz w:val="22"/>
        </w:rPr>
      </w:pPr>
    </w:p>
    <w:p w14:paraId="28DBDC28" w14:textId="77777777" w:rsidR="0061648F" w:rsidRDefault="0061648F" w:rsidP="00C33A69">
      <w:pPr>
        <w:spacing w:line="276" w:lineRule="auto"/>
        <w:jc w:val="right"/>
        <w:rPr>
          <w:rFonts w:ascii="Arial" w:hAnsi="Arial" w:cs="Arial"/>
          <w:b/>
          <w:bCs/>
          <w:sz w:val="22"/>
        </w:rPr>
      </w:pPr>
    </w:p>
    <w:p w14:paraId="67AC7ECE" w14:textId="021102CF" w:rsidR="00C33A69" w:rsidRDefault="00C33A69" w:rsidP="00C33A69">
      <w:pPr>
        <w:rPr>
          <w:rFonts w:ascii="Arial" w:eastAsia="Calibri" w:hAnsi="Arial" w:cs="Arial"/>
          <w:color w:val="000000" w:themeColor="text1"/>
          <w:sz w:val="22"/>
        </w:rPr>
      </w:pPr>
      <w:r w:rsidRPr="001B0D3D">
        <w:rPr>
          <w:rFonts w:ascii="Arial" w:eastAsia="Calibri" w:hAnsi="Arial" w:cs="Arial"/>
          <w:color w:val="000000" w:themeColor="text1"/>
          <w:sz w:val="22"/>
        </w:rPr>
        <w:t>Señor</w:t>
      </w:r>
      <w:r w:rsidR="003C1F96">
        <w:rPr>
          <w:rFonts w:ascii="Arial" w:eastAsia="Calibri" w:hAnsi="Arial" w:cs="Arial"/>
          <w:color w:val="000000" w:themeColor="text1"/>
          <w:sz w:val="22"/>
        </w:rPr>
        <w:t>a</w:t>
      </w:r>
    </w:p>
    <w:p w14:paraId="4F9DF387" w14:textId="1B6CAE9F" w:rsidR="003C1F96" w:rsidRPr="0093085B" w:rsidRDefault="00304325" w:rsidP="00C33A69">
      <w:pPr>
        <w:rPr>
          <w:rFonts w:ascii="Arial" w:eastAsia="Calibri" w:hAnsi="Arial" w:cs="Arial"/>
          <w:b/>
          <w:bCs/>
          <w:color w:val="000000" w:themeColor="text1"/>
          <w:sz w:val="22"/>
        </w:rPr>
      </w:pPr>
      <w:r>
        <w:rPr>
          <w:rFonts w:ascii="Arial" w:eastAsia="Calibri" w:hAnsi="Arial" w:cs="Arial"/>
          <w:b/>
          <w:bCs/>
          <w:color w:val="000000" w:themeColor="text1"/>
          <w:sz w:val="22"/>
        </w:rPr>
        <w:t>XXXX</w:t>
      </w:r>
    </w:p>
    <w:p w14:paraId="3BB8E2E5" w14:textId="47619F59" w:rsidR="00C33A69" w:rsidRPr="001B0D3D" w:rsidRDefault="005621EE" w:rsidP="00C33A69">
      <w:pPr>
        <w:rPr>
          <w:rFonts w:ascii="Arial" w:eastAsia="Calibri" w:hAnsi="Arial" w:cs="Arial"/>
          <w:color w:val="000000" w:themeColor="text1"/>
          <w:sz w:val="22"/>
        </w:rPr>
      </w:pPr>
      <w:r>
        <w:rPr>
          <w:rFonts w:ascii="Arial" w:eastAsia="Calibri" w:hAnsi="Arial" w:cs="Arial"/>
          <w:color w:val="000000" w:themeColor="text1"/>
          <w:sz w:val="22"/>
        </w:rPr>
        <w:t xml:space="preserve">Vijes, Valle del Cauca </w:t>
      </w:r>
    </w:p>
    <w:p w14:paraId="3EE54747" w14:textId="77777777" w:rsidR="00C33A69" w:rsidRPr="001B0D3D" w:rsidRDefault="00C33A69" w:rsidP="00C33A69">
      <w:pPr>
        <w:rPr>
          <w:rFonts w:ascii="Arial" w:eastAsia="Calibri" w:hAnsi="Arial" w:cs="Arial"/>
          <w:color w:val="000000" w:themeColor="text1"/>
          <w:sz w:val="22"/>
        </w:rPr>
      </w:pPr>
    </w:p>
    <w:p w14:paraId="5A1EF225" w14:textId="77777777" w:rsidR="00667FCB" w:rsidRPr="001B0D3D" w:rsidRDefault="00667FCB" w:rsidP="00667FCB">
      <w:pPr>
        <w:rPr>
          <w:rFonts w:ascii="Arial" w:eastAsia="Calibri" w:hAnsi="Arial" w:cs="Arial"/>
          <w:b/>
          <w:color w:val="000000" w:themeColor="text1"/>
          <w:sz w:val="22"/>
        </w:rPr>
      </w:pPr>
    </w:p>
    <w:p w14:paraId="110710E1" w14:textId="072AF892" w:rsidR="00C33A69" w:rsidRPr="001B0D3D" w:rsidRDefault="00C33A69" w:rsidP="003221FB">
      <w:pPr>
        <w:ind w:left="2124" w:firstLine="570"/>
        <w:rPr>
          <w:rFonts w:ascii="Arial" w:eastAsia="Calibri" w:hAnsi="Arial" w:cs="Arial"/>
          <w:b/>
          <w:color w:val="000000" w:themeColor="text1"/>
          <w:sz w:val="22"/>
        </w:rPr>
      </w:pPr>
      <w:r>
        <w:rPr>
          <w:rFonts w:ascii="Arial" w:eastAsia="Calibri" w:hAnsi="Arial" w:cs="Arial"/>
          <w:b/>
          <w:color w:val="000000" w:themeColor="text1"/>
          <w:sz w:val="22"/>
        </w:rPr>
        <w:t>Concepto C</w:t>
      </w:r>
      <w:r w:rsidR="0098230F">
        <w:rPr>
          <w:rFonts w:ascii="Arial" w:eastAsia="Calibri" w:hAnsi="Arial" w:cs="Arial"/>
          <w:b/>
          <w:color w:val="000000" w:themeColor="text1"/>
          <w:sz w:val="22"/>
        </w:rPr>
        <w:t>–</w:t>
      </w:r>
      <w:r>
        <w:rPr>
          <w:rFonts w:ascii="Arial" w:eastAsia="Calibri" w:hAnsi="Arial" w:cs="Arial"/>
          <w:b/>
          <w:color w:val="000000" w:themeColor="text1"/>
          <w:sz w:val="22"/>
        </w:rPr>
        <w:t>3</w:t>
      </w:r>
      <w:r w:rsidR="005621EE">
        <w:rPr>
          <w:rFonts w:ascii="Arial" w:eastAsia="Calibri" w:hAnsi="Arial" w:cs="Arial"/>
          <w:b/>
          <w:color w:val="000000" w:themeColor="text1"/>
          <w:sz w:val="22"/>
        </w:rPr>
        <w:t>68</w:t>
      </w:r>
      <w:r>
        <w:rPr>
          <w:rFonts w:ascii="Arial" w:eastAsia="Calibri" w:hAnsi="Arial" w:cs="Arial"/>
          <w:b/>
          <w:color w:val="000000" w:themeColor="text1"/>
          <w:sz w:val="22"/>
        </w:rPr>
        <w:t xml:space="preserve"> de 2021 </w:t>
      </w:r>
    </w:p>
    <w:p w14:paraId="5530D2AD" w14:textId="77777777" w:rsidR="00667FCB" w:rsidRPr="001B0D3D" w:rsidRDefault="00667FCB" w:rsidP="00C33A69">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33A69" w:rsidRPr="0063204C" w14:paraId="098B1F4D" w14:textId="77777777" w:rsidTr="003221FB">
        <w:trPr>
          <w:trHeight w:val="513"/>
        </w:trPr>
        <w:tc>
          <w:tcPr>
            <w:tcW w:w="2689" w:type="dxa"/>
          </w:tcPr>
          <w:p w14:paraId="5400FE7E" w14:textId="77777777" w:rsidR="00C33A69" w:rsidRPr="001B0D3D" w:rsidRDefault="00C33A69" w:rsidP="007C6F1C">
            <w:pPr>
              <w:rPr>
                <w:rFonts w:ascii="Arial" w:eastAsia="Calibri" w:hAnsi="Arial" w:cs="Arial"/>
                <w:color w:val="000000" w:themeColor="text1"/>
              </w:rPr>
            </w:pPr>
            <w:r w:rsidRPr="001B0D3D">
              <w:rPr>
                <w:rFonts w:ascii="Arial" w:eastAsia="Calibri" w:hAnsi="Arial" w:cs="Arial"/>
                <w:b/>
                <w:color w:val="000000" w:themeColor="text1"/>
              </w:rPr>
              <w:t>Temas:</w:t>
            </w:r>
            <w:r w:rsidRPr="001B0D3D">
              <w:rPr>
                <w:rFonts w:ascii="Arial" w:eastAsia="Calibri" w:hAnsi="Arial" w:cs="Arial"/>
                <w:color w:val="000000" w:themeColor="text1"/>
              </w:rPr>
              <w:t xml:space="preserve">                                      </w:t>
            </w:r>
          </w:p>
        </w:tc>
        <w:tc>
          <w:tcPr>
            <w:tcW w:w="6237" w:type="dxa"/>
          </w:tcPr>
          <w:p w14:paraId="61836A1F" w14:textId="0F6E243C" w:rsidR="0093085B" w:rsidRPr="003221FB" w:rsidRDefault="0031456F" w:rsidP="003221FB">
            <w:pPr>
              <w:spacing w:line="276" w:lineRule="auto"/>
              <w:jc w:val="both"/>
              <w:rPr>
                <w:rFonts w:ascii="Arial" w:eastAsia="Calibri" w:hAnsi="Arial" w:cs="Arial"/>
                <w:b/>
                <w:color w:val="000000" w:themeColor="text1"/>
              </w:rPr>
            </w:pPr>
            <w:r>
              <w:rPr>
                <w:rFonts w:ascii="Arial" w:eastAsia="Calibri" w:hAnsi="Arial" w:cs="Arial"/>
                <w:bCs/>
                <w:color w:val="000000" w:themeColor="text1"/>
              </w:rPr>
              <w:softHyphen/>
            </w:r>
            <w:r>
              <w:rPr>
                <w:rFonts w:ascii="Arial" w:eastAsia="Calibri" w:hAnsi="Arial" w:cs="Arial"/>
                <w:bCs/>
                <w:color w:val="000000" w:themeColor="text1"/>
              </w:rPr>
              <w:softHyphen/>
            </w:r>
            <w:r>
              <w:rPr>
                <w:rFonts w:ascii="Arial" w:eastAsia="Calibri" w:hAnsi="Arial" w:cs="Arial"/>
                <w:bCs/>
                <w:color w:val="000000" w:themeColor="text1"/>
              </w:rPr>
              <w:softHyphen/>
            </w:r>
            <w:r w:rsidR="001C068E" w:rsidRPr="008B79F9">
              <w:rPr>
                <w:rFonts w:ascii="Arial" w:eastAsia="Calibri" w:hAnsi="Arial" w:cs="Arial"/>
                <w:bCs/>
                <w:color w:val="000000" w:themeColor="text1"/>
              </w:rPr>
              <w:t xml:space="preserve">CAPACIDAD RESIDUAL – </w:t>
            </w:r>
            <w:r w:rsidR="003221FB">
              <w:rPr>
                <w:rFonts w:ascii="Arial" w:eastAsia="Calibri" w:hAnsi="Arial" w:cs="Arial"/>
                <w:bCs/>
                <w:color w:val="000000" w:themeColor="text1"/>
              </w:rPr>
              <w:t>R</w:t>
            </w:r>
            <w:r w:rsidR="003221FB" w:rsidRPr="008B79F9">
              <w:rPr>
                <w:rFonts w:ascii="Arial" w:eastAsia="Calibri" w:hAnsi="Arial" w:cs="Arial"/>
                <w:bCs/>
                <w:color w:val="000000" w:themeColor="text1"/>
              </w:rPr>
              <w:t xml:space="preserve">egulación </w:t>
            </w:r>
            <w:r w:rsidR="001C068E" w:rsidRPr="008B79F9">
              <w:rPr>
                <w:rFonts w:ascii="Arial" w:eastAsia="Calibri" w:hAnsi="Arial" w:cs="Arial"/>
                <w:bCs/>
                <w:color w:val="000000" w:themeColor="text1"/>
              </w:rPr>
              <w:t xml:space="preserve">/ REQUISITOS HABILITANTES – </w:t>
            </w:r>
            <w:r w:rsidR="003221FB">
              <w:rPr>
                <w:rFonts w:ascii="Arial" w:eastAsia="Calibri" w:hAnsi="Arial" w:cs="Arial"/>
                <w:bCs/>
                <w:color w:val="000000" w:themeColor="text1"/>
              </w:rPr>
              <w:t>E</w:t>
            </w:r>
            <w:r w:rsidR="003221FB" w:rsidRPr="008B79F9">
              <w:rPr>
                <w:rFonts w:ascii="Arial" w:eastAsia="Calibri" w:hAnsi="Arial" w:cs="Arial"/>
                <w:bCs/>
                <w:color w:val="000000" w:themeColor="text1"/>
              </w:rPr>
              <w:t xml:space="preserve">xperiencia </w:t>
            </w:r>
            <w:r w:rsidR="001C068E" w:rsidRPr="008B79F9">
              <w:rPr>
                <w:rFonts w:ascii="Arial" w:eastAsia="Calibri" w:hAnsi="Arial" w:cs="Arial"/>
                <w:bCs/>
                <w:color w:val="000000" w:themeColor="text1"/>
              </w:rPr>
              <w:t xml:space="preserve">/ EXPERIENCIA – </w:t>
            </w:r>
            <w:r w:rsidR="00DA10B6">
              <w:rPr>
                <w:rFonts w:ascii="Arial" w:eastAsia="Calibri" w:hAnsi="Arial" w:cs="Arial"/>
                <w:bCs/>
                <w:color w:val="000000" w:themeColor="text1"/>
              </w:rPr>
              <w:t>C</w:t>
            </w:r>
            <w:r w:rsidR="003221FB">
              <w:rPr>
                <w:rFonts w:ascii="Arial" w:eastAsia="Calibri" w:hAnsi="Arial" w:cs="Arial"/>
                <w:bCs/>
                <w:color w:val="000000" w:themeColor="text1"/>
              </w:rPr>
              <w:t>á</w:t>
            </w:r>
            <w:r w:rsidR="003221FB" w:rsidRPr="008B79F9">
              <w:rPr>
                <w:rFonts w:ascii="Arial" w:eastAsia="Calibri" w:hAnsi="Arial" w:cs="Arial"/>
                <w:bCs/>
                <w:color w:val="000000" w:themeColor="text1"/>
              </w:rPr>
              <w:t>lculo</w:t>
            </w:r>
          </w:p>
        </w:tc>
      </w:tr>
      <w:tr w:rsidR="00C33A69" w:rsidRPr="001B0D3D" w14:paraId="7050D2D2" w14:textId="77777777" w:rsidTr="007C6F1C">
        <w:tc>
          <w:tcPr>
            <w:tcW w:w="2689" w:type="dxa"/>
          </w:tcPr>
          <w:p w14:paraId="393C8000" w14:textId="77777777" w:rsidR="00C33A69" w:rsidRPr="001B0D3D" w:rsidRDefault="00C33A69" w:rsidP="007C6F1C">
            <w:pPr>
              <w:rPr>
                <w:rFonts w:ascii="Arial" w:eastAsia="Calibri" w:hAnsi="Arial" w:cs="Arial"/>
                <w:color w:val="000000" w:themeColor="text1"/>
              </w:rPr>
            </w:pPr>
            <w:r w:rsidRPr="001B0D3D">
              <w:rPr>
                <w:rFonts w:ascii="Arial" w:eastAsia="Calibri" w:hAnsi="Arial" w:cs="Arial"/>
                <w:b/>
                <w:color w:val="000000" w:themeColor="text1"/>
              </w:rPr>
              <w:t>Radicación:</w:t>
            </w:r>
            <w:r w:rsidRPr="001B0D3D">
              <w:rPr>
                <w:rFonts w:ascii="Arial" w:eastAsia="Calibri" w:hAnsi="Arial" w:cs="Arial"/>
                <w:color w:val="000000" w:themeColor="text1"/>
              </w:rPr>
              <w:t xml:space="preserve">                              </w:t>
            </w:r>
          </w:p>
        </w:tc>
        <w:tc>
          <w:tcPr>
            <w:tcW w:w="6237" w:type="dxa"/>
          </w:tcPr>
          <w:p w14:paraId="61074E39" w14:textId="3C1BE53D" w:rsidR="00C33A69" w:rsidRPr="001B0D3D" w:rsidRDefault="00C33A69" w:rsidP="003221FB">
            <w:pPr>
              <w:jc w:val="both"/>
              <w:rPr>
                <w:rFonts w:ascii="Arial" w:eastAsia="Calibri" w:hAnsi="Arial" w:cs="Arial"/>
                <w:color w:val="000000" w:themeColor="text1"/>
              </w:rPr>
            </w:pPr>
            <w:r w:rsidRPr="001B0D3D">
              <w:rPr>
                <w:rFonts w:ascii="Arial" w:eastAsia="Calibri" w:hAnsi="Arial" w:cs="Arial"/>
                <w:color w:val="000000" w:themeColor="text1"/>
              </w:rPr>
              <w:t xml:space="preserve">Respuesta a consulta </w:t>
            </w:r>
            <w:r>
              <w:rPr>
                <w:rFonts w:ascii="Arial" w:eastAsia="Calibri" w:hAnsi="Arial" w:cs="Arial"/>
                <w:color w:val="000000" w:themeColor="text1"/>
              </w:rPr>
              <w:t>P20210</w:t>
            </w:r>
            <w:r w:rsidR="003C1F96">
              <w:rPr>
                <w:rFonts w:ascii="Arial" w:eastAsia="Calibri" w:hAnsi="Arial" w:cs="Arial"/>
                <w:color w:val="000000" w:themeColor="text1"/>
              </w:rPr>
              <w:t>61</w:t>
            </w:r>
            <w:r>
              <w:rPr>
                <w:rFonts w:ascii="Arial" w:eastAsia="Calibri" w:hAnsi="Arial" w:cs="Arial"/>
                <w:color w:val="000000" w:themeColor="text1"/>
              </w:rPr>
              <w:t>0</w:t>
            </w:r>
            <w:r w:rsidR="005621EE">
              <w:rPr>
                <w:rFonts w:ascii="Arial" w:eastAsia="Calibri" w:hAnsi="Arial" w:cs="Arial"/>
                <w:color w:val="000000" w:themeColor="text1"/>
              </w:rPr>
              <w:t>0</w:t>
            </w:r>
            <w:r>
              <w:rPr>
                <w:rFonts w:ascii="Arial" w:eastAsia="Calibri" w:hAnsi="Arial" w:cs="Arial"/>
                <w:color w:val="000000" w:themeColor="text1"/>
              </w:rPr>
              <w:t>0</w:t>
            </w:r>
            <w:r w:rsidR="003C1F96">
              <w:rPr>
                <w:rFonts w:ascii="Arial" w:eastAsia="Calibri" w:hAnsi="Arial" w:cs="Arial"/>
                <w:color w:val="000000" w:themeColor="text1"/>
              </w:rPr>
              <w:t>5</w:t>
            </w:r>
            <w:r w:rsidR="005621EE">
              <w:rPr>
                <w:rFonts w:ascii="Arial" w:eastAsia="Calibri" w:hAnsi="Arial" w:cs="Arial"/>
                <w:color w:val="000000" w:themeColor="text1"/>
              </w:rPr>
              <w:t>132</w:t>
            </w:r>
          </w:p>
        </w:tc>
      </w:tr>
    </w:tbl>
    <w:p w14:paraId="67B4B4A1" w14:textId="77777777" w:rsidR="00C33A69" w:rsidRDefault="00C33A69" w:rsidP="00C33A69">
      <w:pPr>
        <w:spacing w:line="276" w:lineRule="auto"/>
        <w:rPr>
          <w:rFonts w:ascii="Arial" w:eastAsia="Calibri" w:hAnsi="Arial" w:cs="Arial"/>
          <w:color w:val="000000" w:themeColor="text1"/>
          <w:sz w:val="22"/>
        </w:rPr>
      </w:pPr>
    </w:p>
    <w:p w14:paraId="1A826586" w14:textId="77777777" w:rsidR="00C33A69" w:rsidRPr="001B0D3D" w:rsidRDefault="00C33A69" w:rsidP="00C33A69">
      <w:pPr>
        <w:spacing w:line="276" w:lineRule="auto"/>
        <w:rPr>
          <w:rFonts w:ascii="Arial" w:eastAsia="Calibri" w:hAnsi="Arial" w:cs="Arial"/>
          <w:color w:val="000000" w:themeColor="text1"/>
          <w:sz w:val="22"/>
        </w:rPr>
      </w:pPr>
    </w:p>
    <w:p w14:paraId="177D81C6" w14:textId="3373BDEA" w:rsidR="00C33A69" w:rsidRPr="001B0D3D" w:rsidRDefault="00C33A69" w:rsidP="00C33A69">
      <w:pPr>
        <w:tabs>
          <w:tab w:val="left" w:pos="3736"/>
        </w:tabs>
        <w:spacing w:line="276" w:lineRule="auto"/>
        <w:rPr>
          <w:rFonts w:ascii="Arial" w:eastAsia="Calibri" w:hAnsi="Arial" w:cs="Arial"/>
          <w:color w:val="000000" w:themeColor="text1"/>
          <w:sz w:val="22"/>
        </w:rPr>
      </w:pPr>
      <w:r w:rsidRPr="001B0D3D">
        <w:rPr>
          <w:rFonts w:ascii="Arial" w:eastAsia="Calibri" w:hAnsi="Arial" w:cs="Arial"/>
          <w:color w:val="000000" w:themeColor="text1"/>
          <w:sz w:val="22"/>
        </w:rPr>
        <w:t>Estimad</w:t>
      </w:r>
      <w:r w:rsidR="003C1F96">
        <w:rPr>
          <w:rFonts w:ascii="Arial" w:eastAsia="Calibri" w:hAnsi="Arial" w:cs="Arial"/>
          <w:color w:val="000000" w:themeColor="text1"/>
          <w:sz w:val="22"/>
        </w:rPr>
        <w:t>a</w:t>
      </w:r>
      <w:r w:rsidRPr="001B0D3D">
        <w:rPr>
          <w:rFonts w:ascii="Arial" w:eastAsia="Calibri" w:hAnsi="Arial" w:cs="Arial"/>
          <w:color w:val="000000" w:themeColor="text1"/>
          <w:sz w:val="22"/>
        </w:rPr>
        <w:t xml:space="preserve"> señor</w:t>
      </w:r>
      <w:r w:rsidR="003C1F96">
        <w:rPr>
          <w:rFonts w:ascii="Arial" w:eastAsia="Calibri" w:hAnsi="Arial" w:cs="Arial"/>
          <w:color w:val="000000" w:themeColor="text1"/>
          <w:sz w:val="22"/>
        </w:rPr>
        <w:t>a</w:t>
      </w:r>
      <w:r w:rsidRPr="001B0D3D">
        <w:rPr>
          <w:rFonts w:ascii="Arial" w:eastAsia="Calibri" w:hAnsi="Arial" w:cs="Arial"/>
          <w:color w:val="000000" w:themeColor="text1"/>
          <w:sz w:val="22"/>
        </w:rPr>
        <w:t>,</w:t>
      </w:r>
      <w:r w:rsidRPr="001B0D3D">
        <w:rPr>
          <w:rFonts w:ascii="Arial" w:eastAsia="Calibri" w:hAnsi="Arial" w:cs="Arial"/>
          <w:color w:val="000000" w:themeColor="text1"/>
          <w:sz w:val="22"/>
        </w:rPr>
        <w:tab/>
      </w:r>
    </w:p>
    <w:p w14:paraId="44E85655" w14:textId="77777777" w:rsidR="00C33A69" w:rsidRPr="001B0D3D" w:rsidRDefault="00C33A69" w:rsidP="00C33A69">
      <w:pPr>
        <w:spacing w:line="276" w:lineRule="auto"/>
        <w:rPr>
          <w:rFonts w:ascii="Arial" w:eastAsia="Calibri" w:hAnsi="Arial" w:cs="Arial"/>
          <w:color w:val="000000" w:themeColor="text1"/>
          <w:sz w:val="22"/>
        </w:rPr>
      </w:pPr>
    </w:p>
    <w:p w14:paraId="2044C6B5" w14:textId="70634E67" w:rsidR="00C33A69" w:rsidRPr="001B0D3D" w:rsidRDefault="00C33A69" w:rsidP="00C33A69">
      <w:pPr>
        <w:spacing w:line="276" w:lineRule="auto"/>
        <w:jc w:val="both"/>
        <w:rPr>
          <w:rFonts w:ascii="Arial" w:eastAsia="Calibri" w:hAnsi="Arial" w:cs="Arial"/>
          <w:color w:val="000000" w:themeColor="text1"/>
          <w:sz w:val="22"/>
        </w:rPr>
      </w:pPr>
      <w:r w:rsidRPr="001B0D3D">
        <w:rPr>
          <w:rFonts w:ascii="Arial" w:eastAsia="Calibri" w:hAnsi="Arial" w:cs="Arial"/>
          <w:color w:val="000000" w:themeColor="text1"/>
          <w:sz w:val="22"/>
        </w:rPr>
        <w:t>La Agencia Nacional de Contratación Pública ─</w:t>
      </w:r>
      <w:r w:rsidR="0016567E">
        <w:rPr>
          <w:rFonts w:ascii="Arial" w:eastAsia="Calibri" w:hAnsi="Arial" w:cs="Arial"/>
          <w:color w:val="000000" w:themeColor="text1"/>
          <w:sz w:val="22"/>
        </w:rPr>
        <w:t xml:space="preserve"> </w:t>
      </w:r>
      <w:r w:rsidRPr="001B0D3D">
        <w:rPr>
          <w:rFonts w:ascii="Arial" w:eastAsia="Calibri" w:hAnsi="Arial" w:cs="Arial"/>
          <w:color w:val="000000" w:themeColor="text1"/>
          <w:sz w:val="22"/>
        </w:rPr>
        <w:t>Colombia Compra Eficiente responde</w:t>
      </w:r>
      <w:r>
        <w:rPr>
          <w:rFonts w:ascii="Arial" w:eastAsia="Calibri" w:hAnsi="Arial" w:cs="Arial"/>
          <w:color w:val="000000" w:themeColor="text1"/>
          <w:sz w:val="22"/>
        </w:rPr>
        <w:t xml:space="preserve"> a su consulta del </w:t>
      </w:r>
      <w:r w:rsidR="005621EE">
        <w:rPr>
          <w:rFonts w:ascii="Arial" w:eastAsia="Calibri" w:hAnsi="Arial" w:cs="Arial"/>
          <w:color w:val="000000" w:themeColor="text1"/>
          <w:sz w:val="22"/>
        </w:rPr>
        <w:t>10 de junio de 2021</w:t>
      </w:r>
      <w:r w:rsidRPr="001B0D3D">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0987E0B4" w14:textId="77777777" w:rsidR="00C33A69" w:rsidRPr="001B0D3D" w:rsidRDefault="00C33A69" w:rsidP="00C33A69">
      <w:pPr>
        <w:pStyle w:val="Prrafodelista"/>
        <w:spacing w:line="276" w:lineRule="auto"/>
        <w:ind w:left="0"/>
        <w:rPr>
          <w:rFonts w:ascii="Arial" w:eastAsia="Calibri" w:hAnsi="Arial" w:cs="Arial"/>
          <w:color w:val="000000" w:themeColor="text1"/>
          <w:sz w:val="22"/>
        </w:rPr>
      </w:pPr>
    </w:p>
    <w:p w14:paraId="6238CC02" w14:textId="2A725EB7" w:rsidR="003C1F96" w:rsidRDefault="00C33A69" w:rsidP="0016567E">
      <w:pPr>
        <w:pStyle w:val="Prrafodelista"/>
        <w:numPr>
          <w:ilvl w:val="0"/>
          <w:numId w:val="11"/>
        </w:numPr>
        <w:tabs>
          <w:tab w:val="left" w:pos="0"/>
        </w:tabs>
        <w:spacing w:line="276" w:lineRule="auto"/>
        <w:ind w:left="426"/>
        <w:jc w:val="both"/>
        <w:rPr>
          <w:rFonts w:ascii="Arial" w:eastAsia="Calibri" w:hAnsi="Arial" w:cs="Arial"/>
          <w:b/>
          <w:color w:val="000000" w:themeColor="text1"/>
          <w:sz w:val="22"/>
        </w:rPr>
      </w:pPr>
      <w:r w:rsidRPr="008B79F9">
        <w:rPr>
          <w:rFonts w:ascii="Arial" w:eastAsia="Calibri" w:hAnsi="Arial" w:cs="Arial"/>
          <w:b/>
          <w:color w:val="000000" w:themeColor="text1"/>
          <w:sz w:val="22"/>
        </w:rPr>
        <w:t>Problemas planteados</w:t>
      </w:r>
    </w:p>
    <w:p w14:paraId="00A85FD0" w14:textId="77777777" w:rsidR="00F71B36" w:rsidRPr="008B79F9" w:rsidRDefault="00F71B36" w:rsidP="007328D2">
      <w:pPr>
        <w:pStyle w:val="Prrafodelista"/>
        <w:tabs>
          <w:tab w:val="left" w:pos="0"/>
        </w:tabs>
        <w:ind w:left="426"/>
        <w:jc w:val="both"/>
        <w:rPr>
          <w:rFonts w:ascii="Arial" w:eastAsia="Calibri" w:hAnsi="Arial" w:cs="Arial"/>
          <w:b/>
          <w:color w:val="000000" w:themeColor="text1"/>
          <w:sz w:val="22"/>
        </w:rPr>
      </w:pPr>
    </w:p>
    <w:p w14:paraId="36493C74" w14:textId="0F70DA41" w:rsidR="00F71B36" w:rsidRDefault="00C33A69" w:rsidP="007328D2">
      <w:pPr>
        <w:pStyle w:val="NormalWeb"/>
        <w:spacing w:before="0" w:beforeAutospacing="0" w:after="0" w:afterAutospacing="0" w:line="276" w:lineRule="auto"/>
        <w:jc w:val="both"/>
        <w:rPr>
          <w:rFonts w:ascii="Arial" w:eastAsia="Calibri" w:hAnsi="Arial" w:cs="Arial"/>
          <w:sz w:val="22"/>
          <w:szCs w:val="22"/>
        </w:rPr>
      </w:pPr>
      <w:r w:rsidRPr="008B79F9">
        <w:rPr>
          <w:rFonts w:ascii="Arial" w:eastAsia="Calibri" w:hAnsi="Arial" w:cs="Arial"/>
          <w:sz w:val="22"/>
          <w:szCs w:val="22"/>
        </w:rPr>
        <w:t xml:space="preserve">Usted formula </w:t>
      </w:r>
      <w:r w:rsidR="003C1F96" w:rsidRPr="008B79F9">
        <w:rPr>
          <w:rFonts w:ascii="Arial" w:eastAsia="Calibri" w:hAnsi="Arial" w:cs="Arial"/>
          <w:sz w:val="22"/>
          <w:szCs w:val="22"/>
        </w:rPr>
        <w:t xml:space="preserve">la siguiente </w:t>
      </w:r>
      <w:r w:rsidR="00337136">
        <w:rPr>
          <w:rFonts w:ascii="Arial" w:eastAsia="Calibri" w:hAnsi="Arial" w:cs="Arial"/>
          <w:sz w:val="22"/>
          <w:szCs w:val="22"/>
        </w:rPr>
        <w:t>solicitud</w:t>
      </w:r>
      <w:r w:rsidR="003C1F96" w:rsidRPr="008B79F9">
        <w:rPr>
          <w:rFonts w:ascii="Arial" w:eastAsia="Calibri" w:hAnsi="Arial" w:cs="Arial"/>
          <w:sz w:val="22"/>
          <w:szCs w:val="22"/>
        </w:rPr>
        <w:t>:</w:t>
      </w:r>
    </w:p>
    <w:p w14:paraId="32A73F68" w14:textId="77777777" w:rsidR="00F71B36" w:rsidRDefault="00F71B36" w:rsidP="007328D2">
      <w:pPr>
        <w:pStyle w:val="NormalWeb"/>
        <w:spacing w:before="0" w:beforeAutospacing="0" w:after="0" w:afterAutospacing="0"/>
        <w:jc w:val="both"/>
        <w:rPr>
          <w:rFonts w:ascii="Arial" w:eastAsia="Calibri" w:hAnsi="Arial" w:cs="Arial"/>
          <w:sz w:val="22"/>
          <w:szCs w:val="22"/>
        </w:rPr>
      </w:pPr>
    </w:p>
    <w:p w14:paraId="77236A27" w14:textId="1545EAB1" w:rsidR="00F3681E" w:rsidRPr="007328D2" w:rsidRDefault="003C1F96" w:rsidP="007328D2">
      <w:pPr>
        <w:pStyle w:val="NormalWeb"/>
        <w:spacing w:before="0" w:beforeAutospacing="0" w:after="0" w:afterAutospacing="0" w:line="276" w:lineRule="auto"/>
        <w:ind w:left="709" w:right="709"/>
        <w:jc w:val="both"/>
        <w:rPr>
          <w:rFonts w:ascii="Arial" w:eastAsia="Calibri" w:hAnsi="Arial" w:cs="Arial"/>
          <w:color w:val="000000" w:themeColor="text1"/>
          <w:sz w:val="21"/>
          <w:szCs w:val="21"/>
        </w:rPr>
      </w:pPr>
      <w:r w:rsidRPr="007328D2">
        <w:rPr>
          <w:rFonts w:ascii="Arial" w:eastAsia="Calibri" w:hAnsi="Arial" w:cs="Arial"/>
          <w:sz w:val="21"/>
          <w:szCs w:val="21"/>
        </w:rPr>
        <w:t xml:space="preserve"> </w:t>
      </w:r>
      <w:r w:rsidR="00F3681E" w:rsidRPr="007328D2">
        <w:rPr>
          <w:rFonts w:ascii="Arial" w:eastAsia="Calibri" w:hAnsi="Arial" w:cs="Arial"/>
          <w:sz w:val="21"/>
          <w:szCs w:val="21"/>
        </w:rPr>
        <w:t>«</w:t>
      </w:r>
      <w:r w:rsidR="00F3681E" w:rsidRPr="007328D2">
        <w:rPr>
          <w:rFonts w:ascii="Arial" w:hAnsi="Arial" w:cs="Arial"/>
          <w:sz w:val="21"/>
          <w:szCs w:val="21"/>
        </w:rPr>
        <w:t>Necesito calcular la capacidad residual, pero no me queda clara la información que debo presentar en cuanto a la experiencia. Nosotros somos una empresa privada que no manejamos presupuesto, por eso se me hace complejo realizar dicho calculo. Quisiera que por favor me guíen para saber como llegar al valor de la experiencia y as</w:t>
      </w:r>
      <w:r w:rsidR="003221FB" w:rsidRPr="007328D2">
        <w:rPr>
          <w:rFonts w:ascii="Arial" w:hAnsi="Arial" w:cs="Arial"/>
          <w:sz w:val="21"/>
          <w:szCs w:val="21"/>
        </w:rPr>
        <w:t>í</w:t>
      </w:r>
      <w:r w:rsidR="00F3681E" w:rsidRPr="007328D2">
        <w:rPr>
          <w:rFonts w:ascii="Arial" w:hAnsi="Arial" w:cs="Arial"/>
          <w:sz w:val="21"/>
          <w:szCs w:val="21"/>
        </w:rPr>
        <w:t xml:space="preserve"> continuar con el calculo de la </w:t>
      </w:r>
      <w:r w:rsidR="00F3681E" w:rsidRPr="007328D2">
        <w:rPr>
          <w:rFonts w:ascii="Arial" w:hAnsi="Arial" w:cs="Arial"/>
          <w:i/>
          <w:iCs/>
          <w:sz w:val="21"/>
          <w:szCs w:val="21"/>
        </w:rPr>
        <w:t>K</w:t>
      </w:r>
      <w:r w:rsidR="00F3681E" w:rsidRPr="007328D2">
        <w:rPr>
          <w:rFonts w:ascii="Arial" w:hAnsi="Arial" w:cs="Arial"/>
          <w:sz w:val="21"/>
          <w:szCs w:val="21"/>
        </w:rPr>
        <w:t xml:space="preserve"> Residual en su archivo de Excel</w:t>
      </w:r>
      <w:r w:rsidR="00F3681E" w:rsidRPr="007328D2">
        <w:rPr>
          <w:rFonts w:ascii="Arial" w:eastAsia="Calibri" w:hAnsi="Arial" w:cs="Arial"/>
          <w:color w:val="000000" w:themeColor="text1"/>
          <w:sz w:val="21"/>
          <w:szCs w:val="21"/>
        </w:rPr>
        <w:t xml:space="preserve">». </w:t>
      </w:r>
    </w:p>
    <w:p w14:paraId="328E2171" w14:textId="77777777" w:rsidR="0016567E" w:rsidRPr="008B79F9" w:rsidRDefault="0016567E" w:rsidP="007328D2">
      <w:pPr>
        <w:pStyle w:val="NormalWeb"/>
        <w:spacing w:before="0" w:beforeAutospacing="0" w:after="0" w:afterAutospacing="0"/>
        <w:jc w:val="both"/>
        <w:rPr>
          <w:rFonts w:ascii="Arial" w:hAnsi="Arial" w:cs="Arial"/>
          <w:sz w:val="22"/>
          <w:szCs w:val="22"/>
        </w:rPr>
      </w:pPr>
    </w:p>
    <w:p w14:paraId="0FCD980D" w14:textId="2BF3B09B" w:rsidR="00C33A69" w:rsidRPr="008B79F9" w:rsidRDefault="00C33A69" w:rsidP="007328D2">
      <w:pPr>
        <w:pStyle w:val="Prrafodelista"/>
        <w:numPr>
          <w:ilvl w:val="0"/>
          <w:numId w:val="11"/>
        </w:numPr>
        <w:ind w:left="426"/>
        <w:rPr>
          <w:rFonts w:ascii="Arial" w:eastAsia="Calibri" w:hAnsi="Arial" w:cs="Arial"/>
          <w:color w:val="000000" w:themeColor="text1"/>
          <w:sz w:val="22"/>
        </w:rPr>
      </w:pPr>
      <w:r w:rsidRPr="008B79F9">
        <w:rPr>
          <w:rFonts w:ascii="Arial" w:eastAsia="Calibri" w:hAnsi="Arial" w:cs="Arial"/>
          <w:b/>
          <w:color w:val="000000" w:themeColor="text1"/>
          <w:sz w:val="22"/>
        </w:rPr>
        <w:t>Consideraciones</w:t>
      </w:r>
    </w:p>
    <w:p w14:paraId="099E4395" w14:textId="77777777" w:rsidR="00C33A69" w:rsidRPr="00ED0F53" w:rsidRDefault="00C33A69" w:rsidP="00843442">
      <w:pPr>
        <w:pStyle w:val="Prrafodelista"/>
        <w:ind w:left="284"/>
        <w:jc w:val="both"/>
        <w:rPr>
          <w:rFonts w:ascii="Arial" w:eastAsia="Calibri" w:hAnsi="Arial" w:cs="Arial"/>
          <w:color w:val="000000" w:themeColor="text1"/>
          <w:sz w:val="22"/>
        </w:rPr>
      </w:pPr>
    </w:p>
    <w:p w14:paraId="0E231741" w14:textId="50587256" w:rsidR="001A3D80" w:rsidRDefault="00CC6758" w:rsidP="007328D2">
      <w:pPr>
        <w:tabs>
          <w:tab w:val="left" w:pos="426"/>
        </w:tabs>
        <w:spacing w:after="120" w:line="276" w:lineRule="auto"/>
        <w:jc w:val="both"/>
        <w:rPr>
          <w:rFonts w:ascii="Arial" w:eastAsia="Calibri" w:hAnsi="Arial" w:cs="Arial"/>
          <w:color w:val="000000" w:themeColor="text1"/>
          <w:sz w:val="22"/>
          <w:lang w:val="es-ES_tradnl"/>
        </w:rPr>
      </w:pPr>
      <w:r w:rsidRPr="00C54AA4">
        <w:rPr>
          <w:rFonts w:ascii="Arial" w:eastAsia="Calibri" w:hAnsi="Arial" w:cs="Arial"/>
          <w:color w:val="000000" w:themeColor="text1"/>
          <w:sz w:val="22"/>
        </w:rPr>
        <w:t>La Agencia Nacional de Contratación Pública − Colombia Compra Eficiente se ha pronunciado sobre</w:t>
      </w:r>
      <w:r w:rsidRPr="003A130E">
        <w:rPr>
          <w:rFonts w:ascii="Arial" w:eastAsia="Calibri" w:hAnsi="Arial" w:cs="Arial"/>
          <w:sz w:val="22"/>
        </w:rPr>
        <w:t xml:space="preserve"> </w:t>
      </w:r>
      <w:r w:rsidRPr="008E15F6">
        <w:rPr>
          <w:rFonts w:ascii="Arial" w:eastAsia="Calibri" w:hAnsi="Arial" w:cs="Arial"/>
          <w:sz w:val="22"/>
        </w:rPr>
        <w:t>aspectos relativos a la acreditación del requisito de capacidad residual</w:t>
      </w:r>
      <w:r w:rsidRPr="00C54AA4">
        <w:rPr>
          <w:rFonts w:ascii="Arial" w:eastAsia="Calibri" w:hAnsi="Arial" w:cs="Arial"/>
          <w:color w:val="000000" w:themeColor="text1"/>
          <w:sz w:val="22"/>
        </w:rPr>
        <w:t xml:space="preserve"> en los conceptos </w:t>
      </w:r>
      <w:r>
        <w:rPr>
          <w:rFonts w:ascii="Arial" w:eastAsia="Calibri" w:hAnsi="Arial" w:cs="Arial"/>
          <w:color w:val="000000" w:themeColor="text1"/>
          <w:sz w:val="22"/>
        </w:rPr>
        <w:t xml:space="preserve">con radicado </w:t>
      </w:r>
      <w:r w:rsidRPr="006A71B3">
        <w:rPr>
          <w:rFonts w:ascii="Arial" w:eastAsia="Calibri" w:hAnsi="Arial" w:cs="Arial"/>
          <w:sz w:val="22"/>
        </w:rPr>
        <w:t>No</w:t>
      </w:r>
      <w:r>
        <w:rPr>
          <w:rFonts w:ascii="Arial" w:eastAsia="Calibri" w:hAnsi="Arial" w:cs="Arial"/>
          <w:sz w:val="22"/>
        </w:rPr>
        <w:t>s</w:t>
      </w:r>
      <w:r w:rsidRPr="006A71B3">
        <w:rPr>
          <w:rFonts w:ascii="Arial" w:eastAsia="Calibri" w:hAnsi="Arial" w:cs="Arial"/>
          <w:sz w:val="22"/>
        </w:rPr>
        <w:t>. 2201913000006275 del 27 de agosto de 2019, 4201912000005192 del 9 de septiembre de 2019, 2201913000009465 del 20 de diciembre de 2019</w:t>
      </w:r>
      <w:r>
        <w:rPr>
          <w:rFonts w:ascii="Arial" w:eastAsia="Calibri" w:hAnsi="Arial" w:cs="Arial"/>
          <w:sz w:val="22"/>
        </w:rPr>
        <w:t xml:space="preserve"> y</w:t>
      </w:r>
      <w:r w:rsidRPr="006A71B3">
        <w:rPr>
          <w:rFonts w:ascii="Arial" w:eastAsia="Calibri" w:hAnsi="Arial" w:cs="Arial"/>
          <w:sz w:val="22"/>
        </w:rPr>
        <w:t xml:space="preserve"> 2201913000009642 del 26 de diciembre de 2019</w:t>
      </w:r>
      <w:r>
        <w:rPr>
          <w:rFonts w:ascii="Arial" w:eastAsia="Calibri" w:hAnsi="Arial" w:cs="Arial"/>
          <w:color w:val="000000" w:themeColor="text1"/>
          <w:sz w:val="22"/>
        </w:rPr>
        <w:t>;</w:t>
      </w:r>
      <w:r w:rsidRPr="00C54AA4">
        <w:rPr>
          <w:rFonts w:ascii="Arial" w:eastAsia="Calibri" w:hAnsi="Arial" w:cs="Arial"/>
          <w:color w:val="000000" w:themeColor="text1"/>
          <w:sz w:val="22"/>
        </w:rPr>
        <w:t xml:space="preserve"> </w:t>
      </w:r>
      <w:r>
        <w:rPr>
          <w:rFonts w:ascii="Arial" w:eastAsia="Calibri" w:hAnsi="Arial" w:cs="Arial"/>
          <w:color w:val="000000" w:themeColor="text1"/>
          <w:sz w:val="22"/>
        </w:rPr>
        <w:t>a</w:t>
      </w:r>
      <w:r w:rsidRPr="00C54AA4">
        <w:rPr>
          <w:rFonts w:ascii="Arial" w:eastAsia="Calibri" w:hAnsi="Arial" w:cs="Arial"/>
          <w:color w:val="000000" w:themeColor="text1"/>
          <w:sz w:val="22"/>
        </w:rPr>
        <w:t>sí como en los conceptos</w:t>
      </w:r>
      <w:r>
        <w:rPr>
          <w:rFonts w:ascii="Arial" w:eastAsia="Calibri" w:hAnsi="Arial" w:cs="Arial"/>
          <w:color w:val="000000" w:themeColor="text1"/>
          <w:sz w:val="22"/>
        </w:rPr>
        <w:t xml:space="preserve"> </w:t>
      </w:r>
      <w:r w:rsidRPr="0016149E">
        <w:rPr>
          <w:rFonts w:ascii="Arial" w:eastAsia="Calibri" w:hAnsi="Arial" w:cs="Arial"/>
          <w:sz w:val="22"/>
        </w:rPr>
        <w:t>C-033</w:t>
      </w:r>
      <w:r>
        <w:rPr>
          <w:rFonts w:ascii="Arial" w:eastAsia="Calibri" w:hAnsi="Arial" w:cs="Arial"/>
          <w:sz w:val="22"/>
        </w:rPr>
        <w:t xml:space="preserve"> del 13 de marzo de 2020, </w:t>
      </w:r>
      <w:r w:rsidRPr="008E15F6">
        <w:rPr>
          <w:rFonts w:ascii="Arial" w:eastAsia="Calibri" w:hAnsi="Arial" w:cs="Arial"/>
          <w:sz w:val="22"/>
        </w:rPr>
        <w:t xml:space="preserve">C-133 del 30 de marzo de 2020, C-196 del 8 de abril de 2020, </w:t>
      </w:r>
      <w:r w:rsidRPr="008E15F6">
        <w:rPr>
          <w:rFonts w:ascii="Arial" w:eastAsia="Calibri" w:hAnsi="Arial" w:cs="Arial"/>
          <w:sz w:val="22"/>
        </w:rPr>
        <w:lastRenderedPageBreak/>
        <w:t>C-297 del 4 de junio de 2020, C-489 del 23 de julio de 2020, C-522 del 6 de agosto de 2020, C-547 del 21 de agosto de 2020, C-642 de 30 de octubre de 2020, C-668 del 20 de noviembre de 2020</w:t>
      </w:r>
      <w:r>
        <w:rPr>
          <w:rFonts w:ascii="Arial" w:eastAsia="Calibri" w:hAnsi="Arial" w:cs="Arial"/>
          <w:sz w:val="22"/>
        </w:rPr>
        <w:t>,</w:t>
      </w:r>
      <w:r w:rsidRPr="008E15F6">
        <w:rPr>
          <w:rFonts w:ascii="Arial" w:eastAsia="Calibri" w:hAnsi="Arial" w:cs="Arial"/>
          <w:sz w:val="22"/>
        </w:rPr>
        <w:t xml:space="preserve"> C-720 del 11 de diciembre de 2020</w:t>
      </w:r>
      <w:r>
        <w:rPr>
          <w:rFonts w:ascii="Arial" w:eastAsia="Calibri" w:hAnsi="Arial" w:cs="Arial"/>
          <w:sz w:val="22"/>
        </w:rPr>
        <w:t>, C-789 del 19 de enero de 2021</w:t>
      </w:r>
      <w:r w:rsidR="00A97AC6">
        <w:rPr>
          <w:rFonts w:ascii="Arial" w:eastAsia="Calibri" w:hAnsi="Arial" w:cs="Arial"/>
          <w:sz w:val="22"/>
        </w:rPr>
        <w:t>,</w:t>
      </w:r>
      <w:r>
        <w:rPr>
          <w:rFonts w:ascii="Arial" w:eastAsia="Calibri" w:hAnsi="Arial" w:cs="Arial"/>
          <w:sz w:val="22"/>
        </w:rPr>
        <w:t xml:space="preserve"> C-042 del 3 de marzo</w:t>
      </w:r>
      <w:r w:rsidR="00A97AC6">
        <w:rPr>
          <w:rFonts w:ascii="Arial" w:eastAsia="Calibri" w:hAnsi="Arial" w:cs="Arial"/>
          <w:sz w:val="22"/>
        </w:rPr>
        <w:t xml:space="preserve">, </w:t>
      </w:r>
      <w:hyperlink r:id="rId12">
        <w:r w:rsidR="001A3D80" w:rsidRPr="007328D2">
          <w:rPr>
            <w:rStyle w:val="Hipervnculo"/>
            <w:rFonts w:ascii="Arial" w:eastAsia="Arial" w:hAnsi="Arial" w:cs="Arial"/>
            <w:color w:val="262626" w:themeColor="text1" w:themeTint="D9"/>
            <w:sz w:val="22"/>
            <w:szCs w:val="22"/>
            <w:u w:val="none"/>
            <w:lang w:val="es-MX"/>
          </w:rPr>
          <w:t xml:space="preserve">C-045 del </w:t>
        </w:r>
        <w:r w:rsidR="00A97AC6" w:rsidRPr="007328D2">
          <w:rPr>
            <w:rStyle w:val="Hipervnculo"/>
            <w:rFonts w:ascii="Arial" w:eastAsia="Arial" w:hAnsi="Arial" w:cs="Arial"/>
            <w:color w:val="262626" w:themeColor="text1" w:themeTint="D9"/>
            <w:sz w:val="22"/>
            <w:szCs w:val="22"/>
            <w:u w:val="none"/>
            <w:lang w:val="es-MX"/>
          </w:rPr>
          <w:t xml:space="preserve">5  de marzo de </w:t>
        </w:r>
        <w:r w:rsidR="001A3D80" w:rsidRPr="007328D2">
          <w:rPr>
            <w:rStyle w:val="Hipervnculo"/>
            <w:rFonts w:ascii="Arial" w:eastAsia="Arial" w:hAnsi="Arial" w:cs="Arial"/>
            <w:color w:val="262626" w:themeColor="text1" w:themeTint="D9"/>
            <w:sz w:val="22"/>
            <w:szCs w:val="22"/>
            <w:u w:val="none"/>
            <w:lang w:val="es-MX"/>
          </w:rPr>
          <w:t>2021</w:t>
        </w:r>
      </w:hyperlink>
      <w:r w:rsidR="001A3D80" w:rsidRPr="007328D2">
        <w:rPr>
          <w:rFonts w:ascii="Arial" w:eastAsia="Arial" w:hAnsi="Arial" w:cs="Arial"/>
          <w:color w:val="262626" w:themeColor="text1" w:themeTint="D9"/>
          <w:sz w:val="22"/>
          <w:szCs w:val="22"/>
          <w:lang w:val="es-MX"/>
        </w:rPr>
        <w:t>,</w:t>
      </w:r>
      <w:r w:rsidR="004568F1">
        <w:rPr>
          <w:rFonts w:ascii="Arial" w:eastAsia="Arial" w:hAnsi="Arial" w:cs="Arial"/>
          <w:color w:val="262626" w:themeColor="text1" w:themeTint="D9"/>
          <w:sz w:val="22"/>
          <w:szCs w:val="22"/>
          <w:lang w:val="es-MX"/>
        </w:rPr>
        <w:t xml:space="preserve"> C-170 del </w:t>
      </w:r>
      <w:r w:rsidR="00BF6B4A">
        <w:rPr>
          <w:rFonts w:ascii="Arial" w:eastAsia="Arial" w:hAnsi="Arial" w:cs="Arial"/>
          <w:color w:val="262626" w:themeColor="text1" w:themeTint="D9"/>
          <w:sz w:val="22"/>
          <w:szCs w:val="22"/>
          <w:lang w:val="es-MX"/>
        </w:rPr>
        <w:t>20 de abril de 2021</w:t>
      </w:r>
      <w:hyperlink r:id="rId13">
        <w:r w:rsidR="00A97AC6" w:rsidRPr="007328D2">
          <w:rPr>
            <w:rStyle w:val="Hipervnculo"/>
            <w:rFonts w:ascii="Arial" w:eastAsia="Arial" w:hAnsi="Arial" w:cs="Arial"/>
            <w:color w:val="262626" w:themeColor="text1" w:themeTint="D9"/>
            <w:sz w:val="22"/>
            <w:szCs w:val="22"/>
            <w:u w:val="none"/>
            <w:lang w:val="es-MX"/>
          </w:rPr>
          <w:t>,</w:t>
        </w:r>
      </w:hyperlink>
      <w:r w:rsidR="005D3782">
        <w:rPr>
          <w:rStyle w:val="Hipervnculo"/>
          <w:rFonts w:ascii="Arial" w:eastAsia="Arial" w:hAnsi="Arial" w:cs="Arial"/>
          <w:color w:val="262626" w:themeColor="text1" w:themeTint="D9"/>
          <w:sz w:val="22"/>
          <w:szCs w:val="22"/>
          <w:u w:val="none"/>
          <w:lang w:val="es-MX"/>
        </w:rPr>
        <w:t>C-202 del 7 de mayo de 2021,</w:t>
      </w:r>
      <w:r w:rsidR="00180220">
        <w:rPr>
          <w:rStyle w:val="Hipervnculo"/>
          <w:rFonts w:ascii="Arial" w:eastAsia="Arial" w:hAnsi="Arial" w:cs="Arial"/>
          <w:color w:val="262626" w:themeColor="text1" w:themeTint="D9"/>
          <w:sz w:val="22"/>
          <w:szCs w:val="22"/>
          <w:u w:val="none"/>
          <w:lang w:val="es-MX"/>
        </w:rPr>
        <w:t xml:space="preserve"> C-219 del </w:t>
      </w:r>
      <w:r w:rsidR="001D6A34">
        <w:rPr>
          <w:rStyle w:val="Hipervnculo"/>
          <w:rFonts w:ascii="Arial" w:eastAsia="Arial" w:hAnsi="Arial" w:cs="Arial"/>
          <w:color w:val="262626" w:themeColor="text1" w:themeTint="D9"/>
          <w:sz w:val="22"/>
          <w:szCs w:val="22"/>
          <w:u w:val="none"/>
          <w:lang w:val="es-MX"/>
        </w:rPr>
        <w:t xml:space="preserve">19 de mayo de 2021, </w:t>
      </w:r>
      <w:r w:rsidR="00180220">
        <w:rPr>
          <w:rStyle w:val="Hipervnculo"/>
          <w:rFonts w:ascii="Arial" w:eastAsia="Arial" w:hAnsi="Arial" w:cs="Arial"/>
          <w:color w:val="262626" w:themeColor="text1" w:themeTint="D9"/>
          <w:sz w:val="22"/>
          <w:szCs w:val="22"/>
          <w:u w:val="none"/>
          <w:lang w:val="es-MX"/>
        </w:rPr>
        <w:t xml:space="preserve"> </w:t>
      </w:r>
      <w:r w:rsidR="00A97AC6" w:rsidRPr="007328D2">
        <w:rPr>
          <w:rStyle w:val="Hipervnculo"/>
          <w:rFonts w:ascii="Arial" w:eastAsia="Arial" w:hAnsi="Arial" w:cs="Arial"/>
          <w:color w:val="262626" w:themeColor="text1" w:themeTint="D9"/>
          <w:sz w:val="22"/>
          <w:szCs w:val="22"/>
          <w:u w:val="none"/>
          <w:lang w:val="es-MX"/>
        </w:rPr>
        <w:t xml:space="preserve"> entre otros.</w:t>
      </w:r>
      <w:r w:rsidR="00A97AC6" w:rsidRPr="007328D2">
        <w:rPr>
          <w:rStyle w:val="Hipervnculo"/>
          <w:rFonts w:ascii="Arial" w:eastAsia="Arial" w:hAnsi="Arial" w:cs="Arial"/>
          <w:color w:val="262626" w:themeColor="text1" w:themeTint="D9"/>
          <w:sz w:val="20"/>
          <w:szCs w:val="20"/>
          <w:lang w:val="es-MX"/>
        </w:rPr>
        <w:t xml:space="preserve"> </w:t>
      </w:r>
    </w:p>
    <w:p w14:paraId="61EBC79D" w14:textId="08FA7123" w:rsidR="002B4570" w:rsidRPr="00BF28DB" w:rsidRDefault="002B4570" w:rsidP="007328D2">
      <w:pPr>
        <w:spacing w:line="276" w:lineRule="auto"/>
        <w:ind w:firstLine="708"/>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l</w:t>
      </w:r>
      <w:r w:rsidR="00007554">
        <w:rPr>
          <w:rFonts w:ascii="Arial" w:eastAsiaTheme="minorHAnsi" w:hAnsi="Arial" w:cs="Arial"/>
          <w:color w:val="000000" w:themeColor="text1"/>
          <w:sz w:val="22"/>
          <w:szCs w:val="22"/>
          <w:lang w:val="es-MX" w:eastAsia="en-US"/>
        </w:rPr>
        <w:t>a definición</w:t>
      </w:r>
      <w:r w:rsidRPr="00BF28DB">
        <w:rPr>
          <w:rFonts w:ascii="Arial" w:eastAsiaTheme="minorHAnsi" w:hAnsi="Arial" w:cs="Arial"/>
          <w:color w:val="000000" w:themeColor="text1"/>
          <w:sz w:val="22"/>
          <w:szCs w:val="22"/>
          <w:lang w:val="es-MX" w:eastAsia="en-US"/>
        </w:rPr>
        <w:t xml:space="preserve"> establecid</w:t>
      </w:r>
      <w:r w:rsidR="00007554">
        <w:rPr>
          <w:rFonts w:ascii="Arial" w:eastAsiaTheme="minorHAnsi" w:hAnsi="Arial" w:cs="Arial"/>
          <w:color w:val="000000" w:themeColor="text1"/>
          <w:sz w:val="22"/>
          <w:szCs w:val="22"/>
          <w:lang w:val="es-MX" w:eastAsia="en-US"/>
        </w:rPr>
        <w:t>a</w:t>
      </w:r>
      <w:r w:rsidRPr="00BF28DB">
        <w:rPr>
          <w:rFonts w:ascii="Arial" w:eastAsiaTheme="minorHAnsi" w:hAnsi="Arial" w:cs="Arial"/>
          <w:color w:val="000000" w:themeColor="text1"/>
          <w:sz w:val="22"/>
          <w:szCs w:val="22"/>
          <w:lang w:val="es-MX" w:eastAsia="en-US"/>
        </w:rPr>
        <w:t xml:space="preserve"> en el artículo 2.2.1.1.1.3.1. del Decreto 1082 de 2015, la capacidad residual es la aptitud de los oferentes para cumplir de manera oportuna y a cabalidad el objeto de un contrato de obra, sin que los demás compromisos contractuales que han adquirido afecten su habilidad </w:t>
      </w:r>
      <w:r>
        <w:rPr>
          <w:rFonts w:ascii="Arial" w:eastAsiaTheme="minorHAnsi" w:hAnsi="Arial" w:cs="Arial"/>
          <w:color w:val="000000" w:themeColor="text1"/>
          <w:sz w:val="22"/>
          <w:szCs w:val="22"/>
          <w:lang w:val="es-MX" w:eastAsia="en-US"/>
        </w:rPr>
        <w:t>para</w:t>
      </w:r>
      <w:r w:rsidRPr="00BF28DB">
        <w:rPr>
          <w:rFonts w:ascii="Arial" w:eastAsiaTheme="minorHAnsi" w:hAnsi="Arial" w:cs="Arial"/>
          <w:color w:val="000000" w:themeColor="text1"/>
          <w:sz w:val="22"/>
          <w:szCs w:val="22"/>
          <w:lang w:val="es-MX" w:eastAsia="en-US"/>
        </w:rPr>
        <w:t xml:space="preserv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1"/>
      </w:r>
      <w:r w:rsidRPr="00BF28DB">
        <w:rPr>
          <w:rFonts w:ascii="Arial" w:eastAsiaTheme="minorHAnsi" w:hAnsi="Arial" w:cs="Arial"/>
          <w:color w:val="000000" w:themeColor="text1"/>
          <w:sz w:val="22"/>
          <w:szCs w:val="22"/>
          <w:lang w:val="es-MX" w:eastAsia="en-US"/>
        </w:rPr>
        <w:t>. Por su parte, el Consejo de Estado ha definido la capacidad residual como «</w:t>
      </w:r>
      <w:r w:rsidR="00007554">
        <w:rPr>
          <w:rFonts w:ascii="Arial" w:eastAsiaTheme="minorHAnsi" w:hAnsi="Arial" w:cs="Arial"/>
          <w:color w:val="000000" w:themeColor="text1"/>
          <w:sz w:val="22"/>
          <w:szCs w:val="22"/>
          <w:lang w:val="es-MX" w:eastAsia="en-US"/>
        </w:rPr>
        <w:t xml:space="preserve">[…] </w:t>
      </w:r>
      <w:r w:rsidRPr="00BF28DB">
        <w:rPr>
          <w:rFonts w:ascii="Arial" w:eastAsiaTheme="minorHAnsi" w:hAnsi="Arial" w:cs="Arial"/>
          <w:color w:val="000000" w:themeColor="text1"/>
          <w:sz w:val="22"/>
          <w:szCs w:val="22"/>
          <w:lang w:val="es-MX" w:eastAsia="en-US"/>
        </w:rPr>
        <w:t>la diferencia 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2"/>
      </w:r>
      <w:r w:rsidRPr="00BF28DB">
        <w:rPr>
          <w:rFonts w:ascii="Arial" w:eastAsiaTheme="minorHAnsi" w:hAnsi="Arial" w:cs="Arial"/>
          <w:color w:val="000000" w:themeColor="text1"/>
          <w:sz w:val="22"/>
          <w:szCs w:val="22"/>
          <w:lang w:val="es-MX" w:eastAsia="en-US"/>
        </w:rPr>
        <w:t xml:space="preserve">.En </w:t>
      </w:r>
      <w:r w:rsidR="00324FBC">
        <w:rPr>
          <w:rFonts w:ascii="Arial" w:eastAsiaTheme="minorHAnsi" w:hAnsi="Arial" w:cs="Arial"/>
          <w:color w:val="000000" w:themeColor="text1"/>
          <w:sz w:val="22"/>
          <w:szCs w:val="22"/>
          <w:lang w:val="es-MX" w:eastAsia="en-US"/>
        </w:rPr>
        <w:t>tales términos</w:t>
      </w:r>
      <w:r w:rsidRPr="00BF28DB">
        <w:rPr>
          <w:rFonts w:ascii="Arial" w:eastAsiaTheme="minorHAnsi" w:hAnsi="Arial" w:cs="Arial"/>
          <w:color w:val="000000" w:themeColor="text1"/>
          <w:sz w:val="22"/>
          <w:szCs w:val="22"/>
          <w:lang w:val="es-MX" w:eastAsia="en-US"/>
        </w:rPr>
        <w:t>, la capacidad residual hace referencia a la suficiencia que tiene el proponente para asumir nuevas obligaciones que se derivan del contrato objeto del proceso de contratación, en relación con las obligaciones que ya adquirió frente a otros contratos.</w:t>
      </w:r>
      <w:r>
        <w:rPr>
          <w:rFonts w:ascii="Arial" w:eastAsiaTheme="minorHAnsi" w:hAnsi="Arial" w:cs="Arial"/>
          <w:color w:val="000000" w:themeColor="text1"/>
          <w:sz w:val="22"/>
          <w:szCs w:val="22"/>
          <w:lang w:val="es-MX" w:eastAsia="en-US"/>
        </w:rPr>
        <w:t xml:space="preserve"> </w:t>
      </w:r>
    </w:p>
    <w:p w14:paraId="2D55B71D" w14:textId="77777777" w:rsidR="002B4570" w:rsidRPr="00BF28DB" w:rsidRDefault="002B4570" w:rsidP="002B4570">
      <w:pPr>
        <w:spacing w:before="120" w:line="276" w:lineRule="auto"/>
        <w:ind w:firstLine="708"/>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 xml:space="preserve">El artículo 6 de la Ley 1150 de 2007 estableció como condición «para poder participar en los procesos de selección de los contratos de obra, la capacidad residual del proponente o </w:t>
      </w:r>
      <w:r w:rsidRPr="007328D2">
        <w:rPr>
          <w:rFonts w:ascii="Arial" w:eastAsiaTheme="minorHAnsi" w:hAnsi="Arial" w:cs="Arial"/>
          <w:i/>
          <w:iCs/>
          <w:color w:val="000000" w:themeColor="text1"/>
          <w:sz w:val="22"/>
          <w:szCs w:val="22"/>
          <w:lang w:val="es-MX" w:eastAsia="en-US"/>
        </w:rPr>
        <w:t>K</w:t>
      </w:r>
      <w:r w:rsidRPr="00BF28DB">
        <w:rPr>
          <w:rFonts w:ascii="Arial" w:eastAsiaTheme="minorHAnsi" w:hAnsi="Arial" w:cs="Arial"/>
          <w:color w:val="000000" w:themeColor="text1"/>
          <w:sz w:val="22"/>
          <w:szCs w:val="22"/>
          <w:lang w:val="es-MX" w:eastAsia="en-US"/>
        </w:rPr>
        <w:t xml:space="preserve"> de contratación». Además, determinó que esta debe ser igual o superior a la establecida en los pliegos de condiciones, en los siguientes términos: </w:t>
      </w:r>
    </w:p>
    <w:p w14:paraId="4C5EAEA6" w14:textId="77777777" w:rsidR="002B4570" w:rsidRPr="00BF28DB" w:rsidRDefault="002B4570" w:rsidP="002B4570">
      <w:pPr>
        <w:spacing w:before="120"/>
        <w:ind w:right="709"/>
        <w:jc w:val="both"/>
        <w:rPr>
          <w:rFonts w:ascii="Arial" w:eastAsia="Calibri" w:hAnsi="Arial" w:cs="Arial"/>
          <w:color w:val="000000" w:themeColor="text1"/>
          <w:sz w:val="21"/>
          <w:szCs w:val="21"/>
          <w:lang w:val="es-MX" w:eastAsia="en-US"/>
        </w:rPr>
      </w:pPr>
    </w:p>
    <w:p w14:paraId="675EEB59" w14:textId="77777777" w:rsidR="002B4570" w:rsidRPr="00BF28DB" w:rsidRDefault="002B4570" w:rsidP="002B4570">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F779564" w14:textId="77777777" w:rsidR="002B4570" w:rsidRPr="00BF28DB" w:rsidRDefault="002B4570" w:rsidP="002B4570">
      <w:pPr>
        <w:ind w:left="708" w:right="709"/>
        <w:jc w:val="both"/>
        <w:rPr>
          <w:rFonts w:ascii="Arial" w:eastAsia="Calibri" w:hAnsi="Arial" w:cs="Arial"/>
          <w:color w:val="000000" w:themeColor="text1"/>
          <w:sz w:val="21"/>
          <w:szCs w:val="21"/>
          <w:lang w:val="es-MX" w:eastAsia="en-US"/>
        </w:rPr>
      </w:pPr>
    </w:p>
    <w:p w14:paraId="5E0FC758" w14:textId="4D7A66A2" w:rsidR="002B4570" w:rsidRPr="00BF28DB" w:rsidRDefault="002B4570" w:rsidP="007328D2">
      <w:pPr>
        <w:ind w:left="708" w:right="709"/>
        <w:jc w:val="both"/>
        <w:rPr>
          <w:rFonts w:ascii="Arial" w:eastAsia="Calibri" w:hAnsi="Arial" w:cs="Arial"/>
          <w:color w:val="000000" w:themeColor="text1"/>
          <w:sz w:val="22"/>
          <w:szCs w:val="22"/>
          <w:lang w:val="es-MX" w:eastAsia="en-US"/>
        </w:rPr>
      </w:pPr>
      <w:r w:rsidRPr="00BF28DB">
        <w:rPr>
          <w:rFonts w:ascii="Arial" w:eastAsia="Calibri" w:hAnsi="Arial" w:cs="Arial"/>
          <w:color w:val="000000" w:themeColor="text1"/>
          <w:sz w:val="21"/>
          <w:szCs w:val="21"/>
          <w:lang w:val="es-MX" w:eastAsia="en-US"/>
        </w:rPr>
        <w:t xml:space="preserve">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w:t>
      </w:r>
      <w:r w:rsidRPr="00BF28DB">
        <w:rPr>
          <w:rFonts w:ascii="Arial" w:eastAsia="Calibri" w:hAnsi="Arial" w:cs="Arial"/>
          <w:color w:val="000000" w:themeColor="text1"/>
          <w:sz w:val="21"/>
          <w:szCs w:val="21"/>
          <w:lang w:val="es-MX" w:eastAsia="en-US"/>
        </w:rPr>
        <w:lastRenderedPageBreak/>
        <w:t>establecer el real K de contratación, en cada oportunidad. El Gobierno Nacional reglamentará la materia.</w:t>
      </w:r>
    </w:p>
    <w:p w14:paraId="1E5F684B" w14:textId="77777777" w:rsidR="002B4570" w:rsidRDefault="002B4570" w:rsidP="002B4570">
      <w:pPr>
        <w:spacing w:before="120" w:line="276" w:lineRule="auto"/>
        <w:ind w:firstLine="709"/>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BF28DB">
        <w:rPr>
          <w:rFonts w:ascii="Arial" w:eastAsia="Calibri" w:hAnsi="Arial" w:cs="Arial"/>
          <w:bCs/>
          <w:color w:val="000000" w:themeColor="text1"/>
          <w:sz w:val="22"/>
          <w:szCs w:val="22"/>
          <w:lang w:val="es-MX" w:eastAsia="en-US"/>
        </w:rPr>
        <w:t>Organización</w:t>
      </w:r>
      <w:r w:rsidRPr="00BF28DB">
        <w:rPr>
          <w:rFonts w:ascii="Arial" w:eastAsiaTheme="minorHAnsi" w:hAnsi="Arial" w:cs="Arial"/>
          <w:color w:val="000000" w:themeColor="text1"/>
          <w:sz w:val="22"/>
          <w:szCs w:val="22"/>
          <w:lang w:val="es-MX" w:eastAsia="en-US"/>
        </w:rPr>
        <w:t xml:space="preserve"> –CO–. </w:t>
      </w:r>
    </w:p>
    <w:p w14:paraId="4D30B93F" w14:textId="77777777" w:rsidR="002B4570" w:rsidRPr="00A851FD" w:rsidRDefault="002B4570" w:rsidP="002B4570">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Igualmente, e</w:t>
      </w:r>
      <w:r w:rsidRPr="00A851FD">
        <w:rPr>
          <w:rFonts w:ascii="Arial" w:eastAsia="Calibri" w:hAnsi="Arial" w:cs="Arial"/>
          <w:color w:val="000000" w:themeColor="text1"/>
          <w:sz w:val="22"/>
          <w:szCs w:val="22"/>
          <w:lang w:val="es-MX" w:eastAsia="en-US"/>
        </w:rPr>
        <w:t>l artículo 2.2.1.1.1.6.4 de</w:t>
      </w:r>
      <w:r>
        <w:rPr>
          <w:rFonts w:ascii="Arial" w:eastAsia="Calibri" w:hAnsi="Arial" w:cs="Arial"/>
          <w:color w:val="000000" w:themeColor="text1"/>
          <w:sz w:val="22"/>
          <w:szCs w:val="22"/>
          <w:lang w:val="es-MX" w:eastAsia="en-US"/>
        </w:rPr>
        <w:t xml:space="preserve">l Decreto 1082 de 2015, </w:t>
      </w:r>
      <w:r w:rsidRPr="00A851FD">
        <w:rPr>
          <w:rFonts w:ascii="Arial" w:eastAsia="Calibri" w:hAnsi="Arial" w:cs="Arial"/>
          <w:color w:val="000000" w:themeColor="text1"/>
          <w:sz w:val="22"/>
          <w:szCs w:val="22"/>
          <w:lang w:val="es-MX" w:eastAsia="en-US"/>
        </w:rPr>
        <w:t>establece que las entidades estatales deberán calcular la capacidad residual conforme a la metodología definida por Colombia Compre Eficiente y precisó que, para tale</w:t>
      </w:r>
      <w:r>
        <w:rPr>
          <w:rFonts w:ascii="Arial" w:eastAsia="Calibri" w:hAnsi="Arial" w:cs="Arial"/>
          <w:color w:val="000000" w:themeColor="text1"/>
          <w:sz w:val="22"/>
          <w:szCs w:val="22"/>
          <w:lang w:val="es-MX" w:eastAsia="en-US"/>
        </w:rPr>
        <w:t>s</w:t>
      </w:r>
      <w:r w:rsidRPr="00A851FD">
        <w:rPr>
          <w:rFonts w:ascii="Arial" w:eastAsia="Calibri" w:hAnsi="Arial" w:cs="Arial"/>
          <w:color w:val="000000" w:themeColor="text1"/>
          <w:sz w:val="22"/>
          <w:szCs w:val="22"/>
          <w:lang w:val="es-MX" w:eastAsia="en-US"/>
        </w:rPr>
        <w:t xml:space="preserve"> fines, resulta necesario tener en cuenta los factores de: i) experiencia; ii) capacidad financiera; iii) capacidad técnica; iv) capacidad de organización; y v) los saldos de los contratos en ejecución, así:</w:t>
      </w:r>
    </w:p>
    <w:p w14:paraId="613F81F9" w14:textId="77777777" w:rsidR="002B4570" w:rsidRPr="00A851FD" w:rsidRDefault="002B4570" w:rsidP="002B4570">
      <w:pPr>
        <w:spacing w:line="276" w:lineRule="auto"/>
        <w:ind w:right="709"/>
        <w:jc w:val="both"/>
        <w:rPr>
          <w:rFonts w:ascii="Arial" w:eastAsia="Calibri" w:hAnsi="Arial" w:cs="Arial"/>
          <w:color w:val="000000" w:themeColor="text1"/>
          <w:sz w:val="21"/>
          <w:szCs w:val="21"/>
          <w:lang w:val="es-MX" w:eastAsia="en-US"/>
        </w:rPr>
      </w:pPr>
    </w:p>
    <w:p w14:paraId="5C6A105C" w14:textId="77777777" w:rsidR="002B4570" w:rsidRPr="00A851FD" w:rsidRDefault="002B4570" w:rsidP="002B4570">
      <w:pPr>
        <w:ind w:left="708" w:right="709"/>
        <w:jc w:val="both"/>
        <w:rPr>
          <w:rFonts w:ascii="Arial" w:eastAsia="Calibri" w:hAnsi="Arial" w:cs="Arial"/>
          <w:color w:val="000000" w:themeColor="text1"/>
          <w:sz w:val="21"/>
          <w:szCs w:val="21"/>
          <w:lang w:val="es-MX" w:eastAsia="en-US"/>
        </w:rPr>
      </w:pPr>
      <w:r w:rsidRPr="00A851FD">
        <w:rPr>
          <w:rFonts w:ascii="Arial" w:eastAsia="Calibri" w:hAnsi="Arial" w:cs="Arial"/>
          <w:color w:val="000000" w:themeColor="text1"/>
          <w:sz w:val="21"/>
          <w:szCs w:val="21"/>
          <w:lang w:val="es-MX" w:eastAsia="en-US"/>
        </w:rPr>
        <w:t xml:space="preserve">Artículo 2.2.1.1.1.6.4. Capacidad Residual. El interesado en celebrar contratos de obra pública con Entidades Estatales debe acreditar su Capacidad Residual o K de Contratación con los siguientes documentos: </w:t>
      </w:r>
      <w:r>
        <w:rPr>
          <w:rFonts w:ascii="Arial" w:eastAsia="Calibri" w:hAnsi="Arial" w:cs="Arial"/>
          <w:color w:val="000000" w:themeColor="text1"/>
          <w:sz w:val="21"/>
          <w:szCs w:val="21"/>
          <w:lang w:val="es-MX" w:eastAsia="en-US"/>
        </w:rPr>
        <w:t>[</w:t>
      </w:r>
      <w:r w:rsidRPr="00A851FD">
        <w:rPr>
          <w:rFonts w:ascii="Arial" w:eastAsia="Calibri" w:hAnsi="Arial" w:cs="Arial"/>
          <w:color w:val="000000" w:themeColor="text1"/>
          <w:sz w:val="21"/>
          <w:szCs w:val="21"/>
          <w:lang w:val="es-MX" w:eastAsia="en-US"/>
        </w:rPr>
        <w:t>…</w:t>
      </w:r>
      <w:r>
        <w:rPr>
          <w:rFonts w:ascii="Arial" w:eastAsia="Calibri" w:hAnsi="Arial" w:cs="Arial"/>
          <w:color w:val="000000" w:themeColor="text1"/>
          <w:sz w:val="21"/>
          <w:szCs w:val="21"/>
          <w:lang w:val="es-MX" w:eastAsia="en-US"/>
        </w:rPr>
        <w:t>]</w:t>
      </w:r>
    </w:p>
    <w:p w14:paraId="6C0290A1" w14:textId="77777777" w:rsidR="002B4570" w:rsidRPr="00A851FD" w:rsidRDefault="002B4570" w:rsidP="002B4570">
      <w:pPr>
        <w:ind w:left="708" w:right="709"/>
        <w:jc w:val="both"/>
        <w:rPr>
          <w:rFonts w:ascii="Arial" w:eastAsia="Calibri" w:hAnsi="Arial" w:cs="Arial"/>
          <w:color w:val="000000" w:themeColor="text1"/>
          <w:sz w:val="21"/>
          <w:szCs w:val="21"/>
          <w:lang w:val="es-MX" w:eastAsia="en-US"/>
        </w:rPr>
      </w:pPr>
    </w:p>
    <w:p w14:paraId="39737051" w14:textId="77777777" w:rsidR="002B4570" w:rsidRDefault="002B4570" w:rsidP="002B4570">
      <w:pPr>
        <w:ind w:left="708" w:right="709"/>
        <w:jc w:val="both"/>
        <w:rPr>
          <w:rFonts w:ascii="Arial" w:eastAsia="Calibri" w:hAnsi="Arial" w:cs="Arial"/>
          <w:color w:val="000000" w:themeColor="text1"/>
          <w:sz w:val="21"/>
          <w:szCs w:val="21"/>
          <w:lang w:val="es-MX" w:eastAsia="en-US"/>
        </w:rPr>
      </w:pPr>
      <w:r w:rsidRPr="00A851FD">
        <w:rPr>
          <w:rFonts w:ascii="Arial" w:eastAsia="Calibri" w:hAnsi="Arial" w:cs="Arial"/>
          <w:color w:val="000000" w:themeColor="text1"/>
          <w:sz w:val="21"/>
          <w:szCs w:val="21"/>
          <w:lang w:val="es-MX" w:eastAsia="en-U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1CA8A8C6" w14:textId="77777777" w:rsidR="002B4570" w:rsidRPr="00A851FD" w:rsidRDefault="002B4570" w:rsidP="002B4570">
      <w:pPr>
        <w:ind w:left="708" w:right="709"/>
        <w:jc w:val="both"/>
        <w:rPr>
          <w:rFonts w:ascii="Arial" w:eastAsia="Calibri" w:hAnsi="Arial" w:cs="Arial"/>
          <w:color w:val="000000" w:themeColor="text1"/>
          <w:sz w:val="21"/>
          <w:szCs w:val="21"/>
          <w:lang w:val="es-MX" w:eastAsia="en-US"/>
        </w:rPr>
      </w:pPr>
    </w:p>
    <w:p w14:paraId="0D5F6323" w14:textId="506D6149" w:rsidR="002B4570" w:rsidRDefault="002B4570" w:rsidP="002B4570">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De conformidad con lo anterior, la Agencia Nacional para la Contratación Pública ‒‒ </w:t>
      </w:r>
      <w:r w:rsidRPr="00E81653">
        <w:rPr>
          <w:rFonts w:ascii="Arial" w:eastAsiaTheme="minorHAnsi" w:hAnsi="Arial" w:cs="Arial"/>
          <w:color w:val="000000" w:themeColor="text1"/>
          <w:sz w:val="22"/>
          <w:szCs w:val="22"/>
          <w:lang w:val="es-MX" w:eastAsia="en-US"/>
        </w:rPr>
        <w:t xml:space="preserve">Colombia Compra Eficiente expidió la </w:t>
      </w:r>
      <w:r w:rsidRPr="007328D2">
        <w:rPr>
          <w:rFonts w:ascii="Arial" w:eastAsiaTheme="minorHAnsi" w:hAnsi="Arial" w:cs="Arial"/>
          <w:i/>
          <w:iCs/>
          <w:color w:val="000000" w:themeColor="text1"/>
          <w:sz w:val="22"/>
          <w:szCs w:val="22"/>
          <w:lang w:val="es-MX" w:eastAsia="en-US"/>
        </w:rPr>
        <w:t>Guía para Determinar y Verificar la Capacidad Residual del Proponente en los Procesos de Contratación de Obra Pública</w:t>
      </w:r>
      <w:r w:rsidR="00542C4B" w:rsidRPr="00106B54">
        <w:rPr>
          <w:rStyle w:val="Refdenotaalpie"/>
          <w:rFonts w:ascii="Arial" w:hAnsi="Arial" w:cs="Arial"/>
          <w:color w:val="000000" w:themeColor="text1"/>
          <w:sz w:val="22"/>
          <w:szCs w:val="22"/>
        </w:rPr>
        <w:footnoteReference w:id="3"/>
      </w:r>
      <w:r w:rsidRPr="00E81653">
        <w:rPr>
          <w:rFonts w:ascii="Arial" w:eastAsiaTheme="minorHAnsi" w:hAnsi="Arial" w:cs="Arial"/>
          <w:color w:val="000000" w:themeColor="text1"/>
          <w:sz w:val="22"/>
          <w:szCs w:val="22"/>
          <w:lang w:val="es-MX" w:eastAsia="en-US"/>
        </w:rPr>
        <w:t xml:space="preserve">. En este documento se establece que la capacidad residual del proponente </w:t>
      </w:r>
      <w:r w:rsidR="00542C4B">
        <w:rPr>
          <w:rFonts w:ascii="Arial" w:eastAsiaTheme="minorHAnsi" w:hAnsi="Arial" w:cs="Arial"/>
          <w:color w:val="000000" w:themeColor="text1"/>
          <w:sz w:val="22"/>
          <w:szCs w:val="22"/>
          <w:lang w:val="es-MX" w:eastAsia="en-US"/>
        </w:rPr>
        <w:t>(CRP</w:t>
      </w:r>
      <w:r w:rsidR="00884E7C">
        <w:rPr>
          <w:rFonts w:ascii="Arial" w:eastAsiaTheme="minorHAnsi" w:hAnsi="Arial" w:cs="Arial"/>
          <w:color w:val="000000" w:themeColor="text1"/>
          <w:sz w:val="22"/>
          <w:szCs w:val="22"/>
          <w:lang w:val="es-MX" w:eastAsia="en-US"/>
        </w:rPr>
        <w:t xml:space="preserve">) </w:t>
      </w:r>
      <w:r w:rsidRPr="00E81653">
        <w:rPr>
          <w:rFonts w:ascii="Arial" w:eastAsiaTheme="minorHAnsi" w:hAnsi="Arial" w:cs="Arial"/>
          <w:color w:val="000000" w:themeColor="text1"/>
          <w:sz w:val="22"/>
          <w:szCs w:val="22"/>
          <w:lang w:val="es-MX" w:eastAsia="en-US"/>
        </w:rPr>
        <w:t xml:space="preserve">se calcula según la siguiente fórmula: </w:t>
      </w:r>
    </w:p>
    <w:p w14:paraId="283AB720" w14:textId="6F8FFF91" w:rsidR="00061C70" w:rsidRPr="00E81653" w:rsidRDefault="00061C70" w:rsidP="002B4570">
      <w:pPr>
        <w:spacing w:before="120" w:line="276" w:lineRule="auto"/>
        <w:ind w:firstLine="709"/>
        <w:jc w:val="both"/>
        <w:rPr>
          <w:rFonts w:ascii="Arial" w:eastAsiaTheme="minorHAnsi" w:hAnsi="Arial" w:cs="Arial"/>
          <w:color w:val="000000" w:themeColor="text1"/>
          <w:sz w:val="22"/>
          <w:szCs w:val="22"/>
          <w:lang w:val="es-MX" w:eastAsia="en-US"/>
        </w:rPr>
      </w:pPr>
      <w:r w:rsidRPr="00E81653">
        <w:rPr>
          <w:rFonts w:asciiTheme="minorHAnsi" w:eastAsiaTheme="minorHAnsi" w:hAnsiTheme="minorHAnsi" w:cstheme="minorBidi"/>
          <w:noProof/>
          <w:szCs w:val="22"/>
          <w:lang w:eastAsia="es-CO"/>
        </w:rPr>
        <w:lastRenderedPageBreak/>
        <w:drawing>
          <wp:inline distT="0" distB="0" distL="0" distR="0" wp14:anchorId="024C5FAE" wp14:editId="46FF4F62">
            <wp:extent cx="4495800" cy="716280"/>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4">
                      <a:extLs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1E246BE5" w14:textId="77777777" w:rsidR="006327D2" w:rsidRPr="008A2673" w:rsidRDefault="006327D2" w:rsidP="006327D2">
      <w:pPr>
        <w:ind w:left="709" w:right="709"/>
        <w:jc w:val="both"/>
        <w:rPr>
          <w:rFonts w:ascii="Arial" w:hAnsi="Arial" w:cs="Arial"/>
          <w:color w:val="000000" w:themeColor="text1"/>
          <w:sz w:val="21"/>
          <w:szCs w:val="21"/>
        </w:rPr>
      </w:pPr>
    </w:p>
    <w:p w14:paraId="59A33AB2" w14:textId="16A0C743" w:rsidR="006327D2" w:rsidRDefault="007250E8" w:rsidP="00B63793">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szCs w:val="22"/>
        </w:rPr>
        <w:t>Respecto de</w:t>
      </w:r>
      <w:r w:rsidR="00FD2A36">
        <w:rPr>
          <w:rFonts w:ascii="Arial" w:hAnsi="Arial" w:cs="Arial"/>
          <w:color w:val="000000" w:themeColor="text1"/>
          <w:sz w:val="22"/>
          <w:szCs w:val="22"/>
        </w:rPr>
        <w:t xml:space="preserve"> factor de</w:t>
      </w:r>
      <w:r>
        <w:rPr>
          <w:rFonts w:ascii="Arial" w:hAnsi="Arial" w:cs="Arial"/>
          <w:color w:val="000000" w:themeColor="text1"/>
          <w:sz w:val="22"/>
          <w:szCs w:val="22"/>
        </w:rPr>
        <w:t xml:space="preserve"> experiencia</w:t>
      </w:r>
      <w:r w:rsidR="000A40B9">
        <w:rPr>
          <w:rFonts w:ascii="Arial" w:hAnsi="Arial" w:cs="Arial"/>
          <w:color w:val="000000" w:themeColor="text1"/>
          <w:sz w:val="22"/>
          <w:szCs w:val="22"/>
        </w:rPr>
        <w:t xml:space="preserve"> </w:t>
      </w:r>
      <w:r w:rsidR="00FD2A36">
        <w:rPr>
          <w:rFonts w:ascii="Arial" w:hAnsi="Arial" w:cs="Arial"/>
          <w:color w:val="000000" w:themeColor="text1"/>
          <w:sz w:val="22"/>
          <w:szCs w:val="22"/>
        </w:rPr>
        <w:t>(</w:t>
      </w:r>
      <w:r w:rsidR="000A40B9" w:rsidRPr="007328D2">
        <w:rPr>
          <w:rFonts w:ascii="Arial" w:hAnsi="Arial" w:cs="Arial"/>
          <w:i/>
          <w:iCs/>
          <w:color w:val="000000" w:themeColor="text1"/>
          <w:sz w:val="22"/>
          <w:szCs w:val="22"/>
        </w:rPr>
        <w:t>E</w:t>
      </w:r>
      <w:r w:rsidR="000A40B9">
        <w:rPr>
          <w:rFonts w:ascii="Arial" w:hAnsi="Arial" w:cs="Arial"/>
          <w:color w:val="000000" w:themeColor="text1"/>
          <w:sz w:val="22"/>
          <w:szCs w:val="22"/>
        </w:rPr>
        <w:t xml:space="preserve"> </w:t>
      </w:r>
      <w:r w:rsidR="00FD2A36">
        <w:rPr>
          <w:rFonts w:ascii="Arial" w:hAnsi="Arial" w:cs="Arial"/>
          <w:color w:val="000000" w:themeColor="text1"/>
          <w:sz w:val="22"/>
          <w:szCs w:val="22"/>
        </w:rPr>
        <w:t>)</w:t>
      </w:r>
      <w:r w:rsidR="000A40B9">
        <w:rPr>
          <w:rFonts w:ascii="Arial" w:hAnsi="Arial" w:cs="Arial"/>
          <w:color w:val="000000" w:themeColor="text1"/>
          <w:sz w:val="22"/>
          <w:szCs w:val="22"/>
        </w:rPr>
        <w:t xml:space="preserve">, </w:t>
      </w:r>
      <w:r w:rsidR="00B63793" w:rsidRPr="00106B54">
        <w:rPr>
          <w:rFonts w:ascii="Arial" w:hAnsi="Arial" w:cs="Arial"/>
          <w:color w:val="000000" w:themeColor="text1"/>
          <w:sz w:val="22"/>
          <w:szCs w:val="22"/>
        </w:rPr>
        <w:t xml:space="preserve">esta </w:t>
      </w:r>
      <w:r w:rsidR="006327D2" w:rsidRPr="00106B54">
        <w:rPr>
          <w:rFonts w:ascii="Arial" w:hAnsi="Arial" w:cs="Arial"/>
          <w:color w:val="000000" w:themeColor="text1"/>
          <w:sz w:val="22"/>
          <w:szCs w:val="22"/>
        </w:rPr>
        <w:t xml:space="preserve">Agencia, en la </w:t>
      </w:r>
      <w:r w:rsidR="006327D2" w:rsidRPr="007328D2">
        <w:rPr>
          <w:rFonts w:ascii="Arial" w:hAnsi="Arial" w:cs="Arial"/>
          <w:i/>
          <w:iCs/>
          <w:color w:val="000000" w:themeColor="text1"/>
          <w:sz w:val="22"/>
          <w:szCs w:val="22"/>
        </w:rPr>
        <w:t>Guía para Determinar y Verificar la Capacidad Residual del Proponente en los Procesos de Contratación de Obra Pública</w:t>
      </w:r>
      <w:r w:rsidR="006327D2" w:rsidRPr="00106B54">
        <w:rPr>
          <w:rFonts w:ascii="Arial" w:hAnsi="Arial" w:cs="Arial"/>
          <w:color w:val="000000" w:themeColor="text1"/>
          <w:sz w:val="22"/>
          <w:szCs w:val="22"/>
        </w:rPr>
        <w:t xml:space="preserve"> </w:t>
      </w:r>
      <w:r w:rsidR="00FD2A36">
        <w:rPr>
          <w:rFonts w:ascii="Arial" w:hAnsi="Arial" w:cs="Arial"/>
          <w:color w:val="000000" w:themeColor="text1"/>
          <w:sz w:val="22"/>
        </w:rPr>
        <w:t>estableció</w:t>
      </w:r>
      <w:r w:rsidR="00FD2A36" w:rsidRPr="008A2673">
        <w:rPr>
          <w:rFonts w:ascii="Arial" w:hAnsi="Arial" w:cs="Arial"/>
          <w:color w:val="000000" w:themeColor="text1"/>
          <w:sz w:val="22"/>
        </w:rPr>
        <w:t xml:space="preserve"> </w:t>
      </w:r>
      <w:r w:rsidR="00FD2A36">
        <w:rPr>
          <w:rFonts w:ascii="Arial" w:hAnsi="Arial" w:cs="Arial"/>
          <w:color w:val="000000" w:themeColor="text1"/>
          <w:sz w:val="22"/>
        </w:rPr>
        <w:t>una f</w:t>
      </w:r>
      <w:r w:rsidR="00387D10">
        <w:rPr>
          <w:rFonts w:ascii="Arial" w:hAnsi="Arial" w:cs="Arial"/>
          <w:color w:val="000000" w:themeColor="text1"/>
          <w:sz w:val="22"/>
        </w:rPr>
        <w:t>ó</w:t>
      </w:r>
      <w:r w:rsidR="00FD2A36">
        <w:rPr>
          <w:rFonts w:ascii="Arial" w:hAnsi="Arial" w:cs="Arial"/>
          <w:color w:val="000000" w:themeColor="text1"/>
          <w:sz w:val="22"/>
        </w:rPr>
        <w:t>rmul</w:t>
      </w:r>
      <w:r w:rsidR="00861AC5">
        <w:rPr>
          <w:rFonts w:ascii="Arial" w:hAnsi="Arial" w:cs="Arial"/>
          <w:color w:val="000000" w:themeColor="text1"/>
          <w:sz w:val="22"/>
        </w:rPr>
        <w:t>a particular para su cálculo. Esta se</w:t>
      </w:r>
      <w:r w:rsidR="006327D2" w:rsidRPr="008A2673">
        <w:rPr>
          <w:rFonts w:ascii="Arial" w:hAnsi="Arial" w:cs="Arial"/>
          <w:color w:val="000000" w:themeColor="text1"/>
          <w:sz w:val="22"/>
        </w:rPr>
        <w:t xml:space="preserve"> obtiene realizando una operación </w:t>
      </w:r>
      <w:r w:rsidR="00771D35">
        <w:rPr>
          <w:rFonts w:ascii="Arial" w:hAnsi="Arial" w:cs="Arial"/>
          <w:color w:val="000000" w:themeColor="text1"/>
          <w:sz w:val="22"/>
        </w:rPr>
        <w:t>aritmética</w:t>
      </w:r>
      <w:r w:rsidR="00771D35" w:rsidRPr="008A2673">
        <w:rPr>
          <w:rFonts w:ascii="Arial" w:hAnsi="Arial" w:cs="Arial"/>
          <w:color w:val="000000" w:themeColor="text1"/>
          <w:sz w:val="22"/>
        </w:rPr>
        <w:t xml:space="preserve"> </w:t>
      </w:r>
      <w:r w:rsidR="006327D2" w:rsidRPr="008A2673">
        <w:rPr>
          <w:rFonts w:ascii="Arial" w:hAnsi="Arial" w:cs="Arial"/>
          <w:color w:val="000000" w:themeColor="text1"/>
          <w:sz w:val="22"/>
        </w:rPr>
        <w:t xml:space="preserve">de división  </w:t>
      </w:r>
      <w:r w:rsidR="00E923B0">
        <w:rPr>
          <w:rFonts w:ascii="Arial" w:hAnsi="Arial" w:cs="Arial"/>
          <w:color w:val="000000" w:themeColor="text1"/>
          <w:sz w:val="22"/>
        </w:rPr>
        <w:t>d</w:t>
      </w:r>
      <w:r w:rsidR="006327D2" w:rsidRPr="008A2673">
        <w:rPr>
          <w:rFonts w:ascii="Arial" w:hAnsi="Arial" w:cs="Arial"/>
          <w:color w:val="000000" w:themeColor="text1"/>
          <w:sz w:val="22"/>
        </w:rPr>
        <w:t>el valor total en pesos de los contratos que figuran en el RUP</w:t>
      </w:r>
      <w:r w:rsidR="00E923B0">
        <w:rPr>
          <w:rFonts w:ascii="Arial" w:hAnsi="Arial" w:cs="Arial"/>
          <w:color w:val="000000" w:themeColor="text1"/>
          <w:sz w:val="22"/>
        </w:rPr>
        <w:t>, entre</w:t>
      </w:r>
      <w:r w:rsidR="006327D2" w:rsidRPr="008A2673">
        <w:rPr>
          <w:rFonts w:ascii="Arial" w:hAnsi="Arial" w:cs="Arial"/>
          <w:color w:val="000000" w:themeColor="text1"/>
          <w:sz w:val="22"/>
        </w:rPr>
        <w:t xml:space="preserve"> el presupuesto oficial estimado del procedimiento contractual</w:t>
      </w:r>
      <w:r w:rsidR="00BB5D20">
        <w:rPr>
          <w:rFonts w:ascii="Arial" w:hAnsi="Arial" w:cs="Arial"/>
          <w:color w:val="000000" w:themeColor="text1"/>
          <w:sz w:val="22"/>
        </w:rPr>
        <w:t xml:space="preserve">. El cociente de esta operación </w:t>
      </w:r>
      <w:r w:rsidR="00751E14">
        <w:rPr>
          <w:rFonts w:ascii="Arial" w:hAnsi="Arial" w:cs="Arial"/>
          <w:color w:val="000000" w:themeColor="text1"/>
          <w:sz w:val="22"/>
        </w:rPr>
        <w:t>«[…]</w:t>
      </w:r>
      <w:r w:rsidR="006327D2" w:rsidRPr="008A2673">
        <w:rPr>
          <w:rFonts w:ascii="Arial" w:hAnsi="Arial" w:cs="Arial"/>
          <w:color w:val="000000" w:themeColor="text1"/>
          <w:sz w:val="22"/>
        </w:rPr>
        <w:t xml:space="preserve"> indica el número de veces que el proponente ha ejecutado contratos equivalentes a la cuantía del Proceso de Contratación objeto de la acreditación de la Capacidad Residual»</w:t>
      </w:r>
      <w:r w:rsidR="00615520">
        <w:rPr>
          <w:rFonts w:ascii="Arial" w:hAnsi="Arial" w:cs="Arial"/>
          <w:color w:val="000000" w:themeColor="text1"/>
          <w:sz w:val="22"/>
        </w:rPr>
        <w:t>. Dicha formula se</w:t>
      </w:r>
      <w:r w:rsidR="00500E64">
        <w:rPr>
          <w:rFonts w:ascii="Arial" w:hAnsi="Arial" w:cs="Arial"/>
          <w:color w:val="000000" w:themeColor="text1"/>
          <w:sz w:val="22"/>
        </w:rPr>
        <w:t xml:space="preserve"> expresa de</w:t>
      </w:r>
      <w:r w:rsidR="00615520">
        <w:rPr>
          <w:rFonts w:ascii="Arial" w:hAnsi="Arial" w:cs="Arial"/>
          <w:color w:val="000000" w:themeColor="text1"/>
          <w:sz w:val="22"/>
        </w:rPr>
        <w:t xml:space="preserve"> la siguiente</w:t>
      </w:r>
      <w:r w:rsidR="00500E64">
        <w:rPr>
          <w:rFonts w:ascii="Arial" w:hAnsi="Arial" w:cs="Arial"/>
          <w:color w:val="000000" w:themeColor="text1"/>
          <w:sz w:val="22"/>
        </w:rPr>
        <w:t xml:space="preserve"> forma</w:t>
      </w:r>
      <w:r w:rsidR="00615520">
        <w:rPr>
          <w:rFonts w:ascii="Arial" w:hAnsi="Arial" w:cs="Arial"/>
          <w:color w:val="000000" w:themeColor="text1"/>
          <w:sz w:val="22"/>
        </w:rPr>
        <w:t>:</w:t>
      </w:r>
    </w:p>
    <w:p w14:paraId="660FA34A" w14:textId="1D4C3D4E" w:rsidR="006327D2" w:rsidRDefault="00EE309B" w:rsidP="008B79F9">
      <w:pPr>
        <w:spacing w:before="120" w:after="120" w:line="276" w:lineRule="auto"/>
        <w:ind w:firstLine="709"/>
        <w:jc w:val="both"/>
        <w:rPr>
          <w:rFonts w:ascii="Arial" w:hAnsi="Arial" w:cs="Arial"/>
          <w:color w:val="000000" w:themeColor="text1"/>
          <w:sz w:val="22"/>
        </w:rPr>
      </w:pPr>
      <w:r>
        <w:rPr>
          <w:rFonts w:ascii="Arial" w:hAnsi="Arial" w:cs="Arial"/>
          <w:noProof/>
          <w:color w:val="000000" w:themeColor="text1"/>
          <w:sz w:val="22"/>
        </w:rPr>
        <w:drawing>
          <wp:inline distT="0" distB="0" distL="0" distR="0" wp14:anchorId="51DBD3C5" wp14:editId="3935FEF1">
            <wp:extent cx="4858603" cy="520700"/>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5">
                      <a:extLst>
                        <a:ext uri="{28A0092B-C50C-407E-A947-70E740481C1C}">
                          <a14:useLocalDpi xmlns:a14="http://schemas.microsoft.com/office/drawing/2010/main" val="0"/>
                        </a:ext>
                      </a:extLst>
                    </a:blip>
                    <a:stretch>
                      <a:fillRect/>
                    </a:stretch>
                  </pic:blipFill>
                  <pic:spPr>
                    <a:xfrm>
                      <a:off x="0" y="0"/>
                      <a:ext cx="4859107" cy="520754"/>
                    </a:xfrm>
                    <a:prstGeom prst="rect">
                      <a:avLst/>
                    </a:prstGeom>
                  </pic:spPr>
                </pic:pic>
              </a:graphicData>
            </a:graphic>
          </wp:inline>
        </w:drawing>
      </w:r>
    </w:p>
    <w:p w14:paraId="25558B4A" w14:textId="77777777" w:rsidR="000E5646" w:rsidRDefault="000E5646" w:rsidP="000823DB">
      <w:pPr>
        <w:spacing w:before="120" w:after="120" w:line="276" w:lineRule="auto"/>
        <w:ind w:firstLine="709"/>
        <w:jc w:val="both"/>
        <w:rPr>
          <w:rFonts w:ascii="Arial" w:hAnsi="Arial" w:cs="Arial"/>
          <w:color w:val="000000" w:themeColor="text1"/>
          <w:sz w:val="22"/>
        </w:rPr>
      </w:pPr>
    </w:p>
    <w:p w14:paraId="5383AC22" w14:textId="6A46486E" w:rsidR="005576CE" w:rsidRDefault="008514A7" w:rsidP="000823DB">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Debe advertirse que</w:t>
      </w:r>
      <w:r w:rsidR="001E1E48">
        <w:rPr>
          <w:rFonts w:ascii="Arial" w:hAnsi="Arial" w:cs="Arial"/>
          <w:color w:val="000000" w:themeColor="text1"/>
          <w:sz w:val="22"/>
        </w:rPr>
        <w:t>,</w:t>
      </w:r>
      <w:r>
        <w:rPr>
          <w:rFonts w:ascii="Arial" w:hAnsi="Arial" w:cs="Arial"/>
          <w:color w:val="000000" w:themeColor="text1"/>
          <w:sz w:val="22"/>
        </w:rPr>
        <w:t xml:space="preserve"> para el cálculo d</w:t>
      </w:r>
      <w:r w:rsidR="005576CE" w:rsidRPr="005576CE">
        <w:rPr>
          <w:rFonts w:ascii="Arial" w:hAnsi="Arial" w:cs="Arial"/>
          <w:color w:val="000000" w:themeColor="text1"/>
          <w:sz w:val="22"/>
        </w:rPr>
        <w:t>el factor de experiencia (E), el proponente debe diligenciar el formato correspondiente al</w:t>
      </w:r>
      <w:r w:rsidR="005576CE">
        <w:rPr>
          <w:rFonts w:ascii="Arial" w:hAnsi="Arial" w:cs="Arial"/>
          <w:color w:val="000000" w:themeColor="text1"/>
          <w:sz w:val="22"/>
        </w:rPr>
        <w:t xml:space="preserve"> </w:t>
      </w:r>
      <w:r w:rsidR="005576CE" w:rsidRPr="005576CE">
        <w:rPr>
          <w:rFonts w:ascii="Arial" w:hAnsi="Arial" w:cs="Arial"/>
          <w:color w:val="000000" w:themeColor="text1"/>
          <w:sz w:val="22"/>
        </w:rPr>
        <w:t>Anexo 1</w:t>
      </w:r>
      <w:r>
        <w:rPr>
          <w:rFonts w:ascii="Arial" w:hAnsi="Arial" w:cs="Arial"/>
          <w:color w:val="000000" w:themeColor="text1"/>
          <w:sz w:val="22"/>
        </w:rPr>
        <w:t xml:space="preserve"> de la referida Gu</w:t>
      </w:r>
      <w:r w:rsidR="00434C61">
        <w:rPr>
          <w:rFonts w:ascii="Arial" w:hAnsi="Arial" w:cs="Arial"/>
          <w:color w:val="000000" w:themeColor="text1"/>
          <w:sz w:val="22"/>
        </w:rPr>
        <w:t>í</w:t>
      </w:r>
      <w:r>
        <w:rPr>
          <w:rFonts w:ascii="Arial" w:hAnsi="Arial" w:cs="Arial"/>
          <w:color w:val="000000" w:themeColor="text1"/>
          <w:sz w:val="22"/>
        </w:rPr>
        <w:t>a</w:t>
      </w:r>
      <w:r w:rsidR="00434C61">
        <w:rPr>
          <w:rFonts w:ascii="Arial" w:hAnsi="Arial" w:cs="Arial"/>
          <w:color w:val="000000" w:themeColor="text1"/>
          <w:sz w:val="22"/>
        </w:rPr>
        <w:t xml:space="preserve">. Dicho anexo consiste en una tabla </w:t>
      </w:r>
      <w:r w:rsidR="003401F2">
        <w:rPr>
          <w:rFonts w:ascii="Arial" w:hAnsi="Arial" w:cs="Arial"/>
          <w:color w:val="000000" w:themeColor="text1"/>
          <w:sz w:val="22"/>
        </w:rPr>
        <w:t xml:space="preserve">en la que deben identificarse </w:t>
      </w:r>
      <w:r w:rsidR="005576CE" w:rsidRPr="005576CE">
        <w:rPr>
          <w:rFonts w:ascii="Arial" w:hAnsi="Arial" w:cs="Arial"/>
          <w:color w:val="000000" w:themeColor="text1"/>
          <w:sz w:val="22"/>
        </w:rPr>
        <w:t>los contratos inscritos</w:t>
      </w:r>
      <w:r w:rsidR="003401F2">
        <w:rPr>
          <w:rFonts w:ascii="Arial" w:hAnsi="Arial" w:cs="Arial"/>
          <w:color w:val="000000" w:themeColor="text1"/>
          <w:sz w:val="22"/>
        </w:rPr>
        <w:t xml:space="preserve"> en el RUP del proponente</w:t>
      </w:r>
      <w:r w:rsidR="005576CE" w:rsidRPr="005576CE">
        <w:rPr>
          <w:rFonts w:ascii="Arial" w:hAnsi="Arial" w:cs="Arial"/>
          <w:color w:val="000000" w:themeColor="text1"/>
          <w:sz w:val="22"/>
        </w:rPr>
        <w:t xml:space="preserve"> en el segmento 72 </w:t>
      </w:r>
      <w:r w:rsidR="00883BDA">
        <w:rPr>
          <w:rFonts w:ascii="Arial" w:hAnsi="Arial" w:cs="Arial"/>
          <w:color w:val="000000" w:themeColor="text1"/>
          <w:sz w:val="22"/>
        </w:rPr>
        <w:t xml:space="preserve">del </w:t>
      </w:r>
      <w:r w:rsidR="00883BDA" w:rsidRPr="00883BDA">
        <w:rPr>
          <w:rFonts w:ascii="Arial" w:hAnsi="Arial" w:cs="Arial"/>
          <w:color w:val="000000" w:themeColor="text1"/>
          <w:sz w:val="22"/>
        </w:rPr>
        <w:t>Clasificador</w:t>
      </w:r>
      <w:r w:rsidR="00883BDA">
        <w:rPr>
          <w:rFonts w:ascii="Arial" w:hAnsi="Arial" w:cs="Arial"/>
          <w:color w:val="000000" w:themeColor="text1"/>
          <w:sz w:val="22"/>
        </w:rPr>
        <w:t xml:space="preserve"> </w:t>
      </w:r>
      <w:r w:rsidR="00883BDA" w:rsidRPr="00883BDA">
        <w:rPr>
          <w:rFonts w:ascii="Arial" w:hAnsi="Arial" w:cs="Arial"/>
          <w:color w:val="000000" w:themeColor="text1"/>
          <w:sz w:val="22"/>
        </w:rPr>
        <w:t>UNSPSC</w:t>
      </w:r>
      <w:r w:rsidR="00622F70">
        <w:rPr>
          <w:rFonts w:ascii="Arial" w:hAnsi="Arial" w:cs="Arial"/>
          <w:color w:val="000000" w:themeColor="text1"/>
          <w:sz w:val="22"/>
        </w:rPr>
        <w:t xml:space="preserve"> </w:t>
      </w:r>
      <w:r w:rsidR="00AA3244">
        <w:rPr>
          <w:rFonts w:ascii="Arial" w:hAnsi="Arial" w:cs="Arial"/>
          <w:color w:val="000000" w:themeColor="text1"/>
          <w:sz w:val="22"/>
        </w:rPr>
        <w:t xml:space="preserve">–correspondiente a </w:t>
      </w:r>
      <w:r w:rsidR="00AA3244" w:rsidRPr="008B79F9">
        <w:rPr>
          <w:rFonts w:ascii="Arial" w:hAnsi="Arial" w:cs="Arial"/>
          <w:color w:val="000000"/>
          <w:sz w:val="22"/>
          <w:szCs w:val="22"/>
          <w:bdr w:val="none" w:sz="0" w:space="0" w:color="auto" w:frame="1"/>
        </w:rPr>
        <w:t>“Servicios de Edificación, Construcción de Instalaciones y Mantenimiento”</w:t>
      </w:r>
      <w:r w:rsidR="00AA3244">
        <w:rPr>
          <w:rFonts w:ascii="Arial" w:hAnsi="Arial" w:cs="Arial"/>
          <w:color w:val="000000"/>
          <w:sz w:val="22"/>
          <w:szCs w:val="22"/>
          <w:bdr w:val="none" w:sz="0" w:space="0" w:color="auto" w:frame="1"/>
        </w:rPr>
        <w:t>–</w:t>
      </w:r>
      <w:r w:rsidR="00DB65AC">
        <w:rPr>
          <w:rFonts w:ascii="Arial" w:hAnsi="Arial" w:cs="Arial"/>
          <w:color w:val="000000" w:themeColor="text1"/>
          <w:sz w:val="22"/>
        </w:rPr>
        <w:t>,</w:t>
      </w:r>
      <w:r w:rsidR="005576CE" w:rsidRPr="005576CE">
        <w:rPr>
          <w:rFonts w:ascii="Arial" w:hAnsi="Arial" w:cs="Arial"/>
          <w:color w:val="000000" w:themeColor="text1"/>
          <w:sz w:val="22"/>
        </w:rPr>
        <w:t xml:space="preserve"> su valor total en pesos colombianos</w:t>
      </w:r>
      <w:r w:rsidR="005576CE">
        <w:rPr>
          <w:rFonts w:ascii="Arial" w:hAnsi="Arial" w:cs="Arial"/>
          <w:color w:val="000000" w:themeColor="text1"/>
          <w:sz w:val="22"/>
        </w:rPr>
        <w:t xml:space="preserve"> </w:t>
      </w:r>
      <w:r w:rsidR="005576CE" w:rsidRPr="005576CE">
        <w:rPr>
          <w:rFonts w:ascii="Arial" w:hAnsi="Arial" w:cs="Arial"/>
          <w:color w:val="000000" w:themeColor="text1"/>
          <w:sz w:val="22"/>
        </w:rPr>
        <w:t>liquidados con el SMMLV</w:t>
      </w:r>
      <w:r w:rsidR="00DB65AC">
        <w:rPr>
          <w:rFonts w:ascii="Arial" w:hAnsi="Arial" w:cs="Arial"/>
          <w:color w:val="000000" w:themeColor="text1"/>
          <w:sz w:val="22"/>
        </w:rPr>
        <w:t xml:space="preserve"> y el porcentaje de participación del proponente en la ejecución de cada uno de estos contratos</w:t>
      </w:r>
      <w:r w:rsidR="005576CE" w:rsidRPr="005576CE">
        <w:rPr>
          <w:rFonts w:ascii="Arial" w:hAnsi="Arial" w:cs="Arial"/>
          <w:color w:val="000000" w:themeColor="text1"/>
          <w:sz w:val="22"/>
        </w:rPr>
        <w:t>.</w:t>
      </w:r>
      <w:r w:rsidR="005576CE">
        <w:rPr>
          <w:rFonts w:ascii="Arial" w:hAnsi="Arial" w:cs="Arial"/>
          <w:color w:val="000000" w:themeColor="text1"/>
          <w:sz w:val="22"/>
        </w:rPr>
        <w:t xml:space="preserve"> </w:t>
      </w:r>
      <w:r w:rsidR="00B44E36">
        <w:rPr>
          <w:rFonts w:ascii="Arial" w:hAnsi="Arial" w:cs="Arial"/>
          <w:color w:val="000000" w:themeColor="text1"/>
          <w:sz w:val="22"/>
        </w:rPr>
        <w:t>Tratándose de</w:t>
      </w:r>
      <w:r w:rsidR="005576CE" w:rsidRPr="005576CE">
        <w:rPr>
          <w:rFonts w:ascii="Arial" w:hAnsi="Arial" w:cs="Arial"/>
          <w:color w:val="000000" w:themeColor="text1"/>
          <w:sz w:val="22"/>
        </w:rPr>
        <w:t xml:space="preserve"> personas jurídicas con existencia inferior a tres (3) años,</w:t>
      </w:r>
      <w:r w:rsidR="000A7A22">
        <w:rPr>
          <w:rFonts w:ascii="Arial" w:hAnsi="Arial" w:cs="Arial"/>
          <w:color w:val="000000" w:themeColor="text1"/>
          <w:sz w:val="22"/>
        </w:rPr>
        <w:t xml:space="preserve"> </w:t>
      </w:r>
      <w:r w:rsidR="00B44E36">
        <w:rPr>
          <w:rFonts w:ascii="Arial" w:hAnsi="Arial" w:cs="Arial"/>
          <w:color w:val="000000" w:themeColor="text1"/>
          <w:sz w:val="22"/>
        </w:rPr>
        <w:t xml:space="preserve">de conformidad con lo dispuesto en el numeral 2.5 del artículo </w:t>
      </w:r>
      <w:r w:rsidR="00FE204D" w:rsidRPr="00FE204D">
        <w:rPr>
          <w:rFonts w:ascii="Arial" w:hAnsi="Arial" w:cs="Arial"/>
          <w:color w:val="000000" w:themeColor="text1"/>
          <w:sz w:val="22"/>
        </w:rPr>
        <w:t xml:space="preserve">2.2.1.1.1.5.2. </w:t>
      </w:r>
      <w:r w:rsidR="00FE204D">
        <w:rPr>
          <w:rFonts w:ascii="Arial" w:hAnsi="Arial" w:cs="Arial"/>
          <w:color w:val="000000" w:themeColor="text1"/>
          <w:sz w:val="22"/>
        </w:rPr>
        <w:t>del Decreto 1082 de 2015</w:t>
      </w:r>
      <w:r w:rsidR="008B6A33">
        <w:rPr>
          <w:rStyle w:val="Refdenotaalpie"/>
          <w:rFonts w:ascii="Arial" w:hAnsi="Arial" w:cs="Arial"/>
          <w:color w:val="000000" w:themeColor="text1"/>
          <w:sz w:val="22"/>
        </w:rPr>
        <w:footnoteReference w:id="4"/>
      </w:r>
      <w:r w:rsidR="005576CE" w:rsidRPr="005576CE">
        <w:rPr>
          <w:rFonts w:ascii="Arial" w:hAnsi="Arial" w:cs="Arial"/>
          <w:color w:val="000000" w:themeColor="text1"/>
          <w:sz w:val="22"/>
        </w:rPr>
        <w:t xml:space="preserve"> </w:t>
      </w:r>
      <w:r w:rsidR="000A7A22">
        <w:rPr>
          <w:rFonts w:ascii="Arial" w:hAnsi="Arial" w:cs="Arial"/>
          <w:color w:val="000000" w:themeColor="text1"/>
          <w:sz w:val="22"/>
        </w:rPr>
        <w:t xml:space="preserve">es posible que las mismas </w:t>
      </w:r>
      <w:r w:rsidR="005576CE" w:rsidRPr="005576CE">
        <w:rPr>
          <w:rFonts w:ascii="Arial" w:hAnsi="Arial" w:cs="Arial"/>
          <w:color w:val="000000" w:themeColor="text1"/>
          <w:sz w:val="22"/>
        </w:rPr>
        <w:t>acredit</w:t>
      </w:r>
      <w:r w:rsidR="000A7A22">
        <w:rPr>
          <w:rFonts w:ascii="Arial" w:hAnsi="Arial" w:cs="Arial"/>
          <w:color w:val="000000" w:themeColor="text1"/>
          <w:sz w:val="22"/>
        </w:rPr>
        <w:t>en</w:t>
      </w:r>
      <w:r w:rsidR="005576CE" w:rsidRPr="005576CE">
        <w:rPr>
          <w:rFonts w:ascii="Arial" w:hAnsi="Arial" w:cs="Arial"/>
          <w:color w:val="000000" w:themeColor="text1"/>
          <w:sz w:val="22"/>
        </w:rPr>
        <w:t xml:space="preserve"> la </w:t>
      </w:r>
      <w:r w:rsidR="005576CE" w:rsidRPr="005576CE">
        <w:rPr>
          <w:rFonts w:ascii="Arial" w:hAnsi="Arial" w:cs="Arial"/>
          <w:color w:val="000000" w:themeColor="text1"/>
          <w:sz w:val="22"/>
        </w:rPr>
        <w:lastRenderedPageBreak/>
        <w:t>experiencia de sus</w:t>
      </w:r>
      <w:r w:rsidR="005576CE">
        <w:rPr>
          <w:rFonts w:ascii="Arial" w:hAnsi="Arial" w:cs="Arial"/>
          <w:color w:val="000000" w:themeColor="text1"/>
          <w:sz w:val="22"/>
        </w:rPr>
        <w:t xml:space="preserve"> </w:t>
      </w:r>
      <w:r w:rsidR="005576CE" w:rsidRPr="005576CE">
        <w:rPr>
          <w:rFonts w:ascii="Arial" w:hAnsi="Arial" w:cs="Arial"/>
          <w:color w:val="000000" w:themeColor="text1"/>
          <w:sz w:val="22"/>
        </w:rPr>
        <w:t>accionistas, socios o constituyentes</w:t>
      </w:r>
      <w:r w:rsidR="008B6A33">
        <w:rPr>
          <w:rFonts w:ascii="Arial" w:hAnsi="Arial" w:cs="Arial"/>
          <w:color w:val="000000" w:themeColor="text1"/>
          <w:sz w:val="22"/>
        </w:rPr>
        <w:t>, por lo que podrán tenerse en cuenta para el calculo de la capacidad residual</w:t>
      </w:r>
      <w:r w:rsidR="009F7C66">
        <w:rPr>
          <w:rStyle w:val="Refdenotaalpie"/>
          <w:rFonts w:ascii="Arial" w:hAnsi="Arial" w:cs="Arial"/>
          <w:color w:val="000000" w:themeColor="text1"/>
          <w:sz w:val="22"/>
        </w:rPr>
        <w:footnoteReference w:id="5"/>
      </w:r>
      <w:r w:rsidR="008B6A33">
        <w:rPr>
          <w:rFonts w:ascii="Arial" w:hAnsi="Arial" w:cs="Arial"/>
          <w:color w:val="000000" w:themeColor="text1"/>
          <w:sz w:val="22"/>
        </w:rPr>
        <w:t>.</w:t>
      </w:r>
    </w:p>
    <w:p w14:paraId="00F84BEB" w14:textId="310909F1" w:rsidR="006327D2" w:rsidRPr="008A2673" w:rsidRDefault="00ED5D94" w:rsidP="007328D2">
      <w:pPr>
        <w:spacing w:line="276" w:lineRule="auto"/>
        <w:ind w:firstLine="708"/>
        <w:jc w:val="both"/>
        <w:rPr>
          <w:rFonts w:ascii="Arial" w:hAnsi="Arial" w:cs="Arial"/>
          <w:color w:val="000000" w:themeColor="text1"/>
          <w:sz w:val="21"/>
          <w:szCs w:val="21"/>
        </w:rPr>
      </w:pPr>
      <w:r>
        <w:rPr>
          <w:rFonts w:ascii="Arial" w:hAnsi="Arial" w:cs="Arial"/>
          <w:color w:val="000000" w:themeColor="text1"/>
          <w:sz w:val="22"/>
          <w:szCs w:val="22"/>
        </w:rPr>
        <w:t>Ahora bien, e</w:t>
      </w:r>
      <w:r w:rsidR="00C12344" w:rsidRPr="007328D2">
        <w:rPr>
          <w:rFonts w:ascii="Arial" w:hAnsi="Arial" w:cs="Arial"/>
          <w:color w:val="000000" w:themeColor="text1"/>
          <w:sz w:val="22"/>
          <w:szCs w:val="22"/>
        </w:rPr>
        <w:t xml:space="preserve">l cociente </w:t>
      </w:r>
      <w:r w:rsidR="007A05BC">
        <w:rPr>
          <w:rFonts w:ascii="Arial" w:hAnsi="Arial" w:cs="Arial"/>
          <w:color w:val="000000" w:themeColor="text1"/>
          <w:sz w:val="22"/>
          <w:szCs w:val="22"/>
        </w:rPr>
        <w:t>surgido de la aplicación de</w:t>
      </w:r>
      <w:r w:rsidR="00C12344" w:rsidRPr="007328D2">
        <w:rPr>
          <w:rFonts w:ascii="Arial" w:hAnsi="Arial" w:cs="Arial"/>
          <w:color w:val="000000" w:themeColor="text1"/>
          <w:sz w:val="22"/>
          <w:szCs w:val="22"/>
        </w:rPr>
        <w:t xml:space="preserve"> esta última formula</w:t>
      </w:r>
      <w:r w:rsidR="002802AB">
        <w:rPr>
          <w:rFonts w:ascii="Arial" w:hAnsi="Arial" w:cs="Arial"/>
          <w:color w:val="000000" w:themeColor="text1"/>
          <w:sz w:val="22"/>
          <w:szCs w:val="22"/>
        </w:rPr>
        <w:t xml:space="preserve"> </w:t>
      </w:r>
      <w:r w:rsidR="00C12344" w:rsidRPr="007328D2">
        <w:rPr>
          <w:rFonts w:ascii="Arial" w:hAnsi="Arial" w:cs="Arial"/>
          <w:color w:val="000000" w:themeColor="text1"/>
          <w:sz w:val="22"/>
          <w:szCs w:val="22"/>
        </w:rPr>
        <w:t xml:space="preserve">sirve para establecer </w:t>
      </w:r>
      <w:r w:rsidR="002802AB" w:rsidRPr="007328D2">
        <w:rPr>
          <w:rFonts w:ascii="Arial" w:hAnsi="Arial" w:cs="Arial"/>
          <w:color w:val="000000" w:themeColor="text1"/>
          <w:sz w:val="22"/>
          <w:szCs w:val="22"/>
        </w:rPr>
        <w:t xml:space="preserve">el valor que se remplazará </w:t>
      </w:r>
      <w:r w:rsidR="00542C4B">
        <w:rPr>
          <w:rFonts w:ascii="Arial" w:hAnsi="Arial" w:cs="Arial"/>
          <w:color w:val="000000" w:themeColor="text1"/>
          <w:sz w:val="22"/>
          <w:szCs w:val="22"/>
        </w:rPr>
        <w:t xml:space="preserve">en el factor </w:t>
      </w:r>
      <w:r w:rsidR="00542C4B" w:rsidRPr="007328D2">
        <w:rPr>
          <w:rFonts w:ascii="Arial" w:hAnsi="Arial" w:cs="Arial"/>
          <w:i/>
          <w:iCs/>
          <w:color w:val="000000" w:themeColor="text1"/>
          <w:sz w:val="22"/>
          <w:szCs w:val="22"/>
        </w:rPr>
        <w:t>(E</w:t>
      </w:r>
      <w:r w:rsidR="00542C4B">
        <w:rPr>
          <w:rFonts w:ascii="Arial" w:hAnsi="Arial" w:cs="Arial"/>
          <w:color w:val="000000" w:themeColor="text1"/>
          <w:sz w:val="22"/>
          <w:szCs w:val="22"/>
        </w:rPr>
        <w:t xml:space="preserve">) de la fórmula establecida </w:t>
      </w:r>
      <w:r w:rsidR="00542C4B" w:rsidRPr="007328D2">
        <w:rPr>
          <w:rFonts w:ascii="Arial" w:hAnsi="Arial" w:cs="Arial"/>
          <w:i/>
          <w:iCs/>
          <w:color w:val="000000" w:themeColor="text1"/>
          <w:sz w:val="22"/>
          <w:szCs w:val="22"/>
        </w:rPr>
        <w:t xml:space="preserve">supra </w:t>
      </w:r>
      <w:r w:rsidR="00542C4B">
        <w:rPr>
          <w:rFonts w:ascii="Arial" w:hAnsi="Arial" w:cs="Arial"/>
          <w:color w:val="000000" w:themeColor="text1"/>
          <w:sz w:val="22"/>
          <w:szCs w:val="22"/>
        </w:rPr>
        <w:t xml:space="preserve">para determinar la </w:t>
      </w:r>
      <w:r w:rsidR="00542C4B" w:rsidRPr="007328D2">
        <w:rPr>
          <w:rFonts w:ascii="Arial" w:hAnsi="Arial" w:cs="Arial"/>
          <w:i/>
          <w:iCs/>
          <w:color w:val="000000" w:themeColor="text1"/>
          <w:sz w:val="22"/>
          <w:szCs w:val="22"/>
        </w:rPr>
        <w:t>CRP</w:t>
      </w:r>
      <w:r w:rsidR="00884E7C">
        <w:rPr>
          <w:rFonts w:ascii="Arial" w:hAnsi="Arial" w:cs="Arial"/>
          <w:color w:val="000000" w:themeColor="text1"/>
          <w:sz w:val="22"/>
          <w:szCs w:val="22"/>
        </w:rPr>
        <w:t xml:space="preserve">. Para ello es necesario </w:t>
      </w:r>
      <w:r w:rsidR="00257B1E">
        <w:rPr>
          <w:rFonts w:ascii="Arial" w:hAnsi="Arial" w:cs="Arial"/>
          <w:color w:val="000000" w:themeColor="text1"/>
          <w:sz w:val="22"/>
          <w:szCs w:val="22"/>
        </w:rPr>
        <w:t>revisar la tabla establecida en el literal B</w:t>
      </w:r>
      <w:r w:rsidR="004F0984">
        <w:rPr>
          <w:rFonts w:ascii="Arial" w:hAnsi="Arial" w:cs="Arial"/>
          <w:color w:val="000000" w:themeColor="text1"/>
          <w:sz w:val="22"/>
          <w:szCs w:val="22"/>
        </w:rPr>
        <w:t xml:space="preserve"> del numeral 4 de la referida guía. Esta tabla</w:t>
      </w:r>
      <w:r w:rsidR="003D73DB">
        <w:rPr>
          <w:rFonts w:ascii="Arial" w:hAnsi="Arial" w:cs="Arial"/>
          <w:color w:val="000000" w:themeColor="text1"/>
          <w:sz w:val="22"/>
          <w:szCs w:val="22"/>
        </w:rPr>
        <w:t xml:space="preserve"> establece cuatro rangos dentro de los que debe ubicarse</w:t>
      </w:r>
      <w:r w:rsidR="00F7390B">
        <w:rPr>
          <w:rFonts w:ascii="Arial" w:hAnsi="Arial" w:cs="Arial"/>
          <w:color w:val="000000" w:themeColor="text1"/>
          <w:sz w:val="22"/>
          <w:szCs w:val="22"/>
        </w:rPr>
        <w:t xml:space="preserve"> el valor obtenido al realizar el cálculo del factor (</w:t>
      </w:r>
      <w:r w:rsidR="00F7390B" w:rsidRPr="007328D2">
        <w:rPr>
          <w:rFonts w:ascii="Arial" w:hAnsi="Arial" w:cs="Arial"/>
          <w:i/>
          <w:iCs/>
          <w:color w:val="000000" w:themeColor="text1"/>
          <w:sz w:val="22"/>
          <w:szCs w:val="22"/>
        </w:rPr>
        <w:t>E</w:t>
      </w:r>
      <w:r w:rsidR="00F7390B">
        <w:rPr>
          <w:rFonts w:ascii="Arial" w:hAnsi="Arial" w:cs="Arial"/>
          <w:color w:val="000000" w:themeColor="text1"/>
          <w:sz w:val="22"/>
          <w:szCs w:val="22"/>
        </w:rPr>
        <w:t>)</w:t>
      </w:r>
      <w:r w:rsidR="00C37D36">
        <w:rPr>
          <w:rFonts w:ascii="Arial" w:hAnsi="Arial" w:cs="Arial"/>
          <w:color w:val="000000" w:themeColor="text1"/>
          <w:sz w:val="22"/>
          <w:szCs w:val="22"/>
        </w:rPr>
        <w:t>, en función de lo cual corresponde un determinado puntaje,</w:t>
      </w:r>
      <w:r w:rsidR="003D2C54">
        <w:rPr>
          <w:rFonts w:ascii="Arial" w:hAnsi="Arial" w:cs="Arial"/>
          <w:color w:val="000000" w:themeColor="text1"/>
          <w:sz w:val="22"/>
          <w:szCs w:val="22"/>
        </w:rPr>
        <w:t xml:space="preserve"> el cual será el valor que corresponderá por el factor (E) </w:t>
      </w:r>
      <w:r w:rsidR="008371B7">
        <w:rPr>
          <w:rFonts w:ascii="Arial" w:hAnsi="Arial" w:cs="Arial"/>
          <w:color w:val="000000" w:themeColor="text1"/>
          <w:sz w:val="22"/>
          <w:szCs w:val="22"/>
        </w:rPr>
        <w:t xml:space="preserve">en la formula para el calcula de la </w:t>
      </w:r>
      <w:r w:rsidR="008371B7" w:rsidRPr="007328D2">
        <w:rPr>
          <w:rFonts w:ascii="Arial" w:hAnsi="Arial" w:cs="Arial"/>
          <w:i/>
          <w:iCs/>
          <w:color w:val="000000" w:themeColor="text1"/>
          <w:sz w:val="22"/>
          <w:szCs w:val="22"/>
        </w:rPr>
        <w:t>CRP</w:t>
      </w:r>
      <w:r w:rsidR="008371B7">
        <w:rPr>
          <w:rFonts w:ascii="Arial" w:hAnsi="Arial" w:cs="Arial"/>
          <w:color w:val="000000" w:themeColor="text1"/>
          <w:sz w:val="22"/>
          <w:szCs w:val="22"/>
        </w:rPr>
        <w:t>.  La tabla consta de lo si</w:t>
      </w:r>
      <w:r w:rsidR="00DE3AFA">
        <w:rPr>
          <w:rFonts w:ascii="Arial" w:hAnsi="Arial" w:cs="Arial"/>
          <w:color w:val="000000" w:themeColor="text1"/>
          <w:sz w:val="22"/>
          <w:szCs w:val="22"/>
        </w:rPr>
        <w:t>guiente:</w:t>
      </w:r>
    </w:p>
    <w:p w14:paraId="5085176A" w14:textId="77777777" w:rsidR="006327D2" w:rsidRPr="008A2673" w:rsidRDefault="006327D2" w:rsidP="006327D2">
      <w:pPr>
        <w:ind w:left="709" w:right="709"/>
        <w:jc w:val="both"/>
        <w:rPr>
          <w:rFonts w:ascii="Arial" w:hAnsi="Arial" w:cs="Arial"/>
          <w:color w:val="000000" w:themeColor="text1"/>
          <w:sz w:val="21"/>
          <w:szCs w:val="21"/>
        </w:rPr>
      </w:pPr>
    </w:p>
    <w:tbl>
      <w:tblPr>
        <w:tblStyle w:val="Tablaconcuadrcula4-nfasis6"/>
        <w:tblW w:w="0" w:type="auto"/>
        <w:jc w:val="center"/>
        <w:tblLook w:val="04A0" w:firstRow="1" w:lastRow="0" w:firstColumn="1" w:lastColumn="0" w:noHBand="0" w:noVBand="1"/>
      </w:tblPr>
      <w:tblGrid>
        <w:gridCol w:w="1946"/>
        <w:gridCol w:w="1692"/>
        <w:gridCol w:w="2357"/>
      </w:tblGrid>
      <w:tr w:rsidR="006327D2" w:rsidRPr="00DE3AFA" w14:paraId="7A081C5A" w14:textId="77777777" w:rsidTr="007328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dxa"/>
          </w:tcPr>
          <w:p w14:paraId="1CE01B52" w14:textId="77777777" w:rsidR="006327D2" w:rsidRPr="007328D2" w:rsidRDefault="006327D2" w:rsidP="007328D2">
            <w:pPr>
              <w:ind w:right="709"/>
              <w:jc w:val="center"/>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Mayor a</w:t>
            </w:r>
          </w:p>
        </w:tc>
        <w:tc>
          <w:tcPr>
            <w:tcW w:w="1692" w:type="dxa"/>
          </w:tcPr>
          <w:p w14:paraId="5C84E79D" w14:textId="207DFA55" w:rsidR="006327D2" w:rsidRPr="007328D2" w:rsidRDefault="006327D2" w:rsidP="007328D2">
            <w:pPr>
              <w:ind w:right="-146"/>
              <w:cnfStyle w:val="100000000000" w:firstRow="1" w:lastRow="0" w:firstColumn="0" w:lastColumn="0" w:oddVBand="0" w:evenVBand="0" w:oddHBand="0"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Menor</w:t>
            </w:r>
            <w:r w:rsidR="000A558C">
              <w:rPr>
                <w:rFonts w:ascii="Arial" w:hAnsi="Arial" w:cs="Arial"/>
                <w:i/>
                <w:iCs/>
                <w:color w:val="262626" w:themeColor="text1" w:themeTint="D9"/>
                <w:sz w:val="20"/>
                <w:szCs w:val="20"/>
              </w:rPr>
              <w:t xml:space="preserve"> o</w:t>
            </w:r>
            <w:r w:rsidRPr="007328D2">
              <w:rPr>
                <w:rFonts w:ascii="Arial" w:hAnsi="Arial" w:cs="Arial"/>
                <w:i/>
                <w:iCs/>
                <w:color w:val="262626" w:themeColor="text1" w:themeTint="D9"/>
                <w:sz w:val="20"/>
                <w:szCs w:val="20"/>
              </w:rPr>
              <w:t xml:space="preserve"> igual a</w:t>
            </w:r>
          </w:p>
        </w:tc>
        <w:tc>
          <w:tcPr>
            <w:tcW w:w="2357" w:type="dxa"/>
          </w:tcPr>
          <w:p w14:paraId="71B64F2B" w14:textId="77777777" w:rsidR="006327D2" w:rsidRPr="007328D2" w:rsidRDefault="006327D2" w:rsidP="007328D2">
            <w:pPr>
              <w:ind w:right="709"/>
              <w:jc w:val="center"/>
              <w:cnfStyle w:val="100000000000" w:firstRow="1" w:lastRow="0" w:firstColumn="0" w:lastColumn="0" w:oddVBand="0" w:evenVBand="0" w:oddHBand="0"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Puntaje</w:t>
            </w:r>
          </w:p>
        </w:tc>
      </w:tr>
      <w:tr w:rsidR="006327D2" w:rsidRPr="00DE3AFA" w14:paraId="5B8B3D8F" w14:textId="77777777" w:rsidTr="007328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dxa"/>
          </w:tcPr>
          <w:p w14:paraId="2434B317" w14:textId="77777777" w:rsidR="006327D2" w:rsidRPr="007328D2" w:rsidRDefault="006327D2" w:rsidP="007328D2">
            <w:pPr>
              <w:ind w:right="709"/>
              <w:jc w:val="center"/>
              <w:rPr>
                <w:rFonts w:ascii="Arial" w:hAnsi="Arial" w:cs="Arial"/>
                <w:b w:val="0"/>
                <w:bCs w:val="0"/>
                <w:i/>
                <w:iCs/>
                <w:color w:val="262626" w:themeColor="text1" w:themeTint="D9"/>
                <w:sz w:val="20"/>
                <w:szCs w:val="20"/>
              </w:rPr>
            </w:pPr>
            <w:r w:rsidRPr="007328D2">
              <w:rPr>
                <w:rFonts w:ascii="Arial" w:hAnsi="Arial" w:cs="Arial"/>
                <w:i/>
                <w:iCs/>
                <w:color w:val="262626" w:themeColor="text1" w:themeTint="D9"/>
                <w:sz w:val="20"/>
                <w:szCs w:val="20"/>
              </w:rPr>
              <w:t>0</w:t>
            </w:r>
          </w:p>
        </w:tc>
        <w:tc>
          <w:tcPr>
            <w:tcW w:w="1692" w:type="dxa"/>
          </w:tcPr>
          <w:p w14:paraId="14C73FB7" w14:textId="77777777" w:rsidR="006327D2" w:rsidRPr="007328D2" w:rsidRDefault="006327D2" w:rsidP="007328D2">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3</w:t>
            </w:r>
          </w:p>
        </w:tc>
        <w:tc>
          <w:tcPr>
            <w:tcW w:w="2357" w:type="dxa"/>
          </w:tcPr>
          <w:p w14:paraId="3AE41876" w14:textId="77777777" w:rsidR="006327D2" w:rsidRPr="007328D2" w:rsidRDefault="006327D2" w:rsidP="007328D2">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60</w:t>
            </w:r>
          </w:p>
        </w:tc>
      </w:tr>
      <w:tr w:rsidR="006327D2" w:rsidRPr="00DE3AFA" w14:paraId="36C99FF8" w14:textId="77777777" w:rsidTr="007328D2">
        <w:trPr>
          <w:jc w:val="center"/>
        </w:trPr>
        <w:tc>
          <w:tcPr>
            <w:cnfStyle w:val="001000000000" w:firstRow="0" w:lastRow="0" w:firstColumn="1" w:lastColumn="0" w:oddVBand="0" w:evenVBand="0" w:oddHBand="0" w:evenHBand="0" w:firstRowFirstColumn="0" w:firstRowLastColumn="0" w:lastRowFirstColumn="0" w:lastRowLastColumn="0"/>
            <w:tcW w:w="1946" w:type="dxa"/>
          </w:tcPr>
          <w:p w14:paraId="07C576DC" w14:textId="77777777" w:rsidR="006327D2" w:rsidRPr="007328D2" w:rsidRDefault="006327D2" w:rsidP="007328D2">
            <w:pPr>
              <w:ind w:right="709"/>
              <w:jc w:val="center"/>
              <w:rPr>
                <w:rFonts w:ascii="Arial" w:hAnsi="Arial" w:cs="Arial"/>
                <w:b w:val="0"/>
                <w:bCs w:val="0"/>
                <w:i/>
                <w:iCs/>
                <w:color w:val="262626" w:themeColor="text1" w:themeTint="D9"/>
                <w:sz w:val="20"/>
                <w:szCs w:val="20"/>
              </w:rPr>
            </w:pPr>
            <w:r w:rsidRPr="007328D2">
              <w:rPr>
                <w:rFonts w:ascii="Arial" w:hAnsi="Arial" w:cs="Arial"/>
                <w:i/>
                <w:iCs/>
                <w:color w:val="262626" w:themeColor="text1" w:themeTint="D9"/>
                <w:sz w:val="20"/>
                <w:szCs w:val="20"/>
              </w:rPr>
              <w:t>3</w:t>
            </w:r>
          </w:p>
        </w:tc>
        <w:tc>
          <w:tcPr>
            <w:tcW w:w="1692" w:type="dxa"/>
          </w:tcPr>
          <w:p w14:paraId="3D6D9C94" w14:textId="77777777" w:rsidR="006327D2" w:rsidRPr="007328D2" w:rsidRDefault="006327D2" w:rsidP="007328D2">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6</w:t>
            </w:r>
          </w:p>
        </w:tc>
        <w:tc>
          <w:tcPr>
            <w:tcW w:w="2357" w:type="dxa"/>
          </w:tcPr>
          <w:p w14:paraId="311CBE9F" w14:textId="77777777" w:rsidR="006327D2" w:rsidRPr="007328D2" w:rsidRDefault="006327D2" w:rsidP="007328D2">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80</w:t>
            </w:r>
          </w:p>
        </w:tc>
      </w:tr>
      <w:tr w:rsidR="006327D2" w:rsidRPr="00DE3AFA" w14:paraId="69E95A9E" w14:textId="77777777" w:rsidTr="007328D2">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1946" w:type="dxa"/>
          </w:tcPr>
          <w:p w14:paraId="700ACE7F" w14:textId="024AC6B3" w:rsidR="006327D2" w:rsidRPr="007328D2" w:rsidRDefault="006327D2" w:rsidP="007328D2">
            <w:pPr>
              <w:ind w:right="709"/>
              <w:jc w:val="center"/>
              <w:rPr>
                <w:rFonts w:ascii="Arial" w:hAnsi="Arial" w:cs="Arial"/>
                <w:b w:val="0"/>
                <w:bCs w:val="0"/>
                <w:i/>
                <w:iCs/>
                <w:color w:val="262626" w:themeColor="text1" w:themeTint="D9"/>
                <w:sz w:val="20"/>
                <w:szCs w:val="20"/>
              </w:rPr>
            </w:pPr>
            <w:r w:rsidRPr="007328D2">
              <w:rPr>
                <w:rFonts w:ascii="Arial" w:hAnsi="Arial" w:cs="Arial"/>
                <w:i/>
                <w:iCs/>
                <w:color w:val="262626" w:themeColor="text1" w:themeTint="D9"/>
                <w:sz w:val="20"/>
                <w:szCs w:val="20"/>
              </w:rPr>
              <w:t>6</w:t>
            </w:r>
          </w:p>
        </w:tc>
        <w:tc>
          <w:tcPr>
            <w:tcW w:w="1692" w:type="dxa"/>
          </w:tcPr>
          <w:p w14:paraId="69A0E36F" w14:textId="77777777" w:rsidR="006327D2" w:rsidRPr="007328D2" w:rsidRDefault="006327D2" w:rsidP="007328D2">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10</w:t>
            </w:r>
          </w:p>
        </w:tc>
        <w:tc>
          <w:tcPr>
            <w:tcW w:w="2357" w:type="dxa"/>
          </w:tcPr>
          <w:p w14:paraId="5C41F88F" w14:textId="77777777" w:rsidR="006327D2" w:rsidRPr="007328D2" w:rsidRDefault="006327D2" w:rsidP="007328D2">
            <w:pPr>
              <w:ind w:right="709"/>
              <w:jc w:val="center"/>
              <w:cnfStyle w:val="000000100000" w:firstRow="0" w:lastRow="0" w:firstColumn="0" w:lastColumn="0" w:oddVBand="0" w:evenVBand="0" w:oddHBand="1"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100</w:t>
            </w:r>
          </w:p>
        </w:tc>
      </w:tr>
      <w:tr w:rsidR="006327D2" w:rsidRPr="00DE3AFA" w14:paraId="024BBC3B" w14:textId="77777777" w:rsidTr="007328D2">
        <w:trPr>
          <w:jc w:val="center"/>
        </w:trPr>
        <w:tc>
          <w:tcPr>
            <w:cnfStyle w:val="001000000000" w:firstRow="0" w:lastRow="0" w:firstColumn="1" w:lastColumn="0" w:oddVBand="0" w:evenVBand="0" w:oddHBand="0" w:evenHBand="0" w:firstRowFirstColumn="0" w:firstRowLastColumn="0" w:lastRowFirstColumn="0" w:lastRowLastColumn="0"/>
            <w:tcW w:w="1946" w:type="dxa"/>
          </w:tcPr>
          <w:p w14:paraId="384642FB" w14:textId="77777777" w:rsidR="006327D2" w:rsidRPr="007328D2" w:rsidRDefault="006327D2" w:rsidP="007328D2">
            <w:pPr>
              <w:ind w:right="709"/>
              <w:jc w:val="center"/>
              <w:rPr>
                <w:rFonts w:ascii="Arial" w:hAnsi="Arial" w:cs="Arial"/>
                <w:b w:val="0"/>
                <w:bCs w:val="0"/>
                <w:i/>
                <w:iCs/>
                <w:color w:val="262626" w:themeColor="text1" w:themeTint="D9"/>
                <w:sz w:val="20"/>
                <w:szCs w:val="20"/>
              </w:rPr>
            </w:pPr>
            <w:r w:rsidRPr="007328D2">
              <w:rPr>
                <w:rFonts w:ascii="Arial" w:hAnsi="Arial" w:cs="Arial"/>
                <w:i/>
                <w:iCs/>
                <w:color w:val="262626" w:themeColor="text1" w:themeTint="D9"/>
                <w:sz w:val="20"/>
                <w:szCs w:val="20"/>
              </w:rPr>
              <w:t>10</w:t>
            </w:r>
          </w:p>
        </w:tc>
        <w:tc>
          <w:tcPr>
            <w:tcW w:w="1692" w:type="dxa"/>
          </w:tcPr>
          <w:p w14:paraId="7A845A04" w14:textId="77777777" w:rsidR="006327D2" w:rsidRPr="007328D2" w:rsidRDefault="006327D2" w:rsidP="007328D2">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Mayores</w:t>
            </w:r>
          </w:p>
        </w:tc>
        <w:tc>
          <w:tcPr>
            <w:tcW w:w="2357" w:type="dxa"/>
          </w:tcPr>
          <w:p w14:paraId="427E4C8E" w14:textId="77777777" w:rsidR="006327D2" w:rsidRPr="007328D2" w:rsidRDefault="006327D2" w:rsidP="007328D2">
            <w:pPr>
              <w:ind w:right="709"/>
              <w:jc w:val="center"/>
              <w:cnfStyle w:val="000000000000" w:firstRow="0" w:lastRow="0" w:firstColumn="0" w:lastColumn="0" w:oddVBand="0" w:evenVBand="0" w:oddHBand="0" w:evenHBand="0" w:firstRowFirstColumn="0" w:firstRowLastColumn="0" w:lastRowFirstColumn="0" w:lastRowLastColumn="0"/>
              <w:rPr>
                <w:rFonts w:ascii="Arial" w:hAnsi="Arial" w:cs="Arial"/>
                <w:i/>
                <w:iCs/>
                <w:color w:val="262626" w:themeColor="text1" w:themeTint="D9"/>
                <w:sz w:val="20"/>
                <w:szCs w:val="20"/>
              </w:rPr>
            </w:pPr>
            <w:r w:rsidRPr="007328D2">
              <w:rPr>
                <w:rFonts w:ascii="Arial" w:hAnsi="Arial" w:cs="Arial"/>
                <w:i/>
                <w:iCs/>
                <w:color w:val="262626" w:themeColor="text1" w:themeTint="D9"/>
                <w:sz w:val="20"/>
                <w:szCs w:val="20"/>
              </w:rPr>
              <w:t>120</w:t>
            </w:r>
          </w:p>
        </w:tc>
      </w:tr>
    </w:tbl>
    <w:p w14:paraId="26A0AB46" w14:textId="77777777" w:rsidR="00783999" w:rsidRDefault="00783999" w:rsidP="005F2ECC">
      <w:pPr>
        <w:spacing w:line="276" w:lineRule="auto"/>
        <w:ind w:firstLine="709"/>
        <w:jc w:val="both"/>
        <w:rPr>
          <w:rFonts w:ascii="Arial" w:eastAsia="Arial," w:hAnsi="Arial" w:cs="Arial"/>
          <w:sz w:val="22"/>
          <w:szCs w:val="22"/>
        </w:rPr>
      </w:pPr>
    </w:p>
    <w:p w14:paraId="6152AF79" w14:textId="1BF962BA" w:rsidR="000A558C" w:rsidRPr="007328D2" w:rsidRDefault="000A558C" w:rsidP="007328D2">
      <w:pPr>
        <w:spacing w:line="276" w:lineRule="auto"/>
        <w:ind w:firstLine="709"/>
        <w:jc w:val="both"/>
        <w:rPr>
          <w:sz w:val="22"/>
          <w:szCs w:val="22"/>
        </w:rPr>
      </w:pPr>
      <w:r w:rsidRPr="007328D2">
        <w:rPr>
          <w:rFonts w:ascii="Arial" w:eastAsia="Arial," w:hAnsi="Arial" w:cs="Arial"/>
          <w:sz w:val="22"/>
          <w:szCs w:val="22"/>
        </w:rPr>
        <w:t xml:space="preserve">Para facilitar la aplicación de la metodología para el cálculo de la capacidad residual, </w:t>
      </w:r>
      <w:r w:rsidR="00387D10">
        <w:rPr>
          <w:rFonts w:ascii="Arial" w:eastAsia="Arial," w:hAnsi="Arial" w:cs="Arial"/>
          <w:sz w:val="22"/>
          <w:szCs w:val="22"/>
        </w:rPr>
        <w:t xml:space="preserve">la Agencia Nacional de Contratación Pública </w:t>
      </w:r>
      <w:r w:rsidR="009C5AD1" w:rsidRPr="00656DF5">
        <w:rPr>
          <w:sz w:val="22"/>
          <w:szCs w:val="22"/>
        </w:rPr>
        <w:t xml:space="preserve">– </w:t>
      </w:r>
      <w:r w:rsidRPr="007328D2">
        <w:rPr>
          <w:rFonts w:ascii="Arial" w:eastAsia="Arial," w:hAnsi="Arial" w:cs="Arial"/>
          <w:sz w:val="22"/>
          <w:szCs w:val="22"/>
        </w:rPr>
        <w:t xml:space="preserve">Colombia Compra Eficiente ha puesto a disposición de la ciudadanía una «Aplicación para establecer la Capacidad Residual», que sirve para calcular la capacidad residual en los procesos de selección, a la cual se puede acceder mediante el </w:t>
      </w:r>
      <w:r w:rsidRPr="007328D2">
        <w:rPr>
          <w:rFonts w:ascii="Arial" w:eastAsia="Arial" w:hAnsi="Arial" w:cs="Arial"/>
          <w:sz w:val="22"/>
          <w:szCs w:val="22"/>
          <w:lang w:eastAsia="es-ES" w:bidi="es-ES"/>
        </w:rPr>
        <w:t>enlace incluido en la siguiente nota al pie</w:t>
      </w:r>
      <w:r w:rsidRPr="007328D2">
        <w:rPr>
          <w:rFonts w:ascii="Arial" w:eastAsia="Arial" w:hAnsi="Arial" w:cs="Arial"/>
          <w:sz w:val="22"/>
          <w:szCs w:val="22"/>
          <w:vertAlign w:val="superscript"/>
          <w:lang w:eastAsia="es-ES" w:bidi="es-ES"/>
        </w:rPr>
        <w:footnoteReference w:id="6"/>
      </w:r>
      <w:r w:rsidRPr="007328D2">
        <w:rPr>
          <w:rFonts w:ascii="Arial" w:eastAsia="Arial" w:hAnsi="Arial" w:cs="Arial"/>
          <w:sz w:val="22"/>
          <w:szCs w:val="22"/>
          <w:lang w:eastAsia="es-ES" w:bidi="es-ES"/>
        </w:rPr>
        <w:t xml:space="preserve">. </w:t>
      </w:r>
      <w:r w:rsidRPr="007328D2">
        <w:rPr>
          <w:rFonts w:ascii="Arial" w:hAnsi="Arial" w:cs="Arial"/>
          <w:sz w:val="22"/>
          <w:szCs w:val="22"/>
        </w:rPr>
        <w:t xml:space="preserve">Sin perjuicio de la utilidad de este aplicativo, sobre el uso del </w:t>
      </w:r>
      <w:r w:rsidR="005F2ECC" w:rsidRPr="007328D2">
        <w:rPr>
          <w:rFonts w:ascii="Arial" w:hAnsi="Arial" w:cs="Arial"/>
          <w:sz w:val="22"/>
          <w:szCs w:val="22"/>
        </w:rPr>
        <w:t xml:space="preserve">mismo </w:t>
      </w:r>
      <w:r w:rsidRPr="007328D2">
        <w:rPr>
          <w:rFonts w:ascii="Arial" w:hAnsi="Arial" w:cs="Arial"/>
          <w:sz w:val="22"/>
          <w:szCs w:val="22"/>
        </w:rPr>
        <w:t xml:space="preserve">y la acreditación de los factores necesarios para calcular la capacidad residual, </w:t>
      </w:r>
      <w:r w:rsidR="005F2ECC" w:rsidRPr="007328D2">
        <w:rPr>
          <w:rFonts w:ascii="Arial" w:hAnsi="Arial" w:cs="Arial"/>
          <w:sz w:val="22"/>
          <w:szCs w:val="22"/>
        </w:rPr>
        <w:t xml:space="preserve">resulta pertinente traer a colación lo dispuesto en el punto 7 de </w:t>
      </w:r>
      <w:r w:rsidRPr="007328D2">
        <w:rPr>
          <w:rFonts w:ascii="Arial" w:hAnsi="Arial" w:cs="Arial"/>
          <w:sz w:val="22"/>
          <w:szCs w:val="22"/>
        </w:rPr>
        <w:t xml:space="preserve">la Circular Externa Única de Colombia Compra Eficiente, en el </w:t>
      </w:r>
      <w:r w:rsidR="005F2ECC" w:rsidRPr="007328D2">
        <w:rPr>
          <w:rFonts w:ascii="Arial" w:hAnsi="Arial" w:cs="Arial"/>
          <w:sz w:val="22"/>
          <w:szCs w:val="22"/>
        </w:rPr>
        <w:t xml:space="preserve">que se </w:t>
      </w:r>
      <w:r w:rsidRPr="007328D2">
        <w:rPr>
          <w:rFonts w:ascii="Arial" w:hAnsi="Arial" w:cs="Arial"/>
          <w:sz w:val="22"/>
          <w:szCs w:val="22"/>
        </w:rPr>
        <w:t>establece lo siguiente:</w:t>
      </w:r>
    </w:p>
    <w:p w14:paraId="3C2295D7" w14:textId="77777777" w:rsidR="000A558C" w:rsidRPr="00A03FAB" w:rsidRDefault="000A558C" w:rsidP="000A558C">
      <w:pPr>
        <w:pStyle w:val="Textoindependiente"/>
        <w:spacing w:line="276" w:lineRule="auto"/>
        <w:ind w:right="51" w:firstLine="709"/>
        <w:jc w:val="both"/>
        <w:rPr>
          <w:lang w:val="es-CO"/>
        </w:rPr>
      </w:pPr>
    </w:p>
    <w:p w14:paraId="15DB2DA1" w14:textId="77777777" w:rsidR="000A558C" w:rsidRPr="00A03FAB" w:rsidRDefault="000A558C" w:rsidP="000A558C">
      <w:pPr>
        <w:pStyle w:val="Textoindependiente"/>
        <w:ind w:left="709" w:right="760"/>
        <w:jc w:val="both"/>
        <w:rPr>
          <w:sz w:val="21"/>
          <w:szCs w:val="21"/>
          <w:lang w:val="es-CO"/>
        </w:rPr>
      </w:pPr>
      <w:r w:rsidRPr="00A03FAB">
        <w:rPr>
          <w:sz w:val="21"/>
          <w:szCs w:val="21"/>
          <w:lang w:val="es-CO"/>
        </w:rPr>
        <w:t xml:space="preserve">En desarrollo del artículo 2.2.1.1.1.6.4. del Decreto 1082 de 2015, Colombia Compra Eficiente expide la </w:t>
      </w:r>
      <w:r>
        <w:rPr>
          <w:sz w:val="21"/>
          <w:szCs w:val="21"/>
          <w:lang w:val="es-CO"/>
        </w:rPr>
        <w:t>«</w:t>
      </w:r>
      <w:r w:rsidRPr="00A03FAB">
        <w:rPr>
          <w:sz w:val="21"/>
          <w:szCs w:val="21"/>
          <w:lang w:val="es-CO"/>
        </w:rPr>
        <w:t>Guía para determinar y verificar la Capacidad Residual del proponente en los procesos de contratación de obra pública</w:t>
      </w:r>
      <w:r>
        <w:rPr>
          <w:sz w:val="21"/>
          <w:szCs w:val="21"/>
          <w:lang w:val="es-CO"/>
        </w:rPr>
        <w:t>»</w:t>
      </w:r>
      <w:r w:rsidRPr="00A03FAB">
        <w:rPr>
          <w:sz w:val="21"/>
          <w:szCs w:val="21"/>
          <w:lang w:val="es-CO"/>
        </w:rPr>
        <w:t xml:space="preserve">, y conjuntamente un aplicativo de Excel diseñado para facilitar el cálculo. Este aplicativo es un instrumento de apoyo que no exime a las Entidades Estatales y a los proponentes de realizar el cálculo de la Capacidad Residual en los </w:t>
      </w:r>
      <w:r w:rsidRPr="00A03FAB">
        <w:rPr>
          <w:sz w:val="21"/>
          <w:szCs w:val="21"/>
          <w:lang w:val="es-CO"/>
        </w:rPr>
        <w:lastRenderedPageBreak/>
        <w:t>términos de la Guía.</w:t>
      </w:r>
    </w:p>
    <w:p w14:paraId="147228C5" w14:textId="77777777" w:rsidR="000A558C" w:rsidRPr="00A03FAB" w:rsidRDefault="000A558C" w:rsidP="000A558C">
      <w:pPr>
        <w:pStyle w:val="Textoindependiente"/>
        <w:ind w:left="709" w:right="760"/>
        <w:jc w:val="both"/>
        <w:rPr>
          <w:sz w:val="21"/>
          <w:szCs w:val="21"/>
          <w:lang w:val="es-CO"/>
        </w:rPr>
      </w:pPr>
    </w:p>
    <w:p w14:paraId="439E20DB" w14:textId="781F6E53" w:rsidR="004032ED" w:rsidRPr="004032ED" w:rsidRDefault="004032ED" w:rsidP="007328D2">
      <w:pPr>
        <w:spacing w:line="276" w:lineRule="auto"/>
        <w:ind w:firstLine="708"/>
        <w:jc w:val="both"/>
        <w:rPr>
          <w:rFonts w:ascii="Arial" w:eastAsia="Arial," w:hAnsi="Arial" w:cs="Arial"/>
          <w:sz w:val="22"/>
          <w:szCs w:val="22"/>
        </w:rPr>
      </w:pPr>
      <w:r w:rsidRPr="004032ED">
        <w:rPr>
          <w:rFonts w:ascii="Arial" w:eastAsia="Arial," w:hAnsi="Arial" w:cs="Arial"/>
          <w:sz w:val="22"/>
          <w:szCs w:val="22"/>
        </w:rPr>
        <w:t>Conforme a lo anterior, si bien el aplicativo de Excel desarrollado por esta entidad constituye una herramienta que facilita la implementación de la metodología establecida en la guía, su uso no exime del deber de aplicar lo dispuesto en la guía.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 En todo caso, se reitera, lo que se debe aplicar es la metodología establecida en la guía, por tanto, son sus disposiciones las que deben seguirse para la determinación de la capacidad residual</w:t>
      </w:r>
    </w:p>
    <w:p w14:paraId="009C0C3D" w14:textId="77777777" w:rsidR="000830F9" w:rsidRDefault="000830F9" w:rsidP="008B79F9">
      <w:pPr>
        <w:tabs>
          <w:tab w:val="left" w:pos="709"/>
        </w:tabs>
        <w:spacing w:line="276" w:lineRule="auto"/>
        <w:jc w:val="both"/>
        <w:rPr>
          <w:rFonts w:ascii="Arial" w:eastAsia="Calibri" w:hAnsi="Arial" w:cs="Arial"/>
          <w:bCs/>
          <w:sz w:val="22"/>
          <w:szCs w:val="22"/>
          <w:lang w:val="es-ES_tradnl"/>
        </w:rPr>
      </w:pPr>
    </w:p>
    <w:p w14:paraId="13355948" w14:textId="174F96A7" w:rsidR="00C33A69" w:rsidRDefault="00C33A69" w:rsidP="007328D2">
      <w:pPr>
        <w:pStyle w:val="Prrafodelista"/>
        <w:numPr>
          <w:ilvl w:val="0"/>
          <w:numId w:val="11"/>
        </w:numPr>
        <w:tabs>
          <w:tab w:val="left" w:pos="567"/>
        </w:tabs>
        <w:spacing w:line="276" w:lineRule="auto"/>
        <w:ind w:left="426"/>
        <w:jc w:val="both"/>
        <w:rPr>
          <w:rFonts w:ascii="Arial" w:eastAsia="Calibri" w:hAnsi="Arial" w:cs="Arial"/>
          <w:b/>
          <w:sz w:val="22"/>
          <w:lang w:val="es-ES_tradnl"/>
        </w:rPr>
      </w:pPr>
      <w:r w:rsidRPr="008B79F9">
        <w:rPr>
          <w:rFonts w:ascii="Arial" w:eastAsia="Calibri" w:hAnsi="Arial" w:cs="Arial"/>
          <w:b/>
          <w:sz w:val="22"/>
          <w:lang w:val="es-ES_tradnl"/>
        </w:rPr>
        <w:t>Respuesta</w:t>
      </w:r>
    </w:p>
    <w:p w14:paraId="63533AB0" w14:textId="7C8C191B" w:rsidR="0004028A" w:rsidRDefault="0004028A" w:rsidP="0004028A">
      <w:pPr>
        <w:tabs>
          <w:tab w:val="left" w:pos="709"/>
        </w:tabs>
        <w:spacing w:line="276" w:lineRule="auto"/>
        <w:jc w:val="both"/>
        <w:rPr>
          <w:rFonts w:ascii="Arial" w:eastAsia="Calibri" w:hAnsi="Arial" w:cs="Arial"/>
          <w:b/>
          <w:sz w:val="22"/>
          <w:lang w:val="es-ES_tradnl"/>
        </w:rPr>
      </w:pPr>
    </w:p>
    <w:p w14:paraId="25AC2AD4" w14:textId="58F3D0F8" w:rsidR="0004028A" w:rsidRPr="008B79F9" w:rsidRDefault="0004028A" w:rsidP="008B79F9">
      <w:pPr>
        <w:tabs>
          <w:tab w:val="left" w:pos="709"/>
        </w:tabs>
        <w:ind w:left="709" w:right="709"/>
        <w:jc w:val="both"/>
        <w:rPr>
          <w:rFonts w:ascii="Arial" w:eastAsia="Calibri" w:hAnsi="Arial" w:cs="Arial"/>
          <w:b/>
          <w:sz w:val="21"/>
          <w:szCs w:val="21"/>
          <w:lang w:val="es-ES_tradnl"/>
        </w:rPr>
      </w:pPr>
      <w:r w:rsidRPr="008B79F9">
        <w:rPr>
          <w:rFonts w:ascii="Arial" w:eastAsia="Calibri" w:hAnsi="Arial" w:cs="Arial"/>
          <w:sz w:val="21"/>
          <w:szCs w:val="21"/>
        </w:rPr>
        <w:t>«</w:t>
      </w:r>
      <w:r w:rsidRPr="008B79F9">
        <w:rPr>
          <w:rFonts w:ascii="Arial" w:hAnsi="Arial" w:cs="Arial"/>
          <w:sz w:val="21"/>
          <w:szCs w:val="21"/>
        </w:rPr>
        <w:t>Necesito calcular la capacidad residual, pero no me queda clara la información que debo presentar en cuanto a la experiencia. Nosotros somos una empresa privada que no manejamos presupuesto, por eso se me hace complejo realizar dicho calculo. Quisiera que por favor me guíen para saber como llegar al valor de la experiencia y así́ continuar con el calculo de la K Residual en su archivo de Excel</w:t>
      </w:r>
      <w:r w:rsidRPr="008B79F9">
        <w:rPr>
          <w:rFonts w:ascii="Arial" w:eastAsia="Calibri" w:hAnsi="Arial" w:cs="Arial"/>
          <w:color w:val="000000" w:themeColor="text1"/>
          <w:sz w:val="21"/>
          <w:szCs w:val="21"/>
        </w:rPr>
        <w:t>».</w:t>
      </w:r>
    </w:p>
    <w:p w14:paraId="379B3F2B" w14:textId="77777777" w:rsidR="00C33A69" w:rsidRPr="0093085B" w:rsidRDefault="00C33A69" w:rsidP="0093085B">
      <w:pPr>
        <w:pStyle w:val="xxmsonormal"/>
        <w:spacing w:before="0" w:beforeAutospacing="0" w:after="0" w:afterAutospacing="0" w:line="276" w:lineRule="auto"/>
        <w:jc w:val="both"/>
        <w:rPr>
          <w:rFonts w:ascii="Arial" w:hAnsi="Arial" w:cs="Arial"/>
          <w:color w:val="000000"/>
          <w:sz w:val="22"/>
          <w:szCs w:val="22"/>
          <w:bdr w:val="none" w:sz="0" w:space="0" w:color="auto" w:frame="1"/>
          <w:lang w:val="es-ES_tradnl"/>
        </w:rPr>
      </w:pPr>
    </w:p>
    <w:p w14:paraId="6C1A1470" w14:textId="017DAAFC" w:rsidR="00A42838" w:rsidRPr="007328D2" w:rsidRDefault="00A42838">
      <w:pPr>
        <w:pStyle w:val="Textoindependiente"/>
        <w:spacing w:after="120" w:line="276" w:lineRule="auto"/>
        <w:ind w:right="51"/>
        <w:jc w:val="both"/>
        <w:rPr>
          <w:sz w:val="22"/>
          <w:szCs w:val="22"/>
          <w:lang w:val="es-CO"/>
        </w:rPr>
      </w:pPr>
      <w:r>
        <w:rPr>
          <w:color w:val="000000"/>
          <w:sz w:val="22"/>
          <w:szCs w:val="22"/>
          <w:bdr w:val="none" w:sz="0" w:space="0" w:color="auto" w:frame="1"/>
        </w:rPr>
        <w:tab/>
      </w:r>
      <w:r w:rsidRPr="007328D2">
        <w:rPr>
          <w:sz w:val="22"/>
          <w:szCs w:val="22"/>
          <w:lang w:val="es-CO"/>
        </w:rPr>
        <w:t xml:space="preserve">Conforme con lo expuesto, el artículo 2.2.1.1.1.6.4 del Decreto 1082 de 2015 facultó a la Agencia Nacional de Contratación Pública – Colombia Compra Eficiente para establecer la metodología para el cálculo de la capacidad residual. Dicha competencia fue ejercida mediante la expedición de la </w:t>
      </w:r>
      <w:r w:rsidRPr="007328D2">
        <w:rPr>
          <w:i/>
          <w:iCs/>
          <w:sz w:val="22"/>
          <w:szCs w:val="22"/>
          <w:lang w:val="es-CO"/>
        </w:rPr>
        <w:t>«</w:t>
      </w:r>
      <w:r w:rsidRPr="007328D2">
        <w:rPr>
          <w:i/>
          <w:iCs/>
          <w:sz w:val="22"/>
          <w:szCs w:val="22"/>
        </w:rPr>
        <w:t>Guía para Determinar y Verificar la Capacidad Residual del Proponente en los Procesos de Contratación de Obra Pública»</w:t>
      </w:r>
      <w:r w:rsidRPr="007328D2">
        <w:rPr>
          <w:sz w:val="22"/>
          <w:szCs w:val="22"/>
        </w:rPr>
        <w:t>, en la que se desarrolla una metodología que tiene en cuenta lo dispuesto en el parágrafo 1 del artículo 6 de la Ley 1150 de 2007 y el artículo 2.2.1.1.1.6.4 del Decreto 1082 de 2015, la cual resulta de obligatoria observancia tanto para las entidades como para los oferentes en los procesos de selección de obra pública.</w:t>
      </w:r>
    </w:p>
    <w:p w14:paraId="106358D1" w14:textId="00A9409D" w:rsidR="0055248E" w:rsidRDefault="00A42838" w:rsidP="007328D2">
      <w:pPr>
        <w:pStyle w:val="NormalWeb"/>
        <w:spacing w:before="0" w:beforeAutospacing="0" w:after="120" w:afterAutospacing="0" w:line="276" w:lineRule="auto"/>
        <w:ind w:firstLine="709"/>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Dicha </w:t>
      </w:r>
      <w:r w:rsidR="003460DD" w:rsidRPr="003460DD">
        <w:rPr>
          <w:rFonts w:ascii="Arial" w:hAnsi="Arial" w:cs="Arial"/>
          <w:color w:val="000000"/>
          <w:sz w:val="22"/>
          <w:szCs w:val="22"/>
          <w:bdr w:val="none" w:sz="0" w:space="0" w:color="auto" w:frame="1"/>
        </w:rPr>
        <w:t xml:space="preserve">guía </w:t>
      </w:r>
      <w:r w:rsidR="00EE309B" w:rsidRPr="003460DD">
        <w:rPr>
          <w:rFonts w:ascii="Arial" w:hAnsi="Arial" w:cs="Arial"/>
          <w:color w:val="000000"/>
          <w:sz w:val="22"/>
          <w:szCs w:val="22"/>
          <w:bdr w:val="none" w:sz="0" w:space="0" w:color="auto" w:frame="1"/>
        </w:rPr>
        <w:t xml:space="preserve">es clara al establecer que el factor de experiencia (E) se obtiene realizando una operación matemática de división </w:t>
      </w:r>
      <w:r>
        <w:rPr>
          <w:rFonts w:ascii="Arial" w:hAnsi="Arial" w:cs="Arial"/>
          <w:color w:val="000000"/>
          <w:sz w:val="22"/>
          <w:szCs w:val="22"/>
          <w:bdr w:val="none" w:sz="0" w:space="0" w:color="auto" w:frame="1"/>
        </w:rPr>
        <w:t>del</w:t>
      </w:r>
      <w:r w:rsidRPr="003460DD">
        <w:rPr>
          <w:rFonts w:ascii="Arial" w:hAnsi="Arial" w:cs="Arial"/>
          <w:color w:val="000000"/>
          <w:sz w:val="22"/>
          <w:szCs w:val="22"/>
          <w:bdr w:val="none" w:sz="0" w:space="0" w:color="auto" w:frame="1"/>
        </w:rPr>
        <w:t xml:space="preserve"> </w:t>
      </w:r>
      <w:r w:rsidR="00EE309B" w:rsidRPr="003460DD">
        <w:rPr>
          <w:rFonts w:ascii="Arial" w:hAnsi="Arial" w:cs="Arial"/>
          <w:color w:val="000000"/>
          <w:sz w:val="22"/>
          <w:szCs w:val="22"/>
          <w:bdr w:val="none" w:sz="0" w:space="0" w:color="auto" w:frame="1"/>
        </w:rPr>
        <w:t xml:space="preserve">valor total en pesos de los contratos que </w:t>
      </w:r>
      <w:r w:rsidR="00990410">
        <w:rPr>
          <w:rFonts w:ascii="Arial" w:hAnsi="Arial" w:cs="Arial"/>
          <w:color w:val="000000"/>
          <w:sz w:val="22"/>
          <w:szCs w:val="22"/>
          <w:bdr w:val="none" w:sz="0" w:space="0" w:color="auto" w:frame="1"/>
        </w:rPr>
        <w:t xml:space="preserve">inscritos </w:t>
      </w:r>
      <w:r w:rsidR="00EE309B" w:rsidRPr="003460DD">
        <w:rPr>
          <w:rFonts w:ascii="Arial" w:hAnsi="Arial" w:cs="Arial"/>
          <w:color w:val="000000"/>
          <w:sz w:val="22"/>
          <w:szCs w:val="22"/>
          <w:bdr w:val="none" w:sz="0" w:space="0" w:color="auto" w:frame="1"/>
        </w:rPr>
        <w:t>en el RUP</w:t>
      </w:r>
      <w:r w:rsidR="00990410">
        <w:rPr>
          <w:rFonts w:ascii="Arial" w:hAnsi="Arial" w:cs="Arial"/>
          <w:color w:val="000000"/>
          <w:sz w:val="22"/>
          <w:szCs w:val="22"/>
          <w:bdr w:val="none" w:sz="0" w:space="0" w:color="auto" w:frame="1"/>
        </w:rPr>
        <w:t xml:space="preserve"> del proponente en el segmento 72 del Clasificador </w:t>
      </w:r>
      <w:r w:rsidR="00990410" w:rsidRPr="00883BDA">
        <w:rPr>
          <w:rFonts w:ascii="Arial" w:hAnsi="Arial" w:cs="Arial"/>
          <w:color w:val="000000" w:themeColor="text1"/>
          <w:sz w:val="22"/>
        </w:rPr>
        <w:t>UNSPSC</w:t>
      </w:r>
      <w:r w:rsidR="003E5A87">
        <w:rPr>
          <w:rFonts w:ascii="Arial" w:hAnsi="Arial" w:cs="Arial"/>
          <w:color w:val="000000" w:themeColor="text1"/>
          <w:sz w:val="22"/>
        </w:rPr>
        <w:t>, entre</w:t>
      </w:r>
      <w:r w:rsidR="003E5A87">
        <w:rPr>
          <w:rFonts w:ascii="Arial" w:hAnsi="Arial" w:cs="Arial"/>
          <w:color w:val="000000"/>
          <w:sz w:val="22"/>
          <w:szCs w:val="22"/>
          <w:bdr w:val="none" w:sz="0" w:space="0" w:color="auto" w:frame="1"/>
        </w:rPr>
        <w:t xml:space="preserve"> </w:t>
      </w:r>
      <w:r w:rsidR="00EE309B" w:rsidRPr="003460DD">
        <w:rPr>
          <w:rFonts w:ascii="Arial" w:hAnsi="Arial" w:cs="Arial"/>
          <w:color w:val="000000"/>
          <w:sz w:val="22"/>
          <w:szCs w:val="22"/>
          <w:bdr w:val="none" w:sz="0" w:space="0" w:color="auto" w:frame="1"/>
        </w:rPr>
        <w:t xml:space="preserve"> el presupuesto oficial estimado del procedimiento contractual</w:t>
      </w:r>
      <w:r w:rsidR="003E5A87">
        <w:rPr>
          <w:rFonts w:ascii="Arial" w:hAnsi="Arial" w:cs="Arial"/>
          <w:color w:val="000000"/>
          <w:sz w:val="22"/>
          <w:szCs w:val="22"/>
          <w:bdr w:val="none" w:sz="0" w:space="0" w:color="auto" w:frame="1"/>
        </w:rPr>
        <w:t xml:space="preserve"> multiplicado por el porcentaje de participación </w:t>
      </w:r>
      <w:r w:rsidR="000D23BE">
        <w:rPr>
          <w:rFonts w:ascii="Arial" w:hAnsi="Arial" w:cs="Arial"/>
          <w:color w:val="000000"/>
          <w:sz w:val="22"/>
          <w:szCs w:val="22"/>
          <w:bdr w:val="none" w:sz="0" w:space="0" w:color="auto" w:frame="1"/>
        </w:rPr>
        <w:t>en el proponente.</w:t>
      </w:r>
      <w:r w:rsidR="00EE309B" w:rsidRPr="003460DD">
        <w:rPr>
          <w:rFonts w:ascii="Arial" w:hAnsi="Arial" w:cs="Arial"/>
          <w:color w:val="000000"/>
          <w:sz w:val="22"/>
          <w:szCs w:val="22"/>
          <w:bdr w:val="none" w:sz="0" w:space="0" w:color="auto" w:frame="1"/>
        </w:rPr>
        <w:t xml:space="preserve">  </w:t>
      </w:r>
      <w:r w:rsidR="00EE309B" w:rsidRPr="008B79F9">
        <w:rPr>
          <w:rFonts w:ascii="Arial" w:hAnsi="Arial" w:cs="Arial"/>
          <w:color w:val="000000"/>
          <w:sz w:val="22"/>
          <w:szCs w:val="22"/>
          <w:bdr w:val="none" w:sz="0" w:space="0" w:color="auto" w:frame="1"/>
        </w:rPr>
        <w:t xml:space="preserve">La relación indica el número de veces que el proponente ha ejecutado contratos equivalentes a la cuantía del Proceso de Contratación objeto de la acreditación de la Capacidad Residual. </w:t>
      </w:r>
    </w:p>
    <w:p w14:paraId="7F265128" w14:textId="45302D6E" w:rsidR="00EE309B" w:rsidRPr="003460DD" w:rsidRDefault="0055248E" w:rsidP="007328D2">
      <w:pPr>
        <w:pStyle w:val="NormalWeb"/>
        <w:spacing w:before="0" w:beforeAutospacing="0" w:after="120" w:afterAutospacing="0" w:line="276" w:lineRule="auto"/>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ab/>
        <w:t xml:space="preserve">El cociente surgido de la anterior </w:t>
      </w:r>
      <w:r w:rsidR="00C03A17">
        <w:rPr>
          <w:rFonts w:ascii="Arial" w:hAnsi="Arial" w:cs="Arial"/>
          <w:color w:val="000000"/>
          <w:sz w:val="22"/>
          <w:szCs w:val="22"/>
          <w:bdr w:val="none" w:sz="0" w:space="0" w:color="auto" w:frame="1"/>
        </w:rPr>
        <w:t>operació</w:t>
      </w:r>
      <w:r w:rsidR="00D51136">
        <w:rPr>
          <w:rFonts w:ascii="Arial" w:hAnsi="Arial" w:cs="Arial"/>
          <w:color w:val="000000"/>
          <w:sz w:val="22"/>
          <w:szCs w:val="22"/>
          <w:bdr w:val="none" w:sz="0" w:space="0" w:color="auto" w:frame="1"/>
        </w:rPr>
        <w:t>n</w:t>
      </w:r>
      <w:r w:rsidR="00C03A17">
        <w:rPr>
          <w:rFonts w:ascii="Arial" w:hAnsi="Arial" w:cs="Arial"/>
          <w:color w:val="000000"/>
          <w:sz w:val="22"/>
          <w:szCs w:val="22"/>
          <w:bdr w:val="none" w:sz="0" w:space="0" w:color="auto" w:frame="1"/>
        </w:rPr>
        <w:t xml:space="preserve"> deberá ser </w:t>
      </w:r>
      <w:r w:rsidR="00C34311">
        <w:rPr>
          <w:rFonts w:ascii="Arial" w:hAnsi="Arial" w:cs="Arial"/>
          <w:color w:val="000000"/>
          <w:sz w:val="22"/>
          <w:szCs w:val="22"/>
          <w:bdr w:val="none" w:sz="0" w:space="0" w:color="auto" w:frame="1"/>
        </w:rPr>
        <w:t>ubicado</w:t>
      </w:r>
      <w:r w:rsidR="00C03A17">
        <w:rPr>
          <w:rFonts w:ascii="Arial" w:hAnsi="Arial" w:cs="Arial"/>
          <w:color w:val="000000"/>
          <w:sz w:val="22"/>
          <w:szCs w:val="22"/>
          <w:bdr w:val="none" w:sz="0" w:space="0" w:color="auto" w:frame="1"/>
        </w:rPr>
        <w:t xml:space="preserve"> </w:t>
      </w:r>
      <w:r w:rsidR="00D51136">
        <w:rPr>
          <w:rFonts w:ascii="Arial" w:hAnsi="Arial" w:cs="Arial"/>
          <w:color w:val="000000"/>
          <w:sz w:val="22"/>
          <w:szCs w:val="22"/>
          <w:bdr w:val="none" w:sz="0" w:space="0" w:color="auto" w:frame="1"/>
        </w:rPr>
        <w:t xml:space="preserve">dentro de </w:t>
      </w:r>
      <w:r w:rsidR="00B95F96">
        <w:rPr>
          <w:rFonts w:ascii="Arial" w:hAnsi="Arial" w:cs="Arial"/>
          <w:color w:val="000000"/>
          <w:sz w:val="22"/>
          <w:szCs w:val="22"/>
          <w:bdr w:val="none" w:sz="0" w:space="0" w:color="auto" w:frame="1"/>
        </w:rPr>
        <w:t>alguno</w:t>
      </w:r>
      <w:r w:rsidR="00D51136">
        <w:rPr>
          <w:rFonts w:ascii="Arial" w:hAnsi="Arial" w:cs="Arial"/>
          <w:color w:val="000000"/>
          <w:sz w:val="22"/>
          <w:szCs w:val="22"/>
          <w:bdr w:val="none" w:sz="0" w:space="0" w:color="auto" w:frame="1"/>
        </w:rPr>
        <w:t xml:space="preserve"> de los rangos establecidos </w:t>
      </w:r>
      <w:r w:rsidR="00C03A17">
        <w:rPr>
          <w:rFonts w:ascii="Arial" w:hAnsi="Arial" w:cs="Arial"/>
          <w:color w:val="000000"/>
          <w:sz w:val="22"/>
          <w:szCs w:val="22"/>
          <w:bdr w:val="none" w:sz="0" w:space="0" w:color="auto" w:frame="1"/>
        </w:rPr>
        <w:t xml:space="preserve">en la tabla </w:t>
      </w:r>
      <w:r w:rsidR="00D51136">
        <w:rPr>
          <w:rFonts w:ascii="Arial" w:hAnsi="Arial" w:cs="Arial"/>
          <w:color w:val="000000"/>
          <w:sz w:val="22"/>
          <w:szCs w:val="22"/>
          <w:bdr w:val="none" w:sz="0" w:space="0" w:color="auto" w:frame="1"/>
        </w:rPr>
        <w:t>d</w:t>
      </w:r>
      <w:r w:rsidR="00C03A17">
        <w:rPr>
          <w:rFonts w:ascii="Arial" w:hAnsi="Arial" w:cs="Arial"/>
          <w:color w:val="000000"/>
          <w:sz w:val="22"/>
          <w:szCs w:val="22"/>
          <w:bdr w:val="none" w:sz="0" w:space="0" w:color="auto" w:frame="1"/>
        </w:rPr>
        <w:t>el</w:t>
      </w:r>
      <w:r w:rsidR="009F5885">
        <w:rPr>
          <w:rFonts w:ascii="Arial" w:hAnsi="Arial" w:cs="Arial"/>
          <w:color w:val="000000"/>
          <w:sz w:val="22"/>
          <w:szCs w:val="22"/>
          <w:bdr w:val="none" w:sz="0" w:space="0" w:color="auto" w:frame="1"/>
        </w:rPr>
        <w:t xml:space="preserve"> literal B del numeral 4 de la guía</w:t>
      </w:r>
      <w:r w:rsidR="00C34311">
        <w:rPr>
          <w:rFonts w:ascii="Arial" w:hAnsi="Arial" w:cs="Arial"/>
          <w:color w:val="000000"/>
          <w:sz w:val="22"/>
          <w:szCs w:val="22"/>
          <w:bdr w:val="none" w:sz="0" w:space="0" w:color="auto" w:frame="1"/>
        </w:rPr>
        <w:t xml:space="preserve">, en función de la cual </w:t>
      </w:r>
      <w:r w:rsidR="00B95F96">
        <w:rPr>
          <w:rFonts w:ascii="Arial" w:hAnsi="Arial" w:cs="Arial"/>
          <w:color w:val="000000"/>
          <w:sz w:val="22"/>
          <w:szCs w:val="22"/>
          <w:bdr w:val="none" w:sz="0" w:space="0" w:color="auto" w:frame="1"/>
        </w:rPr>
        <w:t>l</w:t>
      </w:r>
      <w:r w:rsidR="00C34311">
        <w:rPr>
          <w:rFonts w:ascii="Arial" w:hAnsi="Arial" w:cs="Arial"/>
          <w:color w:val="000000"/>
          <w:sz w:val="22"/>
          <w:szCs w:val="22"/>
          <w:bdr w:val="none" w:sz="0" w:space="0" w:color="auto" w:frame="1"/>
        </w:rPr>
        <w:t xml:space="preserve">e </w:t>
      </w:r>
      <w:r w:rsidR="00D51136">
        <w:rPr>
          <w:rFonts w:ascii="Arial" w:hAnsi="Arial" w:cs="Arial"/>
          <w:color w:val="000000"/>
          <w:sz w:val="22"/>
          <w:szCs w:val="22"/>
          <w:bdr w:val="none" w:sz="0" w:space="0" w:color="auto" w:frame="1"/>
        </w:rPr>
        <w:t xml:space="preserve">corresponderá un puntaje, </w:t>
      </w:r>
      <w:r w:rsidR="00414DD4">
        <w:rPr>
          <w:rFonts w:ascii="Arial" w:hAnsi="Arial" w:cs="Arial"/>
          <w:color w:val="000000"/>
          <w:sz w:val="22"/>
          <w:szCs w:val="22"/>
          <w:bdr w:val="none" w:sz="0" w:space="0" w:color="auto" w:frame="1"/>
        </w:rPr>
        <w:t xml:space="preserve">el cual será </w:t>
      </w:r>
      <w:r w:rsidR="00622F70">
        <w:rPr>
          <w:rFonts w:ascii="Arial" w:hAnsi="Arial" w:cs="Arial"/>
          <w:color w:val="000000"/>
          <w:sz w:val="22"/>
          <w:szCs w:val="22"/>
          <w:bdr w:val="none" w:sz="0" w:space="0" w:color="auto" w:frame="1"/>
        </w:rPr>
        <w:t>el valor para remplazar</w:t>
      </w:r>
      <w:r w:rsidR="00414DD4">
        <w:rPr>
          <w:rFonts w:ascii="Arial" w:hAnsi="Arial" w:cs="Arial"/>
          <w:color w:val="000000"/>
          <w:sz w:val="22"/>
          <w:szCs w:val="22"/>
          <w:bdr w:val="none" w:sz="0" w:space="0" w:color="auto" w:frame="1"/>
        </w:rPr>
        <w:t xml:space="preserve"> en el factor (</w:t>
      </w:r>
      <w:r w:rsidR="00414DD4" w:rsidRPr="007328D2">
        <w:rPr>
          <w:rFonts w:ascii="Arial" w:hAnsi="Arial" w:cs="Arial"/>
          <w:i/>
          <w:iCs/>
          <w:color w:val="000000"/>
          <w:sz w:val="22"/>
          <w:szCs w:val="22"/>
          <w:bdr w:val="none" w:sz="0" w:space="0" w:color="auto" w:frame="1"/>
        </w:rPr>
        <w:t>E</w:t>
      </w:r>
      <w:r w:rsidR="00414DD4">
        <w:rPr>
          <w:rFonts w:ascii="Arial" w:hAnsi="Arial" w:cs="Arial"/>
          <w:i/>
          <w:iCs/>
          <w:color w:val="000000"/>
          <w:sz w:val="22"/>
          <w:szCs w:val="22"/>
          <w:bdr w:val="none" w:sz="0" w:space="0" w:color="auto" w:frame="1"/>
        </w:rPr>
        <w:t>)</w:t>
      </w:r>
      <w:r w:rsidR="00414DD4">
        <w:rPr>
          <w:rFonts w:ascii="Arial" w:hAnsi="Arial" w:cs="Arial"/>
          <w:color w:val="000000"/>
          <w:sz w:val="22"/>
          <w:szCs w:val="22"/>
          <w:bdr w:val="none" w:sz="0" w:space="0" w:color="auto" w:frame="1"/>
        </w:rPr>
        <w:t xml:space="preserve"> </w:t>
      </w:r>
      <w:r w:rsidR="00B95F96">
        <w:rPr>
          <w:rFonts w:ascii="Arial" w:hAnsi="Arial" w:cs="Arial"/>
          <w:color w:val="000000"/>
          <w:sz w:val="22"/>
          <w:szCs w:val="22"/>
          <w:bdr w:val="none" w:sz="0" w:space="0" w:color="auto" w:frame="1"/>
        </w:rPr>
        <w:t>de</w:t>
      </w:r>
      <w:r w:rsidR="00414DD4">
        <w:rPr>
          <w:rFonts w:ascii="Arial" w:hAnsi="Arial" w:cs="Arial"/>
          <w:color w:val="000000"/>
          <w:sz w:val="22"/>
          <w:szCs w:val="22"/>
          <w:bdr w:val="none" w:sz="0" w:space="0" w:color="auto" w:frame="1"/>
        </w:rPr>
        <w:t xml:space="preserve"> la </w:t>
      </w:r>
      <w:r w:rsidR="00B95F96">
        <w:rPr>
          <w:rFonts w:ascii="Arial" w:hAnsi="Arial" w:cs="Arial"/>
          <w:color w:val="000000"/>
          <w:sz w:val="22"/>
          <w:szCs w:val="22"/>
          <w:bdr w:val="none" w:sz="0" w:space="0" w:color="auto" w:frame="1"/>
        </w:rPr>
        <w:lastRenderedPageBreak/>
        <w:t>fórmula</w:t>
      </w:r>
      <w:r w:rsidR="00414DD4">
        <w:rPr>
          <w:rFonts w:ascii="Arial" w:hAnsi="Arial" w:cs="Arial"/>
          <w:color w:val="000000"/>
          <w:sz w:val="22"/>
          <w:szCs w:val="22"/>
          <w:bdr w:val="none" w:sz="0" w:space="0" w:color="auto" w:frame="1"/>
        </w:rPr>
        <w:t xml:space="preserve"> para calcula</w:t>
      </w:r>
      <w:r w:rsidR="00B95F96">
        <w:rPr>
          <w:rFonts w:ascii="Arial" w:hAnsi="Arial" w:cs="Arial"/>
          <w:color w:val="000000"/>
          <w:sz w:val="22"/>
          <w:szCs w:val="22"/>
          <w:bdr w:val="none" w:sz="0" w:space="0" w:color="auto" w:frame="1"/>
        </w:rPr>
        <w:t xml:space="preserve">r </w:t>
      </w:r>
      <w:r w:rsidR="00414DD4">
        <w:rPr>
          <w:rFonts w:ascii="Arial" w:hAnsi="Arial" w:cs="Arial"/>
          <w:color w:val="000000"/>
          <w:sz w:val="22"/>
          <w:szCs w:val="22"/>
          <w:bdr w:val="none" w:sz="0" w:space="0" w:color="auto" w:frame="1"/>
        </w:rPr>
        <w:t xml:space="preserve">la </w:t>
      </w:r>
      <w:r w:rsidR="00414DD4" w:rsidRPr="007328D2">
        <w:rPr>
          <w:rFonts w:ascii="Arial" w:hAnsi="Arial" w:cs="Arial"/>
          <w:i/>
          <w:iCs/>
          <w:color w:val="000000"/>
          <w:sz w:val="22"/>
          <w:szCs w:val="22"/>
          <w:bdr w:val="none" w:sz="0" w:space="0" w:color="auto" w:frame="1"/>
        </w:rPr>
        <w:t>CRP</w:t>
      </w:r>
      <w:r w:rsidR="00414DD4">
        <w:rPr>
          <w:rFonts w:ascii="Arial" w:hAnsi="Arial" w:cs="Arial"/>
          <w:color w:val="000000"/>
          <w:sz w:val="22"/>
          <w:szCs w:val="22"/>
          <w:bdr w:val="none" w:sz="0" w:space="0" w:color="auto" w:frame="1"/>
        </w:rPr>
        <w:t xml:space="preserve">. </w:t>
      </w:r>
      <w:r w:rsidR="00622F70">
        <w:rPr>
          <w:rFonts w:ascii="Arial" w:hAnsi="Arial" w:cs="Arial"/>
          <w:color w:val="000000"/>
          <w:sz w:val="22"/>
          <w:szCs w:val="22"/>
          <w:bdr w:val="none" w:sz="0" w:space="0" w:color="auto" w:frame="1"/>
        </w:rPr>
        <w:t xml:space="preserve">De acuerdo </w:t>
      </w:r>
      <w:r w:rsidR="00B95F96">
        <w:rPr>
          <w:rFonts w:ascii="Arial" w:hAnsi="Arial" w:cs="Arial"/>
          <w:color w:val="000000"/>
          <w:sz w:val="22"/>
          <w:szCs w:val="22"/>
          <w:bdr w:val="none" w:sz="0" w:space="0" w:color="auto" w:frame="1"/>
        </w:rPr>
        <w:t>con</w:t>
      </w:r>
      <w:r w:rsidR="00622F70">
        <w:rPr>
          <w:rFonts w:ascii="Arial" w:hAnsi="Arial" w:cs="Arial"/>
          <w:color w:val="000000"/>
          <w:sz w:val="22"/>
          <w:szCs w:val="22"/>
          <w:bdr w:val="none" w:sz="0" w:space="0" w:color="auto" w:frame="1"/>
        </w:rPr>
        <w:t xml:space="preserve"> dichos rangos</w:t>
      </w:r>
      <w:r w:rsidR="00B95F96">
        <w:rPr>
          <w:rFonts w:ascii="Arial" w:hAnsi="Arial" w:cs="Arial"/>
          <w:color w:val="000000"/>
          <w:sz w:val="22"/>
          <w:szCs w:val="22"/>
          <w:bdr w:val="none" w:sz="0" w:space="0" w:color="auto" w:frame="1"/>
        </w:rPr>
        <w:t>:</w:t>
      </w:r>
      <w:r w:rsidR="00622F70">
        <w:rPr>
          <w:rFonts w:ascii="Arial" w:hAnsi="Arial" w:cs="Arial"/>
          <w:color w:val="000000"/>
          <w:sz w:val="22"/>
          <w:szCs w:val="22"/>
          <w:bdr w:val="none" w:sz="0" w:space="0" w:color="auto" w:frame="1"/>
        </w:rPr>
        <w:t xml:space="preserve"> </w:t>
      </w:r>
      <w:r w:rsidR="00BB4E07">
        <w:rPr>
          <w:rFonts w:ascii="Arial" w:hAnsi="Arial" w:cs="Arial"/>
          <w:color w:val="000000"/>
          <w:sz w:val="22"/>
          <w:szCs w:val="22"/>
          <w:bdr w:val="none" w:sz="0" w:space="0" w:color="auto" w:frame="1"/>
        </w:rPr>
        <w:t xml:space="preserve">(i) </w:t>
      </w:r>
      <w:r w:rsidR="00622F70">
        <w:rPr>
          <w:rFonts w:ascii="Arial" w:hAnsi="Arial" w:cs="Arial"/>
          <w:color w:val="000000"/>
          <w:sz w:val="22"/>
          <w:szCs w:val="22"/>
          <w:bdr w:val="none" w:sz="0" w:space="0" w:color="auto" w:frame="1"/>
        </w:rPr>
        <w:t>si el cociente es</w:t>
      </w:r>
      <w:r w:rsidR="00BB4E07">
        <w:rPr>
          <w:rFonts w:ascii="Arial" w:hAnsi="Arial" w:cs="Arial"/>
          <w:color w:val="000000"/>
          <w:sz w:val="22"/>
          <w:szCs w:val="22"/>
          <w:bdr w:val="none" w:sz="0" w:space="0" w:color="auto" w:frame="1"/>
        </w:rPr>
        <w:t xml:space="preserve">tá entre cero (0) y tres (3) el puntaje es sesenta (60); (ii) si el puntaje es </w:t>
      </w:r>
      <w:r w:rsidR="00D975D0">
        <w:rPr>
          <w:rFonts w:ascii="Arial" w:hAnsi="Arial" w:cs="Arial"/>
          <w:color w:val="000000"/>
          <w:sz w:val="22"/>
          <w:szCs w:val="22"/>
          <w:bdr w:val="none" w:sz="0" w:space="0" w:color="auto" w:frame="1"/>
        </w:rPr>
        <w:t>mayor a tres (3) pero menor o igual a seis (6) el puntaje se</w:t>
      </w:r>
      <w:r w:rsidR="00E31A0B">
        <w:rPr>
          <w:rFonts w:ascii="Arial" w:hAnsi="Arial" w:cs="Arial"/>
          <w:color w:val="000000"/>
          <w:sz w:val="22"/>
          <w:szCs w:val="22"/>
          <w:bdr w:val="none" w:sz="0" w:space="0" w:color="auto" w:frame="1"/>
        </w:rPr>
        <w:t>rá de ochenta (80); (iii) si es mayor a seis (6) y menor o igual a</w:t>
      </w:r>
      <w:r w:rsidR="004E40AE">
        <w:rPr>
          <w:rFonts w:ascii="Arial" w:hAnsi="Arial" w:cs="Arial"/>
          <w:color w:val="000000"/>
          <w:sz w:val="22"/>
          <w:szCs w:val="22"/>
          <w:bdr w:val="none" w:sz="0" w:space="0" w:color="auto" w:frame="1"/>
        </w:rPr>
        <w:t xml:space="preserve"> diez (10) el puntaje correspondiente es de cien (100); y (iv) </w:t>
      </w:r>
      <w:r w:rsidR="00B95F96">
        <w:rPr>
          <w:rFonts w:ascii="Arial" w:hAnsi="Arial" w:cs="Arial"/>
          <w:color w:val="000000"/>
          <w:sz w:val="22"/>
          <w:szCs w:val="22"/>
          <w:bdr w:val="none" w:sz="0" w:space="0" w:color="auto" w:frame="1"/>
        </w:rPr>
        <w:t>cuando el cociente es superior a diez (10) el puntaje será de ciento veinte (120), siendo este el valor máximo asignable al factor (</w:t>
      </w:r>
      <w:r w:rsidR="00B95F96" w:rsidRPr="007328D2">
        <w:rPr>
          <w:rFonts w:ascii="Arial" w:hAnsi="Arial" w:cs="Arial"/>
          <w:i/>
          <w:iCs/>
          <w:color w:val="000000"/>
          <w:sz w:val="22"/>
          <w:szCs w:val="22"/>
          <w:bdr w:val="none" w:sz="0" w:space="0" w:color="auto" w:frame="1"/>
        </w:rPr>
        <w:t>E</w:t>
      </w:r>
      <w:r w:rsidR="00B95F96">
        <w:rPr>
          <w:rFonts w:ascii="Arial" w:hAnsi="Arial" w:cs="Arial"/>
          <w:color w:val="000000"/>
          <w:sz w:val="22"/>
          <w:szCs w:val="22"/>
          <w:bdr w:val="none" w:sz="0" w:space="0" w:color="auto" w:frame="1"/>
        </w:rPr>
        <w:t>).</w:t>
      </w:r>
      <w:r w:rsidR="00B95F96" w:rsidDel="000D23BE">
        <w:rPr>
          <w:rFonts w:ascii="Arial" w:hAnsi="Arial" w:cs="Arial"/>
          <w:noProof/>
          <w:color w:val="000000" w:themeColor="text1"/>
          <w:sz w:val="22"/>
        </w:rPr>
        <w:t xml:space="preserve"> </w:t>
      </w:r>
    </w:p>
    <w:p w14:paraId="75072096" w14:textId="6457AEE1" w:rsidR="00BB2F92" w:rsidRPr="007328D2" w:rsidRDefault="00BB2F92" w:rsidP="007328D2">
      <w:pPr>
        <w:pStyle w:val="Textoindependiente"/>
        <w:spacing w:line="276" w:lineRule="auto"/>
        <w:ind w:right="51" w:firstLine="708"/>
        <w:jc w:val="both"/>
        <w:rPr>
          <w:sz w:val="22"/>
          <w:szCs w:val="22"/>
          <w:lang w:val="es-CO"/>
        </w:rPr>
      </w:pPr>
      <w:r w:rsidRPr="007328D2">
        <w:rPr>
          <w:sz w:val="22"/>
          <w:szCs w:val="22"/>
          <w:lang w:val="es-CO"/>
        </w:rPr>
        <w:t xml:space="preserve">Por </w:t>
      </w:r>
      <w:r w:rsidR="00283FC7" w:rsidRPr="007328D2">
        <w:rPr>
          <w:sz w:val="22"/>
          <w:szCs w:val="22"/>
          <w:lang w:val="es-CO"/>
        </w:rPr>
        <w:t>último,</w:t>
      </w:r>
      <w:r w:rsidRPr="007328D2">
        <w:rPr>
          <w:sz w:val="22"/>
          <w:szCs w:val="22"/>
          <w:lang w:val="es-CO"/>
        </w:rPr>
        <w:t xml:space="preserve"> no sobra advertir que para facilitar la aplicación de la metodología dispuesta en la referida guía, esta Agencia ha desarrollado una </w:t>
      </w:r>
      <w:r w:rsidRPr="007328D2">
        <w:rPr>
          <w:i/>
          <w:iCs/>
          <w:sz w:val="22"/>
          <w:szCs w:val="22"/>
          <w:lang w:val="es-CO"/>
        </w:rPr>
        <w:t>Aplicación para establecer la Capacidad Residual</w:t>
      </w:r>
      <w:r w:rsidRPr="007328D2">
        <w:rPr>
          <w:sz w:val="22"/>
          <w:szCs w:val="22"/>
          <w:lang w:val="es-CO"/>
        </w:rPr>
        <w:t xml:space="preserve">, que </w:t>
      </w:r>
      <w:r w:rsidR="00283FC7" w:rsidRPr="007328D2">
        <w:rPr>
          <w:sz w:val="22"/>
          <w:szCs w:val="22"/>
          <w:lang w:val="es-CO"/>
        </w:rPr>
        <w:t>ayuda a</w:t>
      </w:r>
      <w:r w:rsidRPr="007328D2">
        <w:rPr>
          <w:sz w:val="22"/>
          <w:szCs w:val="22"/>
          <w:lang w:val="es-CO"/>
        </w:rPr>
        <w:t xml:space="preserve"> determinar tanto la capacidad residual en los procesos de contratación</w:t>
      </w:r>
      <w:r w:rsidR="00283FC7" w:rsidRPr="007328D2">
        <w:rPr>
          <w:sz w:val="22"/>
          <w:szCs w:val="22"/>
          <w:lang w:val="es-CO"/>
        </w:rPr>
        <w:t xml:space="preserve"> (CRPC)</w:t>
      </w:r>
      <w:r w:rsidRPr="007328D2">
        <w:rPr>
          <w:sz w:val="22"/>
          <w:szCs w:val="22"/>
          <w:lang w:val="es-CO"/>
        </w:rPr>
        <w:t>, como la de los proponentes</w:t>
      </w:r>
      <w:r w:rsidR="00283FC7" w:rsidRPr="007328D2">
        <w:rPr>
          <w:sz w:val="22"/>
          <w:szCs w:val="22"/>
          <w:lang w:val="es-CO"/>
        </w:rPr>
        <w:t xml:space="preserve"> (CRP)</w:t>
      </w:r>
      <w:r w:rsidRPr="007328D2">
        <w:rPr>
          <w:sz w:val="22"/>
          <w:szCs w:val="22"/>
          <w:lang w:val="es-CO"/>
        </w:rPr>
        <w:t>, sirviendo como insumo para definir si este último cumple con el requisito habilitante. Sin embargo, conforme a lo establecido en el numeral 7 de la Circular Externa Única de Colombia Compra Eficiente, el mencionado aplicativo es un instrumento de apoyo que no exime a las entidades estatales y a los proponentes de realizar el cálculo de la capacidad residual en los términos de la guía.</w:t>
      </w:r>
    </w:p>
    <w:p w14:paraId="79826A5B" w14:textId="77777777" w:rsidR="0031456F" w:rsidRPr="0093085B" w:rsidRDefault="0031456F" w:rsidP="0093085B">
      <w:pPr>
        <w:pStyle w:val="xmsonospacing"/>
        <w:spacing w:before="0" w:beforeAutospacing="0" w:after="0" w:afterAutospacing="0" w:line="276" w:lineRule="auto"/>
        <w:ind w:firstLine="708"/>
        <w:jc w:val="both"/>
        <w:rPr>
          <w:rFonts w:ascii="Arial" w:hAnsi="Arial" w:cs="Arial"/>
          <w:color w:val="000000"/>
          <w:sz w:val="22"/>
          <w:szCs w:val="22"/>
        </w:rPr>
      </w:pPr>
    </w:p>
    <w:p w14:paraId="0738C8F4" w14:textId="29CC140C" w:rsidR="00A71CEA" w:rsidRPr="007A0123" w:rsidRDefault="00A71CEA" w:rsidP="00FC46E7">
      <w:pPr>
        <w:spacing w:line="276" w:lineRule="auto"/>
        <w:jc w:val="both"/>
        <w:rPr>
          <w:rFonts w:ascii="Arial" w:eastAsia="Calibri" w:hAnsi="Arial" w:cs="Arial"/>
          <w:color w:val="000000" w:themeColor="text1"/>
          <w:sz w:val="22"/>
        </w:rPr>
      </w:pPr>
      <w:r w:rsidRPr="007A0123">
        <w:rPr>
          <w:rFonts w:ascii="Arial" w:eastAsia="Calibri" w:hAnsi="Arial" w:cs="Arial"/>
          <w:color w:val="000000" w:themeColor="text1"/>
          <w:sz w:val="22"/>
          <w:szCs w:val="22"/>
        </w:rPr>
        <w:t>Este concepto tiene el alcance previsto en el artículo 28 del Cód</w:t>
      </w:r>
      <w:r w:rsidRPr="007A0123">
        <w:rPr>
          <w:rFonts w:ascii="Arial" w:eastAsia="Calibri" w:hAnsi="Arial" w:cs="Arial"/>
          <w:color w:val="000000" w:themeColor="text1"/>
          <w:sz w:val="22"/>
        </w:rPr>
        <w:t>igo de Procedimiento Administrativo y de lo Contencioso Administrativo.</w:t>
      </w:r>
    </w:p>
    <w:p w14:paraId="27A116DB" w14:textId="77777777" w:rsidR="00B55679" w:rsidRPr="007A0123" w:rsidRDefault="00B55679" w:rsidP="00FC46E7">
      <w:pPr>
        <w:jc w:val="both"/>
        <w:rPr>
          <w:rFonts w:ascii="Arial" w:eastAsia="Calibri" w:hAnsi="Arial" w:cs="Arial"/>
          <w:color w:val="000000" w:themeColor="text1"/>
          <w:sz w:val="22"/>
        </w:rPr>
      </w:pPr>
    </w:p>
    <w:p w14:paraId="1BD8E63C" w14:textId="77777777" w:rsidR="00A71CEA" w:rsidRPr="007A0123" w:rsidRDefault="00A71CEA" w:rsidP="00FC46E7">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14:paraId="6B055B12" w14:textId="3527C57E" w:rsidR="00A71CEA" w:rsidRPr="007A0123" w:rsidRDefault="00304325" w:rsidP="00FC46E7">
      <w:pPr>
        <w:jc w:val="center"/>
        <w:rPr>
          <w:rFonts w:ascii="Arial" w:hAnsi="Arial" w:cs="Arial"/>
          <w:color w:val="000000" w:themeColor="text1"/>
          <w:sz w:val="22"/>
          <w:lang w:eastAsia="es-CO"/>
        </w:rPr>
      </w:pPr>
      <w:r w:rsidRPr="00FC4438">
        <w:rPr>
          <w:noProof/>
        </w:rPr>
        <w:drawing>
          <wp:inline distT="0" distB="0" distL="0" distR="0" wp14:anchorId="4098E5C7" wp14:editId="44B3DB09">
            <wp:extent cx="2514600" cy="11144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14600" cy="1114425"/>
                    </a:xfrm>
                    <a:prstGeom prst="rect">
                      <a:avLst/>
                    </a:prstGeom>
                  </pic:spPr>
                </pic:pic>
              </a:graphicData>
            </a:graphic>
          </wp:inline>
        </w:drawing>
      </w:r>
    </w:p>
    <w:p w14:paraId="4783A21F" w14:textId="77777777" w:rsidR="00A71CEA" w:rsidRPr="007A0123" w:rsidRDefault="00A71CEA" w:rsidP="00FC46E7">
      <w:pPr>
        <w:jc w:val="center"/>
        <w:rPr>
          <w:rFonts w:ascii="Arial" w:hAnsi="Arial" w:cs="Arial"/>
          <w:color w:val="000000" w:themeColor="text1"/>
          <w:sz w:val="18"/>
          <w:szCs w:val="20"/>
          <w:lang w:eastAsia="es-CO"/>
        </w:rPr>
      </w:pPr>
    </w:p>
    <w:p w14:paraId="1FEF5E59" w14:textId="77777777" w:rsidR="00A71CEA" w:rsidRPr="007A0123" w:rsidRDefault="00A71CEA" w:rsidP="00FC46E7">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7A0123" w14:paraId="6FD066C0" w14:textId="77777777" w:rsidTr="007F1895">
        <w:trPr>
          <w:trHeight w:val="315"/>
        </w:trPr>
        <w:tc>
          <w:tcPr>
            <w:tcW w:w="812" w:type="dxa"/>
            <w:vAlign w:val="center"/>
            <w:hideMark/>
          </w:tcPr>
          <w:p w14:paraId="3D034311"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 xml:space="preserve">Camilo Perdomo Villamil </w:t>
            </w:r>
          </w:p>
          <w:p w14:paraId="02C2374E"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Contratista de la Subdirección de Gestión Contractual</w:t>
            </w:r>
          </w:p>
        </w:tc>
      </w:tr>
      <w:tr w:rsidR="00A71CEA" w:rsidRPr="007A0123" w14:paraId="6CE7FA18" w14:textId="77777777" w:rsidTr="007F1895">
        <w:trPr>
          <w:trHeight w:val="330"/>
        </w:trPr>
        <w:tc>
          <w:tcPr>
            <w:tcW w:w="812" w:type="dxa"/>
            <w:vAlign w:val="center"/>
            <w:hideMark/>
          </w:tcPr>
          <w:p w14:paraId="2902D588"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394B8E14" w:rsidR="00A71CEA" w:rsidRPr="007A0123" w:rsidRDefault="006327D2" w:rsidP="00FC46E7">
            <w:pPr>
              <w:rPr>
                <w:rFonts w:ascii="Arial" w:hAnsi="Arial" w:cs="Arial"/>
                <w:color w:val="000000" w:themeColor="text1"/>
                <w:sz w:val="16"/>
                <w:szCs w:val="16"/>
                <w:lang w:eastAsia="es-ES"/>
              </w:rPr>
            </w:pPr>
            <w:r>
              <w:rPr>
                <w:rFonts w:ascii="Arial" w:hAnsi="Arial" w:cs="Arial"/>
                <w:color w:val="000000" w:themeColor="text1"/>
                <w:sz w:val="16"/>
                <w:szCs w:val="16"/>
                <w:lang w:eastAsia="es-ES"/>
              </w:rPr>
              <w:t>Alejandro Sarmiento</w:t>
            </w:r>
            <w:r w:rsidR="00141F86">
              <w:rPr>
                <w:rFonts w:ascii="Arial" w:hAnsi="Arial" w:cs="Arial"/>
                <w:color w:val="000000" w:themeColor="text1"/>
                <w:sz w:val="16"/>
                <w:szCs w:val="16"/>
                <w:lang w:eastAsia="es-ES"/>
              </w:rPr>
              <w:t xml:space="preserve"> Cantillo</w:t>
            </w:r>
          </w:p>
          <w:p w14:paraId="15D02354" w14:textId="5F8430C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w:t>
            </w:r>
            <w:r w:rsidR="00AF0F4E">
              <w:rPr>
                <w:rFonts w:ascii="Arial" w:hAnsi="Arial" w:cs="Arial"/>
                <w:color w:val="000000" w:themeColor="text1"/>
                <w:sz w:val="16"/>
                <w:szCs w:val="16"/>
                <w:lang w:eastAsia="es-ES"/>
              </w:rPr>
              <w:t>1</w:t>
            </w:r>
            <w:r w:rsidRPr="007A0123">
              <w:rPr>
                <w:rFonts w:ascii="Arial" w:hAnsi="Arial" w:cs="Arial"/>
                <w:color w:val="000000" w:themeColor="text1"/>
                <w:sz w:val="16"/>
                <w:szCs w:val="16"/>
                <w:lang w:eastAsia="es-ES"/>
              </w:rPr>
              <w:t xml:space="preserve"> de la Subdirección de Gestión Contractual</w:t>
            </w:r>
          </w:p>
        </w:tc>
      </w:tr>
      <w:tr w:rsidR="00A71CEA" w:rsidRPr="003F6D32" w14:paraId="4BA2BDE6" w14:textId="77777777" w:rsidTr="007F1895">
        <w:trPr>
          <w:trHeight w:val="300"/>
        </w:trPr>
        <w:tc>
          <w:tcPr>
            <w:tcW w:w="812" w:type="dxa"/>
            <w:vAlign w:val="center"/>
            <w:hideMark/>
          </w:tcPr>
          <w:p w14:paraId="1A726DD9"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Jorge Augusto Tirado Navarro</w:t>
            </w:r>
          </w:p>
          <w:p w14:paraId="416E9DA6" w14:textId="77777777" w:rsidR="00A71CEA" w:rsidRPr="006C15D5"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p>
        </w:tc>
      </w:tr>
    </w:tbl>
    <w:p w14:paraId="3D5BFD2B" w14:textId="77777777" w:rsidR="00A71CEA" w:rsidRDefault="00A71CEA" w:rsidP="00FC46E7"/>
    <w:sectPr w:rsidR="00A71CEA" w:rsidSect="007F1895">
      <w:headerReference w:type="default" r:id="rId17"/>
      <w:footerReference w:type="defaul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CE793" w14:textId="77777777" w:rsidR="00CF6289" w:rsidRDefault="00CF6289" w:rsidP="00A71CEA">
      <w:r>
        <w:separator/>
      </w:r>
    </w:p>
  </w:endnote>
  <w:endnote w:type="continuationSeparator" w:id="0">
    <w:p w14:paraId="4C6F7B9D" w14:textId="77777777" w:rsidR="00CF6289" w:rsidRDefault="00CF6289"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7D352" w14:textId="77777777" w:rsidR="00CF6289" w:rsidRDefault="00CF6289" w:rsidP="00A71CEA">
      <w:r>
        <w:separator/>
      </w:r>
    </w:p>
  </w:footnote>
  <w:footnote w:type="continuationSeparator" w:id="0">
    <w:p w14:paraId="37C5A844" w14:textId="77777777" w:rsidR="00CF6289" w:rsidRDefault="00CF6289" w:rsidP="00A71CEA">
      <w:r>
        <w:continuationSeparator/>
      </w:r>
    </w:p>
  </w:footnote>
  <w:footnote w:id="1">
    <w:p w14:paraId="1F6AF9D4" w14:textId="77777777" w:rsidR="002B4570" w:rsidRPr="009F7C66" w:rsidRDefault="002B4570" w:rsidP="009F7C66">
      <w:pPr>
        <w:pStyle w:val="Textonotapie"/>
        <w:ind w:firstLine="708"/>
        <w:jc w:val="both"/>
        <w:rPr>
          <w:rFonts w:ascii="Arial" w:eastAsia="Calibri" w:hAnsi="Arial" w:cs="Arial"/>
          <w:color w:val="000000" w:themeColor="text1"/>
          <w:sz w:val="19"/>
          <w:szCs w:val="19"/>
        </w:rPr>
      </w:pPr>
      <w:r w:rsidRPr="000823DB">
        <w:rPr>
          <w:rStyle w:val="Refdenotaalpie"/>
          <w:rFonts w:ascii="Arial" w:hAnsi="Arial" w:cs="Arial"/>
          <w:color w:val="000000" w:themeColor="text1"/>
          <w:sz w:val="19"/>
          <w:szCs w:val="19"/>
        </w:rPr>
        <w:footnoteRef/>
      </w:r>
      <w:r w:rsidRPr="000823DB">
        <w:rPr>
          <w:rFonts w:ascii="Arial" w:hAnsi="Arial" w:cs="Arial"/>
          <w:color w:val="000000" w:themeColor="text1"/>
          <w:sz w:val="19"/>
          <w:szCs w:val="19"/>
        </w:rPr>
        <w:t xml:space="preserve"> </w:t>
      </w:r>
      <w:r w:rsidRPr="000823DB">
        <w:rPr>
          <w:rFonts w:ascii="Arial" w:eastAsia="Calibri" w:hAnsi="Arial" w:cs="Arial"/>
          <w:color w:val="000000" w:themeColor="text1"/>
          <w:sz w:val="19"/>
          <w:szCs w:val="19"/>
        </w:rPr>
        <w:t>Decreto 1082 de 2015: «Arti</w:t>
      </w:r>
      <w:r w:rsidRPr="009F7C66">
        <w:rPr>
          <w:rFonts w:ascii="Arial" w:eastAsia="Calibri" w:hAnsi="Arial" w:cs="Arial"/>
          <w:color w:val="000000" w:themeColor="text1"/>
          <w:sz w:val="19"/>
          <w:szCs w:val="19"/>
        </w:rPr>
        <w:t xml:space="preserve">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5FEF1C3" w14:textId="77777777" w:rsidR="002B4570" w:rsidRPr="009F7C66" w:rsidRDefault="002B4570" w:rsidP="000823DB">
      <w:pPr>
        <w:pStyle w:val="Textonotapie"/>
        <w:ind w:firstLine="708"/>
        <w:jc w:val="both"/>
        <w:rPr>
          <w:rFonts w:ascii="Arial" w:eastAsia="Calibri" w:hAnsi="Arial" w:cs="Arial"/>
          <w:color w:val="000000" w:themeColor="text1"/>
          <w:sz w:val="19"/>
          <w:szCs w:val="19"/>
        </w:rPr>
      </w:pPr>
      <w:r w:rsidRPr="009F7C66">
        <w:rPr>
          <w:rFonts w:ascii="Arial" w:eastAsia="Calibri" w:hAnsi="Arial" w:cs="Arial"/>
          <w:color w:val="000000" w:themeColor="text1"/>
          <w:sz w:val="19"/>
          <w:szCs w:val="19"/>
        </w:rPr>
        <w:t>[…]</w:t>
      </w:r>
    </w:p>
    <w:p w14:paraId="008DA514" w14:textId="77777777" w:rsidR="002B4570" w:rsidRPr="009F7C66" w:rsidRDefault="002B4570">
      <w:pPr>
        <w:pStyle w:val="Textonotapie"/>
        <w:ind w:firstLine="708"/>
        <w:jc w:val="both"/>
        <w:rPr>
          <w:rFonts w:ascii="Arial" w:hAnsi="Arial" w:cs="Arial"/>
          <w:color w:val="000000" w:themeColor="text1"/>
          <w:sz w:val="19"/>
          <w:szCs w:val="19"/>
          <w:lang w:val="es-CO"/>
        </w:rPr>
      </w:pPr>
      <w:r w:rsidRPr="009F7C66">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9F7C66">
        <w:rPr>
          <w:rFonts w:ascii="Arial" w:hAnsi="Arial" w:cs="Arial"/>
          <w:color w:val="000000" w:themeColor="text1"/>
          <w:sz w:val="19"/>
          <w:szCs w:val="19"/>
          <w:lang w:val="es-CO"/>
        </w:rPr>
        <w:t xml:space="preserve"> </w:t>
      </w:r>
    </w:p>
    <w:p w14:paraId="55029E92" w14:textId="77777777" w:rsidR="002B4570" w:rsidRPr="009F7C66" w:rsidRDefault="002B4570">
      <w:pPr>
        <w:pStyle w:val="Textonotapie"/>
        <w:jc w:val="both"/>
        <w:rPr>
          <w:rFonts w:ascii="Arial" w:hAnsi="Arial" w:cs="Arial"/>
          <w:color w:val="000000" w:themeColor="text1"/>
          <w:sz w:val="19"/>
          <w:szCs w:val="19"/>
          <w:lang w:val="es-CO"/>
        </w:rPr>
      </w:pPr>
    </w:p>
  </w:footnote>
  <w:footnote w:id="2">
    <w:p w14:paraId="608A2A9E" w14:textId="77777777" w:rsidR="002B4570" w:rsidRPr="009F7C66" w:rsidRDefault="002B4570">
      <w:pPr>
        <w:pStyle w:val="Textonotapie"/>
        <w:ind w:firstLine="708"/>
        <w:jc w:val="both"/>
        <w:rPr>
          <w:rFonts w:ascii="Arial" w:hAnsi="Arial" w:cs="Arial"/>
          <w:color w:val="000000" w:themeColor="text1"/>
          <w:sz w:val="19"/>
          <w:szCs w:val="19"/>
          <w:lang w:val="es-CO"/>
        </w:rPr>
      </w:pPr>
      <w:r w:rsidRPr="000823DB">
        <w:rPr>
          <w:rFonts w:ascii="Arial" w:eastAsia="Calibri" w:hAnsi="Arial" w:cs="Arial"/>
          <w:color w:val="000000" w:themeColor="text1"/>
          <w:sz w:val="19"/>
          <w:szCs w:val="19"/>
          <w:vertAlign w:val="superscript"/>
        </w:rPr>
        <w:footnoteRef/>
      </w:r>
      <w:r w:rsidRPr="000823DB">
        <w:rPr>
          <w:rFonts w:ascii="Arial" w:eastAsia="Calibri" w:hAnsi="Arial" w:cs="Arial"/>
          <w:color w:val="000000" w:themeColor="text1"/>
          <w:sz w:val="19"/>
          <w:szCs w:val="19"/>
          <w:vertAlign w:val="superscript"/>
        </w:rPr>
        <w:t xml:space="preserve"> </w:t>
      </w:r>
      <w:r w:rsidRPr="000823DB">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37767F05" w14:textId="77777777" w:rsidR="00542C4B" w:rsidRPr="009F7C66" w:rsidRDefault="00542C4B">
      <w:pPr>
        <w:pStyle w:val="Textonotapie"/>
        <w:ind w:firstLine="708"/>
        <w:jc w:val="both"/>
        <w:rPr>
          <w:rFonts w:ascii="Arial" w:hAnsi="Arial" w:cs="Arial"/>
          <w:color w:val="000000" w:themeColor="text1"/>
          <w:sz w:val="19"/>
          <w:szCs w:val="19"/>
        </w:rPr>
      </w:pPr>
      <w:r w:rsidRPr="000823DB">
        <w:rPr>
          <w:rStyle w:val="Refdenotaalpie"/>
          <w:rFonts w:ascii="Arial" w:hAnsi="Arial" w:cs="Arial"/>
          <w:color w:val="000000" w:themeColor="text1"/>
          <w:sz w:val="19"/>
          <w:szCs w:val="19"/>
        </w:rPr>
        <w:footnoteRef/>
      </w:r>
      <w:r w:rsidRPr="000823DB">
        <w:rPr>
          <w:rFonts w:ascii="Arial" w:hAnsi="Arial" w:cs="Arial"/>
          <w:color w:val="000000" w:themeColor="text1"/>
          <w:sz w:val="19"/>
          <w:szCs w:val="19"/>
        </w:rPr>
        <w:t xml:space="preserve"> Expedida de acuerdo con el deber señalado en el Decreto 1082 de 2015: «Artículo 2.2.1.2.5.2. Estándares y documentos tipo. Sin perjuicio de la función permanente que el Decreto-Ley 4170 de 2011​ le asigna, Colombia Compra Eficiente debe diseñar e implemen</w:t>
      </w:r>
      <w:r w:rsidRPr="009F7C66">
        <w:rPr>
          <w:rFonts w:ascii="Arial" w:hAnsi="Arial" w:cs="Arial"/>
          <w:color w:val="000000" w:themeColor="text1"/>
          <w:sz w:val="19"/>
          <w:szCs w:val="19"/>
        </w:rPr>
        <w:t>tar los siguientes instrumentos estandarizados y especializados por tipo de obra, bien o servicio a contratar, así como cualquier otro manual o guía que se estime necesario o sea solicitado por los partícipes de la contratación pública:</w:t>
      </w:r>
    </w:p>
    <w:p w14:paraId="57F3A99F" w14:textId="77777777" w:rsidR="00542C4B" w:rsidRPr="009F7C66" w:rsidRDefault="00542C4B">
      <w:pPr>
        <w:pStyle w:val="Textonotapie"/>
        <w:ind w:firstLine="708"/>
        <w:jc w:val="both"/>
        <w:rPr>
          <w:rFonts w:ascii="Arial" w:hAnsi="Arial" w:cs="Arial"/>
          <w:color w:val="000000" w:themeColor="text1"/>
          <w:sz w:val="19"/>
          <w:szCs w:val="19"/>
        </w:rPr>
      </w:pPr>
      <w:r w:rsidRPr="009F7C66">
        <w:rPr>
          <w:rFonts w:ascii="Arial" w:hAnsi="Arial" w:cs="Arial"/>
          <w:color w:val="000000" w:themeColor="text1"/>
          <w:sz w:val="19"/>
          <w:szCs w:val="19"/>
        </w:rPr>
        <w:t>»[...]</w:t>
      </w:r>
    </w:p>
    <w:p w14:paraId="12139762" w14:textId="0D67DBAD" w:rsidR="00542C4B" w:rsidRDefault="00542C4B">
      <w:pPr>
        <w:pStyle w:val="Textonotapie"/>
        <w:ind w:firstLine="708"/>
        <w:jc w:val="both"/>
        <w:rPr>
          <w:rFonts w:ascii="Arial" w:hAnsi="Arial" w:cs="Arial"/>
          <w:color w:val="000000" w:themeColor="text1"/>
          <w:sz w:val="19"/>
          <w:szCs w:val="19"/>
        </w:rPr>
      </w:pPr>
      <w:r w:rsidRPr="009F7C66">
        <w:rPr>
          <w:rFonts w:ascii="Arial" w:hAnsi="Arial" w:cs="Arial"/>
          <w:color w:val="000000" w:themeColor="text1"/>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r w:rsidR="009F7C66">
        <w:rPr>
          <w:rFonts w:ascii="Arial" w:hAnsi="Arial" w:cs="Arial"/>
          <w:color w:val="000000" w:themeColor="text1"/>
          <w:sz w:val="19"/>
          <w:szCs w:val="19"/>
        </w:rPr>
        <w:t xml:space="preserve"> </w:t>
      </w:r>
      <w:r w:rsidRPr="000823DB">
        <w:rPr>
          <w:rFonts w:ascii="Arial" w:hAnsi="Arial" w:cs="Arial"/>
          <w:color w:val="000000" w:themeColor="text1"/>
          <w:sz w:val="19"/>
          <w:szCs w:val="19"/>
        </w:rPr>
        <w:t>[...]».</w:t>
      </w:r>
    </w:p>
    <w:p w14:paraId="6B10B4F0" w14:textId="77777777" w:rsidR="009F7C66" w:rsidRPr="000823DB" w:rsidRDefault="009F7C66">
      <w:pPr>
        <w:pStyle w:val="Textonotapie"/>
        <w:ind w:firstLine="708"/>
        <w:jc w:val="both"/>
        <w:rPr>
          <w:rFonts w:ascii="Arial" w:hAnsi="Arial" w:cs="Arial"/>
          <w:color w:val="000000" w:themeColor="text1"/>
          <w:sz w:val="19"/>
          <w:szCs w:val="19"/>
          <w:lang w:val="es-ES"/>
        </w:rPr>
      </w:pPr>
    </w:p>
  </w:footnote>
  <w:footnote w:id="4">
    <w:p w14:paraId="64414461" w14:textId="0F6E3EEE" w:rsidR="00086EEA" w:rsidRPr="007328D2" w:rsidRDefault="008B6A33" w:rsidP="007328D2">
      <w:pPr>
        <w:pStyle w:val="NormalWeb"/>
        <w:spacing w:before="0" w:beforeAutospacing="0" w:after="0" w:afterAutospacing="0"/>
        <w:ind w:firstLine="709"/>
        <w:jc w:val="both"/>
        <w:rPr>
          <w:rFonts w:ascii="Arial" w:hAnsi="Arial" w:cs="Arial"/>
          <w:color w:val="000000"/>
          <w:sz w:val="19"/>
          <w:szCs w:val="19"/>
        </w:rPr>
      </w:pPr>
      <w:r w:rsidRPr="007328D2">
        <w:rPr>
          <w:rStyle w:val="Refdenotaalpie"/>
          <w:rFonts w:ascii="Arial" w:hAnsi="Arial" w:cs="Arial"/>
          <w:sz w:val="19"/>
          <w:szCs w:val="19"/>
        </w:rPr>
        <w:footnoteRef/>
      </w:r>
      <w:r w:rsidR="009F7C66">
        <w:rPr>
          <w:rFonts w:ascii="Arial" w:hAnsi="Arial" w:cs="Arial"/>
          <w:sz w:val="19"/>
          <w:szCs w:val="19"/>
        </w:rPr>
        <w:t xml:space="preserve"> Decreto 1082 de 2015. «</w:t>
      </w:r>
      <w:r w:rsidR="00086EEA" w:rsidRPr="007328D2">
        <w:rPr>
          <w:rStyle w:val="Textoennegrita"/>
          <w:rFonts w:ascii="Arial" w:hAnsi="Arial" w:cs="Arial"/>
          <w:b w:val="0"/>
          <w:bCs w:val="0"/>
          <w:color w:val="000000"/>
          <w:sz w:val="19"/>
          <w:szCs w:val="19"/>
        </w:rPr>
        <w:t>Artículo 2.2.1.1.1.5.2. </w:t>
      </w:r>
      <w:r w:rsidR="00086EEA" w:rsidRPr="007328D2">
        <w:rPr>
          <w:rStyle w:val="nfasis"/>
          <w:rFonts w:ascii="Arial" w:hAnsi="Arial" w:cs="Arial"/>
          <w:i w:val="0"/>
          <w:iCs w:val="0"/>
          <w:color w:val="000000"/>
          <w:sz w:val="19"/>
          <w:szCs w:val="19"/>
        </w:rPr>
        <w:t>Información para inscripción, renovación o actualización. </w:t>
      </w:r>
      <w:r w:rsidR="00086EEA" w:rsidRPr="007328D2">
        <w:rPr>
          <w:rFonts w:ascii="Arial" w:hAnsi="Arial" w:cs="Arial"/>
          <w:color w:val="000000"/>
          <w:sz w:val="19"/>
          <w:szCs w:val="19"/>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7D5C64E8" w14:textId="11FBFFA3" w:rsidR="00086EEA" w:rsidRPr="007328D2" w:rsidRDefault="00086EEA" w:rsidP="007328D2">
      <w:pPr>
        <w:pStyle w:val="NormalWeb"/>
        <w:spacing w:before="0" w:beforeAutospacing="0" w:after="0" w:afterAutospacing="0"/>
        <w:ind w:firstLine="708"/>
        <w:jc w:val="both"/>
        <w:rPr>
          <w:rFonts w:ascii="Arial" w:hAnsi="Arial" w:cs="Arial"/>
          <w:color w:val="000000"/>
          <w:sz w:val="19"/>
          <w:szCs w:val="19"/>
        </w:rPr>
      </w:pPr>
      <w:r w:rsidRPr="007328D2">
        <w:rPr>
          <w:rFonts w:ascii="Arial" w:hAnsi="Arial" w:cs="Arial"/>
          <w:color w:val="000000"/>
          <w:sz w:val="19"/>
          <w:szCs w:val="19"/>
        </w:rPr>
        <w:t>[…]</w:t>
      </w:r>
    </w:p>
    <w:p w14:paraId="36E93666" w14:textId="2E93B314" w:rsidR="00086EEA" w:rsidRPr="007328D2" w:rsidRDefault="009F7C66" w:rsidP="007328D2">
      <w:pPr>
        <w:pStyle w:val="NormalWeb"/>
        <w:spacing w:before="0" w:beforeAutospacing="0" w:after="0" w:afterAutospacing="0"/>
        <w:ind w:firstLine="708"/>
        <w:jc w:val="both"/>
        <w:rPr>
          <w:rFonts w:ascii="Arial" w:hAnsi="Arial" w:cs="Arial"/>
          <w:color w:val="000000"/>
          <w:sz w:val="19"/>
          <w:szCs w:val="19"/>
        </w:rPr>
      </w:pPr>
      <w:r w:rsidRPr="007328D2">
        <w:rPr>
          <w:rFonts w:ascii="Arial" w:hAnsi="Arial" w:cs="Arial"/>
          <w:color w:val="000000"/>
          <w:sz w:val="19"/>
          <w:szCs w:val="19"/>
        </w:rPr>
        <w:t>»</w:t>
      </w:r>
      <w:r w:rsidR="00086EEA" w:rsidRPr="007328D2">
        <w:rPr>
          <w:rFonts w:ascii="Arial" w:hAnsi="Arial" w:cs="Arial"/>
          <w:color w:val="000000"/>
          <w:sz w:val="19"/>
          <w:szCs w:val="19"/>
        </w:rPr>
        <w:t>2. Si es una persona jurídica: </w:t>
      </w:r>
    </w:p>
    <w:p w14:paraId="1CFBB63A" w14:textId="1C28A5B9" w:rsidR="00086EEA" w:rsidRPr="007328D2" w:rsidRDefault="00086EEA" w:rsidP="007328D2">
      <w:pPr>
        <w:pStyle w:val="NormalWeb"/>
        <w:spacing w:before="0" w:beforeAutospacing="0" w:after="0" w:afterAutospacing="0"/>
        <w:jc w:val="both"/>
        <w:rPr>
          <w:rFonts w:ascii="Arial" w:hAnsi="Arial" w:cs="Arial"/>
          <w:color w:val="000000"/>
          <w:sz w:val="19"/>
          <w:szCs w:val="19"/>
        </w:rPr>
      </w:pPr>
      <w:r w:rsidRPr="007328D2">
        <w:rPr>
          <w:rFonts w:ascii="Arial" w:hAnsi="Arial" w:cs="Arial"/>
          <w:color w:val="000000"/>
          <w:sz w:val="19"/>
          <w:szCs w:val="19"/>
        </w:rPr>
        <w:t>  </w:t>
      </w:r>
      <w:r w:rsidR="009F7C66" w:rsidRPr="007328D2">
        <w:rPr>
          <w:rFonts w:ascii="Arial" w:hAnsi="Arial" w:cs="Arial"/>
          <w:color w:val="000000"/>
          <w:sz w:val="19"/>
          <w:szCs w:val="19"/>
        </w:rPr>
        <w:tab/>
        <w:t>[…]</w:t>
      </w:r>
    </w:p>
    <w:p w14:paraId="7F8A7D73" w14:textId="1880B190" w:rsidR="00086EEA" w:rsidRPr="007328D2" w:rsidRDefault="009F7C66" w:rsidP="007328D2">
      <w:pPr>
        <w:pStyle w:val="NormalWeb"/>
        <w:spacing w:before="0" w:beforeAutospacing="0" w:after="0" w:afterAutospacing="0"/>
        <w:ind w:firstLine="708"/>
        <w:jc w:val="both"/>
        <w:rPr>
          <w:rFonts w:ascii="Arial" w:hAnsi="Arial" w:cs="Arial"/>
          <w:color w:val="000000"/>
          <w:sz w:val="19"/>
          <w:szCs w:val="19"/>
        </w:rPr>
      </w:pPr>
      <w:r w:rsidRPr="007328D2">
        <w:rPr>
          <w:rFonts w:ascii="Arial" w:hAnsi="Arial" w:cs="Arial"/>
          <w:color w:val="000000"/>
          <w:sz w:val="19"/>
          <w:szCs w:val="19"/>
        </w:rPr>
        <w:t>»</w:t>
      </w:r>
      <w:r w:rsidR="00086EEA" w:rsidRPr="007328D2">
        <w:rPr>
          <w:rFonts w:ascii="Arial" w:hAnsi="Arial" w:cs="Arial"/>
          <w:color w:val="000000"/>
          <w:sz w:val="19"/>
          <w:szCs w:val="19"/>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 </w:t>
      </w:r>
      <w:r w:rsidRPr="007328D2">
        <w:rPr>
          <w:rFonts w:ascii="Arial" w:hAnsi="Arial" w:cs="Arial"/>
          <w:color w:val="000000"/>
          <w:sz w:val="19"/>
          <w:szCs w:val="19"/>
        </w:rPr>
        <w:t>[…]»</w:t>
      </w:r>
    </w:p>
    <w:p w14:paraId="7E86BB7D" w14:textId="7EFB8F52" w:rsidR="008B6A33" w:rsidRPr="007328D2" w:rsidRDefault="008B6A33" w:rsidP="000823DB">
      <w:pPr>
        <w:pStyle w:val="Textonotapie"/>
        <w:rPr>
          <w:rFonts w:ascii="Arial" w:hAnsi="Arial" w:cs="Arial"/>
          <w:sz w:val="19"/>
          <w:szCs w:val="19"/>
          <w:lang w:val="es-CO"/>
        </w:rPr>
      </w:pPr>
    </w:p>
  </w:footnote>
  <w:footnote w:id="5">
    <w:p w14:paraId="4E5FFAB3" w14:textId="6227D05D" w:rsidR="009F7C66" w:rsidRPr="00ED5D94" w:rsidRDefault="009F7C66" w:rsidP="000823DB">
      <w:pPr>
        <w:pStyle w:val="Textonotapie"/>
        <w:ind w:firstLine="708"/>
        <w:jc w:val="both"/>
        <w:rPr>
          <w:rFonts w:ascii="Arial" w:eastAsia="Calibri" w:hAnsi="Arial" w:cs="Arial"/>
          <w:color w:val="000000"/>
          <w:lang w:eastAsia="es-ES_tradnl"/>
        </w:rPr>
      </w:pPr>
      <w:r w:rsidRPr="007328D2">
        <w:rPr>
          <w:rStyle w:val="Refdenotaalpie"/>
          <w:rFonts w:ascii="Arial" w:hAnsi="Arial" w:cs="Arial"/>
        </w:rPr>
        <w:footnoteRef/>
      </w:r>
      <w:r w:rsidRPr="007328D2">
        <w:rPr>
          <w:rFonts w:ascii="Arial" w:hAnsi="Arial" w:cs="Arial"/>
        </w:rPr>
        <w:t xml:space="preserve">  </w:t>
      </w:r>
      <w:r w:rsidR="00A9293E" w:rsidRPr="007328D2">
        <w:rPr>
          <w:rFonts w:ascii="Arial" w:hAnsi="Arial" w:cs="Arial"/>
        </w:rPr>
        <w:t>La Agencia Nacional de Contratación Pública ‒ Colombia Compra Eficiente se ha pronunciado en múltiples ocasiones sobre el alcance del numeral 2.5. del artículo 2.2.1.1.1.5.2 del Decreto 1082 de 2015, e</w:t>
      </w:r>
      <w:r w:rsidR="00ED5D94" w:rsidRPr="007328D2">
        <w:rPr>
          <w:rFonts w:ascii="Arial" w:hAnsi="Arial" w:cs="Arial"/>
        </w:rPr>
        <w:t>n torno a la posibilidad de que las personas jurídicas acrediten experiencia adquirida por sus socios o constituyentes. En particular en los</w:t>
      </w:r>
      <w:r w:rsidR="00A9293E" w:rsidRPr="007328D2">
        <w:rPr>
          <w:rFonts w:ascii="Arial" w:hAnsi="Arial" w:cs="Arial"/>
        </w:rPr>
        <w:t xml:space="preserve"> conceptos </w:t>
      </w:r>
      <w:r w:rsidR="00595221" w:rsidRPr="000823DB">
        <w:rPr>
          <w:rFonts w:ascii="Arial" w:eastAsia="Calibri" w:hAnsi="Arial" w:cs="Arial"/>
          <w:color w:val="000000"/>
          <w:lang w:eastAsia="es-ES_tradnl"/>
        </w:rPr>
        <w:t>C-511 del 18 de agosto de 2020, C-584 de 31 de agosto 2020, C-619 de 21 de septiembre 2020, C-710 del 9 de diciembre de 2020, C-717 del 10 de diciembre de 2020, C-729 del 11 de diciembre de 2020, C-008 del 15 de febrero de 2021, C-103 del 24 de marzo del 2</w:t>
      </w:r>
      <w:r w:rsidR="00595221" w:rsidRPr="00ED5D94">
        <w:rPr>
          <w:rFonts w:ascii="Arial" w:eastAsia="Calibri" w:hAnsi="Arial" w:cs="Arial"/>
          <w:color w:val="000000"/>
          <w:lang w:eastAsia="es-ES_tradnl"/>
        </w:rPr>
        <w:t>021, C-140 del 9 de abril del 2021</w:t>
      </w:r>
      <w:r w:rsidR="003821BE" w:rsidRPr="00ED5D94">
        <w:rPr>
          <w:rFonts w:ascii="Arial" w:eastAsia="Calibri" w:hAnsi="Arial" w:cs="Arial"/>
          <w:color w:val="000000"/>
          <w:lang w:eastAsia="es-ES_tradnl"/>
        </w:rPr>
        <w:t>,</w:t>
      </w:r>
      <w:r w:rsidR="00595221" w:rsidRPr="00ED5D94">
        <w:rPr>
          <w:rFonts w:ascii="Arial" w:eastAsia="Calibri" w:hAnsi="Arial" w:cs="Arial"/>
          <w:color w:val="000000"/>
          <w:lang w:eastAsia="es-ES_tradnl"/>
        </w:rPr>
        <w:t xml:space="preserve"> C-230 del 25 de mayo de 2021</w:t>
      </w:r>
      <w:r w:rsidR="003821BE" w:rsidRPr="00ED5D94">
        <w:rPr>
          <w:rFonts w:ascii="Arial" w:eastAsia="Calibri" w:hAnsi="Arial" w:cs="Arial"/>
          <w:color w:val="000000"/>
          <w:lang w:eastAsia="es-ES_tradnl"/>
        </w:rPr>
        <w:t>, C-249 de 1 de junio de 2021, C-326 del 2</w:t>
      </w:r>
      <w:r w:rsidR="0073171F" w:rsidRPr="00ED5D94">
        <w:rPr>
          <w:rFonts w:ascii="Arial" w:eastAsia="Calibri" w:hAnsi="Arial" w:cs="Arial"/>
          <w:color w:val="000000"/>
          <w:lang w:eastAsia="es-ES_tradnl"/>
        </w:rPr>
        <w:t xml:space="preserve"> de julio de </w:t>
      </w:r>
      <w:r w:rsidR="003821BE" w:rsidRPr="00ED5D94">
        <w:rPr>
          <w:rFonts w:ascii="Arial" w:eastAsia="Calibri" w:hAnsi="Arial" w:cs="Arial"/>
          <w:color w:val="000000"/>
          <w:lang w:eastAsia="es-ES_tradnl"/>
        </w:rPr>
        <w:t>2021</w:t>
      </w:r>
      <w:r w:rsidR="0073171F" w:rsidRPr="00ED5D94">
        <w:rPr>
          <w:rFonts w:ascii="Arial" w:eastAsia="Calibri" w:hAnsi="Arial" w:cs="Arial"/>
          <w:color w:val="000000"/>
          <w:lang w:eastAsia="es-ES_tradnl"/>
        </w:rPr>
        <w:t>, entre otros.</w:t>
      </w:r>
    </w:p>
    <w:p w14:paraId="2C715A9A" w14:textId="77777777" w:rsidR="00ED5D94" w:rsidRPr="007328D2" w:rsidRDefault="00ED5D94" w:rsidP="007328D2">
      <w:pPr>
        <w:pStyle w:val="Textonotapie"/>
        <w:ind w:firstLine="708"/>
        <w:jc w:val="both"/>
        <w:rPr>
          <w:lang w:val="es-CO"/>
        </w:rPr>
      </w:pPr>
    </w:p>
  </w:footnote>
  <w:footnote w:id="6">
    <w:p w14:paraId="5A6C8925" w14:textId="77777777" w:rsidR="000A558C" w:rsidRPr="000823DB" w:rsidRDefault="000A558C" w:rsidP="000823DB">
      <w:pPr>
        <w:pStyle w:val="Textonotapie"/>
        <w:ind w:firstLine="708"/>
        <w:rPr>
          <w:rFonts w:ascii="Arial" w:hAnsi="Arial" w:cs="Arial"/>
          <w:sz w:val="19"/>
          <w:szCs w:val="19"/>
          <w:lang w:val="es-CO"/>
        </w:rPr>
      </w:pPr>
      <w:r w:rsidRPr="000823DB">
        <w:rPr>
          <w:rStyle w:val="Refdenotaalpie"/>
          <w:rFonts w:ascii="Arial" w:hAnsi="Arial" w:cs="Arial"/>
          <w:sz w:val="19"/>
          <w:szCs w:val="19"/>
        </w:rPr>
        <w:footnoteRef/>
      </w:r>
      <w:r w:rsidRPr="000823DB">
        <w:rPr>
          <w:rFonts w:ascii="Arial" w:hAnsi="Arial" w:cs="Arial"/>
          <w:sz w:val="19"/>
          <w:szCs w:val="19"/>
        </w:rPr>
        <w:t xml:space="preserve"> </w:t>
      </w:r>
      <w:hyperlink r:id="rId1" w:history="1">
        <w:r w:rsidRPr="009F7C66">
          <w:rPr>
            <w:rStyle w:val="Hipervnculo"/>
            <w:rFonts w:ascii="Arial" w:hAnsi="Arial" w:cs="Arial"/>
            <w:sz w:val="19"/>
            <w:szCs w:val="19"/>
          </w:rPr>
          <w:t>https://colombiacompra.gov.co/manuales-guias-y-pliegos-tipo/manuales-y-guias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6C16A1"/>
    <w:multiLevelType w:val="hybridMultilevel"/>
    <w:tmpl w:val="1AB4BA0C"/>
    <w:lvl w:ilvl="0" w:tplc="A24CC23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27477DC"/>
    <w:multiLevelType w:val="hybridMultilevel"/>
    <w:tmpl w:val="A266AFD0"/>
    <w:lvl w:ilvl="0" w:tplc="89AC263E">
      <w:start w:val="1"/>
      <w:numFmt w:val="decimal"/>
      <w:lvlText w:val="%1."/>
      <w:lvlJc w:val="left"/>
      <w:pPr>
        <w:ind w:left="720" w:hanging="360"/>
      </w:pPr>
      <w:rPr>
        <w:rFonts w:ascii="ArialMT" w:hAnsi="ArialMT"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ECA0A6E"/>
    <w:multiLevelType w:val="multilevel"/>
    <w:tmpl w:val="E68E61D6"/>
    <w:lvl w:ilvl="0">
      <w:start w:val="2"/>
      <w:numFmt w:val="decimal"/>
      <w:lvlText w:val="%1."/>
      <w:lvlJc w:val="left"/>
      <w:pPr>
        <w:ind w:left="72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28068A8"/>
    <w:multiLevelType w:val="hybridMultilevel"/>
    <w:tmpl w:val="B308C2F4"/>
    <w:lvl w:ilvl="0" w:tplc="A4889B9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72C06CD"/>
    <w:multiLevelType w:val="hybridMultilevel"/>
    <w:tmpl w:val="9C2A93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C3072E5"/>
    <w:multiLevelType w:val="hybridMultilevel"/>
    <w:tmpl w:val="3E468D1C"/>
    <w:lvl w:ilvl="0" w:tplc="F6DA94D0">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D682DF6"/>
    <w:multiLevelType w:val="hybridMultilevel"/>
    <w:tmpl w:val="01B03BA8"/>
    <w:lvl w:ilvl="0" w:tplc="04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B41602F"/>
    <w:multiLevelType w:val="hybridMultilevel"/>
    <w:tmpl w:val="3BDE0786"/>
    <w:lvl w:ilvl="0" w:tplc="4956E6F8">
      <w:start w:val="1"/>
      <w:numFmt w:val="lowerRoman"/>
      <w:lvlText w:val="%1)"/>
      <w:lvlJc w:val="left"/>
      <w:pPr>
        <w:ind w:left="780" w:hanging="720"/>
      </w:pPr>
      <w:rPr>
        <w:rFonts w:eastAsia="Calibri" w:hint="default"/>
        <w:color w:val="000000" w:themeColor="text1"/>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2"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2"/>
  </w:num>
  <w:num w:numId="4">
    <w:abstractNumId w:val="2"/>
  </w:num>
  <w:num w:numId="5">
    <w:abstractNumId w:val="8"/>
  </w:num>
  <w:num w:numId="6">
    <w:abstractNumId w:val="11"/>
  </w:num>
  <w:num w:numId="7">
    <w:abstractNumId w:val="5"/>
  </w:num>
  <w:num w:numId="8">
    <w:abstractNumId w:val="4"/>
  </w:num>
  <w:num w:numId="9">
    <w:abstractNumId w:val="1"/>
  </w:num>
  <w:num w:numId="10">
    <w:abstractNumId w:val="10"/>
  </w:num>
  <w:num w:numId="11">
    <w:abstractNumId w:val="9"/>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6860"/>
    <w:rsid w:val="00007554"/>
    <w:rsid w:val="000116D4"/>
    <w:rsid w:val="00015425"/>
    <w:rsid w:val="00026C88"/>
    <w:rsid w:val="0004028A"/>
    <w:rsid w:val="00061C70"/>
    <w:rsid w:val="000656E8"/>
    <w:rsid w:val="00072333"/>
    <w:rsid w:val="000755E1"/>
    <w:rsid w:val="00076B68"/>
    <w:rsid w:val="000823DB"/>
    <w:rsid w:val="000830F9"/>
    <w:rsid w:val="00086EEA"/>
    <w:rsid w:val="00094B59"/>
    <w:rsid w:val="000A40B9"/>
    <w:rsid w:val="000A558C"/>
    <w:rsid w:val="000A5E3D"/>
    <w:rsid w:val="000A615D"/>
    <w:rsid w:val="000A787A"/>
    <w:rsid w:val="000A7A22"/>
    <w:rsid w:val="000B3835"/>
    <w:rsid w:val="000B627E"/>
    <w:rsid w:val="000B6A48"/>
    <w:rsid w:val="000C7645"/>
    <w:rsid w:val="000D23BE"/>
    <w:rsid w:val="000E5646"/>
    <w:rsid w:val="000F1A28"/>
    <w:rsid w:val="00106B54"/>
    <w:rsid w:val="00112852"/>
    <w:rsid w:val="0011553A"/>
    <w:rsid w:val="001177A4"/>
    <w:rsid w:val="00135CEA"/>
    <w:rsid w:val="00141F86"/>
    <w:rsid w:val="0015117A"/>
    <w:rsid w:val="0015440B"/>
    <w:rsid w:val="001561B2"/>
    <w:rsid w:val="00161966"/>
    <w:rsid w:val="0016567E"/>
    <w:rsid w:val="00180220"/>
    <w:rsid w:val="00182F8C"/>
    <w:rsid w:val="001900DE"/>
    <w:rsid w:val="00195596"/>
    <w:rsid w:val="0019728C"/>
    <w:rsid w:val="001A3D80"/>
    <w:rsid w:val="001B1773"/>
    <w:rsid w:val="001C068E"/>
    <w:rsid w:val="001D1005"/>
    <w:rsid w:val="001D6A34"/>
    <w:rsid w:val="001E1E48"/>
    <w:rsid w:val="001E2E1C"/>
    <w:rsid w:val="001E6EA0"/>
    <w:rsid w:val="001F2332"/>
    <w:rsid w:val="001F5D6E"/>
    <w:rsid w:val="00201DB9"/>
    <w:rsid w:val="00202668"/>
    <w:rsid w:val="002057A4"/>
    <w:rsid w:val="00214AAC"/>
    <w:rsid w:val="00214E9F"/>
    <w:rsid w:val="00216826"/>
    <w:rsid w:val="00222032"/>
    <w:rsid w:val="00223F65"/>
    <w:rsid w:val="00235E08"/>
    <w:rsid w:val="00256784"/>
    <w:rsid w:val="00256962"/>
    <w:rsid w:val="00257B1E"/>
    <w:rsid w:val="00262DCF"/>
    <w:rsid w:val="00263999"/>
    <w:rsid w:val="0026403F"/>
    <w:rsid w:val="002641CE"/>
    <w:rsid w:val="00265A2D"/>
    <w:rsid w:val="002663A9"/>
    <w:rsid w:val="0026761A"/>
    <w:rsid w:val="002676B8"/>
    <w:rsid w:val="002762D1"/>
    <w:rsid w:val="002802AB"/>
    <w:rsid w:val="00282D3F"/>
    <w:rsid w:val="00283FC7"/>
    <w:rsid w:val="00286B8C"/>
    <w:rsid w:val="002A5C76"/>
    <w:rsid w:val="002A75EC"/>
    <w:rsid w:val="002B19F5"/>
    <w:rsid w:val="002B4570"/>
    <w:rsid w:val="002C5401"/>
    <w:rsid w:val="002E0303"/>
    <w:rsid w:val="002F0E3F"/>
    <w:rsid w:val="002F1597"/>
    <w:rsid w:val="00300B5B"/>
    <w:rsid w:val="00304325"/>
    <w:rsid w:val="0031456F"/>
    <w:rsid w:val="003221FB"/>
    <w:rsid w:val="003233A2"/>
    <w:rsid w:val="003239DF"/>
    <w:rsid w:val="00324FA5"/>
    <w:rsid w:val="00324FBC"/>
    <w:rsid w:val="00332594"/>
    <w:rsid w:val="00336AC6"/>
    <w:rsid w:val="00337136"/>
    <w:rsid w:val="00337876"/>
    <w:rsid w:val="003401F2"/>
    <w:rsid w:val="00345FBC"/>
    <w:rsid w:val="003460DD"/>
    <w:rsid w:val="00353092"/>
    <w:rsid w:val="0035732E"/>
    <w:rsid w:val="00365D3A"/>
    <w:rsid w:val="0037075E"/>
    <w:rsid w:val="0037178A"/>
    <w:rsid w:val="00373A65"/>
    <w:rsid w:val="00380F1A"/>
    <w:rsid w:val="003821BE"/>
    <w:rsid w:val="00384FE5"/>
    <w:rsid w:val="003855A0"/>
    <w:rsid w:val="00387886"/>
    <w:rsid w:val="00387D10"/>
    <w:rsid w:val="00392411"/>
    <w:rsid w:val="00397000"/>
    <w:rsid w:val="003A5C98"/>
    <w:rsid w:val="003B7F22"/>
    <w:rsid w:val="003C1F96"/>
    <w:rsid w:val="003C5DD6"/>
    <w:rsid w:val="003D09BA"/>
    <w:rsid w:val="003D22F3"/>
    <w:rsid w:val="003D2C54"/>
    <w:rsid w:val="003D73DB"/>
    <w:rsid w:val="003E248F"/>
    <w:rsid w:val="003E332A"/>
    <w:rsid w:val="003E3E01"/>
    <w:rsid w:val="003E5A87"/>
    <w:rsid w:val="003F461C"/>
    <w:rsid w:val="003F7FB1"/>
    <w:rsid w:val="00403054"/>
    <w:rsid w:val="004032ED"/>
    <w:rsid w:val="004053CD"/>
    <w:rsid w:val="0041470E"/>
    <w:rsid w:val="00414DD4"/>
    <w:rsid w:val="00416435"/>
    <w:rsid w:val="004164FC"/>
    <w:rsid w:val="00434C61"/>
    <w:rsid w:val="00454997"/>
    <w:rsid w:val="004568F1"/>
    <w:rsid w:val="00456A1B"/>
    <w:rsid w:val="00457367"/>
    <w:rsid w:val="004710AE"/>
    <w:rsid w:val="0047129A"/>
    <w:rsid w:val="00475DD2"/>
    <w:rsid w:val="00476147"/>
    <w:rsid w:val="00476544"/>
    <w:rsid w:val="0048044A"/>
    <w:rsid w:val="0048469A"/>
    <w:rsid w:val="004853AF"/>
    <w:rsid w:val="004903B7"/>
    <w:rsid w:val="00491FEA"/>
    <w:rsid w:val="004B3968"/>
    <w:rsid w:val="004C6ABD"/>
    <w:rsid w:val="004D7DE2"/>
    <w:rsid w:val="004E40AE"/>
    <w:rsid w:val="004E4A1E"/>
    <w:rsid w:val="004E7410"/>
    <w:rsid w:val="004F0984"/>
    <w:rsid w:val="004F2E83"/>
    <w:rsid w:val="00500E64"/>
    <w:rsid w:val="00502061"/>
    <w:rsid w:val="00521FC6"/>
    <w:rsid w:val="00524B49"/>
    <w:rsid w:val="005303D7"/>
    <w:rsid w:val="00531E6B"/>
    <w:rsid w:val="005342DB"/>
    <w:rsid w:val="00542C4B"/>
    <w:rsid w:val="00547A9E"/>
    <w:rsid w:val="0055029E"/>
    <w:rsid w:val="0055248E"/>
    <w:rsid w:val="00554D93"/>
    <w:rsid w:val="0055693F"/>
    <w:rsid w:val="005576CE"/>
    <w:rsid w:val="005621EE"/>
    <w:rsid w:val="00563519"/>
    <w:rsid w:val="005668C1"/>
    <w:rsid w:val="0057067B"/>
    <w:rsid w:val="0057168B"/>
    <w:rsid w:val="00572216"/>
    <w:rsid w:val="00587130"/>
    <w:rsid w:val="00591EB1"/>
    <w:rsid w:val="00595221"/>
    <w:rsid w:val="005A5EFD"/>
    <w:rsid w:val="005A6059"/>
    <w:rsid w:val="005B056E"/>
    <w:rsid w:val="005B14A6"/>
    <w:rsid w:val="005B76C7"/>
    <w:rsid w:val="005D3782"/>
    <w:rsid w:val="005D46D0"/>
    <w:rsid w:val="005D4FC8"/>
    <w:rsid w:val="005E17FD"/>
    <w:rsid w:val="005E1A48"/>
    <w:rsid w:val="005E481C"/>
    <w:rsid w:val="005E66B0"/>
    <w:rsid w:val="005F04B8"/>
    <w:rsid w:val="005F1D9D"/>
    <w:rsid w:val="005F2E53"/>
    <w:rsid w:val="005F2ECC"/>
    <w:rsid w:val="00606451"/>
    <w:rsid w:val="006065A9"/>
    <w:rsid w:val="00611B99"/>
    <w:rsid w:val="00615520"/>
    <w:rsid w:val="0061648F"/>
    <w:rsid w:val="00622F70"/>
    <w:rsid w:val="00623378"/>
    <w:rsid w:val="0063204C"/>
    <w:rsid w:val="006327D2"/>
    <w:rsid w:val="00662701"/>
    <w:rsid w:val="006663C2"/>
    <w:rsid w:val="00667FCB"/>
    <w:rsid w:val="006757CA"/>
    <w:rsid w:val="00676D9E"/>
    <w:rsid w:val="00687BDD"/>
    <w:rsid w:val="00695B76"/>
    <w:rsid w:val="006A00E3"/>
    <w:rsid w:val="006A5502"/>
    <w:rsid w:val="006B04C0"/>
    <w:rsid w:val="006D2C01"/>
    <w:rsid w:val="006D36A9"/>
    <w:rsid w:val="006D3DBD"/>
    <w:rsid w:val="006D64B1"/>
    <w:rsid w:val="006E75EC"/>
    <w:rsid w:val="006F61DB"/>
    <w:rsid w:val="00703E5A"/>
    <w:rsid w:val="007118B2"/>
    <w:rsid w:val="0072221E"/>
    <w:rsid w:val="007250E8"/>
    <w:rsid w:val="007308F7"/>
    <w:rsid w:val="0073171F"/>
    <w:rsid w:val="007328D2"/>
    <w:rsid w:val="00745302"/>
    <w:rsid w:val="00751E14"/>
    <w:rsid w:val="00754032"/>
    <w:rsid w:val="00756FD9"/>
    <w:rsid w:val="00757F0B"/>
    <w:rsid w:val="007675C8"/>
    <w:rsid w:val="00771D35"/>
    <w:rsid w:val="00773948"/>
    <w:rsid w:val="00776374"/>
    <w:rsid w:val="007820EF"/>
    <w:rsid w:val="00783999"/>
    <w:rsid w:val="00783EBD"/>
    <w:rsid w:val="00784FEF"/>
    <w:rsid w:val="007A0123"/>
    <w:rsid w:val="007A05BC"/>
    <w:rsid w:val="007A4AE6"/>
    <w:rsid w:val="007B1D87"/>
    <w:rsid w:val="007B2580"/>
    <w:rsid w:val="007C574A"/>
    <w:rsid w:val="007C5E25"/>
    <w:rsid w:val="007D7B44"/>
    <w:rsid w:val="007E5394"/>
    <w:rsid w:val="007F1895"/>
    <w:rsid w:val="007F304E"/>
    <w:rsid w:val="007F7A62"/>
    <w:rsid w:val="007F7C03"/>
    <w:rsid w:val="0081181F"/>
    <w:rsid w:val="00811D01"/>
    <w:rsid w:val="0081772F"/>
    <w:rsid w:val="00820F88"/>
    <w:rsid w:val="00827A2A"/>
    <w:rsid w:val="008312A3"/>
    <w:rsid w:val="00833D8C"/>
    <w:rsid w:val="008371B7"/>
    <w:rsid w:val="00843442"/>
    <w:rsid w:val="00847BA2"/>
    <w:rsid w:val="008514A7"/>
    <w:rsid w:val="00861714"/>
    <w:rsid w:val="00861AC5"/>
    <w:rsid w:val="00875F7C"/>
    <w:rsid w:val="00880110"/>
    <w:rsid w:val="00883BDA"/>
    <w:rsid w:val="008846F6"/>
    <w:rsid w:val="00884E7C"/>
    <w:rsid w:val="008855C4"/>
    <w:rsid w:val="008873A3"/>
    <w:rsid w:val="00897109"/>
    <w:rsid w:val="008A3B3A"/>
    <w:rsid w:val="008A51D3"/>
    <w:rsid w:val="008B385A"/>
    <w:rsid w:val="008B52AD"/>
    <w:rsid w:val="008B6A33"/>
    <w:rsid w:val="008B79F9"/>
    <w:rsid w:val="008C3F91"/>
    <w:rsid w:val="008C425C"/>
    <w:rsid w:val="008C5B45"/>
    <w:rsid w:val="008F3AB1"/>
    <w:rsid w:val="008F6437"/>
    <w:rsid w:val="0093085B"/>
    <w:rsid w:val="00930FAE"/>
    <w:rsid w:val="009332FC"/>
    <w:rsid w:val="00960FD1"/>
    <w:rsid w:val="00965D7F"/>
    <w:rsid w:val="00973FF7"/>
    <w:rsid w:val="0098230F"/>
    <w:rsid w:val="00990410"/>
    <w:rsid w:val="009A3A2B"/>
    <w:rsid w:val="009B586F"/>
    <w:rsid w:val="009C5AD1"/>
    <w:rsid w:val="009D5279"/>
    <w:rsid w:val="009D5DD2"/>
    <w:rsid w:val="009D7A61"/>
    <w:rsid w:val="009E22B5"/>
    <w:rsid w:val="009E36A9"/>
    <w:rsid w:val="009F1B3C"/>
    <w:rsid w:val="009F5885"/>
    <w:rsid w:val="009F7C66"/>
    <w:rsid w:val="00A012BF"/>
    <w:rsid w:val="00A21E65"/>
    <w:rsid w:val="00A335C2"/>
    <w:rsid w:val="00A35546"/>
    <w:rsid w:val="00A4095E"/>
    <w:rsid w:val="00A42838"/>
    <w:rsid w:val="00A4457D"/>
    <w:rsid w:val="00A5027F"/>
    <w:rsid w:val="00A5157B"/>
    <w:rsid w:val="00A51E80"/>
    <w:rsid w:val="00A5256B"/>
    <w:rsid w:val="00A53195"/>
    <w:rsid w:val="00A71CEA"/>
    <w:rsid w:val="00A80425"/>
    <w:rsid w:val="00A8448B"/>
    <w:rsid w:val="00A860DE"/>
    <w:rsid w:val="00A9164B"/>
    <w:rsid w:val="00A9293E"/>
    <w:rsid w:val="00A97AC6"/>
    <w:rsid w:val="00AA2D55"/>
    <w:rsid w:val="00AA3244"/>
    <w:rsid w:val="00AA5749"/>
    <w:rsid w:val="00AB0071"/>
    <w:rsid w:val="00AB3B0A"/>
    <w:rsid w:val="00AB6125"/>
    <w:rsid w:val="00AC2212"/>
    <w:rsid w:val="00AC44CB"/>
    <w:rsid w:val="00AC7423"/>
    <w:rsid w:val="00AC7AE5"/>
    <w:rsid w:val="00AD4216"/>
    <w:rsid w:val="00AE35EA"/>
    <w:rsid w:val="00AF0F4E"/>
    <w:rsid w:val="00AF712E"/>
    <w:rsid w:val="00B02D49"/>
    <w:rsid w:val="00B06567"/>
    <w:rsid w:val="00B12F0E"/>
    <w:rsid w:val="00B204FD"/>
    <w:rsid w:val="00B213D0"/>
    <w:rsid w:val="00B2523E"/>
    <w:rsid w:val="00B315E0"/>
    <w:rsid w:val="00B31C5C"/>
    <w:rsid w:val="00B33E20"/>
    <w:rsid w:val="00B43119"/>
    <w:rsid w:val="00B432EB"/>
    <w:rsid w:val="00B4436B"/>
    <w:rsid w:val="00B44E36"/>
    <w:rsid w:val="00B52EF4"/>
    <w:rsid w:val="00B55679"/>
    <w:rsid w:val="00B5768A"/>
    <w:rsid w:val="00B6131E"/>
    <w:rsid w:val="00B63793"/>
    <w:rsid w:val="00B651A5"/>
    <w:rsid w:val="00B7045A"/>
    <w:rsid w:val="00B71711"/>
    <w:rsid w:val="00B72FB5"/>
    <w:rsid w:val="00B81F3F"/>
    <w:rsid w:val="00B8757F"/>
    <w:rsid w:val="00B878A9"/>
    <w:rsid w:val="00B913DC"/>
    <w:rsid w:val="00B933DD"/>
    <w:rsid w:val="00B937CA"/>
    <w:rsid w:val="00B9449C"/>
    <w:rsid w:val="00B95F96"/>
    <w:rsid w:val="00B96688"/>
    <w:rsid w:val="00BA084A"/>
    <w:rsid w:val="00BA0BD7"/>
    <w:rsid w:val="00BA3C72"/>
    <w:rsid w:val="00BA55C6"/>
    <w:rsid w:val="00BA75D3"/>
    <w:rsid w:val="00BA7F22"/>
    <w:rsid w:val="00BB05AC"/>
    <w:rsid w:val="00BB0D17"/>
    <w:rsid w:val="00BB2F92"/>
    <w:rsid w:val="00BB32FE"/>
    <w:rsid w:val="00BB4E07"/>
    <w:rsid w:val="00BB51F3"/>
    <w:rsid w:val="00BB5D20"/>
    <w:rsid w:val="00BC0FB8"/>
    <w:rsid w:val="00BC1F98"/>
    <w:rsid w:val="00BC3923"/>
    <w:rsid w:val="00BD1EE6"/>
    <w:rsid w:val="00BD2356"/>
    <w:rsid w:val="00BF18D6"/>
    <w:rsid w:val="00BF6B4A"/>
    <w:rsid w:val="00BF7CAF"/>
    <w:rsid w:val="00C014D3"/>
    <w:rsid w:val="00C03A17"/>
    <w:rsid w:val="00C1196F"/>
    <w:rsid w:val="00C12344"/>
    <w:rsid w:val="00C12881"/>
    <w:rsid w:val="00C12E90"/>
    <w:rsid w:val="00C15D6A"/>
    <w:rsid w:val="00C33A69"/>
    <w:rsid w:val="00C33B62"/>
    <w:rsid w:val="00C34311"/>
    <w:rsid w:val="00C35FD1"/>
    <w:rsid w:val="00C37D36"/>
    <w:rsid w:val="00C47C47"/>
    <w:rsid w:val="00C54211"/>
    <w:rsid w:val="00C57083"/>
    <w:rsid w:val="00C634E7"/>
    <w:rsid w:val="00C635D5"/>
    <w:rsid w:val="00C63CEA"/>
    <w:rsid w:val="00C71ACE"/>
    <w:rsid w:val="00C72B17"/>
    <w:rsid w:val="00C87984"/>
    <w:rsid w:val="00C9071B"/>
    <w:rsid w:val="00C9429E"/>
    <w:rsid w:val="00CA5B8C"/>
    <w:rsid w:val="00CC5AFE"/>
    <w:rsid w:val="00CC6758"/>
    <w:rsid w:val="00CE1110"/>
    <w:rsid w:val="00CF6289"/>
    <w:rsid w:val="00D0122C"/>
    <w:rsid w:val="00D039FB"/>
    <w:rsid w:val="00D361AE"/>
    <w:rsid w:val="00D51136"/>
    <w:rsid w:val="00D5131C"/>
    <w:rsid w:val="00D53EC8"/>
    <w:rsid w:val="00D60108"/>
    <w:rsid w:val="00D61F57"/>
    <w:rsid w:val="00D7246A"/>
    <w:rsid w:val="00D750C2"/>
    <w:rsid w:val="00D76B34"/>
    <w:rsid w:val="00D77BB0"/>
    <w:rsid w:val="00D80564"/>
    <w:rsid w:val="00D811B8"/>
    <w:rsid w:val="00D83DF9"/>
    <w:rsid w:val="00D842C4"/>
    <w:rsid w:val="00D848EA"/>
    <w:rsid w:val="00D8778D"/>
    <w:rsid w:val="00D975D0"/>
    <w:rsid w:val="00DA10B6"/>
    <w:rsid w:val="00DA2C5A"/>
    <w:rsid w:val="00DA352E"/>
    <w:rsid w:val="00DB0FC7"/>
    <w:rsid w:val="00DB1A33"/>
    <w:rsid w:val="00DB63BB"/>
    <w:rsid w:val="00DB65AC"/>
    <w:rsid w:val="00DC1D74"/>
    <w:rsid w:val="00DC56A7"/>
    <w:rsid w:val="00DC7A25"/>
    <w:rsid w:val="00DD0D94"/>
    <w:rsid w:val="00DD2F62"/>
    <w:rsid w:val="00DE2C4E"/>
    <w:rsid w:val="00DE3AFA"/>
    <w:rsid w:val="00DE48B6"/>
    <w:rsid w:val="00DE736C"/>
    <w:rsid w:val="00DE7F80"/>
    <w:rsid w:val="00DF0BFF"/>
    <w:rsid w:val="00DF2E9E"/>
    <w:rsid w:val="00E02A6A"/>
    <w:rsid w:val="00E05824"/>
    <w:rsid w:val="00E131F1"/>
    <w:rsid w:val="00E21A31"/>
    <w:rsid w:val="00E231C5"/>
    <w:rsid w:val="00E24DB2"/>
    <w:rsid w:val="00E31A0B"/>
    <w:rsid w:val="00E32788"/>
    <w:rsid w:val="00E46C4E"/>
    <w:rsid w:val="00E53D75"/>
    <w:rsid w:val="00E673A1"/>
    <w:rsid w:val="00E833FA"/>
    <w:rsid w:val="00E923B0"/>
    <w:rsid w:val="00EA41E8"/>
    <w:rsid w:val="00EA513C"/>
    <w:rsid w:val="00EB1E4A"/>
    <w:rsid w:val="00EB27BA"/>
    <w:rsid w:val="00EB5133"/>
    <w:rsid w:val="00EC07EF"/>
    <w:rsid w:val="00EC0B51"/>
    <w:rsid w:val="00EC1382"/>
    <w:rsid w:val="00EC1AC1"/>
    <w:rsid w:val="00EC433E"/>
    <w:rsid w:val="00EC4E42"/>
    <w:rsid w:val="00ED3195"/>
    <w:rsid w:val="00ED5D94"/>
    <w:rsid w:val="00EE309B"/>
    <w:rsid w:val="00EE54C6"/>
    <w:rsid w:val="00EE66CC"/>
    <w:rsid w:val="00F00235"/>
    <w:rsid w:val="00F0401C"/>
    <w:rsid w:val="00F053F3"/>
    <w:rsid w:val="00F06565"/>
    <w:rsid w:val="00F10A2F"/>
    <w:rsid w:val="00F13BAE"/>
    <w:rsid w:val="00F3225B"/>
    <w:rsid w:val="00F34F98"/>
    <w:rsid w:val="00F3681E"/>
    <w:rsid w:val="00F3683B"/>
    <w:rsid w:val="00F40BB1"/>
    <w:rsid w:val="00F44B4C"/>
    <w:rsid w:val="00F5219A"/>
    <w:rsid w:val="00F53CB0"/>
    <w:rsid w:val="00F55F52"/>
    <w:rsid w:val="00F66114"/>
    <w:rsid w:val="00F71B36"/>
    <w:rsid w:val="00F735A7"/>
    <w:rsid w:val="00F7390B"/>
    <w:rsid w:val="00F779BA"/>
    <w:rsid w:val="00F80877"/>
    <w:rsid w:val="00F8666F"/>
    <w:rsid w:val="00F909BB"/>
    <w:rsid w:val="00F96DEA"/>
    <w:rsid w:val="00FA42DC"/>
    <w:rsid w:val="00FA4BCE"/>
    <w:rsid w:val="00FA4CC2"/>
    <w:rsid w:val="00FC46E7"/>
    <w:rsid w:val="00FD0147"/>
    <w:rsid w:val="00FD27D7"/>
    <w:rsid w:val="00FD2A36"/>
    <w:rsid w:val="00FD3E77"/>
    <w:rsid w:val="00FD6D80"/>
    <w:rsid w:val="00FE11D0"/>
    <w:rsid w:val="00FE204D"/>
    <w:rsid w:val="00FF0F91"/>
    <w:rsid w:val="00FF1F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DD"/>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5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NormalWebCar">
    <w:name w:val="Normal (Web) Car"/>
    <w:link w:val="NormalWeb"/>
    <w:uiPriority w:val="99"/>
    <w:rsid w:val="00C33A69"/>
    <w:rPr>
      <w:rFonts w:ascii="Times New Roman" w:eastAsia="Times New Roman" w:hAnsi="Times New Roman" w:cs="Times New Roman"/>
      <w:lang w:eastAsia="es-MX"/>
    </w:rPr>
  </w:style>
  <w:style w:type="paragraph" w:customStyle="1" w:styleId="Default">
    <w:name w:val="Default"/>
    <w:rsid w:val="00C33A69"/>
    <w:pPr>
      <w:autoSpaceDE w:val="0"/>
      <w:autoSpaceDN w:val="0"/>
      <w:adjustRightInd w:val="0"/>
    </w:pPr>
    <w:rPr>
      <w:rFonts w:ascii="Arial" w:hAnsi="Arial" w:cs="Arial"/>
      <w:color w:val="000000"/>
    </w:rPr>
  </w:style>
  <w:style w:type="paragraph" w:customStyle="1" w:styleId="xxmsonormal">
    <w:name w:val="x_x_msonormal"/>
    <w:basedOn w:val="Normal"/>
    <w:rsid w:val="00C33A69"/>
    <w:pPr>
      <w:spacing w:before="100" w:beforeAutospacing="1" w:after="100" w:afterAutospacing="1"/>
    </w:pPr>
  </w:style>
  <w:style w:type="character" w:customStyle="1" w:styleId="spellingerror">
    <w:name w:val="spellingerror"/>
    <w:basedOn w:val="Fuentedeprrafopredeter"/>
    <w:rsid w:val="00EB1E4A"/>
  </w:style>
  <w:style w:type="paragraph" w:customStyle="1" w:styleId="xmsonospacing">
    <w:name w:val="x_msonospacing"/>
    <w:basedOn w:val="Normal"/>
    <w:rsid w:val="0031456F"/>
    <w:pPr>
      <w:spacing w:before="100" w:beforeAutospacing="1" w:after="100" w:afterAutospacing="1"/>
    </w:pPr>
  </w:style>
  <w:style w:type="table" w:styleId="Tablaconcuadrcula4-nfasis6">
    <w:name w:val="Grid Table 4 Accent 6"/>
    <w:basedOn w:val="Tablanormal"/>
    <w:uiPriority w:val="49"/>
    <w:rsid w:val="00DE3AF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56173611">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27668976">
      <w:bodyDiv w:val="1"/>
      <w:marLeft w:val="0"/>
      <w:marRight w:val="0"/>
      <w:marTop w:val="0"/>
      <w:marBottom w:val="0"/>
      <w:divBdr>
        <w:top w:val="none" w:sz="0" w:space="0" w:color="auto"/>
        <w:left w:val="none" w:sz="0" w:space="0" w:color="auto"/>
        <w:bottom w:val="none" w:sz="0" w:space="0" w:color="auto"/>
        <w:right w:val="none" w:sz="0" w:space="0" w:color="auto"/>
      </w:divBdr>
      <w:divsChild>
        <w:div w:id="116996380">
          <w:marLeft w:val="0"/>
          <w:marRight w:val="0"/>
          <w:marTop w:val="0"/>
          <w:marBottom w:val="0"/>
          <w:divBdr>
            <w:top w:val="none" w:sz="0" w:space="0" w:color="auto"/>
            <w:left w:val="none" w:sz="0" w:space="0" w:color="auto"/>
            <w:bottom w:val="none" w:sz="0" w:space="0" w:color="auto"/>
            <w:right w:val="none" w:sz="0" w:space="0" w:color="auto"/>
          </w:divBdr>
        </w:div>
      </w:divsChild>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48217542">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11238431">
      <w:bodyDiv w:val="1"/>
      <w:marLeft w:val="0"/>
      <w:marRight w:val="0"/>
      <w:marTop w:val="0"/>
      <w:marBottom w:val="0"/>
      <w:divBdr>
        <w:top w:val="none" w:sz="0" w:space="0" w:color="auto"/>
        <w:left w:val="none" w:sz="0" w:space="0" w:color="auto"/>
        <w:bottom w:val="none" w:sz="0" w:space="0" w:color="auto"/>
        <w:right w:val="none" w:sz="0" w:space="0" w:color="auto"/>
      </w:divBdr>
    </w:div>
    <w:div w:id="471215269">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04789930">
      <w:bodyDiv w:val="1"/>
      <w:marLeft w:val="0"/>
      <w:marRight w:val="0"/>
      <w:marTop w:val="0"/>
      <w:marBottom w:val="0"/>
      <w:divBdr>
        <w:top w:val="none" w:sz="0" w:space="0" w:color="auto"/>
        <w:left w:val="none" w:sz="0" w:space="0" w:color="auto"/>
        <w:bottom w:val="none" w:sz="0" w:space="0" w:color="auto"/>
        <w:right w:val="none" w:sz="0" w:space="0" w:color="auto"/>
      </w:divBdr>
      <w:divsChild>
        <w:div w:id="1849827054">
          <w:marLeft w:val="0"/>
          <w:marRight w:val="0"/>
          <w:marTop w:val="0"/>
          <w:marBottom w:val="0"/>
          <w:divBdr>
            <w:top w:val="none" w:sz="0" w:space="0" w:color="auto"/>
            <w:left w:val="none" w:sz="0" w:space="0" w:color="auto"/>
            <w:bottom w:val="none" w:sz="0" w:space="0" w:color="auto"/>
            <w:right w:val="none" w:sz="0" w:space="0" w:color="auto"/>
          </w:divBdr>
          <w:divsChild>
            <w:div w:id="1343824708">
              <w:marLeft w:val="0"/>
              <w:marRight w:val="0"/>
              <w:marTop w:val="0"/>
              <w:marBottom w:val="0"/>
              <w:divBdr>
                <w:top w:val="none" w:sz="0" w:space="0" w:color="auto"/>
                <w:left w:val="none" w:sz="0" w:space="0" w:color="auto"/>
                <w:bottom w:val="none" w:sz="0" w:space="0" w:color="auto"/>
                <w:right w:val="none" w:sz="0" w:space="0" w:color="auto"/>
              </w:divBdr>
              <w:divsChild>
                <w:div w:id="17741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620961254">
      <w:bodyDiv w:val="1"/>
      <w:marLeft w:val="0"/>
      <w:marRight w:val="0"/>
      <w:marTop w:val="0"/>
      <w:marBottom w:val="0"/>
      <w:divBdr>
        <w:top w:val="none" w:sz="0" w:space="0" w:color="auto"/>
        <w:left w:val="none" w:sz="0" w:space="0" w:color="auto"/>
        <w:bottom w:val="none" w:sz="0" w:space="0" w:color="auto"/>
        <w:right w:val="none" w:sz="0" w:space="0" w:color="auto"/>
      </w:divBdr>
      <w:divsChild>
        <w:div w:id="108820713">
          <w:marLeft w:val="0"/>
          <w:marRight w:val="0"/>
          <w:marTop w:val="0"/>
          <w:marBottom w:val="0"/>
          <w:divBdr>
            <w:top w:val="none" w:sz="0" w:space="0" w:color="auto"/>
            <w:left w:val="none" w:sz="0" w:space="0" w:color="auto"/>
            <w:bottom w:val="none" w:sz="0" w:space="0" w:color="auto"/>
            <w:right w:val="none" w:sz="0" w:space="0" w:color="auto"/>
          </w:divBdr>
        </w:div>
      </w:divsChild>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882785361">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126898605">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208224928">
      <w:bodyDiv w:val="1"/>
      <w:marLeft w:val="0"/>
      <w:marRight w:val="0"/>
      <w:marTop w:val="0"/>
      <w:marBottom w:val="0"/>
      <w:divBdr>
        <w:top w:val="none" w:sz="0" w:space="0" w:color="auto"/>
        <w:left w:val="none" w:sz="0" w:space="0" w:color="auto"/>
        <w:bottom w:val="none" w:sz="0" w:space="0" w:color="auto"/>
        <w:right w:val="none" w:sz="0" w:space="0" w:color="auto"/>
      </w:divBdr>
      <w:divsChild>
        <w:div w:id="12417593">
          <w:marLeft w:val="0"/>
          <w:marRight w:val="0"/>
          <w:marTop w:val="0"/>
          <w:marBottom w:val="0"/>
          <w:divBdr>
            <w:top w:val="none" w:sz="0" w:space="0" w:color="auto"/>
            <w:left w:val="none" w:sz="0" w:space="0" w:color="auto"/>
            <w:bottom w:val="none" w:sz="0" w:space="0" w:color="auto"/>
            <w:right w:val="none" w:sz="0" w:space="0" w:color="auto"/>
          </w:divBdr>
        </w:div>
      </w:divsChild>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22093247">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elatoria.colombiacompra.gov.co/ficha/C-170%20de%20202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relatoria.colombiacompra.gov.co/ficha/C-045%20de%20202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manuales-guias-y-pliegos-tip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2.xml><?xml version="1.0" encoding="utf-8"?>
<ds:datastoreItem xmlns:ds="http://schemas.openxmlformats.org/officeDocument/2006/customXml" ds:itemID="{A3C42E45-6F59-4337-A5AC-65EEAB158DA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E46A463-A3DC-4430-BFDB-639AEF53CDB6}">
  <ds:schemaRefs>
    <ds:schemaRef ds:uri="http://schemas.microsoft.com/sharepoint/v3/contenttype/forms"/>
  </ds:schemaRefs>
</ds:datastoreItem>
</file>

<file path=customXml/itemProps4.xml><?xml version="1.0" encoding="utf-8"?>
<ds:datastoreItem xmlns:ds="http://schemas.openxmlformats.org/officeDocument/2006/customXml" ds:itemID="{53E662D0-0362-47F2-9170-C3048DE14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2541</Words>
  <Characters>13981</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 BONILLA</cp:lastModifiedBy>
  <cp:revision>3</cp:revision>
  <dcterms:created xsi:type="dcterms:W3CDTF">2021-08-02T16:19:00Z</dcterms:created>
  <dcterms:modified xsi:type="dcterms:W3CDTF">2021-08-30T13:25:00Z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