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554D9" w14:textId="4D21D1B4" w:rsidR="00EA0E89" w:rsidRPr="00487427" w:rsidRDefault="00EA0E89" w:rsidP="00487427">
      <w:pPr>
        <w:spacing w:line="240" w:lineRule="auto"/>
        <w:jc w:val="both"/>
        <w:rPr>
          <w:rFonts w:ascii="Century Gothic" w:hAnsi="Century Gothic"/>
          <w:b/>
          <w:bCs/>
          <w:sz w:val="20"/>
          <w:szCs w:val="20"/>
          <w:lang w:eastAsia="es-ES"/>
        </w:rPr>
      </w:pPr>
      <w:bookmarkStart w:id="0" w:name="_Hlk143780582"/>
      <w:r w:rsidRPr="00487427">
        <w:rPr>
          <w:rFonts w:ascii="Century Gothic" w:hAnsi="Century Gothic"/>
          <w:b/>
          <w:bCs/>
          <w:sz w:val="20"/>
          <w:szCs w:val="20"/>
          <w:lang w:eastAsia="es-ES"/>
        </w:rPr>
        <w:t>AUDIENCIA DE ASIGNACIÓN DE RIESGOS – Marco normativo – Licitación pública</w:t>
      </w:r>
    </w:p>
    <w:p w14:paraId="001FDFD1" w14:textId="77777777" w:rsidR="00EA0E89" w:rsidRPr="00487427" w:rsidRDefault="00EA0E89" w:rsidP="00487427">
      <w:pPr>
        <w:spacing w:line="240" w:lineRule="auto"/>
        <w:jc w:val="both"/>
        <w:rPr>
          <w:rFonts w:ascii="Century Gothic" w:hAnsi="Century Gothic"/>
          <w:sz w:val="20"/>
          <w:szCs w:val="20"/>
        </w:rPr>
      </w:pPr>
      <w:r w:rsidRPr="00487427">
        <w:rPr>
          <w:rFonts w:ascii="Century Gothic" w:hAnsi="Century Gothic"/>
          <w:sz w:val="20"/>
          <w:szCs w:val="20"/>
        </w:rPr>
        <w:t>De la lectura de este precepto se deduce que en los procedimientos de licitación pública las entidades estatales deben incorporar en el pliego de condiciones la estimación, tipificación y asignación de los riesgos previsibles. Además de lo anterior, tienen la obligación de definir un momento para que los futuros oferentes y la Entidad Estatal revisen la asignación de los riesgos. En efecto, el artículo 30, numeral 4, de la Ley 80 de 1993, modificado por el artículo 220 del Decreto-Ley 019 de 2012, indica que en los procesos de licitación pública se debe revisar en audiencia la asignación de riesgos previsibles, con el fin de establecer su estimación, tipificación y asignación definitiva.</w:t>
      </w:r>
    </w:p>
    <w:p w14:paraId="61DA09C0" w14:textId="77777777" w:rsidR="00EA0E89" w:rsidRPr="00487427" w:rsidRDefault="00EA0E89" w:rsidP="00487427">
      <w:pPr>
        <w:spacing w:line="240" w:lineRule="auto"/>
        <w:jc w:val="both"/>
        <w:rPr>
          <w:rFonts w:ascii="Century Gothic" w:hAnsi="Century Gothic"/>
          <w:sz w:val="20"/>
          <w:szCs w:val="20"/>
        </w:rPr>
      </w:pPr>
      <w:r w:rsidRPr="00487427">
        <w:rPr>
          <w:rFonts w:ascii="Century Gothic" w:hAnsi="Century Gothic"/>
          <w:sz w:val="20"/>
          <w:szCs w:val="20"/>
        </w:rPr>
        <w:t>(…)</w:t>
      </w:r>
    </w:p>
    <w:p w14:paraId="146A686F" w14:textId="77777777" w:rsidR="00EA0E89" w:rsidRPr="00487427" w:rsidRDefault="00EA0E89" w:rsidP="00487427">
      <w:pPr>
        <w:spacing w:line="240" w:lineRule="auto"/>
        <w:jc w:val="both"/>
        <w:rPr>
          <w:rFonts w:ascii="Century Gothic" w:hAnsi="Century Gothic"/>
          <w:sz w:val="20"/>
          <w:szCs w:val="20"/>
        </w:rPr>
      </w:pPr>
      <w:r w:rsidRPr="00487427">
        <w:rPr>
          <w:rFonts w:ascii="Century Gothic" w:hAnsi="Century Gothic"/>
          <w:sz w:val="20"/>
          <w:szCs w:val="20"/>
        </w:rPr>
        <w:t xml:space="preserve">La audiencia de asignación de riesgos no fue prevista como obligatoria para todos los procesos de selección, sino únicamente para la licitación pública. Su propósito es que los futuros oferentes y la entidad revisen, en un espacio de diálogo, la asignación de los riesgos que previamente se han incluido en el pliego de condiciones. De esta manera, podrán identificar y valorar los riesgos previsibles del contrato, así como designar a la parte contractual que tendrá la responsabilidad de tomar las medidas para prevenir y mitigar el riesgo, con el fin de establecer su distribución definitiva. </w:t>
      </w:r>
    </w:p>
    <w:p w14:paraId="23E07541" w14:textId="251470E4" w:rsidR="00EA0E89" w:rsidRPr="00487427" w:rsidRDefault="00EA0E89" w:rsidP="00487427">
      <w:pPr>
        <w:spacing w:line="240" w:lineRule="auto"/>
        <w:jc w:val="both"/>
        <w:rPr>
          <w:rFonts w:ascii="Century Gothic" w:hAnsi="Century Gothic"/>
          <w:b/>
          <w:bCs/>
          <w:sz w:val="20"/>
          <w:szCs w:val="20"/>
          <w:lang w:eastAsia="es-ES"/>
        </w:rPr>
      </w:pPr>
      <w:r w:rsidRPr="00487427">
        <w:rPr>
          <w:rFonts w:ascii="Century Gothic" w:hAnsi="Century Gothic"/>
          <w:b/>
          <w:bCs/>
          <w:sz w:val="20"/>
          <w:szCs w:val="20"/>
          <w:lang w:eastAsia="es-ES"/>
        </w:rPr>
        <w:t>AUDIENCIA DE ASIGNACIÓN DE RIESGOS – Participación de Interesados</w:t>
      </w:r>
    </w:p>
    <w:p w14:paraId="7F080D98" w14:textId="77C20E92" w:rsidR="00EA0E89" w:rsidRPr="00487427" w:rsidRDefault="00EA0E89" w:rsidP="00487427">
      <w:pPr>
        <w:spacing w:line="240" w:lineRule="auto"/>
        <w:jc w:val="both"/>
        <w:rPr>
          <w:rFonts w:ascii="Century Gothic" w:hAnsi="Century Gothic"/>
          <w:sz w:val="20"/>
          <w:szCs w:val="20"/>
        </w:rPr>
      </w:pPr>
      <w:r w:rsidRPr="00487427">
        <w:rPr>
          <w:rFonts w:ascii="Century Gothic" w:hAnsi="Century Gothic"/>
          <w:sz w:val="20"/>
          <w:szCs w:val="20"/>
        </w:rPr>
        <w:t>Ahora bien, aunque la audiencia de asignación de riesgos es obligatoria en los procesos de licitación pública, lo cierto es que dicha obligatoriedad tiene que ver con la necesidad de realizarla por parte de la Entidad Estatal, más no con la asistencia a la misma por parte de los futuros oferentes. Ello es así, por cuanto los preceptos normativos señalados nada establecieron sobre la obligación de asistir por parte de los eventuales interesados</w:t>
      </w:r>
      <w:r w:rsidRPr="00487427">
        <w:rPr>
          <w:rFonts w:ascii="Century Gothic" w:hAnsi="Century Gothic"/>
          <w:sz w:val="20"/>
          <w:szCs w:val="20"/>
        </w:rPr>
        <w:t>.</w:t>
      </w:r>
    </w:p>
    <w:p w14:paraId="60EF21E0" w14:textId="06F3A3EC" w:rsidR="00EA0E89" w:rsidRPr="00487427" w:rsidRDefault="00EA0E89" w:rsidP="00487427">
      <w:pPr>
        <w:spacing w:line="240" w:lineRule="auto"/>
        <w:jc w:val="both"/>
        <w:rPr>
          <w:rFonts w:ascii="Century Gothic" w:hAnsi="Century Gothic"/>
          <w:sz w:val="20"/>
          <w:szCs w:val="20"/>
        </w:rPr>
      </w:pPr>
      <w:r w:rsidRPr="00487427">
        <w:rPr>
          <w:rFonts w:ascii="Century Gothic" w:hAnsi="Century Gothic"/>
          <w:sz w:val="20"/>
          <w:szCs w:val="20"/>
        </w:rPr>
        <w:t>(…)</w:t>
      </w:r>
    </w:p>
    <w:p w14:paraId="0F2ED73E" w14:textId="099E73D7" w:rsidR="00EA0E89" w:rsidRPr="00487427" w:rsidRDefault="00EA0E89" w:rsidP="00487427">
      <w:pPr>
        <w:spacing w:line="240" w:lineRule="auto"/>
        <w:jc w:val="both"/>
        <w:rPr>
          <w:rFonts w:ascii="Century Gothic" w:hAnsi="Century Gothic"/>
          <w:sz w:val="20"/>
          <w:szCs w:val="20"/>
        </w:rPr>
      </w:pPr>
      <w:r w:rsidRPr="00487427">
        <w:rPr>
          <w:rFonts w:ascii="Century Gothic" w:hAnsi="Century Gothic"/>
          <w:sz w:val="20"/>
          <w:szCs w:val="20"/>
        </w:rPr>
        <w:t>Así las cosas, la participación en la audiencia de asignación de riesgos en los procesos de licitación pública es un derecho del futuro proponente, que puede o no ejercer. El efecto práctico de su inasistencia no es otro que la aceptación de los riesgos en la forma que lo haya establecido la Entidad Estatal contratante. Lo señalado significa que, si el futuro proponente no acude a la audiencia de asignación de riesgos y tampoco efectúa las observaciones respectivas durante la etapa establecida en el pliego de condiciones para tal efecto, se produce una aceptación de la forma en que los riesgos han sido estimados, tipificados y distribuidos a las partes, lo cual tendrá repercusión en etapas posteriores del Proceso de Contratación. De ahí la importancia de que los posibles oferentes conozcan la distribución de los riesgos y puedan tener la oportunidad de revisarlos y objetarlos. En caso de que se concrete el riesgo, estos deberán asumirse de la manera en que fueron dispuestos y aceptados por las partes</w:t>
      </w:r>
    </w:p>
    <w:p w14:paraId="7CD4212F" w14:textId="58F87AC0" w:rsidR="00EA0E89" w:rsidRPr="00487427" w:rsidRDefault="00EA0E89" w:rsidP="00487427">
      <w:pPr>
        <w:spacing w:line="240" w:lineRule="auto"/>
        <w:jc w:val="both"/>
        <w:rPr>
          <w:rFonts w:ascii="Century Gothic" w:hAnsi="Century Gothic"/>
          <w:b/>
          <w:bCs/>
          <w:sz w:val="20"/>
          <w:szCs w:val="20"/>
          <w:lang w:eastAsia="es-ES"/>
        </w:rPr>
      </w:pPr>
      <w:r w:rsidRPr="00487427">
        <w:rPr>
          <w:rFonts w:ascii="Century Gothic" w:hAnsi="Century Gothic"/>
          <w:b/>
          <w:bCs/>
          <w:sz w:val="20"/>
          <w:szCs w:val="20"/>
          <w:lang w:eastAsia="es-ES"/>
        </w:rPr>
        <w:t xml:space="preserve">AUDIENCIA DE ADJUDICACIÓN – Marco normativo -Licitación pública </w:t>
      </w:r>
    </w:p>
    <w:p w14:paraId="48467702" w14:textId="28E73D90" w:rsidR="00B1588E" w:rsidRPr="00487427" w:rsidRDefault="00B1588E" w:rsidP="00487427">
      <w:pPr>
        <w:spacing w:line="240" w:lineRule="auto"/>
        <w:jc w:val="both"/>
        <w:rPr>
          <w:rFonts w:ascii="Century Gothic" w:hAnsi="Century Gothic"/>
          <w:sz w:val="20"/>
          <w:szCs w:val="20"/>
        </w:rPr>
      </w:pPr>
      <w:r w:rsidRPr="00487427">
        <w:rPr>
          <w:rFonts w:ascii="Century Gothic" w:hAnsi="Century Gothic"/>
          <w:sz w:val="20"/>
          <w:szCs w:val="20"/>
        </w:rPr>
        <w:t xml:space="preserve">Sobre el tema, la Ley 80 de 1993, en el artículo 30, estableció la estructura del procedimiento de selección, señalando que en la audiencia pública podrán intervenir: i) servidores públicos o contratistas que apoyaron en la estructuración del análisis del sector, estudios previos, pliego y evaluaciones, entre otros, ii) oferentes o proponentes y iii) otras personas </w:t>
      </w:r>
      <w:r w:rsidRPr="00487427">
        <w:rPr>
          <w:rFonts w:ascii="Century Gothic" w:hAnsi="Century Gothic"/>
          <w:sz w:val="20"/>
          <w:szCs w:val="20"/>
        </w:rPr>
        <w:lastRenderedPageBreak/>
        <w:t>que deseen asistir. Sin embargo, además de los sujetos señalados, como se observará, los oferentes pueden designar personas para que intervengan en la audiencia de adjudicación.</w:t>
      </w:r>
    </w:p>
    <w:p w14:paraId="15A0BC50" w14:textId="2D98079F" w:rsidR="00B1588E" w:rsidRPr="00487427" w:rsidRDefault="00EA0E89" w:rsidP="00487427">
      <w:pPr>
        <w:spacing w:line="240" w:lineRule="auto"/>
        <w:jc w:val="both"/>
        <w:rPr>
          <w:rFonts w:ascii="Century Gothic" w:hAnsi="Century Gothic"/>
          <w:sz w:val="20"/>
          <w:szCs w:val="20"/>
        </w:rPr>
      </w:pPr>
      <w:r w:rsidRPr="00487427">
        <w:rPr>
          <w:rFonts w:ascii="Century Gothic" w:hAnsi="Century Gothic"/>
          <w:sz w:val="20"/>
          <w:szCs w:val="20"/>
        </w:rPr>
        <w:t>Posteriormente, el legislador reguló este asunto en la Ley 1150 de 2007, cuyo artículo 9 reguló la etapa de adjudicación como la fase final de los procesos de selección de contratistas del Estado. La norma determinó que, en general, en los procesos de licitación pública la adjudicación se haría, obligatoriamente, en audiencia pública. Igualmente, señaló que, en dicha audiencia, y de manera previa a la decisión de adjudicación, todos los interesados podrían pronunciarse sobre las decisiones adoptadas por la entidad a las observaciones planteadas al informe de evaluación. Para la Corte Constitucional, el mecanismo de publicidad de la audiencia de adjudicación es una forma de garantizar la trans</w:t>
      </w:r>
      <w:r w:rsidR="00B1588E" w:rsidRPr="00487427">
        <w:rPr>
          <w:rFonts w:ascii="Century Gothic" w:hAnsi="Century Gothic"/>
          <w:sz w:val="20"/>
          <w:szCs w:val="20"/>
        </w:rPr>
        <w:t>parencia en las decisiones de la Administración, en desarrollo de su actividad contractual</w:t>
      </w:r>
      <w:r w:rsidR="00B1588E" w:rsidRPr="00487427">
        <w:rPr>
          <w:rFonts w:ascii="Century Gothic" w:hAnsi="Century Gothic"/>
          <w:sz w:val="20"/>
          <w:szCs w:val="20"/>
        </w:rPr>
        <w:t>.</w:t>
      </w:r>
    </w:p>
    <w:p w14:paraId="0F951455" w14:textId="4231B449" w:rsidR="00EA0E89" w:rsidRPr="00487427" w:rsidRDefault="00EA0E89" w:rsidP="00487427">
      <w:pPr>
        <w:spacing w:line="240" w:lineRule="auto"/>
        <w:jc w:val="both"/>
        <w:rPr>
          <w:rFonts w:ascii="Century Gothic" w:hAnsi="Century Gothic"/>
          <w:b/>
          <w:bCs/>
          <w:sz w:val="20"/>
          <w:szCs w:val="20"/>
          <w:lang w:eastAsia="es-ES"/>
        </w:rPr>
      </w:pPr>
      <w:r w:rsidRPr="00487427">
        <w:rPr>
          <w:rFonts w:ascii="Century Gothic" w:hAnsi="Century Gothic"/>
          <w:b/>
          <w:bCs/>
          <w:sz w:val="20"/>
          <w:szCs w:val="20"/>
          <w:lang w:eastAsia="es-ES"/>
        </w:rPr>
        <w:t xml:space="preserve">AUDIENCIA DE ADJUDICACIÓN – Intervinientes </w:t>
      </w:r>
      <w:r w:rsidR="00B1588E" w:rsidRPr="00487427">
        <w:rPr>
          <w:rFonts w:ascii="Century Gothic" w:hAnsi="Century Gothic"/>
          <w:b/>
          <w:bCs/>
          <w:sz w:val="20"/>
          <w:szCs w:val="20"/>
          <w:lang w:eastAsia="es-ES"/>
        </w:rPr>
        <w:t>–</w:t>
      </w:r>
      <w:r w:rsidRPr="00487427">
        <w:rPr>
          <w:rFonts w:ascii="Century Gothic" w:hAnsi="Century Gothic"/>
          <w:b/>
          <w:bCs/>
          <w:sz w:val="20"/>
          <w:szCs w:val="20"/>
          <w:lang w:eastAsia="es-ES"/>
        </w:rPr>
        <w:t xml:space="preserve"> </w:t>
      </w:r>
      <w:r w:rsidRPr="00487427">
        <w:rPr>
          <w:rFonts w:ascii="Century Gothic" w:hAnsi="Century Gothic"/>
          <w:b/>
          <w:bCs/>
          <w:sz w:val="20"/>
          <w:szCs w:val="20"/>
          <w:lang w:eastAsia="es-ES"/>
        </w:rPr>
        <w:t>P</w:t>
      </w:r>
      <w:r w:rsidRPr="00487427">
        <w:rPr>
          <w:rFonts w:ascii="Century Gothic" w:hAnsi="Century Gothic"/>
          <w:b/>
          <w:bCs/>
          <w:sz w:val="20"/>
          <w:szCs w:val="20"/>
          <w:lang w:eastAsia="es-ES"/>
        </w:rPr>
        <w:t>roponentes</w:t>
      </w:r>
    </w:p>
    <w:p w14:paraId="1433E2C9" w14:textId="29F2A411" w:rsidR="00B1588E" w:rsidRPr="00487427" w:rsidRDefault="00B1588E" w:rsidP="00487427">
      <w:pPr>
        <w:spacing w:line="240" w:lineRule="auto"/>
        <w:jc w:val="both"/>
        <w:rPr>
          <w:rFonts w:ascii="Century Gothic" w:hAnsi="Century Gothic"/>
          <w:sz w:val="20"/>
          <w:szCs w:val="20"/>
        </w:rPr>
      </w:pPr>
      <w:r w:rsidRPr="00487427">
        <w:rPr>
          <w:rFonts w:ascii="Century Gothic" w:hAnsi="Century Gothic"/>
          <w:sz w:val="20"/>
          <w:szCs w:val="20"/>
        </w:rPr>
        <w:t xml:space="preserve">En este sentido, el artículo 2.2.1.2.1.1.2. del Decreto Único Reglamentario 1082 de 2015 señala que en la licitación hay dos audiencias públicas obligatorias: i) la de asignación de riesgos y ii) la de adjudicación. Respecto de la última, la norma fijó las siguientes reglas procedimentales: </w:t>
      </w:r>
    </w:p>
    <w:p w14:paraId="1C905FE6" w14:textId="58B0C499" w:rsidR="00B1588E" w:rsidRPr="00487427" w:rsidRDefault="00B1588E" w:rsidP="00487427">
      <w:pPr>
        <w:spacing w:line="240" w:lineRule="auto"/>
        <w:jc w:val="both"/>
        <w:rPr>
          <w:rFonts w:ascii="Century Gothic" w:hAnsi="Century Gothic"/>
          <w:sz w:val="20"/>
          <w:szCs w:val="20"/>
        </w:rPr>
      </w:pPr>
      <w:r w:rsidRPr="00487427">
        <w:rPr>
          <w:rFonts w:ascii="Century Gothic" w:hAnsi="Century Gothic"/>
          <w:sz w:val="20"/>
          <w:szCs w:val="20"/>
        </w:rPr>
        <w:t>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Segundo, cuando se hagan observaciones respecto de alguna oferta, e</w:t>
      </w:r>
      <w:r w:rsidRPr="00487427">
        <w:rPr>
          <w:rFonts w:ascii="Century Gothic" w:hAnsi="Century Gothic"/>
          <w:sz w:val="20"/>
          <w:szCs w:val="20"/>
        </w:rPr>
        <w:t xml:space="preserve">l </w:t>
      </w:r>
      <w:r w:rsidRPr="00487427">
        <w:rPr>
          <w:rFonts w:ascii="Century Gothic" w:hAnsi="Century Gothic"/>
          <w:sz w:val="20"/>
          <w:szCs w:val="20"/>
        </w:rPr>
        <w:t>proponente podrá responder los cuestionamientos. Tercero, quienes intervienen deben ser los oferentes o las personas designadas previamente por estos, y dentro del tiempo que la entidad señale. Cuarto, si la entidad publicó previamente el borrador del acto de adjudicación, puede prescindir de su lectura. Finalmente, terminadas las intervenciones, la entidad adopta la decisión</w:t>
      </w:r>
    </w:p>
    <w:p w14:paraId="7BF91E22" w14:textId="69BBBC1D" w:rsidR="00B1588E" w:rsidRPr="00487427" w:rsidRDefault="00B1588E" w:rsidP="00487427">
      <w:pPr>
        <w:spacing w:line="240" w:lineRule="auto"/>
        <w:jc w:val="both"/>
        <w:rPr>
          <w:rFonts w:ascii="Century Gothic" w:hAnsi="Century Gothic"/>
          <w:b/>
          <w:bCs/>
          <w:sz w:val="20"/>
          <w:szCs w:val="20"/>
          <w:lang w:eastAsia="es-ES"/>
        </w:rPr>
      </w:pPr>
      <w:r w:rsidRPr="00487427">
        <w:rPr>
          <w:rFonts w:ascii="Century Gothic" w:hAnsi="Century Gothic"/>
          <w:sz w:val="20"/>
          <w:szCs w:val="20"/>
        </w:rPr>
        <w:t>Identificadas las reglas fijadas por el artículo citado, se advierte que se trata de directrices mínimas que ilustran el desarrollo de la audiencia de adjudicación, pero evidentemente no alcanzan a prever todos los supuestos que se pueden presentar. En todo caso, se observa que, en principio, los oferentes o las personas que estos designen son quienes pueden participar o representarlos en la audiencia de adjudicación; pero siendo una audiencia pública cualquier persona puede asistir, de conformidad con el artículo 2.2.1.2.1.1.2 del Decreto 1082 de 2015 y el artículo 30 de la Ley 80 de 1993. En este punto, es clave tener en cuenta que al oferente adjudicatario se les notifica en audiencia la decisión de adjudicar el contrato, y por su parte, a los demás oferentes e interesados, se les comunica dicha decisión, lo cual es importante para precisar la participación y/o representación de los interesados y oferentes en la audiencia.</w:t>
      </w:r>
    </w:p>
    <w:p w14:paraId="4FC1CC34" w14:textId="2DF6473B" w:rsidR="00EA0E89" w:rsidRPr="00487427" w:rsidRDefault="00EA0E89" w:rsidP="00487427">
      <w:pPr>
        <w:spacing w:line="240" w:lineRule="auto"/>
        <w:jc w:val="both"/>
        <w:rPr>
          <w:rFonts w:ascii="Century Gothic" w:hAnsi="Century Gothic"/>
          <w:b/>
          <w:bCs/>
          <w:sz w:val="20"/>
          <w:szCs w:val="20"/>
          <w:lang w:eastAsia="es-ES"/>
        </w:rPr>
      </w:pPr>
      <w:r w:rsidRPr="00487427">
        <w:rPr>
          <w:rFonts w:ascii="Century Gothic" w:hAnsi="Century Gothic"/>
          <w:b/>
          <w:bCs/>
          <w:sz w:val="20"/>
          <w:szCs w:val="20"/>
          <w:lang w:eastAsia="es-ES"/>
        </w:rPr>
        <w:t>OFERENTES – Audiencia de adjudicación –Representación del oferente por un abogado – Autorización de tercero para notificarse</w:t>
      </w:r>
    </w:p>
    <w:p w14:paraId="48E4C2FD" w14:textId="0B34A2AC" w:rsidR="008705FD" w:rsidRPr="00487427" w:rsidRDefault="008705FD" w:rsidP="00487427">
      <w:pPr>
        <w:spacing w:line="240" w:lineRule="auto"/>
        <w:jc w:val="both"/>
        <w:rPr>
          <w:rFonts w:ascii="Century Gothic" w:hAnsi="Century Gothic"/>
          <w:sz w:val="20"/>
          <w:szCs w:val="20"/>
        </w:rPr>
      </w:pPr>
      <w:r w:rsidRPr="00487427">
        <w:rPr>
          <w:rFonts w:ascii="Century Gothic" w:hAnsi="Century Gothic"/>
          <w:sz w:val="20"/>
          <w:szCs w:val="20"/>
        </w:rPr>
        <w:t>Teniendo en cuenta que en la audiencia de adjudicación se escoge a la mejor oferta, garantizar la participación efectiva de los proponentes es un deber de las Entidades Estatales, por lo que para ello debe garantizar que esta participación pueda realizarse directamente por la persona natural o por el representante legal de la persona jurídica o del proponente plural,</w:t>
      </w:r>
      <w:r w:rsidRPr="00487427">
        <w:rPr>
          <w:rFonts w:ascii="Century Gothic" w:hAnsi="Century Gothic"/>
          <w:sz w:val="20"/>
          <w:szCs w:val="20"/>
        </w:rPr>
        <w:t xml:space="preserve"> </w:t>
      </w:r>
      <w:r w:rsidRPr="00487427">
        <w:rPr>
          <w:rFonts w:ascii="Century Gothic" w:hAnsi="Century Gothic"/>
          <w:sz w:val="20"/>
          <w:szCs w:val="20"/>
        </w:rPr>
        <w:t>o también, que puedan participar en ella personas que los acompañen o las personas que designen para ello a través de un mandato o autorización. Además, de acuerdo con lo señalado en las normas citadas, es una audiencia pública a la cual pueden asistir las personas que lo deseen, lo cual implica que el proponente no es el único asistente o interviniente.</w:t>
      </w:r>
    </w:p>
    <w:p w14:paraId="297C544E" w14:textId="7445E6FC" w:rsidR="00487427" w:rsidRPr="00487427" w:rsidRDefault="00487427" w:rsidP="00487427">
      <w:pPr>
        <w:spacing w:line="240" w:lineRule="auto"/>
        <w:jc w:val="both"/>
        <w:rPr>
          <w:rFonts w:ascii="Century Gothic" w:hAnsi="Century Gothic"/>
          <w:sz w:val="20"/>
          <w:szCs w:val="20"/>
        </w:rPr>
      </w:pPr>
      <w:r w:rsidRPr="00487427">
        <w:rPr>
          <w:rFonts w:ascii="Century Gothic" w:hAnsi="Century Gothic"/>
          <w:sz w:val="20"/>
          <w:szCs w:val="20"/>
        </w:rPr>
        <w:t>(…)</w:t>
      </w:r>
    </w:p>
    <w:p w14:paraId="1A6FECD4" w14:textId="1F3759CA" w:rsidR="00487427" w:rsidRPr="00487427" w:rsidRDefault="00487427" w:rsidP="00487427">
      <w:pPr>
        <w:spacing w:line="240" w:lineRule="auto"/>
        <w:jc w:val="both"/>
        <w:rPr>
          <w:rFonts w:ascii="Century Gothic" w:hAnsi="Century Gothic"/>
          <w:sz w:val="20"/>
          <w:szCs w:val="20"/>
        </w:rPr>
      </w:pPr>
      <w:r w:rsidRPr="00487427">
        <w:rPr>
          <w:rFonts w:ascii="Century Gothic" w:hAnsi="Century Gothic"/>
          <w:sz w:val="20"/>
          <w:szCs w:val="20"/>
        </w:rPr>
        <w:t>En consecuencia, si el oferente otorga un mandato para que una persona sea su representante en la audiencia de adjudicación, en virtud de ese mandato, el apoderado o mandatario puede intervenir en la audiencia de adjudicación, sin que sea necesario que el oferente lo haga. En este caso, el apoderado o mandatario debe ser abogado, conforme al artículo 35 del Decreto 196 de 197116 , que en palabras de la Corte Constitucional reguló el ejercicio de la profesión de abogado ante la administración pública, y al respecto “formula un principio general –no se requiere ser abogado para actuar ante las autoridades administrativas-, prescribe una salvedad –salvo los casos expresamente determinados en la ley- y establece una excepción –pero si se constituye mandatario, este debe ser abogado inscrito-“</w:t>
      </w:r>
      <w:r w:rsidRPr="00487427">
        <w:rPr>
          <w:rFonts w:ascii="Century Gothic" w:hAnsi="Century Gothic"/>
          <w:sz w:val="20"/>
          <w:szCs w:val="20"/>
        </w:rPr>
        <w:t>.</w:t>
      </w:r>
    </w:p>
    <w:p w14:paraId="7C4883EF" w14:textId="77777777" w:rsidR="00487427" w:rsidRPr="00487427" w:rsidRDefault="00487427" w:rsidP="00487427">
      <w:pPr>
        <w:spacing w:line="240" w:lineRule="auto"/>
        <w:jc w:val="both"/>
        <w:rPr>
          <w:rFonts w:ascii="Century Gothic" w:hAnsi="Century Gothic"/>
          <w:sz w:val="20"/>
          <w:szCs w:val="20"/>
        </w:rPr>
      </w:pPr>
      <w:r w:rsidRPr="00487427">
        <w:rPr>
          <w:rFonts w:ascii="Century Gothic" w:hAnsi="Century Gothic"/>
          <w:sz w:val="20"/>
          <w:szCs w:val="20"/>
        </w:rPr>
        <w:t xml:space="preserve">La figura del mandatario u apoderado analizado previamente, el cual medía la suscripción de un contrato civil o comercial, dependiendo del alcance del de las obligaciones adquiridas por las partes, es diferente a la figura del autorizado para recibir notificaciones previsto en el artículo 71 del Código de Procedimiento Administrativo y de lo Contencioso Administrativo, en virtud del cual el autorizado estará facultado para recibir la notificación de un acto administrativo en nombre de un tercero, mediante la presentación de un escrito que contenga dicha autorización, sin embargo, cualquier manifestación que haga en relación con el acto administrativo se tendrá, de pleno derecho, por no realizada. </w:t>
      </w:r>
    </w:p>
    <w:p w14:paraId="004EDCA9" w14:textId="38BB3F78" w:rsidR="00487427" w:rsidRPr="00487427" w:rsidRDefault="00487427" w:rsidP="00487427">
      <w:pPr>
        <w:spacing w:line="240" w:lineRule="auto"/>
        <w:jc w:val="both"/>
        <w:rPr>
          <w:rFonts w:ascii="Century Gothic" w:hAnsi="Century Gothic"/>
          <w:sz w:val="20"/>
          <w:szCs w:val="20"/>
        </w:rPr>
      </w:pPr>
      <w:r w:rsidRPr="00487427">
        <w:rPr>
          <w:rFonts w:ascii="Century Gothic" w:hAnsi="Century Gothic"/>
          <w:sz w:val="20"/>
          <w:szCs w:val="20"/>
        </w:rPr>
        <w:t>En este sentido, en la audiencia de adjudicación puede presentarse autorizaciones para recibir notificaciones en nombre de los oferentes, sin embargo, conforme a lo expuesto, no podrá presentar manifestación alguna sobre el acto administrativo, en representación del tercero. En ese contexto, para las Entidades Estatales resulta de suma importancia, establecer, previo al inicio de la audiencia, las facultades con las que asisten las personas, para que tenga claro el alcance de sus intervenciones cuando sean designados por el</w:t>
      </w:r>
      <w:r w:rsidRPr="00487427">
        <w:rPr>
          <w:rFonts w:ascii="Century Gothic" w:hAnsi="Century Gothic"/>
          <w:sz w:val="20"/>
          <w:szCs w:val="20"/>
        </w:rPr>
        <w:t xml:space="preserve"> </w:t>
      </w:r>
      <w:r w:rsidRPr="00487427">
        <w:rPr>
          <w:rFonts w:ascii="Century Gothic" w:hAnsi="Century Gothic"/>
          <w:sz w:val="20"/>
          <w:szCs w:val="20"/>
        </w:rPr>
        <w:t xml:space="preserve">oferente –o su apoderado– para opinar, y a su vez si tienen la potestad de notificarse y/o para tomar decisiones en nombre de él. </w:t>
      </w:r>
    </w:p>
    <w:p w14:paraId="6B29E72E" w14:textId="024A87F8" w:rsidR="00EA0E89" w:rsidRDefault="00EA0E89">
      <w:pPr>
        <w:rPr>
          <w:rFonts w:ascii="Century Gothic" w:hAnsi="Century Gothic" w:cs="Arial"/>
        </w:rPr>
      </w:pPr>
      <w:r>
        <w:rPr>
          <w:rFonts w:ascii="Century Gothic" w:hAnsi="Century Gothic" w:cs="Arial"/>
        </w:rPr>
        <w:br w:type="page"/>
      </w:r>
    </w:p>
    <w:p w14:paraId="3FE2184B" w14:textId="382E817A" w:rsidR="00E245AB" w:rsidRPr="000B4902" w:rsidRDefault="00331946" w:rsidP="00E245AB">
      <w:pPr>
        <w:spacing w:after="0"/>
        <w:rPr>
          <w:rFonts w:ascii="Century Gothic" w:hAnsi="Century Gothic" w:cs="Arial"/>
        </w:rPr>
      </w:pPr>
      <w:r w:rsidRPr="00331946">
        <w:rPr>
          <w:rFonts w:ascii="Century Gothic" w:hAnsi="Century Gothic" w:cs="Arial"/>
        </w:rPr>
        <w:drawing>
          <wp:anchor distT="0" distB="0" distL="114300" distR="114300" simplePos="0" relativeHeight="251658240" behindDoc="1" locked="0" layoutInCell="1" allowOverlap="1" wp14:anchorId="669DEC20" wp14:editId="68034151">
            <wp:simplePos x="0" y="0"/>
            <wp:positionH relativeFrom="margin">
              <wp:posOffset>3437457</wp:posOffset>
            </wp:positionH>
            <wp:positionV relativeFrom="paragraph">
              <wp:posOffset>-57638</wp:posOffset>
            </wp:positionV>
            <wp:extent cx="2226463" cy="710418"/>
            <wp:effectExtent l="0" t="0" r="2540" b="0"/>
            <wp:wrapNone/>
            <wp:docPr id="1515740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402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271222" cy="724700"/>
                    </a:xfrm>
                    <a:prstGeom prst="rect">
                      <a:avLst/>
                    </a:prstGeom>
                  </pic:spPr>
                </pic:pic>
              </a:graphicData>
            </a:graphic>
            <wp14:sizeRelH relativeFrom="margin">
              <wp14:pctWidth>0</wp14:pctWidth>
            </wp14:sizeRelH>
            <wp14:sizeRelV relativeFrom="margin">
              <wp14:pctHeight>0</wp14:pctHeight>
            </wp14:sizeRelV>
          </wp:anchor>
        </w:drawing>
      </w:r>
      <w:r w:rsidR="00E245AB" w:rsidRPr="000B4902">
        <w:rPr>
          <w:rFonts w:ascii="Century Gothic" w:hAnsi="Century Gothic" w:cs="Arial"/>
        </w:rPr>
        <w:t xml:space="preserve">Bogotá D.C., </w:t>
      </w:r>
      <w:r>
        <w:rPr>
          <w:rFonts w:ascii="Century Gothic" w:hAnsi="Century Gothic" w:cs="Arial"/>
        </w:rPr>
        <w:t>25 de septiembre de 2023</w:t>
      </w:r>
    </w:p>
    <w:p w14:paraId="5FCADBF9" w14:textId="1FADC91D" w:rsidR="00E245AB" w:rsidRPr="000B4902" w:rsidRDefault="00E245AB" w:rsidP="00E245AB">
      <w:pPr>
        <w:spacing w:after="0"/>
        <w:rPr>
          <w:rFonts w:ascii="Century Gothic" w:hAnsi="Century Gothic" w:cs="Arial"/>
        </w:rPr>
      </w:pPr>
    </w:p>
    <w:p w14:paraId="5FEC424B" w14:textId="77777777" w:rsidR="00DA4F07" w:rsidRPr="000B4902" w:rsidRDefault="00DA4F07" w:rsidP="00DA4F07">
      <w:pPr>
        <w:rPr>
          <w:rFonts w:ascii="Century Gothic" w:eastAsia="Calibri" w:hAnsi="Century Gothic" w:cs="Arial"/>
        </w:rPr>
      </w:pPr>
    </w:p>
    <w:p w14:paraId="05B82312" w14:textId="77777777" w:rsidR="00DA4F07" w:rsidRPr="000B4902" w:rsidRDefault="00DA4F07" w:rsidP="00E40514">
      <w:pPr>
        <w:spacing w:after="0" w:line="240" w:lineRule="auto"/>
        <w:rPr>
          <w:rFonts w:ascii="Century Gothic" w:eastAsia="Calibri" w:hAnsi="Century Gothic" w:cs="Arial"/>
        </w:rPr>
      </w:pPr>
      <w:r w:rsidRPr="000B4902">
        <w:rPr>
          <w:rFonts w:ascii="Century Gothic" w:eastAsia="Calibri" w:hAnsi="Century Gothic" w:cs="Arial"/>
        </w:rPr>
        <w:t>Señor</w:t>
      </w:r>
    </w:p>
    <w:p w14:paraId="04262BA1" w14:textId="31EF520A" w:rsidR="00DA4F07" w:rsidRPr="000B4902" w:rsidRDefault="004B0872" w:rsidP="00E40514">
      <w:pPr>
        <w:spacing w:after="0" w:line="240" w:lineRule="auto"/>
        <w:rPr>
          <w:rFonts w:ascii="Century Gothic" w:eastAsia="Calibri" w:hAnsi="Century Gothic" w:cs="Arial"/>
          <w:lang w:val="es-ES"/>
        </w:rPr>
      </w:pPr>
      <w:r w:rsidRPr="000B4902">
        <w:rPr>
          <w:rFonts w:ascii="Century Gothic" w:eastAsia="Calibri" w:hAnsi="Century Gothic" w:cs="Arial"/>
          <w:lang w:val="es-ES"/>
        </w:rPr>
        <w:t>Andrés Felipe Guzmán Rojas</w:t>
      </w:r>
    </w:p>
    <w:p w14:paraId="47647AE8" w14:textId="77777777" w:rsidR="00DA4F07" w:rsidRPr="000B4902" w:rsidRDefault="00DA4F07" w:rsidP="00E40514">
      <w:pPr>
        <w:spacing w:after="0" w:line="240" w:lineRule="auto"/>
        <w:rPr>
          <w:rFonts w:ascii="Century Gothic" w:eastAsia="Calibri" w:hAnsi="Century Gothic" w:cs="Arial"/>
          <w:lang w:val="es-ES"/>
        </w:rPr>
      </w:pPr>
      <w:r w:rsidRPr="000B4902">
        <w:rPr>
          <w:rFonts w:ascii="Century Gothic" w:eastAsia="Calibri" w:hAnsi="Century Gothic" w:cs="Arial"/>
          <w:lang w:val="es-ES"/>
        </w:rPr>
        <w:t>Ciudad.</w:t>
      </w:r>
    </w:p>
    <w:p w14:paraId="4F040438" w14:textId="77777777" w:rsidR="00DA4F07" w:rsidRPr="000B4902" w:rsidRDefault="00DA4F07" w:rsidP="00DA4F07">
      <w:pPr>
        <w:rPr>
          <w:rFonts w:ascii="Century Gothic" w:eastAsia="Calibri" w:hAnsi="Century Gothic" w:cs="Arial"/>
          <w:highlight w:val="magenta"/>
        </w:rPr>
      </w:pPr>
    </w:p>
    <w:p w14:paraId="6822A7FE" w14:textId="272FC835" w:rsidR="00DA4F07" w:rsidRPr="000B4902" w:rsidRDefault="00DA4F07" w:rsidP="00DA4F07">
      <w:pPr>
        <w:ind w:left="2124" w:firstLine="570"/>
        <w:rPr>
          <w:rFonts w:ascii="Century Gothic" w:eastAsia="Calibri" w:hAnsi="Century Gothic" w:cs="Arial"/>
          <w:b/>
        </w:rPr>
      </w:pPr>
      <w:r w:rsidRPr="000B4902">
        <w:rPr>
          <w:rFonts w:ascii="Century Gothic" w:eastAsia="Calibri" w:hAnsi="Century Gothic" w:cs="Arial"/>
          <w:b/>
        </w:rPr>
        <w:t xml:space="preserve">Concepto C – </w:t>
      </w:r>
      <w:r w:rsidR="004B0872" w:rsidRPr="000B4902">
        <w:rPr>
          <w:rFonts w:ascii="Century Gothic" w:eastAsia="Calibri" w:hAnsi="Century Gothic" w:cs="Arial"/>
          <w:b/>
        </w:rPr>
        <w:t>368</w:t>
      </w:r>
      <w:r w:rsidRPr="000B4902">
        <w:rPr>
          <w:rFonts w:ascii="Century Gothic" w:eastAsia="Calibri" w:hAnsi="Century Gothic" w:cs="Arial"/>
          <w:b/>
        </w:rPr>
        <w:t xml:space="preserve"> de 202</w:t>
      </w:r>
      <w:r w:rsidR="004B0872" w:rsidRPr="000B4902">
        <w:rPr>
          <w:rFonts w:ascii="Century Gothic" w:eastAsia="Calibri" w:hAnsi="Century Gothic" w:cs="Arial"/>
          <w:b/>
        </w:rPr>
        <w:t>3</w:t>
      </w: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DA4F07" w:rsidRPr="000B4902" w14:paraId="2B6189D5" w14:textId="77777777" w:rsidTr="00121A8B">
        <w:tc>
          <w:tcPr>
            <w:tcW w:w="2689" w:type="dxa"/>
            <w:hideMark/>
          </w:tcPr>
          <w:p w14:paraId="7D47E5A4" w14:textId="77777777" w:rsidR="00DA4F07" w:rsidRPr="000B4902" w:rsidRDefault="00DA4F07" w:rsidP="00121A8B">
            <w:pPr>
              <w:rPr>
                <w:rFonts w:ascii="Century Gothic" w:eastAsia="Calibri" w:hAnsi="Century Gothic" w:cs="Arial"/>
              </w:rPr>
            </w:pPr>
            <w:r w:rsidRPr="000B4902">
              <w:rPr>
                <w:rFonts w:ascii="Century Gothic" w:eastAsia="Calibri" w:hAnsi="Century Gothic" w:cs="Arial"/>
                <w:b/>
              </w:rPr>
              <w:t>Temas:</w:t>
            </w:r>
            <w:r w:rsidRPr="000B4902">
              <w:rPr>
                <w:rFonts w:ascii="Century Gothic" w:eastAsia="Calibri" w:hAnsi="Century Gothic" w:cs="Arial"/>
              </w:rPr>
              <w:t xml:space="preserve">  </w:t>
            </w:r>
          </w:p>
          <w:p w14:paraId="4A41D2F1" w14:textId="77777777" w:rsidR="00DA4F07" w:rsidRPr="000B4902" w:rsidRDefault="00DA4F07" w:rsidP="00121A8B">
            <w:pPr>
              <w:rPr>
                <w:rFonts w:ascii="Century Gothic" w:eastAsia="Calibri" w:hAnsi="Century Gothic" w:cs="Arial"/>
                <w:highlight w:val="magenta"/>
              </w:rPr>
            </w:pPr>
            <w:r w:rsidRPr="000B4902">
              <w:rPr>
                <w:rFonts w:ascii="Century Gothic" w:eastAsia="Calibri" w:hAnsi="Century Gothic" w:cs="Arial"/>
                <w:highlight w:val="magenta"/>
              </w:rPr>
              <w:t xml:space="preserve"> </w:t>
            </w:r>
          </w:p>
        </w:tc>
        <w:tc>
          <w:tcPr>
            <w:tcW w:w="6237" w:type="dxa"/>
            <w:hideMark/>
          </w:tcPr>
          <w:p w14:paraId="5A4645E2" w14:textId="03A8FE29" w:rsidR="00DA4F07" w:rsidRPr="000B4902" w:rsidRDefault="00DA4F07" w:rsidP="00121A8B">
            <w:pPr>
              <w:pStyle w:val="Default"/>
              <w:spacing w:after="120"/>
              <w:jc w:val="both"/>
              <w:rPr>
                <w:rFonts w:ascii="Century Gothic" w:eastAsia="Calibri" w:hAnsi="Century Gothic"/>
                <w:color w:val="000000" w:themeColor="text1"/>
                <w:sz w:val="22"/>
                <w:lang w:val="es-ES"/>
              </w:rPr>
            </w:pPr>
            <w:r w:rsidRPr="000B4902">
              <w:rPr>
                <w:rFonts w:ascii="Century Gothic" w:hAnsi="Century Gothic"/>
                <w:sz w:val="22"/>
                <w:lang w:eastAsia="es-ES"/>
              </w:rPr>
              <w:t xml:space="preserve">AUDIENCIA DE ADJUDICACIÓN – </w:t>
            </w:r>
            <w:r w:rsidR="006830A0" w:rsidRPr="000B4902">
              <w:rPr>
                <w:rFonts w:ascii="Century Gothic" w:hAnsi="Century Gothic"/>
                <w:sz w:val="22"/>
                <w:lang w:eastAsia="es-ES"/>
              </w:rPr>
              <w:t>Marco normativo -Licitación pública</w:t>
            </w:r>
            <w:r w:rsidR="00431358" w:rsidRPr="000B4902">
              <w:rPr>
                <w:rFonts w:ascii="Century Gothic" w:hAnsi="Century Gothic"/>
                <w:sz w:val="22"/>
                <w:lang w:eastAsia="es-ES"/>
              </w:rPr>
              <w:t xml:space="preserve"> – </w:t>
            </w:r>
            <w:r w:rsidRPr="000B4902">
              <w:rPr>
                <w:rFonts w:ascii="Century Gothic" w:hAnsi="Century Gothic"/>
                <w:sz w:val="22"/>
                <w:lang w:eastAsia="es-ES"/>
              </w:rPr>
              <w:t>Intervinientes</w:t>
            </w:r>
            <w:r w:rsidR="00431358" w:rsidRPr="000B4902">
              <w:rPr>
                <w:rFonts w:ascii="Century Gothic" w:hAnsi="Century Gothic"/>
                <w:sz w:val="22"/>
                <w:lang w:eastAsia="es-ES"/>
              </w:rPr>
              <w:t xml:space="preserve"> - proponentes</w:t>
            </w:r>
            <w:r w:rsidRPr="000B4902">
              <w:rPr>
                <w:rFonts w:ascii="Century Gothic" w:hAnsi="Century Gothic"/>
                <w:sz w:val="22"/>
                <w:lang w:eastAsia="es-ES"/>
              </w:rPr>
              <w:t xml:space="preserve"> / AUDIENCIA DE ASIGNACIÓN DE RIESGOS – Marco normativo – Licitación pública</w:t>
            </w:r>
            <w:r w:rsidR="006830A0" w:rsidRPr="000B4902">
              <w:rPr>
                <w:rFonts w:ascii="Century Gothic" w:hAnsi="Century Gothic"/>
                <w:sz w:val="22"/>
                <w:lang w:eastAsia="es-ES"/>
              </w:rPr>
              <w:t xml:space="preserve"> - </w:t>
            </w:r>
            <w:r w:rsidRPr="000B4902">
              <w:rPr>
                <w:rFonts w:ascii="Century Gothic" w:hAnsi="Century Gothic"/>
                <w:sz w:val="22"/>
                <w:lang w:eastAsia="es-ES"/>
              </w:rPr>
              <w:t xml:space="preserve">Participación </w:t>
            </w:r>
            <w:r w:rsidR="00431358" w:rsidRPr="000B4902">
              <w:rPr>
                <w:rFonts w:ascii="Century Gothic" w:hAnsi="Century Gothic"/>
                <w:sz w:val="22"/>
                <w:lang w:eastAsia="es-ES"/>
              </w:rPr>
              <w:t xml:space="preserve">de Interesados </w:t>
            </w:r>
            <w:r w:rsidRPr="000B4902">
              <w:rPr>
                <w:rFonts w:ascii="Century Gothic" w:hAnsi="Century Gothic"/>
                <w:sz w:val="22"/>
                <w:lang w:eastAsia="es-ES"/>
              </w:rPr>
              <w:t xml:space="preserve">/ OFERENTES – Audiencia de adjudicación –Representación del oferente por un abogado </w:t>
            </w:r>
            <w:r w:rsidR="004B0872" w:rsidRPr="000B4902">
              <w:rPr>
                <w:rFonts w:ascii="Century Gothic" w:hAnsi="Century Gothic"/>
                <w:sz w:val="22"/>
                <w:lang w:eastAsia="es-ES"/>
              </w:rPr>
              <w:t>– Autorización de tercero para notificarse</w:t>
            </w:r>
          </w:p>
        </w:tc>
        <w:tc>
          <w:tcPr>
            <w:tcW w:w="6237" w:type="dxa"/>
          </w:tcPr>
          <w:p w14:paraId="54F3E33D" w14:textId="77777777" w:rsidR="00DA4F07" w:rsidRPr="000B4902" w:rsidRDefault="00DA4F07" w:rsidP="00121A8B">
            <w:pPr>
              <w:spacing w:after="120" w:line="276" w:lineRule="auto"/>
              <w:jc w:val="both"/>
              <w:rPr>
                <w:rFonts w:ascii="Century Gothic" w:hAnsi="Century Gothic" w:cs="Arial"/>
                <w:lang w:eastAsia="es-ES"/>
              </w:rPr>
            </w:pPr>
          </w:p>
        </w:tc>
      </w:tr>
      <w:tr w:rsidR="00DA4F07" w:rsidRPr="000B4902" w14:paraId="13A1B448" w14:textId="77777777" w:rsidTr="00121A8B">
        <w:tc>
          <w:tcPr>
            <w:tcW w:w="2689" w:type="dxa"/>
          </w:tcPr>
          <w:p w14:paraId="57F16EB8" w14:textId="77777777" w:rsidR="00DA4F07" w:rsidRPr="000B4902" w:rsidRDefault="00DA4F07" w:rsidP="00121A8B">
            <w:pPr>
              <w:rPr>
                <w:rFonts w:ascii="Century Gothic" w:eastAsia="Calibri" w:hAnsi="Century Gothic" w:cs="Arial"/>
                <w:b/>
              </w:rPr>
            </w:pPr>
            <w:r w:rsidRPr="000B4902">
              <w:rPr>
                <w:rFonts w:ascii="Century Gothic" w:eastAsia="Calibri" w:hAnsi="Century Gothic" w:cs="Arial"/>
                <w:b/>
              </w:rPr>
              <w:t>Radicación:</w:t>
            </w:r>
            <w:r w:rsidRPr="000B4902">
              <w:rPr>
                <w:rFonts w:ascii="Century Gothic" w:eastAsia="Calibri" w:hAnsi="Century Gothic" w:cs="Arial"/>
              </w:rPr>
              <w:t xml:space="preserve"> </w:t>
            </w:r>
          </w:p>
        </w:tc>
        <w:tc>
          <w:tcPr>
            <w:tcW w:w="6237" w:type="dxa"/>
          </w:tcPr>
          <w:p w14:paraId="6431677A" w14:textId="4F25D414" w:rsidR="00DA4F07" w:rsidRPr="000B4902" w:rsidRDefault="00DA4F07" w:rsidP="00121A8B">
            <w:pPr>
              <w:jc w:val="both"/>
              <w:rPr>
                <w:rFonts w:ascii="Century Gothic" w:eastAsia="Calibri" w:hAnsi="Century Gothic" w:cs="Arial"/>
              </w:rPr>
            </w:pPr>
            <w:r w:rsidRPr="000B4902">
              <w:rPr>
                <w:rFonts w:ascii="Century Gothic" w:eastAsia="Calibri" w:hAnsi="Century Gothic" w:cs="Arial"/>
              </w:rPr>
              <w:t>Respuesta a la consulta P202</w:t>
            </w:r>
            <w:r w:rsidR="004B0872" w:rsidRPr="000B4902">
              <w:rPr>
                <w:rFonts w:ascii="Century Gothic" w:eastAsia="Calibri" w:hAnsi="Century Gothic" w:cs="Arial"/>
              </w:rPr>
              <w:t>30728013731</w:t>
            </w:r>
          </w:p>
        </w:tc>
        <w:tc>
          <w:tcPr>
            <w:tcW w:w="6237" w:type="dxa"/>
          </w:tcPr>
          <w:p w14:paraId="565B9CF8" w14:textId="77777777" w:rsidR="00DA4F07" w:rsidRPr="000B4902" w:rsidRDefault="00DA4F07" w:rsidP="00121A8B">
            <w:pPr>
              <w:jc w:val="both"/>
              <w:rPr>
                <w:rFonts w:ascii="Century Gothic" w:eastAsia="Calibri" w:hAnsi="Century Gothic" w:cs="Arial"/>
              </w:rPr>
            </w:pPr>
          </w:p>
        </w:tc>
      </w:tr>
    </w:tbl>
    <w:p w14:paraId="3D8DEDFF" w14:textId="77777777" w:rsidR="00DA4F07" w:rsidRPr="000B4902" w:rsidRDefault="00DA4F07" w:rsidP="00DA4F07">
      <w:pPr>
        <w:jc w:val="both"/>
        <w:rPr>
          <w:rFonts w:ascii="Century Gothic" w:eastAsia="Calibri" w:hAnsi="Century Gothic" w:cs="Arial"/>
        </w:rPr>
      </w:pPr>
    </w:p>
    <w:p w14:paraId="7F0F8F06" w14:textId="7A4EC951" w:rsidR="00DA4F07" w:rsidRPr="000B4902" w:rsidRDefault="00DA4F07" w:rsidP="00DA4F07">
      <w:pPr>
        <w:spacing w:line="276" w:lineRule="auto"/>
        <w:rPr>
          <w:rFonts w:ascii="Century Gothic" w:eastAsia="Calibri" w:hAnsi="Century Gothic" w:cs="Arial"/>
        </w:rPr>
      </w:pPr>
      <w:r w:rsidRPr="000B4902">
        <w:rPr>
          <w:rFonts w:ascii="Century Gothic" w:eastAsia="Calibri" w:hAnsi="Century Gothic" w:cs="Arial"/>
        </w:rPr>
        <w:t>Estimado señor G</w:t>
      </w:r>
      <w:r w:rsidR="004B0872" w:rsidRPr="000B4902">
        <w:rPr>
          <w:rFonts w:ascii="Century Gothic" w:eastAsia="Calibri" w:hAnsi="Century Gothic" w:cs="Arial"/>
        </w:rPr>
        <w:t>uzmán,</w:t>
      </w:r>
    </w:p>
    <w:p w14:paraId="71DC81EA" w14:textId="7EDEB89A" w:rsidR="00DA4F07" w:rsidRPr="000B4902" w:rsidRDefault="00DA4F07" w:rsidP="00DA4F07">
      <w:pPr>
        <w:spacing w:line="276" w:lineRule="auto"/>
        <w:jc w:val="both"/>
        <w:rPr>
          <w:rFonts w:ascii="Century Gothic" w:eastAsia="Calibri" w:hAnsi="Century Gothic" w:cs="Arial"/>
        </w:rPr>
      </w:pPr>
      <w:r w:rsidRPr="000B4902">
        <w:rPr>
          <w:rFonts w:ascii="Century Gothic" w:eastAsia="Calibri" w:hAnsi="Century Gothic" w:cs="Arial"/>
        </w:rPr>
        <w:t xml:space="preserve">En ejercicio de la competencia otorgada por el numeral 8 del artículo 11 y el numeral 5 del artículo 3 del Decreto Ley 4170 de 2011, la Agencia Nacional de Contratación Pública – Colombia Compra Eficiente responde </w:t>
      </w:r>
      <w:r w:rsidR="004B0872" w:rsidRPr="000B4902">
        <w:rPr>
          <w:rFonts w:ascii="Century Gothic" w:eastAsia="Calibri" w:hAnsi="Century Gothic" w:cs="Arial"/>
        </w:rPr>
        <w:t xml:space="preserve">a su consulta del 28 de </w:t>
      </w:r>
      <w:r w:rsidRPr="000B4902">
        <w:rPr>
          <w:rFonts w:ascii="Century Gothic" w:eastAsia="Calibri" w:hAnsi="Century Gothic" w:cs="Arial"/>
        </w:rPr>
        <w:t>ju</w:t>
      </w:r>
      <w:r w:rsidR="004B0872" w:rsidRPr="000B4902">
        <w:rPr>
          <w:rFonts w:ascii="Century Gothic" w:eastAsia="Calibri" w:hAnsi="Century Gothic" w:cs="Arial"/>
        </w:rPr>
        <w:t>l</w:t>
      </w:r>
      <w:r w:rsidRPr="000B4902">
        <w:rPr>
          <w:rFonts w:ascii="Century Gothic" w:eastAsia="Calibri" w:hAnsi="Century Gothic" w:cs="Arial"/>
        </w:rPr>
        <w:t>io de 202</w:t>
      </w:r>
      <w:r w:rsidR="004B0872" w:rsidRPr="000B4902">
        <w:rPr>
          <w:rFonts w:ascii="Century Gothic" w:eastAsia="Calibri" w:hAnsi="Century Gothic" w:cs="Arial"/>
        </w:rPr>
        <w:t>3</w:t>
      </w:r>
      <w:r w:rsidRPr="000B4902">
        <w:rPr>
          <w:rFonts w:ascii="Century Gothic" w:eastAsia="Calibri" w:hAnsi="Century Gothic" w:cs="Arial"/>
        </w:rPr>
        <w:t>.</w:t>
      </w:r>
    </w:p>
    <w:p w14:paraId="09D1F472" w14:textId="77777777" w:rsidR="00DA4F07" w:rsidRPr="000B4902" w:rsidRDefault="00DA4F07" w:rsidP="00DA4F07">
      <w:pPr>
        <w:pStyle w:val="Prrafodelista"/>
        <w:tabs>
          <w:tab w:val="left" w:pos="284"/>
        </w:tabs>
        <w:spacing w:line="276" w:lineRule="auto"/>
        <w:ind w:left="0"/>
        <w:jc w:val="both"/>
        <w:rPr>
          <w:rFonts w:ascii="Century Gothic" w:eastAsia="Calibri" w:hAnsi="Century Gothic" w:cs="Arial"/>
          <w:b/>
        </w:rPr>
      </w:pPr>
      <w:r w:rsidRPr="000B4902">
        <w:rPr>
          <w:rFonts w:ascii="Century Gothic" w:eastAsia="Calibri" w:hAnsi="Century Gothic" w:cs="Arial"/>
          <w:b/>
        </w:rPr>
        <w:t>1. Problema planteado</w:t>
      </w:r>
    </w:p>
    <w:p w14:paraId="24794F52" w14:textId="6FA59C0D" w:rsidR="00DA4F07" w:rsidRPr="000B4902" w:rsidRDefault="004B0872" w:rsidP="00DA4F07">
      <w:pPr>
        <w:spacing w:line="276" w:lineRule="auto"/>
        <w:jc w:val="both"/>
        <w:rPr>
          <w:rFonts w:ascii="Century Gothic" w:eastAsia="Calibri" w:hAnsi="Century Gothic" w:cs="Arial"/>
        </w:rPr>
      </w:pPr>
      <w:bookmarkStart w:id="1" w:name="_Hlk68679800"/>
      <w:r w:rsidRPr="000B4902">
        <w:rPr>
          <w:rFonts w:ascii="Century Gothic" w:eastAsia="Calibri" w:hAnsi="Century Gothic" w:cs="Arial"/>
        </w:rPr>
        <w:t>Usted</w:t>
      </w:r>
      <w:r w:rsidR="004B04B2" w:rsidRPr="000B4902">
        <w:rPr>
          <w:rFonts w:ascii="Century Gothic" w:eastAsia="Calibri" w:hAnsi="Century Gothic" w:cs="Arial"/>
        </w:rPr>
        <w:t xml:space="preserve"> </w:t>
      </w:r>
      <w:r w:rsidR="0050331A" w:rsidRPr="000B4902">
        <w:rPr>
          <w:rFonts w:ascii="Century Gothic" w:eastAsia="Calibri" w:hAnsi="Century Gothic" w:cs="Arial"/>
        </w:rPr>
        <w:t>realizó</w:t>
      </w:r>
      <w:r w:rsidR="00DA4F07" w:rsidRPr="000B4902">
        <w:rPr>
          <w:rFonts w:ascii="Century Gothic" w:eastAsia="Calibri" w:hAnsi="Century Gothic" w:cs="Arial"/>
        </w:rPr>
        <w:t xml:space="preserve"> las siguientes preguntas: </w:t>
      </w:r>
    </w:p>
    <w:bookmarkEnd w:id="1"/>
    <w:p w14:paraId="4EAF357A" w14:textId="372D26EF" w:rsidR="00DA4F07" w:rsidRPr="000B4902" w:rsidRDefault="00564B46" w:rsidP="0050331A">
      <w:pPr>
        <w:ind w:left="709" w:right="709"/>
        <w:jc w:val="both"/>
        <w:rPr>
          <w:rFonts w:ascii="Century Gothic" w:eastAsia="Calibri" w:hAnsi="Century Gothic" w:cs="Arial"/>
          <w:sz w:val="21"/>
          <w:szCs w:val="21"/>
        </w:rPr>
      </w:pPr>
      <w:r w:rsidRPr="000B4902">
        <w:rPr>
          <w:rFonts w:ascii="Century Gothic" w:eastAsia="Calibri" w:hAnsi="Century Gothic" w:cs="Arial"/>
          <w:sz w:val="21"/>
          <w:szCs w:val="21"/>
        </w:rPr>
        <w:t>“¿</w:t>
      </w:r>
      <w:r w:rsidR="0050331A" w:rsidRPr="000B4902">
        <w:rPr>
          <w:rFonts w:ascii="Century Gothic" w:eastAsia="Calibri" w:hAnsi="Century Gothic" w:cs="Arial"/>
          <w:sz w:val="21"/>
          <w:szCs w:val="21"/>
        </w:rPr>
        <w:t>En las audiencias de los procesos de contratación pública puede asistir una persona autorizada por el representante legal de la sociedad proponente o el proponente persona natural o debe ser un apoderado? Si es válido que sea un autorizado, ¿qué condiciones debe tener la autorización? Si debe ser un apoderado, ¿este debe ser abogado en atención al artículo 35 del Decreto 196 de 1971? ¿Podría ser que haya diferencias en las audiencias por el tipo de audiencia o el tipo de proceso?, es decir, que en unas pueda ser un autorizado y en otras deba ser apoderado.</w:t>
      </w:r>
      <w:r w:rsidRPr="000B4902">
        <w:rPr>
          <w:rFonts w:ascii="Century Gothic" w:eastAsia="Calibri" w:hAnsi="Century Gothic" w:cs="Arial"/>
          <w:sz w:val="21"/>
          <w:szCs w:val="21"/>
        </w:rPr>
        <w:t>?” (Sic)</w:t>
      </w:r>
    </w:p>
    <w:p w14:paraId="42B25B76" w14:textId="77777777" w:rsidR="00DA4F07" w:rsidRPr="000B4902" w:rsidRDefault="00DA4F07" w:rsidP="00DA4F07">
      <w:pPr>
        <w:tabs>
          <w:tab w:val="left" w:pos="426"/>
        </w:tabs>
        <w:spacing w:line="276" w:lineRule="auto"/>
        <w:jc w:val="both"/>
        <w:rPr>
          <w:rFonts w:ascii="Century Gothic" w:eastAsia="Calibri" w:hAnsi="Century Gothic" w:cs="Arial"/>
          <w:b/>
        </w:rPr>
      </w:pPr>
      <w:r w:rsidRPr="000B4902">
        <w:rPr>
          <w:rFonts w:ascii="Century Gothic" w:eastAsia="Calibri" w:hAnsi="Century Gothic" w:cs="Arial"/>
          <w:b/>
        </w:rPr>
        <w:t>2. Consideraciones</w:t>
      </w:r>
    </w:p>
    <w:p w14:paraId="777F48B8" w14:textId="3C05375A" w:rsidR="00231E31" w:rsidRPr="000B4902" w:rsidRDefault="00231E31" w:rsidP="00231E31">
      <w:pPr>
        <w:spacing w:after="120" w:line="276" w:lineRule="auto"/>
        <w:jc w:val="both"/>
        <w:rPr>
          <w:rFonts w:ascii="Century Gothic" w:eastAsia="Calibri" w:hAnsi="Century Gothic" w:cs="Arial"/>
          <w:lang w:val="es-ES"/>
        </w:rPr>
      </w:pPr>
      <w:r w:rsidRPr="000B4902">
        <w:rPr>
          <w:rFonts w:ascii="Century Gothic" w:eastAsia="Batang" w:hAnsi="Century Gothic" w:cs="Arial"/>
          <w:lang w:val="es-MX"/>
        </w:rPr>
        <w:t>La Agencia Nacional de Contratación Pública – Colombia Compra Eficiente tiene competencia para atender consultas relativas a temas contractuales, pero solo para “absolver consultas sobre la aplicación de normas de carácter general</w:t>
      </w:r>
      <w:r w:rsidRPr="000B4902">
        <w:rPr>
          <w:rFonts w:ascii="Century Gothic" w:eastAsia="Calibri" w:hAnsi="Century Gothic" w:cs="Arial"/>
          <w:lang w:val="es-MX"/>
        </w:rPr>
        <w:t>”</w:t>
      </w:r>
      <w:r w:rsidRPr="000B4902">
        <w:rPr>
          <w:rFonts w:ascii="Century Gothic" w:eastAsia="Batang" w:hAnsi="Century Gothic" w:cs="Arial"/>
          <w:vertAlign w:val="superscript"/>
          <w:lang w:val="es-MX"/>
        </w:rPr>
        <w:footnoteReference w:id="2"/>
      </w:r>
      <w:r w:rsidRPr="000B4902">
        <w:rPr>
          <w:rFonts w:ascii="Century Gothic" w:eastAsia="Batang" w:hAnsi="Century Gothic" w:cs="Arial"/>
          <w:lang w:val="es-MX"/>
        </w:rPr>
        <w:t>. En ese sentido, esta</w:t>
      </w:r>
      <w:r w:rsidRPr="000B4902">
        <w:rPr>
          <w:rFonts w:ascii="Century Gothic" w:eastAsia="Calibri" w:hAnsi="Century Gothic" w:cs="Arial"/>
          <w:lang w:val="es-ES"/>
        </w:rPr>
        <w:t xml:space="preserve"> Subdirección –dentro de los límites de sus atribuciones– resolverá su consulta previo al análisis de los siguientes temas: i) </w:t>
      </w:r>
      <w:r w:rsidR="00A765C6" w:rsidRPr="000B4902">
        <w:rPr>
          <w:rFonts w:ascii="Century Gothic" w:eastAsia="Calibri" w:hAnsi="Century Gothic" w:cs="Arial"/>
          <w:lang w:val="es-ES"/>
        </w:rPr>
        <w:t>audiencia de asignación de riesgos</w:t>
      </w:r>
      <w:r w:rsidR="00004394" w:rsidRPr="000B4902">
        <w:rPr>
          <w:rFonts w:ascii="Century Gothic" w:eastAsia="Calibri" w:hAnsi="Century Gothic" w:cs="Arial"/>
          <w:lang w:val="es-ES"/>
        </w:rPr>
        <w:t xml:space="preserve"> en licitación pública</w:t>
      </w:r>
      <w:r w:rsidRPr="000B4902">
        <w:rPr>
          <w:rFonts w:ascii="Century Gothic" w:eastAsia="Calibri" w:hAnsi="Century Gothic" w:cs="Arial"/>
          <w:lang w:val="es-ES"/>
        </w:rPr>
        <w:t>; ii)</w:t>
      </w:r>
      <w:r w:rsidR="00832F64" w:rsidRPr="000B4902">
        <w:rPr>
          <w:rFonts w:ascii="Century Gothic" w:eastAsia="Calibri" w:hAnsi="Century Gothic" w:cs="Arial"/>
          <w:lang w:val="es-ES"/>
        </w:rPr>
        <w:t xml:space="preserve"> audiencia de adjudicación en licitación pública</w:t>
      </w:r>
      <w:r w:rsidR="0070778F" w:rsidRPr="000B4902">
        <w:rPr>
          <w:rFonts w:ascii="Century Gothic" w:eastAsia="Calibri" w:hAnsi="Century Gothic" w:cs="Arial"/>
          <w:lang w:val="es-ES"/>
        </w:rPr>
        <w:t xml:space="preserve">; y, iii) </w:t>
      </w:r>
      <w:r w:rsidR="00476B76" w:rsidRPr="000B4902">
        <w:rPr>
          <w:rFonts w:ascii="Century Gothic" w:eastAsia="Calibri" w:hAnsi="Century Gothic" w:cs="Arial"/>
          <w:lang w:val="es-ES"/>
        </w:rPr>
        <w:t xml:space="preserve">participación </w:t>
      </w:r>
      <w:r w:rsidR="00346B36" w:rsidRPr="000B4902">
        <w:rPr>
          <w:rFonts w:ascii="Century Gothic" w:eastAsia="Calibri" w:hAnsi="Century Gothic" w:cs="Arial"/>
          <w:lang w:val="es-ES"/>
        </w:rPr>
        <w:t>y/o</w:t>
      </w:r>
      <w:r w:rsidR="00476B76" w:rsidRPr="000B4902">
        <w:rPr>
          <w:rFonts w:ascii="Century Gothic" w:eastAsia="Calibri" w:hAnsi="Century Gothic" w:cs="Arial"/>
          <w:lang w:val="es-ES"/>
        </w:rPr>
        <w:t xml:space="preserve"> representación </w:t>
      </w:r>
      <w:r w:rsidR="00346B36" w:rsidRPr="000B4902">
        <w:rPr>
          <w:rFonts w:ascii="Century Gothic" w:eastAsia="Calibri" w:hAnsi="Century Gothic" w:cs="Arial"/>
          <w:lang w:val="es-ES"/>
        </w:rPr>
        <w:t>de</w:t>
      </w:r>
      <w:r w:rsidR="008D5A37" w:rsidRPr="000B4902">
        <w:rPr>
          <w:rFonts w:ascii="Century Gothic" w:eastAsia="Calibri" w:hAnsi="Century Gothic" w:cs="Arial"/>
          <w:lang w:val="es-ES"/>
        </w:rPr>
        <w:t xml:space="preserve"> </w:t>
      </w:r>
      <w:r w:rsidR="00141793" w:rsidRPr="000B4902">
        <w:rPr>
          <w:rFonts w:ascii="Century Gothic" w:eastAsia="Calibri" w:hAnsi="Century Gothic" w:cs="Arial"/>
          <w:lang w:val="es-ES"/>
        </w:rPr>
        <w:t>interesados y oferentes</w:t>
      </w:r>
      <w:r w:rsidR="00476B76" w:rsidRPr="000B4902">
        <w:rPr>
          <w:rFonts w:ascii="Century Gothic" w:eastAsia="Calibri" w:hAnsi="Century Gothic" w:cs="Arial"/>
          <w:lang w:val="es-ES"/>
        </w:rPr>
        <w:t xml:space="preserve"> en la</w:t>
      </w:r>
      <w:r w:rsidR="00141793" w:rsidRPr="000B4902">
        <w:rPr>
          <w:rFonts w:ascii="Century Gothic" w:eastAsia="Calibri" w:hAnsi="Century Gothic" w:cs="Arial"/>
          <w:lang w:val="es-ES"/>
        </w:rPr>
        <w:t>s</w:t>
      </w:r>
      <w:r w:rsidR="00476B76" w:rsidRPr="000B4902">
        <w:rPr>
          <w:rFonts w:ascii="Century Gothic" w:eastAsia="Calibri" w:hAnsi="Century Gothic" w:cs="Arial"/>
          <w:lang w:val="es-ES"/>
        </w:rPr>
        <w:t xml:space="preserve"> audiencia</w:t>
      </w:r>
      <w:r w:rsidR="00141793" w:rsidRPr="000B4902">
        <w:rPr>
          <w:rFonts w:ascii="Century Gothic" w:eastAsia="Calibri" w:hAnsi="Century Gothic" w:cs="Arial"/>
          <w:lang w:val="es-ES"/>
        </w:rPr>
        <w:t>s</w:t>
      </w:r>
      <w:r w:rsidR="00476B76" w:rsidRPr="000B4902">
        <w:rPr>
          <w:rFonts w:ascii="Century Gothic" w:eastAsia="Calibri" w:hAnsi="Century Gothic" w:cs="Arial"/>
          <w:lang w:val="es-ES"/>
        </w:rPr>
        <w:t xml:space="preserve"> de</w:t>
      </w:r>
      <w:r w:rsidR="00141793" w:rsidRPr="000B4902">
        <w:rPr>
          <w:rFonts w:ascii="Century Gothic" w:eastAsia="Calibri" w:hAnsi="Century Gothic" w:cs="Arial"/>
          <w:lang w:val="es-ES"/>
        </w:rPr>
        <w:t xml:space="preserve"> asignación de riesgos y en la de a</w:t>
      </w:r>
      <w:r w:rsidR="00476B76" w:rsidRPr="000B4902">
        <w:rPr>
          <w:rFonts w:ascii="Century Gothic" w:eastAsia="Calibri" w:hAnsi="Century Gothic" w:cs="Arial"/>
          <w:lang w:val="es-ES"/>
        </w:rPr>
        <w:t>djudicación</w:t>
      </w:r>
      <w:r w:rsidR="00141793" w:rsidRPr="000B4902">
        <w:rPr>
          <w:rFonts w:ascii="Century Gothic" w:eastAsia="Calibri" w:hAnsi="Century Gothic" w:cs="Arial"/>
          <w:lang w:val="es-ES"/>
        </w:rPr>
        <w:t>, respectivamente.</w:t>
      </w:r>
    </w:p>
    <w:p w14:paraId="6D5D0FC9" w14:textId="55E6EC3A" w:rsidR="00DA4F07" w:rsidRPr="000B4902" w:rsidRDefault="00DA4F07" w:rsidP="00A765C6">
      <w:pPr>
        <w:spacing w:line="276" w:lineRule="auto"/>
        <w:ind w:firstLine="708"/>
        <w:jc w:val="both"/>
        <w:rPr>
          <w:rFonts w:ascii="Century Gothic" w:eastAsia="Calibri" w:hAnsi="Century Gothic" w:cs="Arial"/>
        </w:rPr>
      </w:pPr>
      <w:r w:rsidRPr="000B4902">
        <w:rPr>
          <w:rFonts w:ascii="Century Gothic" w:hAnsi="Century Gothic" w:cs="Arial"/>
        </w:rPr>
        <w:t xml:space="preserve">La Agencia </w:t>
      </w:r>
      <w:r w:rsidRPr="000B4902">
        <w:rPr>
          <w:rFonts w:ascii="Century Gothic" w:eastAsia="Calibri" w:hAnsi="Century Gothic" w:cs="Arial"/>
        </w:rPr>
        <w:t>Nacional</w:t>
      </w:r>
      <w:r w:rsidRPr="000B4902">
        <w:rPr>
          <w:rFonts w:ascii="Century Gothic" w:hAnsi="Century Gothic" w:cs="Arial"/>
        </w:rPr>
        <w:t xml:space="preserve"> de Contratación Pública – Colombia Compra Eficiente </w:t>
      </w:r>
      <w:r w:rsidRPr="000B4902">
        <w:rPr>
          <w:rFonts w:ascii="Century Gothic" w:eastAsia="Calibri" w:hAnsi="Century Gothic" w:cs="Arial"/>
        </w:rPr>
        <w:t>analizó la</w:t>
      </w:r>
      <w:r w:rsidR="00062758" w:rsidRPr="000B4902">
        <w:rPr>
          <w:rFonts w:ascii="Century Gothic" w:eastAsia="Calibri" w:hAnsi="Century Gothic" w:cs="Arial"/>
        </w:rPr>
        <w:t>s</w:t>
      </w:r>
      <w:r w:rsidRPr="000B4902">
        <w:rPr>
          <w:rFonts w:ascii="Century Gothic" w:eastAsia="Calibri" w:hAnsi="Century Gothic" w:cs="Arial"/>
        </w:rPr>
        <w:t xml:space="preserve"> audiencia</w:t>
      </w:r>
      <w:r w:rsidR="00062758" w:rsidRPr="000B4902">
        <w:rPr>
          <w:rFonts w:ascii="Century Gothic" w:eastAsia="Calibri" w:hAnsi="Century Gothic" w:cs="Arial"/>
        </w:rPr>
        <w:t>s obligatorias de asignación de riesgos y</w:t>
      </w:r>
      <w:r w:rsidRPr="000B4902">
        <w:rPr>
          <w:rFonts w:ascii="Century Gothic" w:eastAsia="Calibri" w:hAnsi="Century Gothic" w:cs="Arial"/>
        </w:rPr>
        <w:t xml:space="preserve"> de adjudicación en </w:t>
      </w:r>
      <w:r w:rsidR="00062758" w:rsidRPr="000B4902">
        <w:rPr>
          <w:rFonts w:ascii="Century Gothic" w:eastAsia="Calibri" w:hAnsi="Century Gothic" w:cs="Arial"/>
        </w:rPr>
        <w:t xml:space="preserve">la licitación pública </w:t>
      </w:r>
      <w:r w:rsidRPr="000B4902">
        <w:rPr>
          <w:rFonts w:ascii="Century Gothic" w:eastAsia="Calibri" w:hAnsi="Century Gothic" w:cs="Arial"/>
        </w:rPr>
        <w:t>los conceptos con radicado No. 4201912000005935 del 25 de noviembre de 2019, reiterado y desarrollado en el concepto con radicado No. 4201912000007600 del 23 de diciembre de 2019, C-679 del 23 de noviembre de 2020, C-042 del 3 de marzo de 2021</w:t>
      </w:r>
      <w:r w:rsidR="00F95964" w:rsidRPr="000B4902">
        <w:rPr>
          <w:rFonts w:ascii="Century Gothic" w:eastAsia="Calibri" w:hAnsi="Century Gothic" w:cs="Arial"/>
        </w:rPr>
        <w:t>, C-472 del 1</w:t>
      </w:r>
      <w:r w:rsidR="00DD3FCB" w:rsidRPr="000B4902">
        <w:rPr>
          <w:rFonts w:ascii="Century Gothic" w:eastAsia="Calibri" w:hAnsi="Century Gothic" w:cs="Arial"/>
        </w:rPr>
        <w:t xml:space="preserve">8 de julio de 2022, C-512 del 10 de agosto de 2022 y </w:t>
      </w:r>
      <w:r w:rsidR="003D4386" w:rsidRPr="000B4902">
        <w:rPr>
          <w:rFonts w:ascii="Century Gothic" w:eastAsia="Calibri" w:hAnsi="Century Gothic" w:cs="Arial"/>
        </w:rPr>
        <w:t xml:space="preserve">C-694 </w:t>
      </w:r>
      <w:r w:rsidR="00690801" w:rsidRPr="000B4902">
        <w:rPr>
          <w:rFonts w:ascii="Century Gothic" w:eastAsia="Calibri" w:hAnsi="Century Gothic" w:cs="Arial"/>
        </w:rPr>
        <w:t xml:space="preserve">del 20 de octubre de 2022. </w:t>
      </w:r>
      <w:r w:rsidR="00C9114C" w:rsidRPr="000B4902">
        <w:rPr>
          <w:rFonts w:ascii="Century Gothic" w:eastAsia="Calibri" w:hAnsi="Century Gothic" w:cs="Arial"/>
        </w:rPr>
        <w:t xml:space="preserve"> Por su parte, </w:t>
      </w:r>
      <w:r w:rsidR="009133A0" w:rsidRPr="000B4902">
        <w:rPr>
          <w:rFonts w:ascii="Century Gothic" w:eastAsia="Calibri" w:hAnsi="Century Gothic" w:cs="Arial"/>
        </w:rPr>
        <w:t>m</w:t>
      </w:r>
      <w:r w:rsidRPr="000B4902">
        <w:rPr>
          <w:rFonts w:ascii="Century Gothic" w:eastAsia="Calibri" w:hAnsi="Century Gothic" w:cs="Arial"/>
        </w:rPr>
        <w:t>ediante los Conceptos C-046 del 19 de febrero de 2020</w:t>
      </w:r>
      <w:r w:rsidR="009133A0" w:rsidRPr="000B4902">
        <w:rPr>
          <w:rFonts w:ascii="Century Gothic" w:eastAsia="Calibri" w:hAnsi="Century Gothic" w:cs="Arial"/>
        </w:rPr>
        <w:t xml:space="preserve">, </w:t>
      </w:r>
      <w:r w:rsidRPr="000B4902">
        <w:rPr>
          <w:rFonts w:ascii="Century Gothic" w:eastAsia="Calibri" w:hAnsi="Century Gothic" w:cs="Arial"/>
        </w:rPr>
        <w:t xml:space="preserve">C-466 del 3 de septiembre de 2021 </w:t>
      </w:r>
      <w:r w:rsidR="009133A0" w:rsidRPr="000B4902">
        <w:rPr>
          <w:rFonts w:ascii="Century Gothic" w:eastAsia="Calibri" w:hAnsi="Century Gothic" w:cs="Arial"/>
        </w:rPr>
        <w:t xml:space="preserve">y C-472 de 18 de julio de 2022 </w:t>
      </w:r>
      <w:r w:rsidRPr="000B4902">
        <w:rPr>
          <w:rFonts w:ascii="Century Gothic" w:eastAsia="Calibri" w:hAnsi="Century Gothic" w:cs="Arial"/>
        </w:rPr>
        <w:t>estudió lo referente al mandato</w:t>
      </w:r>
      <w:r w:rsidR="00CC637D" w:rsidRPr="000B4902">
        <w:rPr>
          <w:rFonts w:ascii="Century Gothic" w:eastAsia="Calibri" w:hAnsi="Century Gothic" w:cs="Arial"/>
        </w:rPr>
        <w:t xml:space="preserve"> de representación</w:t>
      </w:r>
      <w:r w:rsidRPr="000B4902">
        <w:rPr>
          <w:rFonts w:ascii="Century Gothic" w:eastAsia="Calibri" w:hAnsi="Century Gothic" w:cs="Arial"/>
        </w:rPr>
        <w:t xml:space="preserve"> conferido por</w:t>
      </w:r>
      <w:r w:rsidR="00CC637D" w:rsidRPr="000B4902">
        <w:rPr>
          <w:rFonts w:ascii="Century Gothic" w:eastAsia="Calibri" w:hAnsi="Century Gothic" w:cs="Arial"/>
        </w:rPr>
        <w:t xml:space="preserve"> los interesados y </w:t>
      </w:r>
      <w:r w:rsidRPr="000B4902">
        <w:rPr>
          <w:rFonts w:ascii="Century Gothic" w:eastAsia="Calibri" w:hAnsi="Century Gothic" w:cs="Arial"/>
        </w:rPr>
        <w:t>oferente</w:t>
      </w:r>
      <w:r w:rsidR="00CC637D" w:rsidRPr="000B4902">
        <w:rPr>
          <w:rFonts w:ascii="Century Gothic" w:eastAsia="Calibri" w:hAnsi="Century Gothic" w:cs="Arial"/>
        </w:rPr>
        <w:t>s</w:t>
      </w:r>
      <w:r w:rsidRPr="000B4902">
        <w:rPr>
          <w:rFonts w:ascii="Century Gothic" w:eastAsia="Calibri" w:hAnsi="Century Gothic" w:cs="Arial"/>
        </w:rPr>
        <w:t xml:space="preserve"> </w:t>
      </w:r>
      <w:r w:rsidR="00CC637D" w:rsidRPr="000B4902">
        <w:rPr>
          <w:rFonts w:ascii="Century Gothic" w:eastAsia="Calibri" w:hAnsi="Century Gothic" w:cs="Arial"/>
        </w:rPr>
        <w:t xml:space="preserve">en audiencias </w:t>
      </w:r>
      <w:r w:rsidR="00371F0A" w:rsidRPr="000B4902">
        <w:rPr>
          <w:rFonts w:ascii="Century Gothic" w:eastAsia="Calibri" w:hAnsi="Century Gothic" w:cs="Arial"/>
        </w:rPr>
        <w:t>dentro de proceso de licitación pública</w:t>
      </w:r>
      <w:r w:rsidRPr="000B4902">
        <w:rPr>
          <w:rFonts w:ascii="Century Gothic" w:eastAsia="Calibri" w:hAnsi="Century Gothic" w:cs="Arial"/>
        </w:rPr>
        <w:t>. La tesis desarrollada en estos conceptos se expone a continuación</w:t>
      </w:r>
      <w:r w:rsidR="00430CAF" w:rsidRPr="000B4902">
        <w:rPr>
          <w:rFonts w:ascii="Century Gothic" w:eastAsia="Calibri" w:hAnsi="Century Gothic" w:cs="Arial"/>
        </w:rPr>
        <w:t xml:space="preserve"> y se complementa en lo pertinente.</w:t>
      </w:r>
    </w:p>
    <w:p w14:paraId="223B74F1" w14:textId="47E1BB57" w:rsidR="00DA4F07" w:rsidRPr="000B4902" w:rsidRDefault="00DA4F07" w:rsidP="00DA4F07">
      <w:pPr>
        <w:tabs>
          <w:tab w:val="left" w:pos="426"/>
        </w:tabs>
        <w:spacing w:line="276" w:lineRule="auto"/>
        <w:jc w:val="both"/>
        <w:rPr>
          <w:rFonts w:ascii="Century Gothic" w:eastAsia="Calibri" w:hAnsi="Century Gothic" w:cs="Arial"/>
          <w:b/>
          <w:color w:val="000000" w:themeColor="text1"/>
          <w:lang w:val="es-ES_tradnl"/>
        </w:rPr>
      </w:pPr>
      <w:r w:rsidRPr="000B4902">
        <w:rPr>
          <w:rFonts w:ascii="Century Gothic" w:eastAsia="Calibri" w:hAnsi="Century Gothic" w:cs="Arial"/>
          <w:b/>
          <w:color w:val="000000" w:themeColor="text1"/>
          <w:lang w:val="es-ES_tradnl"/>
        </w:rPr>
        <w:t xml:space="preserve">2.1. Audiencia de asignación de riesgos en la licitación pública </w:t>
      </w:r>
    </w:p>
    <w:p w14:paraId="0D49F1E6" w14:textId="43D69E2E" w:rsidR="00DA4F07" w:rsidRPr="000B4902" w:rsidRDefault="00DA4F07" w:rsidP="00DA4F07">
      <w:pPr>
        <w:spacing w:line="276" w:lineRule="auto"/>
        <w:jc w:val="both"/>
        <w:rPr>
          <w:rFonts w:ascii="Century Gothic" w:hAnsi="Century Gothic" w:cs="Arial"/>
          <w:color w:val="000000" w:themeColor="text1"/>
          <w:lang w:val="es-ES_tradnl"/>
        </w:rPr>
      </w:pPr>
      <w:r w:rsidRPr="000B4902">
        <w:rPr>
          <w:rFonts w:ascii="Century Gothic" w:eastAsia="Calibri" w:hAnsi="Century Gothic" w:cs="Arial"/>
          <w:color w:val="000000" w:themeColor="text1"/>
          <w:lang w:val="es-ES_tradnl"/>
        </w:rPr>
        <w:t>En</w:t>
      </w:r>
      <w:r w:rsidRPr="000B4902">
        <w:rPr>
          <w:rFonts w:ascii="Century Gothic" w:hAnsi="Century Gothic" w:cs="Arial"/>
          <w:color w:val="000000" w:themeColor="text1"/>
          <w:lang w:val="es-ES_tradnl"/>
        </w:rPr>
        <w:t xml:space="preserve"> materia de contratación pública, el marco normativo ha establecido el deber de las entidades </w:t>
      </w:r>
      <w:r w:rsidR="00D0250C" w:rsidRPr="000B4902">
        <w:rPr>
          <w:rFonts w:ascii="Century Gothic" w:hAnsi="Century Gothic" w:cs="Arial"/>
          <w:color w:val="000000" w:themeColor="text1"/>
          <w:lang w:val="es-ES_tradnl"/>
        </w:rPr>
        <w:t xml:space="preserve">públicas </w:t>
      </w:r>
      <w:r w:rsidRPr="000B4902">
        <w:rPr>
          <w:rFonts w:ascii="Century Gothic" w:hAnsi="Century Gothic" w:cs="Arial"/>
          <w:color w:val="000000" w:themeColor="text1"/>
          <w:lang w:val="es-ES_tradnl"/>
        </w:rPr>
        <w:t xml:space="preserve">de incluir en los pliegos de condiciones o sus equivalentes la estimación, tipificación y asignación de riesgos previsibles involucrados en la contratación. Esto, con el fin de administrarlos, controlarlos, gestionarlos, mitigarlos y efectuar una distribución proporcional entre las partes, </w:t>
      </w:r>
      <w:r w:rsidR="004B0872" w:rsidRPr="000B4902">
        <w:rPr>
          <w:rFonts w:ascii="Century Gothic" w:hAnsi="Century Gothic" w:cs="Arial"/>
          <w:color w:val="000000" w:themeColor="text1"/>
          <w:lang w:val="es-ES_tradnl"/>
        </w:rPr>
        <w:t>“</w:t>
      </w:r>
      <w:r w:rsidRPr="000B4902">
        <w:rPr>
          <w:rFonts w:ascii="Century Gothic" w:hAnsi="Century Gothic" w:cs="Arial"/>
          <w:color w:val="000000" w:themeColor="text1"/>
          <w:lang w:val="es-ES_tradnl"/>
        </w:rPr>
        <w:t>actividad que debe sujetarse a un criterio de justicia y equidad, al tiempo que corresponde ejercerse con apego a los principios y reglas constitucionales y legales que orientan la actividad contractual del Estado</w:t>
      </w:r>
      <w:r w:rsidR="004B0872" w:rsidRPr="000B4902">
        <w:rPr>
          <w:rFonts w:ascii="Century Gothic" w:eastAsia="Calibri" w:hAnsi="Century Gothic" w:cs="Arial"/>
          <w:color w:val="000000" w:themeColor="text1"/>
          <w:lang w:val="es-ES_tradnl"/>
        </w:rPr>
        <w:t>”</w:t>
      </w:r>
      <w:r w:rsidRPr="000B4902">
        <w:rPr>
          <w:rFonts w:ascii="Century Gothic" w:hAnsi="Century Gothic" w:cs="Arial"/>
          <w:vertAlign w:val="superscript"/>
          <w:lang w:val="es-ES_tradnl"/>
        </w:rPr>
        <w:footnoteReference w:id="3"/>
      </w:r>
      <w:r w:rsidRPr="000B4902">
        <w:rPr>
          <w:rFonts w:ascii="Century Gothic" w:eastAsia="Calibri" w:hAnsi="Century Gothic" w:cs="Arial"/>
          <w:color w:val="000000" w:themeColor="text1"/>
          <w:lang w:val="es-ES_tradnl"/>
        </w:rPr>
        <w:t xml:space="preserve">. </w:t>
      </w:r>
      <w:r w:rsidRPr="000B4902">
        <w:rPr>
          <w:rFonts w:ascii="Century Gothic" w:hAnsi="Century Gothic" w:cs="Arial"/>
          <w:color w:val="000000" w:themeColor="text1"/>
          <w:lang w:val="es-ES_tradnl"/>
        </w:rPr>
        <w:t xml:space="preserve">La Ley 1150 de 2007, en su artículo 4, regula la materia, prescribiendo lo siguiente: </w:t>
      </w:r>
    </w:p>
    <w:p w14:paraId="501DC19F" w14:textId="0996D880" w:rsidR="00DA4F07" w:rsidRPr="000B4902" w:rsidRDefault="00AC16C9" w:rsidP="00DA4F07">
      <w:pPr>
        <w:ind w:left="709" w:right="709"/>
        <w:jc w:val="both"/>
        <w:rPr>
          <w:rFonts w:ascii="Century Gothic" w:hAnsi="Century Gothic" w:cs="Arial"/>
          <w:sz w:val="21"/>
          <w:szCs w:val="21"/>
          <w:lang w:val="es-ES"/>
        </w:rPr>
      </w:pPr>
      <w:r w:rsidRPr="000B4902">
        <w:rPr>
          <w:rFonts w:ascii="Century Gothic" w:hAnsi="Century Gothic" w:cs="Arial"/>
          <w:sz w:val="21"/>
          <w:szCs w:val="21"/>
          <w:lang w:val="es-ES"/>
        </w:rPr>
        <w:t>“</w:t>
      </w:r>
      <w:r w:rsidR="00DA4F07" w:rsidRPr="000B4902">
        <w:rPr>
          <w:rFonts w:ascii="Century Gothic" w:hAnsi="Century Gothic" w:cs="Arial"/>
          <w:sz w:val="21"/>
          <w:szCs w:val="21"/>
          <w:lang w:val="es-ES"/>
        </w:rPr>
        <w:t>Los pliegos de condiciones o sus equivalentes deberán incluir la estimación, tipificación y asignación de los riesgos previsibles involucrados en la contratación.</w:t>
      </w:r>
    </w:p>
    <w:p w14:paraId="4803DBD9" w14:textId="1FAE2E92" w:rsidR="00DA4F07" w:rsidRPr="000B4902" w:rsidRDefault="00DA4F07" w:rsidP="00DA4F07">
      <w:pPr>
        <w:ind w:left="709" w:right="709"/>
        <w:jc w:val="both"/>
        <w:rPr>
          <w:rFonts w:ascii="Century Gothic" w:hAnsi="Century Gothic" w:cs="Arial"/>
          <w:sz w:val="21"/>
          <w:szCs w:val="21"/>
          <w:lang w:val="es-ES"/>
        </w:rPr>
      </w:pPr>
      <w:r w:rsidRPr="000B4902">
        <w:rPr>
          <w:rFonts w:ascii="Century Gothic" w:hAnsi="Century Gothic" w:cs="Arial"/>
          <w:sz w:val="21"/>
          <w:szCs w:val="21"/>
          <w:lang w:val="es-ES"/>
        </w:rPr>
        <w:t>En las licitaciones públicas, los pliegos de condiciones de las entidades estatales deberán señalar el momento en el que, con anterioridad a la presentación de las ofertas, los oferentes y la entidad revisarán la asignación de riesgos con el fin de establecer su distribución definitiva.</w:t>
      </w:r>
      <w:r w:rsidR="00AC16C9" w:rsidRPr="000B4902">
        <w:rPr>
          <w:rFonts w:ascii="Century Gothic" w:hAnsi="Century Gothic" w:cs="Arial"/>
          <w:sz w:val="21"/>
          <w:szCs w:val="21"/>
          <w:lang w:val="es-ES"/>
        </w:rPr>
        <w:t>”</w:t>
      </w:r>
    </w:p>
    <w:p w14:paraId="00850310" w14:textId="682FD964" w:rsidR="00DA4F07" w:rsidRPr="000B4902" w:rsidRDefault="00DA4F07" w:rsidP="00DA4F07">
      <w:pPr>
        <w:spacing w:after="120" w:line="276" w:lineRule="auto"/>
        <w:ind w:firstLine="709"/>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 xml:space="preserve">De la lectura de este precepto se deduce que en los procedimientos de licitación pública las entidades estatales deben incorporar en el pliego de condiciones la estimación, tipificación y asignación de los riesgos previsibles. Además de lo anterior, tienen la obligación de definir un momento para que los </w:t>
      </w:r>
      <w:r w:rsidR="00AC16C9" w:rsidRPr="000B4902">
        <w:rPr>
          <w:rFonts w:ascii="Century Gothic" w:hAnsi="Century Gothic" w:cs="Arial"/>
          <w:color w:val="000000" w:themeColor="text1"/>
          <w:lang w:val="es-ES_tradnl"/>
        </w:rPr>
        <w:t xml:space="preserve">futuros </w:t>
      </w:r>
      <w:r w:rsidRPr="000B4902">
        <w:rPr>
          <w:rFonts w:ascii="Century Gothic" w:hAnsi="Century Gothic" w:cs="Arial"/>
          <w:color w:val="000000" w:themeColor="text1"/>
          <w:lang w:val="es-ES_tradnl"/>
        </w:rPr>
        <w:t xml:space="preserve">oferentes y la </w:t>
      </w:r>
      <w:r w:rsidR="00AC16C9" w:rsidRPr="000B4902">
        <w:rPr>
          <w:rFonts w:ascii="Century Gothic" w:hAnsi="Century Gothic" w:cs="Arial"/>
          <w:color w:val="000000" w:themeColor="text1"/>
          <w:lang w:val="es-ES_tradnl"/>
        </w:rPr>
        <w:t>Entidad Estatal</w:t>
      </w:r>
      <w:r w:rsidRPr="000B4902">
        <w:rPr>
          <w:rFonts w:ascii="Century Gothic" w:hAnsi="Century Gothic" w:cs="Arial"/>
          <w:color w:val="000000" w:themeColor="text1"/>
          <w:lang w:val="es-ES_tradnl"/>
        </w:rPr>
        <w:t xml:space="preserve"> revisen la asignación de los riesgos. En efecto, el artículo 30, numeral 4, de la Ley 80 de 1993, modificado por el artículo 220 del Decreto-Ley 019 de 2012, indica que en los procesos de licitación pública se debe revisar en audiencia la asignación de riesgos previsibles, con el fin de establecer su estimación, tipificación y asignación definitiva. Al respecto, esta norma dispone lo siguiente:</w:t>
      </w:r>
    </w:p>
    <w:p w14:paraId="09D33B02" w14:textId="7605A03E" w:rsidR="00DA4F07" w:rsidRPr="000B4902" w:rsidRDefault="00AC16C9" w:rsidP="00DA4F07">
      <w:pPr>
        <w:ind w:left="709" w:right="709"/>
        <w:jc w:val="both"/>
        <w:rPr>
          <w:rFonts w:ascii="Century Gothic" w:hAnsi="Century Gothic" w:cs="Arial"/>
          <w:sz w:val="21"/>
          <w:szCs w:val="21"/>
          <w:lang w:val="es-ES"/>
        </w:rPr>
      </w:pPr>
      <w:r w:rsidRPr="000B4902">
        <w:rPr>
          <w:rFonts w:ascii="Century Gothic" w:hAnsi="Century Gothic" w:cs="Arial"/>
          <w:sz w:val="21"/>
          <w:szCs w:val="21"/>
          <w:lang w:val="es-ES"/>
        </w:rPr>
        <w:t>“</w:t>
      </w:r>
      <w:r w:rsidR="00DA4F07" w:rsidRPr="000B4902">
        <w:rPr>
          <w:rFonts w:ascii="Century Gothic" w:hAnsi="Century Gothic" w:cs="Arial"/>
          <w:sz w:val="21"/>
          <w:szCs w:val="21"/>
          <w:lang w:val="es-ES"/>
        </w:rPr>
        <w:t>La licitación se efectuará conforme a las siguientes reglas:</w:t>
      </w:r>
    </w:p>
    <w:p w14:paraId="09D74AD8" w14:textId="77777777" w:rsidR="00DA4F07" w:rsidRPr="000B4902" w:rsidRDefault="00DA4F07" w:rsidP="00DA4F07">
      <w:pPr>
        <w:ind w:left="709" w:right="709"/>
        <w:jc w:val="both"/>
        <w:rPr>
          <w:rFonts w:ascii="Century Gothic" w:hAnsi="Century Gothic" w:cs="Arial"/>
          <w:sz w:val="21"/>
          <w:szCs w:val="21"/>
          <w:lang w:val="es-ES"/>
        </w:rPr>
      </w:pPr>
      <w:r w:rsidRPr="000B4902">
        <w:rPr>
          <w:rFonts w:ascii="Century Gothic" w:hAnsi="Century Gothic" w:cs="Arial"/>
          <w:sz w:val="21"/>
          <w:szCs w:val="21"/>
          <w:lang w:val="es-ES"/>
        </w:rPr>
        <w:t>4o. [Numeral modificado por el artículo 220 del Decreto 19 de 2012. El nuevo texto es el siguiente:] Dentro de los tres (3) días hábiles siguientes al inicio del plazo para la presentación de propuestas y a solicitud de cualquiera de las personas interesadas en el proceso se celebrará una audiencia con el objeto de precisar el contenido y alcance de los pliegos de condiciones, de lo cual se levantará un acta suscrita por los intervinientes. En la misma audiencia se revisará la asignación de riesgos que trata el artículo 4 de la</w:t>
      </w:r>
      <w:r w:rsidRPr="000B4902">
        <w:rPr>
          <w:rFonts w:ascii="Century Gothic" w:eastAsia="Calibri" w:hAnsi="Century Gothic" w:cs="Arial"/>
          <w:color w:val="000000"/>
          <w:sz w:val="19"/>
          <w:szCs w:val="19"/>
          <w:lang w:val="es-ES_tradnl"/>
        </w:rPr>
        <w:t xml:space="preserve"> </w:t>
      </w:r>
      <w:r w:rsidRPr="000B4902">
        <w:rPr>
          <w:rFonts w:ascii="Century Gothic" w:hAnsi="Century Gothic" w:cs="Arial"/>
          <w:sz w:val="21"/>
          <w:szCs w:val="21"/>
          <w:lang w:val="es-ES"/>
        </w:rPr>
        <w:t>Ley 1150 de 2007 con el fin de establecer su tipificación, estimación y asignación definitiva.</w:t>
      </w:r>
    </w:p>
    <w:p w14:paraId="55037842" w14:textId="684E2F5B" w:rsidR="00DA4F07" w:rsidRPr="000B4902" w:rsidRDefault="00DA4F07" w:rsidP="00DA4F07">
      <w:pPr>
        <w:ind w:left="709" w:right="709"/>
        <w:jc w:val="both"/>
        <w:rPr>
          <w:rFonts w:ascii="Century Gothic" w:hAnsi="Century Gothic" w:cs="Arial"/>
          <w:sz w:val="21"/>
          <w:szCs w:val="21"/>
          <w:lang w:val="es-ES"/>
        </w:rPr>
      </w:pPr>
      <w:r w:rsidRPr="000B4902">
        <w:rPr>
          <w:rFonts w:ascii="Century Gothic" w:hAnsi="Century Gothic" w:cs="Arial"/>
          <w:sz w:val="21"/>
          <w:szCs w:val="21"/>
          <w:lang w:val="es-ES"/>
        </w:rPr>
        <w:t>Como resultado de lo debatido en la audiencia y cuando resulte conveniente, el jefe o representante de la entidad expedirá las modificaciones pertinentes a dichos documentos y prorrogará, si fuere necesario, el plazo de la licitación hasta por seis (6) días hábiles.</w:t>
      </w:r>
    </w:p>
    <w:p w14:paraId="012958B4" w14:textId="5FF0AFD7" w:rsidR="00DA4F07" w:rsidRPr="000B4902" w:rsidRDefault="00DA4F07" w:rsidP="00DA4F07">
      <w:pPr>
        <w:ind w:left="709" w:right="709"/>
        <w:jc w:val="both"/>
        <w:rPr>
          <w:rFonts w:ascii="Century Gothic" w:eastAsia="Calibri" w:hAnsi="Century Gothic" w:cs="Arial"/>
          <w:color w:val="000000"/>
          <w:sz w:val="19"/>
          <w:szCs w:val="19"/>
          <w:lang w:val="es-ES_tradnl"/>
        </w:rPr>
      </w:pPr>
      <w:r w:rsidRPr="000B4902">
        <w:rPr>
          <w:rFonts w:ascii="Century Gothic" w:hAnsi="Century Gothic" w:cs="Arial"/>
          <w:sz w:val="21"/>
          <w:szCs w:val="21"/>
          <w:lang w:val="es-ES"/>
        </w:rPr>
        <w:t xml:space="preserve">Lo anterior no impide </w:t>
      </w:r>
      <w:r w:rsidR="005678EB" w:rsidRPr="000B4902">
        <w:rPr>
          <w:rFonts w:ascii="Century Gothic" w:hAnsi="Century Gothic" w:cs="Arial"/>
          <w:sz w:val="21"/>
          <w:szCs w:val="21"/>
          <w:lang w:val="es-ES"/>
        </w:rPr>
        <w:t>que,</w:t>
      </w:r>
      <w:r w:rsidRPr="000B4902">
        <w:rPr>
          <w:rFonts w:ascii="Century Gothic" w:hAnsi="Century Gothic" w:cs="Arial"/>
          <w:sz w:val="21"/>
          <w:szCs w:val="21"/>
          <w:lang w:val="es-ES"/>
        </w:rPr>
        <w:t xml:space="preserve"> dentro del plazo de la licitación, cualquier interesado pueda solicitar aclaraciones adicionales que la entidad contratante responderá mediante comunicación escrita, la cual remitirá al interesado y publicará en el SECOP para conocimiento público</w:t>
      </w:r>
      <w:r w:rsidRPr="000B4902">
        <w:rPr>
          <w:rFonts w:ascii="Century Gothic" w:eastAsia="Calibri" w:hAnsi="Century Gothic" w:cs="Arial"/>
          <w:color w:val="000000"/>
          <w:sz w:val="19"/>
          <w:szCs w:val="19"/>
          <w:lang w:val="es-ES_tradnl"/>
        </w:rPr>
        <w:t>.</w:t>
      </w:r>
      <w:r w:rsidR="00D4007C" w:rsidRPr="000B4902">
        <w:rPr>
          <w:rFonts w:ascii="Century Gothic" w:eastAsia="Calibri" w:hAnsi="Century Gothic" w:cs="Arial"/>
          <w:color w:val="000000"/>
          <w:sz w:val="19"/>
          <w:szCs w:val="19"/>
          <w:lang w:val="es-ES_tradnl"/>
        </w:rPr>
        <w:t>”</w:t>
      </w:r>
    </w:p>
    <w:p w14:paraId="7528B7D3" w14:textId="448E39B9" w:rsidR="00DA4F07" w:rsidRPr="000B4902" w:rsidRDefault="00DA4F07" w:rsidP="00DA4F07">
      <w:pPr>
        <w:spacing w:after="120" w:line="276" w:lineRule="auto"/>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ab/>
        <w:t xml:space="preserve">Por su parte, el artículo 2.2.1.1.2.1.3 del Decreto 1082 de 2015 establece que los pliegos de condiciones deben contener, entre otros aspectos, </w:t>
      </w:r>
      <w:r w:rsidR="004B0872" w:rsidRPr="000B4902">
        <w:rPr>
          <w:rFonts w:ascii="Century Gothic" w:eastAsia="Calibri" w:hAnsi="Century Gothic" w:cs="Arial"/>
          <w:i/>
          <w:color w:val="000000" w:themeColor="text1"/>
          <w:sz w:val="21"/>
          <w:szCs w:val="21"/>
          <w:lang w:val="es-ES_tradnl"/>
        </w:rPr>
        <w:t>“</w:t>
      </w:r>
      <w:r w:rsidRPr="000B4902">
        <w:rPr>
          <w:rFonts w:ascii="Century Gothic" w:hAnsi="Century Gothic" w:cs="Arial"/>
          <w:i/>
          <w:color w:val="000000" w:themeColor="text1"/>
          <w:lang w:val="es-ES_tradnl"/>
        </w:rPr>
        <w:t>los Riesgos asociados al contrato, la forma de mitigarlos y la asignación del Riesgo entre las partes contratantes</w:t>
      </w:r>
      <w:r w:rsidR="004B0872" w:rsidRPr="000B4902">
        <w:rPr>
          <w:rFonts w:ascii="Century Gothic" w:hAnsi="Century Gothic" w:cs="Arial"/>
          <w:i/>
          <w:color w:val="000000" w:themeColor="text1"/>
          <w:vertAlign w:val="superscript"/>
          <w:lang w:val="es-ES_tradnl"/>
        </w:rPr>
        <w:t>”</w:t>
      </w:r>
      <w:r w:rsidRPr="000B4902">
        <w:rPr>
          <w:rFonts w:ascii="Century Gothic" w:hAnsi="Century Gothic" w:cs="Arial"/>
          <w:color w:val="000000" w:themeColor="text1"/>
          <w:lang w:val="es-ES_tradnl"/>
        </w:rPr>
        <w:t xml:space="preserve">. Así mismo, el artículo 2.2.1.2.1.1.2. del Decreto 1082 de 2015 fijó dos audiencias obligatorias en la licitación pública: i) la de asignación de riesgos y ii) la de adjudicación. En relación con la primera, indicó que la </w:t>
      </w:r>
      <w:r w:rsidR="00AC16C9" w:rsidRPr="000B4902">
        <w:rPr>
          <w:rFonts w:ascii="Century Gothic" w:hAnsi="Century Gothic" w:cs="Arial"/>
          <w:color w:val="000000" w:themeColor="text1"/>
          <w:lang w:val="es-ES_tradnl"/>
        </w:rPr>
        <w:t>Entidad Estatal</w:t>
      </w:r>
      <w:r w:rsidRPr="000B4902">
        <w:rPr>
          <w:rFonts w:ascii="Century Gothic" w:hAnsi="Century Gothic" w:cs="Arial"/>
          <w:color w:val="000000" w:themeColor="text1"/>
          <w:lang w:val="es-ES_tradnl"/>
        </w:rPr>
        <w:t xml:space="preserve"> debe presentar el análisis de riesgos efectuado y hacer la asignación de riesgos definitiva</w:t>
      </w:r>
      <w:r w:rsidRPr="000B4902">
        <w:rPr>
          <w:rStyle w:val="Refdenotaalpie"/>
          <w:rFonts w:ascii="Century Gothic" w:hAnsi="Century Gothic" w:cs="Arial"/>
          <w:color w:val="000000" w:themeColor="text1"/>
          <w:lang w:val="es-ES_tradnl"/>
        </w:rPr>
        <w:footnoteReference w:id="4"/>
      </w:r>
      <w:r w:rsidRPr="000B4902">
        <w:rPr>
          <w:rFonts w:ascii="Century Gothic" w:hAnsi="Century Gothic" w:cs="Arial"/>
          <w:color w:val="000000" w:themeColor="text1"/>
          <w:lang w:val="es-ES_tradnl"/>
        </w:rPr>
        <w:t xml:space="preserve"> y, en caso de ser necesario, debe precisar el alcance y contenido del pliego de condiciones. </w:t>
      </w:r>
    </w:p>
    <w:p w14:paraId="3621170C" w14:textId="77777777" w:rsidR="00DA4F07" w:rsidRPr="000B4902" w:rsidRDefault="00DA4F07" w:rsidP="00DA4F07">
      <w:pPr>
        <w:spacing w:after="120" w:line="276" w:lineRule="auto"/>
        <w:ind w:firstLine="709"/>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 xml:space="preserve">Bajo estos parámetros normativos, es claro que la tipificación, estimación y asignación de los riesgos es un deber que les corresponde a las entidades públicas cumplir en los pliegos de condiciones o sus equivalentes. Su finalidad es determinar los riesgos previsibles que se pueden materializar en el proceso de selección y durante la ejecución del contrato, para establecer cuál de las partes debe asumir cada riesgo, conforme a la capacidad que tenga para soportarlo, gestionarlo y administrarlo. </w:t>
      </w:r>
    </w:p>
    <w:p w14:paraId="2E7DED1E" w14:textId="216A1B0F" w:rsidR="00DA4F07" w:rsidRPr="000B4902" w:rsidRDefault="00DA4F07" w:rsidP="00DA4F07">
      <w:pPr>
        <w:spacing w:after="120" w:line="276" w:lineRule="auto"/>
        <w:ind w:firstLine="709"/>
        <w:jc w:val="both"/>
        <w:rPr>
          <w:rFonts w:ascii="Century Gothic" w:eastAsia="Calibri" w:hAnsi="Century Gothic" w:cs="Arial"/>
          <w:color w:val="000000"/>
          <w:lang w:val="es-ES_tradnl"/>
        </w:rPr>
      </w:pPr>
      <w:r w:rsidRPr="000B4902">
        <w:rPr>
          <w:rFonts w:ascii="Century Gothic" w:hAnsi="Century Gothic" w:cs="Arial"/>
          <w:color w:val="000000" w:themeColor="text1"/>
          <w:lang w:val="es-ES_tradnl"/>
        </w:rPr>
        <w:t xml:space="preserve">La audiencia de asignación de riesgos no fue prevista como obligatoria para todos los procesos de selección, sino únicamente para la licitación pública. </w:t>
      </w:r>
      <w:r w:rsidRPr="000B4902">
        <w:rPr>
          <w:rFonts w:ascii="Century Gothic" w:eastAsia="Calibri" w:hAnsi="Century Gothic" w:cs="Arial"/>
          <w:color w:val="000000"/>
          <w:lang w:val="es-ES_tradnl"/>
        </w:rPr>
        <w:t>Su propósito</w:t>
      </w:r>
      <w:r w:rsidRPr="000B4902">
        <w:rPr>
          <w:rFonts w:ascii="Century Gothic" w:hAnsi="Century Gothic" w:cs="Arial"/>
          <w:color w:val="000000" w:themeColor="text1"/>
          <w:lang w:val="es-ES_tradnl"/>
        </w:rPr>
        <w:t xml:space="preserve"> es que los </w:t>
      </w:r>
      <w:r w:rsidR="001F021D" w:rsidRPr="000B4902">
        <w:rPr>
          <w:rFonts w:ascii="Century Gothic" w:hAnsi="Century Gothic" w:cs="Arial"/>
          <w:color w:val="000000" w:themeColor="text1"/>
          <w:lang w:val="es-ES_tradnl"/>
        </w:rPr>
        <w:t xml:space="preserve">futuros </w:t>
      </w:r>
      <w:r w:rsidRPr="000B4902">
        <w:rPr>
          <w:rFonts w:ascii="Century Gothic" w:hAnsi="Century Gothic" w:cs="Arial"/>
          <w:color w:val="000000" w:themeColor="text1"/>
          <w:lang w:val="es-ES_tradnl"/>
        </w:rPr>
        <w:t xml:space="preserve">oferentes y la entidad revisen, en un espacio de diálogo, la asignación de los riesgos que previamente se han incluido en el pliego de condiciones. De esta manera, podrán identificar y valorar los riesgos previsibles del contrato, así como designar a la parte contractual que tendrá la responsabilidad de tomar las medidas para prevenir y mitigar el riesgo, </w:t>
      </w:r>
      <w:r w:rsidRPr="000B4902">
        <w:rPr>
          <w:rFonts w:ascii="Century Gothic" w:eastAsia="Calibri" w:hAnsi="Century Gothic" w:cs="Arial"/>
          <w:color w:val="000000"/>
          <w:lang w:val="es-ES_tradnl"/>
        </w:rPr>
        <w:t xml:space="preserve">con el fin de establecer su distribución definitiva. </w:t>
      </w:r>
    </w:p>
    <w:p w14:paraId="2FFE75DC" w14:textId="5D154ABF" w:rsidR="00DA4F07" w:rsidRPr="000B4902" w:rsidRDefault="00DA4F07" w:rsidP="00DA4F07">
      <w:pPr>
        <w:spacing w:after="120" w:line="276" w:lineRule="auto"/>
        <w:ind w:firstLine="709"/>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 xml:space="preserve">Ahora bien, aunque la audiencia de asignación de riesgos es obligatoria en los procesos de licitación pública, lo cierto es que dicha obligatoriedad tiene que ver con la necesidad de realizarla por parte de la </w:t>
      </w:r>
      <w:r w:rsidR="008E2D8F" w:rsidRPr="000B4902">
        <w:rPr>
          <w:rFonts w:ascii="Century Gothic" w:hAnsi="Century Gothic" w:cs="Arial"/>
          <w:color w:val="000000" w:themeColor="text1"/>
          <w:lang w:val="es-ES_tradnl"/>
        </w:rPr>
        <w:t>Entidad Estatal</w:t>
      </w:r>
      <w:r w:rsidRPr="000B4902">
        <w:rPr>
          <w:rFonts w:ascii="Century Gothic" w:hAnsi="Century Gothic" w:cs="Arial"/>
          <w:color w:val="000000" w:themeColor="text1"/>
          <w:lang w:val="es-ES_tradnl"/>
        </w:rPr>
        <w:t xml:space="preserve">, más no con la asistencia a la misma por parte de los futuros oferentes. Ello es así, por cuanto los preceptos normativos señalados nada establecieron sobre la obligación de asistir por parte de los eventuales interesados. </w:t>
      </w:r>
    </w:p>
    <w:p w14:paraId="4FFC4A38" w14:textId="3CFC5B2B" w:rsidR="00DA4F07" w:rsidRPr="000B4902" w:rsidRDefault="00DA4F07" w:rsidP="00DA4F07">
      <w:pPr>
        <w:spacing w:after="120" w:line="276" w:lineRule="auto"/>
        <w:ind w:firstLine="709"/>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Lo expuesto encuentra sustento en el documento CONPES 3714 de 2011</w:t>
      </w:r>
      <w:r w:rsidRPr="000B4902">
        <w:rPr>
          <w:rStyle w:val="Refdenotaalpie"/>
          <w:rFonts w:ascii="Century Gothic" w:hAnsi="Century Gothic" w:cs="Arial"/>
          <w:color w:val="000000" w:themeColor="text1"/>
          <w:lang w:val="es-ES_tradnl"/>
        </w:rPr>
        <w:footnoteReference w:id="5"/>
      </w:r>
      <w:r w:rsidRPr="000B4902">
        <w:rPr>
          <w:rFonts w:ascii="Century Gothic" w:hAnsi="Century Gothic" w:cs="Arial"/>
          <w:color w:val="000000" w:themeColor="text1"/>
          <w:lang w:val="es-ES_tradnl"/>
        </w:rPr>
        <w:t xml:space="preserve"> que expidió el Gobierno Nacional en el Marco de la Política de Contratación Pública. En virtud de dicho documento, se establecen lineamientos básicos para el entendimiento del concepto de riesgo previsible respecto de las adquisiciones sometidas al Estatuto General de Contratación de la Administración Pública. Es viable concluir entonces que la asistencia a dicha audiencia es una potestad del </w:t>
      </w:r>
      <w:r w:rsidR="00391355" w:rsidRPr="000B4902">
        <w:rPr>
          <w:rFonts w:ascii="Century Gothic" w:hAnsi="Century Gothic" w:cs="Arial"/>
          <w:color w:val="000000" w:themeColor="text1"/>
          <w:lang w:val="es-ES_tradnl"/>
        </w:rPr>
        <w:t>interesado o futuro oferente</w:t>
      </w:r>
      <w:r w:rsidRPr="000B4902">
        <w:rPr>
          <w:rFonts w:ascii="Century Gothic" w:hAnsi="Century Gothic" w:cs="Arial"/>
          <w:color w:val="000000" w:themeColor="text1"/>
          <w:lang w:val="es-ES_tradnl"/>
        </w:rPr>
        <w:t xml:space="preserve"> y no una obligación.</w:t>
      </w:r>
    </w:p>
    <w:p w14:paraId="1CB82342" w14:textId="36FEAAA0" w:rsidR="00DA4F07" w:rsidRPr="000B4902" w:rsidRDefault="00DA4F07" w:rsidP="00DA4F07">
      <w:pPr>
        <w:spacing w:after="120" w:line="276" w:lineRule="auto"/>
        <w:ind w:firstLine="709"/>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 xml:space="preserve">El Manual de Administración de Riesgos para el </w:t>
      </w:r>
      <w:r w:rsidR="00AC16C9" w:rsidRPr="000B4902">
        <w:rPr>
          <w:rFonts w:ascii="Century Gothic" w:hAnsi="Century Gothic" w:cs="Arial"/>
          <w:color w:val="000000" w:themeColor="text1"/>
          <w:lang w:val="es-ES_tradnl"/>
        </w:rPr>
        <w:t>Proceso de Contratación</w:t>
      </w:r>
      <w:r w:rsidRPr="000B4902">
        <w:rPr>
          <w:rFonts w:ascii="Century Gothic" w:hAnsi="Century Gothic" w:cs="Arial"/>
          <w:color w:val="000000" w:themeColor="text1"/>
          <w:lang w:val="es-ES_tradnl"/>
        </w:rPr>
        <w:t xml:space="preserve"> expedido por Colombia Compra Eficiente reitera el deber de efectuar la audiencia de asignación de riesgos en la licitación pública</w:t>
      </w:r>
      <w:r w:rsidRPr="000B4902">
        <w:rPr>
          <w:rStyle w:val="Refdenotaalpie"/>
          <w:rFonts w:ascii="Century Gothic" w:hAnsi="Century Gothic" w:cs="Arial"/>
          <w:color w:val="000000" w:themeColor="text1"/>
          <w:lang w:val="es-ES_tradnl"/>
        </w:rPr>
        <w:footnoteReference w:id="6"/>
      </w:r>
      <w:r w:rsidRPr="000B4902">
        <w:rPr>
          <w:rFonts w:ascii="Century Gothic" w:hAnsi="Century Gothic" w:cs="Arial"/>
          <w:color w:val="000000" w:themeColor="text1"/>
          <w:lang w:val="es-ES_tradnl"/>
        </w:rPr>
        <w:t xml:space="preserve">. En efecto, dispone que la </w:t>
      </w:r>
      <w:r w:rsidR="00AC16C9" w:rsidRPr="000B4902">
        <w:rPr>
          <w:rFonts w:ascii="Century Gothic" w:hAnsi="Century Gothic" w:cs="Arial"/>
          <w:color w:val="000000" w:themeColor="text1"/>
          <w:lang w:val="es-ES_tradnl"/>
        </w:rPr>
        <w:t>Entidad Estatal</w:t>
      </w:r>
      <w:r w:rsidRPr="000B4902">
        <w:rPr>
          <w:rFonts w:ascii="Century Gothic" w:hAnsi="Century Gothic" w:cs="Arial"/>
          <w:color w:val="000000" w:themeColor="text1"/>
          <w:lang w:val="es-ES_tradnl"/>
        </w:rPr>
        <w:t xml:space="preserve">, en los procesos de licitación pública, deben adelantar una audiencia de asignación de riesgos, en la cual deben presentar el análisis de riesgos efectuado, la matriz incluida en los pliegos y revisar la asignación de los riesgos. </w:t>
      </w:r>
    </w:p>
    <w:p w14:paraId="5F2D5771" w14:textId="6A56D78E" w:rsidR="00DA4F07" w:rsidRPr="000B4902" w:rsidRDefault="00DA4F07" w:rsidP="00DA4F07">
      <w:pPr>
        <w:spacing w:after="120" w:line="276" w:lineRule="auto"/>
        <w:ind w:firstLine="709"/>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 xml:space="preserve">De acuerdo con la normativa que rige la materia y los lineamientos del gobierno nacional, se concluye entonces que, cuando se trate de procesos de licitación pública, existe una obligación por parte de la </w:t>
      </w:r>
      <w:r w:rsidR="00AC16C9" w:rsidRPr="000B4902">
        <w:rPr>
          <w:rFonts w:ascii="Century Gothic" w:hAnsi="Century Gothic" w:cs="Arial"/>
          <w:color w:val="000000" w:themeColor="text1"/>
          <w:lang w:val="es-ES_tradnl"/>
        </w:rPr>
        <w:t>Entidad Estatal</w:t>
      </w:r>
      <w:r w:rsidRPr="000B4902">
        <w:rPr>
          <w:rFonts w:ascii="Century Gothic" w:hAnsi="Century Gothic" w:cs="Arial"/>
          <w:color w:val="000000" w:themeColor="text1"/>
          <w:lang w:val="es-ES_tradnl"/>
        </w:rPr>
        <w:t xml:space="preserve"> de incluir un espacio de diálogo sobre los riesgos, que se desarrollará en una audiencia especial. Con ello se busca que la entidad y los interesados en el proceso, de manera conjunta, revisen la asignación de riesgos efectuada en los pliegos de condiciones. Por ello, la obligación que se asigna en esta materia recae en la </w:t>
      </w:r>
      <w:r w:rsidR="008A76EE" w:rsidRPr="000B4902">
        <w:rPr>
          <w:rFonts w:ascii="Century Gothic" w:hAnsi="Century Gothic" w:cs="Arial"/>
          <w:color w:val="000000" w:themeColor="text1"/>
          <w:lang w:val="es-ES_tradnl"/>
        </w:rPr>
        <w:t>Enti</w:t>
      </w:r>
      <w:r w:rsidR="002A2597" w:rsidRPr="000B4902">
        <w:rPr>
          <w:rFonts w:ascii="Century Gothic" w:hAnsi="Century Gothic" w:cs="Arial"/>
          <w:color w:val="000000" w:themeColor="text1"/>
          <w:lang w:val="es-ES_tradnl"/>
        </w:rPr>
        <w:t>dad Estatal</w:t>
      </w:r>
      <w:r w:rsidRPr="000B4902">
        <w:rPr>
          <w:rFonts w:ascii="Century Gothic" w:hAnsi="Century Gothic" w:cs="Arial"/>
          <w:color w:val="000000" w:themeColor="text1"/>
          <w:lang w:val="es-ES_tradnl"/>
        </w:rPr>
        <w:t xml:space="preserve">, dirigida a incluir dentro del pliego de condiciones un momento determinado para tratar el asunto. </w:t>
      </w:r>
    </w:p>
    <w:p w14:paraId="69807A4B" w14:textId="49A0080B" w:rsidR="00DA4F07" w:rsidRPr="000B4902" w:rsidRDefault="00DA4F07" w:rsidP="00DA4F07">
      <w:pPr>
        <w:spacing w:after="120" w:line="276" w:lineRule="auto"/>
        <w:ind w:firstLine="709"/>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Respecto del futuro proponente, en cambio, la audiencia de asignación de riesgos representa el derecho de discutir esa estimación, tipificación y distribución de los riesgos. De esta manera, los eventuales interesados podrán complementar o controvertir la información plasmada por la entidad, de acuerdo con sus conocimientos especiales sobre el objeto a contratar y su ejecución. Ello, sin perjuicio de las demás oportunidades establecidas en el pliego de condiciones para presentar observaciones al mismo</w:t>
      </w:r>
      <w:r w:rsidR="00BA69A1" w:rsidRPr="000B4902">
        <w:rPr>
          <w:rFonts w:ascii="Century Gothic" w:hAnsi="Century Gothic" w:cs="Arial"/>
          <w:color w:val="000000" w:themeColor="text1"/>
          <w:lang w:val="es-ES_tradnl"/>
        </w:rPr>
        <w:t>. Además</w:t>
      </w:r>
      <w:r w:rsidR="00E05805" w:rsidRPr="000B4902">
        <w:rPr>
          <w:rFonts w:ascii="Century Gothic" w:hAnsi="Century Gothic" w:cs="Arial"/>
          <w:color w:val="000000" w:themeColor="text1"/>
          <w:lang w:val="es-ES_tradnl"/>
        </w:rPr>
        <w:t>,</w:t>
      </w:r>
      <w:r w:rsidR="00BA69A1" w:rsidRPr="000B4902">
        <w:rPr>
          <w:rFonts w:ascii="Century Gothic" w:hAnsi="Century Gothic" w:cs="Arial"/>
          <w:color w:val="000000" w:themeColor="text1"/>
          <w:lang w:val="es-ES_tradnl"/>
        </w:rPr>
        <w:t xml:space="preserve"> es importante aclarar que en esta audiencia no se notifica</w:t>
      </w:r>
      <w:r w:rsidR="00E05805" w:rsidRPr="000B4902">
        <w:rPr>
          <w:rFonts w:ascii="Century Gothic" w:hAnsi="Century Gothic" w:cs="Arial"/>
          <w:color w:val="000000" w:themeColor="text1"/>
          <w:lang w:val="es-ES_tradnl"/>
        </w:rPr>
        <w:t xml:space="preserve"> actos administrativos sometidos a recursos, punto importante a tratar en este concepto</w:t>
      </w:r>
      <w:r w:rsidR="00C27D28" w:rsidRPr="000B4902">
        <w:rPr>
          <w:rFonts w:ascii="Century Gothic" w:hAnsi="Century Gothic" w:cs="Arial"/>
          <w:color w:val="000000" w:themeColor="text1"/>
          <w:lang w:val="es-ES_tradnl"/>
        </w:rPr>
        <w:t xml:space="preserve"> sobre la procedencia de representación de proponentes a través de mandatos</w:t>
      </w:r>
      <w:r w:rsidR="00556296" w:rsidRPr="000B4902">
        <w:rPr>
          <w:rFonts w:ascii="Century Gothic" w:hAnsi="Century Gothic" w:cs="Arial"/>
          <w:color w:val="000000" w:themeColor="text1"/>
          <w:lang w:val="es-ES_tradnl"/>
        </w:rPr>
        <w:t xml:space="preserve">, </w:t>
      </w:r>
      <w:r w:rsidR="00B55ADD" w:rsidRPr="000B4902">
        <w:rPr>
          <w:rFonts w:ascii="Century Gothic" w:hAnsi="Century Gothic" w:cs="Arial"/>
          <w:color w:val="000000" w:themeColor="text1"/>
          <w:lang w:val="es-ES_tradnl"/>
        </w:rPr>
        <w:t xml:space="preserve">y si estos requieren o no la calidad de ser profesionales titulados en </w:t>
      </w:r>
      <w:r w:rsidR="00FE150F" w:rsidRPr="000B4902">
        <w:rPr>
          <w:rFonts w:ascii="Century Gothic" w:hAnsi="Century Gothic" w:cs="Arial"/>
          <w:color w:val="000000" w:themeColor="text1"/>
          <w:lang w:val="es-ES_tradnl"/>
        </w:rPr>
        <w:t>la abogacía</w:t>
      </w:r>
      <w:r w:rsidR="00EA6F6D" w:rsidRPr="000B4902">
        <w:rPr>
          <w:rFonts w:ascii="Century Gothic" w:hAnsi="Century Gothic" w:cs="Arial"/>
          <w:color w:val="000000" w:themeColor="text1"/>
          <w:lang w:val="es-ES_tradnl"/>
        </w:rPr>
        <w:t>, pues en primera medida las observaciones que se realizan en esta audiencia tien</w:t>
      </w:r>
      <w:r w:rsidR="009D3108" w:rsidRPr="000B4902">
        <w:rPr>
          <w:rFonts w:ascii="Century Gothic" w:hAnsi="Century Gothic" w:cs="Arial"/>
          <w:color w:val="000000" w:themeColor="text1"/>
          <w:lang w:val="es-ES_tradnl"/>
        </w:rPr>
        <w:t>den a ser, por lo general, el índole técnico</w:t>
      </w:r>
      <w:r w:rsidR="00FE150F" w:rsidRPr="000B4902">
        <w:rPr>
          <w:rFonts w:ascii="Century Gothic" w:hAnsi="Century Gothic" w:cs="Arial"/>
          <w:color w:val="000000" w:themeColor="text1"/>
          <w:lang w:val="es-ES_tradnl"/>
        </w:rPr>
        <w:t>.</w:t>
      </w:r>
    </w:p>
    <w:p w14:paraId="00E06CD6" w14:textId="77777777" w:rsidR="00DA4F07" w:rsidRPr="000B4902" w:rsidRDefault="00DA4F07" w:rsidP="00DA4F07">
      <w:pPr>
        <w:spacing w:line="276" w:lineRule="auto"/>
        <w:ind w:firstLine="709"/>
        <w:jc w:val="both"/>
        <w:rPr>
          <w:rFonts w:ascii="Century Gothic" w:hAnsi="Century Gothic" w:cs="Arial"/>
          <w:color w:val="000000" w:themeColor="text1"/>
          <w:lang w:val="es-ES_tradnl"/>
        </w:rPr>
      </w:pPr>
      <w:r w:rsidRPr="000B4902">
        <w:rPr>
          <w:rFonts w:ascii="Century Gothic" w:hAnsi="Century Gothic" w:cs="Arial"/>
          <w:color w:val="000000" w:themeColor="text1"/>
          <w:lang w:val="es-ES_tradnl"/>
        </w:rPr>
        <w:t xml:space="preserve">Lo anterior obedece a que esta distribución de riesgos debe efectuarse con base en las reglas constitucionales y legales, es decir, debe estar sujeta a criterios de justicia y equidad, permitiendo a las partes su revisión conjunta, para que no se presenten arbitrariedades en su asignación. Sobre este punto, el Consejo de Estado ha señalado lo siguiente: </w:t>
      </w:r>
    </w:p>
    <w:p w14:paraId="12C6FBAF" w14:textId="0AE4A9CE" w:rsidR="00DA4F07" w:rsidRPr="000B4902" w:rsidRDefault="00CD0202" w:rsidP="00DA4F07">
      <w:pPr>
        <w:ind w:left="709" w:right="709"/>
        <w:jc w:val="both"/>
        <w:rPr>
          <w:rFonts w:ascii="Century Gothic" w:hAnsi="Century Gothic" w:cs="Arial"/>
          <w:sz w:val="21"/>
          <w:szCs w:val="21"/>
          <w:lang w:val="es-ES"/>
        </w:rPr>
      </w:pPr>
      <w:r w:rsidRPr="000B4902">
        <w:rPr>
          <w:rFonts w:ascii="Century Gothic" w:hAnsi="Century Gothic" w:cs="Arial"/>
          <w:sz w:val="21"/>
          <w:szCs w:val="21"/>
          <w:lang w:val="es-ES"/>
        </w:rPr>
        <w:t>“</w:t>
      </w:r>
      <w:r w:rsidR="00DA4F07" w:rsidRPr="000B4902">
        <w:rPr>
          <w:rFonts w:ascii="Century Gothic" w:hAnsi="Century Gothic" w:cs="Arial"/>
          <w:sz w:val="21"/>
          <w:szCs w:val="21"/>
          <w:lang w:val="es-ES"/>
        </w:rPr>
        <w:t>[…] desde antes de la expedición de la referida preceptiva, a la luz de los dictados de la Ley 80 de 1993, por vía de la interpretación a los alcances de lo dispuesto por el numeral 5 del artículo 24, se avizoraba que cualquier esquema de distribución de riesgos en el campo contractual del Estado debía contener previsiones y reglas justas, claras y objetivas que permitieran ofrecimientos de la misma índole. De igual forma, se habrían de definir con exactitud las condiciones de costo y calidad de los bienes necesarios para la ejecución del contrato, no se incluirían condiciones y exigencias de imposible cumplimiento y no se establecerían reglas que permitieran ofrecimientos de extensión ilimitada.</w:t>
      </w:r>
    </w:p>
    <w:p w14:paraId="2CB3D053" w14:textId="74BAD5AB" w:rsidR="00DA4F07" w:rsidRPr="000B4902" w:rsidRDefault="00DA4F07" w:rsidP="00DA4F07">
      <w:pPr>
        <w:ind w:left="709" w:right="709"/>
        <w:jc w:val="both"/>
        <w:rPr>
          <w:rFonts w:ascii="Century Gothic" w:eastAsia="Calibri" w:hAnsi="Century Gothic" w:cs="Arial"/>
          <w:color w:val="000000"/>
          <w:sz w:val="19"/>
          <w:szCs w:val="19"/>
          <w:lang w:val="es-ES_tradnl"/>
        </w:rPr>
      </w:pPr>
      <w:r w:rsidRPr="000B4902">
        <w:rPr>
          <w:rFonts w:ascii="Century Gothic" w:hAnsi="Century Gothic" w:cs="Arial"/>
          <w:sz w:val="21"/>
          <w:szCs w:val="21"/>
          <w:lang w:val="es-ES"/>
        </w:rPr>
        <w:t xml:space="preserve">Siguiendo esa misma línea de pensamiento, tampoco resultaría ajustado a derecho atender a un sistema de distribución de riesgos cuya materialización se </w:t>
      </w:r>
      <w:proofErr w:type="gramStart"/>
      <w:r w:rsidRPr="000B4902">
        <w:rPr>
          <w:rFonts w:ascii="Century Gothic" w:hAnsi="Century Gothic" w:cs="Arial"/>
          <w:sz w:val="21"/>
          <w:szCs w:val="21"/>
          <w:lang w:val="es-ES"/>
        </w:rPr>
        <w:t>derivara</w:t>
      </w:r>
      <w:proofErr w:type="gramEnd"/>
      <w:r w:rsidRPr="000B4902">
        <w:rPr>
          <w:rFonts w:ascii="Century Gothic" w:hAnsi="Century Gothic" w:cs="Arial"/>
          <w:sz w:val="21"/>
          <w:szCs w:val="21"/>
          <w:lang w:val="es-ES"/>
        </w:rPr>
        <w:t xml:space="preserve"> directamente de la voluntad exclusiva de la entidad contratante y que tuviera la virtualidad de afectar la normal ejecución del contrato. Tal sería el caso de los supuestos de incumplimiento contractual o de la ocurrencia de circunstancias constitutivas de ruptura del equilibrio económico del contrato originadas en la actuación de la Administración contratante como se presentaría en los eventos del ejercicio del ius variandi o del hecho del príncipe</w:t>
      </w:r>
      <w:r w:rsidR="000408F4" w:rsidRPr="000B4902">
        <w:rPr>
          <w:rFonts w:ascii="Century Gothic" w:hAnsi="Century Gothic" w:cs="Arial"/>
          <w:sz w:val="21"/>
          <w:szCs w:val="21"/>
          <w:lang w:val="es-ES"/>
        </w:rPr>
        <w:t>.”</w:t>
      </w:r>
      <w:r w:rsidRPr="000B4902">
        <w:rPr>
          <w:rStyle w:val="Refdenotaalpie"/>
          <w:rFonts w:ascii="Century Gothic" w:eastAsia="Calibri" w:hAnsi="Century Gothic" w:cs="Arial"/>
          <w:color w:val="000000"/>
          <w:sz w:val="19"/>
          <w:szCs w:val="19"/>
          <w:lang w:val="es-ES_tradnl"/>
        </w:rPr>
        <w:footnoteReference w:id="7"/>
      </w:r>
      <w:r w:rsidRPr="000B4902">
        <w:rPr>
          <w:rFonts w:ascii="Century Gothic" w:eastAsia="Calibri" w:hAnsi="Century Gothic" w:cs="Arial"/>
          <w:color w:val="000000"/>
          <w:sz w:val="19"/>
          <w:szCs w:val="19"/>
          <w:lang w:val="es-ES_tradnl"/>
        </w:rPr>
        <w:t xml:space="preserve"> </w:t>
      </w:r>
    </w:p>
    <w:p w14:paraId="3A3C61E2" w14:textId="2B6F7EE1" w:rsidR="00DA4F07" w:rsidRPr="000B4902" w:rsidRDefault="00DA4F07" w:rsidP="00DA4F07">
      <w:pPr>
        <w:spacing w:line="276" w:lineRule="auto"/>
        <w:ind w:firstLine="709"/>
        <w:jc w:val="both"/>
        <w:rPr>
          <w:rFonts w:ascii="Century Gothic" w:hAnsi="Century Gothic" w:cs="Arial"/>
          <w:color w:val="000000" w:themeColor="text1"/>
          <w:lang w:val="es-ES_tradnl"/>
        </w:rPr>
      </w:pPr>
      <w:bookmarkStart w:id="2" w:name="_Hlk111629013"/>
      <w:r w:rsidRPr="000B4902">
        <w:rPr>
          <w:rFonts w:ascii="Century Gothic" w:hAnsi="Century Gothic" w:cs="Arial"/>
          <w:color w:val="000000" w:themeColor="text1"/>
          <w:lang w:val="es-ES_tradnl"/>
        </w:rPr>
        <w:t xml:space="preserve">Así las cosas, la participación en la audiencia de asignación de riesgos en los procesos de licitación pública es un derecho del futuro proponente, que puede o no ejercer.  El efecto práctico de su inasistencia no es otro que la aceptación de los riesgos en la forma que lo haya establecido la </w:t>
      </w:r>
      <w:r w:rsidR="00A72593" w:rsidRPr="000B4902">
        <w:rPr>
          <w:rFonts w:ascii="Century Gothic" w:hAnsi="Century Gothic" w:cs="Arial"/>
          <w:color w:val="000000" w:themeColor="text1"/>
          <w:lang w:val="es-ES_tradnl"/>
        </w:rPr>
        <w:t>Entidad Estatal</w:t>
      </w:r>
      <w:r w:rsidRPr="000B4902">
        <w:rPr>
          <w:rFonts w:ascii="Century Gothic" w:hAnsi="Century Gothic" w:cs="Arial"/>
          <w:color w:val="000000" w:themeColor="text1"/>
          <w:lang w:val="es-ES_tradnl"/>
        </w:rPr>
        <w:t xml:space="preserve"> contratante. Lo señalado significa </w:t>
      </w:r>
      <w:r w:rsidR="00A72593" w:rsidRPr="000B4902">
        <w:rPr>
          <w:rFonts w:ascii="Century Gothic" w:hAnsi="Century Gothic" w:cs="Arial"/>
          <w:color w:val="000000" w:themeColor="text1"/>
          <w:lang w:val="es-ES_tradnl"/>
        </w:rPr>
        <w:t>que,</w:t>
      </w:r>
      <w:r w:rsidRPr="000B4902">
        <w:rPr>
          <w:rFonts w:ascii="Century Gothic" w:hAnsi="Century Gothic" w:cs="Arial"/>
          <w:color w:val="000000" w:themeColor="text1"/>
          <w:lang w:val="es-ES_tradnl"/>
        </w:rPr>
        <w:t xml:space="preserve"> si el futuro proponente no acude a la audiencia de asignación de riesgos y tampoco efectúa las observaciones respectivas durante la etapa establecida en el pliego de condiciones para tal efecto, se produce una aceptación de la forma en que los riesgos han sido estimados, tipificados y distribuidos a las partes, lo cual tendrá repercusión en etapas posteriores del </w:t>
      </w:r>
      <w:r w:rsidR="00AC16C9" w:rsidRPr="000B4902">
        <w:rPr>
          <w:rFonts w:ascii="Century Gothic" w:hAnsi="Century Gothic" w:cs="Arial"/>
          <w:color w:val="000000" w:themeColor="text1"/>
          <w:lang w:val="es-ES_tradnl"/>
        </w:rPr>
        <w:t>Proceso de Contratación</w:t>
      </w:r>
      <w:r w:rsidRPr="000B4902">
        <w:rPr>
          <w:rFonts w:ascii="Century Gothic" w:hAnsi="Century Gothic" w:cs="Arial"/>
          <w:color w:val="000000" w:themeColor="text1"/>
          <w:lang w:val="es-ES_tradnl"/>
        </w:rPr>
        <w:t>. De ahí la importancia de que los posibles oferentes conozcan la distribución de los riesgos y puedan tener la oportunidad de revisarlos y objetarlos.  En caso de que se concrete el riesgo, estos deberán asumirse de la manera en que fueron dispuestos y aceptados por las partes</w:t>
      </w:r>
      <w:bookmarkEnd w:id="2"/>
      <w:r w:rsidRPr="000B4902">
        <w:rPr>
          <w:rFonts w:ascii="Century Gothic" w:hAnsi="Century Gothic" w:cs="Arial"/>
          <w:color w:val="000000" w:themeColor="text1"/>
          <w:lang w:val="es-ES_tradnl"/>
        </w:rPr>
        <w:t xml:space="preserve">. Así lo ha indicado el Consejo de Estado: </w:t>
      </w:r>
    </w:p>
    <w:p w14:paraId="1458EA3F" w14:textId="61CAEF9D" w:rsidR="00DA4F07" w:rsidRPr="000B4902" w:rsidRDefault="00556D4E" w:rsidP="00DA4F07">
      <w:pPr>
        <w:ind w:left="709" w:right="709"/>
        <w:jc w:val="both"/>
        <w:rPr>
          <w:rFonts w:ascii="Century Gothic" w:eastAsia="Calibri" w:hAnsi="Century Gothic" w:cs="Arial"/>
          <w:color w:val="000000"/>
          <w:sz w:val="19"/>
          <w:szCs w:val="19"/>
          <w:lang w:val="es-ES_tradnl"/>
        </w:rPr>
      </w:pPr>
      <w:r w:rsidRPr="000B4902">
        <w:rPr>
          <w:rFonts w:ascii="Century Gothic" w:hAnsi="Century Gothic" w:cs="Arial"/>
          <w:sz w:val="21"/>
          <w:szCs w:val="21"/>
          <w:lang w:val="es-ES"/>
        </w:rPr>
        <w:t>“</w:t>
      </w:r>
      <w:r w:rsidR="00DA4F07" w:rsidRPr="000B4902">
        <w:rPr>
          <w:rFonts w:ascii="Century Gothic" w:hAnsi="Century Gothic" w:cs="Arial"/>
          <w:sz w:val="21"/>
          <w:szCs w:val="21"/>
          <w:lang w:val="es-ES"/>
        </w:rPr>
        <w:t>[…] si el riesgo que acontece se enmarca dentro de los linderos de la respectiva tipificación, valoración y asignación, no habrá lugar a alegar la ruptura del equilibrio económico del contrato por cuenta de su ocurrencia, bajo la comprensión de que el mismo ya fue cubierto por la respectiva matriz y corresponderá asumirlo a quien allí se haya dispuesto en la estimación acordada</w:t>
      </w:r>
      <w:r w:rsidRPr="000B4902">
        <w:rPr>
          <w:rFonts w:ascii="Century Gothic" w:hAnsi="Century Gothic" w:cs="Arial"/>
          <w:sz w:val="21"/>
          <w:szCs w:val="21"/>
          <w:lang w:val="es-ES"/>
        </w:rPr>
        <w:t>.”</w:t>
      </w:r>
      <w:r w:rsidR="00DA4F07" w:rsidRPr="000B4902">
        <w:rPr>
          <w:rStyle w:val="Refdenotaalpie"/>
          <w:rFonts w:ascii="Century Gothic" w:eastAsia="Calibri" w:hAnsi="Century Gothic" w:cs="Arial"/>
          <w:color w:val="000000"/>
          <w:sz w:val="19"/>
          <w:szCs w:val="19"/>
          <w:lang w:val="es-ES_tradnl"/>
        </w:rPr>
        <w:footnoteReference w:id="8"/>
      </w:r>
    </w:p>
    <w:p w14:paraId="3F667EC5" w14:textId="4E243B02" w:rsidR="00DA4F07" w:rsidRPr="000B4902" w:rsidRDefault="00DA4F07" w:rsidP="009133E9">
      <w:pPr>
        <w:spacing w:after="0" w:line="276" w:lineRule="auto"/>
        <w:ind w:firstLine="709"/>
        <w:jc w:val="both"/>
        <w:rPr>
          <w:rFonts w:ascii="Century Gothic" w:eastAsia="Calibri" w:hAnsi="Century Gothic" w:cs="Arial"/>
          <w:color w:val="000000" w:themeColor="text1"/>
          <w:lang w:val="es-ES_tradnl"/>
        </w:rPr>
      </w:pPr>
      <w:r w:rsidRPr="000B4902">
        <w:rPr>
          <w:rFonts w:ascii="Century Gothic" w:hAnsi="Century Gothic" w:cs="Arial"/>
          <w:color w:val="000000" w:themeColor="text1"/>
          <w:lang w:val="es-ES_tradnl"/>
        </w:rPr>
        <w:t>Así las cosas, la asistencia a la audiencia de asignación de riesgos es un derecho del futuro proponente y no una obligación. Por tal motivo no puede ser una causal que implique el rechazo de la oferta o impida la presentación de la misma. Finalmente, en lo que atañe</w:t>
      </w:r>
      <w:r w:rsidRPr="000B4902">
        <w:rPr>
          <w:rFonts w:ascii="Century Gothic" w:eastAsia="Calibri" w:hAnsi="Century Gothic" w:cs="Arial"/>
          <w:color w:val="000000"/>
          <w:lang w:val="es-ES_tradnl"/>
        </w:rPr>
        <w:t xml:space="preserve"> a los demás procesos de selección diferentes de la licitación pública, la realización de la audiencia de asignación de riesgos no es obligatoria. No obstante, la entidad podrá</w:t>
      </w:r>
      <w:r w:rsidRPr="000B4902">
        <w:rPr>
          <w:rFonts w:ascii="Century Gothic" w:eastAsia="Calibri" w:hAnsi="Century Gothic" w:cs="Arial"/>
          <w:color w:val="000000" w:themeColor="text1"/>
          <w:lang w:val="es-ES_tradnl"/>
        </w:rPr>
        <w:t xml:space="preserve"> determinar si se realiza y, en cualquier caso, siempre deberá atender y considerar las solicitudes que efectúen los futuros proponentes sobre la estimación, tipificación y distribución de los riesgos establecidos en los pliegos de condiciones o documentos equivalentes. </w:t>
      </w:r>
    </w:p>
    <w:p w14:paraId="6A2FDC24" w14:textId="77777777" w:rsidR="00B93A35" w:rsidRPr="000B4902" w:rsidRDefault="00B93A35" w:rsidP="00DA4F07">
      <w:pPr>
        <w:pStyle w:val="Prrafodelista"/>
        <w:tabs>
          <w:tab w:val="left" w:pos="284"/>
        </w:tabs>
        <w:spacing w:line="276" w:lineRule="auto"/>
        <w:ind w:left="0"/>
        <w:jc w:val="both"/>
        <w:rPr>
          <w:rFonts w:ascii="Century Gothic" w:eastAsia="Calibri" w:hAnsi="Century Gothic" w:cs="Arial"/>
          <w:b/>
        </w:rPr>
      </w:pPr>
    </w:p>
    <w:p w14:paraId="39840829" w14:textId="3B02559D" w:rsidR="00DA4F07" w:rsidRPr="000B4902" w:rsidRDefault="00DA4F07" w:rsidP="00DA4F07">
      <w:pPr>
        <w:pStyle w:val="Prrafodelista"/>
        <w:tabs>
          <w:tab w:val="left" w:pos="284"/>
        </w:tabs>
        <w:spacing w:line="276" w:lineRule="auto"/>
        <w:ind w:left="0"/>
        <w:jc w:val="both"/>
        <w:rPr>
          <w:rFonts w:ascii="Century Gothic" w:eastAsia="Calibri" w:hAnsi="Century Gothic" w:cs="Arial"/>
          <w:b/>
        </w:rPr>
      </w:pPr>
      <w:r w:rsidRPr="000B4902">
        <w:rPr>
          <w:rFonts w:ascii="Century Gothic" w:eastAsia="Calibri" w:hAnsi="Century Gothic" w:cs="Arial"/>
          <w:b/>
        </w:rPr>
        <w:t xml:space="preserve">2.2. La audiencia de adjudicación en la licitación pública </w:t>
      </w:r>
    </w:p>
    <w:p w14:paraId="5A30B02E" w14:textId="7511548F" w:rsidR="00DA4F07" w:rsidRPr="000B4902" w:rsidRDefault="00DA4F07" w:rsidP="00DA4F07">
      <w:pPr>
        <w:spacing w:after="120" w:line="276" w:lineRule="auto"/>
        <w:jc w:val="both"/>
        <w:rPr>
          <w:rFonts w:ascii="Century Gothic" w:eastAsia="Calibri" w:hAnsi="Century Gothic" w:cs="Arial"/>
        </w:rPr>
      </w:pPr>
      <w:r w:rsidRPr="000B4902">
        <w:rPr>
          <w:rStyle w:val="normaltextrun"/>
          <w:rFonts w:ascii="Century Gothic" w:hAnsi="Century Gothic" w:cs="Arial"/>
          <w:color w:val="000000"/>
          <w:shd w:val="clear" w:color="auto" w:fill="FFFFFF"/>
          <w:lang w:val="es-ES"/>
        </w:rPr>
        <w:t>Uno de los principios que rige la contratación del Estado es el</w:t>
      </w:r>
      <w:r w:rsidR="006D3628" w:rsidRPr="000B4902">
        <w:rPr>
          <w:rStyle w:val="normaltextrun"/>
          <w:rFonts w:ascii="Century Gothic" w:hAnsi="Century Gothic" w:cs="Arial"/>
          <w:color w:val="000000"/>
          <w:shd w:val="clear" w:color="auto" w:fill="FFFFFF"/>
          <w:lang w:val="es-ES"/>
        </w:rPr>
        <w:t xml:space="preserve"> </w:t>
      </w:r>
      <w:r w:rsidRPr="000B4902">
        <w:rPr>
          <w:rStyle w:val="normaltextrun"/>
          <w:rFonts w:ascii="Century Gothic" w:hAnsi="Century Gothic" w:cs="Arial"/>
          <w:color w:val="000000"/>
          <w:shd w:val="clear" w:color="auto" w:fill="FFFFFF"/>
          <w:lang w:val="es-ES"/>
        </w:rPr>
        <w:t>de transparencia, cuya máxima expresión se traduce en la licitación pública. Este procedimiento se estableció como regla general en el Estatuto General de la Contratación Estatal para</w:t>
      </w:r>
      <w:r w:rsidR="006C6F1E" w:rsidRPr="000B4902">
        <w:rPr>
          <w:rStyle w:val="normaltextrun"/>
          <w:rFonts w:ascii="Century Gothic" w:hAnsi="Century Gothic" w:cs="Arial"/>
          <w:color w:val="000000"/>
          <w:shd w:val="clear" w:color="auto" w:fill="FFFFFF"/>
          <w:lang w:val="es-ES"/>
        </w:rPr>
        <w:t xml:space="preserve"> </w:t>
      </w:r>
      <w:r w:rsidRPr="000B4902">
        <w:rPr>
          <w:rStyle w:val="normaltextrun"/>
          <w:rFonts w:ascii="Century Gothic" w:hAnsi="Century Gothic" w:cs="Arial"/>
          <w:color w:val="000000"/>
          <w:shd w:val="clear" w:color="auto" w:fill="FFFFFF"/>
          <w:lang w:val="es-ES"/>
        </w:rPr>
        <w:t>seleccionar al contratista, y</w:t>
      </w:r>
      <w:r w:rsidR="006C6F1E" w:rsidRPr="000B4902">
        <w:rPr>
          <w:rStyle w:val="normaltextrun"/>
          <w:rFonts w:ascii="Century Gothic" w:hAnsi="Century Gothic" w:cs="Arial"/>
          <w:color w:val="000000"/>
          <w:shd w:val="clear" w:color="auto" w:fill="FFFFFF"/>
          <w:lang w:val="es-ES"/>
        </w:rPr>
        <w:t xml:space="preserve"> </w:t>
      </w:r>
      <w:r w:rsidRPr="000B4902">
        <w:rPr>
          <w:rStyle w:val="normaltextrun"/>
          <w:rFonts w:ascii="Century Gothic" w:hAnsi="Century Gothic" w:cs="Arial"/>
          <w:color w:val="000000"/>
          <w:shd w:val="clear" w:color="auto" w:fill="FFFFFF"/>
          <w:lang w:val="es-ES"/>
        </w:rPr>
        <w:t>las etapas se desarrollan mediante convocatoria pública,</w:t>
      </w:r>
      <w:r w:rsidR="0027518B" w:rsidRPr="000B4902">
        <w:rPr>
          <w:rStyle w:val="normaltextrun"/>
          <w:rFonts w:ascii="Century Gothic" w:hAnsi="Century Gothic" w:cs="Arial"/>
          <w:color w:val="000000"/>
          <w:shd w:val="clear" w:color="auto" w:fill="FFFFFF"/>
          <w:lang w:val="es-ES"/>
        </w:rPr>
        <w:t xml:space="preserve"> </w:t>
      </w:r>
      <w:r w:rsidRPr="000B4902">
        <w:rPr>
          <w:rStyle w:val="normaltextrun"/>
          <w:rFonts w:ascii="Century Gothic" w:hAnsi="Century Gothic" w:cs="Arial"/>
          <w:color w:val="000000"/>
          <w:shd w:val="clear" w:color="auto" w:fill="FFFFFF"/>
          <w:lang w:val="es-ES"/>
        </w:rPr>
        <w:t>en igualdad de condiciones, con libre concurrencia y orientadas a seleccionar objetivamente la oferta de bienes, obras o servicios más favorable para la entidad. Esta modalidad de selección,</w:t>
      </w:r>
      <w:r w:rsidR="00041D36" w:rsidRPr="000B4902">
        <w:rPr>
          <w:rStyle w:val="normaltextrun"/>
          <w:rFonts w:ascii="Century Gothic" w:hAnsi="Century Gothic" w:cs="Arial"/>
          <w:color w:val="000000"/>
          <w:shd w:val="clear" w:color="auto" w:fill="FFFFFF"/>
          <w:lang w:val="es-ES"/>
        </w:rPr>
        <w:t xml:space="preserve"> </w:t>
      </w:r>
      <w:r w:rsidRPr="000B4902">
        <w:rPr>
          <w:rStyle w:val="normaltextrun"/>
          <w:rFonts w:ascii="Century Gothic" w:hAnsi="Century Gothic" w:cs="Arial"/>
          <w:color w:val="000000"/>
          <w:shd w:val="clear" w:color="auto" w:fill="FFFFFF"/>
          <w:lang w:val="es-ES"/>
        </w:rPr>
        <w:t>así como las demás previstas con la expedición de la Ley 1150 de 2007 para realizarse mediante convocatoria pública, culminan con el acto de adjudicación, decisión motivada de la entidad contratante por la que se concede el derecho a celebrar el contrato al mejor oferente</w:t>
      </w:r>
      <w:r w:rsidR="00AB667C" w:rsidRPr="000B4902">
        <w:rPr>
          <w:rStyle w:val="normaltextrun"/>
          <w:rFonts w:ascii="Century Gothic" w:hAnsi="Century Gothic" w:cs="Arial"/>
          <w:color w:val="000000"/>
          <w:shd w:val="clear" w:color="auto" w:fill="FFFFFF"/>
          <w:lang w:val="es-ES"/>
        </w:rPr>
        <w:t>, sin embargo, sólo para la licitación pública la adjudicación se realiza</w:t>
      </w:r>
      <w:r w:rsidR="00B4627C" w:rsidRPr="000B4902">
        <w:rPr>
          <w:rStyle w:val="normaltextrun"/>
          <w:rFonts w:ascii="Century Gothic" w:hAnsi="Century Gothic" w:cs="Arial"/>
          <w:color w:val="000000"/>
          <w:shd w:val="clear" w:color="auto" w:fill="FFFFFF"/>
          <w:lang w:val="es-ES"/>
        </w:rPr>
        <w:t>,</w:t>
      </w:r>
      <w:r w:rsidR="00AB667C" w:rsidRPr="000B4902">
        <w:rPr>
          <w:rStyle w:val="normaltextrun"/>
          <w:rFonts w:ascii="Century Gothic" w:hAnsi="Century Gothic" w:cs="Arial"/>
          <w:color w:val="000000"/>
          <w:shd w:val="clear" w:color="auto" w:fill="FFFFFF"/>
          <w:lang w:val="es-ES"/>
        </w:rPr>
        <w:t xml:space="preserve"> de manera obligatoria</w:t>
      </w:r>
      <w:r w:rsidR="00B4627C" w:rsidRPr="000B4902">
        <w:rPr>
          <w:rStyle w:val="normaltextrun"/>
          <w:rFonts w:ascii="Century Gothic" w:hAnsi="Century Gothic" w:cs="Arial"/>
          <w:color w:val="000000"/>
          <w:shd w:val="clear" w:color="auto" w:fill="FFFFFF"/>
          <w:lang w:val="es-ES"/>
        </w:rPr>
        <w:t>, precedida de una audiencia pública</w:t>
      </w:r>
      <w:r w:rsidR="00347B98" w:rsidRPr="000B4902">
        <w:rPr>
          <w:rStyle w:val="normaltextrun"/>
          <w:rFonts w:ascii="Century Gothic" w:hAnsi="Century Gothic" w:cs="Arial"/>
          <w:color w:val="000000"/>
          <w:shd w:val="clear" w:color="auto" w:fill="FFFFFF"/>
          <w:lang w:val="es-ES"/>
        </w:rPr>
        <w:t>, como se pasa a exponer</w:t>
      </w:r>
      <w:r w:rsidR="00B4627C" w:rsidRPr="000B4902">
        <w:rPr>
          <w:rStyle w:val="normaltextrun"/>
          <w:rFonts w:ascii="Century Gothic" w:hAnsi="Century Gothic" w:cs="Arial"/>
          <w:color w:val="000000"/>
          <w:shd w:val="clear" w:color="auto" w:fill="FFFFFF"/>
          <w:lang w:val="es-ES"/>
        </w:rPr>
        <w:t>.</w:t>
      </w:r>
    </w:p>
    <w:p w14:paraId="18E3B11A" w14:textId="77777777" w:rsidR="00DA4F07" w:rsidRPr="000B4902" w:rsidRDefault="00DA4F07" w:rsidP="00DA4F07">
      <w:pPr>
        <w:spacing w:before="120" w:after="120" w:line="276" w:lineRule="auto"/>
        <w:ind w:firstLine="709"/>
        <w:jc w:val="both"/>
        <w:rPr>
          <w:rFonts w:ascii="Century Gothic" w:hAnsi="Century Gothic" w:cs="Arial"/>
          <w:lang w:val="es-ES"/>
        </w:rPr>
      </w:pPr>
      <w:bookmarkStart w:id="3" w:name="_Hlk80082107"/>
      <w:r w:rsidRPr="000B4902">
        <w:rPr>
          <w:rFonts w:ascii="Century Gothic" w:hAnsi="Century Gothic" w:cs="Arial"/>
          <w:lang w:val="es-ES"/>
        </w:rPr>
        <w:t>La audiencia de adjudicación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r w:rsidRPr="000B4902">
        <w:rPr>
          <w:rStyle w:val="Refdenotaalpie"/>
          <w:rFonts w:ascii="Century Gothic" w:hAnsi="Century Gothic" w:cs="Arial"/>
          <w:lang w:val="es-ES"/>
        </w:rPr>
        <w:footnoteReference w:id="9"/>
      </w:r>
      <w:r w:rsidRPr="000B4902">
        <w:rPr>
          <w:rFonts w:ascii="Century Gothic" w:hAnsi="Century Gothic" w:cs="Arial"/>
          <w:lang w:val="es-ES"/>
        </w:rPr>
        <w:t>.</w:t>
      </w:r>
    </w:p>
    <w:bookmarkEnd w:id="3"/>
    <w:p w14:paraId="720DE47F" w14:textId="77777777" w:rsidR="00DA4F07" w:rsidRPr="000B4902" w:rsidRDefault="00DA4F07" w:rsidP="00DA4F07">
      <w:pPr>
        <w:spacing w:before="120" w:after="120" w:line="276" w:lineRule="auto"/>
        <w:ind w:firstLine="709"/>
        <w:jc w:val="both"/>
        <w:rPr>
          <w:rFonts w:ascii="Century Gothic" w:hAnsi="Century Gothic" w:cs="Arial"/>
          <w:lang w:val="es-ES"/>
        </w:rPr>
      </w:pPr>
      <w:r w:rsidRPr="000B4902">
        <w:rPr>
          <w:rFonts w:ascii="Century Gothic" w:hAnsi="Century Gothic" w:cs="Arial"/>
          <w:lang w:val="es-ES"/>
        </w:rPr>
        <w:t>Dicho artículo constitucional consagró una regla relativa a la publicidad de la audiencia de adjudicación por la cual, a solicitud de cualquier proponente, el Contralor General de la República y demás autoridades de control fiscal pueden ordenar que el acto de adjudicación de una licitación se lleve a cabo en audiencia pública. Asimismo, defirió a la ley la competencia para regular aspectos puntuales sobre la audiencia de adjudicación, como la forma de evaluar las propuestas y las condiciones bajo las cuales se realizaría la audiencia pública. Sobre el tema, la Ley 80 de 1993, en el artículo 30, estableció la estructura del procedimiento de selección, señalando que en la audiencia pública podrán intervenir: i) servidores públicos o contratistas que apoyaron en la estructuración del análisis del sector, estudios previos, pliego y evaluaciones, entre otros, ii) oferentes o proponentes y iii) otras personas que deseen asistir</w:t>
      </w:r>
      <w:r w:rsidRPr="000B4902">
        <w:rPr>
          <w:rStyle w:val="Refdenotaalpie"/>
          <w:rFonts w:ascii="Century Gothic" w:hAnsi="Century Gothic" w:cs="Arial"/>
          <w:lang w:val="es-ES"/>
        </w:rPr>
        <w:footnoteReference w:id="10"/>
      </w:r>
      <w:r w:rsidRPr="000B4902">
        <w:rPr>
          <w:rFonts w:ascii="Century Gothic" w:hAnsi="Century Gothic" w:cs="Arial"/>
          <w:lang w:val="es-ES"/>
        </w:rPr>
        <w:t>. Sin embargo, además de los sujetos señalados, como se observará, los oferentes pueden designar personas para que intervengan en la audiencia de adjudicación.</w:t>
      </w:r>
    </w:p>
    <w:p w14:paraId="1A03C2DE" w14:textId="09F2F50C" w:rsidR="00DA4F07" w:rsidRPr="000B4902" w:rsidRDefault="00DA4F07" w:rsidP="00DA4F07">
      <w:pPr>
        <w:spacing w:before="120" w:line="276" w:lineRule="auto"/>
        <w:ind w:firstLine="709"/>
        <w:jc w:val="both"/>
        <w:rPr>
          <w:rFonts w:ascii="Century Gothic" w:hAnsi="Century Gothic" w:cs="Arial"/>
          <w:lang w:val="es-ES"/>
        </w:rPr>
      </w:pPr>
      <w:r w:rsidRPr="000B4902">
        <w:rPr>
          <w:rFonts w:ascii="Century Gothic" w:hAnsi="Century Gothic" w:cs="Arial"/>
          <w:lang w:val="es-ES"/>
        </w:rPr>
        <w:t>Posteriormente, el legislador reguló este asunto en la Ley 1150 de 2007, cuyo artículo 9 reguló la etapa de adjudicación como la fase final de los procesos de selección de contratistas del Estado</w:t>
      </w:r>
      <w:r w:rsidRPr="000B4902">
        <w:rPr>
          <w:rStyle w:val="Refdenotaalpie"/>
          <w:rFonts w:ascii="Century Gothic" w:hAnsi="Century Gothic" w:cs="Arial"/>
          <w:lang w:val="es-ES"/>
        </w:rPr>
        <w:footnoteReference w:id="11"/>
      </w:r>
      <w:r w:rsidRPr="000B4902">
        <w:rPr>
          <w:rFonts w:ascii="Century Gothic" w:hAnsi="Century Gothic" w:cs="Arial"/>
          <w:lang w:val="es-ES"/>
        </w:rPr>
        <w:t xml:space="preserve">. La norma determinó que, en general, en los procesos de licitación pública la adjudicación se haría, obligatoriamente, en audiencia pública. Igualmente, señaló </w:t>
      </w:r>
      <w:r w:rsidR="000730C7" w:rsidRPr="000B4902">
        <w:rPr>
          <w:rFonts w:ascii="Century Gothic" w:hAnsi="Century Gothic" w:cs="Arial"/>
          <w:lang w:val="es-ES"/>
        </w:rPr>
        <w:t>que,</w:t>
      </w:r>
      <w:r w:rsidRPr="000B4902">
        <w:rPr>
          <w:rFonts w:ascii="Century Gothic" w:hAnsi="Century Gothic" w:cs="Arial"/>
          <w:lang w:val="es-ES"/>
        </w:rPr>
        <w:t xml:space="preserve"> en dicha audiencia, y de manera previa a la decisión de adjudicación, todos los interesados podrían pronunciarse sobre las decisiones adoptadas por la entidad a las observaciones planteadas al informe de evaluación. Para la Corte Constitucional, el mecanismo de publicidad de la audiencia de adjudicación es una forma de garantizar la transparencia en las decisiones de la Administración, en desarrollo de su actividad contractual. Sobre el particular, afirmó lo siguiente: </w:t>
      </w:r>
    </w:p>
    <w:p w14:paraId="3EF0053A" w14:textId="77300A64" w:rsidR="00DA4F07" w:rsidRPr="000B4902" w:rsidRDefault="00DA4F07" w:rsidP="009133E9">
      <w:pPr>
        <w:spacing w:line="276" w:lineRule="auto"/>
        <w:ind w:left="709" w:right="709" w:firstLine="705"/>
        <w:jc w:val="both"/>
        <w:rPr>
          <w:rFonts w:ascii="Century Gothic" w:hAnsi="Century Gothic" w:cs="Arial"/>
          <w:sz w:val="21"/>
          <w:szCs w:val="21"/>
          <w:lang w:val="es-ES"/>
        </w:rPr>
      </w:pPr>
      <w:r w:rsidRPr="000B4902">
        <w:rPr>
          <w:rFonts w:ascii="Century Gothic" w:hAnsi="Century Gothic" w:cs="Arial"/>
          <w:lang w:val="es-ES"/>
        </w:rPr>
        <w:tab/>
      </w:r>
      <w:r w:rsidR="00931E37" w:rsidRPr="000B4902">
        <w:rPr>
          <w:rFonts w:ascii="Century Gothic" w:hAnsi="Century Gothic" w:cs="Arial"/>
          <w:sz w:val="21"/>
          <w:szCs w:val="21"/>
          <w:lang w:val="es-ES"/>
        </w:rPr>
        <w:t>“</w:t>
      </w:r>
      <w:r w:rsidRPr="000B4902">
        <w:rPr>
          <w:rFonts w:ascii="Century Gothic" w:hAnsi="Century Gothic" w:cs="Arial"/>
          <w:sz w:val="21"/>
          <w:szCs w:val="21"/>
          <w:lang w:val="es-ES"/>
        </w:rPr>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00931E37" w:rsidRPr="000B4902">
        <w:rPr>
          <w:rFonts w:ascii="Century Gothic" w:hAnsi="Century Gothic" w:cs="Arial"/>
          <w:sz w:val="21"/>
          <w:szCs w:val="21"/>
          <w:lang w:val="es-ES"/>
        </w:rPr>
        <w:t>.”</w:t>
      </w:r>
      <w:r w:rsidRPr="000B4902">
        <w:rPr>
          <w:rStyle w:val="Refdenotaalpie"/>
          <w:rFonts w:ascii="Century Gothic" w:hAnsi="Century Gothic" w:cs="Arial"/>
          <w:sz w:val="21"/>
          <w:szCs w:val="21"/>
          <w:lang w:val="es-ES"/>
        </w:rPr>
        <w:footnoteReference w:id="12"/>
      </w:r>
    </w:p>
    <w:p w14:paraId="7F307977" w14:textId="77777777" w:rsidR="00DA4F07" w:rsidRPr="000B4902" w:rsidRDefault="00DA4F07" w:rsidP="00DA4F07">
      <w:pPr>
        <w:spacing w:after="120" w:line="276" w:lineRule="auto"/>
        <w:ind w:firstLine="709"/>
        <w:jc w:val="both"/>
        <w:rPr>
          <w:rFonts w:ascii="Century Gothic" w:hAnsi="Century Gothic" w:cs="Arial"/>
          <w:lang w:val="es-ES"/>
        </w:rPr>
      </w:pPr>
      <w:r w:rsidRPr="000B4902">
        <w:rPr>
          <w:rFonts w:ascii="Century Gothic" w:hAnsi="Century Gothic" w:cs="Arial"/>
          <w:lang w:val="es-ES"/>
        </w:rPr>
        <w:t>En este sentido, el artículo 2.2.1.2.1.1.2. del Decreto Único Reglamentario 1082 de 2015 señala que en la licitación hay dos audiencias públicas obligatorias: i) la de asignación de riesgos y ii) la de adjudicación. Respecto de la última, la norma fijó las siguientes reglas procedimentales</w:t>
      </w:r>
      <w:r w:rsidRPr="000B4902">
        <w:rPr>
          <w:rStyle w:val="Refdenotaalpie"/>
          <w:rFonts w:ascii="Century Gothic" w:hAnsi="Century Gothic" w:cs="Arial"/>
          <w:lang w:val="es-ES"/>
        </w:rPr>
        <w:footnoteReference w:id="13"/>
      </w:r>
      <w:r w:rsidRPr="000B4902">
        <w:rPr>
          <w:rFonts w:ascii="Century Gothic" w:hAnsi="Century Gothic" w:cs="Arial"/>
          <w:lang w:val="es-ES"/>
        </w:rPr>
        <w:t xml:space="preserve">: </w:t>
      </w:r>
    </w:p>
    <w:p w14:paraId="01B0D0BB" w14:textId="77777777" w:rsidR="00DA4F07" w:rsidRPr="000B4902" w:rsidRDefault="00DA4F07" w:rsidP="00DA4F07">
      <w:pPr>
        <w:spacing w:before="120" w:after="120" w:line="276" w:lineRule="auto"/>
        <w:ind w:firstLine="709"/>
        <w:jc w:val="both"/>
        <w:rPr>
          <w:rFonts w:ascii="Century Gothic" w:hAnsi="Century Gothic" w:cs="Arial"/>
          <w:lang w:val="es-ES"/>
        </w:rPr>
      </w:pPr>
      <w:r w:rsidRPr="000B4902">
        <w:rPr>
          <w:rFonts w:ascii="Century Gothic" w:hAnsi="Century Gothic" w:cs="Arial"/>
          <w:lang w:val="es-ES"/>
        </w:rPr>
        <w:t>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Segundo, cuando se hagan observaciones respecto de alguna oferta, el proponente podrá responder los cuestionamientos. Tercero, quienes intervienen deben ser los oferentes o las personas designadas previamente por estos, y dentro del tiempo que la entidad señale. Cuarto, si la entidad publicó previamente el borrador del acto de adjudicación, puede prescindir de su lectura. Finalmente, terminadas las intervenciones, la entidad adopta la decisión</w:t>
      </w:r>
      <w:r w:rsidRPr="000B4902">
        <w:rPr>
          <w:rStyle w:val="Refdenotaalpie"/>
          <w:rFonts w:ascii="Century Gothic" w:hAnsi="Century Gothic" w:cs="Arial"/>
          <w:lang w:val="es-ES"/>
        </w:rPr>
        <w:footnoteReference w:id="14"/>
      </w:r>
      <w:r w:rsidRPr="000B4902">
        <w:rPr>
          <w:rFonts w:ascii="Century Gothic" w:hAnsi="Century Gothic" w:cs="Arial"/>
          <w:lang w:val="es-ES"/>
        </w:rPr>
        <w:t xml:space="preserve">. </w:t>
      </w:r>
    </w:p>
    <w:p w14:paraId="77444B34" w14:textId="39EDB2C2" w:rsidR="00DA4F07" w:rsidRPr="000B4902" w:rsidRDefault="00DA4F07" w:rsidP="00DA4F07">
      <w:pPr>
        <w:spacing w:before="120" w:line="276" w:lineRule="auto"/>
        <w:ind w:firstLine="709"/>
        <w:jc w:val="both"/>
        <w:rPr>
          <w:rFonts w:ascii="Century Gothic" w:hAnsi="Century Gothic" w:cs="Arial"/>
          <w:lang w:val="es-ES"/>
        </w:rPr>
      </w:pPr>
      <w:r w:rsidRPr="000B4902">
        <w:rPr>
          <w:rFonts w:ascii="Century Gothic" w:hAnsi="Century Gothic" w:cs="Arial"/>
          <w:lang w:val="es-ES"/>
        </w:rPr>
        <w:t xml:space="preserve">Identificadas las reglas fijadas por el artículo citado, se advierte que se trata de directrices mínimas que ilustran el desarrollo de la audiencia de adjudicación, pero evidentemente no alcanzan a prever todos los supuestos que se pueden presentar. En todo caso, se observa que, en principio, los oferentes o las personas que estos designen son quienes pueden participar o representarlos en la audiencia de adjudicación; pero siendo una audiencia pública cualquier persona puede asistir, de conformidad con el artículo 2.2.1.2.1.1.2 del Decreto 1082 de 2015 y el artículo 30 de la Ley 80 de 1993. </w:t>
      </w:r>
      <w:r w:rsidR="00C443A7" w:rsidRPr="000B4902">
        <w:rPr>
          <w:rFonts w:ascii="Century Gothic" w:hAnsi="Century Gothic" w:cs="Arial"/>
          <w:lang w:val="es-ES"/>
        </w:rPr>
        <w:t>En este punto</w:t>
      </w:r>
      <w:r w:rsidR="00F661B7" w:rsidRPr="000B4902">
        <w:rPr>
          <w:rFonts w:ascii="Century Gothic" w:hAnsi="Century Gothic" w:cs="Arial"/>
          <w:lang w:val="es-ES"/>
        </w:rPr>
        <w:t>,</w:t>
      </w:r>
      <w:r w:rsidR="00C443A7" w:rsidRPr="000B4902">
        <w:rPr>
          <w:rFonts w:ascii="Century Gothic" w:hAnsi="Century Gothic" w:cs="Arial"/>
          <w:lang w:val="es-ES"/>
        </w:rPr>
        <w:t xml:space="preserve"> es clave tener en cuenta </w:t>
      </w:r>
      <w:r w:rsidR="000A5AB5" w:rsidRPr="000B4902">
        <w:rPr>
          <w:rFonts w:ascii="Century Gothic" w:hAnsi="Century Gothic" w:cs="Arial"/>
          <w:lang w:val="es-ES"/>
        </w:rPr>
        <w:t xml:space="preserve">que </w:t>
      </w:r>
      <w:r w:rsidR="007F1FEC" w:rsidRPr="000B4902">
        <w:rPr>
          <w:rFonts w:ascii="Century Gothic" w:hAnsi="Century Gothic" w:cs="Arial"/>
          <w:lang w:val="es-ES"/>
        </w:rPr>
        <w:t>a</w:t>
      </w:r>
      <w:r w:rsidR="000A5AB5" w:rsidRPr="000B4902">
        <w:rPr>
          <w:rFonts w:ascii="Century Gothic" w:hAnsi="Century Gothic" w:cs="Arial"/>
          <w:lang w:val="es-ES"/>
        </w:rPr>
        <w:t>l</w:t>
      </w:r>
      <w:r w:rsidR="007F1FEC" w:rsidRPr="000B4902">
        <w:rPr>
          <w:rFonts w:ascii="Century Gothic" w:hAnsi="Century Gothic" w:cs="Arial"/>
          <w:lang w:val="es-ES"/>
        </w:rPr>
        <w:t xml:space="preserve"> oferent</w:t>
      </w:r>
      <w:r w:rsidR="00E566B8" w:rsidRPr="000B4902">
        <w:rPr>
          <w:rFonts w:ascii="Century Gothic" w:hAnsi="Century Gothic" w:cs="Arial"/>
          <w:lang w:val="es-ES"/>
        </w:rPr>
        <w:t>e adjudicatario</w:t>
      </w:r>
      <w:r w:rsidR="000A5AB5" w:rsidRPr="000B4902">
        <w:rPr>
          <w:rFonts w:ascii="Century Gothic" w:hAnsi="Century Gothic" w:cs="Arial"/>
          <w:lang w:val="es-ES"/>
        </w:rPr>
        <w:t xml:space="preserve"> </w:t>
      </w:r>
      <w:r w:rsidR="007F1FEC" w:rsidRPr="000B4902">
        <w:rPr>
          <w:rFonts w:ascii="Century Gothic" w:hAnsi="Century Gothic" w:cs="Arial"/>
          <w:lang w:val="es-ES"/>
        </w:rPr>
        <w:t>se les notifica e</w:t>
      </w:r>
      <w:r w:rsidR="00F661B7" w:rsidRPr="000B4902">
        <w:rPr>
          <w:rFonts w:ascii="Century Gothic" w:hAnsi="Century Gothic" w:cs="Arial"/>
          <w:lang w:val="es-ES"/>
        </w:rPr>
        <w:t xml:space="preserve">n audiencia la decisión de </w:t>
      </w:r>
      <w:r w:rsidR="000A5AB5" w:rsidRPr="000B4902">
        <w:rPr>
          <w:rFonts w:ascii="Century Gothic" w:hAnsi="Century Gothic" w:cs="Arial"/>
          <w:lang w:val="es-ES"/>
        </w:rPr>
        <w:t>adjudica</w:t>
      </w:r>
      <w:r w:rsidR="00F661B7" w:rsidRPr="000B4902">
        <w:rPr>
          <w:rFonts w:ascii="Century Gothic" w:hAnsi="Century Gothic" w:cs="Arial"/>
          <w:lang w:val="es-ES"/>
        </w:rPr>
        <w:t>r el contrato,</w:t>
      </w:r>
      <w:r w:rsidR="000A5AB5" w:rsidRPr="000B4902">
        <w:rPr>
          <w:rFonts w:ascii="Century Gothic" w:hAnsi="Century Gothic" w:cs="Arial"/>
          <w:lang w:val="es-ES"/>
        </w:rPr>
        <w:t xml:space="preserve"> y </w:t>
      </w:r>
      <w:r w:rsidR="00F661B7" w:rsidRPr="000B4902">
        <w:rPr>
          <w:rFonts w:ascii="Century Gothic" w:hAnsi="Century Gothic" w:cs="Arial"/>
          <w:lang w:val="es-ES"/>
        </w:rPr>
        <w:t xml:space="preserve">por su parte, </w:t>
      </w:r>
      <w:r w:rsidR="000A5AB5" w:rsidRPr="000B4902">
        <w:rPr>
          <w:rFonts w:ascii="Century Gothic" w:hAnsi="Century Gothic" w:cs="Arial"/>
          <w:lang w:val="es-ES"/>
        </w:rPr>
        <w:t>a los demás oferentes e interesados</w:t>
      </w:r>
      <w:r w:rsidR="00F661B7" w:rsidRPr="000B4902">
        <w:rPr>
          <w:rFonts w:ascii="Century Gothic" w:hAnsi="Century Gothic" w:cs="Arial"/>
          <w:lang w:val="es-ES"/>
        </w:rPr>
        <w:t>,</w:t>
      </w:r>
      <w:r w:rsidR="000A5AB5" w:rsidRPr="000B4902">
        <w:rPr>
          <w:rFonts w:ascii="Century Gothic" w:hAnsi="Century Gothic" w:cs="Arial"/>
          <w:lang w:val="es-ES"/>
        </w:rPr>
        <w:t xml:space="preserve"> se les comunica dicha decisión</w:t>
      </w:r>
      <w:r w:rsidR="00336E02" w:rsidRPr="000B4902">
        <w:rPr>
          <w:rFonts w:ascii="Century Gothic" w:hAnsi="Century Gothic" w:cs="Arial"/>
          <w:lang w:val="es-ES"/>
        </w:rPr>
        <w:t xml:space="preserve">, lo cual es importante para </w:t>
      </w:r>
      <w:r w:rsidR="00F661B7" w:rsidRPr="000B4902">
        <w:rPr>
          <w:rFonts w:ascii="Century Gothic" w:hAnsi="Century Gothic" w:cs="Arial"/>
          <w:lang w:val="es-ES"/>
        </w:rPr>
        <w:t>precisar la participación y/o representación de los interesados y oferentes en la audiencia.</w:t>
      </w:r>
    </w:p>
    <w:p w14:paraId="3B1BD5EC" w14:textId="371569A9" w:rsidR="00DB04DD" w:rsidRPr="000B4902" w:rsidRDefault="00DA4F07" w:rsidP="00786E1B">
      <w:pPr>
        <w:spacing w:line="276" w:lineRule="auto"/>
        <w:jc w:val="both"/>
        <w:rPr>
          <w:rStyle w:val="normaltextrun"/>
          <w:rFonts w:ascii="Century Gothic" w:eastAsia="Calibri" w:hAnsi="Century Gothic" w:cs="Arial"/>
        </w:rPr>
      </w:pPr>
      <w:r w:rsidRPr="000B4902">
        <w:rPr>
          <w:rFonts w:ascii="Century Gothic" w:eastAsia="Calibri" w:hAnsi="Century Gothic" w:cs="Arial"/>
          <w:b/>
          <w:lang w:val="es-ES"/>
        </w:rPr>
        <w:t xml:space="preserve">2.3. </w:t>
      </w:r>
      <w:r w:rsidR="00141793" w:rsidRPr="000B4902">
        <w:rPr>
          <w:rFonts w:ascii="Century Gothic" w:eastAsia="Calibri" w:hAnsi="Century Gothic" w:cs="Arial"/>
          <w:b/>
          <w:lang w:val="es-ES"/>
        </w:rPr>
        <w:t>participación y/o representación de interesados y oferentes en las audiencias de asignación de riesgos y en la de adjudicación, respectivamente.</w:t>
      </w:r>
      <w:bookmarkStart w:id="4" w:name="_Hlk109037715"/>
    </w:p>
    <w:p w14:paraId="7E091399" w14:textId="00D243D1" w:rsidR="00DA4F07" w:rsidRPr="000B4902" w:rsidRDefault="008C5155" w:rsidP="00DA4F07">
      <w:pPr>
        <w:spacing w:after="120" w:line="276" w:lineRule="auto"/>
        <w:jc w:val="both"/>
        <w:rPr>
          <w:rFonts w:ascii="Century Gothic" w:eastAsia="Calibri" w:hAnsi="Century Gothic" w:cs="Arial"/>
        </w:rPr>
      </w:pPr>
      <w:r w:rsidRPr="000B4902">
        <w:rPr>
          <w:rStyle w:val="normaltextrun"/>
          <w:rFonts w:ascii="Century Gothic" w:hAnsi="Century Gothic" w:cs="Arial"/>
          <w:color w:val="000000"/>
          <w:shd w:val="clear" w:color="auto" w:fill="FFFFFF"/>
        </w:rPr>
        <w:t xml:space="preserve">Una de las principales diferencias en la </w:t>
      </w:r>
      <w:r w:rsidR="003E3C41" w:rsidRPr="000B4902">
        <w:rPr>
          <w:rStyle w:val="normaltextrun"/>
          <w:rFonts w:ascii="Century Gothic" w:hAnsi="Century Gothic" w:cs="Arial"/>
          <w:color w:val="000000"/>
          <w:shd w:val="clear" w:color="auto" w:fill="FFFFFF"/>
        </w:rPr>
        <w:t xml:space="preserve">participación </w:t>
      </w:r>
      <w:r w:rsidR="00CB2984" w:rsidRPr="000B4902">
        <w:rPr>
          <w:rStyle w:val="normaltextrun"/>
          <w:rFonts w:ascii="Century Gothic" w:hAnsi="Century Gothic" w:cs="Arial"/>
          <w:color w:val="000000"/>
          <w:shd w:val="clear" w:color="auto" w:fill="FFFFFF"/>
        </w:rPr>
        <w:t xml:space="preserve">de </w:t>
      </w:r>
      <w:r w:rsidR="003E3C41" w:rsidRPr="000B4902">
        <w:rPr>
          <w:rStyle w:val="normaltextrun"/>
          <w:rFonts w:ascii="Century Gothic" w:hAnsi="Century Gothic" w:cs="Arial"/>
          <w:color w:val="000000"/>
          <w:shd w:val="clear" w:color="auto" w:fill="FFFFFF"/>
        </w:rPr>
        <w:t xml:space="preserve">las </w:t>
      </w:r>
      <w:r w:rsidR="00D665E5" w:rsidRPr="000B4902">
        <w:rPr>
          <w:rStyle w:val="normaltextrun"/>
          <w:rFonts w:ascii="Century Gothic" w:hAnsi="Century Gothic" w:cs="Arial"/>
          <w:color w:val="000000"/>
          <w:shd w:val="clear" w:color="auto" w:fill="FFFFFF"/>
        </w:rPr>
        <w:t xml:space="preserve">audiencias </w:t>
      </w:r>
      <w:r w:rsidR="003E3C41" w:rsidRPr="000B4902">
        <w:rPr>
          <w:rStyle w:val="normaltextrun"/>
          <w:rFonts w:ascii="Century Gothic" w:hAnsi="Century Gothic" w:cs="Arial"/>
          <w:color w:val="000000"/>
          <w:shd w:val="clear" w:color="auto" w:fill="FFFFFF"/>
        </w:rPr>
        <w:t xml:space="preserve">de asignación </w:t>
      </w:r>
      <w:r w:rsidR="00D665E5" w:rsidRPr="000B4902">
        <w:rPr>
          <w:rStyle w:val="normaltextrun"/>
          <w:rFonts w:ascii="Century Gothic" w:hAnsi="Century Gothic" w:cs="Arial"/>
          <w:color w:val="000000"/>
          <w:shd w:val="clear" w:color="auto" w:fill="FFFFFF"/>
        </w:rPr>
        <w:t xml:space="preserve">de riesgos y en la de </w:t>
      </w:r>
      <w:r w:rsidRPr="000B4902">
        <w:rPr>
          <w:rStyle w:val="normaltextrun"/>
          <w:rFonts w:ascii="Century Gothic" w:hAnsi="Century Gothic" w:cs="Arial"/>
          <w:color w:val="000000"/>
          <w:shd w:val="clear" w:color="auto" w:fill="FFFFFF"/>
        </w:rPr>
        <w:t>adjudicación</w:t>
      </w:r>
      <w:r w:rsidR="00D665E5" w:rsidRPr="000B4902">
        <w:rPr>
          <w:rStyle w:val="normaltextrun"/>
          <w:rFonts w:ascii="Century Gothic" w:hAnsi="Century Gothic" w:cs="Arial"/>
          <w:color w:val="000000"/>
          <w:shd w:val="clear" w:color="auto" w:fill="FFFFFF"/>
        </w:rPr>
        <w:t>, es que sólo en la última</w:t>
      </w:r>
      <w:r w:rsidRPr="000B4902">
        <w:rPr>
          <w:rStyle w:val="normaltextrun"/>
          <w:rFonts w:ascii="Century Gothic" w:hAnsi="Century Gothic" w:cs="Arial"/>
          <w:color w:val="000000"/>
          <w:shd w:val="clear" w:color="auto" w:fill="FFFFFF"/>
        </w:rPr>
        <w:t>,</w:t>
      </w:r>
      <w:r w:rsidR="00D665E5" w:rsidRPr="000B4902">
        <w:rPr>
          <w:rStyle w:val="normaltextrun"/>
          <w:rFonts w:ascii="Century Gothic" w:hAnsi="Century Gothic" w:cs="Arial"/>
          <w:color w:val="000000"/>
          <w:shd w:val="clear" w:color="auto" w:fill="FFFFFF"/>
        </w:rPr>
        <w:t xml:space="preserve"> se da </w:t>
      </w:r>
      <w:r w:rsidRPr="000B4902">
        <w:rPr>
          <w:rStyle w:val="normaltextrun"/>
          <w:rFonts w:ascii="Century Gothic" w:hAnsi="Century Gothic" w:cs="Arial"/>
          <w:color w:val="000000"/>
          <w:shd w:val="clear" w:color="auto" w:fill="FFFFFF"/>
        </w:rPr>
        <w:t xml:space="preserve">la intervención de los proponentes, </w:t>
      </w:r>
      <w:r w:rsidR="004B0EF6" w:rsidRPr="000B4902">
        <w:rPr>
          <w:rStyle w:val="normaltextrun"/>
          <w:rFonts w:ascii="Century Gothic" w:hAnsi="Century Gothic" w:cs="Arial"/>
          <w:color w:val="000000"/>
          <w:shd w:val="clear" w:color="auto" w:fill="FFFFFF"/>
        </w:rPr>
        <w:t xml:space="preserve">dado a </w:t>
      </w:r>
      <w:r w:rsidR="00671E28" w:rsidRPr="000B4902">
        <w:rPr>
          <w:rStyle w:val="normaltextrun"/>
          <w:rFonts w:ascii="Century Gothic" w:hAnsi="Century Gothic" w:cs="Arial"/>
          <w:color w:val="000000"/>
          <w:shd w:val="clear" w:color="auto" w:fill="FFFFFF"/>
        </w:rPr>
        <w:t>que,</w:t>
      </w:r>
      <w:r w:rsidRPr="000B4902">
        <w:rPr>
          <w:rStyle w:val="normaltextrun"/>
          <w:rFonts w:ascii="Century Gothic" w:hAnsi="Century Gothic" w:cs="Arial"/>
          <w:color w:val="000000"/>
          <w:shd w:val="clear" w:color="auto" w:fill="FFFFFF"/>
        </w:rPr>
        <w:t xml:space="preserve"> en la primera, </w:t>
      </w:r>
      <w:r w:rsidR="0069000E" w:rsidRPr="000B4902">
        <w:rPr>
          <w:rStyle w:val="normaltextrun"/>
          <w:rFonts w:ascii="Century Gothic" w:hAnsi="Century Gothic" w:cs="Arial"/>
          <w:color w:val="000000"/>
          <w:shd w:val="clear" w:color="auto" w:fill="FFFFFF"/>
        </w:rPr>
        <w:t xml:space="preserve">de los tantos </w:t>
      </w:r>
      <w:r w:rsidR="00DA4F07" w:rsidRPr="000B4902">
        <w:rPr>
          <w:rStyle w:val="normaltextrun"/>
          <w:rFonts w:ascii="Century Gothic" w:hAnsi="Century Gothic" w:cs="Arial"/>
          <w:color w:val="000000"/>
          <w:shd w:val="clear" w:color="auto" w:fill="FFFFFF"/>
        </w:rPr>
        <w:t xml:space="preserve">intervinientes </w:t>
      </w:r>
      <w:r w:rsidR="00CB2984" w:rsidRPr="000B4902">
        <w:rPr>
          <w:rStyle w:val="normaltextrun"/>
          <w:rFonts w:ascii="Century Gothic" w:hAnsi="Century Gothic" w:cs="Arial"/>
          <w:color w:val="000000"/>
          <w:shd w:val="clear" w:color="auto" w:fill="FFFFFF"/>
        </w:rPr>
        <w:t xml:space="preserve">ninguno llega a </w:t>
      </w:r>
      <w:r w:rsidR="001D0970" w:rsidRPr="000B4902">
        <w:rPr>
          <w:rStyle w:val="normaltextrun"/>
          <w:rFonts w:ascii="Century Gothic" w:hAnsi="Century Gothic" w:cs="Arial"/>
          <w:color w:val="000000"/>
          <w:shd w:val="clear" w:color="auto" w:fill="FFFFFF"/>
        </w:rPr>
        <w:t>ostentar</w:t>
      </w:r>
      <w:r w:rsidR="00CB2984" w:rsidRPr="000B4902">
        <w:rPr>
          <w:rStyle w:val="normaltextrun"/>
          <w:rFonts w:ascii="Century Gothic" w:hAnsi="Century Gothic" w:cs="Arial"/>
          <w:color w:val="000000"/>
          <w:shd w:val="clear" w:color="auto" w:fill="FFFFFF"/>
        </w:rPr>
        <w:t xml:space="preserve"> dicha calidad</w:t>
      </w:r>
      <w:r w:rsidR="00435B1B" w:rsidRPr="000B4902">
        <w:rPr>
          <w:rStyle w:val="normaltextrun"/>
          <w:rFonts w:ascii="Century Gothic" w:hAnsi="Century Gothic" w:cs="Arial"/>
          <w:color w:val="000000"/>
          <w:shd w:val="clear" w:color="auto" w:fill="FFFFFF"/>
        </w:rPr>
        <w:t xml:space="preserve">, situación que reviste de gran importancia, pues </w:t>
      </w:r>
      <w:r w:rsidR="00D12D88" w:rsidRPr="000B4902">
        <w:rPr>
          <w:rStyle w:val="normaltextrun"/>
          <w:rFonts w:ascii="Century Gothic" w:hAnsi="Century Gothic" w:cs="Arial"/>
          <w:color w:val="000000"/>
          <w:shd w:val="clear" w:color="auto" w:fill="FFFFFF"/>
        </w:rPr>
        <w:t>los</w:t>
      </w:r>
      <w:r w:rsidR="00435B1B" w:rsidRPr="000B4902">
        <w:rPr>
          <w:rStyle w:val="normaltextrun"/>
          <w:rFonts w:ascii="Century Gothic" w:hAnsi="Century Gothic" w:cs="Arial"/>
          <w:color w:val="000000"/>
          <w:shd w:val="clear" w:color="auto" w:fill="FFFFFF"/>
        </w:rPr>
        <w:t xml:space="preserve"> reviste de </w:t>
      </w:r>
      <w:r w:rsidR="007C6D55" w:rsidRPr="000B4902">
        <w:rPr>
          <w:rStyle w:val="normaltextrun"/>
          <w:rFonts w:ascii="Century Gothic" w:hAnsi="Century Gothic" w:cs="Arial"/>
          <w:color w:val="000000"/>
          <w:shd w:val="clear" w:color="auto" w:fill="FFFFFF"/>
        </w:rPr>
        <w:t>ciertos derechos</w:t>
      </w:r>
      <w:r w:rsidR="0082528C" w:rsidRPr="000B4902">
        <w:rPr>
          <w:rStyle w:val="normaltextrun"/>
          <w:rFonts w:ascii="Century Gothic" w:hAnsi="Century Gothic" w:cs="Arial"/>
          <w:color w:val="000000"/>
          <w:shd w:val="clear" w:color="auto" w:fill="FFFFFF"/>
        </w:rPr>
        <w:t xml:space="preserve"> que se originan del debido proceso, como es el de la debida </w:t>
      </w:r>
      <w:r w:rsidR="00D12D88" w:rsidRPr="000B4902">
        <w:rPr>
          <w:rStyle w:val="normaltextrun"/>
          <w:rFonts w:ascii="Century Gothic" w:hAnsi="Century Gothic" w:cs="Arial"/>
          <w:color w:val="000000"/>
          <w:shd w:val="clear" w:color="auto" w:fill="FFFFFF"/>
        </w:rPr>
        <w:t xml:space="preserve">notificación, </w:t>
      </w:r>
      <w:r w:rsidR="0082528C" w:rsidRPr="000B4902">
        <w:rPr>
          <w:rStyle w:val="normaltextrun"/>
          <w:rFonts w:ascii="Century Gothic" w:hAnsi="Century Gothic" w:cs="Arial"/>
          <w:color w:val="000000"/>
          <w:shd w:val="clear" w:color="auto" w:fill="FFFFFF"/>
        </w:rPr>
        <w:t xml:space="preserve">el </w:t>
      </w:r>
      <w:r w:rsidR="00D12D88" w:rsidRPr="000B4902">
        <w:rPr>
          <w:rStyle w:val="normaltextrun"/>
          <w:rFonts w:ascii="Century Gothic" w:hAnsi="Century Gothic" w:cs="Arial"/>
          <w:color w:val="000000"/>
          <w:shd w:val="clear" w:color="auto" w:fill="FFFFFF"/>
        </w:rPr>
        <w:t>interponer recursos ante las decisiones de la administración, entre otros</w:t>
      </w:r>
      <w:r w:rsidR="00671E28" w:rsidRPr="000B4902">
        <w:rPr>
          <w:rStyle w:val="normaltextrun"/>
          <w:rFonts w:ascii="Century Gothic" w:hAnsi="Century Gothic" w:cs="Arial"/>
          <w:color w:val="000000"/>
          <w:shd w:val="clear" w:color="auto" w:fill="FFFFFF"/>
        </w:rPr>
        <w:t xml:space="preserve">. Teniendo en cuenta que en la audiencia de adjudicación </w:t>
      </w:r>
      <w:r w:rsidR="007C6D55" w:rsidRPr="000B4902">
        <w:rPr>
          <w:rStyle w:val="normaltextrun"/>
          <w:rFonts w:ascii="Century Gothic" w:hAnsi="Century Gothic" w:cs="Arial"/>
          <w:color w:val="000000"/>
          <w:shd w:val="clear" w:color="auto" w:fill="FFFFFF"/>
        </w:rPr>
        <w:t xml:space="preserve">se </w:t>
      </w:r>
      <w:r w:rsidR="00DA4F07" w:rsidRPr="000B4902">
        <w:rPr>
          <w:rStyle w:val="normaltextrun"/>
          <w:rFonts w:ascii="Century Gothic" w:hAnsi="Century Gothic" w:cs="Arial"/>
          <w:color w:val="000000"/>
          <w:shd w:val="clear" w:color="auto" w:fill="FFFFFF"/>
        </w:rPr>
        <w:t>escoge a</w:t>
      </w:r>
      <w:r w:rsidR="0053199E" w:rsidRPr="000B4902">
        <w:rPr>
          <w:rStyle w:val="normaltextrun"/>
          <w:rFonts w:ascii="Century Gothic" w:hAnsi="Century Gothic" w:cs="Arial"/>
          <w:color w:val="000000"/>
          <w:shd w:val="clear" w:color="auto" w:fill="FFFFFF"/>
        </w:rPr>
        <w:t xml:space="preserve"> la mejor oferta</w:t>
      </w:r>
      <w:r w:rsidR="00671E28" w:rsidRPr="000B4902">
        <w:rPr>
          <w:rStyle w:val="normaltextrun"/>
          <w:rFonts w:ascii="Century Gothic" w:hAnsi="Century Gothic" w:cs="Arial"/>
          <w:color w:val="000000"/>
          <w:shd w:val="clear" w:color="auto" w:fill="FFFFFF"/>
        </w:rPr>
        <w:t>, garantizar la</w:t>
      </w:r>
      <w:r w:rsidR="0053199E" w:rsidRPr="000B4902">
        <w:rPr>
          <w:rStyle w:val="normaltextrun"/>
          <w:rFonts w:ascii="Century Gothic" w:hAnsi="Century Gothic" w:cs="Arial"/>
          <w:color w:val="000000"/>
          <w:shd w:val="clear" w:color="auto" w:fill="FFFFFF"/>
        </w:rPr>
        <w:t xml:space="preserve"> participación </w:t>
      </w:r>
      <w:r w:rsidR="00671E28" w:rsidRPr="000B4902">
        <w:rPr>
          <w:rStyle w:val="normaltextrun"/>
          <w:rFonts w:ascii="Century Gothic" w:hAnsi="Century Gothic" w:cs="Arial"/>
          <w:color w:val="000000"/>
          <w:shd w:val="clear" w:color="auto" w:fill="FFFFFF"/>
        </w:rPr>
        <w:t xml:space="preserve">efectiva de los proponentes es </w:t>
      </w:r>
      <w:r w:rsidR="00A26229" w:rsidRPr="000B4902">
        <w:rPr>
          <w:rStyle w:val="normaltextrun"/>
          <w:rFonts w:ascii="Century Gothic" w:hAnsi="Century Gothic" w:cs="Arial"/>
          <w:color w:val="000000"/>
          <w:shd w:val="clear" w:color="auto" w:fill="FFFFFF"/>
        </w:rPr>
        <w:t>un deber de las</w:t>
      </w:r>
      <w:r w:rsidR="00A1635B" w:rsidRPr="000B4902">
        <w:rPr>
          <w:rStyle w:val="normaltextrun"/>
          <w:rFonts w:ascii="Century Gothic" w:hAnsi="Century Gothic" w:cs="Arial"/>
          <w:color w:val="000000"/>
          <w:shd w:val="clear" w:color="auto" w:fill="FFFFFF"/>
        </w:rPr>
        <w:t xml:space="preserve"> Entidades Estatales, </w:t>
      </w:r>
      <w:r w:rsidR="00A26229" w:rsidRPr="000B4902">
        <w:rPr>
          <w:rStyle w:val="normaltextrun"/>
          <w:rFonts w:ascii="Century Gothic" w:hAnsi="Century Gothic" w:cs="Arial"/>
          <w:color w:val="000000"/>
          <w:shd w:val="clear" w:color="auto" w:fill="FFFFFF"/>
        </w:rPr>
        <w:t>por lo que para ello debe garantizar que esta participación pueda</w:t>
      </w:r>
      <w:r w:rsidR="0053199E" w:rsidRPr="000B4902">
        <w:rPr>
          <w:rStyle w:val="normaltextrun"/>
          <w:rFonts w:ascii="Century Gothic" w:hAnsi="Century Gothic" w:cs="Arial"/>
          <w:color w:val="000000"/>
          <w:shd w:val="clear" w:color="auto" w:fill="FFFFFF"/>
        </w:rPr>
        <w:t xml:space="preserve"> realizarse</w:t>
      </w:r>
      <w:r w:rsidR="004C18D7" w:rsidRPr="000B4902">
        <w:rPr>
          <w:rStyle w:val="normaltextrun"/>
          <w:rFonts w:ascii="Century Gothic" w:hAnsi="Century Gothic" w:cs="Arial"/>
          <w:color w:val="000000"/>
          <w:shd w:val="clear" w:color="auto" w:fill="FFFFFF"/>
        </w:rPr>
        <w:t xml:space="preserve"> </w:t>
      </w:r>
      <w:r w:rsidR="00547958" w:rsidRPr="000B4902">
        <w:rPr>
          <w:rStyle w:val="normaltextrun"/>
          <w:rFonts w:ascii="Century Gothic" w:hAnsi="Century Gothic" w:cs="Arial"/>
          <w:color w:val="000000"/>
          <w:shd w:val="clear" w:color="auto" w:fill="FFFFFF"/>
        </w:rPr>
        <w:t>directamente por la persona natural o por el representante legal de la persona jurídica o del proponente plural</w:t>
      </w:r>
      <w:r w:rsidR="00D54F57" w:rsidRPr="000B4902">
        <w:rPr>
          <w:rStyle w:val="normaltextrun"/>
          <w:rFonts w:ascii="Century Gothic" w:hAnsi="Century Gothic" w:cs="Arial"/>
          <w:color w:val="000000"/>
          <w:shd w:val="clear" w:color="auto" w:fill="FFFFFF"/>
        </w:rPr>
        <w:t>, o también</w:t>
      </w:r>
      <w:r w:rsidR="001C2D1B" w:rsidRPr="000B4902">
        <w:rPr>
          <w:rStyle w:val="normaltextrun"/>
          <w:rFonts w:ascii="Century Gothic" w:hAnsi="Century Gothic" w:cs="Arial"/>
          <w:color w:val="000000"/>
          <w:shd w:val="clear" w:color="auto" w:fill="FFFFFF"/>
        </w:rPr>
        <w:t>,</w:t>
      </w:r>
      <w:r w:rsidR="00D54F57" w:rsidRPr="000B4902">
        <w:rPr>
          <w:rStyle w:val="normaltextrun"/>
          <w:rFonts w:ascii="Century Gothic" w:hAnsi="Century Gothic" w:cs="Arial"/>
          <w:color w:val="000000"/>
          <w:shd w:val="clear" w:color="auto" w:fill="FFFFFF"/>
        </w:rPr>
        <w:t xml:space="preserve"> </w:t>
      </w:r>
      <w:r w:rsidR="00656F90" w:rsidRPr="000B4902">
        <w:rPr>
          <w:rStyle w:val="normaltextrun"/>
          <w:rFonts w:ascii="Century Gothic" w:hAnsi="Century Gothic" w:cs="Arial"/>
          <w:color w:val="000000"/>
          <w:shd w:val="clear" w:color="auto" w:fill="FFFFFF"/>
        </w:rPr>
        <w:t xml:space="preserve">que </w:t>
      </w:r>
      <w:r w:rsidR="00D54F57" w:rsidRPr="000B4902">
        <w:rPr>
          <w:rStyle w:val="normaltextrun"/>
          <w:rFonts w:ascii="Century Gothic" w:hAnsi="Century Gothic" w:cs="Arial"/>
          <w:color w:val="000000"/>
          <w:shd w:val="clear" w:color="auto" w:fill="FFFFFF"/>
        </w:rPr>
        <w:t>pued</w:t>
      </w:r>
      <w:r w:rsidR="00656F90" w:rsidRPr="000B4902">
        <w:rPr>
          <w:rStyle w:val="normaltextrun"/>
          <w:rFonts w:ascii="Century Gothic" w:hAnsi="Century Gothic" w:cs="Arial"/>
          <w:color w:val="000000"/>
          <w:shd w:val="clear" w:color="auto" w:fill="FFFFFF"/>
        </w:rPr>
        <w:t xml:space="preserve">an </w:t>
      </w:r>
      <w:r w:rsidR="00D54F57" w:rsidRPr="000B4902">
        <w:rPr>
          <w:rStyle w:val="normaltextrun"/>
          <w:rFonts w:ascii="Century Gothic" w:hAnsi="Century Gothic" w:cs="Arial"/>
          <w:color w:val="000000"/>
          <w:shd w:val="clear" w:color="auto" w:fill="FFFFFF"/>
        </w:rPr>
        <w:t xml:space="preserve">participar en ella personas que </w:t>
      </w:r>
      <w:r w:rsidR="009E68AB" w:rsidRPr="000B4902">
        <w:rPr>
          <w:rStyle w:val="normaltextrun"/>
          <w:rFonts w:ascii="Century Gothic" w:hAnsi="Century Gothic" w:cs="Arial"/>
          <w:color w:val="000000"/>
          <w:shd w:val="clear" w:color="auto" w:fill="FFFFFF"/>
        </w:rPr>
        <w:t xml:space="preserve">los acompañen o </w:t>
      </w:r>
      <w:r w:rsidR="0034542B" w:rsidRPr="000B4902">
        <w:rPr>
          <w:rStyle w:val="normaltextrun"/>
          <w:rFonts w:ascii="Century Gothic" w:hAnsi="Century Gothic" w:cs="Arial"/>
          <w:color w:val="000000"/>
          <w:shd w:val="clear" w:color="auto" w:fill="FFFFFF"/>
        </w:rPr>
        <w:t xml:space="preserve">las personas que designen para ello </w:t>
      </w:r>
      <w:r w:rsidR="00B51139" w:rsidRPr="000B4902">
        <w:rPr>
          <w:rStyle w:val="normaltextrun"/>
          <w:rFonts w:ascii="Century Gothic" w:hAnsi="Century Gothic" w:cs="Arial"/>
          <w:color w:val="000000"/>
          <w:shd w:val="clear" w:color="auto" w:fill="FFFFFF"/>
        </w:rPr>
        <w:t>a</w:t>
      </w:r>
      <w:r w:rsidR="00D54F57" w:rsidRPr="000B4902">
        <w:rPr>
          <w:rStyle w:val="normaltextrun"/>
          <w:rFonts w:ascii="Century Gothic" w:hAnsi="Century Gothic" w:cs="Arial"/>
          <w:color w:val="000000"/>
          <w:shd w:val="clear" w:color="auto" w:fill="FFFFFF"/>
        </w:rPr>
        <w:t xml:space="preserve"> través de un mandato</w:t>
      </w:r>
      <w:r w:rsidR="0034542B" w:rsidRPr="000B4902">
        <w:rPr>
          <w:rStyle w:val="normaltextrun"/>
          <w:rFonts w:ascii="Century Gothic" w:hAnsi="Century Gothic" w:cs="Arial"/>
          <w:color w:val="000000"/>
          <w:shd w:val="clear" w:color="auto" w:fill="FFFFFF"/>
        </w:rPr>
        <w:t xml:space="preserve"> o autorización</w:t>
      </w:r>
      <w:r w:rsidR="00256C79" w:rsidRPr="000B4902">
        <w:rPr>
          <w:rStyle w:val="normaltextrun"/>
          <w:rFonts w:ascii="Century Gothic" w:hAnsi="Century Gothic" w:cs="Arial"/>
          <w:color w:val="000000"/>
          <w:shd w:val="clear" w:color="auto" w:fill="FFFFFF"/>
        </w:rPr>
        <w:t xml:space="preserve">. </w:t>
      </w:r>
      <w:r w:rsidR="00B51139" w:rsidRPr="000B4902">
        <w:rPr>
          <w:rStyle w:val="normaltextrun"/>
          <w:rFonts w:ascii="Century Gothic" w:hAnsi="Century Gothic" w:cs="Arial"/>
          <w:color w:val="000000"/>
          <w:shd w:val="clear" w:color="auto" w:fill="FFFFFF"/>
        </w:rPr>
        <w:t>Además, de</w:t>
      </w:r>
      <w:r w:rsidR="00DA4F07" w:rsidRPr="000B4902">
        <w:rPr>
          <w:rStyle w:val="normaltextrun"/>
          <w:rFonts w:ascii="Century Gothic" w:hAnsi="Century Gothic" w:cs="Arial"/>
          <w:color w:val="000000"/>
          <w:shd w:val="clear" w:color="auto" w:fill="FFFFFF"/>
        </w:rPr>
        <w:t xml:space="preserve"> acuerdo con lo señalado en las normas citadas, es una audiencia pública</w:t>
      </w:r>
      <w:r w:rsidR="00956C02" w:rsidRPr="000B4902">
        <w:rPr>
          <w:rStyle w:val="normaltextrun"/>
          <w:rFonts w:ascii="Century Gothic" w:hAnsi="Century Gothic" w:cs="Arial"/>
          <w:color w:val="000000"/>
          <w:shd w:val="clear" w:color="auto" w:fill="FFFFFF"/>
        </w:rPr>
        <w:t xml:space="preserve"> </w:t>
      </w:r>
      <w:r w:rsidR="00DA4F07" w:rsidRPr="000B4902">
        <w:rPr>
          <w:rStyle w:val="normaltextrun"/>
          <w:rFonts w:ascii="Century Gothic" w:hAnsi="Century Gothic" w:cs="Arial"/>
          <w:color w:val="000000"/>
          <w:shd w:val="clear" w:color="auto" w:fill="FFFFFF"/>
        </w:rPr>
        <w:t>a</w:t>
      </w:r>
      <w:r w:rsidR="00956C02" w:rsidRPr="000B4902">
        <w:rPr>
          <w:rStyle w:val="normaltextrun"/>
          <w:rFonts w:ascii="Century Gothic" w:hAnsi="Century Gothic" w:cs="Arial"/>
          <w:color w:val="000000"/>
          <w:shd w:val="clear" w:color="auto" w:fill="FFFFFF"/>
        </w:rPr>
        <w:t xml:space="preserve"> </w:t>
      </w:r>
      <w:r w:rsidR="00DA4F07" w:rsidRPr="000B4902">
        <w:rPr>
          <w:rStyle w:val="normaltextrun"/>
          <w:rFonts w:ascii="Century Gothic" w:hAnsi="Century Gothic" w:cs="Arial"/>
          <w:color w:val="000000"/>
          <w:shd w:val="clear" w:color="auto" w:fill="FFFFFF"/>
        </w:rPr>
        <w:t>la</w:t>
      </w:r>
      <w:r w:rsidR="00956C02" w:rsidRPr="000B4902">
        <w:rPr>
          <w:rStyle w:val="normaltextrun"/>
          <w:rFonts w:ascii="Century Gothic" w:hAnsi="Century Gothic" w:cs="Arial"/>
          <w:color w:val="000000"/>
          <w:shd w:val="clear" w:color="auto" w:fill="FFFFFF"/>
        </w:rPr>
        <w:t xml:space="preserve"> </w:t>
      </w:r>
      <w:r w:rsidR="00DA4F07" w:rsidRPr="000B4902">
        <w:rPr>
          <w:rStyle w:val="normaltextrun"/>
          <w:rFonts w:ascii="Century Gothic" w:hAnsi="Century Gothic" w:cs="Arial"/>
          <w:color w:val="000000"/>
          <w:shd w:val="clear" w:color="auto" w:fill="FFFFFF"/>
        </w:rPr>
        <w:t>cual</w:t>
      </w:r>
      <w:r w:rsidR="00956C02" w:rsidRPr="000B4902">
        <w:rPr>
          <w:rStyle w:val="normaltextrun"/>
          <w:rFonts w:ascii="Century Gothic" w:hAnsi="Century Gothic" w:cs="Arial"/>
          <w:color w:val="000000"/>
          <w:shd w:val="clear" w:color="auto" w:fill="FFFFFF"/>
        </w:rPr>
        <w:t xml:space="preserve"> </w:t>
      </w:r>
      <w:r w:rsidR="00DA4F07" w:rsidRPr="000B4902">
        <w:rPr>
          <w:rStyle w:val="normaltextrun"/>
          <w:rFonts w:ascii="Century Gothic" w:hAnsi="Century Gothic" w:cs="Arial"/>
          <w:color w:val="000000"/>
          <w:shd w:val="clear" w:color="auto" w:fill="FFFFFF"/>
        </w:rPr>
        <w:t>pueden asistir las personas que lo deseen, lo cual implica que el proponente no es el único</w:t>
      </w:r>
      <w:r w:rsidR="000B3277" w:rsidRPr="000B4902">
        <w:rPr>
          <w:rStyle w:val="normaltextrun"/>
          <w:rFonts w:ascii="Century Gothic" w:hAnsi="Century Gothic" w:cs="Arial"/>
          <w:color w:val="000000"/>
          <w:shd w:val="clear" w:color="auto" w:fill="FFFFFF"/>
        </w:rPr>
        <w:t xml:space="preserve"> </w:t>
      </w:r>
      <w:r w:rsidR="00DA4F07" w:rsidRPr="000B4902">
        <w:rPr>
          <w:rStyle w:val="normaltextrun"/>
          <w:rFonts w:ascii="Century Gothic" w:hAnsi="Century Gothic" w:cs="Arial"/>
          <w:color w:val="000000"/>
          <w:shd w:val="clear" w:color="auto" w:fill="FFFFFF"/>
        </w:rPr>
        <w:t>asistente</w:t>
      </w:r>
      <w:r w:rsidR="000B3277" w:rsidRPr="000B4902">
        <w:rPr>
          <w:rStyle w:val="normaltextrun"/>
          <w:rFonts w:ascii="Century Gothic" w:hAnsi="Century Gothic" w:cs="Arial"/>
          <w:color w:val="000000"/>
          <w:shd w:val="clear" w:color="auto" w:fill="FFFFFF"/>
        </w:rPr>
        <w:t xml:space="preserve"> o interviniente</w:t>
      </w:r>
      <w:r w:rsidR="00DA4F07" w:rsidRPr="000B4902">
        <w:rPr>
          <w:rStyle w:val="normaltextrun"/>
          <w:rFonts w:ascii="Century Gothic" w:hAnsi="Century Gothic" w:cs="Arial"/>
          <w:color w:val="000000"/>
          <w:shd w:val="clear" w:color="auto" w:fill="FFFFFF"/>
        </w:rPr>
        <w:t>.</w:t>
      </w:r>
    </w:p>
    <w:p w14:paraId="3D41CB6B" w14:textId="71B2F84A" w:rsidR="00DA4F07" w:rsidRPr="000B4902" w:rsidRDefault="00DA4F07" w:rsidP="00DA4F07">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En ese sentido, </w:t>
      </w:r>
      <w:r w:rsidRPr="000B4902">
        <w:rPr>
          <w:rFonts w:ascii="Century Gothic" w:hAnsi="Century Gothic" w:cs="Arial"/>
          <w:lang w:val="es-ES"/>
        </w:rPr>
        <w:t xml:space="preserve">el artículo 2.2.1.2.1.1.2 del Decreto 1082 de 2015 señala que los proponentes pueden designar personas para que intervengan en la audiencia, lo cual se limita al tiempo máximo que otorgue la entidad para la intervención. Por tanto, el oferente puede asistir acompañado, pero también puede solicitarle a una persona que asista en su representación, a lo cual se le denomina apoderado o mandatario y es diferente a </w:t>
      </w:r>
      <w:r w:rsidR="00EE2267" w:rsidRPr="000B4902">
        <w:rPr>
          <w:rFonts w:ascii="Century Gothic" w:hAnsi="Century Gothic" w:cs="Arial"/>
          <w:lang w:val="es-ES"/>
        </w:rPr>
        <w:t>la denominada autorización</w:t>
      </w:r>
      <w:r w:rsidRPr="000B4902">
        <w:rPr>
          <w:rFonts w:ascii="Century Gothic" w:hAnsi="Century Gothic" w:cs="Arial"/>
          <w:lang w:val="es-ES"/>
        </w:rPr>
        <w:t xml:space="preserve"> </w:t>
      </w:r>
      <w:r w:rsidR="00C474AC" w:rsidRPr="000B4902">
        <w:rPr>
          <w:rFonts w:ascii="Century Gothic" w:hAnsi="Century Gothic" w:cs="Arial"/>
          <w:lang w:val="es-ES"/>
        </w:rPr>
        <w:t xml:space="preserve">para notificarse, </w:t>
      </w:r>
      <w:r w:rsidR="000F2058" w:rsidRPr="000B4902">
        <w:rPr>
          <w:rFonts w:ascii="Century Gothic" w:hAnsi="Century Gothic" w:cs="Arial"/>
          <w:lang w:val="es-ES"/>
        </w:rPr>
        <w:t>en los siguientes aspectos:</w:t>
      </w:r>
    </w:p>
    <w:bookmarkEnd w:id="4"/>
    <w:p w14:paraId="2025A502" w14:textId="0FD04B81" w:rsidR="00DA4F07" w:rsidRPr="000B4902" w:rsidRDefault="00DA4F07" w:rsidP="00DA4F07">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De acuerdo con el artículo 2142 del Código Civil, el mandato es </w:t>
      </w:r>
      <w:r w:rsidR="004B0872" w:rsidRPr="000B4902">
        <w:rPr>
          <w:rFonts w:ascii="Century Gothic" w:eastAsia="Calibri" w:hAnsi="Century Gothic" w:cs="Arial"/>
        </w:rPr>
        <w:t>“</w:t>
      </w:r>
      <w:r w:rsidRPr="000B4902">
        <w:rPr>
          <w:rFonts w:ascii="Century Gothic" w:eastAsia="Calibri" w:hAnsi="Century Gothic" w:cs="Arial"/>
        </w:rPr>
        <w:t>un contrato en que una persona confía la gestión de uno o más negocios a otra, que se hace cargo de ellos por cuenta y riesgo de la primera</w:t>
      </w:r>
      <w:r w:rsidR="004B0872" w:rsidRPr="000B4902">
        <w:rPr>
          <w:rFonts w:ascii="Century Gothic" w:eastAsia="Calibri" w:hAnsi="Century Gothic" w:cs="Arial"/>
        </w:rPr>
        <w:t>”</w:t>
      </w:r>
      <w:r w:rsidRPr="000B4902">
        <w:rPr>
          <w:rFonts w:ascii="Century Gothic" w:eastAsia="Calibri" w:hAnsi="Century Gothic" w:cs="Arial"/>
        </w:rPr>
        <w:t xml:space="preserve">. Asimismo, el artículo 2177 </w:t>
      </w:r>
      <w:r w:rsidRPr="000B4902">
        <w:rPr>
          <w:rFonts w:ascii="Century Gothic" w:eastAsia="Calibri" w:hAnsi="Century Gothic" w:cs="Arial"/>
          <w:i/>
        </w:rPr>
        <w:t>ibidem</w:t>
      </w:r>
      <w:r w:rsidRPr="000B4902">
        <w:rPr>
          <w:rFonts w:ascii="Century Gothic" w:eastAsia="Calibri" w:hAnsi="Century Gothic" w:cs="Arial"/>
        </w:rPr>
        <w:t xml:space="preserve"> prescribe que </w:t>
      </w:r>
      <w:r w:rsidR="004B0872" w:rsidRPr="000B4902">
        <w:rPr>
          <w:rFonts w:ascii="Century Gothic" w:eastAsia="Calibri" w:hAnsi="Century Gothic" w:cs="Arial"/>
        </w:rPr>
        <w:t>“</w:t>
      </w:r>
      <w:r w:rsidRPr="000B4902">
        <w:rPr>
          <w:rFonts w:ascii="Century Gothic" w:eastAsia="Calibri" w:hAnsi="Century Gothic" w:cs="Arial"/>
        </w:rPr>
        <w:t>El mandatario puede, en el ejercicio de su cargo, contestar (sic) a su propio nombre o al del mandante; si contrata a su propio nombre no obliga respecto de terceros al mandante</w:t>
      </w:r>
      <w:r w:rsidR="004B0872" w:rsidRPr="000B4902">
        <w:rPr>
          <w:rFonts w:ascii="Century Gothic" w:eastAsia="Calibri" w:hAnsi="Century Gothic" w:cs="Arial"/>
        </w:rPr>
        <w:t>”</w:t>
      </w:r>
      <w:r w:rsidRPr="000B4902">
        <w:rPr>
          <w:rFonts w:ascii="Century Gothic" w:eastAsia="Calibri" w:hAnsi="Century Gothic" w:cs="Arial"/>
        </w:rPr>
        <w:t>.</w:t>
      </w:r>
    </w:p>
    <w:p w14:paraId="4CF0BF26" w14:textId="62938DD8" w:rsidR="00F36611" w:rsidRPr="000B4902" w:rsidRDefault="00F36611" w:rsidP="00F36611">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Por su parte, el mandato comercial contemplado en el artículo 1262</w:t>
      </w:r>
      <w:r w:rsidR="00FF461D" w:rsidRPr="000B4902">
        <w:rPr>
          <w:rFonts w:ascii="Century Gothic" w:eastAsia="Calibri" w:hAnsi="Century Gothic" w:cs="Arial"/>
        </w:rPr>
        <w:t xml:space="preserve"> </w:t>
      </w:r>
      <w:r w:rsidR="006D3BA5" w:rsidRPr="000B4902">
        <w:rPr>
          <w:rFonts w:ascii="Century Gothic" w:eastAsia="Calibri" w:hAnsi="Century Gothic" w:cs="Arial"/>
        </w:rPr>
        <w:t xml:space="preserve">del Código de Comercio, </w:t>
      </w:r>
      <w:r w:rsidR="00FF461D" w:rsidRPr="000B4902">
        <w:rPr>
          <w:rFonts w:ascii="Century Gothic" w:eastAsia="Calibri" w:hAnsi="Century Gothic" w:cs="Arial"/>
        </w:rPr>
        <w:t>definen a dicho contrato como aquel por el cual “u</w:t>
      </w:r>
      <w:r w:rsidRPr="000B4902">
        <w:rPr>
          <w:rFonts w:ascii="Century Gothic" w:eastAsia="Calibri" w:hAnsi="Century Gothic" w:cs="Arial"/>
        </w:rPr>
        <w:t>na parte se obliga a celebrar o ejecutar uno o más actos de comercio por cuenta de otra.</w:t>
      </w:r>
      <w:r w:rsidR="00FF461D" w:rsidRPr="000B4902">
        <w:rPr>
          <w:rFonts w:ascii="Century Gothic" w:eastAsia="Calibri" w:hAnsi="Century Gothic" w:cs="Arial"/>
        </w:rPr>
        <w:t xml:space="preserve"> </w:t>
      </w:r>
      <w:r w:rsidRPr="000B4902">
        <w:rPr>
          <w:rFonts w:ascii="Century Gothic" w:eastAsia="Calibri" w:hAnsi="Century Gothic" w:cs="Arial"/>
        </w:rPr>
        <w:t>El mandato puede conllevar o no la representación del mandante.</w:t>
      </w:r>
      <w:r w:rsidR="00FF461D" w:rsidRPr="000B4902">
        <w:rPr>
          <w:rFonts w:ascii="Century Gothic" w:eastAsia="Calibri" w:hAnsi="Century Gothic" w:cs="Arial"/>
        </w:rPr>
        <w:t>”</w:t>
      </w:r>
    </w:p>
    <w:p w14:paraId="1165DF35" w14:textId="77777777" w:rsidR="007F5BF1" w:rsidRPr="000B4902" w:rsidRDefault="00E57696" w:rsidP="00DA4F07">
      <w:pPr>
        <w:spacing w:before="120" w:after="120" w:line="276" w:lineRule="auto"/>
        <w:ind w:firstLine="709"/>
        <w:jc w:val="both"/>
        <w:rPr>
          <w:rFonts w:ascii="Century Gothic" w:eastAsia="Calibri" w:hAnsi="Century Gothic" w:cs="Arial"/>
        </w:rPr>
      </w:pPr>
      <w:bookmarkStart w:id="5" w:name="_Hlk111629071"/>
      <w:bookmarkStart w:id="6" w:name="_Hlk109037795"/>
      <w:r w:rsidRPr="000B4902">
        <w:rPr>
          <w:rFonts w:ascii="Century Gothic" w:eastAsia="Calibri" w:hAnsi="Century Gothic" w:cs="Arial"/>
        </w:rPr>
        <w:t>Cuando</w:t>
      </w:r>
      <w:r w:rsidR="00DA4F07" w:rsidRPr="000B4902">
        <w:rPr>
          <w:rFonts w:ascii="Century Gothic" w:eastAsia="Calibri" w:hAnsi="Century Gothic" w:cs="Arial"/>
        </w:rPr>
        <w:t xml:space="preserve"> el oferente </w:t>
      </w:r>
      <w:r w:rsidR="00D45641" w:rsidRPr="000B4902">
        <w:rPr>
          <w:rFonts w:ascii="Century Gothic" w:eastAsia="Calibri" w:hAnsi="Century Gothic" w:cs="Arial"/>
        </w:rPr>
        <w:t xml:space="preserve">permite que en la audiencia de adjudicación asista su </w:t>
      </w:r>
      <w:r w:rsidR="00DA4F07" w:rsidRPr="000B4902">
        <w:rPr>
          <w:rFonts w:ascii="Century Gothic" w:eastAsia="Calibri" w:hAnsi="Century Gothic" w:cs="Arial"/>
        </w:rPr>
        <w:t xml:space="preserve">mandatario </w:t>
      </w:r>
      <w:r w:rsidR="00D45641" w:rsidRPr="000B4902">
        <w:rPr>
          <w:rFonts w:ascii="Century Gothic" w:eastAsia="Calibri" w:hAnsi="Century Gothic" w:cs="Arial"/>
        </w:rPr>
        <w:t xml:space="preserve">u </w:t>
      </w:r>
      <w:r w:rsidR="00DA4F07" w:rsidRPr="000B4902">
        <w:rPr>
          <w:rFonts w:ascii="Century Gothic" w:eastAsia="Calibri" w:hAnsi="Century Gothic" w:cs="Arial"/>
        </w:rPr>
        <w:t xml:space="preserve">apoderado, se establece la posibilidad que, en virtud de ese mandato, el apoderado </w:t>
      </w:r>
      <w:r w:rsidR="00FB7F83" w:rsidRPr="000B4902">
        <w:rPr>
          <w:rFonts w:ascii="Century Gothic" w:eastAsia="Calibri" w:hAnsi="Century Gothic" w:cs="Arial"/>
        </w:rPr>
        <w:t xml:space="preserve">o mandatario </w:t>
      </w:r>
      <w:r w:rsidR="00D45641" w:rsidRPr="000B4902">
        <w:rPr>
          <w:rFonts w:ascii="Century Gothic" w:eastAsia="Calibri" w:hAnsi="Century Gothic" w:cs="Arial"/>
        </w:rPr>
        <w:t xml:space="preserve">pueda intervenir </w:t>
      </w:r>
      <w:r w:rsidR="00DA4F07" w:rsidRPr="000B4902">
        <w:rPr>
          <w:rFonts w:ascii="Century Gothic" w:eastAsia="Calibri" w:hAnsi="Century Gothic" w:cs="Arial"/>
        </w:rPr>
        <w:t>en la audiencia en nombre del proponente</w:t>
      </w:r>
      <w:r w:rsidR="00953D2F" w:rsidRPr="000B4902">
        <w:rPr>
          <w:rFonts w:ascii="Century Gothic" w:eastAsia="Calibri" w:hAnsi="Century Gothic" w:cs="Arial"/>
        </w:rPr>
        <w:t xml:space="preserve"> y a su vez notificarse en caso de ser el adjudicatario del contrato</w:t>
      </w:r>
      <w:r w:rsidR="00DA4F07" w:rsidRPr="000B4902">
        <w:rPr>
          <w:rFonts w:ascii="Century Gothic" w:eastAsia="Calibri" w:hAnsi="Century Gothic" w:cs="Arial"/>
        </w:rPr>
        <w:t xml:space="preserve">. Por consiguiente, esto se refiere a la capacidad de representar y adquirir obligaciones a nombre del proponente. </w:t>
      </w:r>
    </w:p>
    <w:p w14:paraId="2981D8E2" w14:textId="14AB78E6" w:rsidR="007F5BF1" w:rsidRPr="000B4902" w:rsidRDefault="009B14A8" w:rsidP="007F5BF1">
      <w:pPr>
        <w:spacing w:before="120" w:line="276" w:lineRule="auto"/>
        <w:ind w:firstLine="709"/>
        <w:jc w:val="both"/>
        <w:rPr>
          <w:rFonts w:ascii="Century Gothic" w:eastAsia="Calibri" w:hAnsi="Century Gothic" w:cs="Arial"/>
        </w:rPr>
      </w:pPr>
      <w:bookmarkStart w:id="7" w:name="_Hlk111629122"/>
      <w:r w:rsidRPr="000B4902">
        <w:rPr>
          <w:rFonts w:ascii="Century Gothic" w:eastAsia="Calibri" w:hAnsi="Century Gothic" w:cs="Arial"/>
        </w:rPr>
        <w:t>So</w:t>
      </w:r>
      <w:r w:rsidR="007F5BF1" w:rsidRPr="000B4902">
        <w:rPr>
          <w:rFonts w:ascii="Century Gothic" w:eastAsia="Calibri" w:hAnsi="Century Gothic" w:cs="Arial"/>
        </w:rPr>
        <w:t>bre la aplicabilidad en el mandato de lo dispuesto en el Decreto 196 de 1971, es necesario resaltar que su artículo 35 dispone que es necesaria la profesión de abogado cuando exista representación de una persona en una actuación ante la Administración, en virtud de un mandato</w:t>
      </w:r>
      <w:r w:rsidR="007F5BF1" w:rsidRPr="000B4902">
        <w:rPr>
          <w:rStyle w:val="Refdenotaalpie"/>
          <w:rFonts w:ascii="Century Gothic" w:eastAsia="Calibri" w:hAnsi="Century Gothic" w:cs="Arial"/>
        </w:rPr>
        <w:footnoteReference w:id="15"/>
      </w:r>
      <w:r w:rsidR="007F5BF1" w:rsidRPr="000B4902">
        <w:rPr>
          <w:rFonts w:ascii="Century Gothic" w:eastAsia="Calibri" w:hAnsi="Century Gothic" w:cs="Arial"/>
        </w:rPr>
        <w:t>. La Corte Constitucional se refirió a esta norma, manifestando que se encuentra ajustada a la carta política puesto que el legislador puede establecer esta exigencia valorando las necesidades de los administrados en sus intervenciones</w:t>
      </w:r>
      <w:bookmarkEnd w:id="7"/>
      <w:r w:rsidR="007F5BF1" w:rsidRPr="000B4902">
        <w:rPr>
          <w:rFonts w:ascii="Century Gothic" w:eastAsia="Calibri" w:hAnsi="Century Gothic" w:cs="Arial"/>
        </w:rPr>
        <w:t xml:space="preserve">: </w:t>
      </w:r>
    </w:p>
    <w:p w14:paraId="756A25AC" w14:textId="77777777" w:rsidR="007F5BF1" w:rsidRPr="000B4902" w:rsidRDefault="007F5BF1" w:rsidP="007F5BF1">
      <w:pPr>
        <w:ind w:left="709" w:right="709"/>
        <w:jc w:val="both"/>
        <w:rPr>
          <w:rFonts w:ascii="Century Gothic" w:eastAsia="Calibri" w:hAnsi="Century Gothic" w:cs="Arial"/>
          <w:sz w:val="21"/>
          <w:szCs w:val="21"/>
        </w:rPr>
      </w:pPr>
      <w:r w:rsidRPr="000B4902">
        <w:rPr>
          <w:rFonts w:ascii="Century Gothic" w:eastAsia="Calibri" w:hAnsi="Century Gothic" w:cs="Arial"/>
          <w:sz w:val="21"/>
          <w:szCs w:val="21"/>
        </w:rPr>
        <w:t>“De lo expuesto se ha de concluir que los derechos a participar en la cosa pública y a demandar de las autoridades pronta y cumplida justicia, aunque expresiones de la misma organización social y estatal, tienen ámbito de aplicación diferente, el cual habrá de ser tenido en cuenta por el legislador al efectuar los desarrollos normativos constitucionalmente autorizados. Empero, resulta relevante aclarar que en materia de participación ante las autoridades administrativas, no siempre es posible establecer una diferencia nítida entre una y otra intervención, porque son variadas las oportunidades en las que la protección de un derecho individual depende de una actuación administrativa y si bien es cierto que las actuaciones de la administración pueden ser objeto de examen judicial, en muchos casos  la efectividad de los derechos depende de lo inicialmente actuado y, por ende, de la eficaz intervención que adelante el asociado, ante la administración, en defensa de sus derechos.”</w:t>
      </w:r>
      <w:r w:rsidRPr="000B4902">
        <w:rPr>
          <w:rStyle w:val="Refdenotaalpie"/>
          <w:rFonts w:ascii="Century Gothic" w:eastAsia="Calibri" w:hAnsi="Century Gothic" w:cs="Arial"/>
          <w:sz w:val="21"/>
          <w:szCs w:val="21"/>
        </w:rPr>
        <w:footnoteReference w:id="16"/>
      </w:r>
    </w:p>
    <w:p w14:paraId="6F86956E" w14:textId="77777777" w:rsidR="007F5BF1" w:rsidRPr="000B4902" w:rsidRDefault="007F5BF1" w:rsidP="007F5BF1">
      <w:pPr>
        <w:spacing w:after="120" w:line="276" w:lineRule="auto"/>
        <w:ind w:firstLine="709"/>
        <w:jc w:val="both"/>
        <w:rPr>
          <w:rFonts w:ascii="Century Gothic" w:eastAsia="Calibri" w:hAnsi="Century Gothic" w:cs="Arial"/>
        </w:rPr>
      </w:pPr>
      <w:r w:rsidRPr="000B4902">
        <w:rPr>
          <w:rFonts w:ascii="Century Gothic" w:hAnsi="Century Gothic" w:cs="Arial"/>
          <w:lang w:val="es-ES"/>
        </w:rPr>
        <w:t xml:space="preserve">En consecuencia, </w:t>
      </w:r>
      <w:r w:rsidRPr="000B4902">
        <w:rPr>
          <w:rFonts w:ascii="Century Gothic" w:eastAsia="Calibri" w:hAnsi="Century Gothic" w:cs="Arial"/>
        </w:rPr>
        <w:t>si el oferente otorga un mandato para que una persona sea su representante en la audiencia de adjudicación, en virtud de ese mandato, el apoderado o mandatario puede intervenir en la audiencia de adjudicación, sin que sea necesario que el oferente lo haga. En este caso, el apoderado o mandatario debe ser abogado, conforme al artículo 35 del Decreto 196 de 1971</w:t>
      </w:r>
      <w:r w:rsidRPr="000B4902">
        <w:rPr>
          <w:rStyle w:val="Refdenotaalpie"/>
          <w:rFonts w:ascii="Century Gothic" w:eastAsia="Calibri" w:hAnsi="Century Gothic" w:cs="Arial"/>
        </w:rPr>
        <w:footnoteReference w:id="17"/>
      </w:r>
      <w:r w:rsidRPr="000B4902">
        <w:rPr>
          <w:rFonts w:ascii="Century Gothic" w:eastAsia="Calibri" w:hAnsi="Century Gothic" w:cs="Arial"/>
        </w:rPr>
        <w:t xml:space="preserve">, que en palabras de la Corte Constitucional reguló el ejercicio de la profesión de abogado ante la administración pública, y al respecto </w:t>
      </w:r>
      <w:r w:rsidRPr="000B4902">
        <w:rPr>
          <w:rFonts w:ascii="Century Gothic" w:eastAsia="Calibri" w:hAnsi="Century Gothic" w:cs="Arial"/>
          <w:i/>
        </w:rPr>
        <w:t>“formula un principio general –no se requiere ser abogado para actuar ante las autoridades administrativas-,  prescribe una salvedad –salvo los casos expresamente determinados en la ley- y establece una excepción –pero si se constituye mandatario, este debe ser abogado inscrito-“</w:t>
      </w:r>
      <w:r w:rsidRPr="000B4902">
        <w:rPr>
          <w:rStyle w:val="Refdenotaalpie"/>
          <w:rFonts w:ascii="Century Gothic" w:eastAsia="Calibri" w:hAnsi="Century Gothic" w:cs="Arial"/>
          <w:i/>
        </w:rPr>
        <w:footnoteReference w:id="18"/>
      </w:r>
      <w:r w:rsidRPr="000B4902">
        <w:rPr>
          <w:rFonts w:ascii="Century Gothic" w:eastAsia="Calibri" w:hAnsi="Century Gothic" w:cs="Arial"/>
          <w:i/>
        </w:rPr>
        <w:t>.</w:t>
      </w:r>
      <w:r w:rsidRPr="000B4902">
        <w:rPr>
          <w:rFonts w:ascii="Century Gothic" w:eastAsia="Calibri" w:hAnsi="Century Gothic" w:cs="Arial"/>
        </w:rPr>
        <w:t xml:space="preserve"> </w:t>
      </w:r>
    </w:p>
    <w:p w14:paraId="68E59FC2" w14:textId="51A07410" w:rsidR="007F5BF1" w:rsidRPr="000B4902" w:rsidRDefault="00C47645" w:rsidP="00DA4F07">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La figura del mandatario u apoderado </w:t>
      </w:r>
      <w:r w:rsidR="00CE7E12" w:rsidRPr="000B4902">
        <w:rPr>
          <w:rFonts w:ascii="Century Gothic" w:eastAsia="Calibri" w:hAnsi="Century Gothic" w:cs="Arial"/>
        </w:rPr>
        <w:t>analizado previamente, el cual medía la suscripción de un contrato civil o comercial, dependiendo del alcance del de las obligaciones adquiridas por las par</w:t>
      </w:r>
      <w:r w:rsidR="00C75E94" w:rsidRPr="000B4902">
        <w:rPr>
          <w:rFonts w:ascii="Century Gothic" w:eastAsia="Calibri" w:hAnsi="Century Gothic" w:cs="Arial"/>
        </w:rPr>
        <w:t>tes</w:t>
      </w:r>
      <w:r w:rsidR="000854F1" w:rsidRPr="000B4902">
        <w:rPr>
          <w:rFonts w:ascii="Century Gothic" w:eastAsia="Calibri" w:hAnsi="Century Gothic" w:cs="Arial"/>
        </w:rPr>
        <w:t>,</w:t>
      </w:r>
      <w:r w:rsidR="00C75E94" w:rsidRPr="000B4902">
        <w:rPr>
          <w:rFonts w:ascii="Century Gothic" w:eastAsia="Calibri" w:hAnsi="Century Gothic" w:cs="Arial"/>
        </w:rPr>
        <w:t xml:space="preserve"> es diferente a la figura del autorizado para recibir notificaciones previsto en el artículo 71 del Código de </w:t>
      </w:r>
      <w:r w:rsidR="00053BA9" w:rsidRPr="000B4902">
        <w:rPr>
          <w:rFonts w:ascii="Century Gothic" w:eastAsia="Calibri" w:hAnsi="Century Gothic" w:cs="Arial"/>
        </w:rPr>
        <w:t>Procedimiento Administrativo y de lo Contencioso Administrativo</w:t>
      </w:r>
      <w:r w:rsidR="000854F1" w:rsidRPr="000B4902">
        <w:rPr>
          <w:rFonts w:ascii="Century Gothic" w:eastAsia="Calibri" w:hAnsi="Century Gothic" w:cs="Arial"/>
        </w:rPr>
        <w:t xml:space="preserve">, en virtud del cual </w:t>
      </w:r>
      <w:r w:rsidR="009651FC" w:rsidRPr="000B4902">
        <w:rPr>
          <w:rFonts w:ascii="Century Gothic" w:eastAsia="Calibri" w:hAnsi="Century Gothic" w:cs="Arial"/>
        </w:rPr>
        <w:t>e</w:t>
      </w:r>
      <w:r w:rsidR="00707F93" w:rsidRPr="000B4902">
        <w:rPr>
          <w:rFonts w:ascii="Century Gothic" w:eastAsia="Calibri" w:hAnsi="Century Gothic" w:cs="Arial"/>
        </w:rPr>
        <w:t>l autorizado estará facultado para recibir la notificación</w:t>
      </w:r>
      <w:r w:rsidR="009651FC" w:rsidRPr="000B4902">
        <w:rPr>
          <w:rFonts w:ascii="Century Gothic" w:eastAsia="Calibri" w:hAnsi="Century Gothic" w:cs="Arial"/>
        </w:rPr>
        <w:t xml:space="preserve"> de un acto administrativo</w:t>
      </w:r>
      <w:r w:rsidR="00707F93" w:rsidRPr="000B4902">
        <w:rPr>
          <w:rFonts w:ascii="Century Gothic" w:eastAsia="Calibri" w:hAnsi="Century Gothic" w:cs="Arial"/>
        </w:rPr>
        <w:t xml:space="preserve"> </w:t>
      </w:r>
      <w:r w:rsidR="009651FC" w:rsidRPr="000B4902">
        <w:rPr>
          <w:rFonts w:ascii="Century Gothic" w:eastAsia="Calibri" w:hAnsi="Century Gothic" w:cs="Arial"/>
        </w:rPr>
        <w:t xml:space="preserve">en nombre de un tercero, </w:t>
      </w:r>
      <w:r w:rsidR="00995B7B" w:rsidRPr="000B4902">
        <w:rPr>
          <w:rFonts w:ascii="Century Gothic" w:eastAsia="Calibri" w:hAnsi="Century Gothic" w:cs="Arial"/>
        </w:rPr>
        <w:t xml:space="preserve">mediante la presentación de un escrito que contenga dicha autorización, sin embargo, </w:t>
      </w:r>
      <w:r w:rsidR="00707F93" w:rsidRPr="000B4902">
        <w:rPr>
          <w:rFonts w:ascii="Century Gothic" w:eastAsia="Calibri" w:hAnsi="Century Gothic" w:cs="Arial"/>
        </w:rPr>
        <w:t>cualquier manifestación que haga en relación con el acto administrativo se tendrá, de pleno derecho, por no realizada</w:t>
      </w:r>
      <w:r w:rsidR="00995B7B" w:rsidRPr="000B4902">
        <w:rPr>
          <w:rFonts w:ascii="Century Gothic" w:eastAsia="Calibri" w:hAnsi="Century Gothic" w:cs="Arial"/>
        </w:rPr>
        <w:t>.</w:t>
      </w:r>
    </w:p>
    <w:p w14:paraId="5F380F19" w14:textId="4AEADE14" w:rsidR="00DA4F07" w:rsidRPr="000B4902" w:rsidRDefault="00DA4F07" w:rsidP="00AE0015">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En este sentido,</w:t>
      </w:r>
      <w:r w:rsidR="00AC7DFA" w:rsidRPr="000B4902">
        <w:rPr>
          <w:rFonts w:ascii="Century Gothic" w:eastAsia="Calibri" w:hAnsi="Century Gothic" w:cs="Arial"/>
        </w:rPr>
        <w:t xml:space="preserve"> en la audiencia de adjudicación puede presentarse autorizaciones para </w:t>
      </w:r>
      <w:r w:rsidR="00274BD9" w:rsidRPr="000B4902">
        <w:rPr>
          <w:rFonts w:ascii="Century Gothic" w:eastAsia="Calibri" w:hAnsi="Century Gothic" w:cs="Arial"/>
        </w:rPr>
        <w:t>recibir notificaciones en nombre de los oferentes, sin embargo, conforme a lo expuesto, no podrá</w:t>
      </w:r>
      <w:r w:rsidR="005256B8" w:rsidRPr="000B4902">
        <w:rPr>
          <w:rFonts w:ascii="Century Gothic" w:eastAsia="Calibri" w:hAnsi="Century Gothic" w:cs="Arial"/>
        </w:rPr>
        <w:t xml:space="preserve"> presentar manifestación alguna sobre el acto administrativo, en representación del tercero. En ese contexto,</w:t>
      </w:r>
      <w:r w:rsidR="00AE0015" w:rsidRPr="000B4902">
        <w:rPr>
          <w:rFonts w:ascii="Century Gothic" w:eastAsia="Calibri" w:hAnsi="Century Gothic" w:cs="Arial"/>
        </w:rPr>
        <w:t xml:space="preserve"> para las Entidades Estatales resulta de suma importancia, establecer, previo al inicio de la audiencia, </w:t>
      </w:r>
      <w:r w:rsidR="00C44DE3" w:rsidRPr="000B4902">
        <w:rPr>
          <w:rFonts w:ascii="Century Gothic" w:eastAsia="Calibri" w:hAnsi="Century Gothic" w:cs="Arial"/>
        </w:rPr>
        <w:t>las facultades con las que asiste</w:t>
      </w:r>
      <w:r w:rsidR="005F3D23" w:rsidRPr="000B4902">
        <w:rPr>
          <w:rFonts w:ascii="Century Gothic" w:eastAsia="Calibri" w:hAnsi="Century Gothic" w:cs="Arial"/>
        </w:rPr>
        <w:t>n las personas</w:t>
      </w:r>
      <w:r w:rsidRPr="000B4902">
        <w:rPr>
          <w:rFonts w:ascii="Century Gothic" w:eastAsia="Calibri" w:hAnsi="Century Gothic" w:cs="Arial"/>
        </w:rPr>
        <w:t>,</w:t>
      </w:r>
      <w:r w:rsidR="005F3D23" w:rsidRPr="000B4902">
        <w:rPr>
          <w:rFonts w:ascii="Century Gothic" w:eastAsia="Calibri" w:hAnsi="Century Gothic" w:cs="Arial"/>
        </w:rPr>
        <w:t xml:space="preserve"> </w:t>
      </w:r>
      <w:r w:rsidR="00CD5F50" w:rsidRPr="000B4902">
        <w:rPr>
          <w:rFonts w:ascii="Century Gothic" w:eastAsia="Calibri" w:hAnsi="Century Gothic" w:cs="Arial"/>
        </w:rPr>
        <w:t xml:space="preserve">para </w:t>
      </w:r>
      <w:r w:rsidR="00F80F8C" w:rsidRPr="000B4902">
        <w:rPr>
          <w:rFonts w:ascii="Century Gothic" w:eastAsia="Calibri" w:hAnsi="Century Gothic" w:cs="Arial"/>
        </w:rPr>
        <w:t>que</w:t>
      </w:r>
      <w:r w:rsidR="00CD5F50" w:rsidRPr="000B4902">
        <w:rPr>
          <w:rFonts w:ascii="Century Gothic" w:eastAsia="Calibri" w:hAnsi="Century Gothic" w:cs="Arial"/>
        </w:rPr>
        <w:t xml:space="preserve"> tenga claro el alcance de su</w:t>
      </w:r>
      <w:r w:rsidR="00145BEA" w:rsidRPr="000B4902">
        <w:rPr>
          <w:rFonts w:ascii="Century Gothic" w:eastAsia="Calibri" w:hAnsi="Century Gothic" w:cs="Arial"/>
        </w:rPr>
        <w:t>s</w:t>
      </w:r>
      <w:r w:rsidR="00CD5F50" w:rsidRPr="000B4902">
        <w:rPr>
          <w:rFonts w:ascii="Century Gothic" w:eastAsia="Calibri" w:hAnsi="Century Gothic" w:cs="Arial"/>
        </w:rPr>
        <w:t xml:space="preserve"> intervenci</w:t>
      </w:r>
      <w:r w:rsidR="00145BEA" w:rsidRPr="000B4902">
        <w:rPr>
          <w:rFonts w:ascii="Century Gothic" w:eastAsia="Calibri" w:hAnsi="Century Gothic" w:cs="Arial"/>
        </w:rPr>
        <w:t>ones</w:t>
      </w:r>
      <w:r w:rsidR="00CD5F50" w:rsidRPr="000B4902">
        <w:rPr>
          <w:rFonts w:ascii="Century Gothic" w:eastAsia="Calibri" w:hAnsi="Century Gothic" w:cs="Arial"/>
        </w:rPr>
        <w:t xml:space="preserve"> cu</w:t>
      </w:r>
      <w:r w:rsidRPr="000B4902">
        <w:rPr>
          <w:rFonts w:ascii="Century Gothic" w:eastAsia="Calibri" w:hAnsi="Century Gothic" w:cs="Arial"/>
        </w:rPr>
        <w:t xml:space="preserve">ando sean designados por el oferente –o su apoderado– para opinar, </w:t>
      </w:r>
      <w:r w:rsidR="00F14D18" w:rsidRPr="000B4902">
        <w:rPr>
          <w:rFonts w:ascii="Century Gothic" w:eastAsia="Calibri" w:hAnsi="Century Gothic" w:cs="Arial"/>
        </w:rPr>
        <w:t>y a su vez si tienen la potestad de notificarse y</w:t>
      </w:r>
      <w:r w:rsidR="00F80F8C" w:rsidRPr="000B4902">
        <w:rPr>
          <w:rFonts w:ascii="Century Gothic" w:eastAsia="Calibri" w:hAnsi="Century Gothic" w:cs="Arial"/>
        </w:rPr>
        <w:t xml:space="preserve">/o </w:t>
      </w:r>
      <w:r w:rsidRPr="000B4902">
        <w:rPr>
          <w:rFonts w:ascii="Century Gothic" w:eastAsia="Calibri" w:hAnsi="Century Gothic" w:cs="Arial"/>
        </w:rPr>
        <w:t>para tomar decisiones en nombre de él.</w:t>
      </w:r>
    </w:p>
    <w:p w14:paraId="019F53F5" w14:textId="6EE5BFF4" w:rsidR="00DA4F07" w:rsidRPr="000B4902" w:rsidRDefault="00DA4F07" w:rsidP="00DA4F07">
      <w:pPr>
        <w:spacing w:after="120" w:line="276" w:lineRule="auto"/>
        <w:ind w:firstLine="709"/>
        <w:jc w:val="both"/>
        <w:rPr>
          <w:rFonts w:ascii="Century Gothic" w:hAnsi="Century Gothic" w:cs="Arial"/>
          <w:lang w:val="es-ES"/>
        </w:rPr>
      </w:pPr>
      <w:bookmarkStart w:id="8" w:name="_Hlk109037824"/>
      <w:bookmarkEnd w:id="5"/>
      <w:bookmarkEnd w:id="6"/>
      <w:r w:rsidRPr="000B4902">
        <w:rPr>
          <w:rFonts w:ascii="Century Gothic" w:eastAsia="Calibri" w:hAnsi="Century Gothic" w:cs="Arial"/>
        </w:rPr>
        <w:t xml:space="preserve">De esta manera, en la audiencia de adjudicación intervienen los oferentes y todas las personas que deseen asistir, de acuerdo con el </w:t>
      </w:r>
      <w:r w:rsidRPr="000B4902">
        <w:rPr>
          <w:rFonts w:ascii="Century Gothic" w:hAnsi="Century Gothic" w:cs="Arial"/>
          <w:lang w:val="es-ES"/>
        </w:rPr>
        <w:t>artículo 2.2.1.2.1.1.2. del Decreto 1082 de 2015 que señala que los oferentes pueden designar personas que intervengan en la audiencia. Por tanto, el oferente puede intervenir en la audiencia de adjudicación de</w:t>
      </w:r>
      <w:r w:rsidR="00CF3F3D" w:rsidRPr="000B4902">
        <w:rPr>
          <w:rFonts w:ascii="Century Gothic" w:hAnsi="Century Gothic" w:cs="Arial"/>
          <w:lang w:val="es-ES"/>
        </w:rPr>
        <w:t xml:space="preserve"> las siguientes</w:t>
      </w:r>
      <w:r w:rsidRPr="000B4902">
        <w:rPr>
          <w:rFonts w:ascii="Century Gothic" w:hAnsi="Century Gothic" w:cs="Arial"/>
          <w:lang w:val="es-ES"/>
        </w:rPr>
        <w:t xml:space="preserve"> formas: i) directamente, con acompañantes y asesores</w:t>
      </w:r>
      <w:r w:rsidR="00587719" w:rsidRPr="000B4902">
        <w:rPr>
          <w:rFonts w:ascii="Century Gothic" w:hAnsi="Century Gothic" w:cs="Arial"/>
          <w:lang w:val="es-ES"/>
        </w:rPr>
        <w:t>,</w:t>
      </w:r>
      <w:r w:rsidRPr="000B4902">
        <w:rPr>
          <w:rFonts w:ascii="Century Gothic" w:hAnsi="Century Gothic" w:cs="Arial"/>
          <w:lang w:val="es-ES"/>
        </w:rPr>
        <w:t xml:space="preserve"> o ii) designando una persona que intervenga por él, denominado apoderado o mandatario</w:t>
      </w:r>
      <w:r w:rsidR="00CF3F3D" w:rsidRPr="000B4902">
        <w:rPr>
          <w:rFonts w:ascii="Century Gothic" w:hAnsi="Century Gothic" w:cs="Arial"/>
          <w:lang w:val="es-ES"/>
        </w:rPr>
        <w:t xml:space="preserve"> y, iii) a través de una autorizado </w:t>
      </w:r>
      <w:r w:rsidR="00213AC6" w:rsidRPr="000B4902">
        <w:rPr>
          <w:rFonts w:ascii="Century Gothic" w:hAnsi="Century Gothic" w:cs="Arial"/>
          <w:lang w:val="es-ES"/>
        </w:rPr>
        <w:t xml:space="preserve">exclusivamente </w:t>
      </w:r>
      <w:r w:rsidR="00CF3F3D" w:rsidRPr="000B4902">
        <w:rPr>
          <w:rFonts w:ascii="Century Gothic" w:hAnsi="Century Gothic" w:cs="Arial"/>
          <w:lang w:val="es-ES"/>
        </w:rPr>
        <w:t>para notificarse</w:t>
      </w:r>
      <w:r w:rsidR="004B01F4" w:rsidRPr="000B4902">
        <w:rPr>
          <w:rFonts w:ascii="Century Gothic" w:hAnsi="Century Gothic" w:cs="Arial"/>
          <w:lang w:val="es-ES"/>
        </w:rPr>
        <w:t>.</w:t>
      </w:r>
    </w:p>
    <w:p w14:paraId="239B7F77" w14:textId="54FAC5D2" w:rsidR="00DA4F07" w:rsidRPr="000B4902" w:rsidRDefault="00DA4F07" w:rsidP="00DA4F07">
      <w:pPr>
        <w:spacing w:after="120" w:line="276" w:lineRule="auto"/>
        <w:ind w:firstLine="709"/>
        <w:jc w:val="both"/>
        <w:rPr>
          <w:rFonts w:ascii="Century Gothic" w:eastAsia="Calibri" w:hAnsi="Century Gothic" w:cs="Arial"/>
        </w:rPr>
      </w:pPr>
      <w:bookmarkStart w:id="9" w:name="_Hlk111629225"/>
      <w:r w:rsidRPr="000B4902">
        <w:rPr>
          <w:rFonts w:ascii="Century Gothic" w:eastAsia="Calibri" w:hAnsi="Century Gothic" w:cs="Arial"/>
        </w:rPr>
        <w:t xml:space="preserve">Ahora bien, tratándose de la audiencia de </w:t>
      </w:r>
      <w:r w:rsidRPr="000B4902">
        <w:rPr>
          <w:rFonts w:ascii="Century Gothic" w:eastAsia="Calibri" w:hAnsi="Century Gothic" w:cs="Arial"/>
          <w:i/>
        </w:rPr>
        <w:t>asignación de riesgos</w:t>
      </w:r>
      <w:r w:rsidRPr="000B4902">
        <w:rPr>
          <w:rFonts w:ascii="Century Gothic" w:eastAsia="Calibri" w:hAnsi="Century Gothic" w:cs="Arial"/>
        </w:rPr>
        <w:t xml:space="preserve">, esta Agencia considera </w:t>
      </w:r>
      <w:r w:rsidR="00403A8E" w:rsidRPr="000B4902">
        <w:rPr>
          <w:rFonts w:ascii="Century Gothic" w:eastAsia="Calibri" w:hAnsi="Century Gothic" w:cs="Arial"/>
        </w:rPr>
        <w:t>que,</w:t>
      </w:r>
      <w:r w:rsidRPr="000B4902">
        <w:rPr>
          <w:rFonts w:ascii="Century Gothic" w:eastAsia="Calibri" w:hAnsi="Century Gothic" w:cs="Arial"/>
        </w:rPr>
        <w:t xml:space="preserve"> aunque en principio se podrían extender las ideas señaladas anteriormente frente a la audiencia de adjudicación, es importante realizar algunas precisiones relevantes, dada la naturaleza de la audiencia de asignación de riesgos y el momento en que se realiza, de acuerdo con el análisis realizado en el numeral 2.1. de este concepto.</w:t>
      </w:r>
    </w:p>
    <w:p w14:paraId="7341EB4D" w14:textId="77777777" w:rsidR="006417DC" w:rsidRPr="000B4902" w:rsidRDefault="00DA4F07" w:rsidP="00DA4F07">
      <w:pPr>
        <w:spacing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En este sentido, pese a que en principio se consideran aplicables las consideraciones realizadas anteriormente, es importante precisar que la audiencia de asignación de riesgos se realiza antes del cierre del proceso –fecha prevista para la presentación de las ofertas–, por lo que no necesariamente se debe ser proponente para participar en ella, sino que cualquier interesado podrá asistir e intervenir en ella, siendo posible incluso que quien participe en la misma posteriormente opte por no presentar oferta. Lo anterior, para señalar que cualquier interesado podrá participar directamente en la audiencia de asignación de riesgos, en nombre propio, sin que requiera acreditar estar representando a un eventual futuro oferente. </w:t>
      </w:r>
    </w:p>
    <w:p w14:paraId="1F75B839" w14:textId="0EC9EAD0" w:rsidR="00DA4F07" w:rsidRPr="000B4902" w:rsidRDefault="00DA4F07" w:rsidP="00DA4F07">
      <w:pPr>
        <w:spacing w:after="120" w:line="276" w:lineRule="auto"/>
        <w:ind w:firstLine="709"/>
        <w:jc w:val="both"/>
        <w:rPr>
          <w:rFonts w:ascii="Century Gothic" w:eastAsia="Calibri" w:hAnsi="Century Gothic" w:cs="Arial"/>
        </w:rPr>
      </w:pPr>
      <w:r w:rsidRPr="000B4902">
        <w:rPr>
          <w:rFonts w:ascii="Century Gothic" w:eastAsia="Calibri" w:hAnsi="Century Gothic" w:cs="Arial"/>
        </w:rPr>
        <w:t>Además, es importante precisar que las determinaciones que se tomen en la audiencia de asignación de riesgos no comprometen los intereses de determinados sujetos en particular –como sucede en la audiencia de adjudicación– sino que corresponderán a decisiones que afectarán de forma general a todos los interesados en el proceso. Lo anterior resulta coherente con que incluso por fuera de esta audiencia, por ejemplo, al presentar observaciones al proyecto de pliego de condiciones cualquier interesado en el proceso presente comentarios en relación con cualquier contenido del pliego, incluyendo la asignación de riesgos</w:t>
      </w:r>
      <w:bookmarkEnd w:id="9"/>
      <w:r w:rsidRPr="000B4902">
        <w:rPr>
          <w:rStyle w:val="Refdenotaalpie"/>
          <w:rFonts w:ascii="Century Gothic" w:eastAsia="Calibri" w:hAnsi="Century Gothic" w:cs="Arial"/>
        </w:rPr>
        <w:footnoteReference w:id="19"/>
      </w:r>
      <w:r w:rsidRPr="000B4902">
        <w:rPr>
          <w:rFonts w:ascii="Century Gothic" w:eastAsia="Calibri" w:hAnsi="Century Gothic" w:cs="Arial"/>
        </w:rPr>
        <w:t xml:space="preserve">. </w:t>
      </w:r>
    </w:p>
    <w:bookmarkEnd w:id="8"/>
    <w:p w14:paraId="5323C139" w14:textId="77777777" w:rsidR="00DA4F07" w:rsidRPr="000B4902" w:rsidRDefault="00DA4F07" w:rsidP="00DA4F07">
      <w:pPr>
        <w:spacing w:line="276" w:lineRule="auto"/>
        <w:jc w:val="both"/>
        <w:rPr>
          <w:rFonts w:ascii="Century Gothic" w:eastAsia="Calibri" w:hAnsi="Century Gothic" w:cs="Arial"/>
          <w:b/>
        </w:rPr>
      </w:pPr>
      <w:r w:rsidRPr="000B4902">
        <w:rPr>
          <w:rFonts w:ascii="Century Gothic" w:eastAsia="Calibri" w:hAnsi="Century Gothic" w:cs="Arial"/>
          <w:b/>
        </w:rPr>
        <w:t>3. Respuesta</w:t>
      </w:r>
    </w:p>
    <w:p w14:paraId="2C77FA15" w14:textId="77777777" w:rsidR="000C42BE" w:rsidRPr="000B4902" w:rsidRDefault="000C42BE" w:rsidP="000C42BE">
      <w:pPr>
        <w:ind w:left="709" w:right="709"/>
        <w:jc w:val="both"/>
        <w:rPr>
          <w:rFonts w:ascii="Century Gothic" w:eastAsia="Calibri" w:hAnsi="Century Gothic" w:cs="Arial"/>
          <w:sz w:val="21"/>
          <w:szCs w:val="21"/>
        </w:rPr>
      </w:pPr>
      <w:r w:rsidRPr="000B4902">
        <w:rPr>
          <w:rFonts w:ascii="Century Gothic" w:eastAsia="Calibri" w:hAnsi="Century Gothic" w:cs="Arial"/>
          <w:sz w:val="21"/>
          <w:szCs w:val="21"/>
        </w:rPr>
        <w:t>“¿En las audiencias de los procesos de contratación pública puede asistir una persona autorizada por el representante legal de la sociedad proponente o el proponente persona natural o debe ser un apoderado? Si es válido que sea un autorizado, ¿qué condiciones debe tener la autorización? Si debe ser un apoderado, ¿este debe ser abogado en atención al artículo 35 del Decreto 196 de 1971? ¿Podría ser que haya diferencias en las audiencias por el tipo de audiencia o el tipo de proceso?, es decir, que en unas pueda ser un autorizado y en otras deba ser apoderado.?” (Sic)</w:t>
      </w:r>
    </w:p>
    <w:p w14:paraId="05B25D36" w14:textId="0B29A843" w:rsidR="00DA4F07" w:rsidRPr="000B4902" w:rsidRDefault="00DA4F07" w:rsidP="00DA4F07">
      <w:pPr>
        <w:spacing w:after="120" w:line="276" w:lineRule="auto"/>
        <w:jc w:val="both"/>
        <w:rPr>
          <w:rFonts w:ascii="Century Gothic" w:eastAsia="Calibri" w:hAnsi="Century Gothic" w:cs="Arial"/>
        </w:rPr>
      </w:pPr>
      <w:r w:rsidRPr="000B4902">
        <w:rPr>
          <w:rFonts w:ascii="Century Gothic" w:eastAsia="Calibri" w:hAnsi="Century Gothic" w:cs="Arial"/>
          <w:lang w:val="es-ES" w:eastAsia="es-ES" w:bidi="es-ES"/>
        </w:rPr>
        <w:t xml:space="preserve">Dada la unidad temática de las preguntas, estas se responderán de forma unificada, realizando algunas distinciones entre la audiencia de adjudicación y la de asignación de riesgos. En este sentido, conforme a la explicación precedente, particularmente el numeral 2.3. de este concepto, </w:t>
      </w:r>
      <w:r w:rsidRPr="000B4902">
        <w:rPr>
          <w:rStyle w:val="normaltextrun"/>
          <w:rFonts w:ascii="Century Gothic" w:hAnsi="Century Gothic" w:cs="Arial"/>
          <w:color w:val="000000"/>
          <w:shd w:val="clear" w:color="auto" w:fill="FFFFFF"/>
        </w:rPr>
        <w:t>uno</w:t>
      </w:r>
      <w:r w:rsidR="004769EF" w:rsidRPr="000B4902">
        <w:rPr>
          <w:rStyle w:val="normaltextrun"/>
          <w:rFonts w:ascii="Century Gothic" w:hAnsi="Century Gothic" w:cs="Arial"/>
          <w:color w:val="000000"/>
          <w:shd w:val="clear" w:color="auto" w:fill="FFFFFF"/>
        </w:rPr>
        <w:t xml:space="preserve"> </w:t>
      </w:r>
      <w:r w:rsidRPr="000B4902">
        <w:rPr>
          <w:rStyle w:val="normaltextrun"/>
          <w:rFonts w:ascii="Century Gothic" w:hAnsi="Century Gothic" w:cs="Arial"/>
          <w:color w:val="000000"/>
          <w:shd w:val="clear" w:color="auto" w:fill="FFFFFF"/>
        </w:rPr>
        <w:t xml:space="preserve">de los intervinientes en la </w:t>
      </w:r>
      <w:r w:rsidRPr="000B4902">
        <w:rPr>
          <w:rStyle w:val="normaltextrun"/>
          <w:rFonts w:ascii="Century Gothic" w:hAnsi="Century Gothic" w:cs="Arial"/>
          <w:i/>
          <w:color w:val="000000"/>
          <w:shd w:val="clear" w:color="auto" w:fill="FFFFFF"/>
        </w:rPr>
        <w:t>audiencia de adjudicación</w:t>
      </w:r>
      <w:r w:rsidRPr="000B4902">
        <w:rPr>
          <w:rStyle w:val="normaltextrun"/>
          <w:rFonts w:ascii="Century Gothic" w:hAnsi="Century Gothic" w:cs="Arial"/>
          <w:color w:val="000000"/>
          <w:shd w:val="clear" w:color="auto" w:fill="FFFFFF"/>
        </w:rPr>
        <w:t xml:space="preserve"> es el proponente. Su interés recae en que es allí donde se escoge al mejor oferente</w:t>
      </w:r>
      <w:r w:rsidR="009133E9" w:rsidRPr="000B4902">
        <w:rPr>
          <w:rStyle w:val="normaltextrun"/>
          <w:rFonts w:ascii="Century Gothic" w:hAnsi="Century Gothic" w:cs="Arial"/>
          <w:color w:val="000000"/>
          <w:shd w:val="clear" w:color="auto" w:fill="FFFFFF"/>
        </w:rPr>
        <w:t>, s</w:t>
      </w:r>
      <w:r w:rsidRPr="000B4902">
        <w:rPr>
          <w:rStyle w:val="normaltextrun"/>
          <w:rFonts w:ascii="Century Gothic" w:hAnsi="Century Gothic" w:cs="Arial"/>
          <w:color w:val="000000"/>
          <w:shd w:val="clear" w:color="auto" w:fill="FFFFFF"/>
        </w:rPr>
        <w:t>in embargo, estos últimos pueden participar en la audiencia con acompañantes o asesores.</w:t>
      </w:r>
      <w:r w:rsidR="00D157FE" w:rsidRPr="000B4902">
        <w:rPr>
          <w:rStyle w:val="normaltextrun"/>
          <w:rFonts w:ascii="Century Gothic" w:hAnsi="Century Gothic" w:cs="Arial"/>
          <w:color w:val="000000"/>
          <w:shd w:val="clear" w:color="auto" w:fill="FFFFFF"/>
        </w:rPr>
        <w:t xml:space="preserve"> </w:t>
      </w:r>
      <w:r w:rsidRPr="000B4902">
        <w:rPr>
          <w:rStyle w:val="normaltextrun"/>
          <w:rFonts w:ascii="Century Gothic" w:hAnsi="Century Gothic" w:cs="Arial"/>
          <w:color w:val="000000"/>
          <w:shd w:val="clear" w:color="auto" w:fill="FFFFFF"/>
        </w:rPr>
        <w:t>Además,</w:t>
      </w:r>
      <w:r w:rsidR="00D157FE" w:rsidRPr="000B4902">
        <w:rPr>
          <w:rStyle w:val="normaltextrun"/>
          <w:rFonts w:ascii="Century Gothic" w:hAnsi="Century Gothic" w:cs="Arial"/>
          <w:color w:val="000000"/>
          <w:shd w:val="clear" w:color="auto" w:fill="FFFFFF"/>
        </w:rPr>
        <w:t xml:space="preserve"> </w:t>
      </w:r>
      <w:r w:rsidRPr="000B4902">
        <w:rPr>
          <w:rStyle w:val="normaltextrun"/>
          <w:rFonts w:ascii="Century Gothic" w:hAnsi="Century Gothic" w:cs="Arial"/>
          <w:color w:val="000000"/>
          <w:shd w:val="clear" w:color="auto" w:fill="FFFFFF"/>
        </w:rPr>
        <w:t>de acuerdo con lo señalado en las normas citadas, es una audiencia pública</w:t>
      </w:r>
      <w:r w:rsidR="00D157FE" w:rsidRPr="000B4902">
        <w:rPr>
          <w:rStyle w:val="normaltextrun"/>
          <w:rFonts w:ascii="Century Gothic" w:hAnsi="Century Gothic" w:cs="Arial"/>
          <w:color w:val="000000"/>
          <w:shd w:val="clear" w:color="auto" w:fill="FFFFFF"/>
        </w:rPr>
        <w:t xml:space="preserve"> </w:t>
      </w:r>
      <w:r w:rsidRPr="000B4902">
        <w:rPr>
          <w:rStyle w:val="normaltextrun"/>
          <w:rFonts w:ascii="Century Gothic" w:hAnsi="Century Gothic" w:cs="Arial"/>
          <w:color w:val="000000"/>
          <w:shd w:val="clear" w:color="auto" w:fill="FFFFFF"/>
        </w:rPr>
        <w:t>a</w:t>
      </w:r>
      <w:r w:rsidR="00D157FE" w:rsidRPr="000B4902">
        <w:rPr>
          <w:rStyle w:val="normaltextrun"/>
          <w:rFonts w:ascii="Century Gothic" w:hAnsi="Century Gothic" w:cs="Arial"/>
          <w:color w:val="000000"/>
          <w:shd w:val="clear" w:color="auto" w:fill="FFFFFF"/>
        </w:rPr>
        <w:t xml:space="preserve"> </w:t>
      </w:r>
      <w:r w:rsidRPr="000B4902">
        <w:rPr>
          <w:rStyle w:val="normaltextrun"/>
          <w:rFonts w:ascii="Century Gothic" w:hAnsi="Century Gothic" w:cs="Arial"/>
          <w:color w:val="000000"/>
          <w:shd w:val="clear" w:color="auto" w:fill="FFFFFF"/>
        </w:rPr>
        <w:t>la</w:t>
      </w:r>
      <w:r w:rsidR="00D157FE" w:rsidRPr="000B4902">
        <w:rPr>
          <w:rStyle w:val="normaltextrun"/>
          <w:rFonts w:ascii="Century Gothic" w:hAnsi="Century Gothic" w:cs="Arial"/>
          <w:color w:val="000000"/>
          <w:shd w:val="clear" w:color="auto" w:fill="FFFFFF"/>
        </w:rPr>
        <w:t xml:space="preserve"> </w:t>
      </w:r>
      <w:r w:rsidRPr="000B4902">
        <w:rPr>
          <w:rStyle w:val="normaltextrun"/>
          <w:rFonts w:ascii="Century Gothic" w:hAnsi="Century Gothic" w:cs="Arial"/>
          <w:color w:val="000000"/>
          <w:shd w:val="clear" w:color="auto" w:fill="FFFFFF"/>
        </w:rPr>
        <w:t>cual</w:t>
      </w:r>
      <w:r w:rsidR="00D157FE" w:rsidRPr="000B4902">
        <w:rPr>
          <w:rStyle w:val="normaltextrun"/>
          <w:rFonts w:ascii="Century Gothic" w:hAnsi="Century Gothic" w:cs="Arial"/>
          <w:color w:val="000000"/>
          <w:shd w:val="clear" w:color="auto" w:fill="FFFFFF"/>
        </w:rPr>
        <w:t xml:space="preserve"> </w:t>
      </w:r>
      <w:r w:rsidRPr="000B4902">
        <w:rPr>
          <w:rStyle w:val="normaltextrun"/>
          <w:rFonts w:ascii="Century Gothic" w:hAnsi="Century Gothic" w:cs="Arial"/>
          <w:color w:val="000000"/>
          <w:shd w:val="clear" w:color="auto" w:fill="FFFFFF"/>
        </w:rPr>
        <w:t>pueden asistir las personas que lo deseen, lo cual implica que el proponente no es el único</w:t>
      </w:r>
      <w:r w:rsidR="00D157FE" w:rsidRPr="000B4902">
        <w:rPr>
          <w:rStyle w:val="normaltextrun"/>
          <w:rFonts w:ascii="Century Gothic" w:hAnsi="Century Gothic" w:cs="Arial"/>
          <w:color w:val="000000"/>
          <w:shd w:val="clear" w:color="auto" w:fill="FFFFFF"/>
        </w:rPr>
        <w:t xml:space="preserve"> </w:t>
      </w:r>
      <w:r w:rsidRPr="000B4902">
        <w:rPr>
          <w:rStyle w:val="normaltextrun"/>
          <w:rFonts w:ascii="Century Gothic" w:hAnsi="Century Gothic" w:cs="Arial"/>
          <w:color w:val="000000"/>
          <w:shd w:val="clear" w:color="auto" w:fill="FFFFFF"/>
        </w:rPr>
        <w:t>asistente.</w:t>
      </w:r>
      <w:r w:rsidRPr="000B4902">
        <w:rPr>
          <w:rStyle w:val="eop"/>
          <w:rFonts w:ascii="Century Gothic" w:hAnsi="Century Gothic" w:cs="Arial"/>
          <w:color w:val="000000"/>
          <w:shd w:val="clear" w:color="auto" w:fill="FFFFFF"/>
        </w:rPr>
        <w:t> </w:t>
      </w:r>
    </w:p>
    <w:p w14:paraId="26AE815D" w14:textId="77777777" w:rsidR="00DA4F07" w:rsidRPr="000B4902" w:rsidRDefault="00DA4F07" w:rsidP="00DA4F07">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En ese sentido, </w:t>
      </w:r>
      <w:r w:rsidRPr="000B4902">
        <w:rPr>
          <w:rFonts w:ascii="Century Gothic" w:hAnsi="Century Gothic" w:cs="Arial"/>
          <w:lang w:val="es-ES"/>
        </w:rPr>
        <w:t>el artículo 2.2.1.2.1.1.2 del Decreto 1082 de 2015 señala que los proponentes pueden designar personas para que intervengan en la audiencia, lo cual se limita al tiempo máximo que otorgue la entidad para la intervención. Por tanto, el oferente puede asistir acompañado, pero también puede solicitarle a una persona que asista en su representación, a lo cual se le denomina apoderado o mandatario y es diferente a la designación mencionada.</w:t>
      </w:r>
    </w:p>
    <w:p w14:paraId="0FA58EBA" w14:textId="4F35A5A3" w:rsidR="00DA4F07" w:rsidRPr="000B4902" w:rsidRDefault="00DA4F07" w:rsidP="00DA4F07">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Cuando el oferente otorga poder a una persona, que será su mandatario o apoderado, se establece la posibilidad que, en virtud de </w:t>
      </w:r>
      <w:proofErr w:type="gramStart"/>
      <w:r w:rsidR="002F4FA9" w:rsidRPr="000B4902">
        <w:rPr>
          <w:rFonts w:ascii="Century Gothic" w:eastAsia="Calibri" w:hAnsi="Century Gothic" w:cs="Arial"/>
        </w:rPr>
        <w:t>que</w:t>
      </w:r>
      <w:proofErr w:type="gramEnd"/>
      <w:r w:rsidR="002F4FA9" w:rsidRPr="000B4902">
        <w:rPr>
          <w:rFonts w:ascii="Century Gothic" w:eastAsia="Calibri" w:hAnsi="Century Gothic" w:cs="Arial"/>
        </w:rPr>
        <w:t xml:space="preserve"> en virtud del</w:t>
      </w:r>
      <w:r w:rsidR="006B7E12" w:rsidRPr="000B4902">
        <w:rPr>
          <w:rFonts w:ascii="Century Gothic" w:eastAsia="Calibri" w:hAnsi="Century Gothic" w:cs="Arial"/>
        </w:rPr>
        <w:t xml:space="preserve"> alcance de las obligaciones pactadas en el</w:t>
      </w:r>
      <w:r w:rsidR="002F4FA9" w:rsidRPr="000B4902">
        <w:rPr>
          <w:rFonts w:ascii="Century Gothic" w:eastAsia="Calibri" w:hAnsi="Century Gothic" w:cs="Arial"/>
        </w:rPr>
        <w:t xml:space="preserve"> contrato de </w:t>
      </w:r>
      <w:r w:rsidRPr="000B4902">
        <w:rPr>
          <w:rFonts w:ascii="Century Gothic" w:eastAsia="Calibri" w:hAnsi="Century Gothic" w:cs="Arial"/>
        </w:rPr>
        <w:t xml:space="preserve">mandato, el apoderado </w:t>
      </w:r>
      <w:r w:rsidR="006B7E12" w:rsidRPr="000B4902">
        <w:rPr>
          <w:rFonts w:ascii="Century Gothic" w:eastAsia="Calibri" w:hAnsi="Century Gothic" w:cs="Arial"/>
        </w:rPr>
        <w:t xml:space="preserve">u mandatario </w:t>
      </w:r>
      <w:r w:rsidRPr="000B4902">
        <w:rPr>
          <w:rFonts w:ascii="Century Gothic" w:eastAsia="Calibri" w:hAnsi="Century Gothic" w:cs="Arial"/>
        </w:rPr>
        <w:t>intervenga en la audiencia en nombre del proponente. Por consiguiente, esto se refiere a la capacidad de representar y adquirir obligaciones a nombre del proponente. En este sentido,  debe diferenciarse de los acompañantes o asesores, que asisten con el proponente como personas interesadas o que tienen el deseo de asistir, como lo permite la norma, sin que sea necesario otorgarles poder o que exista un mandato, ya que no representan al oferente ni lo reemplazan, siendo necesaria la presencia del oferente en la audiencia; sino que lo acompañan o asesoran por sus conocimientos, siendo su deseo hacerlo, y pueden intervenir cuando sean designados por el oferente –o su apoderado– para opinar, pero no para tomar decisiones en nombre de él.</w:t>
      </w:r>
    </w:p>
    <w:p w14:paraId="5D61230D" w14:textId="70E69946" w:rsidR="00DA4F07" w:rsidRPr="000B4902" w:rsidRDefault="00DA4F07" w:rsidP="00DA4F07">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Es decir, es diferente la </w:t>
      </w:r>
      <w:r w:rsidR="004B0872" w:rsidRPr="000B4902">
        <w:rPr>
          <w:rFonts w:ascii="Century Gothic" w:eastAsia="Calibri" w:hAnsi="Century Gothic" w:cs="Arial"/>
        </w:rPr>
        <w:t>“</w:t>
      </w:r>
      <w:r w:rsidRPr="000B4902">
        <w:rPr>
          <w:rFonts w:ascii="Century Gothic" w:eastAsia="Calibri" w:hAnsi="Century Gothic" w:cs="Arial"/>
        </w:rPr>
        <w:t>participación como asesor/acompañante</w:t>
      </w:r>
      <w:r w:rsidR="004B0872" w:rsidRPr="000B4902">
        <w:rPr>
          <w:rFonts w:ascii="Century Gothic" w:eastAsia="Calibri" w:hAnsi="Century Gothic" w:cs="Arial"/>
        </w:rPr>
        <w:t>”</w:t>
      </w:r>
      <w:r w:rsidRPr="000B4902">
        <w:rPr>
          <w:rFonts w:ascii="Century Gothic" w:eastAsia="Calibri" w:hAnsi="Century Gothic" w:cs="Arial"/>
        </w:rPr>
        <w:t xml:space="preserve"> de la </w:t>
      </w:r>
      <w:r w:rsidR="004B0872" w:rsidRPr="000B4902">
        <w:rPr>
          <w:rFonts w:ascii="Century Gothic" w:eastAsia="Calibri" w:hAnsi="Century Gothic" w:cs="Arial"/>
        </w:rPr>
        <w:t>“</w:t>
      </w:r>
      <w:r w:rsidRPr="000B4902">
        <w:rPr>
          <w:rFonts w:ascii="Century Gothic" w:eastAsia="Calibri" w:hAnsi="Century Gothic" w:cs="Arial"/>
        </w:rPr>
        <w:t>representación del oferente</w:t>
      </w:r>
      <w:r w:rsidR="004B0872" w:rsidRPr="000B4902">
        <w:rPr>
          <w:rFonts w:ascii="Century Gothic" w:eastAsia="Calibri" w:hAnsi="Century Gothic" w:cs="Arial"/>
        </w:rPr>
        <w:t>”</w:t>
      </w:r>
      <w:r w:rsidRPr="000B4902">
        <w:rPr>
          <w:rFonts w:ascii="Century Gothic" w:eastAsia="Calibri" w:hAnsi="Century Gothic" w:cs="Arial"/>
        </w:rPr>
        <w:t xml:space="preserve"> en la audiencia de adjudicación. La primera es una simple actividad de asesoría o acompañamiento que no requiere de un acto de poder o mandato para su ejecución porque es necesaria la presencia del oferente, que no es reemplazada con ese acto. La segunda, por su parte, es un acto jurídico en el que una persona –apoderado– representa e interviene en la audiencia a nombre de otra –poderdante–, sin que se requiera que el oferente asista. </w:t>
      </w:r>
    </w:p>
    <w:p w14:paraId="728A8D60" w14:textId="2227A56F" w:rsidR="00DA4F07" w:rsidRPr="000B4902" w:rsidRDefault="00DA4F07" w:rsidP="00DA4F07">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Sobre la </w:t>
      </w:r>
      <w:r w:rsidR="004B0872" w:rsidRPr="000B4902">
        <w:rPr>
          <w:rFonts w:ascii="Century Gothic" w:eastAsia="Calibri" w:hAnsi="Century Gothic" w:cs="Arial"/>
        </w:rPr>
        <w:t>“</w:t>
      </w:r>
      <w:r w:rsidRPr="000B4902">
        <w:rPr>
          <w:rFonts w:ascii="Century Gothic" w:eastAsia="Calibri" w:hAnsi="Century Gothic" w:cs="Arial"/>
        </w:rPr>
        <w:t>participación como asesor/acompañante</w:t>
      </w:r>
      <w:r w:rsidR="004B0872" w:rsidRPr="000B4902">
        <w:rPr>
          <w:rFonts w:ascii="Century Gothic" w:eastAsia="Calibri" w:hAnsi="Century Gothic" w:cs="Arial"/>
        </w:rPr>
        <w:t>”</w:t>
      </w:r>
      <w:r w:rsidRPr="000B4902">
        <w:rPr>
          <w:rFonts w:ascii="Century Gothic" w:eastAsia="Calibri" w:hAnsi="Century Gothic" w:cs="Arial"/>
        </w:rPr>
        <w:t xml:space="preserve">, la normativa no impone profesión o calidades a las personas que participan con el oferente, por lo que es responsabilidad de este definirlo, de acuerdo con sus necesidades. No obstante, respecto a la </w:t>
      </w:r>
      <w:r w:rsidR="004B0872" w:rsidRPr="000B4902">
        <w:rPr>
          <w:rFonts w:ascii="Century Gothic" w:eastAsia="Calibri" w:hAnsi="Century Gothic" w:cs="Arial"/>
        </w:rPr>
        <w:t>“</w:t>
      </w:r>
      <w:r w:rsidRPr="000B4902">
        <w:rPr>
          <w:rFonts w:ascii="Century Gothic" w:eastAsia="Calibri" w:hAnsi="Century Gothic" w:cs="Arial"/>
        </w:rPr>
        <w:t>representación del oferente</w:t>
      </w:r>
      <w:r w:rsidR="004B0872" w:rsidRPr="000B4902">
        <w:rPr>
          <w:rFonts w:ascii="Century Gothic" w:eastAsia="Calibri" w:hAnsi="Century Gothic" w:cs="Arial"/>
        </w:rPr>
        <w:t>”</w:t>
      </w:r>
      <w:r w:rsidRPr="000B4902">
        <w:rPr>
          <w:rFonts w:ascii="Century Gothic" w:eastAsia="Calibri" w:hAnsi="Century Gothic" w:cs="Arial"/>
        </w:rPr>
        <w:t xml:space="preserve"> aplica el Decreto 196 de 1971, que en el artículo 35 dispone que es necesaria la profesión de abogado cuando exista </w:t>
      </w:r>
      <w:r w:rsidR="00C86506" w:rsidRPr="000B4902">
        <w:rPr>
          <w:rFonts w:ascii="Century Gothic" w:eastAsia="Calibri" w:hAnsi="Century Gothic" w:cs="Arial"/>
        </w:rPr>
        <w:t>de por medio un contrato de mandato</w:t>
      </w:r>
      <w:r w:rsidRPr="000B4902">
        <w:rPr>
          <w:rFonts w:ascii="Century Gothic" w:hAnsi="Century Gothic" w:cs="Arial"/>
          <w:vertAlign w:val="subscript"/>
        </w:rPr>
        <w:footnoteReference w:id="20"/>
      </w:r>
      <w:r w:rsidRPr="000B4902">
        <w:rPr>
          <w:rFonts w:ascii="Century Gothic" w:eastAsia="Calibri" w:hAnsi="Century Gothic" w:cs="Arial"/>
          <w:vertAlign w:val="subscript"/>
        </w:rPr>
        <w:t>.</w:t>
      </w:r>
    </w:p>
    <w:p w14:paraId="735C1AC1" w14:textId="3B90F585" w:rsidR="00D00114" w:rsidRPr="000B4902" w:rsidRDefault="00D00114" w:rsidP="00D00114">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Por su parte, la figura del mandatario u apoderado analizado previamente, el cual medía la suscripción de un contrato civil o comercial, dependiendo del alcance del de las obligaciones adquiridas por las partes, es diferente a la figura del autorizado para recibir notificaciones previsto en el artículo 71 del Código de Procedimiento Administrativo y de lo Contencioso Administrativo, en virtud del cual el autorizado estará facultado para recibir la notificación de un acto administrativo en nombre de un tercero, mediante la presentación de un escrito que contenga dicha autorización, sin embargo, cualquier manifestación que haga en relación con el acto administrativo se tendrá, de pleno derecho, por no realizada.</w:t>
      </w:r>
    </w:p>
    <w:p w14:paraId="2F7B48B3" w14:textId="77777777" w:rsidR="00D00114" w:rsidRPr="000B4902" w:rsidRDefault="00D00114" w:rsidP="00D00114">
      <w:pPr>
        <w:spacing w:before="120" w:after="120" w:line="276" w:lineRule="auto"/>
        <w:ind w:firstLine="709"/>
        <w:jc w:val="both"/>
        <w:rPr>
          <w:rFonts w:ascii="Century Gothic" w:eastAsia="Calibri" w:hAnsi="Century Gothic" w:cs="Arial"/>
        </w:rPr>
      </w:pPr>
      <w:r w:rsidRPr="000B4902">
        <w:rPr>
          <w:rFonts w:ascii="Century Gothic" w:eastAsia="Calibri" w:hAnsi="Century Gothic" w:cs="Arial"/>
        </w:rPr>
        <w:t>En este sentido, en la audiencia de adjudicación puede presentarse autorizaciones para recibir notificaciones en nombre de los oferentes, sin embargo, conforme a lo expuesto, no podrá presentar manifestación alguna sobre el acto administrativo, en representación del tercero. En ese contexto, para las Entidades Estatales resulta de suma importancia, establecer, previo al inicio de la audiencia, las facultades con las que asisten las personas, para que tenga claro el alcance de sus intervenciones cuando sean designados por el oferente –o su apoderado– para opinar, y a su vez si tienen la potestad de notificarse y/o para tomar decisiones en nombre de él.</w:t>
      </w:r>
    </w:p>
    <w:p w14:paraId="6311FEE3" w14:textId="77777777" w:rsidR="0040604E" w:rsidRPr="000B4902" w:rsidRDefault="00DA4F07" w:rsidP="0040604E">
      <w:pPr>
        <w:spacing w:before="120" w:after="120" w:line="276" w:lineRule="auto"/>
        <w:ind w:firstLine="709"/>
        <w:jc w:val="both"/>
        <w:rPr>
          <w:rFonts w:ascii="Century Gothic" w:hAnsi="Century Gothic" w:cs="Arial"/>
          <w:lang w:val="es-ES"/>
        </w:rPr>
      </w:pPr>
      <w:r w:rsidRPr="000B4902">
        <w:rPr>
          <w:rFonts w:ascii="Century Gothic" w:eastAsia="Calibri" w:hAnsi="Century Gothic" w:cs="Arial"/>
        </w:rPr>
        <w:t xml:space="preserve">De esta manera, el oferente puede intervenir en la audiencia de adjudicación </w:t>
      </w:r>
      <w:r w:rsidR="0040604E" w:rsidRPr="000B4902">
        <w:rPr>
          <w:rFonts w:ascii="Century Gothic" w:hAnsi="Century Gothic" w:cs="Arial"/>
          <w:lang w:val="es-ES"/>
        </w:rPr>
        <w:t>de las siguientes formas: i) directamente, con acompañantes y asesores, o ii) designando una persona que intervenga por él, denominado apoderado o mandatario y, iii) a través de una autorizado exclusivamente para notificarse.</w:t>
      </w:r>
    </w:p>
    <w:p w14:paraId="6AED467D" w14:textId="66A88CCB" w:rsidR="00DA4F07" w:rsidRPr="000B4902" w:rsidRDefault="00DA4F07" w:rsidP="006C48BF">
      <w:pPr>
        <w:spacing w:after="120" w:line="276" w:lineRule="auto"/>
        <w:ind w:firstLine="709"/>
        <w:jc w:val="both"/>
        <w:rPr>
          <w:rFonts w:ascii="Century Gothic" w:eastAsia="Calibri" w:hAnsi="Century Gothic" w:cs="Arial"/>
        </w:rPr>
      </w:pPr>
      <w:r w:rsidRPr="000B4902">
        <w:rPr>
          <w:rFonts w:ascii="Century Gothic" w:eastAsia="Calibri" w:hAnsi="Century Gothic" w:cs="Arial"/>
        </w:rPr>
        <w:t xml:space="preserve">Ahora bien, tratándose de la audiencia de </w:t>
      </w:r>
      <w:r w:rsidRPr="000B4902">
        <w:rPr>
          <w:rFonts w:ascii="Century Gothic" w:eastAsia="Calibri" w:hAnsi="Century Gothic" w:cs="Arial"/>
          <w:i/>
        </w:rPr>
        <w:t>asignación de riesgos</w:t>
      </w:r>
      <w:r w:rsidRPr="000B4902">
        <w:rPr>
          <w:rFonts w:ascii="Century Gothic" w:eastAsia="Calibri" w:hAnsi="Century Gothic" w:cs="Arial"/>
        </w:rPr>
        <w:t xml:space="preserve">, esta Agencia considera </w:t>
      </w:r>
      <w:r w:rsidR="006C48BF" w:rsidRPr="000B4902">
        <w:rPr>
          <w:rFonts w:ascii="Century Gothic" w:eastAsia="Calibri" w:hAnsi="Century Gothic" w:cs="Arial"/>
        </w:rPr>
        <w:t>que,</w:t>
      </w:r>
      <w:r w:rsidRPr="000B4902">
        <w:rPr>
          <w:rFonts w:ascii="Century Gothic" w:eastAsia="Calibri" w:hAnsi="Century Gothic" w:cs="Arial"/>
        </w:rPr>
        <w:t xml:space="preserve"> aunque en principio se podrían extender las ideas señaladas anteriormente frente a la audiencia de adjudicación, dada la naturaleza </w:t>
      </w:r>
      <w:r w:rsidR="006C48BF" w:rsidRPr="000B4902">
        <w:rPr>
          <w:rFonts w:ascii="Century Gothic" w:eastAsia="Calibri" w:hAnsi="Century Gothic" w:cs="Arial"/>
        </w:rPr>
        <w:t>de esta audiencia,</w:t>
      </w:r>
      <w:r w:rsidRPr="000B4902">
        <w:rPr>
          <w:rFonts w:ascii="Century Gothic" w:eastAsia="Calibri" w:hAnsi="Century Gothic" w:cs="Arial"/>
        </w:rPr>
        <w:t xml:space="preserve"> realizado en el numeral 2.1. de este concepto</w:t>
      </w:r>
      <w:r w:rsidR="006C48BF" w:rsidRPr="000B4902">
        <w:rPr>
          <w:rFonts w:ascii="Century Gothic" w:eastAsia="Calibri" w:hAnsi="Century Gothic" w:cs="Arial"/>
        </w:rPr>
        <w:t xml:space="preserve">, </w:t>
      </w:r>
      <w:r w:rsidRPr="000B4902">
        <w:rPr>
          <w:rFonts w:ascii="Century Gothic" w:eastAsia="Calibri" w:hAnsi="Century Gothic" w:cs="Arial"/>
        </w:rPr>
        <w:t xml:space="preserve">la audiencia de asignación de riesgos se realiza antes del cierre del proceso –fecha prevista para la presentación de las ofertas–, por lo que no necesariamente se debe ser proponente para participar en ella, sino que cualquier interesado podrá asistir e intervenir en ella, siendo posible incluso que quien participe en la misma posteriormente opte por no presentar oferta. </w:t>
      </w:r>
      <w:r w:rsidR="00B33F90" w:rsidRPr="000B4902">
        <w:rPr>
          <w:rFonts w:ascii="Century Gothic" w:eastAsia="Calibri" w:hAnsi="Century Gothic" w:cs="Arial"/>
        </w:rPr>
        <w:t>Además</w:t>
      </w:r>
      <w:r w:rsidR="49B7ACBF" w:rsidRPr="000B4902">
        <w:rPr>
          <w:rFonts w:ascii="Century Gothic" w:eastAsia="Calibri" w:hAnsi="Century Gothic" w:cs="Arial"/>
        </w:rPr>
        <w:t>,</w:t>
      </w:r>
      <w:r w:rsidR="00B33F90" w:rsidRPr="000B4902">
        <w:rPr>
          <w:rFonts w:ascii="Century Gothic" w:eastAsia="Calibri" w:hAnsi="Century Gothic" w:cs="Arial"/>
        </w:rPr>
        <w:t xml:space="preserve"> en ella, por regla general</w:t>
      </w:r>
      <w:r w:rsidR="0004358A" w:rsidRPr="000B4902">
        <w:rPr>
          <w:rFonts w:ascii="Century Gothic" w:eastAsia="Calibri" w:hAnsi="Century Gothic" w:cs="Arial"/>
        </w:rPr>
        <w:t>,</w:t>
      </w:r>
      <w:r w:rsidR="00B33F90" w:rsidRPr="000B4902">
        <w:rPr>
          <w:rFonts w:ascii="Century Gothic" w:eastAsia="Calibri" w:hAnsi="Century Gothic" w:cs="Arial"/>
        </w:rPr>
        <w:t xml:space="preserve"> no se notifica actos administrativo</w:t>
      </w:r>
      <w:r w:rsidR="0004358A" w:rsidRPr="000B4902">
        <w:rPr>
          <w:rFonts w:ascii="Century Gothic" w:eastAsia="Calibri" w:hAnsi="Century Gothic" w:cs="Arial"/>
        </w:rPr>
        <w:t xml:space="preserve">s de contenido particular, por lo tanto, </w:t>
      </w:r>
      <w:r w:rsidRPr="000B4902">
        <w:rPr>
          <w:rFonts w:ascii="Century Gothic" w:eastAsia="Calibri" w:hAnsi="Century Gothic" w:cs="Arial"/>
        </w:rPr>
        <w:t>cualquier interesado podrá participar directamente en la audiencia, en nombre propio, sin que requiera acreditar estar representando a un eventual futuro oferente. Además, es importante precisar que las determinaciones que se tomen en la audiencia de asignación de riesgos no comprometen los intereses de determinados sujetos en particular –como sucede en la audiencia de adjudicación– sino que corresponderán a decisiones que afectarán de forma general a todos los interesados en el proceso. En tal sentido, en la audiencia de asignación de riesgos podrá participar e intervenir cualquier interesado en el proceso.</w:t>
      </w:r>
    </w:p>
    <w:p w14:paraId="15423D4B" w14:textId="77777777" w:rsidR="00BC5CC4" w:rsidRPr="000B4902" w:rsidRDefault="00BC5CC4" w:rsidP="00BC5CC4">
      <w:pPr>
        <w:shd w:val="clear" w:color="auto" w:fill="FFFFFF" w:themeFill="background1"/>
        <w:spacing w:line="276" w:lineRule="auto"/>
        <w:ind w:firstLine="708"/>
        <w:jc w:val="both"/>
        <w:textAlignment w:val="baseline"/>
        <w:rPr>
          <w:rFonts w:ascii="Century Gothic" w:hAnsi="Century Gothic" w:cs="Arial"/>
          <w:color w:val="000000" w:themeColor="text1"/>
          <w:lang w:eastAsia="es-MX"/>
        </w:rPr>
      </w:pPr>
      <w:r w:rsidRPr="000B4902">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93612FB" w14:textId="77777777" w:rsidR="00BC5CC4" w:rsidRPr="000B4902" w:rsidRDefault="00BC5CC4" w:rsidP="00BC5CC4">
      <w:pPr>
        <w:spacing w:line="276" w:lineRule="auto"/>
        <w:contextualSpacing/>
        <w:jc w:val="both"/>
        <w:textAlignment w:val="baseline"/>
        <w:rPr>
          <w:rFonts w:ascii="Century Gothic" w:hAnsi="Century Gothic" w:cs="Arial"/>
          <w:lang w:val="es-ES"/>
        </w:rPr>
      </w:pPr>
    </w:p>
    <w:p w14:paraId="1A82EB85" w14:textId="77777777" w:rsidR="00BC5CC4" w:rsidRPr="000B4902" w:rsidRDefault="00BC5CC4" w:rsidP="00BC5CC4">
      <w:pPr>
        <w:spacing w:line="276" w:lineRule="auto"/>
        <w:contextualSpacing/>
        <w:jc w:val="both"/>
        <w:textAlignment w:val="baseline"/>
        <w:rPr>
          <w:rFonts w:ascii="Century Gothic" w:hAnsi="Century Gothic" w:cs="Arial"/>
        </w:rPr>
      </w:pPr>
      <w:r w:rsidRPr="000B4902">
        <w:rPr>
          <w:rFonts w:ascii="Century Gothic" w:hAnsi="Century Gothic" w:cs="Arial"/>
          <w:lang w:val="es-ES"/>
        </w:rPr>
        <w:t>Atentamente</w:t>
      </w:r>
      <w:r w:rsidRPr="000B4902">
        <w:rPr>
          <w:rFonts w:ascii="Century Gothic" w:hAnsi="Century Gothic" w:cs="Arial"/>
          <w:lang w:val="es-MX"/>
        </w:rPr>
        <w:t>,</w:t>
      </w:r>
      <w:r w:rsidRPr="000B4902">
        <w:rPr>
          <w:rFonts w:ascii="Century Gothic" w:hAnsi="Century Gothic" w:cs="Arial"/>
        </w:rPr>
        <w:t> </w:t>
      </w:r>
    </w:p>
    <w:p w14:paraId="2B9219F8" w14:textId="1C09DB59" w:rsidR="00BC5CC4" w:rsidRPr="000B4902" w:rsidRDefault="00331946" w:rsidP="00BC5CC4">
      <w:pPr>
        <w:spacing w:line="276" w:lineRule="auto"/>
        <w:jc w:val="center"/>
        <w:textAlignment w:val="baseline"/>
        <w:rPr>
          <w:rFonts w:ascii="Century Gothic" w:hAnsi="Century Gothic" w:cs="Arial"/>
        </w:rPr>
      </w:pPr>
      <w:r w:rsidRPr="001B7209">
        <w:rPr>
          <w:rFonts w:ascii="Century Gothic" w:hAnsi="Century Gothic"/>
          <w:noProof/>
        </w:rPr>
        <w:drawing>
          <wp:inline distT="0" distB="0" distL="0" distR="0" wp14:anchorId="41309BE1" wp14:editId="00D8E993">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1EFB11F7" w14:textId="77777777" w:rsidR="00BC5CC4" w:rsidRPr="000B4902" w:rsidRDefault="00BC5CC4" w:rsidP="00BC5CC4">
      <w:pPr>
        <w:spacing w:line="276" w:lineRule="auto"/>
        <w:jc w:val="both"/>
        <w:textAlignment w:val="baseline"/>
        <w:rPr>
          <w:rFonts w:ascii="Century Gothic" w:hAnsi="Century Gothic" w:cs="Arial"/>
        </w:rPr>
      </w:pPr>
      <w:r w:rsidRPr="000B4902">
        <w:rPr>
          <w:rFonts w:ascii="Century Gothic" w:hAnsi="Century Gothic" w:cs="Arial"/>
        </w:rPr>
        <w:t> </w:t>
      </w:r>
    </w:p>
    <w:tbl>
      <w:tblPr>
        <w:tblW w:w="666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6"/>
        <w:gridCol w:w="5765"/>
      </w:tblGrid>
      <w:tr w:rsidR="00BC5CC4" w:rsidRPr="000B4902" w14:paraId="074D9582" w14:textId="77777777" w:rsidTr="00121A8B">
        <w:trPr>
          <w:trHeight w:val="453"/>
        </w:trPr>
        <w:tc>
          <w:tcPr>
            <w:tcW w:w="896" w:type="dxa"/>
            <w:tcBorders>
              <w:top w:val="nil"/>
              <w:left w:val="nil"/>
              <w:bottom w:val="nil"/>
              <w:right w:val="nil"/>
            </w:tcBorders>
            <w:vAlign w:val="center"/>
            <w:hideMark/>
          </w:tcPr>
          <w:p w14:paraId="20ED0687" w14:textId="77777777" w:rsidR="00BC5CC4" w:rsidRPr="000B4902" w:rsidRDefault="00BC5CC4" w:rsidP="00121A8B">
            <w:pPr>
              <w:spacing w:after="0" w:line="240" w:lineRule="auto"/>
              <w:jc w:val="both"/>
              <w:textAlignment w:val="baseline"/>
              <w:rPr>
                <w:rFonts w:ascii="Century Gothic" w:hAnsi="Century Gothic" w:cs="Arial"/>
                <w:sz w:val="16"/>
                <w:szCs w:val="16"/>
              </w:rPr>
            </w:pPr>
            <w:r w:rsidRPr="000B4902">
              <w:rPr>
                <w:rFonts w:ascii="Century Gothic" w:hAnsi="Century Gothic" w:cs="Arial"/>
                <w:sz w:val="16"/>
                <w:szCs w:val="16"/>
                <w:lang w:val="es-MX"/>
              </w:rPr>
              <w:t>Elaboró:</w:t>
            </w:r>
            <w:r w:rsidRPr="000B4902">
              <w:rPr>
                <w:rFonts w:ascii="Century Gothic" w:hAnsi="Century Gothic" w:cs="Arial"/>
                <w:sz w:val="16"/>
                <w:szCs w:val="16"/>
              </w:rPr>
              <w:t> </w:t>
            </w:r>
          </w:p>
        </w:tc>
        <w:tc>
          <w:tcPr>
            <w:tcW w:w="5765" w:type="dxa"/>
            <w:tcBorders>
              <w:top w:val="nil"/>
              <w:left w:val="nil"/>
              <w:bottom w:val="dotted" w:sz="6" w:space="0" w:color="7F7F7F"/>
              <w:right w:val="nil"/>
            </w:tcBorders>
            <w:vAlign w:val="center"/>
            <w:hideMark/>
          </w:tcPr>
          <w:p w14:paraId="40201BB2" w14:textId="77777777" w:rsidR="00BC5CC4" w:rsidRPr="000B4902" w:rsidRDefault="00BC5CC4" w:rsidP="00121A8B">
            <w:pPr>
              <w:spacing w:after="0" w:line="240" w:lineRule="auto"/>
              <w:jc w:val="both"/>
              <w:textAlignment w:val="baseline"/>
              <w:rPr>
                <w:rFonts w:ascii="Century Gothic" w:hAnsi="Century Gothic" w:cs="Arial"/>
                <w:sz w:val="16"/>
                <w:szCs w:val="16"/>
                <w:lang w:val="es-MX"/>
              </w:rPr>
            </w:pPr>
            <w:r w:rsidRPr="000B4902">
              <w:rPr>
                <w:rFonts w:ascii="Century Gothic" w:hAnsi="Century Gothic" w:cs="Arial"/>
                <w:sz w:val="16"/>
                <w:szCs w:val="16"/>
                <w:lang w:val="es-MX"/>
              </w:rPr>
              <w:t>Any Alejandra Tovar Castillo</w:t>
            </w:r>
          </w:p>
          <w:p w14:paraId="2AD34D6A" w14:textId="77777777" w:rsidR="00BC5CC4" w:rsidRPr="000B4902" w:rsidRDefault="00BC5CC4" w:rsidP="00121A8B">
            <w:pPr>
              <w:spacing w:after="0" w:line="240" w:lineRule="auto"/>
              <w:jc w:val="both"/>
              <w:textAlignment w:val="baseline"/>
              <w:rPr>
                <w:rFonts w:ascii="Century Gothic" w:hAnsi="Century Gothic" w:cs="Arial"/>
                <w:sz w:val="16"/>
                <w:szCs w:val="16"/>
              </w:rPr>
            </w:pPr>
            <w:r w:rsidRPr="000B4902">
              <w:rPr>
                <w:rFonts w:ascii="Century Gothic" w:hAnsi="Century Gothic" w:cs="Arial"/>
                <w:sz w:val="16"/>
                <w:szCs w:val="16"/>
                <w:lang w:val="es-MX"/>
              </w:rPr>
              <w:t xml:space="preserve">Contratista </w:t>
            </w:r>
            <w:r w:rsidRPr="000B4902">
              <w:rPr>
                <w:rFonts w:ascii="Century Gothic" w:hAnsi="Century Gothic" w:cs="Arial"/>
                <w:sz w:val="16"/>
                <w:szCs w:val="16"/>
              </w:rPr>
              <w:t>Subdirección de Gestión Contractual</w:t>
            </w:r>
          </w:p>
        </w:tc>
      </w:tr>
      <w:tr w:rsidR="00BC5CC4" w:rsidRPr="000B4902" w14:paraId="538C0C4B" w14:textId="77777777" w:rsidTr="00121A8B">
        <w:trPr>
          <w:trHeight w:val="453"/>
        </w:trPr>
        <w:tc>
          <w:tcPr>
            <w:tcW w:w="896" w:type="dxa"/>
            <w:tcBorders>
              <w:top w:val="nil"/>
              <w:left w:val="nil"/>
              <w:bottom w:val="nil"/>
              <w:right w:val="nil"/>
            </w:tcBorders>
            <w:vAlign w:val="center"/>
            <w:hideMark/>
          </w:tcPr>
          <w:p w14:paraId="466D3FF8" w14:textId="77777777" w:rsidR="00BC5CC4" w:rsidRPr="000B4902" w:rsidRDefault="00BC5CC4" w:rsidP="00121A8B">
            <w:pPr>
              <w:spacing w:after="0" w:line="240" w:lineRule="auto"/>
              <w:jc w:val="both"/>
              <w:textAlignment w:val="baseline"/>
              <w:rPr>
                <w:rFonts w:ascii="Century Gothic" w:hAnsi="Century Gothic" w:cs="Arial"/>
                <w:sz w:val="16"/>
                <w:szCs w:val="16"/>
              </w:rPr>
            </w:pPr>
            <w:r w:rsidRPr="000B4902">
              <w:rPr>
                <w:rFonts w:ascii="Century Gothic" w:hAnsi="Century Gothic" w:cs="Arial"/>
                <w:sz w:val="16"/>
                <w:szCs w:val="16"/>
                <w:lang w:val="es-MX"/>
              </w:rPr>
              <w:t>Revisó:</w:t>
            </w:r>
            <w:r w:rsidRPr="000B4902">
              <w:rPr>
                <w:rFonts w:ascii="Century Gothic" w:hAnsi="Century Gothic" w:cs="Arial"/>
                <w:sz w:val="16"/>
                <w:szCs w:val="16"/>
              </w:rPr>
              <w:t> </w:t>
            </w:r>
          </w:p>
        </w:tc>
        <w:tc>
          <w:tcPr>
            <w:tcW w:w="5765" w:type="dxa"/>
            <w:tcBorders>
              <w:top w:val="dotted" w:sz="6" w:space="0" w:color="7F7F7F"/>
              <w:left w:val="nil"/>
              <w:bottom w:val="dotted" w:sz="6" w:space="0" w:color="7F7F7F"/>
              <w:right w:val="nil"/>
            </w:tcBorders>
            <w:vAlign w:val="center"/>
            <w:hideMark/>
          </w:tcPr>
          <w:p w14:paraId="683BD938" w14:textId="72C5702F" w:rsidR="00BC5CC4" w:rsidRPr="000B4902" w:rsidRDefault="004B17E0" w:rsidP="00121A8B">
            <w:pPr>
              <w:shd w:val="clear" w:color="auto" w:fill="FFFFFF" w:themeFill="background1"/>
              <w:spacing w:after="0" w:line="240" w:lineRule="auto"/>
              <w:jc w:val="both"/>
              <w:rPr>
                <w:rFonts w:ascii="Century Gothic" w:hAnsi="Century Gothic" w:cs="Arial"/>
                <w:sz w:val="16"/>
                <w:szCs w:val="16"/>
              </w:rPr>
            </w:pPr>
            <w:r w:rsidRPr="000B4902">
              <w:rPr>
                <w:rFonts w:ascii="Century Gothic" w:hAnsi="Century Gothic" w:cs="Arial"/>
                <w:sz w:val="16"/>
                <w:szCs w:val="16"/>
              </w:rPr>
              <w:t>Juan</w:t>
            </w:r>
            <w:r w:rsidR="00543E02" w:rsidRPr="000B4902">
              <w:rPr>
                <w:rFonts w:ascii="Century Gothic" w:hAnsi="Century Gothic" w:cs="Arial"/>
                <w:sz w:val="16"/>
                <w:szCs w:val="16"/>
              </w:rPr>
              <w:t xml:space="preserve"> David Cárdenas </w:t>
            </w:r>
            <w:r w:rsidR="0099141F" w:rsidRPr="000B4902">
              <w:rPr>
                <w:rFonts w:ascii="Century Gothic" w:hAnsi="Century Gothic" w:cs="Arial"/>
                <w:sz w:val="16"/>
                <w:szCs w:val="16"/>
              </w:rPr>
              <w:t>Cabeza</w:t>
            </w:r>
          </w:p>
          <w:p w14:paraId="5B332129" w14:textId="4115FA2C" w:rsidR="00BC5CC4" w:rsidRPr="000B4902" w:rsidRDefault="00BC5CC4" w:rsidP="00BC5CC4">
            <w:pPr>
              <w:spacing w:after="0" w:line="240" w:lineRule="auto"/>
              <w:jc w:val="both"/>
              <w:textAlignment w:val="baseline"/>
              <w:rPr>
                <w:rFonts w:ascii="Century Gothic" w:hAnsi="Century Gothic" w:cs="Arial"/>
                <w:sz w:val="16"/>
                <w:szCs w:val="16"/>
              </w:rPr>
            </w:pPr>
            <w:r w:rsidRPr="000B4902">
              <w:rPr>
                <w:rFonts w:ascii="Century Gothic" w:hAnsi="Century Gothic" w:cs="Arial"/>
                <w:sz w:val="16"/>
                <w:szCs w:val="16"/>
                <w:lang w:val="es-MX"/>
              </w:rPr>
              <w:t xml:space="preserve">Contratista </w:t>
            </w:r>
            <w:r w:rsidRPr="000B4902">
              <w:rPr>
                <w:rFonts w:ascii="Century Gothic" w:hAnsi="Century Gothic" w:cs="Arial"/>
                <w:sz w:val="16"/>
                <w:szCs w:val="16"/>
              </w:rPr>
              <w:t>Subdirección de Gestión Contractual</w:t>
            </w:r>
          </w:p>
        </w:tc>
      </w:tr>
      <w:tr w:rsidR="00BC5CC4" w:rsidRPr="000B4902" w14:paraId="563F63CE" w14:textId="77777777" w:rsidTr="00121A8B">
        <w:trPr>
          <w:trHeight w:val="432"/>
        </w:trPr>
        <w:tc>
          <w:tcPr>
            <w:tcW w:w="896" w:type="dxa"/>
            <w:tcBorders>
              <w:top w:val="nil"/>
              <w:left w:val="nil"/>
              <w:bottom w:val="nil"/>
              <w:right w:val="nil"/>
            </w:tcBorders>
            <w:vAlign w:val="center"/>
            <w:hideMark/>
          </w:tcPr>
          <w:p w14:paraId="3EC07063" w14:textId="77777777" w:rsidR="00BC5CC4" w:rsidRPr="000B4902" w:rsidRDefault="00BC5CC4" w:rsidP="00121A8B">
            <w:pPr>
              <w:spacing w:after="0" w:line="240" w:lineRule="auto"/>
              <w:jc w:val="both"/>
              <w:textAlignment w:val="baseline"/>
              <w:rPr>
                <w:rFonts w:ascii="Century Gothic" w:hAnsi="Century Gothic" w:cs="Arial"/>
                <w:sz w:val="16"/>
                <w:szCs w:val="16"/>
              </w:rPr>
            </w:pPr>
            <w:r w:rsidRPr="000B4902">
              <w:rPr>
                <w:rFonts w:ascii="Century Gothic" w:hAnsi="Century Gothic" w:cs="Arial"/>
                <w:sz w:val="16"/>
                <w:szCs w:val="16"/>
                <w:lang w:val="es-MX"/>
              </w:rPr>
              <w:t>Aprobó:</w:t>
            </w:r>
            <w:r w:rsidRPr="000B4902">
              <w:rPr>
                <w:rFonts w:ascii="Century Gothic" w:hAnsi="Century Gothic" w:cs="Arial"/>
                <w:sz w:val="16"/>
                <w:szCs w:val="16"/>
              </w:rPr>
              <w:t> </w:t>
            </w:r>
          </w:p>
        </w:tc>
        <w:tc>
          <w:tcPr>
            <w:tcW w:w="5765" w:type="dxa"/>
            <w:tcBorders>
              <w:top w:val="dotted" w:sz="6" w:space="0" w:color="7F7F7F"/>
              <w:left w:val="nil"/>
              <w:bottom w:val="dotted" w:sz="6" w:space="0" w:color="7F7F7F"/>
              <w:right w:val="nil"/>
            </w:tcBorders>
            <w:vAlign w:val="center"/>
            <w:hideMark/>
          </w:tcPr>
          <w:p w14:paraId="77A46951" w14:textId="77777777" w:rsidR="00BC5CC4" w:rsidRPr="000B4902" w:rsidRDefault="00BC5CC4" w:rsidP="00121A8B">
            <w:pPr>
              <w:spacing w:after="0" w:line="240" w:lineRule="auto"/>
              <w:jc w:val="both"/>
              <w:textAlignment w:val="baseline"/>
              <w:rPr>
                <w:rFonts w:ascii="Century Gothic" w:hAnsi="Century Gothic" w:cs="Arial"/>
                <w:sz w:val="16"/>
                <w:szCs w:val="16"/>
                <w:lang w:val="es-ES_tradnl"/>
              </w:rPr>
            </w:pPr>
            <w:r w:rsidRPr="000B4902">
              <w:rPr>
                <w:rFonts w:ascii="Century Gothic" w:hAnsi="Century Gothic" w:cs="Arial"/>
                <w:sz w:val="16"/>
                <w:szCs w:val="16"/>
                <w:lang w:val="es-ES_tradnl"/>
              </w:rPr>
              <w:t>Nohelia del Carmen Zawady Palacio</w:t>
            </w:r>
          </w:p>
          <w:p w14:paraId="79694315" w14:textId="77777777" w:rsidR="00BC5CC4" w:rsidRPr="000B4902" w:rsidRDefault="00BC5CC4" w:rsidP="00121A8B">
            <w:pPr>
              <w:spacing w:after="0" w:line="240" w:lineRule="auto"/>
              <w:jc w:val="both"/>
              <w:textAlignment w:val="baseline"/>
              <w:rPr>
                <w:rFonts w:ascii="Century Gothic" w:hAnsi="Century Gothic" w:cs="Arial"/>
                <w:sz w:val="16"/>
                <w:szCs w:val="16"/>
              </w:rPr>
            </w:pPr>
            <w:r w:rsidRPr="000B4902">
              <w:rPr>
                <w:rFonts w:ascii="Century Gothic" w:hAnsi="Century Gothic" w:cs="Arial"/>
                <w:sz w:val="16"/>
                <w:szCs w:val="16"/>
                <w:lang w:val="es-ES_tradnl"/>
              </w:rPr>
              <w:t>Subdirectora de Gestión Contractual ANCP-CCE</w:t>
            </w:r>
          </w:p>
        </w:tc>
      </w:tr>
      <w:bookmarkEnd w:id="0"/>
    </w:tbl>
    <w:p w14:paraId="0465BA6D" w14:textId="77777777" w:rsidR="00E245AB" w:rsidRPr="000B4902" w:rsidRDefault="00E245AB" w:rsidP="00E245AB">
      <w:pPr>
        <w:spacing w:after="0"/>
        <w:rPr>
          <w:rFonts w:ascii="Century Gothic" w:hAnsi="Century Gothic" w:cs="Arial"/>
        </w:rPr>
      </w:pPr>
    </w:p>
    <w:sectPr w:rsidR="00E245AB" w:rsidRPr="000B4902"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39098" w14:textId="77777777" w:rsidR="00F35A70" w:rsidRDefault="00F35A70" w:rsidP="004A1847">
      <w:pPr>
        <w:spacing w:after="0" w:line="240" w:lineRule="auto"/>
      </w:pPr>
      <w:r>
        <w:separator/>
      </w:r>
    </w:p>
  </w:endnote>
  <w:endnote w:type="continuationSeparator" w:id="0">
    <w:p w14:paraId="763537AC" w14:textId="77777777" w:rsidR="00F35A70" w:rsidRDefault="00F35A70" w:rsidP="004A1847">
      <w:pPr>
        <w:spacing w:after="0" w:line="240" w:lineRule="auto"/>
      </w:pPr>
      <w:r>
        <w:continuationSeparator/>
      </w:r>
    </w:p>
  </w:endnote>
  <w:endnote w:type="continuationNotice" w:id="1">
    <w:p w14:paraId="5B4C56F6" w14:textId="77777777" w:rsidR="00F35A70" w:rsidRDefault="00F35A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DDA9D" w14:textId="77777777" w:rsidR="00F35A70" w:rsidRDefault="00F35A70" w:rsidP="004A1847">
      <w:pPr>
        <w:spacing w:after="0" w:line="240" w:lineRule="auto"/>
      </w:pPr>
      <w:r>
        <w:separator/>
      </w:r>
    </w:p>
  </w:footnote>
  <w:footnote w:type="continuationSeparator" w:id="0">
    <w:p w14:paraId="020EB27C" w14:textId="77777777" w:rsidR="00F35A70" w:rsidRDefault="00F35A70" w:rsidP="004A1847">
      <w:pPr>
        <w:spacing w:after="0" w:line="240" w:lineRule="auto"/>
      </w:pPr>
      <w:r>
        <w:continuationSeparator/>
      </w:r>
    </w:p>
  </w:footnote>
  <w:footnote w:type="continuationNotice" w:id="1">
    <w:p w14:paraId="5C41F176" w14:textId="77777777" w:rsidR="00F35A70" w:rsidRDefault="00F35A70">
      <w:pPr>
        <w:spacing w:after="0" w:line="240" w:lineRule="auto"/>
      </w:pPr>
    </w:p>
  </w:footnote>
  <w:footnote w:id="2">
    <w:p w14:paraId="6915B37A" w14:textId="77777777" w:rsidR="00231E31" w:rsidRPr="000B4902" w:rsidRDefault="00231E31" w:rsidP="00231E31">
      <w:pPr>
        <w:pStyle w:val="Textonotapie"/>
        <w:ind w:firstLine="708"/>
        <w:jc w:val="both"/>
        <w:rPr>
          <w:rFonts w:ascii="Century Gothic" w:hAnsi="Century Gothic" w:cs="Arial"/>
          <w:sz w:val="18"/>
          <w:szCs w:val="18"/>
          <w:lang w:val="es-ES"/>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En este sentido, el Decreto Ley 4170 de 2011 dispone que “Artículo 3°. La Agencia Nacional de Contratación Pública –Colombia Compra Eficiente– ejercerá las siguientes funciones: </w:t>
      </w:r>
    </w:p>
    <w:p w14:paraId="00933A3F" w14:textId="77777777" w:rsidR="00231E31" w:rsidRPr="000B4902" w:rsidRDefault="00231E31" w:rsidP="00231E31">
      <w:pPr>
        <w:pStyle w:val="Textonotapie"/>
        <w:ind w:firstLine="708"/>
        <w:jc w:val="both"/>
        <w:rPr>
          <w:rFonts w:ascii="Century Gothic" w:hAnsi="Century Gothic" w:cs="Arial"/>
          <w:sz w:val="18"/>
          <w:szCs w:val="18"/>
          <w:lang w:val="es-ES"/>
        </w:rPr>
      </w:pPr>
      <w:r w:rsidRPr="000B4902">
        <w:rPr>
          <w:rFonts w:ascii="Century Gothic" w:hAnsi="Century Gothic" w:cs="Arial"/>
          <w:sz w:val="18"/>
          <w:szCs w:val="18"/>
          <w:lang w:val="es-ES"/>
        </w:rPr>
        <w:t>[…]</w:t>
      </w:r>
    </w:p>
    <w:p w14:paraId="2B2E3E15" w14:textId="77777777" w:rsidR="00231E31" w:rsidRPr="000B4902" w:rsidRDefault="00231E31" w:rsidP="00231E31">
      <w:pPr>
        <w:pStyle w:val="Textonotapie"/>
        <w:ind w:firstLine="708"/>
        <w:jc w:val="both"/>
        <w:rPr>
          <w:rFonts w:ascii="Century Gothic" w:hAnsi="Century Gothic" w:cs="Arial"/>
          <w:sz w:val="18"/>
          <w:szCs w:val="18"/>
          <w:lang w:val="es-ES"/>
        </w:rPr>
      </w:pPr>
      <w:r w:rsidRPr="000B4902">
        <w:rPr>
          <w:rFonts w:ascii="Century Gothic" w:hAnsi="Century Gothic" w:cs="Arial"/>
          <w:sz w:val="18"/>
          <w:szCs w:val="18"/>
          <w:lang w:val="es-ES"/>
        </w:rPr>
        <w:t>“5. Absolver consultas sobre la aplicación de normas de carácter general y expedir circulares externas en materia de compras y contratación pública.</w:t>
      </w:r>
    </w:p>
    <w:p w14:paraId="28107224" w14:textId="77777777" w:rsidR="00231E31" w:rsidRPr="000B4902" w:rsidRDefault="00231E31" w:rsidP="00231E31">
      <w:pPr>
        <w:pStyle w:val="Textonotapie"/>
        <w:ind w:firstLine="708"/>
        <w:jc w:val="both"/>
        <w:rPr>
          <w:rFonts w:ascii="Century Gothic" w:hAnsi="Century Gothic" w:cs="Arial"/>
          <w:sz w:val="18"/>
          <w:szCs w:val="18"/>
          <w:lang w:val="es-ES"/>
        </w:rPr>
      </w:pPr>
      <w:r w:rsidRPr="000B4902">
        <w:rPr>
          <w:rFonts w:ascii="Century Gothic" w:hAnsi="Century Gothic" w:cs="Arial"/>
          <w:sz w:val="18"/>
          <w:szCs w:val="18"/>
          <w:lang w:val="es-ES"/>
        </w:rPr>
        <w:t>[…]</w:t>
      </w:r>
    </w:p>
    <w:p w14:paraId="19F78B23" w14:textId="77777777" w:rsidR="00231E31" w:rsidRPr="000B4902" w:rsidRDefault="00231E31" w:rsidP="00231E31">
      <w:pPr>
        <w:pStyle w:val="Textonotapie"/>
        <w:ind w:firstLine="708"/>
        <w:jc w:val="both"/>
        <w:rPr>
          <w:rFonts w:ascii="Century Gothic" w:hAnsi="Century Gothic" w:cs="Arial"/>
          <w:sz w:val="18"/>
          <w:szCs w:val="18"/>
          <w:lang w:val="es-ES"/>
        </w:rPr>
      </w:pPr>
      <w:r w:rsidRPr="000B4902">
        <w:rPr>
          <w:rFonts w:ascii="Century Gothic" w:hAnsi="Century Gothic" w:cs="Arial"/>
          <w:sz w:val="18"/>
          <w:szCs w:val="18"/>
          <w:lang w:val="es-ES"/>
        </w:rPr>
        <w:t>“Artículo 11. Son funciones de la Subdirección de Gestión Contractual las siguientes:</w:t>
      </w:r>
    </w:p>
    <w:p w14:paraId="48A17473" w14:textId="77777777" w:rsidR="00231E31" w:rsidRPr="000B4902" w:rsidRDefault="00231E31" w:rsidP="00231E31">
      <w:pPr>
        <w:pStyle w:val="Textonotapie"/>
        <w:ind w:firstLine="708"/>
        <w:jc w:val="both"/>
        <w:rPr>
          <w:rFonts w:ascii="Century Gothic" w:hAnsi="Century Gothic" w:cs="Arial"/>
          <w:sz w:val="18"/>
          <w:szCs w:val="18"/>
          <w:lang w:val="es-ES"/>
        </w:rPr>
      </w:pPr>
      <w:r w:rsidRPr="000B4902">
        <w:rPr>
          <w:rFonts w:ascii="Century Gothic" w:hAnsi="Century Gothic" w:cs="Arial"/>
          <w:sz w:val="18"/>
          <w:szCs w:val="18"/>
          <w:lang w:val="es-ES"/>
        </w:rPr>
        <w:t>[...]</w:t>
      </w:r>
    </w:p>
    <w:p w14:paraId="74FD40D8" w14:textId="77777777" w:rsidR="00231E31" w:rsidRPr="000B4902" w:rsidRDefault="00231E31" w:rsidP="00231E31">
      <w:pPr>
        <w:pStyle w:val="Textonotapie"/>
        <w:ind w:firstLine="708"/>
        <w:jc w:val="both"/>
        <w:rPr>
          <w:rFonts w:ascii="Century Gothic" w:hAnsi="Century Gothic" w:cs="Arial"/>
          <w:sz w:val="18"/>
          <w:szCs w:val="18"/>
          <w:lang w:val="es-ES"/>
        </w:rPr>
      </w:pPr>
      <w:r w:rsidRPr="000B4902">
        <w:rPr>
          <w:rFonts w:ascii="Century Gothic" w:hAnsi="Century Gothic" w:cs="Arial"/>
          <w:sz w:val="18"/>
          <w:szCs w:val="18"/>
          <w:lang w:val="es-ES"/>
        </w:rPr>
        <w:t>“8. Absolver consultas sobre la aplicación de normas de carácter general”.</w:t>
      </w:r>
    </w:p>
    <w:p w14:paraId="32AD978E" w14:textId="77777777" w:rsidR="00231E31" w:rsidRPr="000B4902" w:rsidRDefault="00231E31" w:rsidP="00231E31">
      <w:pPr>
        <w:pStyle w:val="Textonotapie"/>
        <w:ind w:firstLine="708"/>
        <w:jc w:val="both"/>
        <w:rPr>
          <w:rFonts w:ascii="Century Gothic" w:hAnsi="Century Gothic" w:cs="Arial"/>
          <w:sz w:val="18"/>
          <w:szCs w:val="18"/>
          <w:lang w:val="es-ES"/>
        </w:rPr>
      </w:pPr>
    </w:p>
  </w:footnote>
  <w:footnote w:id="3">
    <w:p w14:paraId="024E0D11" w14:textId="77777777" w:rsidR="00DA4F07" w:rsidRPr="000B4902" w:rsidRDefault="00DA4F07" w:rsidP="00DA4F07">
      <w:pPr>
        <w:pStyle w:val="Textonotapie"/>
        <w:ind w:firstLine="709"/>
        <w:jc w:val="both"/>
        <w:rPr>
          <w:rFonts w:ascii="Century Gothic" w:hAnsi="Century Gothic" w:cs="Arial"/>
          <w:sz w:val="18"/>
          <w:szCs w:val="18"/>
          <w:lang w:val="es-CO"/>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w:t>
      </w:r>
      <w:r w:rsidRPr="000B4902">
        <w:rPr>
          <w:rFonts w:ascii="Century Gothic" w:hAnsi="Century Gothic" w:cs="Arial"/>
          <w:sz w:val="18"/>
          <w:szCs w:val="18"/>
          <w:lang w:val="es-CO"/>
        </w:rPr>
        <w:t>Consejo de Estado. Sección Tercera. Sentencia del 23 de marzo de 2017. Consejera Ponente: Marta Nubia Velásquez Rico. Expediente: 51526.</w:t>
      </w:r>
    </w:p>
  </w:footnote>
  <w:footnote w:id="4">
    <w:p w14:paraId="0757E7CC" w14:textId="5A840B01" w:rsidR="00DA4F07" w:rsidRPr="000B4902" w:rsidRDefault="00DA4F07" w:rsidP="00DA4F07">
      <w:pPr>
        <w:pStyle w:val="Textonotapie"/>
        <w:ind w:firstLine="709"/>
        <w:jc w:val="both"/>
        <w:rPr>
          <w:rFonts w:ascii="Century Gothic" w:hAnsi="Century Gothic" w:cs="Arial"/>
          <w:sz w:val="18"/>
          <w:szCs w:val="18"/>
        </w:rPr>
      </w:pPr>
      <w:r w:rsidRPr="000B4902">
        <w:rPr>
          <w:rFonts w:ascii="Century Gothic" w:hAnsi="Century Gothic" w:cs="Arial"/>
          <w:sz w:val="18"/>
          <w:szCs w:val="18"/>
          <w:vertAlign w:val="superscript"/>
        </w:rPr>
        <w:footnoteRef/>
      </w:r>
      <w:r w:rsidRPr="000B4902">
        <w:rPr>
          <w:rFonts w:ascii="Century Gothic" w:hAnsi="Century Gothic" w:cs="Arial"/>
          <w:sz w:val="18"/>
          <w:szCs w:val="18"/>
          <w:vertAlign w:val="superscript"/>
        </w:rPr>
        <w:t xml:space="preserve"> </w:t>
      </w:r>
      <w:r w:rsidR="004B0872" w:rsidRPr="000B4902">
        <w:rPr>
          <w:rFonts w:ascii="Century Gothic" w:hAnsi="Century Gothic" w:cs="Arial"/>
          <w:sz w:val="18"/>
          <w:szCs w:val="18"/>
          <w:vertAlign w:val="superscript"/>
        </w:rPr>
        <w:t>“</w:t>
      </w:r>
      <w:r w:rsidRPr="000B4902">
        <w:rPr>
          <w:rFonts w:ascii="Century Gothic" w:hAnsi="Century Gothic" w:cs="Arial"/>
          <w:sz w:val="18"/>
          <w:szCs w:val="18"/>
        </w:rPr>
        <w:t>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52642D71" w14:textId="17BC0FB8" w:rsidR="00DA4F07" w:rsidRPr="000B4902" w:rsidRDefault="004B0872" w:rsidP="00DA4F07">
      <w:pPr>
        <w:pStyle w:val="Textonotapie"/>
        <w:ind w:firstLine="709"/>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 xml:space="preserve">En la audiencia de asignación de Riesgos, la </w:t>
      </w:r>
      <w:r w:rsidR="00AC16C9" w:rsidRPr="000B4902">
        <w:rPr>
          <w:rFonts w:ascii="Century Gothic" w:hAnsi="Century Gothic" w:cs="Arial"/>
          <w:sz w:val="18"/>
          <w:szCs w:val="18"/>
        </w:rPr>
        <w:t>Entidad Estatal</w:t>
      </w:r>
      <w:r w:rsidR="00DA4F07" w:rsidRPr="000B4902">
        <w:rPr>
          <w:rFonts w:ascii="Century Gothic" w:hAnsi="Century Gothic" w:cs="Arial"/>
          <w:sz w:val="18"/>
          <w:szCs w:val="18"/>
        </w:rPr>
        <w:t xml:space="preserve"> debe presentar el análisis de Riesgos efectuado y hacer la asignación de Riesgos definitiva.</w:t>
      </w:r>
    </w:p>
    <w:p w14:paraId="68301896" w14:textId="6DF56CA6" w:rsidR="00DA4F07" w:rsidRPr="000B4902" w:rsidRDefault="004B0872" w:rsidP="00DA4F07">
      <w:pPr>
        <w:pStyle w:val="Textonotapie"/>
        <w:ind w:firstLine="709"/>
        <w:jc w:val="both"/>
        <w:rPr>
          <w:rFonts w:ascii="Century Gothic" w:hAnsi="Century Gothic" w:cs="Arial"/>
          <w:sz w:val="18"/>
          <w:szCs w:val="18"/>
          <w:lang w:val="es-CO"/>
        </w:rPr>
      </w:pPr>
      <w:r w:rsidRPr="000B4902">
        <w:rPr>
          <w:rFonts w:ascii="Century Gothic" w:hAnsi="Century Gothic" w:cs="Arial"/>
          <w:sz w:val="18"/>
          <w:szCs w:val="18"/>
        </w:rPr>
        <w:t>“</w:t>
      </w:r>
      <w:r w:rsidR="00DA4F07" w:rsidRPr="000B4902">
        <w:rPr>
          <w:rFonts w:ascii="Century Gothic" w:hAnsi="Century Gothic" w:cs="Arial"/>
          <w:sz w:val="18"/>
          <w:szCs w:val="18"/>
        </w:rPr>
        <w:t>[…]</w:t>
      </w:r>
      <w:r w:rsidRPr="000B4902">
        <w:rPr>
          <w:rFonts w:ascii="Century Gothic" w:hAnsi="Century Gothic" w:cs="Arial"/>
          <w:sz w:val="18"/>
          <w:szCs w:val="18"/>
        </w:rPr>
        <w:t>”</w:t>
      </w:r>
      <w:r w:rsidR="00DA4F07" w:rsidRPr="000B4902">
        <w:rPr>
          <w:rFonts w:ascii="Century Gothic" w:hAnsi="Century Gothic" w:cs="Arial"/>
          <w:sz w:val="18"/>
          <w:szCs w:val="18"/>
        </w:rPr>
        <w:t>.</w:t>
      </w:r>
    </w:p>
  </w:footnote>
  <w:footnote w:id="5">
    <w:p w14:paraId="182C2D87" w14:textId="77777777" w:rsidR="00DA4F07" w:rsidRPr="000B4902" w:rsidRDefault="00DA4F07" w:rsidP="00DA4F07">
      <w:pPr>
        <w:pStyle w:val="Textonotapie"/>
        <w:ind w:firstLine="709"/>
        <w:jc w:val="both"/>
        <w:rPr>
          <w:rFonts w:ascii="Century Gothic" w:hAnsi="Century Gothic" w:cs="Arial"/>
          <w:sz w:val="18"/>
          <w:szCs w:val="18"/>
          <w:lang w:val="es-ES"/>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https://colombiacompra.gov.co/sites/default/files/normativas/conpes3714.pdf</w:t>
      </w:r>
    </w:p>
  </w:footnote>
  <w:footnote w:id="6">
    <w:p w14:paraId="71DB5142" w14:textId="77777777" w:rsidR="00DA4F07" w:rsidRPr="000B4902" w:rsidRDefault="00DA4F07" w:rsidP="00DA4F07">
      <w:pPr>
        <w:pStyle w:val="Textonotapie"/>
        <w:ind w:firstLine="709"/>
        <w:jc w:val="both"/>
        <w:rPr>
          <w:rFonts w:ascii="Century Gothic" w:hAnsi="Century Gothic" w:cs="Arial"/>
          <w:sz w:val="18"/>
          <w:szCs w:val="18"/>
        </w:rPr>
      </w:pPr>
    </w:p>
    <w:p w14:paraId="05C93A2E" w14:textId="77777777" w:rsidR="00DA4F07" w:rsidRPr="000B4902" w:rsidRDefault="00DA4F07" w:rsidP="00DA4F07">
      <w:pPr>
        <w:pStyle w:val="Textonotapie"/>
        <w:ind w:firstLine="709"/>
        <w:jc w:val="both"/>
        <w:rPr>
          <w:rFonts w:ascii="Century Gothic" w:hAnsi="Century Gothic" w:cs="Arial"/>
          <w:sz w:val="18"/>
          <w:szCs w:val="18"/>
          <w:lang w:val="es-ES"/>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https://colombiacompra.gov.co/sites/cce_public/files/cce_documents/cce_manual_cobertura_riesgo.pdf</w:t>
      </w:r>
    </w:p>
  </w:footnote>
  <w:footnote w:id="7">
    <w:p w14:paraId="13C9AB17" w14:textId="77777777" w:rsidR="00DA4F07" w:rsidRPr="000B4902" w:rsidRDefault="00DA4F07" w:rsidP="00DA4F07">
      <w:pPr>
        <w:pStyle w:val="Textonotapie"/>
        <w:ind w:firstLine="709"/>
        <w:jc w:val="both"/>
        <w:rPr>
          <w:rFonts w:ascii="Century Gothic" w:hAnsi="Century Gothic" w:cs="Arial"/>
          <w:sz w:val="18"/>
          <w:szCs w:val="18"/>
          <w:lang w:val="es-CO"/>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w:t>
      </w:r>
      <w:r w:rsidRPr="000B4902">
        <w:rPr>
          <w:rFonts w:ascii="Century Gothic" w:hAnsi="Century Gothic" w:cs="Arial"/>
          <w:sz w:val="18"/>
          <w:szCs w:val="18"/>
          <w:lang w:val="es-CO"/>
        </w:rPr>
        <w:t>Consejo de Estado. Sección Tercera, Sentencia del 23 de marzo de 2017. C.P: Marta Nubia Velásquez Rico. Exp.51526</w:t>
      </w:r>
    </w:p>
  </w:footnote>
  <w:footnote w:id="8">
    <w:p w14:paraId="3AB5438F" w14:textId="77777777" w:rsidR="00DA4F07" w:rsidRPr="000B4902" w:rsidRDefault="00DA4F07" w:rsidP="00DA4F07">
      <w:pPr>
        <w:pStyle w:val="Textonotapie"/>
        <w:ind w:firstLine="709"/>
        <w:jc w:val="both"/>
        <w:rPr>
          <w:rFonts w:ascii="Century Gothic" w:hAnsi="Century Gothic" w:cs="Arial"/>
          <w:sz w:val="18"/>
          <w:szCs w:val="18"/>
          <w:lang w:val="es-CO"/>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w:t>
      </w:r>
      <w:r w:rsidRPr="000B4902">
        <w:rPr>
          <w:rFonts w:ascii="Century Gothic" w:hAnsi="Century Gothic" w:cs="Arial"/>
          <w:sz w:val="18"/>
          <w:szCs w:val="18"/>
          <w:lang w:val="es-CO"/>
        </w:rPr>
        <w:t xml:space="preserve">Ibídem </w:t>
      </w:r>
    </w:p>
  </w:footnote>
  <w:footnote w:id="9">
    <w:p w14:paraId="56ED9340" w14:textId="2436AA69" w:rsidR="00DA4F07" w:rsidRPr="000B4902" w:rsidRDefault="00DA4F07"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vertAlign w:val="superscript"/>
        </w:rPr>
        <w:footnoteRef/>
      </w:r>
      <w:r w:rsidRPr="000B4902">
        <w:rPr>
          <w:rFonts w:ascii="Century Gothic" w:hAnsi="Century Gothic" w:cs="Arial"/>
          <w:sz w:val="18"/>
          <w:szCs w:val="18"/>
        </w:rPr>
        <w:t xml:space="preserve"> </w:t>
      </w:r>
      <w:r w:rsidR="004B0872" w:rsidRPr="000B4902">
        <w:rPr>
          <w:rFonts w:ascii="Century Gothic" w:hAnsi="Century Gothic" w:cs="Arial"/>
          <w:sz w:val="18"/>
          <w:szCs w:val="18"/>
        </w:rPr>
        <w:t>“</w:t>
      </w:r>
      <w:r w:rsidRPr="000B4902">
        <w:rPr>
          <w:rFonts w:ascii="Century Gothic" w:hAnsi="Century Gothic" w:cs="Arial"/>
          <w:sz w:val="18"/>
          <w:szCs w:val="18"/>
        </w:rPr>
        <w:t>Artículo 273. A solicitud de cualquiera de los proponentes, el Contralor General de la República y demás autoridades de control fiscal competentes, ordenarán que el acto de adjudicación de una licitación tenga lugar en audiencia pública.</w:t>
      </w:r>
    </w:p>
    <w:p w14:paraId="7336D0F8" w14:textId="3A58529A"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Los casos en que se aplique el mecanismo de audiencia pública, la manera como se efectuará la evaluación de las propuestas y las condiciones bajo las cuales se realizará aquella, serán señalados por la ley</w:t>
      </w:r>
      <w:r w:rsidRPr="000B4902">
        <w:rPr>
          <w:rFonts w:ascii="Century Gothic" w:hAnsi="Century Gothic" w:cs="Arial"/>
          <w:sz w:val="18"/>
          <w:szCs w:val="18"/>
        </w:rPr>
        <w:t>”</w:t>
      </w:r>
      <w:r w:rsidR="00DA4F07" w:rsidRPr="000B4902">
        <w:rPr>
          <w:rFonts w:ascii="Century Gothic" w:hAnsi="Century Gothic" w:cs="Arial"/>
          <w:sz w:val="18"/>
          <w:szCs w:val="18"/>
        </w:rPr>
        <w:t>.</w:t>
      </w:r>
    </w:p>
    <w:p w14:paraId="18FBA851" w14:textId="77777777" w:rsidR="00DA4F07" w:rsidRPr="000B4902" w:rsidRDefault="00DA4F07" w:rsidP="00DA4F07">
      <w:pPr>
        <w:pStyle w:val="Textonotapie"/>
        <w:ind w:firstLine="708"/>
        <w:jc w:val="both"/>
        <w:rPr>
          <w:rFonts w:ascii="Century Gothic" w:hAnsi="Century Gothic" w:cs="Arial"/>
          <w:sz w:val="18"/>
          <w:szCs w:val="18"/>
        </w:rPr>
      </w:pPr>
    </w:p>
  </w:footnote>
  <w:footnote w:id="10">
    <w:p w14:paraId="0974E666" w14:textId="52319AF4" w:rsidR="00DA4F07" w:rsidRPr="000B4902" w:rsidRDefault="00DA4F07"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vertAlign w:val="superscript"/>
        </w:rPr>
        <w:footnoteRef/>
      </w:r>
      <w:r w:rsidRPr="000B4902">
        <w:rPr>
          <w:rFonts w:ascii="Century Gothic" w:hAnsi="Century Gothic" w:cs="Arial"/>
          <w:sz w:val="18"/>
          <w:szCs w:val="18"/>
        </w:rPr>
        <w:t xml:space="preserve"> Ley 80 de 1993: </w:t>
      </w:r>
      <w:r w:rsidR="004B0872" w:rsidRPr="000B4902">
        <w:rPr>
          <w:rFonts w:ascii="Century Gothic" w:hAnsi="Century Gothic" w:cs="Arial"/>
          <w:sz w:val="18"/>
          <w:szCs w:val="18"/>
        </w:rPr>
        <w:t>“</w:t>
      </w:r>
      <w:r w:rsidRPr="000B4902">
        <w:rPr>
          <w:rFonts w:ascii="Century Gothic" w:hAnsi="Century Gothic" w:cs="Arial"/>
          <w:sz w:val="18"/>
          <w:szCs w:val="18"/>
        </w:rPr>
        <w:t>Artículo 30. De la estructura de los procedimientos de selección. La licitación se efectuará conforme a las siguientes reglas:</w:t>
      </w:r>
    </w:p>
    <w:p w14:paraId="64B788A8" w14:textId="77777777" w:rsidR="00DA4F07" w:rsidRPr="000B4902" w:rsidRDefault="00DA4F07"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p>
    <w:p w14:paraId="7002784F" w14:textId="7ED82539"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10. En el evento previsto en el artículo 273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29CE6264" w14:textId="685184BD"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De la audiencia se levantará un acta en la que se dejará constancia de las deliberaciones y decisiones que en el desarrollo de la misma se hubieren producido.</w:t>
      </w:r>
    </w:p>
    <w:p w14:paraId="6DA15B2F" w14:textId="295C314D" w:rsidR="00DA4F07" w:rsidRPr="000B4902" w:rsidRDefault="00DA4F07" w:rsidP="00DA4F07">
      <w:pPr>
        <w:pStyle w:val="Textonotapie"/>
        <w:jc w:val="both"/>
        <w:rPr>
          <w:rFonts w:ascii="Century Gothic" w:hAnsi="Century Gothic" w:cs="Arial"/>
          <w:sz w:val="18"/>
          <w:szCs w:val="18"/>
        </w:rPr>
      </w:pPr>
      <w:r w:rsidRPr="000B4902">
        <w:rPr>
          <w:rFonts w:ascii="Century Gothic" w:hAnsi="Century Gothic" w:cs="Arial"/>
          <w:sz w:val="18"/>
          <w:szCs w:val="18"/>
        </w:rPr>
        <w:t>[...]</w:t>
      </w:r>
      <w:r w:rsidR="004B0872" w:rsidRPr="000B4902">
        <w:rPr>
          <w:rFonts w:ascii="Century Gothic" w:hAnsi="Century Gothic" w:cs="Arial"/>
          <w:sz w:val="18"/>
          <w:szCs w:val="18"/>
        </w:rPr>
        <w:t>”</w:t>
      </w:r>
      <w:r w:rsidRPr="000B4902">
        <w:rPr>
          <w:rFonts w:ascii="Century Gothic" w:hAnsi="Century Gothic" w:cs="Arial"/>
          <w:sz w:val="18"/>
          <w:szCs w:val="18"/>
        </w:rPr>
        <w:t>.</w:t>
      </w:r>
    </w:p>
    <w:p w14:paraId="62341781" w14:textId="77777777" w:rsidR="00DA4F07" w:rsidRPr="000B4902" w:rsidRDefault="00DA4F07" w:rsidP="00DA4F07">
      <w:pPr>
        <w:pStyle w:val="Textonotapie"/>
        <w:ind w:firstLine="708"/>
        <w:jc w:val="both"/>
        <w:rPr>
          <w:rFonts w:ascii="Century Gothic" w:hAnsi="Century Gothic" w:cs="Arial"/>
          <w:sz w:val="18"/>
          <w:szCs w:val="18"/>
        </w:rPr>
      </w:pPr>
    </w:p>
  </w:footnote>
  <w:footnote w:id="11">
    <w:p w14:paraId="03768C67" w14:textId="5EE5D2B1" w:rsidR="00DA4F07" w:rsidRPr="000B4902" w:rsidRDefault="00DA4F07"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vertAlign w:val="superscript"/>
        </w:rPr>
        <w:footnoteRef/>
      </w:r>
      <w:r w:rsidRPr="000B4902">
        <w:rPr>
          <w:rFonts w:ascii="Century Gothic" w:hAnsi="Century Gothic" w:cs="Arial"/>
          <w:sz w:val="18"/>
          <w:szCs w:val="18"/>
        </w:rPr>
        <w:t xml:space="preserve"> Artículo 9: </w:t>
      </w:r>
      <w:r w:rsidR="004B0872" w:rsidRPr="000B4902">
        <w:rPr>
          <w:rFonts w:ascii="Century Gothic" w:hAnsi="Century Gothic" w:cs="Arial"/>
          <w:sz w:val="18"/>
          <w:szCs w:val="18"/>
        </w:rPr>
        <w:t>“</w:t>
      </w:r>
      <w:r w:rsidRPr="000B4902">
        <w:rPr>
          <w:rFonts w:ascii="Century Gothic" w:hAnsi="Century Gothic" w:cs="Arial"/>
          <w:sz w:val="18"/>
          <w:szCs w:val="18"/>
        </w:rPr>
        <w:t>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 </w:t>
      </w:r>
    </w:p>
    <w:p w14:paraId="75F50B67" w14:textId="694D1875"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54C37344" w14:textId="7C7B9F43"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El acto de adjudicación es irrevocable y obliga a la entidad y al adjudicatario.</w:t>
      </w:r>
    </w:p>
    <w:p w14:paraId="6929D37D" w14:textId="7D756196"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tooltip="Haga clic para abrir TODA la Ley 80 de 1993" w:history="1">
        <w:r w:rsidR="00DA4F07" w:rsidRPr="000B4902">
          <w:rPr>
            <w:rFonts w:ascii="Century Gothic" w:hAnsi="Century Gothic" w:cs="Arial"/>
            <w:sz w:val="18"/>
            <w:szCs w:val="18"/>
          </w:rPr>
          <w:t>Ley 80 de 1993</w:t>
        </w:r>
      </w:hyperlink>
      <w:r w:rsidR="00DA4F07" w:rsidRPr="000B4902">
        <w:rPr>
          <w:rFonts w:ascii="Century Gothic" w:hAnsi="Century Gothic" w:cs="Arial"/>
          <w:sz w:val="18"/>
          <w:szCs w:val="18"/>
        </w:rPr>
        <w:t>.</w:t>
      </w:r>
    </w:p>
    <w:p w14:paraId="04A34FCF" w14:textId="7F1E92FF"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Sin perjuicio de las potestades a que se refiere el artículo 18 de la </w:t>
      </w:r>
      <w:hyperlink r:id="rId2" w:tooltip="Haga clic para abrir TODA la Ley 80 de 1993" w:history="1">
        <w:r w:rsidR="00DA4F07" w:rsidRPr="000B4902">
          <w:rPr>
            <w:rFonts w:ascii="Century Gothic" w:hAnsi="Century Gothic" w:cs="Arial"/>
            <w:sz w:val="18"/>
            <w:szCs w:val="18"/>
          </w:rPr>
          <w:t>Ley 80 de 1993</w:t>
        </w:r>
      </w:hyperlink>
      <w:r w:rsidR="00DA4F07" w:rsidRPr="000B4902">
        <w:rPr>
          <w:rFonts w:ascii="Century Gothic" w:hAnsi="Century Gothic" w:cs="Arial"/>
          <w:sz w:val="18"/>
          <w:szCs w:val="18"/>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r w:rsidRPr="000B4902">
        <w:rPr>
          <w:rFonts w:ascii="Century Gothic" w:hAnsi="Century Gothic" w:cs="Arial"/>
          <w:sz w:val="18"/>
          <w:szCs w:val="18"/>
        </w:rPr>
        <w:t>”</w:t>
      </w:r>
      <w:r w:rsidR="00DA4F07" w:rsidRPr="000B4902">
        <w:rPr>
          <w:rFonts w:ascii="Century Gothic" w:hAnsi="Century Gothic" w:cs="Arial"/>
          <w:sz w:val="18"/>
          <w:szCs w:val="18"/>
        </w:rPr>
        <w:t>.</w:t>
      </w:r>
    </w:p>
    <w:p w14:paraId="0839732C" w14:textId="77777777" w:rsidR="00DA4F07" w:rsidRPr="000B4902" w:rsidRDefault="00DA4F07" w:rsidP="00DA4F07">
      <w:pPr>
        <w:pStyle w:val="Textonotapie"/>
        <w:ind w:firstLine="708"/>
        <w:jc w:val="both"/>
        <w:rPr>
          <w:rFonts w:ascii="Century Gothic" w:hAnsi="Century Gothic" w:cs="Arial"/>
          <w:sz w:val="18"/>
          <w:szCs w:val="18"/>
        </w:rPr>
      </w:pPr>
    </w:p>
  </w:footnote>
  <w:footnote w:id="12">
    <w:p w14:paraId="1F041097" w14:textId="77777777" w:rsidR="00DA4F07" w:rsidRPr="000B4902" w:rsidRDefault="00DA4F07" w:rsidP="00DA4F07">
      <w:pPr>
        <w:pStyle w:val="Textonotapie"/>
        <w:ind w:firstLine="709"/>
        <w:rPr>
          <w:rFonts w:ascii="Century Gothic" w:hAnsi="Century Gothic" w:cs="Arial"/>
          <w:sz w:val="18"/>
          <w:szCs w:val="18"/>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Corte Constitucional. Sentencia C-380 de 2008. M.P. Nilson Pinilla Pinilla.</w:t>
      </w:r>
    </w:p>
    <w:p w14:paraId="79FD2DC5" w14:textId="77777777" w:rsidR="00DA4F07" w:rsidRPr="000B4902" w:rsidRDefault="00DA4F07" w:rsidP="00DA4F07">
      <w:pPr>
        <w:pStyle w:val="Textonotapie"/>
        <w:ind w:firstLine="709"/>
        <w:rPr>
          <w:rFonts w:ascii="Century Gothic" w:hAnsi="Century Gothic" w:cs="Arial"/>
          <w:sz w:val="18"/>
          <w:szCs w:val="18"/>
          <w:lang w:val="es-ES"/>
        </w:rPr>
      </w:pPr>
    </w:p>
  </w:footnote>
  <w:footnote w:id="13">
    <w:p w14:paraId="00D1D243" w14:textId="77777777" w:rsidR="00DA4F07" w:rsidRPr="000B4902" w:rsidRDefault="00DA4F07" w:rsidP="00DA4F07">
      <w:pPr>
        <w:pStyle w:val="Textonotapie"/>
        <w:ind w:firstLine="708"/>
        <w:jc w:val="both"/>
        <w:rPr>
          <w:rFonts w:ascii="Century Gothic" w:hAnsi="Century Gothic" w:cs="Arial"/>
          <w:sz w:val="18"/>
          <w:szCs w:val="18"/>
          <w:lang w:val="es-CO"/>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Lo que se señala a continuación, sin perjuicio de las reglas especiales establecidas por el artículo 1 de la Ley 1882 de 2018, que modificó el artículo 30 de la Ley 80 de 1993, las cuales solo aplican para los procesos de licitación pública dirigidos a seleccionar contratistas de obra.</w:t>
      </w:r>
    </w:p>
  </w:footnote>
  <w:footnote w:id="14">
    <w:p w14:paraId="0C7BF2D7" w14:textId="66AD1D3B" w:rsidR="00DA4F07" w:rsidRPr="000B4902" w:rsidRDefault="00DA4F07" w:rsidP="00DA4F07">
      <w:pPr>
        <w:pStyle w:val="Textonotapie"/>
        <w:ind w:firstLine="708"/>
        <w:jc w:val="both"/>
        <w:rPr>
          <w:rFonts w:ascii="Century Gothic" w:hAnsi="Century Gothic" w:cs="Arial"/>
          <w:sz w:val="18"/>
          <w:szCs w:val="18"/>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Decreto 1082 de 2015: </w:t>
      </w:r>
      <w:r w:rsidR="004B0872" w:rsidRPr="000B4902">
        <w:rPr>
          <w:rFonts w:ascii="Century Gothic" w:hAnsi="Century Gothic" w:cs="Arial"/>
          <w:sz w:val="18"/>
          <w:szCs w:val="18"/>
        </w:rPr>
        <w:t>““</w:t>
      </w:r>
      <w:r w:rsidRPr="000B4902">
        <w:rPr>
          <w:rFonts w:ascii="Century Gothic" w:hAnsi="Century Gothic" w:cs="Arial"/>
          <w:sz w:val="18"/>
          <w:szCs w:val="18"/>
        </w:rPr>
        <w:t>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0A1FD2D0" w14:textId="1E9707EE"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 xml:space="preserve">En la audiencia de asignación de Riesgos, la </w:t>
      </w:r>
      <w:r w:rsidR="00AC16C9" w:rsidRPr="000B4902">
        <w:rPr>
          <w:rFonts w:ascii="Century Gothic" w:hAnsi="Century Gothic" w:cs="Arial"/>
          <w:sz w:val="18"/>
          <w:szCs w:val="18"/>
        </w:rPr>
        <w:t>Entidad Estatal</w:t>
      </w:r>
      <w:r w:rsidR="00DA4F07" w:rsidRPr="000B4902">
        <w:rPr>
          <w:rFonts w:ascii="Century Gothic" w:hAnsi="Century Gothic" w:cs="Arial"/>
          <w:sz w:val="18"/>
          <w:szCs w:val="18"/>
        </w:rPr>
        <w:t xml:space="preserve"> debe presentar el análisis de Riesgos efectuado y hacer la asignación de Riesgos definitiva.</w:t>
      </w:r>
    </w:p>
    <w:p w14:paraId="01E73717" w14:textId="66BA9795"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 xml:space="preserve">La </w:t>
      </w:r>
      <w:r w:rsidR="00AC16C9" w:rsidRPr="000B4902">
        <w:rPr>
          <w:rFonts w:ascii="Century Gothic" w:hAnsi="Century Gothic" w:cs="Arial"/>
          <w:sz w:val="18"/>
          <w:szCs w:val="18"/>
        </w:rPr>
        <w:t>Entidad Estatal</w:t>
      </w:r>
      <w:r w:rsidR="00DA4F07" w:rsidRPr="000B4902">
        <w:rPr>
          <w:rFonts w:ascii="Century Gothic" w:hAnsi="Century Gothic" w:cs="Arial"/>
          <w:sz w:val="18"/>
          <w:szCs w:val="18"/>
        </w:rPr>
        <w:t xml:space="preserve"> debe realizar la audiencia de adjudicación en la fecha y hora establecida en el Cronograma, la cual se realizará de acuerdo con las reglas establecidas para el efecto en los mismos y las siguientes consideraciones:</w:t>
      </w:r>
    </w:p>
    <w:p w14:paraId="1E392E0F" w14:textId="77E9440E"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 xml:space="preserve">1. En la audiencia los oferentes pueden pronunciarse sobre las respuestas dadas por la </w:t>
      </w:r>
      <w:r w:rsidR="00AC16C9" w:rsidRPr="000B4902">
        <w:rPr>
          <w:rFonts w:ascii="Century Gothic" w:hAnsi="Century Gothic" w:cs="Arial"/>
          <w:sz w:val="18"/>
          <w:szCs w:val="18"/>
        </w:rPr>
        <w:t>Entidad Estatal</w:t>
      </w:r>
      <w:r w:rsidR="00DA4F07" w:rsidRPr="000B4902">
        <w:rPr>
          <w:rFonts w:ascii="Century Gothic" w:hAnsi="Century Gothic" w:cs="Arial"/>
          <w:sz w:val="18"/>
          <w:szCs w:val="18"/>
        </w:rPr>
        <w:t xml:space="preserve"> a las observaciones presentadas respecto del informe de evaluación, lo cual no implica una nueva oportunidad para mejorar o modificar la oferta. Si hay pronunciamientos que a juicio de la </w:t>
      </w:r>
      <w:r w:rsidR="00AC16C9" w:rsidRPr="000B4902">
        <w:rPr>
          <w:rFonts w:ascii="Century Gothic" w:hAnsi="Century Gothic" w:cs="Arial"/>
          <w:sz w:val="18"/>
          <w:szCs w:val="18"/>
        </w:rPr>
        <w:t>Entidad Estatal</w:t>
      </w:r>
      <w:r w:rsidR="00DA4F07" w:rsidRPr="000B4902">
        <w:rPr>
          <w:rFonts w:ascii="Century Gothic" w:hAnsi="Century Gothic" w:cs="Arial"/>
          <w:sz w:val="18"/>
          <w:szCs w:val="18"/>
        </w:rPr>
        <w:t xml:space="preserve"> requiere análisis adicional y su solución puede incidir en el sentido de la decisión a adoptar, la audiencia puede suspenderse por el término necesario para la verificación de los asuntos debatidos y la comprobación de lo alegado.</w:t>
      </w:r>
    </w:p>
    <w:p w14:paraId="12A8B63B" w14:textId="4499392B"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 xml:space="preserve">2. La </w:t>
      </w:r>
      <w:r w:rsidR="00AC16C9" w:rsidRPr="000B4902">
        <w:rPr>
          <w:rFonts w:ascii="Century Gothic" w:hAnsi="Century Gothic" w:cs="Arial"/>
          <w:sz w:val="18"/>
          <w:szCs w:val="18"/>
        </w:rPr>
        <w:t>Entidad Estatal</w:t>
      </w:r>
      <w:r w:rsidR="00DA4F07" w:rsidRPr="000B4902">
        <w:rPr>
          <w:rFonts w:ascii="Century Gothic" w:hAnsi="Century Gothic" w:cs="Arial"/>
          <w:sz w:val="18"/>
          <w:szCs w:val="18"/>
        </w:rPr>
        <w:t xml:space="preserve"> debe conceder el uso de la palabra por una única vez al oferente que así lo solicite, para que responda a las observaciones que sobre la evaluación de su oferta hayan hecho los intervinientes.</w:t>
      </w:r>
    </w:p>
    <w:p w14:paraId="6D63ADD1" w14:textId="4F0A7308"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 xml:space="preserve">3. Toda intervención debe ser hecha por la persona o las personas previamente designadas por el oferente, y estar limitada a la duración máxima que la </w:t>
      </w:r>
      <w:r w:rsidR="00AC16C9" w:rsidRPr="000B4902">
        <w:rPr>
          <w:rFonts w:ascii="Century Gothic" w:hAnsi="Century Gothic" w:cs="Arial"/>
          <w:sz w:val="18"/>
          <w:szCs w:val="18"/>
        </w:rPr>
        <w:t>Entidad Estatal</w:t>
      </w:r>
      <w:r w:rsidR="00DA4F07" w:rsidRPr="000B4902">
        <w:rPr>
          <w:rFonts w:ascii="Century Gothic" w:hAnsi="Century Gothic" w:cs="Arial"/>
          <w:sz w:val="18"/>
          <w:szCs w:val="18"/>
        </w:rPr>
        <w:t xml:space="preserve"> haya señalado con anterioridad.</w:t>
      </w:r>
    </w:p>
    <w:p w14:paraId="24100BD9" w14:textId="1A29A0E9"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 xml:space="preserve">4. La </w:t>
      </w:r>
      <w:r w:rsidR="00AC16C9" w:rsidRPr="000B4902">
        <w:rPr>
          <w:rFonts w:ascii="Century Gothic" w:hAnsi="Century Gothic" w:cs="Arial"/>
          <w:sz w:val="18"/>
          <w:szCs w:val="18"/>
        </w:rPr>
        <w:t>Entidad Estatal</w:t>
      </w:r>
      <w:r w:rsidR="00DA4F07" w:rsidRPr="000B4902">
        <w:rPr>
          <w:rFonts w:ascii="Century Gothic" w:hAnsi="Century Gothic" w:cs="Arial"/>
          <w:sz w:val="18"/>
          <w:szCs w:val="18"/>
        </w:rPr>
        <w:t xml:space="preserve"> puede prescindir de la lectura del borrador del acto administrativo de adjudicación siempre que lo haya publicado en el SECOP con antelación.</w:t>
      </w:r>
    </w:p>
    <w:p w14:paraId="16A348B2" w14:textId="709FFA3B" w:rsidR="00DA4F07" w:rsidRPr="000B4902" w:rsidRDefault="004B0872" w:rsidP="00DA4F07">
      <w:pPr>
        <w:pStyle w:val="Textonotapie"/>
        <w:ind w:firstLine="708"/>
        <w:jc w:val="both"/>
        <w:rPr>
          <w:rFonts w:ascii="Century Gothic" w:hAnsi="Century Gothic" w:cs="Arial"/>
          <w:sz w:val="18"/>
          <w:szCs w:val="18"/>
          <w:lang w:val="es-ES"/>
        </w:rPr>
      </w:pPr>
      <w:r w:rsidRPr="000B4902">
        <w:rPr>
          <w:rFonts w:ascii="Century Gothic" w:hAnsi="Century Gothic" w:cs="Arial"/>
          <w:sz w:val="18"/>
          <w:szCs w:val="18"/>
        </w:rPr>
        <w:t>“</w:t>
      </w:r>
      <w:r w:rsidR="00DA4F07" w:rsidRPr="000B4902">
        <w:rPr>
          <w:rFonts w:ascii="Century Gothic" w:hAnsi="Century Gothic" w:cs="Arial"/>
          <w:sz w:val="18"/>
          <w:szCs w:val="18"/>
        </w:rPr>
        <w:t>5. Terminadas las intervenciones de los asistentes a la audiencia, se procederá a adoptar la decisión que corresponda</w:t>
      </w:r>
      <w:r w:rsidRPr="000B4902">
        <w:rPr>
          <w:rFonts w:ascii="Century Gothic" w:hAnsi="Century Gothic" w:cs="Arial"/>
          <w:sz w:val="18"/>
          <w:szCs w:val="18"/>
        </w:rPr>
        <w:t>”</w:t>
      </w:r>
      <w:r w:rsidR="00DA4F07" w:rsidRPr="000B4902">
        <w:rPr>
          <w:rFonts w:ascii="Century Gothic" w:hAnsi="Century Gothic" w:cs="Arial"/>
          <w:sz w:val="18"/>
          <w:szCs w:val="18"/>
        </w:rPr>
        <w:t xml:space="preserve">. </w:t>
      </w:r>
    </w:p>
  </w:footnote>
  <w:footnote w:id="15">
    <w:p w14:paraId="043433F2" w14:textId="77777777" w:rsidR="007F5BF1" w:rsidRPr="000B4902" w:rsidRDefault="007F5BF1" w:rsidP="007F5BF1">
      <w:pPr>
        <w:ind w:firstLine="708"/>
        <w:jc w:val="both"/>
        <w:rPr>
          <w:rFonts w:ascii="Century Gothic" w:hAnsi="Century Gothic" w:cs="Arial"/>
          <w:sz w:val="18"/>
          <w:szCs w:val="18"/>
        </w:rPr>
      </w:pPr>
      <w:r w:rsidRPr="000B4902">
        <w:rPr>
          <w:rStyle w:val="Refdenotaalpie"/>
          <w:rFonts w:ascii="Century Gothic" w:hAnsi="Century Gothic" w:cs="Arial"/>
          <w:sz w:val="18"/>
          <w:szCs w:val="18"/>
        </w:rPr>
        <w:footnoteRef/>
      </w:r>
      <w:r w:rsidRPr="000B4902">
        <w:rPr>
          <w:rFonts w:ascii="Century Gothic" w:hAnsi="Century Gothic" w:cs="Arial"/>
          <w:sz w:val="18"/>
          <w:szCs w:val="18"/>
          <w:vertAlign w:val="superscript"/>
        </w:rPr>
        <w:t xml:space="preserve"> </w:t>
      </w:r>
      <w:r w:rsidRPr="000B4902">
        <w:rPr>
          <w:rFonts w:ascii="Century Gothic" w:hAnsi="Century Gothic" w:cs="Arial"/>
          <w:sz w:val="18"/>
          <w:szCs w:val="18"/>
        </w:rPr>
        <w:t>Decreto 196 de 1971: “Artículo 35. Salvo los casos expresamente determinados en la ley no se requiere ser abogado para actuar ante las autoridades administrativas; pero si se constituye mandatario, éste deberá ser abogado inscrito”.</w:t>
      </w:r>
    </w:p>
  </w:footnote>
  <w:footnote w:id="16">
    <w:p w14:paraId="61B97326" w14:textId="77777777" w:rsidR="007F5BF1" w:rsidRPr="000B4902" w:rsidRDefault="007F5BF1" w:rsidP="007F5BF1">
      <w:pPr>
        <w:pStyle w:val="Textonotapie"/>
        <w:ind w:firstLine="708"/>
        <w:jc w:val="both"/>
        <w:rPr>
          <w:rFonts w:ascii="Century Gothic" w:hAnsi="Century Gothic" w:cs="Arial"/>
          <w:sz w:val="18"/>
          <w:szCs w:val="18"/>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Corte Constitucional. Sentencia C-507 de 2001. 16 de mayo de 2001. Magistrado Ponente: Álvaro Tafur Galvis.</w:t>
      </w:r>
    </w:p>
    <w:p w14:paraId="22836767" w14:textId="77777777" w:rsidR="007F5BF1" w:rsidRPr="000B4902" w:rsidRDefault="007F5BF1" w:rsidP="007F5BF1">
      <w:pPr>
        <w:pStyle w:val="Textonotapie"/>
        <w:ind w:firstLine="708"/>
        <w:jc w:val="both"/>
        <w:rPr>
          <w:rFonts w:ascii="Century Gothic" w:hAnsi="Century Gothic" w:cs="Arial"/>
          <w:sz w:val="18"/>
          <w:szCs w:val="18"/>
          <w:lang w:val="es-ES"/>
        </w:rPr>
      </w:pPr>
    </w:p>
  </w:footnote>
  <w:footnote w:id="17">
    <w:p w14:paraId="191F7E85" w14:textId="77777777" w:rsidR="007F5BF1" w:rsidRPr="000B4902" w:rsidRDefault="007F5BF1" w:rsidP="007F5BF1">
      <w:pPr>
        <w:pStyle w:val="Textonotapie"/>
        <w:ind w:firstLine="708"/>
        <w:jc w:val="both"/>
        <w:rPr>
          <w:rFonts w:ascii="Century Gothic" w:hAnsi="Century Gothic" w:cs="Arial"/>
          <w:sz w:val="18"/>
          <w:szCs w:val="18"/>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MARIN CORTÉS, Fabián G. Derecho de petición y procedimiento administrativo. Librería Jurídica Sánchez R. Ltda. y Centro de Estudios de Derecho Administrativo </w:t>
      </w:r>
      <w:r w:rsidRPr="000B4902">
        <w:rPr>
          <w:rFonts w:ascii="Arial" w:hAnsi="Arial" w:cs="Arial"/>
          <w:sz w:val="18"/>
          <w:szCs w:val="18"/>
        </w:rPr>
        <w:t>̶</w:t>
      </w:r>
      <w:r w:rsidRPr="000B4902">
        <w:rPr>
          <w:rFonts w:ascii="Century Gothic" w:hAnsi="Century Gothic" w:cs="Arial"/>
          <w:sz w:val="18"/>
          <w:szCs w:val="18"/>
        </w:rPr>
        <w:t xml:space="preserve"> CEDA </w:t>
      </w:r>
      <w:proofErr w:type="gramStart"/>
      <w:r w:rsidRPr="000B4902">
        <w:rPr>
          <w:rFonts w:ascii="Arial" w:hAnsi="Arial" w:cs="Arial"/>
          <w:sz w:val="18"/>
          <w:szCs w:val="18"/>
        </w:rPr>
        <w:t>̶</w:t>
      </w:r>
      <w:r w:rsidRPr="000B4902">
        <w:rPr>
          <w:rFonts w:ascii="Century Gothic" w:hAnsi="Century Gothic" w:cs="Arial"/>
          <w:sz w:val="18"/>
          <w:szCs w:val="18"/>
        </w:rPr>
        <w:t xml:space="preserve"> ,</w:t>
      </w:r>
      <w:proofErr w:type="gramEnd"/>
      <w:r w:rsidRPr="000B4902">
        <w:rPr>
          <w:rFonts w:ascii="Century Gothic" w:hAnsi="Century Gothic" w:cs="Arial"/>
          <w:sz w:val="18"/>
          <w:szCs w:val="18"/>
        </w:rPr>
        <w:t xml:space="preserve"> primera edición, Bogotá, 2017. p 305 y 306.</w:t>
      </w:r>
    </w:p>
    <w:p w14:paraId="68457AF9" w14:textId="77777777" w:rsidR="007F5BF1" w:rsidRPr="000B4902" w:rsidRDefault="007F5BF1" w:rsidP="007F5BF1">
      <w:pPr>
        <w:pStyle w:val="Textonotapie"/>
        <w:ind w:firstLine="708"/>
        <w:jc w:val="both"/>
        <w:rPr>
          <w:rFonts w:ascii="Century Gothic" w:hAnsi="Century Gothic" w:cs="Arial"/>
          <w:sz w:val="18"/>
          <w:szCs w:val="18"/>
        </w:rPr>
      </w:pPr>
      <w:r w:rsidRPr="000B4902">
        <w:rPr>
          <w:rFonts w:ascii="Century Gothic" w:hAnsi="Century Gothic" w:cs="Arial"/>
          <w:sz w:val="18"/>
          <w:szCs w:val="18"/>
        </w:rPr>
        <w:t>“En efecto, se concluyó que cuando se designa mandatario para que actúe ante organizaciones privadas este puede ser cualquiera, sin que requiera una calidad especial, porque en el derecho común, por regla general, no se exige la calidad de abogado para representar a un tercero; mientras que en las actuaciones ante las autoridades el Decreto 196 de 1971 exige esta calidad. En efecto, el artículo 35 establece que, como regla general, las actuaciones ante la administración pública serán directas, pero en caso de constituirse mandatario se exige que sea abogado, requerimiento declarado exequible por la Corte Constitucional”.</w:t>
      </w:r>
    </w:p>
    <w:p w14:paraId="4C8B874F" w14:textId="77777777" w:rsidR="007F5BF1" w:rsidRPr="000B4902" w:rsidRDefault="007F5BF1" w:rsidP="007F5BF1">
      <w:pPr>
        <w:pStyle w:val="Textonotapie"/>
        <w:ind w:firstLine="708"/>
        <w:jc w:val="both"/>
        <w:rPr>
          <w:rFonts w:ascii="Century Gothic" w:hAnsi="Century Gothic" w:cs="Arial"/>
          <w:sz w:val="18"/>
          <w:szCs w:val="18"/>
          <w:lang w:val="es-ES"/>
        </w:rPr>
      </w:pPr>
    </w:p>
  </w:footnote>
  <w:footnote w:id="18">
    <w:p w14:paraId="1FD2CE46" w14:textId="77777777" w:rsidR="007F5BF1" w:rsidRPr="000B4902" w:rsidRDefault="007F5BF1" w:rsidP="007F5BF1">
      <w:pPr>
        <w:pStyle w:val="Textonotapie"/>
        <w:ind w:firstLine="708"/>
        <w:rPr>
          <w:rFonts w:ascii="Century Gothic" w:hAnsi="Century Gothic" w:cs="Arial"/>
          <w:sz w:val="18"/>
          <w:szCs w:val="18"/>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Corte Constitucional. Sentencia C-507 de 2001. 16 de mayo de 2001. Magistrado Ponente: Álvaro Tafur Galvis.</w:t>
      </w:r>
    </w:p>
  </w:footnote>
  <w:footnote w:id="19">
    <w:p w14:paraId="41055613" w14:textId="77777777" w:rsidR="00DA4F07" w:rsidRPr="000B4902" w:rsidRDefault="00DA4F07" w:rsidP="00DA4F07">
      <w:pPr>
        <w:pStyle w:val="Textonotapie"/>
        <w:ind w:firstLine="708"/>
        <w:jc w:val="both"/>
        <w:rPr>
          <w:rFonts w:ascii="Century Gothic" w:hAnsi="Century Gothic" w:cs="Arial"/>
          <w:sz w:val="18"/>
          <w:szCs w:val="18"/>
        </w:rPr>
      </w:pPr>
      <w:r w:rsidRPr="000B4902">
        <w:rPr>
          <w:rStyle w:val="Refdenotaalpie"/>
          <w:rFonts w:ascii="Century Gothic" w:hAnsi="Century Gothic" w:cs="Arial"/>
          <w:sz w:val="18"/>
          <w:szCs w:val="18"/>
        </w:rPr>
        <w:footnoteRef/>
      </w:r>
      <w:r w:rsidRPr="000B4902">
        <w:rPr>
          <w:rFonts w:ascii="Century Gothic" w:hAnsi="Century Gothic" w:cs="Arial"/>
          <w:sz w:val="18"/>
          <w:szCs w:val="18"/>
        </w:rPr>
        <w:t xml:space="preserve"> Conviene precisar que, de acuerdo con el artículo 2.2.1.1.2.1.3. del Decreto 1082, uno de los contenidos del pliego de condiciones es la asignación de riesgos. En efecto, dicha norma establece: </w:t>
      </w:r>
    </w:p>
    <w:p w14:paraId="04C3F671" w14:textId="5BCF9570"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Artículo 2.2.1.1.2.1.3. Pliegos de condiciones. Los pliegos de condiciones deben contener por lo menos la siguiente información:</w:t>
      </w:r>
    </w:p>
    <w:p w14:paraId="6CD1F0DD" w14:textId="77777777" w:rsidR="00DA4F07" w:rsidRPr="000B4902" w:rsidRDefault="00DA4F07"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p>
    <w:p w14:paraId="4D1247BE" w14:textId="6E4CC9D9" w:rsidR="00DA4F07" w:rsidRPr="000B4902" w:rsidRDefault="004B0872" w:rsidP="00DA4F07">
      <w:pPr>
        <w:pStyle w:val="Textonotapie"/>
        <w:ind w:firstLine="708"/>
        <w:jc w:val="both"/>
        <w:rPr>
          <w:rFonts w:ascii="Century Gothic" w:hAnsi="Century Gothic" w:cs="Arial"/>
          <w:sz w:val="18"/>
          <w:szCs w:val="18"/>
        </w:rPr>
      </w:pPr>
      <w:r w:rsidRPr="000B4902">
        <w:rPr>
          <w:rFonts w:ascii="Century Gothic" w:hAnsi="Century Gothic" w:cs="Arial"/>
          <w:sz w:val="18"/>
          <w:szCs w:val="18"/>
        </w:rPr>
        <w:t>“</w:t>
      </w:r>
      <w:r w:rsidR="00DA4F07" w:rsidRPr="000B4902">
        <w:rPr>
          <w:rFonts w:ascii="Century Gothic" w:hAnsi="Century Gothic" w:cs="Arial"/>
          <w:sz w:val="18"/>
          <w:szCs w:val="18"/>
        </w:rPr>
        <w:t>8. Los Riesgos asociados al contrato, la forma de mitigarlos y la asignación del Riesgo entre las partes contratantes</w:t>
      </w:r>
      <w:r w:rsidRPr="000B4902">
        <w:rPr>
          <w:rFonts w:ascii="Century Gothic" w:hAnsi="Century Gothic" w:cs="Arial"/>
          <w:sz w:val="18"/>
          <w:szCs w:val="18"/>
        </w:rPr>
        <w:t>”</w:t>
      </w:r>
      <w:r w:rsidR="00DA4F07" w:rsidRPr="000B4902">
        <w:rPr>
          <w:rFonts w:ascii="Century Gothic" w:hAnsi="Century Gothic" w:cs="Arial"/>
          <w:sz w:val="18"/>
          <w:szCs w:val="18"/>
        </w:rPr>
        <w:t>.</w:t>
      </w:r>
    </w:p>
  </w:footnote>
  <w:footnote w:id="20">
    <w:p w14:paraId="51572ECC" w14:textId="7DC22FEA" w:rsidR="00DA4F07" w:rsidRPr="000B4902" w:rsidRDefault="00DA4F07" w:rsidP="00DA4F07">
      <w:pPr>
        <w:ind w:firstLine="708"/>
        <w:jc w:val="both"/>
        <w:rPr>
          <w:rFonts w:ascii="Century Gothic" w:hAnsi="Century Gothic" w:cs="Arial"/>
          <w:sz w:val="18"/>
          <w:szCs w:val="18"/>
        </w:rPr>
      </w:pPr>
      <w:r w:rsidRPr="000B4902">
        <w:rPr>
          <w:rStyle w:val="Refdenotaalpie"/>
          <w:rFonts w:ascii="Century Gothic" w:hAnsi="Century Gothic" w:cs="Arial"/>
          <w:sz w:val="18"/>
          <w:szCs w:val="18"/>
        </w:rPr>
        <w:footnoteRef/>
      </w:r>
      <w:r w:rsidRPr="000B4902">
        <w:rPr>
          <w:rFonts w:ascii="Century Gothic" w:hAnsi="Century Gothic" w:cs="Arial"/>
          <w:sz w:val="18"/>
          <w:szCs w:val="18"/>
          <w:vertAlign w:val="superscript"/>
        </w:rPr>
        <w:t xml:space="preserve"> </w:t>
      </w:r>
      <w:r w:rsidRPr="000B4902">
        <w:rPr>
          <w:rFonts w:ascii="Century Gothic" w:hAnsi="Century Gothic" w:cs="Arial"/>
          <w:sz w:val="18"/>
          <w:szCs w:val="18"/>
        </w:rPr>
        <w:t xml:space="preserve">Decreto 196 de 1971: </w:t>
      </w:r>
      <w:r w:rsidR="004B0872" w:rsidRPr="000B4902">
        <w:rPr>
          <w:rFonts w:ascii="Century Gothic" w:hAnsi="Century Gothic" w:cs="Arial"/>
          <w:sz w:val="18"/>
          <w:szCs w:val="18"/>
        </w:rPr>
        <w:t>“</w:t>
      </w:r>
      <w:r w:rsidRPr="000B4902">
        <w:rPr>
          <w:rFonts w:ascii="Century Gothic" w:hAnsi="Century Gothic" w:cs="Arial"/>
          <w:sz w:val="18"/>
          <w:szCs w:val="18"/>
        </w:rPr>
        <w:t>Artículo 35. Salvo los casos expresamente determinados en la ley no se requiere ser abogado para actuar ante las autoridades administrativas; pero si se constituye mandatario, éste deberá ser abogado inscrito</w:t>
      </w:r>
      <w:r w:rsidR="004B0872" w:rsidRPr="000B4902">
        <w:rPr>
          <w:rFonts w:ascii="Century Gothic" w:hAnsi="Century Gothic" w:cs="Arial"/>
          <w:sz w:val="18"/>
          <w:szCs w:val="18"/>
        </w:rPr>
        <w:t>”</w:t>
      </w:r>
      <w:r w:rsidRPr="000B4902">
        <w:rPr>
          <w:rFonts w:ascii="Century Gothic" w:hAnsi="Century Gothic" w:cs="Arial"/>
          <w:sz w:val="18"/>
          <w:szCs w:val="18"/>
        </w:rPr>
        <w:t>.</w:t>
      </w:r>
    </w:p>
    <w:p w14:paraId="18AB1BBB" w14:textId="77777777" w:rsidR="00DA4F07" w:rsidRPr="000B4902" w:rsidRDefault="00DA4F07" w:rsidP="00DA4F07">
      <w:pPr>
        <w:ind w:firstLine="708"/>
        <w:jc w:val="both"/>
        <w:rPr>
          <w:rFonts w:ascii="Century Gothic" w:hAnsi="Century Gothic"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1"/>
  </w:num>
  <w:num w:numId="7" w16cid:durableId="1946422806">
    <w:abstractNumId w:val="4"/>
  </w:num>
  <w:num w:numId="8" w16cid:durableId="152644682">
    <w:abstractNumId w:val="10"/>
  </w:num>
  <w:num w:numId="9" w16cid:durableId="1317221377">
    <w:abstractNumId w:val="6"/>
  </w:num>
  <w:num w:numId="10" w16cid:durableId="1471245386">
    <w:abstractNumId w:val="9"/>
  </w:num>
  <w:num w:numId="11" w16cid:durableId="289172385">
    <w:abstractNumId w:val="7"/>
  </w:num>
  <w:num w:numId="12" w16cid:durableId="1470781324">
    <w:abstractNumId w:val="0"/>
  </w:num>
  <w:num w:numId="13" w16cid:durableId="1512908409">
    <w:abstractNumId w:val="2"/>
  </w:num>
  <w:num w:numId="14" w16cid:durableId="895897244">
    <w:abstractNumId w:val="12"/>
  </w:num>
  <w:num w:numId="15" w16cid:durableId="3903498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394"/>
    <w:rsid w:val="00004E30"/>
    <w:rsid w:val="000079BF"/>
    <w:rsid w:val="00022D8A"/>
    <w:rsid w:val="000408F4"/>
    <w:rsid w:val="00041D36"/>
    <w:rsid w:val="0004358A"/>
    <w:rsid w:val="00053BA9"/>
    <w:rsid w:val="00054E87"/>
    <w:rsid w:val="00061B2A"/>
    <w:rsid w:val="00062758"/>
    <w:rsid w:val="000730C7"/>
    <w:rsid w:val="00082362"/>
    <w:rsid w:val="000854F1"/>
    <w:rsid w:val="000A5AB5"/>
    <w:rsid w:val="000A683E"/>
    <w:rsid w:val="000B19B9"/>
    <w:rsid w:val="000B3277"/>
    <w:rsid w:val="000B4902"/>
    <w:rsid w:val="000C42BE"/>
    <w:rsid w:val="000D0334"/>
    <w:rsid w:val="000D0E75"/>
    <w:rsid w:val="000E1F9F"/>
    <w:rsid w:val="000F2058"/>
    <w:rsid w:val="000F6486"/>
    <w:rsid w:val="0010553C"/>
    <w:rsid w:val="00125105"/>
    <w:rsid w:val="00127233"/>
    <w:rsid w:val="00136610"/>
    <w:rsid w:val="00141793"/>
    <w:rsid w:val="00145BEA"/>
    <w:rsid w:val="00182BE1"/>
    <w:rsid w:val="001C2D1B"/>
    <w:rsid w:val="001D0970"/>
    <w:rsid w:val="001D4D89"/>
    <w:rsid w:val="001E4177"/>
    <w:rsid w:val="001F021D"/>
    <w:rsid w:val="001F7DC6"/>
    <w:rsid w:val="00200912"/>
    <w:rsid w:val="00200D3A"/>
    <w:rsid w:val="00205EAF"/>
    <w:rsid w:val="0021256F"/>
    <w:rsid w:val="00213AC6"/>
    <w:rsid w:val="00227203"/>
    <w:rsid w:val="00231E31"/>
    <w:rsid w:val="002421BB"/>
    <w:rsid w:val="00256C79"/>
    <w:rsid w:val="002707A2"/>
    <w:rsid w:val="00274BD9"/>
    <w:rsid w:val="0027518B"/>
    <w:rsid w:val="002951A0"/>
    <w:rsid w:val="002962BC"/>
    <w:rsid w:val="002A093D"/>
    <w:rsid w:val="002A0DD0"/>
    <w:rsid w:val="002A2597"/>
    <w:rsid w:val="002A49AC"/>
    <w:rsid w:val="002A64FD"/>
    <w:rsid w:val="002C7A84"/>
    <w:rsid w:val="002E4FD9"/>
    <w:rsid w:val="002F4FA9"/>
    <w:rsid w:val="00322A85"/>
    <w:rsid w:val="00326936"/>
    <w:rsid w:val="003312DD"/>
    <w:rsid w:val="00331946"/>
    <w:rsid w:val="00336E02"/>
    <w:rsid w:val="003448F4"/>
    <w:rsid w:val="0034542B"/>
    <w:rsid w:val="00346B36"/>
    <w:rsid w:val="00347B98"/>
    <w:rsid w:val="00371F0A"/>
    <w:rsid w:val="00374F5E"/>
    <w:rsid w:val="00377E3E"/>
    <w:rsid w:val="00391355"/>
    <w:rsid w:val="003A779E"/>
    <w:rsid w:val="003D0F4D"/>
    <w:rsid w:val="003D4386"/>
    <w:rsid w:val="003D5B0D"/>
    <w:rsid w:val="003D5E58"/>
    <w:rsid w:val="003E0499"/>
    <w:rsid w:val="003E3C41"/>
    <w:rsid w:val="003F3941"/>
    <w:rsid w:val="003F6FF7"/>
    <w:rsid w:val="00403A8E"/>
    <w:rsid w:val="0040604E"/>
    <w:rsid w:val="00406575"/>
    <w:rsid w:val="0042722E"/>
    <w:rsid w:val="00430CAF"/>
    <w:rsid w:val="00431358"/>
    <w:rsid w:val="00435B1B"/>
    <w:rsid w:val="00475217"/>
    <w:rsid w:val="004769EF"/>
    <w:rsid w:val="00476B76"/>
    <w:rsid w:val="00487427"/>
    <w:rsid w:val="00493309"/>
    <w:rsid w:val="004A1847"/>
    <w:rsid w:val="004A305D"/>
    <w:rsid w:val="004B01F4"/>
    <w:rsid w:val="004B04B2"/>
    <w:rsid w:val="004B0872"/>
    <w:rsid w:val="004B0EF6"/>
    <w:rsid w:val="004B17E0"/>
    <w:rsid w:val="004C18D7"/>
    <w:rsid w:val="004E2999"/>
    <w:rsid w:val="004F21C4"/>
    <w:rsid w:val="004F685F"/>
    <w:rsid w:val="0050331A"/>
    <w:rsid w:val="00522685"/>
    <w:rsid w:val="005256B8"/>
    <w:rsid w:val="0053199E"/>
    <w:rsid w:val="00543E02"/>
    <w:rsid w:val="00547958"/>
    <w:rsid w:val="00547DC3"/>
    <w:rsid w:val="00556296"/>
    <w:rsid w:val="005566E8"/>
    <w:rsid w:val="00556D4E"/>
    <w:rsid w:val="00564B46"/>
    <w:rsid w:val="005678EB"/>
    <w:rsid w:val="00574867"/>
    <w:rsid w:val="00587719"/>
    <w:rsid w:val="00591460"/>
    <w:rsid w:val="005A2340"/>
    <w:rsid w:val="005C3777"/>
    <w:rsid w:val="005C5CDC"/>
    <w:rsid w:val="005D476C"/>
    <w:rsid w:val="005F3D23"/>
    <w:rsid w:val="006015C9"/>
    <w:rsid w:val="006219F8"/>
    <w:rsid w:val="006417DC"/>
    <w:rsid w:val="00656F90"/>
    <w:rsid w:val="00665D70"/>
    <w:rsid w:val="00671E28"/>
    <w:rsid w:val="006830A0"/>
    <w:rsid w:val="0069000E"/>
    <w:rsid w:val="006900D9"/>
    <w:rsid w:val="00690801"/>
    <w:rsid w:val="006A3FAB"/>
    <w:rsid w:val="006A63C3"/>
    <w:rsid w:val="006B7E12"/>
    <w:rsid w:val="006C48BF"/>
    <w:rsid w:val="006C6F1E"/>
    <w:rsid w:val="006D3628"/>
    <w:rsid w:val="006D3BA5"/>
    <w:rsid w:val="00706C16"/>
    <w:rsid w:val="0070778F"/>
    <w:rsid w:val="00707F93"/>
    <w:rsid w:val="0073573D"/>
    <w:rsid w:val="00756841"/>
    <w:rsid w:val="007649AB"/>
    <w:rsid w:val="00771D0C"/>
    <w:rsid w:val="007833AC"/>
    <w:rsid w:val="00786E1B"/>
    <w:rsid w:val="007B268C"/>
    <w:rsid w:val="007B7171"/>
    <w:rsid w:val="007C3DC2"/>
    <w:rsid w:val="007C6D55"/>
    <w:rsid w:val="007E1C0D"/>
    <w:rsid w:val="007E5497"/>
    <w:rsid w:val="007F1FEC"/>
    <w:rsid w:val="007F2CDF"/>
    <w:rsid w:val="007F5BF1"/>
    <w:rsid w:val="00800670"/>
    <w:rsid w:val="00806F5F"/>
    <w:rsid w:val="00820278"/>
    <w:rsid w:val="0082528C"/>
    <w:rsid w:val="00832F64"/>
    <w:rsid w:val="008705FD"/>
    <w:rsid w:val="008843B6"/>
    <w:rsid w:val="00891928"/>
    <w:rsid w:val="008A3F53"/>
    <w:rsid w:val="008A446D"/>
    <w:rsid w:val="008A76EE"/>
    <w:rsid w:val="008B13CF"/>
    <w:rsid w:val="008C5155"/>
    <w:rsid w:val="008D180B"/>
    <w:rsid w:val="008D4583"/>
    <w:rsid w:val="008D5A37"/>
    <w:rsid w:val="008E2D8F"/>
    <w:rsid w:val="008F0EA7"/>
    <w:rsid w:val="009133A0"/>
    <w:rsid w:val="009133E9"/>
    <w:rsid w:val="00923EEF"/>
    <w:rsid w:val="00931E37"/>
    <w:rsid w:val="009419F9"/>
    <w:rsid w:val="00953D2F"/>
    <w:rsid w:val="00956C02"/>
    <w:rsid w:val="00961B09"/>
    <w:rsid w:val="009651FC"/>
    <w:rsid w:val="00965334"/>
    <w:rsid w:val="0097093E"/>
    <w:rsid w:val="0099141F"/>
    <w:rsid w:val="00992720"/>
    <w:rsid w:val="00995B7B"/>
    <w:rsid w:val="009B14A8"/>
    <w:rsid w:val="009C71FA"/>
    <w:rsid w:val="009C72E7"/>
    <w:rsid w:val="009D3108"/>
    <w:rsid w:val="009E68AB"/>
    <w:rsid w:val="009F3A13"/>
    <w:rsid w:val="00A122D3"/>
    <w:rsid w:val="00A1635B"/>
    <w:rsid w:val="00A17F13"/>
    <w:rsid w:val="00A20739"/>
    <w:rsid w:val="00A26229"/>
    <w:rsid w:val="00A33C78"/>
    <w:rsid w:val="00A72593"/>
    <w:rsid w:val="00A765C6"/>
    <w:rsid w:val="00AA70C6"/>
    <w:rsid w:val="00AB02C6"/>
    <w:rsid w:val="00AB0ADB"/>
    <w:rsid w:val="00AB645B"/>
    <w:rsid w:val="00AB667C"/>
    <w:rsid w:val="00AC16C9"/>
    <w:rsid w:val="00AC7DFA"/>
    <w:rsid w:val="00AE0015"/>
    <w:rsid w:val="00B1588E"/>
    <w:rsid w:val="00B33F90"/>
    <w:rsid w:val="00B4627C"/>
    <w:rsid w:val="00B51139"/>
    <w:rsid w:val="00B55ADD"/>
    <w:rsid w:val="00B72CD3"/>
    <w:rsid w:val="00B72FFF"/>
    <w:rsid w:val="00B93A35"/>
    <w:rsid w:val="00BA69A1"/>
    <w:rsid w:val="00BC3D36"/>
    <w:rsid w:val="00BC5CC4"/>
    <w:rsid w:val="00BD7F72"/>
    <w:rsid w:val="00BF2F31"/>
    <w:rsid w:val="00C04FB3"/>
    <w:rsid w:val="00C27D28"/>
    <w:rsid w:val="00C330EB"/>
    <w:rsid w:val="00C443A7"/>
    <w:rsid w:val="00C44DE3"/>
    <w:rsid w:val="00C474AC"/>
    <w:rsid w:val="00C47645"/>
    <w:rsid w:val="00C754BE"/>
    <w:rsid w:val="00C75AB6"/>
    <w:rsid w:val="00C75E94"/>
    <w:rsid w:val="00C76B1C"/>
    <w:rsid w:val="00C86506"/>
    <w:rsid w:val="00C9114C"/>
    <w:rsid w:val="00CA19DC"/>
    <w:rsid w:val="00CB2984"/>
    <w:rsid w:val="00CB6357"/>
    <w:rsid w:val="00CC1B26"/>
    <w:rsid w:val="00CC637D"/>
    <w:rsid w:val="00CD0202"/>
    <w:rsid w:val="00CD5F50"/>
    <w:rsid w:val="00CE1393"/>
    <w:rsid w:val="00CE7E12"/>
    <w:rsid w:val="00CF3F3D"/>
    <w:rsid w:val="00D00114"/>
    <w:rsid w:val="00D0250C"/>
    <w:rsid w:val="00D12D88"/>
    <w:rsid w:val="00D157FE"/>
    <w:rsid w:val="00D2388A"/>
    <w:rsid w:val="00D23B54"/>
    <w:rsid w:val="00D4007C"/>
    <w:rsid w:val="00D423A2"/>
    <w:rsid w:val="00D45641"/>
    <w:rsid w:val="00D54F57"/>
    <w:rsid w:val="00D63AC2"/>
    <w:rsid w:val="00D665E5"/>
    <w:rsid w:val="00D7383B"/>
    <w:rsid w:val="00D938C6"/>
    <w:rsid w:val="00DA231B"/>
    <w:rsid w:val="00DA4F07"/>
    <w:rsid w:val="00DB04DD"/>
    <w:rsid w:val="00DD3FCB"/>
    <w:rsid w:val="00DF5254"/>
    <w:rsid w:val="00E05805"/>
    <w:rsid w:val="00E16408"/>
    <w:rsid w:val="00E20894"/>
    <w:rsid w:val="00E245AB"/>
    <w:rsid w:val="00E2764C"/>
    <w:rsid w:val="00E27F2E"/>
    <w:rsid w:val="00E40514"/>
    <w:rsid w:val="00E4701E"/>
    <w:rsid w:val="00E50AFE"/>
    <w:rsid w:val="00E566B8"/>
    <w:rsid w:val="00E57696"/>
    <w:rsid w:val="00E67268"/>
    <w:rsid w:val="00E771DC"/>
    <w:rsid w:val="00E827EE"/>
    <w:rsid w:val="00E8772A"/>
    <w:rsid w:val="00E90F6B"/>
    <w:rsid w:val="00E92C27"/>
    <w:rsid w:val="00E97D30"/>
    <w:rsid w:val="00EA0E3D"/>
    <w:rsid w:val="00EA0E89"/>
    <w:rsid w:val="00EA6F6D"/>
    <w:rsid w:val="00EE1AA8"/>
    <w:rsid w:val="00EE2267"/>
    <w:rsid w:val="00F14D18"/>
    <w:rsid w:val="00F31EDC"/>
    <w:rsid w:val="00F35A70"/>
    <w:rsid w:val="00F36611"/>
    <w:rsid w:val="00F462B3"/>
    <w:rsid w:val="00F5664F"/>
    <w:rsid w:val="00F661B7"/>
    <w:rsid w:val="00F666C4"/>
    <w:rsid w:val="00F76AFC"/>
    <w:rsid w:val="00F80F8C"/>
    <w:rsid w:val="00F86D26"/>
    <w:rsid w:val="00F95964"/>
    <w:rsid w:val="00F96B8F"/>
    <w:rsid w:val="00FB51D3"/>
    <w:rsid w:val="00FB5DD1"/>
    <w:rsid w:val="00FB7F83"/>
    <w:rsid w:val="00FC2B48"/>
    <w:rsid w:val="00FC2B5D"/>
    <w:rsid w:val="00FE150F"/>
    <w:rsid w:val="00FF1449"/>
    <w:rsid w:val="00FF461D"/>
    <w:rsid w:val="192D8382"/>
    <w:rsid w:val="49B7ACBF"/>
    <w:rsid w:val="59C793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DA4F07"/>
    <w:rPr>
      <w:sz w:val="16"/>
      <w:szCs w:val="16"/>
    </w:rPr>
  </w:style>
  <w:style w:type="paragraph" w:styleId="Textocomentario">
    <w:name w:val="annotation text"/>
    <w:basedOn w:val="Normal"/>
    <w:link w:val="TextocomentarioCar"/>
    <w:uiPriority w:val="99"/>
    <w:unhideWhenUsed/>
    <w:rsid w:val="00DA4F07"/>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DA4F07"/>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A4F07"/>
    <w:rPr>
      <w:rFonts w:ascii="Geomanist Light" w:hAnsi="Geomanist Light"/>
      <w:lang w:val="es-ES"/>
    </w:rPr>
  </w:style>
  <w:style w:type="paragraph" w:customStyle="1" w:styleId="Appelnotedebasde">
    <w:name w:val="Appel note de bas de..."/>
    <w:basedOn w:val="Normal"/>
    <w:link w:val="Refdenotaalpie"/>
    <w:uiPriority w:val="99"/>
    <w:rsid w:val="00DA4F0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20903965">
      <w:bodyDiv w:val="1"/>
      <w:marLeft w:val="0"/>
      <w:marRight w:val="0"/>
      <w:marTop w:val="0"/>
      <w:marBottom w:val="0"/>
      <w:divBdr>
        <w:top w:val="none" w:sz="0" w:space="0" w:color="auto"/>
        <w:left w:val="none" w:sz="0" w:space="0" w:color="auto"/>
        <w:bottom w:val="none" w:sz="0" w:space="0" w:color="auto"/>
        <w:right w:val="none" w:sz="0" w:space="0" w:color="auto"/>
      </w:divBdr>
    </w:div>
    <w:div w:id="156448682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E98C6-1397-4480-BBDE-9006BBB14162}"/>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5C0F2659-7CFF-4FB7-A5F6-AEB72859C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22</Pages>
  <Words>7248</Words>
  <Characters>39868</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3</cp:revision>
  <cp:lastPrinted>2023-01-10T21:18:00Z</cp:lastPrinted>
  <dcterms:created xsi:type="dcterms:W3CDTF">2023-09-25T23:28:00Z</dcterms:created>
  <dcterms:modified xsi:type="dcterms:W3CDTF">2023-11-27T19:16:00Z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