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6EBE2" w14:textId="77777777" w:rsidR="00471ECE" w:rsidRDefault="00471ECE" w:rsidP="00471ECE">
      <w:pPr>
        <w:spacing w:after="0" w:line="276" w:lineRule="auto"/>
        <w:jc w:val="both"/>
        <w:rPr>
          <w:rFonts w:ascii="Verdana" w:eastAsia="Calibri" w:hAnsi="Verdana" w:cs="Arial"/>
          <w:b/>
          <w:bCs/>
          <w:lang w:val="es-ES_tradnl" w:eastAsia="es-ES_tradnl"/>
        </w:rPr>
      </w:pPr>
      <w:bookmarkStart w:id="0" w:name="_Hlk189391789"/>
      <w:r w:rsidRPr="00F27341">
        <w:rPr>
          <w:rFonts w:ascii="Verdana" w:eastAsia="Calibri" w:hAnsi="Verdana" w:cs="Arial"/>
          <w:b/>
          <w:bCs/>
          <w:lang w:val="es-ES_tradnl" w:eastAsia="es-ES_tradnl"/>
        </w:rPr>
        <w:t>DECRETO 62 DE 2025 – Declaración conmoción interior región Catatumbo – Medidas en contratación estatal – Ámbito temporal suscripción contratos</w:t>
      </w:r>
    </w:p>
    <w:p w14:paraId="1724270E" w14:textId="77777777" w:rsidR="00471ECE" w:rsidRPr="00B615F9" w:rsidRDefault="00471ECE" w:rsidP="00471ECE">
      <w:pPr>
        <w:spacing w:after="0" w:line="276" w:lineRule="auto"/>
        <w:jc w:val="both"/>
        <w:rPr>
          <w:rFonts w:ascii="Verdana" w:eastAsia="Calibri" w:hAnsi="Verdana" w:cs="Arial"/>
          <w:b/>
          <w:bCs/>
          <w:lang w:val="es-ES_tradnl" w:eastAsia="es-ES_tradnl"/>
        </w:rPr>
      </w:pPr>
    </w:p>
    <w:p w14:paraId="60FAF191" w14:textId="77777777" w:rsidR="00471ECE" w:rsidRDefault="00471ECE" w:rsidP="00471ECE">
      <w:pPr>
        <w:spacing w:after="0" w:line="240" w:lineRule="auto"/>
        <w:jc w:val="both"/>
        <w:rPr>
          <w:rFonts w:ascii="Verdana" w:eastAsia="Aptos" w:hAnsi="Verdana" w:cs="Times New Roman"/>
          <w:sz w:val="20"/>
          <w:szCs w:val="20"/>
        </w:rPr>
      </w:pPr>
      <w:r w:rsidRPr="0033785F">
        <w:rPr>
          <w:rFonts w:ascii="Verdana" w:eastAsia="Aptos" w:hAnsi="Verdana" w:cs="Times New Roman"/>
          <w:sz w:val="20"/>
          <w:szCs w:val="20"/>
        </w:rPr>
        <w:t xml:space="preserve">Recientemente, el Gobierno Nacional expidió el Decreto 62 de 2025 “Por el cual se decreta el </w:t>
      </w:r>
      <w:r>
        <w:rPr>
          <w:rFonts w:ascii="Verdana" w:eastAsia="Aptos" w:hAnsi="Verdana" w:cs="Times New Roman"/>
          <w:sz w:val="20"/>
          <w:szCs w:val="20"/>
        </w:rPr>
        <w:t xml:space="preserve">Estado de Conmoción Interior </w:t>
      </w:r>
      <w:r w:rsidRPr="0033785F">
        <w:rPr>
          <w:rFonts w:ascii="Verdana" w:eastAsia="Aptos" w:hAnsi="Verdana" w:cs="Times New Roman"/>
          <w:sz w:val="20"/>
          <w:szCs w:val="20"/>
        </w:rPr>
        <w:t>en la región del Catatumbo, los municipios del área metropolitana de Cúcuta y los municipios de Río de Oro y González del departamento del Cesar”, a raíz de hechos que perturban de manera extraordinaria el orden público en el territorio, derivada de enfrentamientos armados, amenazas, desplazamientos forzados masivos, afectaciones al ejercicio de los derechos fundamentales de la población civil, alteración de la seguridad y daños a bienes protegidos y al ambiente.</w:t>
      </w:r>
    </w:p>
    <w:p w14:paraId="16122B55" w14:textId="77777777" w:rsidR="00471ECE" w:rsidRDefault="00471ECE" w:rsidP="00471ECE">
      <w:pPr>
        <w:spacing w:after="0" w:line="240" w:lineRule="auto"/>
        <w:jc w:val="both"/>
        <w:rPr>
          <w:rFonts w:ascii="Verdana" w:eastAsia="Aptos" w:hAnsi="Verdana" w:cs="Times New Roman"/>
          <w:sz w:val="20"/>
          <w:szCs w:val="20"/>
        </w:rPr>
      </w:pPr>
    </w:p>
    <w:p w14:paraId="521525AF" w14:textId="77777777" w:rsidR="00471ECE" w:rsidRPr="0033785F" w:rsidRDefault="00471ECE" w:rsidP="00471ECE">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r w:rsidRPr="0033785F">
        <w:rPr>
          <w:rFonts w:ascii="Verdana" w:eastAsia="Aptos" w:hAnsi="Verdana" w:cs="Times New Roman"/>
          <w:sz w:val="20"/>
          <w:szCs w:val="20"/>
        </w:rPr>
        <w:t xml:space="preserve"> </w:t>
      </w:r>
    </w:p>
    <w:p w14:paraId="10538132" w14:textId="77777777" w:rsidR="00471ECE" w:rsidRPr="0033785F" w:rsidRDefault="00471ECE" w:rsidP="00471ECE">
      <w:pPr>
        <w:spacing w:after="0" w:line="240" w:lineRule="auto"/>
        <w:jc w:val="both"/>
        <w:rPr>
          <w:rFonts w:ascii="Verdana" w:eastAsia="Aptos" w:hAnsi="Verdana" w:cs="Times New Roman"/>
          <w:sz w:val="20"/>
          <w:szCs w:val="20"/>
        </w:rPr>
      </w:pPr>
    </w:p>
    <w:p w14:paraId="6E900DBD" w14:textId="77777777" w:rsidR="00471ECE" w:rsidRDefault="00471ECE" w:rsidP="00471ECE">
      <w:pPr>
        <w:spacing w:after="0" w:line="240" w:lineRule="auto"/>
        <w:jc w:val="both"/>
        <w:rPr>
          <w:rFonts w:ascii="Verdana" w:eastAsia="Aptos" w:hAnsi="Verdana" w:cs="Times New Roman"/>
          <w:sz w:val="20"/>
          <w:szCs w:val="20"/>
        </w:rPr>
      </w:pPr>
      <w:r w:rsidRPr="0033785F">
        <w:rPr>
          <w:rFonts w:ascii="Verdana" w:eastAsia="Aptos" w:hAnsi="Verdana" w:cs="Times New Roman"/>
          <w:sz w:val="20"/>
          <w:szCs w:val="20"/>
        </w:rPr>
        <w:t>En lo que respecta al ámbito de contratación estatal, a partir de la declaratoria del estado de conmoción interior, las entidades estatales que conforman la región del Catatumbo, detallada en el artículo antes citado, se encuentran autorizadas para celebrar contratos que tengan por objeto el de conjurar la perturbación del orden público e impedir la extensión de sus efectos a través de la adquisición de bienes, obras y servicios. Esto mediante procesos ágiles que garanticen el restablecimiento del orden público, la protección de derechos de las víctimas del conflicto y la protección del medio ambiente.</w:t>
      </w:r>
    </w:p>
    <w:p w14:paraId="276BFCCE" w14:textId="77777777" w:rsidR="00471ECE" w:rsidRDefault="00471ECE" w:rsidP="00471ECE">
      <w:pPr>
        <w:spacing w:after="0" w:line="240" w:lineRule="auto"/>
        <w:jc w:val="both"/>
        <w:rPr>
          <w:rFonts w:ascii="Verdana" w:eastAsia="Aptos" w:hAnsi="Verdana" w:cs="Times New Roman"/>
          <w:sz w:val="20"/>
          <w:szCs w:val="20"/>
        </w:rPr>
      </w:pPr>
    </w:p>
    <w:p w14:paraId="74CE2919" w14:textId="77777777" w:rsidR="00471ECE" w:rsidRDefault="00471ECE" w:rsidP="00471ECE">
      <w:pPr>
        <w:spacing w:after="0" w:line="276" w:lineRule="auto"/>
        <w:jc w:val="both"/>
        <w:rPr>
          <w:rFonts w:ascii="Verdana" w:eastAsia="Calibri" w:hAnsi="Verdana" w:cs="Arial"/>
          <w:b/>
          <w:bCs/>
          <w:lang w:val="es-ES" w:eastAsia="es-ES"/>
        </w:rPr>
      </w:pPr>
      <w:r w:rsidRPr="009D10DB">
        <w:rPr>
          <w:rFonts w:ascii="Verdana" w:eastAsia="Calibri" w:hAnsi="Verdana" w:cs="Arial"/>
          <w:b/>
          <w:bCs/>
          <w:lang w:val="es-ES" w:eastAsia="es-ES"/>
        </w:rPr>
        <w:t>CORTE CONSTITUCIONAL – Declaración constitucionalidad parcial</w:t>
      </w:r>
    </w:p>
    <w:p w14:paraId="240BA21D" w14:textId="77777777" w:rsidR="00471ECE" w:rsidRDefault="00471ECE" w:rsidP="00471ECE">
      <w:pPr>
        <w:spacing w:after="0" w:line="276" w:lineRule="auto"/>
        <w:jc w:val="both"/>
        <w:rPr>
          <w:rFonts w:ascii="Verdana" w:eastAsia="Calibri" w:hAnsi="Verdana" w:cs="Arial"/>
          <w:b/>
          <w:bCs/>
          <w:lang w:val="es-ES" w:eastAsia="es-ES"/>
        </w:rPr>
      </w:pPr>
    </w:p>
    <w:p w14:paraId="6D56FA17" w14:textId="77777777" w:rsidR="00471ECE" w:rsidRDefault="00471ECE" w:rsidP="00471ECE">
      <w:pPr>
        <w:spacing w:after="0" w:line="240" w:lineRule="auto"/>
        <w:jc w:val="both"/>
        <w:rPr>
          <w:rFonts w:ascii="Verdana" w:eastAsia="Aptos" w:hAnsi="Verdana" w:cs="Times New Roman"/>
          <w:sz w:val="20"/>
          <w:szCs w:val="20"/>
        </w:rPr>
      </w:pPr>
      <w:r w:rsidRPr="009D10DB">
        <w:rPr>
          <w:rFonts w:ascii="Verdana" w:eastAsia="Aptos" w:hAnsi="Verdana" w:cs="Times New Roman"/>
          <w:sz w:val="20"/>
          <w:szCs w:val="20"/>
        </w:rPr>
        <w:t>Posteriormente, la Sala Plena de la Corte Constitucional</w:t>
      </w:r>
      <w:r w:rsidRPr="009D10DB">
        <w:rPr>
          <w:rFonts w:eastAsia="Aptos" w:cs="Times New Roman"/>
          <w:sz w:val="20"/>
          <w:szCs w:val="20"/>
        </w:rPr>
        <w:footnoteReference w:id="1"/>
      </w:r>
      <w:r w:rsidRPr="009D10DB">
        <w:rPr>
          <w:rFonts w:ascii="Verdana" w:eastAsia="Aptos" w:hAnsi="Verdana" w:cs="Times New Roman"/>
          <w:sz w:val="20"/>
          <w:szCs w:val="20"/>
        </w:rPr>
        <w:t xml:space="preserve"> declaró la constitucionalidad parcial de la declaratoria de conmoción interior decretada por el Gobierno Nacional mediante el decreto legislativo en cita, al declarar la </w:t>
      </w:r>
      <w:proofErr w:type="spellStart"/>
      <w:r w:rsidRPr="009D10DB">
        <w:rPr>
          <w:rFonts w:ascii="Verdana" w:eastAsia="Aptos" w:hAnsi="Verdana" w:cs="Times New Roman"/>
          <w:sz w:val="20"/>
          <w:szCs w:val="20"/>
        </w:rPr>
        <w:t>exequibilidad</w:t>
      </w:r>
      <w:proofErr w:type="spellEnd"/>
      <w:r w:rsidRPr="009D10DB">
        <w:rPr>
          <w:rFonts w:ascii="Verdana" w:eastAsia="Aptos" w:hAnsi="Verdana" w:cs="Times New Roman"/>
          <w:sz w:val="20"/>
          <w:szCs w:val="20"/>
        </w:rPr>
        <w:t xml:space="preserve"> únicamente de los respecto de los hechos y consideraciones relacionados con (i) la intensificación de los enfrentamientos entre el ELN y otros </w:t>
      </w:r>
      <w:proofErr w:type="spellStart"/>
      <w:r w:rsidRPr="009D10DB">
        <w:rPr>
          <w:rFonts w:ascii="Verdana" w:eastAsia="Aptos" w:hAnsi="Verdana" w:cs="Times New Roman"/>
          <w:sz w:val="20"/>
          <w:szCs w:val="20"/>
        </w:rPr>
        <w:t>GAOr</w:t>
      </w:r>
      <w:proofErr w:type="spellEnd"/>
      <w:r w:rsidRPr="009D10DB">
        <w:rPr>
          <w:rFonts w:ascii="Verdana" w:eastAsia="Aptos" w:hAnsi="Verdana" w:cs="Times New Roman"/>
          <w:sz w:val="20"/>
          <w:szCs w:val="20"/>
        </w:rPr>
        <w:t>, así como los ataques y hostilidades dirigidos de forma indiscriminada contra la población civil y los firmantes del Acuerdo Final de Paz con las FARC y (</w:t>
      </w:r>
      <w:proofErr w:type="spellStart"/>
      <w:r w:rsidRPr="009D10DB">
        <w:rPr>
          <w:rFonts w:ascii="Verdana" w:eastAsia="Aptos" w:hAnsi="Verdana" w:cs="Times New Roman"/>
          <w:sz w:val="20"/>
          <w:szCs w:val="20"/>
        </w:rPr>
        <w:t>ii</w:t>
      </w:r>
      <w:proofErr w:type="spellEnd"/>
      <w:r w:rsidRPr="009D10DB">
        <w:rPr>
          <w:rFonts w:ascii="Verdana" w:eastAsia="Aptos" w:hAnsi="Verdana" w:cs="Times New Roman"/>
          <w:sz w:val="20"/>
          <w:szCs w:val="20"/>
        </w:rPr>
        <w:t xml:space="preserve">) la crisis humanitaria derivada de desplazamientos forzados -internos y transfronterizos- y confinamientos masivos que ha desbordado la capacidad institucional del Estado para atenderla. La decisión de la Corte Constitucional solo incluye aquellas medidas que sean necesarias para el fortalecimiento de la fuerza pública, la atención humanitaria, los derechos y garantías fundamentales de la población civil, y la financiación para esos propósitos específicos, de conformidad con los términos de dicha providencia. </w:t>
      </w:r>
    </w:p>
    <w:p w14:paraId="3CC5301A" w14:textId="77777777" w:rsidR="00471ECE" w:rsidRPr="009D10DB" w:rsidRDefault="00471ECE" w:rsidP="00471ECE">
      <w:pPr>
        <w:spacing w:after="0" w:line="240" w:lineRule="auto"/>
        <w:jc w:val="both"/>
        <w:rPr>
          <w:rFonts w:ascii="Verdana" w:eastAsia="Aptos" w:hAnsi="Verdana" w:cs="Times New Roman"/>
          <w:sz w:val="20"/>
          <w:szCs w:val="20"/>
        </w:rPr>
      </w:pPr>
    </w:p>
    <w:p w14:paraId="73D33713" w14:textId="77777777" w:rsidR="00471ECE" w:rsidRPr="009D10DB" w:rsidRDefault="00471ECE" w:rsidP="00471ECE">
      <w:pPr>
        <w:spacing w:after="0" w:line="240" w:lineRule="auto"/>
        <w:jc w:val="both"/>
        <w:rPr>
          <w:rFonts w:ascii="Verdana" w:eastAsia="Calibri" w:hAnsi="Verdana" w:cs="Arial"/>
          <w:b/>
          <w:bCs/>
          <w:lang w:eastAsia="es-ES"/>
        </w:rPr>
      </w:pPr>
      <w:r w:rsidRPr="009D10DB">
        <w:rPr>
          <w:rFonts w:ascii="Verdana" w:eastAsia="Aptos" w:hAnsi="Verdana" w:cs="Times New Roman"/>
          <w:sz w:val="20"/>
          <w:szCs w:val="20"/>
        </w:rPr>
        <w:t xml:space="preserve">De otro lado, la Corte declaró su </w:t>
      </w:r>
      <w:proofErr w:type="spellStart"/>
      <w:r w:rsidRPr="009D10DB">
        <w:rPr>
          <w:rFonts w:ascii="Verdana" w:eastAsia="Aptos" w:hAnsi="Verdana" w:cs="Times New Roman"/>
          <w:sz w:val="20"/>
          <w:szCs w:val="20"/>
        </w:rPr>
        <w:t>inexequibilidad</w:t>
      </w:r>
      <w:proofErr w:type="spellEnd"/>
      <w:r w:rsidRPr="009D10DB">
        <w:rPr>
          <w:rFonts w:ascii="Verdana" w:eastAsia="Aptos" w:hAnsi="Verdana" w:cs="Times New Roman"/>
          <w:sz w:val="20"/>
          <w:szCs w:val="20"/>
        </w:rPr>
        <w:t xml:space="preserve"> respecto de los hechos y consideraciones relacionados con (i) la presencia histórica del ELN, los </w:t>
      </w:r>
      <w:proofErr w:type="spellStart"/>
      <w:r w:rsidRPr="009D10DB">
        <w:rPr>
          <w:rFonts w:ascii="Verdana" w:eastAsia="Aptos" w:hAnsi="Verdana" w:cs="Times New Roman"/>
          <w:sz w:val="20"/>
          <w:szCs w:val="20"/>
        </w:rPr>
        <w:t>GAOr</w:t>
      </w:r>
      <w:proofErr w:type="spellEnd"/>
      <w:r w:rsidRPr="009D10DB">
        <w:rPr>
          <w:rFonts w:ascii="Verdana" w:eastAsia="Aptos" w:hAnsi="Verdana" w:cs="Times New Roman"/>
          <w:sz w:val="20"/>
          <w:szCs w:val="20"/>
        </w:rPr>
        <w:t xml:space="preserve"> y GDO, (</w:t>
      </w:r>
      <w:proofErr w:type="spellStart"/>
      <w:r w:rsidRPr="009D10DB">
        <w:rPr>
          <w:rFonts w:ascii="Verdana" w:eastAsia="Aptos" w:hAnsi="Verdana" w:cs="Times New Roman"/>
          <w:sz w:val="20"/>
          <w:szCs w:val="20"/>
        </w:rPr>
        <w:t>ii</w:t>
      </w:r>
      <w:proofErr w:type="spellEnd"/>
      <w:r w:rsidRPr="009D10DB">
        <w:rPr>
          <w:rFonts w:ascii="Verdana" w:eastAsia="Aptos" w:hAnsi="Verdana" w:cs="Times New Roman"/>
          <w:sz w:val="20"/>
          <w:szCs w:val="20"/>
        </w:rPr>
        <w:t>) la concentración de cultivos ilícitos, (</w:t>
      </w:r>
      <w:proofErr w:type="spellStart"/>
      <w:r w:rsidRPr="009D10DB">
        <w:rPr>
          <w:rFonts w:ascii="Verdana" w:eastAsia="Aptos" w:hAnsi="Verdana" w:cs="Times New Roman"/>
          <w:sz w:val="20"/>
          <w:szCs w:val="20"/>
        </w:rPr>
        <w:t>iii</w:t>
      </w:r>
      <w:proofErr w:type="spellEnd"/>
      <w:r w:rsidRPr="009D10DB">
        <w:rPr>
          <w:rFonts w:ascii="Verdana" w:eastAsia="Aptos" w:hAnsi="Verdana" w:cs="Times New Roman"/>
          <w:sz w:val="20"/>
          <w:szCs w:val="20"/>
        </w:rPr>
        <w:t>) las deficiencias e incumplimientos en la implementación del PNIS, (</w:t>
      </w:r>
      <w:proofErr w:type="spellStart"/>
      <w:r w:rsidRPr="009D10DB">
        <w:rPr>
          <w:rFonts w:ascii="Verdana" w:eastAsia="Aptos" w:hAnsi="Verdana" w:cs="Times New Roman"/>
          <w:sz w:val="20"/>
          <w:szCs w:val="20"/>
        </w:rPr>
        <w:t>iv</w:t>
      </w:r>
      <w:proofErr w:type="spellEnd"/>
      <w:r w:rsidRPr="009D10DB">
        <w:rPr>
          <w:rFonts w:ascii="Verdana" w:eastAsia="Aptos" w:hAnsi="Verdana" w:cs="Times New Roman"/>
          <w:sz w:val="20"/>
          <w:szCs w:val="20"/>
        </w:rPr>
        <w:t xml:space="preserve">) las necesidades básicas insatisfechas de la población por insuficiencia en la política </w:t>
      </w:r>
      <w:r w:rsidRPr="009D10DB">
        <w:rPr>
          <w:rFonts w:ascii="Verdana" w:eastAsia="Aptos" w:hAnsi="Verdana" w:cs="Times New Roman"/>
          <w:sz w:val="20"/>
          <w:szCs w:val="20"/>
        </w:rPr>
        <w:lastRenderedPageBreak/>
        <w:t>social y (v) los daños a la infraestructura energética y vial, así como las afectaciones a las operaciones del sector de hidrocarburos.</w:t>
      </w:r>
    </w:p>
    <w:p w14:paraId="08F4C7BF" w14:textId="77777777" w:rsidR="00471ECE" w:rsidRPr="00B615F9" w:rsidRDefault="00471ECE" w:rsidP="00471ECE">
      <w:pPr>
        <w:spacing w:after="0" w:line="240" w:lineRule="auto"/>
        <w:jc w:val="both"/>
        <w:rPr>
          <w:rFonts w:ascii="Verdana" w:eastAsia="Aptos" w:hAnsi="Verdana" w:cs="Times New Roman"/>
        </w:rPr>
      </w:pPr>
    </w:p>
    <w:p w14:paraId="319F96F8" w14:textId="77777777" w:rsidR="00471ECE" w:rsidRDefault="00471ECE" w:rsidP="00471ECE">
      <w:pPr>
        <w:spacing w:after="0" w:line="276" w:lineRule="auto"/>
        <w:jc w:val="both"/>
        <w:rPr>
          <w:rFonts w:ascii="Verdana" w:eastAsia="Calibri" w:hAnsi="Verdana" w:cs="Arial"/>
          <w:b/>
          <w:bCs/>
          <w:lang w:val="es-ES" w:eastAsia="es-ES"/>
        </w:rPr>
      </w:pPr>
      <w:r w:rsidRPr="0033785F">
        <w:rPr>
          <w:rFonts w:ascii="Verdana" w:eastAsia="Calibri" w:hAnsi="Verdana" w:cs="Arial"/>
          <w:b/>
          <w:bCs/>
          <w:lang w:val="es-ES" w:eastAsia="es-ES"/>
        </w:rPr>
        <w:t>BIENES Y SERVICIOS POR CONTRATAR – Objeto conjurar perturbación del orden público e impedir la extensión de sus efectos</w:t>
      </w:r>
    </w:p>
    <w:p w14:paraId="526F84DB" w14:textId="77777777" w:rsidR="00471ECE" w:rsidRPr="00B615F9" w:rsidRDefault="00471ECE" w:rsidP="00471ECE">
      <w:pPr>
        <w:spacing w:after="0" w:line="276" w:lineRule="auto"/>
        <w:jc w:val="both"/>
        <w:rPr>
          <w:rFonts w:ascii="Verdana" w:eastAsia="Calibri" w:hAnsi="Verdana" w:cs="Arial"/>
          <w:b/>
          <w:bCs/>
          <w:lang w:val="es-ES" w:eastAsia="es-ES"/>
        </w:rPr>
      </w:pPr>
    </w:p>
    <w:p w14:paraId="1B489A74" w14:textId="77777777" w:rsidR="00471ECE" w:rsidRDefault="00471ECE" w:rsidP="00471ECE">
      <w:pPr>
        <w:spacing w:after="0" w:line="240" w:lineRule="auto"/>
        <w:jc w:val="both"/>
        <w:rPr>
          <w:rFonts w:ascii="Verdana" w:eastAsia="Aptos" w:hAnsi="Verdana" w:cs="Times New Roman"/>
          <w:sz w:val="20"/>
          <w:szCs w:val="20"/>
        </w:rPr>
      </w:pPr>
      <w:r w:rsidRPr="0033785F">
        <w:rPr>
          <w:rFonts w:ascii="Verdana" w:eastAsia="Aptos" w:hAnsi="Verdana" w:cs="Times New Roman"/>
          <w:sz w:val="20"/>
          <w:szCs w:val="20"/>
        </w:rPr>
        <w:t>El numeral III de las consideraciones del Decreto 62 de 2025 expone el presupuesto de necesidad e insuficiencia de las medidas ordinarias y establece que resulta imperioso adoptar medidas extraordinarias en materia contractual: “con el objeto de agilizar la ejecución de los recursos requeridos para garantizar la estabilidad institucional, la seguridad del Estado y la convivencia ciudadana en la región del Catatumbo y en el área metropolitana de Cúcuta”. En ese sentido, todas las entidades estatales que conforman la región del Catatumbo están llamadas a atender las necesidades surgidas de la crisis, garantizando que las contrataciones que tengan por objeto el de conjurar la perturbación del orden público e impedir la extensión de sus efectos, se realicen con los más altos estándares de transparencia y eficiencia. Por lo tanto, el Decreto en cita demanda del Gobierno Nacional la implementación de mecanismos de control especiales que aseguren la correcta ejecución de los contratos y el uso adecuado de los recursos asignados.</w:t>
      </w:r>
    </w:p>
    <w:p w14:paraId="4B5A2643" w14:textId="77777777" w:rsidR="00471ECE" w:rsidRDefault="00471ECE" w:rsidP="00471ECE">
      <w:pPr>
        <w:spacing w:after="0" w:line="240" w:lineRule="auto"/>
        <w:jc w:val="both"/>
        <w:rPr>
          <w:rFonts w:ascii="Verdana" w:eastAsia="Aptos" w:hAnsi="Verdana" w:cs="Times New Roman"/>
          <w:sz w:val="20"/>
          <w:szCs w:val="20"/>
        </w:rPr>
      </w:pPr>
    </w:p>
    <w:p w14:paraId="5C7AB52D" w14:textId="77777777" w:rsidR="00471ECE" w:rsidRDefault="00471ECE" w:rsidP="00471ECE">
      <w:pPr>
        <w:spacing w:after="0" w:line="276" w:lineRule="auto"/>
        <w:jc w:val="both"/>
        <w:rPr>
          <w:rFonts w:ascii="Verdana" w:eastAsia="Calibri" w:hAnsi="Verdana" w:cs="Arial"/>
          <w:b/>
          <w:bCs/>
          <w:lang w:val="es-ES" w:eastAsia="es-ES"/>
        </w:rPr>
      </w:pPr>
      <w:r w:rsidRPr="0033785F">
        <w:rPr>
          <w:rFonts w:ascii="Verdana" w:eastAsia="Calibri" w:hAnsi="Verdana" w:cs="Arial"/>
          <w:b/>
          <w:bCs/>
          <w:lang w:val="es-ES" w:eastAsia="es-ES"/>
        </w:rPr>
        <w:t>MODALIDADES DE SELECCIÓN – Excepción a la regla – Contratación directa – Urgencia Manifiesta</w:t>
      </w:r>
    </w:p>
    <w:p w14:paraId="6A855B35" w14:textId="77777777" w:rsidR="00471ECE" w:rsidRDefault="00471ECE" w:rsidP="00471ECE">
      <w:pPr>
        <w:spacing w:after="0" w:line="276" w:lineRule="auto"/>
        <w:jc w:val="both"/>
        <w:rPr>
          <w:rFonts w:ascii="Verdana" w:eastAsia="Calibri" w:hAnsi="Verdana" w:cs="Arial"/>
          <w:b/>
          <w:bCs/>
          <w:lang w:val="es-ES" w:eastAsia="es-ES"/>
        </w:rPr>
      </w:pPr>
    </w:p>
    <w:p w14:paraId="1908F49F" w14:textId="77777777" w:rsidR="00471ECE" w:rsidRDefault="00471ECE" w:rsidP="00471ECE">
      <w:pPr>
        <w:spacing w:after="0" w:line="240" w:lineRule="auto"/>
        <w:jc w:val="both"/>
        <w:rPr>
          <w:rFonts w:ascii="Verdana" w:eastAsia="Aptos" w:hAnsi="Verdana" w:cs="Times New Roman"/>
          <w:sz w:val="20"/>
          <w:szCs w:val="20"/>
        </w:rPr>
      </w:pPr>
      <w:r w:rsidRPr="00B1529F">
        <w:rPr>
          <w:rFonts w:ascii="Verdana" w:eastAsia="Aptos" w:hAnsi="Verdana" w:cs="Times New Roman"/>
          <w:sz w:val="20"/>
          <w:szCs w:val="20"/>
        </w:rPr>
        <w:t xml:space="preserve">No obstante, el Estatuto General de Contratación de la Administración Pública – EGCAP establece algunas excepciones a la regla general de la licitación pública como modalidad de selección prevalente, con el fin de atender a la necesidad de proteger principios como la eficiencia, la eficacia, la economía, la celeridad o la integridad de las personas. Por lo tanto, en el marco del </w:t>
      </w:r>
      <w:r>
        <w:rPr>
          <w:rFonts w:ascii="Verdana" w:eastAsia="Aptos" w:hAnsi="Verdana" w:cs="Times New Roman"/>
          <w:sz w:val="20"/>
          <w:szCs w:val="20"/>
        </w:rPr>
        <w:t xml:space="preserve">Estado de Conmoción Interior </w:t>
      </w:r>
      <w:r w:rsidRPr="00B1529F">
        <w:rPr>
          <w:rFonts w:ascii="Verdana" w:eastAsia="Aptos" w:hAnsi="Verdana" w:cs="Times New Roman"/>
          <w:sz w:val="20"/>
          <w:szCs w:val="20"/>
        </w:rPr>
        <w:t>que declaró el Decreto en cita, el procedimiento exceptivo establecido por el artículo 2, numeral 4, de la Ley 1150 de 2007 es la contratación directa, la cual puede ser utilizada según el literal a) del mencionado numeral en casos de urgencia manifiesta. Esta causal debe leerse en concordancia con lo dispuesto en los artículos 42 y 43 de la Ley 80 de 1993, que definen el concepto y establecen el procedimiento para la declaratoria de la urgencia manifiesta, así como para la celebración de los contratos que se derivan de esta.</w:t>
      </w:r>
    </w:p>
    <w:p w14:paraId="079D2E9D" w14:textId="77777777" w:rsidR="00471ECE" w:rsidRPr="00B1529F" w:rsidRDefault="00471ECE" w:rsidP="00471ECE">
      <w:pPr>
        <w:spacing w:after="0" w:line="240" w:lineRule="auto"/>
        <w:jc w:val="both"/>
        <w:rPr>
          <w:rFonts w:ascii="Verdana" w:eastAsia="Aptos" w:hAnsi="Verdana" w:cs="Times New Roman"/>
          <w:sz w:val="20"/>
          <w:szCs w:val="20"/>
        </w:rPr>
      </w:pPr>
    </w:p>
    <w:p w14:paraId="3411EF03" w14:textId="77777777" w:rsidR="00471ECE" w:rsidRDefault="00471ECE" w:rsidP="00471ECE">
      <w:pPr>
        <w:spacing w:after="0" w:line="240" w:lineRule="auto"/>
        <w:jc w:val="both"/>
        <w:rPr>
          <w:rFonts w:ascii="Verdana" w:eastAsia="Aptos" w:hAnsi="Verdana" w:cs="Times New Roman"/>
          <w:sz w:val="20"/>
          <w:szCs w:val="20"/>
        </w:rPr>
      </w:pPr>
      <w:r w:rsidRPr="00B1529F">
        <w:rPr>
          <w:rFonts w:ascii="Verdana" w:eastAsia="Aptos" w:hAnsi="Verdana" w:cs="Times New Roman"/>
          <w:sz w:val="20"/>
          <w:szCs w:val="20"/>
        </w:rPr>
        <w:t>Vale la pena aclarar que, cuando se configure alguna de las cuatro (4) situaciones (que en el caso concreto se trata de la conmoción interior),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ibidem.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2F0B25D9" w14:textId="77777777" w:rsidR="00471ECE" w:rsidRPr="00B1529F" w:rsidRDefault="00471ECE" w:rsidP="00471ECE">
      <w:pPr>
        <w:spacing w:after="0" w:line="240" w:lineRule="auto"/>
        <w:jc w:val="both"/>
        <w:rPr>
          <w:rFonts w:ascii="Verdana" w:eastAsia="Aptos" w:hAnsi="Verdana" w:cs="Times New Roman"/>
          <w:sz w:val="20"/>
          <w:szCs w:val="20"/>
        </w:rPr>
      </w:pPr>
    </w:p>
    <w:p w14:paraId="59B7D4EA" w14:textId="77777777" w:rsidR="00471ECE" w:rsidRDefault="00471ECE" w:rsidP="00471ECE">
      <w:pPr>
        <w:spacing w:after="0" w:line="276" w:lineRule="auto"/>
        <w:jc w:val="both"/>
        <w:rPr>
          <w:rFonts w:ascii="Verdana" w:eastAsia="Calibri" w:hAnsi="Verdana" w:cs="Arial"/>
          <w:b/>
          <w:bCs/>
          <w:lang w:val="es-ES" w:eastAsia="es-ES"/>
        </w:rPr>
      </w:pPr>
      <w:r w:rsidRPr="00B1529F">
        <w:rPr>
          <w:rFonts w:ascii="Verdana" w:eastAsia="Calibri" w:hAnsi="Verdana" w:cs="Arial"/>
          <w:b/>
          <w:bCs/>
          <w:lang w:val="es-ES" w:eastAsia="es-ES"/>
        </w:rPr>
        <w:lastRenderedPageBreak/>
        <w:t xml:space="preserve">ADICIÓN CONTRATOS – Límite del artículo 40 de la Ley 80 de 1993 </w:t>
      </w:r>
    </w:p>
    <w:p w14:paraId="7C70021A" w14:textId="77777777" w:rsidR="00471ECE" w:rsidRDefault="00471ECE" w:rsidP="00471ECE">
      <w:pPr>
        <w:spacing w:after="0" w:line="276" w:lineRule="auto"/>
        <w:jc w:val="both"/>
        <w:rPr>
          <w:rFonts w:ascii="Verdana" w:eastAsia="Calibri" w:hAnsi="Verdana" w:cs="Arial"/>
          <w:b/>
          <w:bCs/>
          <w:lang w:val="es-ES" w:eastAsia="es-ES"/>
        </w:rPr>
      </w:pPr>
    </w:p>
    <w:p w14:paraId="700D8B44" w14:textId="77777777" w:rsidR="00471ECE" w:rsidRPr="00B1529F" w:rsidRDefault="00471ECE" w:rsidP="00471ECE">
      <w:pPr>
        <w:spacing w:after="0" w:line="240" w:lineRule="auto"/>
        <w:jc w:val="both"/>
        <w:rPr>
          <w:rFonts w:ascii="Verdana" w:eastAsia="Aptos" w:hAnsi="Verdana" w:cs="Times New Roman"/>
          <w:sz w:val="20"/>
          <w:szCs w:val="20"/>
        </w:rPr>
      </w:pPr>
      <w:r w:rsidRPr="00B1529F">
        <w:rPr>
          <w:rFonts w:ascii="Verdana" w:eastAsia="Aptos" w:hAnsi="Verdana" w:cs="Times New Roman"/>
          <w:sz w:val="20"/>
          <w:szCs w:val="20"/>
        </w:rPr>
        <w:t>El Estatuto General de Contratación de la Administración Pública contempla la restricción establecida en el inciso segundo del parágrafo del artículo 40 de la Ley 80 de 1993 que consiste en que los contratos no podrán adicionarse en más del cincuenta por ciento (50%) de su valor inicial, expresado éste en salarios mínimos legales mensuales. En ese orden, en vista de que el Decreto 62 de 2025 no estableció una regla diferente en torno a la adición de las contrataciones que se efectúen en el marco del estado de conmoción interior, a todos aquellos contratos celebrados con el propósito de conjurar las causas de la perturbación al orden público e impedir la extensión de sus efectos en la región del Catatumbo les aplica dicha restricción.</w:t>
      </w:r>
    </w:p>
    <w:p w14:paraId="52A4983A" w14:textId="77777777" w:rsidR="00471ECE" w:rsidRPr="00B1529F" w:rsidRDefault="00471ECE" w:rsidP="00471ECE">
      <w:pPr>
        <w:spacing w:after="0" w:line="276" w:lineRule="auto"/>
        <w:jc w:val="both"/>
        <w:rPr>
          <w:rFonts w:ascii="Verdana" w:eastAsia="Calibri" w:hAnsi="Verdana" w:cs="Arial"/>
          <w:b/>
          <w:bCs/>
          <w:lang w:val="es-ES" w:eastAsia="es-ES"/>
        </w:rPr>
      </w:pPr>
    </w:p>
    <w:p w14:paraId="0F70D1E6" w14:textId="77777777" w:rsidR="00471ECE" w:rsidRPr="0033785F" w:rsidRDefault="00471ECE" w:rsidP="00471ECE">
      <w:pPr>
        <w:spacing w:after="0" w:line="276" w:lineRule="auto"/>
        <w:jc w:val="both"/>
        <w:rPr>
          <w:rFonts w:ascii="Verdana" w:eastAsia="Calibri" w:hAnsi="Verdana" w:cs="Arial"/>
          <w:b/>
          <w:bCs/>
          <w:lang w:val="es-ES" w:eastAsia="es-ES"/>
        </w:rPr>
      </w:pPr>
    </w:p>
    <w:p w14:paraId="76311C73" w14:textId="77777777" w:rsidR="00471ECE" w:rsidRDefault="00471ECE" w:rsidP="00471ECE">
      <w:pPr>
        <w:spacing w:after="0" w:line="240" w:lineRule="auto"/>
        <w:rPr>
          <w:rFonts w:ascii="Verdana" w:eastAsia="Times New Roman" w:hAnsi="Verdana" w:cs="Arial"/>
          <w:lang w:eastAsia="es-ES_tradnl"/>
        </w:rPr>
      </w:pPr>
    </w:p>
    <w:p w14:paraId="551D54F2" w14:textId="77777777" w:rsidR="00471ECE" w:rsidRDefault="00471ECE" w:rsidP="00471ECE">
      <w:pPr>
        <w:spacing w:after="0" w:line="240" w:lineRule="auto"/>
        <w:contextualSpacing/>
        <w:rPr>
          <w:rFonts w:ascii="Verdana" w:eastAsia="Times New Roman" w:hAnsi="Verdana" w:cs="Arial"/>
          <w:lang w:eastAsia="es-ES_tradnl"/>
        </w:rPr>
      </w:pPr>
    </w:p>
    <w:p w14:paraId="6150BAC7" w14:textId="77777777" w:rsidR="00471ECE" w:rsidRDefault="00471ECE" w:rsidP="00471ECE">
      <w:pPr>
        <w:spacing w:after="0" w:line="240" w:lineRule="auto"/>
        <w:contextualSpacing/>
        <w:rPr>
          <w:rFonts w:ascii="Verdana" w:eastAsia="Times New Roman" w:hAnsi="Verdana" w:cs="Arial"/>
          <w:lang w:eastAsia="es-ES_tradnl"/>
        </w:rPr>
      </w:pPr>
    </w:p>
    <w:p w14:paraId="711A4F96" w14:textId="77777777" w:rsidR="00471ECE" w:rsidRDefault="00471ECE" w:rsidP="00471ECE">
      <w:pPr>
        <w:spacing w:after="0" w:line="240" w:lineRule="auto"/>
        <w:contextualSpacing/>
        <w:rPr>
          <w:rFonts w:ascii="Verdana" w:eastAsia="Times New Roman" w:hAnsi="Verdana" w:cs="Arial"/>
          <w:lang w:eastAsia="es-ES_tradnl"/>
        </w:rPr>
      </w:pPr>
    </w:p>
    <w:p w14:paraId="196C31E5" w14:textId="77777777" w:rsidR="00471ECE" w:rsidRDefault="00471ECE" w:rsidP="00471ECE">
      <w:pPr>
        <w:spacing w:after="0" w:line="240" w:lineRule="auto"/>
        <w:contextualSpacing/>
        <w:rPr>
          <w:rFonts w:ascii="Verdana" w:eastAsia="Times New Roman" w:hAnsi="Verdana" w:cs="Arial"/>
          <w:lang w:eastAsia="es-ES_tradnl"/>
        </w:rPr>
      </w:pPr>
    </w:p>
    <w:p w14:paraId="66C2D02B" w14:textId="77777777" w:rsidR="00471ECE" w:rsidRDefault="00471ECE" w:rsidP="00471ECE">
      <w:pPr>
        <w:spacing w:after="0" w:line="240" w:lineRule="auto"/>
        <w:contextualSpacing/>
        <w:rPr>
          <w:rFonts w:ascii="Verdana" w:eastAsia="Times New Roman" w:hAnsi="Verdana" w:cs="Arial"/>
          <w:lang w:eastAsia="es-ES_tradnl"/>
        </w:rPr>
      </w:pPr>
    </w:p>
    <w:p w14:paraId="5AB8E161" w14:textId="77777777" w:rsidR="00471ECE" w:rsidRDefault="00471ECE" w:rsidP="00471ECE">
      <w:pPr>
        <w:spacing w:after="0" w:line="240" w:lineRule="auto"/>
        <w:contextualSpacing/>
        <w:rPr>
          <w:rFonts w:ascii="Verdana" w:eastAsia="Times New Roman" w:hAnsi="Verdana" w:cs="Arial"/>
          <w:lang w:eastAsia="es-ES_tradnl"/>
        </w:rPr>
      </w:pPr>
    </w:p>
    <w:p w14:paraId="01AB2554" w14:textId="77777777" w:rsidR="00471ECE" w:rsidRDefault="00471ECE" w:rsidP="00471ECE">
      <w:pPr>
        <w:spacing w:after="0" w:line="240" w:lineRule="auto"/>
        <w:contextualSpacing/>
        <w:rPr>
          <w:rFonts w:ascii="Verdana" w:eastAsia="Times New Roman" w:hAnsi="Verdana" w:cs="Arial"/>
          <w:lang w:eastAsia="es-ES_tradnl"/>
        </w:rPr>
      </w:pPr>
    </w:p>
    <w:p w14:paraId="1DC3A7E3" w14:textId="77777777" w:rsidR="00471ECE" w:rsidRDefault="00471ECE" w:rsidP="00471ECE">
      <w:pPr>
        <w:spacing w:after="0" w:line="240" w:lineRule="auto"/>
        <w:contextualSpacing/>
        <w:rPr>
          <w:rFonts w:ascii="Verdana" w:eastAsia="Times New Roman" w:hAnsi="Verdana" w:cs="Arial"/>
          <w:lang w:eastAsia="es-ES_tradnl"/>
        </w:rPr>
      </w:pPr>
    </w:p>
    <w:p w14:paraId="760C74EC" w14:textId="77777777" w:rsidR="00471ECE" w:rsidRDefault="00471ECE" w:rsidP="00471ECE">
      <w:pPr>
        <w:spacing w:after="0" w:line="240" w:lineRule="auto"/>
        <w:contextualSpacing/>
        <w:rPr>
          <w:rFonts w:ascii="Verdana" w:eastAsia="Times New Roman" w:hAnsi="Verdana" w:cs="Arial"/>
          <w:lang w:eastAsia="es-ES_tradnl"/>
        </w:rPr>
      </w:pPr>
    </w:p>
    <w:p w14:paraId="56EE8130" w14:textId="77777777" w:rsidR="00471ECE" w:rsidRDefault="00471ECE" w:rsidP="00471ECE">
      <w:pPr>
        <w:spacing w:after="0" w:line="240" w:lineRule="auto"/>
        <w:contextualSpacing/>
        <w:rPr>
          <w:rFonts w:ascii="Verdana" w:eastAsia="Times New Roman" w:hAnsi="Verdana" w:cs="Arial"/>
          <w:lang w:eastAsia="es-ES_tradnl"/>
        </w:rPr>
      </w:pPr>
    </w:p>
    <w:p w14:paraId="16DEE73B" w14:textId="77777777" w:rsidR="00471ECE" w:rsidRDefault="00471ECE" w:rsidP="00471ECE">
      <w:pPr>
        <w:spacing w:after="0" w:line="240" w:lineRule="auto"/>
        <w:contextualSpacing/>
        <w:rPr>
          <w:rFonts w:ascii="Verdana" w:eastAsia="Times New Roman" w:hAnsi="Verdana" w:cs="Arial"/>
          <w:lang w:eastAsia="es-ES_tradnl"/>
        </w:rPr>
      </w:pPr>
    </w:p>
    <w:p w14:paraId="00597F48" w14:textId="77777777" w:rsidR="00471ECE" w:rsidRDefault="00471ECE" w:rsidP="00471ECE">
      <w:pPr>
        <w:spacing w:after="0" w:line="240" w:lineRule="auto"/>
        <w:contextualSpacing/>
        <w:rPr>
          <w:rFonts w:ascii="Verdana" w:eastAsia="Times New Roman" w:hAnsi="Verdana" w:cs="Arial"/>
          <w:lang w:eastAsia="es-ES_tradnl"/>
        </w:rPr>
      </w:pPr>
    </w:p>
    <w:p w14:paraId="04748D28" w14:textId="77777777" w:rsidR="00471ECE" w:rsidRDefault="00471ECE" w:rsidP="00471ECE">
      <w:pPr>
        <w:spacing w:after="0" w:line="240" w:lineRule="auto"/>
        <w:contextualSpacing/>
        <w:rPr>
          <w:rFonts w:ascii="Verdana" w:eastAsia="Times New Roman" w:hAnsi="Verdana" w:cs="Arial"/>
          <w:lang w:eastAsia="es-ES_tradnl"/>
        </w:rPr>
      </w:pPr>
    </w:p>
    <w:p w14:paraId="0657DA27" w14:textId="77777777" w:rsidR="00471ECE" w:rsidRDefault="00471ECE" w:rsidP="00471ECE">
      <w:pPr>
        <w:spacing w:after="0" w:line="240" w:lineRule="auto"/>
        <w:contextualSpacing/>
        <w:rPr>
          <w:rFonts w:ascii="Verdana" w:eastAsia="Times New Roman" w:hAnsi="Verdana" w:cs="Arial"/>
          <w:lang w:eastAsia="es-ES_tradnl"/>
        </w:rPr>
      </w:pPr>
    </w:p>
    <w:p w14:paraId="7358C8DE" w14:textId="77777777" w:rsidR="00471ECE" w:rsidRDefault="00471ECE" w:rsidP="00471ECE">
      <w:pPr>
        <w:spacing w:after="0" w:line="240" w:lineRule="auto"/>
        <w:contextualSpacing/>
        <w:rPr>
          <w:rFonts w:ascii="Verdana" w:eastAsia="Times New Roman" w:hAnsi="Verdana" w:cs="Arial"/>
          <w:lang w:eastAsia="es-ES_tradnl"/>
        </w:rPr>
      </w:pPr>
    </w:p>
    <w:p w14:paraId="301ED73D" w14:textId="77777777" w:rsidR="00471ECE" w:rsidRDefault="00471ECE" w:rsidP="00471ECE">
      <w:pPr>
        <w:spacing w:after="0" w:line="240" w:lineRule="auto"/>
        <w:contextualSpacing/>
        <w:rPr>
          <w:rFonts w:ascii="Verdana" w:eastAsia="Times New Roman" w:hAnsi="Verdana" w:cs="Arial"/>
          <w:lang w:eastAsia="es-ES_tradnl"/>
        </w:rPr>
      </w:pPr>
    </w:p>
    <w:p w14:paraId="2A341C4C" w14:textId="77777777" w:rsidR="00471ECE" w:rsidRDefault="00471ECE" w:rsidP="00471ECE">
      <w:pPr>
        <w:spacing w:after="0" w:line="240" w:lineRule="auto"/>
        <w:contextualSpacing/>
        <w:rPr>
          <w:rFonts w:ascii="Verdana" w:eastAsia="Times New Roman" w:hAnsi="Verdana" w:cs="Arial"/>
          <w:lang w:eastAsia="es-ES_tradnl"/>
        </w:rPr>
      </w:pPr>
    </w:p>
    <w:p w14:paraId="2C2E60FC" w14:textId="77777777" w:rsidR="00471ECE" w:rsidRDefault="00471ECE" w:rsidP="00471ECE">
      <w:pPr>
        <w:spacing w:after="0" w:line="240" w:lineRule="auto"/>
        <w:contextualSpacing/>
        <w:rPr>
          <w:rFonts w:ascii="Verdana" w:eastAsia="Times New Roman" w:hAnsi="Verdana" w:cs="Arial"/>
          <w:lang w:eastAsia="es-ES_tradnl"/>
        </w:rPr>
      </w:pPr>
    </w:p>
    <w:p w14:paraId="0A4B6111" w14:textId="77777777" w:rsidR="00471ECE" w:rsidRDefault="00471ECE" w:rsidP="00471ECE">
      <w:pPr>
        <w:spacing w:after="0" w:line="240" w:lineRule="auto"/>
        <w:contextualSpacing/>
        <w:rPr>
          <w:rFonts w:ascii="Verdana" w:eastAsia="Times New Roman" w:hAnsi="Verdana" w:cs="Arial"/>
          <w:lang w:eastAsia="es-ES_tradnl"/>
        </w:rPr>
      </w:pPr>
    </w:p>
    <w:p w14:paraId="08D78187" w14:textId="77777777" w:rsidR="00471ECE" w:rsidRDefault="00471ECE" w:rsidP="00471ECE">
      <w:pPr>
        <w:spacing w:after="0" w:line="240" w:lineRule="auto"/>
        <w:contextualSpacing/>
        <w:rPr>
          <w:rFonts w:ascii="Verdana" w:eastAsia="Times New Roman" w:hAnsi="Verdana" w:cs="Arial"/>
          <w:lang w:eastAsia="es-ES_tradnl"/>
        </w:rPr>
      </w:pPr>
    </w:p>
    <w:p w14:paraId="4E90BBEF" w14:textId="77777777" w:rsidR="00471ECE" w:rsidRDefault="00471ECE" w:rsidP="00471ECE">
      <w:pPr>
        <w:spacing w:after="0" w:line="240" w:lineRule="auto"/>
        <w:contextualSpacing/>
        <w:rPr>
          <w:rFonts w:ascii="Verdana" w:eastAsia="Times New Roman" w:hAnsi="Verdana" w:cs="Arial"/>
          <w:lang w:eastAsia="es-ES_tradnl"/>
        </w:rPr>
      </w:pPr>
    </w:p>
    <w:p w14:paraId="218699E4" w14:textId="77777777" w:rsidR="00471ECE" w:rsidRDefault="00471ECE" w:rsidP="00471ECE">
      <w:pPr>
        <w:spacing w:after="0" w:line="240" w:lineRule="auto"/>
        <w:contextualSpacing/>
        <w:rPr>
          <w:rFonts w:ascii="Verdana" w:eastAsia="Times New Roman" w:hAnsi="Verdana" w:cs="Arial"/>
          <w:lang w:eastAsia="es-ES_tradnl"/>
        </w:rPr>
      </w:pPr>
    </w:p>
    <w:p w14:paraId="43CA800B" w14:textId="77777777" w:rsidR="00471ECE" w:rsidRDefault="00471ECE" w:rsidP="00471ECE">
      <w:pPr>
        <w:spacing w:after="0" w:line="240" w:lineRule="auto"/>
        <w:contextualSpacing/>
        <w:rPr>
          <w:rFonts w:ascii="Verdana" w:eastAsia="Times New Roman" w:hAnsi="Verdana" w:cs="Arial"/>
          <w:lang w:eastAsia="es-ES_tradnl"/>
        </w:rPr>
      </w:pPr>
    </w:p>
    <w:p w14:paraId="4A9EF306" w14:textId="77777777" w:rsidR="00471ECE" w:rsidRDefault="00471ECE" w:rsidP="00471ECE">
      <w:pPr>
        <w:spacing w:after="0" w:line="240" w:lineRule="auto"/>
        <w:contextualSpacing/>
        <w:rPr>
          <w:rFonts w:ascii="Verdana" w:eastAsia="Times New Roman" w:hAnsi="Verdana" w:cs="Arial"/>
          <w:lang w:eastAsia="es-ES_tradnl"/>
        </w:rPr>
      </w:pPr>
    </w:p>
    <w:p w14:paraId="4EDDFC87" w14:textId="77777777" w:rsidR="00471ECE" w:rsidRDefault="00471ECE" w:rsidP="00471ECE">
      <w:pPr>
        <w:spacing w:after="0" w:line="240" w:lineRule="auto"/>
        <w:contextualSpacing/>
        <w:rPr>
          <w:rFonts w:ascii="Verdana" w:eastAsia="Times New Roman" w:hAnsi="Verdana" w:cs="Arial"/>
          <w:lang w:eastAsia="es-ES_tradnl"/>
        </w:rPr>
      </w:pPr>
    </w:p>
    <w:p w14:paraId="352DAE98" w14:textId="77777777" w:rsidR="00471ECE" w:rsidRDefault="00471ECE" w:rsidP="00471ECE">
      <w:pPr>
        <w:spacing w:after="0" w:line="240" w:lineRule="auto"/>
        <w:contextualSpacing/>
        <w:rPr>
          <w:rFonts w:ascii="Verdana" w:eastAsia="Times New Roman" w:hAnsi="Verdana" w:cs="Arial"/>
          <w:lang w:eastAsia="es-ES_tradnl"/>
        </w:rPr>
      </w:pPr>
    </w:p>
    <w:p w14:paraId="348FD81C" w14:textId="77777777" w:rsidR="00471ECE" w:rsidRDefault="00471ECE" w:rsidP="00471ECE">
      <w:pPr>
        <w:spacing w:after="0" w:line="240" w:lineRule="auto"/>
        <w:contextualSpacing/>
        <w:rPr>
          <w:rFonts w:ascii="Verdana" w:eastAsia="Times New Roman" w:hAnsi="Verdana" w:cs="Arial"/>
          <w:lang w:eastAsia="es-ES_tradnl"/>
        </w:rPr>
      </w:pPr>
    </w:p>
    <w:p w14:paraId="0D626A50" w14:textId="77777777" w:rsidR="00471ECE" w:rsidRDefault="00471ECE" w:rsidP="00471ECE">
      <w:pPr>
        <w:spacing w:after="0" w:line="240" w:lineRule="auto"/>
        <w:contextualSpacing/>
        <w:rPr>
          <w:rFonts w:ascii="Verdana" w:eastAsia="Times New Roman" w:hAnsi="Verdana" w:cs="Arial"/>
          <w:lang w:eastAsia="es-ES_tradnl"/>
        </w:rPr>
      </w:pPr>
    </w:p>
    <w:p w14:paraId="13954520" w14:textId="77777777" w:rsidR="00471ECE" w:rsidRDefault="00471ECE" w:rsidP="00471ECE">
      <w:pPr>
        <w:spacing w:after="0" w:line="240" w:lineRule="auto"/>
        <w:contextualSpacing/>
        <w:rPr>
          <w:rFonts w:ascii="Verdana" w:eastAsia="Times New Roman" w:hAnsi="Verdana" w:cs="Arial"/>
          <w:lang w:eastAsia="es-ES_tradnl"/>
        </w:rPr>
      </w:pPr>
    </w:p>
    <w:p w14:paraId="608989BB" w14:textId="77777777" w:rsidR="00471ECE" w:rsidRDefault="00471ECE" w:rsidP="00471ECE">
      <w:pPr>
        <w:spacing w:after="0" w:line="240" w:lineRule="auto"/>
        <w:contextualSpacing/>
        <w:rPr>
          <w:rFonts w:ascii="Verdana" w:eastAsia="Times New Roman" w:hAnsi="Verdana" w:cs="Arial"/>
          <w:lang w:eastAsia="es-ES_tradnl"/>
        </w:rPr>
      </w:pPr>
    </w:p>
    <w:p w14:paraId="1775B21D" w14:textId="77777777" w:rsidR="00471ECE" w:rsidRDefault="00471ECE" w:rsidP="00471ECE">
      <w:pPr>
        <w:spacing w:after="0" w:line="240" w:lineRule="auto"/>
        <w:contextualSpacing/>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193EBA96" w14:textId="77777777" w:rsidR="00471ECE" w:rsidRPr="005B7C42" w:rsidRDefault="00471ECE" w:rsidP="00471ECE">
      <w:pPr>
        <w:spacing w:after="0" w:line="240" w:lineRule="auto"/>
        <w:contextualSpacing/>
        <w:jc w:val="right"/>
        <w:rPr>
          <w:rFonts w:ascii="Verdana" w:eastAsia="Times New Roman" w:hAnsi="Verdana" w:cs="Arial"/>
          <w:lang w:eastAsia="es-ES_tradnl"/>
        </w:rPr>
      </w:pPr>
    </w:p>
    <w:p w14:paraId="1688BAE0" w14:textId="77777777" w:rsidR="00471ECE" w:rsidRDefault="00471ECE" w:rsidP="00471ECE">
      <w:pPr>
        <w:spacing w:after="0" w:line="240" w:lineRule="auto"/>
        <w:contextualSpacing/>
        <w:jc w:val="both"/>
        <w:rPr>
          <w:rFonts w:ascii="Verdana" w:eastAsia="Calibri" w:hAnsi="Verdana" w:cs="Arial"/>
          <w:lang w:eastAsia="es-ES_tradnl"/>
        </w:rPr>
      </w:pPr>
    </w:p>
    <w:p w14:paraId="13A51894" w14:textId="1E385DC5" w:rsidR="00BE0F46" w:rsidRDefault="002E55A3" w:rsidP="002E55A3">
      <w:pPr>
        <w:spacing w:after="0" w:line="240" w:lineRule="auto"/>
        <w:contextualSpacing/>
        <w:jc w:val="right"/>
        <w:rPr>
          <w:rFonts w:ascii="Verdana" w:eastAsia="Calibri" w:hAnsi="Verdana" w:cs="Arial"/>
          <w:lang w:eastAsia="es-ES_tradnl"/>
        </w:rPr>
      </w:pPr>
      <w:r w:rsidRPr="002E55A3">
        <w:rPr>
          <w:rFonts w:ascii="Verdana" w:eastAsia="Calibri" w:hAnsi="Verdana" w:cs="Arial"/>
          <w:lang w:eastAsia="es-ES_tradnl"/>
        </w:rPr>
        <w:drawing>
          <wp:inline distT="0" distB="0" distL="0" distR="0" wp14:anchorId="73720363" wp14:editId="7CA05F5C">
            <wp:extent cx="3382287" cy="890156"/>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92225" cy="892772"/>
                    </a:xfrm>
                    <a:prstGeom prst="rect">
                      <a:avLst/>
                    </a:prstGeom>
                  </pic:spPr>
                </pic:pic>
              </a:graphicData>
            </a:graphic>
          </wp:inline>
        </w:drawing>
      </w:r>
    </w:p>
    <w:p w14:paraId="1675E790" w14:textId="77777777" w:rsidR="00471ECE" w:rsidRDefault="00471ECE" w:rsidP="00471ECE">
      <w:pPr>
        <w:spacing w:after="0" w:line="240" w:lineRule="auto"/>
        <w:contextualSpacing/>
        <w:jc w:val="both"/>
        <w:rPr>
          <w:rFonts w:ascii="Verdana" w:eastAsia="Calibri" w:hAnsi="Verdana" w:cs="Arial"/>
          <w:lang w:eastAsia="es-ES_tradnl"/>
        </w:rPr>
      </w:pPr>
    </w:p>
    <w:p w14:paraId="44413E07" w14:textId="77777777" w:rsidR="00471ECE" w:rsidRPr="00BF4250" w:rsidRDefault="00471ECE" w:rsidP="00471ECE">
      <w:pPr>
        <w:spacing w:after="0" w:line="240" w:lineRule="auto"/>
        <w:contextualSpacing/>
        <w:jc w:val="both"/>
        <w:rPr>
          <w:rFonts w:ascii="Verdana" w:eastAsia="Calibri" w:hAnsi="Verdana" w:cs="Arial"/>
          <w:lang w:eastAsia="es-ES_tradnl"/>
        </w:rPr>
      </w:pPr>
      <w:r w:rsidRPr="00BF4250">
        <w:rPr>
          <w:rFonts w:ascii="Verdana" w:eastAsia="Calibri" w:hAnsi="Verdana" w:cs="Arial"/>
          <w:lang w:eastAsia="es-ES_tradnl"/>
        </w:rPr>
        <w:t>Señor</w:t>
      </w:r>
    </w:p>
    <w:p w14:paraId="15F56DA9" w14:textId="77777777" w:rsidR="00471ECE" w:rsidRPr="00BF4250" w:rsidRDefault="00471ECE" w:rsidP="00471ECE">
      <w:pPr>
        <w:spacing w:after="0" w:line="240" w:lineRule="auto"/>
        <w:contextualSpacing/>
        <w:jc w:val="both"/>
        <w:rPr>
          <w:rFonts w:ascii="Verdana" w:eastAsia="Calibri" w:hAnsi="Verdana" w:cs="Arial"/>
          <w:b/>
          <w:bCs/>
          <w:lang w:eastAsia="es-ES_tradnl"/>
        </w:rPr>
      </w:pPr>
      <w:r w:rsidRPr="00BF4250">
        <w:rPr>
          <w:rFonts w:ascii="Verdana" w:eastAsia="Calibri" w:hAnsi="Verdana" w:cs="Arial"/>
          <w:b/>
          <w:bCs/>
          <w:lang w:eastAsia="es-ES_tradnl"/>
        </w:rPr>
        <w:t xml:space="preserve">Camilo </w:t>
      </w:r>
      <w:bookmarkStart w:id="1" w:name="_Hlk195005562"/>
      <w:r w:rsidRPr="00BF4250">
        <w:rPr>
          <w:rFonts w:ascii="Verdana" w:eastAsia="Calibri" w:hAnsi="Verdana" w:cs="Arial"/>
          <w:b/>
          <w:bCs/>
          <w:lang w:eastAsia="es-ES_tradnl"/>
        </w:rPr>
        <w:t>Contreras González</w:t>
      </w:r>
      <w:bookmarkEnd w:id="1"/>
    </w:p>
    <w:p w14:paraId="037C9B14" w14:textId="77777777" w:rsidR="00471ECE" w:rsidRPr="00BF4250" w:rsidRDefault="002E55A3" w:rsidP="00471ECE">
      <w:pPr>
        <w:spacing w:after="0" w:line="240" w:lineRule="auto"/>
        <w:contextualSpacing/>
        <w:jc w:val="both"/>
        <w:rPr>
          <w:rFonts w:ascii="Verdana" w:eastAsia="Calibri" w:hAnsi="Verdana" w:cs="Arial"/>
          <w:b/>
          <w:bCs/>
          <w:lang w:eastAsia="es-ES_tradnl"/>
        </w:rPr>
      </w:pPr>
      <w:hyperlink r:id="rId8" w:history="1">
        <w:r w:rsidR="00471ECE" w:rsidRPr="00BF4250">
          <w:rPr>
            <w:rStyle w:val="Hipervnculo"/>
            <w:rFonts w:ascii="Verdana" w:hAnsi="Verdana"/>
          </w:rPr>
          <w:t>camilo724242@gmail.com</w:t>
        </w:r>
      </w:hyperlink>
      <w:r w:rsidR="00471ECE" w:rsidRPr="00BF4250">
        <w:rPr>
          <w:rFonts w:ascii="Verdana" w:hAnsi="Verdana"/>
        </w:rPr>
        <w:t xml:space="preserve">    </w:t>
      </w:r>
      <w:r w:rsidR="00471ECE" w:rsidRPr="00BF4250">
        <w:rPr>
          <w:rFonts w:ascii="Verdana" w:eastAsia="Calibri" w:hAnsi="Verdana" w:cs="Arial"/>
          <w:lang w:eastAsia="es-ES_tradnl"/>
        </w:rPr>
        <w:t xml:space="preserve"> </w:t>
      </w:r>
    </w:p>
    <w:p w14:paraId="5E5607F5" w14:textId="77777777" w:rsidR="00471ECE" w:rsidRPr="00BF4250" w:rsidRDefault="00471ECE" w:rsidP="00471ECE">
      <w:pPr>
        <w:spacing w:after="0" w:line="240" w:lineRule="auto"/>
        <w:contextualSpacing/>
        <w:rPr>
          <w:rFonts w:ascii="Verdana" w:eastAsia="Calibri" w:hAnsi="Verdana" w:cs="Arial"/>
          <w:lang w:eastAsia="es-ES_tradnl"/>
        </w:rPr>
      </w:pPr>
      <w:r w:rsidRPr="00BF4250">
        <w:rPr>
          <w:rFonts w:ascii="Verdana" w:eastAsia="Calibri" w:hAnsi="Verdana" w:cs="Arial"/>
          <w:lang w:eastAsia="es-ES_tradnl"/>
        </w:rPr>
        <w:t>Bogotá, D.C.</w:t>
      </w:r>
    </w:p>
    <w:p w14:paraId="257C3CF7" w14:textId="77777777" w:rsidR="00471ECE" w:rsidRPr="00BF4250" w:rsidRDefault="00471ECE" w:rsidP="00471ECE">
      <w:pPr>
        <w:spacing w:after="0" w:line="240" w:lineRule="auto"/>
        <w:contextualSpacing/>
        <w:rPr>
          <w:rFonts w:ascii="Verdana" w:eastAsia="Calibri" w:hAnsi="Verdana" w:cs="Arial"/>
          <w:lang w:eastAsia="es-ES_tradnl"/>
        </w:rPr>
      </w:pPr>
    </w:p>
    <w:p w14:paraId="2A3B85FB" w14:textId="77777777" w:rsidR="00471ECE" w:rsidRPr="00BF4250" w:rsidRDefault="00471ECE" w:rsidP="00471ECE">
      <w:pPr>
        <w:spacing w:after="0" w:line="240" w:lineRule="auto"/>
        <w:ind w:left="2694"/>
        <w:contextualSpacing/>
        <w:rPr>
          <w:rFonts w:ascii="Verdana" w:eastAsia="Calibri" w:hAnsi="Verdana" w:cs="Arial"/>
          <w:b/>
          <w:bCs/>
          <w:lang w:eastAsia="es-ES_tradnl"/>
        </w:rPr>
      </w:pPr>
      <w:r w:rsidRPr="00BF4250">
        <w:rPr>
          <w:rFonts w:ascii="Verdana" w:eastAsia="Calibri" w:hAnsi="Verdana" w:cs="Arial"/>
          <w:b/>
          <w:bCs/>
          <w:lang w:eastAsia="es-ES_tradnl"/>
        </w:rPr>
        <w:t>Concepto C-369 de 2025</w:t>
      </w:r>
    </w:p>
    <w:p w14:paraId="488FB524" w14:textId="77777777" w:rsidR="00471ECE" w:rsidRPr="00BF4250" w:rsidRDefault="00471ECE" w:rsidP="00471ECE">
      <w:pPr>
        <w:spacing w:after="0" w:line="240" w:lineRule="auto"/>
        <w:contextualSpacing/>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471ECE" w:rsidRPr="00BF4250" w14:paraId="7B13E09E" w14:textId="77777777" w:rsidTr="00E96214">
        <w:trPr>
          <w:trHeight w:val="1672"/>
          <w:jc w:val="right"/>
        </w:trPr>
        <w:tc>
          <w:tcPr>
            <w:tcW w:w="2688" w:type="dxa"/>
          </w:tcPr>
          <w:p w14:paraId="4C250071" w14:textId="77777777" w:rsidR="00471ECE" w:rsidRPr="00BF4250" w:rsidRDefault="00471ECE" w:rsidP="00E96214">
            <w:pPr>
              <w:contextualSpacing/>
              <w:jc w:val="center"/>
              <w:rPr>
                <w:rFonts w:ascii="Verdana" w:eastAsia="Calibri" w:hAnsi="Verdana" w:cs="Arial"/>
                <w:lang w:eastAsia="es-ES_tradnl"/>
              </w:rPr>
            </w:pPr>
            <w:r w:rsidRPr="00BF4250">
              <w:rPr>
                <w:rFonts w:ascii="Verdana" w:eastAsia="Calibri" w:hAnsi="Verdana" w:cs="Arial"/>
                <w:b/>
                <w:lang w:eastAsia="es-ES_tradnl"/>
              </w:rPr>
              <w:t>Temas:</w:t>
            </w:r>
          </w:p>
        </w:tc>
        <w:tc>
          <w:tcPr>
            <w:tcW w:w="6100" w:type="dxa"/>
          </w:tcPr>
          <w:p w14:paraId="428ECB23" w14:textId="77777777" w:rsidR="00471ECE" w:rsidRPr="00BF4250" w:rsidRDefault="00471ECE" w:rsidP="00E96214">
            <w:pPr>
              <w:contextualSpacing/>
              <w:jc w:val="both"/>
              <w:rPr>
                <w:rFonts w:ascii="Verdana" w:eastAsia="Times New Roman" w:hAnsi="Verdana" w:cs="Arial"/>
                <w:lang w:eastAsia="es-ES_tradnl"/>
              </w:rPr>
            </w:pPr>
            <w:r w:rsidRPr="005F51EB">
              <w:rPr>
                <w:rFonts w:ascii="Verdana" w:eastAsia="Times New Roman" w:hAnsi="Verdana" w:cs="Arial"/>
                <w:lang w:eastAsia="es-ES_tradnl"/>
              </w:rPr>
              <w:t xml:space="preserve">DECRETO 62 DE 2025 </w:t>
            </w:r>
            <w:r>
              <w:rPr>
                <w:rFonts w:ascii="Verdana" w:eastAsia="Times New Roman" w:hAnsi="Verdana" w:cs="Arial"/>
                <w:lang w:eastAsia="es-ES_tradnl"/>
              </w:rPr>
              <w:t xml:space="preserve">– Declaración conmoción interior región Catatumbo – Medidas en contratación estatal – Ámbito temporal suscripción contratos / CORTE CONSTITUCIONAL – Declaración constitucionalidad parcial / BIENES Y SERVICIOS A CONTRATAR – Objeto </w:t>
            </w:r>
            <w:r>
              <w:rPr>
                <w:rFonts w:ascii="Verdana" w:eastAsia="Arial MT" w:hAnsi="Verdana" w:cs="Arial"/>
                <w:lang w:eastAsia="es-ES" w:bidi="es-ES"/>
              </w:rPr>
              <w:t xml:space="preserve">conjurar </w:t>
            </w:r>
            <w:r>
              <w:rPr>
                <w:rFonts w:ascii="Verdana" w:hAnsi="Verdana"/>
              </w:rPr>
              <w:t>perturbación del orden público e impedir la extensión de sus efectos</w:t>
            </w:r>
            <w:r>
              <w:rPr>
                <w:rFonts w:ascii="Verdana" w:eastAsia="Times New Roman" w:hAnsi="Verdana" w:cs="Arial"/>
                <w:lang w:eastAsia="es-ES_tradnl"/>
              </w:rPr>
              <w:t xml:space="preserve"> / MODALIDADES DE SELECCIÓN – Excepción a la regla – Contratación directa – Urgencia Manifiesta / ADICIÓN CONTRATOS – Límite del artículo 40 de la Ley 80 de 1993  </w:t>
            </w:r>
          </w:p>
        </w:tc>
      </w:tr>
      <w:tr w:rsidR="00471ECE" w:rsidRPr="00BF4250" w14:paraId="1F1629C8" w14:textId="77777777" w:rsidTr="00E96214">
        <w:trPr>
          <w:jc w:val="right"/>
        </w:trPr>
        <w:tc>
          <w:tcPr>
            <w:tcW w:w="2688" w:type="dxa"/>
          </w:tcPr>
          <w:p w14:paraId="449D049C" w14:textId="77777777" w:rsidR="00471ECE" w:rsidRPr="00BF4250" w:rsidRDefault="00471ECE" w:rsidP="00E96214">
            <w:pPr>
              <w:contextualSpacing/>
              <w:jc w:val="center"/>
              <w:rPr>
                <w:rFonts w:ascii="Verdana" w:eastAsia="Calibri" w:hAnsi="Verdana" w:cs="Arial"/>
                <w:b/>
                <w:lang w:eastAsia="es-ES_tradnl"/>
              </w:rPr>
            </w:pPr>
            <w:r w:rsidRPr="00BF4250">
              <w:rPr>
                <w:rFonts w:ascii="Verdana" w:eastAsia="Calibri" w:hAnsi="Verdana" w:cs="Arial"/>
                <w:b/>
                <w:lang w:eastAsia="es-ES_tradnl"/>
              </w:rPr>
              <w:t>Radicación:</w:t>
            </w:r>
          </w:p>
        </w:tc>
        <w:tc>
          <w:tcPr>
            <w:tcW w:w="6100" w:type="dxa"/>
          </w:tcPr>
          <w:p w14:paraId="56C6AE36" w14:textId="77777777" w:rsidR="00471ECE" w:rsidRPr="00BF4250" w:rsidRDefault="00471ECE" w:rsidP="00E96214">
            <w:pPr>
              <w:contextualSpacing/>
              <w:jc w:val="both"/>
              <w:rPr>
                <w:rFonts w:ascii="Verdana" w:eastAsia="Calibri" w:hAnsi="Verdana" w:cs="Arial"/>
                <w:lang w:eastAsia="es-ES_tradnl"/>
              </w:rPr>
            </w:pPr>
            <w:r w:rsidRPr="00BF4250">
              <w:rPr>
                <w:rFonts w:ascii="Verdana" w:eastAsia="Calibri" w:hAnsi="Verdana" w:cs="Arial"/>
                <w:lang w:eastAsia="es-ES_tradnl"/>
              </w:rPr>
              <w:t>Respuesta a consulta radicados No. P20250326002927</w:t>
            </w:r>
          </w:p>
        </w:tc>
      </w:tr>
    </w:tbl>
    <w:p w14:paraId="304DA12B" w14:textId="77777777" w:rsidR="00471ECE" w:rsidRPr="00BF4250" w:rsidRDefault="00471ECE" w:rsidP="00471ECE">
      <w:pPr>
        <w:spacing w:after="0" w:line="240" w:lineRule="auto"/>
        <w:contextualSpacing/>
        <w:jc w:val="both"/>
        <w:rPr>
          <w:rFonts w:ascii="Verdana" w:eastAsia="Calibri" w:hAnsi="Verdana" w:cs="Arial"/>
          <w:lang w:eastAsia="es-ES_tradnl"/>
        </w:rPr>
      </w:pPr>
    </w:p>
    <w:p w14:paraId="2D2CBB59" w14:textId="77777777" w:rsidR="00471ECE" w:rsidRPr="00BF4250" w:rsidRDefault="00471ECE" w:rsidP="00471ECE">
      <w:pPr>
        <w:spacing w:after="0" w:line="240" w:lineRule="auto"/>
        <w:contextualSpacing/>
        <w:jc w:val="both"/>
        <w:rPr>
          <w:rFonts w:ascii="Verdana" w:eastAsia="Calibri" w:hAnsi="Verdana" w:cs="Arial"/>
          <w:lang w:eastAsia="es-ES_tradnl"/>
        </w:rPr>
      </w:pPr>
    </w:p>
    <w:p w14:paraId="281C1F2C" w14:textId="77777777" w:rsidR="00471ECE" w:rsidRPr="00BF4250" w:rsidRDefault="00471ECE" w:rsidP="00471ECE">
      <w:pPr>
        <w:spacing w:after="0" w:line="240" w:lineRule="auto"/>
        <w:contextualSpacing/>
        <w:jc w:val="both"/>
        <w:rPr>
          <w:rFonts w:ascii="Verdana" w:eastAsia="Calibri" w:hAnsi="Verdana" w:cs="Arial"/>
          <w:bCs/>
          <w:lang w:eastAsia="es-ES_tradnl"/>
        </w:rPr>
      </w:pPr>
      <w:r w:rsidRPr="00BF4250">
        <w:rPr>
          <w:rFonts w:ascii="Verdana" w:eastAsia="Calibri" w:hAnsi="Verdana" w:cs="Arial"/>
          <w:lang w:eastAsia="es-ES_tradnl"/>
        </w:rPr>
        <w:t>Estimado señor Contreras González</w:t>
      </w:r>
      <w:r w:rsidRPr="00BF4250">
        <w:rPr>
          <w:rFonts w:ascii="Verdana" w:eastAsia="Calibri" w:hAnsi="Verdana" w:cs="Arial"/>
          <w:bCs/>
          <w:lang w:eastAsia="es-ES_tradnl"/>
        </w:rPr>
        <w:t xml:space="preserve">, </w:t>
      </w:r>
    </w:p>
    <w:p w14:paraId="59E4ACA8" w14:textId="77777777" w:rsidR="00471ECE" w:rsidRPr="005B7C42" w:rsidRDefault="00471ECE" w:rsidP="00471ECE">
      <w:pPr>
        <w:spacing w:after="0" w:line="276" w:lineRule="auto"/>
        <w:contextualSpacing/>
        <w:jc w:val="both"/>
        <w:rPr>
          <w:rFonts w:ascii="Verdana" w:eastAsia="Calibri" w:hAnsi="Verdana" w:cs="Arial"/>
          <w:lang w:eastAsia="es-ES_tradnl"/>
        </w:rPr>
      </w:pPr>
    </w:p>
    <w:p w14:paraId="34C0826C" w14:textId="77777777" w:rsidR="00471ECE" w:rsidRDefault="00471ECE" w:rsidP="00471ECE">
      <w:pPr>
        <w:spacing w:after="0" w:line="276" w:lineRule="auto"/>
        <w:contextualSpacing/>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w:t>
      </w:r>
      <w:r>
        <w:rPr>
          <w:rFonts w:ascii="Verdana" w:eastAsia="Calibri" w:hAnsi="Verdana" w:cs="Arial"/>
          <w:lang w:eastAsia="es-ES_tradnl"/>
        </w:rPr>
        <w:t>s</w:t>
      </w:r>
      <w:r w:rsidRPr="005B7C42">
        <w:rPr>
          <w:rFonts w:ascii="Verdana" w:eastAsia="Calibri" w:hAnsi="Verdana" w:cs="Arial"/>
          <w:lang w:eastAsia="es-ES_tradnl"/>
        </w:rPr>
        <w:t xml:space="preserve"> </w:t>
      </w:r>
      <w:r>
        <w:rPr>
          <w:rFonts w:ascii="Verdana" w:eastAsia="Calibri" w:hAnsi="Verdana" w:cs="Arial"/>
          <w:lang w:eastAsia="es-ES_tradnl"/>
        </w:rPr>
        <w:t>inquietudes formuladas el 26</w:t>
      </w:r>
      <w:r w:rsidRPr="005B7C42">
        <w:rPr>
          <w:rFonts w:ascii="Verdana" w:eastAsia="Calibri" w:hAnsi="Verdana" w:cs="Arial"/>
          <w:lang w:eastAsia="es-ES_tradnl"/>
        </w:rPr>
        <w:t xml:space="preserve"> de </w:t>
      </w:r>
      <w:r>
        <w:rPr>
          <w:rFonts w:ascii="Verdana" w:eastAsia="Calibri" w:hAnsi="Verdana" w:cs="Arial"/>
          <w:lang w:eastAsia="es-ES_tradnl"/>
        </w:rPr>
        <w:t>marzo</w:t>
      </w:r>
      <w:r w:rsidRPr="005B7C42">
        <w:rPr>
          <w:rFonts w:ascii="Verdana" w:eastAsia="Calibri" w:hAnsi="Verdana" w:cs="Arial"/>
          <w:lang w:eastAsia="es-ES_tradnl"/>
        </w:rPr>
        <w:t xml:space="preserve"> de 202</w:t>
      </w:r>
      <w:r>
        <w:rPr>
          <w:rFonts w:ascii="Verdana" w:eastAsia="Calibri" w:hAnsi="Verdana" w:cs="Arial"/>
          <w:lang w:eastAsia="es-ES_tradnl"/>
        </w:rPr>
        <w:t>5</w:t>
      </w:r>
      <w:r w:rsidRPr="005B7C42">
        <w:rPr>
          <w:rFonts w:ascii="Verdana" w:eastAsia="Calibri" w:hAnsi="Verdana" w:cs="Arial"/>
          <w:lang w:eastAsia="es-ES_tradnl"/>
        </w:rPr>
        <w:t xml:space="preserve">, </w:t>
      </w:r>
      <w:r>
        <w:rPr>
          <w:rFonts w:ascii="Verdana" w:eastAsia="Calibri" w:hAnsi="Verdana" w:cs="Arial"/>
          <w:lang w:eastAsia="es-ES_tradnl"/>
        </w:rPr>
        <w:t>en los siguientes términos:</w:t>
      </w:r>
    </w:p>
    <w:p w14:paraId="58583775" w14:textId="77777777" w:rsidR="00471ECE" w:rsidRDefault="00471ECE" w:rsidP="00471ECE">
      <w:pPr>
        <w:spacing w:after="0" w:line="276" w:lineRule="auto"/>
        <w:contextualSpacing/>
        <w:jc w:val="both"/>
        <w:rPr>
          <w:rFonts w:ascii="Verdana" w:eastAsia="Calibri" w:hAnsi="Verdana" w:cs="Arial"/>
          <w:lang w:eastAsia="es-ES_tradnl"/>
        </w:rPr>
      </w:pPr>
    </w:p>
    <w:p w14:paraId="4B54759F" w14:textId="77777777" w:rsidR="00471ECE" w:rsidRPr="007A7399" w:rsidRDefault="00471ECE" w:rsidP="00471ECE">
      <w:pPr>
        <w:spacing w:after="0" w:line="240" w:lineRule="auto"/>
        <w:ind w:left="709" w:right="709"/>
        <w:jc w:val="both"/>
        <w:rPr>
          <w:rFonts w:ascii="Verdana" w:eastAsia="Times New Roman" w:hAnsi="Verdana" w:cs="Arial"/>
          <w:i/>
          <w:sz w:val="20"/>
          <w:szCs w:val="20"/>
          <w:lang w:eastAsia="es-ES_tradnl"/>
        </w:rPr>
      </w:pPr>
      <w:r w:rsidRPr="009F143A">
        <w:rPr>
          <w:rFonts w:ascii="Verdana" w:hAnsi="Verdana"/>
          <w:sz w:val="20"/>
          <w:szCs w:val="20"/>
        </w:rPr>
        <w:t xml:space="preserve">“[…] Solicito amablemente me den un concepto relativo a la ejecución de procesos contractuales con ocasión al Decreto 0062 del 24 de enero 2025 “Por el cual se decreta el estado de conmoción interior...”; con el fin de establecer, si las entidades estatales pueden por fuera de la vigencia del decreto del estado de conmoción interior, que es de 90 días, los cuales finalizarían el próximo 24 de abril de 2025, pueden adjudicar, suscribir y </w:t>
      </w:r>
      <w:r w:rsidRPr="009F143A">
        <w:rPr>
          <w:rFonts w:ascii="Verdana" w:hAnsi="Verdana"/>
          <w:sz w:val="20"/>
          <w:szCs w:val="20"/>
        </w:rPr>
        <w:lastRenderedPageBreak/>
        <w:t xml:space="preserve">ejecutar recursos públicos asignados para este fin, por fuera del término fijado en el citado decreto? </w:t>
      </w:r>
      <w:proofErr w:type="gramStart"/>
      <w:r w:rsidRPr="009F143A">
        <w:rPr>
          <w:rFonts w:ascii="Verdana" w:hAnsi="Verdana"/>
          <w:sz w:val="20"/>
          <w:szCs w:val="20"/>
        </w:rPr>
        <w:t>La segunda inquietud, que tipo de bienes y servicios, y modalidades de contratación pueden adelantar, con ocasión al decreto de conmoción interior?</w:t>
      </w:r>
      <w:proofErr w:type="gramEnd"/>
      <w:r w:rsidRPr="009F143A">
        <w:rPr>
          <w:rFonts w:ascii="Verdana" w:hAnsi="Verdana"/>
          <w:sz w:val="20"/>
          <w:szCs w:val="20"/>
        </w:rPr>
        <w:t xml:space="preserve"> Finalmente, las entidades pueden jurídicamente adicionar procesos contractuales que tiene en ejecución para adquirir bienes y servicios con ocasión al citado decreto o deben adelantar uno nuevo, a pesar de que sea el mismo objeto contractual.?</w:t>
      </w:r>
      <w:r w:rsidRPr="007A7399">
        <w:rPr>
          <w:rFonts w:ascii="Verdana" w:eastAsia="Times New Roman" w:hAnsi="Verdana" w:cs="Arial"/>
          <w:iCs/>
          <w:sz w:val="20"/>
          <w:szCs w:val="20"/>
          <w:lang w:eastAsia="es-ES_tradnl"/>
        </w:rPr>
        <w:t>” [SIC].</w:t>
      </w:r>
    </w:p>
    <w:p w14:paraId="023120BE" w14:textId="77777777" w:rsidR="00471ECE" w:rsidRPr="005B7C42" w:rsidRDefault="00471ECE" w:rsidP="00471ECE">
      <w:pPr>
        <w:spacing w:after="0" w:line="240" w:lineRule="auto"/>
        <w:ind w:left="709" w:right="709"/>
        <w:jc w:val="both"/>
        <w:rPr>
          <w:rFonts w:ascii="Verdana" w:eastAsia="Times New Roman" w:hAnsi="Verdana" w:cs="Arial"/>
          <w:i/>
          <w:lang w:eastAsia="es-ES_tradnl"/>
        </w:rPr>
      </w:pPr>
    </w:p>
    <w:p w14:paraId="31C1D38B" w14:textId="77777777" w:rsidR="00471ECE" w:rsidRPr="005B7C42" w:rsidRDefault="00471ECE" w:rsidP="00471ECE">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73DD5004" w14:textId="77777777" w:rsidR="00471ECE" w:rsidRPr="005B7C42" w:rsidRDefault="00471ECE" w:rsidP="00471ECE">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0C53961A" w14:textId="77777777" w:rsidR="00471ECE" w:rsidRPr="005B7C42" w:rsidRDefault="00471ECE" w:rsidP="00471ECE">
      <w:pPr>
        <w:spacing w:after="0" w:line="276" w:lineRule="auto"/>
        <w:contextualSpacing/>
        <w:jc w:val="both"/>
        <w:rPr>
          <w:rFonts w:ascii="Verdana" w:eastAsia="Times New Roman" w:hAnsi="Verdana" w:cs="Arial"/>
          <w:szCs w:val="24"/>
          <w:lang w:eastAsia="es-ES_tradnl"/>
        </w:rPr>
      </w:pPr>
    </w:p>
    <w:p w14:paraId="7DB2259B" w14:textId="77777777" w:rsidR="00471ECE" w:rsidRPr="005B7C42" w:rsidRDefault="00471ECE" w:rsidP="00471ECE">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3659940F" w14:textId="77777777" w:rsidR="00471ECE" w:rsidRPr="005B7C42" w:rsidRDefault="00471ECE" w:rsidP="00471ECE">
      <w:pPr>
        <w:tabs>
          <w:tab w:val="left" w:pos="0"/>
          <w:tab w:val="left" w:pos="284"/>
        </w:tabs>
        <w:spacing w:after="0" w:line="276" w:lineRule="auto"/>
        <w:contextualSpacing/>
        <w:jc w:val="both"/>
        <w:rPr>
          <w:rFonts w:ascii="Verdana" w:eastAsia="Calibri" w:hAnsi="Verdana" w:cs="Arial"/>
          <w:b/>
        </w:rPr>
      </w:pPr>
    </w:p>
    <w:p w14:paraId="2591DAE4" w14:textId="77777777" w:rsidR="00471ECE" w:rsidRDefault="00471ECE" w:rsidP="00471ECE">
      <w:pPr>
        <w:spacing w:after="0" w:line="276" w:lineRule="auto"/>
        <w:jc w:val="both"/>
        <w:rPr>
          <w:rFonts w:ascii="Verdana" w:hAnsi="Verdana"/>
        </w:rPr>
      </w:pPr>
      <w:r w:rsidRPr="0079666E">
        <w:rPr>
          <w:rFonts w:ascii="Verdana" w:hAnsi="Verdana"/>
        </w:rPr>
        <w:t xml:space="preserve">De acuerdo con el contenido de su solicitud, esta Agencia resolverá </w:t>
      </w:r>
      <w:r>
        <w:rPr>
          <w:rFonts w:ascii="Verdana" w:hAnsi="Verdana"/>
        </w:rPr>
        <w:t>los siguientes interrogantes</w:t>
      </w:r>
      <w:r w:rsidRPr="0079666E">
        <w:rPr>
          <w:rFonts w:ascii="Verdana" w:hAnsi="Verdana"/>
        </w:rPr>
        <w:t>:</w:t>
      </w:r>
      <w:r>
        <w:rPr>
          <w:rFonts w:ascii="Verdana" w:hAnsi="Verdana"/>
        </w:rPr>
        <w:t xml:space="preserve"> </w:t>
      </w:r>
    </w:p>
    <w:p w14:paraId="678735B1" w14:textId="77777777" w:rsidR="00471ECE" w:rsidRDefault="00471ECE" w:rsidP="00471ECE">
      <w:pPr>
        <w:spacing w:after="0" w:line="276" w:lineRule="auto"/>
        <w:jc w:val="both"/>
        <w:rPr>
          <w:rFonts w:ascii="Verdana" w:hAnsi="Verdana"/>
        </w:rPr>
      </w:pPr>
    </w:p>
    <w:p w14:paraId="4923B179" w14:textId="77777777" w:rsidR="00471ECE" w:rsidRDefault="00471ECE" w:rsidP="00471ECE">
      <w:pPr>
        <w:spacing w:after="0" w:line="276" w:lineRule="auto"/>
        <w:jc w:val="both"/>
        <w:rPr>
          <w:rFonts w:ascii="Verdana" w:hAnsi="Verdana"/>
        </w:rPr>
      </w:pPr>
      <w:r w:rsidRPr="005F51EB">
        <w:rPr>
          <w:rFonts w:ascii="Verdana" w:hAnsi="Verdana"/>
        </w:rPr>
        <w:t xml:space="preserve">1. ¿Cuál es ámbito temporal para la suscripción, ejecución y/o liquidación de los contratos que tengan por objeto conjurar la perturbación del orden público que originó la declaración del </w:t>
      </w:r>
      <w:r>
        <w:rPr>
          <w:rFonts w:ascii="Verdana" w:hAnsi="Verdana"/>
        </w:rPr>
        <w:t xml:space="preserve">Estado de Conmoción Interior </w:t>
      </w:r>
      <w:r w:rsidRPr="005F51EB">
        <w:rPr>
          <w:rFonts w:ascii="Verdana" w:hAnsi="Verdana"/>
        </w:rPr>
        <w:t>mediante el Decreto 62 de 2025 y que buscan impedir la extensión de sus efectos?, en otras palabras ¿Cuál es ese límite temporal para su suscripción, ejecución y/o liquidación?</w:t>
      </w:r>
    </w:p>
    <w:p w14:paraId="795C578E" w14:textId="77777777" w:rsidR="00471ECE" w:rsidRDefault="00471ECE" w:rsidP="00471ECE">
      <w:pPr>
        <w:spacing w:after="0" w:line="276" w:lineRule="auto"/>
        <w:jc w:val="both"/>
        <w:rPr>
          <w:rFonts w:ascii="Verdana" w:hAnsi="Verdana"/>
        </w:rPr>
      </w:pPr>
    </w:p>
    <w:p w14:paraId="6697D24D" w14:textId="77777777" w:rsidR="00471ECE" w:rsidRDefault="00471ECE" w:rsidP="00471ECE">
      <w:pPr>
        <w:spacing w:after="0" w:line="276" w:lineRule="auto"/>
        <w:jc w:val="both"/>
        <w:rPr>
          <w:rFonts w:ascii="Verdana" w:hAnsi="Verdana"/>
        </w:rPr>
      </w:pPr>
      <w:r>
        <w:rPr>
          <w:rFonts w:ascii="Verdana" w:hAnsi="Verdana"/>
        </w:rPr>
        <w:lastRenderedPageBreak/>
        <w:t>2. ¿Qué bienes y</w:t>
      </w:r>
      <w:r w:rsidRPr="00D70FE6">
        <w:rPr>
          <w:rFonts w:ascii="Verdana" w:hAnsi="Verdana"/>
        </w:rPr>
        <w:t xml:space="preserve"> servicios</w:t>
      </w:r>
      <w:r>
        <w:rPr>
          <w:rFonts w:ascii="Verdana" w:hAnsi="Verdana"/>
        </w:rPr>
        <w:t xml:space="preserve"> pueden ser adquiridos </w:t>
      </w:r>
      <w:r w:rsidRPr="00D70FE6">
        <w:rPr>
          <w:rFonts w:ascii="Verdana" w:hAnsi="Verdana"/>
        </w:rPr>
        <w:t xml:space="preserve">y </w:t>
      </w:r>
      <w:r>
        <w:rPr>
          <w:rFonts w:ascii="Verdana" w:hAnsi="Verdana"/>
        </w:rPr>
        <w:t xml:space="preserve">a través de qué </w:t>
      </w:r>
      <w:r w:rsidRPr="00D70FE6">
        <w:rPr>
          <w:rFonts w:ascii="Verdana" w:hAnsi="Verdana"/>
        </w:rPr>
        <w:t>modalidades de contratación</w:t>
      </w:r>
      <w:r>
        <w:rPr>
          <w:rFonts w:ascii="Verdana" w:hAnsi="Verdana"/>
        </w:rPr>
        <w:t xml:space="preserve"> pueden adelantarse los procesos de selección, en el marco del Decreto 62 de 2025 que declara el estado de</w:t>
      </w:r>
      <w:r w:rsidRPr="00D70FE6">
        <w:rPr>
          <w:rFonts w:ascii="Verdana" w:hAnsi="Verdana"/>
        </w:rPr>
        <w:t xml:space="preserve"> conmoción interior?</w:t>
      </w:r>
    </w:p>
    <w:p w14:paraId="696BCD94" w14:textId="77777777" w:rsidR="00471ECE" w:rsidRDefault="00471ECE" w:rsidP="00471ECE">
      <w:pPr>
        <w:spacing w:after="0" w:line="276" w:lineRule="auto"/>
        <w:jc w:val="both"/>
        <w:rPr>
          <w:rFonts w:ascii="Verdana" w:hAnsi="Verdana"/>
        </w:rPr>
      </w:pPr>
    </w:p>
    <w:p w14:paraId="67BA9F66" w14:textId="77777777" w:rsidR="00471ECE" w:rsidRDefault="00471ECE" w:rsidP="00471ECE">
      <w:pPr>
        <w:spacing w:after="0" w:line="276" w:lineRule="auto"/>
        <w:jc w:val="both"/>
        <w:rPr>
          <w:rFonts w:ascii="Verdana" w:hAnsi="Verdana"/>
        </w:rPr>
      </w:pPr>
      <w:r>
        <w:rPr>
          <w:rFonts w:ascii="Verdana" w:hAnsi="Verdana"/>
        </w:rPr>
        <w:t>3. ¿Es viable jurídicamente adicionar contratos que se suscriban en el marco del Decreto 62 de 2025 que declara el estado de</w:t>
      </w:r>
      <w:r w:rsidRPr="00D70FE6">
        <w:rPr>
          <w:rFonts w:ascii="Verdana" w:hAnsi="Verdana"/>
        </w:rPr>
        <w:t xml:space="preserve"> conmoción </w:t>
      </w:r>
      <w:r>
        <w:rPr>
          <w:rFonts w:ascii="Verdana" w:hAnsi="Verdana"/>
        </w:rPr>
        <w:t>interior?</w:t>
      </w:r>
    </w:p>
    <w:p w14:paraId="7D81F6D3" w14:textId="77777777" w:rsidR="00471ECE" w:rsidRPr="005B7C42" w:rsidRDefault="00471ECE" w:rsidP="00471ECE">
      <w:pPr>
        <w:spacing w:after="0" w:line="276" w:lineRule="auto"/>
        <w:jc w:val="both"/>
        <w:rPr>
          <w:rFonts w:ascii="Verdana" w:hAnsi="Verdana"/>
        </w:rPr>
      </w:pPr>
    </w:p>
    <w:p w14:paraId="7DE6F6A2" w14:textId="77777777" w:rsidR="00471ECE" w:rsidRPr="005B7C42" w:rsidRDefault="00471ECE" w:rsidP="00471ECE">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209099F7" w14:textId="77777777" w:rsidR="00471ECE" w:rsidRPr="005B7C42" w:rsidRDefault="00471ECE" w:rsidP="00471EC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1ECE" w:rsidRPr="005B7C42" w14:paraId="011F9F26" w14:textId="77777777" w:rsidTr="00E96214">
        <w:tc>
          <w:tcPr>
            <w:tcW w:w="8828" w:type="dxa"/>
            <w:shd w:val="clear" w:color="auto" w:fill="auto"/>
          </w:tcPr>
          <w:p w14:paraId="666F6EF9" w14:textId="77777777" w:rsidR="00471ECE" w:rsidRDefault="00471ECE" w:rsidP="00E96214">
            <w:pPr>
              <w:spacing w:after="120" w:line="276" w:lineRule="auto"/>
              <w:jc w:val="both"/>
              <w:rPr>
                <w:rFonts w:ascii="Verdana" w:hAnsi="Verdana"/>
              </w:rPr>
            </w:pPr>
            <w:r>
              <w:rPr>
                <w:rFonts w:ascii="Verdana" w:eastAsia="Arial MT" w:hAnsi="Verdana" w:cs="Arial"/>
                <w:lang w:eastAsia="es-ES" w:bidi="es-ES"/>
              </w:rPr>
              <w:t>1. De conformidad con los artículos 213 y 214 de la Constitución Política de 1991,</w:t>
            </w:r>
            <w:r w:rsidRPr="009F188E">
              <w:rPr>
                <w:rFonts w:ascii="Arial" w:hAnsi="Arial" w:cs="Arial"/>
                <w:color w:val="000000"/>
                <w:sz w:val="21"/>
                <w:szCs w:val="21"/>
              </w:rPr>
              <w:t xml:space="preserve"> </w:t>
            </w:r>
            <w:r w:rsidRPr="009F188E">
              <w:rPr>
                <w:rFonts w:ascii="Verdana" w:eastAsia="Arial MT" w:hAnsi="Verdana" w:cs="Arial"/>
                <w:lang w:eastAsia="es-ES" w:bidi="es-ES"/>
              </w:rPr>
              <w:t>la Ley 137 de 1994 -Estatutaria de los Estados de Excepción-y los tratados internacionales que reconocen derechos humanos y prohíben su limitación en los estados de excepción</w:t>
            </w:r>
            <w:r>
              <w:rPr>
                <w:rFonts w:ascii="Verdana" w:eastAsia="Arial MT" w:hAnsi="Verdana" w:cs="Arial"/>
                <w:lang w:eastAsia="es-ES" w:bidi="es-ES"/>
              </w:rPr>
              <w:t xml:space="preserve">, dentro de los requisitos formales y materiales para la declaratoria de los estados de conmoción interior que ha venido definiendo la Corte Constitucional se ubica un requisito formal que consiste en fijar el ámbito temporal o término de duración del estado de conmoción interior. En ese orden, en virtud del artículo 1 del Decreto 62 de 2025, el Estado de Conmoción Interior en la región del Catatumbo se declara por el término de (90) días contados a partir de la </w:t>
            </w:r>
            <w:proofErr w:type="gramStart"/>
            <w:r>
              <w:rPr>
                <w:rFonts w:ascii="Verdana" w:eastAsia="Arial MT" w:hAnsi="Verdana" w:cs="Arial"/>
                <w:lang w:eastAsia="es-ES" w:bidi="es-ES"/>
              </w:rPr>
              <w:t>entrada en vigencia</w:t>
            </w:r>
            <w:proofErr w:type="gramEnd"/>
            <w:r>
              <w:rPr>
                <w:rFonts w:ascii="Verdana" w:eastAsia="Arial MT" w:hAnsi="Verdana" w:cs="Arial"/>
                <w:lang w:eastAsia="es-ES" w:bidi="es-ES"/>
              </w:rPr>
              <w:t xml:space="preserve"> (24 de enero de 2025). Lo anterior significa que, en primer lugar, aquellos contratos celebrados en el marco de dicha declaratoria y que tengan por objeto el de</w:t>
            </w:r>
            <w:r>
              <w:rPr>
                <w:rFonts w:ascii="Verdana" w:hAnsi="Verdana"/>
              </w:rPr>
              <w:t xml:space="preserve"> conjurar la perturbación del orden público e impedir la extensión de sus efectos, solo podrán celebrarse durante el término de los (90) días por los cuales se extiende dicho estado de conmoción, sin perjuicio de prórrogas que celebren con ocasión de la extensión de la declaratoria por un término de (180) días adicionales, previa evaluación del Senado de la República, corporación encargada de decidir sobre la procedencia de tal ampliación.</w:t>
            </w:r>
          </w:p>
          <w:p w14:paraId="5C0122EB" w14:textId="77777777" w:rsidR="00471ECE" w:rsidRDefault="00471ECE" w:rsidP="00E96214">
            <w:pPr>
              <w:spacing w:after="120" w:line="276" w:lineRule="auto"/>
              <w:ind w:firstLine="709"/>
              <w:jc w:val="both"/>
              <w:rPr>
                <w:rFonts w:ascii="Verdana" w:hAnsi="Verdana"/>
              </w:rPr>
            </w:pPr>
            <w:r>
              <w:rPr>
                <w:rFonts w:ascii="Verdana" w:hAnsi="Verdana"/>
              </w:rPr>
              <w:t xml:space="preserve">No obstante, aunque la suscripción de los contratos </w:t>
            </w:r>
            <w:r>
              <w:rPr>
                <w:rFonts w:ascii="Verdana" w:eastAsia="Arial MT" w:hAnsi="Verdana" w:cs="Arial"/>
                <w:lang w:val="es-ES" w:eastAsia="es-ES" w:bidi="es-ES"/>
              </w:rPr>
              <w:t xml:space="preserve">que tengan por objeto el de </w:t>
            </w:r>
            <w:r>
              <w:rPr>
                <w:rFonts w:ascii="Verdana" w:hAnsi="Verdana"/>
              </w:rPr>
              <w:t xml:space="preserve">conjurar la perturbación del orden público e impedir la extensión de sus efectos solo puedan suscribirse dentro del término de duración de la declaratoria del estado de conmoción interior, es dable que su ejecución y/o liquidación tenga lugar por fuera del término de aquella, sea porque las actividades pactadas en el contrato impliquen que su ejecución se prolongue más allá del término de los (90) días, o porque la realización del corte de cuentas entre las partes contratantes, que se efectúa a través de la liquidación del negocio jurídico, necesariamente debe materializarse una vez se hayan cumplido o ejecutado las obligaciones de dicho contrato, superando así el término de tal declaratoria. En consecuencia, el límite para la suscripción de </w:t>
            </w:r>
            <w:r>
              <w:rPr>
                <w:rFonts w:ascii="Verdana" w:hAnsi="Verdana"/>
              </w:rPr>
              <w:lastRenderedPageBreak/>
              <w:t xml:space="preserve">los contratos arriba señalados será el término que fije la declaratoria del estado de conmoción interior, sin que eso signifique que no pueda superarse dicho término en las fases de ejecución y liquidación contractual, en virtud de la necesidad de compeler o morigerar los efectos que dieron lugar a la declaratoria. </w:t>
            </w:r>
          </w:p>
          <w:p w14:paraId="32A570C2" w14:textId="77777777" w:rsidR="00471ECE" w:rsidRDefault="00471EC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val="es-ES" w:eastAsia="es-ES" w:bidi="es-ES"/>
              </w:rPr>
              <w:t xml:space="preserve">2. El numeral III de las consideraciones del Decreto 62 de 2025 expone el </w:t>
            </w:r>
            <w:r w:rsidRPr="001A2C76">
              <w:rPr>
                <w:rFonts w:ascii="Verdana" w:eastAsia="Arial MT" w:hAnsi="Verdana" w:cs="Arial"/>
                <w:i/>
                <w:iCs/>
                <w:lang w:val="es-ES" w:eastAsia="es-ES" w:bidi="es-ES"/>
              </w:rPr>
              <w:t>presupuesto de necesidad e insuficiencia de las medidas ordinarias</w:t>
            </w:r>
            <w:r>
              <w:rPr>
                <w:rFonts w:ascii="Verdana" w:eastAsia="Arial MT" w:hAnsi="Verdana" w:cs="Arial"/>
                <w:i/>
                <w:iCs/>
                <w:lang w:val="es-ES" w:eastAsia="es-ES" w:bidi="es-ES"/>
              </w:rPr>
              <w:t xml:space="preserve"> </w:t>
            </w:r>
            <w:r w:rsidRPr="007479FE">
              <w:rPr>
                <w:rFonts w:ascii="Verdana" w:eastAsia="Arial MT" w:hAnsi="Verdana" w:cs="Arial"/>
                <w:lang w:val="es-ES" w:eastAsia="es-ES" w:bidi="es-ES"/>
              </w:rPr>
              <w:t>y establece q</w:t>
            </w:r>
            <w:r>
              <w:rPr>
                <w:rFonts w:ascii="Verdana" w:eastAsia="Arial MT" w:hAnsi="Verdana" w:cs="Arial"/>
                <w:lang w:val="es-ES" w:eastAsia="es-ES" w:bidi="es-ES"/>
              </w:rPr>
              <w:t>ue resulta imperioso adoptar medidas extraordinarias en materia contractual: “</w:t>
            </w:r>
            <w:r w:rsidRPr="00767757">
              <w:rPr>
                <w:rFonts w:ascii="Verdana" w:eastAsia="Arial MT" w:hAnsi="Verdana" w:cs="Arial"/>
                <w:lang w:eastAsia="es-ES" w:bidi="es-ES"/>
              </w:rPr>
              <w:t>con el</w:t>
            </w:r>
            <w:r>
              <w:rPr>
                <w:rFonts w:ascii="Verdana" w:eastAsia="Arial MT" w:hAnsi="Verdana" w:cs="Arial"/>
                <w:lang w:eastAsia="es-ES" w:bidi="es-ES"/>
              </w:rPr>
              <w:t xml:space="preserve"> </w:t>
            </w:r>
            <w:r w:rsidRPr="00767757">
              <w:rPr>
                <w:rFonts w:ascii="Verdana" w:eastAsia="Arial MT" w:hAnsi="Verdana" w:cs="Arial"/>
                <w:lang w:eastAsia="es-ES" w:bidi="es-ES"/>
              </w:rPr>
              <w:t>objeto de agilizar la ejecución de los recursos requeridos para garantizar la estabilidad institucional, la seguridad del Estado y la convivencia ciudadana en la región del Catatumbo y en el área metropolitana de Cúcuta</w:t>
            </w:r>
            <w:r>
              <w:rPr>
                <w:rFonts w:ascii="Verdana" w:eastAsia="Arial MT" w:hAnsi="Verdana" w:cs="Arial"/>
                <w:lang w:eastAsia="es-ES" w:bidi="es-ES"/>
              </w:rPr>
              <w:t xml:space="preserve">”. En ese sentido, todas las entidades estatales que conforman la región del Catatumbo están llamadas a atender las necesidades surgidas de la crisis, garantizando </w:t>
            </w:r>
            <w:r w:rsidRPr="00EE5676">
              <w:rPr>
                <w:rFonts w:ascii="Verdana" w:eastAsia="Arial MT" w:hAnsi="Verdana" w:cs="Arial"/>
                <w:lang w:eastAsia="es-ES" w:bidi="es-ES"/>
              </w:rPr>
              <w:t xml:space="preserve">que las contrataciones </w:t>
            </w:r>
            <w:r>
              <w:rPr>
                <w:rFonts w:ascii="Verdana" w:eastAsia="Arial MT" w:hAnsi="Verdana" w:cs="Arial"/>
                <w:lang w:eastAsia="es-ES" w:bidi="es-ES"/>
              </w:rPr>
              <w:t xml:space="preserve">que tengan por objeto el de conjurar </w:t>
            </w:r>
            <w:r>
              <w:rPr>
                <w:rFonts w:ascii="Verdana" w:hAnsi="Verdana"/>
              </w:rPr>
              <w:t xml:space="preserve">la perturbación del orden público e impedir la extensión de sus efectos, </w:t>
            </w:r>
            <w:r w:rsidRPr="00EE5676">
              <w:rPr>
                <w:rFonts w:ascii="Verdana" w:eastAsia="Arial MT" w:hAnsi="Verdana" w:cs="Arial"/>
                <w:lang w:eastAsia="es-ES" w:bidi="es-ES"/>
              </w:rPr>
              <w:t xml:space="preserve">se realicen </w:t>
            </w:r>
            <w:r>
              <w:rPr>
                <w:rFonts w:ascii="Verdana" w:eastAsia="Arial MT" w:hAnsi="Verdana" w:cs="Arial"/>
                <w:lang w:eastAsia="es-ES" w:bidi="es-ES"/>
              </w:rPr>
              <w:t xml:space="preserve">con </w:t>
            </w:r>
            <w:r w:rsidRPr="00EE5676">
              <w:rPr>
                <w:rFonts w:ascii="Verdana" w:eastAsia="Arial MT" w:hAnsi="Verdana" w:cs="Arial"/>
                <w:lang w:eastAsia="es-ES" w:bidi="es-ES"/>
              </w:rPr>
              <w:t>los más altos estándares de transparencia y eficiencia</w:t>
            </w:r>
            <w:r>
              <w:rPr>
                <w:rFonts w:ascii="Verdana" w:eastAsia="Arial MT" w:hAnsi="Verdana" w:cs="Arial"/>
                <w:lang w:eastAsia="es-ES" w:bidi="es-ES"/>
              </w:rPr>
              <w:t>. Por lo tanto, el Decreto en cita demanda d</w:t>
            </w:r>
            <w:r w:rsidRPr="00EE5676">
              <w:rPr>
                <w:rFonts w:ascii="Verdana" w:eastAsia="Arial MT" w:hAnsi="Verdana" w:cs="Arial"/>
                <w:lang w:eastAsia="es-ES" w:bidi="es-ES"/>
              </w:rPr>
              <w:t xml:space="preserve">el Gobierno </w:t>
            </w:r>
            <w:r>
              <w:rPr>
                <w:rFonts w:ascii="Verdana" w:eastAsia="Arial MT" w:hAnsi="Verdana" w:cs="Arial"/>
                <w:lang w:eastAsia="es-ES" w:bidi="es-ES"/>
              </w:rPr>
              <w:t>N</w:t>
            </w:r>
            <w:r w:rsidRPr="00EE5676">
              <w:rPr>
                <w:rFonts w:ascii="Verdana" w:eastAsia="Arial MT" w:hAnsi="Verdana" w:cs="Arial"/>
                <w:lang w:eastAsia="es-ES" w:bidi="es-ES"/>
              </w:rPr>
              <w:t xml:space="preserve">acional </w:t>
            </w:r>
            <w:r>
              <w:rPr>
                <w:rFonts w:ascii="Verdana" w:eastAsia="Arial MT" w:hAnsi="Verdana" w:cs="Arial"/>
                <w:lang w:eastAsia="es-ES" w:bidi="es-ES"/>
              </w:rPr>
              <w:t>la implementación de</w:t>
            </w:r>
            <w:r w:rsidRPr="00EE5676">
              <w:rPr>
                <w:rFonts w:ascii="Verdana" w:eastAsia="Arial MT" w:hAnsi="Verdana" w:cs="Arial"/>
                <w:lang w:eastAsia="es-ES" w:bidi="es-ES"/>
              </w:rPr>
              <w:t xml:space="preserve"> mecanismos de control especiales que aseguren la correcta ejecución de los contratos y el uso adecuado de los recursos asignados.</w:t>
            </w:r>
          </w:p>
          <w:p w14:paraId="0FE37EB9" w14:textId="77777777" w:rsidR="00471ECE" w:rsidRDefault="00471ECE" w:rsidP="00E96214">
            <w:pPr>
              <w:spacing w:after="120" w:line="276" w:lineRule="auto"/>
              <w:ind w:firstLine="709"/>
              <w:jc w:val="both"/>
              <w:rPr>
                <w:rFonts w:ascii="Verdana" w:eastAsia="Arial MT" w:hAnsi="Verdana" w:cs="Arial"/>
                <w:lang w:val="es-ES" w:eastAsia="es-ES" w:bidi="es-ES"/>
              </w:rPr>
            </w:pPr>
            <w:r>
              <w:rPr>
                <w:rFonts w:ascii="Verdana" w:eastAsia="Arial MT" w:hAnsi="Verdana" w:cs="Arial"/>
                <w:lang w:val="es-ES" w:eastAsia="es-ES" w:bidi="es-ES"/>
              </w:rPr>
              <w:t xml:space="preserve">Ahora bien, sobre el tipo y/o clase de bienes, productos y servicios que pueden adquirirse en el marco del Estado de Conmoción Interior y las modalidades de selección idóneas para contratarlos, serán las entidades estatales autorizadas a contratar en virtud del Decreto 62 de 2025 las que definan de manera autónoma e independiente la necesidad por satisfacer y el procedimiento por medio del cual se contrate. </w:t>
            </w:r>
          </w:p>
          <w:p w14:paraId="2581342F" w14:textId="77777777" w:rsidR="00471ECE" w:rsidRDefault="00471ECE" w:rsidP="00E96214">
            <w:pPr>
              <w:spacing w:after="120" w:line="276" w:lineRule="auto"/>
              <w:ind w:firstLine="709"/>
              <w:jc w:val="both"/>
              <w:rPr>
                <w:rFonts w:ascii="Verdana" w:eastAsia="Arial MT" w:hAnsi="Verdana" w:cs="Arial"/>
                <w:lang w:val="es-ES" w:eastAsia="es-ES" w:bidi="es-ES"/>
              </w:rPr>
            </w:pPr>
            <w:r>
              <w:rPr>
                <w:rFonts w:ascii="Verdana" w:eastAsia="Arial MT" w:hAnsi="Verdana" w:cs="Arial"/>
                <w:lang w:val="es-ES" w:eastAsia="es-ES" w:bidi="es-ES"/>
              </w:rPr>
              <w:t xml:space="preserve">No obstante, el Estatuto General de Contratación de la Administración Pública – EGCAP establece algunas excepciones a la regla general de la licitación pública como modalidad de selección prevalente, con el fin de atender </w:t>
            </w:r>
            <w:r w:rsidRPr="0058084A">
              <w:rPr>
                <w:rFonts w:ascii="Verdana" w:eastAsia="Arial MT" w:hAnsi="Verdana" w:cs="Arial"/>
                <w:lang w:val="es-ES" w:eastAsia="es-ES" w:bidi="es-ES"/>
              </w:rPr>
              <w:t>a la necesidad de proteger principios como la eficiencia, la eficacia, la economía, la celeridad o la integridad de las personas.</w:t>
            </w:r>
            <w:r>
              <w:rPr>
                <w:rFonts w:ascii="Verdana" w:eastAsia="Arial MT" w:hAnsi="Verdana" w:cs="Arial"/>
                <w:lang w:val="es-ES" w:eastAsia="es-ES" w:bidi="es-ES"/>
              </w:rPr>
              <w:t xml:space="preserve"> Por lo tanto, en el marco del Estado de Conmoción Interior que declaró el Decreto en cita, el procedimiento exceptivo establecido por el artículo 2, numeral 4, de la Ley 1150 de 2007 es la contratación directa, la cual puede ser utilizada según el literal a) del mencionado numeral en casos de </w:t>
            </w:r>
            <w:r w:rsidRPr="008B6CB9">
              <w:rPr>
                <w:rFonts w:ascii="Verdana" w:eastAsia="Arial MT" w:hAnsi="Verdana" w:cs="Arial"/>
                <w:i/>
                <w:iCs/>
                <w:lang w:val="es-ES" w:eastAsia="es-ES" w:bidi="es-ES"/>
              </w:rPr>
              <w:t>urgencia manifiesta</w:t>
            </w:r>
            <w:r>
              <w:rPr>
                <w:rFonts w:ascii="Verdana" w:eastAsia="Arial MT" w:hAnsi="Verdana" w:cs="Arial"/>
                <w:lang w:val="es-ES" w:eastAsia="es-ES" w:bidi="es-ES"/>
              </w:rPr>
              <w:t xml:space="preserve">. </w:t>
            </w:r>
            <w:r w:rsidRPr="00A70BF4">
              <w:rPr>
                <w:rFonts w:ascii="Verdana" w:eastAsia="Arial MT" w:hAnsi="Verdana" w:cs="Arial"/>
                <w:lang w:val="es-ES" w:eastAsia="es-ES" w:bidi="es-ES"/>
              </w:rPr>
              <w:t xml:space="preserve">Esta causal debe leerse en concordancia con lo dispuesto en los artículos 42 y 43 de la Ley 80 de 1993, que definen el concepto y establecen el procedimiento para la </w:t>
            </w:r>
            <w:r w:rsidRPr="00A70BF4">
              <w:rPr>
                <w:rFonts w:ascii="Verdana" w:eastAsia="Arial MT" w:hAnsi="Verdana" w:cs="Arial"/>
                <w:lang w:val="es-ES" w:eastAsia="es-ES" w:bidi="es-ES"/>
              </w:rPr>
              <w:lastRenderedPageBreak/>
              <w:t xml:space="preserve">declaratoria de la </w:t>
            </w:r>
            <w:r w:rsidRPr="00A70BF4">
              <w:rPr>
                <w:rFonts w:ascii="Verdana" w:eastAsia="Arial MT" w:hAnsi="Verdana" w:cs="Arial"/>
                <w:i/>
                <w:iCs/>
                <w:lang w:val="es-ES" w:eastAsia="es-ES" w:bidi="es-ES"/>
              </w:rPr>
              <w:t>urgencia manifiesta</w:t>
            </w:r>
            <w:r w:rsidRPr="00A70BF4">
              <w:rPr>
                <w:rFonts w:ascii="Verdana" w:eastAsia="Arial MT" w:hAnsi="Verdana" w:cs="Arial"/>
                <w:lang w:val="es-ES" w:eastAsia="es-ES" w:bidi="es-ES"/>
              </w:rPr>
              <w:t>, así como para la celebración de los contratos que se derivan de esta.</w:t>
            </w:r>
          </w:p>
          <w:p w14:paraId="68BBB2A8" w14:textId="77777777" w:rsidR="00471ECE" w:rsidRDefault="00471ECE" w:rsidP="00E96214">
            <w:pPr>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Vale la pena aclarar que, </w:t>
            </w:r>
            <w:r w:rsidRPr="00BE5FE3">
              <w:rPr>
                <w:rFonts w:ascii="Verdana" w:eastAsia="Calibri" w:hAnsi="Verdana" w:cs="Arial"/>
                <w:lang w:val="es-ES_tradnl"/>
              </w:rPr>
              <w:t>cuando se configure alguna de las cuatro (4) situaciones</w:t>
            </w:r>
            <w:r>
              <w:rPr>
                <w:rFonts w:ascii="Verdana" w:eastAsia="Calibri" w:hAnsi="Verdana" w:cs="Arial"/>
                <w:lang w:val="es-ES_tradnl"/>
              </w:rPr>
              <w:t xml:space="preserve"> (que en el caso concreto se trata de la conmoción interior)</w:t>
            </w:r>
            <w:r w:rsidRPr="00BE5FE3">
              <w:rPr>
                <w:rFonts w:ascii="Verdana" w:eastAsia="Calibri" w:hAnsi="Verdana" w:cs="Arial"/>
                <w:lang w:val="es-ES_tradnl"/>
              </w:rPr>
              <w:t xml:space="preserve">,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BE5FE3">
              <w:rPr>
                <w:rFonts w:ascii="Verdana" w:eastAsia="Calibri" w:hAnsi="Verdana" w:cs="Arial"/>
                <w:i/>
                <w:iCs/>
                <w:lang w:val="es-ES_tradnl"/>
              </w:rPr>
              <w:t>ibidem</w:t>
            </w:r>
            <w:r w:rsidRPr="00BE5FE3">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03C1D118" w14:textId="77777777" w:rsidR="00471ECE" w:rsidRDefault="00471ECE" w:rsidP="00E96214">
            <w:pPr>
              <w:spacing w:after="120" w:line="276" w:lineRule="auto"/>
              <w:ind w:firstLine="709"/>
              <w:jc w:val="both"/>
              <w:rPr>
                <w:rFonts w:ascii="Verdana" w:eastAsia="Arial MT" w:hAnsi="Verdana" w:cs="Arial"/>
                <w:lang w:val="es-ES" w:eastAsia="es-ES" w:bidi="es-ES"/>
              </w:rPr>
            </w:pPr>
            <w:r>
              <w:rPr>
                <w:rFonts w:ascii="Verdana" w:eastAsia="Arial MT" w:hAnsi="Verdana" w:cs="Arial"/>
                <w:lang w:val="es-ES" w:eastAsia="es-ES" w:bidi="es-ES"/>
              </w:rPr>
              <w:t>Por último, en el marco de la declaratoria de conmoción interior en la región del Catatumbo a través del Decreto 62 de 2025, el Gobierno Nacional expidió un conjunto de decretos</w:t>
            </w:r>
            <w:r w:rsidRPr="00A70BF4">
              <w:rPr>
                <w:rFonts w:ascii="Verdana" w:eastAsia="Arial MT" w:hAnsi="Verdana" w:cs="Arial"/>
                <w:lang w:val="es-ES" w:eastAsia="es-ES" w:bidi="es-ES"/>
              </w:rPr>
              <w:t xml:space="preserve"> </w:t>
            </w:r>
            <w:r>
              <w:rPr>
                <w:rFonts w:ascii="Verdana" w:eastAsia="Arial MT" w:hAnsi="Verdana" w:cs="Arial"/>
                <w:lang w:val="es-ES" w:eastAsia="es-ES" w:bidi="es-ES"/>
              </w:rPr>
              <w:t xml:space="preserve">sectoriales que adoptan medidas en diferentes materias y que valdría la pena sean revisados en detalle por cada Administración, con el propósito de que la contratación que se pretenda adelantar se ajuste, en primer lugar, a las reglas, principios y procedimientos del EGCAP, y en segundo lugar, a las instrucciones que contemplen dichos decretos en la medida en que apliquen para el sector en el cual se procure incidir con los contratos a celebrar. </w:t>
            </w:r>
          </w:p>
          <w:p w14:paraId="3D7F3513" w14:textId="77777777" w:rsidR="00471ECE" w:rsidRDefault="00471ECE" w:rsidP="00E96214">
            <w:pPr>
              <w:spacing w:after="120" w:line="276" w:lineRule="auto"/>
              <w:ind w:firstLine="709"/>
              <w:jc w:val="both"/>
              <w:rPr>
                <w:rFonts w:ascii="Verdana" w:hAnsi="Verdana"/>
              </w:rPr>
            </w:pPr>
            <w:r>
              <w:rPr>
                <w:rFonts w:ascii="Verdana" w:eastAsia="Arial MT" w:hAnsi="Verdana" w:cs="Arial"/>
                <w:lang w:eastAsia="es-ES" w:bidi="es-ES"/>
              </w:rPr>
              <w:t>En síntesis, y aun cuando las entidades estatales no están obligadas a elaborar estudios previos, cada entidad estatal deberá determinar la necesidad, verificar la oferta, adquirir a precios justos y razonables, garantizar la amplia publicidad de los bienes, obras o servicios a adquirir, promover la permanente trazabilidad de los precios, establecer mecanismos de control y verificación de la gestión contractual, articular los contratos que busquen conjurar</w:t>
            </w:r>
            <w:r>
              <w:rPr>
                <w:rFonts w:ascii="Verdana" w:hAnsi="Verdana"/>
              </w:rPr>
              <w:t xml:space="preserve"> la perturbación del orden público e impedir la extensión de sus efectos y permitir el acceso a los organismos de control a la información sobre los contratos, para toda la actividad contractual que surja de la declaratoria del Estado de Conmoción Interior en la región del Catatumbo, la cual deberá observar las normas de rango constitucional, los principios y reglas aplicables del EGCAP y las normas que hubiesen sido expedidas con ocasión de esta, tales como decretos legislativos, regionales y resoluciones que contemplen medidas para </w:t>
            </w:r>
            <w:r w:rsidRPr="006F4740">
              <w:rPr>
                <w:rFonts w:ascii="Verdana" w:hAnsi="Verdana"/>
              </w:rPr>
              <w:t xml:space="preserve">conjurar las causas de la perturbación al orden público e impedir </w:t>
            </w:r>
            <w:r w:rsidRPr="006F4740">
              <w:rPr>
                <w:rFonts w:ascii="Verdana" w:hAnsi="Verdana"/>
              </w:rPr>
              <w:lastRenderedPageBreak/>
              <w:t>la extensión de sus efectos</w:t>
            </w:r>
            <w:r>
              <w:rPr>
                <w:rFonts w:ascii="Verdana" w:hAnsi="Verdana"/>
              </w:rPr>
              <w:t>, además de las reglas ya establecidas en el Estatuto Anticorrupción Ley 1474 de 2011.</w:t>
            </w:r>
          </w:p>
          <w:p w14:paraId="5423EBF3" w14:textId="77777777" w:rsidR="00471ECE" w:rsidRPr="00895970" w:rsidRDefault="00471EC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val="es-ES" w:eastAsia="es-ES" w:bidi="es-ES"/>
              </w:rPr>
              <w:t xml:space="preserve">3. El </w:t>
            </w:r>
            <w:r w:rsidRPr="008F45EC">
              <w:rPr>
                <w:rFonts w:ascii="Verdana" w:eastAsia="Arial MT" w:hAnsi="Verdana" w:cs="Arial"/>
                <w:lang w:val="es-ES" w:eastAsia="es-ES" w:bidi="es-ES"/>
              </w:rPr>
              <w:t>Estatuto General de Contratación de la Administración Pública</w:t>
            </w:r>
            <w:r>
              <w:rPr>
                <w:rFonts w:ascii="Verdana" w:eastAsia="Arial MT" w:hAnsi="Verdana" w:cs="Arial"/>
                <w:lang w:val="es-ES" w:eastAsia="es-ES" w:bidi="es-ES"/>
              </w:rPr>
              <w:t xml:space="preserve"> contempla la</w:t>
            </w:r>
            <w:r w:rsidRPr="008F45EC">
              <w:rPr>
                <w:rFonts w:ascii="Verdana" w:eastAsia="Arial MT" w:hAnsi="Verdana" w:cs="Arial"/>
                <w:lang w:val="es-ES" w:eastAsia="es-ES" w:bidi="es-ES"/>
              </w:rPr>
              <w:t xml:space="preserve"> restricción establecida en el inciso segundo del parágrafo del artículo 40 de la Ley 80 de 1993</w:t>
            </w:r>
            <w:r>
              <w:rPr>
                <w:rFonts w:ascii="Verdana" w:eastAsia="Arial MT" w:hAnsi="Verdana" w:cs="Arial"/>
                <w:lang w:val="es-ES" w:eastAsia="es-ES" w:bidi="es-ES"/>
              </w:rPr>
              <w:t xml:space="preserve"> que consiste en que l</w:t>
            </w:r>
            <w:r w:rsidRPr="007039A3">
              <w:rPr>
                <w:rFonts w:ascii="Verdana" w:eastAsia="Arial MT" w:hAnsi="Verdana" w:cs="Arial"/>
                <w:lang w:val="es-ES" w:eastAsia="es-ES" w:bidi="es-ES"/>
              </w:rPr>
              <w:t>os contratos no podrán adicionarse en más del cincuenta por ciento (50%) de su valor inicial, expresado éste en salarios mínimos legales mensuales</w:t>
            </w:r>
            <w:r w:rsidRPr="00895970">
              <w:rPr>
                <w:rFonts w:ascii="Verdana" w:eastAsia="Arial MT" w:hAnsi="Verdana" w:cs="Arial"/>
                <w:lang w:val="es-ES" w:eastAsia="es-ES" w:bidi="es-ES"/>
              </w:rPr>
              <w:t>.</w:t>
            </w:r>
            <w:r>
              <w:rPr>
                <w:rFonts w:ascii="Verdana" w:eastAsia="Arial MT" w:hAnsi="Verdana" w:cs="Arial"/>
                <w:lang w:val="es-ES" w:eastAsia="es-ES" w:bidi="es-ES"/>
              </w:rPr>
              <w:t xml:space="preserve"> En ese orden, en vista de que el Decreto 62 de 2025 no estableció una regla diferente en torno a la adición de las contrataciones que se efectúen en el marco del estado de conmoción interior, a todos aquellos contratos celebrados con el propósito de conjurar </w:t>
            </w:r>
            <w:r w:rsidRPr="006F4740">
              <w:rPr>
                <w:rFonts w:ascii="Verdana" w:hAnsi="Verdana"/>
              </w:rPr>
              <w:t>las causas de la perturbación al orden público e impedir la extensión de sus efectos</w:t>
            </w:r>
            <w:r>
              <w:rPr>
                <w:rFonts w:ascii="Verdana" w:hAnsi="Verdana"/>
              </w:rPr>
              <w:t xml:space="preserve"> en la región del Catatumbo les aplica dicha restricción.</w:t>
            </w:r>
          </w:p>
        </w:tc>
      </w:tr>
    </w:tbl>
    <w:p w14:paraId="35292E6D" w14:textId="77777777" w:rsidR="00471ECE" w:rsidRPr="005B7C42" w:rsidRDefault="00471ECE" w:rsidP="00471ECE">
      <w:pPr>
        <w:spacing w:after="0" w:line="276" w:lineRule="auto"/>
        <w:jc w:val="both"/>
        <w:rPr>
          <w:rFonts w:ascii="Verdana" w:eastAsia="Times New Roman" w:hAnsi="Verdana" w:cs="Arial"/>
          <w:lang w:eastAsia="es-ES_tradnl"/>
        </w:rPr>
      </w:pPr>
    </w:p>
    <w:p w14:paraId="07E6D93A" w14:textId="77777777" w:rsidR="00471ECE" w:rsidRPr="005B7C42" w:rsidRDefault="00471ECE" w:rsidP="00471EC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3E284BF1" w14:textId="77777777" w:rsidR="00471ECE" w:rsidRPr="005B7C42" w:rsidRDefault="00471ECE" w:rsidP="00471ECE">
      <w:pPr>
        <w:spacing w:after="0" w:line="276" w:lineRule="auto"/>
        <w:jc w:val="both"/>
        <w:rPr>
          <w:rFonts w:ascii="Verdana" w:eastAsia="Calibri" w:hAnsi="Verdana" w:cs="Arial"/>
          <w:color w:val="7030A0"/>
        </w:rPr>
      </w:pPr>
    </w:p>
    <w:p w14:paraId="2AF631C9" w14:textId="77777777" w:rsidR="00471ECE" w:rsidRPr="005B7C42" w:rsidRDefault="00471ECE" w:rsidP="00471ECE">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41E0A3EB" w14:textId="77777777" w:rsidR="00471ECE" w:rsidRDefault="00471ECE" w:rsidP="00471ECE">
      <w:pPr>
        <w:spacing w:after="0" w:line="276" w:lineRule="auto"/>
        <w:jc w:val="both"/>
        <w:rPr>
          <w:rFonts w:ascii="Verdana" w:eastAsia="Calibri" w:hAnsi="Verdana" w:cs="Arial"/>
        </w:rPr>
      </w:pPr>
    </w:p>
    <w:p w14:paraId="61FD352D" w14:textId="77777777" w:rsidR="00471ECE" w:rsidRDefault="00471ECE" w:rsidP="00471ECE">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Recientemente, el Gobierno Nacional expidió el Decreto 62 de 2025 “</w:t>
      </w:r>
      <w:r w:rsidRPr="00533FBF">
        <w:rPr>
          <w:rFonts w:ascii="Verdana" w:eastAsia="Arial MT" w:hAnsi="Verdana" w:cs="Arial"/>
          <w:i/>
          <w:iCs/>
          <w:lang w:eastAsia="es-ES" w:bidi="es-ES"/>
        </w:rPr>
        <w:t xml:space="preserve">Por el cual se decreta el </w:t>
      </w:r>
      <w:r>
        <w:rPr>
          <w:rFonts w:ascii="Verdana" w:eastAsia="Arial MT" w:hAnsi="Verdana" w:cs="Arial"/>
          <w:i/>
          <w:iCs/>
          <w:lang w:eastAsia="es-ES" w:bidi="es-ES"/>
        </w:rPr>
        <w:t xml:space="preserve">Estado de Conmoción Interior </w:t>
      </w:r>
      <w:r w:rsidRPr="00533FBF">
        <w:rPr>
          <w:rFonts w:ascii="Verdana" w:eastAsia="Arial MT" w:hAnsi="Verdana" w:cs="Arial"/>
          <w:i/>
          <w:iCs/>
          <w:lang w:eastAsia="es-ES" w:bidi="es-ES"/>
        </w:rPr>
        <w:t>en la región del Catatumbo, los municipios del área metropolitana de Cúcuta y los municipios de Río de Oro y González del departamento del Cesar</w:t>
      </w:r>
      <w:r>
        <w:rPr>
          <w:rFonts w:ascii="Verdana" w:eastAsia="Arial MT" w:hAnsi="Verdana" w:cs="Arial"/>
          <w:i/>
          <w:iCs/>
          <w:lang w:eastAsia="es-ES" w:bidi="es-ES"/>
        </w:rPr>
        <w:t>”</w:t>
      </w:r>
      <w:r w:rsidRPr="00394A1B">
        <w:rPr>
          <w:rFonts w:ascii="Verdana" w:eastAsia="Arial MT" w:hAnsi="Verdana" w:cs="Arial"/>
          <w:lang w:eastAsia="es-ES" w:bidi="es-ES"/>
        </w:rPr>
        <w:t xml:space="preserve">, </w:t>
      </w:r>
      <w:r>
        <w:rPr>
          <w:rFonts w:ascii="Verdana" w:eastAsia="Arial MT" w:hAnsi="Verdana" w:cs="Arial"/>
          <w:lang w:eastAsia="es-ES" w:bidi="es-ES"/>
        </w:rPr>
        <w:t>a raíz de hechos que perturban de manera extraordinaria el orden público en el territorio</w:t>
      </w:r>
      <w:r w:rsidRPr="00460E9D">
        <w:rPr>
          <w:rFonts w:ascii="Verdana" w:eastAsia="Arial MT" w:hAnsi="Verdana" w:cs="Arial"/>
          <w:lang w:eastAsia="es-ES" w:bidi="es-ES"/>
        </w:rPr>
        <w:t>, derivada de enfrentamientos armados, amenazas, desplazamientos forzados masivos, afectaciones al ejercicio de los derechos fundamentales de la población civil, alteración de la seguridad y daños a bienes protegidos y al ambiente.</w:t>
      </w:r>
    </w:p>
    <w:p w14:paraId="49EDF223" w14:textId="77777777" w:rsidR="00471ECE" w:rsidRDefault="00471ECE" w:rsidP="00471ECE">
      <w:pPr>
        <w:widowControl w:val="0"/>
        <w:autoSpaceDE w:val="0"/>
        <w:autoSpaceDN w:val="0"/>
        <w:spacing w:after="0" w:line="276" w:lineRule="auto"/>
        <w:jc w:val="both"/>
        <w:rPr>
          <w:rFonts w:ascii="Verdana" w:eastAsia="Arial MT" w:hAnsi="Verdana" w:cs="Arial"/>
          <w:lang w:eastAsia="es-ES" w:bidi="es-ES"/>
        </w:rPr>
      </w:pPr>
      <w:r>
        <w:rPr>
          <w:rFonts w:ascii="Verdana" w:eastAsia="Arial MT" w:hAnsi="Verdana" w:cs="Arial"/>
          <w:lang w:eastAsia="es-ES" w:bidi="es-ES"/>
        </w:rPr>
        <w:tab/>
        <w:t>Puntualmente, el artículo 1 señala lo siguiente:</w:t>
      </w:r>
    </w:p>
    <w:p w14:paraId="486F0D0B" w14:textId="77777777" w:rsidR="00471ECE" w:rsidRDefault="00471ECE" w:rsidP="00471ECE">
      <w:pPr>
        <w:widowControl w:val="0"/>
        <w:autoSpaceDE w:val="0"/>
        <w:autoSpaceDN w:val="0"/>
        <w:spacing w:after="0" w:line="276" w:lineRule="auto"/>
        <w:jc w:val="both"/>
        <w:rPr>
          <w:rFonts w:ascii="Verdana" w:eastAsia="Arial MT" w:hAnsi="Verdana" w:cs="Arial"/>
          <w:lang w:eastAsia="es-ES" w:bidi="es-ES"/>
        </w:rPr>
      </w:pPr>
    </w:p>
    <w:p w14:paraId="67544126" w14:textId="77777777" w:rsidR="00471ECE" w:rsidRDefault="00471ECE" w:rsidP="00471ECE">
      <w:pPr>
        <w:widowControl w:val="0"/>
        <w:autoSpaceDE w:val="0"/>
        <w:autoSpaceDN w:val="0"/>
        <w:spacing w:after="0" w:line="240" w:lineRule="auto"/>
        <w:ind w:left="709" w:right="709"/>
        <w:jc w:val="both"/>
        <w:rPr>
          <w:rFonts w:ascii="Verdana" w:eastAsia="Arial MT" w:hAnsi="Verdana" w:cs="Arial"/>
          <w:sz w:val="21"/>
          <w:szCs w:val="21"/>
          <w:lang w:eastAsia="es-ES" w:bidi="es-ES"/>
        </w:rPr>
      </w:pPr>
      <w:r>
        <w:rPr>
          <w:rFonts w:ascii="Verdana" w:eastAsia="Arial MT" w:hAnsi="Verdana" w:cs="Arial"/>
          <w:sz w:val="21"/>
          <w:szCs w:val="21"/>
          <w:lang w:eastAsia="es-ES" w:bidi="es-ES"/>
        </w:rPr>
        <w:t>“</w:t>
      </w:r>
      <w:r w:rsidRPr="00BF5A25">
        <w:rPr>
          <w:rFonts w:ascii="Verdana" w:eastAsia="Arial MT" w:hAnsi="Verdana" w:cs="Arial"/>
          <w:b/>
          <w:bCs/>
          <w:sz w:val="21"/>
          <w:szCs w:val="21"/>
          <w:lang w:eastAsia="es-ES" w:bidi="es-ES"/>
        </w:rPr>
        <w:t xml:space="preserve">Declarar el estado de conmoción interior, por el término de noventa (90) días contados a partir de la </w:t>
      </w:r>
      <w:proofErr w:type="gramStart"/>
      <w:r w:rsidRPr="00BF5A25">
        <w:rPr>
          <w:rFonts w:ascii="Verdana" w:eastAsia="Arial MT" w:hAnsi="Verdana" w:cs="Arial"/>
          <w:b/>
          <w:bCs/>
          <w:sz w:val="21"/>
          <w:szCs w:val="21"/>
          <w:lang w:eastAsia="es-ES" w:bidi="es-ES"/>
        </w:rPr>
        <w:t>entrada en vigencia</w:t>
      </w:r>
      <w:proofErr w:type="gramEnd"/>
      <w:r w:rsidRPr="00BF5A25">
        <w:rPr>
          <w:rFonts w:ascii="Verdana" w:eastAsia="Arial MT" w:hAnsi="Verdana" w:cs="Arial"/>
          <w:b/>
          <w:bCs/>
          <w:sz w:val="21"/>
          <w:szCs w:val="21"/>
          <w:lang w:eastAsia="es-ES" w:bidi="es-ES"/>
        </w:rPr>
        <w:t xml:space="preserve"> del presente decreto, en la región del Catatumbo</w:t>
      </w:r>
      <w:r w:rsidRPr="005063FE">
        <w:rPr>
          <w:rFonts w:ascii="Verdana" w:eastAsia="Arial MT" w:hAnsi="Verdana" w:cs="Arial"/>
          <w:sz w:val="21"/>
          <w:szCs w:val="21"/>
          <w:lang w:eastAsia="es-ES" w:bidi="es-ES"/>
        </w:rPr>
        <w:t xml:space="preserve">, ubicada en el nororiente del departamento de Norte de Santander, la cual está conformada por los municipios de Ocaña, Abrego, El Carmen, Convención, Teorama, San. Calixto, Hacarí, La Playa, El Tarra, Tibú y Sardinata, y los territorios indígenas de los resguardos Motilón Barí y </w:t>
      </w:r>
      <w:proofErr w:type="spellStart"/>
      <w:r w:rsidRPr="005063FE">
        <w:rPr>
          <w:rFonts w:ascii="Verdana" w:eastAsia="Arial MT" w:hAnsi="Verdana" w:cs="Arial"/>
          <w:sz w:val="21"/>
          <w:szCs w:val="21"/>
          <w:lang w:eastAsia="es-ES" w:bidi="es-ES"/>
        </w:rPr>
        <w:t>Catalaura</w:t>
      </w:r>
      <w:proofErr w:type="spellEnd"/>
      <w:r w:rsidRPr="005063FE">
        <w:rPr>
          <w:rFonts w:ascii="Verdana" w:eastAsia="Arial MT" w:hAnsi="Verdana" w:cs="Arial"/>
          <w:sz w:val="21"/>
          <w:szCs w:val="21"/>
          <w:lang w:eastAsia="es-ES" w:bidi="es-ES"/>
        </w:rPr>
        <w:t xml:space="preserve"> La Gabarra, así como en el área metropolitana de Cúcuta, que incluye al municipio de Cúcuta, capital departamental y núcleo del área, y a los municipios de Villa del Rosario, Los Patios, El Zulia, San Cayetano y Puerto Santander y los municipios de Río de Oro y González del departamento del Cesar</w:t>
      </w:r>
      <w:r>
        <w:rPr>
          <w:rFonts w:ascii="Verdana" w:eastAsia="Arial MT" w:hAnsi="Verdana" w:cs="Arial"/>
          <w:sz w:val="21"/>
          <w:szCs w:val="21"/>
          <w:lang w:eastAsia="es-ES" w:bidi="es-ES"/>
        </w:rPr>
        <w:t>”.</w:t>
      </w:r>
      <w:r w:rsidRPr="005063FE">
        <w:rPr>
          <w:rFonts w:ascii="Verdana" w:eastAsia="Arial MT" w:hAnsi="Verdana" w:cs="Arial"/>
          <w:sz w:val="21"/>
          <w:szCs w:val="21"/>
          <w:lang w:eastAsia="es-ES" w:bidi="es-ES"/>
        </w:rPr>
        <w:t>  </w:t>
      </w:r>
    </w:p>
    <w:p w14:paraId="26544D10" w14:textId="77777777" w:rsidR="00471ECE" w:rsidRDefault="00471ECE" w:rsidP="00471ECE">
      <w:pPr>
        <w:widowControl w:val="0"/>
        <w:autoSpaceDE w:val="0"/>
        <w:autoSpaceDN w:val="0"/>
        <w:spacing w:after="0" w:line="240" w:lineRule="auto"/>
        <w:ind w:left="709" w:right="709"/>
        <w:jc w:val="both"/>
        <w:rPr>
          <w:rFonts w:ascii="Verdana" w:eastAsia="Arial MT" w:hAnsi="Verdana" w:cs="Arial"/>
          <w:sz w:val="21"/>
          <w:szCs w:val="21"/>
          <w:lang w:eastAsia="es-ES" w:bidi="es-ES"/>
        </w:rPr>
      </w:pPr>
    </w:p>
    <w:p w14:paraId="0B1D14C4" w14:textId="77777777" w:rsidR="00471ECE" w:rsidRDefault="00471ECE" w:rsidP="00471ECE">
      <w:pPr>
        <w:spacing w:after="120" w:line="276" w:lineRule="auto"/>
        <w:ind w:firstLine="708"/>
        <w:jc w:val="both"/>
        <w:rPr>
          <w:rFonts w:ascii="Verdana" w:eastAsia="Arial MT" w:hAnsi="Verdana" w:cs="Arial"/>
          <w:lang w:eastAsia="es-ES" w:bidi="es-ES"/>
        </w:rPr>
      </w:pPr>
      <w:r w:rsidRPr="00C24E7C">
        <w:rPr>
          <w:rFonts w:ascii="Verdana" w:eastAsia="Arial MT" w:hAnsi="Verdana" w:cs="Arial"/>
          <w:lang w:eastAsia="es-ES" w:bidi="es-ES"/>
        </w:rPr>
        <w:t>Posteriormente, la Sala Plena de la Corte Constitucional</w:t>
      </w:r>
      <w:r>
        <w:rPr>
          <w:rStyle w:val="Refdenotaalpie"/>
          <w:rFonts w:ascii="Verdana" w:eastAsia="Arial MT" w:hAnsi="Verdana" w:cs="Arial"/>
          <w:lang w:eastAsia="es-ES" w:bidi="es-ES"/>
        </w:rPr>
        <w:footnoteReference w:id="2"/>
      </w:r>
      <w:r w:rsidRPr="00C24E7C">
        <w:rPr>
          <w:rFonts w:ascii="Verdana" w:eastAsia="Arial MT" w:hAnsi="Verdana" w:cs="Arial"/>
          <w:lang w:eastAsia="es-ES" w:bidi="es-ES"/>
        </w:rPr>
        <w:t xml:space="preserve"> declaró la constitucionalidad parcial</w:t>
      </w:r>
      <w:r>
        <w:rPr>
          <w:rFonts w:ascii="Verdana" w:eastAsia="Arial MT" w:hAnsi="Verdana" w:cs="Arial"/>
          <w:lang w:eastAsia="es-ES" w:bidi="es-ES"/>
        </w:rPr>
        <w:t xml:space="preserve"> de la declaratoria de conmoción interior decretada por el Gobierno Nacional mediante el decreto legislativo en cita, al declarar la </w:t>
      </w:r>
      <w:proofErr w:type="spellStart"/>
      <w:r>
        <w:rPr>
          <w:rFonts w:ascii="Verdana" w:eastAsia="Arial MT" w:hAnsi="Verdana" w:cs="Arial"/>
          <w:lang w:eastAsia="es-ES" w:bidi="es-ES"/>
        </w:rPr>
        <w:t>exequibilidad</w:t>
      </w:r>
      <w:proofErr w:type="spellEnd"/>
      <w:r>
        <w:rPr>
          <w:rFonts w:ascii="Verdana" w:eastAsia="Arial MT" w:hAnsi="Verdana" w:cs="Arial"/>
          <w:lang w:eastAsia="es-ES" w:bidi="es-ES"/>
        </w:rPr>
        <w:t xml:space="preserve"> únicamente de los </w:t>
      </w:r>
      <w:r w:rsidRPr="000F04B1">
        <w:rPr>
          <w:rFonts w:ascii="Verdana" w:eastAsia="Arial MT" w:hAnsi="Verdana" w:cs="Arial"/>
          <w:lang w:eastAsia="es-ES" w:bidi="es-ES"/>
        </w:rPr>
        <w:t xml:space="preserve">respecto de los hechos y consideraciones relacionados con (i) la intensificación de los enfrentamientos entre el ELN y otros </w:t>
      </w:r>
      <w:proofErr w:type="spellStart"/>
      <w:r w:rsidRPr="000F04B1">
        <w:rPr>
          <w:rFonts w:ascii="Verdana" w:eastAsia="Arial MT" w:hAnsi="Verdana" w:cs="Arial"/>
          <w:lang w:eastAsia="es-ES" w:bidi="es-ES"/>
        </w:rPr>
        <w:t>GAOr</w:t>
      </w:r>
      <w:proofErr w:type="spellEnd"/>
      <w:r w:rsidRPr="000F04B1">
        <w:rPr>
          <w:rFonts w:ascii="Verdana" w:eastAsia="Arial MT" w:hAnsi="Verdana" w:cs="Arial"/>
          <w:lang w:eastAsia="es-ES" w:bidi="es-ES"/>
        </w:rPr>
        <w:t>, así como los ataques y hostilidades dirigidos de forma indiscriminada contra la población civil y los firmantes del Acuerdo Final de Paz con las FARC y (</w:t>
      </w:r>
      <w:proofErr w:type="spellStart"/>
      <w:r w:rsidRPr="000F04B1">
        <w:rPr>
          <w:rFonts w:ascii="Verdana" w:eastAsia="Arial MT" w:hAnsi="Verdana" w:cs="Arial"/>
          <w:lang w:eastAsia="es-ES" w:bidi="es-ES"/>
        </w:rPr>
        <w:t>ii</w:t>
      </w:r>
      <w:proofErr w:type="spellEnd"/>
      <w:r w:rsidRPr="000F04B1">
        <w:rPr>
          <w:rFonts w:ascii="Verdana" w:eastAsia="Arial MT" w:hAnsi="Verdana" w:cs="Arial"/>
          <w:lang w:eastAsia="es-ES" w:bidi="es-ES"/>
        </w:rPr>
        <w:t xml:space="preserve">) la crisis humanitaria derivada de desplazamientos forzados -internos y transfronterizos- y confinamientos masivos que ha desbordado la capacidad institucional del Estado para atenderla. </w:t>
      </w:r>
      <w:r>
        <w:rPr>
          <w:rFonts w:ascii="Verdana" w:eastAsia="Arial MT" w:hAnsi="Verdana" w:cs="Arial"/>
          <w:lang w:eastAsia="es-ES" w:bidi="es-ES"/>
        </w:rPr>
        <w:t xml:space="preserve">La </w:t>
      </w:r>
      <w:r w:rsidRPr="000F04B1">
        <w:rPr>
          <w:rFonts w:ascii="Verdana" w:eastAsia="Arial MT" w:hAnsi="Verdana" w:cs="Arial"/>
          <w:lang w:eastAsia="es-ES" w:bidi="es-ES"/>
        </w:rPr>
        <w:t>decisión</w:t>
      </w:r>
      <w:r>
        <w:rPr>
          <w:rFonts w:ascii="Verdana" w:eastAsia="Arial MT" w:hAnsi="Verdana" w:cs="Arial"/>
          <w:lang w:eastAsia="es-ES" w:bidi="es-ES"/>
        </w:rPr>
        <w:t xml:space="preserve"> de la Corte Constitucional</w:t>
      </w:r>
      <w:r w:rsidRPr="000F04B1">
        <w:rPr>
          <w:rFonts w:ascii="Verdana" w:eastAsia="Arial MT" w:hAnsi="Verdana" w:cs="Arial"/>
          <w:lang w:eastAsia="es-ES" w:bidi="es-ES"/>
        </w:rPr>
        <w:t xml:space="preserve"> solo incluye aquellas medidas que sean necesarias para el fortalecimiento de la fuerza pública, la atención humanitaria, los derechos y garantías fundamentales de la población civil, y la financiación para esos propósitos específicos, de conformidad con los términos de </w:t>
      </w:r>
      <w:r>
        <w:rPr>
          <w:rFonts w:ascii="Verdana" w:eastAsia="Arial MT" w:hAnsi="Verdana" w:cs="Arial"/>
          <w:lang w:eastAsia="es-ES" w:bidi="es-ES"/>
        </w:rPr>
        <w:t>dicha</w:t>
      </w:r>
      <w:r w:rsidRPr="000F04B1">
        <w:rPr>
          <w:rFonts w:ascii="Verdana" w:eastAsia="Arial MT" w:hAnsi="Verdana" w:cs="Arial"/>
          <w:lang w:eastAsia="es-ES" w:bidi="es-ES"/>
        </w:rPr>
        <w:t xml:space="preserve"> providencia.</w:t>
      </w:r>
      <w:r>
        <w:rPr>
          <w:rFonts w:ascii="Verdana" w:eastAsia="Arial MT" w:hAnsi="Verdana" w:cs="Arial"/>
          <w:lang w:eastAsia="es-ES" w:bidi="es-ES"/>
        </w:rPr>
        <w:t xml:space="preserve"> </w:t>
      </w:r>
    </w:p>
    <w:p w14:paraId="75B24E49" w14:textId="77777777" w:rsidR="00471ECE" w:rsidRPr="005063FE" w:rsidRDefault="00471ECE" w:rsidP="00471ECE">
      <w:pPr>
        <w:spacing w:after="120" w:line="276" w:lineRule="auto"/>
        <w:ind w:firstLine="708"/>
        <w:jc w:val="both"/>
        <w:rPr>
          <w:rFonts w:ascii="Verdana" w:eastAsia="Arial MT" w:hAnsi="Verdana" w:cs="Arial"/>
          <w:sz w:val="21"/>
          <w:szCs w:val="21"/>
          <w:lang w:eastAsia="es-ES" w:bidi="es-ES"/>
        </w:rPr>
      </w:pPr>
      <w:r>
        <w:rPr>
          <w:rFonts w:ascii="Verdana" w:eastAsia="Arial MT" w:hAnsi="Verdana" w:cs="Arial"/>
          <w:lang w:eastAsia="es-ES" w:bidi="es-ES"/>
        </w:rPr>
        <w:t xml:space="preserve">De otro lado, la Corte declaró su </w:t>
      </w:r>
      <w:proofErr w:type="spellStart"/>
      <w:r>
        <w:rPr>
          <w:rFonts w:ascii="Verdana" w:eastAsia="Arial MT" w:hAnsi="Verdana" w:cs="Arial"/>
          <w:lang w:eastAsia="es-ES" w:bidi="es-ES"/>
        </w:rPr>
        <w:t>inexequibilidad</w:t>
      </w:r>
      <w:proofErr w:type="spellEnd"/>
      <w:r>
        <w:rPr>
          <w:rFonts w:ascii="Verdana" w:eastAsia="Arial MT" w:hAnsi="Verdana" w:cs="Arial"/>
          <w:lang w:eastAsia="es-ES" w:bidi="es-ES"/>
        </w:rPr>
        <w:t xml:space="preserve"> </w:t>
      </w:r>
      <w:r w:rsidRPr="00131FA0">
        <w:rPr>
          <w:rFonts w:ascii="Verdana" w:eastAsia="Arial MT" w:hAnsi="Verdana" w:cs="Arial"/>
          <w:lang w:eastAsia="es-ES" w:bidi="es-ES"/>
        </w:rPr>
        <w:t xml:space="preserve">respecto de los hechos y consideraciones relacionados con (i) la presencia histórica del ELN, los </w:t>
      </w:r>
      <w:proofErr w:type="spellStart"/>
      <w:r w:rsidRPr="00131FA0">
        <w:rPr>
          <w:rFonts w:ascii="Verdana" w:eastAsia="Arial MT" w:hAnsi="Verdana" w:cs="Arial"/>
          <w:lang w:eastAsia="es-ES" w:bidi="es-ES"/>
        </w:rPr>
        <w:t>GAOr</w:t>
      </w:r>
      <w:proofErr w:type="spellEnd"/>
      <w:r w:rsidRPr="00131FA0">
        <w:rPr>
          <w:rFonts w:ascii="Verdana" w:eastAsia="Arial MT" w:hAnsi="Verdana" w:cs="Arial"/>
          <w:lang w:eastAsia="es-ES" w:bidi="es-ES"/>
        </w:rPr>
        <w:t xml:space="preserve"> y GDO, (</w:t>
      </w:r>
      <w:proofErr w:type="spellStart"/>
      <w:r w:rsidRPr="00131FA0">
        <w:rPr>
          <w:rFonts w:ascii="Verdana" w:eastAsia="Arial MT" w:hAnsi="Verdana" w:cs="Arial"/>
          <w:lang w:eastAsia="es-ES" w:bidi="es-ES"/>
        </w:rPr>
        <w:t>ii</w:t>
      </w:r>
      <w:proofErr w:type="spellEnd"/>
      <w:r w:rsidRPr="00131FA0">
        <w:rPr>
          <w:rFonts w:ascii="Verdana" w:eastAsia="Arial MT" w:hAnsi="Verdana" w:cs="Arial"/>
          <w:lang w:eastAsia="es-ES" w:bidi="es-ES"/>
        </w:rPr>
        <w:t>) la concentración de cultivos ilícitos, (</w:t>
      </w:r>
      <w:proofErr w:type="spellStart"/>
      <w:r w:rsidRPr="00131FA0">
        <w:rPr>
          <w:rFonts w:ascii="Verdana" w:eastAsia="Arial MT" w:hAnsi="Verdana" w:cs="Arial"/>
          <w:lang w:eastAsia="es-ES" w:bidi="es-ES"/>
        </w:rPr>
        <w:t>iii</w:t>
      </w:r>
      <w:proofErr w:type="spellEnd"/>
      <w:r w:rsidRPr="00131FA0">
        <w:rPr>
          <w:rFonts w:ascii="Verdana" w:eastAsia="Arial MT" w:hAnsi="Verdana" w:cs="Arial"/>
          <w:lang w:eastAsia="es-ES" w:bidi="es-ES"/>
        </w:rPr>
        <w:t>) las deficiencias e incumplimientos en la implementación del PNIS, (</w:t>
      </w:r>
      <w:proofErr w:type="spellStart"/>
      <w:r w:rsidRPr="00131FA0">
        <w:rPr>
          <w:rFonts w:ascii="Verdana" w:eastAsia="Arial MT" w:hAnsi="Verdana" w:cs="Arial"/>
          <w:lang w:eastAsia="es-ES" w:bidi="es-ES"/>
        </w:rPr>
        <w:t>iv</w:t>
      </w:r>
      <w:proofErr w:type="spellEnd"/>
      <w:r w:rsidRPr="00131FA0">
        <w:rPr>
          <w:rFonts w:ascii="Verdana" w:eastAsia="Arial MT" w:hAnsi="Verdana" w:cs="Arial"/>
          <w:lang w:eastAsia="es-ES" w:bidi="es-ES"/>
        </w:rPr>
        <w:t>) las necesidades básicas insatisfechas de la población por insuficiencia en la política social y (v) los daños a la infraestructura energética y vial, así como las afectaciones a las operaciones del sector de hidrocarburos.</w:t>
      </w:r>
    </w:p>
    <w:p w14:paraId="5472315E" w14:textId="77777777" w:rsidR="00471ECE" w:rsidRDefault="00471ECE" w:rsidP="00471ECE">
      <w:pPr>
        <w:widowControl w:val="0"/>
        <w:autoSpaceDE w:val="0"/>
        <w:autoSpaceDN w:val="0"/>
        <w:spacing w:after="0" w:line="276" w:lineRule="auto"/>
        <w:ind w:firstLine="709"/>
        <w:jc w:val="both"/>
        <w:rPr>
          <w:rFonts w:ascii="Verdana" w:eastAsia="Arial MT" w:hAnsi="Verdana" w:cs="Arial"/>
          <w:lang w:eastAsia="es-ES" w:bidi="es-ES"/>
        </w:rPr>
      </w:pPr>
      <w:r>
        <w:rPr>
          <w:rFonts w:ascii="Verdana" w:eastAsia="Arial MT" w:hAnsi="Verdana" w:cs="Arial"/>
          <w:lang w:eastAsia="es-ES" w:bidi="es-ES"/>
        </w:rPr>
        <w:t>En lo que respecta al ámbito de contratación estatal, a partir de la declaratoria del estado de conmoción interior, las entidades estatales que conforman la región del Catatumbo, detallada en el artículo antes citado, se encuentran autorizadas para celebrar contratos que tengan por</w:t>
      </w:r>
      <w:r>
        <w:rPr>
          <w:rFonts w:ascii="Verdana" w:eastAsia="Arial MT" w:hAnsi="Verdana" w:cs="Arial"/>
          <w:lang w:val="es-ES" w:eastAsia="es-ES" w:bidi="es-ES"/>
        </w:rPr>
        <w:t xml:space="preserve"> objeto el de </w:t>
      </w:r>
      <w:r>
        <w:rPr>
          <w:rFonts w:ascii="Verdana" w:hAnsi="Verdana"/>
        </w:rPr>
        <w:t xml:space="preserve">conjurar la perturbación del orden público e impedir la extensión de sus efectos a través de la adquisición de bienes, obras y servicios. Esto mediante procesos ágiles que garanticen el restablecimiento del orden público, la protección de derechos de las víctimas del conflicto y la protección del medio ambiente. </w:t>
      </w:r>
      <w:r>
        <w:rPr>
          <w:rFonts w:ascii="Verdana" w:eastAsia="Arial MT" w:hAnsi="Verdana" w:cs="Arial"/>
          <w:lang w:eastAsia="es-ES" w:bidi="es-ES"/>
        </w:rPr>
        <w:t>En los términos del Decreto se señala:</w:t>
      </w:r>
    </w:p>
    <w:p w14:paraId="3BDCBDE3" w14:textId="77777777" w:rsidR="00471ECE" w:rsidRDefault="00471ECE" w:rsidP="00471ECE">
      <w:pPr>
        <w:widowControl w:val="0"/>
        <w:autoSpaceDE w:val="0"/>
        <w:autoSpaceDN w:val="0"/>
        <w:spacing w:after="0" w:line="276" w:lineRule="auto"/>
        <w:ind w:firstLine="709"/>
        <w:jc w:val="both"/>
        <w:rPr>
          <w:rFonts w:ascii="Verdana" w:eastAsia="Arial MT" w:hAnsi="Verdana" w:cs="Arial"/>
          <w:lang w:eastAsia="es-ES" w:bidi="es-ES"/>
        </w:rPr>
      </w:pPr>
    </w:p>
    <w:p w14:paraId="1E6D8608" w14:textId="77777777" w:rsidR="00471ECE" w:rsidRPr="00633F57" w:rsidRDefault="00471ECE" w:rsidP="00471ECE">
      <w:pPr>
        <w:widowControl w:val="0"/>
        <w:autoSpaceDE w:val="0"/>
        <w:autoSpaceDN w:val="0"/>
        <w:spacing w:after="0" w:line="240" w:lineRule="auto"/>
        <w:ind w:left="709" w:right="709"/>
        <w:jc w:val="both"/>
        <w:rPr>
          <w:rFonts w:ascii="Verdana" w:eastAsia="Arial MT" w:hAnsi="Verdana" w:cs="Arial"/>
          <w:sz w:val="21"/>
          <w:szCs w:val="21"/>
          <w:lang w:eastAsia="es-ES" w:bidi="es-ES"/>
        </w:rPr>
      </w:pPr>
      <w:r w:rsidRPr="00A077E1">
        <w:rPr>
          <w:rFonts w:ascii="Verdana" w:eastAsia="Arial MT" w:hAnsi="Verdana" w:cs="Arial"/>
          <w:sz w:val="21"/>
          <w:szCs w:val="21"/>
          <w:lang w:eastAsia="es-ES" w:bidi="es-ES"/>
        </w:rPr>
        <w:t xml:space="preserve">“[…] </w:t>
      </w:r>
      <w:r w:rsidRPr="00633F57">
        <w:rPr>
          <w:rFonts w:ascii="Verdana" w:eastAsia="Arial MT" w:hAnsi="Verdana" w:cs="Arial"/>
          <w:sz w:val="21"/>
          <w:szCs w:val="21"/>
          <w:lang w:eastAsia="es-ES" w:bidi="es-ES"/>
        </w:rPr>
        <w:t xml:space="preserve">es necesario adoptar medidas extraordinarias en materia contractual con el objeto de agilizar la ejecución de los recursos requeridos para garantizar la estabilidad institucional, la seguridad del Estado y la convivencia ciudadana en la región del Catatumbo y en el </w:t>
      </w:r>
      <w:r w:rsidRPr="00633F57">
        <w:rPr>
          <w:rFonts w:ascii="Verdana" w:eastAsia="Arial MT" w:hAnsi="Verdana" w:cs="Arial"/>
          <w:sz w:val="21"/>
          <w:szCs w:val="21"/>
          <w:lang w:eastAsia="es-ES" w:bidi="es-ES"/>
        </w:rPr>
        <w:lastRenderedPageBreak/>
        <w:t>área metropolitana de Cúcuta. </w:t>
      </w:r>
    </w:p>
    <w:p w14:paraId="6ABBAF34" w14:textId="77777777" w:rsidR="00471ECE" w:rsidRPr="00633F57" w:rsidRDefault="00471ECE" w:rsidP="00471ECE">
      <w:pPr>
        <w:widowControl w:val="0"/>
        <w:autoSpaceDE w:val="0"/>
        <w:autoSpaceDN w:val="0"/>
        <w:spacing w:after="0" w:line="240" w:lineRule="auto"/>
        <w:ind w:left="709" w:right="709"/>
        <w:jc w:val="both"/>
        <w:rPr>
          <w:rFonts w:ascii="Verdana" w:eastAsia="Arial MT" w:hAnsi="Verdana" w:cs="Arial"/>
          <w:sz w:val="21"/>
          <w:szCs w:val="21"/>
          <w:lang w:eastAsia="es-ES" w:bidi="es-ES"/>
        </w:rPr>
      </w:pPr>
      <w:r w:rsidRPr="00633F57">
        <w:rPr>
          <w:rFonts w:ascii="Verdana" w:eastAsia="Arial MT" w:hAnsi="Verdana" w:cs="Arial"/>
          <w:sz w:val="21"/>
          <w:szCs w:val="21"/>
          <w:lang w:eastAsia="es-ES" w:bidi="es-ES"/>
        </w:rPr>
        <w:t>  </w:t>
      </w:r>
    </w:p>
    <w:p w14:paraId="3D3D56FA" w14:textId="77777777" w:rsidR="00471ECE" w:rsidRPr="00633F57" w:rsidRDefault="00471ECE" w:rsidP="00471ECE">
      <w:pPr>
        <w:widowControl w:val="0"/>
        <w:autoSpaceDE w:val="0"/>
        <w:autoSpaceDN w:val="0"/>
        <w:spacing w:after="0" w:line="240" w:lineRule="auto"/>
        <w:ind w:left="709" w:right="709"/>
        <w:jc w:val="both"/>
        <w:rPr>
          <w:rFonts w:ascii="Verdana" w:eastAsia="Arial MT" w:hAnsi="Verdana" w:cs="Arial"/>
          <w:lang w:eastAsia="es-ES" w:bidi="es-ES"/>
        </w:rPr>
      </w:pPr>
      <w:r w:rsidRPr="00633F57">
        <w:rPr>
          <w:rFonts w:ascii="Verdana" w:eastAsia="Arial MT" w:hAnsi="Verdana" w:cs="Arial"/>
          <w:sz w:val="21"/>
          <w:szCs w:val="21"/>
          <w:lang w:eastAsia="es-ES" w:bidi="es-ES"/>
        </w:rPr>
        <w:t>Que, para garantizar que las contrataciones se realicen de acuerdo con los más altos estándares de transparencia y eficiencia, el Gobierno nacional deberá implementar mecanismos de control especiales que aseguren la correcta ejecución de los contratos y el uso adecuado de los recursos asignados</w:t>
      </w:r>
      <w:r w:rsidRPr="00A077E1">
        <w:rPr>
          <w:rFonts w:ascii="Verdana" w:eastAsia="Arial MT" w:hAnsi="Verdana" w:cs="Arial"/>
          <w:sz w:val="21"/>
          <w:szCs w:val="21"/>
          <w:lang w:eastAsia="es-ES" w:bidi="es-ES"/>
        </w:rPr>
        <w:t>”</w:t>
      </w:r>
      <w:r>
        <w:rPr>
          <w:rStyle w:val="Refdenotaalpie"/>
          <w:rFonts w:ascii="Verdana" w:eastAsia="Arial MT" w:hAnsi="Verdana" w:cs="Arial"/>
          <w:lang w:eastAsia="es-ES" w:bidi="es-ES"/>
        </w:rPr>
        <w:footnoteReference w:id="3"/>
      </w:r>
      <w:r>
        <w:rPr>
          <w:rFonts w:ascii="Verdana" w:eastAsia="Arial MT" w:hAnsi="Verdana" w:cs="Arial"/>
          <w:lang w:eastAsia="es-ES" w:bidi="es-ES"/>
        </w:rPr>
        <w:t>.</w:t>
      </w:r>
    </w:p>
    <w:p w14:paraId="753E7CAC" w14:textId="77777777" w:rsidR="00471ECE" w:rsidRDefault="00471ECE" w:rsidP="00471ECE">
      <w:pPr>
        <w:widowControl w:val="0"/>
        <w:autoSpaceDE w:val="0"/>
        <w:autoSpaceDN w:val="0"/>
        <w:spacing w:after="0" w:line="276" w:lineRule="auto"/>
        <w:ind w:firstLine="709"/>
        <w:jc w:val="both"/>
        <w:rPr>
          <w:rFonts w:ascii="Verdana" w:eastAsia="Arial MT" w:hAnsi="Verdana" w:cs="Arial"/>
          <w:lang w:eastAsia="es-ES" w:bidi="es-ES"/>
        </w:rPr>
      </w:pPr>
    </w:p>
    <w:p w14:paraId="7941DA1A" w14:textId="77777777" w:rsidR="00471ECE" w:rsidRDefault="00471ECE" w:rsidP="00471ECE">
      <w:pPr>
        <w:spacing w:after="120" w:line="276" w:lineRule="auto"/>
        <w:ind w:firstLine="708"/>
        <w:jc w:val="both"/>
        <w:rPr>
          <w:rFonts w:ascii="Verdana" w:hAnsi="Verdana"/>
        </w:rPr>
      </w:pPr>
      <w:r>
        <w:rPr>
          <w:rFonts w:ascii="Verdana" w:eastAsia="Arial MT" w:hAnsi="Verdana" w:cs="Arial"/>
          <w:lang w:eastAsia="es-ES" w:bidi="es-ES"/>
        </w:rPr>
        <w:t>En este contexto, la primera inquietud planteada en su consulta busca establecer si l</w:t>
      </w:r>
      <w:r>
        <w:rPr>
          <w:rFonts w:ascii="Verdana" w:hAnsi="Verdana"/>
        </w:rPr>
        <w:t>os contratos que se celebren con el propósito de conjurar la perturbación del orden público que originó la declaratoria del Estado de Conmoción Interior y que busquen impedir la extensión de sus efectos, deben respetar un término específico para ser adjudicados, para efectuar su suscripción y para la ejecución los recursos públicos asignados para dicho fin. Para resolver esta inquietud se abordarán varios temas a saber:</w:t>
      </w:r>
    </w:p>
    <w:p w14:paraId="6E590EF4" w14:textId="77777777" w:rsidR="00471ECE" w:rsidRDefault="00471ECE" w:rsidP="00471ECE">
      <w:pPr>
        <w:spacing w:after="120" w:line="276" w:lineRule="auto"/>
        <w:ind w:firstLine="708"/>
        <w:jc w:val="both"/>
        <w:rPr>
          <w:rFonts w:ascii="Verdana" w:eastAsia="Arial MT" w:hAnsi="Verdana" w:cs="Arial"/>
          <w:lang w:eastAsia="es-ES" w:bidi="es-ES"/>
        </w:rPr>
      </w:pPr>
      <w:r>
        <w:rPr>
          <w:rFonts w:ascii="Verdana" w:hAnsi="Verdana"/>
        </w:rPr>
        <w:t xml:space="preserve">En primer lugar, </w:t>
      </w:r>
      <w:r>
        <w:rPr>
          <w:rFonts w:ascii="Verdana" w:eastAsia="Arial MT" w:hAnsi="Verdana" w:cs="Arial"/>
          <w:lang w:eastAsia="es-ES" w:bidi="es-ES"/>
        </w:rPr>
        <w:t>en concordancia con los artículos 213 y 214 de la Constitución Política de 1991,</w:t>
      </w:r>
      <w:r w:rsidRPr="009F188E">
        <w:rPr>
          <w:rFonts w:ascii="Arial" w:hAnsi="Arial" w:cs="Arial"/>
          <w:color w:val="000000"/>
          <w:sz w:val="21"/>
          <w:szCs w:val="21"/>
        </w:rPr>
        <w:t xml:space="preserve"> </w:t>
      </w:r>
      <w:r w:rsidRPr="009F188E">
        <w:rPr>
          <w:rFonts w:ascii="Verdana" w:eastAsia="Arial MT" w:hAnsi="Verdana" w:cs="Arial"/>
          <w:lang w:eastAsia="es-ES" w:bidi="es-ES"/>
        </w:rPr>
        <w:t>la Ley 137 de 1994 -Estatutaria de los Estados de Excepción-</w:t>
      </w:r>
      <w:r>
        <w:rPr>
          <w:rFonts w:ascii="Verdana" w:eastAsia="Arial MT" w:hAnsi="Verdana" w:cs="Arial"/>
          <w:lang w:eastAsia="es-ES" w:bidi="es-ES"/>
        </w:rPr>
        <w:t xml:space="preserve"> </w:t>
      </w:r>
      <w:r w:rsidRPr="009F188E">
        <w:rPr>
          <w:rFonts w:ascii="Verdana" w:eastAsia="Arial MT" w:hAnsi="Verdana" w:cs="Arial"/>
          <w:lang w:eastAsia="es-ES" w:bidi="es-ES"/>
        </w:rPr>
        <w:t>y los tratados internacionales que reconocen derechos humanos y prohíben su limitación en los estados de excepción</w:t>
      </w:r>
      <w:r>
        <w:rPr>
          <w:rFonts w:ascii="Verdana" w:eastAsia="Arial MT" w:hAnsi="Verdana" w:cs="Arial"/>
          <w:lang w:eastAsia="es-ES" w:bidi="es-ES"/>
        </w:rPr>
        <w:t xml:space="preserve">, dentro de los requisitos formales y materiales para la declaratoria de los estados de conmoción interior que ha venido definiendo la Corte Constitucional se ubica un requisito formal que consiste en fijar el ámbito temporal o término de duración del estado de conmoción interior. </w:t>
      </w:r>
    </w:p>
    <w:p w14:paraId="699F9C0D" w14:textId="77777777" w:rsidR="00471ECE" w:rsidRDefault="00471ECE" w:rsidP="00471ECE">
      <w:pPr>
        <w:spacing w:after="120" w:line="276" w:lineRule="auto"/>
        <w:ind w:firstLine="708"/>
        <w:jc w:val="both"/>
        <w:rPr>
          <w:rFonts w:ascii="Verdana" w:hAnsi="Verdana"/>
        </w:rPr>
      </w:pPr>
      <w:r>
        <w:rPr>
          <w:rFonts w:ascii="Verdana" w:eastAsia="Arial MT" w:hAnsi="Verdana" w:cs="Arial"/>
          <w:lang w:eastAsia="es-ES" w:bidi="es-ES"/>
        </w:rPr>
        <w:t xml:space="preserve">En ese orden, en virtud del artículo 1 del Decreto 62 de 2025, el Estado de Conmoción Interior en la región del Catatumbo se declaró por el término de (90) días contados a partir de la </w:t>
      </w:r>
      <w:proofErr w:type="gramStart"/>
      <w:r>
        <w:rPr>
          <w:rFonts w:ascii="Verdana" w:eastAsia="Arial MT" w:hAnsi="Verdana" w:cs="Arial"/>
          <w:lang w:eastAsia="es-ES" w:bidi="es-ES"/>
        </w:rPr>
        <w:t>entrada en vigencia</w:t>
      </w:r>
      <w:proofErr w:type="gramEnd"/>
      <w:r>
        <w:rPr>
          <w:rFonts w:ascii="Verdana" w:eastAsia="Arial MT" w:hAnsi="Verdana" w:cs="Arial"/>
          <w:lang w:eastAsia="es-ES" w:bidi="es-ES"/>
        </w:rPr>
        <w:t>, esto es a partir del24 de enero de 2025. Lo anterior significa que, aquellos contratos celebrados en el marco de dicha declaratoria, y que tengan por objeto el de</w:t>
      </w:r>
      <w:r>
        <w:rPr>
          <w:rFonts w:ascii="Verdana" w:hAnsi="Verdana"/>
        </w:rPr>
        <w:t xml:space="preserve"> conjurar la perturbación del orden público e impedir la extensión de sus efectos, solo podrán celebrarse durante el término de los noventa (90) días por los cuales se extiende dicho estado de conmoción. Esto sin perjuicio de la extensión de la declaratoria por un término de ciento ochenta (180) días adicionales, previa evaluación del Senado de la República, corporación encargada de decidir sobre la procedencia de tal ampliación. En este evento se extendería el tiempo en el cual las entidades estatales pueden celebrar contratos con el objeto contractual referido.</w:t>
      </w:r>
    </w:p>
    <w:p w14:paraId="2B3290D7" w14:textId="77777777" w:rsidR="00471ECE" w:rsidRDefault="00471ECE" w:rsidP="00471ECE">
      <w:pPr>
        <w:spacing w:after="120" w:line="276" w:lineRule="auto"/>
        <w:ind w:firstLine="708"/>
        <w:jc w:val="both"/>
        <w:rPr>
          <w:rFonts w:ascii="Verdana" w:hAnsi="Verdana"/>
        </w:rPr>
      </w:pPr>
      <w:r>
        <w:rPr>
          <w:rFonts w:ascii="Verdana" w:hAnsi="Verdana"/>
        </w:rPr>
        <w:t xml:space="preserve">En segundo lugar, las entidades estatales que están llamadas a hacerle frente a la situación de emergencia, solo podrán adjudicar y suscribir contratos </w:t>
      </w:r>
      <w:r>
        <w:rPr>
          <w:rFonts w:ascii="Verdana" w:hAnsi="Verdana"/>
        </w:rPr>
        <w:lastRenderedPageBreak/>
        <w:t xml:space="preserve">estatales </w:t>
      </w:r>
      <w:r>
        <w:rPr>
          <w:rFonts w:ascii="Verdana" w:eastAsia="Arial MT" w:hAnsi="Verdana" w:cs="Arial"/>
          <w:lang w:val="es-ES" w:eastAsia="es-ES" w:bidi="es-ES"/>
        </w:rPr>
        <w:t xml:space="preserve">que tengan por objeto el de </w:t>
      </w:r>
      <w:r>
        <w:rPr>
          <w:rFonts w:ascii="Verdana" w:hAnsi="Verdana"/>
        </w:rPr>
        <w:t>conjurar la perturbación del orden público e impedir la extensión de sus efectos, dentro del término de duración de la declaratoria del estado de conmoción interior, es decir, dentro de los (90) días en los cuales se encuentra vigente la declaratoria aludida, según rezan los artículos 1 y 2 del Decreto 62 del 2025. Justamente, el propio decreto demanda de las entidades estatales presentes en la región que adopten medidas extraordinarias en la ejecución presupuestal a través de la gestión de contratos que permitan la garantía de la estabilidad institucional, refuercen la seguridad del Estado y promuevan la convivencia ciudadana, de manera ágil, eficaz y transparente.</w:t>
      </w:r>
    </w:p>
    <w:p w14:paraId="4DEB5415" w14:textId="77777777" w:rsidR="00471ECE" w:rsidRDefault="00471ECE" w:rsidP="00471ECE">
      <w:pPr>
        <w:spacing w:after="120" w:line="276" w:lineRule="auto"/>
        <w:ind w:firstLine="708"/>
        <w:jc w:val="both"/>
        <w:rPr>
          <w:rFonts w:ascii="Verdana" w:hAnsi="Verdana"/>
        </w:rPr>
      </w:pPr>
      <w:r>
        <w:rPr>
          <w:rFonts w:ascii="Verdana" w:hAnsi="Verdana"/>
        </w:rPr>
        <w:t xml:space="preserve">En tercer lugar, en aras de atender la situación de orden público, las entidades estatales deben observar siempre todas aquellas reglas y requisitos, condiciones y procedimientos legales aplicables en los tramites de convocatoria, aprobación y distribución de recursos que impidan su uso inmediato y que hagan parte del </w:t>
      </w:r>
      <w:r w:rsidRPr="00262C35">
        <w:rPr>
          <w:rFonts w:ascii="Verdana" w:hAnsi="Verdana"/>
        </w:rPr>
        <w:t>Sistema General de Participaciones y del Sistema General de Regalías asignados para la presente vigencia fiscal</w:t>
      </w:r>
      <w:r>
        <w:rPr>
          <w:rFonts w:ascii="Verdana" w:hAnsi="Verdana"/>
        </w:rPr>
        <w:t>. No obstante, esta Agencia no tiene competencia para abordar inquietudes que puedan surgir en materia presupuestal, y será necesario que, en la medida en que surjan, sean despejadas ante las autoridades competentes en la materia, como las contralorías regionales, la Contraloría General de la República, el Ministerio de Hacienda y Crédito Público y cualquier otra que considere tenga facultad para pronunciarse en ese ámbito complementario y elemental de la gestión contractual.</w:t>
      </w:r>
    </w:p>
    <w:p w14:paraId="58058A83" w14:textId="77777777" w:rsidR="00471ECE" w:rsidRDefault="00471ECE" w:rsidP="00471ECE">
      <w:pPr>
        <w:spacing w:after="120" w:line="276" w:lineRule="auto"/>
        <w:ind w:firstLine="708"/>
        <w:jc w:val="both"/>
        <w:rPr>
          <w:rFonts w:ascii="Verdana" w:hAnsi="Verdana"/>
        </w:rPr>
      </w:pPr>
      <w:r w:rsidRPr="00D70A27">
        <w:rPr>
          <w:rFonts w:ascii="Verdana" w:hAnsi="Verdana"/>
        </w:rPr>
        <w:t>Por otro lado, es</w:t>
      </w:r>
      <w:r>
        <w:rPr>
          <w:rFonts w:ascii="Verdana" w:eastAsia="Arial MT" w:hAnsi="Verdana" w:cs="Arial"/>
          <w:sz w:val="21"/>
          <w:szCs w:val="21"/>
          <w:lang w:eastAsia="es-ES" w:bidi="es-ES"/>
        </w:rPr>
        <w:t xml:space="preserve"> </w:t>
      </w:r>
      <w:r>
        <w:rPr>
          <w:rFonts w:ascii="Verdana" w:hAnsi="Verdana"/>
        </w:rPr>
        <w:t xml:space="preserve">dable que su ejecución y liquidación de los contratos celebrados dentro del término del estado de conmoción tengan lugar por fuera del término de aquel, sea porque las actividades pactadas en el contrato impliquen que su ejecución se prolongue más allá del término de los (90) días, o porque la realización del corte de cuentas entre las partes contratantes, que se efectúa a través de la liquidación del negocio jurídico, necesariamente debe materializarse una vez se hayan cumplido o ejecutado las obligaciones de dicho contrato, lo que puede darse posterior al término de tal declaratoria. </w:t>
      </w:r>
    </w:p>
    <w:p w14:paraId="679F981B" w14:textId="77777777" w:rsidR="00471ECE" w:rsidRDefault="00471ECE" w:rsidP="00471ECE">
      <w:pPr>
        <w:spacing w:after="120" w:line="276" w:lineRule="auto"/>
        <w:ind w:firstLine="708"/>
        <w:jc w:val="both"/>
        <w:rPr>
          <w:rFonts w:ascii="Verdana" w:hAnsi="Verdana"/>
        </w:rPr>
      </w:pPr>
      <w:r>
        <w:rPr>
          <w:rFonts w:ascii="Verdana" w:hAnsi="Verdana"/>
        </w:rPr>
        <w:t xml:space="preserve">En consecuencia, se concluye que el límite para la suscripción de los contratos arriba señalados será el término que fije la declaratoria del Estado de Conmoción Interior que, para el caso de la </w:t>
      </w:r>
      <w:r w:rsidRPr="001A3CDB">
        <w:rPr>
          <w:rFonts w:ascii="Verdana" w:hAnsi="Verdana"/>
        </w:rPr>
        <w:t xml:space="preserve">declaratoria del </w:t>
      </w:r>
      <w:r>
        <w:rPr>
          <w:rFonts w:ascii="Verdana" w:eastAsia="Arial MT" w:hAnsi="Verdana" w:cs="Arial"/>
          <w:lang w:eastAsia="es-ES" w:bidi="es-ES"/>
        </w:rPr>
        <w:t xml:space="preserve">Estado de Conmoción Interior </w:t>
      </w:r>
      <w:r w:rsidRPr="009F143A">
        <w:rPr>
          <w:rFonts w:ascii="Verdana" w:eastAsia="Arial MT" w:hAnsi="Verdana" w:cs="Arial"/>
          <w:lang w:eastAsia="es-ES" w:bidi="es-ES"/>
        </w:rPr>
        <w:t>en la región del Catatumbo</w:t>
      </w:r>
      <w:r>
        <w:rPr>
          <w:rFonts w:ascii="Verdana" w:eastAsia="Arial MT" w:hAnsi="Verdana" w:cs="Arial"/>
          <w:lang w:eastAsia="es-ES" w:bidi="es-ES"/>
        </w:rPr>
        <w:t>, realizada a través del Decreto 62 de 2025, es de noventa (90) días. Lo anterior,</w:t>
      </w:r>
      <w:r>
        <w:rPr>
          <w:rFonts w:ascii="Verdana" w:hAnsi="Verdana"/>
        </w:rPr>
        <w:t xml:space="preserve"> sin que eso signifique que no pueda superarse dicho término en las fases de ejecución y liquidación contractual, en </w:t>
      </w:r>
      <w:r>
        <w:rPr>
          <w:rFonts w:ascii="Verdana" w:hAnsi="Verdana"/>
        </w:rPr>
        <w:lastRenderedPageBreak/>
        <w:t xml:space="preserve">virtud del tiempo necesario para realizar el objeto contractual, dada la necesidad de compeler o morigerar los efectos que dieron lugar a la declaratoria. </w:t>
      </w:r>
    </w:p>
    <w:p w14:paraId="709B3FD0" w14:textId="77777777" w:rsidR="00471ECE" w:rsidRDefault="00471ECE" w:rsidP="00471ECE">
      <w:pPr>
        <w:spacing w:after="120" w:line="276" w:lineRule="auto"/>
        <w:ind w:firstLine="709"/>
        <w:jc w:val="both"/>
        <w:rPr>
          <w:rFonts w:ascii="Verdana" w:eastAsia="Arial MT" w:hAnsi="Verdana" w:cs="Arial"/>
          <w:lang w:eastAsia="es-ES" w:bidi="es-ES"/>
        </w:rPr>
      </w:pPr>
      <w:r>
        <w:rPr>
          <w:rFonts w:ascii="Verdana" w:eastAsia="Arial MT" w:hAnsi="Verdana" w:cs="Arial"/>
          <w:lang w:val="es-ES" w:eastAsia="es-ES" w:bidi="es-ES"/>
        </w:rPr>
        <w:t xml:space="preserve">Frente al segundo interrogante identificado en su consulta, donde se pregunta </w:t>
      </w:r>
      <w:proofErr w:type="spellStart"/>
      <w:r w:rsidRPr="009060D2">
        <w:rPr>
          <w:rFonts w:ascii="Verdana" w:eastAsia="Arial MT" w:hAnsi="Verdana" w:cs="Arial"/>
          <w:i/>
          <w:iCs/>
          <w:lang w:eastAsia="es-ES" w:bidi="es-ES"/>
        </w:rPr>
        <w:t>qu</w:t>
      </w:r>
      <w:proofErr w:type="spellEnd"/>
      <w:r w:rsidRPr="009060D2">
        <w:rPr>
          <w:rFonts w:ascii="Verdana" w:eastAsia="Arial MT" w:hAnsi="Verdana" w:cs="Arial"/>
          <w:i/>
          <w:iCs/>
          <w:lang w:eastAsia="es-ES" w:bidi="es-ES"/>
        </w:rPr>
        <w:t>[é] tipo de bienes y servicios, y modalidades de contratación pueden adelantar, con ocasión al decreto de conmoción interior</w:t>
      </w:r>
      <w:r w:rsidRPr="00FD4F3F">
        <w:rPr>
          <w:rFonts w:ascii="Verdana" w:eastAsia="Arial MT" w:hAnsi="Verdana" w:cs="Arial"/>
          <w:lang w:eastAsia="es-ES" w:bidi="es-ES"/>
        </w:rPr>
        <w:t>,</w:t>
      </w:r>
      <w:r w:rsidRPr="00FD4F3F">
        <w:rPr>
          <w:rFonts w:ascii="Verdana" w:eastAsia="Arial MT" w:hAnsi="Verdana" w:cs="Arial"/>
          <w:lang w:val="es-ES" w:eastAsia="es-ES" w:bidi="es-ES"/>
        </w:rPr>
        <w:t xml:space="preserve"> </w:t>
      </w:r>
      <w:r>
        <w:rPr>
          <w:rFonts w:ascii="Verdana" w:eastAsia="Arial MT" w:hAnsi="Verdana" w:cs="Arial"/>
          <w:lang w:val="es-ES" w:eastAsia="es-ES" w:bidi="es-ES"/>
        </w:rPr>
        <w:t xml:space="preserve">se advierte que, el numeral III de las consideraciones del Decreto 62 de 2025 expone el </w:t>
      </w:r>
      <w:r w:rsidRPr="001A2C76">
        <w:rPr>
          <w:rFonts w:ascii="Verdana" w:eastAsia="Arial MT" w:hAnsi="Verdana" w:cs="Arial"/>
          <w:i/>
          <w:iCs/>
          <w:lang w:val="es-ES" w:eastAsia="es-ES" w:bidi="es-ES"/>
        </w:rPr>
        <w:t>presupuesto de necesidad e insuficiencia de las medidas ordinarias</w:t>
      </w:r>
      <w:r>
        <w:rPr>
          <w:rFonts w:ascii="Verdana" w:eastAsia="Arial MT" w:hAnsi="Verdana" w:cs="Arial"/>
          <w:i/>
          <w:iCs/>
          <w:lang w:val="es-ES" w:eastAsia="es-ES" w:bidi="es-ES"/>
        </w:rPr>
        <w:t>.</w:t>
      </w:r>
      <w:r>
        <w:rPr>
          <w:rFonts w:ascii="Verdana" w:eastAsia="Arial MT" w:hAnsi="Verdana" w:cs="Arial"/>
          <w:lang w:val="es-ES" w:eastAsia="es-ES" w:bidi="es-ES"/>
        </w:rPr>
        <w:t xml:space="preserve"> Dicho numeral</w:t>
      </w:r>
      <w:r>
        <w:rPr>
          <w:rFonts w:ascii="Verdana" w:eastAsia="Arial MT" w:hAnsi="Verdana" w:cs="Arial"/>
          <w:i/>
          <w:iCs/>
          <w:lang w:val="es-ES" w:eastAsia="es-ES" w:bidi="es-ES"/>
        </w:rPr>
        <w:t xml:space="preserve"> </w:t>
      </w:r>
      <w:r>
        <w:rPr>
          <w:rFonts w:ascii="Verdana" w:eastAsia="Arial MT" w:hAnsi="Verdana" w:cs="Arial"/>
          <w:lang w:val="es-ES" w:eastAsia="es-ES" w:bidi="es-ES"/>
        </w:rPr>
        <w:t>señala</w:t>
      </w:r>
      <w:r w:rsidRPr="007479FE">
        <w:rPr>
          <w:rFonts w:ascii="Verdana" w:eastAsia="Arial MT" w:hAnsi="Verdana" w:cs="Arial"/>
          <w:lang w:val="es-ES" w:eastAsia="es-ES" w:bidi="es-ES"/>
        </w:rPr>
        <w:t xml:space="preserve"> q</w:t>
      </w:r>
      <w:r>
        <w:rPr>
          <w:rFonts w:ascii="Verdana" w:eastAsia="Arial MT" w:hAnsi="Verdana" w:cs="Arial"/>
          <w:lang w:val="es-ES" w:eastAsia="es-ES" w:bidi="es-ES"/>
        </w:rPr>
        <w:t>ue resulta imperioso adoptar medidas extraordinarias en materia contractual: “</w:t>
      </w:r>
      <w:r w:rsidRPr="00767757">
        <w:rPr>
          <w:rFonts w:ascii="Verdana" w:eastAsia="Arial MT" w:hAnsi="Verdana" w:cs="Arial"/>
          <w:lang w:eastAsia="es-ES" w:bidi="es-ES"/>
        </w:rPr>
        <w:t>con el</w:t>
      </w:r>
      <w:r>
        <w:rPr>
          <w:rFonts w:ascii="Verdana" w:eastAsia="Arial MT" w:hAnsi="Verdana" w:cs="Arial"/>
          <w:lang w:eastAsia="es-ES" w:bidi="es-ES"/>
        </w:rPr>
        <w:t xml:space="preserve"> </w:t>
      </w:r>
      <w:r w:rsidRPr="00767757">
        <w:rPr>
          <w:rFonts w:ascii="Verdana" w:eastAsia="Arial MT" w:hAnsi="Verdana" w:cs="Arial"/>
          <w:lang w:eastAsia="es-ES" w:bidi="es-ES"/>
        </w:rPr>
        <w:t>objeto de agilizar la ejecución de los recursos requeridos para garantizar la estabilidad institucional, la seguridad del Estado y la convivencia ciudadana en la región del Catatumbo y en el área metropolitana de Cúcuta</w:t>
      </w:r>
      <w:r>
        <w:rPr>
          <w:rFonts w:ascii="Verdana" w:eastAsia="Arial MT" w:hAnsi="Verdana" w:cs="Arial"/>
          <w:lang w:eastAsia="es-ES" w:bidi="es-ES"/>
        </w:rPr>
        <w:t xml:space="preserve">”. En ese sentido, todas las entidades estatales que conforman la región del Catatumbo están llamadas a atender las necesidades surgidas de la crisis, por tal razón </w:t>
      </w:r>
      <w:r w:rsidRPr="00EE5676">
        <w:rPr>
          <w:rFonts w:ascii="Verdana" w:eastAsia="Arial MT" w:hAnsi="Verdana" w:cs="Arial"/>
          <w:lang w:eastAsia="es-ES" w:bidi="es-ES"/>
        </w:rPr>
        <w:t>las contrataciones</w:t>
      </w:r>
      <w:r>
        <w:rPr>
          <w:rFonts w:ascii="Verdana" w:eastAsia="Arial MT" w:hAnsi="Verdana" w:cs="Arial"/>
          <w:lang w:eastAsia="es-ES" w:bidi="es-ES"/>
        </w:rPr>
        <w:t xml:space="preserve"> que se realicen en el marco de la declaratoria</w:t>
      </w:r>
      <w:r w:rsidRPr="00EE5676">
        <w:rPr>
          <w:rFonts w:ascii="Verdana" w:eastAsia="Arial MT" w:hAnsi="Verdana" w:cs="Arial"/>
          <w:lang w:eastAsia="es-ES" w:bidi="es-ES"/>
        </w:rPr>
        <w:t xml:space="preserve"> </w:t>
      </w:r>
      <w:r>
        <w:rPr>
          <w:rFonts w:ascii="Verdana" w:eastAsia="Arial MT" w:hAnsi="Verdana" w:cs="Arial"/>
          <w:lang w:eastAsia="es-ES" w:bidi="es-ES"/>
        </w:rPr>
        <w:t xml:space="preserve">deberán tener por objeto el de conjurar </w:t>
      </w:r>
      <w:r>
        <w:rPr>
          <w:rFonts w:ascii="Verdana" w:hAnsi="Verdana"/>
        </w:rPr>
        <w:t xml:space="preserve">la perturbación del orden público e impedir la extensión de sus efectos. Adicionalmente, se debe garantizar que </w:t>
      </w:r>
      <w:r w:rsidRPr="00EE5676">
        <w:rPr>
          <w:rFonts w:ascii="Verdana" w:eastAsia="Arial MT" w:hAnsi="Verdana" w:cs="Arial"/>
          <w:lang w:eastAsia="es-ES" w:bidi="es-ES"/>
        </w:rPr>
        <w:t xml:space="preserve">se </w:t>
      </w:r>
      <w:r>
        <w:rPr>
          <w:rFonts w:ascii="Verdana" w:eastAsia="Arial MT" w:hAnsi="Verdana" w:cs="Arial"/>
          <w:lang w:eastAsia="es-ES" w:bidi="es-ES"/>
        </w:rPr>
        <w:t>adelanten</w:t>
      </w:r>
      <w:r w:rsidRPr="00EE5676">
        <w:rPr>
          <w:rFonts w:ascii="Verdana" w:eastAsia="Arial MT" w:hAnsi="Verdana" w:cs="Arial"/>
          <w:lang w:eastAsia="es-ES" w:bidi="es-ES"/>
        </w:rPr>
        <w:t xml:space="preserve"> con los más altos estándares de transparencia y eficiencia</w:t>
      </w:r>
      <w:r>
        <w:rPr>
          <w:rFonts w:ascii="Verdana" w:eastAsia="Arial MT" w:hAnsi="Verdana" w:cs="Arial"/>
          <w:lang w:eastAsia="es-ES" w:bidi="es-ES"/>
        </w:rPr>
        <w:t>. Por lo tanto, el Decreto en cita demanda d</w:t>
      </w:r>
      <w:r w:rsidRPr="00EE5676">
        <w:rPr>
          <w:rFonts w:ascii="Verdana" w:eastAsia="Arial MT" w:hAnsi="Verdana" w:cs="Arial"/>
          <w:lang w:eastAsia="es-ES" w:bidi="es-ES"/>
        </w:rPr>
        <w:t xml:space="preserve">el Gobierno </w:t>
      </w:r>
      <w:r>
        <w:rPr>
          <w:rFonts w:ascii="Verdana" w:eastAsia="Arial MT" w:hAnsi="Verdana" w:cs="Arial"/>
          <w:lang w:eastAsia="es-ES" w:bidi="es-ES"/>
        </w:rPr>
        <w:t>N</w:t>
      </w:r>
      <w:r w:rsidRPr="00EE5676">
        <w:rPr>
          <w:rFonts w:ascii="Verdana" w:eastAsia="Arial MT" w:hAnsi="Verdana" w:cs="Arial"/>
          <w:lang w:eastAsia="es-ES" w:bidi="es-ES"/>
        </w:rPr>
        <w:t xml:space="preserve">acional </w:t>
      </w:r>
      <w:r>
        <w:rPr>
          <w:rFonts w:ascii="Verdana" w:eastAsia="Arial MT" w:hAnsi="Verdana" w:cs="Arial"/>
          <w:lang w:eastAsia="es-ES" w:bidi="es-ES"/>
        </w:rPr>
        <w:t>la implementación de</w:t>
      </w:r>
      <w:r w:rsidRPr="00EE5676">
        <w:rPr>
          <w:rFonts w:ascii="Verdana" w:eastAsia="Arial MT" w:hAnsi="Verdana" w:cs="Arial"/>
          <w:lang w:eastAsia="es-ES" w:bidi="es-ES"/>
        </w:rPr>
        <w:t xml:space="preserve"> mecanismos de control especiales que aseguren la correcta ejecución de los contratos y el uso adecuado de los recursos asignados. </w:t>
      </w:r>
    </w:p>
    <w:p w14:paraId="0EEC0002" w14:textId="77777777" w:rsidR="00471ECE" w:rsidRDefault="00471ECE" w:rsidP="00471ECE">
      <w:pPr>
        <w:spacing w:after="120" w:line="276" w:lineRule="auto"/>
        <w:ind w:firstLine="709"/>
        <w:jc w:val="both"/>
        <w:rPr>
          <w:rFonts w:ascii="Verdana" w:eastAsia="Arial MT" w:hAnsi="Verdana" w:cs="Arial"/>
          <w:lang w:val="es-ES" w:eastAsia="es-ES" w:bidi="es-ES"/>
        </w:rPr>
      </w:pPr>
      <w:r>
        <w:rPr>
          <w:rFonts w:ascii="Verdana" w:eastAsia="Arial MT" w:hAnsi="Verdana" w:cs="Arial"/>
          <w:lang w:val="es-ES" w:eastAsia="es-ES" w:bidi="es-ES"/>
        </w:rPr>
        <w:t>Ahora bien, sobre el tipo y/o clase de bienes, obras y servicios que pueden adquirirse en el marco del estado de conmoción interior, serán las entidades estatales autorizadas a contratar en virtud del Decreto 62 de 2025 las que definan de manera autónoma e independiente la necesidad por satisfacer y la mejor manera de hacerlo, teniendo en cuenta que se respete la conexidad con el objeto antes reseñado.</w:t>
      </w:r>
    </w:p>
    <w:p w14:paraId="0EC90081" w14:textId="77777777" w:rsidR="00471ECE" w:rsidRPr="00BE5FE3" w:rsidRDefault="00471ECE" w:rsidP="00471ECE">
      <w:pPr>
        <w:spacing w:after="0" w:line="276" w:lineRule="auto"/>
        <w:ind w:firstLine="709"/>
        <w:jc w:val="both"/>
        <w:rPr>
          <w:rFonts w:ascii="Verdana" w:eastAsia="Calibri" w:hAnsi="Verdana" w:cs="Arial"/>
          <w:lang w:val="es-ES_tradnl"/>
        </w:rPr>
      </w:pPr>
      <w:r>
        <w:rPr>
          <w:rFonts w:ascii="Verdana" w:eastAsia="Arial MT" w:hAnsi="Verdana" w:cs="Arial"/>
          <w:lang w:val="es-ES" w:eastAsia="es-ES" w:bidi="es-ES"/>
        </w:rPr>
        <w:t xml:space="preserve">En relación con las modalidades de selección idóneas para la contratación, las entidades estatales también deberán escoger el procedimiento que mejor se ajuste a la necesidad identificada, de acuerdo con la normativa vigente. Al respecto, debe señalarse que, si bien la licitación pública es la modalidad de selección que constituye la regla general para las entidades regidas por el Estatuto General de Contratación de la Administración Pública – en adelante EGCAP – </w:t>
      </w:r>
      <w:r w:rsidRPr="00BF47E1">
        <w:rPr>
          <w:rFonts w:ascii="Verdana" w:eastAsia="Arial MT" w:hAnsi="Verdana" w:cs="Arial"/>
          <w:lang w:val="es-ES" w:eastAsia="es-ES" w:bidi="es-ES"/>
        </w:rPr>
        <w:t>el</w:t>
      </w:r>
      <w:r>
        <w:rPr>
          <w:rFonts w:ascii="Verdana" w:eastAsia="Arial MT" w:hAnsi="Verdana" w:cs="Arial"/>
          <w:lang w:val="es-ES" w:eastAsia="es-ES" w:bidi="es-ES"/>
        </w:rPr>
        <w:t xml:space="preserve"> </w:t>
      </w:r>
      <w:r w:rsidRPr="00BF47E1">
        <w:rPr>
          <w:rFonts w:ascii="Verdana" w:eastAsia="Arial MT" w:hAnsi="Verdana" w:cs="Arial"/>
          <w:lang w:val="es-ES" w:eastAsia="es-ES" w:bidi="es-ES"/>
        </w:rPr>
        <w:t xml:space="preserve">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w:t>
      </w:r>
      <w:r w:rsidRPr="00BF47E1">
        <w:rPr>
          <w:rFonts w:ascii="Verdana" w:eastAsia="Arial MT" w:hAnsi="Verdana" w:cs="Arial"/>
          <w:lang w:val="es-ES" w:eastAsia="es-ES" w:bidi="es-ES"/>
        </w:rPr>
        <w:lastRenderedPageBreak/>
        <w:t xml:space="preserve">leerse en concordancia con </w:t>
      </w:r>
      <w:r>
        <w:rPr>
          <w:rFonts w:ascii="Verdana" w:eastAsia="Arial MT" w:hAnsi="Verdana" w:cs="Arial"/>
          <w:lang w:val="es-ES" w:eastAsia="es-ES" w:bidi="es-ES"/>
        </w:rPr>
        <w:t>e</w:t>
      </w:r>
      <w:r w:rsidRPr="00BF47E1">
        <w:rPr>
          <w:rFonts w:ascii="Verdana" w:eastAsia="Arial MT" w:hAnsi="Verdana" w:cs="Arial"/>
          <w:lang w:val="es-ES" w:eastAsia="es-ES" w:bidi="es-ES"/>
        </w:rPr>
        <w:t>l artículo 42 de la Ley 80 de 1993, que define el concepto y establece el procedimiento para su declaratoria, así como para la celebración de los contratos que se derivan de aquella.</w:t>
      </w:r>
      <w:r>
        <w:rPr>
          <w:rFonts w:ascii="Verdana" w:eastAsia="Arial MT" w:hAnsi="Verdana" w:cs="Arial"/>
          <w:lang w:val="es-ES" w:eastAsia="es-ES" w:bidi="es-ES"/>
        </w:rPr>
        <w:t xml:space="preserve"> </w:t>
      </w:r>
      <w:r w:rsidRPr="00BE5FE3">
        <w:rPr>
          <w:rFonts w:ascii="Verdana" w:eastAsia="Calibri" w:hAnsi="Verdana" w:cs="Arial"/>
          <w:lang w:val="es-ES_tradnl"/>
        </w:rPr>
        <w:t>Esta norma dispone lo siguiente:</w:t>
      </w:r>
    </w:p>
    <w:p w14:paraId="50251C0B" w14:textId="77777777" w:rsidR="00471ECE" w:rsidRPr="00BE5FE3" w:rsidRDefault="00471ECE" w:rsidP="00471ECE">
      <w:pPr>
        <w:spacing w:after="0" w:line="276" w:lineRule="auto"/>
        <w:jc w:val="both"/>
        <w:rPr>
          <w:rFonts w:ascii="Verdana" w:eastAsia="Calibri" w:hAnsi="Verdana" w:cs="Arial"/>
          <w:lang w:val="es-ES_tradnl"/>
        </w:rPr>
      </w:pPr>
    </w:p>
    <w:p w14:paraId="3AB1C144" w14:textId="77777777" w:rsidR="00471ECE" w:rsidRDefault="00471ECE" w:rsidP="00471ECE">
      <w:pPr>
        <w:spacing w:after="0" w:line="240" w:lineRule="auto"/>
        <w:ind w:left="709" w:right="709"/>
        <w:jc w:val="both"/>
        <w:rPr>
          <w:rFonts w:ascii="Verdana" w:eastAsia="Calibri" w:hAnsi="Verdana" w:cs="Arial"/>
          <w:sz w:val="20"/>
          <w:szCs w:val="20"/>
          <w:lang w:val="es-ES_tradnl"/>
        </w:rPr>
      </w:pPr>
      <w:r w:rsidRPr="009F143A">
        <w:rPr>
          <w:rFonts w:ascii="Verdana" w:eastAsia="Calibri" w:hAnsi="Verdana" w:cs="Arial"/>
          <w:sz w:val="20"/>
          <w:szCs w:val="20"/>
          <w:lang w:val="es-ES_tradnl"/>
        </w:rPr>
        <w:t xml:space="preserve">“Artículo 42. De la urgencia manifiesta. Existe urgencia manifiesta </w:t>
      </w:r>
      <w:bookmarkStart w:id="2" w:name="_Hlk35851184"/>
      <w:r w:rsidRPr="009F143A">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2"/>
      <w:r w:rsidRPr="009F143A">
        <w:rPr>
          <w:rFonts w:ascii="Verdana" w:eastAsia="Calibri" w:hAnsi="Verdana" w:cs="Arial"/>
          <w:sz w:val="20"/>
          <w:szCs w:val="20"/>
          <w:lang w:val="es-ES_tradnl"/>
        </w:rPr>
        <w:t xml:space="preserve">; </w:t>
      </w:r>
      <w:bookmarkStart w:id="3" w:name="_Hlk35857288"/>
      <w:r w:rsidRPr="009F143A">
        <w:rPr>
          <w:rFonts w:ascii="Verdana" w:eastAsia="Calibri" w:hAnsi="Verdana" w:cs="Arial"/>
          <w:sz w:val="20"/>
          <w:szCs w:val="20"/>
          <w:lang w:val="es-ES_tradnl"/>
        </w:rPr>
        <w:t xml:space="preserve">cuando se presenten </w:t>
      </w:r>
      <w:bookmarkStart w:id="4" w:name="_Hlk35857424"/>
      <w:r w:rsidRPr="009F143A">
        <w:rPr>
          <w:rFonts w:ascii="Verdana" w:eastAsia="Calibri" w:hAnsi="Verdana" w:cs="Arial"/>
          <w:sz w:val="20"/>
          <w:szCs w:val="20"/>
          <w:lang w:val="es-ES_tradnl"/>
        </w:rPr>
        <w:t>situaciones relacionadas con los estados de excepción</w:t>
      </w:r>
      <w:bookmarkEnd w:id="3"/>
      <w:bookmarkEnd w:id="4"/>
      <w:r w:rsidRPr="009F143A">
        <w:rPr>
          <w:rFonts w:ascii="Verdana" w:eastAsia="Calibri" w:hAnsi="Verdana" w:cs="Arial"/>
          <w:sz w:val="20"/>
          <w:szCs w:val="20"/>
          <w:lang w:val="es-ES_tradnl"/>
        </w:rPr>
        <w:t xml:space="preserve">; </w:t>
      </w:r>
      <w:bookmarkStart w:id="5" w:name="_Hlk35865550"/>
      <w:r w:rsidRPr="009F143A">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5"/>
      <w:r w:rsidRPr="009F143A">
        <w:rPr>
          <w:rFonts w:ascii="Verdana" w:eastAsia="Calibri" w:hAnsi="Verdana" w:cs="Arial"/>
          <w:sz w:val="20"/>
          <w:szCs w:val="20"/>
          <w:lang w:val="es-ES_tradnl"/>
        </w:rPr>
        <w:t>y, en general, cuando se trate de situaciones similares que imposibiliten acudir a los procedimientos de selección o concurso públicos.</w:t>
      </w:r>
    </w:p>
    <w:p w14:paraId="50501D6D" w14:textId="77777777" w:rsidR="00471ECE" w:rsidRPr="009F143A" w:rsidRDefault="00471ECE" w:rsidP="00471ECE">
      <w:pPr>
        <w:spacing w:after="0" w:line="240" w:lineRule="auto"/>
        <w:ind w:left="709" w:right="709"/>
        <w:jc w:val="both"/>
        <w:rPr>
          <w:rFonts w:ascii="Verdana" w:eastAsia="Calibri" w:hAnsi="Verdana" w:cs="Arial"/>
          <w:sz w:val="20"/>
          <w:szCs w:val="20"/>
          <w:lang w:val="es-ES_tradnl"/>
        </w:rPr>
      </w:pPr>
    </w:p>
    <w:p w14:paraId="2C85C2A1" w14:textId="77777777" w:rsidR="00471ECE" w:rsidRPr="009F143A" w:rsidRDefault="00471ECE" w:rsidP="00471ECE">
      <w:pPr>
        <w:spacing w:after="0" w:line="240" w:lineRule="auto"/>
        <w:ind w:left="709" w:right="709"/>
        <w:jc w:val="both"/>
        <w:rPr>
          <w:rFonts w:ascii="Verdana" w:eastAsia="Calibri" w:hAnsi="Verdana" w:cs="Arial"/>
          <w:sz w:val="20"/>
          <w:szCs w:val="20"/>
          <w:lang w:val="es-ES_tradnl"/>
        </w:rPr>
      </w:pPr>
      <w:r w:rsidRPr="009F143A">
        <w:rPr>
          <w:rFonts w:ascii="Verdana" w:eastAsia="Calibri" w:hAnsi="Verdana" w:cs="Arial"/>
          <w:sz w:val="20"/>
          <w:szCs w:val="20"/>
          <w:lang w:val="es-ES_tradnl"/>
        </w:rPr>
        <w:t>La urgencia manifiesta se declarará mediante acto administrativo motivado.</w:t>
      </w:r>
    </w:p>
    <w:p w14:paraId="228860C6" w14:textId="77777777" w:rsidR="00471ECE" w:rsidRDefault="00471ECE" w:rsidP="00471ECE">
      <w:pPr>
        <w:spacing w:after="0" w:line="240" w:lineRule="auto"/>
        <w:ind w:left="709" w:right="709"/>
        <w:jc w:val="both"/>
        <w:rPr>
          <w:rFonts w:ascii="Verdana" w:eastAsia="Calibri" w:hAnsi="Verdana" w:cs="Arial"/>
          <w:sz w:val="20"/>
          <w:szCs w:val="20"/>
          <w:lang w:val="es-ES"/>
        </w:rPr>
      </w:pPr>
    </w:p>
    <w:p w14:paraId="64F54DF1" w14:textId="77777777" w:rsidR="00471ECE" w:rsidRPr="009F143A" w:rsidRDefault="00471ECE" w:rsidP="00471ECE">
      <w:pPr>
        <w:spacing w:after="0" w:line="240" w:lineRule="auto"/>
        <w:ind w:left="709" w:right="709"/>
        <w:jc w:val="both"/>
        <w:rPr>
          <w:rFonts w:ascii="Verdana" w:eastAsia="Calibri" w:hAnsi="Verdana" w:cs="Arial"/>
          <w:sz w:val="20"/>
          <w:szCs w:val="20"/>
          <w:lang w:val="es-ES"/>
        </w:rPr>
      </w:pPr>
      <w:r w:rsidRPr="009F143A">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31BBF15D" w14:textId="77777777" w:rsidR="00471ECE" w:rsidRPr="00BE5FE3" w:rsidRDefault="00471ECE" w:rsidP="00471ECE">
      <w:pPr>
        <w:spacing w:after="0" w:line="276" w:lineRule="auto"/>
        <w:ind w:left="709" w:right="709"/>
        <w:jc w:val="both"/>
        <w:rPr>
          <w:rFonts w:ascii="Verdana" w:eastAsia="Calibri" w:hAnsi="Verdana" w:cs="Arial"/>
          <w:lang w:val="es-ES_tradnl"/>
        </w:rPr>
      </w:pPr>
    </w:p>
    <w:p w14:paraId="12275C52" w14:textId="77777777" w:rsidR="00471ECE" w:rsidRPr="00BE5FE3" w:rsidRDefault="00471ECE" w:rsidP="00471ECE">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BE5FE3">
        <w:rPr>
          <w:rFonts w:ascii="Verdana" w:hAnsi="Verdana"/>
        </w:rPr>
        <w:t xml:space="preserve"> </w:t>
      </w:r>
      <w:r w:rsidRPr="00BE5FE3">
        <w:rPr>
          <w:rFonts w:ascii="Verdana" w:eastAsia="Calibri" w:hAnsi="Verdana" w:cs="Arial"/>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BE5FE3">
        <w:rPr>
          <w:rStyle w:val="Refdenotaalpie"/>
          <w:rFonts w:ascii="Verdana" w:eastAsia="Calibri" w:hAnsi="Verdana" w:cs="Arial"/>
          <w:lang w:val="es-ES_tradnl"/>
        </w:rPr>
        <w:footnoteReference w:id="4"/>
      </w:r>
      <w:r w:rsidRPr="00BE5FE3">
        <w:rPr>
          <w:rFonts w:ascii="Verdana" w:eastAsia="Calibri" w:hAnsi="Verdana" w:cs="Arial"/>
          <w:lang w:val="es-ES_tradnl"/>
        </w:rPr>
        <w:t xml:space="preserve">. En contraste, el </w:t>
      </w:r>
      <w:r>
        <w:rPr>
          <w:rFonts w:ascii="Verdana" w:eastAsia="Calibri" w:hAnsi="Verdana" w:cs="Arial"/>
        </w:rPr>
        <w:t>EGCAP</w:t>
      </w:r>
      <w:r w:rsidRPr="00BE5FE3">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BE5FE3">
        <w:rPr>
          <w:rFonts w:ascii="Verdana" w:eastAsia="Calibri" w:hAnsi="Verdana" w:cs="Arial"/>
          <w:i/>
          <w:iCs/>
          <w:lang w:val="es-ES_tradnl"/>
        </w:rPr>
        <w:t>manifiesta</w:t>
      </w:r>
      <w:r w:rsidRPr="00BE5FE3">
        <w:rPr>
          <w:rStyle w:val="Refdenotaalpie"/>
          <w:rFonts w:ascii="Verdana" w:eastAsia="Calibri" w:hAnsi="Verdana" w:cs="Arial"/>
          <w:sz w:val="21"/>
          <w:szCs w:val="21"/>
          <w:lang w:val="es-ES_tradnl"/>
        </w:rPr>
        <w:footnoteReference w:id="5"/>
      </w:r>
      <w:r w:rsidRPr="00BE5FE3">
        <w:rPr>
          <w:rFonts w:ascii="Verdana" w:eastAsia="Calibri" w:hAnsi="Verdana" w:cs="Arial"/>
          <w:sz w:val="21"/>
          <w:szCs w:val="21"/>
          <w:lang w:val="es-ES_tradnl"/>
        </w:rPr>
        <w:t>.</w:t>
      </w:r>
    </w:p>
    <w:p w14:paraId="0B0D7FF9" w14:textId="77777777" w:rsidR="00471ECE" w:rsidRPr="00BE5FE3" w:rsidRDefault="00471ECE" w:rsidP="00471ECE">
      <w:pPr>
        <w:spacing w:after="120" w:line="276" w:lineRule="auto"/>
        <w:ind w:firstLine="708"/>
        <w:jc w:val="both"/>
        <w:rPr>
          <w:rFonts w:ascii="Verdana" w:eastAsia="Calibri" w:hAnsi="Verdana" w:cs="Arial"/>
          <w:lang w:val="es-ES"/>
        </w:rPr>
      </w:pPr>
      <w:bookmarkStart w:id="6" w:name="_Hlk35959309"/>
      <w:r w:rsidRPr="736CB040">
        <w:rPr>
          <w:rFonts w:ascii="Verdana" w:eastAsia="Calibri" w:hAnsi="Verdana" w:cs="Arial"/>
          <w:lang w:val="es-ES"/>
        </w:rPr>
        <w:lastRenderedPageBreak/>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736CB040">
        <w:rPr>
          <w:rStyle w:val="Refdenotaalpie"/>
          <w:rFonts w:ascii="Verdana" w:eastAsia="Calibri" w:hAnsi="Verdana" w:cs="Arial"/>
          <w:lang w:val="es-ES"/>
        </w:rPr>
        <w:footnoteReference w:id="6"/>
      </w:r>
      <w:r w:rsidRPr="736CB040">
        <w:rPr>
          <w:rFonts w:ascii="Verdana" w:eastAsia="Calibri" w:hAnsi="Verdana" w:cs="Arial"/>
          <w:lang w:val="es-ES"/>
        </w:rPr>
        <w:t xml:space="preserve">. </w:t>
      </w:r>
    </w:p>
    <w:p w14:paraId="1FF32031" w14:textId="77777777" w:rsidR="00471ECE" w:rsidRPr="00BE5FE3" w:rsidRDefault="00471ECE" w:rsidP="00471ECE">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BE5FE3">
        <w:rPr>
          <w:rStyle w:val="Refdenotaalpie"/>
          <w:rFonts w:ascii="Verdana" w:eastAsia="Calibri" w:hAnsi="Verdana" w:cs="Arial"/>
          <w:lang w:val="es-ES_tradnl"/>
        </w:rPr>
        <w:footnoteReference w:id="7"/>
      </w:r>
      <w:r w:rsidRPr="00BE5FE3">
        <w:rPr>
          <w:rFonts w:ascii="Verdana" w:eastAsia="Calibri" w:hAnsi="Verdana" w:cs="Arial"/>
          <w:lang w:val="es-ES_tradnl"/>
        </w:rPr>
        <w:t xml:space="preserve">. </w:t>
      </w:r>
    </w:p>
    <w:bookmarkEnd w:id="6"/>
    <w:p w14:paraId="4D26BC23" w14:textId="77777777" w:rsidR="00471ECE" w:rsidRPr="00BE5FE3" w:rsidRDefault="00471ECE" w:rsidP="00471ECE">
      <w:pPr>
        <w:spacing w:after="120" w:line="276" w:lineRule="auto"/>
        <w:ind w:firstLine="709"/>
        <w:jc w:val="both"/>
        <w:rPr>
          <w:rFonts w:ascii="Verdana" w:eastAsia="Calibri" w:hAnsi="Verdana" w:cs="Arial"/>
          <w:lang w:val="es-ES_tradnl"/>
        </w:rPr>
      </w:pPr>
      <w:r w:rsidRPr="00BE5FE3">
        <w:rPr>
          <w:rFonts w:ascii="Verdana" w:eastAsia="Calibri" w:hAnsi="Verdana" w:cs="Arial"/>
          <w:lang w:val="es-ES_tradnl"/>
        </w:rPr>
        <w:t xml:space="preserve">En esta medida, el precitado artículo 42 del </w:t>
      </w:r>
      <w:r>
        <w:rPr>
          <w:rFonts w:ascii="Verdana" w:eastAsia="Calibri" w:hAnsi="Verdana" w:cs="Arial"/>
        </w:rPr>
        <w:t>EGCAP</w:t>
      </w:r>
      <w:r w:rsidRPr="00BE5FE3">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w:t>
      </w:r>
      <w:proofErr w:type="spellStart"/>
      <w:r w:rsidRPr="00BE5FE3">
        <w:rPr>
          <w:rFonts w:ascii="Verdana" w:eastAsia="Calibri" w:hAnsi="Verdana" w:cs="Arial"/>
          <w:lang w:val="es-ES_tradnl"/>
        </w:rPr>
        <w:t>ii</w:t>
      </w:r>
      <w:proofErr w:type="spellEnd"/>
      <w:r w:rsidRPr="00BE5FE3">
        <w:rPr>
          <w:rFonts w:ascii="Verdana" w:eastAsia="Calibri" w:hAnsi="Verdana" w:cs="Arial"/>
          <w:lang w:val="es-ES_tradnl"/>
        </w:rPr>
        <w:t xml:space="preserve">) </w:t>
      </w:r>
      <w:r w:rsidRPr="009F143A">
        <w:rPr>
          <w:rFonts w:ascii="Verdana" w:eastAsia="Calibri" w:hAnsi="Verdana" w:cs="Arial"/>
          <w:i/>
          <w:iCs/>
          <w:lang w:val="es-ES_tradnl"/>
        </w:rPr>
        <w:t>cuando se presenten situaciones relacionadas con los estados de excepción</w:t>
      </w:r>
      <w:r w:rsidRPr="00BE5FE3">
        <w:rPr>
          <w:rFonts w:ascii="Verdana" w:eastAsia="Calibri" w:hAnsi="Verdana" w:cs="Arial"/>
          <w:lang w:val="es-ES_tradnl"/>
        </w:rPr>
        <w:t xml:space="preserve">; </w:t>
      </w:r>
      <w:proofErr w:type="spellStart"/>
      <w:r w:rsidRPr="00BE5FE3">
        <w:rPr>
          <w:rFonts w:ascii="Verdana" w:eastAsia="Calibri" w:hAnsi="Verdana" w:cs="Arial"/>
          <w:lang w:val="es-ES_tradnl"/>
        </w:rPr>
        <w:t>iii</w:t>
      </w:r>
      <w:proofErr w:type="spellEnd"/>
      <w:r w:rsidRPr="00BE5FE3">
        <w:rPr>
          <w:rFonts w:ascii="Verdana" w:eastAsia="Calibri" w:hAnsi="Verdana" w:cs="Arial"/>
          <w:lang w:val="es-ES_tradnl"/>
        </w:rPr>
        <w:t xml:space="preserve">) cuando se trate de conjurar situaciones excepcionales relacionadas con hechos de calamidad o constitutivos de fuerza mayor o desastre que demanden actuaciones inmediatas; y </w:t>
      </w:r>
      <w:proofErr w:type="spellStart"/>
      <w:r w:rsidRPr="00BE5FE3">
        <w:rPr>
          <w:rFonts w:ascii="Verdana" w:eastAsia="Calibri" w:hAnsi="Verdana" w:cs="Arial"/>
          <w:lang w:val="es-ES_tradnl"/>
        </w:rPr>
        <w:t>iv</w:t>
      </w:r>
      <w:proofErr w:type="spellEnd"/>
      <w:r w:rsidRPr="00BE5FE3">
        <w:rPr>
          <w:rFonts w:ascii="Verdana" w:eastAsia="Calibri" w:hAnsi="Verdana" w:cs="Arial"/>
          <w:lang w:val="es-ES_tradnl"/>
        </w:rPr>
        <w:t>) en general, cuando se trate de situaciones similares que imposibiliten acudir a los procedimientos de selección o concurso públicos.</w:t>
      </w:r>
    </w:p>
    <w:p w14:paraId="620C575D" w14:textId="77777777" w:rsidR="00471ECE" w:rsidRPr="00BE5FE3" w:rsidRDefault="00471ECE" w:rsidP="00471ECE">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La </w:t>
      </w:r>
      <w:r w:rsidRPr="736CB040">
        <w:rPr>
          <w:rFonts w:ascii="Verdana" w:eastAsia="Calibri" w:hAnsi="Verdana" w:cs="Arial"/>
          <w:i/>
          <w:iCs/>
          <w:lang w:val="es-ES"/>
        </w:rPr>
        <w:t>primera circunstancia</w:t>
      </w:r>
      <w:r w:rsidRPr="736CB040">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w:t>
      </w:r>
      <w:r w:rsidRPr="736CB040">
        <w:rPr>
          <w:rFonts w:ascii="Verdana" w:eastAsia="Calibri" w:hAnsi="Verdana" w:cs="Arial"/>
          <w:lang w:val="es-ES"/>
        </w:rPr>
        <w:lastRenderedPageBreak/>
        <w:t xml:space="preserve">razón por la cual no podría ser discontinuo, pues la interrupción ocasiona problemas graves para la vida colectiva. </w:t>
      </w:r>
    </w:p>
    <w:p w14:paraId="0E808406" w14:textId="77777777" w:rsidR="00471ECE" w:rsidRPr="00BE5FE3" w:rsidRDefault="00471ECE" w:rsidP="00471ECE">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BE5FE3">
        <w:rPr>
          <w:rStyle w:val="Refdenotaalpie"/>
          <w:rFonts w:ascii="Verdana" w:eastAsia="Calibri" w:hAnsi="Verdana" w:cs="Arial"/>
          <w:lang w:val="es-ES_tradnl"/>
        </w:rPr>
        <w:footnoteReference w:id="8"/>
      </w:r>
      <w:r w:rsidRPr="00BE5FE3">
        <w:rPr>
          <w:rFonts w:ascii="Verdana" w:eastAsia="Calibri" w:hAnsi="Verdana" w:cs="Arial"/>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BE5FE3">
        <w:rPr>
          <w:rStyle w:val="Refdenotaalpie"/>
          <w:rFonts w:ascii="Verdana" w:eastAsia="Calibri" w:hAnsi="Verdana" w:cs="Arial"/>
          <w:lang w:val="es-ES_tradnl"/>
        </w:rPr>
        <w:footnoteReference w:id="9"/>
      </w:r>
      <w:r w:rsidRPr="00BE5FE3">
        <w:rPr>
          <w:rFonts w:ascii="Verdana" w:eastAsia="Calibri" w:hAnsi="Verdana" w:cs="Arial"/>
          <w:lang w:val="es-ES_tradnl"/>
        </w:rPr>
        <w:t xml:space="preserve">. </w:t>
      </w:r>
    </w:p>
    <w:p w14:paraId="7355899B" w14:textId="77777777" w:rsidR="00471ECE" w:rsidRPr="00BE5FE3" w:rsidRDefault="00471ECE" w:rsidP="00471ECE">
      <w:pPr>
        <w:spacing w:after="120" w:line="276" w:lineRule="auto"/>
        <w:ind w:firstLine="708"/>
        <w:jc w:val="both"/>
        <w:rPr>
          <w:rFonts w:ascii="Verdana" w:eastAsia="Calibri" w:hAnsi="Verdana" w:cs="Arial"/>
          <w:lang w:val="es-ES"/>
        </w:rPr>
      </w:pPr>
      <w:r w:rsidRPr="54A21AD3">
        <w:rPr>
          <w:rFonts w:ascii="Verdana" w:eastAsia="Calibri" w:hAnsi="Verdana" w:cs="Arial"/>
          <w:lang w:val="es-ES"/>
        </w:rPr>
        <w:t xml:space="preserve">La </w:t>
      </w:r>
      <w:r w:rsidRPr="54A21AD3">
        <w:rPr>
          <w:rFonts w:ascii="Verdana" w:eastAsia="Calibri" w:hAnsi="Verdana" w:cs="Arial"/>
          <w:i/>
          <w:iCs/>
          <w:lang w:val="es-ES"/>
        </w:rPr>
        <w:t>segunda circunstancia</w:t>
      </w:r>
      <w:r w:rsidRPr="54A21AD3">
        <w:rPr>
          <w:rFonts w:ascii="Verdana" w:eastAsia="Calibri" w:hAnsi="Verdana" w:cs="Arial"/>
          <w:lang w:val="es-ES"/>
        </w:rPr>
        <w:t xml:space="preserve">, la cual es aplicable al caso que se estudia en el presente concepto, en virtud de la expedición del Decreto 62 de 2025, se presenta en las situaciones relacionadas con los estados de excepción, siendo necesaria la remisión a los artículos 212, 213 y 215 superiores. Estas normas se refieren a la declaración de los estados de guerra exterior, </w:t>
      </w:r>
      <w:r w:rsidRPr="54A21AD3">
        <w:rPr>
          <w:rFonts w:ascii="Verdana" w:eastAsia="Calibri" w:hAnsi="Verdana" w:cs="Arial"/>
          <w:i/>
          <w:iCs/>
          <w:lang w:val="es-ES"/>
        </w:rPr>
        <w:t>conmoción interior</w:t>
      </w:r>
      <w:r w:rsidRPr="54A21AD3">
        <w:rPr>
          <w:rFonts w:ascii="Verdana" w:eastAsia="Calibri" w:hAnsi="Verdana" w:cs="Arial"/>
          <w:lang w:val="es-ES"/>
        </w:rPr>
        <w:t xml:space="preserve"> y emergencia económica, social y ecológica. De hecho, el uso indiscriminado, excesivo e incontrolado del estado de sitio, durante la vigencia de la Constitución Nacional de 1886, llevó a que los supuestos fácticos, las facultades y los controles adscritos a cada uno de ellos fueran específicamente regulados tanto en la Constitución Política como en la Ley Estatutaria 137 de 1994</w:t>
      </w:r>
      <w:r w:rsidRPr="54A21AD3">
        <w:rPr>
          <w:rStyle w:val="Refdenotaalpie"/>
          <w:rFonts w:ascii="Verdana" w:eastAsia="Calibri" w:hAnsi="Verdana" w:cs="Arial"/>
          <w:lang w:val="es-ES"/>
        </w:rPr>
        <w:footnoteReference w:id="10"/>
      </w:r>
      <w:r w:rsidRPr="54A21AD3">
        <w:rPr>
          <w:rFonts w:ascii="Verdana" w:eastAsia="Calibri" w:hAnsi="Verdana" w:cs="Arial"/>
          <w:lang w:val="es-ES"/>
        </w:rPr>
        <w:t xml:space="preserve">. </w:t>
      </w:r>
    </w:p>
    <w:p w14:paraId="338CFEB0" w14:textId="77777777" w:rsidR="00471ECE" w:rsidRPr="00BE5FE3" w:rsidRDefault="00471ECE" w:rsidP="00471ECE">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w:t>
      </w:r>
      <w:r w:rsidRPr="009B52FD">
        <w:rPr>
          <w:rFonts w:ascii="Verdana" w:eastAsia="Calibri" w:hAnsi="Verdana" w:cs="Arial"/>
          <w:u w:val="single"/>
          <w:lang w:val="es-ES"/>
        </w:rPr>
        <w:t xml:space="preserve">las entidades pueden contratar directamente, por urgencia manifiesta, como medida </w:t>
      </w:r>
      <w:r w:rsidRPr="009B52FD">
        <w:rPr>
          <w:rFonts w:ascii="Verdana" w:eastAsia="Calibri" w:hAnsi="Verdana" w:cs="Arial"/>
          <w:i/>
          <w:iCs/>
          <w:u w:val="single"/>
          <w:lang w:val="es-ES"/>
        </w:rPr>
        <w:t>pro tempore</w:t>
      </w:r>
      <w:r w:rsidRPr="009B52FD">
        <w:rPr>
          <w:rFonts w:ascii="Verdana" w:eastAsia="Calibri" w:hAnsi="Verdana" w:cs="Arial"/>
          <w:u w:val="single"/>
          <w:lang w:val="es-ES"/>
        </w:rPr>
        <w:t xml:space="preserve"> para adquirir bienes y servicios que permitan superar la crisis</w:t>
      </w:r>
      <w:r w:rsidRPr="736CB040">
        <w:rPr>
          <w:rFonts w:ascii="Verdana" w:eastAsia="Calibri" w:hAnsi="Verdana" w:cs="Arial"/>
          <w:lang w:val="es-ES"/>
        </w:rPr>
        <w:t xml:space="preserve">. En contraste, cuando cesen las causas, las entidades deben contratar de conformidad con las reglas generales del </w:t>
      </w:r>
      <w:r>
        <w:rPr>
          <w:rFonts w:ascii="Verdana" w:eastAsia="Calibri" w:hAnsi="Verdana" w:cs="Arial"/>
          <w:lang w:val="es-ES"/>
        </w:rPr>
        <w:t>EGCAP</w:t>
      </w:r>
      <w:r w:rsidRPr="736CB040">
        <w:rPr>
          <w:rFonts w:ascii="Verdana" w:eastAsia="Calibri" w:hAnsi="Verdana" w:cs="Arial"/>
          <w:lang w:val="es-ES"/>
        </w:rPr>
        <w:t>.</w:t>
      </w:r>
    </w:p>
    <w:p w14:paraId="431377AF" w14:textId="77777777" w:rsidR="00471ECE" w:rsidRPr="00BE5FE3" w:rsidRDefault="00471ECE" w:rsidP="00471ECE">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lastRenderedPageBreak/>
        <w:t xml:space="preserve">En este supuesto, cuando se declara un estado de excepción se configura el supuesto para declarar a continuación la “urgencia manifiesta”, por parte de cualquier entidad estatal regida por la Ley 80 de 1993, por configurarse uno de los cuatro (4) supuestos </w:t>
      </w:r>
      <w:r>
        <w:rPr>
          <w:rFonts w:ascii="Verdana" w:eastAsia="Calibri" w:hAnsi="Verdana" w:cs="Arial"/>
          <w:lang w:val="es-ES_tradnl"/>
        </w:rPr>
        <w:t xml:space="preserve">establecidos en </w:t>
      </w:r>
      <w:r w:rsidRPr="00BE5FE3">
        <w:rPr>
          <w:rFonts w:ascii="Verdana" w:eastAsia="Calibri" w:hAnsi="Verdana" w:cs="Arial"/>
          <w:lang w:val="es-ES_tradnl"/>
        </w:rPr>
        <w:t>el art</w:t>
      </w:r>
      <w:r>
        <w:rPr>
          <w:rFonts w:ascii="Verdana" w:eastAsia="Calibri" w:hAnsi="Verdana" w:cs="Arial"/>
          <w:lang w:val="es-ES_tradnl"/>
        </w:rPr>
        <w:t>ículo</w:t>
      </w:r>
      <w:r w:rsidRPr="00BE5FE3">
        <w:rPr>
          <w:rFonts w:ascii="Verdana" w:eastAsia="Calibri" w:hAnsi="Verdana" w:cs="Arial"/>
          <w:lang w:val="es-ES_tradnl"/>
        </w:rPr>
        <w:t xml:space="preserve">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5CE354EE" w14:textId="77777777" w:rsidR="00471ECE" w:rsidRPr="00BE5FE3" w:rsidRDefault="00471ECE" w:rsidP="00471ECE">
      <w:pPr>
        <w:spacing w:after="120" w:line="276" w:lineRule="auto"/>
        <w:ind w:firstLine="708"/>
        <w:jc w:val="both"/>
        <w:rPr>
          <w:rFonts w:ascii="Verdana" w:eastAsia="Calibri" w:hAnsi="Verdana" w:cs="Arial"/>
          <w:sz w:val="21"/>
          <w:szCs w:val="21"/>
          <w:lang w:val="es-ES_tradnl"/>
        </w:rPr>
      </w:pPr>
      <w:r w:rsidRPr="00BE5FE3">
        <w:rPr>
          <w:rFonts w:ascii="Verdana" w:eastAsia="Calibri" w:hAnsi="Verdana" w:cs="Arial"/>
          <w:lang w:val="es-ES_tradnl"/>
        </w:rPr>
        <w:t xml:space="preserve">La </w:t>
      </w:r>
      <w:r w:rsidRPr="00BE5FE3">
        <w:rPr>
          <w:rFonts w:ascii="Verdana" w:eastAsia="Calibri" w:hAnsi="Verdana" w:cs="Arial"/>
          <w:i/>
          <w:iCs/>
          <w:lang w:val="es-ES_tradnl"/>
        </w:rPr>
        <w:t>tercera circunstancia</w:t>
      </w:r>
      <w:r w:rsidRPr="00BE5FE3">
        <w:rPr>
          <w:rFonts w:ascii="Verdana" w:eastAsia="Calibri" w:hAnsi="Verdana" w:cs="Arial"/>
          <w:lang w:val="es-ES_tradnl"/>
        </w:rPr>
        <w:t xml:space="preserve"> surge de la necesidad de conjurar situaciones excepcionales relacionadas con </w:t>
      </w:r>
      <w:r w:rsidRPr="00BE5FE3">
        <w:rPr>
          <w:rFonts w:ascii="Verdana" w:eastAsia="Calibri" w:hAnsi="Verdana" w:cs="Arial"/>
          <w:i/>
          <w:iCs/>
          <w:lang w:val="es-ES_tradnl"/>
        </w:rPr>
        <w:t>hechos de calamidad o constitutivos de fuerza mayor o desastre</w:t>
      </w:r>
      <w:r w:rsidRPr="00BE5FE3">
        <w:rPr>
          <w:rFonts w:ascii="Verdana" w:eastAsia="Calibri" w:hAnsi="Verdana" w:cs="Arial"/>
          <w:lang w:val="es-ES_tradnl"/>
        </w:rPr>
        <w:t xml:space="preserve"> que demanden actuaciones inmediatas, causa que –conforme se analiza en el siguiente acápite– exige tener en cuenta lo previsto en la Ley 1523 de 2012. Lo anterior sin perjuicio de que, conforme a la cuarta circunstancia, surjan situaciones similares que imposibiliten acudir a los procedimientos de selección o concurso públicos. </w:t>
      </w:r>
    </w:p>
    <w:p w14:paraId="183E1EEE" w14:textId="77777777" w:rsidR="00471ECE" w:rsidRPr="00BE5FE3" w:rsidRDefault="00471ECE" w:rsidP="00471ECE">
      <w:pPr>
        <w:spacing w:after="120" w:line="276" w:lineRule="auto"/>
        <w:ind w:firstLine="708"/>
        <w:jc w:val="both"/>
        <w:rPr>
          <w:rFonts w:ascii="Verdana" w:eastAsia="Calibri" w:hAnsi="Verdana" w:cs="Arial"/>
          <w:lang w:val="es-ES_tradnl"/>
        </w:rPr>
      </w:pPr>
      <w:bookmarkStart w:id="7" w:name="_Hlk132729706"/>
      <w:r w:rsidRPr="00BE5FE3">
        <w:rPr>
          <w:rFonts w:ascii="Verdana" w:eastAsia="Calibri" w:hAnsi="Verdana" w:cs="Arial"/>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BE5FE3">
        <w:rPr>
          <w:rStyle w:val="Refdenotaalpie"/>
          <w:rFonts w:ascii="Verdana" w:eastAsia="Calibri" w:hAnsi="Verdana" w:cs="Arial"/>
          <w:sz w:val="21"/>
          <w:szCs w:val="21"/>
          <w:lang w:val="es-ES_tradnl"/>
        </w:rPr>
        <w:footnoteReference w:id="11"/>
      </w:r>
      <w:r w:rsidRPr="00BE5FE3">
        <w:rPr>
          <w:rFonts w:ascii="Verdana" w:eastAsia="Calibri" w:hAnsi="Verdana" w:cs="Arial"/>
          <w:sz w:val="21"/>
          <w:szCs w:val="21"/>
          <w:lang w:val="es-ES_tradnl"/>
        </w:rPr>
        <w:t>.</w:t>
      </w:r>
    </w:p>
    <w:bookmarkEnd w:id="7"/>
    <w:p w14:paraId="22355C97" w14:textId="77777777" w:rsidR="00471ECE" w:rsidRPr="00BE5FE3" w:rsidRDefault="00471ECE" w:rsidP="00471ECE">
      <w:pPr>
        <w:spacing w:after="120" w:line="276" w:lineRule="auto"/>
        <w:ind w:firstLine="708"/>
        <w:jc w:val="both"/>
        <w:rPr>
          <w:rFonts w:ascii="Verdana" w:eastAsia="Calibri" w:hAnsi="Verdana" w:cs="Arial"/>
          <w:lang w:val="es-ES_tradnl"/>
        </w:rPr>
      </w:pPr>
      <w:r w:rsidRPr="00BE5FE3">
        <w:rPr>
          <w:rFonts w:ascii="Verdana" w:eastAsia="Calibri" w:hAnsi="Verdana" w:cs="Arial"/>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BE5FE3">
        <w:rPr>
          <w:rFonts w:ascii="Verdana" w:eastAsia="Calibri" w:hAnsi="Verdana" w:cs="Arial"/>
          <w:i/>
          <w:iCs/>
          <w:lang w:val="es-ES_tradnl"/>
        </w:rPr>
        <w:t>ibidem</w:t>
      </w:r>
      <w:r w:rsidRPr="00BE5FE3">
        <w:rPr>
          <w:rFonts w:ascii="Verdana" w:eastAsia="Calibri" w:hAnsi="Verdana" w:cs="Arial"/>
          <w:lang w:val="es-ES_tradnl"/>
        </w:rPr>
        <w:t xml:space="preserve">. Adicionalmente, no es necesario realizar estudios previos, como lo dispone el </w:t>
      </w:r>
      <w:r w:rsidRPr="00BE5FE3">
        <w:rPr>
          <w:rFonts w:ascii="Verdana" w:eastAsia="Calibri" w:hAnsi="Verdana" w:cs="Arial"/>
          <w:lang w:val="es-ES_tradnl"/>
        </w:rPr>
        <w:lastRenderedPageBreak/>
        <w:t>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742DD54F" w14:textId="77777777" w:rsidR="00471ECE" w:rsidRPr="00BE5FE3" w:rsidRDefault="00471ECE" w:rsidP="00471ECE">
      <w:pPr>
        <w:spacing w:after="120" w:line="276" w:lineRule="auto"/>
        <w:ind w:firstLine="708"/>
        <w:jc w:val="both"/>
        <w:rPr>
          <w:rFonts w:ascii="Verdana" w:eastAsia="Calibri" w:hAnsi="Verdana" w:cs="Arial"/>
          <w:lang w:val="es-ES"/>
        </w:rPr>
      </w:pPr>
      <w:r w:rsidRPr="736CB040">
        <w:rPr>
          <w:rFonts w:ascii="Verdana" w:eastAsia="Calibri" w:hAnsi="Verdana" w:cs="Arial"/>
          <w:lang w:val="es-ES"/>
        </w:rPr>
        <w:t xml:space="preserve">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w:t>
      </w:r>
      <w:proofErr w:type="gramStart"/>
      <w:r w:rsidRPr="736CB040">
        <w:rPr>
          <w:rFonts w:ascii="Verdana" w:eastAsia="Calibri" w:hAnsi="Verdana" w:cs="Arial"/>
          <w:lang w:val="es-ES"/>
        </w:rPr>
        <w:t>norma,</w:t>
      </w:r>
      <w:proofErr w:type="gramEnd"/>
      <w:r w:rsidRPr="736CB040">
        <w:rPr>
          <w:rFonts w:ascii="Verdana" w:eastAsia="Calibri" w:hAnsi="Verdana" w:cs="Arial"/>
          <w:lang w:val="es-ES"/>
        </w:rPr>
        <w:t xml:space="preserve"> se efectúen afectando exclusivamente el anexo del decreto de liquidación del Presupuesto”</w:t>
      </w:r>
      <w:r w:rsidRPr="736CB040">
        <w:rPr>
          <w:rFonts w:ascii="Verdana" w:eastAsia="Calibri" w:hAnsi="Verdana" w:cs="Arial"/>
          <w:vertAlign w:val="superscript"/>
          <w:lang w:val="es-ES"/>
        </w:rPr>
        <w:footnoteReference w:id="12"/>
      </w:r>
      <w:r w:rsidRPr="736CB040">
        <w:rPr>
          <w:rFonts w:ascii="Verdana" w:eastAsia="Calibri" w:hAnsi="Verdana" w:cs="Arial"/>
          <w:lang w:val="es-ES"/>
        </w:rPr>
        <w:t xml:space="preserve">. </w:t>
      </w:r>
    </w:p>
    <w:p w14:paraId="1D5D2A58" w14:textId="77777777" w:rsidR="00471ECE" w:rsidRDefault="00471ECE" w:rsidP="00471ECE">
      <w:pPr>
        <w:spacing w:after="120" w:line="276" w:lineRule="auto"/>
        <w:ind w:firstLine="709"/>
        <w:jc w:val="both"/>
        <w:rPr>
          <w:rFonts w:ascii="Verdana" w:eastAsia="Arial MT" w:hAnsi="Verdana" w:cs="Arial"/>
          <w:lang w:val="es-ES" w:eastAsia="es-ES" w:bidi="es-ES"/>
        </w:rPr>
      </w:pPr>
      <w:r>
        <w:rPr>
          <w:rFonts w:ascii="Verdana" w:eastAsia="Arial MT" w:hAnsi="Verdana" w:cs="Arial"/>
          <w:lang w:val="es-ES" w:eastAsia="es-ES" w:bidi="es-ES"/>
        </w:rPr>
        <w:t>Por último, en el marco de la declaratoria de conmoción interior en la región del Catatumbo a través del Decreto 62 de 2025, el Gobierno Nacional expidió un conjunto de decretos</w:t>
      </w:r>
      <w:r w:rsidRPr="00A70BF4">
        <w:rPr>
          <w:rFonts w:ascii="Verdana" w:eastAsia="Arial MT" w:hAnsi="Verdana" w:cs="Arial"/>
          <w:lang w:val="es-ES" w:eastAsia="es-ES" w:bidi="es-ES"/>
        </w:rPr>
        <w:t xml:space="preserve"> </w:t>
      </w:r>
      <w:r>
        <w:rPr>
          <w:rFonts w:ascii="Verdana" w:eastAsia="Arial MT" w:hAnsi="Verdana" w:cs="Arial"/>
          <w:lang w:val="es-ES" w:eastAsia="es-ES" w:bidi="es-ES"/>
        </w:rPr>
        <w:t xml:space="preserve">sectoriales que adoptan medidas en diferentes materias y que valdría la pena sean revisados en detalle por cada Administración, con el propósito de que la contratación que se pretenda adelantar se ajuste, en primer lugar, a las reglas, principios y procedimientos del EGCAP, y en segundo lugar, a las instrucciones que contemplen dichos decretos en la medida en que apliquen para el sector en el cual se procure incidir con los contratos a celebrar. </w:t>
      </w:r>
    </w:p>
    <w:p w14:paraId="1A2E2226" w14:textId="77777777" w:rsidR="00471ECE" w:rsidRDefault="00471ECE" w:rsidP="00471ECE">
      <w:pPr>
        <w:spacing w:after="120" w:line="276" w:lineRule="auto"/>
        <w:ind w:firstLine="709"/>
        <w:jc w:val="both"/>
        <w:rPr>
          <w:rFonts w:ascii="Verdana" w:hAnsi="Verdana"/>
        </w:rPr>
      </w:pPr>
      <w:r>
        <w:rPr>
          <w:rFonts w:ascii="Verdana" w:eastAsia="Arial MT" w:hAnsi="Verdana" w:cs="Arial"/>
          <w:lang w:eastAsia="es-ES" w:bidi="es-ES"/>
        </w:rPr>
        <w:t>En síntesis, cada entidad estatal deberá determinar la necesidad, verificar la oferta, adquirir a precios justos y razonables, garantizar la amplia publicidad de los bienes, obras o servicios a adquirir, promover la permanente trazabilidad de los precios, establecer mecanismos de control y verificación de la gestión contractual, articular los contratos que busquen conjurar</w:t>
      </w:r>
      <w:r>
        <w:rPr>
          <w:rFonts w:ascii="Verdana" w:hAnsi="Verdana"/>
        </w:rPr>
        <w:t xml:space="preserve"> la perturbación del orden público e impedir la extensión de sus efectos y permitir el acceso a los organismos de control a la información sobre los contratos, para toda la actividad contractual que surja de la declaratoria del Estado de Conmoción </w:t>
      </w:r>
      <w:proofErr w:type="spellStart"/>
      <w:r>
        <w:rPr>
          <w:rFonts w:ascii="Verdana" w:hAnsi="Verdana"/>
        </w:rPr>
        <w:t>Interioren</w:t>
      </w:r>
      <w:proofErr w:type="spellEnd"/>
      <w:r>
        <w:rPr>
          <w:rFonts w:ascii="Verdana" w:hAnsi="Verdana"/>
        </w:rPr>
        <w:t xml:space="preserve"> la región del Catatumbo, la cual deberá observar las normas de rango constitucional, los principios y reglas aplicables del EGCAP y las normas que hubiesen sido expedidas con ocasión de esta, tales como decretos legislativos, </w:t>
      </w:r>
      <w:r>
        <w:rPr>
          <w:rFonts w:ascii="Verdana" w:hAnsi="Verdana"/>
        </w:rPr>
        <w:lastRenderedPageBreak/>
        <w:t xml:space="preserve">regionales y resoluciones que contemplen medidas para </w:t>
      </w:r>
      <w:r w:rsidRPr="006F4740">
        <w:rPr>
          <w:rFonts w:ascii="Verdana" w:hAnsi="Verdana"/>
        </w:rPr>
        <w:t>conjurar las causas de la perturbación al orden público e impedir la extensión de sus efectos</w:t>
      </w:r>
      <w:r>
        <w:rPr>
          <w:rFonts w:ascii="Verdana" w:hAnsi="Verdana"/>
        </w:rPr>
        <w:t>, además de las reglas ya establecidas en el Estatuto Anticorrupción Ley 1474 de 2011.</w:t>
      </w:r>
    </w:p>
    <w:p w14:paraId="76E0DDC6" w14:textId="77777777" w:rsidR="00471ECE" w:rsidRDefault="00471ECE" w:rsidP="00471ECE">
      <w:pPr>
        <w:spacing w:after="0" w:line="276" w:lineRule="auto"/>
        <w:ind w:firstLine="709"/>
        <w:jc w:val="both"/>
        <w:rPr>
          <w:rFonts w:ascii="Verdana" w:hAnsi="Verdana"/>
        </w:rPr>
      </w:pPr>
      <w:r>
        <w:rPr>
          <w:rFonts w:ascii="Verdana" w:hAnsi="Verdana"/>
        </w:rPr>
        <w:t>En lo que respecta a las adiciones de los contratos estatales que se celebren en el marco del estado de conmoción interior, mediante el Decreto 62 de 2025, e</w:t>
      </w:r>
      <w:r>
        <w:rPr>
          <w:rFonts w:ascii="Verdana" w:eastAsia="Arial MT" w:hAnsi="Verdana" w:cs="Arial"/>
          <w:lang w:val="es-ES" w:eastAsia="es-ES" w:bidi="es-ES"/>
        </w:rPr>
        <w:t xml:space="preserve">l </w:t>
      </w:r>
      <w:r w:rsidRPr="008F45EC">
        <w:rPr>
          <w:rFonts w:ascii="Verdana" w:eastAsia="Arial MT" w:hAnsi="Verdana" w:cs="Arial"/>
          <w:lang w:val="es-ES" w:eastAsia="es-ES" w:bidi="es-ES"/>
        </w:rPr>
        <w:t>Estatuto General de Contratación de la Administración Pública</w:t>
      </w:r>
      <w:r>
        <w:rPr>
          <w:rFonts w:ascii="Verdana" w:eastAsia="Arial MT" w:hAnsi="Verdana" w:cs="Arial"/>
          <w:lang w:val="es-ES" w:eastAsia="es-ES" w:bidi="es-ES"/>
        </w:rPr>
        <w:t xml:space="preserve"> contempla la</w:t>
      </w:r>
      <w:r w:rsidRPr="008F45EC">
        <w:rPr>
          <w:rFonts w:ascii="Verdana" w:eastAsia="Arial MT" w:hAnsi="Verdana" w:cs="Arial"/>
          <w:lang w:val="es-ES" w:eastAsia="es-ES" w:bidi="es-ES"/>
        </w:rPr>
        <w:t xml:space="preserve"> restricción establecida en el inciso segundo del parágrafo del artículo 40 de la Ley 80 de 1993</w:t>
      </w:r>
      <w:r>
        <w:rPr>
          <w:rFonts w:ascii="Verdana" w:eastAsia="Arial MT" w:hAnsi="Verdana" w:cs="Arial"/>
          <w:lang w:val="es-ES" w:eastAsia="es-ES" w:bidi="es-ES"/>
        </w:rPr>
        <w:t xml:space="preserve"> que consiste en que l</w:t>
      </w:r>
      <w:r w:rsidRPr="007039A3">
        <w:rPr>
          <w:rFonts w:ascii="Verdana" w:eastAsia="Arial MT" w:hAnsi="Verdana" w:cs="Arial"/>
          <w:lang w:val="es-ES" w:eastAsia="es-ES" w:bidi="es-ES"/>
        </w:rPr>
        <w:t>os contratos no podrán adicionarse en más del cincuenta por ciento (50%) de su valor inicial, expresado éste en salarios mínimos legales mensuales</w:t>
      </w:r>
      <w:r w:rsidRPr="00895970">
        <w:rPr>
          <w:rFonts w:ascii="Verdana" w:eastAsia="Arial MT" w:hAnsi="Verdana" w:cs="Arial"/>
          <w:lang w:val="es-ES" w:eastAsia="es-ES" w:bidi="es-ES"/>
        </w:rPr>
        <w:t>.</w:t>
      </w:r>
      <w:r>
        <w:rPr>
          <w:rFonts w:ascii="Verdana" w:eastAsia="Arial MT" w:hAnsi="Verdana" w:cs="Arial"/>
          <w:lang w:val="es-ES" w:eastAsia="es-ES" w:bidi="es-ES"/>
        </w:rPr>
        <w:t xml:space="preserve"> En ese orden, en vista de que el decreto en cita no estableció una regla diferente en torno a la adición de las contrataciones que se efectúen en el marco del estado de conmoción interior, a todos aquellos contratos celebrados con el propósito de conjurar </w:t>
      </w:r>
      <w:r w:rsidRPr="006F4740">
        <w:rPr>
          <w:rFonts w:ascii="Verdana" w:hAnsi="Verdana"/>
        </w:rPr>
        <w:t>las causas de la perturbación al orden público e impedir la extensión de sus efectos</w:t>
      </w:r>
      <w:r>
        <w:rPr>
          <w:rFonts w:ascii="Verdana" w:hAnsi="Verdana"/>
        </w:rPr>
        <w:t xml:space="preserve"> en la región del Catatumbo les aplica dicha restricción.</w:t>
      </w:r>
    </w:p>
    <w:p w14:paraId="2BA8EA32" w14:textId="77777777" w:rsidR="00471ECE" w:rsidRDefault="00471ECE" w:rsidP="00471ECE">
      <w:pPr>
        <w:widowControl w:val="0"/>
        <w:autoSpaceDE w:val="0"/>
        <w:autoSpaceDN w:val="0"/>
        <w:spacing w:after="0" w:line="276" w:lineRule="auto"/>
        <w:ind w:firstLine="709"/>
        <w:jc w:val="both"/>
        <w:rPr>
          <w:rFonts w:ascii="Verdana" w:eastAsia="Arial" w:hAnsi="Verdana" w:cs="Arial"/>
          <w:lang w:eastAsia="es-ES" w:bidi="es-ES"/>
        </w:rPr>
      </w:pPr>
    </w:p>
    <w:p w14:paraId="0A2D3DFC" w14:textId="77777777" w:rsidR="00471ECE" w:rsidRPr="005B7C42" w:rsidRDefault="00471ECE" w:rsidP="00471ECE">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04AF9A68" w14:textId="77777777" w:rsidR="00471ECE" w:rsidRPr="005B7C42" w:rsidRDefault="00471ECE" w:rsidP="00471EC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1ECE" w:rsidRPr="005B7C42" w14:paraId="5F800FA7" w14:textId="77777777" w:rsidTr="00E96214">
        <w:trPr>
          <w:trHeight w:val="870"/>
        </w:trPr>
        <w:tc>
          <w:tcPr>
            <w:tcW w:w="8647" w:type="dxa"/>
          </w:tcPr>
          <w:p w14:paraId="5FC3418D" w14:textId="77777777" w:rsidR="00471ECE" w:rsidRPr="00F82E29"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F82E29">
              <w:rPr>
                <w:rFonts w:ascii="Verdana" w:eastAsia="Arial MT" w:hAnsi="Verdana" w:cs="Arial"/>
                <w:lang w:eastAsia="es-ES" w:bidi="es-ES"/>
              </w:rPr>
              <w:t>Constitución Política de 1991</w:t>
            </w:r>
            <w:r>
              <w:rPr>
                <w:rFonts w:ascii="Verdana" w:eastAsia="Arial MT" w:hAnsi="Verdana" w:cs="Arial"/>
                <w:lang w:eastAsia="es-ES" w:bidi="es-ES"/>
              </w:rPr>
              <w:t>, artículos 213, 214 y 215</w:t>
            </w:r>
          </w:p>
          <w:p w14:paraId="60B699C9"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C97020">
              <w:rPr>
                <w:rFonts w:ascii="Verdana" w:eastAsia="Calibri" w:hAnsi="Verdana" w:cs="Arial"/>
                <w:color w:val="000000"/>
                <w:lang w:eastAsia="es-ES"/>
              </w:rPr>
              <w:t>Ley 137 de 1994 -Estatutaria de los Estados de Excepción-</w:t>
            </w:r>
          </w:p>
          <w:p w14:paraId="58368C82" w14:textId="77777777" w:rsidR="00471ECE"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BE5FE3">
              <w:rPr>
                <w:rFonts w:ascii="Verdana" w:eastAsia="Calibri" w:hAnsi="Verdana" w:cs="Arial"/>
                <w:lang w:val="es-ES_tradnl"/>
              </w:rPr>
              <w:t>Decreto-Ley 222 de 1983</w:t>
            </w:r>
            <w:r>
              <w:rPr>
                <w:rFonts w:ascii="Verdana" w:eastAsia="Calibri" w:hAnsi="Verdana" w:cs="Arial"/>
                <w:lang w:val="es-ES_tradnl"/>
              </w:rPr>
              <w:t xml:space="preserve">, </w:t>
            </w:r>
            <w:r w:rsidRPr="00882A41">
              <w:rPr>
                <w:rFonts w:ascii="Verdana" w:eastAsia="Calibri" w:hAnsi="Verdana" w:cs="Arial"/>
                <w:lang w:val="es-ES_tradnl"/>
              </w:rPr>
              <w:t>artículo 43.16</w:t>
            </w:r>
          </w:p>
          <w:p w14:paraId="3FB944EC" w14:textId="77777777" w:rsidR="00471ECE" w:rsidRPr="0043496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BE5FE3">
              <w:rPr>
                <w:rFonts w:ascii="Verdana" w:eastAsia="Calibri" w:hAnsi="Verdana" w:cs="Arial"/>
                <w:lang w:val="es-ES_tradnl"/>
              </w:rPr>
              <w:t>Ley 80 de 1993</w:t>
            </w:r>
            <w:r>
              <w:rPr>
                <w:rFonts w:ascii="Verdana" w:eastAsia="Calibri" w:hAnsi="Verdana" w:cs="Arial"/>
                <w:lang w:val="es-ES_tradnl"/>
              </w:rPr>
              <w:t xml:space="preserve">, </w:t>
            </w:r>
            <w:r w:rsidRPr="00BE5FE3">
              <w:rPr>
                <w:rFonts w:ascii="Verdana" w:eastAsia="Calibri" w:hAnsi="Verdana" w:cs="Arial"/>
                <w:lang w:val="es-ES_tradnl"/>
              </w:rPr>
              <w:t>artículos</w:t>
            </w:r>
            <w:r>
              <w:rPr>
                <w:rFonts w:ascii="Verdana" w:eastAsia="Calibri" w:hAnsi="Verdana" w:cs="Arial"/>
                <w:lang w:val="es-ES_tradnl"/>
              </w:rPr>
              <w:t xml:space="preserve"> 3, </w:t>
            </w:r>
            <w:r w:rsidRPr="00BE5FE3">
              <w:rPr>
                <w:rFonts w:ascii="Verdana" w:eastAsia="Calibri" w:hAnsi="Verdana" w:cs="Arial"/>
                <w:lang w:val="es-ES_tradnl"/>
              </w:rPr>
              <w:t>11</w:t>
            </w:r>
            <w:r>
              <w:rPr>
                <w:rFonts w:ascii="Verdana" w:eastAsia="Calibri" w:hAnsi="Verdana" w:cs="Arial"/>
                <w:lang w:val="es-ES_tradnl"/>
              </w:rPr>
              <w:t>,</w:t>
            </w:r>
            <w:r w:rsidRPr="00BE5FE3">
              <w:rPr>
                <w:rFonts w:ascii="Verdana" w:eastAsia="Calibri" w:hAnsi="Verdana" w:cs="Arial"/>
                <w:lang w:val="es-ES_tradnl"/>
              </w:rPr>
              <w:t xml:space="preserve"> 12</w:t>
            </w:r>
            <w:r>
              <w:rPr>
                <w:rFonts w:ascii="Verdana" w:eastAsia="Calibri" w:hAnsi="Verdana" w:cs="Arial"/>
                <w:lang w:val="es-ES_tradnl"/>
              </w:rPr>
              <w:t>, 40 y 42</w:t>
            </w:r>
          </w:p>
          <w:p w14:paraId="4195E894"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8879EF">
              <w:rPr>
                <w:rFonts w:ascii="Verdana" w:eastAsia="Calibri" w:hAnsi="Verdana" w:cs="Arial"/>
                <w:color w:val="000000"/>
                <w:lang w:eastAsia="es-ES"/>
              </w:rPr>
              <w:t>Ley 1150 de 2007 artículo 2.4</w:t>
            </w:r>
            <w:r>
              <w:rPr>
                <w:rFonts w:ascii="Verdana" w:eastAsia="Calibri" w:hAnsi="Verdana" w:cs="Arial"/>
                <w:color w:val="000000"/>
                <w:lang w:eastAsia="es-ES"/>
              </w:rPr>
              <w:t xml:space="preserve">, </w:t>
            </w:r>
            <w:r w:rsidRPr="008879EF">
              <w:rPr>
                <w:rFonts w:ascii="Verdana" w:eastAsia="Calibri" w:hAnsi="Verdana" w:cs="Arial"/>
                <w:color w:val="000000"/>
                <w:lang w:eastAsia="es-ES"/>
              </w:rPr>
              <w:t>literal a)</w:t>
            </w:r>
          </w:p>
          <w:p w14:paraId="2F083D40"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DF176F">
              <w:rPr>
                <w:rFonts w:ascii="Verdana" w:eastAsia="Calibri" w:hAnsi="Verdana" w:cs="Arial"/>
                <w:color w:val="000000"/>
                <w:lang w:eastAsia="es-ES"/>
              </w:rPr>
              <w:t>Ley 1474 de 2011</w:t>
            </w:r>
          </w:p>
          <w:p w14:paraId="6A227EAA"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BE5FE3">
              <w:rPr>
                <w:rFonts w:ascii="Verdana" w:eastAsia="Calibri" w:hAnsi="Verdana" w:cs="Arial"/>
                <w:lang w:val="es-ES_tradnl"/>
              </w:rPr>
              <w:t>Decreto 1082 de 2015</w:t>
            </w:r>
            <w:r>
              <w:rPr>
                <w:rFonts w:ascii="Verdana" w:eastAsia="Calibri" w:hAnsi="Verdana" w:cs="Arial"/>
                <w:lang w:val="es-ES_tradnl"/>
              </w:rPr>
              <w:t xml:space="preserve">, artículo </w:t>
            </w:r>
            <w:r w:rsidRPr="00BE5FE3">
              <w:rPr>
                <w:rFonts w:ascii="Verdana" w:eastAsia="Calibri" w:hAnsi="Verdana" w:cs="Arial"/>
                <w:lang w:val="es-ES_tradnl"/>
              </w:rPr>
              <w:t>2.2.1.2.1.4.2</w:t>
            </w:r>
          </w:p>
          <w:p w14:paraId="4862255C"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9F680A">
              <w:rPr>
                <w:rFonts w:ascii="Verdana" w:eastAsia="Calibri" w:hAnsi="Verdana" w:cs="Arial"/>
                <w:color w:val="000000"/>
                <w:lang w:eastAsia="es-ES"/>
              </w:rPr>
              <w:t>Decreto 62 de 2025</w:t>
            </w:r>
          </w:p>
          <w:p w14:paraId="78401FF2" w14:textId="77777777" w:rsidR="00471ECE" w:rsidRDefault="00471ECE" w:rsidP="00471ECE">
            <w:pPr>
              <w:pStyle w:val="Prrafodelista"/>
              <w:numPr>
                <w:ilvl w:val="0"/>
                <w:numId w:val="1"/>
              </w:numPr>
              <w:spacing w:line="259" w:lineRule="auto"/>
              <w:ind w:left="714" w:hanging="357"/>
              <w:contextualSpacing w:val="0"/>
              <w:jc w:val="both"/>
              <w:rPr>
                <w:rFonts w:ascii="Verdana" w:eastAsia="Calibri" w:hAnsi="Verdana" w:cs="Arial"/>
                <w:color w:val="000000"/>
                <w:lang w:eastAsia="es-ES"/>
              </w:rPr>
            </w:pPr>
            <w:r w:rsidRPr="00C049F3">
              <w:rPr>
                <w:rFonts w:ascii="Verdana" w:eastAsia="Calibri" w:hAnsi="Verdana" w:cs="Arial"/>
                <w:color w:val="000000"/>
                <w:lang w:eastAsia="es-ES"/>
              </w:rPr>
              <w:t>Decreto 107 de 2025</w:t>
            </w:r>
            <w:r>
              <w:rPr>
                <w:rFonts w:ascii="Verdana" w:eastAsia="Calibri" w:hAnsi="Verdana" w:cs="Arial"/>
                <w:color w:val="000000"/>
                <w:lang w:eastAsia="es-ES"/>
              </w:rPr>
              <w:t>,</w:t>
            </w:r>
            <w:r w:rsidRPr="00C049F3">
              <w:rPr>
                <w:rFonts w:ascii="Verdana" w:eastAsia="Calibri" w:hAnsi="Verdana" w:cs="Arial"/>
                <w:color w:val="000000"/>
                <w:lang w:eastAsia="es-ES"/>
              </w:rPr>
              <w:t xml:space="preserve"> artículo 2</w:t>
            </w:r>
          </w:p>
          <w:p w14:paraId="4F168BD6"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7777AB">
              <w:rPr>
                <w:rFonts w:ascii="Verdana" w:eastAsia="Calibri" w:hAnsi="Verdana" w:cs="Arial"/>
                <w:lang w:val="es-ES_tradnl"/>
              </w:rPr>
              <w:t>MATALLANA CAMACHO, Ernesto. Manual de contratación de la administración pública. Segunda Edición. Bogotá: Universidad Externado de Colombia, 2009. p. 705.</w:t>
            </w:r>
          </w:p>
          <w:p w14:paraId="2EFF7393"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7777AB">
              <w:rPr>
                <w:rFonts w:ascii="Verdana" w:eastAsia="Calibri" w:hAnsi="Verdana" w:cs="Arial"/>
                <w:lang w:val="es-ES_tradnl"/>
              </w:rPr>
              <w:t>CONGRESO DE LA REPÚBLICA. Exposición de motivos de la Ley 80 de 1993. Gaceta del Congreso No. 75 del 23 de septiembre de 1992</w:t>
            </w:r>
          </w:p>
          <w:p w14:paraId="19019849"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7777AB">
              <w:rPr>
                <w:rFonts w:ascii="Verdana" w:eastAsia="Calibri" w:hAnsi="Verdana" w:cs="Arial"/>
                <w:lang w:val="es-ES_tradnl"/>
              </w:rPr>
              <w:t xml:space="preserve">DROMI, José Roberto. La licitación pública. Buenos Aires: Ciudad Argentina, 1980. p. 166-168 </w:t>
            </w:r>
          </w:p>
          <w:p w14:paraId="6D3BDFBD" w14:textId="77777777" w:rsidR="00471ECE" w:rsidRPr="007777AB" w:rsidRDefault="00471ECE" w:rsidP="00471ECE">
            <w:pPr>
              <w:pStyle w:val="Prrafodelista"/>
              <w:numPr>
                <w:ilvl w:val="0"/>
                <w:numId w:val="1"/>
              </w:numPr>
              <w:ind w:left="714" w:hanging="357"/>
              <w:jc w:val="both"/>
              <w:rPr>
                <w:rFonts w:ascii="Verdana" w:eastAsia="Calibri" w:hAnsi="Verdana" w:cs="Arial"/>
              </w:rPr>
            </w:pPr>
            <w:r w:rsidRPr="7495EBE8">
              <w:rPr>
                <w:rFonts w:ascii="Verdana" w:eastAsia="Calibri" w:hAnsi="Verdana" w:cs="Arial"/>
              </w:rPr>
              <w:t xml:space="preserve">CONSEJO DE ESTADO. Sala de Consulta y de Servicio Civil. Concepto del 28 de enero de 1998. Rad. 1.073. C.P. Javier Henao </w:t>
            </w:r>
            <w:proofErr w:type="spellStart"/>
            <w:r w:rsidRPr="7495EBE8">
              <w:rPr>
                <w:rFonts w:ascii="Verdana" w:eastAsia="Calibri" w:hAnsi="Verdana" w:cs="Arial"/>
              </w:rPr>
              <w:t>Hidrón</w:t>
            </w:r>
            <w:proofErr w:type="spellEnd"/>
          </w:p>
          <w:p w14:paraId="2D0350D8"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7777AB">
              <w:rPr>
                <w:rFonts w:ascii="Verdana" w:eastAsia="Calibri" w:hAnsi="Verdana" w:cs="Arial"/>
                <w:lang w:val="es-ES_tradnl"/>
              </w:rPr>
              <w:t>GORDILLO, Agustín. Tratado de derecho administrativo y obras selectas. Tomo IX. Buenos Aires: FDA, 2014. p. XVI-16</w:t>
            </w:r>
          </w:p>
          <w:p w14:paraId="7341399E"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7777AB">
              <w:rPr>
                <w:rFonts w:ascii="Verdana" w:eastAsia="Calibri" w:hAnsi="Verdana" w:cs="Arial"/>
                <w:lang w:val="es-ES_tradnl"/>
              </w:rPr>
              <w:lastRenderedPageBreak/>
              <w:t>CONSEJO DE ESTADO. Sección Tercera. Subsección C. Sentencia del 7 de febrero de 2011. Rad. 34.425. C.P. Jaime Orlando Santofimio Gamboa</w:t>
            </w:r>
          </w:p>
          <w:p w14:paraId="284C69B9" w14:textId="77777777" w:rsidR="00471ECE" w:rsidRPr="007777AB" w:rsidRDefault="00471ECE" w:rsidP="00471ECE">
            <w:pPr>
              <w:pStyle w:val="Prrafodelista"/>
              <w:numPr>
                <w:ilvl w:val="0"/>
                <w:numId w:val="1"/>
              </w:numPr>
              <w:ind w:left="714" w:hanging="357"/>
              <w:jc w:val="both"/>
              <w:rPr>
                <w:rFonts w:ascii="Verdana" w:eastAsia="Calibri" w:hAnsi="Verdana" w:cs="Arial"/>
              </w:rPr>
            </w:pPr>
            <w:r w:rsidRPr="7495EBE8">
              <w:rPr>
                <w:rFonts w:ascii="Verdana" w:eastAsia="Calibri" w:hAnsi="Verdana" w:cs="Arial"/>
              </w:rPr>
              <w:t xml:space="preserve">ASAMBLEA NACIONAL CONSTITUYENTE. Gaceta Constitucional </w:t>
            </w:r>
            <w:proofErr w:type="spellStart"/>
            <w:r w:rsidRPr="7495EBE8">
              <w:rPr>
                <w:rFonts w:ascii="Verdana" w:eastAsia="Calibri" w:hAnsi="Verdana" w:cs="Arial"/>
              </w:rPr>
              <w:t>Nº</w:t>
            </w:r>
            <w:proofErr w:type="spellEnd"/>
            <w:r w:rsidRPr="7495EBE8">
              <w:rPr>
                <w:rFonts w:ascii="Verdana" w:eastAsia="Calibri" w:hAnsi="Verdana" w:cs="Arial"/>
              </w:rPr>
              <w:t xml:space="preserve"> 76 de mayo 18 de 1991. pp. 12-13.</w:t>
            </w:r>
          </w:p>
          <w:p w14:paraId="1680937C" w14:textId="77777777" w:rsidR="00471ECE" w:rsidRPr="007777AB" w:rsidRDefault="00471ECE" w:rsidP="00471ECE">
            <w:pPr>
              <w:pStyle w:val="Prrafodelista"/>
              <w:numPr>
                <w:ilvl w:val="0"/>
                <w:numId w:val="1"/>
              </w:numPr>
              <w:ind w:left="714" w:hanging="357"/>
              <w:contextualSpacing w:val="0"/>
              <w:jc w:val="both"/>
              <w:rPr>
                <w:rFonts w:ascii="Verdana" w:eastAsia="Calibri" w:hAnsi="Verdana" w:cs="Arial"/>
                <w:lang w:val="es-ES_tradnl"/>
              </w:rPr>
            </w:pPr>
            <w:r w:rsidRPr="009F143A">
              <w:rPr>
                <w:rFonts w:ascii="Verdana" w:eastAsia="Calibri" w:hAnsi="Verdana" w:cs="Arial"/>
                <w:lang w:val="pt-BR"/>
              </w:rPr>
              <w:t xml:space="preserve">CORTE CONSTITUCIONAL. Sentencia C-772 de 1998. </w:t>
            </w:r>
            <w:r w:rsidRPr="007777AB">
              <w:rPr>
                <w:rFonts w:ascii="Verdana" w:eastAsia="Calibri" w:hAnsi="Verdana" w:cs="Arial"/>
                <w:lang w:val="es-ES_tradnl"/>
              </w:rPr>
              <w:t>M.P. Fabio Morón Díaz.</w:t>
            </w:r>
          </w:p>
          <w:p w14:paraId="5DA6B524" w14:textId="77777777" w:rsidR="00471ECE" w:rsidRPr="007777AB" w:rsidRDefault="00471ECE" w:rsidP="00471ECE">
            <w:pPr>
              <w:pStyle w:val="Prrafodelista"/>
              <w:numPr>
                <w:ilvl w:val="0"/>
                <w:numId w:val="1"/>
              </w:numPr>
              <w:ind w:left="714" w:hanging="357"/>
              <w:contextualSpacing w:val="0"/>
              <w:jc w:val="both"/>
            </w:pPr>
            <w:r w:rsidRPr="007777AB">
              <w:rPr>
                <w:rFonts w:ascii="Verdana" w:eastAsia="Calibri" w:hAnsi="Verdana" w:cs="Arial"/>
                <w:lang w:val="es-ES_tradnl"/>
              </w:rPr>
              <w:t>CONSEJO DE ESTADO. Sección Tercera. Sentencia del 27 de abril de 2006. Rad. 5.229. C.P. Ramiro Saavedra Becerra</w:t>
            </w:r>
            <w:r w:rsidRPr="007777AB">
              <w:rPr>
                <w:rFonts w:ascii="Verdana" w:eastAsia="Calibri" w:hAnsi="Verdana" w:cs="Arial"/>
                <w:shd w:val="clear" w:color="auto" w:fill="FFFFFF"/>
              </w:rPr>
              <w:t xml:space="preserve"> </w:t>
            </w:r>
          </w:p>
        </w:tc>
      </w:tr>
    </w:tbl>
    <w:p w14:paraId="4EE550E2" w14:textId="77777777" w:rsidR="00471ECE" w:rsidRPr="005B7C42" w:rsidRDefault="00471ECE" w:rsidP="00471EC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5CD86D" w14:textId="77777777" w:rsidR="00471ECE" w:rsidRPr="005B7C42" w:rsidRDefault="00471ECE" w:rsidP="00471EC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5AE79DC5" w14:textId="77777777" w:rsidR="00471ECE" w:rsidRPr="005B7C42" w:rsidRDefault="00471ECE" w:rsidP="00471ECE">
      <w:pPr>
        <w:spacing w:after="0" w:line="276" w:lineRule="auto"/>
        <w:ind w:firstLine="709"/>
        <w:jc w:val="both"/>
        <w:rPr>
          <w:rFonts w:ascii="Verdana" w:eastAsia="Times New Roman" w:hAnsi="Verdana" w:cs="Arial"/>
          <w:szCs w:val="24"/>
          <w:lang w:eastAsia="es-ES_tradnl"/>
        </w:rPr>
      </w:pPr>
    </w:p>
    <w:p w14:paraId="029C760C" w14:textId="77777777" w:rsidR="00471ECE" w:rsidRPr="00853D95" w:rsidRDefault="00471ECE" w:rsidP="00471ECE">
      <w:pPr>
        <w:widowControl w:val="0"/>
        <w:autoSpaceDE w:val="0"/>
        <w:autoSpaceDN w:val="0"/>
        <w:spacing w:after="0" w:line="276" w:lineRule="auto"/>
        <w:jc w:val="both"/>
        <w:rPr>
          <w:rFonts w:ascii="Verdana" w:hAnsi="Verdana"/>
        </w:rPr>
      </w:pPr>
      <w:r>
        <w:rPr>
          <w:rStyle w:val="normaltextrun"/>
          <w:rFonts w:ascii="Verdana" w:hAnsi="Verdana"/>
          <w:color w:val="000000"/>
          <w:shd w:val="clear" w:color="auto" w:fill="FFFFFF"/>
        </w:rPr>
        <w:t>Esta Subdirección se ha pronunciado 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 y C-691 del 14 de noviembre de 2024</w:t>
      </w:r>
      <w:r>
        <w:rPr>
          <w:rStyle w:val="normaltextrun"/>
          <w:rFonts w:ascii="Verdana" w:hAnsi="Verdana" w:cs="Arial"/>
          <w:shd w:val="clear" w:color="auto" w:fill="FFFFFF"/>
        </w:rPr>
        <w:t xml:space="preserve">, </w:t>
      </w:r>
      <w:r w:rsidRPr="00945DBF">
        <w:rPr>
          <w:rStyle w:val="normaltextrun"/>
          <w:rFonts w:ascii="Verdana" w:hAnsi="Verdana" w:cs="Arial"/>
          <w:shd w:val="clear" w:color="auto" w:fill="FFFFFF"/>
        </w:rPr>
        <w:t>entre otros.</w:t>
      </w:r>
      <w:r>
        <w:rPr>
          <w:rStyle w:val="normaltextrun"/>
          <w:rFonts w:ascii="Verdana" w:hAnsi="Verdana" w:cs="Arial"/>
          <w:shd w:val="clear" w:color="auto" w:fill="FFFFFF"/>
        </w:rPr>
        <w:t xml:space="preserve"> </w:t>
      </w:r>
      <w:r w:rsidRPr="00945DBF">
        <w:rPr>
          <w:rStyle w:val="normaltextrun"/>
          <w:rFonts w:ascii="Verdana" w:hAnsi="Verdana" w:cs="Arial"/>
          <w:shd w:val="clear" w:color="auto" w:fill="FFFFFF"/>
        </w:rPr>
        <w:t>Es</w:t>
      </w:r>
      <w:r w:rsidRPr="00945DBF">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r>
        <w:rPr>
          <w:rFonts w:ascii="Verdana" w:hAnsi="Verdana"/>
        </w:rPr>
        <w:t xml:space="preserve"> </w:t>
      </w:r>
      <w:hyperlink r:id="rId9"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476957EA" w14:textId="77777777" w:rsidR="00471ECE" w:rsidRPr="005B7C42" w:rsidRDefault="00471ECE" w:rsidP="00471ECE">
      <w:pPr>
        <w:widowControl w:val="0"/>
        <w:autoSpaceDE w:val="0"/>
        <w:autoSpaceDN w:val="0"/>
        <w:spacing w:after="0" w:line="276" w:lineRule="auto"/>
        <w:jc w:val="both"/>
        <w:rPr>
          <w:rFonts w:ascii="Verdana" w:eastAsia="Calibri" w:hAnsi="Verdana" w:cs="Arial"/>
          <w:lang w:eastAsia="es-ES_tradnl"/>
        </w:rPr>
      </w:pPr>
    </w:p>
    <w:p w14:paraId="2F5E96A2" w14:textId="77777777" w:rsidR="00471ECE" w:rsidRPr="005B7C42" w:rsidRDefault="00471ECE" w:rsidP="00471ECE">
      <w:pPr>
        <w:spacing w:after="0" w:line="240" w:lineRule="auto"/>
        <w:jc w:val="both"/>
        <w:rPr>
          <w:rFonts w:ascii="Verdana" w:hAnsi="Verdana"/>
        </w:rPr>
      </w:pPr>
    </w:p>
    <w:p w14:paraId="5AC5A189" w14:textId="77777777" w:rsidR="00471ECE" w:rsidRPr="005B7C42" w:rsidRDefault="00471ECE" w:rsidP="00471ECE">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6AD2F90E" w14:textId="77777777" w:rsidR="00471ECE" w:rsidRPr="005B7C42" w:rsidRDefault="00471ECE" w:rsidP="00471ECE">
      <w:pPr>
        <w:spacing w:after="0" w:line="240" w:lineRule="auto"/>
        <w:jc w:val="both"/>
        <w:rPr>
          <w:rFonts w:ascii="Verdana" w:hAnsi="Verdana"/>
        </w:rPr>
      </w:pPr>
    </w:p>
    <w:p w14:paraId="3AA98AB1" w14:textId="77777777" w:rsidR="00471ECE" w:rsidRPr="005B7C42" w:rsidRDefault="00471ECE" w:rsidP="00471ECE">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153A84D7" w14:textId="77777777" w:rsidR="00471ECE" w:rsidRPr="005B7C42" w:rsidRDefault="00471ECE" w:rsidP="00471ECE">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0106EC19" w14:textId="77777777" w:rsidR="00471ECE" w:rsidRPr="005B7C42" w:rsidRDefault="00471ECE" w:rsidP="00471ECE">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19C3335" w14:textId="77777777" w:rsidR="00471ECE" w:rsidRPr="005B7C42" w:rsidRDefault="00471ECE" w:rsidP="00471ECE">
      <w:pPr>
        <w:widowControl w:val="0"/>
        <w:autoSpaceDE w:val="0"/>
        <w:autoSpaceDN w:val="0"/>
        <w:spacing w:after="0" w:line="276" w:lineRule="auto"/>
        <w:jc w:val="both"/>
        <w:rPr>
          <w:rFonts w:ascii="Verdana" w:hAnsi="Verdana"/>
        </w:rPr>
      </w:pPr>
    </w:p>
    <w:p w14:paraId="60652D9A" w14:textId="77777777" w:rsidR="00471ECE" w:rsidRPr="005B7C42" w:rsidRDefault="00471ECE" w:rsidP="00471ECE">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4935EE0" w14:textId="77777777" w:rsidR="00471ECE" w:rsidRPr="005B7C42" w:rsidRDefault="00471ECE" w:rsidP="00471ECE">
      <w:pPr>
        <w:spacing w:after="0" w:line="276" w:lineRule="auto"/>
        <w:ind w:firstLine="709"/>
        <w:jc w:val="both"/>
        <w:rPr>
          <w:rFonts w:ascii="Verdana" w:eastAsia="Times New Roman" w:hAnsi="Verdana" w:cs="Arial"/>
          <w:szCs w:val="24"/>
          <w:lang w:eastAsia="es-ES_tradnl"/>
        </w:rPr>
      </w:pPr>
    </w:p>
    <w:p w14:paraId="44AB6E26" w14:textId="77777777" w:rsidR="00471ECE" w:rsidRPr="005B7C42" w:rsidRDefault="00471ECE" w:rsidP="00471ECE">
      <w:pPr>
        <w:spacing w:after="0" w:line="276" w:lineRule="auto"/>
        <w:jc w:val="both"/>
        <w:rPr>
          <w:rFonts w:ascii="Verdana" w:eastAsia="Times New Roman" w:hAnsi="Verdana" w:cs="Arial"/>
          <w:lang w:eastAsia="es-CO"/>
        </w:rPr>
      </w:pPr>
      <w:bookmarkStart w:id="8" w:name="_Hlk117695077"/>
      <w:r w:rsidRPr="005B7C42">
        <w:rPr>
          <w:rFonts w:ascii="Verdana" w:eastAsia="Times New Roman" w:hAnsi="Verdana" w:cs="Arial"/>
          <w:lang w:eastAsia="es-CO"/>
        </w:rPr>
        <w:t>Atentamente,</w:t>
      </w:r>
    </w:p>
    <w:bookmarkEnd w:id="8"/>
    <w:p w14:paraId="7FAD792C" w14:textId="31F882B6" w:rsidR="00471ECE" w:rsidRPr="005B7C42" w:rsidRDefault="00BE0F46" w:rsidP="00471EC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25BB5FF4" wp14:editId="205CD35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0"/>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471ECE" w:rsidRPr="005B7C42" w14:paraId="2C8BE29A" w14:textId="77777777" w:rsidTr="00E96214">
        <w:trPr>
          <w:trHeight w:val="286"/>
        </w:trPr>
        <w:tc>
          <w:tcPr>
            <w:tcW w:w="893" w:type="dxa"/>
            <w:vAlign w:val="center"/>
            <w:hideMark/>
          </w:tcPr>
          <w:p w14:paraId="3D0E973A" w14:textId="77777777" w:rsidR="00471ECE" w:rsidRPr="005B7C42" w:rsidRDefault="00471ECE" w:rsidP="00E9621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73CC6ADA" w14:textId="77777777" w:rsidR="00471ECE" w:rsidRPr="005B7C42" w:rsidRDefault="00471ECE" w:rsidP="00E96214">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042C24C9" w14:textId="77777777" w:rsidR="00471ECE" w:rsidRPr="005B7C42" w:rsidRDefault="00471ECE" w:rsidP="00E9621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471ECE" w:rsidRPr="005B7C42" w14:paraId="66FCD631" w14:textId="77777777" w:rsidTr="00E96214">
        <w:trPr>
          <w:trHeight w:val="299"/>
        </w:trPr>
        <w:tc>
          <w:tcPr>
            <w:tcW w:w="893" w:type="dxa"/>
            <w:vAlign w:val="center"/>
            <w:hideMark/>
          </w:tcPr>
          <w:p w14:paraId="0D80EE89" w14:textId="77777777" w:rsidR="00471ECE" w:rsidRPr="005B7C42" w:rsidRDefault="00471ECE" w:rsidP="00E9621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264BC747" w14:textId="77777777" w:rsidR="00471ECE" w:rsidRPr="005B7C42" w:rsidRDefault="00471ECE" w:rsidP="00E96214">
            <w:pPr>
              <w:rPr>
                <w:rFonts w:ascii="Verdana" w:eastAsia="Times New Roman" w:hAnsi="Verdana" w:cs="Arial"/>
                <w:sz w:val="16"/>
                <w:szCs w:val="16"/>
                <w:lang w:eastAsia="es-ES"/>
              </w:rPr>
            </w:pPr>
            <w:r>
              <w:rPr>
                <w:rFonts w:ascii="Verdana" w:eastAsia="Times New Roman" w:hAnsi="Verdana" w:cs="Arial"/>
                <w:sz w:val="16"/>
                <w:szCs w:val="16"/>
                <w:lang w:eastAsia="es-ES"/>
              </w:rPr>
              <w:t>D</w:t>
            </w:r>
            <w:r w:rsidRPr="004D1EA8">
              <w:rPr>
                <w:rFonts w:ascii="Verdana" w:eastAsia="Times New Roman" w:hAnsi="Verdana" w:cs="Arial"/>
                <w:sz w:val="16"/>
                <w:szCs w:val="16"/>
                <w:lang w:eastAsia="es-ES"/>
              </w:rPr>
              <w:t>iana Lucia Saavedra</w:t>
            </w:r>
          </w:p>
          <w:p w14:paraId="4428A989" w14:textId="77777777" w:rsidR="00471ECE" w:rsidRPr="005B7C42" w:rsidRDefault="00471ECE" w:rsidP="00E9621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471ECE" w:rsidRPr="005B7C42" w14:paraId="0CCA34D0" w14:textId="77777777" w:rsidTr="00E96214">
        <w:trPr>
          <w:trHeight w:val="272"/>
        </w:trPr>
        <w:tc>
          <w:tcPr>
            <w:tcW w:w="893" w:type="dxa"/>
            <w:vAlign w:val="center"/>
            <w:hideMark/>
          </w:tcPr>
          <w:p w14:paraId="0CB20573" w14:textId="77777777" w:rsidR="00471ECE" w:rsidRPr="005B7C42" w:rsidRDefault="00471ECE" w:rsidP="00E9621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2487B29E" w14:textId="77777777" w:rsidR="00471ECE" w:rsidRPr="005B7C42" w:rsidRDefault="00471ECE" w:rsidP="00E96214">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04DC26D4" w14:textId="77777777" w:rsidR="00471ECE" w:rsidRPr="005B7C42" w:rsidRDefault="00471ECE" w:rsidP="00E9621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4458BFF7" w14:textId="77777777" w:rsidR="00471ECE" w:rsidRPr="005B7C42" w:rsidRDefault="00471ECE" w:rsidP="00471ECE">
      <w:pPr>
        <w:spacing w:after="0" w:line="276" w:lineRule="auto"/>
        <w:jc w:val="both"/>
        <w:rPr>
          <w:rFonts w:ascii="Verdana" w:eastAsia="Times New Roman" w:hAnsi="Verdana" w:cs="Arial"/>
        </w:rPr>
      </w:pPr>
    </w:p>
    <w:p w14:paraId="1BC94D9C" w14:textId="77777777" w:rsidR="00471ECE" w:rsidRPr="00853D95" w:rsidRDefault="00471ECE" w:rsidP="00471ECE">
      <w:pPr>
        <w:rPr>
          <w:rFonts w:ascii="Verdana" w:hAnsi="Verdana"/>
        </w:rPr>
      </w:pPr>
    </w:p>
    <w:bookmarkEnd w:id="0"/>
    <w:p w14:paraId="14B31C36" w14:textId="77777777" w:rsidR="00471ECE" w:rsidRPr="00853D95" w:rsidRDefault="00471ECE" w:rsidP="00471ECE">
      <w:pPr>
        <w:rPr>
          <w:rFonts w:ascii="Verdana" w:hAnsi="Verdana"/>
        </w:rPr>
      </w:pPr>
    </w:p>
    <w:p w14:paraId="364E027C" w14:textId="77777777" w:rsidR="00471ECE" w:rsidRPr="00853D95" w:rsidRDefault="00471ECE" w:rsidP="00471ECE">
      <w:pPr>
        <w:rPr>
          <w:rFonts w:ascii="Verdana" w:hAnsi="Verdana"/>
        </w:rPr>
      </w:pPr>
    </w:p>
    <w:p w14:paraId="69C211BB" w14:textId="77777777" w:rsidR="00471ECE" w:rsidRDefault="00471ECE" w:rsidP="00471ECE"/>
    <w:p w14:paraId="552F2619" w14:textId="77777777" w:rsidR="00471ECE" w:rsidRPr="00013B63" w:rsidRDefault="00471ECE" w:rsidP="00471ECE"/>
    <w:p w14:paraId="0F9D11D5" w14:textId="77777777" w:rsidR="00C24FFE" w:rsidRDefault="00C24FFE"/>
    <w:sectPr w:rsidR="00C24FFE" w:rsidSect="00471ECE">
      <w:headerReference w:type="default" r:id="rId11"/>
      <w:footerReference w:type="default" r:id="rId1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053E5" w14:textId="77777777" w:rsidR="00471ECE" w:rsidRDefault="00471ECE" w:rsidP="00471ECE">
      <w:pPr>
        <w:spacing w:after="0" w:line="240" w:lineRule="auto"/>
      </w:pPr>
      <w:r>
        <w:separator/>
      </w:r>
    </w:p>
  </w:endnote>
  <w:endnote w:type="continuationSeparator" w:id="0">
    <w:p w14:paraId="52CB34D5" w14:textId="77777777" w:rsidR="00471ECE" w:rsidRDefault="00471ECE" w:rsidP="00471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973E" w14:textId="77777777" w:rsidR="00471ECE" w:rsidRDefault="00471ECE">
    <w:pPr>
      <w:pStyle w:val="Piedepgina"/>
    </w:pPr>
  </w:p>
  <w:p w14:paraId="4856F3AC" w14:textId="77777777" w:rsidR="00471ECE" w:rsidRPr="00174B77" w:rsidRDefault="00471EC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CEF8A2" w14:textId="77777777" w:rsidR="00471ECE" w:rsidRDefault="00471EC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1252EF4" w14:textId="77777777" w:rsidR="00471ECE" w:rsidRPr="00E41027" w:rsidRDefault="00471ECE" w:rsidP="00D520D8">
    <w:pPr>
      <w:spacing w:after="0"/>
      <w:jc w:val="both"/>
      <w:rPr>
        <w:rFonts w:ascii="Verdana" w:hAnsi="Verdana"/>
        <w:sz w:val="18"/>
        <w:szCs w:val="18"/>
      </w:rPr>
    </w:pPr>
    <w:r w:rsidRPr="00E41027">
      <w:rPr>
        <w:rFonts w:ascii="Verdana" w:hAnsi="Verdana"/>
        <w:sz w:val="18"/>
        <w:szCs w:val="18"/>
      </w:rPr>
      <w:t>Mesa de servicio: (+57) 601 7456788</w:t>
    </w:r>
  </w:p>
  <w:p w14:paraId="0A8700CA" w14:textId="77777777" w:rsidR="00471ECE" w:rsidRDefault="00471EC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850F3" w14:textId="77777777" w:rsidR="00471ECE" w:rsidRDefault="00471ECE" w:rsidP="00471ECE">
      <w:pPr>
        <w:spacing w:after="0" w:line="240" w:lineRule="auto"/>
      </w:pPr>
      <w:r>
        <w:separator/>
      </w:r>
    </w:p>
  </w:footnote>
  <w:footnote w:type="continuationSeparator" w:id="0">
    <w:p w14:paraId="3366323C" w14:textId="77777777" w:rsidR="00471ECE" w:rsidRDefault="00471ECE" w:rsidP="00471ECE">
      <w:pPr>
        <w:spacing w:after="0" w:line="240" w:lineRule="auto"/>
      </w:pPr>
      <w:r>
        <w:continuationSeparator/>
      </w:r>
    </w:p>
  </w:footnote>
  <w:footnote w:id="1">
    <w:p w14:paraId="6C071000" w14:textId="77777777" w:rsidR="00471ECE" w:rsidRPr="00A907B1" w:rsidRDefault="00471ECE" w:rsidP="00471ECE">
      <w:pPr>
        <w:pStyle w:val="Textonotapie"/>
        <w:ind w:firstLine="708"/>
        <w:jc w:val="both"/>
        <w:rPr>
          <w:rFonts w:ascii="Verdana" w:hAnsi="Verdana"/>
          <w:sz w:val="14"/>
          <w:szCs w:val="14"/>
          <w:lang w:val="es-CO"/>
        </w:rPr>
      </w:pPr>
      <w:r w:rsidRPr="00A907B1">
        <w:rPr>
          <w:rFonts w:ascii="Verdana" w:hAnsi="Verdana"/>
          <w:sz w:val="14"/>
          <w:szCs w:val="14"/>
          <w:vertAlign w:val="superscript"/>
          <w:lang w:val="es-CO"/>
        </w:rPr>
        <w:footnoteRef/>
      </w:r>
      <w:r w:rsidRPr="00A907B1">
        <w:rPr>
          <w:rFonts w:ascii="Verdana" w:hAnsi="Verdana"/>
          <w:sz w:val="14"/>
          <w:szCs w:val="14"/>
          <w:vertAlign w:val="superscript"/>
          <w:lang w:val="es-CO"/>
        </w:rPr>
        <w:t xml:space="preserve"> </w:t>
      </w:r>
      <w:r w:rsidRPr="00A907B1">
        <w:rPr>
          <w:rFonts w:ascii="Verdana" w:hAnsi="Verdana"/>
          <w:sz w:val="14"/>
          <w:szCs w:val="14"/>
          <w:lang w:val="es-CO"/>
        </w:rPr>
        <w:t>CORTE CONSTITUCIONAL. Sala Plena. Sentencia C-148 del 29 de abril de 2025. M.P. Natalia Ángel Cabo y Cristina Pardo Schlesinger Expediente RE- 361</w:t>
      </w:r>
      <w:r>
        <w:rPr>
          <w:rFonts w:ascii="Verdana" w:hAnsi="Verdana"/>
          <w:sz w:val="14"/>
          <w:szCs w:val="14"/>
          <w:lang w:val="es-CO"/>
        </w:rPr>
        <w:t>.</w:t>
      </w:r>
    </w:p>
  </w:footnote>
  <w:footnote w:id="2">
    <w:p w14:paraId="65FDC137" w14:textId="77777777" w:rsidR="00471ECE" w:rsidRPr="00A907B1" w:rsidRDefault="00471ECE" w:rsidP="00471ECE">
      <w:pPr>
        <w:pStyle w:val="Textonotapie"/>
        <w:ind w:firstLine="708"/>
        <w:jc w:val="both"/>
        <w:rPr>
          <w:rFonts w:ascii="Verdana" w:hAnsi="Verdana"/>
          <w:sz w:val="14"/>
          <w:szCs w:val="14"/>
          <w:lang w:val="es-CO"/>
        </w:rPr>
      </w:pPr>
      <w:r w:rsidRPr="00A907B1">
        <w:rPr>
          <w:rFonts w:ascii="Verdana" w:hAnsi="Verdana"/>
          <w:sz w:val="14"/>
          <w:szCs w:val="14"/>
          <w:vertAlign w:val="superscript"/>
          <w:lang w:val="es-CO"/>
        </w:rPr>
        <w:footnoteRef/>
      </w:r>
      <w:r w:rsidRPr="00A907B1">
        <w:rPr>
          <w:rFonts w:ascii="Verdana" w:hAnsi="Verdana"/>
          <w:sz w:val="14"/>
          <w:szCs w:val="14"/>
          <w:vertAlign w:val="superscript"/>
          <w:lang w:val="es-CO"/>
        </w:rPr>
        <w:t xml:space="preserve"> </w:t>
      </w:r>
      <w:r w:rsidRPr="00A907B1">
        <w:rPr>
          <w:rFonts w:ascii="Verdana" w:hAnsi="Verdana"/>
          <w:sz w:val="14"/>
          <w:szCs w:val="14"/>
          <w:lang w:val="es-CO"/>
        </w:rPr>
        <w:t>CORTE CONSTITUCIONAL. Sala Plena. Sentencia C-148 del 29 de abril de 2025. M.P. Natalia Ángel Cabo y Cristina Pardo Schlesinger Expediente RE- 361</w:t>
      </w:r>
      <w:r>
        <w:rPr>
          <w:rFonts w:ascii="Verdana" w:hAnsi="Verdana"/>
          <w:sz w:val="14"/>
          <w:szCs w:val="14"/>
          <w:lang w:val="es-CO"/>
        </w:rPr>
        <w:t>.</w:t>
      </w:r>
    </w:p>
  </w:footnote>
  <w:footnote w:id="3">
    <w:p w14:paraId="52EA4680" w14:textId="77777777" w:rsidR="00471ECE" w:rsidRPr="00CA7CC6" w:rsidRDefault="00471ECE" w:rsidP="00471ECE">
      <w:pPr>
        <w:pStyle w:val="Textonotapie"/>
        <w:ind w:firstLine="708"/>
        <w:jc w:val="both"/>
        <w:rPr>
          <w:rFonts w:ascii="Verdana" w:hAnsi="Verdana"/>
          <w:sz w:val="14"/>
          <w:szCs w:val="14"/>
          <w:lang w:val="es-CO"/>
        </w:rPr>
      </w:pPr>
      <w:r w:rsidRPr="00CA7CC6">
        <w:rPr>
          <w:rStyle w:val="Refdenotaalpie"/>
          <w:rFonts w:ascii="Verdana" w:hAnsi="Verdana"/>
          <w:sz w:val="14"/>
          <w:szCs w:val="14"/>
        </w:rPr>
        <w:footnoteRef/>
      </w:r>
      <w:r w:rsidRPr="00547FAE">
        <w:rPr>
          <w:rFonts w:ascii="Verdana" w:hAnsi="Verdana"/>
          <w:sz w:val="14"/>
          <w:szCs w:val="14"/>
          <w:lang w:val="es-CO"/>
        </w:rPr>
        <w:t xml:space="preserve"> Decreto 62 de 2025. </w:t>
      </w:r>
      <w:r w:rsidRPr="00CA7CC6">
        <w:rPr>
          <w:rFonts w:ascii="Verdana" w:hAnsi="Verdana"/>
          <w:sz w:val="14"/>
          <w:szCs w:val="14"/>
          <w:lang w:val="es-CO"/>
        </w:rPr>
        <w:t>III. Presupuesto de necesidad e insuficiencia de las medidas ordinarias. </w:t>
      </w:r>
    </w:p>
  </w:footnote>
  <w:footnote w:id="4">
    <w:p w14:paraId="009F8F72" w14:textId="77777777" w:rsidR="00471ECE" w:rsidRDefault="00471ECE" w:rsidP="00471ECE">
      <w:pPr>
        <w:pStyle w:val="Textonotapie"/>
        <w:ind w:firstLine="709"/>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MATALLANA CAMACHO, Ernesto. Manual de contratación de la administración pública. Segunda Edición. Bogotá: Universidad Externado de Colombia, 2009. p. 705.</w:t>
      </w:r>
    </w:p>
    <w:p w14:paraId="044EADF5" w14:textId="77777777" w:rsidR="00471ECE" w:rsidRPr="00CA7CC6" w:rsidRDefault="00471ECE" w:rsidP="00471ECE">
      <w:pPr>
        <w:pStyle w:val="Textonotapie"/>
        <w:ind w:firstLine="709"/>
        <w:jc w:val="both"/>
        <w:rPr>
          <w:rFonts w:ascii="Verdana" w:hAnsi="Verdana" w:cs="Arial"/>
          <w:sz w:val="14"/>
          <w:szCs w:val="14"/>
        </w:rPr>
      </w:pPr>
    </w:p>
  </w:footnote>
  <w:footnote w:id="5">
    <w:p w14:paraId="5974438E" w14:textId="77777777" w:rsidR="00471ECE" w:rsidRDefault="00471ECE" w:rsidP="00471ECE">
      <w:pPr>
        <w:spacing w:after="0" w:line="240" w:lineRule="auto"/>
        <w:ind w:firstLine="709"/>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w:t>
      </w:r>
      <w:r w:rsidRPr="00CA7CC6">
        <w:rPr>
          <w:rFonts w:ascii="Verdana" w:eastAsia="Calibri" w:hAnsi="Verdana" w:cs="Arial"/>
          <w:sz w:val="14"/>
          <w:szCs w:val="14"/>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CA7CC6">
        <w:rPr>
          <w:rFonts w:ascii="Verdana" w:hAnsi="Verdana" w:cs="Arial"/>
          <w:sz w:val="14"/>
          <w:szCs w:val="14"/>
        </w:rPr>
        <w:t>CONGRESO DE LA REPÚBLICA. Exposición de motivos de la Ley 80 de 1993. Gaceta del Congreso No. 75 del 23 de septiembre de 1992).</w:t>
      </w:r>
    </w:p>
    <w:p w14:paraId="5C5082B9" w14:textId="77777777" w:rsidR="00471ECE" w:rsidRPr="00CA7CC6" w:rsidRDefault="00471ECE" w:rsidP="00471ECE">
      <w:pPr>
        <w:spacing w:after="0" w:line="240" w:lineRule="auto"/>
        <w:ind w:firstLine="709"/>
        <w:jc w:val="both"/>
        <w:rPr>
          <w:rFonts w:ascii="Verdana" w:hAnsi="Verdana" w:cs="Arial"/>
          <w:sz w:val="14"/>
          <w:szCs w:val="14"/>
        </w:rPr>
      </w:pPr>
    </w:p>
  </w:footnote>
  <w:footnote w:id="6">
    <w:p w14:paraId="17B3CF85" w14:textId="77777777" w:rsidR="00471ECE" w:rsidRDefault="00471ECE" w:rsidP="00471ECE">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DROMI, José Roberto. La licitación pública. Buenos Aires: Ciudad Argentina, 1980. p. 166-168.</w:t>
      </w:r>
    </w:p>
    <w:p w14:paraId="682CF2C3" w14:textId="77777777" w:rsidR="00471ECE" w:rsidRPr="00CA7CC6" w:rsidRDefault="00471ECE" w:rsidP="00471ECE">
      <w:pPr>
        <w:pStyle w:val="Textonotapie"/>
        <w:ind w:firstLine="708"/>
        <w:jc w:val="both"/>
        <w:rPr>
          <w:rFonts w:ascii="Verdana" w:hAnsi="Verdana" w:cs="Arial"/>
          <w:sz w:val="14"/>
          <w:szCs w:val="14"/>
        </w:rPr>
      </w:pPr>
    </w:p>
  </w:footnote>
  <w:footnote w:id="7">
    <w:p w14:paraId="1F6A0DB1" w14:textId="77777777" w:rsidR="00471ECE" w:rsidRPr="00CA7CC6" w:rsidRDefault="00471ECE" w:rsidP="00471ECE">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CONSEJO DE ESTADO. Sala de Consulta y de Servicio Civil. Concepto del 28 de enero de 1998. Rad. 1.073. C.P. Javier Henao Hidrón.</w:t>
      </w:r>
    </w:p>
  </w:footnote>
  <w:footnote w:id="8">
    <w:p w14:paraId="429BF387" w14:textId="77777777" w:rsidR="00471ECE" w:rsidRPr="00CA7CC6" w:rsidRDefault="00471ECE" w:rsidP="00471ECE">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9">
    <w:p w14:paraId="73DA4CAB" w14:textId="77777777" w:rsidR="00471ECE" w:rsidRDefault="00471ECE" w:rsidP="00471ECE">
      <w:pPr>
        <w:spacing w:after="0" w:line="240" w:lineRule="auto"/>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Style w:val="Refdenotaalpie"/>
          <w:rFonts w:ascii="Verdana" w:hAnsi="Verdana" w:cs="Arial"/>
          <w:sz w:val="14"/>
          <w:szCs w:val="14"/>
        </w:rPr>
        <w:t xml:space="preserve">  </w:t>
      </w:r>
      <w:r w:rsidRPr="00CA7CC6">
        <w:rPr>
          <w:rFonts w:ascii="Verdana" w:hAnsi="Verdana" w:cs="Arial"/>
          <w:sz w:val="14"/>
          <w:szCs w:val="14"/>
        </w:rPr>
        <w:t>CONSEJO DE ESTADO. Sección Tercera. Subsección C. Sentencia del 7 de febrero de 2011. Rad. 34.425. C.P. Jaime Orlando Santofimio Gamboa.</w:t>
      </w:r>
    </w:p>
    <w:p w14:paraId="18BC3907" w14:textId="77777777" w:rsidR="00471ECE" w:rsidRPr="00CA7CC6" w:rsidRDefault="00471ECE" w:rsidP="00471ECE">
      <w:pPr>
        <w:spacing w:after="0" w:line="240" w:lineRule="auto"/>
        <w:ind w:firstLine="708"/>
        <w:jc w:val="both"/>
        <w:rPr>
          <w:rFonts w:ascii="Verdana" w:hAnsi="Verdana" w:cs="Arial"/>
          <w:sz w:val="14"/>
          <w:szCs w:val="14"/>
        </w:rPr>
      </w:pPr>
    </w:p>
  </w:footnote>
  <w:footnote w:id="10">
    <w:p w14:paraId="07E49398" w14:textId="77777777" w:rsidR="00471ECE" w:rsidRPr="00CA7CC6" w:rsidRDefault="00471ECE" w:rsidP="00471ECE">
      <w:pPr>
        <w:pStyle w:val="Textonotapie"/>
        <w:ind w:firstLine="708"/>
        <w:jc w:val="both"/>
        <w:rPr>
          <w:rFonts w:ascii="Verdana" w:hAnsi="Verdana" w:cs="Arial"/>
          <w:sz w:val="14"/>
          <w:szCs w:val="14"/>
        </w:rPr>
      </w:pPr>
      <w:r w:rsidRPr="00CA7CC6">
        <w:rPr>
          <w:rStyle w:val="Refdenotaalpie"/>
          <w:rFonts w:ascii="Verdana" w:hAnsi="Verdana" w:cs="Arial"/>
          <w:sz w:val="14"/>
          <w:szCs w:val="14"/>
        </w:rPr>
        <w:footnoteRef/>
      </w:r>
      <w:r w:rsidRPr="00CA7CC6">
        <w:rPr>
          <w:rFonts w:ascii="Verdana" w:hAnsi="Verdana" w:cs="Arial"/>
          <w:sz w:val="14"/>
          <w:szCs w:val="14"/>
        </w:rPr>
        <w:t xml:space="preserve"> Cfr. ASAMBLEA NACIONAL CONSTITUYENTE. Gaceta Constitucional Nº 76 de mayo 18 de 1991. pp. 12-13.</w:t>
      </w:r>
    </w:p>
  </w:footnote>
  <w:footnote w:id="11">
    <w:p w14:paraId="66FEDDB9" w14:textId="77777777" w:rsidR="00471ECE" w:rsidRPr="00CA7CC6" w:rsidRDefault="00471ECE" w:rsidP="00471ECE">
      <w:pPr>
        <w:spacing w:after="0" w:line="240" w:lineRule="auto"/>
        <w:ind w:firstLine="708"/>
        <w:jc w:val="both"/>
        <w:rPr>
          <w:rFonts w:ascii="Verdana" w:eastAsia="Calibri" w:hAnsi="Verdana" w:cs="Arial"/>
          <w:sz w:val="14"/>
          <w:szCs w:val="14"/>
          <w:lang w:val="es-ES_tradnl"/>
        </w:rPr>
      </w:pPr>
      <w:r w:rsidRPr="00CA7CC6">
        <w:rPr>
          <w:rStyle w:val="Refdenotaalpie"/>
          <w:rFonts w:ascii="Verdana" w:hAnsi="Verdana" w:cs="Arial"/>
          <w:sz w:val="14"/>
          <w:szCs w:val="14"/>
        </w:rPr>
        <w:footnoteRef/>
      </w:r>
      <w:r w:rsidRPr="00CA7CC6">
        <w:rPr>
          <w:rFonts w:ascii="Verdana" w:hAnsi="Verdana" w:cs="Arial"/>
          <w:sz w:val="14"/>
          <w:szCs w:val="14"/>
        </w:rPr>
        <w:t xml:space="preserve"> </w:t>
      </w:r>
      <w:r w:rsidRPr="00CA7CC6">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CA7CC6">
        <w:rPr>
          <w:rFonts w:ascii="Verdana" w:hAnsi="Verdana" w:cs="Arial"/>
          <w:sz w:val="14"/>
          <w:szCs w:val="14"/>
        </w:rPr>
        <w:t xml:space="preserve">CONSEJO DE ESTADO. Sección Tercera. Sentencia del 27 de abril de 2006. Rad. 5.229. C.P. Ramiro Saavedra Becerra). </w:t>
      </w:r>
    </w:p>
  </w:footnote>
  <w:footnote w:id="12">
    <w:p w14:paraId="5A8CE230" w14:textId="77777777" w:rsidR="00471ECE" w:rsidRPr="00CA7CC6" w:rsidRDefault="00471ECE" w:rsidP="00471ECE">
      <w:pPr>
        <w:pStyle w:val="Textonotapie"/>
        <w:ind w:firstLine="709"/>
        <w:jc w:val="both"/>
        <w:rPr>
          <w:rFonts w:ascii="Verdana" w:hAnsi="Verdana" w:cs="Arial"/>
          <w:sz w:val="14"/>
          <w:szCs w:val="14"/>
          <w:lang w:val="es-ES"/>
        </w:rPr>
      </w:pPr>
      <w:r w:rsidRPr="00CA7CC6">
        <w:rPr>
          <w:rStyle w:val="Refdenotaalpie"/>
          <w:rFonts w:ascii="Verdana" w:hAnsi="Verdana" w:cs="Arial"/>
          <w:sz w:val="14"/>
          <w:szCs w:val="14"/>
        </w:rPr>
        <w:footnoteRef/>
      </w:r>
      <w:r w:rsidRPr="00CA7CC6">
        <w:rPr>
          <w:rFonts w:ascii="Verdana" w:hAnsi="Verdana" w:cs="Arial"/>
          <w:sz w:val="14"/>
          <w:szCs w:val="14"/>
          <w:lang w:val="pt-BR"/>
        </w:rPr>
        <w:t xml:space="preserve"> CORTE CONSTITUCIONAL. Sentencia C-772 de 1998. </w:t>
      </w:r>
      <w:r w:rsidRPr="00CA7CC6">
        <w:rPr>
          <w:rFonts w:ascii="Verdana" w:hAnsi="Verdana" w:cs="Arial"/>
          <w:sz w:val="14"/>
          <w:szCs w:val="14"/>
          <w:lang w:val="es-ES"/>
        </w:rPr>
        <w:t>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E3F6D" w14:textId="77777777" w:rsidR="00471ECE" w:rsidRDefault="00471EC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C6B5DB3" wp14:editId="7DF66F58">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21A8292" wp14:editId="7E1001C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8641955" w14:textId="77777777" w:rsidR="00471ECE" w:rsidRDefault="00471ECE">
    <w:pPr>
      <w:pStyle w:val="Encabezado"/>
    </w:pPr>
  </w:p>
  <w:p w14:paraId="232C9877" w14:textId="77777777" w:rsidR="00471ECE" w:rsidRDefault="00471ECE" w:rsidP="004A305D">
    <w:pPr>
      <w:spacing w:after="0"/>
      <w:rPr>
        <w:rFonts w:ascii="Verdana" w:hAnsi="Verdana"/>
        <w:b/>
        <w:bCs/>
      </w:rPr>
    </w:pPr>
  </w:p>
  <w:p w14:paraId="00E1C4C2" w14:textId="77777777" w:rsidR="00471ECE" w:rsidRPr="004A305D" w:rsidRDefault="00471ECE" w:rsidP="00B01B1A">
    <w:pPr>
      <w:spacing w:after="0" w:line="120" w:lineRule="auto"/>
      <w:rPr>
        <w:rFonts w:ascii="Century Gothic" w:eastAsia="Geo" w:hAnsi="Century Gothic" w:cs="Geo"/>
        <w:sz w:val="16"/>
        <w:szCs w:val="16"/>
        <w:lang w:eastAsia="es-CO"/>
      </w:rPr>
    </w:pPr>
  </w:p>
  <w:p w14:paraId="7045EA71" w14:textId="77777777" w:rsidR="00471ECE" w:rsidRDefault="00471EC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3255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ECE"/>
    <w:rsid w:val="002E55A3"/>
    <w:rsid w:val="00471ECE"/>
    <w:rsid w:val="00474DF4"/>
    <w:rsid w:val="004F471F"/>
    <w:rsid w:val="00610089"/>
    <w:rsid w:val="00BE0F46"/>
    <w:rsid w:val="00C24FFE"/>
    <w:rsid w:val="00C33F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84FC"/>
  <w15:chartTrackingRefBased/>
  <w15:docId w15:val="{4A537B9B-D72F-4F28-BF8B-605AF739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ECE"/>
    <w:rPr>
      <w:kern w:val="0"/>
      <w14:ligatures w14:val="none"/>
    </w:rPr>
  </w:style>
  <w:style w:type="paragraph" w:styleId="Ttulo1">
    <w:name w:val="heading 1"/>
    <w:basedOn w:val="Normal"/>
    <w:next w:val="Normal"/>
    <w:link w:val="Ttulo1Car"/>
    <w:uiPriority w:val="9"/>
    <w:qFormat/>
    <w:rsid w:val="00471E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71E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71EC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71EC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71EC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71EC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1EC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1EC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1EC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1EC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71EC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71EC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71EC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71EC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71EC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1EC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1EC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1ECE"/>
    <w:rPr>
      <w:rFonts w:eastAsiaTheme="majorEastAsia" w:cstheme="majorBidi"/>
      <w:color w:val="272727" w:themeColor="text1" w:themeTint="D8"/>
    </w:rPr>
  </w:style>
  <w:style w:type="paragraph" w:styleId="Ttulo">
    <w:name w:val="Title"/>
    <w:basedOn w:val="Normal"/>
    <w:next w:val="Normal"/>
    <w:link w:val="TtuloCar"/>
    <w:uiPriority w:val="10"/>
    <w:qFormat/>
    <w:rsid w:val="00471E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1EC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1EC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1EC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1ECE"/>
    <w:pPr>
      <w:spacing w:before="160"/>
      <w:jc w:val="center"/>
    </w:pPr>
    <w:rPr>
      <w:i/>
      <w:iCs/>
      <w:color w:val="404040" w:themeColor="text1" w:themeTint="BF"/>
    </w:rPr>
  </w:style>
  <w:style w:type="character" w:customStyle="1" w:styleId="CitaCar">
    <w:name w:val="Cita Car"/>
    <w:basedOn w:val="Fuentedeprrafopredeter"/>
    <w:link w:val="Cita"/>
    <w:uiPriority w:val="29"/>
    <w:rsid w:val="00471EC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71ECE"/>
    <w:pPr>
      <w:ind w:left="720"/>
      <w:contextualSpacing/>
    </w:pPr>
  </w:style>
  <w:style w:type="character" w:styleId="nfasisintenso">
    <w:name w:val="Intense Emphasis"/>
    <w:basedOn w:val="Fuentedeprrafopredeter"/>
    <w:uiPriority w:val="21"/>
    <w:qFormat/>
    <w:rsid w:val="00471ECE"/>
    <w:rPr>
      <w:i/>
      <w:iCs/>
      <w:color w:val="2F5496" w:themeColor="accent1" w:themeShade="BF"/>
    </w:rPr>
  </w:style>
  <w:style w:type="paragraph" w:styleId="Citadestacada">
    <w:name w:val="Intense Quote"/>
    <w:basedOn w:val="Normal"/>
    <w:next w:val="Normal"/>
    <w:link w:val="CitadestacadaCar"/>
    <w:uiPriority w:val="30"/>
    <w:qFormat/>
    <w:rsid w:val="00471E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71ECE"/>
    <w:rPr>
      <w:i/>
      <w:iCs/>
      <w:color w:val="2F5496" w:themeColor="accent1" w:themeShade="BF"/>
    </w:rPr>
  </w:style>
  <w:style w:type="character" w:styleId="Referenciaintensa">
    <w:name w:val="Intense Reference"/>
    <w:basedOn w:val="Fuentedeprrafopredeter"/>
    <w:uiPriority w:val="32"/>
    <w:qFormat/>
    <w:rsid w:val="00471ECE"/>
    <w:rPr>
      <w:b/>
      <w:bCs/>
      <w:smallCaps/>
      <w:color w:val="2F5496" w:themeColor="accent1" w:themeShade="BF"/>
      <w:spacing w:val="5"/>
    </w:rPr>
  </w:style>
  <w:style w:type="paragraph" w:styleId="Encabezado">
    <w:name w:val="header"/>
    <w:basedOn w:val="Normal"/>
    <w:link w:val="EncabezadoCar"/>
    <w:uiPriority w:val="99"/>
    <w:unhideWhenUsed/>
    <w:rsid w:val="00471E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1ECE"/>
    <w:rPr>
      <w:kern w:val="0"/>
      <w14:ligatures w14:val="none"/>
    </w:rPr>
  </w:style>
  <w:style w:type="paragraph" w:styleId="Piedepgina">
    <w:name w:val="footer"/>
    <w:basedOn w:val="Normal"/>
    <w:link w:val="PiedepginaCar"/>
    <w:uiPriority w:val="99"/>
    <w:unhideWhenUsed/>
    <w:rsid w:val="00471E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1EC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71EC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71EC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71EC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71ECE"/>
    <w:rPr>
      <w:vertAlign w:val="superscript"/>
    </w:rPr>
  </w:style>
  <w:style w:type="character" w:customStyle="1" w:styleId="normaltextrun">
    <w:name w:val="normaltextrun"/>
    <w:basedOn w:val="Fuentedeprrafopredeter"/>
    <w:rsid w:val="00471ECE"/>
  </w:style>
  <w:style w:type="table" w:styleId="Tablaconcuadrcula">
    <w:name w:val="Table Grid"/>
    <w:basedOn w:val="Tablanormal"/>
    <w:uiPriority w:val="39"/>
    <w:qFormat/>
    <w:rsid w:val="00471E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71ECE"/>
    <w:rPr>
      <w:color w:val="0000FF"/>
      <w:u w:val="single"/>
    </w:rPr>
  </w:style>
  <w:style w:type="table" w:customStyle="1" w:styleId="Tablaconcuadrcula1">
    <w:name w:val="Tabla con cuadrícula1"/>
    <w:basedOn w:val="Tablanormal"/>
    <w:next w:val="Tablaconcuadrcula"/>
    <w:uiPriority w:val="59"/>
    <w:rsid w:val="00471EC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71EC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71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ilo72424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B584A9-7BCD-4F59-9376-693B6D43F76F}"/>
</file>

<file path=customXml/itemProps2.xml><?xml version="1.0" encoding="utf-8"?>
<ds:datastoreItem xmlns:ds="http://schemas.openxmlformats.org/officeDocument/2006/customXml" ds:itemID="{333A5A59-CB43-4B39-88D5-88545BE6A0C6}"/>
</file>

<file path=customXml/itemProps3.xml><?xml version="1.0" encoding="utf-8"?>
<ds:datastoreItem xmlns:ds="http://schemas.openxmlformats.org/officeDocument/2006/customXml" ds:itemID="{1145E1AE-B0FD-4387-B22F-A8EE4D3B7732}"/>
</file>

<file path=docProps/app.xml><?xml version="1.0" encoding="utf-8"?>
<Properties xmlns="http://schemas.openxmlformats.org/officeDocument/2006/extended-properties" xmlns:vt="http://schemas.openxmlformats.org/officeDocument/2006/docPropsVTypes">
  <Template>Normal</Template>
  <TotalTime>3</TotalTime>
  <Pages>21</Pages>
  <Words>7267</Words>
  <Characters>39973</Characters>
  <Application>Microsoft Office Word</Application>
  <DocSecurity>0</DocSecurity>
  <Lines>333</Lines>
  <Paragraphs>94</Paragraphs>
  <ScaleCrop>false</ScaleCrop>
  <Company/>
  <LinksUpToDate>false</LinksUpToDate>
  <CharactersWithSpaces>47146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2025-05-07T17:02:00Z</dcterms:created>
  <dcterms:modified xsi:type="dcterms:W3CDTF">2025-05-09T17:19:00Z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