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C0A69C" w14:textId="0A934F83" w:rsidR="00111BBD" w:rsidRDefault="000920F0" w:rsidP="0075145E">
      <w:pPr>
        <w:jc w:val="right"/>
        <w:rPr>
          <w:rFonts w:ascii="Arial" w:hAnsi="Arial" w:cs="Arial"/>
          <w:bCs/>
          <w:color w:val="000000" w:themeColor="text1"/>
          <w:sz w:val="16"/>
          <w:szCs w:val="16"/>
          <w:lang w:val="es-CO" w:eastAsia="es-ES"/>
        </w:rPr>
      </w:pPr>
      <w:bookmarkStart w:id="0" w:name="_Hlk28946138"/>
      <w:bookmarkStart w:id="1" w:name="_Hlk29548183"/>
      <w:bookmarkStart w:id="2" w:name="_Hlk29890381"/>
      <w:r w:rsidRPr="0075145E">
        <w:rPr>
          <w:rFonts w:ascii="Arial" w:hAnsi="Arial" w:cs="Arial"/>
          <w:b/>
          <w:color w:val="000000" w:themeColor="text1"/>
          <w:sz w:val="21"/>
          <w:szCs w:val="21"/>
          <w:lang w:val="es-CO" w:eastAsia="es-ES"/>
        </w:rPr>
        <w:tab/>
      </w:r>
      <w:r w:rsidRPr="0075145E">
        <w:rPr>
          <w:rFonts w:ascii="Arial" w:hAnsi="Arial" w:cs="Arial"/>
          <w:bCs/>
          <w:color w:val="000000" w:themeColor="text1"/>
          <w:sz w:val="16"/>
          <w:szCs w:val="16"/>
          <w:lang w:val="es-CO" w:eastAsia="es-ES"/>
        </w:rPr>
        <w:t>CCE-DES-FM-17</w:t>
      </w:r>
    </w:p>
    <w:p w14:paraId="505DF81B" w14:textId="77777777" w:rsidR="00E22B19" w:rsidRPr="0075145E" w:rsidRDefault="00E22B19" w:rsidP="0075145E">
      <w:pPr>
        <w:jc w:val="right"/>
        <w:rPr>
          <w:rFonts w:ascii="Arial" w:eastAsia="Calibri" w:hAnsi="Arial" w:cs="Arial"/>
          <w:b/>
          <w:color w:val="000000" w:themeColor="text1"/>
          <w:sz w:val="22"/>
          <w:lang w:val="es-CO"/>
        </w:rPr>
      </w:pPr>
    </w:p>
    <w:p w14:paraId="66D87092" w14:textId="45FFC1F1" w:rsidR="004C1DEC" w:rsidRPr="0075145E" w:rsidRDefault="004C1DEC" w:rsidP="0504E6BD">
      <w:pPr>
        <w:jc w:val="both"/>
        <w:rPr>
          <w:rFonts w:ascii="Arial" w:eastAsia="Calibri" w:hAnsi="Arial" w:cs="Arial"/>
          <w:color w:val="000000" w:themeColor="text1"/>
          <w:sz w:val="22"/>
          <w:lang w:val="es-CO"/>
        </w:rPr>
      </w:pPr>
      <w:r w:rsidRPr="0504E6BD">
        <w:rPr>
          <w:rFonts w:ascii="Arial" w:eastAsia="Calibri" w:hAnsi="Arial" w:cs="Arial"/>
          <w:b/>
          <w:bCs/>
          <w:color w:val="000000" w:themeColor="text1"/>
          <w:sz w:val="22"/>
          <w:lang w:val="es-CO"/>
        </w:rPr>
        <w:t xml:space="preserve">SECOP </w:t>
      </w:r>
      <w:bookmarkStart w:id="3" w:name="_Hlk39740441"/>
      <w:r w:rsidR="00282AC5" w:rsidRPr="0504E6BD">
        <w:rPr>
          <w:rFonts w:ascii="Arial" w:eastAsia="Calibri" w:hAnsi="Arial" w:cs="Arial"/>
          <w:b/>
          <w:bCs/>
          <w:color w:val="000000" w:themeColor="text1"/>
          <w:sz w:val="22"/>
          <w:lang w:val="es-CO"/>
        </w:rPr>
        <w:t>–</w:t>
      </w:r>
      <w:bookmarkEnd w:id="3"/>
      <w:r w:rsidRPr="0504E6BD">
        <w:rPr>
          <w:rFonts w:ascii="Arial" w:eastAsia="Calibri" w:hAnsi="Arial" w:cs="Arial"/>
          <w:b/>
          <w:bCs/>
          <w:color w:val="000000" w:themeColor="text1"/>
          <w:sz w:val="22"/>
          <w:lang w:val="es-CO"/>
        </w:rPr>
        <w:t xml:space="preserve"> Publicidad </w:t>
      </w:r>
      <w:r w:rsidR="00282AC5" w:rsidRPr="0504E6BD">
        <w:rPr>
          <w:rFonts w:ascii="Arial" w:eastAsia="Calibri" w:hAnsi="Arial" w:cs="Arial"/>
          <w:b/>
          <w:bCs/>
          <w:color w:val="000000" w:themeColor="text1"/>
          <w:sz w:val="22"/>
          <w:lang w:val="es-CO"/>
        </w:rPr>
        <w:t>–</w:t>
      </w:r>
      <w:r w:rsidRPr="0504E6BD">
        <w:rPr>
          <w:rFonts w:ascii="Arial" w:eastAsia="Calibri" w:hAnsi="Arial" w:cs="Arial"/>
          <w:b/>
          <w:bCs/>
          <w:color w:val="000000" w:themeColor="text1"/>
          <w:sz w:val="22"/>
          <w:lang w:val="es-CO"/>
        </w:rPr>
        <w:t xml:space="preserve"> Entidades de régimen especial </w:t>
      </w:r>
      <w:r w:rsidR="00282AC5" w:rsidRPr="0504E6BD">
        <w:rPr>
          <w:rFonts w:ascii="Arial" w:eastAsia="Calibri" w:hAnsi="Arial" w:cs="Arial"/>
          <w:b/>
          <w:bCs/>
          <w:color w:val="000000" w:themeColor="text1"/>
          <w:sz w:val="22"/>
          <w:lang w:val="es-CO"/>
        </w:rPr>
        <w:t>–</w:t>
      </w:r>
      <w:r w:rsidRPr="0504E6BD">
        <w:rPr>
          <w:rFonts w:ascii="Arial" w:eastAsia="Calibri" w:hAnsi="Arial" w:cs="Arial"/>
          <w:b/>
          <w:bCs/>
          <w:color w:val="000000" w:themeColor="text1"/>
          <w:sz w:val="22"/>
          <w:lang w:val="es-CO"/>
        </w:rPr>
        <w:t xml:space="preserve"> Reiteración </w:t>
      </w:r>
      <w:r w:rsidR="246C82DC" w:rsidRPr="0504E6BD">
        <w:rPr>
          <w:rFonts w:ascii="Arial" w:eastAsia="Arial" w:hAnsi="Arial" w:cs="Arial"/>
          <w:b/>
          <w:bCs/>
          <w:sz w:val="22"/>
          <w:lang w:val="es-MX"/>
        </w:rPr>
        <w:t>–</w:t>
      </w:r>
      <w:r w:rsidRPr="0504E6BD">
        <w:rPr>
          <w:rFonts w:ascii="Arial" w:eastAsia="Calibri" w:hAnsi="Arial" w:cs="Arial"/>
          <w:b/>
          <w:bCs/>
          <w:color w:val="000000" w:themeColor="text1"/>
          <w:sz w:val="22"/>
          <w:lang w:val="es-CO"/>
        </w:rPr>
        <w:t xml:space="preserve"> Concepto unificado </w:t>
      </w:r>
      <w:r w:rsidR="17C4C82E" w:rsidRPr="0504E6BD">
        <w:rPr>
          <w:rFonts w:ascii="Arial" w:eastAsia="Arial" w:hAnsi="Arial" w:cs="Arial"/>
          <w:b/>
          <w:bCs/>
          <w:sz w:val="22"/>
          <w:lang w:val="es-MX"/>
        </w:rPr>
        <w:t>–</w:t>
      </w:r>
      <w:r w:rsidR="17C4C82E" w:rsidRPr="0504E6BD">
        <w:rPr>
          <w:rFonts w:ascii="Arial" w:eastAsia="Calibri" w:hAnsi="Arial" w:cs="Arial"/>
          <w:b/>
          <w:bCs/>
          <w:color w:val="000000" w:themeColor="text1"/>
          <w:sz w:val="22"/>
          <w:lang w:val="es-CO"/>
        </w:rPr>
        <w:t xml:space="preserve"> </w:t>
      </w:r>
      <w:r w:rsidRPr="0504E6BD">
        <w:rPr>
          <w:rFonts w:ascii="Arial" w:eastAsia="Calibri" w:hAnsi="Arial" w:cs="Arial"/>
          <w:b/>
          <w:bCs/>
          <w:color w:val="000000" w:themeColor="text1"/>
          <w:sz w:val="22"/>
          <w:lang w:val="es-CO"/>
        </w:rPr>
        <w:t>CU-003 de 2020</w:t>
      </w:r>
    </w:p>
    <w:p w14:paraId="1863887A" w14:textId="77777777" w:rsidR="004C1DEC" w:rsidRPr="0075145E" w:rsidRDefault="004C1DEC" w:rsidP="00914EB3">
      <w:pPr>
        <w:jc w:val="both"/>
        <w:rPr>
          <w:rFonts w:ascii="Arial" w:hAnsi="Arial" w:cs="Arial"/>
          <w:color w:val="000000" w:themeColor="text1"/>
          <w:sz w:val="22"/>
          <w:lang w:val="es-CO"/>
        </w:rPr>
      </w:pPr>
    </w:p>
    <w:p w14:paraId="3D777854" w14:textId="77777777" w:rsidR="004C1DEC" w:rsidRPr="0075145E" w:rsidRDefault="004C1DEC" w:rsidP="00914EB3">
      <w:pPr>
        <w:jc w:val="both"/>
        <w:rPr>
          <w:rFonts w:ascii="Arial" w:eastAsia="Calibri" w:hAnsi="Arial" w:cs="Arial"/>
          <w:color w:val="000000" w:themeColor="text1"/>
          <w:sz w:val="20"/>
          <w:szCs w:val="20"/>
          <w:lang w:val="es-CO"/>
        </w:rPr>
      </w:pPr>
      <w:r w:rsidRPr="0075145E">
        <w:rPr>
          <w:rFonts w:ascii="Arial" w:eastAsia="Calibri" w:hAnsi="Arial" w:cs="Arial"/>
          <w:color w:val="000000" w:themeColor="text1"/>
          <w:sz w:val="20"/>
          <w:szCs w:val="20"/>
          <w:lang w:val="es-CO"/>
        </w:rPr>
        <w:t xml:space="preserve">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 Así también lo indicó la Agencia Nacional de Contratación Pública en Concepto unificado CU-003 de 2020, que se reitera en esta oportunidad. </w:t>
      </w:r>
    </w:p>
    <w:p w14:paraId="2B4FF759" w14:textId="4A5C43AA" w:rsidR="004C1DEC" w:rsidRPr="0075145E" w:rsidRDefault="004C1DEC" w:rsidP="00B6306F">
      <w:pPr>
        <w:jc w:val="both"/>
        <w:rPr>
          <w:rFonts w:ascii="Arial" w:eastAsia="Calibri" w:hAnsi="Arial" w:cs="Arial"/>
          <w:b/>
          <w:color w:val="000000" w:themeColor="text1"/>
          <w:sz w:val="22"/>
          <w:lang w:val="es-CO"/>
        </w:rPr>
      </w:pPr>
    </w:p>
    <w:p w14:paraId="27128CB1" w14:textId="72C9054F" w:rsidR="004C1DEC" w:rsidRPr="0075145E" w:rsidRDefault="004C1DEC" w:rsidP="0504E6BD">
      <w:pPr>
        <w:jc w:val="both"/>
        <w:rPr>
          <w:rFonts w:ascii="Arial" w:eastAsia="Calibri" w:hAnsi="Arial" w:cs="Arial"/>
          <w:b/>
          <w:bCs/>
          <w:color w:val="000000" w:themeColor="text1"/>
          <w:sz w:val="22"/>
          <w:lang w:val="es-CO"/>
        </w:rPr>
      </w:pPr>
      <w:r w:rsidRPr="0504E6BD">
        <w:rPr>
          <w:rFonts w:ascii="Arial" w:eastAsia="Calibri" w:hAnsi="Arial" w:cs="Arial"/>
          <w:b/>
          <w:bCs/>
          <w:color w:val="000000" w:themeColor="text1"/>
          <w:sz w:val="22"/>
          <w:lang w:val="es-CO"/>
        </w:rPr>
        <w:t xml:space="preserve">SECOP </w:t>
      </w:r>
      <w:r w:rsidR="00282AC5" w:rsidRPr="0504E6BD">
        <w:rPr>
          <w:rFonts w:ascii="Arial" w:eastAsia="Calibri" w:hAnsi="Arial" w:cs="Arial"/>
          <w:b/>
          <w:bCs/>
          <w:color w:val="000000" w:themeColor="text1"/>
          <w:sz w:val="22"/>
          <w:lang w:val="es-CO"/>
        </w:rPr>
        <w:t>–</w:t>
      </w:r>
      <w:r w:rsidRPr="0504E6BD">
        <w:rPr>
          <w:rFonts w:ascii="Arial" w:eastAsia="Calibri" w:hAnsi="Arial" w:cs="Arial"/>
          <w:b/>
          <w:bCs/>
          <w:color w:val="000000" w:themeColor="text1"/>
          <w:sz w:val="22"/>
          <w:lang w:val="es-CO"/>
        </w:rPr>
        <w:t xml:space="preserve"> Publicidad </w:t>
      </w:r>
      <w:r w:rsidR="00282AC5" w:rsidRPr="0504E6BD">
        <w:rPr>
          <w:rFonts w:ascii="Arial" w:eastAsia="Calibri" w:hAnsi="Arial" w:cs="Arial"/>
          <w:b/>
          <w:bCs/>
          <w:color w:val="000000" w:themeColor="text1"/>
          <w:sz w:val="22"/>
          <w:lang w:val="es-CO"/>
        </w:rPr>
        <w:t>–</w:t>
      </w:r>
      <w:r w:rsidRPr="0504E6BD">
        <w:rPr>
          <w:rFonts w:ascii="Arial" w:eastAsia="Calibri" w:hAnsi="Arial" w:cs="Arial"/>
          <w:b/>
          <w:bCs/>
          <w:color w:val="000000" w:themeColor="text1"/>
          <w:sz w:val="22"/>
          <w:lang w:val="es-CO"/>
        </w:rPr>
        <w:t xml:space="preserve"> </w:t>
      </w:r>
      <w:r w:rsidR="37F138FB" w:rsidRPr="0504E6BD">
        <w:rPr>
          <w:rFonts w:ascii="Arial" w:eastAsia="Calibri" w:hAnsi="Arial" w:cs="Arial"/>
          <w:b/>
          <w:bCs/>
          <w:color w:val="000000" w:themeColor="text1"/>
          <w:sz w:val="22"/>
          <w:lang w:val="es-CO"/>
        </w:rPr>
        <w:t>S</w:t>
      </w:r>
      <w:r w:rsidRPr="0504E6BD">
        <w:rPr>
          <w:rFonts w:ascii="Arial" w:eastAsia="Calibri" w:hAnsi="Arial" w:cs="Arial"/>
          <w:b/>
          <w:bCs/>
          <w:color w:val="000000" w:themeColor="text1"/>
          <w:sz w:val="22"/>
          <w:lang w:val="es-CO"/>
        </w:rPr>
        <w:t>ociedades de economía mixta</w:t>
      </w:r>
    </w:p>
    <w:p w14:paraId="0DAC389F" w14:textId="77777777" w:rsidR="004C1DEC" w:rsidRPr="0075145E" w:rsidRDefault="004C1DEC" w:rsidP="00914EB3">
      <w:pPr>
        <w:jc w:val="both"/>
        <w:rPr>
          <w:rFonts w:ascii="Arial" w:hAnsi="Arial" w:cs="Arial"/>
          <w:color w:val="000000" w:themeColor="text1"/>
          <w:sz w:val="22"/>
          <w:lang w:val="es-CO"/>
        </w:rPr>
      </w:pPr>
    </w:p>
    <w:p w14:paraId="66DB73F2" w14:textId="77777777" w:rsidR="00A93936" w:rsidRPr="0075145E" w:rsidRDefault="004C1DEC" w:rsidP="002F6E51">
      <w:pPr>
        <w:spacing w:after="120"/>
        <w:jc w:val="both"/>
        <w:rPr>
          <w:rFonts w:ascii="Arial" w:eastAsia="Calibri" w:hAnsi="Arial" w:cs="Arial"/>
          <w:color w:val="000000" w:themeColor="text1"/>
          <w:sz w:val="20"/>
          <w:szCs w:val="20"/>
          <w:lang w:val="es-CO"/>
        </w:rPr>
      </w:pPr>
      <w:r w:rsidRPr="0075145E">
        <w:rPr>
          <w:rFonts w:ascii="Arial" w:eastAsia="Calibri" w:hAnsi="Arial" w:cs="Arial"/>
          <w:color w:val="000000" w:themeColor="text1"/>
          <w:sz w:val="20"/>
          <w:szCs w:val="20"/>
          <w:lang w:val="es-CO"/>
        </w:rPr>
        <w:t xml:space="preserve">En el concepto del 16 de agosto de 2019, la Agencia Nacional de Contratación Pública se pronunció en relación con la obligación que tienen las sociedades de economía mixta de publicar su actividad contractual en el SECOP II, en estos términos: </w:t>
      </w:r>
    </w:p>
    <w:p w14:paraId="1AA86D71" w14:textId="799511DE" w:rsidR="002F6E51" w:rsidRPr="0075145E" w:rsidRDefault="004C1DEC" w:rsidP="002F6E51">
      <w:pPr>
        <w:spacing w:after="120"/>
        <w:jc w:val="both"/>
        <w:rPr>
          <w:rFonts w:ascii="Arial" w:eastAsia="Calibri" w:hAnsi="Arial" w:cs="Arial"/>
          <w:color w:val="000000" w:themeColor="text1"/>
          <w:sz w:val="20"/>
          <w:szCs w:val="20"/>
          <w:lang w:val="es-CO"/>
        </w:rPr>
      </w:pPr>
      <w:r w:rsidRPr="0075145E">
        <w:rPr>
          <w:rFonts w:ascii="Arial" w:eastAsia="Calibri" w:hAnsi="Arial" w:cs="Arial"/>
          <w:color w:val="000000" w:themeColor="text1"/>
          <w:sz w:val="20"/>
          <w:szCs w:val="20"/>
          <w:lang w:val="es-CO"/>
        </w:rPr>
        <w:t>«[…] el deber de publicar la información contractual recae tanto en las entidades sometidas al Estatuto General de la Contratación Pública como en las entidades que tienen un régimen especial de contratación, como es el caso de las sociedades de economía mixta, siempre y cuando el contrato ejecute o tenga como fuente de financiación dineros públicos, sin importar su proporción».</w:t>
      </w:r>
    </w:p>
    <w:p w14:paraId="6F37D6E9" w14:textId="21CC6C9E" w:rsidR="009E6DB3" w:rsidRPr="0075145E" w:rsidRDefault="004C1DEC" w:rsidP="00914EB3">
      <w:pPr>
        <w:jc w:val="both"/>
        <w:rPr>
          <w:rFonts w:ascii="Arial" w:eastAsia="Calibri" w:hAnsi="Arial" w:cs="Arial"/>
          <w:color w:val="000000" w:themeColor="text1"/>
          <w:sz w:val="20"/>
          <w:szCs w:val="20"/>
          <w:lang w:val="es-CO"/>
        </w:rPr>
      </w:pPr>
      <w:r w:rsidRPr="0075145E">
        <w:rPr>
          <w:rFonts w:ascii="Arial" w:eastAsia="Calibri" w:hAnsi="Arial" w:cs="Arial"/>
          <w:color w:val="000000" w:themeColor="text1"/>
          <w:sz w:val="20"/>
          <w:szCs w:val="20"/>
          <w:lang w:val="es-CO"/>
        </w:rPr>
        <w:t>Al respecto, en el concepto C-088 de 2020 se concluyó que una sociedad de economía mixta, «[a]l ser una entidad pública que hace parte de la rama ejecutiva–según lo dispone el artículo 38, numeral 2º, literal f) de la Ley 489 de 1998–, ingresa dentro de la categoría de sujeto obligado prevista en el artículo 9 de la Ley 1712 de 2014 y en consecuencia debe publicar la información relativa a su contratación en el SECOP, pues […] este es un deber de las entidades estatales que contratan con recursos públicos, independientemente del régimen jurídico aplicable a dicha actividad contractual».</w:t>
      </w:r>
    </w:p>
    <w:p w14:paraId="23AC2917" w14:textId="797BBF1D" w:rsidR="004C1DEC" w:rsidRPr="0075145E" w:rsidRDefault="004C1DEC" w:rsidP="00914EB3">
      <w:pPr>
        <w:jc w:val="both"/>
        <w:rPr>
          <w:rFonts w:ascii="Arial" w:eastAsia="Calibri" w:hAnsi="Arial" w:cs="Arial"/>
          <w:color w:val="000000" w:themeColor="text1"/>
          <w:sz w:val="20"/>
          <w:szCs w:val="20"/>
          <w:lang w:val="es-CO"/>
        </w:rPr>
      </w:pPr>
    </w:p>
    <w:p w14:paraId="6D5EA0ED" w14:textId="5026D6CC" w:rsidR="009E6DB3" w:rsidRPr="0075145E" w:rsidRDefault="009E6DB3" w:rsidP="0504E6BD">
      <w:pPr>
        <w:jc w:val="both"/>
        <w:rPr>
          <w:rFonts w:ascii="Arial" w:eastAsia="Calibri" w:hAnsi="Arial" w:cs="Arial"/>
          <w:b/>
          <w:bCs/>
          <w:color w:val="000000" w:themeColor="text1"/>
          <w:sz w:val="22"/>
          <w:lang w:val="es-CO"/>
        </w:rPr>
      </w:pPr>
      <w:r w:rsidRPr="0504E6BD">
        <w:rPr>
          <w:rFonts w:ascii="Arial" w:eastAsia="Calibri" w:hAnsi="Arial" w:cs="Arial"/>
          <w:b/>
          <w:bCs/>
          <w:color w:val="000000" w:themeColor="text1"/>
          <w:sz w:val="22"/>
          <w:lang w:val="es-CO"/>
        </w:rPr>
        <w:t xml:space="preserve">SECOP </w:t>
      </w:r>
      <w:r w:rsidR="00282AC5" w:rsidRPr="0504E6BD">
        <w:rPr>
          <w:rFonts w:ascii="Arial" w:eastAsia="Calibri" w:hAnsi="Arial" w:cs="Arial"/>
          <w:b/>
          <w:bCs/>
          <w:color w:val="000000" w:themeColor="text1"/>
          <w:sz w:val="22"/>
          <w:lang w:val="es-CO"/>
        </w:rPr>
        <w:t>–</w:t>
      </w:r>
      <w:r w:rsidRPr="0504E6BD">
        <w:rPr>
          <w:rFonts w:ascii="Arial" w:eastAsia="Calibri" w:hAnsi="Arial" w:cs="Arial"/>
          <w:b/>
          <w:bCs/>
          <w:color w:val="000000" w:themeColor="text1"/>
          <w:sz w:val="22"/>
          <w:lang w:val="es-CO"/>
        </w:rPr>
        <w:t xml:space="preserve"> Publicidad </w:t>
      </w:r>
      <w:r w:rsidR="00282AC5" w:rsidRPr="0504E6BD">
        <w:rPr>
          <w:rFonts w:ascii="Arial" w:eastAsia="Calibri" w:hAnsi="Arial" w:cs="Arial"/>
          <w:b/>
          <w:bCs/>
          <w:color w:val="000000" w:themeColor="text1"/>
          <w:sz w:val="22"/>
          <w:lang w:val="es-CO"/>
        </w:rPr>
        <w:t>–</w:t>
      </w:r>
      <w:r w:rsidRPr="0504E6BD">
        <w:rPr>
          <w:rFonts w:ascii="Arial" w:eastAsia="Calibri" w:hAnsi="Arial" w:cs="Arial"/>
          <w:b/>
          <w:bCs/>
          <w:color w:val="000000" w:themeColor="text1"/>
          <w:sz w:val="22"/>
          <w:lang w:val="es-CO"/>
        </w:rPr>
        <w:t xml:space="preserve"> Entidades descentralizadas </w:t>
      </w:r>
      <w:r w:rsidR="19B6D806" w:rsidRPr="0504E6BD">
        <w:rPr>
          <w:rFonts w:ascii="Arial" w:eastAsia="Arial" w:hAnsi="Arial" w:cs="Arial"/>
          <w:b/>
          <w:bCs/>
          <w:sz w:val="22"/>
          <w:lang w:val="es-MX"/>
        </w:rPr>
        <w:t>–</w:t>
      </w:r>
      <w:r w:rsidR="19B6D806" w:rsidRPr="0504E6BD">
        <w:rPr>
          <w:rFonts w:ascii="Arial" w:eastAsia="Calibri" w:hAnsi="Arial" w:cs="Arial"/>
          <w:b/>
          <w:bCs/>
          <w:color w:val="000000" w:themeColor="text1"/>
          <w:sz w:val="22"/>
          <w:lang w:val="es-CO"/>
        </w:rPr>
        <w:t xml:space="preserve"> N</w:t>
      </w:r>
      <w:r w:rsidRPr="0504E6BD">
        <w:rPr>
          <w:rFonts w:ascii="Arial" w:eastAsia="Calibri" w:hAnsi="Arial" w:cs="Arial"/>
          <w:b/>
          <w:bCs/>
          <w:color w:val="000000" w:themeColor="text1"/>
          <w:sz w:val="22"/>
          <w:lang w:val="es-CO"/>
        </w:rPr>
        <w:t>ivel territorial</w:t>
      </w:r>
    </w:p>
    <w:p w14:paraId="62508ECB" w14:textId="77777777" w:rsidR="009E6DB3" w:rsidRPr="0075145E" w:rsidRDefault="009E6DB3" w:rsidP="00914EB3">
      <w:pPr>
        <w:jc w:val="both"/>
        <w:rPr>
          <w:rFonts w:ascii="Arial" w:hAnsi="Arial" w:cs="Arial"/>
          <w:color w:val="000000" w:themeColor="text1"/>
          <w:sz w:val="22"/>
          <w:lang w:val="es-CO"/>
        </w:rPr>
      </w:pPr>
    </w:p>
    <w:p w14:paraId="1B5FBCB7" w14:textId="68015CB3" w:rsidR="009E6DB3" w:rsidRPr="0075145E" w:rsidRDefault="009E6DB3" w:rsidP="00914EB3">
      <w:pPr>
        <w:jc w:val="both"/>
        <w:rPr>
          <w:rFonts w:ascii="Arial" w:eastAsia="Calibri" w:hAnsi="Arial" w:cs="Arial"/>
          <w:color w:val="000000" w:themeColor="text1"/>
          <w:sz w:val="20"/>
          <w:szCs w:val="20"/>
          <w:lang w:val="es-CO"/>
        </w:rPr>
      </w:pPr>
      <w:r w:rsidRPr="0075145E">
        <w:rPr>
          <w:rFonts w:ascii="Arial" w:eastAsia="Calibri" w:hAnsi="Arial" w:cs="Arial"/>
          <w:color w:val="000000" w:themeColor="text1"/>
          <w:sz w:val="20"/>
          <w:szCs w:val="20"/>
          <w:lang w:val="es-CO"/>
        </w:rPr>
        <w:t>La misma obligación les asiste a las entidades descentralizadas del nivel territorial, según lo que se dijo en el concepto C-151 de 2020. Allí la Agencia Nacional de Contratación Pública concluyó que el factor que determina el deber de publicar en el SECOP es la ejecución de recursos públicos.</w:t>
      </w:r>
    </w:p>
    <w:p w14:paraId="174E247C" w14:textId="1191698B" w:rsidR="009E6DB3" w:rsidRPr="0075145E" w:rsidRDefault="009E6DB3" w:rsidP="00914EB3">
      <w:pPr>
        <w:jc w:val="both"/>
        <w:rPr>
          <w:rFonts w:ascii="Arial" w:eastAsia="Calibri" w:hAnsi="Arial" w:cs="Arial"/>
          <w:color w:val="000000" w:themeColor="text1"/>
          <w:sz w:val="20"/>
          <w:szCs w:val="20"/>
          <w:lang w:val="es-CO"/>
        </w:rPr>
      </w:pPr>
    </w:p>
    <w:p w14:paraId="10E44028" w14:textId="121E9A03" w:rsidR="009E6DB3" w:rsidRPr="0075145E" w:rsidRDefault="009E6DB3" w:rsidP="00914EB3">
      <w:pPr>
        <w:jc w:val="both"/>
        <w:rPr>
          <w:rFonts w:ascii="Arial" w:eastAsia="Calibri" w:hAnsi="Arial" w:cs="Arial"/>
          <w:b/>
          <w:color w:val="000000" w:themeColor="text1"/>
          <w:sz w:val="22"/>
          <w:lang w:val="es-CO"/>
        </w:rPr>
      </w:pPr>
      <w:r w:rsidRPr="0075145E">
        <w:rPr>
          <w:rFonts w:ascii="Arial" w:eastAsia="Calibri" w:hAnsi="Arial" w:cs="Arial"/>
          <w:b/>
          <w:color w:val="000000" w:themeColor="text1"/>
          <w:sz w:val="22"/>
          <w:lang w:val="es-CO"/>
        </w:rPr>
        <w:t xml:space="preserve">SECOP </w:t>
      </w:r>
      <w:r w:rsidR="00282AC5" w:rsidRPr="0075145E">
        <w:rPr>
          <w:rFonts w:ascii="Arial" w:eastAsia="Calibri" w:hAnsi="Arial" w:cs="Arial"/>
          <w:b/>
          <w:color w:val="000000" w:themeColor="text1"/>
          <w:sz w:val="22"/>
          <w:lang w:val="es-CO"/>
        </w:rPr>
        <w:t>–</w:t>
      </w:r>
      <w:r w:rsidRPr="0075145E">
        <w:rPr>
          <w:rFonts w:ascii="Arial" w:eastAsia="Calibri" w:hAnsi="Arial" w:cs="Arial"/>
          <w:b/>
          <w:color w:val="000000" w:themeColor="text1"/>
          <w:sz w:val="22"/>
          <w:lang w:val="es-CO"/>
        </w:rPr>
        <w:t xml:space="preserve"> Publicidad </w:t>
      </w:r>
      <w:r w:rsidR="00282AC5" w:rsidRPr="0075145E">
        <w:rPr>
          <w:rFonts w:ascii="Arial" w:eastAsia="Calibri" w:hAnsi="Arial" w:cs="Arial"/>
          <w:b/>
          <w:color w:val="000000" w:themeColor="text1"/>
          <w:sz w:val="22"/>
          <w:lang w:val="es-CO"/>
        </w:rPr>
        <w:t>–</w:t>
      </w:r>
      <w:r w:rsidRPr="0075145E">
        <w:rPr>
          <w:rFonts w:ascii="Arial" w:eastAsia="Calibri" w:hAnsi="Arial" w:cs="Arial"/>
          <w:b/>
          <w:color w:val="000000" w:themeColor="text1"/>
          <w:sz w:val="22"/>
          <w:lang w:val="es-CO"/>
        </w:rPr>
        <w:t xml:space="preserve"> Entidades descentralizadas por servicios</w:t>
      </w:r>
    </w:p>
    <w:p w14:paraId="1F7DEB57" w14:textId="77777777" w:rsidR="009E6DB3" w:rsidRPr="0075145E" w:rsidRDefault="009E6DB3" w:rsidP="00914EB3">
      <w:pPr>
        <w:jc w:val="both"/>
        <w:rPr>
          <w:rFonts w:ascii="Arial" w:hAnsi="Arial" w:cs="Arial"/>
          <w:color w:val="000000" w:themeColor="text1"/>
          <w:sz w:val="22"/>
          <w:lang w:val="es-CO"/>
        </w:rPr>
      </w:pPr>
    </w:p>
    <w:p w14:paraId="560ECD3B" w14:textId="2FD08D22" w:rsidR="009E6DB3" w:rsidRPr="0075145E" w:rsidRDefault="009E6DB3" w:rsidP="00914EB3">
      <w:pPr>
        <w:jc w:val="both"/>
        <w:rPr>
          <w:rFonts w:ascii="Arial" w:eastAsia="Calibri" w:hAnsi="Arial" w:cs="Arial"/>
          <w:color w:val="000000" w:themeColor="text1"/>
          <w:sz w:val="20"/>
          <w:szCs w:val="20"/>
          <w:lang w:val="es-CO"/>
        </w:rPr>
      </w:pPr>
      <w:r w:rsidRPr="0075145E">
        <w:rPr>
          <w:rFonts w:ascii="Arial" w:eastAsia="Calibri" w:hAnsi="Arial" w:cs="Arial"/>
          <w:color w:val="000000" w:themeColor="text1"/>
          <w:sz w:val="20"/>
          <w:szCs w:val="20"/>
          <w:lang w:val="es-CO"/>
        </w:rPr>
        <w:t>Las entidades descentralizadas por servicios, por otro lado, también se encuentran llamadas a publicar su actividad contractual en el SECOP. Así lo concluyó Colombia Compra Eficiente en el concepto C-264 de 2020, en donde dijo que: «[e]l Instituto Social de Vivienda y Hábitat de Medellín, sin consideración al régimen sustantivo de contratación que le resulta aplicable, esto es, Estatuto General de Contratación de la Administración Pública o regímenes exceptuados, inclusive independiente de la tipología de los contratos y el régimen aplicable a los mismos, está en la obligación de publicar todos los documentos proferidos con ocasión de sus procesos de contratación» «cursivas propias».</w:t>
      </w:r>
    </w:p>
    <w:p w14:paraId="6EC30D5E" w14:textId="77777777" w:rsidR="009E6DB3" w:rsidRPr="0075145E" w:rsidRDefault="009E6DB3" w:rsidP="00914EB3">
      <w:pPr>
        <w:jc w:val="both"/>
        <w:rPr>
          <w:rFonts w:ascii="Arial" w:eastAsia="Calibri" w:hAnsi="Arial" w:cs="Arial"/>
          <w:color w:val="000000" w:themeColor="text1"/>
          <w:sz w:val="20"/>
          <w:szCs w:val="20"/>
          <w:lang w:val="es-CO"/>
        </w:rPr>
      </w:pPr>
    </w:p>
    <w:p w14:paraId="713A5435" w14:textId="16D1D909" w:rsidR="009E6DB3" w:rsidRPr="0075145E" w:rsidRDefault="009E6DB3" w:rsidP="0504E6BD">
      <w:pPr>
        <w:jc w:val="both"/>
        <w:rPr>
          <w:rFonts w:ascii="Arial" w:eastAsia="Calibri" w:hAnsi="Arial" w:cs="Arial"/>
          <w:b/>
          <w:bCs/>
          <w:color w:val="000000" w:themeColor="text1"/>
          <w:sz w:val="22"/>
          <w:lang w:val="es-CO"/>
        </w:rPr>
      </w:pPr>
      <w:r w:rsidRPr="0504E6BD">
        <w:rPr>
          <w:rFonts w:ascii="Arial" w:eastAsia="Calibri" w:hAnsi="Arial" w:cs="Arial"/>
          <w:b/>
          <w:bCs/>
          <w:color w:val="000000" w:themeColor="text1"/>
          <w:sz w:val="22"/>
          <w:lang w:val="es-CO"/>
        </w:rPr>
        <w:t xml:space="preserve">SECOP </w:t>
      </w:r>
      <w:r w:rsidR="00282AC5" w:rsidRPr="0504E6BD">
        <w:rPr>
          <w:rFonts w:ascii="Arial" w:eastAsia="Calibri" w:hAnsi="Arial" w:cs="Arial"/>
          <w:b/>
          <w:bCs/>
          <w:color w:val="000000" w:themeColor="text1"/>
          <w:sz w:val="22"/>
          <w:lang w:val="es-CO"/>
        </w:rPr>
        <w:t>–</w:t>
      </w:r>
      <w:r w:rsidRPr="0504E6BD">
        <w:rPr>
          <w:rFonts w:ascii="Arial" w:eastAsia="Calibri" w:hAnsi="Arial" w:cs="Arial"/>
          <w:b/>
          <w:bCs/>
          <w:color w:val="000000" w:themeColor="text1"/>
          <w:sz w:val="22"/>
          <w:lang w:val="es-CO"/>
        </w:rPr>
        <w:t xml:space="preserve"> Publicidad </w:t>
      </w:r>
      <w:r w:rsidR="00282AC5" w:rsidRPr="0504E6BD">
        <w:rPr>
          <w:rFonts w:ascii="Arial" w:eastAsia="Calibri" w:hAnsi="Arial" w:cs="Arial"/>
          <w:b/>
          <w:bCs/>
          <w:color w:val="000000" w:themeColor="text1"/>
          <w:sz w:val="22"/>
          <w:lang w:val="es-CO"/>
        </w:rPr>
        <w:t>–</w:t>
      </w:r>
      <w:r w:rsidR="712F5987" w:rsidRPr="0504E6BD">
        <w:rPr>
          <w:rFonts w:ascii="Arial" w:eastAsia="Calibri" w:hAnsi="Arial" w:cs="Arial"/>
          <w:b/>
          <w:bCs/>
          <w:color w:val="000000" w:themeColor="text1"/>
          <w:sz w:val="22"/>
          <w:lang w:val="es-CO"/>
        </w:rPr>
        <w:t xml:space="preserve"> </w:t>
      </w:r>
      <w:proofErr w:type="spellStart"/>
      <w:r w:rsidR="712F5987" w:rsidRPr="0504E6BD">
        <w:rPr>
          <w:rFonts w:ascii="Arial" w:eastAsia="Calibri" w:hAnsi="Arial" w:cs="Arial"/>
          <w:b/>
          <w:bCs/>
          <w:color w:val="000000" w:themeColor="text1"/>
          <w:sz w:val="22"/>
          <w:lang w:val="es-CO"/>
        </w:rPr>
        <w:t>Secop</w:t>
      </w:r>
      <w:proofErr w:type="spellEnd"/>
      <w:r w:rsidR="712F5987" w:rsidRPr="0504E6BD">
        <w:rPr>
          <w:rFonts w:ascii="Arial" w:eastAsia="Calibri" w:hAnsi="Arial" w:cs="Arial"/>
          <w:b/>
          <w:bCs/>
          <w:color w:val="000000" w:themeColor="text1"/>
          <w:sz w:val="22"/>
          <w:lang w:val="es-CO"/>
        </w:rPr>
        <w:t xml:space="preserve"> II </w:t>
      </w:r>
      <w:r w:rsidR="712F5987" w:rsidRPr="0504E6BD">
        <w:rPr>
          <w:rFonts w:ascii="Arial" w:eastAsia="Arial" w:hAnsi="Arial" w:cs="Arial"/>
          <w:b/>
          <w:bCs/>
          <w:sz w:val="22"/>
          <w:lang w:val="es-MX"/>
        </w:rPr>
        <w:t>– Obligatoriedad – Alcance</w:t>
      </w:r>
      <w:r w:rsidRPr="0504E6BD">
        <w:rPr>
          <w:rFonts w:ascii="Arial" w:eastAsia="Calibri" w:hAnsi="Arial" w:cs="Arial"/>
          <w:b/>
          <w:bCs/>
          <w:color w:val="000000" w:themeColor="text1"/>
          <w:sz w:val="22"/>
          <w:lang w:val="es-CO"/>
        </w:rPr>
        <w:t xml:space="preserve"> </w:t>
      </w:r>
    </w:p>
    <w:p w14:paraId="6007606F" w14:textId="210493A9" w:rsidR="0504E6BD" w:rsidRDefault="0504E6BD" w:rsidP="0504E6BD">
      <w:pPr>
        <w:jc w:val="both"/>
        <w:rPr>
          <w:rFonts w:ascii="Arial" w:eastAsia="Calibri" w:hAnsi="Arial" w:cs="Arial"/>
          <w:b/>
          <w:bCs/>
          <w:color w:val="000000" w:themeColor="text1"/>
          <w:sz w:val="22"/>
          <w:lang w:val="es-CO"/>
        </w:rPr>
      </w:pPr>
    </w:p>
    <w:p w14:paraId="1CA8EE21" w14:textId="183243E2" w:rsidR="001928A4" w:rsidRPr="0075145E" w:rsidRDefault="00BC586F" w:rsidP="001928A4">
      <w:pPr>
        <w:spacing w:after="120"/>
        <w:jc w:val="both"/>
        <w:rPr>
          <w:rFonts w:ascii="Arial" w:eastAsia="Calibri" w:hAnsi="Arial" w:cs="Arial"/>
          <w:color w:val="000000" w:themeColor="text1"/>
          <w:sz w:val="20"/>
          <w:szCs w:val="20"/>
          <w:lang w:val="es-CO"/>
        </w:rPr>
      </w:pPr>
      <w:r w:rsidRPr="0075145E">
        <w:rPr>
          <w:rFonts w:ascii="Arial" w:eastAsia="Calibri" w:hAnsi="Arial" w:cs="Arial"/>
          <w:color w:val="000000" w:themeColor="text1"/>
          <w:sz w:val="20"/>
          <w:szCs w:val="20"/>
          <w:lang w:val="es-CO"/>
        </w:rPr>
        <w:t>[…]</w:t>
      </w:r>
      <w:r w:rsidR="416B940B" w:rsidRPr="0075145E">
        <w:rPr>
          <w:rFonts w:ascii="Arial" w:eastAsia="Calibri" w:hAnsi="Arial" w:cs="Arial"/>
          <w:color w:val="000000" w:themeColor="text1"/>
          <w:sz w:val="20"/>
          <w:szCs w:val="20"/>
          <w:lang w:val="es-CO"/>
        </w:rPr>
        <w:t>,</w:t>
      </w:r>
      <w:r w:rsidRPr="0075145E">
        <w:rPr>
          <w:rFonts w:ascii="Arial" w:eastAsia="Calibri" w:hAnsi="Arial" w:cs="Arial"/>
          <w:color w:val="000000" w:themeColor="text1"/>
          <w:sz w:val="20"/>
          <w:szCs w:val="20"/>
          <w:lang w:val="es-CO"/>
        </w:rPr>
        <w:t xml:space="preserve"> </w:t>
      </w:r>
      <w:r w:rsidR="3E505A5A" w:rsidRPr="0075145E">
        <w:rPr>
          <w:rFonts w:ascii="Arial" w:eastAsia="Calibri" w:hAnsi="Arial" w:cs="Arial"/>
          <w:color w:val="000000" w:themeColor="text1"/>
          <w:sz w:val="20"/>
          <w:szCs w:val="20"/>
          <w:lang w:val="es-CO"/>
        </w:rPr>
        <w:t>d</w:t>
      </w:r>
      <w:r w:rsidR="009E6DB3" w:rsidRPr="0075145E">
        <w:rPr>
          <w:rFonts w:ascii="Arial" w:eastAsia="Calibri" w:hAnsi="Arial" w:cs="Arial"/>
          <w:color w:val="000000" w:themeColor="text1"/>
          <w:sz w:val="20"/>
          <w:szCs w:val="20"/>
          <w:lang w:val="es-CO"/>
        </w:rPr>
        <w:t xml:space="preserve">el hecho que todas las entidades públicas, sin importar su naturaleza jurídica o régimen de contratación, deban publicar los procesos contractuales en los que ejecutan recursos públicos, no se deriva que siempre tengan que hacerlo en el SECOP II, ya que al uso obligatorio de esta plataforma solo están vinculadas las entidades referidas en el Anexo 1 de la Circular Externa 1 de 2019, como se explicó en el numeral 2.1. supra. En efecto, en el concepto C-151 de 2020 se concluyó lo siguiente: </w:t>
      </w:r>
    </w:p>
    <w:p w14:paraId="72C6163B" w14:textId="5D764103" w:rsidR="009E6DB3" w:rsidRPr="0075145E" w:rsidRDefault="009E6DB3" w:rsidP="00914EB3">
      <w:pPr>
        <w:jc w:val="both"/>
        <w:rPr>
          <w:rFonts w:ascii="Arial" w:eastAsia="Calibri" w:hAnsi="Arial" w:cs="Arial"/>
          <w:color w:val="000000" w:themeColor="text1"/>
          <w:sz w:val="20"/>
          <w:szCs w:val="20"/>
          <w:lang w:val="es-CO"/>
        </w:rPr>
      </w:pPr>
      <w:r w:rsidRPr="0075145E">
        <w:rPr>
          <w:rFonts w:ascii="Arial" w:eastAsia="Calibri" w:hAnsi="Arial" w:cs="Arial"/>
          <w:color w:val="000000" w:themeColor="text1"/>
          <w:sz w:val="20"/>
          <w:szCs w:val="20"/>
          <w:lang w:val="es-CO"/>
        </w:rPr>
        <w:t>«Respecto a la publicación del SECOP I o en el SECOP II, la Subdirección de Gestión Contractual concluye que, a la fecha, las entidades descentralizadas del nivel municipal no están obligadas a publicar sus procesos de contratación en el SECOP II, conforme a la salvedad que sobre el particular establece el Anexo 1 de la Circular Externa No. 1 de 2019.  Sin embargo, esta exclusión no las releva de continuar publicando sus procesos de contratación en la plataforma de SECOP I.»</w:t>
      </w:r>
    </w:p>
    <w:p w14:paraId="4A3F74B1" w14:textId="0BD17746" w:rsidR="00795C9B" w:rsidRPr="0075145E" w:rsidRDefault="00795C9B" w:rsidP="00914EB3">
      <w:pPr>
        <w:jc w:val="both"/>
        <w:rPr>
          <w:rFonts w:ascii="Arial" w:eastAsia="Calibri" w:hAnsi="Arial" w:cs="Arial"/>
          <w:color w:val="000000" w:themeColor="text1"/>
          <w:sz w:val="20"/>
          <w:szCs w:val="20"/>
          <w:lang w:val="es-CO"/>
        </w:rPr>
      </w:pPr>
    </w:p>
    <w:p w14:paraId="55DDFAB6" w14:textId="32387136" w:rsidR="00795C9B" w:rsidRPr="0075145E" w:rsidRDefault="00795C9B" w:rsidP="0504E6BD">
      <w:pPr>
        <w:jc w:val="both"/>
        <w:rPr>
          <w:rFonts w:ascii="Arial" w:eastAsia="Calibri" w:hAnsi="Arial" w:cs="Arial"/>
          <w:b/>
          <w:bCs/>
          <w:color w:val="000000" w:themeColor="text1"/>
          <w:sz w:val="22"/>
          <w:lang w:val="es-CO"/>
        </w:rPr>
      </w:pPr>
      <w:r w:rsidRPr="0504E6BD">
        <w:rPr>
          <w:rFonts w:ascii="Arial" w:eastAsia="Calibri" w:hAnsi="Arial" w:cs="Arial"/>
          <w:b/>
          <w:bCs/>
          <w:color w:val="000000" w:themeColor="text1"/>
          <w:sz w:val="22"/>
          <w:lang w:val="es-CO"/>
        </w:rPr>
        <w:t xml:space="preserve">SECOP </w:t>
      </w:r>
      <w:r w:rsidR="00282AC5" w:rsidRPr="0504E6BD">
        <w:rPr>
          <w:rFonts w:ascii="Arial" w:eastAsia="Calibri" w:hAnsi="Arial" w:cs="Arial"/>
          <w:b/>
          <w:bCs/>
          <w:color w:val="000000" w:themeColor="text1"/>
          <w:sz w:val="22"/>
          <w:lang w:val="es-CO"/>
        </w:rPr>
        <w:t>–</w:t>
      </w:r>
      <w:r w:rsidRPr="0504E6BD">
        <w:rPr>
          <w:rFonts w:ascii="Arial" w:eastAsia="Calibri" w:hAnsi="Arial" w:cs="Arial"/>
          <w:b/>
          <w:bCs/>
          <w:color w:val="000000" w:themeColor="text1"/>
          <w:sz w:val="22"/>
          <w:lang w:val="es-CO"/>
        </w:rPr>
        <w:t xml:space="preserve"> Entidades excluidas </w:t>
      </w:r>
      <w:r w:rsidR="00B6306F" w:rsidRPr="0504E6BD">
        <w:rPr>
          <w:rFonts w:ascii="Arial" w:eastAsia="Calibri" w:hAnsi="Arial" w:cs="Arial"/>
          <w:b/>
          <w:bCs/>
          <w:color w:val="000000" w:themeColor="text1"/>
          <w:sz w:val="22"/>
          <w:lang w:val="es-CO"/>
        </w:rPr>
        <w:t>– D</w:t>
      </w:r>
      <w:r w:rsidRPr="0504E6BD">
        <w:rPr>
          <w:rFonts w:ascii="Arial" w:eastAsia="Calibri" w:hAnsi="Arial" w:cs="Arial"/>
          <w:b/>
          <w:bCs/>
          <w:color w:val="000000" w:themeColor="text1"/>
          <w:sz w:val="22"/>
          <w:lang w:val="es-CO"/>
        </w:rPr>
        <w:t>eber de public</w:t>
      </w:r>
      <w:r w:rsidR="44298459" w:rsidRPr="0504E6BD">
        <w:rPr>
          <w:rFonts w:ascii="Arial" w:eastAsia="Calibri" w:hAnsi="Arial" w:cs="Arial"/>
          <w:b/>
          <w:bCs/>
          <w:color w:val="000000" w:themeColor="text1"/>
          <w:sz w:val="22"/>
          <w:lang w:val="es-CO"/>
        </w:rPr>
        <w:t>idad</w:t>
      </w:r>
      <w:r w:rsidRPr="0504E6BD">
        <w:rPr>
          <w:rFonts w:ascii="Arial" w:eastAsia="Calibri" w:hAnsi="Arial" w:cs="Arial"/>
          <w:b/>
          <w:bCs/>
          <w:color w:val="000000" w:themeColor="text1"/>
          <w:sz w:val="22"/>
          <w:lang w:val="es-CO"/>
        </w:rPr>
        <w:t xml:space="preserve"> </w:t>
      </w:r>
    </w:p>
    <w:p w14:paraId="00DEE538" w14:textId="77777777" w:rsidR="00980B43" w:rsidRPr="0075145E" w:rsidRDefault="00980B43" w:rsidP="00914EB3">
      <w:pPr>
        <w:jc w:val="both"/>
        <w:rPr>
          <w:rFonts w:ascii="Arial" w:eastAsia="Calibri" w:hAnsi="Arial" w:cs="Arial"/>
          <w:color w:val="000000" w:themeColor="text1"/>
          <w:sz w:val="20"/>
          <w:szCs w:val="20"/>
          <w:lang w:val="es-CO"/>
        </w:rPr>
      </w:pPr>
    </w:p>
    <w:p w14:paraId="02CB1719" w14:textId="1A7E1062" w:rsidR="00795C9B" w:rsidRPr="0075145E" w:rsidRDefault="001928A4" w:rsidP="00914EB3">
      <w:pPr>
        <w:jc w:val="both"/>
        <w:rPr>
          <w:rFonts w:ascii="Arial" w:eastAsia="Calibri" w:hAnsi="Arial" w:cs="Arial"/>
          <w:color w:val="000000" w:themeColor="text1"/>
          <w:sz w:val="20"/>
          <w:szCs w:val="20"/>
          <w:lang w:val="es-CO"/>
        </w:rPr>
      </w:pPr>
      <w:r w:rsidRPr="0075145E">
        <w:rPr>
          <w:rFonts w:ascii="Arial" w:eastAsia="Calibri" w:hAnsi="Arial" w:cs="Arial"/>
          <w:color w:val="000000" w:themeColor="text1"/>
          <w:sz w:val="20"/>
          <w:szCs w:val="20"/>
          <w:lang w:val="es-CO"/>
        </w:rPr>
        <w:t>[…]</w:t>
      </w:r>
      <w:r w:rsidR="36C82DDA" w:rsidRPr="0075145E">
        <w:rPr>
          <w:rFonts w:ascii="Arial" w:eastAsia="Calibri" w:hAnsi="Arial" w:cs="Arial"/>
          <w:color w:val="000000" w:themeColor="text1"/>
          <w:sz w:val="20"/>
          <w:szCs w:val="20"/>
          <w:lang w:val="es-CO"/>
        </w:rPr>
        <w:t>,</w:t>
      </w:r>
      <w:r w:rsidRPr="0075145E">
        <w:rPr>
          <w:rFonts w:ascii="Arial" w:eastAsia="Calibri" w:hAnsi="Arial" w:cs="Arial"/>
          <w:color w:val="000000" w:themeColor="text1"/>
          <w:sz w:val="20"/>
          <w:szCs w:val="20"/>
          <w:lang w:val="es-CO"/>
        </w:rPr>
        <w:t xml:space="preserve"> </w:t>
      </w:r>
      <w:r w:rsidR="4B13C6A4" w:rsidRPr="0075145E">
        <w:rPr>
          <w:rFonts w:ascii="Arial" w:eastAsia="Calibri" w:hAnsi="Arial" w:cs="Arial"/>
          <w:color w:val="000000" w:themeColor="text1"/>
          <w:sz w:val="20"/>
          <w:szCs w:val="20"/>
          <w:lang w:val="es-CO"/>
        </w:rPr>
        <w:t>s</w:t>
      </w:r>
      <w:r w:rsidR="00795C9B" w:rsidRPr="0075145E">
        <w:rPr>
          <w:rFonts w:ascii="Arial" w:eastAsia="Calibri" w:hAnsi="Arial" w:cs="Arial"/>
          <w:color w:val="000000" w:themeColor="text1"/>
          <w:sz w:val="20"/>
          <w:szCs w:val="20"/>
          <w:lang w:val="es-CO"/>
        </w:rPr>
        <w:t>e debe resaltar que en algunos eventos excepcionales esta entidad ha reconocido que las entidades no se encuentran obligadas o publicar en el SECOP II el proceso contractual, bien porque están excluidas expresamente de hacerlo, como es el caso de las entidades descentralizadas del nivel municipal, cuya situación fue analizada en el concepto C-115 de 2020, concluyendo que «el Anexo 1 de la Circular No. 1 de 2019 las excluyó del deber de publicar en el SECOP II, pues, al indicar las entidades de este nivel con obligación de publicar en esa plataforma, textualmente señaló que «sólo incluye el sector central». O también porque el proceso contractual está excluido de dicho deber.</w:t>
      </w:r>
    </w:p>
    <w:p w14:paraId="5E2FDDD8" w14:textId="77777777" w:rsidR="009E6DB3" w:rsidRPr="0075145E" w:rsidRDefault="009E6DB3" w:rsidP="00914EB3">
      <w:pPr>
        <w:jc w:val="both"/>
        <w:rPr>
          <w:rFonts w:ascii="Arial" w:eastAsia="Calibri" w:hAnsi="Arial" w:cs="Arial"/>
          <w:color w:val="000000" w:themeColor="text1"/>
          <w:sz w:val="20"/>
          <w:szCs w:val="20"/>
          <w:lang w:val="es-CO"/>
        </w:rPr>
      </w:pPr>
    </w:p>
    <w:p w14:paraId="21B8CB9C" w14:textId="097C53A4" w:rsidR="004C1DEC" w:rsidRDefault="004C1DEC" w:rsidP="0504E6BD">
      <w:pPr>
        <w:jc w:val="both"/>
        <w:rPr>
          <w:rFonts w:ascii="Arial" w:eastAsia="Calibri" w:hAnsi="Arial" w:cs="Arial"/>
          <w:b/>
          <w:bCs/>
          <w:color w:val="000000" w:themeColor="text1"/>
          <w:sz w:val="22"/>
          <w:lang w:val="es-CO"/>
        </w:rPr>
      </w:pPr>
      <w:r w:rsidRPr="0504E6BD">
        <w:rPr>
          <w:rFonts w:ascii="Arial" w:eastAsia="Calibri" w:hAnsi="Arial" w:cs="Arial"/>
          <w:b/>
          <w:bCs/>
          <w:color w:val="000000" w:themeColor="text1"/>
          <w:sz w:val="22"/>
          <w:lang w:val="es-CO"/>
        </w:rPr>
        <w:t xml:space="preserve">SECOP </w:t>
      </w:r>
      <w:r w:rsidR="00282AC5" w:rsidRPr="0504E6BD">
        <w:rPr>
          <w:rFonts w:ascii="Arial" w:eastAsia="Calibri" w:hAnsi="Arial" w:cs="Arial"/>
          <w:b/>
          <w:bCs/>
          <w:color w:val="000000" w:themeColor="text1"/>
          <w:sz w:val="22"/>
          <w:lang w:val="es-CO"/>
        </w:rPr>
        <w:t>–</w:t>
      </w:r>
      <w:r w:rsidRPr="0504E6BD">
        <w:rPr>
          <w:rFonts w:ascii="Arial" w:eastAsia="Calibri" w:hAnsi="Arial" w:cs="Arial"/>
          <w:b/>
          <w:bCs/>
          <w:color w:val="000000" w:themeColor="text1"/>
          <w:sz w:val="22"/>
          <w:lang w:val="es-CO"/>
        </w:rPr>
        <w:t xml:space="preserve"> Publicidad </w:t>
      </w:r>
      <w:r w:rsidR="00282AC5" w:rsidRPr="0504E6BD">
        <w:rPr>
          <w:rFonts w:ascii="Arial" w:eastAsia="Calibri" w:hAnsi="Arial" w:cs="Arial"/>
          <w:b/>
          <w:bCs/>
          <w:color w:val="000000" w:themeColor="text1"/>
          <w:sz w:val="22"/>
          <w:lang w:val="es-CO"/>
        </w:rPr>
        <w:t>–</w:t>
      </w:r>
      <w:r w:rsidRPr="0504E6BD">
        <w:rPr>
          <w:rFonts w:ascii="Arial" w:eastAsia="Calibri" w:hAnsi="Arial" w:cs="Arial"/>
          <w:b/>
          <w:bCs/>
          <w:color w:val="000000" w:themeColor="text1"/>
          <w:sz w:val="22"/>
          <w:lang w:val="es-CO"/>
        </w:rPr>
        <w:t xml:space="preserve"> Documentos </w:t>
      </w:r>
      <w:r w:rsidR="61652E54" w:rsidRPr="0504E6BD">
        <w:rPr>
          <w:rFonts w:ascii="Arial" w:eastAsia="Calibri" w:hAnsi="Arial" w:cs="Arial"/>
          <w:b/>
          <w:bCs/>
          <w:color w:val="000000" w:themeColor="text1"/>
          <w:sz w:val="22"/>
          <w:lang w:val="es-CO"/>
        </w:rPr>
        <w:t>publicables</w:t>
      </w:r>
    </w:p>
    <w:p w14:paraId="284B6625" w14:textId="77777777" w:rsidR="004C1DEC" w:rsidRPr="0075145E" w:rsidRDefault="004C1DEC" w:rsidP="00914EB3">
      <w:pPr>
        <w:pStyle w:val="Prrafodelista"/>
        <w:ind w:left="0"/>
        <w:jc w:val="both"/>
        <w:rPr>
          <w:rFonts w:ascii="Arial" w:eastAsia="Calibri" w:hAnsi="Arial" w:cs="Arial"/>
          <w:color w:val="000000" w:themeColor="text1"/>
          <w:sz w:val="20"/>
          <w:szCs w:val="20"/>
          <w:lang w:val="es-CO"/>
        </w:rPr>
      </w:pPr>
    </w:p>
    <w:p w14:paraId="656EC380" w14:textId="18CEBD6D" w:rsidR="00BD2AA6" w:rsidRPr="0075145E" w:rsidRDefault="00BD2AA6" w:rsidP="00BD2AA6">
      <w:pPr>
        <w:spacing w:after="120"/>
        <w:jc w:val="both"/>
        <w:rPr>
          <w:rFonts w:ascii="Arial" w:eastAsia="Calibri" w:hAnsi="Arial" w:cs="Arial"/>
          <w:color w:val="000000" w:themeColor="text1"/>
          <w:sz w:val="20"/>
          <w:szCs w:val="20"/>
          <w:lang w:val="es-CO"/>
        </w:rPr>
      </w:pPr>
      <w:r w:rsidRPr="0075145E">
        <w:rPr>
          <w:rFonts w:ascii="Arial" w:eastAsia="Calibri" w:hAnsi="Arial" w:cs="Arial"/>
          <w:color w:val="000000" w:themeColor="text1"/>
          <w:sz w:val="20"/>
          <w:szCs w:val="20"/>
          <w:lang w:val="es-CO"/>
        </w:rPr>
        <w:t>[…]</w:t>
      </w:r>
      <w:r w:rsidR="25C6F863" w:rsidRPr="0075145E">
        <w:rPr>
          <w:rFonts w:ascii="Arial" w:eastAsia="Calibri" w:hAnsi="Arial" w:cs="Arial"/>
          <w:color w:val="000000" w:themeColor="text1"/>
          <w:sz w:val="20"/>
          <w:szCs w:val="20"/>
          <w:lang w:val="es-CO"/>
        </w:rPr>
        <w:t>,</w:t>
      </w:r>
      <w:r w:rsidRPr="0075145E">
        <w:rPr>
          <w:rFonts w:ascii="Arial" w:eastAsia="Calibri" w:hAnsi="Arial" w:cs="Arial"/>
          <w:color w:val="000000" w:themeColor="text1"/>
          <w:sz w:val="20"/>
          <w:szCs w:val="20"/>
          <w:lang w:val="es-CO"/>
        </w:rPr>
        <w:t xml:space="preserve"> </w:t>
      </w:r>
      <w:r w:rsidR="253E0B6F" w:rsidRPr="0075145E">
        <w:rPr>
          <w:rFonts w:ascii="Arial" w:eastAsia="Calibri" w:hAnsi="Arial" w:cs="Arial"/>
          <w:color w:val="000000" w:themeColor="text1"/>
          <w:sz w:val="20"/>
          <w:szCs w:val="20"/>
          <w:lang w:val="es-CO"/>
        </w:rPr>
        <w:t>e</w:t>
      </w:r>
      <w:r w:rsidR="004C1DEC" w:rsidRPr="0075145E">
        <w:rPr>
          <w:rFonts w:ascii="Arial" w:eastAsia="Calibri" w:hAnsi="Arial" w:cs="Arial"/>
          <w:color w:val="000000" w:themeColor="text1"/>
          <w:sz w:val="20"/>
          <w:szCs w:val="20"/>
          <w:lang w:val="es-CO"/>
        </w:rPr>
        <w:t xml:space="preserve">l Decreto 103 de 2015 señala que los documentos que deberán publicar las entidades estatales, entre estas las empresas industriales y comerciales del Estado, son: i) las autorizaciones, requerimientos, aprobaciones o informes del supervisor o del interventor, que prueben la ejecución del contrato, </w:t>
      </w:r>
      <w:proofErr w:type="spellStart"/>
      <w:r w:rsidR="004C1DEC" w:rsidRPr="0075145E">
        <w:rPr>
          <w:rFonts w:ascii="Arial" w:eastAsia="Calibri" w:hAnsi="Arial" w:cs="Arial"/>
          <w:color w:val="000000" w:themeColor="text1"/>
          <w:sz w:val="20"/>
          <w:szCs w:val="20"/>
          <w:lang w:val="es-CO"/>
        </w:rPr>
        <w:t>ii</w:t>
      </w:r>
      <w:proofErr w:type="spellEnd"/>
      <w:r w:rsidR="004C1DEC" w:rsidRPr="0075145E">
        <w:rPr>
          <w:rFonts w:ascii="Arial" w:eastAsia="Calibri" w:hAnsi="Arial" w:cs="Arial"/>
          <w:color w:val="000000" w:themeColor="text1"/>
          <w:sz w:val="20"/>
          <w:szCs w:val="20"/>
          <w:lang w:val="es-CO"/>
        </w:rPr>
        <w:t xml:space="preserve">) en relación con los procedimientos, lineamientos y políticas en materia de adquisición se deberán publicar los documentos previstos en el manual de contratación de la entidad y, finalmente, </w:t>
      </w:r>
      <w:proofErr w:type="spellStart"/>
      <w:r w:rsidR="004C1DEC" w:rsidRPr="0075145E">
        <w:rPr>
          <w:rFonts w:ascii="Arial" w:eastAsia="Calibri" w:hAnsi="Arial" w:cs="Arial"/>
          <w:color w:val="000000" w:themeColor="text1"/>
          <w:sz w:val="20"/>
          <w:szCs w:val="20"/>
          <w:lang w:val="es-CO"/>
        </w:rPr>
        <w:t>iii</w:t>
      </w:r>
      <w:proofErr w:type="spellEnd"/>
      <w:r w:rsidR="004C1DEC" w:rsidRPr="0075145E">
        <w:rPr>
          <w:rFonts w:ascii="Arial" w:eastAsia="Calibri" w:hAnsi="Arial" w:cs="Arial"/>
          <w:color w:val="000000" w:themeColor="text1"/>
          <w:sz w:val="20"/>
          <w:szCs w:val="20"/>
          <w:lang w:val="es-CO"/>
        </w:rPr>
        <w:t>) el plan anual de adquisiciones.</w:t>
      </w:r>
    </w:p>
    <w:p w14:paraId="6F9A5F59" w14:textId="654EFB36" w:rsidR="004C1DEC" w:rsidRPr="0075145E" w:rsidRDefault="004C1DEC" w:rsidP="00BC229E">
      <w:pPr>
        <w:jc w:val="both"/>
        <w:rPr>
          <w:rFonts w:ascii="Arial" w:eastAsia="Calibri" w:hAnsi="Arial" w:cs="Arial"/>
          <w:color w:val="000000" w:themeColor="text1"/>
          <w:sz w:val="20"/>
          <w:szCs w:val="20"/>
          <w:lang w:val="es-CO"/>
        </w:rPr>
      </w:pPr>
      <w:r w:rsidRPr="0075145E">
        <w:rPr>
          <w:rFonts w:ascii="Arial" w:eastAsia="Calibri" w:hAnsi="Arial" w:cs="Arial"/>
          <w:color w:val="000000" w:themeColor="text1"/>
          <w:sz w:val="20"/>
          <w:szCs w:val="20"/>
          <w:lang w:val="es-CO"/>
        </w:rPr>
        <w:t xml:space="preserve">Frente al segundo grupo de documentos, debido a que estas entidades están sometidas al derecho privado, y por lo tanto no celebran sus procesos de contratación con las modalidades de contratación previstas en la Ley 80 de 1993; cada una definirá en su manual de contratación el procedimiento para la contratación de sus bienes y servicios. </w:t>
      </w:r>
    </w:p>
    <w:p w14:paraId="1048C53B" w14:textId="77777777" w:rsidR="004C1DEC" w:rsidRPr="0075145E" w:rsidRDefault="004C1DEC" w:rsidP="00914EB3">
      <w:pPr>
        <w:pStyle w:val="Prrafodelista"/>
        <w:ind w:left="0"/>
        <w:jc w:val="both"/>
        <w:rPr>
          <w:rFonts w:ascii="Arial" w:eastAsia="Calibri" w:hAnsi="Arial" w:cs="Arial"/>
          <w:color w:val="000000" w:themeColor="text1"/>
          <w:sz w:val="20"/>
          <w:szCs w:val="20"/>
          <w:lang w:val="es-CO"/>
        </w:rPr>
      </w:pPr>
    </w:p>
    <w:p w14:paraId="52C3317D" w14:textId="29A058D6" w:rsidR="004C1DEC" w:rsidRPr="0075145E" w:rsidRDefault="004C1DEC" w:rsidP="00914EB3">
      <w:pPr>
        <w:pStyle w:val="Prrafodelista"/>
        <w:ind w:left="0"/>
        <w:jc w:val="both"/>
        <w:rPr>
          <w:rFonts w:ascii="Arial" w:eastAsia="Calibri" w:hAnsi="Arial" w:cs="Arial"/>
          <w:b/>
          <w:color w:val="000000" w:themeColor="text1"/>
          <w:sz w:val="22"/>
          <w:lang w:val="es-CO"/>
        </w:rPr>
      </w:pPr>
      <w:r w:rsidRPr="0075145E">
        <w:rPr>
          <w:rFonts w:ascii="Arial" w:eastAsia="Calibri" w:hAnsi="Arial" w:cs="Arial"/>
          <w:b/>
          <w:color w:val="000000" w:themeColor="text1"/>
          <w:sz w:val="22"/>
          <w:lang w:val="es-CO"/>
        </w:rPr>
        <w:t xml:space="preserve">SECOP </w:t>
      </w:r>
      <w:r w:rsidR="00282AC5" w:rsidRPr="0075145E">
        <w:rPr>
          <w:rFonts w:ascii="Arial" w:eastAsia="Calibri" w:hAnsi="Arial" w:cs="Arial"/>
          <w:b/>
          <w:color w:val="000000" w:themeColor="text1"/>
          <w:sz w:val="22"/>
          <w:lang w:val="es-CO"/>
        </w:rPr>
        <w:t>–</w:t>
      </w:r>
      <w:r w:rsidRPr="0075145E">
        <w:rPr>
          <w:rFonts w:ascii="Arial" w:eastAsia="Calibri" w:hAnsi="Arial" w:cs="Arial"/>
          <w:b/>
          <w:color w:val="000000" w:themeColor="text1"/>
          <w:sz w:val="22"/>
          <w:lang w:val="es-CO"/>
        </w:rPr>
        <w:t xml:space="preserve"> Publicidad </w:t>
      </w:r>
      <w:r w:rsidR="00282AC5" w:rsidRPr="0075145E">
        <w:rPr>
          <w:rFonts w:ascii="Arial" w:eastAsia="Calibri" w:hAnsi="Arial" w:cs="Arial"/>
          <w:b/>
          <w:color w:val="000000" w:themeColor="text1"/>
          <w:sz w:val="22"/>
          <w:lang w:val="es-CO"/>
        </w:rPr>
        <w:t>–</w:t>
      </w:r>
      <w:r w:rsidRPr="0075145E">
        <w:rPr>
          <w:rFonts w:ascii="Arial" w:eastAsia="Calibri" w:hAnsi="Arial" w:cs="Arial"/>
          <w:b/>
          <w:color w:val="000000" w:themeColor="text1"/>
          <w:sz w:val="22"/>
          <w:lang w:val="es-CO"/>
        </w:rPr>
        <w:t xml:space="preserve"> Oportunidad </w:t>
      </w:r>
      <w:r w:rsidR="00282AC5" w:rsidRPr="0075145E">
        <w:rPr>
          <w:rFonts w:ascii="Arial" w:eastAsia="Calibri" w:hAnsi="Arial" w:cs="Arial"/>
          <w:b/>
          <w:color w:val="000000" w:themeColor="text1"/>
          <w:sz w:val="22"/>
          <w:lang w:val="es-CO"/>
        </w:rPr>
        <w:t>–</w:t>
      </w:r>
      <w:r w:rsidRPr="0075145E">
        <w:rPr>
          <w:rFonts w:ascii="Arial" w:eastAsia="Calibri" w:hAnsi="Arial" w:cs="Arial"/>
          <w:b/>
          <w:color w:val="000000" w:themeColor="text1"/>
          <w:sz w:val="22"/>
          <w:lang w:val="es-CO"/>
        </w:rPr>
        <w:t xml:space="preserve"> 3 días</w:t>
      </w:r>
    </w:p>
    <w:p w14:paraId="254E6613" w14:textId="77777777" w:rsidR="004C1DEC" w:rsidRPr="0075145E" w:rsidRDefault="004C1DEC" w:rsidP="00914EB3">
      <w:pPr>
        <w:pStyle w:val="Prrafodelista"/>
        <w:ind w:left="0"/>
        <w:jc w:val="both"/>
        <w:rPr>
          <w:rFonts w:ascii="Arial" w:eastAsia="Calibri" w:hAnsi="Arial" w:cs="Arial"/>
          <w:color w:val="000000" w:themeColor="text1"/>
          <w:sz w:val="20"/>
          <w:szCs w:val="20"/>
          <w:lang w:val="es-CO"/>
        </w:rPr>
      </w:pPr>
    </w:p>
    <w:p w14:paraId="633D8522" w14:textId="77777777" w:rsidR="002E07CD" w:rsidRPr="0075145E" w:rsidRDefault="004C1DEC" w:rsidP="002E07CD">
      <w:pPr>
        <w:spacing w:after="120"/>
        <w:jc w:val="both"/>
        <w:rPr>
          <w:rFonts w:ascii="Arial" w:eastAsia="Calibri" w:hAnsi="Arial" w:cs="Arial"/>
          <w:color w:val="000000" w:themeColor="text1"/>
          <w:sz w:val="20"/>
          <w:szCs w:val="20"/>
          <w:lang w:val="es-CO"/>
        </w:rPr>
      </w:pPr>
      <w:r w:rsidRPr="0075145E">
        <w:rPr>
          <w:rFonts w:ascii="Arial" w:eastAsia="Calibri" w:hAnsi="Arial" w:cs="Arial"/>
          <w:color w:val="000000" w:themeColor="text1"/>
          <w:sz w:val="20"/>
          <w:szCs w:val="20"/>
          <w:lang w:val="es-CO"/>
        </w:rPr>
        <w:t xml:space="preserve">El artículo 2.2.1.1.1.7.1. del Decreto 1082 de 2015 establece: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 </w:t>
      </w:r>
    </w:p>
    <w:p w14:paraId="61BBAB67" w14:textId="77777777" w:rsidR="00EF5B9C" w:rsidRPr="0075145E" w:rsidRDefault="004C1DEC" w:rsidP="00EF5B9C">
      <w:pPr>
        <w:spacing w:after="120"/>
        <w:jc w:val="both"/>
        <w:rPr>
          <w:rFonts w:ascii="Arial" w:eastAsia="Calibri" w:hAnsi="Arial" w:cs="Arial"/>
          <w:color w:val="000000" w:themeColor="text1"/>
          <w:sz w:val="20"/>
          <w:szCs w:val="20"/>
          <w:lang w:val="es-CO"/>
        </w:rPr>
      </w:pPr>
      <w:r w:rsidRPr="0075145E">
        <w:rPr>
          <w:rFonts w:ascii="Arial" w:eastAsia="Calibri" w:hAnsi="Arial" w:cs="Arial"/>
          <w:color w:val="000000" w:themeColor="text1"/>
          <w:sz w:val="20"/>
          <w:szCs w:val="20"/>
          <w:lang w:val="es-CO"/>
        </w:rPr>
        <w:lastRenderedPageBreak/>
        <w:t>Por su parte, el artículo 2.2.1.1.1.3.1. del Decreto 1082 de 2015 dice que los «Documentos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4BAE9C53" w14:textId="3A6FABB6" w:rsidR="004C1DEC" w:rsidRPr="0075145E" w:rsidRDefault="004C1DEC" w:rsidP="00914EB3">
      <w:pPr>
        <w:jc w:val="both"/>
        <w:rPr>
          <w:rFonts w:ascii="Arial" w:eastAsia="Calibri" w:hAnsi="Arial" w:cs="Arial"/>
          <w:color w:val="000000" w:themeColor="text1"/>
          <w:sz w:val="20"/>
          <w:szCs w:val="20"/>
          <w:lang w:val="es-CO"/>
        </w:rPr>
      </w:pPr>
      <w:r w:rsidRPr="0075145E">
        <w:rPr>
          <w:rFonts w:ascii="Arial" w:eastAsia="Calibri" w:hAnsi="Arial" w:cs="Arial"/>
          <w:color w:val="000000" w:themeColor="text1"/>
          <w:sz w:val="20"/>
          <w:szCs w:val="20"/>
          <w:lang w:val="es-CO"/>
        </w:rPr>
        <w:t>A su vez, el artículo 2.2.1.2.1.4.3. del mismo Decreto establece excepciones a la publicidad de los estudios y documentos previos, indicando: «Los estudios y documentos previos elaborados para los siguientes Procesos de Contratación no son públicos: a) la contratación de empréstitos; b) los contratos interadministrativos que celebre el Ministerio de Hacienda y Crédito Público con el Banco de la República, y c) los contratos a los que se refiere el 2.2.1.2.1.4.6 del presente decreto». Como puede observarse, el gobierno nacional estableció algunas excepciones a la publicidad de los documentos del proceso en el SECOP durante los tres (3) días siguientes a su expedición en la modalidad de contratación directa; lo que permite concluir que aquellos casos que no estén exceptuados en forma explícita de dicho deber ingresan dentro de la regla general. Con fundamento en esta idea, cabe precisar que en la contratación directa los documentos del proceso también deben ser publicados en la oportunidad indicada, teniendo en cuenta la causal de que se trate. Verbigracia, para la celebración de contratos de prestación de servicios profesionales, de apoyo a la gestión o para la realización de actividades artísticas que solo pueden encomendarse a determinadas personas naturales no se requiere expedir previamente el acto administrativo de justificación de la contratación directa. Por lo tanto, en este supuesto, por sustracción de materia, no hay que publicar dicho documento en el SECOP. Algo similar sucede en la contratación de urgencia manifiesta, en la cual no se requiere de la elaboración de estudios y documentos previos, de manera que, obviamente, estos no se publican.</w:t>
      </w:r>
    </w:p>
    <w:p w14:paraId="691B3570" w14:textId="53DDFF19" w:rsidR="00DB211A" w:rsidRPr="0075145E" w:rsidRDefault="00DB211A" w:rsidP="00914EB3">
      <w:pPr>
        <w:jc w:val="both"/>
        <w:rPr>
          <w:rFonts w:ascii="Arial" w:eastAsia="Calibri" w:hAnsi="Arial" w:cs="Arial"/>
          <w:color w:val="000000" w:themeColor="text1"/>
          <w:sz w:val="20"/>
          <w:szCs w:val="20"/>
          <w:lang w:val="es-CO"/>
        </w:rPr>
      </w:pPr>
    </w:p>
    <w:p w14:paraId="06905420" w14:textId="57E3C372" w:rsidR="00DB211A" w:rsidRPr="0075145E" w:rsidRDefault="00DB211A" w:rsidP="0504E6BD">
      <w:pPr>
        <w:jc w:val="both"/>
        <w:rPr>
          <w:rFonts w:ascii="Arial" w:eastAsia="Calibri" w:hAnsi="Arial" w:cs="Arial"/>
          <w:b/>
          <w:bCs/>
          <w:color w:val="000000" w:themeColor="text1"/>
          <w:sz w:val="22"/>
          <w:lang w:val="es-CO"/>
        </w:rPr>
      </w:pPr>
      <w:r w:rsidRPr="0504E6BD">
        <w:rPr>
          <w:rFonts w:ascii="Arial" w:eastAsia="Calibri" w:hAnsi="Arial" w:cs="Arial"/>
          <w:b/>
          <w:bCs/>
          <w:color w:val="000000" w:themeColor="text1"/>
          <w:sz w:val="22"/>
          <w:lang w:val="es-CO"/>
        </w:rPr>
        <w:t xml:space="preserve">INSTITUCIONES PRESTADORAS DE SERVICIOS DE SALUD – Noción – </w:t>
      </w:r>
      <w:r w:rsidR="00C3795F" w:rsidRPr="0504E6BD">
        <w:rPr>
          <w:rFonts w:ascii="Arial" w:eastAsia="Calibri" w:hAnsi="Arial" w:cs="Arial"/>
          <w:b/>
          <w:bCs/>
          <w:color w:val="000000" w:themeColor="text1"/>
          <w:sz w:val="22"/>
          <w:lang w:val="es-CO"/>
        </w:rPr>
        <w:t>Sociedades de Economía Mixta – Deber de Public</w:t>
      </w:r>
      <w:r w:rsidR="70A965E0" w:rsidRPr="0504E6BD">
        <w:rPr>
          <w:rFonts w:ascii="Arial" w:eastAsia="Calibri" w:hAnsi="Arial" w:cs="Arial"/>
          <w:b/>
          <w:bCs/>
          <w:color w:val="000000" w:themeColor="text1"/>
          <w:sz w:val="22"/>
          <w:lang w:val="es-CO"/>
        </w:rPr>
        <w:t>idad</w:t>
      </w:r>
      <w:r w:rsidR="00C3795F" w:rsidRPr="0504E6BD">
        <w:rPr>
          <w:rFonts w:ascii="Arial" w:eastAsia="Calibri" w:hAnsi="Arial" w:cs="Arial"/>
          <w:b/>
          <w:bCs/>
          <w:color w:val="000000" w:themeColor="text1"/>
          <w:sz w:val="22"/>
          <w:lang w:val="es-CO"/>
        </w:rPr>
        <w:t xml:space="preserve"> </w:t>
      </w:r>
      <w:r w:rsidR="68F6EB13" w:rsidRPr="0504E6BD">
        <w:rPr>
          <w:rFonts w:ascii="Arial" w:eastAsia="Arial" w:hAnsi="Arial" w:cs="Arial"/>
          <w:b/>
          <w:bCs/>
          <w:sz w:val="22"/>
          <w:lang w:val="es-MX"/>
        </w:rPr>
        <w:t>–</w:t>
      </w:r>
      <w:r w:rsidR="00C3795F" w:rsidRPr="0504E6BD">
        <w:rPr>
          <w:rFonts w:ascii="Arial" w:eastAsia="Calibri" w:hAnsi="Arial" w:cs="Arial"/>
          <w:b/>
          <w:bCs/>
          <w:color w:val="000000" w:themeColor="text1"/>
          <w:sz w:val="22"/>
          <w:lang w:val="es-CO"/>
        </w:rPr>
        <w:t xml:space="preserve"> </w:t>
      </w:r>
      <w:proofErr w:type="spellStart"/>
      <w:r w:rsidR="00C3795F" w:rsidRPr="0504E6BD">
        <w:rPr>
          <w:rFonts w:ascii="Arial" w:eastAsia="Calibri" w:hAnsi="Arial" w:cs="Arial"/>
          <w:b/>
          <w:bCs/>
          <w:color w:val="000000" w:themeColor="text1"/>
          <w:sz w:val="22"/>
          <w:lang w:val="es-CO"/>
        </w:rPr>
        <w:t>S</w:t>
      </w:r>
      <w:r w:rsidR="71E2B0DE" w:rsidRPr="0504E6BD">
        <w:rPr>
          <w:rFonts w:ascii="Arial" w:eastAsia="Calibri" w:hAnsi="Arial" w:cs="Arial"/>
          <w:b/>
          <w:bCs/>
          <w:color w:val="000000" w:themeColor="text1"/>
          <w:sz w:val="22"/>
          <w:lang w:val="es-CO"/>
        </w:rPr>
        <w:t>ecop</w:t>
      </w:r>
      <w:proofErr w:type="spellEnd"/>
    </w:p>
    <w:p w14:paraId="2F40778E" w14:textId="77777777" w:rsidR="00C3795F" w:rsidRPr="0075145E" w:rsidRDefault="00C3795F" w:rsidP="00914EB3">
      <w:pPr>
        <w:jc w:val="both"/>
        <w:rPr>
          <w:rFonts w:ascii="Arial" w:eastAsia="Calibri" w:hAnsi="Arial" w:cs="Arial"/>
          <w:b/>
          <w:bCs/>
          <w:color w:val="000000" w:themeColor="text1"/>
          <w:sz w:val="22"/>
          <w:lang w:val="es-CO"/>
        </w:rPr>
      </w:pPr>
    </w:p>
    <w:p w14:paraId="1C352C1E" w14:textId="3289C486" w:rsidR="00DB211A" w:rsidRPr="0075145E" w:rsidRDefault="00C3795F" w:rsidP="00C3795F">
      <w:pPr>
        <w:spacing w:after="120"/>
        <w:jc w:val="both"/>
        <w:rPr>
          <w:rFonts w:ascii="Arial" w:eastAsia="Calibri" w:hAnsi="Arial" w:cs="Arial"/>
          <w:color w:val="000000" w:themeColor="text1"/>
          <w:sz w:val="20"/>
          <w:szCs w:val="20"/>
          <w:lang w:val="es-CO"/>
        </w:rPr>
      </w:pPr>
      <w:r w:rsidRPr="0075145E">
        <w:rPr>
          <w:rFonts w:ascii="Arial" w:eastAsia="Calibri" w:hAnsi="Arial" w:cs="Arial"/>
          <w:color w:val="000000" w:themeColor="text1"/>
          <w:sz w:val="20"/>
          <w:szCs w:val="20"/>
          <w:lang w:val="es-CO"/>
        </w:rPr>
        <w:t>[…] Frente a las Instituciones Prestadoras de Servicios de Salud – IPS, es menester indicar que son entidades oficiales, mixtas, privadas, comunitarias y solidarias, según lo señalado en el literal i) del artículo 156 de la Ley 100 de 1993</w:t>
      </w:r>
    </w:p>
    <w:p w14:paraId="02C4434F" w14:textId="4258D3ED" w:rsidR="00C3795F" w:rsidRPr="0075145E" w:rsidRDefault="00C3795F" w:rsidP="00C3795F">
      <w:pPr>
        <w:spacing w:after="120"/>
        <w:jc w:val="both"/>
        <w:rPr>
          <w:rFonts w:ascii="Arial" w:eastAsia="Calibri" w:hAnsi="Arial" w:cs="Arial"/>
          <w:color w:val="000000" w:themeColor="text1"/>
          <w:sz w:val="20"/>
          <w:szCs w:val="20"/>
          <w:lang w:val="es-CO"/>
        </w:rPr>
      </w:pPr>
      <w:r w:rsidRPr="0075145E">
        <w:rPr>
          <w:rFonts w:ascii="Arial" w:eastAsia="Calibri" w:hAnsi="Arial" w:cs="Arial"/>
          <w:color w:val="000000" w:themeColor="text1"/>
          <w:sz w:val="20"/>
          <w:szCs w:val="20"/>
          <w:lang w:val="es-CO"/>
        </w:rPr>
        <w:t>Para el caso de las IPS «públicas» su origen se puede presentar en los niveles Nacional, Departamental o Municipal, ya sea por norma con fuerza de ley, ordenanza o a través de acuerdo respectivamente.</w:t>
      </w:r>
    </w:p>
    <w:p w14:paraId="4D35BA56" w14:textId="7DE62FCA" w:rsidR="00C3795F" w:rsidRPr="0075145E" w:rsidRDefault="00C3795F" w:rsidP="00C3795F">
      <w:pPr>
        <w:spacing w:line="276" w:lineRule="auto"/>
        <w:jc w:val="both"/>
        <w:rPr>
          <w:rFonts w:ascii="Arial" w:eastAsia="Calibri" w:hAnsi="Arial" w:cs="Arial"/>
          <w:color w:val="000000" w:themeColor="text1"/>
          <w:sz w:val="20"/>
          <w:szCs w:val="20"/>
          <w:lang w:val="es-CO"/>
        </w:rPr>
      </w:pPr>
      <w:r w:rsidRPr="0075145E">
        <w:rPr>
          <w:rFonts w:ascii="Arial" w:eastAsia="Calibri" w:hAnsi="Arial" w:cs="Arial"/>
          <w:color w:val="000000" w:themeColor="text1"/>
          <w:sz w:val="20"/>
          <w:szCs w:val="20"/>
          <w:lang w:val="es-CO"/>
        </w:rPr>
        <w:t xml:space="preserve">Para el caso de las IPS, se reitera la posición de esta subdirección frente a la publicación en el SECOP cuando se realicen contrataciones con recursos públicos independientemente del régimen jurídico a aplicar de la misma. </w:t>
      </w:r>
    </w:p>
    <w:p w14:paraId="634B370B" w14:textId="77777777" w:rsidR="00C3795F" w:rsidRPr="0075145E" w:rsidRDefault="00C3795F" w:rsidP="00914EB3">
      <w:pPr>
        <w:jc w:val="both"/>
        <w:rPr>
          <w:rFonts w:ascii="Arial" w:eastAsia="Calibri" w:hAnsi="Arial" w:cs="Arial"/>
          <w:color w:val="000000" w:themeColor="text1"/>
          <w:sz w:val="20"/>
          <w:szCs w:val="20"/>
          <w:lang w:val="es-CO"/>
        </w:rPr>
      </w:pPr>
    </w:p>
    <w:p w14:paraId="5837B969" w14:textId="01D289C6" w:rsidR="00D60C9D" w:rsidRPr="0075145E" w:rsidRDefault="00DB211A" w:rsidP="00DB211A">
      <w:pPr>
        <w:jc w:val="both"/>
        <w:rPr>
          <w:rFonts w:ascii="Arial" w:eastAsia="Calibri" w:hAnsi="Arial" w:cs="Arial"/>
          <w:b/>
          <w:bCs/>
          <w:color w:val="000000" w:themeColor="text1"/>
          <w:sz w:val="22"/>
          <w:lang w:val="es-CO"/>
        </w:rPr>
      </w:pPr>
      <w:r w:rsidRPr="0075145E">
        <w:rPr>
          <w:rFonts w:ascii="Arial" w:eastAsia="Calibri" w:hAnsi="Arial" w:cs="Arial"/>
          <w:b/>
          <w:bCs/>
          <w:color w:val="000000" w:themeColor="text1"/>
          <w:sz w:val="22"/>
          <w:lang w:val="es-CO"/>
        </w:rPr>
        <w:t>CONTRATOS DE EMPRÉSTITO – Definición – Entidades Estatales – Contratación Directa</w:t>
      </w:r>
    </w:p>
    <w:p w14:paraId="18BE26FD" w14:textId="04F3E499" w:rsidR="00DB211A" w:rsidRPr="0075145E" w:rsidRDefault="00DB211A" w:rsidP="00DB211A">
      <w:pPr>
        <w:spacing w:before="120"/>
        <w:jc w:val="both"/>
        <w:rPr>
          <w:rFonts w:ascii="Arial" w:eastAsia="Calibri" w:hAnsi="Arial" w:cs="Arial"/>
          <w:color w:val="000000" w:themeColor="text1"/>
          <w:sz w:val="20"/>
          <w:szCs w:val="20"/>
          <w:lang w:val="es-CO"/>
        </w:rPr>
      </w:pPr>
      <w:r w:rsidRPr="0075145E">
        <w:rPr>
          <w:rFonts w:ascii="Arial" w:eastAsia="Calibri" w:hAnsi="Arial" w:cs="Arial"/>
          <w:color w:val="000000" w:themeColor="text1"/>
          <w:sz w:val="20"/>
          <w:szCs w:val="20"/>
          <w:lang w:val="es-CO"/>
        </w:rPr>
        <w:t xml:space="preserve">[…] los contratos de empréstito cuyo propósito es proveer a las entidades contratantes de recursos en moneda nacional o extranjera con plazo para su pago constituyen una verdadera fuente de financiamiento para la entidades, ahora bien, la Ley dispuso que estos contratos se realizan de forma directa, pues de acuerdo con su naturaleza, le es difícil al estado establecer las condiciones generales para realizar este tipo de contratación, aún sin quedar desprovisto de su deber de selección objetiva. </w:t>
      </w:r>
    </w:p>
    <w:p w14:paraId="51EA81FA" w14:textId="44FE5AF8" w:rsidR="00DB211A" w:rsidRPr="0075145E" w:rsidRDefault="00DB211A" w:rsidP="00DB211A">
      <w:pPr>
        <w:spacing w:before="120"/>
        <w:jc w:val="both"/>
        <w:rPr>
          <w:rFonts w:ascii="Arial" w:eastAsia="Calibri" w:hAnsi="Arial" w:cs="Arial"/>
          <w:color w:val="000000" w:themeColor="text1"/>
          <w:sz w:val="20"/>
          <w:szCs w:val="20"/>
          <w:lang w:val="es-CO"/>
        </w:rPr>
      </w:pPr>
      <w:r w:rsidRPr="0075145E">
        <w:rPr>
          <w:rFonts w:ascii="Arial" w:eastAsia="Calibri" w:hAnsi="Arial" w:cs="Arial"/>
          <w:color w:val="000000" w:themeColor="text1"/>
          <w:sz w:val="20"/>
          <w:szCs w:val="20"/>
          <w:lang w:val="es-CO"/>
        </w:rPr>
        <w:lastRenderedPageBreak/>
        <w:t xml:space="preserve">El </w:t>
      </w:r>
      <w:r w:rsidR="000D7374" w:rsidRPr="0075145E">
        <w:rPr>
          <w:rFonts w:ascii="Arial" w:eastAsia="Calibri" w:hAnsi="Arial" w:cs="Arial"/>
          <w:color w:val="000000" w:themeColor="text1"/>
          <w:sz w:val="20"/>
          <w:szCs w:val="20"/>
          <w:lang w:val="es-CO"/>
        </w:rPr>
        <w:t>artículo</w:t>
      </w:r>
      <w:r w:rsidRPr="0075145E">
        <w:rPr>
          <w:rFonts w:ascii="Arial" w:eastAsia="Calibri" w:hAnsi="Arial" w:cs="Arial"/>
          <w:color w:val="000000" w:themeColor="text1"/>
          <w:sz w:val="20"/>
          <w:szCs w:val="20"/>
          <w:lang w:val="es-CO"/>
        </w:rPr>
        <w:t xml:space="preserve"> 7 del Decreto 2681 de 1993, delimita la posibilidad de realizar estos contratos de empréstito a «entidades estatales», lo que lleva a la conclusión que su administración estará a cargo de la entidad contratante, cuya naturaleza será la de entidad estatal o bajo las figuras jurídicas en las que el estado cuenta con participación en su capital. </w:t>
      </w:r>
    </w:p>
    <w:p w14:paraId="613FC4E0" w14:textId="77295CBC" w:rsidR="00A5491D" w:rsidRPr="00BF6F66" w:rsidRDefault="00A5491D" w:rsidP="00A5491D">
      <w:pPr>
        <w:pStyle w:val="Default"/>
        <w:rPr>
          <w:color w:val="000000" w:themeColor="text1"/>
          <w:sz w:val="20"/>
          <w:szCs w:val="20"/>
        </w:rPr>
      </w:pPr>
    </w:p>
    <w:p w14:paraId="08D79EF2" w14:textId="77777777" w:rsidR="0075145E" w:rsidRPr="00BF6F66" w:rsidRDefault="0075145E" w:rsidP="00A5491D">
      <w:pPr>
        <w:pStyle w:val="Default"/>
        <w:rPr>
          <w:color w:val="000000" w:themeColor="text1"/>
          <w:sz w:val="20"/>
          <w:szCs w:val="20"/>
        </w:rPr>
      </w:pPr>
    </w:p>
    <w:p w14:paraId="778F45C3" w14:textId="325E7E58" w:rsidR="0047556B" w:rsidRPr="0075145E" w:rsidRDefault="0047556B" w:rsidP="0047556B">
      <w:pPr>
        <w:jc w:val="both"/>
        <w:rPr>
          <w:rFonts w:ascii="Arial" w:hAnsi="Arial" w:cs="Arial"/>
          <w:b/>
          <w:sz w:val="22"/>
          <w:lang w:val="es-CO"/>
        </w:rPr>
      </w:pPr>
      <w:r w:rsidRPr="0075145E">
        <w:rPr>
          <w:rFonts w:ascii="Arial" w:hAnsi="Arial" w:cs="Arial"/>
          <w:sz w:val="22"/>
          <w:lang w:val="es-CO"/>
        </w:rPr>
        <w:t xml:space="preserve">Bogotá D.C., </w:t>
      </w:r>
      <w:r w:rsidR="004C13DD">
        <w:rPr>
          <w:rFonts w:ascii="Arial" w:hAnsi="Arial" w:cs="Arial"/>
          <w:b/>
          <w:sz w:val="22"/>
          <w:lang w:val="es-CO"/>
        </w:rPr>
        <w:t>02/07/2020 Hora 19:51:45s</w:t>
      </w:r>
    </w:p>
    <w:p w14:paraId="4E743FB4" w14:textId="77777777" w:rsidR="0047556B" w:rsidRPr="0075145E" w:rsidRDefault="0047556B" w:rsidP="0047556B">
      <w:pPr>
        <w:jc w:val="both"/>
        <w:rPr>
          <w:rFonts w:ascii="Arial" w:eastAsia="Calibri" w:hAnsi="Arial" w:cs="Arial"/>
          <w:sz w:val="20"/>
          <w:lang w:val="es-CO"/>
        </w:rPr>
      </w:pPr>
    </w:p>
    <w:p w14:paraId="5CBCAB97" w14:textId="72C0EA29" w:rsidR="0047556B" w:rsidRPr="0075145E" w:rsidRDefault="0047556B" w:rsidP="0047556B">
      <w:pPr>
        <w:jc w:val="right"/>
        <w:rPr>
          <w:rFonts w:ascii="Arial" w:hAnsi="Arial" w:cs="Arial"/>
          <w:b/>
          <w:sz w:val="22"/>
          <w:lang w:val="es-CO"/>
        </w:rPr>
      </w:pPr>
      <w:proofErr w:type="spellStart"/>
      <w:r w:rsidRPr="0075145E">
        <w:rPr>
          <w:rFonts w:ascii="Arial" w:hAnsi="Arial" w:cs="Arial"/>
          <w:b/>
          <w:sz w:val="22"/>
          <w:lang w:val="es-CO"/>
        </w:rPr>
        <w:t>N°</w:t>
      </w:r>
      <w:proofErr w:type="spellEnd"/>
      <w:r w:rsidRPr="0075145E">
        <w:rPr>
          <w:rFonts w:ascii="Arial" w:hAnsi="Arial" w:cs="Arial"/>
          <w:b/>
          <w:sz w:val="22"/>
          <w:lang w:val="es-CO"/>
        </w:rPr>
        <w:t xml:space="preserve"> Radicado: </w:t>
      </w:r>
      <w:r w:rsidR="004C13DD">
        <w:rPr>
          <w:rFonts w:ascii="Arial" w:hAnsi="Arial" w:cs="Arial"/>
          <w:b/>
          <w:sz w:val="22"/>
          <w:lang w:val="es-CO"/>
        </w:rPr>
        <w:t>2202013000005734</w:t>
      </w:r>
    </w:p>
    <w:p w14:paraId="0223F164" w14:textId="40CE8C83" w:rsidR="000920F0" w:rsidRPr="0075145E" w:rsidRDefault="000920F0" w:rsidP="000920F0">
      <w:pPr>
        <w:spacing w:line="276" w:lineRule="auto"/>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Señor</w:t>
      </w:r>
    </w:p>
    <w:p w14:paraId="37F04B31" w14:textId="62332335" w:rsidR="000920F0" w:rsidRPr="0075145E" w:rsidRDefault="0047556B" w:rsidP="000920F0">
      <w:pPr>
        <w:spacing w:line="276" w:lineRule="auto"/>
        <w:rPr>
          <w:rFonts w:ascii="Arial" w:eastAsia="Calibri" w:hAnsi="Arial" w:cs="Arial"/>
          <w:b/>
          <w:color w:val="000000" w:themeColor="text1"/>
          <w:sz w:val="22"/>
          <w:lang w:val="es-CO"/>
        </w:rPr>
      </w:pPr>
      <w:r w:rsidRPr="0075145E">
        <w:rPr>
          <w:rFonts w:ascii="Arial" w:eastAsia="Calibri" w:hAnsi="Arial" w:cs="Arial"/>
          <w:b/>
          <w:color w:val="000000" w:themeColor="text1"/>
          <w:sz w:val="22"/>
          <w:lang w:val="es-CO"/>
        </w:rPr>
        <w:t>David Tinoco Rosales</w:t>
      </w:r>
    </w:p>
    <w:p w14:paraId="188163AF" w14:textId="4F621E19" w:rsidR="000920F0" w:rsidRPr="0075145E" w:rsidRDefault="0047556B" w:rsidP="000920F0">
      <w:pPr>
        <w:spacing w:line="276" w:lineRule="auto"/>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 xml:space="preserve">Barranquilla, Atlántico </w:t>
      </w:r>
    </w:p>
    <w:p w14:paraId="699D893C" w14:textId="5BA6C027" w:rsidR="001A7B0C" w:rsidRPr="0075145E" w:rsidRDefault="001A7B0C" w:rsidP="000920F0">
      <w:pPr>
        <w:spacing w:line="276" w:lineRule="auto"/>
        <w:jc w:val="center"/>
        <w:rPr>
          <w:rFonts w:ascii="Arial" w:eastAsia="Calibri" w:hAnsi="Arial" w:cs="Arial"/>
          <w:b/>
          <w:color w:val="000000" w:themeColor="text1"/>
          <w:sz w:val="22"/>
          <w:lang w:val="es-CO"/>
        </w:rPr>
      </w:pPr>
    </w:p>
    <w:p w14:paraId="36D9E2A1" w14:textId="1C506787" w:rsidR="000920F0" w:rsidRPr="0075145E" w:rsidRDefault="000920F0" w:rsidP="0075145E">
      <w:pPr>
        <w:spacing w:line="276" w:lineRule="auto"/>
        <w:ind w:hanging="851"/>
        <w:jc w:val="center"/>
        <w:rPr>
          <w:rFonts w:ascii="Arial" w:eastAsia="Calibri" w:hAnsi="Arial" w:cs="Arial"/>
          <w:b/>
          <w:color w:val="000000" w:themeColor="text1"/>
          <w:sz w:val="22"/>
          <w:lang w:val="es-CO"/>
        </w:rPr>
      </w:pPr>
      <w:r w:rsidRPr="0075145E">
        <w:rPr>
          <w:rFonts w:ascii="Arial" w:eastAsia="Calibri" w:hAnsi="Arial" w:cs="Arial"/>
          <w:b/>
          <w:color w:val="000000" w:themeColor="text1"/>
          <w:sz w:val="22"/>
          <w:lang w:val="es-CO"/>
        </w:rPr>
        <w:t>Concepto C─</w:t>
      </w:r>
      <w:r w:rsidR="0047556B" w:rsidRPr="0075145E">
        <w:rPr>
          <w:rFonts w:ascii="Arial" w:eastAsia="Calibri" w:hAnsi="Arial" w:cs="Arial"/>
          <w:b/>
          <w:color w:val="000000" w:themeColor="text1"/>
          <w:sz w:val="22"/>
          <w:lang w:val="es-CO"/>
        </w:rPr>
        <w:t>370</w:t>
      </w:r>
      <w:r w:rsidRPr="0075145E">
        <w:rPr>
          <w:rFonts w:ascii="Arial" w:eastAsia="Calibri" w:hAnsi="Arial" w:cs="Arial"/>
          <w:b/>
          <w:color w:val="000000" w:themeColor="text1"/>
          <w:sz w:val="22"/>
          <w:lang w:val="es-CO"/>
        </w:rPr>
        <w:t xml:space="preserve"> de 2020</w:t>
      </w:r>
    </w:p>
    <w:p w14:paraId="5FD7FADA" w14:textId="77777777" w:rsidR="000920F0" w:rsidRPr="0075145E" w:rsidRDefault="000920F0" w:rsidP="000920F0">
      <w:pPr>
        <w:spacing w:line="276" w:lineRule="auto"/>
        <w:rPr>
          <w:rFonts w:ascii="Arial" w:eastAsia="Calibri" w:hAnsi="Arial" w:cs="Arial"/>
          <w:color w:val="000000" w:themeColor="text1"/>
          <w:sz w:val="22"/>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5491D" w:rsidRPr="00E82549" w14:paraId="16CF89C4" w14:textId="77777777" w:rsidTr="00FC16B2">
        <w:tc>
          <w:tcPr>
            <w:tcW w:w="2689" w:type="dxa"/>
            <w:hideMark/>
          </w:tcPr>
          <w:p w14:paraId="7BBF5828" w14:textId="77777777" w:rsidR="000920F0" w:rsidRPr="0075145E" w:rsidRDefault="000920F0" w:rsidP="00FC16B2">
            <w:pPr>
              <w:spacing w:line="276" w:lineRule="auto"/>
              <w:rPr>
                <w:rFonts w:ascii="Arial" w:eastAsia="Calibri" w:hAnsi="Arial" w:cs="Arial"/>
                <w:color w:val="000000" w:themeColor="text1"/>
                <w:sz w:val="22"/>
                <w:lang w:val="es-CO"/>
              </w:rPr>
            </w:pPr>
            <w:r w:rsidRPr="0075145E">
              <w:rPr>
                <w:rFonts w:ascii="Arial" w:eastAsia="Calibri" w:hAnsi="Arial" w:cs="Arial"/>
                <w:b/>
                <w:color w:val="000000" w:themeColor="text1"/>
                <w:sz w:val="22"/>
                <w:lang w:val="es-CO"/>
              </w:rPr>
              <w:t>Temas:</w:t>
            </w:r>
            <w:r w:rsidRPr="0075145E">
              <w:rPr>
                <w:rFonts w:ascii="Arial" w:eastAsia="Calibri" w:hAnsi="Arial" w:cs="Arial"/>
                <w:color w:val="000000" w:themeColor="text1"/>
                <w:sz w:val="22"/>
                <w:lang w:val="es-CO"/>
              </w:rPr>
              <w:t xml:space="preserve">           </w:t>
            </w:r>
          </w:p>
          <w:p w14:paraId="76A5E400" w14:textId="77777777" w:rsidR="000920F0" w:rsidRPr="0075145E" w:rsidRDefault="000920F0" w:rsidP="00FC16B2">
            <w:pPr>
              <w:spacing w:line="276" w:lineRule="auto"/>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 xml:space="preserve">                           </w:t>
            </w:r>
          </w:p>
        </w:tc>
        <w:tc>
          <w:tcPr>
            <w:tcW w:w="6237" w:type="dxa"/>
            <w:hideMark/>
          </w:tcPr>
          <w:p w14:paraId="7F9152E1" w14:textId="77777777" w:rsidR="00E82549" w:rsidRPr="00E82549" w:rsidRDefault="00E82549" w:rsidP="00E82549">
            <w:pPr>
              <w:jc w:val="both"/>
              <w:rPr>
                <w:rFonts w:ascii="Arial" w:eastAsia="Calibri" w:hAnsi="Arial" w:cs="Arial"/>
                <w:bCs/>
                <w:color w:val="000000" w:themeColor="text1"/>
                <w:sz w:val="22"/>
                <w:lang w:val="es-CO"/>
              </w:rPr>
            </w:pPr>
            <w:r w:rsidRPr="00E82549">
              <w:rPr>
                <w:rFonts w:ascii="Arial" w:eastAsia="Calibri" w:hAnsi="Arial" w:cs="Arial"/>
                <w:bCs/>
                <w:color w:val="000000" w:themeColor="text1"/>
                <w:sz w:val="22"/>
                <w:lang w:val="es-CO"/>
              </w:rPr>
              <w:t xml:space="preserve">SECOP – Publicidad – Entidades de régimen especial – Reiteración de Concepto unificado CU-003 de 2020 / SECOP – Publicidad – sociedades de economía mixta / SECOP – Publicidad – Entidades descentralizadas del nivel territorial / SECOP – Publicidad – Entidades descentralizadas por servicios / SECOP – Publicidad – No es obligatorio hacerla en el SECOP II / SECOP – Entidades excluidas – Deber de publicar / SECOP – Publicidad – Documentos que se deben publicar / SECOP – Publicidad – Oportunidad – 3 días / INSTITUCIONES PRESTADORAS DE SERVICIOS DE SALUD – Noción </w:t>
            </w:r>
            <w:r w:rsidRPr="00E82549">
              <w:rPr>
                <w:rFonts w:ascii="Arial" w:eastAsia="Calibri" w:hAnsi="Arial" w:cs="Arial"/>
                <w:bCs/>
                <w:color w:val="000000" w:themeColor="text1"/>
                <w:sz w:val="22"/>
                <w:lang w:val="es-CO"/>
              </w:rPr>
              <w:softHyphen/>
              <w:t>– Sociedades de Economía Mixta – Deber de Publicar en el SECOP / CONTRATOS DE EMPRÉSTITO – Definición – Entidades Estatales – Contratación Directa</w:t>
            </w:r>
          </w:p>
          <w:p w14:paraId="360CE5C7" w14:textId="77777777" w:rsidR="00E82549" w:rsidRPr="00E82549" w:rsidRDefault="00E82549" w:rsidP="00E82549">
            <w:pPr>
              <w:jc w:val="both"/>
              <w:rPr>
                <w:rFonts w:ascii="Arial" w:hAnsi="Arial" w:cs="Arial"/>
                <w:color w:val="000000" w:themeColor="text1"/>
                <w:sz w:val="22"/>
                <w:lang w:val="es-CO"/>
              </w:rPr>
            </w:pPr>
          </w:p>
          <w:p w14:paraId="4B547513" w14:textId="27D7E035" w:rsidR="00E82549" w:rsidRPr="00E82549" w:rsidRDefault="00E82549" w:rsidP="00E82549">
            <w:pPr>
              <w:jc w:val="both"/>
              <w:rPr>
                <w:rFonts w:ascii="Arial" w:eastAsia="Calibri" w:hAnsi="Arial" w:cs="Arial"/>
                <w:bCs/>
                <w:color w:val="000000" w:themeColor="text1"/>
                <w:sz w:val="22"/>
                <w:lang w:val="es-CO"/>
              </w:rPr>
            </w:pPr>
          </w:p>
          <w:p w14:paraId="5528BC60" w14:textId="4699CB17" w:rsidR="000920F0" w:rsidRPr="00E82549" w:rsidRDefault="000920F0" w:rsidP="00881418">
            <w:pPr>
              <w:spacing w:line="276" w:lineRule="auto"/>
              <w:jc w:val="both"/>
              <w:rPr>
                <w:rFonts w:ascii="Arial" w:eastAsia="Calibri" w:hAnsi="Arial" w:cs="Arial"/>
                <w:color w:val="000000" w:themeColor="text1"/>
                <w:sz w:val="22"/>
                <w:lang w:val="es-CO"/>
              </w:rPr>
            </w:pPr>
          </w:p>
        </w:tc>
      </w:tr>
      <w:tr w:rsidR="00771868" w:rsidRPr="00E82549" w14:paraId="5C0B4203" w14:textId="77777777" w:rsidTr="000460C0">
        <w:trPr>
          <w:trHeight w:val="303"/>
        </w:trPr>
        <w:tc>
          <w:tcPr>
            <w:tcW w:w="2689" w:type="dxa"/>
          </w:tcPr>
          <w:p w14:paraId="32E4E458" w14:textId="77777777" w:rsidR="000920F0" w:rsidRPr="00E82549" w:rsidRDefault="000920F0" w:rsidP="0062279A">
            <w:pPr>
              <w:spacing w:before="60" w:after="60" w:line="276" w:lineRule="auto"/>
              <w:rPr>
                <w:rFonts w:ascii="Arial" w:eastAsia="Calibri" w:hAnsi="Arial" w:cs="Arial"/>
                <w:b/>
                <w:color w:val="000000" w:themeColor="text1"/>
                <w:sz w:val="22"/>
                <w:lang w:val="es-CO"/>
              </w:rPr>
            </w:pPr>
            <w:r w:rsidRPr="00E82549">
              <w:rPr>
                <w:rFonts w:ascii="Arial" w:eastAsia="Calibri" w:hAnsi="Arial" w:cs="Arial"/>
                <w:b/>
                <w:color w:val="000000" w:themeColor="text1"/>
                <w:sz w:val="22"/>
                <w:lang w:val="es-CO"/>
              </w:rPr>
              <w:t>Radicación:</w:t>
            </w:r>
            <w:r w:rsidRPr="00E82549">
              <w:rPr>
                <w:rFonts w:ascii="Arial" w:eastAsia="Calibri" w:hAnsi="Arial" w:cs="Arial"/>
                <w:color w:val="000000" w:themeColor="text1"/>
                <w:sz w:val="22"/>
                <w:lang w:val="es-CO"/>
              </w:rPr>
              <w:t xml:space="preserve">                              </w:t>
            </w:r>
          </w:p>
        </w:tc>
        <w:tc>
          <w:tcPr>
            <w:tcW w:w="6237" w:type="dxa"/>
          </w:tcPr>
          <w:p w14:paraId="1218CA08" w14:textId="5FF401AB" w:rsidR="000920F0" w:rsidRPr="00E82549" w:rsidRDefault="000920F0" w:rsidP="0062279A">
            <w:pPr>
              <w:spacing w:before="60" w:after="60" w:line="276" w:lineRule="auto"/>
              <w:jc w:val="both"/>
              <w:rPr>
                <w:rFonts w:ascii="Arial" w:eastAsia="Calibri" w:hAnsi="Arial" w:cs="Arial"/>
                <w:color w:val="000000" w:themeColor="text1"/>
                <w:sz w:val="22"/>
                <w:lang w:val="es-CO"/>
              </w:rPr>
            </w:pPr>
            <w:r w:rsidRPr="00E82549">
              <w:rPr>
                <w:rFonts w:ascii="Arial" w:eastAsia="Calibri" w:hAnsi="Arial" w:cs="Arial"/>
                <w:color w:val="000000" w:themeColor="text1"/>
                <w:sz w:val="22"/>
                <w:lang w:val="es-CO"/>
              </w:rPr>
              <w:t xml:space="preserve">Respuesta a consulta # </w:t>
            </w:r>
            <w:r w:rsidR="00D12475" w:rsidRPr="00D12475">
              <w:rPr>
                <w:rFonts w:ascii="Arial" w:hAnsi="Arial" w:cs="Arial"/>
                <w:color w:val="000000" w:themeColor="text1"/>
                <w:sz w:val="22"/>
                <w:lang w:val="es-CO"/>
              </w:rPr>
              <w:t>420201</w:t>
            </w:r>
            <w:r w:rsidR="00D12475">
              <w:rPr>
                <w:rFonts w:ascii="Arial" w:hAnsi="Arial" w:cs="Arial"/>
                <w:color w:val="000000" w:themeColor="text1"/>
                <w:sz w:val="22"/>
                <w:lang w:val="es-CO"/>
              </w:rPr>
              <w:t>3</w:t>
            </w:r>
            <w:r w:rsidR="00D12475" w:rsidRPr="00D12475">
              <w:rPr>
                <w:rFonts w:ascii="Arial" w:hAnsi="Arial" w:cs="Arial"/>
                <w:color w:val="000000" w:themeColor="text1"/>
                <w:sz w:val="22"/>
                <w:lang w:val="es-CO"/>
              </w:rPr>
              <w:t>00000</w:t>
            </w:r>
            <w:r w:rsidR="00D12475">
              <w:rPr>
                <w:rFonts w:ascii="Arial" w:hAnsi="Arial" w:cs="Arial"/>
                <w:color w:val="000000" w:themeColor="text1"/>
                <w:sz w:val="22"/>
                <w:lang w:val="es-CO"/>
              </w:rPr>
              <w:t>4015</w:t>
            </w:r>
          </w:p>
        </w:tc>
      </w:tr>
    </w:tbl>
    <w:p w14:paraId="3CDD931D" w14:textId="77777777" w:rsidR="000920F0" w:rsidRPr="00E82549" w:rsidRDefault="000920F0" w:rsidP="000920F0">
      <w:pPr>
        <w:spacing w:line="276" w:lineRule="auto"/>
        <w:rPr>
          <w:rFonts w:ascii="Arial" w:eastAsia="Calibri" w:hAnsi="Arial" w:cs="Arial"/>
          <w:color w:val="000000" w:themeColor="text1"/>
          <w:sz w:val="22"/>
          <w:lang w:val="es-CO"/>
        </w:rPr>
      </w:pPr>
    </w:p>
    <w:p w14:paraId="1B619448" w14:textId="458889B6" w:rsidR="000920F0" w:rsidRPr="00E82549" w:rsidRDefault="000920F0" w:rsidP="000920F0">
      <w:pPr>
        <w:spacing w:line="276" w:lineRule="auto"/>
        <w:rPr>
          <w:rFonts w:ascii="Arial" w:eastAsia="Calibri" w:hAnsi="Arial" w:cs="Arial"/>
          <w:color w:val="000000" w:themeColor="text1"/>
          <w:sz w:val="22"/>
          <w:lang w:val="es-CO"/>
        </w:rPr>
      </w:pPr>
      <w:r w:rsidRPr="00E82549">
        <w:rPr>
          <w:rFonts w:ascii="Arial" w:eastAsia="Calibri" w:hAnsi="Arial" w:cs="Arial"/>
          <w:color w:val="000000" w:themeColor="text1"/>
          <w:sz w:val="22"/>
          <w:lang w:val="es-CO"/>
        </w:rPr>
        <w:t xml:space="preserve">Estimado </w:t>
      </w:r>
      <w:r w:rsidR="00D60C9D" w:rsidRPr="00E82549">
        <w:rPr>
          <w:rFonts w:ascii="Arial" w:eastAsia="Calibri" w:hAnsi="Arial" w:cs="Arial"/>
          <w:color w:val="000000" w:themeColor="text1"/>
          <w:sz w:val="22"/>
          <w:lang w:val="es-CO"/>
        </w:rPr>
        <w:t xml:space="preserve">señor </w:t>
      </w:r>
      <w:r w:rsidR="0047556B" w:rsidRPr="00E82549">
        <w:rPr>
          <w:rFonts w:ascii="Arial" w:eastAsia="Calibri" w:hAnsi="Arial" w:cs="Arial"/>
          <w:color w:val="000000" w:themeColor="text1"/>
          <w:sz w:val="22"/>
          <w:lang w:val="es-CO"/>
        </w:rPr>
        <w:t>Tinoco Rosales</w:t>
      </w:r>
      <w:r w:rsidRPr="00E82549">
        <w:rPr>
          <w:rFonts w:ascii="Arial" w:eastAsia="Calibri" w:hAnsi="Arial" w:cs="Arial"/>
          <w:color w:val="000000" w:themeColor="text1"/>
          <w:sz w:val="22"/>
          <w:lang w:val="es-CO"/>
        </w:rPr>
        <w:t>,</w:t>
      </w:r>
    </w:p>
    <w:p w14:paraId="09825258" w14:textId="77777777" w:rsidR="000920F0" w:rsidRPr="00E82549" w:rsidRDefault="000920F0" w:rsidP="000920F0">
      <w:pPr>
        <w:spacing w:line="276" w:lineRule="auto"/>
        <w:rPr>
          <w:rFonts w:ascii="Arial" w:eastAsia="Calibri" w:hAnsi="Arial" w:cs="Arial"/>
          <w:color w:val="000000" w:themeColor="text1"/>
          <w:sz w:val="22"/>
          <w:lang w:val="es-CO"/>
        </w:rPr>
      </w:pPr>
    </w:p>
    <w:p w14:paraId="679DB8AF" w14:textId="2BDA1672" w:rsidR="000920F0" w:rsidRPr="00E82549" w:rsidRDefault="00541157" w:rsidP="000920F0">
      <w:pPr>
        <w:tabs>
          <w:tab w:val="left" w:pos="426"/>
        </w:tabs>
        <w:spacing w:line="276" w:lineRule="auto"/>
        <w:jc w:val="both"/>
        <w:rPr>
          <w:rFonts w:ascii="Arial" w:eastAsia="Calibri" w:hAnsi="Arial" w:cs="Arial"/>
          <w:color w:val="000000" w:themeColor="text1"/>
          <w:sz w:val="22"/>
          <w:lang w:val="es-CO"/>
        </w:rPr>
      </w:pPr>
      <w:r w:rsidRPr="00E82549">
        <w:rPr>
          <w:rFonts w:ascii="Arial" w:eastAsia="Calibri" w:hAnsi="Arial" w:cs="Arial"/>
          <w:color w:val="000000" w:themeColor="text1"/>
          <w:sz w:val="22"/>
          <w:lang w:val="es-CO"/>
        </w:rPr>
        <w:t>En ejercicio de la competencia otorgada por el numeral 8 del artículo 11 y el numeral 5 del artículo 3 del Decreto Ley 4170 de 2011, la</w:t>
      </w:r>
      <w:r w:rsidR="000920F0" w:rsidRPr="00E82549">
        <w:rPr>
          <w:rFonts w:ascii="Arial" w:eastAsia="Calibri" w:hAnsi="Arial" w:cs="Arial"/>
          <w:color w:val="000000" w:themeColor="text1"/>
          <w:sz w:val="22"/>
          <w:lang w:val="es-CO"/>
        </w:rPr>
        <w:t xml:space="preserve"> Agencia Nacional de Contratación Pública </w:t>
      </w:r>
      <w:r w:rsidR="00771676" w:rsidRPr="00E82549">
        <w:rPr>
          <w:rFonts w:ascii="Arial" w:eastAsia="Calibri" w:hAnsi="Arial" w:cs="Arial"/>
          <w:color w:val="000000" w:themeColor="text1"/>
          <w:sz w:val="22"/>
          <w:lang w:val="es-CO"/>
        </w:rPr>
        <w:t>−</w:t>
      </w:r>
      <w:r w:rsidR="000920F0" w:rsidRPr="00E82549">
        <w:rPr>
          <w:rFonts w:ascii="Arial" w:eastAsia="Calibri" w:hAnsi="Arial" w:cs="Arial"/>
          <w:color w:val="000000" w:themeColor="text1"/>
          <w:sz w:val="22"/>
          <w:lang w:val="es-CO"/>
        </w:rPr>
        <w:t xml:space="preserve"> Colombia Compra Eficiente responde su consulta del </w:t>
      </w:r>
      <w:r w:rsidR="0047556B" w:rsidRPr="00E82549">
        <w:rPr>
          <w:rFonts w:ascii="Arial" w:eastAsia="Calibri" w:hAnsi="Arial" w:cs="Arial"/>
          <w:color w:val="000000" w:themeColor="text1"/>
          <w:sz w:val="22"/>
          <w:lang w:val="es-CO"/>
        </w:rPr>
        <w:t xml:space="preserve">28 de </w:t>
      </w:r>
      <w:r w:rsidR="00C3795F" w:rsidRPr="00E82549">
        <w:rPr>
          <w:rFonts w:ascii="Arial" w:eastAsia="Calibri" w:hAnsi="Arial" w:cs="Arial"/>
          <w:color w:val="000000" w:themeColor="text1"/>
          <w:sz w:val="22"/>
          <w:lang w:val="es-CO"/>
        </w:rPr>
        <w:t>abril del</w:t>
      </w:r>
      <w:r w:rsidR="00186A8A" w:rsidRPr="00E82549">
        <w:rPr>
          <w:rFonts w:ascii="Arial" w:eastAsia="Calibri" w:hAnsi="Arial" w:cs="Arial"/>
          <w:color w:val="000000" w:themeColor="text1"/>
          <w:sz w:val="22"/>
          <w:lang w:val="es-CO"/>
        </w:rPr>
        <w:t xml:space="preserve"> año</w:t>
      </w:r>
      <w:r w:rsidR="000920F0" w:rsidRPr="00E82549">
        <w:rPr>
          <w:rFonts w:ascii="Arial" w:eastAsia="Calibri" w:hAnsi="Arial" w:cs="Arial"/>
          <w:color w:val="000000" w:themeColor="text1"/>
          <w:sz w:val="22"/>
          <w:lang w:val="es-CO"/>
        </w:rPr>
        <w:t xml:space="preserve"> 2020</w:t>
      </w:r>
      <w:r w:rsidR="00207E01" w:rsidRPr="00E82549">
        <w:rPr>
          <w:rFonts w:ascii="Arial" w:eastAsia="Calibri" w:hAnsi="Arial" w:cs="Arial"/>
          <w:color w:val="000000" w:themeColor="text1"/>
          <w:sz w:val="22"/>
          <w:lang w:val="es-CO"/>
        </w:rPr>
        <w:t>.</w:t>
      </w:r>
      <w:r w:rsidR="000920F0" w:rsidRPr="00E82549">
        <w:rPr>
          <w:rFonts w:ascii="Arial" w:eastAsia="Calibri" w:hAnsi="Arial" w:cs="Arial"/>
          <w:color w:val="000000" w:themeColor="text1"/>
          <w:sz w:val="22"/>
          <w:lang w:val="es-CO"/>
        </w:rPr>
        <w:t xml:space="preserve"> </w:t>
      </w:r>
      <w:r w:rsidR="0047556B" w:rsidRPr="00E82549">
        <w:rPr>
          <w:rFonts w:ascii="Arial" w:eastAsia="Calibri" w:hAnsi="Arial" w:cs="Arial"/>
          <w:color w:val="000000" w:themeColor="text1"/>
          <w:sz w:val="22"/>
          <w:lang w:val="es-CO"/>
        </w:rPr>
        <w:t>Su consulta fue remitida por el Ministerio de Hacienda y Cr</w:t>
      </w:r>
      <w:r w:rsidR="000E6189" w:rsidRPr="00E82549">
        <w:rPr>
          <w:rFonts w:ascii="Arial" w:eastAsia="Calibri" w:hAnsi="Arial" w:cs="Arial"/>
          <w:color w:val="000000" w:themeColor="text1"/>
          <w:sz w:val="22"/>
          <w:lang w:val="es-CO"/>
        </w:rPr>
        <w:t>é</w:t>
      </w:r>
      <w:r w:rsidR="0047556B" w:rsidRPr="00E82549">
        <w:rPr>
          <w:rFonts w:ascii="Arial" w:eastAsia="Calibri" w:hAnsi="Arial" w:cs="Arial"/>
          <w:color w:val="000000" w:themeColor="text1"/>
          <w:sz w:val="22"/>
          <w:lang w:val="es-CO"/>
        </w:rPr>
        <w:t xml:space="preserve">dito Público, mediante radicado </w:t>
      </w:r>
      <w:r w:rsidR="00690EA8" w:rsidRPr="00E82549">
        <w:rPr>
          <w:rFonts w:ascii="Arial" w:eastAsia="Calibri" w:hAnsi="Arial" w:cs="Arial"/>
          <w:color w:val="000000" w:themeColor="text1"/>
          <w:sz w:val="22"/>
          <w:lang w:val="es-CO"/>
        </w:rPr>
        <w:t xml:space="preserve">de entrada </w:t>
      </w:r>
      <w:r w:rsidR="0047556B" w:rsidRPr="00E82549">
        <w:rPr>
          <w:rFonts w:ascii="Arial" w:eastAsia="Calibri" w:hAnsi="Arial" w:cs="Arial"/>
          <w:color w:val="000000" w:themeColor="text1"/>
          <w:sz w:val="22"/>
          <w:lang w:val="es-CO"/>
        </w:rPr>
        <w:t xml:space="preserve">No. </w:t>
      </w:r>
      <w:r w:rsidR="00D12475" w:rsidRPr="00D12475">
        <w:rPr>
          <w:rFonts w:ascii="Arial" w:hAnsi="Arial" w:cs="Arial"/>
          <w:color w:val="000000" w:themeColor="text1"/>
          <w:sz w:val="22"/>
          <w:lang w:val="es-CO"/>
        </w:rPr>
        <w:t>420201</w:t>
      </w:r>
      <w:r w:rsidR="00D12475">
        <w:rPr>
          <w:rFonts w:ascii="Arial" w:hAnsi="Arial" w:cs="Arial"/>
          <w:color w:val="000000" w:themeColor="text1"/>
          <w:sz w:val="22"/>
          <w:lang w:val="es-CO"/>
        </w:rPr>
        <w:t>3</w:t>
      </w:r>
      <w:r w:rsidR="00D12475" w:rsidRPr="00D12475">
        <w:rPr>
          <w:rFonts w:ascii="Arial" w:hAnsi="Arial" w:cs="Arial"/>
          <w:color w:val="000000" w:themeColor="text1"/>
          <w:sz w:val="22"/>
          <w:lang w:val="es-CO"/>
        </w:rPr>
        <w:t>00000</w:t>
      </w:r>
      <w:r w:rsidR="00D12475">
        <w:rPr>
          <w:rFonts w:ascii="Arial" w:hAnsi="Arial" w:cs="Arial"/>
          <w:color w:val="000000" w:themeColor="text1"/>
          <w:sz w:val="22"/>
          <w:lang w:val="es-CO"/>
        </w:rPr>
        <w:t>4015</w:t>
      </w:r>
      <w:r w:rsidR="0047556B" w:rsidRPr="00E82549">
        <w:rPr>
          <w:rFonts w:ascii="Arial" w:eastAsia="Calibri" w:hAnsi="Arial" w:cs="Arial"/>
          <w:color w:val="000000" w:themeColor="text1"/>
          <w:sz w:val="22"/>
          <w:lang w:val="es-CO"/>
        </w:rPr>
        <w:t xml:space="preserve">, el </w:t>
      </w:r>
      <w:r w:rsidR="00C3795F" w:rsidRPr="00E82549">
        <w:rPr>
          <w:rFonts w:ascii="Arial" w:eastAsia="Calibri" w:hAnsi="Arial" w:cs="Arial"/>
          <w:color w:val="000000" w:themeColor="text1"/>
          <w:sz w:val="22"/>
          <w:lang w:val="es-CO"/>
        </w:rPr>
        <w:t>21 de</w:t>
      </w:r>
      <w:r w:rsidR="0047556B" w:rsidRPr="00E82549">
        <w:rPr>
          <w:rFonts w:ascii="Arial" w:eastAsia="Calibri" w:hAnsi="Arial" w:cs="Arial"/>
          <w:color w:val="000000" w:themeColor="text1"/>
          <w:sz w:val="22"/>
          <w:lang w:val="es-CO"/>
        </w:rPr>
        <w:t xml:space="preserve"> </w:t>
      </w:r>
      <w:r w:rsidR="00690EA8" w:rsidRPr="00E82549">
        <w:rPr>
          <w:rFonts w:ascii="Arial" w:eastAsia="Calibri" w:hAnsi="Arial" w:cs="Arial"/>
          <w:color w:val="000000" w:themeColor="text1"/>
          <w:sz w:val="22"/>
          <w:lang w:val="es-CO"/>
        </w:rPr>
        <w:t>mayo</w:t>
      </w:r>
      <w:r w:rsidR="0047556B" w:rsidRPr="00E82549">
        <w:rPr>
          <w:rFonts w:ascii="Arial" w:eastAsia="Calibri" w:hAnsi="Arial" w:cs="Arial"/>
          <w:color w:val="000000" w:themeColor="text1"/>
          <w:sz w:val="22"/>
          <w:lang w:val="es-CO"/>
        </w:rPr>
        <w:t xml:space="preserve"> de 2020. </w:t>
      </w:r>
    </w:p>
    <w:p w14:paraId="28C2ECB0" w14:textId="641467CC" w:rsidR="000920F0" w:rsidRPr="00E82549" w:rsidRDefault="0035058C" w:rsidP="000920F0">
      <w:pPr>
        <w:tabs>
          <w:tab w:val="left" w:pos="426"/>
        </w:tabs>
        <w:spacing w:line="276" w:lineRule="auto"/>
        <w:jc w:val="both"/>
        <w:rPr>
          <w:rFonts w:ascii="Arial" w:eastAsia="Calibri" w:hAnsi="Arial" w:cs="Arial"/>
          <w:color w:val="000000" w:themeColor="text1"/>
          <w:sz w:val="22"/>
          <w:lang w:val="es-CO"/>
        </w:rPr>
      </w:pPr>
      <w:r w:rsidRPr="00E82549">
        <w:rPr>
          <w:rFonts w:ascii="Arial" w:eastAsia="Calibri" w:hAnsi="Arial" w:cs="Arial"/>
          <w:color w:val="000000" w:themeColor="text1"/>
          <w:sz w:val="22"/>
          <w:lang w:val="es-CO"/>
        </w:rPr>
        <w:t xml:space="preserve"> </w:t>
      </w:r>
    </w:p>
    <w:p w14:paraId="58FEF0FB" w14:textId="77777777" w:rsidR="000920F0" w:rsidRPr="00E82549" w:rsidRDefault="000920F0" w:rsidP="000920F0">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CO"/>
        </w:rPr>
      </w:pPr>
      <w:r w:rsidRPr="00E82549">
        <w:rPr>
          <w:rFonts w:ascii="Arial" w:eastAsia="Calibri" w:hAnsi="Arial" w:cs="Arial"/>
          <w:b/>
          <w:color w:val="000000" w:themeColor="text1"/>
          <w:sz w:val="22"/>
          <w:lang w:val="es-CO"/>
        </w:rPr>
        <w:t xml:space="preserve">Problemas planteados </w:t>
      </w:r>
    </w:p>
    <w:p w14:paraId="476FAD3E" w14:textId="77777777" w:rsidR="000920F0" w:rsidRPr="00E82549" w:rsidRDefault="000920F0" w:rsidP="000920F0">
      <w:pPr>
        <w:tabs>
          <w:tab w:val="left" w:pos="426"/>
        </w:tabs>
        <w:spacing w:line="276" w:lineRule="auto"/>
        <w:jc w:val="both"/>
        <w:rPr>
          <w:rFonts w:ascii="Arial" w:eastAsia="Calibri" w:hAnsi="Arial" w:cs="Arial"/>
          <w:b/>
          <w:color w:val="000000" w:themeColor="text1"/>
          <w:sz w:val="22"/>
          <w:lang w:val="es-CO"/>
        </w:rPr>
      </w:pPr>
    </w:p>
    <w:p w14:paraId="5A01E3F9" w14:textId="506B623B" w:rsidR="00EE4811" w:rsidRPr="00E82549" w:rsidRDefault="00690EA8" w:rsidP="00EE4811">
      <w:pPr>
        <w:tabs>
          <w:tab w:val="left" w:pos="426"/>
        </w:tabs>
        <w:spacing w:line="276" w:lineRule="auto"/>
        <w:jc w:val="both"/>
        <w:rPr>
          <w:rFonts w:ascii="Arial" w:eastAsia="Calibri" w:hAnsi="Arial" w:cs="Arial"/>
          <w:color w:val="000000" w:themeColor="text1"/>
          <w:sz w:val="22"/>
          <w:lang w:val="es-CO"/>
        </w:rPr>
      </w:pPr>
      <w:r w:rsidRPr="00E82549">
        <w:rPr>
          <w:rFonts w:ascii="Arial" w:eastAsia="Calibri" w:hAnsi="Arial" w:cs="Arial"/>
          <w:color w:val="000000" w:themeColor="text1"/>
          <w:sz w:val="22"/>
          <w:lang w:val="es-CO"/>
        </w:rPr>
        <w:lastRenderedPageBreak/>
        <w:t xml:space="preserve">El peticionario formula una consulta encaminada a determinar si una Empresa Prestadora de Salud, constituida como sociedad de economía mixta, se encuentra obligada a publicar en la plataforma del SECOP los créditos obtenidos a través de contratos de empréstito. </w:t>
      </w:r>
    </w:p>
    <w:p w14:paraId="5B2CB774" w14:textId="77777777" w:rsidR="00EE4811" w:rsidRPr="00E82549" w:rsidRDefault="00EE4811" w:rsidP="00EE4811">
      <w:pPr>
        <w:tabs>
          <w:tab w:val="left" w:pos="426"/>
        </w:tabs>
        <w:spacing w:line="276" w:lineRule="auto"/>
        <w:jc w:val="both"/>
        <w:rPr>
          <w:rFonts w:ascii="Arial" w:eastAsia="Calibri" w:hAnsi="Arial" w:cs="Arial"/>
          <w:color w:val="000000" w:themeColor="text1"/>
          <w:sz w:val="22"/>
          <w:lang w:val="es-CO"/>
        </w:rPr>
      </w:pPr>
    </w:p>
    <w:p w14:paraId="79882F8B" w14:textId="0A9B6DE9" w:rsidR="000920F0" w:rsidRPr="00E82549" w:rsidRDefault="000920F0" w:rsidP="000920F0">
      <w:pPr>
        <w:tabs>
          <w:tab w:val="left" w:pos="426"/>
        </w:tabs>
        <w:spacing w:line="276" w:lineRule="auto"/>
        <w:jc w:val="both"/>
        <w:rPr>
          <w:rFonts w:ascii="Arial" w:eastAsia="Calibri" w:hAnsi="Arial" w:cs="Arial"/>
          <w:b/>
          <w:color w:val="000000" w:themeColor="text1"/>
          <w:sz w:val="22"/>
          <w:lang w:val="es-CO"/>
        </w:rPr>
      </w:pPr>
      <w:r w:rsidRPr="00E82549">
        <w:rPr>
          <w:rFonts w:ascii="Arial" w:eastAsia="Calibri" w:hAnsi="Arial" w:cs="Arial"/>
          <w:b/>
          <w:color w:val="000000" w:themeColor="text1"/>
          <w:sz w:val="22"/>
          <w:lang w:val="es-CO"/>
        </w:rPr>
        <w:t>2. Consideraciones</w:t>
      </w:r>
    </w:p>
    <w:bookmarkEnd w:id="0"/>
    <w:bookmarkEnd w:id="1"/>
    <w:p w14:paraId="7894E838" w14:textId="77777777" w:rsidR="000920F0" w:rsidRPr="00E82549" w:rsidRDefault="000920F0" w:rsidP="000920F0">
      <w:pPr>
        <w:spacing w:line="276" w:lineRule="auto"/>
        <w:jc w:val="both"/>
        <w:rPr>
          <w:rFonts w:ascii="Arial" w:hAnsi="Arial" w:cs="Arial"/>
          <w:color w:val="000000" w:themeColor="text1"/>
          <w:sz w:val="22"/>
          <w:lang w:val="es-CO"/>
        </w:rPr>
      </w:pPr>
    </w:p>
    <w:p w14:paraId="06C95F72" w14:textId="3B85E0E6" w:rsidR="0073536E" w:rsidRPr="00E82549" w:rsidRDefault="0073536E" w:rsidP="00AC4FAA">
      <w:pPr>
        <w:spacing w:before="120" w:line="276" w:lineRule="auto"/>
        <w:jc w:val="both"/>
        <w:rPr>
          <w:rFonts w:ascii="Arial" w:eastAsia="Calibri" w:hAnsi="Arial" w:cs="Arial"/>
          <w:color w:val="000000" w:themeColor="text1"/>
          <w:sz w:val="22"/>
          <w:lang w:val="es-CO"/>
        </w:rPr>
      </w:pPr>
      <w:r w:rsidRPr="00E82549">
        <w:rPr>
          <w:rFonts w:ascii="Arial" w:eastAsia="Calibri" w:hAnsi="Arial" w:cs="Arial"/>
          <w:color w:val="000000" w:themeColor="text1"/>
          <w:sz w:val="22"/>
          <w:lang w:val="es-CO"/>
        </w:rPr>
        <w:t>Para desarrollar los problemas planteados se explicará</w:t>
      </w:r>
      <w:r w:rsidR="00A642BC" w:rsidRPr="00E82549">
        <w:rPr>
          <w:rFonts w:ascii="Arial" w:eastAsia="Calibri" w:hAnsi="Arial" w:cs="Arial"/>
          <w:color w:val="000000" w:themeColor="text1"/>
          <w:sz w:val="22"/>
          <w:lang w:val="es-CO"/>
        </w:rPr>
        <w:t>, inicialmente</w:t>
      </w:r>
      <w:r w:rsidR="00A47240" w:rsidRPr="00A47240">
        <w:rPr>
          <w:rFonts w:ascii="Arial" w:eastAsia="Calibri" w:hAnsi="Arial" w:cs="Arial"/>
          <w:color w:val="000000" w:themeColor="text1"/>
          <w:sz w:val="22"/>
          <w:lang w:val="es-CO"/>
        </w:rPr>
        <w:t xml:space="preserve"> </w:t>
      </w:r>
      <w:r w:rsidR="00A47240" w:rsidRPr="00E82549">
        <w:rPr>
          <w:rFonts w:ascii="Arial" w:eastAsia="Calibri" w:hAnsi="Arial" w:cs="Arial"/>
          <w:color w:val="000000" w:themeColor="text1"/>
          <w:sz w:val="22"/>
          <w:lang w:val="es-CO"/>
        </w:rPr>
        <w:t>el SECOP</w:t>
      </w:r>
      <w:r w:rsidRPr="00E82549">
        <w:rPr>
          <w:rFonts w:ascii="Arial" w:eastAsia="Calibri" w:hAnsi="Arial" w:cs="Arial"/>
          <w:color w:val="000000" w:themeColor="text1"/>
          <w:sz w:val="22"/>
          <w:lang w:val="es-CO"/>
        </w:rPr>
        <w:t xml:space="preserve"> c</w:t>
      </w:r>
      <w:r w:rsidR="00A237E6">
        <w:rPr>
          <w:rFonts w:ascii="Arial" w:eastAsia="Calibri" w:hAnsi="Arial" w:cs="Arial"/>
          <w:color w:val="000000" w:themeColor="text1"/>
          <w:sz w:val="22"/>
          <w:lang w:val="es-CO"/>
        </w:rPr>
        <w:t>o</w:t>
      </w:r>
      <w:r w:rsidRPr="00E82549">
        <w:rPr>
          <w:rFonts w:ascii="Arial" w:eastAsia="Calibri" w:hAnsi="Arial" w:cs="Arial"/>
          <w:color w:val="000000" w:themeColor="text1"/>
          <w:sz w:val="22"/>
          <w:lang w:val="es-CO"/>
        </w:rPr>
        <w:t>mo plataforma que las entidades deben utilizar para publicar la actividad contractual, para</w:t>
      </w:r>
      <w:r w:rsidR="00A642BC" w:rsidRPr="00E82549">
        <w:rPr>
          <w:rFonts w:ascii="Arial" w:eastAsia="Calibri" w:hAnsi="Arial" w:cs="Arial"/>
          <w:color w:val="000000" w:themeColor="text1"/>
          <w:sz w:val="22"/>
          <w:lang w:val="es-CO"/>
        </w:rPr>
        <w:t>, luego, d</w:t>
      </w:r>
      <w:r w:rsidRPr="00E82549">
        <w:rPr>
          <w:rFonts w:ascii="Arial" w:eastAsia="Calibri" w:hAnsi="Arial" w:cs="Arial"/>
          <w:color w:val="000000" w:themeColor="text1"/>
          <w:sz w:val="22"/>
          <w:lang w:val="es-CO"/>
        </w:rPr>
        <w:t xml:space="preserve">eterminar </w:t>
      </w:r>
      <w:r w:rsidR="00A642BC" w:rsidRPr="00E82549">
        <w:rPr>
          <w:rFonts w:ascii="Arial" w:eastAsia="Calibri" w:hAnsi="Arial" w:cs="Arial"/>
          <w:color w:val="000000" w:themeColor="text1"/>
          <w:sz w:val="22"/>
          <w:lang w:val="es-CO"/>
        </w:rPr>
        <w:t xml:space="preserve">qué entidades están obligadas a </w:t>
      </w:r>
      <w:r w:rsidR="00A237E6">
        <w:rPr>
          <w:rFonts w:ascii="Arial" w:eastAsia="Calibri" w:hAnsi="Arial" w:cs="Arial"/>
          <w:color w:val="000000" w:themeColor="text1"/>
          <w:sz w:val="22"/>
          <w:lang w:val="es-CO"/>
        </w:rPr>
        <w:t xml:space="preserve">su </w:t>
      </w:r>
      <w:r w:rsidR="00A642BC" w:rsidRPr="00E82549">
        <w:rPr>
          <w:rFonts w:ascii="Arial" w:eastAsia="Calibri" w:hAnsi="Arial" w:cs="Arial"/>
          <w:color w:val="000000" w:themeColor="text1"/>
          <w:sz w:val="22"/>
          <w:lang w:val="es-CO"/>
        </w:rPr>
        <w:t xml:space="preserve">uso, así como </w:t>
      </w:r>
      <w:r w:rsidRPr="00E82549">
        <w:rPr>
          <w:rFonts w:ascii="Arial" w:eastAsia="Calibri" w:hAnsi="Arial" w:cs="Arial"/>
          <w:color w:val="000000" w:themeColor="text1"/>
          <w:sz w:val="22"/>
          <w:lang w:val="es-CO"/>
        </w:rPr>
        <w:t xml:space="preserve">los documentos contractuales que </w:t>
      </w:r>
      <w:r w:rsidR="00A237E6">
        <w:rPr>
          <w:rFonts w:ascii="Arial" w:eastAsia="Calibri" w:hAnsi="Arial" w:cs="Arial"/>
          <w:color w:val="000000" w:themeColor="text1"/>
          <w:sz w:val="22"/>
          <w:lang w:val="es-CO"/>
        </w:rPr>
        <w:t xml:space="preserve">se </w:t>
      </w:r>
      <w:r w:rsidRPr="00E82549">
        <w:rPr>
          <w:rFonts w:ascii="Arial" w:eastAsia="Calibri" w:hAnsi="Arial" w:cs="Arial"/>
          <w:color w:val="000000" w:themeColor="text1"/>
          <w:sz w:val="22"/>
          <w:lang w:val="es-CO"/>
        </w:rPr>
        <w:t>deben publicar y</w:t>
      </w:r>
      <w:r w:rsidR="00382B7C" w:rsidRPr="00E82549">
        <w:rPr>
          <w:rFonts w:ascii="Arial" w:eastAsia="Calibri" w:hAnsi="Arial" w:cs="Arial"/>
          <w:color w:val="000000" w:themeColor="text1"/>
          <w:sz w:val="22"/>
          <w:lang w:val="es-CO"/>
        </w:rPr>
        <w:t>,</w:t>
      </w:r>
      <w:r w:rsidRPr="00E82549">
        <w:rPr>
          <w:rFonts w:ascii="Arial" w:eastAsia="Calibri" w:hAnsi="Arial" w:cs="Arial"/>
          <w:color w:val="000000" w:themeColor="text1"/>
          <w:sz w:val="22"/>
          <w:lang w:val="es-CO"/>
        </w:rPr>
        <w:t xml:space="preserve"> por último, </w:t>
      </w:r>
      <w:r w:rsidR="001B2A19" w:rsidRPr="00E82549">
        <w:rPr>
          <w:rFonts w:ascii="Arial" w:eastAsia="Calibri" w:hAnsi="Arial" w:cs="Arial"/>
          <w:color w:val="000000" w:themeColor="text1"/>
          <w:sz w:val="22"/>
          <w:lang w:val="es-CO"/>
        </w:rPr>
        <w:t>precisar</w:t>
      </w:r>
      <w:r w:rsidRPr="00E82549">
        <w:rPr>
          <w:rFonts w:ascii="Arial" w:eastAsia="Calibri" w:hAnsi="Arial" w:cs="Arial"/>
          <w:color w:val="000000" w:themeColor="text1"/>
          <w:sz w:val="22"/>
          <w:lang w:val="es-CO"/>
        </w:rPr>
        <w:t xml:space="preserve"> el momento de su publicación. </w:t>
      </w:r>
    </w:p>
    <w:p w14:paraId="765F516E" w14:textId="77777777" w:rsidR="0073536E" w:rsidRPr="00E82549" w:rsidRDefault="0073536E" w:rsidP="0073536E">
      <w:pPr>
        <w:spacing w:line="276" w:lineRule="auto"/>
        <w:ind w:firstLine="709"/>
        <w:jc w:val="both"/>
        <w:rPr>
          <w:rFonts w:ascii="Arial" w:eastAsia="Calibri" w:hAnsi="Arial" w:cs="Arial"/>
          <w:color w:val="000000" w:themeColor="text1"/>
          <w:sz w:val="22"/>
          <w:lang w:val="es-CO"/>
        </w:rPr>
      </w:pPr>
      <w:r w:rsidRPr="00E82549">
        <w:rPr>
          <w:rFonts w:ascii="Arial" w:eastAsia="Calibri" w:hAnsi="Arial" w:cs="Arial"/>
          <w:color w:val="000000" w:themeColor="text1"/>
          <w:sz w:val="22"/>
          <w:lang w:val="es-CO"/>
        </w:rPr>
        <w:t xml:space="preserve"> </w:t>
      </w:r>
    </w:p>
    <w:p w14:paraId="41C3F1EE" w14:textId="7D1B0F3B" w:rsidR="0073536E" w:rsidRPr="00E82549" w:rsidRDefault="0073536E" w:rsidP="0073536E">
      <w:pPr>
        <w:tabs>
          <w:tab w:val="left" w:pos="426"/>
        </w:tabs>
        <w:spacing w:line="276" w:lineRule="auto"/>
        <w:jc w:val="both"/>
        <w:rPr>
          <w:rFonts w:ascii="Arial" w:eastAsia="Calibri" w:hAnsi="Arial" w:cs="Arial"/>
          <w:b/>
          <w:color w:val="000000" w:themeColor="text1"/>
          <w:sz w:val="22"/>
          <w:lang w:val="es-CO"/>
        </w:rPr>
      </w:pPr>
      <w:r w:rsidRPr="00E82549">
        <w:rPr>
          <w:rFonts w:ascii="Arial" w:eastAsia="Calibri" w:hAnsi="Arial" w:cs="Arial"/>
          <w:b/>
          <w:color w:val="000000" w:themeColor="text1"/>
          <w:sz w:val="22"/>
          <w:lang w:val="es-CO"/>
        </w:rPr>
        <w:t>2.1. Publicidad de los contratos en el Sistema Electrónico de Contratación Pública –SECOP–</w:t>
      </w:r>
    </w:p>
    <w:p w14:paraId="3688FC19" w14:textId="77777777" w:rsidR="00AA5923" w:rsidRPr="00E82549" w:rsidRDefault="00AA5923" w:rsidP="00EF7F78">
      <w:pPr>
        <w:jc w:val="both"/>
        <w:rPr>
          <w:rFonts w:ascii="Arial" w:eastAsia="Calibri" w:hAnsi="Arial" w:cs="Arial"/>
          <w:bCs/>
          <w:color w:val="000000" w:themeColor="text1"/>
          <w:sz w:val="22"/>
          <w:lang w:val="es-CO"/>
        </w:rPr>
      </w:pPr>
    </w:p>
    <w:p w14:paraId="78E4C90E" w14:textId="1A11A7BB" w:rsidR="00EE0AFC" w:rsidRPr="00E82549" w:rsidRDefault="00EE0AFC" w:rsidP="00EE0AFC">
      <w:pPr>
        <w:spacing w:line="276" w:lineRule="auto"/>
        <w:jc w:val="both"/>
        <w:rPr>
          <w:rFonts w:ascii="Arial" w:eastAsia="Calibri" w:hAnsi="Arial" w:cs="Arial"/>
          <w:color w:val="000000" w:themeColor="text1"/>
          <w:sz w:val="22"/>
          <w:lang w:val="es-CO"/>
        </w:rPr>
      </w:pPr>
      <w:r w:rsidRPr="00E82549">
        <w:rPr>
          <w:rFonts w:ascii="Arial" w:eastAsia="Calibri" w:hAnsi="Arial" w:cs="Arial"/>
          <w:bCs/>
          <w:color w:val="000000" w:themeColor="text1"/>
          <w:sz w:val="22"/>
          <w:lang w:val="es-CO"/>
        </w:rPr>
        <w:t xml:space="preserve">La Agencia Nacional de Contratación Pública estudió el alcance del principio de publicidad en la consulta del 9 de agosto de 2019 −radicado No. 4201913000005397− y reiteró </w:t>
      </w:r>
      <w:r w:rsidR="00C0042B">
        <w:rPr>
          <w:rFonts w:ascii="Arial" w:eastAsia="Calibri" w:hAnsi="Arial" w:cs="Arial"/>
          <w:bCs/>
          <w:color w:val="000000" w:themeColor="text1"/>
          <w:sz w:val="22"/>
          <w:lang w:val="es-CO"/>
        </w:rPr>
        <w:t>su</w:t>
      </w:r>
      <w:r w:rsidRPr="00E82549">
        <w:rPr>
          <w:rFonts w:ascii="Arial" w:eastAsia="Calibri" w:hAnsi="Arial" w:cs="Arial"/>
          <w:bCs/>
          <w:color w:val="000000" w:themeColor="text1"/>
          <w:sz w:val="22"/>
          <w:lang w:val="es-CO"/>
        </w:rPr>
        <w:t xml:space="preserve"> posición en las consultas del 25 de septiembre de 2019, </w:t>
      </w:r>
      <w:r w:rsidRPr="00E82549">
        <w:rPr>
          <w:rFonts w:ascii="Arial" w:hAnsi="Arial" w:cs="Arial"/>
          <w:color w:val="000000" w:themeColor="text1"/>
          <w:sz w:val="22"/>
          <w:lang w:val="es-CO"/>
        </w:rPr>
        <w:t xml:space="preserve">del 4 de octubre de 2019, y </w:t>
      </w:r>
      <w:r w:rsidRPr="00E82549">
        <w:rPr>
          <w:rFonts w:ascii="Arial" w:eastAsia="Calibri" w:hAnsi="Arial" w:cs="Arial"/>
          <w:bCs/>
          <w:color w:val="000000" w:themeColor="text1"/>
          <w:sz w:val="22"/>
          <w:lang w:val="es-CO"/>
        </w:rPr>
        <w:t xml:space="preserve">del 13 y 18 de noviembre de 2019 −radicados Nos. 4201912000006611, </w:t>
      </w:r>
      <w:r w:rsidRPr="00E82549">
        <w:rPr>
          <w:rFonts w:ascii="Arial" w:hAnsi="Arial" w:cs="Arial"/>
          <w:color w:val="000000" w:themeColor="text1"/>
          <w:sz w:val="22"/>
          <w:lang w:val="es-CO"/>
        </w:rPr>
        <w:t xml:space="preserve">4201913000006847 </w:t>
      </w:r>
      <w:r w:rsidRPr="00E82549">
        <w:rPr>
          <w:rFonts w:ascii="Arial" w:eastAsia="Calibri" w:hAnsi="Arial" w:cs="Arial"/>
          <w:bCs/>
          <w:color w:val="000000" w:themeColor="text1"/>
          <w:sz w:val="22"/>
          <w:lang w:val="es-CO"/>
        </w:rPr>
        <w:t>4201912000007828 y 4201912000007762−</w:t>
      </w:r>
      <w:r w:rsidRPr="00E82549">
        <w:rPr>
          <w:rFonts w:ascii="Arial" w:hAnsi="Arial" w:cs="Arial"/>
          <w:color w:val="000000" w:themeColor="text1"/>
          <w:sz w:val="22"/>
          <w:lang w:val="es-CO"/>
        </w:rPr>
        <w:t>. Finalmente, en el Concepto CU−003 de 2020 unificó la tesis que venía construyendo en relación con el uso del SECOP, la cual se reiter</w:t>
      </w:r>
      <w:r w:rsidR="00016B91" w:rsidRPr="00E82549">
        <w:rPr>
          <w:rFonts w:ascii="Arial" w:hAnsi="Arial" w:cs="Arial"/>
          <w:color w:val="000000" w:themeColor="text1"/>
          <w:sz w:val="22"/>
          <w:lang w:val="es-CO"/>
        </w:rPr>
        <w:t>ó</w:t>
      </w:r>
      <w:r w:rsidRPr="00E82549">
        <w:rPr>
          <w:rFonts w:ascii="Arial" w:hAnsi="Arial" w:cs="Arial"/>
          <w:color w:val="000000" w:themeColor="text1"/>
          <w:sz w:val="22"/>
          <w:lang w:val="es-CO"/>
        </w:rPr>
        <w:t xml:space="preserve"> posteriormente</w:t>
      </w:r>
      <w:r w:rsidR="00016B91" w:rsidRPr="00E82549">
        <w:rPr>
          <w:rFonts w:ascii="Arial" w:hAnsi="Arial" w:cs="Arial"/>
          <w:color w:val="000000" w:themeColor="text1"/>
          <w:sz w:val="22"/>
          <w:lang w:val="es-CO"/>
        </w:rPr>
        <w:t>, entre otros,</w:t>
      </w:r>
      <w:r w:rsidRPr="00E82549">
        <w:rPr>
          <w:rFonts w:ascii="Arial" w:hAnsi="Arial" w:cs="Arial"/>
          <w:color w:val="000000" w:themeColor="text1"/>
          <w:sz w:val="22"/>
          <w:lang w:val="es-CO"/>
        </w:rPr>
        <w:t xml:space="preserve"> en los conceptos C-061, C-072, C-092, C-095, C-110, C-115, C-116, C-149, C-151, C-170, C-171, C-197, C-206</w:t>
      </w:r>
      <w:r w:rsidR="00EB3B91" w:rsidRPr="00E82549">
        <w:rPr>
          <w:rFonts w:ascii="Arial" w:hAnsi="Arial" w:cs="Arial"/>
          <w:color w:val="000000" w:themeColor="text1"/>
          <w:sz w:val="22"/>
          <w:lang w:val="es-CO"/>
        </w:rPr>
        <w:t xml:space="preserve"> y</w:t>
      </w:r>
      <w:r w:rsidRPr="00E82549">
        <w:rPr>
          <w:rFonts w:ascii="Arial" w:hAnsi="Arial" w:cs="Arial"/>
          <w:color w:val="000000" w:themeColor="text1"/>
          <w:sz w:val="22"/>
          <w:lang w:val="es-CO"/>
        </w:rPr>
        <w:t xml:space="preserve"> C-264. </w:t>
      </w:r>
      <w:r w:rsidRPr="00E82549">
        <w:rPr>
          <w:rFonts w:ascii="Arial" w:eastAsia="Calibri" w:hAnsi="Arial" w:cs="Arial"/>
          <w:color w:val="000000" w:themeColor="text1"/>
          <w:sz w:val="22"/>
          <w:lang w:val="es-CO"/>
        </w:rPr>
        <w:t xml:space="preserve">Las ideas expuestas en tales documentos se reiteran en </w:t>
      </w:r>
      <w:r w:rsidR="00016B91" w:rsidRPr="00E82549">
        <w:rPr>
          <w:rFonts w:ascii="Arial" w:eastAsia="Calibri" w:hAnsi="Arial" w:cs="Arial"/>
          <w:color w:val="000000" w:themeColor="text1"/>
          <w:sz w:val="22"/>
          <w:lang w:val="es-CO"/>
        </w:rPr>
        <w:t>el presente</w:t>
      </w:r>
      <w:r w:rsidRPr="00E82549">
        <w:rPr>
          <w:rFonts w:ascii="Arial" w:eastAsia="Calibri" w:hAnsi="Arial" w:cs="Arial"/>
          <w:color w:val="000000" w:themeColor="text1"/>
          <w:sz w:val="22"/>
          <w:lang w:val="es-CO"/>
        </w:rPr>
        <w:t xml:space="preserve"> numeral.</w:t>
      </w:r>
    </w:p>
    <w:p w14:paraId="7C021BAA" w14:textId="325C720C" w:rsidR="00EE0AFC" w:rsidRPr="00E82549" w:rsidRDefault="00EE0AFC" w:rsidP="00EE0AFC">
      <w:pPr>
        <w:spacing w:before="120" w:line="276" w:lineRule="auto"/>
        <w:ind w:firstLine="709"/>
        <w:jc w:val="both"/>
        <w:rPr>
          <w:rFonts w:ascii="Arial" w:hAnsi="Arial" w:cs="Arial"/>
          <w:color w:val="000000" w:themeColor="text1"/>
          <w:sz w:val="22"/>
          <w:lang w:val="es-CO"/>
        </w:rPr>
      </w:pPr>
      <w:r w:rsidRPr="00E82549">
        <w:rPr>
          <w:rFonts w:ascii="Arial" w:eastAsia="Calibri" w:hAnsi="Arial" w:cs="Arial"/>
          <w:color w:val="000000" w:themeColor="text1"/>
          <w:sz w:val="22"/>
          <w:lang w:val="es-CO"/>
        </w:rPr>
        <w:t>Según lo ha expresado la Corte Constitucional, el principio de publicidad es la garantía que tienen las personas de conocer las actuaciones judiciales y administrativas y</w:t>
      </w:r>
      <w:r w:rsidR="008A062A">
        <w:rPr>
          <w:rFonts w:ascii="Arial" w:eastAsia="Calibri" w:hAnsi="Arial" w:cs="Arial"/>
          <w:color w:val="000000" w:themeColor="text1"/>
          <w:sz w:val="22"/>
          <w:lang w:val="es-CO"/>
        </w:rPr>
        <w:t>,</w:t>
      </w:r>
      <w:r w:rsidRPr="00E82549">
        <w:rPr>
          <w:rFonts w:ascii="Arial" w:eastAsia="Calibri" w:hAnsi="Arial" w:cs="Arial"/>
          <w:color w:val="000000" w:themeColor="text1"/>
          <w:sz w:val="22"/>
          <w:lang w:val="es-CO"/>
        </w:rPr>
        <w:t xml:space="preserve"> con base en ese </w:t>
      </w:r>
      <w:r w:rsidRPr="00E82549">
        <w:rPr>
          <w:rFonts w:ascii="Arial" w:hAnsi="Arial" w:cs="Arial"/>
          <w:color w:val="000000" w:themeColor="text1"/>
          <w:sz w:val="22"/>
          <w:lang w:val="es-CO"/>
        </w:rPr>
        <w:t>conocimiento</w:t>
      </w:r>
      <w:r w:rsidR="008A062A">
        <w:rPr>
          <w:rFonts w:ascii="Arial" w:hAnsi="Arial" w:cs="Arial"/>
          <w:color w:val="000000" w:themeColor="text1"/>
          <w:sz w:val="22"/>
          <w:lang w:val="es-CO"/>
        </w:rPr>
        <w:t>,</w:t>
      </w:r>
      <w:r w:rsidRPr="00E82549">
        <w:rPr>
          <w:rFonts w:ascii="Arial" w:hAnsi="Arial" w:cs="Arial"/>
          <w:color w:val="000000" w:themeColor="text1"/>
          <w:sz w:val="22"/>
          <w:lang w:val="es-CO"/>
        </w:rPr>
        <w:t xml:space="preserve"> exigir que se surtan conforme a la ley: </w:t>
      </w:r>
    </w:p>
    <w:p w14:paraId="77EC3314" w14:textId="77777777" w:rsidR="00EE0AFC" w:rsidRPr="00E82549" w:rsidRDefault="00EE0AFC" w:rsidP="00EE0AFC">
      <w:pPr>
        <w:ind w:firstLine="708"/>
        <w:jc w:val="both"/>
        <w:rPr>
          <w:rFonts w:ascii="Arial" w:hAnsi="Arial" w:cs="Arial"/>
          <w:color w:val="000000" w:themeColor="text1"/>
          <w:sz w:val="22"/>
          <w:lang w:val="es-CO"/>
        </w:rPr>
      </w:pPr>
    </w:p>
    <w:p w14:paraId="3B707CE1" w14:textId="77777777" w:rsidR="00EE0AFC" w:rsidRPr="00E82549" w:rsidRDefault="00EE0AFC" w:rsidP="00EE0AFC">
      <w:pPr>
        <w:ind w:left="709" w:right="709"/>
        <w:jc w:val="both"/>
        <w:rPr>
          <w:rFonts w:ascii="Arial" w:hAnsi="Arial" w:cs="Arial"/>
          <w:color w:val="000000" w:themeColor="text1"/>
          <w:sz w:val="21"/>
          <w:szCs w:val="21"/>
          <w:lang w:val="es-CO"/>
        </w:rPr>
      </w:pPr>
      <w:r w:rsidRPr="00E82549">
        <w:rPr>
          <w:rFonts w:ascii="Arial" w:hAnsi="Arial" w:cs="Arial"/>
          <w:color w:val="000000" w:themeColor="text1"/>
          <w:sz w:val="21"/>
          <w:szCs w:val="21"/>
          <w:lang w:val="es-CO"/>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65738BE4" w14:textId="77777777" w:rsidR="00EE0AFC" w:rsidRPr="00E82549" w:rsidRDefault="00EE0AFC" w:rsidP="00EE0AFC">
      <w:pPr>
        <w:ind w:left="709" w:right="709"/>
        <w:jc w:val="both"/>
        <w:rPr>
          <w:rFonts w:ascii="Arial" w:hAnsi="Arial" w:cs="Arial"/>
          <w:color w:val="000000" w:themeColor="text1"/>
          <w:sz w:val="21"/>
          <w:szCs w:val="21"/>
          <w:lang w:val="es-CO"/>
        </w:rPr>
      </w:pPr>
    </w:p>
    <w:p w14:paraId="1CCAA6F6" w14:textId="77777777" w:rsidR="00EE0AFC" w:rsidRPr="00E82549" w:rsidRDefault="00EE0AFC" w:rsidP="00EE0AFC">
      <w:pPr>
        <w:ind w:left="709" w:right="709"/>
        <w:jc w:val="both"/>
        <w:rPr>
          <w:rFonts w:ascii="Arial" w:hAnsi="Arial" w:cs="Arial"/>
          <w:color w:val="000000" w:themeColor="text1"/>
          <w:sz w:val="21"/>
          <w:szCs w:val="21"/>
          <w:lang w:val="es-CO"/>
        </w:rPr>
      </w:pPr>
      <w:r w:rsidRPr="00E82549">
        <w:rPr>
          <w:rFonts w:ascii="Arial" w:hAnsi="Arial" w:cs="Arial"/>
          <w:color w:val="000000" w:themeColor="text1"/>
          <w:sz w:val="21"/>
          <w:szCs w:val="21"/>
          <w:lang w:val="es-CO"/>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E82549">
        <w:rPr>
          <w:rFonts w:ascii="Arial" w:hAnsi="Arial" w:cs="Arial"/>
          <w:color w:val="000000" w:themeColor="text1"/>
          <w:sz w:val="21"/>
          <w:szCs w:val="21"/>
          <w:lang w:val="es-CO"/>
        </w:rPr>
        <w:t>autoridades públicas</w:t>
      </w:r>
      <w:proofErr w:type="gramEnd"/>
      <w:r w:rsidRPr="00E82549">
        <w:rPr>
          <w:rFonts w:ascii="Arial" w:hAnsi="Arial" w:cs="Arial"/>
          <w:color w:val="000000" w:themeColor="text1"/>
          <w:sz w:val="21"/>
          <w:szCs w:val="21"/>
          <w:lang w:val="es-CO"/>
        </w:rPr>
        <w:t xml:space="preserve"> y, a través de ese conocimiento, a exigir que ellas se surtan conforme a la ley</w:t>
      </w:r>
      <w:r w:rsidRPr="00E82549">
        <w:rPr>
          <w:rStyle w:val="Refdenotaalpie"/>
          <w:rFonts w:ascii="Arial" w:hAnsi="Arial" w:cs="Arial"/>
          <w:color w:val="000000" w:themeColor="text1"/>
          <w:sz w:val="21"/>
          <w:szCs w:val="21"/>
          <w:lang w:val="es-CO"/>
        </w:rPr>
        <w:footnoteReference w:id="1"/>
      </w:r>
      <w:r w:rsidRPr="00E82549">
        <w:rPr>
          <w:rFonts w:ascii="Arial" w:hAnsi="Arial" w:cs="Arial"/>
          <w:color w:val="000000" w:themeColor="text1"/>
          <w:sz w:val="21"/>
          <w:szCs w:val="21"/>
          <w:lang w:val="es-CO"/>
        </w:rPr>
        <w:t>.</w:t>
      </w:r>
    </w:p>
    <w:p w14:paraId="2573EBE2" w14:textId="77777777" w:rsidR="00EE0AFC" w:rsidRPr="00E82549" w:rsidRDefault="00EE0AFC" w:rsidP="00EE0AFC">
      <w:pPr>
        <w:ind w:firstLine="708"/>
        <w:jc w:val="both"/>
        <w:rPr>
          <w:rFonts w:ascii="Arial" w:hAnsi="Arial" w:cs="Arial"/>
          <w:color w:val="000000" w:themeColor="text1"/>
          <w:sz w:val="21"/>
          <w:szCs w:val="21"/>
          <w:lang w:val="es-CO"/>
        </w:rPr>
      </w:pPr>
    </w:p>
    <w:p w14:paraId="6B2CFFA3" w14:textId="77777777" w:rsidR="00EE0AFC" w:rsidRPr="00E82549" w:rsidRDefault="00EE0AFC" w:rsidP="008C4AF4">
      <w:pPr>
        <w:spacing w:line="276" w:lineRule="auto"/>
        <w:jc w:val="both"/>
        <w:rPr>
          <w:rFonts w:ascii="Arial" w:eastAsia="Calibri" w:hAnsi="Arial" w:cs="Arial"/>
          <w:color w:val="000000" w:themeColor="text1"/>
          <w:sz w:val="22"/>
          <w:lang w:val="es-CO"/>
        </w:rPr>
      </w:pPr>
      <w:r w:rsidRPr="00E82549">
        <w:rPr>
          <w:rFonts w:ascii="Arial" w:hAnsi="Arial" w:cs="Arial"/>
          <w:color w:val="000000" w:themeColor="text1"/>
          <w:sz w:val="22"/>
          <w:lang w:val="es-CO"/>
        </w:rPr>
        <w:t>El mencionado principio impone a las autoridades administrativas el deber de dar</w:t>
      </w:r>
      <w:r w:rsidRPr="00E82549">
        <w:rPr>
          <w:rFonts w:ascii="Arial" w:eastAsia="Calibri" w:hAnsi="Arial" w:cs="Arial"/>
          <w:color w:val="000000" w:themeColor="text1"/>
          <w:sz w:val="22"/>
          <w:lang w:val="es-CO"/>
        </w:rPr>
        <w:t xml:space="preserve"> a conocer sus actos, contratos y decisiones, para que se divulguen y eventualmente se controlen las actuaciones. </w:t>
      </w:r>
    </w:p>
    <w:p w14:paraId="3857F572" w14:textId="3806AC15" w:rsidR="00EE0AFC" w:rsidRPr="00E82549" w:rsidRDefault="00EE0AFC" w:rsidP="00EE0AFC">
      <w:pPr>
        <w:spacing w:before="120" w:after="120" w:line="276" w:lineRule="auto"/>
        <w:ind w:firstLine="709"/>
        <w:jc w:val="both"/>
        <w:rPr>
          <w:rFonts w:ascii="Arial" w:eastAsia="Calibri" w:hAnsi="Arial" w:cs="Arial"/>
          <w:color w:val="000000" w:themeColor="text1"/>
          <w:sz w:val="22"/>
          <w:lang w:val="es-CO"/>
        </w:rPr>
      </w:pPr>
      <w:r w:rsidRPr="00E82549">
        <w:rPr>
          <w:rFonts w:ascii="Arial" w:eastAsia="Calibri" w:hAnsi="Arial" w:cs="Arial"/>
          <w:color w:val="000000" w:themeColor="text1"/>
          <w:sz w:val="22"/>
          <w:lang w:val="es-CO"/>
        </w:rPr>
        <w:t xml:space="preserve">Ahora bien, en relación con la contratación estatal, el literal c) del artículo 3 de la Ley 1150 de 2007 establece que </w:t>
      </w:r>
      <w:r w:rsidR="007D375A" w:rsidRPr="00E82549">
        <w:rPr>
          <w:rFonts w:ascii="Arial" w:eastAsia="Calibri" w:hAnsi="Arial" w:cs="Arial"/>
          <w:color w:val="000000" w:themeColor="text1"/>
          <w:sz w:val="22"/>
          <w:lang w:val="es-CO"/>
        </w:rPr>
        <w:t xml:space="preserve">la herramienta para tales fines es </w:t>
      </w:r>
      <w:r w:rsidRPr="00E82549">
        <w:rPr>
          <w:rFonts w:ascii="Arial" w:eastAsia="Calibri" w:hAnsi="Arial" w:cs="Arial"/>
          <w:color w:val="000000" w:themeColor="text1"/>
          <w:sz w:val="22"/>
          <w:lang w:val="es-CO"/>
        </w:rPr>
        <w:t>el Sistema Electrónico para la Contratación Pública</w:t>
      </w:r>
      <w:r w:rsidR="007D375A" w:rsidRPr="00E82549">
        <w:rPr>
          <w:rFonts w:ascii="Arial" w:eastAsia="Calibri" w:hAnsi="Arial" w:cs="Arial"/>
          <w:color w:val="000000" w:themeColor="text1"/>
          <w:sz w:val="22"/>
          <w:lang w:val="es-CO"/>
        </w:rPr>
        <w:t xml:space="preserve"> «SECOP», que, según dicha norma, </w:t>
      </w:r>
      <w:r w:rsidRPr="00E82549">
        <w:rPr>
          <w:rFonts w:ascii="Arial" w:eastAsia="Calibri" w:hAnsi="Arial" w:cs="Arial"/>
          <w:color w:val="000000" w:themeColor="text1"/>
          <w:sz w:val="22"/>
          <w:lang w:val="es-CO"/>
        </w:rPr>
        <w:t>«contará con la información oficial de la contratación realizada con dineros públicos, para lo cual establecerá los patrones a que haya lugar y se encargará de su difusión a través de canales electrónicos»</w:t>
      </w:r>
      <w:r w:rsidRPr="00E82549">
        <w:rPr>
          <w:rFonts w:ascii="Arial" w:eastAsia="Calibri" w:hAnsi="Arial" w:cs="Arial"/>
          <w:color w:val="000000" w:themeColor="text1"/>
          <w:sz w:val="22"/>
          <w:vertAlign w:val="superscript"/>
          <w:lang w:val="es-CO"/>
        </w:rPr>
        <w:footnoteReference w:id="2"/>
      </w:r>
      <w:r w:rsidRPr="00E82549">
        <w:rPr>
          <w:rFonts w:ascii="Arial" w:eastAsia="Calibri" w:hAnsi="Arial" w:cs="Arial"/>
          <w:color w:val="000000" w:themeColor="text1"/>
          <w:sz w:val="22"/>
          <w:lang w:val="es-CO"/>
        </w:rPr>
        <w:t xml:space="preserve">. </w:t>
      </w:r>
    </w:p>
    <w:p w14:paraId="216FD92D" w14:textId="77777777" w:rsidR="00EE0AFC" w:rsidRPr="00E82549" w:rsidRDefault="00EE0AFC" w:rsidP="00EE0AFC">
      <w:pPr>
        <w:spacing w:before="120" w:after="120" w:line="276" w:lineRule="auto"/>
        <w:ind w:firstLine="709"/>
        <w:jc w:val="both"/>
        <w:rPr>
          <w:rFonts w:ascii="Arial" w:eastAsia="Calibri" w:hAnsi="Arial" w:cs="Arial"/>
          <w:color w:val="000000" w:themeColor="text1"/>
          <w:sz w:val="22"/>
          <w:lang w:val="es-CO"/>
        </w:rPr>
      </w:pPr>
      <w:r w:rsidRPr="00E82549">
        <w:rPr>
          <w:rFonts w:ascii="Arial" w:hAnsi="Arial" w:cs="Arial"/>
          <w:color w:val="000000" w:themeColor="text1"/>
          <w:sz w:val="22"/>
          <w:lang w:val="es-CO"/>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E82549">
        <w:rPr>
          <w:rFonts w:ascii="Arial" w:hAnsi="Arial" w:cs="Arial"/>
          <w:color w:val="000000" w:themeColor="text1"/>
          <w:sz w:val="22"/>
          <w:vertAlign w:val="superscript"/>
          <w:lang w:val="es-CO"/>
        </w:rPr>
        <w:footnoteReference w:id="3"/>
      </w:r>
      <w:r w:rsidRPr="00E82549">
        <w:rPr>
          <w:rFonts w:ascii="Arial" w:hAnsi="Arial" w:cs="Arial"/>
          <w:color w:val="000000" w:themeColor="text1"/>
          <w:sz w:val="22"/>
          <w:lang w:val="es-CO"/>
        </w:rPr>
        <w:t xml:space="preserve">. El principio de transparencia en la información alude al deber de los sujetos de proporcionar y facilitar el acceso a la misma en los términos más amplios posibles, y a través de los medios y procedimientos que establezca la ley. </w:t>
      </w:r>
    </w:p>
    <w:p w14:paraId="5AEB671E" w14:textId="77777777" w:rsidR="00EE0AFC" w:rsidRPr="00E82549" w:rsidRDefault="00EE0AFC" w:rsidP="00EE0AFC">
      <w:pPr>
        <w:spacing w:before="120" w:after="120" w:line="276" w:lineRule="auto"/>
        <w:ind w:firstLine="709"/>
        <w:jc w:val="both"/>
        <w:rPr>
          <w:rFonts w:ascii="Arial" w:hAnsi="Arial" w:cs="Arial"/>
          <w:color w:val="000000" w:themeColor="text1"/>
          <w:sz w:val="22"/>
          <w:lang w:val="es-CO"/>
        </w:rPr>
      </w:pPr>
      <w:r w:rsidRPr="00E82549">
        <w:rPr>
          <w:rFonts w:ascii="Arial" w:hAnsi="Arial" w:cs="Arial"/>
          <w:color w:val="000000" w:themeColor="text1"/>
          <w:sz w:val="22"/>
          <w:lang w:val="es-CO"/>
        </w:rPr>
        <w:lastRenderedPageBreak/>
        <w:t>La ley citada establece, en el literal e) del artículo 9, que los sujetos obligados, que son todas las entidades públicas</w:t>
      </w:r>
      <w:r w:rsidRPr="00E82549">
        <w:rPr>
          <w:rFonts w:ascii="Arial" w:hAnsi="Arial" w:cs="Arial"/>
          <w:color w:val="000000" w:themeColor="text1"/>
          <w:sz w:val="22"/>
          <w:vertAlign w:val="superscript"/>
          <w:lang w:val="es-CO"/>
        </w:rPr>
        <w:footnoteReference w:id="4"/>
      </w:r>
      <w:r w:rsidRPr="00E82549">
        <w:rPr>
          <w:rFonts w:ascii="Arial" w:hAnsi="Arial" w:cs="Arial"/>
          <w:color w:val="000000" w:themeColor="text1"/>
          <w:sz w:val="22"/>
          <w:lang w:val="es-CO"/>
        </w:rPr>
        <w:t>, deben publicar la información relativa a su contratación. Esta obligación fue desarrollada por el Decreto Único Reglamentario 1081 de 2015</w:t>
      </w:r>
      <w:r w:rsidRPr="00E82549">
        <w:rPr>
          <w:rFonts w:ascii="Arial" w:hAnsi="Arial" w:cs="Arial"/>
          <w:color w:val="000000" w:themeColor="text1"/>
          <w:sz w:val="22"/>
          <w:vertAlign w:val="superscript"/>
          <w:lang w:val="es-CO"/>
        </w:rPr>
        <w:footnoteReference w:id="5"/>
      </w:r>
      <w:r w:rsidRPr="00E82549">
        <w:rPr>
          <w:rFonts w:ascii="Arial" w:hAnsi="Arial" w:cs="Arial"/>
          <w:color w:val="000000" w:themeColor="text1"/>
          <w:sz w:val="22"/>
          <w:lang w:val="es-CO"/>
        </w:rPr>
        <w:t>, el cual dispuso que la publicación de la información contractual de los sujetos obligados, que contratan con cargo a recursos públicos, debe hacerse en el Sistema Electrónico de Contratación Pública ─ SECOP.</w:t>
      </w:r>
    </w:p>
    <w:p w14:paraId="13DFC696" w14:textId="77777777" w:rsidR="00EE0AFC" w:rsidRPr="00E82549" w:rsidRDefault="00EE0AFC" w:rsidP="00EE0AFC">
      <w:pPr>
        <w:spacing w:before="120" w:after="120" w:line="276" w:lineRule="auto"/>
        <w:ind w:firstLine="709"/>
        <w:jc w:val="both"/>
        <w:rPr>
          <w:rFonts w:ascii="Arial" w:hAnsi="Arial" w:cs="Arial"/>
          <w:color w:val="000000" w:themeColor="text1"/>
          <w:sz w:val="22"/>
          <w:lang w:val="es-CO"/>
        </w:rPr>
      </w:pPr>
      <w:r w:rsidRPr="00E82549">
        <w:rPr>
          <w:rFonts w:ascii="Arial" w:hAnsi="Arial" w:cs="Arial"/>
          <w:color w:val="000000" w:themeColor="text1"/>
          <w:sz w:val="22"/>
          <w:lang w:val="es-CO"/>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0AD2366C" w14:textId="6B9E7398" w:rsidR="00EE0AFC" w:rsidRPr="00E82549" w:rsidRDefault="007D375A" w:rsidP="00EE0AFC">
      <w:pPr>
        <w:spacing w:after="120" w:line="276" w:lineRule="auto"/>
        <w:ind w:firstLine="708"/>
        <w:jc w:val="both"/>
        <w:rPr>
          <w:rFonts w:ascii="Arial" w:eastAsia="Calibri" w:hAnsi="Arial" w:cs="Arial"/>
          <w:color w:val="000000" w:themeColor="text1"/>
          <w:sz w:val="22"/>
          <w:lang w:val="es-CO"/>
        </w:rPr>
      </w:pPr>
      <w:bookmarkStart w:id="4" w:name="_Hlk37950210"/>
      <w:r w:rsidRPr="00E82549">
        <w:rPr>
          <w:rFonts w:ascii="Arial" w:eastAsia="Calibri" w:hAnsi="Arial" w:cs="Arial"/>
          <w:color w:val="000000" w:themeColor="text1"/>
          <w:sz w:val="22"/>
          <w:lang w:val="es-CO"/>
        </w:rPr>
        <w:t>Ahora bien, l</w:t>
      </w:r>
      <w:r w:rsidR="00EE0AFC" w:rsidRPr="00E82549">
        <w:rPr>
          <w:rFonts w:ascii="Arial" w:eastAsia="Calibri" w:hAnsi="Arial" w:cs="Arial"/>
          <w:color w:val="000000" w:themeColor="text1"/>
          <w:sz w:val="22"/>
          <w:lang w:val="es-CO"/>
        </w:rPr>
        <w:t>a Agencia Nacional de Contratación Pública – Colombia Compra Eficiente tiene como función administrar el SECOP</w:t>
      </w:r>
      <w:r w:rsidR="00EE0AFC" w:rsidRPr="00E82549">
        <w:rPr>
          <w:rStyle w:val="Refdenotaalpie"/>
          <w:rFonts w:ascii="Arial" w:eastAsia="Calibri" w:hAnsi="Arial" w:cs="Arial"/>
          <w:color w:val="000000" w:themeColor="text1"/>
          <w:sz w:val="22"/>
          <w:lang w:val="es-CO"/>
        </w:rPr>
        <w:footnoteReference w:id="6"/>
      </w:r>
      <w:r w:rsidR="00EE0AFC" w:rsidRPr="00E82549">
        <w:rPr>
          <w:rFonts w:ascii="Arial" w:eastAsia="Calibri" w:hAnsi="Arial" w:cs="Arial"/>
          <w:color w:val="000000" w:themeColor="text1"/>
          <w:sz w:val="22"/>
          <w:lang w:val="es-CO"/>
        </w:rPr>
        <w:t>, por lo cual desarrolló la primera versión de la plataforma, denominada SECOP I, que funciona como medio de publicidad y no transaccional, lo que significa que, en la práctica, el procedimiento contractual ocurre fuera de la plataforma y del mismo la entidad lleva un expediente físico, cuyos documentos se convierten en electrónicos para ser cargados, por quien tenga la función dentro de la entidad, de acuerdo con su organización interna y en cumplimiento de un deber legal.</w:t>
      </w:r>
    </w:p>
    <w:p w14:paraId="3D7E7D1D" w14:textId="77777777" w:rsidR="00EE0AFC" w:rsidRPr="00E82549" w:rsidRDefault="00EE0AFC" w:rsidP="00EE0AFC">
      <w:pPr>
        <w:spacing w:before="120" w:after="120" w:line="276" w:lineRule="auto"/>
        <w:ind w:firstLine="708"/>
        <w:jc w:val="both"/>
        <w:rPr>
          <w:rFonts w:ascii="Arial" w:eastAsia="Calibri" w:hAnsi="Arial" w:cs="Arial"/>
          <w:color w:val="000000" w:themeColor="text1"/>
          <w:sz w:val="22"/>
          <w:lang w:val="es-CO"/>
        </w:rPr>
      </w:pPr>
      <w:r w:rsidRPr="00E82549">
        <w:rPr>
          <w:rFonts w:ascii="Arial" w:eastAsia="Calibri" w:hAnsi="Arial" w:cs="Arial"/>
          <w:color w:val="000000" w:themeColor="text1"/>
          <w:sz w:val="22"/>
          <w:lang w:val="es-CO"/>
        </w:rPr>
        <w:lastRenderedPageBreak/>
        <w:t>El SECOP II es la segunda versión de la plataforma y su principal característica es que es transaccional, esto es, permite gestionar en línea todos los procedimientos de contratación, con cuentas y usuarios asociados a éstas, para las entidades y los proveedores, así como también el acceso para consulta por parte de cualquier interesado en hacer seguimiento a la contratación pública. Desde sus cuentas, las entidades crean, evalúan y adjudican procedimientos de contratación, y gestionan la fase de ejecución del contrato. Los proveedores, por su parte, pueden hacer comentarios a los documentos del procedimiento, presentar ofertas y, en general, seguir el procedimiento de selección en línea.</w:t>
      </w:r>
    </w:p>
    <w:p w14:paraId="38929DFF" w14:textId="77777777" w:rsidR="00EE0AFC" w:rsidRPr="00E82549" w:rsidRDefault="00EE0AFC" w:rsidP="00EE0AFC">
      <w:pPr>
        <w:spacing w:line="276" w:lineRule="auto"/>
        <w:ind w:firstLine="708"/>
        <w:jc w:val="both"/>
        <w:rPr>
          <w:rFonts w:ascii="Arial" w:eastAsia="Calibri" w:hAnsi="Arial" w:cs="Arial"/>
          <w:color w:val="000000" w:themeColor="text1"/>
          <w:sz w:val="22"/>
          <w:lang w:val="es-CO"/>
        </w:rPr>
      </w:pPr>
      <w:r w:rsidRPr="00E82549">
        <w:rPr>
          <w:rFonts w:ascii="Arial" w:eastAsia="Calibri" w:hAnsi="Arial" w:cs="Arial"/>
          <w:color w:val="000000" w:themeColor="text1"/>
          <w:sz w:val="22"/>
          <w:lang w:val="es-CO"/>
        </w:rPr>
        <w:t>Es necesario aclarar que, dado que el procedimiento contractual se desarrolla en línea y dentro de la plataforma, paulatinamente se va conformando un expediente electrónico, lo cual denota 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 como se ejemplificará a continuación.</w:t>
      </w:r>
    </w:p>
    <w:p w14:paraId="6BC41F05" w14:textId="1FD91697" w:rsidR="00EE0AFC" w:rsidRPr="00E82549" w:rsidRDefault="00EE0AFC" w:rsidP="00EE0AFC">
      <w:pPr>
        <w:spacing w:before="120" w:after="120" w:line="276" w:lineRule="auto"/>
        <w:ind w:firstLine="708"/>
        <w:jc w:val="both"/>
        <w:rPr>
          <w:rFonts w:ascii="Arial" w:eastAsia="Calibri" w:hAnsi="Arial" w:cs="Arial"/>
          <w:color w:val="000000" w:themeColor="text1"/>
          <w:sz w:val="22"/>
          <w:lang w:val="es-CO"/>
        </w:rPr>
      </w:pPr>
      <w:r w:rsidRPr="00E82549">
        <w:rPr>
          <w:rFonts w:ascii="Arial" w:eastAsia="Calibri" w:hAnsi="Arial" w:cs="Arial"/>
          <w:color w:val="000000" w:themeColor="text1"/>
          <w:sz w:val="22"/>
          <w:lang w:val="es-CO"/>
        </w:rPr>
        <w:t xml:space="preserve">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 Son las entidades públicas relacionadas en dicho anexo las obligadas al uso de la plataforma que </w:t>
      </w:r>
      <w:r w:rsidR="00DE7F05" w:rsidRPr="00E82549">
        <w:rPr>
          <w:rFonts w:ascii="Arial" w:eastAsia="Calibri" w:hAnsi="Arial" w:cs="Arial"/>
          <w:color w:val="000000" w:themeColor="text1"/>
          <w:sz w:val="22"/>
          <w:lang w:val="es-CO"/>
        </w:rPr>
        <w:t>se</w:t>
      </w:r>
      <w:r w:rsidRPr="00E82549">
        <w:rPr>
          <w:rFonts w:ascii="Arial" w:eastAsia="Calibri" w:hAnsi="Arial" w:cs="Arial"/>
          <w:color w:val="000000" w:themeColor="text1"/>
          <w:sz w:val="22"/>
          <w:lang w:val="es-CO"/>
        </w:rPr>
        <w:t xml:space="preserve"> estudia.</w:t>
      </w:r>
    </w:p>
    <w:p w14:paraId="5DE6E56C" w14:textId="4D9B3C55" w:rsidR="00EE0AFC" w:rsidRPr="00E82549" w:rsidRDefault="00EE0AFC" w:rsidP="00EE0AFC">
      <w:pPr>
        <w:spacing w:before="120" w:after="120" w:line="276" w:lineRule="auto"/>
        <w:ind w:firstLine="708"/>
        <w:jc w:val="both"/>
        <w:rPr>
          <w:rFonts w:ascii="Arial" w:eastAsia="Calibri" w:hAnsi="Arial" w:cs="Arial"/>
          <w:color w:val="000000" w:themeColor="text1"/>
          <w:sz w:val="22"/>
          <w:lang w:val="es-CO"/>
        </w:rPr>
      </w:pPr>
      <w:r w:rsidRPr="00E82549">
        <w:rPr>
          <w:rFonts w:ascii="Arial" w:eastAsia="Calibri" w:hAnsi="Arial" w:cs="Arial"/>
          <w:color w:val="000000" w:themeColor="text1"/>
          <w:sz w:val="22"/>
          <w:lang w:val="es-CO"/>
        </w:rPr>
        <w:t xml:space="preserve">Este plazo fue prorrogado por la Agencia Nacional de Contratación Pública – Colombia Compra Eficiente, mediante la Circular Externa No. 2 de 2019, a través de la cual se amplió «la </w:t>
      </w:r>
      <w:r w:rsidR="00331554" w:rsidRPr="00E82549">
        <w:rPr>
          <w:rFonts w:ascii="Arial" w:eastAsia="Calibri" w:hAnsi="Arial" w:cs="Arial"/>
          <w:color w:val="000000" w:themeColor="text1"/>
          <w:sz w:val="22"/>
          <w:lang w:val="es-CO"/>
        </w:rPr>
        <w:t>entrada en vigor</w:t>
      </w:r>
      <w:r w:rsidRPr="00E82549">
        <w:rPr>
          <w:rFonts w:ascii="Arial" w:eastAsia="Calibri" w:hAnsi="Arial" w:cs="Arial"/>
          <w:color w:val="000000" w:themeColor="text1"/>
          <w:sz w:val="22"/>
          <w:lang w:val="es-CO"/>
        </w:rPr>
        <w:t xml:space="preserve"> de la obligatoriedad del SECOP ll. En consecuencia, las alcaldías capitales de departamento (Administración central) y los departamentos (Administración central) gestionarán todos sus procesos de contratación, exclusivamente en el SECOP ll, a partir del 1 de abril de 2020». Con todo, </w:t>
      </w:r>
      <w:r w:rsidR="00331554" w:rsidRPr="00E82549">
        <w:rPr>
          <w:rFonts w:ascii="Arial" w:eastAsia="Calibri" w:hAnsi="Arial" w:cs="Arial"/>
          <w:color w:val="000000" w:themeColor="text1"/>
          <w:sz w:val="22"/>
          <w:lang w:val="es-CO"/>
        </w:rPr>
        <w:t>de acuerdo con</w:t>
      </w:r>
      <w:r w:rsidRPr="00E82549">
        <w:rPr>
          <w:rFonts w:ascii="Arial" w:eastAsia="Calibri" w:hAnsi="Arial" w:cs="Arial"/>
          <w:color w:val="000000" w:themeColor="text1"/>
          <w:sz w:val="22"/>
          <w:lang w:val="es-CO"/>
        </w:rPr>
        <w:t xml:space="preserve"> lo que se dispuso en la Circular Externa No. 3 de 2020, existen dos grupos de entidades que podrán seguir gestionando sus procesos contractuales por medio de la plataforma SECOP I: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w:t>
      </w:r>
    </w:p>
    <w:p w14:paraId="508639FD" w14:textId="1622C432" w:rsidR="00EE0AFC" w:rsidRPr="0075145E" w:rsidRDefault="00EE0AFC" w:rsidP="0075145E">
      <w:pPr>
        <w:spacing w:before="120" w:after="120" w:line="276" w:lineRule="auto"/>
        <w:ind w:firstLine="708"/>
        <w:jc w:val="both"/>
        <w:rPr>
          <w:rFonts w:ascii="Arial" w:eastAsia="Calibri" w:hAnsi="Arial" w:cs="Arial"/>
          <w:color w:val="000000" w:themeColor="text1"/>
          <w:sz w:val="22"/>
          <w:lang w:val="es-CO"/>
        </w:rPr>
      </w:pPr>
      <w:r w:rsidRPr="00E82549">
        <w:rPr>
          <w:rFonts w:ascii="Arial" w:eastAsia="Calibri" w:hAnsi="Arial" w:cs="Arial"/>
          <w:color w:val="000000" w:themeColor="text1"/>
          <w:sz w:val="22"/>
          <w:lang w:val="es-CO"/>
        </w:rPr>
        <w:lastRenderedPageBreak/>
        <w:t>Los primeros, porque no alcanzaron a ser capacitados en el uso de la plataforma SECOP II, habida cuenta que los programas de formación a cargo de esta entidad se suspendieron por la emergencia en salud pública ocasionada por el Coronavirus - COVID 19. Los segundos, debido a que «las velocidades de carga son insuficientes para operar la plataforma en [sus] territorios», esto es, por problemas de capacidad técnica de las redes.</w:t>
      </w:r>
      <w:bookmarkEnd w:id="4"/>
    </w:p>
    <w:p w14:paraId="486B72C1" w14:textId="60F0B619" w:rsidR="00EE0AFC" w:rsidRPr="00E82549" w:rsidRDefault="00EE0AFC" w:rsidP="00EE0AFC">
      <w:pPr>
        <w:tabs>
          <w:tab w:val="left" w:pos="426"/>
        </w:tabs>
        <w:spacing w:line="276" w:lineRule="auto"/>
        <w:jc w:val="both"/>
        <w:rPr>
          <w:rFonts w:ascii="Arial" w:eastAsia="Calibri" w:hAnsi="Arial" w:cs="Arial"/>
          <w:b/>
          <w:color w:val="000000" w:themeColor="text1"/>
          <w:sz w:val="22"/>
          <w:lang w:val="es-CO"/>
        </w:rPr>
      </w:pPr>
      <w:r w:rsidRPr="00E82549">
        <w:rPr>
          <w:rFonts w:ascii="Arial" w:eastAsia="Calibri" w:hAnsi="Arial" w:cs="Arial"/>
          <w:b/>
          <w:color w:val="000000" w:themeColor="text1"/>
          <w:sz w:val="22"/>
          <w:lang w:val="es-CO"/>
        </w:rPr>
        <w:t>2.2. Entidades</w:t>
      </w:r>
      <w:r w:rsidR="008E7495" w:rsidRPr="00E82549">
        <w:rPr>
          <w:rFonts w:ascii="Arial" w:eastAsia="Calibri" w:hAnsi="Arial" w:cs="Arial"/>
          <w:b/>
          <w:color w:val="000000" w:themeColor="text1"/>
          <w:sz w:val="22"/>
          <w:lang w:val="es-CO"/>
        </w:rPr>
        <w:t xml:space="preserve"> estatales</w:t>
      </w:r>
      <w:r w:rsidRPr="00E82549">
        <w:rPr>
          <w:rFonts w:ascii="Arial" w:eastAsia="Calibri" w:hAnsi="Arial" w:cs="Arial"/>
          <w:b/>
          <w:color w:val="000000" w:themeColor="text1"/>
          <w:sz w:val="22"/>
          <w:lang w:val="es-CO"/>
        </w:rPr>
        <w:t xml:space="preserve"> </w:t>
      </w:r>
      <w:r w:rsidR="00A86133" w:rsidRPr="00E82549">
        <w:rPr>
          <w:rFonts w:ascii="Arial" w:eastAsia="Calibri" w:hAnsi="Arial" w:cs="Arial"/>
          <w:b/>
          <w:color w:val="000000" w:themeColor="text1"/>
          <w:sz w:val="22"/>
          <w:lang w:val="es-CO"/>
        </w:rPr>
        <w:t>de régimen especial</w:t>
      </w:r>
      <w:r w:rsidR="001B3CE2" w:rsidRPr="00E82549">
        <w:rPr>
          <w:rFonts w:ascii="Arial" w:eastAsia="Calibri" w:hAnsi="Arial" w:cs="Arial"/>
          <w:b/>
          <w:color w:val="000000" w:themeColor="text1"/>
          <w:sz w:val="22"/>
          <w:lang w:val="es-CO"/>
        </w:rPr>
        <w:t xml:space="preserve"> </w:t>
      </w:r>
      <w:r w:rsidR="00A86133" w:rsidRPr="00E82549">
        <w:rPr>
          <w:rFonts w:ascii="Arial" w:eastAsia="Calibri" w:hAnsi="Arial" w:cs="Arial"/>
          <w:b/>
          <w:color w:val="000000" w:themeColor="text1"/>
          <w:sz w:val="22"/>
          <w:lang w:val="es-CO"/>
        </w:rPr>
        <w:t>obligadas a publicar en el SECOP</w:t>
      </w:r>
    </w:p>
    <w:p w14:paraId="5D1E39C4" w14:textId="77777777" w:rsidR="00EE0AFC" w:rsidRPr="00E82549" w:rsidRDefault="00EE0AFC" w:rsidP="00EE0AFC">
      <w:pPr>
        <w:tabs>
          <w:tab w:val="left" w:pos="426"/>
        </w:tabs>
        <w:spacing w:line="276" w:lineRule="auto"/>
        <w:jc w:val="both"/>
        <w:rPr>
          <w:rFonts w:ascii="Arial" w:eastAsia="Calibri" w:hAnsi="Arial" w:cs="Arial"/>
          <w:b/>
          <w:color w:val="000000" w:themeColor="text1"/>
          <w:sz w:val="22"/>
          <w:lang w:val="es-CO"/>
        </w:rPr>
      </w:pPr>
    </w:p>
    <w:p w14:paraId="6B9B045E" w14:textId="1944FBC7" w:rsidR="00EE0AFC" w:rsidRPr="00E82549" w:rsidRDefault="00EE0AFC" w:rsidP="00EE0AFC">
      <w:pPr>
        <w:spacing w:line="276" w:lineRule="auto"/>
        <w:jc w:val="both"/>
        <w:rPr>
          <w:rFonts w:ascii="Arial" w:eastAsia="Calibri" w:hAnsi="Arial" w:cs="Arial"/>
          <w:bCs/>
          <w:color w:val="000000" w:themeColor="text1"/>
          <w:sz w:val="22"/>
          <w:lang w:val="es-CO"/>
        </w:rPr>
      </w:pPr>
      <w:r w:rsidRPr="00E82549">
        <w:rPr>
          <w:rFonts w:ascii="Arial" w:eastAsia="Calibri" w:hAnsi="Arial" w:cs="Arial"/>
          <w:bCs/>
          <w:color w:val="000000" w:themeColor="text1"/>
          <w:sz w:val="22"/>
          <w:lang w:val="es-CO"/>
        </w:rPr>
        <w:t xml:space="preserve">La Agencia Nacional de Contratación Pública, durante el último año, ha venido elaborando una línea conceptual en relación con las entidades obligadas </w:t>
      </w:r>
      <w:r w:rsidR="001923FE" w:rsidRPr="00E82549">
        <w:rPr>
          <w:rFonts w:ascii="Arial" w:eastAsia="Calibri" w:hAnsi="Arial" w:cs="Arial"/>
          <w:bCs/>
          <w:color w:val="000000" w:themeColor="text1"/>
          <w:sz w:val="22"/>
          <w:lang w:val="es-CO"/>
        </w:rPr>
        <w:t>a publicar sus procesos contractuales en el SECOP</w:t>
      </w:r>
      <w:r w:rsidRPr="00E82549">
        <w:rPr>
          <w:rFonts w:ascii="Arial" w:eastAsia="Calibri" w:hAnsi="Arial" w:cs="Arial"/>
          <w:bCs/>
          <w:color w:val="000000" w:themeColor="text1"/>
          <w:sz w:val="22"/>
          <w:lang w:val="es-CO"/>
        </w:rPr>
        <w:t>, pese a estar excluidas del Régimen General de Contratación de la Administración Pública. Por un</w:t>
      </w:r>
      <w:r w:rsidR="00124702" w:rsidRPr="00E82549">
        <w:rPr>
          <w:rFonts w:ascii="Arial" w:eastAsia="Calibri" w:hAnsi="Arial" w:cs="Arial"/>
          <w:bCs/>
          <w:color w:val="000000" w:themeColor="text1"/>
          <w:sz w:val="22"/>
          <w:lang w:val="es-CO"/>
        </w:rPr>
        <w:t>a parte</w:t>
      </w:r>
      <w:r w:rsidRPr="00E82549">
        <w:rPr>
          <w:rFonts w:ascii="Arial" w:eastAsia="Calibri" w:hAnsi="Arial" w:cs="Arial"/>
          <w:bCs/>
          <w:color w:val="000000" w:themeColor="text1"/>
          <w:sz w:val="22"/>
          <w:lang w:val="es-CO"/>
        </w:rPr>
        <w:t>, s</w:t>
      </w:r>
      <w:r w:rsidR="00124702" w:rsidRPr="00E82549">
        <w:rPr>
          <w:rFonts w:ascii="Arial" w:eastAsia="Calibri" w:hAnsi="Arial" w:cs="Arial"/>
          <w:bCs/>
          <w:color w:val="000000" w:themeColor="text1"/>
          <w:sz w:val="22"/>
          <w:lang w:val="es-CO"/>
        </w:rPr>
        <w:t xml:space="preserve">e pronunció </w:t>
      </w:r>
      <w:r w:rsidR="00AC40BB" w:rsidRPr="00E82549">
        <w:rPr>
          <w:rFonts w:ascii="Arial" w:eastAsia="Calibri" w:hAnsi="Arial" w:cs="Arial"/>
          <w:bCs/>
          <w:color w:val="000000" w:themeColor="text1"/>
          <w:sz w:val="22"/>
          <w:lang w:val="es-CO"/>
        </w:rPr>
        <w:t>de forma genérica sobre este tipo de entidades</w:t>
      </w:r>
      <w:r w:rsidRPr="00E82549">
        <w:rPr>
          <w:rFonts w:ascii="Arial" w:eastAsia="Calibri" w:hAnsi="Arial" w:cs="Arial"/>
          <w:bCs/>
          <w:color w:val="000000" w:themeColor="text1"/>
          <w:sz w:val="22"/>
          <w:lang w:val="es-CO"/>
        </w:rPr>
        <w:t xml:space="preserve">. Por el otro, </w:t>
      </w:r>
      <w:r w:rsidR="00612EFD" w:rsidRPr="00E82549">
        <w:rPr>
          <w:rFonts w:ascii="Arial" w:eastAsia="Calibri" w:hAnsi="Arial" w:cs="Arial"/>
          <w:bCs/>
          <w:color w:val="000000" w:themeColor="text1"/>
          <w:sz w:val="22"/>
          <w:lang w:val="es-CO"/>
        </w:rPr>
        <w:t>hizo</w:t>
      </w:r>
      <w:r w:rsidRPr="00E82549">
        <w:rPr>
          <w:rFonts w:ascii="Arial" w:eastAsia="Calibri" w:hAnsi="Arial" w:cs="Arial"/>
          <w:bCs/>
          <w:color w:val="000000" w:themeColor="text1"/>
          <w:sz w:val="22"/>
          <w:lang w:val="es-CO"/>
        </w:rPr>
        <w:t xml:space="preserve"> referencia a unas entidades en particular. Lo primero, en los conceptos </w:t>
      </w:r>
      <w:r w:rsidR="001923FE" w:rsidRPr="00E82549">
        <w:rPr>
          <w:rFonts w:ascii="Arial" w:eastAsia="Calibri" w:hAnsi="Arial" w:cs="Arial"/>
          <w:bCs/>
          <w:color w:val="000000" w:themeColor="text1"/>
          <w:sz w:val="22"/>
          <w:lang w:val="es-CO"/>
        </w:rPr>
        <w:t>del 19 de julio y del 16 y el 25 de septiembre de 2019 −radicados Nos. 2201913000005135, 2201913000006872 y 2201913000007091−</w:t>
      </w:r>
      <w:r w:rsidRPr="00E82549">
        <w:rPr>
          <w:rFonts w:ascii="Arial" w:eastAsia="Calibri" w:hAnsi="Arial" w:cs="Arial"/>
          <w:bCs/>
          <w:color w:val="000000" w:themeColor="text1"/>
          <w:sz w:val="22"/>
          <w:lang w:val="es-CO"/>
        </w:rPr>
        <w:t>, unificados en el concepto CU-</w:t>
      </w:r>
      <w:r w:rsidR="001923FE" w:rsidRPr="00E82549">
        <w:rPr>
          <w:rFonts w:ascii="Arial" w:eastAsia="Calibri" w:hAnsi="Arial" w:cs="Arial"/>
          <w:bCs/>
          <w:color w:val="000000" w:themeColor="text1"/>
          <w:sz w:val="22"/>
          <w:lang w:val="es-CO"/>
        </w:rPr>
        <w:t xml:space="preserve">003 de 2020, </w:t>
      </w:r>
      <w:r w:rsidR="008A664D" w:rsidRPr="00E82549">
        <w:rPr>
          <w:rFonts w:ascii="Arial" w:eastAsia="Calibri" w:hAnsi="Arial" w:cs="Arial"/>
          <w:bCs/>
          <w:color w:val="000000" w:themeColor="text1"/>
          <w:sz w:val="22"/>
          <w:lang w:val="es-CO"/>
        </w:rPr>
        <w:t>reiterado</w:t>
      </w:r>
      <w:r w:rsidR="00124702" w:rsidRPr="00E82549">
        <w:rPr>
          <w:rFonts w:ascii="Arial" w:eastAsia="Calibri" w:hAnsi="Arial" w:cs="Arial"/>
          <w:bCs/>
          <w:color w:val="000000" w:themeColor="text1"/>
          <w:sz w:val="22"/>
          <w:lang w:val="es-CO"/>
        </w:rPr>
        <w:t>,</w:t>
      </w:r>
      <w:r w:rsidR="008A664D" w:rsidRPr="00E82549">
        <w:rPr>
          <w:rFonts w:ascii="Arial" w:eastAsia="Calibri" w:hAnsi="Arial" w:cs="Arial"/>
          <w:bCs/>
          <w:color w:val="000000" w:themeColor="text1"/>
          <w:sz w:val="22"/>
          <w:lang w:val="es-CO"/>
        </w:rPr>
        <w:t xml:space="preserve"> </w:t>
      </w:r>
      <w:r w:rsidR="001923FE" w:rsidRPr="00E82549">
        <w:rPr>
          <w:rFonts w:ascii="Arial" w:eastAsia="Calibri" w:hAnsi="Arial" w:cs="Arial"/>
          <w:bCs/>
          <w:color w:val="000000" w:themeColor="text1"/>
          <w:sz w:val="22"/>
          <w:lang w:val="es-CO"/>
        </w:rPr>
        <w:t>recientemente</w:t>
      </w:r>
      <w:r w:rsidR="00124702" w:rsidRPr="00E82549">
        <w:rPr>
          <w:rFonts w:ascii="Arial" w:eastAsia="Calibri" w:hAnsi="Arial" w:cs="Arial"/>
          <w:bCs/>
          <w:color w:val="000000" w:themeColor="text1"/>
          <w:sz w:val="22"/>
          <w:lang w:val="es-CO"/>
        </w:rPr>
        <w:t>,</w:t>
      </w:r>
      <w:r w:rsidR="001923FE" w:rsidRPr="00E82549">
        <w:rPr>
          <w:rFonts w:ascii="Arial" w:eastAsia="Calibri" w:hAnsi="Arial" w:cs="Arial"/>
          <w:bCs/>
          <w:color w:val="000000" w:themeColor="text1"/>
          <w:sz w:val="22"/>
          <w:lang w:val="es-CO"/>
        </w:rPr>
        <w:t xml:space="preserve"> </w:t>
      </w:r>
      <w:r w:rsidR="00124702" w:rsidRPr="00E82549">
        <w:rPr>
          <w:rFonts w:ascii="Arial" w:eastAsia="Calibri" w:hAnsi="Arial" w:cs="Arial"/>
          <w:bCs/>
          <w:color w:val="000000" w:themeColor="text1"/>
          <w:sz w:val="22"/>
          <w:lang w:val="es-CO"/>
        </w:rPr>
        <w:t>mediante</w:t>
      </w:r>
      <w:r w:rsidR="001923FE" w:rsidRPr="00E82549">
        <w:rPr>
          <w:rFonts w:ascii="Arial" w:eastAsia="Calibri" w:hAnsi="Arial" w:cs="Arial"/>
          <w:bCs/>
          <w:color w:val="000000" w:themeColor="text1"/>
          <w:sz w:val="22"/>
          <w:lang w:val="es-CO"/>
        </w:rPr>
        <w:t xml:space="preserve"> los conceptos C-061, C-072, C-087, C-095, C-147, 197</w:t>
      </w:r>
      <w:r w:rsidR="00124702" w:rsidRPr="00E82549">
        <w:rPr>
          <w:rFonts w:ascii="Arial" w:eastAsia="Calibri" w:hAnsi="Arial" w:cs="Arial"/>
          <w:bCs/>
          <w:color w:val="000000" w:themeColor="text1"/>
          <w:sz w:val="22"/>
          <w:lang w:val="es-CO"/>
        </w:rPr>
        <w:t xml:space="preserve"> y </w:t>
      </w:r>
      <w:r w:rsidR="001923FE" w:rsidRPr="00E82549">
        <w:rPr>
          <w:rFonts w:ascii="Arial" w:eastAsia="Calibri" w:hAnsi="Arial" w:cs="Arial"/>
          <w:bCs/>
          <w:color w:val="000000" w:themeColor="text1"/>
          <w:sz w:val="22"/>
          <w:lang w:val="es-CO"/>
        </w:rPr>
        <w:t xml:space="preserve">C-206, entre otros. Lo segundo, en los conceptos del </w:t>
      </w:r>
      <w:r w:rsidR="008A664D" w:rsidRPr="00E82549">
        <w:rPr>
          <w:rFonts w:ascii="Arial" w:eastAsia="Calibri" w:hAnsi="Arial" w:cs="Arial"/>
          <w:bCs/>
          <w:color w:val="000000" w:themeColor="text1"/>
          <w:sz w:val="22"/>
          <w:lang w:val="es-CO"/>
        </w:rPr>
        <w:t xml:space="preserve">16 y el 21 de agosto, del 9 de septiembre, del 1 de noviembre y del </w:t>
      </w:r>
      <w:r w:rsidR="001923FE" w:rsidRPr="00E82549">
        <w:rPr>
          <w:rFonts w:ascii="Arial" w:eastAsia="Calibri" w:hAnsi="Arial" w:cs="Arial"/>
          <w:bCs/>
          <w:color w:val="000000" w:themeColor="text1"/>
          <w:sz w:val="22"/>
          <w:lang w:val="es-CO"/>
        </w:rPr>
        <w:t>20 de diciembre de 2019 −radicados Nos.</w:t>
      </w:r>
      <w:r w:rsidR="008A664D" w:rsidRPr="00E82549">
        <w:rPr>
          <w:rFonts w:ascii="Arial" w:eastAsia="Calibri" w:hAnsi="Arial" w:cs="Arial"/>
          <w:bCs/>
          <w:color w:val="000000" w:themeColor="text1"/>
          <w:sz w:val="22"/>
          <w:lang w:val="es-CO"/>
        </w:rPr>
        <w:t xml:space="preserve"> 2201913000005977, 2201913000006068, 2201913000006681, 2201913000008197 y </w:t>
      </w:r>
      <w:r w:rsidR="001923FE" w:rsidRPr="00E82549">
        <w:rPr>
          <w:rFonts w:ascii="Arial" w:eastAsia="Calibri" w:hAnsi="Arial" w:cs="Arial"/>
          <w:bCs/>
          <w:color w:val="000000" w:themeColor="text1"/>
          <w:sz w:val="22"/>
          <w:lang w:val="es-CO"/>
        </w:rPr>
        <w:t>2201913000009469</w:t>
      </w:r>
      <w:r w:rsidR="008A664D" w:rsidRPr="00E82549">
        <w:rPr>
          <w:rFonts w:ascii="Arial" w:eastAsia="Calibri" w:hAnsi="Arial" w:cs="Arial"/>
          <w:bCs/>
          <w:color w:val="000000" w:themeColor="text1"/>
          <w:sz w:val="22"/>
          <w:lang w:val="es-CO"/>
        </w:rPr>
        <w:t>−, así como en los conceptos</w:t>
      </w:r>
      <w:r w:rsidR="00124702" w:rsidRPr="00E82549">
        <w:rPr>
          <w:rFonts w:ascii="Arial" w:eastAsia="Calibri" w:hAnsi="Arial" w:cs="Arial"/>
          <w:bCs/>
          <w:color w:val="000000" w:themeColor="text1"/>
          <w:sz w:val="22"/>
          <w:lang w:val="es-CO"/>
        </w:rPr>
        <w:t xml:space="preserve"> C-088,</w:t>
      </w:r>
      <w:r w:rsidR="008A664D" w:rsidRPr="00E82549">
        <w:rPr>
          <w:rFonts w:ascii="Arial" w:eastAsia="Calibri" w:hAnsi="Arial" w:cs="Arial"/>
          <w:bCs/>
          <w:color w:val="000000" w:themeColor="text1"/>
          <w:sz w:val="22"/>
          <w:lang w:val="es-CO"/>
        </w:rPr>
        <w:t xml:space="preserve"> </w:t>
      </w:r>
      <w:r w:rsidR="00124702" w:rsidRPr="00E82549">
        <w:rPr>
          <w:rFonts w:ascii="Arial" w:eastAsia="Calibri" w:hAnsi="Arial" w:cs="Arial"/>
          <w:bCs/>
          <w:color w:val="000000" w:themeColor="text1"/>
          <w:sz w:val="22"/>
          <w:lang w:val="es-CO"/>
        </w:rPr>
        <w:t>C-116, C-151, C-181 y C-264, entre otros.</w:t>
      </w:r>
      <w:r w:rsidR="001923FE" w:rsidRPr="00E82549">
        <w:rPr>
          <w:rFonts w:ascii="Arial" w:eastAsia="Calibri" w:hAnsi="Arial" w:cs="Arial"/>
          <w:bCs/>
          <w:color w:val="000000" w:themeColor="text1"/>
          <w:sz w:val="22"/>
          <w:lang w:val="es-CO"/>
        </w:rPr>
        <w:t xml:space="preserve"> Las tesis propuestas se exponen y reiteran en </w:t>
      </w:r>
      <w:r w:rsidR="00124702" w:rsidRPr="00E82549">
        <w:rPr>
          <w:rFonts w:ascii="Arial" w:eastAsia="Calibri" w:hAnsi="Arial" w:cs="Arial"/>
          <w:bCs/>
          <w:color w:val="000000" w:themeColor="text1"/>
          <w:sz w:val="22"/>
          <w:lang w:val="es-CO"/>
        </w:rPr>
        <w:t>este</w:t>
      </w:r>
      <w:r w:rsidR="001923FE" w:rsidRPr="00E82549">
        <w:rPr>
          <w:rFonts w:ascii="Arial" w:eastAsia="Calibri" w:hAnsi="Arial" w:cs="Arial"/>
          <w:bCs/>
          <w:color w:val="000000" w:themeColor="text1"/>
          <w:sz w:val="22"/>
          <w:lang w:val="es-CO"/>
        </w:rPr>
        <w:t xml:space="preserve"> numeral.</w:t>
      </w:r>
    </w:p>
    <w:p w14:paraId="35038721" w14:textId="77777777" w:rsidR="00EE0AFC" w:rsidRPr="00E82549" w:rsidRDefault="00EE0AFC" w:rsidP="00EE0AFC">
      <w:pPr>
        <w:spacing w:line="276" w:lineRule="auto"/>
        <w:jc w:val="both"/>
        <w:rPr>
          <w:rFonts w:ascii="Arial" w:eastAsia="Calibri" w:hAnsi="Arial" w:cs="Arial"/>
          <w:bCs/>
          <w:color w:val="000000" w:themeColor="text1"/>
          <w:sz w:val="22"/>
          <w:lang w:val="es-CO"/>
        </w:rPr>
      </w:pPr>
    </w:p>
    <w:p w14:paraId="61F3595B" w14:textId="576663C4" w:rsidR="00593FCA" w:rsidRPr="00E82549" w:rsidRDefault="00593FCA" w:rsidP="00FB6D4E">
      <w:pPr>
        <w:pStyle w:val="Prrafodelista"/>
        <w:numPr>
          <w:ilvl w:val="0"/>
          <w:numId w:val="8"/>
        </w:numPr>
        <w:tabs>
          <w:tab w:val="left" w:pos="993"/>
        </w:tabs>
        <w:spacing w:line="276" w:lineRule="auto"/>
        <w:ind w:left="0" w:firstLine="709"/>
        <w:jc w:val="both"/>
        <w:rPr>
          <w:rFonts w:ascii="Arial" w:eastAsia="Calibri" w:hAnsi="Arial" w:cs="Arial"/>
          <w:bCs/>
          <w:color w:val="000000" w:themeColor="text1"/>
          <w:sz w:val="22"/>
          <w:lang w:val="es-CO"/>
        </w:rPr>
      </w:pPr>
      <w:r w:rsidRPr="00E82549">
        <w:rPr>
          <w:rFonts w:ascii="Arial" w:eastAsia="Calibri" w:hAnsi="Arial" w:cs="Arial"/>
          <w:bCs/>
          <w:color w:val="000000" w:themeColor="text1"/>
          <w:sz w:val="22"/>
          <w:lang w:val="es-CO"/>
        </w:rPr>
        <w:t xml:space="preserve">En el concepto del 19 de julio de 2019, la Subdirección de Gestión Contractual consideró que la normativa vigente, señalada en el numeral 2.1. </w:t>
      </w:r>
      <w:r w:rsidRPr="00E82549">
        <w:rPr>
          <w:rFonts w:ascii="Arial" w:eastAsia="Calibri" w:hAnsi="Arial" w:cs="Arial"/>
          <w:bCs/>
          <w:i/>
          <w:iCs/>
          <w:color w:val="000000" w:themeColor="text1"/>
          <w:sz w:val="22"/>
          <w:lang w:val="es-CO"/>
        </w:rPr>
        <w:t>supra</w:t>
      </w:r>
      <w:r w:rsidRPr="00E82549">
        <w:rPr>
          <w:rFonts w:ascii="Arial" w:eastAsia="Calibri" w:hAnsi="Arial" w:cs="Arial"/>
          <w:bCs/>
          <w:color w:val="000000" w:themeColor="text1"/>
          <w:sz w:val="22"/>
          <w:lang w:val="es-CO"/>
        </w:rPr>
        <w:t xml:space="preserve">, «establece que el SECOP contará con la información oficial de la contratación realizada con dineros públicos por la Entidades Estatales, independientemente del régimen jurídico aplicable, la naturaleza jurídica, o la pertenencia a una u otra rama del poder público». Igualmente, aseguró que «las entidades de régimen especial están obligadas a publicar en el SECOP la información resultante de su actividad contractual en todas sus fases, </w:t>
      </w:r>
      <w:r w:rsidRPr="00E82549">
        <w:rPr>
          <w:rFonts w:ascii="Arial" w:eastAsia="Calibri" w:hAnsi="Arial" w:cs="Arial"/>
          <w:bCs/>
          <w:i/>
          <w:iCs/>
          <w:color w:val="000000" w:themeColor="text1"/>
          <w:sz w:val="22"/>
          <w:lang w:val="es-CO"/>
        </w:rPr>
        <w:t>siempre que ejecuten recursos públicos</w:t>
      </w:r>
      <w:r w:rsidRPr="00E82549">
        <w:rPr>
          <w:rFonts w:ascii="Arial" w:eastAsia="Calibri" w:hAnsi="Arial" w:cs="Arial"/>
          <w:bCs/>
          <w:color w:val="000000" w:themeColor="text1"/>
          <w:sz w:val="22"/>
          <w:lang w:val="es-CO"/>
        </w:rPr>
        <w:t xml:space="preserve">» «cursivas propias». Este criterio fue reiterado en </w:t>
      </w:r>
      <w:r w:rsidR="000C1BA0" w:rsidRPr="00E82549">
        <w:rPr>
          <w:rFonts w:ascii="Arial" w:eastAsia="Calibri" w:hAnsi="Arial" w:cs="Arial"/>
          <w:bCs/>
          <w:color w:val="000000" w:themeColor="text1"/>
          <w:sz w:val="22"/>
          <w:lang w:val="es-CO"/>
        </w:rPr>
        <w:t>los</w:t>
      </w:r>
      <w:r w:rsidRPr="00E82549">
        <w:rPr>
          <w:rFonts w:ascii="Arial" w:eastAsia="Calibri" w:hAnsi="Arial" w:cs="Arial"/>
          <w:bCs/>
          <w:color w:val="000000" w:themeColor="text1"/>
          <w:sz w:val="22"/>
          <w:lang w:val="es-CO"/>
        </w:rPr>
        <w:t xml:space="preserve"> concepto</w:t>
      </w:r>
      <w:r w:rsidR="000C1BA0" w:rsidRPr="00E82549">
        <w:rPr>
          <w:rFonts w:ascii="Arial" w:eastAsia="Calibri" w:hAnsi="Arial" w:cs="Arial"/>
          <w:bCs/>
          <w:color w:val="000000" w:themeColor="text1"/>
          <w:sz w:val="22"/>
          <w:lang w:val="es-CO"/>
        </w:rPr>
        <w:t>s</w:t>
      </w:r>
      <w:r w:rsidRPr="00E82549">
        <w:rPr>
          <w:rFonts w:ascii="Arial" w:eastAsia="Calibri" w:hAnsi="Arial" w:cs="Arial"/>
          <w:bCs/>
          <w:color w:val="000000" w:themeColor="text1"/>
          <w:sz w:val="22"/>
          <w:lang w:val="es-CO"/>
        </w:rPr>
        <w:t xml:space="preserve"> del </w:t>
      </w:r>
      <w:r w:rsidR="000C1BA0" w:rsidRPr="00E82549">
        <w:rPr>
          <w:rFonts w:ascii="Arial" w:eastAsia="Calibri" w:hAnsi="Arial" w:cs="Arial"/>
          <w:bCs/>
          <w:color w:val="000000" w:themeColor="text1"/>
          <w:sz w:val="22"/>
          <w:lang w:val="es-CO"/>
        </w:rPr>
        <w:t xml:space="preserve">16 y el 25 de septiembre de 2019. En aquel </w:t>
      </w:r>
      <w:r w:rsidRPr="00E82549">
        <w:rPr>
          <w:rFonts w:ascii="Arial" w:eastAsia="Calibri" w:hAnsi="Arial" w:cs="Arial"/>
          <w:bCs/>
          <w:color w:val="000000" w:themeColor="text1"/>
          <w:sz w:val="22"/>
          <w:lang w:val="es-CO"/>
        </w:rPr>
        <w:t>se afirmó</w:t>
      </w:r>
      <w:r w:rsidR="000C1BA0" w:rsidRPr="00E82549">
        <w:rPr>
          <w:rFonts w:ascii="Arial" w:eastAsia="Calibri" w:hAnsi="Arial" w:cs="Arial"/>
          <w:bCs/>
          <w:color w:val="000000" w:themeColor="text1"/>
          <w:sz w:val="22"/>
          <w:lang w:val="es-CO"/>
        </w:rPr>
        <w:t xml:space="preserve"> que, «independientemente de la </w:t>
      </w:r>
      <w:r w:rsidR="00331554" w:rsidRPr="00E82549">
        <w:rPr>
          <w:rFonts w:ascii="Arial" w:eastAsia="Calibri" w:hAnsi="Arial" w:cs="Arial"/>
          <w:bCs/>
          <w:color w:val="000000" w:themeColor="text1"/>
          <w:sz w:val="22"/>
          <w:lang w:val="es-CO"/>
        </w:rPr>
        <w:t>naturaleza o el régimen jurídico</w:t>
      </w:r>
      <w:r w:rsidR="000C1BA0" w:rsidRPr="00E82549">
        <w:rPr>
          <w:rFonts w:ascii="Arial" w:eastAsia="Calibri" w:hAnsi="Arial" w:cs="Arial"/>
          <w:bCs/>
          <w:color w:val="000000" w:themeColor="text1"/>
          <w:sz w:val="22"/>
          <w:lang w:val="es-CO"/>
        </w:rPr>
        <w:t xml:space="preserve"> aplicable a la entidad, </w:t>
      </w:r>
      <w:r w:rsidR="000C1BA0" w:rsidRPr="00E82549">
        <w:rPr>
          <w:rFonts w:ascii="Arial" w:eastAsia="Calibri" w:hAnsi="Arial" w:cs="Arial"/>
          <w:bCs/>
          <w:i/>
          <w:iCs/>
          <w:color w:val="000000" w:themeColor="text1"/>
          <w:sz w:val="22"/>
          <w:lang w:val="es-CO"/>
        </w:rPr>
        <w:t>cuando ésta ejecute recursos de origen público</w:t>
      </w:r>
      <w:r w:rsidR="000C1BA0" w:rsidRPr="00E82549">
        <w:rPr>
          <w:rFonts w:ascii="Arial" w:eastAsia="Calibri" w:hAnsi="Arial" w:cs="Arial"/>
          <w:bCs/>
          <w:color w:val="000000" w:themeColor="text1"/>
          <w:sz w:val="22"/>
          <w:lang w:val="es-CO"/>
        </w:rPr>
        <w:t xml:space="preserve"> tienen la obligación publicar su actividad contractual en el Sistema Electrónico para la Contratación Pública» «cursivas propias».</w:t>
      </w:r>
    </w:p>
    <w:p w14:paraId="4D9EA5D7" w14:textId="2EA61D9B" w:rsidR="000D09E9" w:rsidRPr="00E82549" w:rsidRDefault="00437459" w:rsidP="00437459">
      <w:pPr>
        <w:spacing w:before="120" w:line="276" w:lineRule="auto"/>
        <w:ind w:firstLine="709"/>
        <w:jc w:val="both"/>
        <w:rPr>
          <w:rFonts w:ascii="Arial" w:hAnsi="Arial" w:cs="Arial"/>
          <w:color w:val="000000" w:themeColor="text1"/>
          <w:sz w:val="22"/>
          <w:lang w:val="es-CO"/>
        </w:rPr>
      </w:pPr>
      <w:r w:rsidRPr="00E82549">
        <w:rPr>
          <w:rFonts w:ascii="Arial" w:hAnsi="Arial" w:cs="Arial"/>
          <w:color w:val="000000" w:themeColor="text1"/>
          <w:sz w:val="22"/>
          <w:lang w:val="es-CO"/>
        </w:rPr>
        <w:t>A través del</w:t>
      </w:r>
      <w:r w:rsidR="00E65E97" w:rsidRPr="00E82549">
        <w:rPr>
          <w:rFonts w:ascii="Arial" w:hAnsi="Arial" w:cs="Arial"/>
          <w:color w:val="000000" w:themeColor="text1"/>
          <w:sz w:val="22"/>
          <w:lang w:val="es-CO"/>
        </w:rPr>
        <w:t xml:space="preserve"> concepto unificado 003 </w:t>
      </w:r>
      <w:r w:rsidRPr="00E82549">
        <w:rPr>
          <w:rFonts w:ascii="Arial" w:hAnsi="Arial" w:cs="Arial"/>
          <w:color w:val="000000" w:themeColor="text1"/>
          <w:sz w:val="22"/>
          <w:lang w:val="es-CO"/>
        </w:rPr>
        <w:t>de</w:t>
      </w:r>
      <w:r w:rsidR="00E65E97" w:rsidRPr="00E82549">
        <w:rPr>
          <w:rFonts w:ascii="Arial" w:hAnsi="Arial" w:cs="Arial"/>
          <w:color w:val="000000" w:themeColor="text1"/>
          <w:sz w:val="22"/>
          <w:lang w:val="es-CO"/>
        </w:rPr>
        <w:t xml:space="preserve"> 2020, </w:t>
      </w:r>
      <w:r w:rsidRPr="00E82549">
        <w:rPr>
          <w:rFonts w:ascii="Arial" w:hAnsi="Arial" w:cs="Arial"/>
          <w:color w:val="000000" w:themeColor="text1"/>
          <w:sz w:val="22"/>
          <w:lang w:val="es-CO"/>
        </w:rPr>
        <w:t xml:space="preserve">esta Subdirección </w:t>
      </w:r>
      <w:r w:rsidR="00E65E97" w:rsidRPr="00E82549">
        <w:rPr>
          <w:rFonts w:ascii="Arial" w:hAnsi="Arial" w:cs="Arial"/>
          <w:color w:val="000000" w:themeColor="text1"/>
          <w:sz w:val="22"/>
          <w:lang w:val="es-CO"/>
        </w:rPr>
        <w:t>consideró que e</w:t>
      </w:r>
      <w:r w:rsidR="000D09E9" w:rsidRPr="00E82549">
        <w:rPr>
          <w:rFonts w:ascii="Arial" w:hAnsi="Arial" w:cs="Arial"/>
          <w:color w:val="000000" w:themeColor="text1"/>
          <w:sz w:val="22"/>
          <w:lang w:val="es-CO"/>
        </w:rPr>
        <w:t xml:space="preserve">l debate sobre la obligatoriedad o no de publicar en el SECOP, para las entidades con régimen especial de contratación, ya fue definido, al menos de manera preliminar, por el </w:t>
      </w:r>
      <w:r w:rsidR="000D09E9" w:rsidRPr="00E82549">
        <w:rPr>
          <w:rFonts w:ascii="Arial" w:hAnsi="Arial" w:cs="Arial"/>
          <w:color w:val="000000" w:themeColor="text1"/>
          <w:sz w:val="22"/>
          <w:lang w:val="es-CO"/>
        </w:rPr>
        <w:lastRenderedPageBreak/>
        <w:t xml:space="preserve">Consejo de Estado. </w:t>
      </w:r>
      <w:r w:rsidR="003E7BB5" w:rsidRPr="00E82549">
        <w:rPr>
          <w:rFonts w:ascii="Arial" w:hAnsi="Arial" w:cs="Arial"/>
          <w:color w:val="000000" w:themeColor="text1"/>
          <w:sz w:val="22"/>
          <w:lang w:val="es-CO"/>
        </w:rPr>
        <w:t>En efecto, l</w:t>
      </w:r>
      <w:r w:rsidR="000D09E9" w:rsidRPr="00E82549">
        <w:rPr>
          <w:rFonts w:ascii="Arial" w:hAnsi="Arial" w:cs="Arial"/>
          <w:color w:val="000000" w:themeColor="text1"/>
          <w:sz w:val="22"/>
          <w:lang w:val="es-CO"/>
        </w:rPr>
        <w:t>a Sección Tercera, Subsección C, en el Auto del 14 de agosto de 2017, Consejero Ponente Jaime Orlando Santofimio Gamboa, expresó que la obligación prevista en la Circular Externa No. 1 se ajusta a la normativa superior:</w:t>
      </w:r>
    </w:p>
    <w:p w14:paraId="5A4D1693" w14:textId="77777777" w:rsidR="000D09E9" w:rsidRPr="00E82549" w:rsidRDefault="000D09E9" w:rsidP="00437459">
      <w:pPr>
        <w:spacing w:line="276" w:lineRule="auto"/>
        <w:jc w:val="both"/>
        <w:rPr>
          <w:rFonts w:ascii="Arial" w:hAnsi="Arial" w:cs="Arial"/>
          <w:color w:val="000000" w:themeColor="text1"/>
          <w:sz w:val="22"/>
          <w:lang w:val="es-CO"/>
        </w:rPr>
      </w:pPr>
    </w:p>
    <w:p w14:paraId="5A67EDB4" w14:textId="77777777" w:rsidR="000D09E9" w:rsidRPr="00E82549" w:rsidRDefault="000D09E9" w:rsidP="00437459">
      <w:pPr>
        <w:tabs>
          <w:tab w:val="left" w:pos="3885"/>
        </w:tabs>
        <w:ind w:left="709" w:right="709"/>
        <w:jc w:val="both"/>
        <w:rPr>
          <w:rFonts w:ascii="Arial" w:hAnsi="Arial" w:cs="Arial"/>
          <w:color w:val="000000" w:themeColor="text1"/>
          <w:sz w:val="21"/>
          <w:szCs w:val="21"/>
          <w:lang w:val="es-CO"/>
        </w:rPr>
      </w:pPr>
      <w:r w:rsidRPr="00E82549">
        <w:rPr>
          <w:rFonts w:ascii="Arial" w:hAnsi="Arial" w:cs="Arial"/>
          <w:color w:val="000000" w:themeColor="text1"/>
          <w:sz w:val="21"/>
          <w:szCs w:val="21"/>
          <w:lang w:val="es-CO"/>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6016E63C" w14:textId="77777777" w:rsidR="000D09E9" w:rsidRPr="00E82549" w:rsidRDefault="000D09E9" w:rsidP="00437459">
      <w:pPr>
        <w:tabs>
          <w:tab w:val="left" w:pos="3885"/>
        </w:tabs>
        <w:ind w:left="709" w:right="709"/>
        <w:jc w:val="both"/>
        <w:rPr>
          <w:rFonts w:ascii="Arial" w:hAnsi="Arial" w:cs="Arial"/>
          <w:color w:val="000000" w:themeColor="text1"/>
          <w:sz w:val="21"/>
          <w:szCs w:val="21"/>
          <w:lang w:val="es-CO"/>
        </w:rPr>
      </w:pPr>
    </w:p>
    <w:p w14:paraId="698B6F73" w14:textId="77777777" w:rsidR="000D09E9" w:rsidRPr="00E82549" w:rsidRDefault="000D09E9" w:rsidP="00437459">
      <w:pPr>
        <w:tabs>
          <w:tab w:val="left" w:pos="3885"/>
        </w:tabs>
        <w:ind w:left="709" w:right="709"/>
        <w:jc w:val="both"/>
        <w:rPr>
          <w:rFonts w:ascii="Arial" w:hAnsi="Arial" w:cs="Arial"/>
          <w:color w:val="000000" w:themeColor="text1"/>
          <w:sz w:val="21"/>
          <w:szCs w:val="21"/>
          <w:lang w:val="es-CO"/>
        </w:rPr>
      </w:pPr>
      <w:r w:rsidRPr="00E82549">
        <w:rPr>
          <w:rFonts w:ascii="Arial" w:hAnsi="Arial" w:cs="Arial"/>
          <w:color w:val="000000" w:themeColor="text1"/>
          <w:sz w:val="21"/>
          <w:szCs w:val="21"/>
          <w:lang w:val="es-CO"/>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E82549">
        <w:rPr>
          <w:rFonts w:ascii="Arial" w:hAnsi="Arial" w:cs="Arial"/>
          <w:color w:val="000000" w:themeColor="text1"/>
          <w:sz w:val="21"/>
          <w:szCs w:val="21"/>
          <w:lang w:val="es-CO"/>
        </w:rPr>
        <w:t>en razón de</w:t>
      </w:r>
      <w:proofErr w:type="gramEnd"/>
      <w:r w:rsidRPr="00E82549">
        <w:rPr>
          <w:rFonts w:ascii="Arial" w:hAnsi="Arial" w:cs="Arial"/>
          <w:color w:val="000000" w:themeColor="text1"/>
          <w:sz w:val="21"/>
          <w:szCs w:val="21"/>
          <w:lang w:val="es-CO"/>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253F7EF2" w14:textId="77777777" w:rsidR="000D09E9" w:rsidRPr="00E82549" w:rsidRDefault="000D09E9" w:rsidP="00437459">
      <w:pPr>
        <w:tabs>
          <w:tab w:val="left" w:pos="3885"/>
        </w:tabs>
        <w:ind w:left="709" w:right="709"/>
        <w:jc w:val="both"/>
        <w:rPr>
          <w:rFonts w:ascii="Arial" w:hAnsi="Arial" w:cs="Arial"/>
          <w:color w:val="000000" w:themeColor="text1"/>
          <w:sz w:val="21"/>
          <w:szCs w:val="21"/>
          <w:lang w:val="es-CO"/>
        </w:rPr>
      </w:pPr>
      <w:r w:rsidRPr="00E82549">
        <w:rPr>
          <w:rFonts w:ascii="Arial" w:hAnsi="Arial" w:cs="Arial"/>
          <w:color w:val="000000" w:themeColor="text1"/>
          <w:sz w:val="21"/>
          <w:szCs w:val="21"/>
          <w:lang w:val="es-CO"/>
        </w:rPr>
        <w:t>[…]</w:t>
      </w:r>
    </w:p>
    <w:p w14:paraId="0FF5E089" w14:textId="77777777" w:rsidR="000D09E9" w:rsidRPr="00E82549" w:rsidRDefault="000D09E9" w:rsidP="00437459">
      <w:pPr>
        <w:tabs>
          <w:tab w:val="left" w:pos="3885"/>
        </w:tabs>
        <w:ind w:left="709" w:right="709"/>
        <w:jc w:val="both"/>
        <w:rPr>
          <w:rFonts w:ascii="Arial" w:hAnsi="Arial" w:cs="Arial"/>
          <w:color w:val="000000" w:themeColor="text1"/>
          <w:sz w:val="21"/>
          <w:szCs w:val="21"/>
          <w:lang w:val="es-CO"/>
        </w:rPr>
      </w:pPr>
    </w:p>
    <w:p w14:paraId="66B39A58" w14:textId="77777777" w:rsidR="000D09E9" w:rsidRPr="00E82549" w:rsidRDefault="000D09E9" w:rsidP="00437459">
      <w:pPr>
        <w:tabs>
          <w:tab w:val="left" w:pos="3885"/>
        </w:tabs>
        <w:ind w:left="709" w:right="709"/>
        <w:jc w:val="both"/>
        <w:rPr>
          <w:rFonts w:ascii="Arial" w:hAnsi="Arial" w:cs="Arial"/>
          <w:color w:val="000000" w:themeColor="text1"/>
          <w:sz w:val="21"/>
          <w:szCs w:val="21"/>
          <w:lang w:val="es-CO"/>
        </w:rPr>
      </w:pPr>
      <w:r w:rsidRPr="00E82549">
        <w:rPr>
          <w:rFonts w:ascii="Arial" w:hAnsi="Arial" w:cs="Arial"/>
          <w:color w:val="000000" w:themeColor="text1"/>
          <w:sz w:val="21"/>
          <w:szCs w:val="21"/>
          <w:lang w:val="es-CO"/>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E82549">
        <w:rPr>
          <w:rStyle w:val="Refdenotaalpie"/>
          <w:rFonts w:ascii="Arial" w:hAnsi="Arial" w:cs="Arial"/>
          <w:color w:val="000000" w:themeColor="text1"/>
          <w:sz w:val="21"/>
          <w:szCs w:val="21"/>
          <w:lang w:val="es-CO"/>
        </w:rPr>
        <w:footnoteReference w:id="7"/>
      </w:r>
      <w:r w:rsidRPr="00E82549">
        <w:rPr>
          <w:rStyle w:val="Refdenotaalpie"/>
          <w:rFonts w:ascii="Arial" w:hAnsi="Arial" w:cs="Arial"/>
          <w:color w:val="000000" w:themeColor="text1"/>
          <w:sz w:val="21"/>
          <w:szCs w:val="21"/>
          <w:lang w:val="es-CO"/>
        </w:rPr>
        <w:t>.</w:t>
      </w:r>
    </w:p>
    <w:p w14:paraId="1335131D" w14:textId="77777777" w:rsidR="000D09E9" w:rsidRPr="00E82549" w:rsidRDefault="000D09E9" w:rsidP="00437459">
      <w:pPr>
        <w:tabs>
          <w:tab w:val="left" w:pos="3885"/>
        </w:tabs>
        <w:spacing w:line="276" w:lineRule="auto"/>
        <w:ind w:left="709" w:right="709"/>
        <w:jc w:val="both"/>
        <w:rPr>
          <w:rFonts w:ascii="Arial" w:eastAsia="Calibri" w:hAnsi="Arial" w:cs="Arial"/>
          <w:color w:val="000000" w:themeColor="text1"/>
          <w:sz w:val="22"/>
          <w:lang w:val="es-CO"/>
        </w:rPr>
      </w:pPr>
    </w:p>
    <w:p w14:paraId="762AFDA6" w14:textId="00425AC2" w:rsidR="000D09E9" w:rsidRPr="00E82549" w:rsidRDefault="000D09E9" w:rsidP="000362F9">
      <w:pPr>
        <w:spacing w:line="276" w:lineRule="auto"/>
        <w:ind w:firstLine="709"/>
        <w:jc w:val="both"/>
        <w:rPr>
          <w:rFonts w:ascii="Arial" w:hAnsi="Arial" w:cs="Arial"/>
          <w:color w:val="000000" w:themeColor="text1"/>
          <w:sz w:val="22"/>
          <w:lang w:val="es-CO"/>
        </w:rPr>
      </w:pPr>
      <w:r w:rsidRPr="00E82549">
        <w:rPr>
          <w:rFonts w:ascii="Arial" w:hAnsi="Arial" w:cs="Arial"/>
          <w:color w:val="000000" w:themeColor="text1"/>
          <w:sz w:val="22"/>
          <w:lang w:val="es-CO"/>
        </w:rPr>
        <w:t xml:space="preserve">Adicionalmente, el deber de hacer pública la información contractual oficial no se determina por la naturaleza de la entidad ejecutora </w:t>
      </w:r>
      <w:r w:rsidR="00E65E97" w:rsidRPr="00E82549">
        <w:rPr>
          <w:rFonts w:ascii="Arial" w:hAnsi="Arial" w:cs="Arial"/>
          <w:color w:val="000000" w:themeColor="text1"/>
          <w:sz w:val="22"/>
          <w:lang w:val="es-CO"/>
        </w:rPr>
        <w:t>−</w:t>
      </w:r>
      <w:r w:rsidRPr="00E82549">
        <w:rPr>
          <w:rFonts w:ascii="Arial" w:hAnsi="Arial" w:cs="Arial"/>
          <w:color w:val="000000" w:themeColor="text1"/>
          <w:sz w:val="22"/>
          <w:lang w:val="es-CO"/>
        </w:rPr>
        <w:t>pública o privada</w:t>
      </w:r>
      <w:r w:rsidR="00E65E97" w:rsidRPr="00E82549">
        <w:rPr>
          <w:rFonts w:ascii="Arial" w:hAnsi="Arial" w:cs="Arial"/>
          <w:color w:val="000000" w:themeColor="text1"/>
          <w:sz w:val="22"/>
          <w:lang w:val="es-CO"/>
        </w:rPr>
        <w:t>−</w:t>
      </w:r>
      <w:r w:rsidRPr="00E82549">
        <w:rPr>
          <w:rFonts w:ascii="Arial" w:hAnsi="Arial" w:cs="Arial"/>
          <w:color w:val="000000" w:themeColor="text1"/>
          <w:sz w:val="22"/>
          <w:lang w:val="es-CO"/>
        </w:rPr>
        <w:t xml:space="preserve">, ni del régimen sustantivo contractual que aplique, sea de la Ley 80 de 1993 o de los regímenes exceptuados. En particular, sobre el deber de publicidad de estos, el Consejo de Estado sostuvo: </w:t>
      </w:r>
    </w:p>
    <w:p w14:paraId="6A51B965" w14:textId="77777777" w:rsidR="000D09E9" w:rsidRPr="00E82549" w:rsidRDefault="000D09E9" w:rsidP="000D09E9">
      <w:pPr>
        <w:ind w:leftChars="709" w:left="1702" w:right="709" w:firstLine="2"/>
        <w:rPr>
          <w:rFonts w:ascii="Arial" w:hAnsi="Arial" w:cs="Arial"/>
          <w:color w:val="000000" w:themeColor="text1"/>
          <w:sz w:val="21"/>
          <w:szCs w:val="21"/>
          <w:lang w:val="es-CO"/>
        </w:rPr>
      </w:pPr>
    </w:p>
    <w:p w14:paraId="5C424DB4" w14:textId="77777777" w:rsidR="000D09E9" w:rsidRPr="00E82549" w:rsidRDefault="000D09E9" w:rsidP="00437459">
      <w:pPr>
        <w:ind w:leftChars="295" w:left="708" w:right="709"/>
        <w:jc w:val="both"/>
        <w:rPr>
          <w:rFonts w:ascii="Arial" w:hAnsi="Arial" w:cs="Arial"/>
          <w:color w:val="000000" w:themeColor="text1"/>
          <w:sz w:val="21"/>
          <w:szCs w:val="21"/>
          <w:lang w:val="es-CO"/>
        </w:rPr>
      </w:pPr>
      <w:r w:rsidRPr="00E82549">
        <w:rPr>
          <w:rFonts w:ascii="Arial" w:hAnsi="Arial" w:cs="Arial"/>
          <w:color w:val="000000" w:themeColor="text1"/>
          <w:sz w:val="21"/>
          <w:szCs w:val="21"/>
          <w:lang w:val="es-CO"/>
        </w:rPr>
        <w:t xml:space="preserve">Por consiguiente, otra conclusión natural de lo que se viene de decir es que la exigibilidad prevista en el literal c) del artículo 3° de la Ley 1150 de 2007 y aquella reflejada en la Circular Externa sobre deber de informar no alteran ni </w:t>
      </w:r>
      <w:r w:rsidRPr="00E82549">
        <w:rPr>
          <w:rFonts w:ascii="Arial" w:hAnsi="Arial" w:cs="Arial"/>
          <w:color w:val="000000" w:themeColor="text1"/>
          <w:sz w:val="21"/>
          <w:szCs w:val="21"/>
          <w:lang w:val="es-CO"/>
        </w:rPr>
        <w:lastRenderedPageBreak/>
        <w:t>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76ABCF73" w14:textId="77777777" w:rsidR="000D09E9" w:rsidRPr="00E82549" w:rsidRDefault="000D09E9" w:rsidP="000D09E9">
      <w:pPr>
        <w:spacing w:line="276" w:lineRule="auto"/>
        <w:ind w:leftChars="709" w:left="1702" w:right="709"/>
        <w:rPr>
          <w:rFonts w:ascii="Arial" w:hAnsi="Arial" w:cs="Arial"/>
          <w:color w:val="000000" w:themeColor="text1"/>
          <w:sz w:val="21"/>
          <w:szCs w:val="21"/>
          <w:lang w:val="es-CO"/>
        </w:rPr>
      </w:pPr>
    </w:p>
    <w:p w14:paraId="38425F8C" w14:textId="77777777" w:rsidR="000D09E9" w:rsidRPr="00E82549" w:rsidRDefault="000D09E9" w:rsidP="000362F9">
      <w:pPr>
        <w:spacing w:line="276" w:lineRule="auto"/>
        <w:ind w:firstLine="709"/>
        <w:jc w:val="both"/>
        <w:rPr>
          <w:rFonts w:ascii="Arial" w:hAnsi="Arial" w:cs="Arial"/>
          <w:color w:val="000000" w:themeColor="text1"/>
          <w:sz w:val="22"/>
          <w:lang w:val="es-CO"/>
        </w:rPr>
      </w:pPr>
      <w:r w:rsidRPr="00E82549">
        <w:rPr>
          <w:rFonts w:ascii="Arial" w:hAnsi="Arial" w:cs="Arial"/>
          <w:color w:val="000000" w:themeColor="text1"/>
          <w:sz w:val="22"/>
          <w:lang w:val="es-CO"/>
        </w:rPr>
        <w:t xml:space="preserve">Nótese, entonces, que el Consejo de Estado asumió como criterio para determinar la obligatoriedad de publicar en el SECOP que la contratación se haga con recursos públicos, conclusión que la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046C6656" w14:textId="54931034" w:rsidR="000D09E9" w:rsidRPr="00E82549" w:rsidRDefault="00FB6D4E" w:rsidP="00E9406F">
      <w:pPr>
        <w:spacing w:before="120" w:line="276" w:lineRule="auto"/>
        <w:ind w:firstLine="709"/>
        <w:jc w:val="both"/>
        <w:rPr>
          <w:rFonts w:ascii="Arial" w:eastAsia="Calibri" w:hAnsi="Arial" w:cs="Arial"/>
          <w:bCs/>
          <w:color w:val="000000" w:themeColor="text1"/>
          <w:sz w:val="22"/>
          <w:lang w:val="es-CO"/>
        </w:rPr>
      </w:pPr>
      <w:r w:rsidRPr="00E82549">
        <w:rPr>
          <w:rFonts w:ascii="Arial" w:hAnsi="Arial" w:cs="Arial"/>
          <w:color w:val="000000" w:themeColor="text1"/>
          <w:sz w:val="22"/>
          <w:lang w:val="es-CO"/>
        </w:rPr>
        <w:t xml:space="preserve">Posteriormente, en los conceptos </w:t>
      </w:r>
      <w:r w:rsidRPr="00E82549">
        <w:rPr>
          <w:rFonts w:ascii="Arial" w:eastAsia="Calibri" w:hAnsi="Arial" w:cs="Arial"/>
          <w:bCs/>
          <w:color w:val="000000" w:themeColor="text1"/>
          <w:sz w:val="22"/>
          <w:lang w:val="es-CO"/>
        </w:rPr>
        <w:t xml:space="preserve">C-061, C-072, C-087, C-095, C-147, 197 y C-206 de 2020, la Agencia Nacional de Contratación Pública </w:t>
      </w:r>
      <w:r w:rsidR="00E9406F" w:rsidRPr="00E82549">
        <w:rPr>
          <w:rFonts w:ascii="Arial" w:eastAsia="Calibri" w:hAnsi="Arial" w:cs="Arial"/>
          <w:bCs/>
          <w:color w:val="000000" w:themeColor="text1"/>
          <w:sz w:val="22"/>
          <w:lang w:val="es-CO"/>
        </w:rPr>
        <w:t>reiteró tales consideraciones. Concluyó, además, que «dentro de las razones que consideró el máximo tribunal de lo contencioso administrativo no tuvo en cuenta razones de orden fáctico como las planteadas en la solicitud, relativas a las responsabilidades de las entidades o su posible afectación en la competitividad para aquellas que operan en diferentes mercados. La razón relevante es que si la entidad contrata con dineros públicos debe publicar su proceso de contratación en el SECOP».</w:t>
      </w:r>
    </w:p>
    <w:p w14:paraId="0812D63E" w14:textId="77777777" w:rsidR="00EE0AFC" w:rsidRPr="00E82549" w:rsidRDefault="00EE0AFC" w:rsidP="00E9406F">
      <w:pPr>
        <w:spacing w:line="276" w:lineRule="auto"/>
        <w:jc w:val="both"/>
        <w:rPr>
          <w:rFonts w:ascii="Arial" w:eastAsia="Calibri" w:hAnsi="Arial" w:cs="Arial"/>
          <w:bCs/>
          <w:color w:val="000000" w:themeColor="text1"/>
          <w:sz w:val="22"/>
          <w:lang w:val="es-CO"/>
        </w:rPr>
      </w:pPr>
    </w:p>
    <w:p w14:paraId="55B1C6A3" w14:textId="3E995162" w:rsidR="00EE0AFC" w:rsidRPr="00E82549" w:rsidRDefault="00E15067" w:rsidP="00A86133">
      <w:pPr>
        <w:pStyle w:val="Prrafodelista"/>
        <w:numPr>
          <w:ilvl w:val="0"/>
          <w:numId w:val="8"/>
        </w:numPr>
        <w:tabs>
          <w:tab w:val="left" w:pos="993"/>
        </w:tabs>
        <w:spacing w:line="276" w:lineRule="auto"/>
        <w:ind w:left="0" w:firstLine="709"/>
        <w:jc w:val="both"/>
        <w:rPr>
          <w:rFonts w:ascii="Arial" w:eastAsia="Calibri" w:hAnsi="Arial" w:cs="Arial"/>
          <w:bCs/>
          <w:color w:val="000000" w:themeColor="text1"/>
          <w:sz w:val="22"/>
          <w:lang w:val="es-CO"/>
        </w:rPr>
      </w:pPr>
      <w:r w:rsidRPr="00E82549">
        <w:rPr>
          <w:rFonts w:ascii="Arial" w:eastAsia="Calibri" w:hAnsi="Arial" w:cs="Arial"/>
          <w:bCs/>
          <w:color w:val="000000" w:themeColor="text1"/>
          <w:sz w:val="22"/>
          <w:lang w:val="es-CO"/>
        </w:rPr>
        <w:t>En el concepto del 16 de agosto de 2019, la Agencia Nacional de Contratación Pública se pronunció en relación con la obligación que tienen las sociedades de economía mixta de publicar su actividad contractual en el SECOP II, en estos términos:</w:t>
      </w:r>
    </w:p>
    <w:p w14:paraId="1AD4050E" w14:textId="52D2A581" w:rsidR="00E15067" w:rsidRPr="00E82549" w:rsidRDefault="00E15067" w:rsidP="00E15067">
      <w:pPr>
        <w:pStyle w:val="Prrafodelista"/>
        <w:spacing w:line="276" w:lineRule="auto"/>
        <w:ind w:left="709"/>
        <w:jc w:val="both"/>
        <w:rPr>
          <w:rFonts w:ascii="Arial" w:eastAsia="Calibri" w:hAnsi="Arial" w:cs="Arial"/>
          <w:bCs/>
          <w:color w:val="000000" w:themeColor="text1"/>
          <w:sz w:val="22"/>
          <w:lang w:val="es-CO"/>
        </w:rPr>
      </w:pPr>
    </w:p>
    <w:p w14:paraId="76242146" w14:textId="06E8D40B" w:rsidR="00E15067" w:rsidRPr="00E82549" w:rsidRDefault="00E15067" w:rsidP="00E15067">
      <w:pPr>
        <w:pStyle w:val="Prrafodelista"/>
        <w:ind w:left="709" w:right="709"/>
        <w:jc w:val="both"/>
        <w:rPr>
          <w:rFonts w:ascii="Arial" w:eastAsia="Calibri" w:hAnsi="Arial" w:cs="Arial"/>
          <w:bCs/>
          <w:color w:val="000000" w:themeColor="text1"/>
          <w:sz w:val="21"/>
          <w:szCs w:val="21"/>
          <w:lang w:val="es-CO"/>
        </w:rPr>
      </w:pPr>
      <w:r w:rsidRPr="00E82549">
        <w:rPr>
          <w:rFonts w:ascii="Arial" w:eastAsia="Calibri" w:hAnsi="Arial" w:cs="Arial"/>
          <w:bCs/>
          <w:color w:val="000000" w:themeColor="text1"/>
          <w:sz w:val="21"/>
          <w:szCs w:val="21"/>
          <w:lang w:val="es-CO"/>
        </w:rPr>
        <w:t>[…] el deber de publicar la información contractual recae tanto en las entidades sometidas al Estatuto General de la Contratación Pública como en las entidades que tienen un régimen especial de contratación, como es el caso de las sociedades de economía mixta, siempre y cuando el contrato ejecute o tenga como fuente de financiación dineros públicos, sin importar su proporción</w:t>
      </w:r>
      <w:r w:rsidR="00690EA8" w:rsidRPr="00E82549">
        <w:rPr>
          <w:rFonts w:ascii="Arial" w:eastAsia="Calibri" w:hAnsi="Arial" w:cs="Arial"/>
          <w:bCs/>
          <w:color w:val="000000" w:themeColor="text1"/>
          <w:sz w:val="21"/>
          <w:szCs w:val="21"/>
          <w:lang w:val="es-CO"/>
        </w:rPr>
        <w:t>.</w:t>
      </w:r>
    </w:p>
    <w:p w14:paraId="29C18BF9" w14:textId="7375CEE8" w:rsidR="00E9406F" w:rsidRPr="00E82549" w:rsidRDefault="00E9406F" w:rsidP="00E9406F">
      <w:pPr>
        <w:spacing w:line="276" w:lineRule="auto"/>
        <w:jc w:val="both"/>
        <w:rPr>
          <w:rFonts w:ascii="Arial" w:eastAsia="Calibri" w:hAnsi="Arial" w:cs="Arial"/>
          <w:bCs/>
          <w:color w:val="000000" w:themeColor="text1"/>
          <w:sz w:val="22"/>
          <w:lang w:val="es-CO"/>
        </w:rPr>
      </w:pPr>
    </w:p>
    <w:p w14:paraId="279A925E" w14:textId="637BA862" w:rsidR="009C14B6" w:rsidRPr="00E82549" w:rsidRDefault="009C14B6" w:rsidP="00AF1DCE">
      <w:pPr>
        <w:spacing w:after="120" w:line="276" w:lineRule="auto"/>
        <w:ind w:firstLine="709"/>
        <w:jc w:val="both"/>
        <w:rPr>
          <w:rFonts w:ascii="Arial" w:eastAsia="Calibri" w:hAnsi="Arial" w:cs="Arial"/>
          <w:bCs/>
          <w:color w:val="000000" w:themeColor="text1"/>
          <w:sz w:val="22"/>
          <w:lang w:val="es-CO"/>
        </w:rPr>
      </w:pPr>
      <w:r w:rsidRPr="00E82549">
        <w:rPr>
          <w:rFonts w:ascii="Arial" w:eastAsia="Calibri" w:hAnsi="Arial" w:cs="Arial"/>
          <w:bCs/>
          <w:color w:val="000000" w:themeColor="text1"/>
          <w:sz w:val="22"/>
          <w:lang w:val="es-CO"/>
        </w:rPr>
        <w:t xml:space="preserve">Al respecto, en el concepto C-088 de 2020 se concluyó que una sociedad de economía mixta, «[a]l ser una entidad pública que hace parte de la rama ejecutiva–según lo dispone el artículo 38, numeral 2º, literal f) de la Ley 489 de 1998–, ingresa dentro de la categoría de sujeto obligado prevista en el artículo 9 de la Ley 1712 de 2014 y en consecuencia debe publicar la información relativa a su contratación en el SECOP, pues […] este es un deber de las entidades estatales que contratan con </w:t>
      </w:r>
      <w:r w:rsidRPr="00E82549">
        <w:rPr>
          <w:rFonts w:ascii="Arial" w:eastAsia="Calibri" w:hAnsi="Arial" w:cs="Arial"/>
          <w:bCs/>
          <w:i/>
          <w:iCs/>
          <w:color w:val="000000" w:themeColor="text1"/>
          <w:sz w:val="22"/>
          <w:lang w:val="es-CO"/>
        </w:rPr>
        <w:t>recursos públicos</w:t>
      </w:r>
      <w:r w:rsidRPr="00E82549">
        <w:rPr>
          <w:rFonts w:ascii="Arial" w:eastAsia="Calibri" w:hAnsi="Arial" w:cs="Arial"/>
          <w:bCs/>
          <w:color w:val="000000" w:themeColor="text1"/>
          <w:sz w:val="22"/>
          <w:lang w:val="es-CO"/>
        </w:rPr>
        <w:t xml:space="preserve">, </w:t>
      </w:r>
      <w:r w:rsidRPr="00E82549">
        <w:rPr>
          <w:rFonts w:ascii="Arial" w:eastAsia="Calibri" w:hAnsi="Arial" w:cs="Arial"/>
          <w:bCs/>
          <w:color w:val="000000" w:themeColor="text1"/>
          <w:sz w:val="22"/>
          <w:lang w:val="es-CO"/>
        </w:rPr>
        <w:lastRenderedPageBreak/>
        <w:t>independientemente del régimen jurídico aplicable a dicha actividad contractual» «cursivas propias».</w:t>
      </w:r>
    </w:p>
    <w:p w14:paraId="19F79C15" w14:textId="662D4B3F" w:rsidR="008A61A6" w:rsidRPr="0075145E" w:rsidRDefault="00B63DAA" w:rsidP="00AF1DCE">
      <w:pPr>
        <w:spacing w:after="120" w:line="276" w:lineRule="auto"/>
        <w:ind w:firstLine="709"/>
        <w:jc w:val="both"/>
        <w:rPr>
          <w:rFonts w:ascii="Arial" w:eastAsia="Calibri" w:hAnsi="Arial" w:cs="Arial"/>
          <w:bCs/>
          <w:color w:val="000000" w:themeColor="text1"/>
          <w:sz w:val="22"/>
          <w:lang w:val="es-CO"/>
        </w:rPr>
      </w:pPr>
      <w:r w:rsidRPr="00E82549">
        <w:rPr>
          <w:rFonts w:ascii="Arial" w:eastAsia="Calibri" w:hAnsi="Arial" w:cs="Arial"/>
          <w:bCs/>
          <w:color w:val="000000" w:themeColor="text1"/>
          <w:sz w:val="22"/>
          <w:lang w:val="es-CO"/>
        </w:rPr>
        <w:t>Ahora bien, f</w:t>
      </w:r>
      <w:r w:rsidR="008A61A6" w:rsidRPr="00E82549">
        <w:rPr>
          <w:rFonts w:ascii="Arial" w:eastAsia="Calibri" w:hAnsi="Arial" w:cs="Arial"/>
          <w:bCs/>
          <w:color w:val="000000" w:themeColor="text1"/>
          <w:sz w:val="22"/>
          <w:lang w:val="es-CO"/>
        </w:rPr>
        <w:t xml:space="preserve">rente a las Instituciones Prestadoras de </w:t>
      </w:r>
      <w:r w:rsidR="00FD7A8D" w:rsidRPr="00E82549">
        <w:rPr>
          <w:rFonts w:ascii="Arial" w:eastAsia="Calibri" w:hAnsi="Arial" w:cs="Arial"/>
          <w:bCs/>
          <w:color w:val="000000" w:themeColor="text1"/>
          <w:sz w:val="22"/>
          <w:lang w:val="es-CO"/>
        </w:rPr>
        <w:t xml:space="preserve">Servicios de Salud – IPS, </w:t>
      </w:r>
      <w:r w:rsidRPr="00E82549">
        <w:rPr>
          <w:rFonts w:ascii="Arial" w:eastAsia="Calibri" w:hAnsi="Arial" w:cs="Arial"/>
          <w:bCs/>
          <w:color w:val="000000" w:themeColor="text1"/>
          <w:sz w:val="22"/>
          <w:lang w:val="es-CO"/>
        </w:rPr>
        <w:t>es preciso decir que pueden ser</w:t>
      </w:r>
      <w:r w:rsidR="00FD7A8D" w:rsidRPr="00E82549">
        <w:rPr>
          <w:rFonts w:ascii="Arial" w:eastAsia="Calibri" w:hAnsi="Arial" w:cs="Arial"/>
          <w:bCs/>
          <w:color w:val="000000" w:themeColor="text1"/>
          <w:sz w:val="22"/>
          <w:lang w:val="es-CO"/>
        </w:rPr>
        <w:t xml:space="preserve"> entidades oficiales, mixtas, privadas, comunitarias y solidarias, según lo señalado en el literal i) del artículo 156 de la Ley 100 de 1993</w:t>
      </w:r>
      <w:r w:rsidR="00FD7A8D" w:rsidRPr="00E82549">
        <w:rPr>
          <w:rStyle w:val="Refdenotaalpie"/>
          <w:rFonts w:ascii="Arial" w:eastAsia="Calibri" w:hAnsi="Arial" w:cs="Arial"/>
          <w:bCs/>
          <w:color w:val="000000" w:themeColor="text1"/>
          <w:sz w:val="22"/>
          <w:lang w:val="es-CO"/>
        </w:rPr>
        <w:footnoteReference w:id="8"/>
      </w:r>
      <w:r w:rsidR="00FD7A8D" w:rsidRPr="0075145E">
        <w:rPr>
          <w:rFonts w:ascii="Arial" w:eastAsia="Calibri" w:hAnsi="Arial" w:cs="Arial"/>
          <w:bCs/>
          <w:color w:val="000000" w:themeColor="text1"/>
          <w:sz w:val="22"/>
          <w:lang w:val="es-CO"/>
        </w:rPr>
        <w:t xml:space="preserve">, frente a su naturaleza jurídica la Corte Constitucional señaló: </w:t>
      </w:r>
    </w:p>
    <w:p w14:paraId="6028ACB9" w14:textId="3857AE57" w:rsidR="00AF1DCE" w:rsidRPr="00E82549" w:rsidRDefault="00AF1DCE" w:rsidP="00AF1DCE">
      <w:pPr>
        <w:ind w:left="709" w:right="709"/>
        <w:jc w:val="both"/>
        <w:rPr>
          <w:rFonts w:ascii="Arial" w:eastAsia="Calibri" w:hAnsi="Arial" w:cs="Arial"/>
          <w:bCs/>
          <w:color w:val="000000" w:themeColor="text1"/>
          <w:sz w:val="21"/>
          <w:szCs w:val="21"/>
          <w:lang w:val="es-CO"/>
        </w:rPr>
      </w:pPr>
      <w:r w:rsidRPr="0075145E">
        <w:rPr>
          <w:rFonts w:ascii="Arial" w:eastAsia="Calibri" w:hAnsi="Arial" w:cs="Arial"/>
          <w:bCs/>
          <w:color w:val="000000" w:themeColor="text1"/>
          <w:sz w:val="21"/>
          <w:szCs w:val="21"/>
          <w:lang w:val="es-CO"/>
        </w:rPr>
        <w:t>Son entidades organizadas para la prestación de los servicios de salud, que tienen como principios básicos la calidad y la eficiencia, cuentan con autonomía administrativa, técnica y financiera, y deben propender por la libre concurrencia de sus acciones. El legislador ha considerado que se trata de entidades que prestan servicios en el área de la salud, compiten en este mercado, deben respetar las reglas que impiden el monopolio y garantizan la libertad de competencia en la prestación de sus servicios, con lo cual queda demostrado que jurídicamente son valoradas como empresas creadas, entre varios fines, con el propósito de obtener lucro económico, salvo claro está aquellas entidades sin ánimo de lucro […]</w:t>
      </w:r>
      <w:r w:rsidRPr="00E82549">
        <w:rPr>
          <w:rStyle w:val="Refdenotaalpie"/>
          <w:rFonts w:ascii="Arial" w:eastAsia="Calibri" w:hAnsi="Arial" w:cs="Arial"/>
          <w:bCs/>
          <w:color w:val="000000" w:themeColor="text1"/>
          <w:sz w:val="21"/>
          <w:szCs w:val="21"/>
          <w:lang w:val="es-CO"/>
        </w:rPr>
        <w:footnoteReference w:id="9"/>
      </w:r>
    </w:p>
    <w:p w14:paraId="16C80092" w14:textId="77777777" w:rsidR="00AF1DCE" w:rsidRPr="00E82549" w:rsidRDefault="00AF1DCE" w:rsidP="00AF1DCE">
      <w:pPr>
        <w:ind w:right="709"/>
        <w:jc w:val="both"/>
        <w:rPr>
          <w:rFonts w:ascii="Arial" w:eastAsia="Calibri" w:hAnsi="Arial" w:cs="Arial"/>
          <w:bCs/>
          <w:color w:val="000000" w:themeColor="text1"/>
          <w:sz w:val="21"/>
          <w:szCs w:val="21"/>
          <w:lang w:val="es-CO"/>
        </w:rPr>
      </w:pPr>
    </w:p>
    <w:p w14:paraId="212AF75F" w14:textId="067BCFBF" w:rsidR="00050361" w:rsidRPr="00E82549" w:rsidRDefault="00155173" w:rsidP="002D0C82">
      <w:pPr>
        <w:spacing w:after="120" w:line="276" w:lineRule="auto"/>
        <w:ind w:firstLine="709"/>
        <w:jc w:val="both"/>
        <w:rPr>
          <w:rFonts w:ascii="Arial" w:eastAsia="Calibri" w:hAnsi="Arial" w:cs="Arial"/>
          <w:bCs/>
          <w:color w:val="000000" w:themeColor="text1"/>
          <w:sz w:val="22"/>
          <w:lang w:val="es-CO"/>
        </w:rPr>
      </w:pPr>
      <w:r w:rsidRPr="00E82549">
        <w:rPr>
          <w:rFonts w:ascii="Arial" w:eastAsia="Calibri" w:hAnsi="Arial" w:cs="Arial"/>
          <w:bCs/>
          <w:color w:val="000000" w:themeColor="text1"/>
          <w:sz w:val="22"/>
          <w:lang w:val="es-CO"/>
        </w:rPr>
        <w:t xml:space="preserve">Conforme al artículo 2, numeral 1º literal a) de la Ley 80 de 1993, son entidades estatales las sociedades de economía mixta en las que el estado tenga participación superior al cincuenta 50%. </w:t>
      </w:r>
      <w:r w:rsidR="005A5A27" w:rsidRPr="00E82549">
        <w:rPr>
          <w:rFonts w:ascii="Arial" w:eastAsia="Calibri" w:hAnsi="Arial" w:cs="Arial"/>
          <w:bCs/>
          <w:color w:val="000000" w:themeColor="text1"/>
          <w:sz w:val="22"/>
          <w:lang w:val="es-CO"/>
        </w:rPr>
        <w:t>Para el caso de las IPS</w:t>
      </w:r>
      <w:r w:rsidR="00ED52F5" w:rsidRPr="00E82549">
        <w:rPr>
          <w:rFonts w:ascii="Arial" w:eastAsia="Calibri" w:hAnsi="Arial" w:cs="Arial"/>
          <w:bCs/>
          <w:color w:val="000000" w:themeColor="text1"/>
          <w:sz w:val="22"/>
          <w:lang w:val="es-CO"/>
        </w:rPr>
        <w:t xml:space="preserve"> «públicas» su origen se puede </w:t>
      </w:r>
      <w:r w:rsidR="00B63DAA" w:rsidRPr="00E82549">
        <w:rPr>
          <w:rFonts w:ascii="Arial" w:eastAsia="Calibri" w:hAnsi="Arial" w:cs="Arial"/>
          <w:bCs/>
          <w:color w:val="000000" w:themeColor="text1"/>
          <w:sz w:val="22"/>
          <w:lang w:val="es-CO"/>
        </w:rPr>
        <w:t>dar en</w:t>
      </w:r>
      <w:r w:rsidR="00ED52F5" w:rsidRPr="00E82549">
        <w:rPr>
          <w:rFonts w:ascii="Arial" w:eastAsia="Calibri" w:hAnsi="Arial" w:cs="Arial"/>
          <w:bCs/>
          <w:color w:val="000000" w:themeColor="text1"/>
          <w:sz w:val="22"/>
          <w:lang w:val="es-CO"/>
        </w:rPr>
        <w:t xml:space="preserve"> los niveles Nacional, Departamental o Municipal, ya sea por norma con fuerza de ley, ordenanza o a través de acuerdo respectivamente. En este sentido, es oportuno precisar que a la fecha </w:t>
      </w:r>
      <w:r w:rsidR="00AA223F" w:rsidRPr="00E82549">
        <w:rPr>
          <w:rFonts w:ascii="Arial" w:eastAsia="Calibri" w:hAnsi="Arial" w:cs="Arial"/>
          <w:bCs/>
          <w:color w:val="000000" w:themeColor="text1"/>
          <w:sz w:val="22"/>
          <w:lang w:val="es-CO"/>
        </w:rPr>
        <w:t xml:space="preserve">las entidades descentralizadas de las Gobernaciones y Alcaldías no se encuentran obligadas a realizar la publicación de sus procesos en SECOP II </w:t>
      </w:r>
      <w:r w:rsidRPr="00E82549">
        <w:rPr>
          <w:rFonts w:ascii="Arial" w:eastAsia="Calibri" w:hAnsi="Arial" w:cs="Arial"/>
          <w:bCs/>
          <w:color w:val="000000" w:themeColor="text1"/>
          <w:sz w:val="22"/>
          <w:lang w:val="es-CO"/>
        </w:rPr>
        <w:t>de acuerdo con el</w:t>
      </w:r>
      <w:r w:rsidR="00AA223F" w:rsidRPr="00E82549">
        <w:rPr>
          <w:rFonts w:ascii="Arial" w:eastAsia="Calibri" w:hAnsi="Arial" w:cs="Arial"/>
          <w:bCs/>
          <w:color w:val="000000" w:themeColor="text1"/>
          <w:sz w:val="22"/>
          <w:lang w:val="es-CO"/>
        </w:rPr>
        <w:t xml:space="preserve"> Anexo 1 de la circular externa No. 1 de 2019. </w:t>
      </w:r>
    </w:p>
    <w:p w14:paraId="140F260F" w14:textId="3138FBC1" w:rsidR="00C3795F" w:rsidRPr="00E82549" w:rsidRDefault="00403F4E" w:rsidP="000362F9">
      <w:pPr>
        <w:spacing w:line="276" w:lineRule="auto"/>
        <w:ind w:firstLine="709"/>
        <w:jc w:val="both"/>
        <w:rPr>
          <w:rFonts w:ascii="Arial" w:eastAsia="Calibri" w:hAnsi="Arial" w:cs="Arial"/>
          <w:bCs/>
          <w:color w:val="000000" w:themeColor="text1"/>
          <w:sz w:val="22"/>
          <w:lang w:val="es-CO"/>
        </w:rPr>
      </w:pPr>
      <w:r w:rsidRPr="00E82549">
        <w:rPr>
          <w:rFonts w:ascii="Arial" w:eastAsia="Calibri" w:hAnsi="Arial" w:cs="Arial"/>
          <w:bCs/>
          <w:color w:val="000000" w:themeColor="text1"/>
          <w:sz w:val="22"/>
          <w:lang w:val="es-CO"/>
        </w:rPr>
        <w:t>Dicho esto</w:t>
      </w:r>
      <w:r w:rsidR="00C3795F" w:rsidRPr="00E82549">
        <w:rPr>
          <w:rFonts w:ascii="Arial" w:eastAsia="Calibri" w:hAnsi="Arial" w:cs="Arial"/>
          <w:bCs/>
          <w:color w:val="000000" w:themeColor="text1"/>
          <w:sz w:val="22"/>
          <w:lang w:val="es-CO"/>
        </w:rPr>
        <w:t>, se reitera la posición de esta subdirección frente a la publicación en el SECOP cuando se realicen contrataciones con recursos públicos independientemente de</w:t>
      </w:r>
      <w:r w:rsidR="00331554" w:rsidRPr="00E82549">
        <w:rPr>
          <w:rFonts w:ascii="Arial" w:eastAsia="Calibri" w:hAnsi="Arial" w:cs="Arial"/>
          <w:bCs/>
          <w:color w:val="000000" w:themeColor="text1"/>
          <w:sz w:val="22"/>
          <w:lang w:val="es-CO"/>
        </w:rPr>
        <w:t>l</w:t>
      </w:r>
      <w:r w:rsidR="00C3795F" w:rsidRPr="00E82549">
        <w:rPr>
          <w:rFonts w:ascii="Arial" w:eastAsia="Calibri" w:hAnsi="Arial" w:cs="Arial"/>
          <w:bCs/>
          <w:color w:val="000000" w:themeColor="text1"/>
          <w:sz w:val="22"/>
          <w:lang w:val="es-CO"/>
        </w:rPr>
        <w:t xml:space="preserve"> régimen jurídico</w:t>
      </w:r>
      <w:r w:rsidR="00331554" w:rsidRPr="00E82549">
        <w:rPr>
          <w:rFonts w:ascii="Arial" w:eastAsia="Calibri" w:hAnsi="Arial" w:cs="Arial"/>
          <w:bCs/>
          <w:color w:val="000000" w:themeColor="text1"/>
          <w:sz w:val="22"/>
          <w:lang w:val="es-CO"/>
        </w:rPr>
        <w:t xml:space="preserve"> de la entidad contratante</w:t>
      </w:r>
      <w:r w:rsidR="00C3795F" w:rsidRPr="00E82549">
        <w:rPr>
          <w:rFonts w:ascii="Arial" w:eastAsia="Calibri" w:hAnsi="Arial" w:cs="Arial"/>
          <w:bCs/>
          <w:color w:val="000000" w:themeColor="text1"/>
          <w:sz w:val="22"/>
          <w:lang w:val="es-CO"/>
        </w:rPr>
        <w:t xml:space="preserve">. </w:t>
      </w:r>
    </w:p>
    <w:p w14:paraId="17D43BBC" w14:textId="721EDDA6" w:rsidR="00E15067" w:rsidRPr="00E82549" w:rsidRDefault="00E15067" w:rsidP="000362F9">
      <w:pPr>
        <w:spacing w:before="120" w:after="120" w:line="276" w:lineRule="auto"/>
        <w:ind w:firstLine="709"/>
        <w:jc w:val="both"/>
        <w:rPr>
          <w:rFonts w:ascii="Arial" w:eastAsia="Calibri" w:hAnsi="Arial" w:cs="Arial"/>
          <w:bCs/>
          <w:color w:val="000000" w:themeColor="text1"/>
          <w:sz w:val="22"/>
          <w:lang w:val="es-CO"/>
        </w:rPr>
      </w:pPr>
      <w:r w:rsidRPr="00E82549">
        <w:rPr>
          <w:rFonts w:ascii="Arial" w:eastAsia="Calibri" w:hAnsi="Arial" w:cs="Arial"/>
          <w:bCs/>
          <w:color w:val="000000" w:themeColor="text1"/>
          <w:sz w:val="22"/>
          <w:lang w:val="es-CO"/>
        </w:rPr>
        <w:t>En similares términos, por medio del concepto del 9 de septiembre de 2019, se consideró, en relaci</w:t>
      </w:r>
      <w:r w:rsidR="00331554" w:rsidRPr="00E82549">
        <w:rPr>
          <w:rFonts w:ascii="Arial" w:eastAsia="Calibri" w:hAnsi="Arial" w:cs="Arial"/>
          <w:bCs/>
          <w:color w:val="000000" w:themeColor="text1"/>
          <w:sz w:val="22"/>
          <w:lang w:val="es-CO"/>
        </w:rPr>
        <w:t>ón</w:t>
      </w:r>
      <w:r w:rsidRPr="00E82549">
        <w:rPr>
          <w:rFonts w:ascii="Arial" w:eastAsia="Calibri" w:hAnsi="Arial" w:cs="Arial"/>
          <w:bCs/>
          <w:color w:val="000000" w:themeColor="text1"/>
          <w:sz w:val="22"/>
          <w:lang w:val="es-CO"/>
        </w:rPr>
        <w:t xml:space="preserve"> con las entidades sin ánimo de lucro, reguladas por el Decreto 92 de 2017, que «el proceso de contratación con entidades sin ánimo de lucro se debe realizar </w:t>
      </w:r>
      <w:r w:rsidRPr="00E82549">
        <w:rPr>
          <w:rFonts w:ascii="Arial" w:eastAsia="Calibri" w:hAnsi="Arial" w:cs="Arial"/>
          <w:bCs/>
          <w:color w:val="000000" w:themeColor="text1"/>
          <w:sz w:val="22"/>
          <w:lang w:val="es-CO"/>
        </w:rPr>
        <w:lastRenderedPageBreak/>
        <w:t xml:space="preserve">por el módulo dispuesto el SECOP II, pues, como se explicó, es obligatorio el registro de las entidades sin ánimo de lucro en el SECOP, y la única plataforma que lo permite es el SECOP II». </w:t>
      </w:r>
      <w:r w:rsidR="009E6DB3" w:rsidRPr="00E82549">
        <w:rPr>
          <w:rFonts w:ascii="Arial" w:eastAsia="Calibri" w:hAnsi="Arial" w:cs="Arial"/>
          <w:bCs/>
          <w:color w:val="000000" w:themeColor="text1"/>
          <w:sz w:val="22"/>
          <w:lang w:val="es-CO"/>
        </w:rPr>
        <w:t>En términos generales, esta tesis se reiteró en el concepto C-176 de 2020.</w:t>
      </w:r>
    </w:p>
    <w:p w14:paraId="546624D1" w14:textId="012F1652" w:rsidR="00E15067" w:rsidRPr="00E82549" w:rsidRDefault="00E15067" w:rsidP="001625B3">
      <w:pPr>
        <w:spacing w:line="276" w:lineRule="auto"/>
        <w:jc w:val="both"/>
        <w:rPr>
          <w:rFonts w:ascii="Arial" w:eastAsia="Calibri" w:hAnsi="Arial" w:cs="Arial"/>
          <w:bCs/>
          <w:color w:val="000000" w:themeColor="text1"/>
          <w:sz w:val="22"/>
          <w:lang w:val="es-CO"/>
        </w:rPr>
      </w:pPr>
      <w:r w:rsidRPr="00E82549">
        <w:rPr>
          <w:rFonts w:ascii="Arial" w:eastAsia="Calibri" w:hAnsi="Arial" w:cs="Arial"/>
          <w:bCs/>
          <w:color w:val="000000" w:themeColor="text1"/>
          <w:sz w:val="22"/>
          <w:lang w:val="es-CO"/>
        </w:rPr>
        <w:tab/>
      </w:r>
      <w:r w:rsidR="00370500" w:rsidRPr="00E82549">
        <w:rPr>
          <w:rFonts w:ascii="Arial" w:eastAsia="Calibri" w:hAnsi="Arial" w:cs="Arial"/>
          <w:bCs/>
          <w:color w:val="000000" w:themeColor="text1"/>
          <w:sz w:val="22"/>
          <w:lang w:val="es-CO"/>
        </w:rPr>
        <w:t xml:space="preserve">En relación con las instituciones educativas, en los conceptos del 21 de agosto y el 1 de noviembre de 2019, esta Agencia resaltó que «es deber de todas las entidades del Estado en virtud del principio de publicidad, del derecho fundamental de acceso a la información, el literal c) del artículo 3 de la Ley 1150 de 2007, la Ley 1712 de 2014 y el Decreto 1081 de 2015, publicar la información de su actividad contractual </w:t>
      </w:r>
      <w:r w:rsidR="00370500" w:rsidRPr="00E82549">
        <w:rPr>
          <w:rFonts w:ascii="Arial" w:eastAsia="Calibri" w:hAnsi="Arial" w:cs="Arial"/>
          <w:bCs/>
          <w:i/>
          <w:iCs/>
          <w:color w:val="000000" w:themeColor="text1"/>
          <w:sz w:val="22"/>
          <w:lang w:val="es-CO"/>
        </w:rPr>
        <w:t>cuando ejecuten recursos públicos</w:t>
      </w:r>
      <w:r w:rsidR="00370500" w:rsidRPr="00E82549">
        <w:rPr>
          <w:rFonts w:ascii="Arial" w:eastAsia="Calibri" w:hAnsi="Arial" w:cs="Arial"/>
          <w:bCs/>
          <w:color w:val="000000" w:themeColor="text1"/>
          <w:sz w:val="22"/>
          <w:lang w:val="es-CO"/>
        </w:rPr>
        <w:t xml:space="preserve"> independientemente su régimen de contratación desde el año 2007, obligación que fue reiterada por la Circular Externa No. 1 de 2013 y la Ley 1712 de 2014»</w:t>
      </w:r>
      <w:r w:rsidR="00EC3A65" w:rsidRPr="00E82549">
        <w:rPr>
          <w:rFonts w:ascii="Arial" w:eastAsia="Calibri" w:hAnsi="Arial" w:cs="Arial"/>
          <w:bCs/>
          <w:color w:val="000000" w:themeColor="text1"/>
          <w:sz w:val="22"/>
          <w:lang w:val="es-CO"/>
        </w:rPr>
        <w:t xml:space="preserve"> «cursivas propias»</w:t>
      </w:r>
      <w:r w:rsidR="00370500" w:rsidRPr="00E82549">
        <w:rPr>
          <w:rFonts w:ascii="Arial" w:eastAsia="Calibri" w:hAnsi="Arial" w:cs="Arial"/>
          <w:bCs/>
          <w:color w:val="000000" w:themeColor="text1"/>
          <w:sz w:val="22"/>
          <w:lang w:val="es-CO"/>
        </w:rPr>
        <w:t>.</w:t>
      </w:r>
      <w:r w:rsidR="001625B3" w:rsidRPr="00E82549">
        <w:rPr>
          <w:rFonts w:ascii="Arial" w:eastAsia="Calibri" w:hAnsi="Arial" w:cs="Arial"/>
          <w:bCs/>
          <w:color w:val="000000" w:themeColor="text1"/>
          <w:sz w:val="22"/>
          <w:lang w:val="es-CO"/>
        </w:rPr>
        <w:t xml:space="preserve"> Tal conclusión, relacionada con el deber de publicidad que recae sobre las instituciones educativas </w:t>
      </w:r>
      <w:r w:rsidR="00F927F1" w:rsidRPr="00E82549">
        <w:rPr>
          <w:rFonts w:ascii="Arial" w:eastAsia="Calibri" w:hAnsi="Arial" w:cs="Arial"/>
          <w:bCs/>
          <w:color w:val="000000" w:themeColor="text1"/>
          <w:sz w:val="22"/>
          <w:lang w:val="es-CO"/>
        </w:rPr>
        <w:t>de naturaleza pública</w:t>
      </w:r>
      <w:r w:rsidR="001625B3" w:rsidRPr="00E82549">
        <w:rPr>
          <w:rFonts w:ascii="Arial" w:eastAsia="Calibri" w:hAnsi="Arial" w:cs="Arial"/>
          <w:bCs/>
          <w:color w:val="000000" w:themeColor="text1"/>
          <w:sz w:val="22"/>
          <w:lang w:val="es-CO"/>
        </w:rPr>
        <w:t>, fue reiterada en el concepto C-181 de 2020.</w:t>
      </w:r>
    </w:p>
    <w:p w14:paraId="779A7DA4" w14:textId="38EDAAE6" w:rsidR="00E15067" w:rsidRPr="00E82549" w:rsidRDefault="004E5E36" w:rsidP="004E5E36">
      <w:pPr>
        <w:spacing w:before="120" w:line="276" w:lineRule="auto"/>
        <w:jc w:val="both"/>
        <w:rPr>
          <w:rFonts w:ascii="Arial" w:eastAsia="Calibri" w:hAnsi="Arial" w:cs="Arial"/>
          <w:bCs/>
          <w:color w:val="000000" w:themeColor="text1"/>
          <w:sz w:val="22"/>
          <w:lang w:val="es-CO"/>
        </w:rPr>
      </w:pPr>
      <w:r w:rsidRPr="00E82549">
        <w:rPr>
          <w:rFonts w:ascii="Arial" w:eastAsia="Calibri" w:hAnsi="Arial" w:cs="Arial"/>
          <w:bCs/>
          <w:color w:val="000000" w:themeColor="text1"/>
          <w:sz w:val="22"/>
          <w:lang w:val="es-CO"/>
        </w:rPr>
        <w:tab/>
        <w:t>En ese mismo sentido, en el concepto del 20 de diciembre de 2019, manifestó que las empresas prestadoras de servicios públicos, sin distingo que sean oficiales, mixtas o privadas, deben publicar en el SECOP su actividad contractual, siempre que el contrato se ejecute o tenga como fuente de financiación dineros públicos, sin importar su proporción.</w:t>
      </w:r>
      <w:r w:rsidR="009C14B6" w:rsidRPr="00E82549">
        <w:rPr>
          <w:rFonts w:ascii="Arial" w:eastAsia="Calibri" w:hAnsi="Arial" w:cs="Arial"/>
          <w:bCs/>
          <w:color w:val="000000" w:themeColor="text1"/>
          <w:sz w:val="22"/>
          <w:lang w:val="es-CO"/>
        </w:rPr>
        <w:t xml:space="preserve"> En relación con la contratación que hacen estas empresas con recursos no públicos, se dijo:</w:t>
      </w:r>
    </w:p>
    <w:p w14:paraId="64C49A63" w14:textId="6563C53E" w:rsidR="00AC646F" w:rsidRPr="00E82549" w:rsidRDefault="00AC646F" w:rsidP="00E9406F">
      <w:pPr>
        <w:spacing w:line="276" w:lineRule="auto"/>
        <w:jc w:val="both"/>
        <w:rPr>
          <w:rFonts w:ascii="Arial" w:eastAsia="Calibri" w:hAnsi="Arial" w:cs="Arial"/>
          <w:bCs/>
          <w:color w:val="000000" w:themeColor="text1"/>
          <w:sz w:val="22"/>
          <w:lang w:val="es-CO"/>
        </w:rPr>
      </w:pPr>
    </w:p>
    <w:p w14:paraId="3F92D056" w14:textId="728DBC8E" w:rsidR="00AC646F" w:rsidRPr="00E82549" w:rsidRDefault="009C14B6" w:rsidP="009C14B6">
      <w:pPr>
        <w:spacing w:line="276" w:lineRule="auto"/>
        <w:ind w:left="567" w:right="709"/>
        <w:jc w:val="both"/>
        <w:rPr>
          <w:rFonts w:ascii="Arial" w:eastAsia="Calibri" w:hAnsi="Arial" w:cs="Arial"/>
          <w:bCs/>
          <w:color w:val="000000" w:themeColor="text1"/>
          <w:sz w:val="21"/>
          <w:szCs w:val="21"/>
          <w:lang w:val="es-CO"/>
        </w:rPr>
      </w:pPr>
      <w:r w:rsidRPr="00E82549">
        <w:rPr>
          <w:rFonts w:ascii="Arial" w:eastAsia="Calibri" w:hAnsi="Arial" w:cs="Arial"/>
          <w:bCs/>
          <w:color w:val="000000" w:themeColor="text1"/>
          <w:sz w:val="21"/>
          <w:szCs w:val="21"/>
          <w:lang w:val="es-CO"/>
        </w:rPr>
        <w:t>[…] cuando la contratación implica la ejecución de recursos internacionales o de banca multilateral, no será necesaria la publicación del proceso contractual en el SECOP, porque los recursos no son públicos.</w:t>
      </w:r>
    </w:p>
    <w:p w14:paraId="44528488" w14:textId="77777777" w:rsidR="00AC646F" w:rsidRPr="00E82549" w:rsidRDefault="00AC646F" w:rsidP="00E9406F">
      <w:pPr>
        <w:spacing w:line="276" w:lineRule="auto"/>
        <w:jc w:val="both"/>
        <w:rPr>
          <w:rFonts w:ascii="Arial" w:eastAsia="Calibri" w:hAnsi="Arial" w:cs="Arial"/>
          <w:bCs/>
          <w:color w:val="000000" w:themeColor="text1"/>
          <w:sz w:val="22"/>
          <w:lang w:val="es-CO"/>
        </w:rPr>
      </w:pPr>
    </w:p>
    <w:p w14:paraId="5C416FD8" w14:textId="45A26C06" w:rsidR="009C14B6" w:rsidRPr="00E82549" w:rsidRDefault="00BB0273" w:rsidP="000362F9">
      <w:pPr>
        <w:spacing w:line="276" w:lineRule="auto"/>
        <w:ind w:firstLine="709"/>
        <w:jc w:val="both"/>
        <w:rPr>
          <w:rFonts w:ascii="Arial" w:eastAsia="Calibri" w:hAnsi="Arial" w:cs="Arial"/>
          <w:bCs/>
          <w:color w:val="000000" w:themeColor="text1"/>
          <w:sz w:val="22"/>
          <w:lang w:val="es-CO"/>
        </w:rPr>
      </w:pPr>
      <w:r w:rsidRPr="00E82549">
        <w:rPr>
          <w:rFonts w:ascii="Arial" w:eastAsia="Calibri" w:hAnsi="Arial" w:cs="Arial"/>
          <w:bCs/>
          <w:color w:val="000000" w:themeColor="text1"/>
          <w:sz w:val="22"/>
          <w:lang w:val="es-CO"/>
        </w:rPr>
        <w:t xml:space="preserve">En los mismos términos se profirió el concepto C-116 de 2020, en el que se reiteró que «[l]a obligatoriedad de publicar las actuaciones contractuales de las entidades no depende de su régimen de contratación, </w:t>
      </w:r>
      <w:r w:rsidRPr="00E82549">
        <w:rPr>
          <w:rFonts w:ascii="Arial" w:eastAsia="Calibri" w:hAnsi="Arial" w:cs="Arial"/>
          <w:bCs/>
          <w:i/>
          <w:iCs/>
          <w:color w:val="000000" w:themeColor="text1"/>
          <w:sz w:val="22"/>
          <w:lang w:val="es-CO"/>
        </w:rPr>
        <w:t>sino de la ejecución de recursos públicos</w:t>
      </w:r>
      <w:r w:rsidRPr="00E82549">
        <w:rPr>
          <w:rFonts w:ascii="Arial" w:eastAsia="Calibri" w:hAnsi="Arial" w:cs="Arial"/>
          <w:bCs/>
          <w:color w:val="000000" w:themeColor="text1"/>
          <w:sz w:val="22"/>
          <w:lang w:val="es-CO"/>
        </w:rPr>
        <w:t>» «cursivas propias».</w:t>
      </w:r>
    </w:p>
    <w:p w14:paraId="0E0F3980" w14:textId="076378F2" w:rsidR="00DE7F05" w:rsidRPr="00E82549" w:rsidRDefault="00DE7F05" w:rsidP="009B403D">
      <w:pPr>
        <w:spacing w:before="120" w:line="276" w:lineRule="auto"/>
        <w:jc w:val="both"/>
        <w:rPr>
          <w:rFonts w:ascii="Arial" w:eastAsia="Calibri" w:hAnsi="Arial" w:cs="Arial"/>
          <w:bCs/>
          <w:color w:val="000000" w:themeColor="text1"/>
          <w:sz w:val="22"/>
          <w:lang w:val="es-CO"/>
        </w:rPr>
      </w:pPr>
      <w:r w:rsidRPr="00E82549">
        <w:rPr>
          <w:rFonts w:ascii="Arial" w:eastAsia="Calibri" w:hAnsi="Arial" w:cs="Arial"/>
          <w:bCs/>
          <w:color w:val="000000" w:themeColor="text1"/>
          <w:sz w:val="22"/>
          <w:lang w:val="es-CO"/>
        </w:rPr>
        <w:tab/>
      </w:r>
      <w:bookmarkStart w:id="5" w:name="_Hlk38004705"/>
      <w:r w:rsidRPr="00E82549">
        <w:rPr>
          <w:rFonts w:ascii="Arial" w:eastAsia="Calibri" w:hAnsi="Arial" w:cs="Arial"/>
          <w:bCs/>
          <w:color w:val="000000" w:themeColor="text1"/>
          <w:sz w:val="22"/>
          <w:lang w:val="es-CO"/>
        </w:rPr>
        <w:t xml:space="preserve">La misma obligación les asiste a </w:t>
      </w:r>
      <w:r w:rsidR="00B942F0" w:rsidRPr="00E82549">
        <w:rPr>
          <w:rFonts w:ascii="Arial" w:eastAsia="Calibri" w:hAnsi="Arial" w:cs="Arial"/>
          <w:bCs/>
          <w:color w:val="000000" w:themeColor="text1"/>
          <w:sz w:val="22"/>
          <w:lang w:val="es-CO"/>
        </w:rPr>
        <w:t>las entidades descentralizadas del nivel territorial</w:t>
      </w:r>
      <w:r w:rsidRPr="00E82549">
        <w:rPr>
          <w:rFonts w:ascii="Arial" w:eastAsia="Calibri" w:hAnsi="Arial" w:cs="Arial"/>
          <w:bCs/>
          <w:color w:val="000000" w:themeColor="text1"/>
          <w:sz w:val="22"/>
          <w:lang w:val="es-CO"/>
        </w:rPr>
        <w:t xml:space="preserve">, según lo que se dijo en el concepto C-151 de 2020. Allí la Agencia Nacional de Contratación Pública concluyó que el factor que determina el deber de publicar en el SECOP es la ejecución de recursos públicos. </w:t>
      </w:r>
      <w:bookmarkEnd w:id="5"/>
      <w:r w:rsidRPr="00E82549">
        <w:rPr>
          <w:rFonts w:ascii="Arial" w:eastAsia="Calibri" w:hAnsi="Arial" w:cs="Arial"/>
          <w:bCs/>
          <w:color w:val="000000" w:themeColor="text1"/>
          <w:sz w:val="22"/>
          <w:lang w:val="es-CO"/>
        </w:rPr>
        <w:t xml:space="preserve">Sin embargo, con fundamento en las consideraciones expuestas en ese momento, puede decirse que del hecho </w:t>
      </w:r>
      <w:r w:rsidR="00D57FD3" w:rsidRPr="00E82549">
        <w:rPr>
          <w:rFonts w:ascii="Arial" w:eastAsia="Calibri" w:hAnsi="Arial" w:cs="Arial"/>
          <w:bCs/>
          <w:color w:val="000000" w:themeColor="text1"/>
          <w:sz w:val="22"/>
          <w:lang w:val="es-CO"/>
        </w:rPr>
        <w:t xml:space="preserve">de </w:t>
      </w:r>
      <w:r w:rsidRPr="00E82549">
        <w:rPr>
          <w:rFonts w:ascii="Arial" w:eastAsia="Calibri" w:hAnsi="Arial" w:cs="Arial"/>
          <w:bCs/>
          <w:color w:val="000000" w:themeColor="text1"/>
          <w:sz w:val="22"/>
          <w:lang w:val="es-CO"/>
        </w:rPr>
        <w:t xml:space="preserve">que todas las entidades públicas, sin importar su naturaleza jurídica o régimen de contratación, deban publicar los procesos contractuales en los que ejecutan recursos públicos, no se deriva que siempre tengan que hacerlo en el SECOP II, ya que al uso obligatorio de esta plataforma solo están vinculadas las entidades referidas en el Anexo 1 de la Circular Externa 1 de 2019, como se </w:t>
      </w:r>
      <w:r w:rsidRPr="00E82549">
        <w:rPr>
          <w:rFonts w:ascii="Arial" w:eastAsia="Calibri" w:hAnsi="Arial" w:cs="Arial"/>
          <w:bCs/>
          <w:color w:val="000000" w:themeColor="text1"/>
          <w:sz w:val="22"/>
          <w:lang w:val="es-CO"/>
        </w:rPr>
        <w:lastRenderedPageBreak/>
        <w:t xml:space="preserve">explicó en el numeral 2.1. </w:t>
      </w:r>
      <w:r w:rsidRPr="00E82549">
        <w:rPr>
          <w:rFonts w:ascii="Arial" w:eastAsia="Calibri" w:hAnsi="Arial" w:cs="Arial"/>
          <w:bCs/>
          <w:i/>
          <w:iCs/>
          <w:color w:val="000000" w:themeColor="text1"/>
          <w:sz w:val="22"/>
          <w:lang w:val="es-CO"/>
        </w:rPr>
        <w:t>supra</w:t>
      </w:r>
      <w:r w:rsidRPr="00E82549">
        <w:rPr>
          <w:rFonts w:ascii="Arial" w:eastAsia="Calibri" w:hAnsi="Arial" w:cs="Arial"/>
          <w:bCs/>
          <w:color w:val="000000" w:themeColor="text1"/>
          <w:sz w:val="22"/>
          <w:lang w:val="es-CO"/>
        </w:rPr>
        <w:t>. En e</w:t>
      </w:r>
      <w:r w:rsidR="009B403D" w:rsidRPr="00E82549">
        <w:rPr>
          <w:rFonts w:ascii="Arial" w:eastAsia="Calibri" w:hAnsi="Arial" w:cs="Arial"/>
          <w:bCs/>
          <w:color w:val="000000" w:themeColor="text1"/>
          <w:sz w:val="22"/>
          <w:lang w:val="es-CO"/>
        </w:rPr>
        <w:t xml:space="preserve">fecto, en el concepto C-151 de 2020 </w:t>
      </w:r>
      <w:r w:rsidRPr="00E82549">
        <w:rPr>
          <w:rFonts w:ascii="Arial" w:eastAsia="Calibri" w:hAnsi="Arial" w:cs="Arial"/>
          <w:bCs/>
          <w:color w:val="000000" w:themeColor="text1"/>
          <w:sz w:val="22"/>
          <w:lang w:val="es-CO"/>
        </w:rPr>
        <w:t>se concluyó</w:t>
      </w:r>
      <w:r w:rsidR="009B403D" w:rsidRPr="00E82549">
        <w:rPr>
          <w:rFonts w:ascii="Arial" w:eastAsia="Calibri" w:hAnsi="Arial" w:cs="Arial"/>
          <w:bCs/>
          <w:color w:val="000000" w:themeColor="text1"/>
          <w:sz w:val="22"/>
          <w:lang w:val="es-CO"/>
        </w:rPr>
        <w:t xml:space="preserve"> lo siguiente</w:t>
      </w:r>
      <w:r w:rsidRPr="00E82549">
        <w:rPr>
          <w:rFonts w:ascii="Arial" w:eastAsia="Calibri" w:hAnsi="Arial" w:cs="Arial"/>
          <w:bCs/>
          <w:color w:val="000000" w:themeColor="text1"/>
          <w:sz w:val="22"/>
          <w:lang w:val="es-CO"/>
        </w:rPr>
        <w:t>:</w:t>
      </w:r>
    </w:p>
    <w:p w14:paraId="010A516B" w14:textId="0AD59C63" w:rsidR="00DE7F05" w:rsidRPr="00E82549" w:rsidRDefault="00DE7F05" w:rsidP="00EE0AFC">
      <w:pPr>
        <w:spacing w:line="276" w:lineRule="auto"/>
        <w:jc w:val="both"/>
        <w:rPr>
          <w:rFonts w:ascii="Arial" w:eastAsia="Calibri" w:hAnsi="Arial" w:cs="Arial"/>
          <w:bCs/>
          <w:color w:val="000000" w:themeColor="text1"/>
          <w:sz w:val="22"/>
          <w:lang w:val="es-CO"/>
        </w:rPr>
      </w:pPr>
    </w:p>
    <w:p w14:paraId="3FDD3CDC" w14:textId="6D10CA24" w:rsidR="00B942F0" w:rsidRPr="00E82549" w:rsidRDefault="00B942F0" w:rsidP="00B942F0">
      <w:pPr>
        <w:ind w:left="709" w:right="709"/>
        <w:jc w:val="both"/>
        <w:rPr>
          <w:rFonts w:ascii="Arial" w:eastAsia="Calibri" w:hAnsi="Arial" w:cs="Arial"/>
          <w:bCs/>
          <w:color w:val="000000" w:themeColor="text1"/>
          <w:sz w:val="21"/>
          <w:szCs w:val="21"/>
          <w:lang w:val="es-CO"/>
        </w:rPr>
      </w:pPr>
      <w:r w:rsidRPr="00E82549">
        <w:rPr>
          <w:rFonts w:ascii="Arial" w:eastAsia="Calibri" w:hAnsi="Arial" w:cs="Arial"/>
          <w:bCs/>
          <w:color w:val="000000" w:themeColor="text1"/>
          <w:sz w:val="21"/>
          <w:szCs w:val="21"/>
          <w:lang w:val="es-CO"/>
        </w:rPr>
        <w:t>Respecto a la publicación del SECOP I o en el SECOP II, la Subdirección de Gestión Contractual concluye que, a la fecha, las entidades descentralizadas del nivel municipal no están obligadas a publicar sus procesos de contratación en el SECOP II, conforme a la salvedad que sobre el particular establece el Anexo 1 de la Circular Externa No. 1 de 2019.  Sin embargo, esta exclusión no las releva de continuar publicando sus procesos de contratación en la plataforma de SECOP I.</w:t>
      </w:r>
      <w:r w:rsidRPr="00E82549">
        <w:rPr>
          <w:rFonts w:ascii="Arial" w:eastAsia="Calibri" w:hAnsi="Arial" w:cs="Arial"/>
          <w:bCs/>
          <w:color w:val="000000" w:themeColor="text1"/>
          <w:sz w:val="21"/>
          <w:szCs w:val="21"/>
          <w:lang w:val="es-CO"/>
        </w:rPr>
        <w:tab/>
      </w:r>
    </w:p>
    <w:p w14:paraId="0481E2C7" w14:textId="77777777" w:rsidR="00B942F0" w:rsidRPr="00E82549" w:rsidRDefault="00B942F0" w:rsidP="00EE0AFC">
      <w:pPr>
        <w:spacing w:line="276" w:lineRule="auto"/>
        <w:jc w:val="both"/>
        <w:rPr>
          <w:rFonts w:ascii="Arial" w:eastAsia="Calibri" w:hAnsi="Arial" w:cs="Arial"/>
          <w:bCs/>
          <w:color w:val="000000" w:themeColor="text1"/>
          <w:sz w:val="22"/>
          <w:lang w:val="es-CO"/>
        </w:rPr>
      </w:pPr>
    </w:p>
    <w:p w14:paraId="1766A3D3" w14:textId="565C6FBD" w:rsidR="00C8132A" w:rsidRPr="00E82549" w:rsidRDefault="00FC16B2" w:rsidP="00C8132A">
      <w:pPr>
        <w:spacing w:line="276" w:lineRule="auto"/>
        <w:ind w:firstLine="709"/>
        <w:jc w:val="both"/>
        <w:rPr>
          <w:rFonts w:ascii="Arial" w:eastAsia="Calibri" w:hAnsi="Arial" w:cs="Arial"/>
          <w:bCs/>
          <w:color w:val="000000" w:themeColor="text1"/>
          <w:sz w:val="22"/>
          <w:lang w:val="es-CO"/>
        </w:rPr>
      </w:pPr>
      <w:r w:rsidRPr="00E82549">
        <w:rPr>
          <w:rFonts w:ascii="Arial" w:eastAsia="Calibri" w:hAnsi="Arial" w:cs="Arial"/>
          <w:bCs/>
          <w:color w:val="000000" w:themeColor="text1"/>
          <w:sz w:val="22"/>
          <w:lang w:val="es-CO"/>
        </w:rPr>
        <w:t xml:space="preserve">Las entidades descentralizadas por servicios, por otro lado, también </w:t>
      </w:r>
      <w:r w:rsidR="00CD4E7D" w:rsidRPr="00E82549">
        <w:rPr>
          <w:rFonts w:ascii="Arial" w:eastAsia="Calibri" w:hAnsi="Arial" w:cs="Arial"/>
          <w:bCs/>
          <w:color w:val="000000" w:themeColor="text1"/>
          <w:sz w:val="22"/>
          <w:lang w:val="es-CO"/>
        </w:rPr>
        <w:t xml:space="preserve">se encuentran </w:t>
      </w:r>
      <w:r w:rsidRPr="00E82549">
        <w:rPr>
          <w:rFonts w:ascii="Arial" w:eastAsia="Calibri" w:hAnsi="Arial" w:cs="Arial"/>
          <w:bCs/>
          <w:color w:val="000000" w:themeColor="text1"/>
          <w:sz w:val="22"/>
          <w:lang w:val="es-CO"/>
        </w:rPr>
        <w:t xml:space="preserve">llamadas a publicar su actividad contractual en el SECOP. Así lo concluyó Colombia Compra Eficiente en el concepto C-264 de 2020, </w:t>
      </w:r>
      <w:r w:rsidR="00CD4E7D" w:rsidRPr="00E82549">
        <w:rPr>
          <w:rFonts w:ascii="Arial" w:eastAsia="Calibri" w:hAnsi="Arial" w:cs="Arial"/>
          <w:bCs/>
          <w:color w:val="000000" w:themeColor="text1"/>
          <w:sz w:val="22"/>
          <w:lang w:val="es-CO"/>
        </w:rPr>
        <w:t xml:space="preserve">en donde dijo que: «[e]l Instituto Social de Vivienda y Hábitat de Medellín, sin consideración al régimen sustantivo de contratación que le resulta aplicable, esto es, Estatuto General de Contratación de la Administración Pública o regímenes exceptuados, inclusive </w:t>
      </w:r>
      <w:r w:rsidR="00CD4E7D" w:rsidRPr="00E82549">
        <w:rPr>
          <w:rFonts w:ascii="Arial" w:eastAsia="Calibri" w:hAnsi="Arial" w:cs="Arial"/>
          <w:bCs/>
          <w:i/>
          <w:iCs/>
          <w:color w:val="000000" w:themeColor="text1"/>
          <w:sz w:val="22"/>
          <w:lang w:val="es-CO"/>
        </w:rPr>
        <w:t>independiente de la tipología de los contratos y el régimen aplicable a los mismos</w:t>
      </w:r>
      <w:r w:rsidR="00CD4E7D" w:rsidRPr="00E82549">
        <w:rPr>
          <w:rFonts w:ascii="Arial" w:eastAsia="Calibri" w:hAnsi="Arial" w:cs="Arial"/>
          <w:bCs/>
          <w:color w:val="000000" w:themeColor="text1"/>
          <w:sz w:val="22"/>
          <w:lang w:val="es-CO"/>
        </w:rPr>
        <w:t>, está en la obligación de publicar todos los documentos proferidos con ocasión de sus procesos de contratación» «cursivas propias».</w:t>
      </w:r>
    </w:p>
    <w:p w14:paraId="26D1B6BE" w14:textId="5F5A8E68" w:rsidR="00C8132A" w:rsidRPr="00E82549" w:rsidRDefault="00B63DAA" w:rsidP="00F011FE">
      <w:pPr>
        <w:spacing w:before="120" w:line="276" w:lineRule="auto"/>
        <w:ind w:firstLine="709"/>
        <w:jc w:val="both"/>
        <w:rPr>
          <w:rFonts w:ascii="Arial" w:eastAsia="Calibri" w:hAnsi="Arial" w:cs="Arial"/>
          <w:bCs/>
          <w:color w:val="000000" w:themeColor="text1"/>
          <w:sz w:val="22"/>
          <w:lang w:val="es-CO"/>
        </w:rPr>
      </w:pPr>
      <w:r w:rsidRPr="00E82549">
        <w:rPr>
          <w:rFonts w:ascii="Arial" w:eastAsia="Calibri" w:hAnsi="Arial" w:cs="Arial"/>
          <w:bCs/>
          <w:color w:val="000000" w:themeColor="text1"/>
          <w:sz w:val="22"/>
          <w:lang w:val="es-CO"/>
        </w:rPr>
        <w:t>Por su parte</w:t>
      </w:r>
      <w:r w:rsidR="00C8132A" w:rsidRPr="00E82549">
        <w:rPr>
          <w:rFonts w:ascii="Arial" w:eastAsia="Calibri" w:hAnsi="Arial" w:cs="Arial"/>
          <w:bCs/>
          <w:color w:val="000000" w:themeColor="text1"/>
          <w:sz w:val="22"/>
          <w:lang w:val="es-CO"/>
        </w:rPr>
        <w:t xml:space="preserve">, </w:t>
      </w:r>
      <w:r w:rsidRPr="00E82549">
        <w:rPr>
          <w:rFonts w:ascii="Arial" w:eastAsia="Calibri" w:hAnsi="Arial" w:cs="Arial"/>
          <w:bCs/>
          <w:color w:val="000000" w:themeColor="text1"/>
          <w:sz w:val="22"/>
          <w:lang w:val="es-CO"/>
        </w:rPr>
        <w:t xml:space="preserve">para </w:t>
      </w:r>
      <w:r w:rsidR="00C8132A" w:rsidRPr="00E82549">
        <w:rPr>
          <w:rFonts w:ascii="Arial" w:eastAsia="Calibri" w:hAnsi="Arial" w:cs="Arial"/>
          <w:bCs/>
          <w:color w:val="000000" w:themeColor="text1"/>
          <w:sz w:val="22"/>
          <w:lang w:val="es-CO"/>
        </w:rPr>
        <w:t>los contratos de empréstito</w:t>
      </w:r>
      <w:r w:rsidRPr="00E82549">
        <w:rPr>
          <w:rFonts w:ascii="Arial" w:eastAsia="Calibri" w:hAnsi="Arial" w:cs="Arial"/>
          <w:bCs/>
          <w:color w:val="000000" w:themeColor="text1"/>
          <w:sz w:val="22"/>
          <w:lang w:val="es-CO"/>
        </w:rPr>
        <w:t>,</w:t>
      </w:r>
      <w:r w:rsidR="00C8132A" w:rsidRPr="00E82549">
        <w:rPr>
          <w:rFonts w:ascii="Arial" w:eastAsia="Calibri" w:hAnsi="Arial" w:cs="Arial"/>
          <w:bCs/>
          <w:color w:val="000000" w:themeColor="text1"/>
          <w:sz w:val="22"/>
          <w:lang w:val="es-CO"/>
        </w:rPr>
        <w:t xml:space="preserve"> cuyo propósito es proveer a las entidades contratantes de recursos en moneda nacional o extranjera con plazo para su pago</w:t>
      </w:r>
      <w:r w:rsidR="00C8132A" w:rsidRPr="00E82549">
        <w:rPr>
          <w:rStyle w:val="Refdenotaalpie"/>
          <w:rFonts w:ascii="Arial" w:eastAsia="Calibri" w:hAnsi="Arial" w:cs="Arial"/>
          <w:bCs/>
          <w:color w:val="000000" w:themeColor="text1"/>
          <w:sz w:val="22"/>
          <w:lang w:val="es-CO"/>
        </w:rPr>
        <w:footnoteReference w:id="10"/>
      </w:r>
      <w:r w:rsidRPr="00E82549">
        <w:rPr>
          <w:rFonts w:ascii="Arial" w:eastAsia="Calibri" w:hAnsi="Arial" w:cs="Arial"/>
          <w:bCs/>
          <w:color w:val="000000" w:themeColor="text1"/>
          <w:sz w:val="22"/>
          <w:lang w:val="es-CO"/>
        </w:rPr>
        <w:t>,</w:t>
      </w:r>
      <w:r w:rsidR="00C8132A" w:rsidRPr="00E82549">
        <w:rPr>
          <w:rFonts w:ascii="Arial" w:eastAsia="Calibri" w:hAnsi="Arial" w:cs="Arial"/>
          <w:bCs/>
          <w:color w:val="000000" w:themeColor="text1"/>
          <w:sz w:val="22"/>
          <w:lang w:val="es-CO"/>
        </w:rPr>
        <w:t xml:space="preserve"> la Ley dispuso que estos se realizan de forma directa, pues de acuerdo con su naturaleza, le es difícil al </w:t>
      </w:r>
      <w:r w:rsidRPr="00E82549">
        <w:rPr>
          <w:rFonts w:ascii="Arial" w:eastAsia="Calibri" w:hAnsi="Arial" w:cs="Arial"/>
          <w:bCs/>
          <w:color w:val="000000" w:themeColor="text1"/>
          <w:sz w:val="22"/>
          <w:lang w:val="es-CO"/>
        </w:rPr>
        <w:t>E</w:t>
      </w:r>
      <w:r w:rsidR="00C8132A" w:rsidRPr="00E82549">
        <w:rPr>
          <w:rFonts w:ascii="Arial" w:eastAsia="Calibri" w:hAnsi="Arial" w:cs="Arial"/>
          <w:bCs/>
          <w:color w:val="000000" w:themeColor="text1"/>
          <w:sz w:val="22"/>
          <w:lang w:val="es-CO"/>
        </w:rPr>
        <w:t xml:space="preserve">stado establecer las condiciones generales para realizar este tipo de contratación, </w:t>
      </w:r>
      <w:r w:rsidR="00955A68" w:rsidRPr="00E82549">
        <w:rPr>
          <w:rFonts w:ascii="Arial" w:eastAsia="Calibri" w:hAnsi="Arial" w:cs="Arial"/>
          <w:bCs/>
          <w:color w:val="000000" w:themeColor="text1"/>
          <w:sz w:val="22"/>
          <w:lang w:val="es-CO"/>
        </w:rPr>
        <w:t xml:space="preserve">esto, </w:t>
      </w:r>
      <w:r w:rsidR="00C8132A" w:rsidRPr="00E82549">
        <w:rPr>
          <w:rFonts w:ascii="Arial" w:eastAsia="Calibri" w:hAnsi="Arial" w:cs="Arial"/>
          <w:bCs/>
          <w:color w:val="000000" w:themeColor="text1"/>
          <w:sz w:val="22"/>
          <w:lang w:val="es-CO"/>
        </w:rPr>
        <w:t xml:space="preserve">sin quedar desprovisto de su deber de selección objetiva. </w:t>
      </w:r>
      <w:r w:rsidR="00770A9F" w:rsidRPr="00E82549">
        <w:rPr>
          <w:rFonts w:ascii="Arial" w:eastAsia="Calibri" w:hAnsi="Arial" w:cs="Arial"/>
          <w:bCs/>
          <w:color w:val="000000" w:themeColor="text1"/>
          <w:sz w:val="22"/>
          <w:lang w:val="es-CO"/>
        </w:rPr>
        <w:t>Así</w:t>
      </w:r>
      <w:r w:rsidR="00D12EF4" w:rsidRPr="00E82549">
        <w:rPr>
          <w:rFonts w:ascii="Arial" w:eastAsia="Calibri" w:hAnsi="Arial" w:cs="Arial"/>
          <w:bCs/>
          <w:color w:val="000000" w:themeColor="text1"/>
          <w:sz w:val="22"/>
          <w:lang w:val="es-CO"/>
        </w:rPr>
        <w:t xml:space="preserve"> las cosas nos encontramos frente a una tipología contractual cuyo origen se da </w:t>
      </w:r>
      <w:r w:rsidR="00770A9F" w:rsidRPr="00E82549">
        <w:rPr>
          <w:rFonts w:ascii="Arial" w:eastAsia="Calibri" w:hAnsi="Arial" w:cs="Arial"/>
          <w:bCs/>
          <w:color w:val="000000" w:themeColor="text1"/>
          <w:sz w:val="22"/>
          <w:lang w:val="es-CO"/>
        </w:rPr>
        <w:t xml:space="preserve">confluencia de la </w:t>
      </w:r>
      <w:r w:rsidR="00D12EF4" w:rsidRPr="00E82549">
        <w:rPr>
          <w:rFonts w:ascii="Arial" w:eastAsia="Calibri" w:hAnsi="Arial" w:cs="Arial"/>
          <w:bCs/>
          <w:color w:val="000000" w:themeColor="text1"/>
          <w:sz w:val="22"/>
          <w:lang w:val="es-CO"/>
        </w:rPr>
        <w:t xml:space="preserve">voluntad </w:t>
      </w:r>
      <w:r w:rsidR="00770A9F" w:rsidRPr="00E82549">
        <w:rPr>
          <w:rFonts w:ascii="Arial" w:eastAsia="Calibri" w:hAnsi="Arial" w:cs="Arial"/>
          <w:bCs/>
          <w:color w:val="000000" w:themeColor="text1"/>
          <w:sz w:val="22"/>
          <w:lang w:val="es-CO"/>
        </w:rPr>
        <w:t xml:space="preserve">por </w:t>
      </w:r>
      <w:proofErr w:type="gramStart"/>
      <w:r w:rsidR="00770A9F" w:rsidRPr="00E82549">
        <w:rPr>
          <w:rFonts w:ascii="Arial" w:eastAsia="Calibri" w:hAnsi="Arial" w:cs="Arial"/>
          <w:bCs/>
          <w:color w:val="000000" w:themeColor="text1"/>
          <w:sz w:val="22"/>
          <w:lang w:val="es-CO"/>
        </w:rPr>
        <w:t xml:space="preserve">parte </w:t>
      </w:r>
      <w:r w:rsidR="00D12EF4" w:rsidRPr="00E82549">
        <w:rPr>
          <w:rFonts w:ascii="Arial" w:eastAsia="Calibri" w:hAnsi="Arial" w:cs="Arial"/>
          <w:bCs/>
          <w:color w:val="000000" w:themeColor="text1"/>
          <w:sz w:val="22"/>
          <w:lang w:val="es-CO"/>
        </w:rPr>
        <w:t xml:space="preserve"> del</w:t>
      </w:r>
      <w:proofErr w:type="gramEnd"/>
      <w:r w:rsidR="00D12EF4" w:rsidRPr="00E82549">
        <w:rPr>
          <w:rFonts w:ascii="Arial" w:eastAsia="Calibri" w:hAnsi="Arial" w:cs="Arial"/>
          <w:bCs/>
          <w:color w:val="000000" w:themeColor="text1"/>
          <w:sz w:val="22"/>
          <w:lang w:val="es-CO"/>
        </w:rPr>
        <w:t xml:space="preserve"> Estado y quienes proveen los recursos, en este caso, sus acreedores</w:t>
      </w:r>
      <w:r w:rsidR="00770A9F" w:rsidRPr="00E82549">
        <w:rPr>
          <w:rFonts w:ascii="Arial" w:eastAsia="Calibri" w:hAnsi="Arial" w:cs="Arial"/>
          <w:bCs/>
          <w:color w:val="000000" w:themeColor="text1"/>
          <w:sz w:val="22"/>
          <w:lang w:val="es-CO"/>
        </w:rPr>
        <w:t xml:space="preserve"> y de contenido oneroso</w:t>
      </w:r>
      <w:r w:rsidR="00D12EF4" w:rsidRPr="00E82549">
        <w:rPr>
          <w:rFonts w:ascii="Arial" w:eastAsia="Calibri" w:hAnsi="Arial" w:cs="Arial"/>
          <w:bCs/>
          <w:color w:val="000000" w:themeColor="text1"/>
          <w:sz w:val="22"/>
          <w:lang w:val="es-CO"/>
        </w:rPr>
        <w:t xml:space="preserve">. </w:t>
      </w:r>
    </w:p>
    <w:p w14:paraId="30161B6D" w14:textId="21B6D60F" w:rsidR="00FF1B38" w:rsidRPr="00E82549" w:rsidRDefault="00142D60" w:rsidP="00F011FE">
      <w:pPr>
        <w:spacing w:before="120" w:line="276" w:lineRule="auto"/>
        <w:ind w:firstLine="709"/>
        <w:jc w:val="both"/>
        <w:rPr>
          <w:rFonts w:ascii="Arial" w:eastAsia="Calibri" w:hAnsi="Arial" w:cs="Arial"/>
          <w:bCs/>
          <w:color w:val="000000" w:themeColor="text1"/>
          <w:sz w:val="22"/>
          <w:lang w:val="es-CO"/>
        </w:rPr>
      </w:pPr>
      <w:r w:rsidRPr="00E82549">
        <w:rPr>
          <w:rFonts w:ascii="Arial" w:eastAsia="Calibri" w:hAnsi="Arial" w:cs="Arial"/>
          <w:bCs/>
          <w:color w:val="000000" w:themeColor="text1"/>
          <w:sz w:val="22"/>
          <w:lang w:val="es-CO"/>
        </w:rPr>
        <w:t xml:space="preserve">Al respecto, es preciso decir que de acuerdo con el artículo 2 de la Ley 80 de 1993, entre otras, se denominan entidades estatales, las sociedades de economía mixta en las que el Estado tenga participación superior al cincuenta por ciento (50%); asimismo, </w:t>
      </w:r>
      <w:r w:rsidRPr="00E82549">
        <w:rPr>
          <w:rFonts w:ascii="Arial" w:eastAsia="Calibri" w:hAnsi="Arial" w:cs="Arial"/>
          <w:bCs/>
          <w:color w:val="000000" w:themeColor="text1"/>
          <w:sz w:val="22"/>
          <w:lang w:val="es-CO"/>
        </w:rPr>
        <w:lastRenderedPageBreak/>
        <w:t>estableció en su artículo 32 que son contratos estatales todos los actos jurídicos generadores de obligaciones que celebren las entidades a las que se refiere el estatuto, previstos en el derecho privado o en disposiciones especiales, o derivados del ejercicio de la autonomía de la voluntad</w:t>
      </w:r>
      <w:r w:rsidR="00E82549">
        <w:rPr>
          <w:rFonts w:ascii="Arial" w:eastAsia="Calibri" w:hAnsi="Arial" w:cs="Arial"/>
          <w:bCs/>
          <w:color w:val="000000" w:themeColor="text1"/>
          <w:sz w:val="22"/>
          <w:lang w:val="es-CO"/>
        </w:rPr>
        <w:t>, frente a</w:t>
      </w:r>
      <w:r w:rsidR="0075145E">
        <w:rPr>
          <w:rFonts w:ascii="Arial" w:eastAsia="Calibri" w:hAnsi="Arial" w:cs="Arial"/>
          <w:bCs/>
          <w:color w:val="000000" w:themeColor="text1"/>
          <w:sz w:val="22"/>
          <w:lang w:val="es-CO"/>
        </w:rPr>
        <w:t xml:space="preserve">l respecto el Consejo de Estado señaló: </w:t>
      </w:r>
      <w:r w:rsidR="002D0C82" w:rsidRPr="00E82549">
        <w:rPr>
          <w:rFonts w:ascii="Arial" w:eastAsia="Calibri" w:hAnsi="Arial" w:cs="Arial"/>
          <w:bCs/>
          <w:color w:val="000000" w:themeColor="text1"/>
          <w:sz w:val="22"/>
          <w:lang w:val="es-CO"/>
        </w:rPr>
        <w:t xml:space="preserve"> </w:t>
      </w:r>
    </w:p>
    <w:p w14:paraId="14A79FE2" w14:textId="476B9FC0" w:rsidR="00142D60" w:rsidRPr="0075145E" w:rsidRDefault="00142D60" w:rsidP="00E82549">
      <w:pPr>
        <w:spacing w:before="120"/>
        <w:ind w:left="709" w:right="709"/>
        <w:jc w:val="both"/>
        <w:rPr>
          <w:rFonts w:ascii="Arial" w:eastAsia="Calibri" w:hAnsi="Arial" w:cs="Arial"/>
          <w:bCs/>
          <w:color w:val="000000" w:themeColor="text1"/>
          <w:sz w:val="21"/>
          <w:szCs w:val="21"/>
          <w:lang w:val="es-CO"/>
        </w:rPr>
      </w:pPr>
      <w:r w:rsidRPr="00E82549">
        <w:rPr>
          <w:rFonts w:ascii="Arial" w:eastAsia="Calibri" w:hAnsi="Arial" w:cs="Arial"/>
          <w:bCs/>
          <w:color w:val="000000" w:themeColor="text1"/>
          <w:sz w:val="21"/>
          <w:szCs w:val="21"/>
          <w:lang w:val="es-CO"/>
        </w:rPr>
        <w:t>Al respecto, la jurisprudencia de esta Corporación ha señalado que la naturaleza del contrato no depende de su régimen jurídico, puesto que, según las normas legales vigentes, por cuya virtud se acogió un criterio eminentemente subjetivo u orgánico, deben considerarse contratos estatales aquellos que celebren las entidades que participan de esa misma naturaleza. (…) en el marco del ordenamiento jurídico vigente, la determinación de la naturaleza jurídica del contrato depende de la que, a su vez, tenga la entidad que lo celebra; así, si ésta es estatal, el contrato también lo es, sin importar el régimen legal que se le deba aplicar</w:t>
      </w:r>
      <w:r w:rsidR="00E82549">
        <w:rPr>
          <w:rFonts w:ascii="Arial" w:eastAsia="Calibri" w:hAnsi="Arial" w:cs="Arial"/>
          <w:bCs/>
          <w:color w:val="000000" w:themeColor="text1"/>
          <w:sz w:val="21"/>
          <w:szCs w:val="21"/>
          <w:lang w:val="es-CO"/>
        </w:rPr>
        <w:t>.</w:t>
      </w:r>
      <w:r w:rsidR="00E82549">
        <w:rPr>
          <w:rStyle w:val="Refdenotaalpie"/>
          <w:rFonts w:ascii="Arial" w:eastAsia="Calibri" w:hAnsi="Arial" w:cs="Arial"/>
          <w:bCs/>
          <w:color w:val="000000" w:themeColor="text1"/>
          <w:sz w:val="21"/>
          <w:szCs w:val="21"/>
          <w:lang w:val="es-CO"/>
        </w:rPr>
        <w:footnoteReference w:id="11"/>
      </w:r>
    </w:p>
    <w:p w14:paraId="643D13B6" w14:textId="2E1594CB" w:rsidR="00050361" w:rsidRPr="0075145E" w:rsidRDefault="00C32786" w:rsidP="00050361">
      <w:pPr>
        <w:spacing w:before="120" w:line="276" w:lineRule="auto"/>
        <w:ind w:firstLine="709"/>
        <w:jc w:val="both"/>
        <w:rPr>
          <w:rFonts w:ascii="Arial" w:eastAsia="Calibri" w:hAnsi="Arial" w:cs="Arial"/>
          <w:bCs/>
          <w:color w:val="000000" w:themeColor="text1"/>
          <w:sz w:val="22"/>
          <w:lang w:val="es-CO"/>
        </w:rPr>
      </w:pPr>
      <w:r w:rsidRPr="0075145E">
        <w:rPr>
          <w:rFonts w:ascii="Arial" w:eastAsia="Calibri" w:hAnsi="Arial" w:cs="Arial"/>
          <w:bCs/>
          <w:color w:val="000000" w:themeColor="text1"/>
          <w:sz w:val="22"/>
          <w:lang w:val="es-CO"/>
        </w:rPr>
        <w:t xml:space="preserve">Dentro de las características de los contratos de empréstito, se puede establecer que se realiza a través de contratación directa, sin necesidad de acudir al procedimiento de licitación o concurso de méritos, lo anterior </w:t>
      </w:r>
      <w:proofErr w:type="gramStart"/>
      <w:r w:rsidRPr="0075145E">
        <w:rPr>
          <w:rFonts w:ascii="Arial" w:eastAsia="Calibri" w:hAnsi="Arial" w:cs="Arial"/>
          <w:bCs/>
          <w:color w:val="000000" w:themeColor="text1"/>
          <w:sz w:val="22"/>
          <w:lang w:val="es-CO"/>
        </w:rPr>
        <w:t>de acuerdo a</w:t>
      </w:r>
      <w:proofErr w:type="gramEnd"/>
      <w:r w:rsidRPr="0075145E">
        <w:rPr>
          <w:rFonts w:ascii="Arial" w:eastAsia="Calibri" w:hAnsi="Arial" w:cs="Arial"/>
          <w:bCs/>
          <w:color w:val="000000" w:themeColor="text1"/>
          <w:sz w:val="22"/>
          <w:lang w:val="es-CO"/>
        </w:rPr>
        <w:t xml:space="preserve"> su especialidad. Sin embargo, la entidad contratacante al suscribir este tipo de contratos deberá aplicar los principios de economía, transparencia y selección objetiva</w:t>
      </w:r>
      <w:r w:rsidRPr="0075145E">
        <w:rPr>
          <w:rStyle w:val="Refdenotaalpie"/>
          <w:rFonts w:ascii="Arial" w:eastAsia="Calibri" w:hAnsi="Arial" w:cs="Arial"/>
          <w:bCs/>
          <w:color w:val="000000" w:themeColor="text1"/>
          <w:sz w:val="22"/>
          <w:lang w:val="es-CO"/>
        </w:rPr>
        <w:footnoteReference w:id="12"/>
      </w:r>
      <w:r w:rsidRPr="0075145E">
        <w:rPr>
          <w:rFonts w:ascii="Arial" w:eastAsia="Calibri" w:hAnsi="Arial" w:cs="Arial"/>
          <w:bCs/>
          <w:color w:val="000000" w:themeColor="text1"/>
          <w:sz w:val="22"/>
          <w:lang w:val="es-CO"/>
        </w:rPr>
        <w:t xml:space="preserve">, consagrados en la ley 80 de 1993. </w:t>
      </w:r>
    </w:p>
    <w:p w14:paraId="3E2BFD88" w14:textId="3BFDE717" w:rsidR="007522A1" w:rsidRPr="0075145E" w:rsidRDefault="007522A1" w:rsidP="00F011FE">
      <w:pPr>
        <w:spacing w:before="120" w:line="276" w:lineRule="auto"/>
        <w:ind w:firstLine="709"/>
        <w:jc w:val="both"/>
        <w:rPr>
          <w:rFonts w:ascii="Arial" w:eastAsia="Calibri" w:hAnsi="Arial" w:cs="Arial"/>
          <w:bCs/>
          <w:color w:val="000000" w:themeColor="text1"/>
          <w:sz w:val="22"/>
          <w:lang w:val="es-CO"/>
        </w:rPr>
      </w:pPr>
      <w:r w:rsidRPr="0075145E">
        <w:rPr>
          <w:rFonts w:ascii="Arial" w:eastAsia="Calibri" w:hAnsi="Arial" w:cs="Arial"/>
          <w:bCs/>
          <w:color w:val="000000" w:themeColor="text1"/>
          <w:sz w:val="22"/>
          <w:lang w:val="es-CO"/>
        </w:rPr>
        <w:t xml:space="preserve">Frente a la selección objetiva que deben aplicar las entidades estatales al suscribir contratos de empréstito se puede establecer los siguientes elementos que la conformar, de la lectura </w:t>
      </w:r>
      <w:proofErr w:type="gramStart"/>
      <w:r w:rsidRPr="0075145E">
        <w:rPr>
          <w:rFonts w:ascii="Arial" w:eastAsia="Calibri" w:hAnsi="Arial" w:cs="Arial"/>
          <w:bCs/>
          <w:color w:val="000000" w:themeColor="text1"/>
          <w:sz w:val="22"/>
          <w:lang w:val="es-CO"/>
        </w:rPr>
        <w:t>de los artículo</w:t>
      </w:r>
      <w:proofErr w:type="gramEnd"/>
      <w:r w:rsidRPr="0075145E">
        <w:rPr>
          <w:rFonts w:ascii="Arial" w:eastAsia="Calibri" w:hAnsi="Arial" w:cs="Arial"/>
          <w:bCs/>
          <w:color w:val="000000" w:themeColor="text1"/>
          <w:sz w:val="22"/>
          <w:lang w:val="es-CO"/>
        </w:rPr>
        <w:t xml:space="preserve"> 31 y 32 del Decreto 2681 de 1993: </w:t>
      </w:r>
    </w:p>
    <w:p w14:paraId="61A715D2" w14:textId="6276834F" w:rsidR="007522A1" w:rsidRPr="0075145E" w:rsidRDefault="007522A1" w:rsidP="007522A1">
      <w:pPr>
        <w:pStyle w:val="Prrafodelista"/>
        <w:numPr>
          <w:ilvl w:val="0"/>
          <w:numId w:val="11"/>
        </w:numPr>
        <w:spacing w:before="120" w:line="276" w:lineRule="auto"/>
        <w:jc w:val="both"/>
        <w:rPr>
          <w:rFonts w:ascii="Arial" w:eastAsia="Calibri" w:hAnsi="Arial" w:cs="Arial"/>
          <w:bCs/>
          <w:color w:val="000000" w:themeColor="text1"/>
          <w:sz w:val="22"/>
          <w:lang w:val="es-CO"/>
        </w:rPr>
      </w:pPr>
      <w:r w:rsidRPr="0075145E">
        <w:rPr>
          <w:rFonts w:ascii="Arial" w:eastAsia="Calibri" w:hAnsi="Arial" w:cs="Arial"/>
          <w:bCs/>
          <w:color w:val="000000" w:themeColor="text1"/>
          <w:sz w:val="22"/>
          <w:lang w:val="es-CO"/>
        </w:rPr>
        <w:t xml:space="preserve">Previa suscripción del contrato de empréstito se deben evaluar diferentes formas de financiamiento. </w:t>
      </w:r>
    </w:p>
    <w:p w14:paraId="7B027A4F" w14:textId="6A8EC985" w:rsidR="007522A1" w:rsidRPr="0075145E" w:rsidRDefault="007522A1" w:rsidP="007522A1">
      <w:pPr>
        <w:pStyle w:val="Prrafodelista"/>
        <w:numPr>
          <w:ilvl w:val="0"/>
          <w:numId w:val="11"/>
        </w:numPr>
        <w:spacing w:before="120" w:line="276" w:lineRule="auto"/>
        <w:jc w:val="both"/>
        <w:rPr>
          <w:rFonts w:ascii="Arial" w:eastAsia="Calibri" w:hAnsi="Arial" w:cs="Arial"/>
          <w:bCs/>
          <w:color w:val="000000" w:themeColor="text1"/>
          <w:sz w:val="22"/>
          <w:lang w:val="es-CO"/>
        </w:rPr>
      </w:pPr>
      <w:r w:rsidRPr="0075145E">
        <w:rPr>
          <w:rFonts w:ascii="Arial" w:eastAsia="Calibri" w:hAnsi="Arial" w:cs="Arial"/>
          <w:bCs/>
          <w:color w:val="000000" w:themeColor="text1"/>
          <w:sz w:val="22"/>
          <w:lang w:val="es-CO"/>
        </w:rPr>
        <w:t xml:space="preserve">Se deberán evaluar las alternativas disponibles en el mercado, para la cual se solicitarán al menos dos cotizaciones. </w:t>
      </w:r>
    </w:p>
    <w:p w14:paraId="02D5E31D" w14:textId="02051497" w:rsidR="007522A1" w:rsidRPr="0075145E" w:rsidRDefault="007522A1" w:rsidP="007522A1">
      <w:pPr>
        <w:pStyle w:val="Prrafodelista"/>
        <w:numPr>
          <w:ilvl w:val="0"/>
          <w:numId w:val="11"/>
        </w:numPr>
        <w:spacing w:before="120" w:line="276" w:lineRule="auto"/>
        <w:jc w:val="both"/>
        <w:rPr>
          <w:rFonts w:ascii="Arial" w:eastAsia="Calibri" w:hAnsi="Arial" w:cs="Arial"/>
          <w:bCs/>
          <w:color w:val="000000" w:themeColor="text1"/>
          <w:sz w:val="22"/>
          <w:lang w:val="es-CO"/>
        </w:rPr>
      </w:pPr>
      <w:r w:rsidRPr="0075145E">
        <w:rPr>
          <w:rFonts w:ascii="Arial" w:eastAsia="Calibri" w:hAnsi="Arial" w:cs="Arial"/>
          <w:bCs/>
          <w:color w:val="000000" w:themeColor="text1"/>
          <w:sz w:val="22"/>
          <w:lang w:val="es-CO"/>
        </w:rPr>
        <w:t xml:space="preserve">Se deberá tener en cuenta por parte de la entidad contratante el ofrecimiento más favorable. </w:t>
      </w:r>
    </w:p>
    <w:p w14:paraId="1D94CB85" w14:textId="03725EB8" w:rsidR="00A3549C" w:rsidRPr="0075145E" w:rsidRDefault="00A3549C" w:rsidP="0075145E">
      <w:pPr>
        <w:spacing w:before="120" w:line="276" w:lineRule="auto"/>
        <w:ind w:firstLine="709"/>
        <w:jc w:val="both"/>
        <w:rPr>
          <w:rFonts w:ascii="Arial" w:eastAsia="Calibri" w:hAnsi="Arial" w:cs="Arial"/>
          <w:bCs/>
          <w:color w:val="000000" w:themeColor="text1"/>
          <w:sz w:val="22"/>
          <w:lang w:val="es-CO"/>
        </w:rPr>
      </w:pPr>
      <w:r w:rsidRPr="0075145E">
        <w:rPr>
          <w:rFonts w:ascii="Arial" w:eastAsia="Calibri" w:hAnsi="Arial" w:cs="Arial"/>
          <w:bCs/>
          <w:color w:val="000000" w:themeColor="text1"/>
          <w:sz w:val="22"/>
          <w:lang w:val="es-CO"/>
        </w:rPr>
        <w:lastRenderedPageBreak/>
        <w:t xml:space="preserve">Continuando con el desarrollo del citado Decreto, los contratos de empréstito se encuentran una clasificación </w:t>
      </w:r>
      <w:proofErr w:type="gramStart"/>
      <w:r w:rsidRPr="0075145E">
        <w:rPr>
          <w:rFonts w:ascii="Arial" w:eastAsia="Calibri" w:hAnsi="Arial" w:cs="Arial"/>
          <w:bCs/>
          <w:color w:val="000000" w:themeColor="text1"/>
          <w:sz w:val="22"/>
          <w:lang w:val="es-CO"/>
        </w:rPr>
        <w:t>de acuerdo a</w:t>
      </w:r>
      <w:proofErr w:type="gramEnd"/>
      <w:r w:rsidRPr="0075145E">
        <w:rPr>
          <w:rFonts w:ascii="Arial" w:eastAsia="Calibri" w:hAnsi="Arial" w:cs="Arial"/>
          <w:bCs/>
          <w:color w:val="000000" w:themeColor="text1"/>
          <w:sz w:val="22"/>
          <w:lang w:val="es-CO"/>
        </w:rPr>
        <w:t xml:space="preserve"> dos componentes: el primero obedece a si el empréstito es interno o externo y el segundo a la naturaleza de la entidad contratante. Se tiene entonces que las operaciones de crédito público </w:t>
      </w:r>
      <w:proofErr w:type="gramStart"/>
      <w:r w:rsidRPr="0075145E">
        <w:rPr>
          <w:rFonts w:ascii="Arial" w:eastAsia="Calibri" w:hAnsi="Arial" w:cs="Arial"/>
          <w:bCs/>
          <w:color w:val="000000" w:themeColor="text1"/>
          <w:sz w:val="22"/>
          <w:lang w:val="es-CO"/>
        </w:rPr>
        <w:t>internas,</w:t>
      </w:r>
      <w:proofErr w:type="gramEnd"/>
      <w:r w:rsidRPr="0075145E">
        <w:rPr>
          <w:rFonts w:ascii="Arial" w:eastAsia="Calibri" w:hAnsi="Arial" w:cs="Arial"/>
          <w:bCs/>
          <w:color w:val="000000" w:themeColor="text1"/>
          <w:sz w:val="22"/>
          <w:lang w:val="es-CO"/>
        </w:rPr>
        <w:t xml:space="preserve"> son las que se celebren exclusivamente entre residentes del territorio colombiano para ser pagaderas en moneda legal colombiana y las operaciones de crédito público las demás. </w:t>
      </w:r>
    </w:p>
    <w:p w14:paraId="49822E5E" w14:textId="0B67684B" w:rsidR="00D12EF4" w:rsidRPr="0075145E" w:rsidRDefault="00EE237A" w:rsidP="00EE237A">
      <w:pPr>
        <w:spacing w:before="120" w:line="276" w:lineRule="auto"/>
        <w:ind w:firstLine="709"/>
        <w:jc w:val="both"/>
        <w:rPr>
          <w:rFonts w:ascii="Arial" w:eastAsia="Calibri" w:hAnsi="Arial" w:cs="Arial"/>
          <w:bCs/>
          <w:color w:val="000000" w:themeColor="text1"/>
          <w:sz w:val="22"/>
          <w:lang w:val="es-CO"/>
        </w:rPr>
      </w:pPr>
      <w:r w:rsidRPr="0075145E">
        <w:rPr>
          <w:rFonts w:ascii="Arial" w:eastAsia="Calibri" w:hAnsi="Arial" w:cs="Arial"/>
          <w:bCs/>
          <w:color w:val="000000" w:themeColor="text1"/>
          <w:sz w:val="22"/>
          <w:lang w:val="es-CO"/>
        </w:rPr>
        <w:t xml:space="preserve">Su clasificación también se realiza conforme a su temporalidad, siendo los contratos de empréstito a largo plazo aquellos cuyo plazo es superior a un año y se buscan financiar inversiones a largo plazo, y los contratos de empréstito a corto plazo cuyo objetivo es financiar gastos a corto plazo y son inferiores a un año.  </w:t>
      </w:r>
    </w:p>
    <w:p w14:paraId="444183C8" w14:textId="67DC3741" w:rsidR="00D12EF4" w:rsidRPr="0075145E" w:rsidRDefault="00F011FE" w:rsidP="00A824F7">
      <w:pPr>
        <w:spacing w:before="120" w:line="276" w:lineRule="auto"/>
        <w:ind w:firstLine="709"/>
        <w:jc w:val="both"/>
        <w:rPr>
          <w:rFonts w:ascii="Arial" w:eastAsia="Calibri" w:hAnsi="Arial" w:cs="Arial"/>
          <w:bCs/>
          <w:color w:val="000000" w:themeColor="text1"/>
          <w:sz w:val="22"/>
          <w:lang w:val="es-CO"/>
        </w:rPr>
      </w:pPr>
      <w:r w:rsidRPr="0075145E">
        <w:rPr>
          <w:rFonts w:ascii="Arial" w:eastAsia="Calibri" w:hAnsi="Arial" w:cs="Arial"/>
          <w:bCs/>
          <w:color w:val="000000" w:themeColor="text1"/>
          <w:sz w:val="22"/>
          <w:lang w:val="es-CO"/>
        </w:rPr>
        <w:t xml:space="preserve">El </w:t>
      </w:r>
      <w:proofErr w:type="spellStart"/>
      <w:r w:rsidRPr="0075145E">
        <w:rPr>
          <w:rFonts w:ascii="Arial" w:eastAsia="Calibri" w:hAnsi="Arial" w:cs="Arial"/>
          <w:bCs/>
          <w:color w:val="000000" w:themeColor="text1"/>
          <w:sz w:val="22"/>
          <w:lang w:val="es-CO"/>
        </w:rPr>
        <w:t>articulo</w:t>
      </w:r>
      <w:proofErr w:type="spellEnd"/>
      <w:r w:rsidRPr="0075145E">
        <w:rPr>
          <w:rFonts w:ascii="Arial" w:eastAsia="Calibri" w:hAnsi="Arial" w:cs="Arial"/>
          <w:bCs/>
          <w:color w:val="000000" w:themeColor="text1"/>
          <w:sz w:val="22"/>
          <w:lang w:val="es-CO"/>
        </w:rPr>
        <w:t xml:space="preserve"> 7 del Decreto 2681 de 1993, delimita la posibilidad de realizar estos contratos de empréstito a «entidades estatales»</w:t>
      </w:r>
      <w:r w:rsidR="003E2A3E" w:rsidRPr="0075145E">
        <w:rPr>
          <w:rFonts w:ascii="Arial" w:eastAsia="Calibri" w:hAnsi="Arial" w:cs="Arial"/>
          <w:bCs/>
          <w:color w:val="000000" w:themeColor="text1"/>
          <w:sz w:val="22"/>
          <w:lang w:val="es-CO"/>
        </w:rPr>
        <w:t xml:space="preserve">, lo que </w:t>
      </w:r>
      <w:r w:rsidR="00A37D7D" w:rsidRPr="0075145E">
        <w:rPr>
          <w:rFonts w:ascii="Arial" w:eastAsia="Calibri" w:hAnsi="Arial" w:cs="Arial"/>
          <w:bCs/>
          <w:color w:val="000000" w:themeColor="text1"/>
          <w:sz w:val="22"/>
          <w:lang w:val="es-CO"/>
        </w:rPr>
        <w:t xml:space="preserve">lleva a la conclusión que su </w:t>
      </w:r>
      <w:r w:rsidR="00452A18" w:rsidRPr="0075145E">
        <w:rPr>
          <w:rFonts w:ascii="Arial" w:eastAsia="Calibri" w:hAnsi="Arial" w:cs="Arial"/>
          <w:bCs/>
          <w:color w:val="000000" w:themeColor="text1"/>
          <w:sz w:val="22"/>
          <w:lang w:val="es-CO"/>
        </w:rPr>
        <w:t>administración estará</w:t>
      </w:r>
      <w:r w:rsidR="00A37D7D" w:rsidRPr="0075145E">
        <w:rPr>
          <w:rFonts w:ascii="Arial" w:eastAsia="Calibri" w:hAnsi="Arial" w:cs="Arial"/>
          <w:bCs/>
          <w:color w:val="000000" w:themeColor="text1"/>
          <w:sz w:val="22"/>
          <w:lang w:val="es-CO"/>
        </w:rPr>
        <w:t xml:space="preserve"> a cargo de la entidad contratante, cuya naturaleza </w:t>
      </w:r>
      <w:r w:rsidR="00452A18" w:rsidRPr="0075145E">
        <w:rPr>
          <w:rFonts w:ascii="Arial" w:eastAsia="Calibri" w:hAnsi="Arial" w:cs="Arial"/>
          <w:bCs/>
          <w:color w:val="000000" w:themeColor="text1"/>
          <w:sz w:val="22"/>
          <w:lang w:val="es-CO"/>
        </w:rPr>
        <w:t xml:space="preserve">será la de entidad estatal o bajo las figuras jurídicas en las que el </w:t>
      </w:r>
      <w:r w:rsidR="00955A68" w:rsidRPr="0075145E">
        <w:rPr>
          <w:rFonts w:ascii="Arial" w:eastAsia="Calibri" w:hAnsi="Arial" w:cs="Arial"/>
          <w:bCs/>
          <w:color w:val="000000" w:themeColor="text1"/>
          <w:sz w:val="22"/>
          <w:lang w:val="es-CO"/>
        </w:rPr>
        <w:t>E</w:t>
      </w:r>
      <w:r w:rsidR="00452A18" w:rsidRPr="0075145E">
        <w:rPr>
          <w:rFonts w:ascii="Arial" w:eastAsia="Calibri" w:hAnsi="Arial" w:cs="Arial"/>
          <w:bCs/>
          <w:color w:val="000000" w:themeColor="text1"/>
          <w:sz w:val="22"/>
          <w:lang w:val="es-CO"/>
        </w:rPr>
        <w:t xml:space="preserve">stado cuenta con participación en su capital. </w:t>
      </w:r>
    </w:p>
    <w:p w14:paraId="18BB4951" w14:textId="74FC8261" w:rsidR="007F62AA" w:rsidRPr="0075145E" w:rsidRDefault="00452A18" w:rsidP="0075145E">
      <w:pPr>
        <w:spacing w:before="120" w:after="120" w:line="276" w:lineRule="auto"/>
        <w:ind w:firstLine="709"/>
        <w:jc w:val="both"/>
        <w:rPr>
          <w:rFonts w:ascii="Arial" w:eastAsia="Calibri" w:hAnsi="Arial" w:cs="Arial"/>
          <w:bCs/>
          <w:color w:val="000000" w:themeColor="text1"/>
          <w:sz w:val="22"/>
          <w:lang w:val="es-CO"/>
        </w:rPr>
      </w:pPr>
      <w:r w:rsidRPr="0075145E">
        <w:rPr>
          <w:rFonts w:ascii="Arial" w:eastAsia="Calibri" w:hAnsi="Arial" w:cs="Arial"/>
          <w:bCs/>
          <w:color w:val="000000" w:themeColor="text1"/>
          <w:sz w:val="22"/>
          <w:lang w:val="es-CO"/>
        </w:rPr>
        <w:t xml:space="preserve">Entonces, </w:t>
      </w:r>
      <w:r w:rsidR="00730B9C" w:rsidRPr="0075145E">
        <w:rPr>
          <w:rFonts w:ascii="Arial" w:eastAsia="Calibri" w:hAnsi="Arial" w:cs="Arial"/>
          <w:bCs/>
          <w:color w:val="000000" w:themeColor="text1"/>
          <w:sz w:val="22"/>
          <w:lang w:val="es-CO"/>
        </w:rPr>
        <w:t>una vez se realice el desembolso de los recursos en virtud del contrato de empréstito, estos harán tránsito a conformar el presupuesto de la entidad, por lo que se consideran dineros públicos</w:t>
      </w:r>
      <w:r w:rsidR="008A61A6" w:rsidRPr="0075145E">
        <w:rPr>
          <w:rFonts w:ascii="Arial" w:eastAsia="Calibri" w:hAnsi="Arial" w:cs="Arial"/>
          <w:bCs/>
          <w:color w:val="000000" w:themeColor="text1"/>
          <w:sz w:val="22"/>
          <w:lang w:val="es-CO"/>
        </w:rPr>
        <w:t xml:space="preserve">, </w:t>
      </w:r>
      <w:r w:rsidR="00050361" w:rsidRPr="0075145E">
        <w:rPr>
          <w:rFonts w:ascii="Arial" w:eastAsia="Calibri" w:hAnsi="Arial" w:cs="Arial"/>
          <w:bCs/>
          <w:color w:val="000000" w:themeColor="text1"/>
          <w:sz w:val="22"/>
          <w:lang w:val="es-CO"/>
        </w:rPr>
        <w:t xml:space="preserve">en este entendido esta </w:t>
      </w:r>
      <w:proofErr w:type="gramStart"/>
      <w:r w:rsidR="00050361" w:rsidRPr="0075145E">
        <w:rPr>
          <w:rFonts w:ascii="Arial" w:eastAsia="Calibri" w:hAnsi="Arial" w:cs="Arial"/>
          <w:bCs/>
          <w:color w:val="000000" w:themeColor="text1"/>
          <w:sz w:val="22"/>
          <w:lang w:val="es-CO"/>
        </w:rPr>
        <w:t xml:space="preserve">modalidad </w:t>
      </w:r>
      <w:r w:rsidR="008A61A6" w:rsidRPr="0075145E">
        <w:rPr>
          <w:rFonts w:ascii="Arial" w:eastAsia="Calibri" w:hAnsi="Arial" w:cs="Arial"/>
          <w:bCs/>
          <w:color w:val="000000" w:themeColor="text1"/>
          <w:sz w:val="22"/>
          <w:lang w:val="es-CO"/>
        </w:rPr>
        <w:t xml:space="preserve"> de</w:t>
      </w:r>
      <w:proofErr w:type="gramEnd"/>
      <w:r w:rsidR="008A61A6" w:rsidRPr="0075145E">
        <w:rPr>
          <w:rFonts w:ascii="Arial" w:eastAsia="Calibri" w:hAnsi="Arial" w:cs="Arial"/>
          <w:bCs/>
          <w:color w:val="000000" w:themeColor="text1"/>
          <w:sz w:val="22"/>
          <w:lang w:val="es-CO"/>
        </w:rPr>
        <w:t xml:space="preserve"> contratación también se encuentra cobijado por las disposiciones de publicación en el SECOP para las entidades sometidas a régimen especial</w:t>
      </w:r>
      <w:r w:rsidR="00730B9C" w:rsidRPr="0075145E">
        <w:rPr>
          <w:rFonts w:ascii="Arial" w:eastAsia="Calibri" w:hAnsi="Arial" w:cs="Arial"/>
          <w:bCs/>
          <w:color w:val="000000" w:themeColor="text1"/>
          <w:sz w:val="22"/>
          <w:lang w:val="es-CO"/>
        </w:rPr>
        <w:t xml:space="preserve">. </w:t>
      </w:r>
    </w:p>
    <w:p w14:paraId="5E6C7810" w14:textId="5B991C0B" w:rsidR="00AD64C4" w:rsidRPr="0075145E" w:rsidRDefault="005D114F" w:rsidP="005D114F">
      <w:pPr>
        <w:spacing w:before="120" w:line="276" w:lineRule="auto"/>
        <w:jc w:val="both"/>
        <w:rPr>
          <w:rFonts w:ascii="Arial" w:eastAsia="Calibri" w:hAnsi="Arial" w:cs="Arial"/>
          <w:bCs/>
          <w:color w:val="000000" w:themeColor="text1"/>
          <w:sz w:val="22"/>
          <w:lang w:val="es-CO"/>
        </w:rPr>
      </w:pPr>
      <w:r w:rsidRPr="0075145E">
        <w:rPr>
          <w:rFonts w:ascii="Arial" w:eastAsia="Calibri" w:hAnsi="Arial" w:cs="Arial"/>
          <w:bCs/>
          <w:color w:val="000000" w:themeColor="text1"/>
          <w:sz w:val="22"/>
          <w:lang w:val="es-CO"/>
        </w:rPr>
        <w:tab/>
      </w:r>
      <w:r w:rsidR="005E17F1" w:rsidRPr="0075145E">
        <w:rPr>
          <w:rFonts w:ascii="Arial" w:eastAsia="Calibri" w:hAnsi="Arial" w:cs="Arial"/>
          <w:bCs/>
          <w:color w:val="000000" w:themeColor="text1"/>
          <w:sz w:val="22"/>
          <w:lang w:val="es-CO"/>
        </w:rPr>
        <w:t>En suma</w:t>
      </w:r>
      <w:r w:rsidR="009C14B6" w:rsidRPr="0075145E">
        <w:rPr>
          <w:rFonts w:ascii="Arial" w:eastAsia="Calibri" w:hAnsi="Arial" w:cs="Arial"/>
          <w:bCs/>
          <w:color w:val="000000" w:themeColor="text1"/>
          <w:sz w:val="22"/>
          <w:lang w:val="es-CO"/>
        </w:rPr>
        <w:t xml:space="preserve">, a la luz de los criterios desarrollados por la Agencia Nacional de Contratación Pública, </w:t>
      </w:r>
      <w:r w:rsidR="005E17F1" w:rsidRPr="0075145E">
        <w:rPr>
          <w:rFonts w:ascii="Arial" w:eastAsia="Calibri" w:hAnsi="Arial" w:cs="Arial"/>
          <w:bCs/>
          <w:color w:val="000000" w:themeColor="text1"/>
          <w:sz w:val="22"/>
          <w:lang w:val="es-CO"/>
        </w:rPr>
        <w:t xml:space="preserve">pude concluirse </w:t>
      </w:r>
      <w:r w:rsidR="009C14B6" w:rsidRPr="0075145E">
        <w:rPr>
          <w:rFonts w:ascii="Arial" w:eastAsia="Calibri" w:hAnsi="Arial" w:cs="Arial"/>
          <w:bCs/>
          <w:color w:val="000000" w:themeColor="text1"/>
          <w:sz w:val="22"/>
          <w:lang w:val="es-CO"/>
        </w:rPr>
        <w:t>que</w:t>
      </w:r>
      <w:r w:rsidR="00937202" w:rsidRPr="0075145E">
        <w:rPr>
          <w:rFonts w:ascii="Arial" w:eastAsia="Calibri" w:hAnsi="Arial" w:cs="Arial"/>
          <w:bCs/>
          <w:color w:val="000000" w:themeColor="text1"/>
          <w:sz w:val="22"/>
          <w:lang w:val="es-CO"/>
        </w:rPr>
        <w:t xml:space="preserve"> </w:t>
      </w:r>
      <w:r w:rsidR="009C14B6" w:rsidRPr="0075145E">
        <w:rPr>
          <w:rFonts w:ascii="Arial" w:eastAsia="Calibri" w:hAnsi="Arial" w:cs="Arial"/>
          <w:bCs/>
          <w:color w:val="000000" w:themeColor="text1"/>
          <w:sz w:val="22"/>
          <w:lang w:val="es-CO"/>
        </w:rPr>
        <w:t xml:space="preserve">el deber de publicar en el SECOP </w:t>
      </w:r>
      <w:r w:rsidRPr="0075145E">
        <w:rPr>
          <w:rFonts w:ascii="Arial" w:eastAsia="Calibri" w:hAnsi="Arial" w:cs="Arial"/>
          <w:bCs/>
          <w:color w:val="000000" w:themeColor="text1"/>
          <w:sz w:val="22"/>
          <w:lang w:val="es-CO"/>
        </w:rPr>
        <w:t xml:space="preserve">se </w:t>
      </w:r>
      <w:r w:rsidR="005E17F1" w:rsidRPr="0075145E">
        <w:rPr>
          <w:rFonts w:ascii="Arial" w:eastAsia="Calibri" w:hAnsi="Arial" w:cs="Arial"/>
          <w:bCs/>
          <w:color w:val="000000" w:themeColor="text1"/>
          <w:sz w:val="22"/>
          <w:lang w:val="es-CO"/>
        </w:rPr>
        <w:t xml:space="preserve">arraiga en </w:t>
      </w:r>
      <w:r w:rsidRPr="0075145E">
        <w:rPr>
          <w:rFonts w:ascii="Arial" w:eastAsia="Calibri" w:hAnsi="Arial" w:cs="Arial"/>
          <w:bCs/>
          <w:color w:val="000000" w:themeColor="text1"/>
          <w:sz w:val="22"/>
          <w:lang w:val="es-CO"/>
        </w:rPr>
        <w:t>una idea general</w:t>
      </w:r>
      <w:r w:rsidR="005E17F1" w:rsidRPr="0075145E">
        <w:rPr>
          <w:rFonts w:ascii="Arial" w:eastAsia="Calibri" w:hAnsi="Arial" w:cs="Arial"/>
          <w:bCs/>
          <w:color w:val="000000" w:themeColor="text1"/>
          <w:sz w:val="22"/>
          <w:lang w:val="es-CO"/>
        </w:rPr>
        <w:t>, esto es,</w:t>
      </w:r>
      <w:r w:rsidRPr="0075145E">
        <w:rPr>
          <w:rFonts w:ascii="Arial" w:eastAsia="Calibri" w:hAnsi="Arial" w:cs="Arial"/>
          <w:bCs/>
          <w:color w:val="000000" w:themeColor="text1"/>
          <w:sz w:val="22"/>
          <w:lang w:val="es-CO"/>
        </w:rPr>
        <w:t xml:space="preserve"> </w:t>
      </w:r>
      <w:r w:rsidR="005E17F1" w:rsidRPr="0075145E">
        <w:rPr>
          <w:rFonts w:ascii="Arial" w:eastAsia="Calibri" w:hAnsi="Arial" w:cs="Arial"/>
          <w:bCs/>
          <w:color w:val="000000" w:themeColor="text1"/>
          <w:sz w:val="22"/>
          <w:lang w:val="es-CO"/>
        </w:rPr>
        <w:t>que se debe publicar toda actividad contractual en la que se ejecuten</w:t>
      </w:r>
      <w:r w:rsidRPr="0075145E">
        <w:rPr>
          <w:rFonts w:ascii="Arial" w:eastAsia="Calibri" w:hAnsi="Arial" w:cs="Arial"/>
          <w:bCs/>
          <w:color w:val="000000" w:themeColor="text1"/>
          <w:sz w:val="22"/>
          <w:lang w:val="es-CO"/>
        </w:rPr>
        <w:t xml:space="preserve"> recursos públicos, sin distingo de la naturaleza jurídica de la entidad contratante, de su régimen contractual, incluso, sin importar la tipología del contrato</w:t>
      </w:r>
      <w:r w:rsidR="005E17F1" w:rsidRPr="0075145E">
        <w:rPr>
          <w:rFonts w:ascii="Arial" w:eastAsia="Calibri" w:hAnsi="Arial" w:cs="Arial"/>
          <w:bCs/>
          <w:color w:val="000000" w:themeColor="text1"/>
          <w:sz w:val="22"/>
          <w:lang w:val="es-CO"/>
        </w:rPr>
        <w:t xml:space="preserve"> a celebrar</w:t>
      </w:r>
      <w:r w:rsidRPr="0075145E">
        <w:rPr>
          <w:rFonts w:ascii="Arial" w:eastAsia="Calibri" w:hAnsi="Arial" w:cs="Arial"/>
          <w:bCs/>
          <w:color w:val="000000" w:themeColor="text1"/>
          <w:sz w:val="22"/>
          <w:lang w:val="es-CO"/>
        </w:rPr>
        <w:t>. Igua</w:t>
      </w:r>
      <w:r w:rsidR="005E17F1" w:rsidRPr="0075145E">
        <w:rPr>
          <w:rFonts w:ascii="Arial" w:eastAsia="Calibri" w:hAnsi="Arial" w:cs="Arial"/>
          <w:bCs/>
          <w:color w:val="000000" w:themeColor="text1"/>
          <w:sz w:val="22"/>
          <w:lang w:val="es-CO"/>
        </w:rPr>
        <w:t xml:space="preserve">lmente, puede decirse que </w:t>
      </w:r>
      <w:r w:rsidR="001715FA" w:rsidRPr="0075145E">
        <w:rPr>
          <w:rFonts w:ascii="Arial" w:eastAsia="Calibri" w:hAnsi="Arial" w:cs="Arial"/>
          <w:bCs/>
          <w:color w:val="000000" w:themeColor="text1"/>
          <w:sz w:val="22"/>
          <w:lang w:val="es-CO"/>
        </w:rPr>
        <w:t xml:space="preserve">este deber </w:t>
      </w:r>
      <w:r w:rsidR="00937202" w:rsidRPr="0075145E">
        <w:rPr>
          <w:rFonts w:ascii="Arial" w:eastAsia="Calibri" w:hAnsi="Arial" w:cs="Arial"/>
          <w:bCs/>
          <w:color w:val="000000" w:themeColor="text1"/>
          <w:sz w:val="22"/>
          <w:lang w:val="es-CO"/>
        </w:rPr>
        <w:t>debe</w:t>
      </w:r>
      <w:r w:rsidR="001715FA" w:rsidRPr="0075145E">
        <w:rPr>
          <w:rFonts w:ascii="Arial" w:eastAsia="Calibri" w:hAnsi="Arial" w:cs="Arial"/>
          <w:bCs/>
          <w:color w:val="000000" w:themeColor="text1"/>
          <w:sz w:val="22"/>
          <w:lang w:val="es-CO"/>
        </w:rPr>
        <w:t xml:space="preserve"> hacerse efectivo en el SECOP I </w:t>
      </w:r>
      <w:r w:rsidR="00937202" w:rsidRPr="0075145E">
        <w:rPr>
          <w:rFonts w:ascii="Arial" w:eastAsia="Calibri" w:hAnsi="Arial" w:cs="Arial"/>
          <w:bCs/>
          <w:color w:val="000000" w:themeColor="text1"/>
          <w:sz w:val="22"/>
          <w:lang w:val="es-CO"/>
        </w:rPr>
        <w:t>o</w:t>
      </w:r>
      <w:r w:rsidR="001715FA" w:rsidRPr="0075145E">
        <w:rPr>
          <w:rFonts w:ascii="Arial" w:eastAsia="Calibri" w:hAnsi="Arial" w:cs="Arial"/>
          <w:bCs/>
          <w:color w:val="000000" w:themeColor="text1"/>
          <w:sz w:val="22"/>
          <w:lang w:val="es-CO"/>
        </w:rPr>
        <w:t xml:space="preserve"> en el SECOP II, dependiendo de</w:t>
      </w:r>
      <w:r w:rsidR="00AD64C4" w:rsidRPr="0075145E">
        <w:rPr>
          <w:rFonts w:ascii="Arial" w:eastAsia="Calibri" w:hAnsi="Arial" w:cs="Arial"/>
          <w:bCs/>
          <w:color w:val="000000" w:themeColor="text1"/>
          <w:sz w:val="22"/>
          <w:lang w:val="es-CO"/>
        </w:rPr>
        <w:t xml:space="preserve"> cada caso.</w:t>
      </w:r>
    </w:p>
    <w:p w14:paraId="201E4B4F" w14:textId="0C8ABBB0" w:rsidR="00EE0AFC" w:rsidRPr="0075145E" w:rsidRDefault="00AD64C4" w:rsidP="00AD64C4">
      <w:pPr>
        <w:spacing w:before="120" w:line="276" w:lineRule="auto"/>
        <w:ind w:firstLine="708"/>
        <w:jc w:val="both"/>
        <w:rPr>
          <w:rFonts w:ascii="Arial" w:eastAsia="Calibri" w:hAnsi="Arial" w:cs="Arial"/>
          <w:bCs/>
          <w:color w:val="000000" w:themeColor="text1"/>
          <w:sz w:val="22"/>
          <w:lang w:val="es-CO"/>
        </w:rPr>
      </w:pPr>
      <w:r w:rsidRPr="0075145E">
        <w:rPr>
          <w:rFonts w:ascii="Arial" w:eastAsia="Calibri" w:hAnsi="Arial" w:cs="Arial"/>
          <w:bCs/>
          <w:color w:val="000000" w:themeColor="text1"/>
          <w:sz w:val="22"/>
          <w:lang w:val="es-CO"/>
        </w:rPr>
        <w:t>P</w:t>
      </w:r>
      <w:r w:rsidR="001715FA" w:rsidRPr="0075145E">
        <w:rPr>
          <w:rFonts w:ascii="Arial" w:eastAsia="Calibri" w:hAnsi="Arial" w:cs="Arial"/>
          <w:bCs/>
          <w:color w:val="000000" w:themeColor="text1"/>
          <w:sz w:val="22"/>
          <w:lang w:val="es-CO"/>
        </w:rPr>
        <w:t xml:space="preserve">ara </w:t>
      </w:r>
      <w:r w:rsidRPr="0075145E">
        <w:rPr>
          <w:rFonts w:ascii="Arial" w:eastAsia="Calibri" w:hAnsi="Arial" w:cs="Arial"/>
          <w:bCs/>
          <w:color w:val="000000" w:themeColor="text1"/>
          <w:sz w:val="22"/>
          <w:lang w:val="es-CO"/>
        </w:rPr>
        <w:t>saber si la publicación debe hacerse en el SECOP II</w:t>
      </w:r>
      <w:r w:rsidR="001715FA" w:rsidRPr="0075145E">
        <w:rPr>
          <w:rFonts w:ascii="Arial" w:eastAsia="Calibri" w:hAnsi="Arial" w:cs="Arial"/>
          <w:bCs/>
          <w:color w:val="000000" w:themeColor="text1"/>
          <w:sz w:val="22"/>
          <w:lang w:val="es-CO"/>
        </w:rPr>
        <w:t xml:space="preserve"> habrá que consultar, por un lado, el Anexo 1 de la Circular Externa 1 de 2019</w:t>
      </w:r>
      <w:r w:rsidR="00466E17" w:rsidRPr="0075145E">
        <w:rPr>
          <w:rFonts w:ascii="Arial" w:eastAsia="Calibri" w:hAnsi="Arial" w:cs="Arial"/>
          <w:bCs/>
          <w:color w:val="000000" w:themeColor="text1"/>
          <w:sz w:val="22"/>
          <w:lang w:val="es-CO"/>
        </w:rPr>
        <w:t>, así como las circulares externas 2 y 3</w:t>
      </w:r>
      <w:r w:rsidR="001715FA" w:rsidRPr="0075145E">
        <w:rPr>
          <w:rFonts w:ascii="Arial" w:eastAsia="Calibri" w:hAnsi="Arial" w:cs="Arial"/>
          <w:bCs/>
          <w:color w:val="000000" w:themeColor="text1"/>
          <w:sz w:val="22"/>
          <w:lang w:val="es-CO"/>
        </w:rPr>
        <w:t xml:space="preserve"> y, por el otro, establecer si no existe una disposición normativa que establezca el deber de publicar en el SECOP II, como es el caso de la contratación regida por el Decreto 92 de 2017</w:t>
      </w:r>
      <w:r w:rsidR="00FB0218" w:rsidRPr="0075145E">
        <w:rPr>
          <w:rFonts w:ascii="Arial" w:eastAsia="Calibri" w:hAnsi="Arial" w:cs="Arial"/>
          <w:bCs/>
          <w:color w:val="000000" w:themeColor="text1"/>
          <w:sz w:val="22"/>
          <w:lang w:val="es-CO"/>
        </w:rPr>
        <w:t xml:space="preserve"> o la contratación relacionada con los contratos fiduciarios y la «contratación derivada» de estos</w:t>
      </w:r>
      <w:r w:rsidR="001715FA" w:rsidRPr="0075145E">
        <w:rPr>
          <w:rFonts w:ascii="Arial" w:eastAsia="Calibri" w:hAnsi="Arial" w:cs="Arial"/>
          <w:bCs/>
          <w:color w:val="000000" w:themeColor="text1"/>
          <w:sz w:val="22"/>
          <w:lang w:val="es-CO"/>
        </w:rPr>
        <w:t>.</w:t>
      </w:r>
      <w:r w:rsidR="0063488E" w:rsidRPr="0075145E">
        <w:rPr>
          <w:rFonts w:ascii="Arial" w:eastAsia="Calibri" w:hAnsi="Arial" w:cs="Arial"/>
          <w:bCs/>
          <w:color w:val="000000" w:themeColor="text1"/>
          <w:sz w:val="22"/>
          <w:lang w:val="es-CO"/>
        </w:rPr>
        <w:t xml:space="preserve"> En estos eventos, la publicación </w:t>
      </w:r>
      <w:r w:rsidR="00FB0218" w:rsidRPr="0075145E">
        <w:rPr>
          <w:rFonts w:ascii="Arial" w:eastAsia="Calibri" w:hAnsi="Arial" w:cs="Arial"/>
          <w:bCs/>
          <w:color w:val="000000" w:themeColor="text1"/>
          <w:sz w:val="22"/>
          <w:lang w:val="es-CO"/>
        </w:rPr>
        <w:t xml:space="preserve">de la actividad contractual </w:t>
      </w:r>
      <w:r w:rsidR="0063488E" w:rsidRPr="0075145E">
        <w:rPr>
          <w:rFonts w:ascii="Arial" w:eastAsia="Calibri" w:hAnsi="Arial" w:cs="Arial"/>
          <w:bCs/>
          <w:color w:val="000000" w:themeColor="text1"/>
          <w:sz w:val="22"/>
          <w:lang w:val="es-CO"/>
        </w:rPr>
        <w:t xml:space="preserve">debe </w:t>
      </w:r>
      <w:r w:rsidRPr="0075145E">
        <w:rPr>
          <w:rFonts w:ascii="Arial" w:eastAsia="Calibri" w:hAnsi="Arial" w:cs="Arial"/>
          <w:bCs/>
          <w:color w:val="000000" w:themeColor="text1"/>
          <w:sz w:val="22"/>
          <w:lang w:val="es-CO"/>
        </w:rPr>
        <w:t>llevarse a cabo, incluso,</w:t>
      </w:r>
      <w:r w:rsidR="0063488E" w:rsidRPr="0075145E">
        <w:rPr>
          <w:rFonts w:ascii="Arial" w:eastAsia="Calibri" w:hAnsi="Arial" w:cs="Arial"/>
          <w:bCs/>
          <w:color w:val="000000" w:themeColor="text1"/>
          <w:sz w:val="22"/>
          <w:lang w:val="es-CO"/>
        </w:rPr>
        <w:t xml:space="preserve"> </w:t>
      </w:r>
      <w:r w:rsidR="00FB0218" w:rsidRPr="0075145E">
        <w:rPr>
          <w:rFonts w:ascii="Arial" w:eastAsia="Calibri" w:hAnsi="Arial" w:cs="Arial"/>
          <w:bCs/>
          <w:color w:val="000000" w:themeColor="text1"/>
          <w:sz w:val="22"/>
          <w:lang w:val="es-CO"/>
        </w:rPr>
        <w:t>en aquellos casos en los que c</w:t>
      </w:r>
      <w:r w:rsidRPr="0075145E">
        <w:rPr>
          <w:rFonts w:ascii="Arial" w:eastAsia="Calibri" w:hAnsi="Arial" w:cs="Arial"/>
          <w:bCs/>
          <w:color w:val="000000" w:themeColor="text1"/>
          <w:sz w:val="22"/>
          <w:lang w:val="es-CO"/>
        </w:rPr>
        <w:t xml:space="preserve">on la ejecución del contrato </w:t>
      </w:r>
      <w:r w:rsidR="0063488E" w:rsidRPr="0075145E">
        <w:rPr>
          <w:rFonts w:ascii="Arial" w:eastAsia="Calibri" w:hAnsi="Arial" w:cs="Arial"/>
          <w:bCs/>
          <w:color w:val="000000" w:themeColor="text1"/>
          <w:sz w:val="22"/>
          <w:lang w:val="es-CO"/>
        </w:rPr>
        <w:t>no se compromete</w:t>
      </w:r>
      <w:r w:rsidR="00FB0218" w:rsidRPr="0075145E">
        <w:rPr>
          <w:rFonts w:ascii="Arial" w:eastAsia="Calibri" w:hAnsi="Arial" w:cs="Arial"/>
          <w:bCs/>
          <w:color w:val="000000" w:themeColor="text1"/>
          <w:sz w:val="22"/>
          <w:lang w:val="es-CO"/>
        </w:rPr>
        <w:t xml:space="preserve"> en forma alguna</w:t>
      </w:r>
      <w:r w:rsidR="00E03788" w:rsidRPr="0075145E">
        <w:rPr>
          <w:rFonts w:ascii="Arial" w:eastAsia="Calibri" w:hAnsi="Arial" w:cs="Arial"/>
          <w:bCs/>
          <w:color w:val="000000" w:themeColor="text1"/>
          <w:sz w:val="22"/>
          <w:lang w:val="es-CO"/>
        </w:rPr>
        <w:t>,</w:t>
      </w:r>
      <w:r w:rsidR="00FB0218" w:rsidRPr="0075145E">
        <w:rPr>
          <w:rFonts w:ascii="Arial" w:eastAsia="Calibri" w:hAnsi="Arial" w:cs="Arial"/>
          <w:bCs/>
          <w:color w:val="000000" w:themeColor="text1"/>
          <w:sz w:val="22"/>
          <w:lang w:val="es-CO"/>
        </w:rPr>
        <w:t xml:space="preserve"> </w:t>
      </w:r>
      <w:r w:rsidR="0063488E" w:rsidRPr="0075145E">
        <w:rPr>
          <w:rFonts w:ascii="Arial" w:eastAsia="Calibri" w:hAnsi="Arial" w:cs="Arial"/>
          <w:bCs/>
          <w:color w:val="000000" w:themeColor="text1"/>
          <w:sz w:val="22"/>
          <w:lang w:val="es-CO"/>
        </w:rPr>
        <w:t xml:space="preserve">recursos </w:t>
      </w:r>
      <w:r w:rsidR="00FB0218" w:rsidRPr="0075145E">
        <w:rPr>
          <w:rFonts w:ascii="Arial" w:eastAsia="Calibri" w:hAnsi="Arial" w:cs="Arial"/>
          <w:bCs/>
          <w:color w:val="000000" w:themeColor="text1"/>
          <w:sz w:val="22"/>
          <w:lang w:val="es-CO"/>
        </w:rPr>
        <w:t>públicos.</w:t>
      </w:r>
    </w:p>
    <w:p w14:paraId="09F3D124" w14:textId="77777777" w:rsidR="009C14B6" w:rsidRPr="0075145E" w:rsidRDefault="009C14B6" w:rsidP="00EE0AFC">
      <w:pPr>
        <w:tabs>
          <w:tab w:val="left" w:pos="426"/>
        </w:tabs>
        <w:spacing w:line="276" w:lineRule="auto"/>
        <w:jc w:val="both"/>
        <w:rPr>
          <w:rFonts w:ascii="Arial" w:eastAsia="Calibri" w:hAnsi="Arial" w:cs="Arial"/>
          <w:b/>
          <w:color w:val="000000" w:themeColor="text1"/>
          <w:sz w:val="22"/>
          <w:lang w:val="es-CO"/>
        </w:rPr>
      </w:pPr>
    </w:p>
    <w:p w14:paraId="04DA67A3" w14:textId="0D86D618" w:rsidR="0073536E" w:rsidRPr="0075145E" w:rsidRDefault="00EE0AFC" w:rsidP="004F3A2F">
      <w:pPr>
        <w:tabs>
          <w:tab w:val="left" w:pos="426"/>
        </w:tabs>
        <w:spacing w:line="276" w:lineRule="auto"/>
        <w:jc w:val="both"/>
        <w:rPr>
          <w:rFonts w:ascii="Arial" w:hAnsi="Arial" w:cs="Arial"/>
          <w:b/>
          <w:color w:val="000000" w:themeColor="text1"/>
          <w:sz w:val="22"/>
          <w:lang w:val="es-CO"/>
        </w:rPr>
      </w:pPr>
      <w:r w:rsidRPr="0075145E">
        <w:rPr>
          <w:rFonts w:ascii="Arial" w:eastAsia="Calibri" w:hAnsi="Arial" w:cs="Arial"/>
          <w:b/>
          <w:color w:val="000000" w:themeColor="text1"/>
          <w:sz w:val="22"/>
          <w:lang w:val="es-CO"/>
        </w:rPr>
        <w:lastRenderedPageBreak/>
        <w:t xml:space="preserve">2.3. </w:t>
      </w:r>
      <w:r w:rsidR="0073536E" w:rsidRPr="0075145E">
        <w:rPr>
          <w:rFonts w:ascii="Arial" w:hAnsi="Arial" w:cs="Arial"/>
          <w:b/>
          <w:color w:val="000000" w:themeColor="text1"/>
          <w:sz w:val="22"/>
          <w:lang w:val="es-CO"/>
        </w:rPr>
        <w:t xml:space="preserve">Documentos que </w:t>
      </w:r>
      <w:r w:rsidR="002E75EE" w:rsidRPr="0075145E">
        <w:rPr>
          <w:rFonts w:ascii="Arial" w:hAnsi="Arial" w:cs="Arial"/>
          <w:b/>
          <w:color w:val="000000" w:themeColor="text1"/>
          <w:sz w:val="22"/>
          <w:lang w:val="es-CO"/>
        </w:rPr>
        <w:t xml:space="preserve">deben </w:t>
      </w:r>
      <w:r w:rsidR="0073536E" w:rsidRPr="0075145E">
        <w:rPr>
          <w:rFonts w:ascii="Arial" w:hAnsi="Arial" w:cs="Arial"/>
          <w:b/>
          <w:color w:val="000000" w:themeColor="text1"/>
          <w:sz w:val="22"/>
          <w:lang w:val="es-CO"/>
        </w:rPr>
        <w:t>publica</w:t>
      </w:r>
      <w:r w:rsidR="002E75EE" w:rsidRPr="0075145E">
        <w:rPr>
          <w:rFonts w:ascii="Arial" w:hAnsi="Arial" w:cs="Arial"/>
          <w:b/>
          <w:color w:val="000000" w:themeColor="text1"/>
          <w:sz w:val="22"/>
          <w:lang w:val="es-CO"/>
        </w:rPr>
        <w:t>r</w:t>
      </w:r>
      <w:r w:rsidR="0073536E" w:rsidRPr="0075145E">
        <w:rPr>
          <w:rFonts w:ascii="Arial" w:hAnsi="Arial" w:cs="Arial"/>
          <w:b/>
          <w:color w:val="000000" w:themeColor="text1"/>
          <w:sz w:val="22"/>
          <w:lang w:val="es-CO"/>
        </w:rPr>
        <w:t xml:space="preserve"> las entidades de régimen especial en el SECOP </w:t>
      </w:r>
    </w:p>
    <w:p w14:paraId="7BC1094A" w14:textId="77777777" w:rsidR="004F3A2F" w:rsidRPr="0075145E" w:rsidRDefault="004F3A2F" w:rsidP="004F3A2F">
      <w:pPr>
        <w:tabs>
          <w:tab w:val="left" w:pos="426"/>
        </w:tabs>
        <w:spacing w:line="276" w:lineRule="auto"/>
        <w:jc w:val="both"/>
        <w:rPr>
          <w:rFonts w:ascii="Arial" w:hAnsi="Arial" w:cs="Arial"/>
          <w:b/>
          <w:color w:val="000000" w:themeColor="text1"/>
          <w:sz w:val="22"/>
          <w:lang w:val="es-CO"/>
        </w:rPr>
      </w:pPr>
    </w:p>
    <w:p w14:paraId="4959B71B" w14:textId="2B8372ED" w:rsidR="00DB441A" w:rsidRPr="0075145E" w:rsidRDefault="0073536E" w:rsidP="00DB441A">
      <w:pPr>
        <w:spacing w:line="276" w:lineRule="auto"/>
        <w:jc w:val="both"/>
        <w:rPr>
          <w:rFonts w:ascii="Arial" w:eastAsia="Calibri" w:hAnsi="Arial" w:cs="Arial"/>
          <w:bCs/>
          <w:color w:val="000000" w:themeColor="text1"/>
          <w:sz w:val="22"/>
          <w:lang w:val="es-CO"/>
        </w:rPr>
      </w:pPr>
      <w:r w:rsidRPr="0075145E">
        <w:rPr>
          <w:rFonts w:ascii="Arial" w:eastAsia="Calibri" w:hAnsi="Arial" w:cs="Arial"/>
          <w:color w:val="000000" w:themeColor="text1"/>
          <w:sz w:val="22"/>
          <w:lang w:val="es-CO"/>
        </w:rPr>
        <w:t xml:space="preserve">Determinada la obligación que tienen las entidades sujetas a un régimen especial de publicar su actividad contractual en el SECOP, a </w:t>
      </w:r>
      <w:r w:rsidR="003308BA" w:rsidRPr="0075145E">
        <w:rPr>
          <w:rFonts w:ascii="Arial" w:eastAsia="Calibri" w:hAnsi="Arial" w:cs="Arial"/>
          <w:color w:val="000000" w:themeColor="text1"/>
          <w:sz w:val="22"/>
          <w:lang w:val="es-CO"/>
        </w:rPr>
        <w:t>continuación</w:t>
      </w:r>
      <w:r w:rsidR="00FB0218" w:rsidRPr="0075145E">
        <w:rPr>
          <w:rFonts w:ascii="Arial" w:eastAsia="Calibri" w:hAnsi="Arial" w:cs="Arial"/>
          <w:color w:val="000000" w:themeColor="text1"/>
          <w:sz w:val="22"/>
          <w:lang w:val="es-CO"/>
        </w:rPr>
        <w:t>,</w:t>
      </w:r>
      <w:r w:rsidRPr="0075145E">
        <w:rPr>
          <w:rFonts w:ascii="Arial" w:eastAsia="Calibri" w:hAnsi="Arial" w:cs="Arial"/>
          <w:color w:val="000000" w:themeColor="text1"/>
          <w:sz w:val="22"/>
          <w:lang w:val="es-CO"/>
        </w:rPr>
        <w:t xml:space="preserve"> se identificarán los documentos que deben publicar, n</w:t>
      </w:r>
      <w:r w:rsidRPr="0075145E">
        <w:rPr>
          <w:rFonts w:ascii="Arial" w:hAnsi="Arial" w:cs="Arial"/>
          <w:bCs/>
          <w:color w:val="000000" w:themeColor="text1"/>
          <w:sz w:val="22"/>
          <w:lang w:val="es-CO"/>
        </w:rPr>
        <w:t xml:space="preserve">o sin antes explicar la posición que la Agencia Nacional de Contratación Pública </w:t>
      </w:r>
      <w:r w:rsidR="0065129F" w:rsidRPr="0075145E">
        <w:rPr>
          <w:rFonts w:ascii="Arial" w:hAnsi="Arial" w:cs="Arial"/>
          <w:bCs/>
          <w:color w:val="000000" w:themeColor="text1"/>
          <w:sz w:val="22"/>
          <w:lang w:val="es-CO"/>
        </w:rPr>
        <w:t>−</w:t>
      </w:r>
      <w:r w:rsidRPr="0075145E">
        <w:rPr>
          <w:rFonts w:ascii="Arial" w:hAnsi="Arial" w:cs="Arial"/>
          <w:bCs/>
          <w:color w:val="000000" w:themeColor="text1"/>
          <w:sz w:val="22"/>
          <w:lang w:val="es-CO"/>
        </w:rPr>
        <w:t xml:space="preserve"> Colombia Compra Eficiente ha adoptado desde el 2016 hasta </w:t>
      </w:r>
      <w:r w:rsidR="00DB441A" w:rsidRPr="0075145E">
        <w:rPr>
          <w:rFonts w:ascii="Arial" w:hAnsi="Arial" w:cs="Arial"/>
          <w:bCs/>
          <w:color w:val="000000" w:themeColor="text1"/>
          <w:sz w:val="22"/>
          <w:lang w:val="es-CO"/>
        </w:rPr>
        <w:t>la actualidad</w:t>
      </w:r>
      <w:r w:rsidRPr="0075145E">
        <w:rPr>
          <w:rFonts w:ascii="Arial" w:hAnsi="Arial" w:cs="Arial"/>
          <w:bCs/>
          <w:color w:val="000000" w:themeColor="text1"/>
          <w:sz w:val="22"/>
          <w:lang w:val="es-CO"/>
        </w:rPr>
        <w:t>.</w:t>
      </w:r>
      <w:r w:rsidR="00DB441A" w:rsidRPr="0075145E">
        <w:rPr>
          <w:rFonts w:ascii="Arial" w:hAnsi="Arial" w:cs="Arial"/>
          <w:bCs/>
          <w:color w:val="000000" w:themeColor="text1"/>
          <w:sz w:val="22"/>
          <w:lang w:val="es-CO"/>
        </w:rPr>
        <w:t xml:space="preserve"> </w:t>
      </w:r>
      <w:r w:rsidR="00DB441A" w:rsidRPr="0075145E">
        <w:rPr>
          <w:rFonts w:ascii="Arial" w:eastAsia="Calibri" w:hAnsi="Arial" w:cs="Arial"/>
          <w:bCs/>
          <w:color w:val="000000" w:themeColor="text1"/>
          <w:sz w:val="22"/>
          <w:lang w:val="es-CO"/>
        </w:rPr>
        <w:t>Al respecto, es posible desagregar los pronunciamientos de esta entidad en dos etapas, marcadas temporalmente por el concepto CU-003 de 2020. En efecto, antes del referido concepto se observa</w:t>
      </w:r>
      <w:r w:rsidR="0065129F" w:rsidRPr="0075145E">
        <w:rPr>
          <w:rFonts w:ascii="Arial" w:eastAsia="Calibri" w:hAnsi="Arial" w:cs="Arial"/>
          <w:bCs/>
          <w:color w:val="000000" w:themeColor="text1"/>
          <w:sz w:val="22"/>
          <w:lang w:val="es-CO"/>
        </w:rPr>
        <w:t xml:space="preserve"> una etapa en la que la entidad se pronunció sobre unos documentos en particular y el deber que le asistía a las entidades de publicarlo en el SECOP, </w:t>
      </w:r>
      <w:r w:rsidR="00326A3E" w:rsidRPr="0075145E">
        <w:rPr>
          <w:rFonts w:ascii="Arial" w:eastAsia="Calibri" w:hAnsi="Arial" w:cs="Arial"/>
          <w:bCs/>
          <w:color w:val="000000" w:themeColor="text1"/>
          <w:sz w:val="22"/>
          <w:lang w:val="es-CO"/>
        </w:rPr>
        <w:t xml:space="preserve">algunas veces </w:t>
      </w:r>
      <w:r w:rsidR="0065129F" w:rsidRPr="0075145E">
        <w:rPr>
          <w:rFonts w:ascii="Arial" w:eastAsia="Calibri" w:hAnsi="Arial" w:cs="Arial"/>
          <w:bCs/>
          <w:color w:val="000000" w:themeColor="text1"/>
          <w:sz w:val="22"/>
          <w:lang w:val="es-CO"/>
        </w:rPr>
        <w:t xml:space="preserve">sin entrar a distinguir entre el régimen de contratación aplicable a la entidad obligada a publicar. Luego del referido concepto, lo que se observa es que la entidad se ha encargado de </w:t>
      </w:r>
      <w:r w:rsidR="00E03788" w:rsidRPr="0075145E">
        <w:rPr>
          <w:rFonts w:ascii="Arial" w:eastAsia="Calibri" w:hAnsi="Arial" w:cs="Arial"/>
          <w:bCs/>
          <w:color w:val="000000" w:themeColor="text1"/>
          <w:sz w:val="22"/>
          <w:lang w:val="es-CO"/>
        </w:rPr>
        <w:t>reiterar la tesis unificada</w:t>
      </w:r>
      <w:r w:rsidR="0065129F" w:rsidRPr="0075145E">
        <w:rPr>
          <w:rFonts w:ascii="Arial" w:eastAsia="Calibri" w:hAnsi="Arial" w:cs="Arial"/>
          <w:bCs/>
          <w:color w:val="000000" w:themeColor="text1"/>
          <w:sz w:val="22"/>
          <w:lang w:val="es-CO"/>
        </w:rPr>
        <w:t xml:space="preserve">, </w:t>
      </w:r>
      <w:r w:rsidR="00E03788" w:rsidRPr="0075145E">
        <w:rPr>
          <w:rFonts w:ascii="Arial" w:eastAsia="Calibri" w:hAnsi="Arial" w:cs="Arial"/>
          <w:bCs/>
          <w:color w:val="000000" w:themeColor="text1"/>
          <w:sz w:val="22"/>
          <w:lang w:val="es-CO"/>
        </w:rPr>
        <w:t>dándole alcance en unos eventos en concreto</w:t>
      </w:r>
      <w:r w:rsidR="00DB441A" w:rsidRPr="0075145E">
        <w:rPr>
          <w:rFonts w:ascii="Arial" w:eastAsia="Calibri" w:hAnsi="Arial" w:cs="Arial"/>
          <w:bCs/>
          <w:color w:val="000000" w:themeColor="text1"/>
          <w:sz w:val="22"/>
          <w:lang w:val="es-CO"/>
        </w:rPr>
        <w:t>.</w:t>
      </w:r>
      <w:r w:rsidR="0065129F" w:rsidRPr="0075145E">
        <w:rPr>
          <w:rFonts w:ascii="Arial" w:eastAsia="Calibri" w:hAnsi="Arial" w:cs="Arial"/>
          <w:bCs/>
          <w:color w:val="000000" w:themeColor="text1"/>
          <w:sz w:val="22"/>
          <w:lang w:val="es-CO"/>
        </w:rPr>
        <w:t xml:space="preserve"> Tal evolución pasa a evidenciarse a continuación</w:t>
      </w:r>
      <w:r w:rsidR="0037658D" w:rsidRPr="0075145E">
        <w:rPr>
          <w:rFonts w:ascii="Arial" w:eastAsia="Calibri" w:hAnsi="Arial" w:cs="Arial"/>
          <w:bCs/>
          <w:color w:val="000000" w:themeColor="text1"/>
          <w:sz w:val="22"/>
          <w:lang w:val="es-CO"/>
        </w:rPr>
        <w:t xml:space="preserve"> y los criterios señalados se reiterarán</w:t>
      </w:r>
      <w:r w:rsidR="0065129F" w:rsidRPr="0075145E">
        <w:rPr>
          <w:rFonts w:ascii="Arial" w:eastAsia="Calibri" w:hAnsi="Arial" w:cs="Arial"/>
          <w:bCs/>
          <w:color w:val="000000" w:themeColor="text1"/>
          <w:sz w:val="22"/>
          <w:lang w:val="es-CO"/>
        </w:rPr>
        <w:t>.</w:t>
      </w:r>
    </w:p>
    <w:p w14:paraId="6187EFDC" w14:textId="5835D8B4" w:rsidR="0073536E" w:rsidRPr="0075145E" w:rsidRDefault="0073536E" w:rsidP="00A86133">
      <w:pPr>
        <w:pStyle w:val="Prrafodelista"/>
        <w:numPr>
          <w:ilvl w:val="0"/>
          <w:numId w:val="10"/>
        </w:numPr>
        <w:tabs>
          <w:tab w:val="left" w:pos="993"/>
        </w:tabs>
        <w:spacing w:before="120" w:line="276" w:lineRule="auto"/>
        <w:ind w:left="0" w:firstLine="709"/>
        <w:jc w:val="both"/>
        <w:rPr>
          <w:rFonts w:ascii="Arial" w:eastAsia="Calibri" w:hAnsi="Arial" w:cs="Arial"/>
          <w:color w:val="000000" w:themeColor="text1"/>
          <w:sz w:val="22"/>
          <w:lang w:val="es-CO"/>
        </w:rPr>
      </w:pPr>
      <w:r w:rsidRPr="0075145E">
        <w:rPr>
          <w:rFonts w:ascii="Arial" w:hAnsi="Arial" w:cs="Arial"/>
          <w:bCs/>
          <w:color w:val="000000" w:themeColor="text1"/>
          <w:sz w:val="22"/>
          <w:lang w:val="es-CO"/>
        </w:rPr>
        <w:t>En la consulta del 15 de febrero de 2016</w:t>
      </w:r>
      <w:r w:rsidR="00D125D8" w:rsidRPr="0075145E">
        <w:rPr>
          <w:rFonts w:ascii="Arial" w:hAnsi="Arial" w:cs="Arial"/>
          <w:bCs/>
          <w:color w:val="000000" w:themeColor="text1"/>
          <w:sz w:val="22"/>
          <w:lang w:val="es-CO"/>
        </w:rPr>
        <w:t xml:space="preserve"> − radicado No. 41612000877−</w:t>
      </w:r>
      <w:r w:rsidRPr="0075145E">
        <w:rPr>
          <w:rFonts w:ascii="Arial" w:hAnsi="Arial" w:cs="Arial"/>
          <w:bCs/>
          <w:color w:val="000000" w:themeColor="text1"/>
          <w:sz w:val="22"/>
          <w:lang w:val="es-CO"/>
        </w:rPr>
        <w:t>,</w:t>
      </w:r>
      <w:r w:rsidR="00D125D8" w:rsidRPr="0075145E">
        <w:rPr>
          <w:rFonts w:ascii="Arial" w:hAnsi="Arial" w:cs="Arial"/>
          <w:bCs/>
          <w:color w:val="000000" w:themeColor="text1"/>
          <w:sz w:val="22"/>
          <w:lang w:val="es-CO"/>
        </w:rPr>
        <w:t xml:space="preserve"> se</w:t>
      </w:r>
      <w:r w:rsidRPr="0075145E">
        <w:rPr>
          <w:rFonts w:ascii="Arial" w:hAnsi="Arial" w:cs="Arial"/>
          <w:bCs/>
          <w:color w:val="000000" w:themeColor="text1"/>
          <w:sz w:val="22"/>
          <w:lang w:val="es-CO"/>
        </w:rPr>
        <w:t xml:space="preserve"> señaló que las empresas industriales y comerciales del Estado, las empresas de 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75145E">
        <w:rPr>
          <w:rFonts w:ascii="Arial" w:hAnsi="Arial" w:cs="Arial"/>
          <w:color w:val="000000" w:themeColor="text1"/>
          <w:vertAlign w:val="superscript"/>
          <w:lang w:val="es-CO"/>
        </w:rPr>
        <w:footnoteReference w:id="13"/>
      </w:r>
      <w:r w:rsidRPr="0075145E">
        <w:rPr>
          <w:rFonts w:ascii="Arial" w:hAnsi="Arial" w:cs="Arial"/>
          <w:bCs/>
          <w:color w:val="000000" w:themeColor="text1"/>
          <w:sz w:val="22"/>
          <w:lang w:val="es-CO"/>
        </w:rPr>
        <w:t>.</w:t>
      </w:r>
    </w:p>
    <w:p w14:paraId="3709A7D5" w14:textId="77777777" w:rsidR="0073536E" w:rsidRPr="0075145E" w:rsidRDefault="0073536E" w:rsidP="0065129F">
      <w:pPr>
        <w:spacing w:before="120" w:after="120" w:line="276" w:lineRule="auto"/>
        <w:ind w:firstLine="709"/>
        <w:jc w:val="both"/>
        <w:rPr>
          <w:rFonts w:ascii="Arial" w:eastAsia="Calibri" w:hAnsi="Arial" w:cs="Arial"/>
          <w:color w:val="000000" w:themeColor="text1"/>
          <w:sz w:val="22"/>
          <w:lang w:val="es-CO"/>
        </w:rPr>
      </w:pPr>
      <w:r w:rsidRPr="0075145E">
        <w:rPr>
          <w:rFonts w:ascii="Arial" w:hAnsi="Arial" w:cs="Arial"/>
          <w:color w:val="000000" w:themeColor="text1"/>
          <w:sz w:val="22"/>
          <w:lang w:val="es-CO"/>
        </w:rPr>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w:t>
      </w:r>
      <w:r w:rsidRPr="0075145E">
        <w:rPr>
          <w:rFonts w:ascii="Arial" w:eastAsia="Calibri" w:hAnsi="Arial" w:cs="Arial"/>
          <w:color w:val="000000" w:themeColor="text1"/>
          <w:sz w:val="22"/>
          <w:lang w:val="es-CO"/>
        </w:rPr>
        <w:t xml:space="preserve">documentos del proceso que se debían publicar. </w:t>
      </w:r>
    </w:p>
    <w:p w14:paraId="08787937" w14:textId="77777777" w:rsidR="0073536E" w:rsidRPr="0075145E" w:rsidRDefault="0073536E" w:rsidP="0073536E">
      <w:pPr>
        <w:spacing w:before="120" w:after="120" w:line="276" w:lineRule="auto"/>
        <w:ind w:firstLine="709"/>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 xml:space="preserve">Posteriormente, en el año 2018, cambió el fundamento normativo que define los documentos que las entidades de régimen especial debían publicar en el SECOP. En el </w:t>
      </w:r>
      <w:r w:rsidRPr="0075145E">
        <w:rPr>
          <w:rFonts w:ascii="Arial" w:eastAsia="Calibri" w:hAnsi="Arial" w:cs="Arial"/>
          <w:color w:val="000000" w:themeColor="text1"/>
          <w:sz w:val="22"/>
          <w:lang w:val="es-CO"/>
        </w:rPr>
        <w:lastRenderedPageBreak/>
        <w:t>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75145E">
        <w:rPr>
          <w:rFonts w:ascii="Arial" w:eastAsia="Calibri" w:hAnsi="Arial" w:cs="Arial"/>
          <w:color w:val="000000" w:themeColor="text1"/>
          <w:sz w:val="22"/>
          <w:vertAlign w:val="superscript"/>
          <w:lang w:val="es-CO"/>
        </w:rPr>
        <w:footnoteReference w:id="14"/>
      </w:r>
      <w:r w:rsidRPr="0075145E">
        <w:rPr>
          <w:rFonts w:ascii="Arial" w:eastAsia="Calibri" w:hAnsi="Arial" w:cs="Arial"/>
          <w:color w:val="000000" w:themeColor="text1"/>
          <w:sz w:val="22"/>
          <w:lang w:val="es-CO"/>
        </w:rPr>
        <w:t xml:space="preserve">. </w:t>
      </w:r>
    </w:p>
    <w:p w14:paraId="10CED680" w14:textId="77777777" w:rsidR="0073536E" w:rsidRPr="0075145E" w:rsidRDefault="0073536E" w:rsidP="0073536E">
      <w:pPr>
        <w:spacing w:before="120" w:after="120" w:line="276" w:lineRule="auto"/>
        <w:ind w:firstLine="709"/>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 xml:space="preserve">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 </w:t>
      </w:r>
    </w:p>
    <w:p w14:paraId="6A07A3B8" w14:textId="77777777" w:rsidR="0073536E" w:rsidRPr="0075145E" w:rsidRDefault="0073536E" w:rsidP="0073536E">
      <w:pPr>
        <w:spacing w:before="120" w:after="120" w:line="276" w:lineRule="auto"/>
        <w:ind w:firstLine="709"/>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 xml:space="preserve">En efecto, la Ley 1712 de 2014 o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4220C507" w14:textId="77777777" w:rsidR="0073536E" w:rsidRPr="0075145E" w:rsidRDefault="0073536E" w:rsidP="0073536E">
      <w:pPr>
        <w:spacing w:before="120" w:after="120" w:line="276" w:lineRule="auto"/>
        <w:ind w:firstLine="709"/>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Luego, el Decreto reglamentario 103 de 2015, «Por el cual se reglamenta parcialmente la Ley 1712 de 2014 y se dictan otras disposiciones», en el artículo 8, señala, de forma enunciativa, que se debe publicar la información relativa a la ejecución del contrato, como las aprobaciones, autorizaciones, requerimientos o informes del supervisor o interventor, que aprueben la ejecución del contrato</w:t>
      </w:r>
      <w:r w:rsidRPr="0075145E">
        <w:rPr>
          <w:rFonts w:ascii="Arial" w:eastAsia="Calibri" w:hAnsi="Arial" w:cs="Arial"/>
          <w:color w:val="000000" w:themeColor="text1"/>
          <w:sz w:val="22"/>
          <w:vertAlign w:val="superscript"/>
          <w:lang w:val="es-CO"/>
        </w:rPr>
        <w:footnoteReference w:id="15"/>
      </w:r>
      <w:r w:rsidRPr="0075145E">
        <w:rPr>
          <w:rFonts w:ascii="Arial" w:eastAsia="Calibri" w:hAnsi="Arial" w:cs="Arial"/>
          <w:color w:val="000000" w:themeColor="text1"/>
          <w:sz w:val="22"/>
          <w:lang w:val="es-CO"/>
        </w:rPr>
        <w:t xml:space="preserve">. Por su parte, el artículo 9 señala </w:t>
      </w:r>
      <w:r w:rsidRPr="0075145E">
        <w:rPr>
          <w:rFonts w:ascii="Arial" w:eastAsia="Calibri" w:hAnsi="Arial" w:cs="Arial"/>
          <w:color w:val="000000" w:themeColor="text1"/>
          <w:sz w:val="22"/>
          <w:lang w:val="es-CO"/>
        </w:rPr>
        <w:lastRenderedPageBreak/>
        <w:t>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75145E">
        <w:rPr>
          <w:rFonts w:ascii="Arial" w:eastAsia="Calibri" w:hAnsi="Arial" w:cs="Arial"/>
          <w:color w:val="000000" w:themeColor="text1"/>
          <w:sz w:val="22"/>
          <w:vertAlign w:val="superscript"/>
          <w:lang w:val="es-CO"/>
        </w:rPr>
        <w:footnoteReference w:id="16"/>
      </w:r>
      <w:r w:rsidRPr="0075145E">
        <w:rPr>
          <w:rFonts w:ascii="Arial" w:eastAsia="Calibri" w:hAnsi="Arial" w:cs="Arial"/>
          <w:color w:val="000000" w:themeColor="text1"/>
          <w:sz w:val="22"/>
          <w:lang w:val="es-CO"/>
        </w:rPr>
        <w:t>. Finalmente, el artículo 10 establece la obligación que tienen las entidades de publicar en el SECOP el Plan Anual de Adquisiciones</w:t>
      </w:r>
      <w:r w:rsidRPr="0075145E">
        <w:rPr>
          <w:rFonts w:ascii="Arial" w:eastAsia="Calibri" w:hAnsi="Arial" w:cs="Arial"/>
          <w:color w:val="000000" w:themeColor="text1"/>
          <w:sz w:val="22"/>
          <w:vertAlign w:val="superscript"/>
          <w:lang w:val="es-CO"/>
        </w:rPr>
        <w:footnoteReference w:id="17"/>
      </w:r>
      <w:r w:rsidRPr="0075145E">
        <w:rPr>
          <w:rFonts w:ascii="Arial" w:eastAsia="Calibri" w:hAnsi="Arial" w:cs="Arial"/>
          <w:color w:val="000000" w:themeColor="text1"/>
          <w:sz w:val="22"/>
          <w:lang w:val="es-CO"/>
        </w:rPr>
        <w:t xml:space="preserve">.  </w:t>
      </w:r>
    </w:p>
    <w:p w14:paraId="7E3368B1" w14:textId="77777777" w:rsidR="0073536E" w:rsidRPr="0075145E" w:rsidRDefault="0073536E" w:rsidP="0073536E">
      <w:pPr>
        <w:spacing w:before="120" w:after="120" w:line="276" w:lineRule="auto"/>
        <w:ind w:firstLine="709"/>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 xml:space="preserve">De conformidad con lo anterior, el Decreto 103 de 2015 señala que los documentos que deben publicar las entidades estatales a quienes les aplica la Ley 1712 de 2014, entre estas, por ejemplo, las empresas de servicios públicos mixtas, oficiales y privadas con participación pública, son: i) las autorizaciones, requerimientos, aprobaciones o informes del supervisor o del interventor, que prueben la ejecución del contrato, </w:t>
      </w:r>
      <w:proofErr w:type="spellStart"/>
      <w:r w:rsidRPr="0075145E">
        <w:rPr>
          <w:rFonts w:ascii="Arial" w:eastAsia="Calibri" w:hAnsi="Arial" w:cs="Arial"/>
          <w:color w:val="000000" w:themeColor="text1"/>
          <w:sz w:val="22"/>
          <w:lang w:val="es-CO"/>
        </w:rPr>
        <w:t>ii</w:t>
      </w:r>
      <w:proofErr w:type="spellEnd"/>
      <w:r w:rsidRPr="0075145E">
        <w:rPr>
          <w:rFonts w:ascii="Arial" w:eastAsia="Calibri" w:hAnsi="Arial" w:cs="Arial"/>
          <w:color w:val="000000" w:themeColor="text1"/>
          <w:sz w:val="22"/>
          <w:lang w:val="es-CO"/>
        </w:rPr>
        <w:t xml:space="preserve">) los procedimientos, lineamientos y políticas en materia de adquisición que corresponden a los  documentos que los conforman, previstos en el manual de contratación de la entidad, y finalmente, </w:t>
      </w:r>
      <w:proofErr w:type="spellStart"/>
      <w:r w:rsidRPr="0075145E">
        <w:rPr>
          <w:rFonts w:ascii="Arial" w:eastAsia="Calibri" w:hAnsi="Arial" w:cs="Arial"/>
          <w:color w:val="000000" w:themeColor="text1"/>
          <w:sz w:val="22"/>
          <w:lang w:val="es-CO"/>
        </w:rPr>
        <w:t>iii</w:t>
      </w:r>
      <w:proofErr w:type="spellEnd"/>
      <w:r w:rsidRPr="0075145E">
        <w:rPr>
          <w:rFonts w:ascii="Arial" w:eastAsia="Calibri" w:hAnsi="Arial" w:cs="Arial"/>
          <w:color w:val="000000" w:themeColor="text1"/>
          <w:sz w:val="22"/>
          <w:lang w:val="es-CO"/>
        </w:rPr>
        <w:t xml:space="preserve">) el plan anual de adquisiciones. </w:t>
      </w:r>
    </w:p>
    <w:p w14:paraId="154455A0" w14:textId="56DD8CAE" w:rsidR="0073536E" w:rsidRPr="0075145E" w:rsidRDefault="0073536E" w:rsidP="0073536E">
      <w:pPr>
        <w:spacing w:before="120" w:after="120" w:line="276" w:lineRule="auto"/>
        <w:ind w:firstLine="709"/>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 xml:space="preserve">Frente al segundo grupo de documentos, debido a que estas entidades están sometidas al derecho privado, y por lo tanto no </w:t>
      </w:r>
      <w:r w:rsidR="00CD1683">
        <w:rPr>
          <w:rFonts w:ascii="Arial" w:eastAsia="Calibri" w:hAnsi="Arial" w:cs="Arial"/>
          <w:color w:val="000000" w:themeColor="text1"/>
          <w:sz w:val="22"/>
          <w:lang w:val="es-CO"/>
        </w:rPr>
        <w:t>realizan</w:t>
      </w:r>
      <w:r w:rsidR="00CD1683" w:rsidRPr="0075145E">
        <w:rPr>
          <w:rFonts w:ascii="Arial" w:eastAsia="Calibri" w:hAnsi="Arial" w:cs="Arial"/>
          <w:color w:val="000000" w:themeColor="text1"/>
          <w:sz w:val="22"/>
          <w:lang w:val="es-CO"/>
        </w:rPr>
        <w:t xml:space="preserve"> </w:t>
      </w:r>
      <w:r w:rsidRPr="0075145E">
        <w:rPr>
          <w:rFonts w:ascii="Arial" w:eastAsia="Calibri" w:hAnsi="Arial" w:cs="Arial"/>
          <w:color w:val="000000" w:themeColor="text1"/>
          <w:sz w:val="22"/>
          <w:lang w:val="es-CO"/>
        </w:rPr>
        <w:t xml:space="preserve">sus procesos de contratación mediante las modalidades previstas en la Ley 80 de 1993, cada una definirá en su manual el procedimiento para contratar sus bienes y servicios. </w:t>
      </w:r>
    </w:p>
    <w:p w14:paraId="79959065" w14:textId="77777777" w:rsidR="0073536E" w:rsidRPr="0075145E" w:rsidRDefault="0073536E" w:rsidP="0073536E">
      <w:pPr>
        <w:spacing w:before="120" w:after="120" w:line="276" w:lineRule="auto"/>
        <w:ind w:firstLine="709"/>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lastRenderedPageBreak/>
        <w:t>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14:paraId="79D17883" w14:textId="2625755E" w:rsidR="0073536E" w:rsidRPr="0075145E" w:rsidRDefault="0073536E" w:rsidP="0073536E">
      <w:pPr>
        <w:spacing w:before="120" w:after="120" w:line="276" w:lineRule="auto"/>
        <w:ind w:firstLine="709"/>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Por lo tanto, en estos casos aplica la Ley 1712 de 2014 y el Decreto 103 de 2015, no el Decreto 1082 de 2015, porque esta última norma rige a las entidades sometidas al Estatuto General de Contratación de la Administración Pública, y por lo tanto no aplica, por ejemplo, a las empresas de servicios públicos domiciliarios que, por regla general, se rigen por el derecho privado. Por su parte, la Ley 1712 de 2014 y el Decreto reglamentario 103 de 2015 rigen a cualquier entidad pública, incluyendo</w:t>
      </w:r>
      <w:r w:rsidRPr="0075145E">
        <w:rPr>
          <w:rFonts w:ascii="Arial" w:hAnsi="Arial" w:cs="Arial"/>
          <w:color w:val="000000" w:themeColor="text1"/>
          <w:sz w:val="22"/>
          <w:lang w:val="es-CO"/>
        </w:rPr>
        <w:t xml:space="preserve"> </w:t>
      </w:r>
      <w:r w:rsidRPr="0075145E">
        <w:rPr>
          <w:rFonts w:ascii="Arial" w:eastAsia="Times New Roman" w:hAnsi="Arial" w:cs="Arial"/>
          <w:color w:val="000000" w:themeColor="text1"/>
          <w:sz w:val="22"/>
          <w:lang w:val="es-CO" w:eastAsia="es-CO"/>
        </w:rPr>
        <w:t xml:space="preserve">las pertenecientes a todas las Ramas del Poder Público, en todos los niveles de la estructura estatal, central o descentralizada por servicios o territorialmente, en los </w:t>
      </w:r>
      <w:r w:rsidRPr="0075145E">
        <w:rPr>
          <w:rFonts w:ascii="Arial" w:eastAsia="Calibri" w:hAnsi="Arial" w:cs="Arial"/>
          <w:color w:val="000000" w:themeColor="text1"/>
          <w:sz w:val="22"/>
          <w:lang w:val="es-CO"/>
        </w:rPr>
        <w:t>órdenes nacional, departamental, municipal y distrital.</w:t>
      </w:r>
    </w:p>
    <w:p w14:paraId="07E4D4B8" w14:textId="695711C6" w:rsidR="00E03788" w:rsidRPr="0075145E" w:rsidRDefault="004F3A2F" w:rsidP="0073536E">
      <w:pPr>
        <w:spacing w:before="120" w:after="120" w:line="276" w:lineRule="auto"/>
        <w:ind w:firstLine="709"/>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 xml:space="preserve">Muestra de tal análisis normativo son los conceptos </w:t>
      </w:r>
      <w:r w:rsidR="00276488" w:rsidRPr="0075145E">
        <w:rPr>
          <w:rFonts w:ascii="Arial" w:eastAsia="Calibri" w:hAnsi="Arial" w:cs="Arial"/>
          <w:color w:val="000000" w:themeColor="text1"/>
          <w:sz w:val="22"/>
          <w:lang w:val="es-CO"/>
        </w:rPr>
        <w:t xml:space="preserve">emitidos </w:t>
      </w:r>
      <w:r w:rsidRPr="0075145E">
        <w:rPr>
          <w:rFonts w:ascii="Arial" w:eastAsia="Calibri" w:hAnsi="Arial" w:cs="Arial"/>
          <w:color w:val="000000" w:themeColor="text1"/>
          <w:sz w:val="22"/>
          <w:lang w:val="es-CO"/>
        </w:rPr>
        <w:t xml:space="preserve">el </w:t>
      </w:r>
      <w:r w:rsidR="0083703B" w:rsidRPr="0075145E">
        <w:rPr>
          <w:rFonts w:ascii="Arial" w:eastAsia="Calibri" w:hAnsi="Arial" w:cs="Arial"/>
          <w:color w:val="000000" w:themeColor="text1"/>
          <w:sz w:val="22"/>
          <w:lang w:val="es-CO"/>
        </w:rPr>
        <w:t xml:space="preserve">9 </w:t>
      </w:r>
      <w:r w:rsidR="00C305DF" w:rsidRPr="0075145E">
        <w:rPr>
          <w:rFonts w:ascii="Arial" w:eastAsia="Calibri" w:hAnsi="Arial" w:cs="Arial"/>
          <w:color w:val="000000" w:themeColor="text1"/>
          <w:sz w:val="22"/>
          <w:lang w:val="es-CO"/>
        </w:rPr>
        <w:t xml:space="preserve">y el 21 </w:t>
      </w:r>
      <w:r w:rsidR="0083703B" w:rsidRPr="0075145E">
        <w:rPr>
          <w:rFonts w:ascii="Arial" w:eastAsia="Calibri" w:hAnsi="Arial" w:cs="Arial"/>
          <w:color w:val="000000" w:themeColor="text1"/>
          <w:sz w:val="22"/>
          <w:lang w:val="es-CO"/>
        </w:rPr>
        <w:t>de agosto</w:t>
      </w:r>
      <w:r w:rsidR="00C305DF" w:rsidRPr="0075145E">
        <w:rPr>
          <w:rFonts w:ascii="Arial" w:eastAsia="Calibri" w:hAnsi="Arial" w:cs="Arial"/>
          <w:color w:val="000000" w:themeColor="text1"/>
          <w:sz w:val="22"/>
          <w:lang w:val="es-CO"/>
        </w:rPr>
        <w:t>, el 10 de septiembre, el 7 de noviembre</w:t>
      </w:r>
      <w:r w:rsidR="00276488" w:rsidRPr="0075145E">
        <w:rPr>
          <w:rFonts w:ascii="Arial" w:eastAsia="Calibri" w:hAnsi="Arial" w:cs="Arial"/>
          <w:color w:val="000000" w:themeColor="text1"/>
          <w:sz w:val="22"/>
          <w:lang w:val="es-CO"/>
        </w:rPr>
        <w:t xml:space="preserve"> y </w:t>
      </w:r>
      <w:r w:rsidR="00C305DF" w:rsidRPr="0075145E">
        <w:rPr>
          <w:rFonts w:ascii="Arial" w:eastAsia="Calibri" w:hAnsi="Arial" w:cs="Arial"/>
          <w:color w:val="000000" w:themeColor="text1"/>
          <w:sz w:val="22"/>
          <w:lang w:val="es-CO"/>
        </w:rPr>
        <w:t>el 4</w:t>
      </w:r>
      <w:r w:rsidR="00276488" w:rsidRPr="0075145E">
        <w:rPr>
          <w:rFonts w:ascii="Arial" w:eastAsia="Calibri" w:hAnsi="Arial" w:cs="Arial"/>
          <w:color w:val="000000" w:themeColor="text1"/>
          <w:sz w:val="22"/>
          <w:lang w:val="es-CO"/>
        </w:rPr>
        <w:t xml:space="preserve">, </w:t>
      </w:r>
      <w:r w:rsidR="00C305DF" w:rsidRPr="0075145E">
        <w:rPr>
          <w:rFonts w:ascii="Arial" w:eastAsia="Calibri" w:hAnsi="Arial" w:cs="Arial"/>
          <w:color w:val="000000" w:themeColor="text1"/>
          <w:sz w:val="22"/>
          <w:lang w:val="es-CO"/>
        </w:rPr>
        <w:t>5</w:t>
      </w:r>
      <w:r w:rsidR="00276488" w:rsidRPr="0075145E">
        <w:rPr>
          <w:rFonts w:ascii="Arial" w:eastAsia="Calibri" w:hAnsi="Arial" w:cs="Arial"/>
          <w:color w:val="000000" w:themeColor="text1"/>
          <w:sz w:val="22"/>
          <w:lang w:val="es-CO"/>
        </w:rPr>
        <w:t xml:space="preserve">, 9 y 20 </w:t>
      </w:r>
      <w:r w:rsidR="00C305DF" w:rsidRPr="0075145E">
        <w:rPr>
          <w:rFonts w:ascii="Arial" w:eastAsia="Calibri" w:hAnsi="Arial" w:cs="Arial"/>
          <w:color w:val="000000" w:themeColor="text1"/>
          <w:sz w:val="22"/>
          <w:lang w:val="es-CO"/>
        </w:rPr>
        <w:t xml:space="preserve">de diciembre </w:t>
      </w:r>
      <w:r w:rsidR="0083703B" w:rsidRPr="0075145E">
        <w:rPr>
          <w:rFonts w:ascii="Arial" w:eastAsia="Calibri" w:hAnsi="Arial" w:cs="Arial"/>
          <w:color w:val="000000" w:themeColor="text1"/>
          <w:sz w:val="22"/>
          <w:lang w:val="es-CO"/>
        </w:rPr>
        <w:t>de 2019</w:t>
      </w:r>
      <w:r w:rsidRPr="0075145E">
        <w:rPr>
          <w:rFonts w:ascii="Arial" w:eastAsia="Calibri" w:hAnsi="Arial" w:cs="Arial"/>
          <w:color w:val="000000" w:themeColor="text1"/>
          <w:sz w:val="22"/>
          <w:lang w:val="es-CO"/>
        </w:rPr>
        <w:t xml:space="preserve"> −radicados Nos.</w:t>
      </w:r>
      <w:r w:rsidR="00C305DF" w:rsidRPr="0075145E">
        <w:rPr>
          <w:rFonts w:ascii="Arial" w:eastAsia="Calibri" w:hAnsi="Arial" w:cs="Arial"/>
          <w:color w:val="000000" w:themeColor="text1"/>
          <w:sz w:val="22"/>
          <w:lang w:val="es-CO"/>
        </w:rPr>
        <w:t xml:space="preserve"> 2201913000005749, 2201913000006091, 2201913000006705, 2201913000008317, 2201913000008939</w:t>
      </w:r>
      <w:r w:rsidR="00276488" w:rsidRPr="0075145E">
        <w:rPr>
          <w:rFonts w:ascii="Arial" w:eastAsia="Calibri" w:hAnsi="Arial" w:cs="Arial"/>
          <w:color w:val="000000" w:themeColor="text1"/>
          <w:sz w:val="22"/>
          <w:lang w:val="es-CO"/>
        </w:rPr>
        <w:t>,</w:t>
      </w:r>
      <w:r w:rsidR="00C305DF" w:rsidRPr="0075145E">
        <w:rPr>
          <w:rFonts w:ascii="Arial" w:eastAsia="Calibri" w:hAnsi="Arial" w:cs="Arial"/>
          <w:color w:val="000000" w:themeColor="text1"/>
          <w:sz w:val="22"/>
          <w:lang w:val="es-CO"/>
        </w:rPr>
        <w:t xml:space="preserve"> 2201913000008985</w:t>
      </w:r>
      <w:r w:rsidRPr="0075145E">
        <w:rPr>
          <w:rFonts w:ascii="Arial" w:eastAsia="Calibri" w:hAnsi="Arial" w:cs="Arial"/>
          <w:color w:val="000000" w:themeColor="text1"/>
          <w:sz w:val="22"/>
          <w:lang w:val="es-CO"/>
        </w:rPr>
        <w:t xml:space="preserve"> </w:t>
      </w:r>
      <w:r w:rsidR="00276488" w:rsidRPr="0075145E">
        <w:rPr>
          <w:rFonts w:ascii="Arial" w:eastAsia="Calibri" w:hAnsi="Arial" w:cs="Arial"/>
          <w:color w:val="000000" w:themeColor="text1"/>
          <w:sz w:val="22"/>
          <w:lang w:val="es-CO"/>
        </w:rPr>
        <w:t>y 2201913000009464−</w:t>
      </w:r>
      <w:r w:rsidRPr="0075145E">
        <w:rPr>
          <w:rFonts w:ascii="Arial" w:eastAsia="Calibri" w:hAnsi="Arial" w:cs="Arial"/>
          <w:color w:val="000000" w:themeColor="text1"/>
          <w:sz w:val="22"/>
          <w:lang w:val="es-CO"/>
        </w:rPr>
        <w:t xml:space="preserve">, </w:t>
      </w:r>
      <w:r w:rsidR="002E7C6A" w:rsidRPr="0075145E">
        <w:rPr>
          <w:rFonts w:ascii="Arial" w:eastAsia="Calibri" w:hAnsi="Arial" w:cs="Arial"/>
          <w:color w:val="000000" w:themeColor="text1"/>
          <w:sz w:val="22"/>
          <w:lang w:val="es-CO"/>
        </w:rPr>
        <w:t xml:space="preserve">así como el concepto C-110 de 2020, </w:t>
      </w:r>
      <w:r w:rsidRPr="0075145E">
        <w:rPr>
          <w:rFonts w:ascii="Arial" w:eastAsia="Calibri" w:hAnsi="Arial" w:cs="Arial"/>
          <w:color w:val="000000" w:themeColor="text1"/>
          <w:sz w:val="22"/>
          <w:lang w:val="es-CO"/>
        </w:rPr>
        <w:t>en donde la Agencia Nacional de Contratación Pública</w:t>
      </w:r>
      <w:r w:rsidR="00276488" w:rsidRPr="0075145E">
        <w:rPr>
          <w:rFonts w:ascii="Arial" w:eastAsia="Calibri" w:hAnsi="Arial" w:cs="Arial"/>
          <w:color w:val="000000" w:themeColor="text1"/>
          <w:sz w:val="22"/>
          <w:lang w:val="es-CO"/>
        </w:rPr>
        <w:t xml:space="preserve"> – Colombia Compra Eficiente </w:t>
      </w:r>
      <w:r w:rsidRPr="0075145E">
        <w:rPr>
          <w:rFonts w:ascii="Arial" w:eastAsia="Calibri" w:hAnsi="Arial" w:cs="Arial"/>
          <w:color w:val="000000" w:themeColor="text1"/>
          <w:sz w:val="22"/>
          <w:lang w:val="es-CO"/>
        </w:rPr>
        <w:t>reconoció la obligación</w:t>
      </w:r>
      <w:r w:rsidR="00276488" w:rsidRPr="0075145E">
        <w:rPr>
          <w:rFonts w:ascii="Arial" w:eastAsia="Calibri" w:hAnsi="Arial" w:cs="Arial"/>
          <w:color w:val="000000" w:themeColor="text1"/>
          <w:sz w:val="22"/>
          <w:lang w:val="es-CO"/>
        </w:rPr>
        <w:t xml:space="preserve"> que tienen las entidades</w:t>
      </w:r>
      <w:r w:rsidRPr="0075145E">
        <w:rPr>
          <w:rFonts w:ascii="Arial" w:eastAsia="Calibri" w:hAnsi="Arial" w:cs="Arial"/>
          <w:color w:val="000000" w:themeColor="text1"/>
          <w:sz w:val="22"/>
          <w:lang w:val="es-CO"/>
        </w:rPr>
        <w:t xml:space="preserve"> de publicar el Plan Anual de Adquisiciones, el </w:t>
      </w:r>
      <w:r w:rsidR="00215228">
        <w:rPr>
          <w:rFonts w:ascii="Arial" w:eastAsia="Calibri" w:hAnsi="Arial" w:cs="Arial"/>
          <w:color w:val="000000" w:themeColor="text1"/>
          <w:sz w:val="22"/>
          <w:lang w:val="es-CO"/>
        </w:rPr>
        <w:t>i</w:t>
      </w:r>
      <w:r w:rsidRPr="0075145E">
        <w:rPr>
          <w:rFonts w:ascii="Arial" w:eastAsia="Calibri" w:hAnsi="Arial" w:cs="Arial"/>
          <w:color w:val="000000" w:themeColor="text1"/>
          <w:sz w:val="22"/>
          <w:lang w:val="es-CO"/>
        </w:rPr>
        <w:t xml:space="preserve">nforme de </w:t>
      </w:r>
      <w:r w:rsidR="00215228">
        <w:rPr>
          <w:rFonts w:ascii="Arial" w:eastAsia="Calibri" w:hAnsi="Arial" w:cs="Arial"/>
          <w:color w:val="000000" w:themeColor="text1"/>
          <w:sz w:val="22"/>
          <w:lang w:val="es-CO"/>
        </w:rPr>
        <w:t>e</w:t>
      </w:r>
      <w:r w:rsidRPr="0075145E">
        <w:rPr>
          <w:rFonts w:ascii="Arial" w:eastAsia="Calibri" w:hAnsi="Arial" w:cs="Arial"/>
          <w:color w:val="000000" w:themeColor="text1"/>
          <w:sz w:val="22"/>
          <w:lang w:val="es-CO"/>
        </w:rPr>
        <w:t>valuación, el documento que contiene la cesión de derechos</w:t>
      </w:r>
      <w:r w:rsidR="0083703B" w:rsidRPr="0075145E">
        <w:rPr>
          <w:rFonts w:ascii="Arial" w:eastAsia="Calibri" w:hAnsi="Arial" w:cs="Arial"/>
          <w:color w:val="000000" w:themeColor="text1"/>
          <w:sz w:val="22"/>
          <w:lang w:val="es-CO"/>
        </w:rPr>
        <w:t xml:space="preserve">, </w:t>
      </w:r>
      <w:r w:rsidR="00C305DF" w:rsidRPr="0075145E">
        <w:rPr>
          <w:rFonts w:ascii="Arial" w:eastAsia="Calibri" w:hAnsi="Arial" w:cs="Arial"/>
          <w:color w:val="000000" w:themeColor="text1"/>
          <w:sz w:val="22"/>
          <w:lang w:val="es-CO"/>
        </w:rPr>
        <w:t xml:space="preserve">la </w:t>
      </w:r>
      <w:r w:rsidR="00215228">
        <w:rPr>
          <w:rFonts w:ascii="Arial" w:eastAsia="Calibri" w:hAnsi="Arial" w:cs="Arial"/>
          <w:color w:val="000000" w:themeColor="text1"/>
          <w:sz w:val="22"/>
          <w:lang w:val="es-CO"/>
        </w:rPr>
        <w:t>i</w:t>
      </w:r>
      <w:r w:rsidR="00C305DF" w:rsidRPr="0075145E">
        <w:rPr>
          <w:rFonts w:ascii="Arial" w:eastAsia="Calibri" w:hAnsi="Arial" w:cs="Arial"/>
          <w:color w:val="000000" w:themeColor="text1"/>
          <w:sz w:val="22"/>
          <w:lang w:val="es-CO"/>
        </w:rPr>
        <w:t xml:space="preserve">nvitación </w:t>
      </w:r>
      <w:r w:rsidR="00845C0D">
        <w:rPr>
          <w:rFonts w:ascii="Arial" w:eastAsia="Calibri" w:hAnsi="Arial" w:cs="Arial"/>
          <w:color w:val="000000" w:themeColor="text1"/>
          <w:sz w:val="22"/>
          <w:lang w:val="es-CO"/>
        </w:rPr>
        <w:t>p</w:t>
      </w:r>
      <w:r w:rsidR="00C305DF" w:rsidRPr="0075145E">
        <w:rPr>
          <w:rFonts w:ascii="Arial" w:eastAsia="Calibri" w:hAnsi="Arial" w:cs="Arial"/>
          <w:color w:val="000000" w:themeColor="text1"/>
          <w:sz w:val="22"/>
          <w:lang w:val="es-CO"/>
        </w:rPr>
        <w:t xml:space="preserve">ública, contratos de arrendamiento sin erogación presupuestal, </w:t>
      </w:r>
      <w:r w:rsidR="0083703B" w:rsidRPr="0075145E">
        <w:rPr>
          <w:rFonts w:ascii="Arial" w:eastAsia="Calibri" w:hAnsi="Arial" w:cs="Arial"/>
          <w:color w:val="000000" w:themeColor="text1"/>
          <w:sz w:val="22"/>
          <w:lang w:val="es-CO"/>
        </w:rPr>
        <w:t xml:space="preserve">informes de supervisión del contrato, </w:t>
      </w:r>
      <w:r w:rsidR="00276488" w:rsidRPr="0075145E">
        <w:rPr>
          <w:rFonts w:ascii="Arial" w:eastAsia="Calibri" w:hAnsi="Arial" w:cs="Arial"/>
          <w:color w:val="000000" w:themeColor="text1"/>
          <w:sz w:val="22"/>
          <w:lang w:val="es-CO"/>
        </w:rPr>
        <w:t>contratos celebrados por contratistas para la ejecución del contrato estatal</w:t>
      </w:r>
      <w:r w:rsidR="002E7C6A" w:rsidRPr="0075145E">
        <w:rPr>
          <w:rFonts w:ascii="Arial" w:eastAsia="Calibri" w:hAnsi="Arial" w:cs="Arial"/>
          <w:color w:val="000000" w:themeColor="text1"/>
          <w:sz w:val="22"/>
          <w:lang w:val="es-CO"/>
        </w:rPr>
        <w:t xml:space="preserve">, </w:t>
      </w:r>
      <w:r w:rsidR="00276488" w:rsidRPr="0075145E">
        <w:rPr>
          <w:rFonts w:ascii="Arial" w:eastAsia="Calibri" w:hAnsi="Arial" w:cs="Arial"/>
          <w:color w:val="000000" w:themeColor="text1"/>
          <w:sz w:val="22"/>
          <w:lang w:val="es-CO"/>
        </w:rPr>
        <w:t>adendas</w:t>
      </w:r>
      <w:r w:rsidR="002E7C6A" w:rsidRPr="0075145E">
        <w:rPr>
          <w:rFonts w:ascii="Arial" w:eastAsia="Calibri" w:hAnsi="Arial" w:cs="Arial"/>
          <w:color w:val="000000" w:themeColor="text1"/>
          <w:sz w:val="22"/>
          <w:lang w:val="es-CO"/>
        </w:rPr>
        <w:t xml:space="preserve"> y los documentos relacionados con la aprobación de garantías</w:t>
      </w:r>
      <w:r w:rsidR="00276488" w:rsidRPr="0075145E">
        <w:rPr>
          <w:rFonts w:ascii="Arial" w:eastAsia="Calibri" w:hAnsi="Arial" w:cs="Arial"/>
          <w:color w:val="000000" w:themeColor="text1"/>
          <w:sz w:val="22"/>
          <w:lang w:val="es-CO"/>
        </w:rPr>
        <w:t>, entre otros.</w:t>
      </w:r>
      <w:r w:rsidR="00E03788" w:rsidRPr="0075145E">
        <w:rPr>
          <w:rFonts w:ascii="Arial" w:eastAsia="Calibri" w:hAnsi="Arial" w:cs="Arial"/>
          <w:color w:val="000000" w:themeColor="text1"/>
          <w:sz w:val="22"/>
          <w:lang w:val="es-CO"/>
        </w:rPr>
        <w:t xml:space="preserve"> </w:t>
      </w:r>
    </w:p>
    <w:p w14:paraId="31B6DFA0" w14:textId="178867FF" w:rsidR="00CE2F6A" w:rsidRPr="0075145E" w:rsidRDefault="0083703B" w:rsidP="00CE2F6A">
      <w:pPr>
        <w:pStyle w:val="Prrafodelista"/>
        <w:numPr>
          <w:ilvl w:val="0"/>
          <w:numId w:val="10"/>
        </w:numPr>
        <w:tabs>
          <w:tab w:val="left" w:pos="851"/>
        </w:tabs>
        <w:spacing w:before="120" w:line="276" w:lineRule="auto"/>
        <w:ind w:left="0" w:firstLine="567"/>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Por otro lado</w:t>
      </w:r>
      <w:r w:rsidR="004F3A2F" w:rsidRPr="0075145E">
        <w:rPr>
          <w:rFonts w:ascii="Arial" w:eastAsia="Calibri" w:hAnsi="Arial" w:cs="Arial"/>
          <w:color w:val="000000" w:themeColor="text1"/>
          <w:sz w:val="22"/>
          <w:lang w:val="es-CO"/>
        </w:rPr>
        <w:t>,</w:t>
      </w:r>
      <w:r w:rsidR="00E03788" w:rsidRPr="0075145E">
        <w:rPr>
          <w:rFonts w:ascii="Arial" w:eastAsia="Calibri" w:hAnsi="Arial" w:cs="Arial"/>
          <w:color w:val="000000" w:themeColor="text1"/>
          <w:sz w:val="22"/>
          <w:lang w:val="es-CO"/>
        </w:rPr>
        <w:t xml:space="preserve"> con posterioridad al concepto CU-003 del año 2020, se han proferido otros conceptos reiterando lo dicho a título de unificación, dentro de los que vale la pena resaltar los siguientes: </w:t>
      </w:r>
      <w:r w:rsidR="00E03788" w:rsidRPr="0075145E">
        <w:rPr>
          <w:rFonts w:ascii="Arial" w:hAnsi="Arial" w:cs="Arial"/>
          <w:color w:val="000000" w:themeColor="text1"/>
          <w:sz w:val="22"/>
          <w:lang w:val="es-CO"/>
        </w:rPr>
        <w:t>C-061, C-072, C-092, C-095, C-110, C-115, C-116, C-149, C-151, C-170, C-171, C-197, C-206 y C-264</w:t>
      </w:r>
      <w:r w:rsidR="00E03788" w:rsidRPr="0075145E">
        <w:rPr>
          <w:rFonts w:ascii="Arial" w:eastAsia="Calibri" w:hAnsi="Arial" w:cs="Arial"/>
          <w:color w:val="000000" w:themeColor="text1"/>
          <w:sz w:val="22"/>
          <w:lang w:val="es-CO"/>
        </w:rPr>
        <w:t xml:space="preserve">. Igualmente, luego del referido concepto de unificación, </w:t>
      </w:r>
      <w:r w:rsidR="00CE2F6A" w:rsidRPr="0075145E">
        <w:rPr>
          <w:rFonts w:ascii="Arial" w:eastAsia="Calibri" w:hAnsi="Arial" w:cs="Arial"/>
          <w:color w:val="000000" w:themeColor="text1"/>
          <w:sz w:val="22"/>
          <w:lang w:val="es-CO"/>
        </w:rPr>
        <w:t>se estudiaron</w:t>
      </w:r>
      <w:r w:rsidR="00E03788" w:rsidRPr="0075145E">
        <w:rPr>
          <w:rFonts w:ascii="Arial" w:eastAsia="Calibri" w:hAnsi="Arial" w:cs="Arial"/>
          <w:color w:val="000000" w:themeColor="text1"/>
          <w:sz w:val="22"/>
          <w:lang w:val="es-CO"/>
        </w:rPr>
        <w:t xml:space="preserve"> </w:t>
      </w:r>
      <w:r w:rsidR="00CE2F6A" w:rsidRPr="0075145E">
        <w:rPr>
          <w:rFonts w:ascii="Arial" w:eastAsia="Calibri" w:hAnsi="Arial" w:cs="Arial"/>
          <w:color w:val="000000" w:themeColor="text1"/>
          <w:sz w:val="22"/>
          <w:lang w:val="es-CO"/>
        </w:rPr>
        <w:t xml:space="preserve">algunos </w:t>
      </w:r>
      <w:r w:rsidR="00E03788" w:rsidRPr="0075145E">
        <w:rPr>
          <w:rFonts w:ascii="Arial" w:eastAsia="Calibri" w:hAnsi="Arial" w:cs="Arial"/>
          <w:color w:val="000000" w:themeColor="text1"/>
          <w:sz w:val="22"/>
          <w:lang w:val="es-CO"/>
        </w:rPr>
        <w:t xml:space="preserve">eventos </w:t>
      </w:r>
      <w:r w:rsidR="00CE2F6A" w:rsidRPr="0075145E">
        <w:rPr>
          <w:rFonts w:ascii="Arial" w:eastAsia="Calibri" w:hAnsi="Arial" w:cs="Arial"/>
          <w:color w:val="000000" w:themeColor="text1"/>
          <w:sz w:val="22"/>
          <w:lang w:val="es-CO"/>
        </w:rPr>
        <w:t xml:space="preserve">en particular </w:t>
      </w:r>
      <w:r w:rsidR="00E03788" w:rsidRPr="0075145E">
        <w:rPr>
          <w:rFonts w:ascii="Arial" w:eastAsia="Calibri" w:hAnsi="Arial" w:cs="Arial"/>
          <w:color w:val="000000" w:themeColor="text1"/>
          <w:sz w:val="22"/>
          <w:lang w:val="es-CO"/>
        </w:rPr>
        <w:t xml:space="preserve">no considerados </w:t>
      </w:r>
      <w:r w:rsidR="00CE2F6A" w:rsidRPr="0075145E">
        <w:rPr>
          <w:rFonts w:ascii="Arial" w:eastAsia="Calibri" w:hAnsi="Arial" w:cs="Arial"/>
          <w:color w:val="000000" w:themeColor="text1"/>
          <w:sz w:val="22"/>
          <w:lang w:val="es-CO"/>
        </w:rPr>
        <w:t>en esa ocasión.</w:t>
      </w:r>
      <w:r w:rsidR="00E03788" w:rsidRPr="0075145E">
        <w:rPr>
          <w:rFonts w:ascii="Arial" w:eastAsia="Calibri" w:hAnsi="Arial" w:cs="Arial"/>
          <w:color w:val="000000" w:themeColor="text1"/>
          <w:sz w:val="22"/>
          <w:lang w:val="es-CO"/>
        </w:rPr>
        <w:t xml:space="preserve"> </w:t>
      </w:r>
    </w:p>
    <w:p w14:paraId="472DD3B0" w14:textId="23334B68" w:rsidR="00CE2F6A" w:rsidRPr="0075145E" w:rsidRDefault="00CE2F6A" w:rsidP="00CE2F6A">
      <w:pPr>
        <w:tabs>
          <w:tab w:val="left" w:pos="851"/>
        </w:tabs>
        <w:spacing w:before="120" w:line="276" w:lineRule="auto"/>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ab/>
      </w:r>
      <w:r w:rsidR="00E03788" w:rsidRPr="0075145E">
        <w:rPr>
          <w:rFonts w:ascii="Arial" w:eastAsia="Calibri" w:hAnsi="Arial" w:cs="Arial"/>
          <w:color w:val="000000" w:themeColor="text1"/>
          <w:sz w:val="22"/>
          <w:lang w:val="es-CO"/>
        </w:rPr>
        <w:t xml:space="preserve">Por ejemplo, en los conceptos </w:t>
      </w:r>
      <w:r w:rsidRPr="0075145E">
        <w:rPr>
          <w:rFonts w:ascii="Arial" w:eastAsia="Calibri" w:hAnsi="Arial" w:cs="Arial"/>
          <w:color w:val="000000" w:themeColor="text1"/>
          <w:sz w:val="22"/>
          <w:lang w:val="es-CO"/>
        </w:rPr>
        <w:t xml:space="preserve">C-264 y C-265 de 2020 se </w:t>
      </w:r>
      <w:r w:rsidR="005A04E7" w:rsidRPr="0075145E">
        <w:rPr>
          <w:rFonts w:ascii="Arial" w:eastAsia="Calibri" w:hAnsi="Arial" w:cs="Arial"/>
          <w:color w:val="000000" w:themeColor="text1"/>
          <w:sz w:val="22"/>
          <w:lang w:val="es-CO"/>
        </w:rPr>
        <w:t>analizó</w:t>
      </w:r>
      <w:r w:rsidRPr="0075145E">
        <w:rPr>
          <w:rFonts w:ascii="Arial" w:eastAsia="Calibri" w:hAnsi="Arial" w:cs="Arial"/>
          <w:color w:val="000000" w:themeColor="text1"/>
          <w:sz w:val="22"/>
          <w:lang w:val="es-CO"/>
        </w:rPr>
        <w:t xml:space="preserve"> lo relacionado con los contratos de fiducia, concluyendo que los mismos «deberán ser publicados por la Entidad Estatal que lo suscriba, </w:t>
      </w:r>
      <w:r w:rsidR="00955A68" w:rsidRPr="0075145E">
        <w:rPr>
          <w:rFonts w:ascii="Arial" w:eastAsia="Calibri" w:hAnsi="Arial" w:cs="Arial"/>
          <w:color w:val="000000" w:themeColor="text1"/>
          <w:sz w:val="22"/>
          <w:lang w:val="es-CO"/>
        </w:rPr>
        <w:t>de acuerdo con el</w:t>
      </w:r>
      <w:r w:rsidRPr="0075145E">
        <w:rPr>
          <w:rFonts w:ascii="Arial" w:eastAsia="Calibri" w:hAnsi="Arial" w:cs="Arial"/>
          <w:color w:val="000000" w:themeColor="text1"/>
          <w:sz w:val="22"/>
          <w:lang w:val="es-CO"/>
        </w:rPr>
        <w:t xml:space="preserve"> régimen jurídico aplicable al contrato y según lo visto en párrafos precedentes. Igualmente, [que] la publicación de la contratación derivada de los contratos de fiducia deberá realizarse, o por la Entidad Estatal </w:t>
      </w:r>
      <w:r w:rsidRPr="0075145E">
        <w:rPr>
          <w:rFonts w:ascii="Arial" w:eastAsia="Calibri" w:hAnsi="Arial" w:cs="Arial"/>
          <w:color w:val="000000" w:themeColor="text1"/>
          <w:sz w:val="22"/>
          <w:lang w:val="es-CO"/>
        </w:rPr>
        <w:lastRenderedPageBreak/>
        <w:t xml:space="preserve">fideicomitente, con intervención de la fiduciaria para efectos de la firma del contrato, o por la fiduciaria que actúe como vocero de los patrimonios autónomos en calidad de contratante, también teniendo en cuenta el régimen del contrato y lo explicado en el presente documento». </w:t>
      </w:r>
      <w:r w:rsidR="005A04E7" w:rsidRPr="0075145E">
        <w:rPr>
          <w:rFonts w:ascii="Arial" w:eastAsia="Calibri" w:hAnsi="Arial" w:cs="Arial"/>
          <w:color w:val="000000" w:themeColor="text1"/>
          <w:sz w:val="22"/>
          <w:lang w:val="es-CO"/>
        </w:rPr>
        <w:t>Así mismo</w:t>
      </w:r>
      <w:r w:rsidRPr="0075145E">
        <w:rPr>
          <w:rFonts w:ascii="Arial" w:eastAsia="Calibri" w:hAnsi="Arial" w:cs="Arial"/>
          <w:color w:val="000000" w:themeColor="text1"/>
          <w:sz w:val="22"/>
          <w:lang w:val="es-CO"/>
        </w:rPr>
        <w:t>, frente a los procesos de contratación regidos por el Decreto 92 de 2017, con fundamento en las tesis unificadas en el concepto CU-003 de 2020, en el concepto C-167 de 2020 se concluyó que «[t]</w:t>
      </w:r>
      <w:proofErr w:type="spellStart"/>
      <w:r w:rsidRPr="0075145E">
        <w:rPr>
          <w:rFonts w:ascii="Arial" w:eastAsia="Calibri" w:hAnsi="Arial" w:cs="Arial"/>
          <w:color w:val="000000" w:themeColor="text1"/>
          <w:sz w:val="22"/>
          <w:lang w:val="es-CO"/>
        </w:rPr>
        <w:t>ratándose</w:t>
      </w:r>
      <w:proofErr w:type="spellEnd"/>
      <w:r w:rsidRPr="0075145E">
        <w:rPr>
          <w:rFonts w:ascii="Arial" w:eastAsia="Calibri" w:hAnsi="Arial" w:cs="Arial"/>
          <w:color w:val="000000" w:themeColor="text1"/>
          <w:sz w:val="22"/>
          <w:lang w:val="es-CO"/>
        </w:rPr>
        <w:t xml:space="preserve"> de la contratación con entidades privadas sin ánimo de lucro y de reconocida idoneidad a la que hace referencia el inciso segundo del artículo 355 de la Constitución Política, regulada mediante el Decreto 92 de 2017, todas las entidades públicas deben adelantar la contratación por medio de la plataforma SECOP II</w:t>
      </w:r>
      <w:r w:rsidR="00D36C85" w:rsidRPr="0075145E">
        <w:rPr>
          <w:rFonts w:ascii="Arial" w:eastAsia="Calibri" w:hAnsi="Arial" w:cs="Arial"/>
          <w:color w:val="000000" w:themeColor="text1"/>
          <w:sz w:val="22"/>
          <w:lang w:val="es-CO"/>
        </w:rPr>
        <w:t>»</w:t>
      </w:r>
      <w:r w:rsidRPr="0075145E">
        <w:rPr>
          <w:rFonts w:ascii="Arial" w:eastAsia="Calibri" w:hAnsi="Arial" w:cs="Arial"/>
          <w:color w:val="000000" w:themeColor="text1"/>
          <w:sz w:val="22"/>
          <w:lang w:val="es-CO"/>
        </w:rPr>
        <w:t>.</w:t>
      </w:r>
    </w:p>
    <w:p w14:paraId="610FC440" w14:textId="2550F972" w:rsidR="005A04E7" w:rsidRPr="0075145E" w:rsidRDefault="005A04E7" w:rsidP="00CE2F6A">
      <w:pPr>
        <w:tabs>
          <w:tab w:val="left" w:pos="851"/>
        </w:tabs>
        <w:spacing w:before="120" w:line="276" w:lineRule="auto"/>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ab/>
        <w:t>En ambos casos, la conclusión a la que se llegó la entidad se fundamentó en disposiciones normativas y reglamentarias que establecían el deber específico de publicar en el SECOP II, dejando de lado el criterio de la ejecución de recursos públicos, criterio que sirvió como derrotero al unificar la tesis de la entidad en el concepto CU-003 de 2020.</w:t>
      </w:r>
    </w:p>
    <w:p w14:paraId="4D987691" w14:textId="6BF97FF2" w:rsidR="004F3A2F" w:rsidRPr="0075145E" w:rsidRDefault="00E03788" w:rsidP="0086284E">
      <w:pPr>
        <w:spacing w:before="120" w:after="120" w:line="276" w:lineRule="auto"/>
        <w:ind w:firstLine="709"/>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Con todo,</w:t>
      </w:r>
      <w:r w:rsidR="0086284E" w:rsidRPr="0075145E">
        <w:rPr>
          <w:rFonts w:ascii="Arial" w:eastAsia="Calibri" w:hAnsi="Arial" w:cs="Arial"/>
          <w:color w:val="000000" w:themeColor="text1"/>
          <w:sz w:val="22"/>
          <w:lang w:val="es-CO"/>
        </w:rPr>
        <w:t xml:space="preserve"> se debe resaltar que </w:t>
      </w:r>
      <w:r w:rsidRPr="0075145E">
        <w:rPr>
          <w:rFonts w:ascii="Arial" w:eastAsia="Calibri" w:hAnsi="Arial" w:cs="Arial"/>
          <w:color w:val="000000" w:themeColor="text1"/>
          <w:sz w:val="22"/>
          <w:lang w:val="es-CO"/>
        </w:rPr>
        <w:t>en algunos eventos</w:t>
      </w:r>
      <w:r w:rsidR="0086284E" w:rsidRPr="0075145E">
        <w:rPr>
          <w:rFonts w:ascii="Arial" w:eastAsia="Calibri" w:hAnsi="Arial" w:cs="Arial"/>
          <w:color w:val="000000" w:themeColor="text1"/>
          <w:sz w:val="22"/>
          <w:lang w:val="es-CO"/>
        </w:rPr>
        <w:t xml:space="preserve"> excepcionales</w:t>
      </w:r>
      <w:r w:rsidRPr="0075145E">
        <w:rPr>
          <w:rFonts w:ascii="Arial" w:eastAsia="Calibri" w:hAnsi="Arial" w:cs="Arial"/>
          <w:color w:val="000000" w:themeColor="text1"/>
          <w:sz w:val="22"/>
          <w:lang w:val="es-CO"/>
        </w:rPr>
        <w:t xml:space="preserve"> esta entidad ha reconocido que las </w:t>
      </w:r>
      <w:r w:rsidR="0086284E" w:rsidRPr="0075145E">
        <w:rPr>
          <w:rFonts w:ascii="Arial" w:eastAsia="Calibri" w:hAnsi="Arial" w:cs="Arial"/>
          <w:color w:val="000000" w:themeColor="text1"/>
          <w:sz w:val="22"/>
          <w:lang w:val="es-CO"/>
        </w:rPr>
        <w:t>entidades no se encuentran obligadas o publicar en el SECOP II el proceso contractual, bien porque están excluidas expresamente de hacerlo, como es el caso de las entidades descentralizadas del nivel municipal, cuya situación fue analizada en el concepto C-115 de 2020, concluyendo que «el Anexo 1 de la Circular No. 1 de 2019 las excluyó del deber de publicar en el SECOP II, pues, al indicar las entidades de este nivel con obligación de publicar en esa plataforma, textualmente señaló que «sólo incluye el sector central». O también porque el proceso contractual está excluido de dicho deber.</w:t>
      </w:r>
    </w:p>
    <w:p w14:paraId="4589943A" w14:textId="0BFCE115" w:rsidR="0086284E" w:rsidRPr="0075145E" w:rsidRDefault="0086284E" w:rsidP="0075145E">
      <w:pPr>
        <w:spacing w:before="120" w:after="120" w:line="276" w:lineRule="auto"/>
        <w:ind w:firstLine="709"/>
        <w:jc w:val="both"/>
        <w:rPr>
          <w:rFonts w:ascii="Arial" w:eastAsia="Calibri" w:hAnsi="Arial" w:cs="Arial"/>
          <w:color w:val="000000" w:themeColor="text1"/>
          <w:sz w:val="21"/>
          <w:szCs w:val="21"/>
        </w:rPr>
      </w:pPr>
      <w:r w:rsidRPr="0075145E">
        <w:rPr>
          <w:rFonts w:ascii="Arial" w:eastAsia="Calibri" w:hAnsi="Arial" w:cs="Arial"/>
          <w:color w:val="000000" w:themeColor="text1"/>
          <w:sz w:val="22"/>
          <w:lang w:val="es-CO"/>
        </w:rPr>
        <w:t xml:space="preserve">En esta última hipótesis se encuentran las subvenciones culturales a las que se refiere la Ley 397 de 1997, en relación con las cuales se concluyó que los documentos del proceso contractual únicamente serán publicados si concluyen con un contrato estatal. Al respecto, en el concepto </w:t>
      </w:r>
      <w:r w:rsidR="00DE5DFC" w:rsidRPr="0075145E">
        <w:rPr>
          <w:rFonts w:ascii="Arial" w:eastAsia="Calibri" w:hAnsi="Arial" w:cs="Arial"/>
          <w:color w:val="000000" w:themeColor="text1"/>
          <w:sz w:val="22"/>
          <w:lang w:val="es-CO"/>
        </w:rPr>
        <w:t>del 19 de noviembre de 2019 −radicado No. 1201913000001331− se dijo que «</w:t>
      </w:r>
      <w:r w:rsidR="00DE5DFC" w:rsidRPr="0075145E">
        <w:rPr>
          <w:color w:val="000000" w:themeColor="text1"/>
        </w:rPr>
        <w:t>[l]</w:t>
      </w:r>
      <w:proofErr w:type="gramStart"/>
      <w:r w:rsidR="00DE5DFC" w:rsidRPr="0075145E">
        <w:rPr>
          <w:rFonts w:ascii="Arial" w:eastAsia="Calibri" w:hAnsi="Arial" w:cs="Arial"/>
          <w:color w:val="000000" w:themeColor="text1"/>
          <w:sz w:val="22"/>
        </w:rPr>
        <w:t>as convocatorias</w:t>
      </w:r>
      <w:proofErr w:type="gramEnd"/>
      <w:r w:rsidR="00DE5DFC" w:rsidRPr="0075145E">
        <w:rPr>
          <w:rFonts w:ascii="Arial" w:eastAsia="Calibri" w:hAnsi="Arial" w:cs="Arial"/>
          <w:color w:val="000000" w:themeColor="text1"/>
          <w:sz w:val="22"/>
        </w:rPr>
        <w:t xml:space="preserve"> adelantadas en virtud del artículo 18 de la Ley 397 de 1997 […] no deben publicarse en SECOP». Igualmente, en el concepto </w:t>
      </w:r>
      <w:r w:rsidRPr="0075145E">
        <w:rPr>
          <w:rFonts w:ascii="Arial" w:eastAsia="Calibri" w:hAnsi="Arial" w:cs="Arial"/>
          <w:color w:val="000000" w:themeColor="text1"/>
          <w:sz w:val="22"/>
        </w:rPr>
        <w:t xml:space="preserve">C-074 de 2020, </w:t>
      </w:r>
      <w:r w:rsidR="002F2369" w:rsidRPr="0075145E">
        <w:rPr>
          <w:rFonts w:ascii="Arial" w:eastAsia="Calibri" w:hAnsi="Arial" w:cs="Arial"/>
          <w:color w:val="000000" w:themeColor="text1"/>
          <w:sz w:val="22"/>
        </w:rPr>
        <w:t xml:space="preserve">esta Subdirección </w:t>
      </w:r>
      <w:r w:rsidR="00DE5DFC" w:rsidRPr="0075145E">
        <w:rPr>
          <w:rFonts w:ascii="Arial" w:eastAsia="Calibri" w:hAnsi="Arial" w:cs="Arial"/>
          <w:color w:val="000000" w:themeColor="text1"/>
          <w:sz w:val="22"/>
        </w:rPr>
        <w:t>concluyó</w:t>
      </w:r>
      <w:r w:rsidRPr="0075145E">
        <w:rPr>
          <w:rFonts w:ascii="Arial" w:eastAsia="Calibri" w:hAnsi="Arial" w:cs="Arial"/>
          <w:color w:val="000000" w:themeColor="text1"/>
          <w:sz w:val="22"/>
        </w:rPr>
        <w:t>:</w:t>
      </w:r>
    </w:p>
    <w:p w14:paraId="1437E3EE" w14:textId="2F4A0409" w:rsidR="0086284E" w:rsidRPr="0075145E" w:rsidRDefault="0086284E" w:rsidP="0086284E">
      <w:pPr>
        <w:spacing w:before="120" w:after="120"/>
        <w:ind w:left="709" w:right="709"/>
        <w:jc w:val="both"/>
        <w:rPr>
          <w:rFonts w:ascii="Arial" w:eastAsia="Calibri" w:hAnsi="Arial" w:cs="Arial"/>
          <w:color w:val="000000" w:themeColor="text1"/>
          <w:sz w:val="21"/>
          <w:szCs w:val="21"/>
        </w:rPr>
      </w:pPr>
      <w:r w:rsidRPr="0075145E">
        <w:rPr>
          <w:rFonts w:ascii="Arial" w:eastAsia="Calibri" w:hAnsi="Arial" w:cs="Arial"/>
          <w:color w:val="000000" w:themeColor="text1"/>
          <w:sz w:val="21"/>
          <w:szCs w:val="21"/>
        </w:rPr>
        <w:t xml:space="preserve">Al respecto se responde que, dado que las convocatorias adelantadas en virtud del artículo 18 de la Ley 397 de 1997 no necesariamente culminan en la celebración de un contrato estatal, por ello, en principio, no deben publicarse en SECOP. Por el contrario, si la convocatoria termina en un contrato estatal, es necesario publicar en el SECOP los documentos del proceso.  </w:t>
      </w:r>
    </w:p>
    <w:p w14:paraId="33B6AD3E" w14:textId="63C98862" w:rsidR="00E108B5" w:rsidRPr="0075145E" w:rsidRDefault="00E108B5" w:rsidP="00DE5DFC">
      <w:pPr>
        <w:jc w:val="both"/>
        <w:rPr>
          <w:rFonts w:ascii="Arial" w:eastAsia="Calibri" w:hAnsi="Arial" w:cs="Arial"/>
          <w:color w:val="000000" w:themeColor="text1"/>
          <w:sz w:val="22"/>
        </w:rPr>
      </w:pPr>
    </w:p>
    <w:p w14:paraId="02F6EC0F" w14:textId="484AA2BF" w:rsidR="002F2369" w:rsidRPr="0075145E" w:rsidRDefault="002F2369" w:rsidP="0067069B">
      <w:pPr>
        <w:spacing w:before="120" w:after="120" w:line="276" w:lineRule="auto"/>
        <w:ind w:firstLine="709"/>
        <w:jc w:val="both"/>
        <w:rPr>
          <w:rFonts w:ascii="Arial" w:eastAsia="Calibri" w:hAnsi="Arial" w:cs="Arial"/>
          <w:color w:val="000000" w:themeColor="text1"/>
          <w:sz w:val="22"/>
          <w:lang w:val="es-CO"/>
        </w:rPr>
      </w:pPr>
      <w:r w:rsidRPr="0075145E">
        <w:rPr>
          <w:rFonts w:ascii="Arial" w:eastAsia="Calibri" w:hAnsi="Arial" w:cs="Arial"/>
          <w:color w:val="000000" w:themeColor="text1"/>
          <w:sz w:val="22"/>
        </w:rPr>
        <w:t xml:space="preserve">A similares conclusiones podría arribarse en relación con los procesos de enajenación voluntaria regulados en la Ley 9 de 1989, habida cuenta que los mismos, </w:t>
      </w:r>
      <w:r w:rsidRPr="0075145E">
        <w:rPr>
          <w:rFonts w:ascii="Arial" w:eastAsia="Calibri" w:hAnsi="Arial" w:cs="Arial"/>
          <w:color w:val="000000" w:themeColor="text1"/>
          <w:sz w:val="22"/>
        </w:rPr>
        <w:lastRenderedPageBreak/>
        <w:t>según lo que se dijo en los conceptos del 19 de noviembre de 2019 −radicado No. 2201913000008597− y C-159 de 2020, no hace</w:t>
      </w:r>
      <w:r w:rsidR="005F076A" w:rsidRPr="0075145E">
        <w:rPr>
          <w:rFonts w:ascii="Arial" w:eastAsia="Calibri" w:hAnsi="Arial" w:cs="Arial"/>
          <w:color w:val="000000" w:themeColor="text1"/>
          <w:sz w:val="22"/>
        </w:rPr>
        <w:t>n</w:t>
      </w:r>
      <w:r w:rsidRPr="0075145E">
        <w:rPr>
          <w:rFonts w:ascii="Arial" w:eastAsia="Calibri" w:hAnsi="Arial" w:cs="Arial"/>
          <w:color w:val="000000" w:themeColor="text1"/>
          <w:sz w:val="22"/>
        </w:rPr>
        <w:t xml:space="preserve"> parte del </w:t>
      </w:r>
      <w:r w:rsidR="005F076A" w:rsidRPr="0075145E">
        <w:rPr>
          <w:rFonts w:ascii="Arial" w:eastAsia="Calibri" w:hAnsi="Arial" w:cs="Arial"/>
          <w:color w:val="000000" w:themeColor="text1"/>
          <w:sz w:val="22"/>
        </w:rPr>
        <w:t>«</w:t>
      </w:r>
      <w:r w:rsidRPr="0075145E">
        <w:rPr>
          <w:rFonts w:ascii="Arial" w:eastAsia="Calibri" w:hAnsi="Arial" w:cs="Arial"/>
          <w:color w:val="000000" w:themeColor="text1"/>
          <w:sz w:val="22"/>
        </w:rPr>
        <w:t>sistema de compra pública</w:t>
      </w:r>
      <w:r w:rsidR="005F076A" w:rsidRPr="0075145E">
        <w:rPr>
          <w:rFonts w:ascii="Arial" w:eastAsia="Calibri" w:hAnsi="Arial" w:cs="Arial"/>
          <w:color w:val="000000" w:themeColor="text1"/>
          <w:sz w:val="22"/>
        </w:rPr>
        <w:t>»</w:t>
      </w:r>
      <w:r w:rsidR="005F076A" w:rsidRPr="0075145E">
        <w:rPr>
          <w:rStyle w:val="Refdenotaalpie"/>
          <w:rFonts w:ascii="Arial" w:eastAsia="Calibri" w:hAnsi="Arial" w:cs="Arial"/>
          <w:color w:val="000000" w:themeColor="text1"/>
          <w:sz w:val="22"/>
          <w:lang w:val="es-CO"/>
        </w:rPr>
        <w:footnoteReference w:id="18"/>
      </w:r>
      <w:r w:rsidRPr="0075145E">
        <w:rPr>
          <w:rFonts w:ascii="Arial" w:eastAsia="Calibri" w:hAnsi="Arial" w:cs="Arial"/>
          <w:color w:val="000000" w:themeColor="text1"/>
          <w:sz w:val="22"/>
          <w:lang w:val="es-CO"/>
        </w:rPr>
        <w:t>, en virtud de la especialidad del procedimiento que regula. Esta situación, a nuestro juicio, excluye estos negocios jurídicos de la obligación de publicidad de que tratan los párrafos precedentes.</w:t>
      </w:r>
    </w:p>
    <w:p w14:paraId="4581FE54" w14:textId="60707724" w:rsidR="00E108B5" w:rsidRPr="0075145E" w:rsidRDefault="00E108B5" w:rsidP="00ED1997">
      <w:pPr>
        <w:spacing w:before="120" w:after="120" w:line="276" w:lineRule="auto"/>
        <w:ind w:firstLine="709"/>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 xml:space="preserve">En conclusión, se tiene que </w:t>
      </w:r>
      <w:r w:rsidR="00ED1997" w:rsidRPr="0075145E">
        <w:rPr>
          <w:rFonts w:ascii="Arial" w:eastAsia="Calibri" w:hAnsi="Arial" w:cs="Arial"/>
          <w:color w:val="000000" w:themeColor="text1"/>
          <w:sz w:val="22"/>
          <w:lang w:val="es-CO"/>
        </w:rPr>
        <w:t xml:space="preserve">el Decreto 103 de 2015 señala que los documentos que deben publicar las entidades estatales a quienes les aplica la Ley 1712 de 2014, entre estas, por ejemplo, las empresas de servicios públicos mixtas, oficiales y privadas con participación pública, son: i) las autorizaciones, requerimientos, aprobaciones o informes del supervisor o del interventor, que prueben la ejecución del contrato, </w:t>
      </w:r>
      <w:proofErr w:type="spellStart"/>
      <w:r w:rsidR="00ED1997" w:rsidRPr="0075145E">
        <w:rPr>
          <w:rFonts w:ascii="Arial" w:eastAsia="Calibri" w:hAnsi="Arial" w:cs="Arial"/>
          <w:color w:val="000000" w:themeColor="text1"/>
          <w:sz w:val="22"/>
          <w:lang w:val="es-CO"/>
        </w:rPr>
        <w:t>ii</w:t>
      </w:r>
      <w:proofErr w:type="spellEnd"/>
      <w:r w:rsidR="00ED1997" w:rsidRPr="0075145E">
        <w:rPr>
          <w:rFonts w:ascii="Arial" w:eastAsia="Calibri" w:hAnsi="Arial" w:cs="Arial"/>
          <w:color w:val="000000" w:themeColor="text1"/>
          <w:sz w:val="22"/>
          <w:lang w:val="es-CO"/>
        </w:rPr>
        <w:t xml:space="preserve">) los procedimientos, lineamientos y políticas en materia de adquisición que corresponden a los  documentos que los conforman, previstos en el manual de contratación de la entidad, y finalmente, </w:t>
      </w:r>
      <w:proofErr w:type="spellStart"/>
      <w:r w:rsidR="00ED1997" w:rsidRPr="0075145E">
        <w:rPr>
          <w:rFonts w:ascii="Arial" w:eastAsia="Calibri" w:hAnsi="Arial" w:cs="Arial"/>
          <w:color w:val="000000" w:themeColor="text1"/>
          <w:sz w:val="22"/>
          <w:lang w:val="es-CO"/>
        </w:rPr>
        <w:t>iii</w:t>
      </w:r>
      <w:proofErr w:type="spellEnd"/>
      <w:r w:rsidR="00ED1997" w:rsidRPr="0075145E">
        <w:rPr>
          <w:rFonts w:ascii="Arial" w:eastAsia="Calibri" w:hAnsi="Arial" w:cs="Arial"/>
          <w:color w:val="000000" w:themeColor="text1"/>
          <w:sz w:val="22"/>
          <w:lang w:val="es-CO"/>
        </w:rPr>
        <w:t xml:space="preserve">) el plan anual de adquisiciones. </w:t>
      </w:r>
      <w:r w:rsidRPr="0075145E">
        <w:rPr>
          <w:rFonts w:ascii="Arial" w:eastAsia="Calibri" w:hAnsi="Arial" w:cs="Arial"/>
          <w:color w:val="000000" w:themeColor="text1"/>
          <w:sz w:val="22"/>
          <w:lang w:val="es-CO"/>
        </w:rPr>
        <w:t xml:space="preserve">Igualmente, </w:t>
      </w:r>
      <w:r w:rsidR="000A46B2" w:rsidRPr="0075145E">
        <w:rPr>
          <w:rFonts w:ascii="Arial" w:eastAsia="Calibri" w:hAnsi="Arial" w:cs="Arial"/>
          <w:color w:val="000000" w:themeColor="text1"/>
          <w:sz w:val="22"/>
          <w:lang w:val="es-CO"/>
        </w:rPr>
        <w:t xml:space="preserve">se tiene </w:t>
      </w:r>
      <w:r w:rsidRPr="0075145E">
        <w:rPr>
          <w:rFonts w:ascii="Arial" w:eastAsia="Calibri" w:hAnsi="Arial" w:cs="Arial"/>
          <w:color w:val="000000" w:themeColor="text1"/>
          <w:sz w:val="22"/>
          <w:lang w:val="es-CO"/>
        </w:rPr>
        <w:t xml:space="preserve">que, excepcionalmente, a las entidades no les asiste </w:t>
      </w:r>
      <w:r w:rsidR="00ED1997" w:rsidRPr="0075145E">
        <w:rPr>
          <w:rFonts w:ascii="Arial" w:eastAsia="Calibri" w:hAnsi="Arial" w:cs="Arial"/>
          <w:color w:val="000000" w:themeColor="text1"/>
          <w:sz w:val="22"/>
          <w:lang w:val="es-CO"/>
        </w:rPr>
        <w:t>la</w:t>
      </w:r>
      <w:r w:rsidRPr="0075145E">
        <w:rPr>
          <w:rFonts w:ascii="Arial" w:eastAsia="Calibri" w:hAnsi="Arial" w:cs="Arial"/>
          <w:color w:val="000000" w:themeColor="text1"/>
          <w:sz w:val="22"/>
          <w:lang w:val="es-CO"/>
        </w:rPr>
        <w:t xml:space="preserve"> obligación</w:t>
      </w:r>
      <w:r w:rsidR="00ED1997" w:rsidRPr="0075145E">
        <w:rPr>
          <w:rFonts w:ascii="Arial" w:eastAsia="Calibri" w:hAnsi="Arial" w:cs="Arial"/>
          <w:color w:val="000000" w:themeColor="text1"/>
          <w:sz w:val="22"/>
          <w:lang w:val="es-CO"/>
        </w:rPr>
        <w:t xml:space="preserve"> de publicar tal documentación</w:t>
      </w:r>
      <w:r w:rsidRPr="0075145E">
        <w:rPr>
          <w:rFonts w:ascii="Arial" w:eastAsia="Calibri" w:hAnsi="Arial" w:cs="Arial"/>
          <w:color w:val="000000" w:themeColor="text1"/>
          <w:sz w:val="22"/>
          <w:lang w:val="es-CO"/>
        </w:rPr>
        <w:t>, bien porque están exceptuad</w:t>
      </w:r>
      <w:r w:rsidR="00ED1997" w:rsidRPr="0075145E">
        <w:rPr>
          <w:rFonts w:ascii="Arial" w:eastAsia="Calibri" w:hAnsi="Arial" w:cs="Arial"/>
          <w:color w:val="000000" w:themeColor="text1"/>
          <w:sz w:val="22"/>
          <w:lang w:val="es-CO"/>
        </w:rPr>
        <w:t>a</w:t>
      </w:r>
      <w:r w:rsidRPr="0075145E">
        <w:rPr>
          <w:rFonts w:ascii="Arial" w:eastAsia="Calibri" w:hAnsi="Arial" w:cs="Arial"/>
          <w:color w:val="000000" w:themeColor="text1"/>
          <w:sz w:val="22"/>
          <w:lang w:val="es-CO"/>
        </w:rPr>
        <w:t>s</w:t>
      </w:r>
      <w:r w:rsidR="00803115" w:rsidRPr="0075145E">
        <w:rPr>
          <w:rFonts w:ascii="Arial" w:eastAsia="Calibri" w:hAnsi="Arial" w:cs="Arial"/>
          <w:color w:val="000000" w:themeColor="text1"/>
          <w:sz w:val="22"/>
          <w:lang w:val="es-CO"/>
        </w:rPr>
        <w:t xml:space="preserve"> de hacerlo,</w:t>
      </w:r>
      <w:r w:rsidRPr="0075145E">
        <w:rPr>
          <w:rFonts w:ascii="Arial" w:eastAsia="Calibri" w:hAnsi="Arial" w:cs="Arial"/>
          <w:color w:val="000000" w:themeColor="text1"/>
          <w:sz w:val="22"/>
          <w:lang w:val="es-CO"/>
        </w:rPr>
        <w:t xml:space="preserve"> o bien porque </w:t>
      </w:r>
      <w:r w:rsidR="00ED1997" w:rsidRPr="0075145E">
        <w:rPr>
          <w:rFonts w:ascii="Arial" w:eastAsia="Calibri" w:hAnsi="Arial" w:cs="Arial"/>
          <w:color w:val="000000" w:themeColor="text1"/>
          <w:sz w:val="22"/>
          <w:lang w:val="es-CO"/>
        </w:rPr>
        <w:t xml:space="preserve">el proceso contractual atiende a unas particularidades concretas y no siempre termina con la celebración de un contrato estatal, </w:t>
      </w:r>
      <w:r w:rsidR="00803115" w:rsidRPr="0075145E">
        <w:rPr>
          <w:rFonts w:ascii="Arial" w:eastAsia="Calibri" w:hAnsi="Arial" w:cs="Arial"/>
          <w:color w:val="000000" w:themeColor="text1"/>
          <w:sz w:val="22"/>
          <w:lang w:val="es-CO"/>
        </w:rPr>
        <w:t>o porque los negocios jurídicos que celebran no hacen parte del «sistema de compra pública»</w:t>
      </w:r>
      <w:r w:rsidR="00ED1997" w:rsidRPr="0075145E">
        <w:rPr>
          <w:rFonts w:ascii="Arial" w:eastAsia="Calibri" w:hAnsi="Arial" w:cs="Arial"/>
          <w:color w:val="000000" w:themeColor="text1"/>
          <w:sz w:val="22"/>
          <w:lang w:val="es-CO"/>
        </w:rPr>
        <w:t>.</w:t>
      </w:r>
    </w:p>
    <w:p w14:paraId="44FB3D99" w14:textId="77777777" w:rsidR="00E108B5" w:rsidRPr="0075145E" w:rsidRDefault="00E108B5" w:rsidP="005C3080">
      <w:pPr>
        <w:ind w:left="567"/>
        <w:jc w:val="both"/>
        <w:rPr>
          <w:rFonts w:ascii="Arial" w:eastAsia="Calibri" w:hAnsi="Arial" w:cs="Arial"/>
          <w:color w:val="000000" w:themeColor="text1"/>
          <w:sz w:val="22"/>
          <w:lang w:val="es-CO"/>
        </w:rPr>
      </w:pPr>
    </w:p>
    <w:p w14:paraId="787E0C60" w14:textId="64ADD34C" w:rsidR="004F3A2F" w:rsidRPr="0075145E" w:rsidRDefault="004F3A2F" w:rsidP="004F3A2F">
      <w:pPr>
        <w:tabs>
          <w:tab w:val="left" w:pos="426"/>
        </w:tabs>
        <w:spacing w:line="276" w:lineRule="auto"/>
        <w:jc w:val="both"/>
        <w:rPr>
          <w:rFonts w:ascii="Arial" w:hAnsi="Arial" w:cs="Arial"/>
          <w:b/>
          <w:color w:val="000000" w:themeColor="text1"/>
          <w:sz w:val="22"/>
          <w:lang w:val="es-CO"/>
        </w:rPr>
      </w:pPr>
      <w:r w:rsidRPr="0075145E">
        <w:rPr>
          <w:rFonts w:ascii="Arial" w:eastAsia="Calibri" w:hAnsi="Arial" w:cs="Arial"/>
          <w:b/>
          <w:color w:val="000000" w:themeColor="text1"/>
          <w:sz w:val="22"/>
          <w:lang w:val="es-CO"/>
        </w:rPr>
        <w:t xml:space="preserve">2.3. </w:t>
      </w:r>
      <w:r w:rsidR="008E7495" w:rsidRPr="0075145E">
        <w:rPr>
          <w:rFonts w:ascii="Arial" w:hAnsi="Arial" w:cs="Arial"/>
          <w:b/>
          <w:color w:val="000000" w:themeColor="text1"/>
          <w:sz w:val="22"/>
          <w:lang w:val="es-CO"/>
        </w:rPr>
        <w:t xml:space="preserve">Término para que </w:t>
      </w:r>
      <w:r w:rsidRPr="0075145E">
        <w:rPr>
          <w:rFonts w:ascii="Arial" w:hAnsi="Arial" w:cs="Arial"/>
          <w:b/>
          <w:color w:val="000000" w:themeColor="text1"/>
          <w:sz w:val="22"/>
          <w:lang w:val="es-CO"/>
        </w:rPr>
        <w:t>las entidades de régimen especial</w:t>
      </w:r>
      <w:r w:rsidR="008E7495" w:rsidRPr="0075145E">
        <w:rPr>
          <w:rFonts w:ascii="Arial" w:hAnsi="Arial" w:cs="Arial"/>
          <w:b/>
          <w:color w:val="000000" w:themeColor="text1"/>
          <w:sz w:val="22"/>
          <w:lang w:val="es-CO"/>
        </w:rPr>
        <w:t xml:space="preserve"> publiquen </w:t>
      </w:r>
      <w:r w:rsidRPr="0075145E">
        <w:rPr>
          <w:rFonts w:ascii="Arial" w:hAnsi="Arial" w:cs="Arial"/>
          <w:b/>
          <w:color w:val="000000" w:themeColor="text1"/>
          <w:sz w:val="22"/>
          <w:lang w:val="es-CO"/>
        </w:rPr>
        <w:t xml:space="preserve">los documentos en el SECOP </w:t>
      </w:r>
    </w:p>
    <w:p w14:paraId="3E340768" w14:textId="77777777" w:rsidR="004F3A2F" w:rsidRPr="0075145E" w:rsidRDefault="004F3A2F" w:rsidP="00B55759">
      <w:pPr>
        <w:jc w:val="both"/>
        <w:rPr>
          <w:rFonts w:ascii="Arial" w:eastAsia="Calibri" w:hAnsi="Arial" w:cs="Arial"/>
          <w:color w:val="000000" w:themeColor="text1"/>
          <w:sz w:val="22"/>
          <w:lang w:val="es-CO"/>
        </w:rPr>
      </w:pPr>
    </w:p>
    <w:p w14:paraId="0D1EA58C" w14:textId="078008B9" w:rsidR="004F3A2F" w:rsidRPr="0075145E" w:rsidRDefault="004F3A2F" w:rsidP="004F3A2F">
      <w:pPr>
        <w:spacing w:before="120" w:after="120" w:line="276" w:lineRule="auto"/>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 xml:space="preserve">Identificados los documentos que sí deben publicar las entidades de régimen especial y su fundamento normativo, a continuación, se explicará cuándo se deben publicar, no sin antes </w:t>
      </w:r>
      <w:r w:rsidR="00B55759" w:rsidRPr="0075145E">
        <w:rPr>
          <w:rFonts w:ascii="Arial" w:eastAsia="Calibri" w:hAnsi="Arial" w:cs="Arial"/>
          <w:color w:val="000000" w:themeColor="text1"/>
          <w:sz w:val="22"/>
          <w:lang w:val="es-CO"/>
        </w:rPr>
        <w:t>reiterar</w:t>
      </w:r>
      <w:r w:rsidRPr="0075145E">
        <w:rPr>
          <w:rFonts w:ascii="Arial" w:eastAsia="Calibri" w:hAnsi="Arial" w:cs="Arial"/>
          <w:color w:val="000000" w:themeColor="text1"/>
          <w:sz w:val="22"/>
          <w:lang w:val="es-CO"/>
        </w:rPr>
        <w:t xml:space="preserve"> la posición que Colombia Compra Eficiente ha tenido en relación con este asunto. </w:t>
      </w:r>
    </w:p>
    <w:p w14:paraId="1D9C994B" w14:textId="6B6C8B97" w:rsidR="0073536E" w:rsidRPr="0075145E" w:rsidRDefault="0073536E" w:rsidP="004F3A2F">
      <w:pPr>
        <w:spacing w:before="120" w:after="120" w:line="276" w:lineRule="auto"/>
        <w:ind w:firstLine="708"/>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 xml:space="preserve">En el año 2017, en la consulta con radicado No. 4201713000005390 se </w:t>
      </w:r>
      <w:r w:rsidR="00D66920" w:rsidRPr="0075145E">
        <w:rPr>
          <w:rFonts w:ascii="Arial" w:eastAsia="Calibri" w:hAnsi="Arial" w:cs="Arial"/>
          <w:color w:val="000000" w:themeColor="text1"/>
          <w:sz w:val="22"/>
          <w:lang w:val="es-CO"/>
        </w:rPr>
        <w:t xml:space="preserve">consideró </w:t>
      </w:r>
      <w:r w:rsidRPr="0075145E">
        <w:rPr>
          <w:rFonts w:ascii="Arial" w:eastAsia="Calibri" w:hAnsi="Arial" w:cs="Arial"/>
          <w:color w:val="000000" w:themeColor="text1"/>
          <w:sz w:val="22"/>
          <w:lang w:val="es-CO"/>
        </w:rPr>
        <w:t>que el plazo para publicar por parte de las entidades de régimen especial es el que se fije en el manual de contratación de la entidad</w:t>
      </w:r>
      <w:r w:rsidRPr="0075145E">
        <w:rPr>
          <w:rStyle w:val="Refdenotaalpie"/>
          <w:rFonts w:ascii="Arial" w:eastAsia="Calibri" w:hAnsi="Arial" w:cs="Arial"/>
          <w:color w:val="000000" w:themeColor="text1"/>
          <w:sz w:val="22"/>
          <w:lang w:val="es-CO"/>
        </w:rPr>
        <w:footnoteReference w:id="19"/>
      </w:r>
      <w:r w:rsidRPr="0075145E">
        <w:rPr>
          <w:rFonts w:ascii="Arial" w:eastAsia="Calibri" w:hAnsi="Arial" w:cs="Arial"/>
          <w:color w:val="000000" w:themeColor="text1"/>
          <w:sz w:val="22"/>
          <w:lang w:val="es-CO"/>
        </w:rPr>
        <w:t xml:space="preserve">. Por su parte, en el año 2018, con la expedición </w:t>
      </w:r>
      <w:r w:rsidRPr="0075145E">
        <w:rPr>
          <w:rFonts w:ascii="Arial" w:eastAsia="Calibri" w:hAnsi="Arial" w:cs="Arial"/>
          <w:color w:val="000000" w:themeColor="text1"/>
          <w:sz w:val="22"/>
          <w:lang w:val="es-CO"/>
        </w:rPr>
        <w:lastRenderedPageBreak/>
        <w:t>de la Circular Externa Única, se cambió la postura y se indic</w:t>
      </w:r>
      <w:r w:rsidR="00821EA2" w:rsidRPr="0075145E">
        <w:rPr>
          <w:rFonts w:ascii="Arial" w:eastAsia="Calibri" w:hAnsi="Arial" w:cs="Arial"/>
          <w:color w:val="000000" w:themeColor="text1"/>
          <w:sz w:val="22"/>
          <w:lang w:val="es-CO"/>
        </w:rPr>
        <w:t>ó que</w:t>
      </w:r>
      <w:r w:rsidRPr="0075145E">
        <w:rPr>
          <w:rFonts w:ascii="Arial" w:eastAsia="Calibri" w:hAnsi="Arial" w:cs="Arial"/>
          <w:color w:val="000000" w:themeColor="text1"/>
          <w:sz w:val="22"/>
          <w:lang w:val="es-CO"/>
        </w:rPr>
        <w:t xml:space="preserve"> «las entidades que aun utilizan el SECOP I están obligadas a publicar los documentos del proceso dentro de los tres (3) días siguientes a su expedición […]</w:t>
      </w:r>
      <w:r w:rsidRPr="0075145E">
        <w:rPr>
          <w:rStyle w:val="Refdenotaalpie"/>
          <w:rFonts w:ascii="Arial" w:eastAsia="Calibri" w:hAnsi="Arial" w:cs="Arial"/>
          <w:color w:val="000000" w:themeColor="text1"/>
          <w:sz w:val="22"/>
          <w:lang w:val="es-CO"/>
        </w:rPr>
        <w:footnoteReference w:id="20"/>
      </w:r>
      <w:r w:rsidRPr="0075145E">
        <w:rPr>
          <w:rFonts w:ascii="Arial" w:eastAsia="Calibri" w:hAnsi="Arial" w:cs="Arial"/>
          <w:color w:val="000000" w:themeColor="text1"/>
          <w:sz w:val="22"/>
          <w:lang w:val="es-CO"/>
        </w:rPr>
        <w:t xml:space="preserve">». De lo regulado en la Circular Externa Única se infiere que se otorga un tratamiento igualitario a las entidades, independientemente de su régimen de contratación, por lo tanto, aplica el artículo 2.2.1.1.1.7.1. del Decreto 1082 de 2015. </w:t>
      </w:r>
    </w:p>
    <w:p w14:paraId="1BB19502" w14:textId="4BCFA012" w:rsidR="0073536E" w:rsidRPr="0075145E" w:rsidRDefault="0073536E" w:rsidP="0073536E">
      <w:pPr>
        <w:spacing w:before="120" w:after="120" w:line="276" w:lineRule="auto"/>
        <w:ind w:firstLine="709"/>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de la Administración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 </w:t>
      </w:r>
    </w:p>
    <w:p w14:paraId="06AE4180" w14:textId="12183129" w:rsidR="0073536E" w:rsidRPr="0075145E" w:rsidRDefault="0073536E" w:rsidP="0073536E">
      <w:pPr>
        <w:spacing w:before="120" w:after="120" w:line="276" w:lineRule="auto"/>
        <w:ind w:firstLine="709"/>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 xml:space="preserve">La Ley 1712 de 2014 y el Decreto reglamentario 103 de 2015, normativas que </w:t>
      </w:r>
      <w:r w:rsidR="006316C6" w:rsidRPr="0075145E">
        <w:rPr>
          <w:rFonts w:ascii="Arial" w:eastAsia="Calibri" w:hAnsi="Arial" w:cs="Arial"/>
          <w:color w:val="000000" w:themeColor="text1"/>
          <w:sz w:val="22"/>
          <w:lang w:val="es-CO"/>
        </w:rPr>
        <w:t>identifican</w:t>
      </w:r>
      <w:r w:rsidRPr="0075145E">
        <w:rPr>
          <w:rFonts w:ascii="Arial" w:eastAsia="Calibri" w:hAnsi="Arial" w:cs="Arial"/>
          <w:color w:val="000000" w:themeColor="text1"/>
          <w:sz w:val="22"/>
          <w:lang w:val="es-CO"/>
        </w:rPr>
        <w:t xml:space="preserve">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w:t>
      </w:r>
      <w:r w:rsidRPr="0075145E">
        <w:rPr>
          <w:rFonts w:ascii="Arial" w:eastAsia="Calibri" w:hAnsi="Arial" w:cs="Arial"/>
          <w:color w:val="000000" w:themeColor="text1"/>
          <w:sz w:val="22"/>
          <w:lang w:val="es-CO"/>
        </w:rPr>
        <w:lastRenderedPageBreak/>
        <w:t>aspectos jurídicamente irrelevantes, es decir, ajenos a aquellos que explican y fundamentan la razón de ser de la norma»</w:t>
      </w:r>
      <w:r w:rsidRPr="0075145E">
        <w:rPr>
          <w:rStyle w:val="Refdenotaalpie"/>
          <w:rFonts w:ascii="Arial" w:eastAsia="Calibri" w:hAnsi="Arial" w:cs="Arial"/>
          <w:color w:val="000000" w:themeColor="text1"/>
          <w:sz w:val="22"/>
          <w:lang w:val="es-CO"/>
        </w:rPr>
        <w:footnoteReference w:id="21"/>
      </w:r>
      <w:r w:rsidRPr="0075145E">
        <w:rPr>
          <w:rFonts w:ascii="Arial" w:eastAsia="Calibri" w:hAnsi="Arial" w:cs="Arial"/>
          <w:color w:val="000000" w:themeColor="text1"/>
          <w:sz w:val="22"/>
          <w:lang w:val="es-CO"/>
        </w:rPr>
        <w:t>. En este sentido, el juez razona por analogía, cuando aplica una ley frente una situación no contemplada explícitamente en ella, a partir del estudio de situaciones fácticas que fueron tratadas por el legislador y guardan similitud con el asunto tratado.</w:t>
      </w:r>
    </w:p>
    <w:p w14:paraId="661381D2" w14:textId="77777777" w:rsidR="0073536E" w:rsidRPr="0075145E" w:rsidRDefault="0073536E" w:rsidP="0073536E">
      <w:pPr>
        <w:spacing w:before="120" w:after="120" w:line="276" w:lineRule="auto"/>
        <w:ind w:firstLine="709"/>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w:t>
      </w:r>
      <w:r w:rsidRPr="0075145E">
        <w:rPr>
          <w:rStyle w:val="Refdenotaalpie"/>
          <w:rFonts w:ascii="Arial" w:eastAsia="Calibri" w:hAnsi="Arial" w:cs="Arial"/>
          <w:color w:val="000000" w:themeColor="text1"/>
          <w:sz w:val="22"/>
          <w:lang w:val="es-CO"/>
        </w:rPr>
        <w:footnoteReference w:id="22"/>
      </w:r>
      <w:r w:rsidRPr="0075145E">
        <w:rPr>
          <w:rFonts w:ascii="Arial" w:eastAsia="Calibri" w:hAnsi="Arial" w:cs="Arial"/>
          <w:color w:val="000000" w:themeColor="text1"/>
          <w:sz w:val="22"/>
          <w:lang w:val="es-CO"/>
        </w:rPr>
        <w:t xml:space="preserve">. En este sentido, las entidades sometidas al régimen de contratación de Ley 80 de 1993 publican en el SECOP sus documentos dentro de los 3 días siguientes a su expedición. </w:t>
      </w:r>
    </w:p>
    <w:p w14:paraId="15684995" w14:textId="19EEF6B5" w:rsidR="0073536E" w:rsidRPr="0075145E" w:rsidRDefault="0073536E" w:rsidP="0073536E">
      <w:pPr>
        <w:spacing w:before="120" w:after="120" w:line="276" w:lineRule="auto"/>
        <w:ind w:firstLine="709"/>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Si bien el Decreto 1082 de 2015 en principio no aplica a las entidades estatales exceptuadas del Estatuto General de Contratación de la Administración Pública, porque su régimen de contratación es el derecho privado, es posible aplicarle el artículo 2.2.1.1.1.7.1. en virtud de la analogía. Lo anterior, debido a que esta norma guarda similitud con el asunto tratado</w:t>
      </w:r>
      <w:r w:rsidR="0061730D" w:rsidRPr="0075145E">
        <w:rPr>
          <w:rFonts w:ascii="Arial" w:eastAsia="Calibri" w:hAnsi="Arial" w:cs="Arial"/>
          <w:color w:val="000000" w:themeColor="text1"/>
          <w:sz w:val="22"/>
          <w:lang w:val="es-CO"/>
        </w:rPr>
        <w:t>,</w:t>
      </w:r>
      <w:r w:rsidRPr="0075145E">
        <w:rPr>
          <w:rFonts w:ascii="Arial" w:eastAsia="Calibri" w:hAnsi="Arial" w:cs="Arial"/>
          <w:color w:val="000000" w:themeColor="text1"/>
          <w:sz w:val="22"/>
          <w:lang w:val="es-CO"/>
        </w:rPr>
        <w:t xml:space="preserve"> ya que regula la publicidad de los documentos del SECOP y, por lo tanto, es viable </w:t>
      </w:r>
      <w:r w:rsidR="003308BA" w:rsidRPr="0075145E">
        <w:rPr>
          <w:rFonts w:ascii="Arial" w:eastAsia="Calibri" w:hAnsi="Arial" w:cs="Arial"/>
          <w:color w:val="000000" w:themeColor="text1"/>
          <w:sz w:val="22"/>
          <w:lang w:val="es-CO"/>
        </w:rPr>
        <w:t>aplicarles</w:t>
      </w:r>
      <w:r w:rsidRPr="0075145E">
        <w:rPr>
          <w:rFonts w:ascii="Arial" w:eastAsia="Calibri" w:hAnsi="Arial" w:cs="Arial"/>
          <w:color w:val="000000" w:themeColor="text1"/>
          <w:sz w:val="22"/>
          <w:lang w:val="es-CO"/>
        </w:rPr>
        <w:t xml:space="preserve"> su consecuencia jurídica a las entidades de régimen especial. </w:t>
      </w:r>
    </w:p>
    <w:p w14:paraId="5CDB8902" w14:textId="77777777" w:rsidR="0073536E" w:rsidRPr="0075145E" w:rsidRDefault="0073536E" w:rsidP="0073536E">
      <w:pPr>
        <w:spacing w:before="120" w:after="120" w:line="276" w:lineRule="auto"/>
        <w:ind w:firstLine="709"/>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 xml:space="preserve">A su vez, no es posible que las entidades definan en su manual de contratación el momento en el cual publicarán sus documentos contractuales, porque este es un asunto que debe definir el legislador o el gobierno por medio de un reglamento. </w:t>
      </w:r>
    </w:p>
    <w:p w14:paraId="6D23EE30" w14:textId="01DB8397" w:rsidR="0073536E" w:rsidRPr="0075145E" w:rsidRDefault="0073536E" w:rsidP="0073536E">
      <w:pPr>
        <w:spacing w:before="120" w:after="120" w:line="276" w:lineRule="auto"/>
        <w:ind w:firstLine="709"/>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 xml:space="preserve">Conforme a lo anterior, las entidades de régimen especial deben publicar sus documentos del proceso de contratación dentro de los tres (3) días siguientes a su </w:t>
      </w:r>
      <w:r w:rsidRPr="0075145E">
        <w:rPr>
          <w:rFonts w:ascii="Arial" w:eastAsia="Calibri" w:hAnsi="Arial" w:cs="Arial"/>
          <w:color w:val="000000" w:themeColor="text1"/>
          <w:sz w:val="22"/>
          <w:lang w:val="es-CO"/>
        </w:rPr>
        <w:lastRenderedPageBreak/>
        <w:t>expedición; porque a pesar de que en principio el artículo 2.2.1.1.1.7.1 del Decreto 1082 de 2015 no les aplica, sí es posible y necesario en virtud de la analogía.</w:t>
      </w:r>
    </w:p>
    <w:p w14:paraId="5D53DBE5" w14:textId="01134BF8" w:rsidR="003308BA" w:rsidRPr="0075145E" w:rsidRDefault="003308BA" w:rsidP="0073536E">
      <w:pPr>
        <w:spacing w:before="120" w:after="120" w:line="276" w:lineRule="auto"/>
        <w:ind w:firstLine="709"/>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 xml:space="preserve">Es del caso precisar que </w:t>
      </w:r>
      <w:r w:rsidR="009311E9" w:rsidRPr="0075145E">
        <w:rPr>
          <w:rFonts w:ascii="Arial" w:eastAsia="Calibri" w:hAnsi="Arial" w:cs="Arial"/>
          <w:color w:val="000000" w:themeColor="text1"/>
          <w:sz w:val="22"/>
          <w:lang w:val="es-CO"/>
        </w:rPr>
        <w:t>el deber antes referido es de rango legal</w:t>
      </w:r>
      <w:r w:rsidR="00FA5D0A" w:rsidRPr="0075145E">
        <w:rPr>
          <w:rFonts w:ascii="Arial" w:eastAsia="Calibri" w:hAnsi="Arial" w:cs="Arial"/>
          <w:color w:val="000000" w:themeColor="text1"/>
          <w:sz w:val="22"/>
          <w:lang w:val="es-CO"/>
        </w:rPr>
        <w:t>. En consecuencia</w:t>
      </w:r>
      <w:r w:rsidR="007B0F6A" w:rsidRPr="0075145E">
        <w:rPr>
          <w:rFonts w:ascii="Arial" w:eastAsia="Calibri" w:hAnsi="Arial" w:cs="Arial"/>
          <w:color w:val="000000" w:themeColor="text1"/>
          <w:sz w:val="22"/>
          <w:lang w:val="es-CO"/>
        </w:rPr>
        <w:t xml:space="preserve">, </w:t>
      </w:r>
      <w:r w:rsidR="00FA5D0A" w:rsidRPr="0075145E">
        <w:rPr>
          <w:rFonts w:ascii="Arial" w:eastAsia="Calibri" w:hAnsi="Arial" w:cs="Arial"/>
          <w:color w:val="000000" w:themeColor="text1"/>
          <w:sz w:val="22"/>
          <w:lang w:val="es-CO"/>
        </w:rPr>
        <w:t>su</w:t>
      </w:r>
      <w:r w:rsidR="007B0F6A" w:rsidRPr="0075145E">
        <w:rPr>
          <w:rFonts w:ascii="Arial" w:eastAsia="Calibri" w:hAnsi="Arial" w:cs="Arial"/>
          <w:color w:val="000000" w:themeColor="text1"/>
          <w:sz w:val="22"/>
          <w:lang w:val="es-CO"/>
        </w:rPr>
        <w:t xml:space="preserve"> cumplimiento </w:t>
      </w:r>
      <w:r w:rsidR="00FA5D0A" w:rsidRPr="0075145E">
        <w:rPr>
          <w:rFonts w:ascii="Arial" w:eastAsia="Calibri" w:hAnsi="Arial" w:cs="Arial"/>
          <w:color w:val="000000" w:themeColor="text1"/>
          <w:sz w:val="22"/>
          <w:lang w:val="es-CO"/>
        </w:rPr>
        <w:t xml:space="preserve">es imperativo </w:t>
      </w:r>
      <w:r w:rsidR="007B0F6A" w:rsidRPr="0075145E">
        <w:rPr>
          <w:rFonts w:ascii="Arial" w:eastAsia="Calibri" w:hAnsi="Arial" w:cs="Arial"/>
          <w:color w:val="000000" w:themeColor="text1"/>
          <w:sz w:val="22"/>
          <w:lang w:val="es-CO"/>
        </w:rPr>
        <w:t xml:space="preserve">para las entidades públicas, de lo que se deriva </w:t>
      </w:r>
      <w:r w:rsidR="00FA5D0A" w:rsidRPr="0075145E">
        <w:rPr>
          <w:rFonts w:ascii="Arial" w:eastAsia="Calibri" w:hAnsi="Arial" w:cs="Arial"/>
          <w:color w:val="000000" w:themeColor="text1"/>
          <w:sz w:val="22"/>
          <w:lang w:val="es-CO"/>
        </w:rPr>
        <w:t xml:space="preserve">que </w:t>
      </w:r>
      <w:r w:rsidR="007B0F6A" w:rsidRPr="0075145E">
        <w:rPr>
          <w:rFonts w:ascii="Arial" w:eastAsia="Calibri" w:hAnsi="Arial" w:cs="Arial"/>
          <w:color w:val="000000" w:themeColor="text1"/>
          <w:sz w:val="22"/>
          <w:lang w:val="es-CO"/>
        </w:rPr>
        <w:t xml:space="preserve">estas, especialmente las </w:t>
      </w:r>
      <w:r w:rsidR="00FA5D0A" w:rsidRPr="0075145E">
        <w:rPr>
          <w:rFonts w:ascii="Arial" w:eastAsia="Calibri" w:hAnsi="Arial" w:cs="Arial"/>
          <w:color w:val="000000" w:themeColor="text1"/>
          <w:sz w:val="22"/>
          <w:lang w:val="es-CO"/>
        </w:rPr>
        <w:t>que tienen un</w:t>
      </w:r>
      <w:r w:rsidR="009760A8" w:rsidRPr="0075145E">
        <w:rPr>
          <w:rFonts w:ascii="Arial" w:eastAsia="Calibri" w:hAnsi="Arial" w:cs="Arial"/>
          <w:color w:val="000000" w:themeColor="text1"/>
          <w:sz w:val="22"/>
          <w:lang w:val="es-CO"/>
        </w:rPr>
        <w:t xml:space="preserve"> régimen </w:t>
      </w:r>
      <w:r w:rsidR="00FA5D0A" w:rsidRPr="0075145E">
        <w:rPr>
          <w:rFonts w:ascii="Arial" w:eastAsia="Calibri" w:hAnsi="Arial" w:cs="Arial"/>
          <w:color w:val="000000" w:themeColor="text1"/>
          <w:sz w:val="22"/>
          <w:lang w:val="es-CO"/>
        </w:rPr>
        <w:t xml:space="preserve">de contratación </w:t>
      </w:r>
      <w:r w:rsidR="009760A8" w:rsidRPr="0075145E">
        <w:rPr>
          <w:rFonts w:ascii="Arial" w:eastAsia="Calibri" w:hAnsi="Arial" w:cs="Arial"/>
          <w:color w:val="000000" w:themeColor="text1"/>
          <w:sz w:val="22"/>
          <w:lang w:val="es-CO"/>
        </w:rPr>
        <w:t>especial</w:t>
      </w:r>
      <w:r w:rsidR="007B0F6A" w:rsidRPr="0075145E">
        <w:rPr>
          <w:rFonts w:ascii="Arial" w:eastAsia="Calibri" w:hAnsi="Arial" w:cs="Arial"/>
          <w:color w:val="000000" w:themeColor="text1"/>
          <w:sz w:val="22"/>
          <w:lang w:val="es-CO"/>
        </w:rPr>
        <w:t>,</w:t>
      </w:r>
      <w:r w:rsidR="009760A8" w:rsidRPr="0075145E">
        <w:rPr>
          <w:rFonts w:ascii="Arial" w:eastAsia="Calibri" w:hAnsi="Arial" w:cs="Arial"/>
          <w:color w:val="000000" w:themeColor="text1"/>
          <w:sz w:val="22"/>
          <w:lang w:val="es-CO"/>
        </w:rPr>
        <w:t xml:space="preserve"> deben adaptar sus prácticas contractuales para cumplir con </w:t>
      </w:r>
      <w:r w:rsidR="00FA5D0A" w:rsidRPr="0075145E">
        <w:rPr>
          <w:rFonts w:ascii="Arial" w:eastAsia="Calibri" w:hAnsi="Arial" w:cs="Arial"/>
          <w:color w:val="000000" w:themeColor="text1"/>
          <w:sz w:val="22"/>
          <w:lang w:val="es-CO"/>
        </w:rPr>
        <w:t>el deber de publicar sus documentos del proceso de contratación dentro de los tres (3) días siguientes a su expedición</w:t>
      </w:r>
      <w:r w:rsidR="0062279A" w:rsidRPr="0075145E">
        <w:rPr>
          <w:rFonts w:ascii="Arial" w:eastAsia="Calibri" w:hAnsi="Arial" w:cs="Arial"/>
          <w:color w:val="000000" w:themeColor="text1"/>
          <w:sz w:val="22"/>
          <w:lang w:val="es-CO"/>
        </w:rPr>
        <w:t xml:space="preserve"> formal</w:t>
      </w:r>
      <w:r w:rsidR="009760A8" w:rsidRPr="0075145E">
        <w:rPr>
          <w:rFonts w:ascii="Arial" w:eastAsia="Calibri" w:hAnsi="Arial" w:cs="Arial"/>
          <w:color w:val="000000" w:themeColor="text1"/>
          <w:sz w:val="22"/>
          <w:lang w:val="es-CO"/>
        </w:rPr>
        <w:t>. No puede ocurrir</w:t>
      </w:r>
      <w:r w:rsidR="00FA5D0A" w:rsidRPr="0075145E">
        <w:rPr>
          <w:rFonts w:ascii="Arial" w:eastAsia="Calibri" w:hAnsi="Arial" w:cs="Arial"/>
          <w:color w:val="000000" w:themeColor="text1"/>
          <w:sz w:val="22"/>
          <w:lang w:val="es-CO"/>
        </w:rPr>
        <w:t>, pues,</w:t>
      </w:r>
      <w:r w:rsidR="009760A8" w:rsidRPr="0075145E">
        <w:rPr>
          <w:rFonts w:ascii="Arial" w:eastAsia="Calibri" w:hAnsi="Arial" w:cs="Arial"/>
          <w:color w:val="000000" w:themeColor="text1"/>
          <w:sz w:val="22"/>
          <w:lang w:val="es-CO"/>
        </w:rPr>
        <w:t xml:space="preserve"> que, amparadas en su régimen, </w:t>
      </w:r>
      <w:r w:rsidR="00FA5D0A" w:rsidRPr="0075145E">
        <w:rPr>
          <w:rFonts w:ascii="Arial" w:eastAsia="Calibri" w:hAnsi="Arial" w:cs="Arial"/>
          <w:color w:val="000000" w:themeColor="text1"/>
          <w:sz w:val="22"/>
          <w:lang w:val="es-CO"/>
        </w:rPr>
        <w:t xml:space="preserve">algunas entidades </w:t>
      </w:r>
      <w:r w:rsidR="009760A8" w:rsidRPr="0075145E">
        <w:rPr>
          <w:rFonts w:ascii="Arial" w:eastAsia="Calibri" w:hAnsi="Arial" w:cs="Arial"/>
          <w:color w:val="000000" w:themeColor="text1"/>
          <w:sz w:val="22"/>
          <w:lang w:val="es-CO"/>
        </w:rPr>
        <w:t xml:space="preserve">pretendan incumplir </w:t>
      </w:r>
      <w:r w:rsidR="007E0A81" w:rsidRPr="0075145E">
        <w:rPr>
          <w:rFonts w:ascii="Arial" w:eastAsia="Calibri" w:hAnsi="Arial" w:cs="Arial"/>
          <w:color w:val="000000" w:themeColor="text1"/>
          <w:sz w:val="22"/>
          <w:lang w:val="es-CO"/>
        </w:rPr>
        <w:t xml:space="preserve">su </w:t>
      </w:r>
      <w:r w:rsidR="009760A8" w:rsidRPr="0075145E">
        <w:rPr>
          <w:rFonts w:ascii="Arial" w:eastAsia="Calibri" w:hAnsi="Arial" w:cs="Arial"/>
          <w:color w:val="000000" w:themeColor="text1"/>
          <w:sz w:val="22"/>
          <w:lang w:val="es-CO"/>
        </w:rPr>
        <w:t xml:space="preserve">deber legal o cumplirlo de </w:t>
      </w:r>
      <w:r w:rsidR="00FA5D0A" w:rsidRPr="0075145E">
        <w:rPr>
          <w:rFonts w:ascii="Arial" w:eastAsia="Calibri" w:hAnsi="Arial" w:cs="Arial"/>
          <w:color w:val="000000" w:themeColor="text1"/>
          <w:sz w:val="22"/>
          <w:lang w:val="es-CO"/>
        </w:rPr>
        <w:t xml:space="preserve">tal </w:t>
      </w:r>
      <w:r w:rsidR="009760A8" w:rsidRPr="0075145E">
        <w:rPr>
          <w:rFonts w:ascii="Arial" w:eastAsia="Calibri" w:hAnsi="Arial" w:cs="Arial"/>
          <w:color w:val="000000" w:themeColor="text1"/>
          <w:sz w:val="22"/>
          <w:lang w:val="es-CO"/>
        </w:rPr>
        <w:t>manera</w:t>
      </w:r>
      <w:r w:rsidR="007E0A81" w:rsidRPr="0075145E">
        <w:rPr>
          <w:rFonts w:ascii="Arial" w:eastAsia="Calibri" w:hAnsi="Arial" w:cs="Arial"/>
          <w:color w:val="000000" w:themeColor="text1"/>
          <w:sz w:val="22"/>
          <w:lang w:val="es-CO"/>
        </w:rPr>
        <w:t xml:space="preserve"> que se ajuste </w:t>
      </w:r>
      <w:r w:rsidR="00FA5D0A" w:rsidRPr="0075145E">
        <w:rPr>
          <w:rFonts w:ascii="Arial" w:eastAsia="Calibri" w:hAnsi="Arial" w:cs="Arial"/>
          <w:color w:val="000000" w:themeColor="text1"/>
          <w:sz w:val="22"/>
          <w:lang w:val="es-CO"/>
        </w:rPr>
        <w:t>a las particularidades de sus trámites internos</w:t>
      </w:r>
      <w:r w:rsidR="009760A8" w:rsidRPr="0075145E">
        <w:rPr>
          <w:rFonts w:ascii="Arial" w:eastAsia="Calibri" w:hAnsi="Arial" w:cs="Arial"/>
          <w:color w:val="000000" w:themeColor="text1"/>
          <w:sz w:val="22"/>
          <w:lang w:val="es-CO"/>
        </w:rPr>
        <w:t xml:space="preserve">, pues </w:t>
      </w:r>
      <w:r w:rsidR="00FA5D0A" w:rsidRPr="0075145E">
        <w:rPr>
          <w:rFonts w:ascii="Arial" w:eastAsia="Calibri" w:hAnsi="Arial" w:cs="Arial"/>
          <w:color w:val="000000" w:themeColor="text1"/>
          <w:sz w:val="22"/>
          <w:lang w:val="es-CO"/>
        </w:rPr>
        <w:t xml:space="preserve">es la entidad la que </w:t>
      </w:r>
      <w:r w:rsidR="009760A8" w:rsidRPr="0075145E">
        <w:rPr>
          <w:rFonts w:ascii="Arial" w:eastAsia="Calibri" w:hAnsi="Arial" w:cs="Arial"/>
          <w:color w:val="000000" w:themeColor="text1"/>
          <w:sz w:val="22"/>
          <w:lang w:val="es-CO"/>
        </w:rPr>
        <w:t xml:space="preserve">debe ajustar sus prácticas contractuales al ordenamiento jurídico, </w:t>
      </w:r>
      <w:r w:rsidR="00FA5D0A" w:rsidRPr="0075145E">
        <w:rPr>
          <w:rFonts w:ascii="Arial" w:eastAsia="Calibri" w:hAnsi="Arial" w:cs="Arial"/>
          <w:color w:val="000000" w:themeColor="text1"/>
          <w:sz w:val="22"/>
          <w:lang w:val="es-CO"/>
        </w:rPr>
        <w:t xml:space="preserve">y no el ordenamiento jurídico el que </w:t>
      </w:r>
      <w:r w:rsidR="00912E23" w:rsidRPr="0075145E">
        <w:rPr>
          <w:rFonts w:ascii="Arial" w:eastAsia="Calibri" w:hAnsi="Arial" w:cs="Arial"/>
          <w:color w:val="000000" w:themeColor="text1"/>
          <w:sz w:val="22"/>
          <w:lang w:val="es-CO"/>
        </w:rPr>
        <w:t xml:space="preserve">debe adaptarse </w:t>
      </w:r>
      <w:r w:rsidR="00FA5D0A" w:rsidRPr="0075145E">
        <w:rPr>
          <w:rFonts w:ascii="Arial" w:eastAsia="Calibri" w:hAnsi="Arial" w:cs="Arial"/>
          <w:color w:val="000000" w:themeColor="text1"/>
          <w:sz w:val="22"/>
          <w:lang w:val="es-CO"/>
        </w:rPr>
        <w:t xml:space="preserve">o </w:t>
      </w:r>
      <w:r w:rsidR="009760A8" w:rsidRPr="0075145E">
        <w:rPr>
          <w:rFonts w:ascii="Arial" w:eastAsia="Calibri" w:hAnsi="Arial" w:cs="Arial"/>
          <w:color w:val="000000" w:themeColor="text1"/>
          <w:sz w:val="22"/>
          <w:lang w:val="es-CO"/>
        </w:rPr>
        <w:t>acondicion</w:t>
      </w:r>
      <w:r w:rsidR="00912E23" w:rsidRPr="0075145E">
        <w:rPr>
          <w:rFonts w:ascii="Arial" w:eastAsia="Calibri" w:hAnsi="Arial" w:cs="Arial"/>
          <w:color w:val="000000" w:themeColor="text1"/>
          <w:sz w:val="22"/>
          <w:lang w:val="es-CO"/>
        </w:rPr>
        <w:t>arse</w:t>
      </w:r>
      <w:r w:rsidR="009760A8" w:rsidRPr="0075145E">
        <w:rPr>
          <w:rFonts w:ascii="Arial" w:eastAsia="Calibri" w:hAnsi="Arial" w:cs="Arial"/>
          <w:color w:val="000000" w:themeColor="text1"/>
          <w:sz w:val="22"/>
          <w:lang w:val="es-CO"/>
        </w:rPr>
        <w:t xml:space="preserve"> a las prácticas de aquellas. </w:t>
      </w:r>
    </w:p>
    <w:p w14:paraId="167586D3" w14:textId="31F123C2" w:rsidR="0073536E" w:rsidRPr="0075145E" w:rsidRDefault="0073536E" w:rsidP="0073536E">
      <w:pPr>
        <w:spacing w:line="276" w:lineRule="auto"/>
        <w:ind w:firstLine="709"/>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y se aplicaría el artículo 2.2.1.1.1.7.1.</w:t>
      </w:r>
      <w:r w:rsidR="003308BA" w:rsidRPr="0075145E">
        <w:rPr>
          <w:rFonts w:ascii="Arial" w:eastAsia="Calibri" w:hAnsi="Arial" w:cs="Arial"/>
          <w:color w:val="000000" w:themeColor="text1"/>
          <w:sz w:val="22"/>
          <w:lang w:val="es-CO"/>
        </w:rPr>
        <w:t xml:space="preserve"> del Decreto 1082 de 2015.</w:t>
      </w:r>
      <w:r w:rsidRPr="0075145E">
        <w:rPr>
          <w:rFonts w:ascii="Arial" w:eastAsia="Calibri" w:hAnsi="Arial" w:cs="Arial"/>
          <w:color w:val="000000" w:themeColor="text1"/>
          <w:sz w:val="22"/>
          <w:lang w:val="es-CO"/>
        </w:rPr>
        <w:t xml:space="preserve"> </w:t>
      </w:r>
    </w:p>
    <w:p w14:paraId="6FDEF466" w14:textId="77777777" w:rsidR="0073536E" w:rsidRPr="0075145E" w:rsidRDefault="0073536E" w:rsidP="0073536E">
      <w:pPr>
        <w:spacing w:line="276" w:lineRule="auto"/>
        <w:jc w:val="both"/>
        <w:rPr>
          <w:rFonts w:ascii="Arial" w:eastAsia="Calibri" w:hAnsi="Arial" w:cs="Arial"/>
          <w:b/>
          <w:color w:val="000000" w:themeColor="text1"/>
          <w:sz w:val="22"/>
          <w:lang w:val="es-CO"/>
        </w:rPr>
      </w:pPr>
    </w:p>
    <w:p w14:paraId="2980998C" w14:textId="77777777" w:rsidR="000920F0" w:rsidRPr="0075145E" w:rsidRDefault="000920F0" w:rsidP="000920F0">
      <w:pPr>
        <w:pStyle w:val="Prrafodelista"/>
        <w:tabs>
          <w:tab w:val="left" w:pos="284"/>
        </w:tabs>
        <w:spacing w:line="276" w:lineRule="auto"/>
        <w:ind w:left="0"/>
        <w:jc w:val="both"/>
        <w:rPr>
          <w:rFonts w:ascii="Arial" w:eastAsia="Calibri" w:hAnsi="Arial" w:cs="Arial"/>
          <w:color w:val="000000" w:themeColor="text1"/>
          <w:sz w:val="22"/>
          <w:lang w:val="es-CO"/>
        </w:rPr>
      </w:pPr>
      <w:r w:rsidRPr="0075145E">
        <w:rPr>
          <w:rFonts w:ascii="Arial" w:eastAsia="Calibri" w:hAnsi="Arial" w:cs="Arial"/>
          <w:b/>
          <w:color w:val="000000" w:themeColor="text1"/>
          <w:sz w:val="22"/>
          <w:lang w:val="es-CO"/>
        </w:rPr>
        <w:t>3. Respuesta</w:t>
      </w:r>
    </w:p>
    <w:p w14:paraId="458F619B" w14:textId="77777777" w:rsidR="000920F0" w:rsidRPr="0075145E" w:rsidRDefault="000920F0" w:rsidP="000920F0">
      <w:pPr>
        <w:spacing w:line="276" w:lineRule="auto"/>
        <w:ind w:left="709" w:right="709"/>
        <w:jc w:val="both"/>
        <w:rPr>
          <w:rFonts w:ascii="Arial" w:eastAsia="Calibri" w:hAnsi="Arial" w:cs="Arial"/>
          <w:i/>
          <w:color w:val="000000" w:themeColor="text1"/>
          <w:sz w:val="22"/>
          <w:lang w:val="es-CO"/>
        </w:rPr>
      </w:pPr>
    </w:p>
    <w:p w14:paraId="23DD583E" w14:textId="58E7FA07" w:rsidR="00C3795F" w:rsidRPr="0075145E" w:rsidRDefault="00C3795F" w:rsidP="00C3795F">
      <w:pPr>
        <w:ind w:left="709" w:right="709"/>
        <w:jc w:val="both"/>
        <w:rPr>
          <w:rFonts w:ascii="Arial" w:eastAsia="Times New Roman" w:hAnsi="Arial" w:cs="Arial"/>
          <w:sz w:val="21"/>
          <w:szCs w:val="21"/>
          <w:lang w:val="es-CO" w:eastAsia="es-ES_tradnl"/>
        </w:rPr>
      </w:pPr>
      <w:bookmarkStart w:id="6" w:name="_Hlk41925262"/>
      <w:r w:rsidRPr="0075145E">
        <w:rPr>
          <w:rFonts w:ascii="Arial" w:eastAsia="Times New Roman" w:hAnsi="Arial" w:cs="Arial"/>
          <w:sz w:val="21"/>
          <w:szCs w:val="21"/>
          <w:lang w:val="es-CO" w:eastAsia="es-ES_tradnl"/>
        </w:rPr>
        <w:t>¿Debe una IPS constituida como sociedad de economía mixta, sometida su actividad al derecho privado por estar en competencia con este sector publicar en el SECOP los créditos que obtenga por parte de entidades vigiladas por la Superintendencia Financiera de Colombia en virtud del Decreto 2681 de 1993, a pesar de ser esta una norma de carácter reglamentaria, general y anterior, y de estar en contravía con normas de mayor rango jerárquico, específica y posterior como el parágrafo 2 del artículo 7 de la Ley 1966 de 2019 establezca la aplicabilidad del régimen privado para las sociedades de economía mixta que integren el régimen general de seguridad social en salud?</w:t>
      </w:r>
    </w:p>
    <w:p w14:paraId="6471D6F5" w14:textId="77777777" w:rsidR="00790CCE" w:rsidRPr="0075145E" w:rsidRDefault="00790CCE" w:rsidP="00790CCE">
      <w:pPr>
        <w:spacing w:before="120" w:after="120" w:line="276" w:lineRule="auto"/>
        <w:jc w:val="both"/>
        <w:rPr>
          <w:rFonts w:ascii="Arial" w:eastAsia="Calibri" w:hAnsi="Arial" w:cs="Arial"/>
          <w:color w:val="000000" w:themeColor="text1"/>
          <w:sz w:val="22"/>
          <w:lang w:val="es-CO"/>
        </w:rPr>
      </w:pPr>
    </w:p>
    <w:p w14:paraId="3037270E" w14:textId="4C51D709" w:rsidR="00142D60" w:rsidRPr="00E82549" w:rsidRDefault="00142D60" w:rsidP="0075145E">
      <w:pPr>
        <w:spacing w:before="120" w:after="120" w:line="276" w:lineRule="auto"/>
        <w:ind w:firstLine="708"/>
        <w:jc w:val="both"/>
        <w:rPr>
          <w:rFonts w:ascii="Arial" w:eastAsia="Calibri" w:hAnsi="Arial" w:cs="Arial"/>
          <w:color w:val="000000" w:themeColor="text1"/>
          <w:sz w:val="22"/>
          <w:lang w:val="es-CO"/>
        </w:rPr>
      </w:pPr>
      <w:bookmarkStart w:id="7" w:name="_Hlk41929701"/>
      <w:r w:rsidRPr="00E82549">
        <w:rPr>
          <w:rFonts w:ascii="Arial" w:eastAsia="Calibri" w:hAnsi="Arial" w:cs="Arial"/>
          <w:color w:val="000000" w:themeColor="text1"/>
          <w:sz w:val="22"/>
          <w:lang w:val="es-CO"/>
        </w:rPr>
        <w:t>De acuerdo con el artículo 2 de la Ley 80 de 1993, entre otras</w:t>
      </w:r>
      <w:r w:rsidR="00E2441A">
        <w:rPr>
          <w:rFonts w:ascii="Arial" w:eastAsia="Calibri" w:hAnsi="Arial" w:cs="Arial"/>
          <w:color w:val="000000" w:themeColor="text1"/>
          <w:sz w:val="22"/>
          <w:lang w:val="es-CO"/>
        </w:rPr>
        <w:t xml:space="preserve"> disposiciones</w:t>
      </w:r>
      <w:r w:rsidRPr="00E82549">
        <w:rPr>
          <w:rFonts w:ascii="Arial" w:eastAsia="Calibri" w:hAnsi="Arial" w:cs="Arial"/>
          <w:color w:val="000000" w:themeColor="text1"/>
          <w:sz w:val="22"/>
          <w:lang w:val="es-CO"/>
        </w:rPr>
        <w:t xml:space="preserve">, se denominan entidades estatales las sociedades de economía mixta en las que el Estado tenga participación superior al cincuenta por ciento (50%); asimismo, estableció en su artículo 32 que son contratos estatales todos los actos jurídicos generadores de obligaciones que celebren las entidades a las que se refiere el estatuto, previstos en el derecho privado o en disposiciones especiales, o derivados del ejercicio de la autonomía </w:t>
      </w:r>
      <w:r w:rsidRPr="00E82549">
        <w:rPr>
          <w:rFonts w:ascii="Arial" w:eastAsia="Calibri" w:hAnsi="Arial" w:cs="Arial"/>
          <w:color w:val="000000" w:themeColor="text1"/>
          <w:sz w:val="22"/>
          <w:lang w:val="es-CO"/>
        </w:rPr>
        <w:lastRenderedPageBreak/>
        <w:t>de la voluntad</w:t>
      </w:r>
      <w:bookmarkEnd w:id="7"/>
      <w:r w:rsidRPr="00E82549">
        <w:rPr>
          <w:rFonts w:ascii="Arial" w:eastAsia="Calibri" w:hAnsi="Arial" w:cs="Arial"/>
          <w:color w:val="000000" w:themeColor="text1"/>
          <w:sz w:val="22"/>
          <w:lang w:val="es-CO"/>
        </w:rPr>
        <w:t>. En consecuencia, la disposición establecida en el parágrafo 2 del artículo 7 de la Ley 1966 de 2019 no cambia la naturaleza del contrato, ni de la entidad estatal.</w:t>
      </w:r>
    </w:p>
    <w:p w14:paraId="436D85DF" w14:textId="476CD028" w:rsidR="00762547" w:rsidRPr="0075145E" w:rsidRDefault="00142D60" w:rsidP="00762547">
      <w:pPr>
        <w:spacing w:before="120" w:line="276" w:lineRule="auto"/>
        <w:ind w:firstLine="709"/>
        <w:jc w:val="both"/>
        <w:rPr>
          <w:rFonts w:ascii="Arial" w:eastAsia="Calibri" w:hAnsi="Arial" w:cs="Arial"/>
          <w:color w:val="000000" w:themeColor="text1"/>
          <w:sz w:val="22"/>
          <w:lang w:val="es-CO"/>
        </w:rPr>
      </w:pPr>
      <w:r w:rsidRPr="00E82549">
        <w:rPr>
          <w:rFonts w:ascii="Arial" w:eastAsia="Calibri" w:hAnsi="Arial" w:cs="Arial"/>
          <w:color w:val="000000" w:themeColor="text1"/>
          <w:sz w:val="22"/>
          <w:lang w:val="es-CO"/>
        </w:rPr>
        <w:t xml:space="preserve">Dicho esto, si la IPS tiene una participación del estado superior al cincuenta por ciento (50%), los contratos que celebre, incluido el de empréstito, son contratos estatales. Así pues, la obligatoriedad de publicar las actuaciones contractuales de las entidades estatales no depende de su régimen de contratación, sino de la ejecución de recursos públicos, pues así lo determinó, provisionalmente, el Consejo de Estado, al indicar que ese deber no atiende a las condiciones fácticas que tengan las entidades excluidas del régimen de contratación estatal, sino ─se reitera─ al hecho de que la contratación implique la ejecución de recursos públicos. Por su parte, este deber también se deriva de la Ley 1712 de 2014, que señala en el literal g), artículo 11, que todo sujeto obligado debe publicar sus procedimientos, lineamientos, políticas en materia de adquisiciones y compras, así como todos los datos de adjudicación y ejecución de sus contratos; y del desarrollo realizado por el Decreto reglamentario 103 de 2015, en los términos desarrollados en las consideraciones. </w:t>
      </w:r>
      <w:r w:rsidR="00762547" w:rsidRPr="00E82549">
        <w:rPr>
          <w:rFonts w:ascii="Arial" w:eastAsia="Calibri" w:hAnsi="Arial" w:cs="Arial"/>
          <w:color w:val="000000" w:themeColor="text1"/>
          <w:sz w:val="22"/>
          <w:lang w:val="es-CO"/>
        </w:rPr>
        <w:t>l.</w:t>
      </w:r>
    </w:p>
    <w:bookmarkEnd w:id="6"/>
    <w:p w14:paraId="5541619D" w14:textId="77777777" w:rsidR="0067069B" w:rsidRPr="0075145E" w:rsidRDefault="0067069B" w:rsidP="000920F0">
      <w:pPr>
        <w:spacing w:line="276" w:lineRule="auto"/>
        <w:jc w:val="both"/>
        <w:rPr>
          <w:rFonts w:ascii="Arial" w:eastAsia="Calibri" w:hAnsi="Arial" w:cs="Arial"/>
          <w:color w:val="000000" w:themeColor="text1"/>
          <w:sz w:val="22"/>
          <w:lang w:val="es-CO"/>
        </w:rPr>
      </w:pPr>
    </w:p>
    <w:p w14:paraId="544609D3" w14:textId="696EA874" w:rsidR="000920F0" w:rsidRPr="0075145E" w:rsidRDefault="000920F0" w:rsidP="000920F0">
      <w:pPr>
        <w:spacing w:line="276" w:lineRule="auto"/>
        <w:jc w:val="both"/>
        <w:rPr>
          <w:rFonts w:ascii="Arial" w:eastAsia="Calibri" w:hAnsi="Arial" w:cs="Arial"/>
          <w:color w:val="000000" w:themeColor="text1"/>
          <w:sz w:val="22"/>
          <w:lang w:val="es-CO"/>
        </w:rPr>
      </w:pPr>
      <w:r w:rsidRPr="0075145E">
        <w:rPr>
          <w:rFonts w:ascii="Arial" w:eastAsia="Calibri" w:hAnsi="Arial" w:cs="Arial"/>
          <w:color w:val="000000" w:themeColor="text1"/>
          <w:sz w:val="22"/>
          <w:lang w:val="es-CO"/>
        </w:rPr>
        <w:t>Este concepto tiene el alcance previsto en el artículo 28 del Código de Procedimiento Administrativo y de lo Contencioso Administrativo</w:t>
      </w:r>
      <w:r w:rsidR="00CE51AE" w:rsidRPr="0075145E">
        <w:rPr>
          <w:rFonts w:ascii="Arial" w:eastAsia="Calibri" w:hAnsi="Arial" w:cs="Arial"/>
          <w:color w:val="000000" w:themeColor="text1"/>
          <w:sz w:val="22"/>
          <w:lang w:val="es-CO"/>
        </w:rPr>
        <w:t>, modificado por el artículo 1 de la Ley 1755 de 2015</w:t>
      </w:r>
      <w:r w:rsidRPr="0075145E">
        <w:rPr>
          <w:rFonts w:ascii="Arial" w:eastAsia="Calibri" w:hAnsi="Arial" w:cs="Arial"/>
          <w:color w:val="000000" w:themeColor="text1"/>
          <w:sz w:val="22"/>
          <w:lang w:val="es-CO"/>
        </w:rPr>
        <w:t>.</w:t>
      </w:r>
    </w:p>
    <w:p w14:paraId="069E278A" w14:textId="77777777" w:rsidR="001A7B0C" w:rsidRPr="0075145E" w:rsidRDefault="001A7B0C" w:rsidP="00777704">
      <w:pPr>
        <w:rPr>
          <w:rFonts w:ascii="Arial" w:eastAsia="Calibri" w:hAnsi="Arial" w:cs="Arial"/>
          <w:color w:val="000000" w:themeColor="text1"/>
          <w:sz w:val="22"/>
          <w:lang w:val="es-CO"/>
        </w:rPr>
      </w:pPr>
    </w:p>
    <w:p w14:paraId="537553D5" w14:textId="38CF5FE2" w:rsidR="000920F0" w:rsidRPr="0075145E" w:rsidRDefault="000920F0" w:rsidP="000920F0">
      <w:pPr>
        <w:spacing w:line="276" w:lineRule="auto"/>
        <w:rPr>
          <w:rFonts w:ascii="Arial" w:hAnsi="Arial" w:cs="Arial"/>
          <w:color w:val="000000" w:themeColor="text1"/>
          <w:sz w:val="22"/>
          <w:lang w:val="es-CO" w:eastAsia="es-CO"/>
        </w:rPr>
      </w:pPr>
      <w:r w:rsidRPr="0075145E">
        <w:rPr>
          <w:rFonts w:ascii="Arial" w:hAnsi="Arial" w:cs="Arial"/>
          <w:color w:val="000000" w:themeColor="text1"/>
          <w:sz w:val="22"/>
          <w:lang w:val="es-CO" w:eastAsia="es-CO"/>
        </w:rPr>
        <w:t>Atentamente,</w:t>
      </w:r>
    </w:p>
    <w:p w14:paraId="571DF5BC" w14:textId="40040165" w:rsidR="000920F0" w:rsidRDefault="00BA7E31" w:rsidP="000920F0">
      <w:pPr>
        <w:spacing w:line="276" w:lineRule="auto"/>
        <w:jc w:val="center"/>
        <w:rPr>
          <w:rFonts w:ascii="Arial" w:hAnsi="Arial" w:cs="Arial"/>
          <w:color w:val="000000" w:themeColor="text1"/>
          <w:sz w:val="18"/>
          <w:szCs w:val="20"/>
          <w:lang w:val="es-CO" w:eastAsia="es-CO"/>
        </w:rPr>
      </w:pPr>
      <w:r>
        <w:rPr>
          <w:noProof/>
        </w:rPr>
        <w:drawing>
          <wp:inline distT="0" distB="0" distL="0" distR="0" wp14:anchorId="4CF0AA60" wp14:editId="3CC11FAB">
            <wp:extent cx="2773144" cy="988695"/>
            <wp:effectExtent l="0" t="0" r="0" b="0"/>
            <wp:docPr id="1366288152"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74B65482" w14:textId="77777777" w:rsidR="00E22B19" w:rsidRPr="0075145E" w:rsidRDefault="00E22B19" w:rsidP="000920F0">
      <w:pPr>
        <w:spacing w:line="276" w:lineRule="auto"/>
        <w:jc w:val="center"/>
        <w:rPr>
          <w:rFonts w:ascii="Arial" w:hAnsi="Arial" w:cs="Arial"/>
          <w:color w:val="000000" w:themeColor="text1"/>
          <w:sz w:val="18"/>
          <w:szCs w:val="20"/>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5491D" w:rsidRPr="00E82549" w14:paraId="5F526272" w14:textId="77777777" w:rsidTr="00FC16B2">
        <w:trPr>
          <w:trHeight w:val="315"/>
        </w:trPr>
        <w:tc>
          <w:tcPr>
            <w:tcW w:w="812" w:type="dxa"/>
            <w:vAlign w:val="center"/>
            <w:hideMark/>
          </w:tcPr>
          <w:p w14:paraId="33690198" w14:textId="77777777" w:rsidR="000920F0" w:rsidRPr="0075145E" w:rsidRDefault="000920F0" w:rsidP="00FC16B2">
            <w:pPr>
              <w:spacing w:line="276" w:lineRule="auto"/>
              <w:rPr>
                <w:rFonts w:ascii="Arial" w:hAnsi="Arial" w:cs="Arial"/>
                <w:color w:val="000000" w:themeColor="text1"/>
                <w:sz w:val="16"/>
                <w:szCs w:val="16"/>
                <w:lang w:val="es-CO" w:eastAsia="es-ES"/>
              </w:rPr>
            </w:pPr>
            <w:r w:rsidRPr="0075145E">
              <w:rPr>
                <w:rFonts w:ascii="Arial" w:hAnsi="Arial" w:cs="Arial"/>
                <w:color w:val="000000" w:themeColor="text1"/>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26EF6323" w14:textId="13938CE3" w:rsidR="000920F0" w:rsidRPr="0075145E" w:rsidRDefault="00790CCE" w:rsidP="00FC16B2">
            <w:pPr>
              <w:spacing w:line="276" w:lineRule="auto"/>
              <w:rPr>
                <w:rFonts w:ascii="Arial" w:hAnsi="Arial" w:cs="Arial"/>
                <w:color w:val="000000" w:themeColor="text1"/>
                <w:sz w:val="16"/>
                <w:szCs w:val="16"/>
                <w:lang w:val="es-CO" w:eastAsia="es-ES"/>
              </w:rPr>
            </w:pPr>
            <w:r w:rsidRPr="0075145E">
              <w:rPr>
                <w:rFonts w:ascii="Arial" w:hAnsi="Arial" w:cs="Arial"/>
                <w:color w:val="000000" w:themeColor="text1"/>
                <w:sz w:val="16"/>
                <w:szCs w:val="16"/>
                <w:lang w:val="es-CO" w:eastAsia="es-ES"/>
              </w:rPr>
              <w:t>Omar Germán Mejía Olmos</w:t>
            </w:r>
          </w:p>
          <w:p w14:paraId="5E6EE4F5" w14:textId="11AD8FCF" w:rsidR="00C727E6" w:rsidRPr="0075145E" w:rsidRDefault="00C727E6" w:rsidP="00FC16B2">
            <w:pPr>
              <w:spacing w:line="276" w:lineRule="auto"/>
              <w:rPr>
                <w:rFonts w:ascii="Arial" w:hAnsi="Arial" w:cs="Arial"/>
                <w:color w:val="000000" w:themeColor="text1"/>
                <w:sz w:val="16"/>
                <w:szCs w:val="16"/>
                <w:lang w:val="es-CO" w:eastAsia="es-ES"/>
              </w:rPr>
            </w:pPr>
            <w:r w:rsidRPr="0075145E">
              <w:rPr>
                <w:rFonts w:ascii="Arial" w:hAnsi="Arial" w:cs="Arial"/>
                <w:color w:val="000000" w:themeColor="text1"/>
                <w:sz w:val="16"/>
                <w:szCs w:val="16"/>
                <w:lang w:val="es-CO" w:eastAsia="es-ES"/>
              </w:rPr>
              <w:t>Contratista</w:t>
            </w:r>
            <w:r w:rsidR="00CE51AE" w:rsidRPr="0075145E">
              <w:rPr>
                <w:rFonts w:ascii="Arial" w:hAnsi="Arial" w:cs="Arial"/>
                <w:color w:val="000000" w:themeColor="text1"/>
                <w:sz w:val="16"/>
                <w:szCs w:val="16"/>
                <w:lang w:val="es-CO" w:eastAsia="es-ES"/>
              </w:rPr>
              <w:t xml:space="preserve">, </w:t>
            </w:r>
            <w:r w:rsidRPr="0075145E">
              <w:rPr>
                <w:rFonts w:ascii="Arial" w:hAnsi="Arial" w:cs="Arial"/>
                <w:color w:val="000000" w:themeColor="text1"/>
                <w:sz w:val="16"/>
                <w:szCs w:val="16"/>
                <w:lang w:val="es-CO" w:eastAsia="es-ES"/>
              </w:rPr>
              <w:t>Subdirección de Gestión Contractual</w:t>
            </w:r>
          </w:p>
        </w:tc>
      </w:tr>
      <w:tr w:rsidR="00A5491D" w:rsidRPr="00E82549" w14:paraId="0C137F1C" w14:textId="77777777" w:rsidTr="00FC16B2">
        <w:trPr>
          <w:trHeight w:val="330"/>
        </w:trPr>
        <w:tc>
          <w:tcPr>
            <w:tcW w:w="812" w:type="dxa"/>
            <w:vAlign w:val="center"/>
            <w:hideMark/>
          </w:tcPr>
          <w:p w14:paraId="76978847" w14:textId="77777777" w:rsidR="000920F0" w:rsidRPr="0075145E" w:rsidRDefault="000920F0" w:rsidP="00FC16B2">
            <w:pPr>
              <w:spacing w:line="276" w:lineRule="auto"/>
              <w:rPr>
                <w:rFonts w:ascii="Arial" w:hAnsi="Arial" w:cs="Arial"/>
                <w:color w:val="000000" w:themeColor="text1"/>
                <w:sz w:val="16"/>
                <w:szCs w:val="16"/>
                <w:lang w:val="es-CO" w:eastAsia="es-ES"/>
              </w:rPr>
            </w:pPr>
            <w:r w:rsidRPr="0075145E">
              <w:rPr>
                <w:rFonts w:ascii="Arial" w:hAnsi="Arial" w:cs="Arial"/>
                <w:color w:val="000000" w:themeColor="text1"/>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1CA9DA6" w14:textId="268F86B3" w:rsidR="00790CCE" w:rsidRPr="0075145E" w:rsidRDefault="00034128" w:rsidP="00790CCE">
            <w:pPr>
              <w:spacing w:line="276" w:lineRule="auto"/>
              <w:rPr>
                <w:rFonts w:ascii="Arial" w:hAnsi="Arial" w:cs="Arial"/>
                <w:color w:val="000000" w:themeColor="text1"/>
                <w:sz w:val="16"/>
                <w:szCs w:val="16"/>
                <w:lang w:val="es-CO" w:eastAsia="es-ES"/>
              </w:rPr>
            </w:pPr>
            <w:r>
              <w:rPr>
                <w:rFonts w:ascii="Arial" w:hAnsi="Arial" w:cs="Arial"/>
                <w:color w:val="000000" w:themeColor="text1"/>
                <w:sz w:val="16"/>
                <w:szCs w:val="16"/>
                <w:lang w:val="es-CO" w:eastAsia="es-ES"/>
              </w:rPr>
              <w:t>Cristian Andrés Díaz Díez</w:t>
            </w:r>
          </w:p>
          <w:p w14:paraId="660FED67" w14:textId="6B2F4489" w:rsidR="000920F0" w:rsidRPr="0075145E" w:rsidRDefault="00034128" w:rsidP="00790CCE">
            <w:pPr>
              <w:spacing w:line="276" w:lineRule="auto"/>
              <w:rPr>
                <w:rFonts w:ascii="Arial" w:hAnsi="Arial" w:cs="Arial"/>
                <w:color w:val="000000" w:themeColor="text1"/>
                <w:sz w:val="16"/>
                <w:szCs w:val="16"/>
                <w:lang w:val="es-CO" w:eastAsia="es-ES"/>
              </w:rPr>
            </w:pPr>
            <w:r>
              <w:rPr>
                <w:rFonts w:ascii="Arial" w:hAnsi="Arial" w:cs="Arial"/>
                <w:color w:val="000000" w:themeColor="text1"/>
                <w:sz w:val="16"/>
                <w:szCs w:val="16"/>
                <w:lang w:val="es-CO" w:eastAsia="es-ES"/>
              </w:rPr>
              <w:t xml:space="preserve">Contratista, </w:t>
            </w:r>
            <w:r w:rsidRPr="0075145E">
              <w:rPr>
                <w:rFonts w:ascii="Arial" w:hAnsi="Arial" w:cs="Arial"/>
                <w:color w:val="000000" w:themeColor="text1"/>
                <w:sz w:val="16"/>
                <w:szCs w:val="16"/>
                <w:lang w:val="es-CO" w:eastAsia="es-ES"/>
              </w:rPr>
              <w:t>Subdirec</w:t>
            </w:r>
            <w:r>
              <w:rPr>
                <w:rFonts w:ascii="Arial" w:hAnsi="Arial" w:cs="Arial"/>
                <w:color w:val="000000" w:themeColor="text1"/>
                <w:sz w:val="16"/>
                <w:szCs w:val="16"/>
                <w:lang w:val="es-CO" w:eastAsia="es-ES"/>
              </w:rPr>
              <w:t>ción</w:t>
            </w:r>
            <w:r w:rsidRPr="0075145E">
              <w:rPr>
                <w:rFonts w:ascii="Arial" w:hAnsi="Arial" w:cs="Arial"/>
                <w:color w:val="000000" w:themeColor="text1"/>
                <w:sz w:val="16"/>
                <w:szCs w:val="16"/>
                <w:lang w:val="es-CO" w:eastAsia="es-ES"/>
              </w:rPr>
              <w:t xml:space="preserve"> </w:t>
            </w:r>
            <w:r w:rsidR="00790CCE" w:rsidRPr="0075145E">
              <w:rPr>
                <w:rFonts w:ascii="Arial" w:hAnsi="Arial" w:cs="Arial"/>
                <w:color w:val="000000" w:themeColor="text1"/>
                <w:sz w:val="16"/>
                <w:szCs w:val="16"/>
                <w:lang w:val="es-CO" w:eastAsia="es-ES"/>
              </w:rPr>
              <w:t>de Gestión Contractual</w:t>
            </w:r>
          </w:p>
        </w:tc>
      </w:tr>
      <w:tr w:rsidR="000920F0" w:rsidRPr="00E82549" w14:paraId="59D3F9A5" w14:textId="77777777" w:rsidTr="00FC16B2">
        <w:trPr>
          <w:trHeight w:val="300"/>
        </w:trPr>
        <w:tc>
          <w:tcPr>
            <w:tcW w:w="812" w:type="dxa"/>
            <w:vAlign w:val="center"/>
            <w:hideMark/>
          </w:tcPr>
          <w:p w14:paraId="62FFFDDB" w14:textId="77777777" w:rsidR="000920F0" w:rsidRPr="0075145E" w:rsidRDefault="000920F0" w:rsidP="00FC16B2">
            <w:pPr>
              <w:spacing w:line="276" w:lineRule="auto"/>
              <w:rPr>
                <w:rFonts w:ascii="Arial" w:hAnsi="Arial" w:cs="Arial"/>
                <w:color w:val="000000" w:themeColor="text1"/>
                <w:sz w:val="16"/>
                <w:szCs w:val="16"/>
                <w:lang w:val="es-CO" w:eastAsia="es-ES"/>
              </w:rPr>
            </w:pPr>
            <w:r w:rsidRPr="0075145E">
              <w:rPr>
                <w:rFonts w:ascii="Arial" w:hAnsi="Arial" w:cs="Arial"/>
                <w:color w:val="000000" w:themeColor="text1"/>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BAAC9A" w14:textId="77777777" w:rsidR="000920F0" w:rsidRPr="0075145E" w:rsidRDefault="000920F0" w:rsidP="00FC16B2">
            <w:pPr>
              <w:spacing w:line="276" w:lineRule="auto"/>
              <w:rPr>
                <w:rFonts w:ascii="Arial" w:hAnsi="Arial" w:cs="Arial"/>
                <w:color w:val="000000" w:themeColor="text1"/>
                <w:sz w:val="16"/>
                <w:szCs w:val="16"/>
                <w:lang w:val="es-CO" w:eastAsia="es-ES"/>
              </w:rPr>
            </w:pPr>
            <w:r w:rsidRPr="0075145E">
              <w:rPr>
                <w:rFonts w:ascii="Arial" w:hAnsi="Arial" w:cs="Arial"/>
                <w:color w:val="000000" w:themeColor="text1"/>
                <w:sz w:val="16"/>
                <w:szCs w:val="16"/>
                <w:lang w:val="es-CO" w:eastAsia="es-ES"/>
              </w:rPr>
              <w:t>Fabián Gonzalo Marín Cortés</w:t>
            </w:r>
          </w:p>
          <w:p w14:paraId="417C54F4" w14:textId="77777777" w:rsidR="000920F0" w:rsidRPr="0075145E" w:rsidRDefault="000920F0" w:rsidP="00FC16B2">
            <w:pPr>
              <w:spacing w:line="276" w:lineRule="auto"/>
              <w:rPr>
                <w:rFonts w:ascii="Arial" w:hAnsi="Arial" w:cs="Arial"/>
                <w:color w:val="000000" w:themeColor="text1"/>
                <w:sz w:val="16"/>
                <w:szCs w:val="16"/>
                <w:lang w:val="es-CO" w:eastAsia="es-ES"/>
              </w:rPr>
            </w:pPr>
            <w:r w:rsidRPr="0075145E">
              <w:rPr>
                <w:rFonts w:ascii="Arial" w:hAnsi="Arial" w:cs="Arial"/>
                <w:color w:val="000000" w:themeColor="text1"/>
                <w:sz w:val="16"/>
                <w:szCs w:val="16"/>
                <w:lang w:val="es-CO" w:eastAsia="es-ES"/>
              </w:rPr>
              <w:t>Subdirector de Gestión Contractual</w:t>
            </w:r>
          </w:p>
        </w:tc>
      </w:tr>
      <w:bookmarkEnd w:id="2"/>
    </w:tbl>
    <w:p w14:paraId="7EBF297E" w14:textId="77777777" w:rsidR="007B0854" w:rsidRPr="0075145E" w:rsidRDefault="007B0854" w:rsidP="00777704">
      <w:pPr>
        <w:spacing w:line="120" w:lineRule="auto"/>
        <w:rPr>
          <w:rFonts w:ascii="Arial" w:hAnsi="Arial" w:cs="Arial"/>
          <w:color w:val="000000" w:themeColor="text1"/>
          <w:lang w:val="es-CO"/>
        </w:rPr>
      </w:pPr>
    </w:p>
    <w:sectPr w:rsidR="007B0854" w:rsidRPr="0075145E"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726B21" w14:textId="77777777" w:rsidR="00AC65DE" w:rsidRDefault="00AC65DE">
      <w:r>
        <w:separator/>
      </w:r>
    </w:p>
  </w:endnote>
  <w:endnote w:type="continuationSeparator" w:id="0">
    <w:p w14:paraId="3107EACB" w14:textId="77777777" w:rsidR="00AC65DE" w:rsidRDefault="00AC6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1A5F74" w14:textId="1A21F524" w:rsidR="009E6DB3" w:rsidRDefault="009E6DB3" w:rsidP="00F72936">
    <w:pPr>
      <w:pStyle w:val="Sinespaciado"/>
      <w:jc w:val="right"/>
      <w:rPr>
        <w:rFonts w:ascii="Arial" w:hAnsi="Arial" w:cs="Arial"/>
        <w:sz w:val="18"/>
        <w:szCs w:val="18"/>
      </w:rPr>
    </w:pPr>
  </w:p>
  <w:p w14:paraId="23C63834" w14:textId="77777777" w:rsidR="00777704" w:rsidRDefault="00777704" w:rsidP="00F72936">
    <w:pPr>
      <w:pStyle w:val="Sinespaciado"/>
      <w:jc w:val="right"/>
      <w:rPr>
        <w:rFonts w:ascii="Arial" w:hAnsi="Arial" w:cs="Arial"/>
        <w:sz w:val="18"/>
        <w:szCs w:val="18"/>
      </w:rPr>
    </w:pPr>
  </w:p>
  <w:p w14:paraId="17CC9D90" w14:textId="5363D0CC" w:rsidR="009E6DB3" w:rsidRPr="008217B7" w:rsidRDefault="009E6DB3" w:rsidP="00F7293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A7E31">
      <w:rPr>
        <w:rFonts w:ascii="Arial" w:hAnsi="Arial" w:cs="Arial"/>
        <w:b/>
        <w:bCs/>
        <w:noProof/>
        <w:color w:val="7F7F7F" w:themeColor="text1" w:themeTint="80"/>
        <w:sz w:val="16"/>
        <w:szCs w:val="16"/>
      </w:rPr>
      <w:t>25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A7E31">
      <w:rPr>
        <w:rFonts w:ascii="Arial" w:hAnsi="Arial" w:cs="Arial"/>
        <w:b/>
        <w:bCs/>
        <w:noProof/>
        <w:color w:val="7F7F7F" w:themeColor="text1" w:themeTint="80"/>
        <w:sz w:val="16"/>
        <w:szCs w:val="16"/>
      </w:rPr>
      <w:t>27</w:t>
    </w:r>
    <w:r w:rsidRPr="00084B97">
      <w:rPr>
        <w:rFonts w:ascii="Arial" w:hAnsi="Arial" w:cs="Arial"/>
        <w:b/>
        <w:bCs/>
        <w:color w:val="7F7F7F" w:themeColor="text1" w:themeTint="80"/>
        <w:sz w:val="16"/>
        <w:szCs w:val="16"/>
      </w:rPr>
      <w:fldChar w:fldCharType="end"/>
    </w:r>
  </w:p>
  <w:p w14:paraId="1FC56E89" w14:textId="77777777" w:rsidR="009E6DB3" w:rsidRDefault="0504E6BD" w:rsidP="00F72936">
    <w:pPr>
      <w:pStyle w:val="Piedepgina"/>
      <w:jc w:val="center"/>
    </w:pPr>
    <w:r>
      <w:rPr>
        <w:noProof/>
      </w:rPr>
      <w:drawing>
        <wp:inline distT="0" distB="0" distL="0" distR="0" wp14:anchorId="29A046D9" wp14:editId="3A7DBCE2">
          <wp:extent cx="3700130" cy="519139"/>
          <wp:effectExtent l="0" t="0" r="0" b="0"/>
          <wp:docPr id="14462719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42E53B6" w14:textId="77777777" w:rsidR="009E6DB3" w:rsidRDefault="009E6DB3" w:rsidP="00F72936">
    <w:pPr>
      <w:pStyle w:val="Piedepgina"/>
      <w:jc w:val="center"/>
    </w:pPr>
  </w:p>
  <w:p w14:paraId="304E5412" w14:textId="77777777" w:rsidR="009E6DB3" w:rsidRPr="007B0854" w:rsidRDefault="009E6DB3" w:rsidP="00F72936">
    <w:pPr>
      <w:pStyle w:val="Piedepgina"/>
      <w:jc w:val="center"/>
    </w:pPr>
  </w:p>
  <w:p w14:paraId="47FC0032" w14:textId="77777777" w:rsidR="009E6DB3" w:rsidRPr="00856133" w:rsidRDefault="009E6DB3" w:rsidP="00F72936">
    <w:pPr>
      <w:pStyle w:val="Piedepgina"/>
    </w:pPr>
  </w:p>
  <w:p w14:paraId="6C0EFC49" w14:textId="77777777" w:rsidR="009E6DB3" w:rsidRPr="00F72936" w:rsidRDefault="009E6DB3" w:rsidP="00F7293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DE3DC8" w14:textId="77777777" w:rsidR="00AC65DE" w:rsidRDefault="00AC65DE">
      <w:r>
        <w:separator/>
      </w:r>
    </w:p>
  </w:footnote>
  <w:footnote w:type="continuationSeparator" w:id="0">
    <w:p w14:paraId="004729FA" w14:textId="77777777" w:rsidR="00AC65DE" w:rsidRDefault="00AC65DE">
      <w:r>
        <w:continuationSeparator/>
      </w:r>
    </w:p>
  </w:footnote>
  <w:footnote w:id="1">
    <w:p w14:paraId="7B6F1FA5"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Corte Constitucional. Sentencia C- 341 del 4 de junio de 2014. M. P. Mauricio González Cuervo.</w:t>
      </w:r>
    </w:p>
    <w:p w14:paraId="711E08FB" w14:textId="77777777" w:rsidR="009E6DB3" w:rsidRPr="00A5491D" w:rsidRDefault="009E6DB3" w:rsidP="00AB4502">
      <w:pPr>
        <w:pStyle w:val="Textonotapie"/>
        <w:ind w:firstLine="708"/>
        <w:jc w:val="both"/>
        <w:rPr>
          <w:rFonts w:ascii="Arial" w:hAnsi="Arial" w:cs="Arial"/>
          <w:color w:val="000000" w:themeColor="text1"/>
          <w:sz w:val="19"/>
          <w:szCs w:val="19"/>
          <w:lang w:val="es-CO"/>
        </w:rPr>
      </w:pPr>
    </w:p>
  </w:footnote>
  <w:footnote w:id="2">
    <w:p w14:paraId="284B71C2"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157DA98" w14:textId="77777777" w:rsidR="009E6DB3" w:rsidRPr="00A5491D" w:rsidRDefault="009E6DB3" w:rsidP="00AB4502">
      <w:pPr>
        <w:pStyle w:val="Textonotapie"/>
        <w:ind w:firstLine="708"/>
        <w:jc w:val="both"/>
        <w:rPr>
          <w:rFonts w:ascii="Arial" w:hAnsi="Arial" w:cs="Arial"/>
          <w:color w:val="000000" w:themeColor="text1"/>
          <w:sz w:val="19"/>
          <w:szCs w:val="19"/>
        </w:rPr>
      </w:pPr>
      <w:proofErr w:type="gramStart"/>
      <w:r w:rsidRPr="00A5491D">
        <w:rPr>
          <w:rFonts w:ascii="Arial" w:hAnsi="Arial" w:cs="Arial"/>
          <w:color w:val="000000" w:themeColor="text1"/>
          <w:sz w:val="19"/>
          <w:szCs w:val="19"/>
        </w:rPr>
        <w:t>»Lo</w:t>
      </w:r>
      <w:proofErr w:type="gramEnd"/>
      <w:r w:rsidRPr="00A5491D">
        <w:rPr>
          <w:rFonts w:ascii="Arial" w:hAnsi="Arial" w:cs="Arial"/>
          <w:color w:val="000000" w:themeColor="text1"/>
          <w:sz w:val="19"/>
          <w:szCs w:val="19"/>
        </w:rPr>
        <w:t xml:space="preserve"> anterior, sin perjuicio de las publicaciones previstas en el numeral 3 del artículo 30 de la Ley 80 de 1993.</w:t>
      </w:r>
    </w:p>
    <w:p w14:paraId="5269DF1F" w14:textId="77777777" w:rsidR="009E6DB3" w:rsidRPr="00A5491D" w:rsidRDefault="009E6DB3" w:rsidP="00AB4502">
      <w:pPr>
        <w:pStyle w:val="Textonotapie"/>
        <w:ind w:firstLine="708"/>
        <w:jc w:val="both"/>
        <w:rPr>
          <w:rFonts w:ascii="Arial" w:hAnsi="Arial" w:cs="Arial"/>
          <w:color w:val="000000" w:themeColor="text1"/>
          <w:sz w:val="19"/>
          <w:szCs w:val="19"/>
        </w:rPr>
      </w:pPr>
      <w:proofErr w:type="gramStart"/>
      <w:r w:rsidRPr="00A5491D">
        <w:rPr>
          <w:rFonts w:ascii="Arial" w:hAnsi="Arial" w:cs="Arial"/>
          <w:color w:val="000000" w:themeColor="text1"/>
          <w:sz w:val="19"/>
          <w:szCs w:val="19"/>
        </w:rPr>
        <w:t>»Con</w:t>
      </w:r>
      <w:proofErr w:type="gramEnd"/>
      <w:r w:rsidRPr="00A5491D">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w:t>
      </w:r>
      <w:proofErr w:type="spellStart"/>
      <w:r w:rsidRPr="00A5491D">
        <w:rPr>
          <w:rFonts w:ascii="Arial" w:hAnsi="Arial" w:cs="Arial"/>
          <w:color w:val="000000" w:themeColor="text1"/>
          <w:sz w:val="19"/>
          <w:szCs w:val="19"/>
        </w:rPr>
        <w:t>Secop</w:t>
      </w:r>
      <w:proofErr w:type="spellEnd"/>
      <w:r w:rsidRPr="00A5491D">
        <w:rPr>
          <w:rFonts w:ascii="Arial" w:hAnsi="Arial" w:cs="Arial"/>
          <w:color w:val="000000" w:themeColor="text1"/>
          <w:sz w:val="19"/>
          <w:szCs w:val="19"/>
        </w:rPr>
        <w:t xml:space="preserve">, el cual: </w:t>
      </w:r>
    </w:p>
    <w:p w14:paraId="42A1834D"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Fonts w:ascii="Arial" w:hAnsi="Arial" w:cs="Arial"/>
          <w:color w:val="000000" w:themeColor="text1"/>
          <w:sz w:val="19"/>
          <w:szCs w:val="19"/>
        </w:rPr>
        <w:t>[…]</w:t>
      </w:r>
    </w:p>
    <w:p w14:paraId="4936EF0C"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5B7D838A" w14:textId="77777777" w:rsidR="009E6DB3" w:rsidRPr="00A5491D" w:rsidRDefault="009E6DB3" w:rsidP="00AB4502">
      <w:pPr>
        <w:pStyle w:val="Textonotapie"/>
        <w:ind w:firstLine="708"/>
        <w:jc w:val="both"/>
        <w:rPr>
          <w:rFonts w:ascii="Arial" w:hAnsi="Arial" w:cs="Arial"/>
          <w:color w:val="000000" w:themeColor="text1"/>
          <w:sz w:val="19"/>
          <w:szCs w:val="19"/>
        </w:rPr>
      </w:pPr>
    </w:p>
  </w:footnote>
  <w:footnote w:id="3">
    <w:p w14:paraId="792C1959"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2BD571D4" w14:textId="77777777" w:rsidR="009E6DB3" w:rsidRPr="00A5491D" w:rsidRDefault="009E6DB3" w:rsidP="00AB4502">
      <w:pPr>
        <w:pStyle w:val="Textonotapie"/>
        <w:ind w:firstLine="708"/>
        <w:jc w:val="both"/>
        <w:rPr>
          <w:rFonts w:ascii="Arial" w:hAnsi="Arial" w:cs="Arial"/>
          <w:color w:val="000000" w:themeColor="text1"/>
          <w:sz w:val="19"/>
          <w:szCs w:val="19"/>
        </w:rPr>
      </w:pPr>
    </w:p>
  </w:footnote>
  <w:footnote w:id="4">
    <w:p w14:paraId="367CADA7"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681EBF20"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7E971832" w14:textId="77777777" w:rsidR="009E6DB3" w:rsidRPr="00A5491D" w:rsidRDefault="009E6DB3" w:rsidP="00AB4502">
      <w:pPr>
        <w:pStyle w:val="Textonotapie"/>
        <w:jc w:val="both"/>
        <w:rPr>
          <w:rFonts w:ascii="Arial" w:hAnsi="Arial" w:cs="Arial"/>
          <w:color w:val="000000" w:themeColor="text1"/>
          <w:sz w:val="19"/>
          <w:szCs w:val="19"/>
          <w:lang w:val="es-CO"/>
        </w:rPr>
      </w:pPr>
    </w:p>
  </w:footnote>
  <w:footnote w:id="5">
    <w:p w14:paraId="058833BF" w14:textId="77777777" w:rsidR="009E6DB3" w:rsidRPr="00A5491D" w:rsidRDefault="009E6DB3" w:rsidP="00AB4502">
      <w:pPr>
        <w:pStyle w:val="Textonotapie"/>
        <w:ind w:firstLine="709"/>
        <w:jc w:val="both"/>
        <w:rPr>
          <w:rFonts w:ascii="Arial" w:hAnsi="Arial" w:cs="Arial"/>
          <w:color w:val="000000" w:themeColor="text1"/>
          <w:sz w:val="19"/>
          <w:szCs w:val="19"/>
        </w:rPr>
      </w:pPr>
      <w:r w:rsidRPr="00A5491D">
        <w:rPr>
          <w:rFonts w:ascii="Arial" w:eastAsia="Times New Roman" w:hAnsi="Arial" w:cs="Arial"/>
          <w:color w:val="000000" w:themeColor="text1"/>
          <w:sz w:val="19"/>
          <w:szCs w:val="19"/>
          <w:vertAlign w:val="superscript"/>
          <w:lang w:eastAsia="es-ES"/>
        </w:rPr>
        <w:footnoteRef/>
      </w:r>
      <w:r w:rsidRPr="00A5491D">
        <w:rPr>
          <w:rFonts w:ascii="Arial" w:eastAsia="Times New Roman" w:hAnsi="Arial" w:cs="Arial"/>
          <w:color w:val="000000" w:themeColor="text1"/>
          <w:sz w:val="19"/>
          <w:szCs w:val="19"/>
          <w:vertAlign w:val="superscript"/>
          <w:lang w:eastAsia="es-ES"/>
        </w:rPr>
        <w:t xml:space="preserve"> </w:t>
      </w:r>
      <w:r w:rsidRPr="00A5491D">
        <w:rPr>
          <w:rFonts w:ascii="Arial" w:eastAsia="Times New Roman" w:hAnsi="Arial" w:cs="Arial"/>
          <w:color w:val="000000" w:themeColor="text1"/>
          <w:sz w:val="19"/>
          <w:szCs w:val="19"/>
          <w:lang w:eastAsia="es-ES"/>
        </w:rPr>
        <w:t>«</w:t>
      </w:r>
      <w:r w:rsidRPr="00A5491D">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5535EA59" w14:textId="77777777" w:rsidR="009E6DB3" w:rsidRPr="00A5491D" w:rsidRDefault="009E6DB3" w:rsidP="00AB4502">
      <w:pPr>
        <w:pStyle w:val="Textonotapie"/>
        <w:ind w:firstLine="709"/>
        <w:jc w:val="both"/>
        <w:rPr>
          <w:rFonts w:ascii="Arial" w:hAnsi="Arial" w:cs="Arial"/>
          <w:color w:val="000000" w:themeColor="text1"/>
          <w:sz w:val="19"/>
          <w:szCs w:val="19"/>
        </w:rPr>
      </w:pPr>
      <w:r w:rsidRPr="00A5491D">
        <w:rPr>
          <w:rFonts w:ascii="Arial" w:hAnsi="Arial" w:cs="Arial"/>
          <w:color w:val="000000" w:themeColor="text1"/>
          <w:sz w:val="19"/>
          <w:szCs w:val="19"/>
        </w:rPr>
        <w:t>[…]</w:t>
      </w:r>
    </w:p>
    <w:p w14:paraId="106C2882" w14:textId="77777777" w:rsidR="009E6DB3" w:rsidRPr="00A5491D" w:rsidRDefault="009E6DB3" w:rsidP="00AB4502">
      <w:pPr>
        <w:pStyle w:val="Textonotapie"/>
        <w:ind w:firstLine="709"/>
        <w:jc w:val="both"/>
        <w:rPr>
          <w:rFonts w:ascii="Arial" w:hAnsi="Arial" w:cs="Arial"/>
          <w:color w:val="000000" w:themeColor="text1"/>
          <w:sz w:val="19"/>
          <w:szCs w:val="19"/>
        </w:rPr>
      </w:pPr>
    </w:p>
    <w:p w14:paraId="205AC457" w14:textId="77777777" w:rsidR="009E6DB3" w:rsidRPr="00A5491D" w:rsidRDefault="009E6DB3" w:rsidP="00AB4502">
      <w:pPr>
        <w:pStyle w:val="Textonotapie"/>
        <w:ind w:firstLine="709"/>
        <w:jc w:val="both"/>
        <w:rPr>
          <w:rFonts w:ascii="Arial" w:eastAsia="Times New Roman" w:hAnsi="Arial" w:cs="Arial"/>
          <w:color w:val="000000" w:themeColor="text1"/>
          <w:sz w:val="19"/>
          <w:szCs w:val="19"/>
          <w:lang w:eastAsia="es-ES"/>
        </w:rPr>
      </w:pPr>
      <w:proofErr w:type="gramStart"/>
      <w:r w:rsidRPr="00A5491D">
        <w:rPr>
          <w:rFonts w:ascii="Arial" w:eastAsia="Times New Roman" w:hAnsi="Arial" w:cs="Arial"/>
          <w:color w:val="000000" w:themeColor="text1"/>
          <w:sz w:val="19"/>
          <w:szCs w:val="19"/>
          <w:lang w:eastAsia="es-ES"/>
        </w:rPr>
        <w:t>»Los</w:t>
      </w:r>
      <w:proofErr w:type="gramEnd"/>
      <w:r w:rsidRPr="00A5491D">
        <w:rPr>
          <w:rFonts w:ascii="Arial" w:eastAsia="Times New Roman" w:hAnsi="Arial" w:cs="Arial"/>
          <w:color w:val="000000" w:themeColor="text1"/>
          <w:sz w:val="19"/>
          <w:szCs w:val="19"/>
          <w:lang w:eastAsia="es-ES"/>
        </w:rPr>
        <w:t xml:space="preserve"> sujetos obligados que contratan con recursos públicos y recursos privados, deben publicar la información de su gestión contractual con cargo a recursos públicos en el Sistema Electrónico para la Contratación Pública [SECOP]».</w:t>
      </w:r>
    </w:p>
    <w:p w14:paraId="552B1186" w14:textId="77777777" w:rsidR="009E6DB3" w:rsidRPr="00A5491D" w:rsidRDefault="009E6DB3" w:rsidP="00AB4502">
      <w:pPr>
        <w:pStyle w:val="Textonotapie"/>
        <w:ind w:firstLine="709"/>
        <w:jc w:val="both"/>
        <w:rPr>
          <w:rFonts w:ascii="Arial" w:eastAsia="Times New Roman" w:hAnsi="Arial" w:cs="Arial"/>
          <w:color w:val="000000" w:themeColor="text1"/>
          <w:sz w:val="19"/>
          <w:szCs w:val="19"/>
          <w:lang w:eastAsia="es-ES"/>
        </w:rPr>
      </w:pPr>
    </w:p>
  </w:footnote>
  <w:footnote w:id="6">
    <w:p w14:paraId="704C2C4D"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Decreto 4170 de 2011: «Artículo 3. Funciones: La Agencia Nacional de Contratación Pública –Colombia Compra Eficiente– ejercerá las siguientes funciones:</w:t>
      </w:r>
    </w:p>
    <w:p w14:paraId="354C7205" w14:textId="4848A753" w:rsidR="009E6DB3" w:rsidRPr="00A5491D" w:rsidRDefault="009E6DB3" w:rsidP="00AB4502">
      <w:pPr>
        <w:pStyle w:val="Textonotapie"/>
        <w:ind w:firstLine="708"/>
        <w:jc w:val="both"/>
        <w:rPr>
          <w:rFonts w:ascii="Arial" w:hAnsi="Arial" w:cs="Arial"/>
          <w:color w:val="000000" w:themeColor="text1"/>
          <w:sz w:val="19"/>
          <w:szCs w:val="19"/>
        </w:rPr>
      </w:pPr>
      <w:r w:rsidRPr="00A5491D">
        <w:rPr>
          <w:rFonts w:ascii="Arial" w:hAnsi="Arial" w:cs="Arial"/>
          <w:color w:val="000000" w:themeColor="text1"/>
          <w:sz w:val="19"/>
          <w:szCs w:val="19"/>
        </w:rPr>
        <w:t>[...]</w:t>
      </w:r>
    </w:p>
    <w:p w14:paraId="2F9A5C73" w14:textId="77777777" w:rsidR="009E6DB3" w:rsidRPr="00A5491D" w:rsidRDefault="009E6DB3" w:rsidP="00AB4502">
      <w:pPr>
        <w:pStyle w:val="Textonotapie"/>
        <w:ind w:firstLine="708"/>
        <w:jc w:val="both"/>
        <w:rPr>
          <w:rFonts w:ascii="Arial" w:hAnsi="Arial" w:cs="Arial"/>
          <w:color w:val="000000" w:themeColor="text1"/>
          <w:sz w:val="19"/>
          <w:szCs w:val="19"/>
        </w:rPr>
      </w:pPr>
    </w:p>
    <w:p w14:paraId="50BF00F5" w14:textId="2647E7F5" w:rsidR="009E6DB3" w:rsidRPr="00A5491D" w:rsidRDefault="009E6DB3" w:rsidP="00AB4502">
      <w:pPr>
        <w:pStyle w:val="Textonotapie"/>
        <w:ind w:firstLine="708"/>
        <w:jc w:val="both"/>
        <w:rPr>
          <w:rFonts w:ascii="Arial" w:hAnsi="Arial" w:cs="Arial"/>
          <w:color w:val="000000" w:themeColor="text1"/>
          <w:sz w:val="19"/>
          <w:szCs w:val="19"/>
        </w:rPr>
      </w:pPr>
      <w:r w:rsidRPr="00A5491D">
        <w:rPr>
          <w:rFonts w:ascii="Arial" w:hAnsi="Arial" w:cs="Arial"/>
          <w:color w:val="000000" w:themeColor="text1"/>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4A949A5C" w14:textId="4FD97554" w:rsidR="009E6DB3" w:rsidRPr="00A5491D" w:rsidRDefault="009E6DB3" w:rsidP="00AB4502">
      <w:pPr>
        <w:pStyle w:val="Textonotapie"/>
        <w:ind w:firstLine="708"/>
        <w:jc w:val="both"/>
        <w:rPr>
          <w:rFonts w:ascii="Arial" w:hAnsi="Arial" w:cs="Arial"/>
          <w:color w:val="000000" w:themeColor="text1"/>
          <w:sz w:val="19"/>
          <w:szCs w:val="19"/>
        </w:rPr>
      </w:pPr>
      <w:r w:rsidRPr="00A5491D">
        <w:rPr>
          <w:rFonts w:ascii="Arial" w:hAnsi="Arial" w:cs="Arial"/>
          <w:color w:val="000000" w:themeColor="text1"/>
          <w:sz w:val="19"/>
          <w:szCs w:val="19"/>
        </w:rPr>
        <w:t>[...]».</w:t>
      </w:r>
    </w:p>
  </w:footnote>
  <w:footnote w:id="7">
    <w:p w14:paraId="058BA959"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Consejo de Estado. Sección Tercera. Subsección C. Auto del 14 de agosto de 2017. </w:t>
      </w:r>
      <w:proofErr w:type="spellStart"/>
      <w:r w:rsidRPr="00A5491D">
        <w:rPr>
          <w:rFonts w:ascii="Arial" w:hAnsi="Arial" w:cs="Arial"/>
          <w:color w:val="000000" w:themeColor="text1"/>
          <w:sz w:val="19"/>
          <w:szCs w:val="19"/>
        </w:rPr>
        <w:t>Exp</w:t>
      </w:r>
      <w:proofErr w:type="spellEnd"/>
      <w:r w:rsidRPr="00A5491D">
        <w:rPr>
          <w:rFonts w:ascii="Arial" w:hAnsi="Arial" w:cs="Arial"/>
          <w:color w:val="000000" w:themeColor="text1"/>
          <w:sz w:val="19"/>
          <w:szCs w:val="19"/>
        </w:rPr>
        <w:t xml:space="preserve">. 58.820. C.P. Jaime Orlando Santofimio Gamboa. </w:t>
      </w:r>
    </w:p>
    <w:p w14:paraId="59EC5E9F" w14:textId="77777777" w:rsidR="009E6DB3" w:rsidRPr="00A5491D" w:rsidRDefault="009E6DB3" w:rsidP="00AB4502">
      <w:pPr>
        <w:pStyle w:val="Textonotapie"/>
        <w:ind w:firstLine="708"/>
        <w:jc w:val="both"/>
        <w:rPr>
          <w:rFonts w:ascii="Arial" w:hAnsi="Arial" w:cs="Arial"/>
          <w:color w:val="000000" w:themeColor="text1"/>
          <w:sz w:val="19"/>
          <w:szCs w:val="19"/>
          <w:lang w:val="es-CO"/>
        </w:rPr>
      </w:pPr>
    </w:p>
  </w:footnote>
  <w:footnote w:id="8">
    <w:p w14:paraId="362819E1" w14:textId="4C4E9B92" w:rsidR="00FD7A8D" w:rsidRDefault="00FD7A8D" w:rsidP="00FD7A8D">
      <w:pPr>
        <w:pStyle w:val="Textonotapie"/>
        <w:ind w:firstLine="709"/>
        <w:jc w:val="both"/>
        <w:rPr>
          <w:rFonts w:ascii="Arial" w:hAnsi="Arial" w:cs="Arial"/>
          <w:sz w:val="19"/>
          <w:szCs w:val="19"/>
        </w:rPr>
      </w:pPr>
      <w:r w:rsidRPr="00FD7A8D">
        <w:rPr>
          <w:rStyle w:val="Refdenotaalpie"/>
          <w:rFonts w:ascii="Arial" w:hAnsi="Arial" w:cs="Arial"/>
          <w:sz w:val="19"/>
          <w:szCs w:val="19"/>
        </w:rPr>
        <w:footnoteRef/>
      </w:r>
      <w:r w:rsidRPr="00FD7A8D">
        <w:rPr>
          <w:rFonts w:ascii="Arial" w:hAnsi="Arial" w:cs="Arial"/>
          <w:sz w:val="19"/>
          <w:szCs w:val="19"/>
        </w:rPr>
        <w:t xml:space="preserve"> Ley 100 de 1993: Artículo 156 […] </w:t>
      </w:r>
      <w:r w:rsidRPr="00FD7A8D">
        <w:rPr>
          <w:rFonts w:ascii="Arial" w:hAnsi="Arial" w:cs="Arial"/>
          <w:sz w:val="19"/>
          <w:szCs w:val="19"/>
          <w:lang w:val="es-CO"/>
        </w:rPr>
        <w:t>i) Las Instituciones Prestadoras de Salud son entidades oficiales, mixtas, privadas, comunitarias y solidarias, organizadas para la prestación de los servicios de salud a los afiliados del Sistema General de Seguridad Social en Salud, dentro de las Entidades Promotoras de Salud o fuera de ellas. El Estado podrá establecer mecanismos para el fomento de estas organizaciones y abrir líneas de crédito para la organización de grupos de práctica profesional y para las Instituciones Prestadoras de Servicios de tipo comunitario y Solidario</w:t>
      </w:r>
      <w:r>
        <w:rPr>
          <w:rFonts w:ascii="Arial" w:hAnsi="Arial" w:cs="Arial"/>
          <w:sz w:val="19"/>
          <w:szCs w:val="19"/>
          <w:lang w:val="es-CO"/>
        </w:rPr>
        <w:t xml:space="preserve"> </w:t>
      </w:r>
      <w:r w:rsidRPr="00FD7A8D">
        <w:rPr>
          <w:rFonts w:ascii="Arial" w:hAnsi="Arial" w:cs="Arial"/>
          <w:sz w:val="19"/>
          <w:szCs w:val="19"/>
        </w:rPr>
        <w:t>[…]</w:t>
      </w:r>
      <w:r>
        <w:rPr>
          <w:rFonts w:ascii="Arial" w:hAnsi="Arial" w:cs="Arial"/>
          <w:sz w:val="19"/>
          <w:szCs w:val="19"/>
        </w:rPr>
        <w:t xml:space="preserve"> </w:t>
      </w:r>
    </w:p>
    <w:p w14:paraId="7EB31C75" w14:textId="77777777" w:rsidR="00AF1DCE" w:rsidRPr="00AF1DCE" w:rsidRDefault="00AF1DCE" w:rsidP="00AF1DCE">
      <w:pPr>
        <w:pStyle w:val="Textonotapie"/>
        <w:ind w:firstLine="709"/>
        <w:jc w:val="both"/>
        <w:rPr>
          <w:rFonts w:ascii="Arial" w:hAnsi="Arial" w:cs="Arial"/>
          <w:sz w:val="19"/>
          <w:szCs w:val="19"/>
        </w:rPr>
      </w:pPr>
    </w:p>
  </w:footnote>
  <w:footnote w:id="9">
    <w:p w14:paraId="3FEBA800" w14:textId="5804D43A" w:rsidR="00AF1DCE" w:rsidRDefault="00AF1DCE" w:rsidP="00AF1DCE">
      <w:pPr>
        <w:pStyle w:val="Textonotapie"/>
        <w:ind w:firstLine="709"/>
        <w:jc w:val="both"/>
      </w:pPr>
      <w:r w:rsidRPr="00AF1DCE">
        <w:rPr>
          <w:rStyle w:val="Refdenotaalpie"/>
          <w:rFonts w:ascii="Arial" w:hAnsi="Arial" w:cs="Arial"/>
          <w:sz w:val="19"/>
          <w:szCs w:val="19"/>
        </w:rPr>
        <w:footnoteRef/>
      </w:r>
      <w:r w:rsidRPr="00AF1DCE">
        <w:rPr>
          <w:rFonts w:ascii="Arial" w:hAnsi="Arial" w:cs="Arial"/>
          <w:sz w:val="19"/>
          <w:szCs w:val="19"/>
        </w:rPr>
        <w:t xml:space="preserve"> Corte Constitucional de Colombia. Sentencia C-064 del 30 de enero de 2008. </w:t>
      </w:r>
      <w:proofErr w:type="spellStart"/>
      <w:r w:rsidRPr="00AF1DCE">
        <w:rPr>
          <w:rFonts w:ascii="Arial" w:hAnsi="Arial" w:cs="Arial"/>
          <w:sz w:val="19"/>
          <w:szCs w:val="19"/>
        </w:rPr>
        <w:t>Exp</w:t>
      </w:r>
      <w:proofErr w:type="spellEnd"/>
      <w:r w:rsidRPr="00AF1DCE">
        <w:rPr>
          <w:rFonts w:ascii="Arial" w:hAnsi="Arial" w:cs="Arial"/>
          <w:sz w:val="19"/>
          <w:szCs w:val="19"/>
        </w:rPr>
        <w:t>. D-6854. M.P. Clara Inés Vargas Hernández</w:t>
      </w:r>
      <w:r>
        <w:t xml:space="preserve"> </w:t>
      </w:r>
    </w:p>
  </w:footnote>
  <w:footnote w:id="10">
    <w:p w14:paraId="730A9F87" w14:textId="52EBC793" w:rsidR="00C8132A" w:rsidRPr="00C8132A" w:rsidRDefault="00C8132A" w:rsidP="00C8132A">
      <w:pPr>
        <w:pStyle w:val="Textonotapie"/>
        <w:ind w:firstLine="709"/>
        <w:jc w:val="both"/>
        <w:rPr>
          <w:rFonts w:ascii="Arial" w:hAnsi="Arial" w:cs="Arial"/>
          <w:sz w:val="19"/>
          <w:szCs w:val="19"/>
          <w:lang w:val="es-CO"/>
        </w:rPr>
      </w:pPr>
      <w:r>
        <w:rPr>
          <w:rStyle w:val="Refdenotaalpie"/>
        </w:rPr>
        <w:footnoteRef/>
      </w:r>
      <w:r>
        <w:t xml:space="preserve"> </w:t>
      </w:r>
      <w:r w:rsidRPr="00C8132A">
        <w:rPr>
          <w:rFonts w:ascii="Arial" w:hAnsi="Arial" w:cs="Arial"/>
          <w:sz w:val="19"/>
          <w:szCs w:val="19"/>
        </w:rPr>
        <w:t xml:space="preserve">Decreto 2681 de 1993: </w:t>
      </w:r>
      <w:r w:rsidRPr="00C8132A">
        <w:rPr>
          <w:rFonts w:ascii="Arial" w:hAnsi="Arial" w:cs="Arial"/>
          <w:color w:val="000000" w:themeColor="text1"/>
          <w:sz w:val="19"/>
          <w:szCs w:val="19"/>
        </w:rPr>
        <w:t>«</w:t>
      </w:r>
      <w:r w:rsidRPr="00C8132A">
        <w:rPr>
          <w:rFonts w:ascii="Arial" w:hAnsi="Arial" w:cs="Arial"/>
          <w:sz w:val="19"/>
          <w:szCs w:val="19"/>
        </w:rPr>
        <w:t xml:space="preserve">Artículo 7 Contratos de empréstito: </w:t>
      </w:r>
      <w:r w:rsidRPr="00C8132A">
        <w:rPr>
          <w:rFonts w:ascii="Arial" w:hAnsi="Arial" w:cs="Arial"/>
          <w:sz w:val="19"/>
          <w:szCs w:val="19"/>
          <w:lang w:val="es-CO"/>
        </w:rPr>
        <w:t>Son contratos de empréstito los que tienen por objeto proveer a la entidad estatal contratante de recursos en moneda nacional o extranjera con plazo para su pago. </w:t>
      </w:r>
    </w:p>
    <w:p w14:paraId="7996E8F6" w14:textId="77777777" w:rsidR="00C8132A" w:rsidRPr="00C8132A" w:rsidRDefault="00C8132A" w:rsidP="00C8132A">
      <w:pPr>
        <w:pStyle w:val="Textonotapie"/>
        <w:jc w:val="both"/>
        <w:rPr>
          <w:rFonts w:ascii="Arial" w:hAnsi="Arial" w:cs="Arial"/>
          <w:sz w:val="19"/>
          <w:szCs w:val="19"/>
          <w:lang w:val="es-CO"/>
        </w:rPr>
      </w:pPr>
      <w:r w:rsidRPr="00C8132A">
        <w:rPr>
          <w:rFonts w:ascii="Arial" w:hAnsi="Arial" w:cs="Arial"/>
          <w:sz w:val="19"/>
          <w:szCs w:val="19"/>
          <w:lang w:val="es-CO"/>
        </w:rPr>
        <w:t>  </w:t>
      </w:r>
    </w:p>
    <w:p w14:paraId="2D742D5D" w14:textId="6B55B27C" w:rsidR="00C8132A" w:rsidRPr="00C8132A" w:rsidRDefault="00C8132A" w:rsidP="00C8132A">
      <w:pPr>
        <w:pStyle w:val="Textonotapie"/>
        <w:ind w:firstLine="709"/>
        <w:jc w:val="both"/>
        <w:rPr>
          <w:rFonts w:ascii="Arial" w:hAnsi="Arial" w:cs="Arial"/>
          <w:sz w:val="19"/>
          <w:szCs w:val="19"/>
          <w:lang w:val="es-CO"/>
        </w:rPr>
      </w:pPr>
      <w:proofErr w:type="gramStart"/>
      <w:r w:rsidRPr="00C8132A">
        <w:rPr>
          <w:rFonts w:ascii="Arial" w:hAnsi="Arial" w:cs="Arial"/>
          <w:color w:val="000000" w:themeColor="text1"/>
          <w:sz w:val="19"/>
          <w:szCs w:val="19"/>
        </w:rPr>
        <w:t>»</w:t>
      </w:r>
      <w:r w:rsidRPr="00C8132A">
        <w:rPr>
          <w:rFonts w:ascii="Arial" w:hAnsi="Arial" w:cs="Arial"/>
          <w:sz w:val="19"/>
          <w:szCs w:val="19"/>
          <w:lang w:val="es-CO"/>
        </w:rPr>
        <w:t>Los</w:t>
      </w:r>
      <w:proofErr w:type="gramEnd"/>
      <w:r w:rsidRPr="00C8132A">
        <w:rPr>
          <w:rFonts w:ascii="Arial" w:hAnsi="Arial" w:cs="Arial"/>
          <w:sz w:val="19"/>
          <w:szCs w:val="19"/>
          <w:lang w:val="es-CO"/>
        </w:rPr>
        <w:t xml:space="preserve"> empréstitos se contratarán en forma directa, sin someterse al procedimiento de licitación o concurso de méritos. Su celebración se sujetará a lo dispuesto en los artículos siguientes. </w:t>
      </w:r>
    </w:p>
    <w:p w14:paraId="5CFD1656" w14:textId="77777777" w:rsidR="00C8132A" w:rsidRPr="00C8132A" w:rsidRDefault="00C8132A" w:rsidP="00C8132A">
      <w:pPr>
        <w:pStyle w:val="Textonotapie"/>
        <w:jc w:val="both"/>
        <w:rPr>
          <w:rFonts w:ascii="Arial" w:hAnsi="Arial" w:cs="Arial"/>
          <w:sz w:val="19"/>
          <w:szCs w:val="19"/>
          <w:lang w:val="es-CO"/>
        </w:rPr>
      </w:pPr>
      <w:r w:rsidRPr="00C8132A">
        <w:rPr>
          <w:rFonts w:ascii="Arial" w:hAnsi="Arial" w:cs="Arial"/>
          <w:sz w:val="19"/>
          <w:szCs w:val="19"/>
          <w:lang w:val="es-CO"/>
        </w:rPr>
        <w:t>  </w:t>
      </w:r>
    </w:p>
    <w:p w14:paraId="744EBB01" w14:textId="1218AB02" w:rsidR="00C8132A" w:rsidRPr="00C8132A" w:rsidRDefault="00C8132A" w:rsidP="00C8132A">
      <w:pPr>
        <w:pStyle w:val="Textonotapie"/>
        <w:ind w:firstLine="709"/>
        <w:jc w:val="both"/>
        <w:rPr>
          <w:rFonts w:ascii="Arial" w:hAnsi="Arial" w:cs="Arial"/>
          <w:sz w:val="19"/>
          <w:szCs w:val="19"/>
          <w:lang w:val="es-CO"/>
        </w:rPr>
      </w:pPr>
      <w:proofErr w:type="gramStart"/>
      <w:r w:rsidRPr="00C8132A">
        <w:rPr>
          <w:rFonts w:ascii="Arial" w:hAnsi="Arial" w:cs="Arial"/>
          <w:color w:val="000000" w:themeColor="text1"/>
          <w:sz w:val="19"/>
          <w:szCs w:val="19"/>
        </w:rPr>
        <w:t>»</w:t>
      </w:r>
      <w:r w:rsidRPr="00C8132A">
        <w:rPr>
          <w:rFonts w:ascii="Arial" w:hAnsi="Arial" w:cs="Arial"/>
          <w:sz w:val="19"/>
          <w:szCs w:val="19"/>
          <w:lang w:val="es-CO"/>
        </w:rPr>
        <w:t>Parágrafo</w:t>
      </w:r>
      <w:proofErr w:type="gramEnd"/>
      <w:r w:rsidRPr="00C8132A">
        <w:rPr>
          <w:rFonts w:ascii="Arial" w:hAnsi="Arial" w:cs="Arial"/>
          <w:sz w:val="19"/>
          <w:szCs w:val="19"/>
          <w:lang w:val="es-CO"/>
        </w:rPr>
        <w:t>. De conformidad con lo dispuesto en el parágrafo 2° del artículo 41 de la Ley 80 de 1993, los sobregiros están autorizados por vía general y no requerirán los conceptos allí mencionados</w:t>
      </w:r>
      <w:r w:rsidRPr="00C8132A">
        <w:rPr>
          <w:rFonts w:ascii="Arial" w:hAnsi="Arial" w:cs="Arial"/>
          <w:color w:val="000000" w:themeColor="text1"/>
          <w:sz w:val="19"/>
          <w:szCs w:val="19"/>
        </w:rPr>
        <w:t>»</w:t>
      </w:r>
    </w:p>
    <w:p w14:paraId="50248E41" w14:textId="0B69066F" w:rsidR="00C8132A" w:rsidRPr="00C8132A" w:rsidRDefault="00C8132A">
      <w:pPr>
        <w:pStyle w:val="Textonotapie"/>
        <w:rPr>
          <w:rFonts w:ascii="Arial" w:hAnsi="Arial" w:cs="Arial"/>
          <w:sz w:val="19"/>
          <w:szCs w:val="19"/>
        </w:rPr>
      </w:pPr>
    </w:p>
  </w:footnote>
  <w:footnote w:id="11">
    <w:p w14:paraId="489CC5C9" w14:textId="77777777" w:rsidR="00E82549" w:rsidRDefault="00E82549" w:rsidP="00E82549">
      <w:pPr>
        <w:pStyle w:val="Textocomentario"/>
        <w:ind w:firstLine="709"/>
        <w:jc w:val="both"/>
      </w:pPr>
      <w:r>
        <w:rPr>
          <w:rStyle w:val="Refdenotaalpie"/>
        </w:rPr>
        <w:footnoteRef/>
      </w:r>
      <w:r>
        <w:t xml:space="preserve"> </w:t>
      </w:r>
      <w:r w:rsidRPr="00E82549">
        <w:rPr>
          <w:rFonts w:ascii="Arial" w:hAnsi="Arial" w:cs="Arial"/>
          <w:sz w:val="19"/>
          <w:szCs w:val="19"/>
        </w:rPr>
        <w:t>Consejo de Estado. Sección Tercera Subsección A. Radicado No. 76001-23-31-000-1999-02622-01(24996) del 13 de febrero de 2013 Ponente: Mauricio Fajardo Gómez</w:t>
      </w:r>
    </w:p>
    <w:p w14:paraId="06DC58B4" w14:textId="415C8045" w:rsidR="00E82549" w:rsidRDefault="00E82549">
      <w:pPr>
        <w:pStyle w:val="Textonotapie"/>
      </w:pPr>
    </w:p>
  </w:footnote>
  <w:footnote w:id="12">
    <w:p w14:paraId="637579B8" w14:textId="3EA3D393" w:rsidR="00C32786" w:rsidRPr="0075145E" w:rsidRDefault="00C32786" w:rsidP="0075145E">
      <w:pPr>
        <w:pStyle w:val="Textonotapie"/>
        <w:ind w:firstLine="709"/>
        <w:jc w:val="both"/>
        <w:rPr>
          <w:rFonts w:ascii="Arial" w:eastAsia="Calibri" w:hAnsi="Arial" w:cs="Arial"/>
          <w:bCs/>
          <w:color w:val="000000" w:themeColor="text1"/>
          <w:sz w:val="19"/>
          <w:szCs w:val="19"/>
        </w:rPr>
      </w:pPr>
      <w:r>
        <w:rPr>
          <w:rStyle w:val="Refdenotaalpie"/>
        </w:rPr>
        <w:footnoteRef/>
      </w:r>
      <w:r>
        <w:t xml:space="preserve"> </w:t>
      </w:r>
      <w:r w:rsidRPr="00E82549">
        <w:rPr>
          <w:rFonts w:ascii="Arial" w:hAnsi="Arial" w:cs="Arial"/>
          <w:sz w:val="19"/>
          <w:szCs w:val="19"/>
        </w:rPr>
        <w:t xml:space="preserve">Decreto 2681 de 1993: </w:t>
      </w:r>
      <w:r w:rsidR="00A824F7" w:rsidRPr="00E82549">
        <w:rPr>
          <w:rFonts w:ascii="Arial" w:hAnsi="Arial" w:cs="Arial"/>
          <w:color w:val="000000" w:themeColor="text1"/>
          <w:sz w:val="19"/>
          <w:szCs w:val="19"/>
        </w:rPr>
        <w:t>«</w:t>
      </w:r>
      <w:r w:rsidRPr="0075145E">
        <w:rPr>
          <w:rFonts w:ascii="Arial" w:eastAsia="Calibri" w:hAnsi="Arial" w:cs="Arial"/>
          <w:bCs/>
          <w:color w:val="000000" w:themeColor="text1"/>
          <w:sz w:val="19"/>
          <w:szCs w:val="19"/>
        </w:rPr>
        <w:t xml:space="preserve">Artículo 30. Contratación directa y selección de contratistas. Las operaciones de crédito público, las operaciones asimiladas, las operaciones de manejo de la deuda y las conexas con las anteriores, se contratarán de forma directa, sin someterse al </w:t>
      </w:r>
      <w:r w:rsidR="007522A1" w:rsidRPr="007522A1">
        <w:rPr>
          <w:rFonts w:ascii="Arial" w:eastAsia="Calibri" w:hAnsi="Arial" w:cs="Arial"/>
          <w:bCs/>
          <w:color w:val="000000" w:themeColor="text1"/>
          <w:sz w:val="19"/>
          <w:szCs w:val="19"/>
        </w:rPr>
        <w:t>procedimiento</w:t>
      </w:r>
      <w:r w:rsidRPr="0075145E">
        <w:rPr>
          <w:rFonts w:ascii="Arial" w:eastAsia="Calibri" w:hAnsi="Arial" w:cs="Arial"/>
          <w:bCs/>
          <w:color w:val="000000" w:themeColor="text1"/>
          <w:sz w:val="19"/>
          <w:szCs w:val="19"/>
        </w:rPr>
        <w:t xml:space="preserve"> de licitación o concurso de méritos. </w:t>
      </w:r>
    </w:p>
    <w:p w14:paraId="6EBD6B45" w14:textId="072791CC" w:rsidR="00C32786" w:rsidRDefault="00A824F7" w:rsidP="00A824F7">
      <w:pPr>
        <w:pStyle w:val="Textonotapie"/>
        <w:ind w:firstLine="709"/>
        <w:jc w:val="both"/>
        <w:rPr>
          <w:rFonts w:ascii="Arial" w:hAnsi="Arial" w:cs="Arial"/>
          <w:color w:val="000000" w:themeColor="text1"/>
          <w:sz w:val="19"/>
          <w:szCs w:val="19"/>
        </w:rPr>
      </w:pPr>
      <w:proofErr w:type="gramStart"/>
      <w:r w:rsidRPr="00C8132A">
        <w:rPr>
          <w:rFonts w:ascii="Arial" w:hAnsi="Arial" w:cs="Arial"/>
          <w:color w:val="000000" w:themeColor="text1"/>
          <w:sz w:val="19"/>
          <w:szCs w:val="19"/>
        </w:rPr>
        <w:t>»</w:t>
      </w:r>
      <w:r w:rsidR="00C32786" w:rsidRPr="0075145E">
        <w:rPr>
          <w:rFonts w:ascii="Arial" w:eastAsia="Calibri" w:hAnsi="Arial" w:cs="Arial"/>
          <w:bCs/>
          <w:color w:val="000000" w:themeColor="text1"/>
          <w:sz w:val="19"/>
          <w:szCs w:val="19"/>
        </w:rPr>
        <w:t>Para</w:t>
      </w:r>
      <w:proofErr w:type="gramEnd"/>
      <w:r w:rsidR="00C32786" w:rsidRPr="0075145E">
        <w:rPr>
          <w:rFonts w:ascii="Arial" w:eastAsia="Calibri" w:hAnsi="Arial" w:cs="Arial"/>
          <w:bCs/>
          <w:color w:val="000000" w:themeColor="text1"/>
          <w:sz w:val="19"/>
          <w:szCs w:val="19"/>
        </w:rPr>
        <w:t xml:space="preserve"> la selección de los contratistas se aplicarán los principios de economía, transparencia y selección </w:t>
      </w:r>
      <w:r w:rsidRPr="0075145E">
        <w:rPr>
          <w:rFonts w:ascii="Arial" w:eastAsia="Calibri" w:hAnsi="Arial" w:cs="Arial"/>
          <w:bCs/>
          <w:color w:val="000000" w:themeColor="text1"/>
          <w:sz w:val="19"/>
          <w:szCs w:val="19"/>
        </w:rPr>
        <w:t>objetiva</w:t>
      </w:r>
      <w:r w:rsidR="00C32786" w:rsidRPr="0075145E">
        <w:rPr>
          <w:rFonts w:ascii="Arial" w:eastAsia="Calibri" w:hAnsi="Arial" w:cs="Arial"/>
          <w:bCs/>
          <w:color w:val="000000" w:themeColor="text1"/>
          <w:sz w:val="19"/>
          <w:szCs w:val="19"/>
        </w:rPr>
        <w:t xml:space="preserve"> contenidos en la Ley 80 de 1993, según lo dispuesto en el Capítulo en </w:t>
      </w:r>
      <w:r w:rsidRPr="0075145E">
        <w:rPr>
          <w:rFonts w:ascii="Arial" w:eastAsia="Calibri" w:hAnsi="Arial" w:cs="Arial"/>
          <w:bCs/>
          <w:color w:val="000000" w:themeColor="text1"/>
          <w:sz w:val="19"/>
          <w:szCs w:val="19"/>
        </w:rPr>
        <w:t xml:space="preserve">desarrollo de lo previsto en el parágrafo 2º del </w:t>
      </w:r>
      <w:proofErr w:type="spellStart"/>
      <w:r w:rsidRPr="0075145E">
        <w:rPr>
          <w:rFonts w:ascii="Arial" w:eastAsia="Calibri" w:hAnsi="Arial" w:cs="Arial"/>
          <w:bCs/>
          <w:color w:val="000000" w:themeColor="text1"/>
          <w:sz w:val="19"/>
          <w:szCs w:val="19"/>
        </w:rPr>
        <w:t>articulo</w:t>
      </w:r>
      <w:proofErr w:type="spellEnd"/>
      <w:r w:rsidRPr="0075145E">
        <w:rPr>
          <w:rFonts w:ascii="Arial" w:eastAsia="Calibri" w:hAnsi="Arial" w:cs="Arial"/>
          <w:bCs/>
          <w:color w:val="000000" w:themeColor="text1"/>
          <w:sz w:val="19"/>
          <w:szCs w:val="19"/>
        </w:rPr>
        <w:t xml:space="preserve"> 24 de la citada ley</w:t>
      </w:r>
      <w:r w:rsidRPr="00C8132A">
        <w:rPr>
          <w:rFonts w:ascii="Arial" w:hAnsi="Arial" w:cs="Arial"/>
          <w:color w:val="000000" w:themeColor="text1"/>
          <w:sz w:val="19"/>
          <w:szCs w:val="19"/>
        </w:rPr>
        <w:t>»</w:t>
      </w:r>
    </w:p>
    <w:p w14:paraId="1410F9A2" w14:textId="77777777" w:rsidR="00A3549C" w:rsidRPr="0075145E" w:rsidRDefault="00A3549C" w:rsidP="0075145E">
      <w:pPr>
        <w:pStyle w:val="Textonotapie"/>
        <w:ind w:firstLine="709"/>
        <w:jc w:val="both"/>
        <w:rPr>
          <w:sz w:val="19"/>
          <w:szCs w:val="19"/>
        </w:rPr>
      </w:pPr>
    </w:p>
  </w:footnote>
  <w:footnote w:id="13">
    <w:p w14:paraId="28155830" w14:textId="77777777" w:rsidR="009E6DB3" w:rsidRPr="00A5491D" w:rsidRDefault="009E6DB3" w:rsidP="00AB4502">
      <w:pPr>
        <w:pStyle w:val="Prrafodelista"/>
        <w:ind w:left="0" w:firstLine="708"/>
        <w:jc w:val="both"/>
        <w:rPr>
          <w:rFonts w:ascii="Arial" w:hAnsi="Arial" w:cs="Arial"/>
          <w:bCs/>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w:t>
      </w:r>
      <w:r w:rsidRPr="00A5491D">
        <w:rPr>
          <w:rFonts w:ascii="Arial" w:hAnsi="Arial" w:cs="Arial"/>
          <w:bCs/>
          <w:color w:val="000000" w:themeColor="text1"/>
          <w:sz w:val="19"/>
          <w:szCs w:val="19"/>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55E4E05C" w14:textId="77777777" w:rsidR="009E6DB3" w:rsidRPr="00A5491D" w:rsidRDefault="009E6DB3" w:rsidP="00AB4502">
      <w:pPr>
        <w:pStyle w:val="Textonotapie"/>
        <w:ind w:firstLine="708"/>
        <w:jc w:val="both"/>
        <w:rPr>
          <w:rFonts w:ascii="Arial" w:hAnsi="Arial" w:cs="Arial"/>
          <w:color w:val="000000" w:themeColor="text1"/>
          <w:sz w:val="19"/>
          <w:szCs w:val="19"/>
        </w:rPr>
      </w:pPr>
    </w:p>
  </w:footnote>
  <w:footnote w:id="14">
    <w:p w14:paraId="488008BB"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72DBC991" w14:textId="77777777" w:rsidR="009E6DB3" w:rsidRPr="00A5491D" w:rsidRDefault="009E6DB3" w:rsidP="00AB4502">
      <w:pPr>
        <w:pStyle w:val="Textonotapie"/>
        <w:ind w:firstLine="708"/>
        <w:jc w:val="both"/>
        <w:rPr>
          <w:rFonts w:ascii="Arial" w:eastAsia="Times New Roman" w:hAnsi="Arial" w:cs="Arial"/>
          <w:color w:val="000000" w:themeColor="text1"/>
          <w:sz w:val="19"/>
          <w:szCs w:val="19"/>
          <w:lang w:eastAsia="es-ES"/>
        </w:rPr>
      </w:pPr>
      <w:proofErr w:type="gramStart"/>
      <w:r w:rsidRPr="00A5491D">
        <w:rPr>
          <w:rFonts w:ascii="Arial" w:hAnsi="Arial" w:cs="Arial"/>
          <w:color w:val="000000" w:themeColor="text1"/>
          <w:sz w:val="19"/>
          <w:szCs w:val="19"/>
        </w:rPr>
        <w:t>»Así</w:t>
      </w:r>
      <w:proofErr w:type="gramEnd"/>
      <w:r w:rsidRPr="00A5491D">
        <w:rPr>
          <w:rFonts w:ascii="Arial" w:hAnsi="Arial" w:cs="Arial"/>
          <w:color w:val="000000" w:themeColor="text1"/>
          <w:sz w:val="19"/>
          <w:szCs w:val="19"/>
        </w:rPr>
        <w:t xml:space="preserve">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footnote>
  <w:footnote w:id="15">
    <w:p w14:paraId="74D0C57F"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083582DD" w14:textId="77777777" w:rsidR="009E6DB3" w:rsidRPr="00A5491D" w:rsidRDefault="009E6DB3" w:rsidP="00AB4502">
      <w:pPr>
        <w:pStyle w:val="Textonotapie"/>
        <w:ind w:firstLine="708"/>
        <w:jc w:val="both"/>
        <w:rPr>
          <w:rFonts w:ascii="Arial" w:hAnsi="Arial" w:cs="Arial"/>
          <w:color w:val="000000" w:themeColor="text1"/>
          <w:sz w:val="19"/>
          <w:szCs w:val="19"/>
        </w:rPr>
      </w:pPr>
    </w:p>
  </w:footnote>
  <w:footnote w:id="16">
    <w:p w14:paraId="07EA1727"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3A86F5DB" w14:textId="77777777" w:rsidR="009E6DB3" w:rsidRPr="00A5491D" w:rsidRDefault="009E6DB3" w:rsidP="00AB4502">
      <w:pPr>
        <w:pStyle w:val="Textonotapie"/>
        <w:ind w:firstLine="708"/>
        <w:jc w:val="both"/>
        <w:rPr>
          <w:rFonts w:ascii="Arial" w:hAnsi="Arial" w:cs="Arial"/>
          <w:color w:val="000000" w:themeColor="text1"/>
          <w:sz w:val="19"/>
          <w:szCs w:val="19"/>
        </w:rPr>
      </w:pPr>
    </w:p>
  </w:footnote>
  <w:footnote w:id="17">
    <w:p w14:paraId="66929F5C"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Decreto 103 de 2015: «Artículo 10. Publicación del Plan Anual de Adquisiciones. Los sujetos obligados que contratan con cargo a recursos públicos deben publicar en su página web y en el </w:t>
      </w:r>
      <w:proofErr w:type="spellStart"/>
      <w:r w:rsidRPr="00A5491D">
        <w:rPr>
          <w:rFonts w:ascii="Arial" w:hAnsi="Arial" w:cs="Arial"/>
          <w:color w:val="000000" w:themeColor="text1"/>
          <w:sz w:val="19"/>
          <w:szCs w:val="19"/>
        </w:rPr>
        <w:t>Secop</w:t>
      </w:r>
      <w:proofErr w:type="spellEnd"/>
      <w:r w:rsidRPr="00A5491D">
        <w:rPr>
          <w:rFonts w:ascii="Arial" w:hAnsi="Arial" w:cs="Arial"/>
          <w:color w:val="000000" w:themeColor="text1"/>
          <w:sz w:val="19"/>
          <w:szCs w:val="19"/>
        </w:rPr>
        <w:t xml:space="preserve"> el Plan Anual de Adquisiciones, de acuerdo con lo previsto en el artículo 74 de la Ley 1474 de 2011, el literal e) del artículo 9° de la Ley 1712 de 2014 y el Decreto 1510 de 2013, o el que lo modifique, sustituya o adicione.</w:t>
      </w:r>
    </w:p>
    <w:p w14:paraId="21F86D3B" w14:textId="77777777" w:rsidR="009E6DB3" w:rsidRPr="00A5491D" w:rsidRDefault="009E6DB3" w:rsidP="00AB4502">
      <w:pPr>
        <w:pStyle w:val="Textonotapie"/>
        <w:ind w:firstLine="708"/>
        <w:jc w:val="both"/>
        <w:rPr>
          <w:rFonts w:ascii="Arial" w:hAnsi="Arial" w:cs="Arial"/>
          <w:color w:val="000000" w:themeColor="text1"/>
          <w:sz w:val="19"/>
          <w:szCs w:val="19"/>
        </w:rPr>
      </w:pPr>
      <w:proofErr w:type="gramStart"/>
      <w:r w:rsidRPr="00A5491D">
        <w:rPr>
          <w:rFonts w:ascii="Arial" w:hAnsi="Arial" w:cs="Arial"/>
          <w:color w:val="000000" w:themeColor="text1"/>
          <w:sz w:val="19"/>
          <w:szCs w:val="19"/>
        </w:rPr>
        <w:t>»Los</w:t>
      </w:r>
      <w:proofErr w:type="gramEnd"/>
      <w:r w:rsidRPr="00A5491D">
        <w:rPr>
          <w:rFonts w:ascii="Arial" w:hAnsi="Arial" w:cs="Arial"/>
          <w:color w:val="000000" w:themeColor="text1"/>
          <w:sz w:val="19"/>
          <w:szCs w:val="19"/>
        </w:rPr>
        <w:t xml:space="preserve"> sujetos obligados que no contratan con cargo a recursos públicos no están obligados a publicar su Plan Anual de Adquisiciones.</w:t>
      </w:r>
    </w:p>
    <w:p w14:paraId="52833DFC" w14:textId="77777777" w:rsidR="009E6DB3" w:rsidRPr="00A5491D" w:rsidRDefault="009E6DB3" w:rsidP="00AB4502">
      <w:pPr>
        <w:pStyle w:val="Textonotapie"/>
        <w:ind w:firstLine="708"/>
        <w:jc w:val="both"/>
        <w:rPr>
          <w:rFonts w:ascii="Arial" w:hAnsi="Arial" w:cs="Arial"/>
          <w:color w:val="000000" w:themeColor="text1"/>
          <w:sz w:val="19"/>
          <w:szCs w:val="19"/>
        </w:rPr>
      </w:pPr>
      <w:proofErr w:type="gramStart"/>
      <w:r w:rsidRPr="00A5491D">
        <w:rPr>
          <w:rFonts w:ascii="Arial" w:hAnsi="Arial" w:cs="Arial"/>
          <w:color w:val="000000" w:themeColor="text1"/>
          <w:sz w:val="19"/>
          <w:szCs w:val="19"/>
        </w:rPr>
        <w:t>»Los</w:t>
      </w:r>
      <w:proofErr w:type="gramEnd"/>
      <w:r w:rsidRPr="00A5491D">
        <w:rPr>
          <w:rFonts w:ascii="Arial" w:hAnsi="Arial" w:cs="Arial"/>
          <w:color w:val="000000" w:themeColor="text1"/>
          <w:sz w:val="19"/>
          <w:szCs w:val="19"/>
        </w:rPr>
        <w:t xml:space="preserve"> sujetos obligados que contratan con cargo a recursos públicos y recursos privados, deben publicar en su página web y en el SECOP el Plan Anual de Adquisiciones para los recursos de carácter público que ejecutarán en el año.</w:t>
      </w:r>
    </w:p>
    <w:p w14:paraId="0FEDC650" w14:textId="77777777" w:rsidR="009E6DB3" w:rsidRPr="00A5491D" w:rsidRDefault="009E6DB3" w:rsidP="00AB4502">
      <w:pPr>
        <w:pStyle w:val="Textonotapie"/>
        <w:ind w:firstLine="708"/>
        <w:jc w:val="both"/>
        <w:rPr>
          <w:rFonts w:ascii="Arial" w:hAnsi="Arial" w:cs="Arial"/>
          <w:color w:val="000000" w:themeColor="text1"/>
          <w:sz w:val="19"/>
          <w:szCs w:val="19"/>
        </w:rPr>
      </w:pPr>
      <w:proofErr w:type="gramStart"/>
      <w:r w:rsidRPr="00A5491D">
        <w:rPr>
          <w:rFonts w:ascii="Arial" w:hAnsi="Arial" w:cs="Arial"/>
          <w:color w:val="000000" w:themeColor="text1"/>
          <w:sz w:val="19"/>
          <w:szCs w:val="19"/>
        </w:rPr>
        <w:t>»Se</w:t>
      </w:r>
      <w:proofErr w:type="gramEnd"/>
      <w:r w:rsidRPr="00A5491D">
        <w:rPr>
          <w:rFonts w:ascii="Arial" w:hAnsi="Arial" w:cs="Arial"/>
          <w:color w:val="000000" w:themeColor="text1"/>
          <w:sz w:val="19"/>
          <w:szCs w:val="19"/>
        </w:rPr>
        <w:t xml:space="preserve"> entenderá como definición de Plan Anual de Adquisiciones respecto a todos los sujetos obligados que contratan con recursos públicos, la prevista en el artículo 3° del Decreto 1510 de 2013, o el que lo modifique, sustituya o adicione».</w:t>
      </w:r>
    </w:p>
  </w:footnote>
  <w:footnote w:id="18">
    <w:p w14:paraId="600D0A77" w14:textId="23A96116"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En la Guía para la contratación con entidades privadas sin ánimo de lucro y de reconocida idoneidad, elaborada por Colombia Compra Eficiente, se dijo que el sistema de compra pública es «la estructura organizada para tomar decisiones de gasto público con el propósito de poner a disposición de las personas los bienes, obras y servicios a cargo de las Entidades Estatales, el cual está conformado por los actores del mercado, la regulación y los procedimientos aplicables al mercado y sus actores, las autoridades encargadas de aplicar tales regulaciones y procedimientos, los sistemas de información y las relaciones entre los actores, las autoridades y las Entidades Estatales». Esta noción fue acogida por esta entidad en el concepto de noviembre 19 de 2019, proferido en el radicado de salida 2201913000008597.</w:t>
      </w:r>
    </w:p>
  </w:footnote>
  <w:footnote w:id="19">
    <w:p w14:paraId="2FDDB5C4" w14:textId="33FE57E5"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3F7EA9EF" w14:textId="77777777" w:rsidR="009E6DB3" w:rsidRPr="00A5491D" w:rsidRDefault="009E6DB3" w:rsidP="00AB4502">
      <w:pPr>
        <w:pStyle w:val="Textonotapie"/>
        <w:ind w:firstLine="708"/>
        <w:jc w:val="both"/>
        <w:rPr>
          <w:rFonts w:ascii="Arial" w:hAnsi="Arial" w:cs="Arial"/>
          <w:color w:val="000000" w:themeColor="text1"/>
          <w:sz w:val="19"/>
          <w:szCs w:val="19"/>
        </w:rPr>
      </w:pPr>
    </w:p>
    <w:p w14:paraId="6792FDB6" w14:textId="77777777" w:rsidR="009E6DB3" w:rsidRPr="00A5491D" w:rsidRDefault="009E6DB3" w:rsidP="00AB4502">
      <w:pPr>
        <w:pStyle w:val="Textonotapie"/>
        <w:ind w:firstLine="708"/>
        <w:jc w:val="both"/>
        <w:rPr>
          <w:rFonts w:ascii="Arial" w:hAnsi="Arial" w:cs="Arial"/>
          <w:color w:val="000000" w:themeColor="text1"/>
          <w:sz w:val="19"/>
          <w:szCs w:val="19"/>
        </w:rPr>
      </w:pPr>
      <w:proofErr w:type="gramStart"/>
      <w:r w:rsidRPr="00A5491D">
        <w:rPr>
          <w:rFonts w:ascii="Arial" w:eastAsia="Calibri" w:hAnsi="Arial" w:cs="Arial"/>
          <w:color w:val="000000" w:themeColor="text1"/>
          <w:sz w:val="19"/>
          <w:szCs w:val="19"/>
        </w:rPr>
        <w:t>»</w:t>
      </w:r>
      <w:r w:rsidRPr="00A5491D">
        <w:rPr>
          <w:rFonts w:ascii="Arial" w:hAnsi="Arial" w:cs="Arial"/>
          <w:color w:val="000000" w:themeColor="text1"/>
          <w:sz w:val="19"/>
          <w:szCs w:val="19"/>
        </w:rPr>
        <w:t>En</w:t>
      </w:r>
      <w:proofErr w:type="gramEnd"/>
      <w:r w:rsidRPr="00A5491D">
        <w:rPr>
          <w:rFonts w:ascii="Arial" w:hAnsi="Arial" w:cs="Arial"/>
          <w:color w:val="000000" w:themeColor="text1"/>
          <w:sz w:val="19"/>
          <w:szCs w:val="19"/>
        </w:rPr>
        <w:t xml:space="preserve">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0D1C2356" w14:textId="77777777" w:rsidR="009E6DB3" w:rsidRPr="00A5491D" w:rsidRDefault="009E6DB3" w:rsidP="00AB4502">
      <w:pPr>
        <w:pStyle w:val="Textonotapie"/>
        <w:ind w:firstLine="708"/>
        <w:jc w:val="both"/>
        <w:rPr>
          <w:rFonts w:ascii="Arial" w:hAnsi="Arial" w:cs="Arial"/>
          <w:color w:val="000000" w:themeColor="text1"/>
          <w:sz w:val="19"/>
          <w:szCs w:val="19"/>
          <w:lang w:val="es-CO"/>
        </w:rPr>
      </w:pPr>
    </w:p>
  </w:footnote>
  <w:footnote w:id="20">
    <w:p w14:paraId="0B844328" w14:textId="77777777" w:rsidR="009E6DB3" w:rsidRPr="00A5491D" w:rsidRDefault="009E6DB3" w:rsidP="00AB4502">
      <w:pPr>
        <w:pStyle w:val="Textonotapie"/>
        <w:ind w:firstLine="709"/>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6C110FC0" w14:textId="77777777" w:rsidR="009E6DB3" w:rsidRPr="00A5491D" w:rsidRDefault="009E6DB3" w:rsidP="00AB4502">
      <w:pPr>
        <w:pStyle w:val="Textonotapie"/>
        <w:ind w:firstLine="709"/>
        <w:jc w:val="both"/>
        <w:rPr>
          <w:rFonts w:ascii="Arial" w:hAnsi="Arial" w:cs="Arial"/>
          <w:color w:val="000000" w:themeColor="text1"/>
          <w:sz w:val="19"/>
          <w:szCs w:val="19"/>
        </w:rPr>
      </w:pPr>
      <w:proofErr w:type="gramStart"/>
      <w:r w:rsidRPr="00A5491D">
        <w:rPr>
          <w:rFonts w:ascii="Arial" w:eastAsia="Calibri" w:hAnsi="Arial" w:cs="Arial"/>
          <w:color w:val="000000" w:themeColor="text1"/>
          <w:sz w:val="19"/>
          <w:szCs w:val="19"/>
        </w:rPr>
        <w:t>»</w:t>
      </w:r>
      <w:r w:rsidRPr="00A5491D">
        <w:rPr>
          <w:rFonts w:ascii="Arial" w:hAnsi="Arial" w:cs="Arial"/>
          <w:color w:val="000000" w:themeColor="text1"/>
          <w:sz w:val="19"/>
          <w:szCs w:val="19"/>
        </w:rPr>
        <w:t>La</w:t>
      </w:r>
      <w:proofErr w:type="gramEnd"/>
      <w:r w:rsidRPr="00A5491D">
        <w:rPr>
          <w:rFonts w:ascii="Arial" w:hAnsi="Arial" w:cs="Arial"/>
          <w:color w:val="000000" w:themeColor="text1"/>
          <w:sz w:val="19"/>
          <w:szCs w:val="19"/>
        </w:rPr>
        <w:t xml:space="preserve"> información registrada por las Entidades en el SECOP II y en la Tienda Virtual del Estado Colombiano, está disponible en tiempo real en razón a que las actuaciones del Proceso de Contratación tienen lugar electrónicamente a través de dichas plataformas transaccionales</w:t>
      </w:r>
      <w:r w:rsidRPr="00A5491D">
        <w:rPr>
          <w:rFonts w:ascii="Arial" w:eastAsia="Calibri" w:hAnsi="Arial" w:cs="Arial"/>
          <w:color w:val="000000" w:themeColor="text1"/>
          <w:sz w:val="19"/>
          <w:szCs w:val="19"/>
        </w:rPr>
        <w:t>»</w:t>
      </w:r>
      <w:r w:rsidRPr="00A5491D">
        <w:rPr>
          <w:rFonts w:ascii="Arial" w:hAnsi="Arial" w:cs="Arial"/>
          <w:color w:val="000000" w:themeColor="text1"/>
          <w:sz w:val="19"/>
          <w:szCs w:val="19"/>
        </w:rPr>
        <w:t xml:space="preserve">. </w:t>
      </w:r>
    </w:p>
    <w:p w14:paraId="659617C2" w14:textId="77777777" w:rsidR="009E6DB3" w:rsidRPr="00A5491D" w:rsidRDefault="009E6DB3" w:rsidP="00AB4502">
      <w:pPr>
        <w:pStyle w:val="Textonotapie"/>
        <w:ind w:firstLine="708"/>
        <w:jc w:val="both"/>
        <w:rPr>
          <w:rFonts w:ascii="Arial" w:hAnsi="Arial" w:cs="Arial"/>
          <w:color w:val="000000" w:themeColor="text1"/>
          <w:sz w:val="19"/>
          <w:szCs w:val="19"/>
        </w:rPr>
      </w:pPr>
      <w:proofErr w:type="gramStart"/>
      <w:r w:rsidRPr="00A5491D">
        <w:rPr>
          <w:rFonts w:ascii="Arial" w:eastAsia="Calibri" w:hAnsi="Arial" w:cs="Arial"/>
          <w:color w:val="000000" w:themeColor="text1"/>
          <w:sz w:val="19"/>
          <w:szCs w:val="19"/>
        </w:rPr>
        <w:t>»</w:t>
      </w:r>
      <w:r w:rsidRPr="00A5491D">
        <w:rPr>
          <w:rFonts w:ascii="Arial" w:hAnsi="Arial" w:cs="Arial"/>
          <w:color w:val="000000" w:themeColor="text1"/>
          <w:sz w:val="19"/>
          <w:szCs w:val="19"/>
        </w:rPr>
        <w:t>Con</w:t>
      </w:r>
      <w:proofErr w:type="gramEnd"/>
      <w:r w:rsidRPr="00A5491D">
        <w:rPr>
          <w:rFonts w:ascii="Arial" w:hAnsi="Arial" w:cs="Arial"/>
          <w:color w:val="000000" w:themeColor="text1"/>
          <w:sz w:val="19"/>
          <w:szCs w:val="19"/>
        </w:rPr>
        <w:t xml:space="preserve">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p w14:paraId="4A1A539B" w14:textId="77777777" w:rsidR="009E6DB3" w:rsidRPr="00A5491D" w:rsidRDefault="009E6DB3" w:rsidP="00AB4502">
      <w:pPr>
        <w:pStyle w:val="Textonotapie"/>
        <w:ind w:firstLine="708"/>
        <w:jc w:val="both"/>
        <w:rPr>
          <w:rFonts w:ascii="Arial" w:hAnsi="Arial" w:cs="Arial"/>
          <w:color w:val="000000" w:themeColor="text1"/>
          <w:sz w:val="19"/>
          <w:szCs w:val="19"/>
          <w:lang w:val="es-CO"/>
        </w:rPr>
      </w:pPr>
    </w:p>
  </w:footnote>
  <w:footnote w:id="21">
    <w:p w14:paraId="6F062AE3"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Corte Constitucional. Sentencia C- 083 del 1 de marzo de 1995. M.P. Carlos Gaviria Díaz.</w:t>
      </w:r>
    </w:p>
    <w:p w14:paraId="5AA82E8A" w14:textId="77777777" w:rsidR="009E6DB3" w:rsidRPr="00A5491D" w:rsidRDefault="009E6DB3" w:rsidP="00AB4502">
      <w:pPr>
        <w:pStyle w:val="Textonotapie"/>
        <w:ind w:firstLine="708"/>
        <w:jc w:val="both"/>
        <w:rPr>
          <w:rFonts w:ascii="Arial" w:hAnsi="Arial" w:cs="Arial"/>
          <w:color w:val="000000" w:themeColor="text1"/>
          <w:sz w:val="19"/>
          <w:szCs w:val="19"/>
          <w:lang w:val="es-CO"/>
        </w:rPr>
      </w:pPr>
    </w:p>
  </w:footnote>
  <w:footnote w:id="22">
    <w:p w14:paraId="010E4984"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1C26F737" w14:textId="77777777" w:rsidR="009E6DB3" w:rsidRPr="00A5491D" w:rsidRDefault="009E6DB3" w:rsidP="00AB4502">
      <w:pPr>
        <w:pStyle w:val="Textonotapie"/>
        <w:ind w:firstLine="708"/>
        <w:jc w:val="both"/>
        <w:rPr>
          <w:rFonts w:ascii="Arial" w:hAnsi="Arial" w:cs="Arial"/>
          <w:color w:val="000000" w:themeColor="text1"/>
          <w:sz w:val="19"/>
          <w:szCs w:val="19"/>
        </w:rPr>
      </w:pPr>
      <w:proofErr w:type="gramStart"/>
      <w:r w:rsidRPr="00A5491D">
        <w:rPr>
          <w:rFonts w:ascii="Arial" w:eastAsia="Calibri" w:hAnsi="Arial" w:cs="Arial"/>
          <w:color w:val="000000" w:themeColor="text1"/>
          <w:sz w:val="19"/>
          <w:szCs w:val="19"/>
        </w:rPr>
        <w:t>»</w:t>
      </w:r>
      <w:r w:rsidRPr="00A5491D">
        <w:rPr>
          <w:rFonts w:ascii="Arial" w:hAnsi="Arial" w:cs="Arial"/>
          <w:color w:val="000000" w:themeColor="text1"/>
          <w:sz w:val="19"/>
          <w:szCs w:val="19"/>
        </w:rPr>
        <w:t>La</w:t>
      </w:r>
      <w:proofErr w:type="gramEnd"/>
      <w:r w:rsidRPr="00A5491D">
        <w:rPr>
          <w:rFonts w:ascii="Arial" w:hAnsi="Arial" w:cs="Arial"/>
          <w:color w:val="000000" w:themeColor="text1"/>
          <w:sz w:val="19"/>
          <w:szCs w:val="19"/>
        </w:rPr>
        <w:t xml:space="preserve">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1DE6BD8B" w14:textId="77777777" w:rsidR="009E6DB3" w:rsidRPr="00A5491D" w:rsidRDefault="009E6DB3" w:rsidP="00AB4502">
      <w:pPr>
        <w:pStyle w:val="Textonotapie"/>
        <w:ind w:firstLine="708"/>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9E6DB3" w:rsidRDefault="009E6DB3">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700C045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7BC5E56"/>
    <w:multiLevelType w:val="hybridMultilevel"/>
    <w:tmpl w:val="2D80D0E0"/>
    <w:lvl w:ilvl="0" w:tplc="C2E44790">
      <w:start w:val="1"/>
      <w:numFmt w:val="lowerLetter"/>
      <w:lvlText w:val="%1)"/>
      <w:lvlJc w:val="left"/>
      <w:pPr>
        <w:ind w:left="1211" w:hanging="360"/>
      </w:pPr>
      <w:rPr>
        <w:rFonts w:hint="default"/>
        <w:b w:val="0"/>
        <w:bCs/>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 w15:restartNumberingAfterBreak="0">
    <w:nsid w:val="0AED4881"/>
    <w:multiLevelType w:val="hybridMultilevel"/>
    <w:tmpl w:val="9A16D9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0B90CDA"/>
    <w:multiLevelType w:val="hybridMultilevel"/>
    <w:tmpl w:val="F1A61CF0"/>
    <w:lvl w:ilvl="0" w:tplc="A7B2C88A">
      <w:start w:val="1"/>
      <w:numFmt w:val="lowerLetter"/>
      <w:lvlText w:val="%1)"/>
      <w:lvlJc w:val="left"/>
      <w:pPr>
        <w:ind w:left="1068" w:hanging="360"/>
      </w:pPr>
      <w:rPr>
        <w:rFonts w:eastAsiaTheme="minorHAnsi" w:hint="default"/>
        <w:b w:val="0"/>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68D924CF"/>
    <w:multiLevelType w:val="hybridMultilevel"/>
    <w:tmpl w:val="CA525106"/>
    <w:lvl w:ilvl="0" w:tplc="37DC636E">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4"/>
  </w:num>
  <w:num w:numId="2">
    <w:abstractNumId w:val="3"/>
  </w:num>
  <w:num w:numId="3">
    <w:abstractNumId w:val="5"/>
  </w:num>
  <w:num w:numId="4">
    <w:abstractNumId w:val="7"/>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 w:numId="9">
    <w:abstractNumId w:val="8"/>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5156"/>
    <w:rsid w:val="00012451"/>
    <w:rsid w:val="00015278"/>
    <w:rsid w:val="00016B91"/>
    <w:rsid w:val="000172BD"/>
    <w:rsid w:val="00020D7A"/>
    <w:rsid w:val="00023BA0"/>
    <w:rsid w:val="00025773"/>
    <w:rsid w:val="00034128"/>
    <w:rsid w:val="000362F9"/>
    <w:rsid w:val="00044911"/>
    <w:rsid w:val="000460C0"/>
    <w:rsid w:val="00050361"/>
    <w:rsid w:val="000556D4"/>
    <w:rsid w:val="00061980"/>
    <w:rsid w:val="00066BF6"/>
    <w:rsid w:val="0007204C"/>
    <w:rsid w:val="00076993"/>
    <w:rsid w:val="00084290"/>
    <w:rsid w:val="000920F0"/>
    <w:rsid w:val="00092640"/>
    <w:rsid w:val="000942EB"/>
    <w:rsid w:val="000A15EF"/>
    <w:rsid w:val="000A2885"/>
    <w:rsid w:val="000A46B2"/>
    <w:rsid w:val="000B103F"/>
    <w:rsid w:val="000B6017"/>
    <w:rsid w:val="000B70EA"/>
    <w:rsid w:val="000C0FE0"/>
    <w:rsid w:val="000C1BA0"/>
    <w:rsid w:val="000C1D18"/>
    <w:rsid w:val="000C2755"/>
    <w:rsid w:val="000C5863"/>
    <w:rsid w:val="000D09E9"/>
    <w:rsid w:val="000D7374"/>
    <w:rsid w:val="000E1934"/>
    <w:rsid w:val="000E5B7B"/>
    <w:rsid w:val="000E6189"/>
    <w:rsid w:val="000E6CFE"/>
    <w:rsid w:val="000F14E8"/>
    <w:rsid w:val="00101355"/>
    <w:rsid w:val="00103915"/>
    <w:rsid w:val="00111BBD"/>
    <w:rsid w:val="00122B23"/>
    <w:rsid w:val="00124620"/>
    <w:rsid w:val="00124702"/>
    <w:rsid w:val="001254E5"/>
    <w:rsid w:val="00132FCB"/>
    <w:rsid w:val="00133FB0"/>
    <w:rsid w:val="00137FFA"/>
    <w:rsid w:val="00142D60"/>
    <w:rsid w:val="00145514"/>
    <w:rsid w:val="0014668E"/>
    <w:rsid w:val="00146A7E"/>
    <w:rsid w:val="00151919"/>
    <w:rsid w:val="00155173"/>
    <w:rsid w:val="0015538A"/>
    <w:rsid w:val="00161EB6"/>
    <w:rsid w:val="001625B3"/>
    <w:rsid w:val="001715FA"/>
    <w:rsid w:val="00174ED6"/>
    <w:rsid w:val="00180AAD"/>
    <w:rsid w:val="00186221"/>
    <w:rsid w:val="00186461"/>
    <w:rsid w:val="00186A8A"/>
    <w:rsid w:val="001923FE"/>
    <w:rsid w:val="001928A4"/>
    <w:rsid w:val="00193089"/>
    <w:rsid w:val="00195DBB"/>
    <w:rsid w:val="0019620A"/>
    <w:rsid w:val="001A56A2"/>
    <w:rsid w:val="001A7B0C"/>
    <w:rsid w:val="001B2A19"/>
    <w:rsid w:val="001B3CE2"/>
    <w:rsid w:val="001C5231"/>
    <w:rsid w:val="001D7061"/>
    <w:rsid w:val="001E0C6C"/>
    <w:rsid w:val="001E24AB"/>
    <w:rsid w:val="001F0317"/>
    <w:rsid w:val="001F2C77"/>
    <w:rsid w:val="001F49B8"/>
    <w:rsid w:val="002040B0"/>
    <w:rsid w:val="002048B9"/>
    <w:rsid w:val="00207E01"/>
    <w:rsid w:val="00211860"/>
    <w:rsid w:val="00213199"/>
    <w:rsid w:val="00215228"/>
    <w:rsid w:val="0022745A"/>
    <w:rsid w:val="00231E5B"/>
    <w:rsid w:val="00234549"/>
    <w:rsid w:val="00234B84"/>
    <w:rsid w:val="0025328D"/>
    <w:rsid w:val="002611D5"/>
    <w:rsid w:val="002724BD"/>
    <w:rsid w:val="00273BED"/>
    <w:rsid w:val="00276488"/>
    <w:rsid w:val="00281F53"/>
    <w:rsid w:val="00282AC5"/>
    <w:rsid w:val="00293450"/>
    <w:rsid w:val="002A0E60"/>
    <w:rsid w:val="002A11B0"/>
    <w:rsid w:val="002A417A"/>
    <w:rsid w:val="002C4CB0"/>
    <w:rsid w:val="002D0C82"/>
    <w:rsid w:val="002D5447"/>
    <w:rsid w:val="002D68BF"/>
    <w:rsid w:val="002E0383"/>
    <w:rsid w:val="002E07CD"/>
    <w:rsid w:val="002E375C"/>
    <w:rsid w:val="002E46AB"/>
    <w:rsid w:val="002E5294"/>
    <w:rsid w:val="002E75EE"/>
    <w:rsid w:val="002E7C6A"/>
    <w:rsid w:val="002F2369"/>
    <w:rsid w:val="002F2D0B"/>
    <w:rsid w:val="002F6E51"/>
    <w:rsid w:val="0030098E"/>
    <w:rsid w:val="003033BA"/>
    <w:rsid w:val="00326A3E"/>
    <w:rsid w:val="003308BA"/>
    <w:rsid w:val="00331554"/>
    <w:rsid w:val="00342280"/>
    <w:rsid w:val="003462C7"/>
    <w:rsid w:val="0034680A"/>
    <w:rsid w:val="0035058C"/>
    <w:rsid w:val="00360EDD"/>
    <w:rsid w:val="00362A25"/>
    <w:rsid w:val="00370500"/>
    <w:rsid w:val="0037658D"/>
    <w:rsid w:val="00382B7C"/>
    <w:rsid w:val="00386456"/>
    <w:rsid w:val="003A581E"/>
    <w:rsid w:val="003B0003"/>
    <w:rsid w:val="003B27D1"/>
    <w:rsid w:val="003B2E60"/>
    <w:rsid w:val="003C173E"/>
    <w:rsid w:val="003C57ED"/>
    <w:rsid w:val="003D29C0"/>
    <w:rsid w:val="003D4B59"/>
    <w:rsid w:val="003E2A3E"/>
    <w:rsid w:val="003E550F"/>
    <w:rsid w:val="003E7BB5"/>
    <w:rsid w:val="003F3FB5"/>
    <w:rsid w:val="003F52AD"/>
    <w:rsid w:val="0040320B"/>
    <w:rsid w:val="00403F4E"/>
    <w:rsid w:val="00404075"/>
    <w:rsid w:val="004041DC"/>
    <w:rsid w:val="0040673C"/>
    <w:rsid w:val="004108AC"/>
    <w:rsid w:val="004115E9"/>
    <w:rsid w:val="004164A1"/>
    <w:rsid w:val="00420A12"/>
    <w:rsid w:val="00421649"/>
    <w:rsid w:val="00431FBF"/>
    <w:rsid w:val="00434F7E"/>
    <w:rsid w:val="00437459"/>
    <w:rsid w:val="004422D6"/>
    <w:rsid w:val="00452A18"/>
    <w:rsid w:val="00453E19"/>
    <w:rsid w:val="0046011E"/>
    <w:rsid w:val="00466E17"/>
    <w:rsid w:val="00474C49"/>
    <w:rsid w:val="0047556B"/>
    <w:rsid w:val="004755B2"/>
    <w:rsid w:val="00481A85"/>
    <w:rsid w:val="004A34D2"/>
    <w:rsid w:val="004A571C"/>
    <w:rsid w:val="004C13DD"/>
    <w:rsid w:val="004C14EB"/>
    <w:rsid w:val="004C1DEC"/>
    <w:rsid w:val="004C58AC"/>
    <w:rsid w:val="004D0366"/>
    <w:rsid w:val="004D04B3"/>
    <w:rsid w:val="004D0D78"/>
    <w:rsid w:val="004E146B"/>
    <w:rsid w:val="004E48EF"/>
    <w:rsid w:val="004E5E36"/>
    <w:rsid w:val="004F3A2F"/>
    <w:rsid w:val="005003FA"/>
    <w:rsid w:val="0051074C"/>
    <w:rsid w:val="0051365E"/>
    <w:rsid w:val="00513AF2"/>
    <w:rsid w:val="005150EE"/>
    <w:rsid w:val="005152EB"/>
    <w:rsid w:val="00523010"/>
    <w:rsid w:val="00527CAC"/>
    <w:rsid w:val="00533B32"/>
    <w:rsid w:val="005347D0"/>
    <w:rsid w:val="00541157"/>
    <w:rsid w:val="00541360"/>
    <w:rsid w:val="0054413A"/>
    <w:rsid w:val="005468F5"/>
    <w:rsid w:val="00551CE1"/>
    <w:rsid w:val="00553108"/>
    <w:rsid w:val="00554AF7"/>
    <w:rsid w:val="005564CA"/>
    <w:rsid w:val="00556F01"/>
    <w:rsid w:val="00560692"/>
    <w:rsid w:val="00561973"/>
    <w:rsid w:val="00567364"/>
    <w:rsid w:val="00580F7A"/>
    <w:rsid w:val="00581D03"/>
    <w:rsid w:val="00593FCA"/>
    <w:rsid w:val="005A04E7"/>
    <w:rsid w:val="005A5A27"/>
    <w:rsid w:val="005C1651"/>
    <w:rsid w:val="005C3080"/>
    <w:rsid w:val="005D02C1"/>
    <w:rsid w:val="005D114F"/>
    <w:rsid w:val="005D6B45"/>
    <w:rsid w:val="005E17F1"/>
    <w:rsid w:val="005E6643"/>
    <w:rsid w:val="005E7CD7"/>
    <w:rsid w:val="005F076A"/>
    <w:rsid w:val="005F3327"/>
    <w:rsid w:val="005F4E61"/>
    <w:rsid w:val="005F66FB"/>
    <w:rsid w:val="005F687B"/>
    <w:rsid w:val="00602DAA"/>
    <w:rsid w:val="00604A92"/>
    <w:rsid w:val="00612EFD"/>
    <w:rsid w:val="0061730D"/>
    <w:rsid w:val="0062279A"/>
    <w:rsid w:val="006316C6"/>
    <w:rsid w:val="0063488E"/>
    <w:rsid w:val="00642A35"/>
    <w:rsid w:val="0065129F"/>
    <w:rsid w:val="00652E6F"/>
    <w:rsid w:val="00655371"/>
    <w:rsid w:val="00662755"/>
    <w:rsid w:val="00662AA8"/>
    <w:rsid w:val="00666EB9"/>
    <w:rsid w:val="0067069B"/>
    <w:rsid w:val="006709A2"/>
    <w:rsid w:val="006808DB"/>
    <w:rsid w:val="006822ED"/>
    <w:rsid w:val="00690EA8"/>
    <w:rsid w:val="006956E7"/>
    <w:rsid w:val="00696A12"/>
    <w:rsid w:val="00697665"/>
    <w:rsid w:val="006A5E7E"/>
    <w:rsid w:val="006A7FD0"/>
    <w:rsid w:val="006B3828"/>
    <w:rsid w:val="006C22EC"/>
    <w:rsid w:val="006D3F5E"/>
    <w:rsid w:val="006D68A5"/>
    <w:rsid w:val="006D7687"/>
    <w:rsid w:val="006E04F9"/>
    <w:rsid w:val="006E0572"/>
    <w:rsid w:val="006E218C"/>
    <w:rsid w:val="006E2F73"/>
    <w:rsid w:val="00700B53"/>
    <w:rsid w:val="00705631"/>
    <w:rsid w:val="00730851"/>
    <w:rsid w:val="00730B9C"/>
    <w:rsid w:val="00732E20"/>
    <w:rsid w:val="0073536E"/>
    <w:rsid w:val="00742DD2"/>
    <w:rsid w:val="00743848"/>
    <w:rsid w:val="0074447C"/>
    <w:rsid w:val="0075145E"/>
    <w:rsid w:val="007522A1"/>
    <w:rsid w:val="0075647A"/>
    <w:rsid w:val="00757693"/>
    <w:rsid w:val="00762547"/>
    <w:rsid w:val="007634AD"/>
    <w:rsid w:val="00765580"/>
    <w:rsid w:val="00770A9F"/>
    <w:rsid w:val="00771676"/>
    <w:rsid w:val="00771868"/>
    <w:rsid w:val="00777704"/>
    <w:rsid w:val="0078122E"/>
    <w:rsid w:val="0078462A"/>
    <w:rsid w:val="00790CCE"/>
    <w:rsid w:val="007932A3"/>
    <w:rsid w:val="00795C9B"/>
    <w:rsid w:val="007A2433"/>
    <w:rsid w:val="007A2D91"/>
    <w:rsid w:val="007A3FFB"/>
    <w:rsid w:val="007A7968"/>
    <w:rsid w:val="007B0854"/>
    <w:rsid w:val="007B0F6A"/>
    <w:rsid w:val="007B2F1D"/>
    <w:rsid w:val="007B6A3C"/>
    <w:rsid w:val="007B7018"/>
    <w:rsid w:val="007C0C92"/>
    <w:rsid w:val="007D3004"/>
    <w:rsid w:val="007D375A"/>
    <w:rsid w:val="007E0A81"/>
    <w:rsid w:val="007E75F9"/>
    <w:rsid w:val="007F25A8"/>
    <w:rsid w:val="007F3C2B"/>
    <w:rsid w:val="007F62AA"/>
    <w:rsid w:val="007F72CB"/>
    <w:rsid w:val="00803115"/>
    <w:rsid w:val="00806381"/>
    <w:rsid w:val="00811577"/>
    <w:rsid w:val="00812B27"/>
    <w:rsid w:val="0081304C"/>
    <w:rsid w:val="00821EA2"/>
    <w:rsid w:val="00826CB5"/>
    <w:rsid w:val="0083119B"/>
    <w:rsid w:val="008337E4"/>
    <w:rsid w:val="00834B5D"/>
    <w:rsid w:val="00836EAB"/>
    <w:rsid w:val="0083703B"/>
    <w:rsid w:val="00845C0D"/>
    <w:rsid w:val="0085092D"/>
    <w:rsid w:val="00851E9A"/>
    <w:rsid w:val="0086284E"/>
    <w:rsid w:val="00880FA3"/>
    <w:rsid w:val="00881418"/>
    <w:rsid w:val="00882315"/>
    <w:rsid w:val="00884552"/>
    <w:rsid w:val="00897407"/>
    <w:rsid w:val="008A062A"/>
    <w:rsid w:val="008A1845"/>
    <w:rsid w:val="008A61A6"/>
    <w:rsid w:val="008A664D"/>
    <w:rsid w:val="008C0B90"/>
    <w:rsid w:val="008C4AF4"/>
    <w:rsid w:val="008D71F6"/>
    <w:rsid w:val="008E0D30"/>
    <w:rsid w:val="008E12EE"/>
    <w:rsid w:val="008E1C15"/>
    <w:rsid w:val="008E28A2"/>
    <w:rsid w:val="008E7495"/>
    <w:rsid w:val="008F7DB3"/>
    <w:rsid w:val="00902D31"/>
    <w:rsid w:val="009047C5"/>
    <w:rsid w:val="00912E23"/>
    <w:rsid w:val="00913B77"/>
    <w:rsid w:val="00914EB3"/>
    <w:rsid w:val="00915A80"/>
    <w:rsid w:val="0092177B"/>
    <w:rsid w:val="009311E9"/>
    <w:rsid w:val="00937202"/>
    <w:rsid w:val="00940A85"/>
    <w:rsid w:val="00950143"/>
    <w:rsid w:val="0095385A"/>
    <w:rsid w:val="00955A68"/>
    <w:rsid w:val="009575B9"/>
    <w:rsid w:val="009644A4"/>
    <w:rsid w:val="009654FC"/>
    <w:rsid w:val="00972DC1"/>
    <w:rsid w:val="009760A8"/>
    <w:rsid w:val="00980B43"/>
    <w:rsid w:val="00985200"/>
    <w:rsid w:val="00986E16"/>
    <w:rsid w:val="009B089E"/>
    <w:rsid w:val="009B16A3"/>
    <w:rsid w:val="009B376C"/>
    <w:rsid w:val="009B403D"/>
    <w:rsid w:val="009B6E17"/>
    <w:rsid w:val="009C131F"/>
    <w:rsid w:val="009C14B6"/>
    <w:rsid w:val="009C452A"/>
    <w:rsid w:val="009D3207"/>
    <w:rsid w:val="009E0C7E"/>
    <w:rsid w:val="009E0E46"/>
    <w:rsid w:val="009E1E26"/>
    <w:rsid w:val="009E2162"/>
    <w:rsid w:val="009E6DB3"/>
    <w:rsid w:val="00A05D8C"/>
    <w:rsid w:val="00A13CD2"/>
    <w:rsid w:val="00A17B66"/>
    <w:rsid w:val="00A20538"/>
    <w:rsid w:val="00A237E6"/>
    <w:rsid w:val="00A24560"/>
    <w:rsid w:val="00A2549D"/>
    <w:rsid w:val="00A30CD9"/>
    <w:rsid w:val="00A33957"/>
    <w:rsid w:val="00A34538"/>
    <w:rsid w:val="00A3549C"/>
    <w:rsid w:val="00A37D7D"/>
    <w:rsid w:val="00A44C5F"/>
    <w:rsid w:val="00A45772"/>
    <w:rsid w:val="00A47240"/>
    <w:rsid w:val="00A5491D"/>
    <w:rsid w:val="00A642BC"/>
    <w:rsid w:val="00A6602D"/>
    <w:rsid w:val="00A67203"/>
    <w:rsid w:val="00A824F7"/>
    <w:rsid w:val="00A86133"/>
    <w:rsid w:val="00A92252"/>
    <w:rsid w:val="00A931D2"/>
    <w:rsid w:val="00A93936"/>
    <w:rsid w:val="00AA223F"/>
    <w:rsid w:val="00AA442B"/>
    <w:rsid w:val="00AA5923"/>
    <w:rsid w:val="00AB4502"/>
    <w:rsid w:val="00AC12F3"/>
    <w:rsid w:val="00AC3EA8"/>
    <w:rsid w:val="00AC40BB"/>
    <w:rsid w:val="00AC4D63"/>
    <w:rsid w:val="00AC4FAA"/>
    <w:rsid w:val="00AC646F"/>
    <w:rsid w:val="00AC65DE"/>
    <w:rsid w:val="00AD64C4"/>
    <w:rsid w:val="00AD671A"/>
    <w:rsid w:val="00AF06F6"/>
    <w:rsid w:val="00AF154D"/>
    <w:rsid w:val="00AF1DCE"/>
    <w:rsid w:val="00B05013"/>
    <w:rsid w:val="00B0697D"/>
    <w:rsid w:val="00B1221C"/>
    <w:rsid w:val="00B13BC2"/>
    <w:rsid w:val="00B1784E"/>
    <w:rsid w:val="00B22E22"/>
    <w:rsid w:val="00B42EEC"/>
    <w:rsid w:val="00B50C49"/>
    <w:rsid w:val="00B525CB"/>
    <w:rsid w:val="00B55759"/>
    <w:rsid w:val="00B61B94"/>
    <w:rsid w:val="00B6306F"/>
    <w:rsid w:val="00B63CB2"/>
    <w:rsid w:val="00B63DAA"/>
    <w:rsid w:val="00B65DAE"/>
    <w:rsid w:val="00B74CE8"/>
    <w:rsid w:val="00B800CF"/>
    <w:rsid w:val="00B82B59"/>
    <w:rsid w:val="00B86E5D"/>
    <w:rsid w:val="00B91DB6"/>
    <w:rsid w:val="00B92A72"/>
    <w:rsid w:val="00B942F0"/>
    <w:rsid w:val="00B972B1"/>
    <w:rsid w:val="00BA23EF"/>
    <w:rsid w:val="00BA7E31"/>
    <w:rsid w:val="00BB0273"/>
    <w:rsid w:val="00BB2313"/>
    <w:rsid w:val="00BC229E"/>
    <w:rsid w:val="00BC586F"/>
    <w:rsid w:val="00BC600B"/>
    <w:rsid w:val="00BC6CB0"/>
    <w:rsid w:val="00BC7AAC"/>
    <w:rsid w:val="00BD247B"/>
    <w:rsid w:val="00BD2AA6"/>
    <w:rsid w:val="00BD2BBF"/>
    <w:rsid w:val="00BD78FE"/>
    <w:rsid w:val="00BD7CED"/>
    <w:rsid w:val="00BF077E"/>
    <w:rsid w:val="00BF6F66"/>
    <w:rsid w:val="00C0042B"/>
    <w:rsid w:val="00C120FB"/>
    <w:rsid w:val="00C2219E"/>
    <w:rsid w:val="00C305DF"/>
    <w:rsid w:val="00C32786"/>
    <w:rsid w:val="00C33C1B"/>
    <w:rsid w:val="00C3795F"/>
    <w:rsid w:val="00C44407"/>
    <w:rsid w:val="00C450A6"/>
    <w:rsid w:val="00C61AAE"/>
    <w:rsid w:val="00C66254"/>
    <w:rsid w:val="00C727E6"/>
    <w:rsid w:val="00C8132A"/>
    <w:rsid w:val="00C938AC"/>
    <w:rsid w:val="00C95CE7"/>
    <w:rsid w:val="00CA7C1E"/>
    <w:rsid w:val="00CC00CD"/>
    <w:rsid w:val="00CC20B8"/>
    <w:rsid w:val="00CC296B"/>
    <w:rsid w:val="00CC356E"/>
    <w:rsid w:val="00CD1683"/>
    <w:rsid w:val="00CD3357"/>
    <w:rsid w:val="00CD4E7D"/>
    <w:rsid w:val="00CE2F6A"/>
    <w:rsid w:val="00CE51AE"/>
    <w:rsid w:val="00CF0BE1"/>
    <w:rsid w:val="00CF428F"/>
    <w:rsid w:val="00CF7D4A"/>
    <w:rsid w:val="00D01AD2"/>
    <w:rsid w:val="00D04887"/>
    <w:rsid w:val="00D12475"/>
    <w:rsid w:val="00D125D8"/>
    <w:rsid w:val="00D12EF4"/>
    <w:rsid w:val="00D146A4"/>
    <w:rsid w:val="00D16E39"/>
    <w:rsid w:val="00D171B3"/>
    <w:rsid w:val="00D36C85"/>
    <w:rsid w:val="00D52D73"/>
    <w:rsid w:val="00D57FD3"/>
    <w:rsid w:val="00D60C9D"/>
    <w:rsid w:val="00D66920"/>
    <w:rsid w:val="00D72E9D"/>
    <w:rsid w:val="00D77376"/>
    <w:rsid w:val="00D82CE5"/>
    <w:rsid w:val="00DA5AB1"/>
    <w:rsid w:val="00DB187E"/>
    <w:rsid w:val="00DB200E"/>
    <w:rsid w:val="00DB211A"/>
    <w:rsid w:val="00DB441A"/>
    <w:rsid w:val="00DC2F65"/>
    <w:rsid w:val="00DC62E5"/>
    <w:rsid w:val="00DD49E3"/>
    <w:rsid w:val="00DD5D44"/>
    <w:rsid w:val="00DD735D"/>
    <w:rsid w:val="00DE2762"/>
    <w:rsid w:val="00DE2DF5"/>
    <w:rsid w:val="00DE3119"/>
    <w:rsid w:val="00DE5DFC"/>
    <w:rsid w:val="00DE7F05"/>
    <w:rsid w:val="00DF236B"/>
    <w:rsid w:val="00E03626"/>
    <w:rsid w:val="00E03788"/>
    <w:rsid w:val="00E069DD"/>
    <w:rsid w:val="00E108B5"/>
    <w:rsid w:val="00E12F0E"/>
    <w:rsid w:val="00E13AB8"/>
    <w:rsid w:val="00E15067"/>
    <w:rsid w:val="00E229B3"/>
    <w:rsid w:val="00E22B19"/>
    <w:rsid w:val="00E2441A"/>
    <w:rsid w:val="00E26AD9"/>
    <w:rsid w:val="00E27588"/>
    <w:rsid w:val="00E33900"/>
    <w:rsid w:val="00E33B62"/>
    <w:rsid w:val="00E40250"/>
    <w:rsid w:val="00E50C59"/>
    <w:rsid w:val="00E532B0"/>
    <w:rsid w:val="00E53EC3"/>
    <w:rsid w:val="00E65E97"/>
    <w:rsid w:val="00E72FB1"/>
    <w:rsid w:val="00E74FEA"/>
    <w:rsid w:val="00E818E7"/>
    <w:rsid w:val="00E81E25"/>
    <w:rsid w:val="00E82549"/>
    <w:rsid w:val="00E9406F"/>
    <w:rsid w:val="00E96BB0"/>
    <w:rsid w:val="00EA7BBF"/>
    <w:rsid w:val="00EB04DC"/>
    <w:rsid w:val="00EB3B91"/>
    <w:rsid w:val="00EC10A7"/>
    <w:rsid w:val="00EC228A"/>
    <w:rsid w:val="00EC3A65"/>
    <w:rsid w:val="00EC3ADA"/>
    <w:rsid w:val="00ED1997"/>
    <w:rsid w:val="00ED3EC1"/>
    <w:rsid w:val="00ED52F5"/>
    <w:rsid w:val="00EE0AFC"/>
    <w:rsid w:val="00EE237A"/>
    <w:rsid w:val="00EE4811"/>
    <w:rsid w:val="00EF0247"/>
    <w:rsid w:val="00EF5B9C"/>
    <w:rsid w:val="00EF7F78"/>
    <w:rsid w:val="00F011FE"/>
    <w:rsid w:val="00F10F3F"/>
    <w:rsid w:val="00F371F8"/>
    <w:rsid w:val="00F57877"/>
    <w:rsid w:val="00F62DD5"/>
    <w:rsid w:val="00F7146B"/>
    <w:rsid w:val="00F718AB"/>
    <w:rsid w:val="00F72936"/>
    <w:rsid w:val="00F80EF1"/>
    <w:rsid w:val="00F82435"/>
    <w:rsid w:val="00F84899"/>
    <w:rsid w:val="00F859F0"/>
    <w:rsid w:val="00F927F1"/>
    <w:rsid w:val="00F94EA0"/>
    <w:rsid w:val="00FA5B21"/>
    <w:rsid w:val="00FA5D0A"/>
    <w:rsid w:val="00FB0218"/>
    <w:rsid w:val="00FB6D4E"/>
    <w:rsid w:val="00FB710A"/>
    <w:rsid w:val="00FC16B2"/>
    <w:rsid w:val="00FD7A8D"/>
    <w:rsid w:val="00FE141E"/>
    <w:rsid w:val="00FE7FF8"/>
    <w:rsid w:val="00FF0FE0"/>
    <w:rsid w:val="00FF155F"/>
    <w:rsid w:val="00FF1B38"/>
    <w:rsid w:val="00FF2575"/>
    <w:rsid w:val="0504E6BD"/>
    <w:rsid w:val="0A7C509D"/>
    <w:rsid w:val="0CBEA6F0"/>
    <w:rsid w:val="17C4C82E"/>
    <w:rsid w:val="19B6D806"/>
    <w:rsid w:val="1A661CE4"/>
    <w:rsid w:val="246C82DC"/>
    <w:rsid w:val="24B35559"/>
    <w:rsid w:val="253E0B6F"/>
    <w:rsid w:val="25C6F863"/>
    <w:rsid w:val="3186CEAB"/>
    <w:rsid w:val="36C82DDA"/>
    <w:rsid w:val="37F138FB"/>
    <w:rsid w:val="3E505A5A"/>
    <w:rsid w:val="3EA824AD"/>
    <w:rsid w:val="416B940B"/>
    <w:rsid w:val="44298459"/>
    <w:rsid w:val="4B13C6A4"/>
    <w:rsid w:val="560732B0"/>
    <w:rsid w:val="5F8CD92A"/>
    <w:rsid w:val="61652E54"/>
    <w:rsid w:val="644485DF"/>
    <w:rsid w:val="68F6EB13"/>
    <w:rsid w:val="70A965E0"/>
    <w:rsid w:val="712F5987"/>
    <w:rsid w:val="71E2B0DE"/>
    <w:rsid w:val="7262778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DE2DF5"/>
    <w:rPr>
      <w:color w:val="605E5C"/>
      <w:shd w:val="clear" w:color="auto" w:fill="E1DFDD"/>
    </w:rPr>
  </w:style>
  <w:style w:type="paragraph" w:customStyle="1" w:styleId="Default">
    <w:name w:val="Default"/>
    <w:rsid w:val="00A5491D"/>
    <w:pPr>
      <w:autoSpaceDE w:val="0"/>
      <w:autoSpaceDN w:val="0"/>
      <w:adjustRightInd w:val="0"/>
      <w:spacing w:after="0" w:line="240" w:lineRule="auto"/>
    </w:pPr>
    <w:rPr>
      <w:rFonts w:ascii="Arial" w:hAnsi="Arial" w:cs="Arial"/>
      <w:color w:val="000000"/>
      <w:sz w:val="24"/>
      <w:szCs w:val="24"/>
    </w:rPr>
  </w:style>
  <w:style w:type="character" w:styleId="Textodelmarcadordeposicin">
    <w:name w:val="Placeholder Text"/>
    <w:basedOn w:val="Fuentedeprrafopredeter"/>
    <w:uiPriority w:val="99"/>
    <w:semiHidden/>
    <w:rsid w:val="00C3795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4226792">
      <w:bodyDiv w:val="1"/>
      <w:marLeft w:val="0"/>
      <w:marRight w:val="0"/>
      <w:marTop w:val="0"/>
      <w:marBottom w:val="0"/>
      <w:divBdr>
        <w:top w:val="none" w:sz="0" w:space="0" w:color="auto"/>
        <w:left w:val="none" w:sz="0" w:space="0" w:color="auto"/>
        <w:bottom w:val="none" w:sz="0" w:space="0" w:color="auto"/>
        <w:right w:val="none" w:sz="0" w:space="0" w:color="auto"/>
      </w:divBdr>
    </w:div>
    <w:div w:id="155459348">
      <w:bodyDiv w:val="1"/>
      <w:marLeft w:val="0"/>
      <w:marRight w:val="0"/>
      <w:marTop w:val="0"/>
      <w:marBottom w:val="0"/>
      <w:divBdr>
        <w:top w:val="none" w:sz="0" w:space="0" w:color="auto"/>
        <w:left w:val="none" w:sz="0" w:space="0" w:color="auto"/>
        <w:bottom w:val="none" w:sz="0" w:space="0" w:color="auto"/>
        <w:right w:val="none" w:sz="0" w:space="0" w:color="auto"/>
      </w:divBdr>
    </w:div>
    <w:div w:id="198205299">
      <w:bodyDiv w:val="1"/>
      <w:marLeft w:val="0"/>
      <w:marRight w:val="0"/>
      <w:marTop w:val="0"/>
      <w:marBottom w:val="0"/>
      <w:divBdr>
        <w:top w:val="none" w:sz="0" w:space="0" w:color="auto"/>
        <w:left w:val="none" w:sz="0" w:space="0" w:color="auto"/>
        <w:bottom w:val="none" w:sz="0" w:space="0" w:color="auto"/>
        <w:right w:val="none" w:sz="0" w:space="0" w:color="auto"/>
      </w:divBdr>
    </w:div>
    <w:div w:id="214120956">
      <w:bodyDiv w:val="1"/>
      <w:marLeft w:val="0"/>
      <w:marRight w:val="0"/>
      <w:marTop w:val="0"/>
      <w:marBottom w:val="0"/>
      <w:divBdr>
        <w:top w:val="none" w:sz="0" w:space="0" w:color="auto"/>
        <w:left w:val="none" w:sz="0" w:space="0" w:color="auto"/>
        <w:bottom w:val="none" w:sz="0" w:space="0" w:color="auto"/>
        <w:right w:val="none" w:sz="0" w:space="0" w:color="auto"/>
      </w:divBdr>
    </w:div>
    <w:div w:id="240071067">
      <w:bodyDiv w:val="1"/>
      <w:marLeft w:val="0"/>
      <w:marRight w:val="0"/>
      <w:marTop w:val="0"/>
      <w:marBottom w:val="0"/>
      <w:divBdr>
        <w:top w:val="none" w:sz="0" w:space="0" w:color="auto"/>
        <w:left w:val="none" w:sz="0" w:space="0" w:color="auto"/>
        <w:bottom w:val="none" w:sz="0" w:space="0" w:color="auto"/>
        <w:right w:val="none" w:sz="0" w:space="0" w:color="auto"/>
      </w:divBdr>
    </w:div>
    <w:div w:id="240602689">
      <w:bodyDiv w:val="1"/>
      <w:marLeft w:val="0"/>
      <w:marRight w:val="0"/>
      <w:marTop w:val="0"/>
      <w:marBottom w:val="0"/>
      <w:divBdr>
        <w:top w:val="none" w:sz="0" w:space="0" w:color="auto"/>
        <w:left w:val="none" w:sz="0" w:space="0" w:color="auto"/>
        <w:bottom w:val="none" w:sz="0" w:space="0" w:color="auto"/>
        <w:right w:val="none" w:sz="0" w:space="0" w:color="auto"/>
      </w:divBdr>
    </w:div>
    <w:div w:id="279067683">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93138389">
      <w:bodyDiv w:val="1"/>
      <w:marLeft w:val="0"/>
      <w:marRight w:val="0"/>
      <w:marTop w:val="0"/>
      <w:marBottom w:val="0"/>
      <w:divBdr>
        <w:top w:val="none" w:sz="0" w:space="0" w:color="auto"/>
        <w:left w:val="none" w:sz="0" w:space="0" w:color="auto"/>
        <w:bottom w:val="none" w:sz="0" w:space="0" w:color="auto"/>
        <w:right w:val="none" w:sz="0" w:space="0" w:color="auto"/>
      </w:divBdr>
    </w:div>
    <w:div w:id="1910731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6A7FD9A3-45AB-463E-A4F2-1EA97B18F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FAF9FE70-19D0-405F-B735-B8DA26F1501C}">
  <ds:schemaRefs>
    <ds:schemaRef ds:uri="http://schemas.openxmlformats.org/officeDocument/2006/bibliography"/>
  </ds:schemaRefs>
</ds:datastoreItem>
</file>

<file path=customXml/itemProps4.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26</Pages>
  <Words>9572</Words>
  <Characters>52648</Characters>
  <Application>Microsoft Office Word</Application>
  <DocSecurity>0</DocSecurity>
  <Lines>438</Lines>
  <Paragraphs>124</Paragraphs>
  <ScaleCrop>false</ScaleCrop>
  <Company/>
  <LinksUpToDate>false</LinksUpToDate>
  <CharactersWithSpaces>62096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Omar Mejía Olmos</dc:creator>
  <cp:lastModifiedBy>Carlos Mario Castrillón Endo</cp:lastModifiedBy>
  <cp:revision>2</cp:revision>
  <dcterms:created xsi:type="dcterms:W3CDTF">2020-08-19T19:43:00Z</dcterms:created>
  <dcterms:modified xsi:type="dcterms:W3CDTF">2020-08-19T19:43:00Z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