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FC07D3" w:rsidRDefault="00BE1E33" w:rsidP="00BE1E33">
      <w:pPr>
        <w:jc w:val="right"/>
        <w:rPr>
          <w:rFonts w:ascii="Arial" w:hAnsi="Arial" w:cs="Arial"/>
          <w:b/>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FC07D3">
        <w:rPr>
          <w:rFonts w:ascii="Arial" w:hAnsi="Arial" w:cs="Arial"/>
          <w:b/>
          <w:color w:val="000000" w:themeColor="text1"/>
          <w:sz w:val="16"/>
          <w:szCs w:val="16"/>
          <w:lang w:eastAsia="es-ES"/>
        </w:rPr>
        <w:t>CCE-DES-FM-17</w:t>
      </w:r>
    </w:p>
    <w:p w14:paraId="25784C1D" w14:textId="77777777" w:rsidR="00BE1E33" w:rsidRPr="006C15D5" w:rsidRDefault="00BE1E33" w:rsidP="00BE1E33">
      <w:pPr>
        <w:jc w:val="both"/>
        <w:rPr>
          <w:rFonts w:ascii="Arial" w:eastAsia="Calibri" w:hAnsi="Arial" w:cs="Arial"/>
          <w:b/>
          <w:color w:val="000000" w:themeColor="text1"/>
          <w:sz w:val="20"/>
          <w:szCs w:val="20"/>
        </w:rPr>
      </w:pPr>
    </w:p>
    <w:p w14:paraId="33BD1F25" w14:textId="1E241D17" w:rsidR="00BE1E33" w:rsidRPr="006C15D5" w:rsidRDefault="00FD386C" w:rsidP="00BE1E33">
      <w:pPr>
        <w:jc w:val="both"/>
        <w:rPr>
          <w:rFonts w:ascii="Arial" w:eastAsia="Calibri" w:hAnsi="Arial" w:cs="Arial"/>
          <w:b/>
          <w:color w:val="000000" w:themeColor="text1"/>
          <w:sz w:val="22"/>
        </w:rPr>
      </w:pPr>
      <w:bookmarkStart w:id="2" w:name="_Hlk43823457"/>
      <w:bookmarkStart w:id="3" w:name="_Hlk43657288"/>
      <w:r>
        <w:rPr>
          <w:rFonts w:ascii="Arial" w:eastAsia="Calibri" w:hAnsi="Arial" w:cs="Arial"/>
          <w:b/>
          <w:color w:val="000000" w:themeColor="text1"/>
          <w:sz w:val="22"/>
        </w:rPr>
        <w:t>CRONOGRAMA</w:t>
      </w:r>
      <w:bookmarkEnd w:id="2"/>
      <w:r w:rsidR="00BE1E33" w:rsidRPr="006C15D5">
        <w:rPr>
          <w:rFonts w:ascii="Arial" w:eastAsia="Calibri" w:hAnsi="Arial" w:cs="Arial"/>
          <w:b/>
          <w:color w:val="000000" w:themeColor="text1"/>
          <w:sz w:val="22"/>
        </w:rPr>
        <w:t xml:space="preserve"> </w:t>
      </w:r>
      <w:r w:rsidR="00897DAB">
        <w:rPr>
          <w:rFonts w:ascii="Arial" w:eastAsia="Calibri" w:hAnsi="Arial" w:cs="Arial"/>
          <w:b/>
          <w:color w:val="000000" w:themeColor="text1"/>
          <w:sz w:val="22"/>
        </w:rPr>
        <w:t>–</w:t>
      </w:r>
      <w:r w:rsidR="006E65C2">
        <w:rPr>
          <w:rFonts w:ascii="Arial" w:eastAsia="Calibri" w:hAnsi="Arial" w:cs="Arial"/>
          <w:b/>
          <w:color w:val="000000" w:themeColor="text1"/>
          <w:sz w:val="22"/>
        </w:rPr>
        <w:t xml:space="preserve"> </w:t>
      </w:r>
      <w:r>
        <w:rPr>
          <w:rFonts w:ascii="Arial" w:eastAsia="Calibri" w:hAnsi="Arial" w:cs="Arial"/>
          <w:b/>
          <w:color w:val="000000" w:themeColor="text1"/>
          <w:sz w:val="22"/>
        </w:rPr>
        <w:t>Definición</w:t>
      </w:r>
      <w:r w:rsidR="00DE3F87">
        <w:rPr>
          <w:rFonts w:ascii="Arial" w:eastAsia="Calibri" w:hAnsi="Arial" w:cs="Arial"/>
          <w:b/>
          <w:color w:val="000000" w:themeColor="text1"/>
          <w:sz w:val="22"/>
        </w:rPr>
        <w:t xml:space="preserve"> – </w:t>
      </w:r>
      <w:bookmarkEnd w:id="3"/>
      <w:r>
        <w:rPr>
          <w:rFonts w:ascii="Arial" w:eastAsia="Calibri" w:hAnsi="Arial" w:cs="Arial"/>
          <w:b/>
          <w:color w:val="000000" w:themeColor="text1"/>
          <w:sz w:val="22"/>
        </w:rPr>
        <w:t>Importancia</w:t>
      </w:r>
      <w:r w:rsidR="00DE3F87">
        <w:rPr>
          <w:rFonts w:ascii="Arial" w:eastAsia="Calibri" w:hAnsi="Arial" w:cs="Arial"/>
          <w:b/>
          <w:color w:val="000000" w:themeColor="text1"/>
          <w:sz w:val="22"/>
        </w:rPr>
        <w:t xml:space="preserve"> </w:t>
      </w:r>
    </w:p>
    <w:p w14:paraId="79609206" w14:textId="77777777" w:rsidR="00BE1E33" w:rsidRPr="006C15D5" w:rsidRDefault="00BE1E33" w:rsidP="00BE1E33">
      <w:pPr>
        <w:jc w:val="both"/>
        <w:rPr>
          <w:rFonts w:ascii="Arial" w:eastAsia="Calibri" w:hAnsi="Arial" w:cs="Arial"/>
          <w:color w:val="000000" w:themeColor="text1"/>
          <w:sz w:val="20"/>
          <w:szCs w:val="20"/>
        </w:rPr>
      </w:pPr>
    </w:p>
    <w:p w14:paraId="225A6D07" w14:textId="4D84EE3D" w:rsidR="00FD386C" w:rsidRPr="00FD386C" w:rsidRDefault="00FD386C" w:rsidP="00FD386C">
      <w:pPr>
        <w:spacing w:after="120"/>
        <w:jc w:val="both"/>
        <w:rPr>
          <w:rFonts w:ascii="Arial" w:eastAsia="Calibri" w:hAnsi="Arial" w:cs="Arial"/>
          <w:bCs/>
          <w:color w:val="000000" w:themeColor="text1"/>
          <w:sz w:val="20"/>
          <w:szCs w:val="20"/>
          <w:lang w:val="es-ES"/>
        </w:rPr>
      </w:pPr>
      <w:r w:rsidRPr="00FD386C">
        <w:rPr>
          <w:rFonts w:ascii="Arial" w:eastAsia="Calibri" w:hAnsi="Arial" w:cs="Arial"/>
          <w:bCs/>
          <w:color w:val="000000" w:themeColor="text1"/>
          <w:sz w:val="20"/>
          <w:szCs w:val="20"/>
          <w:lang w:val="es-ES"/>
        </w:rPr>
        <w:t xml:space="preserve">El diccionario de la Real Academia Española define el cronograma como un «Calendario de trabajo». Etimológicamente, deriva de las palabras griegas </w:t>
      </w:r>
      <w:r w:rsidRPr="00FD386C">
        <w:rPr>
          <w:rFonts w:ascii="Arial" w:eastAsia="Calibri" w:hAnsi="Arial" w:cs="Arial"/>
          <w:bCs/>
          <w:i/>
          <w:iCs/>
          <w:color w:val="000000" w:themeColor="text1"/>
          <w:sz w:val="20"/>
          <w:szCs w:val="20"/>
          <w:lang w:val="es-ES"/>
        </w:rPr>
        <w:t>chronos</w:t>
      </w:r>
      <w:r w:rsidRPr="00FD386C">
        <w:rPr>
          <w:rFonts w:ascii="Arial" w:eastAsia="Calibri" w:hAnsi="Arial" w:cs="Arial"/>
          <w:bCs/>
          <w:color w:val="000000" w:themeColor="text1"/>
          <w:sz w:val="20"/>
          <w:szCs w:val="20"/>
          <w:lang w:val="es-ES"/>
        </w:rPr>
        <w:t xml:space="preserve"> –tiempo– y </w:t>
      </w:r>
      <w:r w:rsidRPr="00FD386C">
        <w:rPr>
          <w:rFonts w:ascii="Arial" w:eastAsia="Calibri" w:hAnsi="Arial" w:cs="Arial"/>
          <w:bCs/>
          <w:i/>
          <w:iCs/>
          <w:color w:val="000000" w:themeColor="text1"/>
          <w:sz w:val="20"/>
          <w:szCs w:val="20"/>
          <w:lang w:val="es-ES"/>
        </w:rPr>
        <w:t>grama</w:t>
      </w:r>
      <w:r w:rsidRPr="00FD386C">
        <w:rPr>
          <w:rFonts w:ascii="Arial" w:eastAsia="Calibri" w:hAnsi="Arial" w:cs="Arial"/>
          <w:bCs/>
          <w:color w:val="000000" w:themeColor="text1"/>
          <w:sz w:val="20"/>
          <w:szCs w:val="20"/>
          <w:lang w:val="es-ES"/>
        </w:rPr>
        <w:t xml:space="preserve"> –mensaje escrito–, por lo cual implica una representación del tiempo, especialmente, aquel requerido para ejecutar una tarea. Aunque el artículo 28 del Código Civil dispone que las palabras de la ley se entenderán en su sentido natural y obvio, es decir, de acuerdo a su sentido general, la norma también dispone que «[…] cuando el legislador las haya definido expresamente para ciertas materias, se les dará en éstas su significado legal». Con fundamento en el aparte citado, es necesario sujetarse al artículo 2.2.1.1.1.3.1 del Decreto 1082 de 2015, pues define el cronograma como el «Documento en el cual la Entidad Estatal establece las fechas, horas y plazos para las actividades propias del Proceso de Contratación y el lugar en el que estas deben llevarse a cabo». </w:t>
      </w:r>
    </w:p>
    <w:p w14:paraId="08CEEA3E" w14:textId="7FB47C03" w:rsidR="00BE1E33" w:rsidRPr="006C15D5" w:rsidRDefault="00FD386C" w:rsidP="00FD386C">
      <w:pPr>
        <w:jc w:val="both"/>
        <w:rPr>
          <w:rFonts w:ascii="Arial" w:eastAsia="Calibri" w:hAnsi="Arial" w:cs="Arial"/>
          <w:bCs/>
          <w:color w:val="000000" w:themeColor="text1"/>
          <w:sz w:val="20"/>
          <w:szCs w:val="20"/>
        </w:rPr>
      </w:pPr>
      <w:r w:rsidRPr="00FD386C">
        <w:rPr>
          <w:rFonts w:ascii="Arial" w:eastAsia="Calibri" w:hAnsi="Arial" w:cs="Arial"/>
          <w:bCs/>
          <w:color w:val="000000" w:themeColor="text1"/>
          <w:sz w:val="20"/>
          <w:szCs w:val="20"/>
          <w:lang w:val="es-ES"/>
        </w:rPr>
        <w:t>El tiempo es una cuestión vital en los procedimientos de selección, ya que una contratación eficiente contribuye a la satisfacción oportuna del interés general y al cumplimiento de los fines del Estado. Conforme al principio de economía, «[…] en los pliegos de condiciones […] se señalarán términos preclusivos y perentorios para las diferentes etapas de la selección […]» –art. 25.1 de la Ley 80 de 1993– y «Los trámites se adelantarán con austeridad de tiempo, medios y gastos y se impedirán las dilaciones y los retardos en la ejecución del contrato» – art. 25.4 de la Ley 80 de 1993–. De acuerdo con la jurisprudencia, estos plazos tienen como propósito no mantener a los oferentes en una situación de indefinición a la espera de la voluntad administrativa; además, contribuyen a que los proponentes no dilaten los procedimientos de selección a través de actuaciones extemporáneas</w:t>
      </w:r>
      <w:r w:rsidR="001B5E36" w:rsidRPr="001B5E36">
        <w:rPr>
          <w:rFonts w:ascii="Arial" w:eastAsia="Calibri" w:hAnsi="Arial" w:cs="Arial"/>
          <w:bCs/>
          <w:color w:val="000000" w:themeColor="text1"/>
          <w:sz w:val="20"/>
          <w:szCs w:val="20"/>
        </w:rPr>
        <w:t>.</w:t>
      </w:r>
      <w:r w:rsidR="00DE3F87" w:rsidRPr="00DE3F87">
        <w:rPr>
          <w:rFonts w:ascii="Arial" w:eastAsia="Calibri" w:hAnsi="Arial" w:cs="Arial"/>
          <w:bCs/>
          <w:color w:val="000000" w:themeColor="text1"/>
          <w:sz w:val="20"/>
          <w:szCs w:val="20"/>
        </w:rPr>
        <w:t xml:space="preserve">  </w:t>
      </w:r>
    </w:p>
    <w:p w14:paraId="04FCFBF5" w14:textId="77777777" w:rsidR="00BE1E33" w:rsidRPr="006C15D5" w:rsidRDefault="00BE1E33" w:rsidP="00BE1E33">
      <w:pPr>
        <w:jc w:val="both"/>
        <w:rPr>
          <w:rFonts w:ascii="Arial" w:eastAsia="Calibri" w:hAnsi="Arial" w:cs="Arial"/>
          <w:b/>
          <w:color w:val="000000" w:themeColor="text1"/>
          <w:sz w:val="20"/>
          <w:szCs w:val="20"/>
        </w:rPr>
      </w:pPr>
    </w:p>
    <w:p w14:paraId="785A98A7" w14:textId="43FE0972" w:rsidR="00BE1E33" w:rsidRPr="006C15D5" w:rsidRDefault="00FD386C" w:rsidP="00BE1E33">
      <w:pPr>
        <w:jc w:val="both"/>
        <w:rPr>
          <w:rFonts w:ascii="Arial" w:eastAsia="Calibri" w:hAnsi="Arial" w:cs="Arial"/>
          <w:b/>
          <w:color w:val="000000" w:themeColor="text1"/>
          <w:sz w:val="22"/>
        </w:rPr>
      </w:pPr>
      <w:bookmarkStart w:id="4" w:name="_Hlk43823239"/>
      <w:bookmarkStart w:id="5" w:name="_Hlk43658371"/>
      <w:r>
        <w:rPr>
          <w:rFonts w:ascii="Arial" w:eastAsia="Calibri" w:hAnsi="Arial" w:cs="Arial"/>
          <w:b/>
          <w:color w:val="000000" w:themeColor="text1"/>
          <w:sz w:val="22"/>
        </w:rPr>
        <w:t xml:space="preserve">PLIEGO DEFINITIVO – </w:t>
      </w:r>
      <w:r w:rsidRPr="00FD386C">
        <w:rPr>
          <w:rFonts w:ascii="Arial" w:eastAsia="Calibri" w:hAnsi="Arial" w:cs="Arial"/>
          <w:b/>
          <w:color w:val="000000" w:themeColor="text1"/>
          <w:sz w:val="22"/>
        </w:rPr>
        <w:t>Cronograma</w:t>
      </w:r>
      <w:r w:rsidR="001B5E36" w:rsidRPr="001B5E36">
        <w:rPr>
          <w:rFonts w:ascii="Arial" w:eastAsia="Calibri" w:hAnsi="Arial" w:cs="Arial"/>
          <w:b/>
          <w:color w:val="000000" w:themeColor="text1"/>
          <w:sz w:val="22"/>
        </w:rPr>
        <w:t xml:space="preserve"> – </w:t>
      </w:r>
      <w:bookmarkStart w:id="6" w:name="_Hlk43823320"/>
      <w:r>
        <w:rPr>
          <w:rFonts w:ascii="Arial" w:eastAsia="Calibri" w:hAnsi="Arial" w:cs="Arial"/>
          <w:b/>
          <w:color w:val="000000" w:themeColor="text1"/>
          <w:sz w:val="22"/>
        </w:rPr>
        <w:t>Modificación – Adendas</w:t>
      </w:r>
      <w:bookmarkEnd w:id="4"/>
      <w:bookmarkEnd w:id="6"/>
    </w:p>
    <w:bookmarkEnd w:id="5"/>
    <w:p w14:paraId="469F36C7" w14:textId="77777777" w:rsidR="00BE1E33" w:rsidRPr="006C15D5" w:rsidRDefault="00BE1E33" w:rsidP="00BE1E33">
      <w:pPr>
        <w:jc w:val="both"/>
        <w:rPr>
          <w:rFonts w:ascii="Arial" w:eastAsia="Calibri" w:hAnsi="Arial" w:cs="Arial"/>
          <w:b/>
          <w:color w:val="000000" w:themeColor="text1"/>
          <w:sz w:val="20"/>
          <w:szCs w:val="20"/>
        </w:rPr>
      </w:pPr>
    </w:p>
    <w:p w14:paraId="4A17CCAC" w14:textId="12533B9E" w:rsidR="003459F3" w:rsidRPr="00FD386C" w:rsidRDefault="00FD386C" w:rsidP="00FC07D3">
      <w:pPr>
        <w:spacing w:after="120"/>
        <w:jc w:val="both"/>
        <w:rPr>
          <w:rFonts w:ascii="Arial" w:eastAsia="Calibri" w:hAnsi="Arial" w:cs="Arial"/>
          <w:color w:val="000000" w:themeColor="text1"/>
          <w:sz w:val="20"/>
          <w:szCs w:val="20"/>
        </w:rPr>
      </w:pPr>
      <w:r w:rsidRPr="00FD386C">
        <w:rPr>
          <w:rFonts w:ascii="Arial" w:eastAsia="Calibri" w:hAnsi="Arial" w:cs="Arial"/>
          <w:color w:val="000000" w:themeColor="text1"/>
          <w:sz w:val="20"/>
          <w:szCs w:val="20"/>
        </w:rPr>
        <w:t>En lo que respecta a la modificación del cronograma, es necesario distinguir entre las etapas previas y posteriores al cierre del proceso de selección. Para estas últimas, el artículo 2.2.1.1.2.2.1 del Decreto 1082 de 2015 dispone, en lo pertinente, que «La Entidad Estatal puede modificar los pliegos de condiciones a través de Adendas expedidas antes del vencimiento del plazo para presentar ofertas» y que «La Entidad Estatal puede expedir Adendas para modificar el Cronograma una vez vencido el término para la presentación de las ofertas y antes de la adjudicación del contrato».</w:t>
      </w:r>
      <w:r w:rsidR="003459F3">
        <w:rPr>
          <w:rFonts w:ascii="Arial" w:eastAsia="Calibri" w:hAnsi="Arial" w:cs="Arial"/>
          <w:color w:val="000000" w:themeColor="text1"/>
          <w:sz w:val="20"/>
          <w:szCs w:val="20"/>
        </w:rPr>
        <w:t xml:space="preserve"> </w:t>
      </w:r>
      <w:r w:rsidR="000466AC">
        <w:rPr>
          <w:rFonts w:ascii="Arial" w:eastAsia="Calibri" w:hAnsi="Arial" w:cs="Arial"/>
          <w:color w:val="000000" w:themeColor="text1"/>
          <w:sz w:val="20"/>
          <w:szCs w:val="20"/>
        </w:rPr>
        <w:t>[…]</w:t>
      </w:r>
    </w:p>
    <w:p w14:paraId="3657F636" w14:textId="4A0687D5" w:rsidR="0041784E" w:rsidRPr="000466AC" w:rsidRDefault="000466AC" w:rsidP="00FC07D3">
      <w:pPr>
        <w:spacing w:after="120"/>
        <w:jc w:val="both"/>
        <w:rPr>
          <w:rFonts w:ascii="Arial" w:eastAsia="Calibri" w:hAnsi="Arial" w:cs="Arial"/>
          <w:color w:val="000000" w:themeColor="text1"/>
          <w:sz w:val="20"/>
          <w:szCs w:val="20"/>
        </w:rPr>
      </w:pPr>
      <w:r>
        <w:rPr>
          <w:rFonts w:ascii="Arial" w:eastAsia="Calibri" w:hAnsi="Arial" w:cs="Arial"/>
          <w:bCs/>
          <w:color w:val="000000" w:themeColor="text1"/>
          <w:sz w:val="20"/>
          <w:szCs w:val="20"/>
          <w:lang w:val="es-ES"/>
        </w:rPr>
        <w:t xml:space="preserve">[…] </w:t>
      </w:r>
      <w:r w:rsidRPr="00FD386C">
        <w:rPr>
          <w:rFonts w:ascii="Arial" w:eastAsia="Calibri" w:hAnsi="Arial" w:cs="Arial"/>
          <w:bCs/>
          <w:color w:val="000000" w:themeColor="text1"/>
          <w:sz w:val="20"/>
          <w:szCs w:val="20"/>
        </w:rPr>
        <w:t xml:space="preserve">el artículo 2.2.1.1.2.2.1 del Decreto 1082 de 2015 se refiere a la modificación del </w:t>
      </w:r>
      <w:r w:rsidRPr="00FD386C">
        <w:rPr>
          <w:rFonts w:ascii="Arial" w:eastAsia="Calibri" w:hAnsi="Arial" w:cs="Arial"/>
          <w:bCs/>
          <w:i/>
          <w:iCs/>
          <w:color w:val="000000" w:themeColor="text1"/>
          <w:sz w:val="20"/>
          <w:szCs w:val="20"/>
        </w:rPr>
        <w:t>pliego definitivo</w:t>
      </w:r>
      <w:r w:rsidRPr="00FD386C">
        <w:rPr>
          <w:rFonts w:ascii="Arial" w:eastAsia="Calibri" w:hAnsi="Arial" w:cs="Arial"/>
          <w:bCs/>
          <w:color w:val="000000" w:themeColor="text1"/>
          <w:sz w:val="20"/>
          <w:szCs w:val="20"/>
        </w:rPr>
        <w:t xml:space="preserve">, esto es, aquel que se publica con el acto administrativo de apertura del procedimiento de selección, pues con él la entidad se obliga a recibir las propuestas y a evaluarlas, adjudicando el contrato salvo que finalice con la declaración de desierta. Por sustracción de materia, esta norma no aplica al contenido del </w:t>
      </w:r>
      <w:r w:rsidRPr="00FD386C">
        <w:rPr>
          <w:rFonts w:ascii="Arial" w:eastAsia="Calibri" w:hAnsi="Arial" w:cs="Arial"/>
          <w:bCs/>
          <w:i/>
          <w:iCs/>
          <w:color w:val="000000" w:themeColor="text1"/>
          <w:sz w:val="20"/>
          <w:szCs w:val="20"/>
        </w:rPr>
        <w:t>prepliego</w:t>
      </w:r>
      <w:r w:rsidRPr="00FD386C">
        <w:rPr>
          <w:rFonts w:ascii="Arial" w:eastAsia="Calibri" w:hAnsi="Arial" w:cs="Arial"/>
          <w:bCs/>
          <w:color w:val="000000" w:themeColor="text1"/>
          <w:sz w:val="20"/>
          <w:szCs w:val="20"/>
        </w:rPr>
        <w:t xml:space="preserve"> que se p</w:t>
      </w:r>
      <w:r w:rsidR="00B44C35">
        <w:rPr>
          <w:rFonts w:ascii="Arial" w:eastAsia="Calibri" w:hAnsi="Arial" w:cs="Arial"/>
          <w:bCs/>
          <w:color w:val="000000" w:themeColor="text1"/>
          <w:sz w:val="20"/>
          <w:szCs w:val="20"/>
        </w:rPr>
        <w:t>u</w:t>
      </w:r>
      <w:r w:rsidRPr="00FD386C">
        <w:rPr>
          <w:rFonts w:ascii="Arial" w:eastAsia="Calibri" w:hAnsi="Arial" w:cs="Arial"/>
          <w:bCs/>
          <w:color w:val="000000" w:themeColor="text1"/>
          <w:sz w:val="20"/>
          <w:szCs w:val="20"/>
        </w:rPr>
        <w:t>blica con el aviso de convocatoria y los estudios previos, ya que «La publicación de los proyectos de pliegos de condiciones o sus equivalentes no genera obligación para la entidad de dar apertura al proceso de selección» –art. 8, inc. 2, de la Ley 1150 de 2007–</w:t>
      </w:r>
      <w:r w:rsidR="00FD386C" w:rsidRPr="00FD386C">
        <w:rPr>
          <w:rFonts w:ascii="Arial" w:eastAsia="Calibri" w:hAnsi="Arial" w:cs="Arial"/>
          <w:color w:val="000000" w:themeColor="text1"/>
          <w:sz w:val="20"/>
          <w:szCs w:val="20"/>
        </w:rPr>
        <w:t>.</w:t>
      </w:r>
      <w:r w:rsidR="0041784E" w:rsidRPr="0041784E">
        <w:rPr>
          <w:rFonts w:ascii="Arial" w:eastAsia="Calibri" w:hAnsi="Arial" w:cs="Arial"/>
          <w:bCs/>
          <w:color w:val="000000" w:themeColor="text1"/>
          <w:sz w:val="20"/>
          <w:szCs w:val="20"/>
          <w:lang w:val="es-ES"/>
        </w:rPr>
        <w:t xml:space="preserve"> </w:t>
      </w:r>
    </w:p>
    <w:p w14:paraId="216D9623" w14:textId="04258C11" w:rsidR="00697A99" w:rsidRDefault="00697A99" w:rsidP="0041784E">
      <w:pPr>
        <w:jc w:val="both"/>
        <w:rPr>
          <w:rFonts w:ascii="Arial" w:eastAsia="Calibri" w:hAnsi="Arial" w:cs="Arial"/>
          <w:bCs/>
          <w:color w:val="000000" w:themeColor="text1"/>
          <w:sz w:val="20"/>
          <w:szCs w:val="20"/>
          <w:lang w:val="es-ES"/>
        </w:rPr>
      </w:pPr>
    </w:p>
    <w:p w14:paraId="5E64F711" w14:textId="28A49E83" w:rsidR="00697A99" w:rsidRDefault="009436DA" w:rsidP="00697A99">
      <w:pPr>
        <w:jc w:val="both"/>
        <w:rPr>
          <w:rFonts w:ascii="Arial" w:eastAsia="Calibri" w:hAnsi="Arial" w:cs="Arial"/>
          <w:b/>
          <w:color w:val="000000" w:themeColor="text1"/>
          <w:sz w:val="22"/>
        </w:rPr>
      </w:pPr>
      <w:r>
        <w:rPr>
          <w:rFonts w:ascii="Arial" w:eastAsia="Calibri" w:hAnsi="Arial" w:cs="Arial"/>
          <w:b/>
          <w:color w:val="000000" w:themeColor="text1"/>
          <w:sz w:val="22"/>
        </w:rPr>
        <w:t>PRE</w:t>
      </w:r>
      <w:r w:rsidR="003459F3">
        <w:rPr>
          <w:rFonts w:ascii="Arial" w:eastAsia="Calibri" w:hAnsi="Arial" w:cs="Arial"/>
          <w:b/>
          <w:color w:val="000000" w:themeColor="text1"/>
          <w:sz w:val="22"/>
        </w:rPr>
        <w:t>-</w:t>
      </w:r>
      <w:r>
        <w:rPr>
          <w:rFonts w:ascii="Arial" w:eastAsia="Calibri" w:hAnsi="Arial" w:cs="Arial"/>
          <w:b/>
          <w:color w:val="000000" w:themeColor="text1"/>
          <w:sz w:val="22"/>
        </w:rPr>
        <w:t>PLIEGO</w:t>
      </w:r>
      <w:r w:rsidR="003459F3">
        <w:rPr>
          <w:rFonts w:ascii="Arial" w:eastAsia="Calibri" w:hAnsi="Arial" w:cs="Arial"/>
          <w:b/>
          <w:color w:val="000000" w:themeColor="text1"/>
          <w:sz w:val="22"/>
        </w:rPr>
        <w:t xml:space="preserve"> DE CONDICIONES</w:t>
      </w:r>
      <w:r w:rsidR="00FD386C" w:rsidRPr="00FD386C">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 </w:t>
      </w:r>
      <w:r w:rsidR="00FD386C" w:rsidRPr="00FD386C">
        <w:rPr>
          <w:rFonts w:ascii="Arial" w:eastAsia="Calibri" w:hAnsi="Arial" w:cs="Arial"/>
          <w:b/>
          <w:color w:val="000000" w:themeColor="text1"/>
          <w:sz w:val="22"/>
        </w:rPr>
        <w:t>Adendas</w:t>
      </w:r>
      <w:r w:rsidR="00FD386C">
        <w:rPr>
          <w:rFonts w:ascii="Arial" w:eastAsia="Calibri" w:hAnsi="Arial" w:cs="Arial"/>
          <w:b/>
          <w:color w:val="000000" w:themeColor="text1"/>
          <w:sz w:val="22"/>
        </w:rPr>
        <w:t xml:space="preserve"> – </w:t>
      </w:r>
      <w:r>
        <w:rPr>
          <w:rFonts w:ascii="Arial" w:eastAsia="Calibri" w:hAnsi="Arial" w:cs="Arial"/>
          <w:b/>
          <w:color w:val="000000" w:themeColor="text1"/>
          <w:sz w:val="22"/>
        </w:rPr>
        <w:t>Etapas adicionales – Prohibición</w:t>
      </w:r>
      <w:r w:rsidR="00FD386C">
        <w:rPr>
          <w:rFonts w:ascii="Arial" w:eastAsia="Calibri" w:hAnsi="Arial" w:cs="Arial"/>
          <w:b/>
          <w:color w:val="000000" w:themeColor="text1"/>
          <w:sz w:val="22"/>
        </w:rPr>
        <w:t xml:space="preserve"> </w:t>
      </w:r>
    </w:p>
    <w:p w14:paraId="3547D555" w14:textId="77777777" w:rsidR="00697A99" w:rsidRPr="006C15D5" w:rsidRDefault="00697A99" w:rsidP="00697A99">
      <w:pPr>
        <w:jc w:val="both"/>
        <w:rPr>
          <w:rFonts w:ascii="Arial" w:eastAsia="Calibri" w:hAnsi="Arial" w:cs="Arial"/>
          <w:b/>
          <w:color w:val="000000" w:themeColor="text1"/>
          <w:sz w:val="20"/>
          <w:szCs w:val="20"/>
        </w:rPr>
      </w:pPr>
    </w:p>
    <w:p w14:paraId="5ED47003" w14:textId="77777777" w:rsidR="009436DA" w:rsidRPr="009436DA" w:rsidRDefault="009436DA" w:rsidP="009436DA">
      <w:pPr>
        <w:spacing w:after="120"/>
        <w:jc w:val="both"/>
        <w:rPr>
          <w:rFonts w:ascii="Arial" w:eastAsia="Calibri" w:hAnsi="Arial" w:cs="Arial"/>
          <w:bCs/>
          <w:color w:val="000000" w:themeColor="text1"/>
          <w:sz w:val="20"/>
          <w:szCs w:val="20"/>
        </w:rPr>
      </w:pPr>
      <w:r w:rsidRPr="009436DA">
        <w:rPr>
          <w:rFonts w:ascii="Arial" w:eastAsia="Calibri" w:hAnsi="Arial" w:cs="Arial"/>
          <w:bCs/>
          <w:color w:val="000000" w:themeColor="text1"/>
          <w:sz w:val="20"/>
          <w:szCs w:val="20"/>
        </w:rPr>
        <w:t xml:space="preserve">En principio, podría sostenerse que las entidades modifican los plazos de las etapas previas a la apertura del procedimiento de selección siempre que, a través del SECOP, informen a los interesados la intención de prorrogarlos. Pese al estrecho parecido con la adenda, esta comunicación no tendría un </w:t>
      </w:r>
      <w:r w:rsidRPr="009436DA">
        <w:rPr>
          <w:rFonts w:ascii="Arial" w:eastAsia="Calibri" w:hAnsi="Arial" w:cs="Arial"/>
          <w:bCs/>
          <w:i/>
          <w:iCs/>
          <w:color w:val="000000" w:themeColor="text1"/>
          <w:sz w:val="20"/>
          <w:szCs w:val="20"/>
        </w:rPr>
        <w:t>nomen iuris</w:t>
      </w:r>
      <w:r w:rsidRPr="009436DA">
        <w:rPr>
          <w:rFonts w:ascii="Arial" w:eastAsia="Calibri" w:hAnsi="Arial" w:cs="Arial"/>
          <w:bCs/>
          <w:color w:val="000000" w:themeColor="text1"/>
          <w:sz w:val="20"/>
          <w:szCs w:val="20"/>
        </w:rPr>
        <w:t xml:space="preserve"> definido por la ley, pero vincularía a la Administración y a los proponentes. Sin embargo, la Subdirección no comparte la posibilidad de modificar el </w:t>
      </w:r>
      <w:r w:rsidRPr="009436DA">
        <w:rPr>
          <w:rFonts w:ascii="Arial" w:eastAsia="Calibri" w:hAnsi="Arial" w:cs="Arial"/>
          <w:bCs/>
          <w:i/>
          <w:iCs/>
          <w:color w:val="000000" w:themeColor="text1"/>
          <w:sz w:val="20"/>
          <w:szCs w:val="20"/>
        </w:rPr>
        <w:t>prepliego</w:t>
      </w:r>
      <w:r w:rsidRPr="009436DA">
        <w:rPr>
          <w:rFonts w:ascii="Arial" w:eastAsia="Calibri" w:hAnsi="Arial" w:cs="Arial"/>
          <w:bCs/>
          <w:color w:val="000000" w:themeColor="text1"/>
          <w:sz w:val="20"/>
          <w:szCs w:val="20"/>
        </w:rPr>
        <w:t xml:space="preserve">, ya que el artículo 2.2.1.1.2.2.1 del Decreto 1082 de 2015 se refiere únicamente al </w:t>
      </w:r>
      <w:r w:rsidRPr="009436DA">
        <w:rPr>
          <w:rFonts w:ascii="Arial" w:eastAsia="Calibri" w:hAnsi="Arial" w:cs="Arial"/>
          <w:bCs/>
          <w:i/>
          <w:iCs/>
          <w:color w:val="000000" w:themeColor="text1"/>
          <w:sz w:val="20"/>
          <w:szCs w:val="20"/>
        </w:rPr>
        <w:t>pliego definitivo</w:t>
      </w:r>
      <w:r w:rsidRPr="009436DA">
        <w:rPr>
          <w:rFonts w:ascii="Arial" w:eastAsia="Calibri" w:hAnsi="Arial" w:cs="Arial"/>
          <w:bCs/>
          <w:color w:val="000000" w:themeColor="text1"/>
          <w:sz w:val="20"/>
          <w:szCs w:val="20"/>
        </w:rPr>
        <w:t xml:space="preserve">. Es decir, no es posible modificar aquel por sustracción de materia, especialmente, cuando el artículo 25.2 de la Ley </w:t>
      </w:r>
      <w:r w:rsidRPr="009436DA">
        <w:rPr>
          <w:rFonts w:ascii="Arial" w:eastAsia="Calibri" w:hAnsi="Arial" w:cs="Arial"/>
          <w:bCs/>
          <w:color w:val="000000" w:themeColor="text1"/>
          <w:sz w:val="20"/>
          <w:szCs w:val="20"/>
        </w:rPr>
        <w:lastRenderedPageBreak/>
        <w:t xml:space="preserve">80 de 1993 dispone que «Las normas de los procedimientos contractuales se interpretarán de tal manera que no den ocasión a seguir trámites distintos y adicionales a los expresamente previstos […]». </w:t>
      </w:r>
    </w:p>
    <w:p w14:paraId="74268C74" w14:textId="783CB67E" w:rsidR="004E0D21" w:rsidRPr="0049739C" w:rsidRDefault="000857BC" w:rsidP="005C5B7C">
      <w:pPr>
        <w:jc w:val="both"/>
        <w:rPr>
          <w:rFonts w:ascii="Arial" w:eastAsia="Calibri" w:hAnsi="Arial" w:cs="Arial"/>
          <w:color w:val="000000" w:themeColor="text1"/>
          <w:sz w:val="20"/>
          <w:szCs w:val="20"/>
        </w:rPr>
      </w:pPr>
      <w:r w:rsidRPr="000857BC">
        <w:rPr>
          <w:rFonts w:ascii="Arial" w:eastAsia="Calibri" w:hAnsi="Arial" w:cs="Arial"/>
          <w:bCs/>
          <w:color w:val="000000" w:themeColor="text1"/>
          <w:sz w:val="20"/>
          <w:szCs w:val="20"/>
        </w:rPr>
        <w:t xml:space="preserve">Conforme la norma citada en el párrafo precedente, la Agencia concluye que solo es posible modificar los plazos del procedimiento de selección contenidos en el pliego definitivo, razón por la cual –con independencia del </w:t>
      </w:r>
      <w:r w:rsidRPr="000857BC">
        <w:rPr>
          <w:rFonts w:ascii="Arial" w:eastAsia="Calibri" w:hAnsi="Arial" w:cs="Arial"/>
          <w:bCs/>
          <w:i/>
          <w:iCs/>
          <w:color w:val="000000" w:themeColor="text1"/>
          <w:sz w:val="20"/>
          <w:szCs w:val="20"/>
        </w:rPr>
        <w:t>nomen iuris</w:t>
      </w:r>
      <w:r w:rsidRPr="000857BC">
        <w:rPr>
          <w:rFonts w:ascii="Arial" w:eastAsia="Calibri" w:hAnsi="Arial" w:cs="Arial"/>
          <w:bCs/>
          <w:color w:val="000000" w:themeColor="text1"/>
          <w:sz w:val="20"/>
          <w:szCs w:val="20"/>
        </w:rPr>
        <w:t xml:space="preserve">– las adendas están prohibidas en el prepliego. Esta conclusión es razonable, ya que cuando se resuelven favorablemente las observaciones del proyecto de pliegos, los cambios se unifican en el </w:t>
      </w:r>
      <w:r w:rsidRPr="000857BC">
        <w:rPr>
          <w:rFonts w:ascii="Arial" w:eastAsia="Calibri" w:hAnsi="Arial" w:cs="Arial"/>
          <w:bCs/>
          <w:i/>
          <w:iCs/>
          <w:color w:val="000000" w:themeColor="text1"/>
          <w:sz w:val="20"/>
          <w:szCs w:val="20"/>
        </w:rPr>
        <w:t>pliego definitivo</w:t>
      </w:r>
      <w:r w:rsidR="004E0D21" w:rsidRPr="004E0D21">
        <w:rPr>
          <w:rFonts w:ascii="Arial" w:eastAsia="Calibri" w:hAnsi="Arial" w:cs="Arial"/>
          <w:bCs/>
          <w:color w:val="000000" w:themeColor="text1"/>
          <w:sz w:val="20"/>
          <w:szCs w:val="20"/>
        </w:rPr>
        <w:t>.</w:t>
      </w:r>
    </w:p>
    <w:p w14:paraId="37038558" w14:textId="7455F221" w:rsidR="00825FD3" w:rsidRPr="005C5B7C" w:rsidRDefault="00825FD3" w:rsidP="005C5B7C">
      <w:pPr>
        <w:jc w:val="both"/>
        <w:rPr>
          <w:rFonts w:ascii="Arial" w:eastAsia="Calibri" w:hAnsi="Arial" w:cs="Arial"/>
          <w:color w:val="000000" w:themeColor="text1"/>
          <w:sz w:val="22"/>
        </w:rPr>
      </w:pPr>
    </w:p>
    <w:p w14:paraId="2036CB1C" w14:textId="77777777" w:rsidR="005C5B7C" w:rsidRPr="005C5B7C" w:rsidRDefault="005C5B7C" w:rsidP="005C5B7C">
      <w:pPr>
        <w:jc w:val="both"/>
        <w:rPr>
          <w:rFonts w:ascii="Arial" w:eastAsia="Calibri" w:hAnsi="Arial" w:cs="Arial"/>
          <w:color w:val="000000" w:themeColor="text1"/>
          <w:sz w:val="22"/>
        </w:rPr>
      </w:pPr>
    </w:p>
    <w:p w14:paraId="6C2D1181" w14:textId="1497B95C" w:rsidR="00387D0F" w:rsidRDefault="00387D0F" w:rsidP="00387D0F">
      <w:pPr>
        <w:rPr>
          <w:rFonts w:ascii="Arial" w:hAnsi="Arial" w:cs="Arial"/>
          <w:b/>
          <w:sz w:val="22"/>
          <w:szCs w:val="20"/>
        </w:rPr>
      </w:pPr>
      <w:r w:rsidRPr="00387D0F">
        <w:rPr>
          <w:rFonts w:ascii="Arial" w:hAnsi="Arial" w:cs="Arial"/>
          <w:sz w:val="22"/>
          <w:szCs w:val="20"/>
        </w:rPr>
        <w:t xml:space="preserve">Bogotá D.C., </w:t>
      </w:r>
      <w:r w:rsidR="00C92692" w:rsidRPr="00C92692">
        <w:rPr>
          <w:rFonts w:ascii="Arial" w:hAnsi="Arial" w:cs="Arial"/>
          <w:b/>
          <w:sz w:val="22"/>
          <w:szCs w:val="20"/>
        </w:rPr>
        <w:t>30/06/2020 Hora 13:2:28s</w:t>
      </w:r>
    </w:p>
    <w:p w14:paraId="355C471E" w14:textId="77777777" w:rsidR="00387D0F" w:rsidRPr="00387D0F" w:rsidRDefault="00387D0F" w:rsidP="00387D0F">
      <w:pPr>
        <w:rPr>
          <w:rFonts w:ascii="Arial" w:hAnsi="Arial" w:cs="Arial"/>
          <w:b/>
          <w:sz w:val="22"/>
          <w:szCs w:val="20"/>
        </w:rPr>
      </w:pPr>
    </w:p>
    <w:p w14:paraId="18057FBF" w14:textId="34DBB830" w:rsidR="00387D0F" w:rsidRPr="00387D0F" w:rsidRDefault="00387D0F" w:rsidP="00387D0F">
      <w:pPr>
        <w:jc w:val="right"/>
        <w:rPr>
          <w:rFonts w:ascii="Arial" w:hAnsi="Arial" w:cs="Arial"/>
          <w:b/>
          <w:sz w:val="22"/>
          <w:szCs w:val="20"/>
        </w:rPr>
      </w:pPr>
      <w:r w:rsidRPr="00387D0F">
        <w:rPr>
          <w:rFonts w:ascii="Arial" w:hAnsi="Arial" w:cs="Arial"/>
          <w:b/>
          <w:sz w:val="22"/>
          <w:szCs w:val="20"/>
        </w:rPr>
        <w:t xml:space="preserve">N° Radicado: </w:t>
      </w:r>
      <w:r w:rsidR="00C92692" w:rsidRPr="00C92692">
        <w:rPr>
          <w:rFonts w:ascii="Arial" w:hAnsi="Arial" w:cs="Arial"/>
          <w:b/>
          <w:sz w:val="22"/>
          <w:szCs w:val="20"/>
        </w:rPr>
        <w:t>2202013000005534</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1C3EA56E"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0ADC5F9B" w14:textId="6C7014BC" w:rsidR="00766030" w:rsidRDefault="009E6225" w:rsidP="00BE1E33">
      <w:pPr>
        <w:rPr>
          <w:rFonts w:ascii="Arial" w:eastAsia="Calibri" w:hAnsi="Arial" w:cs="Arial"/>
          <w:b/>
          <w:color w:val="000000" w:themeColor="text1"/>
          <w:sz w:val="22"/>
        </w:rPr>
      </w:pPr>
      <w:r w:rsidRPr="009E6225">
        <w:rPr>
          <w:rFonts w:ascii="Arial" w:eastAsia="Calibri" w:hAnsi="Arial" w:cs="Arial"/>
          <w:b/>
          <w:color w:val="000000" w:themeColor="text1"/>
          <w:sz w:val="22"/>
        </w:rPr>
        <w:t>Darío Martínez</w:t>
      </w:r>
    </w:p>
    <w:p w14:paraId="095BF112" w14:textId="62D11679" w:rsidR="00BE1E33" w:rsidRPr="006C15D5" w:rsidRDefault="00146D5B" w:rsidP="00BE1E33">
      <w:pPr>
        <w:rPr>
          <w:rFonts w:ascii="Arial" w:eastAsia="Calibri" w:hAnsi="Arial" w:cs="Arial"/>
          <w:color w:val="000000" w:themeColor="text1"/>
          <w:sz w:val="22"/>
        </w:rPr>
      </w:pPr>
      <w:r>
        <w:rPr>
          <w:rFonts w:ascii="Arial" w:eastAsia="Calibri" w:hAnsi="Arial" w:cs="Arial"/>
          <w:color w:val="000000" w:themeColor="text1"/>
          <w:sz w:val="22"/>
        </w:rPr>
        <w:t>Tame</w:t>
      </w:r>
      <w:r w:rsidR="00BE1E33" w:rsidRPr="006C15D5">
        <w:rPr>
          <w:rFonts w:ascii="Arial" w:eastAsia="Calibri" w:hAnsi="Arial" w:cs="Arial"/>
          <w:color w:val="000000" w:themeColor="text1"/>
          <w:sz w:val="22"/>
        </w:rPr>
        <w:t xml:space="preserve">, </w:t>
      </w:r>
      <w:r>
        <w:rPr>
          <w:rFonts w:ascii="Arial" w:eastAsia="Calibri" w:hAnsi="Arial" w:cs="Arial"/>
          <w:color w:val="000000" w:themeColor="text1"/>
          <w:sz w:val="22"/>
        </w:rPr>
        <w:t>Arauca</w:t>
      </w:r>
    </w:p>
    <w:p w14:paraId="04EF8353" w14:textId="77777777" w:rsidR="00BE1E33" w:rsidRPr="006C15D5" w:rsidRDefault="00BE1E33" w:rsidP="00BE1E33">
      <w:pPr>
        <w:rPr>
          <w:rFonts w:ascii="Arial" w:eastAsia="Calibri" w:hAnsi="Arial" w:cs="Arial"/>
          <w:color w:val="000000" w:themeColor="text1"/>
          <w:sz w:val="22"/>
        </w:rPr>
      </w:pPr>
    </w:p>
    <w:p w14:paraId="738DBA53" w14:textId="77777777" w:rsidR="00BE1E33" w:rsidRPr="006C15D5" w:rsidRDefault="00BE1E33" w:rsidP="00BE1E33">
      <w:pPr>
        <w:rPr>
          <w:rFonts w:ascii="Arial" w:eastAsia="Calibri" w:hAnsi="Arial" w:cs="Arial"/>
          <w:color w:val="000000" w:themeColor="text1"/>
          <w:sz w:val="22"/>
        </w:rPr>
      </w:pPr>
    </w:p>
    <w:p w14:paraId="5CEA4ADF" w14:textId="39B66310"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CA51AC">
        <w:rPr>
          <w:rFonts w:ascii="Arial" w:eastAsia="Calibri" w:hAnsi="Arial" w:cs="Arial"/>
          <w:b/>
          <w:color w:val="000000" w:themeColor="text1"/>
          <w:sz w:val="22"/>
        </w:rPr>
        <w:t>3</w:t>
      </w:r>
      <w:r w:rsidR="00826793">
        <w:rPr>
          <w:rFonts w:ascii="Arial" w:eastAsia="Calibri" w:hAnsi="Arial" w:cs="Arial"/>
          <w:b/>
          <w:color w:val="000000" w:themeColor="text1"/>
          <w:sz w:val="22"/>
        </w:rPr>
        <w:t>71</w:t>
      </w:r>
      <w:r w:rsidRPr="006C15D5">
        <w:rPr>
          <w:rFonts w:ascii="Arial" w:eastAsia="Calibri" w:hAnsi="Arial" w:cs="Arial"/>
          <w:b/>
          <w:color w:val="000000" w:themeColor="text1"/>
          <w:sz w:val="22"/>
        </w:rPr>
        <w:t xml:space="preserve"> 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37A43F70" w:rsidR="00BE1E33" w:rsidRPr="006C15D5" w:rsidRDefault="000F1B34">
            <w:pPr>
              <w:jc w:val="both"/>
              <w:rPr>
                <w:rFonts w:ascii="Arial" w:eastAsia="Calibri" w:hAnsi="Arial" w:cs="Arial"/>
                <w:color w:val="000000" w:themeColor="text1"/>
                <w:sz w:val="22"/>
              </w:rPr>
            </w:pPr>
            <w:r w:rsidRPr="000F1B34">
              <w:rPr>
                <w:rFonts w:ascii="Arial" w:eastAsia="Calibri" w:hAnsi="Arial" w:cs="Arial"/>
                <w:color w:val="000000" w:themeColor="text1"/>
                <w:sz w:val="22"/>
              </w:rPr>
              <w:t>CRONOGRAMA – Definición – Importancia</w:t>
            </w:r>
            <w:r w:rsidR="00F52BC9" w:rsidRPr="00F52BC9">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r w:rsidR="00D029D8" w:rsidRPr="00D029D8">
              <w:rPr>
                <w:rFonts w:ascii="Arial" w:eastAsia="Calibri" w:hAnsi="Arial" w:cs="Arial"/>
                <w:color w:val="000000" w:themeColor="text1"/>
                <w:sz w:val="22"/>
              </w:rPr>
              <w:t>PLIEGO DEFINITIVO – Cronograma – Modificación – Adendas</w:t>
            </w:r>
            <w:r w:rsidR="00BE1E33" w:rsidRPr="006C15D5">
              <w:rPr>
                <w:rFonts w:ascii="Arial" w:eastAsia="Calibri" w:hAnsi="Arial" w:cs="Arial"/>
                <w:color w:val="000000" w:themeColor="text1"/>
                <w:sz w:val="22"/>
              </w:rPr>
              <w:t xml:space="preserve"> / </w:t>
            </w:r>
            <w:r w:rsidR="00D029D8" w:rsidRPr="00D029D8">
              <w:rPr>
                <w:rFonts w:ascii="Arial" w:eastAsia="Calibri" w:hAnsi="Arial" w:cs="Arial"/>
                <w:color w:val="000000" w:themeColor="text1"/>
                <w:sz w:val="22"/>
              </w:rPr>
              <w:t>PREPLIEGO – Adendas – Etapas adicionales – Prohibición</w:t>
            </w:r>
            <w:r w:rsidR="00B9572C">
              <w:rPr>
                <w:rFonts w:ascii="Arial" w:eastAsia="Calibri" w:hAnsi="Arial" w:cs="Arial"/>
                <w:color w:val="000000" w:themeColor="text1"/>
                <w:sz w:val="22"/>
              </w:rPr>
              <w:t xml:space="preserve"> </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46E5F33C"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826793" w:rsidRPr="00826793">
              <w:rPr>
                <w:rFonts w:ascii="Arial" w:eastAsia="Calibri" w:hAnsi="Arial" w:cs="Arial"/>
                <w:color w:val="000000" w:themeColor="text1"/>
                <w:sz w:val="22"/>
              </w:rPr>
              <w:t>4202013000004005</w:t>
            </w:r>
            <w:r w:rsidRPr="006C15D5">
              <w:rPr>
                <w:rFonts w:ascii="Arial" w:eastAsia="Calibri" w:hAnsi="Arial" w:cs="Arial"/>
                <w:color w:val="000000" w:themeColor="text1"/>
                <w:sz w:val="22"/>
              </w:rPr>
              <w:t xml:space="preserve"> </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177F3517" w14:textId="77777777" w:rsidR="00BE1E33" w:rsidRPr="006C15D5" w:rsidRDefault="00BE1E33" w:rsidP="00BE1E33">
      <w:pPr>
        <w:spacing w:before="120"/>
        <w:jc w:val="both"/>
        <w:rPr>
          <w:rFonts w:ascii="Arial" w:eastAsia="Calibri" w:hAnsi="Arial" w:cs="Arial"/>
          <w:color w:val="000000" w:themeColor="text1"/>
          <w:sz w:val="22"/>
        </w:rPr>
      </w:pPr>
    </w:p>
    <w:p w14:paraId="417ABDA8" w14:textId="588ECB6C"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9C27A9">
        <w:rPr>
          <w:rFonts w:ascii="Arial" w:eastAsia="Calibri" w:hAnsi="Arial" w:cs="Arial"/>
          <w:color w:val="000000" w:themeColor="text1"/>
          <w:sz w:val="22"/>
        </w:rPr>
        <w:t xml:space="preserve">o </w:t>
      </w:r>
      <w:r w:rsidRPr="006C15D5">
        <w:rPr>
          <w:rFonts w:ascii="Arial" w:eastAsia="Calibri" w:hAnsi="Arial" w:cs="Arial"/>
          <w:color w:val="000000" w:themeColor="text1"/>
          <w:sz w:val="22"/>
        </w:rPr>
        <w:t xml:space="preserve">señor </w:t>
      </w:r>
      <w:r w:rsidR="00185441">
        <w:rPr>
          <w:rFonts w:ascii="Arial" w:eastAsia="Calibri" w:hAnsi="Arial" w:cs="Arial"/>
          <w:color w:val="000000" w:themeColor="text1"/>
          <w:sz w:val="22"/>
        </w:rPr>
        <w:t>Martínez</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7035C951"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9C27A9">
        <w:rPr>
          <w:rFonts w:ascii="Arial" w:eastAsia="Calibri" w:hAnsi="Arial" w:cs="Arial"/>
          <w:color w:val="000000" w:themeColor="text1"/>
          <w:sz w:val="22"/>
        </w:rPr>
        <w:t>2</w:t>
      </w:r>
      <w:r w:rsidR="00146D5B">
        <w:rPr>
          <w:rFonts w:ascii="Arial" w:eastAsia="Calibri" w:hAnsi="Arial" w:cs="Arial"/>
          <w:color w:val="000000" w:themeColor="text1"/>
          <w:sz w:val="22"/>
        </w:rPr>
        <w:t>1</w:t>
      </w:r>
      <w:r w:rsidR="009C27A9">
        <w:rPr>
          <w:rFonts w:ascii="Arial" w:eastAsia="Calibri" w:hAnsi="Arial" w:cs="Arial"/>
          <w:color w:val="000000" w:themeColor="text1"/>
          <w:sz w:val="22"/>
        </w:rPr>
        <w:t xml:space="preserve"> de mayo</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33FF5823" w14:textId="0B2A0F3D" w:rsidR="00185441" w:rsidRDefault="00C07B5E" w:rsidP="00E30356">
      <w:pPr>
        <w:tabs>
          <w:tab w:val="left" w:pos="426"/>
        </w:tabs>
        <w:spacing w:line="276" w:lineRule="auto"/>
        <w:jc w:val="both"/>
        <w:rPr>
          <w:rFonts w:ascii="Arial" w:eastAsia="Calibri" w:hAnsi="Arial" w:cs="Arial"/>
          <w:color w:val="000000" w:themeColor="text1"/>
          <w:sz w:val="22"/>
        </w:rPr>
      </w:pPr>
      <w:bookmarkStart w:id="7" w:name="_Hlk41142281"/>
      <w:bookmarkStart w:id="8" w:name="_Hlk41043439"/>
      <w:r>
        <w:rPr>
          <w:rFonts w:ascii="Arial" w:eastAsia="Calibri" w:hAnsi="Arial" w:cs="Arial"/>
          <w:color w:val="000000" w:themeColor="text1"/>
          <w:sz w:val="22"/>
        </w:rPr>
        <w:t>U</w:t>
      </w:r>
      <w:r w:rsidR="00EA62F1">
        <w:rPr>
          <w:rFonts w:ascii="Arial" w:eastAsia="Calibri" w:hAnsi="Arial" w:cs="Arial"/>
          <w:color w:val="000000" w:themeColor="text1"/>
          <w:sz w:val="22"/>
        </w:rPr>
        <w:t xml:space="preserve">sted realiza la siguiente pregunta: </w:t>
      </w:r>
      <w:bookmarkStart w:id="9" w:name="_Hlk43470373"/>
      <w:bookmarkStart w:id="10" w:name="_Hlk43798498"/>
      <w:r w:rsidR="00EA62F1">
        <w:rPr>
          <w:rFonts w:ascii="Arial" w:eastAsia="Calibri" w:hAnsi="Arial" w:cs="Arial"/>
          <w:color w:val="000000" w:themeColor="text1"/>
          <w:sz w:val="22"/>
        </w:rPr>
        <w:t>«</w:t>
      </w:r>
      <w:bookmarkEnd w:id="7"/>
      <w:bookmarkEnd w:id="8"/>
      <w:bookmarkEnd w:id="9"/>
      <w:r w:rsidR="00146D5B">
        <w:rPr>
          <w:rFonts w:ascii="Arial" w:eastAsia="Calibri" w:hAnsi="Arial" w:cs="Arial"/>
          <w:color w:val="000000" w:themeColor="text1"/>
          <w:sz w:val="22"/>
        </w:rPr>
        <w:t>¿</w:t>
      </w:r>
      <w:r w:rsidR="00185441">
        <w:rPr>
          <w:rFonts w:ascii="Arial" w:eastAsia="Calibri" w:hAnsi="Arial" w:cs="Arial"/>
          <w:color w:val="000000" w:themeColor="text1"/>
          <w:sz w:val="22"/>
        </w:rPr>
        <w:t>P</w:t>
      </w:r>
      <w:r w:rsidR="00146D5B" w:rsidRPr="00146D5B">
        <w:rPr>
          <w:rFonts w:ascii="Arial" w:eastAsia="Calibri" w:hAnsi="Arial" w:cs="Arial"/>
          <w:color w:val="000000" w:themeColor="text1"/>
          <w:sz w:val="22"/>
        </w:rPr>
        <w:t>or medio de qué documento se modifica el cronograma del proceso antes de la apertu</w:t>
      </w:r>
      <w:r w:rsidR="00146D5B">
        <w:rPr>
          <w:rFonts w:ascii="Arial" w:eastAsia="Calibri" w:hAnsi="Arial" w:cs="Arial"/>
          <w:color w:val="000000" w:themeColor="text1"/>
          <w:sz w:val="22"/>
        </w:rPr>
        <w:t>r</w:t>
      </w:r>
      <w:r w:rsidR="00146D5B" w:rsidRPr="00146D5B">
        <w:rPr>
          <w:rFonts w:ascii="Arial" w:eastAsia="Calibri" w:hAnsi="Arial" w:cs="Arial"/>
          <w:color w:val="000000" w:themeColor="text1"/>
          <w:sz w:val="22"/>
        </w:rPr>
        <w:t>a del mismo?</w:t>
      </w:r>
      <w:r w:rsidR="00146D5B">
        <w:rPr>
          <w:rFonts w:ascii="Arial" w:eastAsia="Calibri" w:hAnsi="Arial" w:cs="Arial"/>
          <w:color w:val="000000" w:themeColor="text1"/>
          <w:sz w:val="22"/>
        </w:rPr>
        <w:t xml:space="preserve">». Lo anterior, en la medida que «[…] </w:t>
      </w:r>
      <w:r w:rsidR="00146D5B" w:rsidRPr="00146D5B">
        <w:rPr>
          <w:rFonts w:ascii="Arial" w:eastAsia="Calibri" w:hAnsi="Arial" w:cs="Arial"/>
          <w:color w:val="000000" w:themeColor="text1"/>
          <w:sz w:val="22"/>
        </w:rPr>
        <w:t xml:space="preserve"> el decreto 1082 de 2015, solo autoriza la expedición de adendas para modificar</w:t>
      </w:r>
      <w:r w:rsidR="00146D5B">
        <w:rPr>
          <w:rFonts w:ascii="Arial" w:eastAsia="Calibri" w:hAnsi="Arial" w:cs="Arial"/>
          <w:color w:val="000000" w:themeColor="text1"/>
          <w:sz w:val="22"/>
        </w:rPr>
        <w:t xml:space="preserve"> </w:t>
      </w:r>
      <w:r w:rsidR="00146D5B" w:rsidRPr="00146D5B">
        <w:rPr>
          <w:rFonts w:ascii="Arial" w:eastAsia="Calibri" w:hAnsi="Arial" w:cs="Arial"/>
          <w:color w:val="000000" w:themeColor="text1"/>
          <w:sz w:val="22"/>
        </w:rPr>
        <w:t>el pliego de condiciones y el cronograma una vez apertu</w:t>
      </w:r>
      <w:r w:rsidR="00146D5B">
        <w:rPr>
          <w:rFonts w:ascii="Arial" w:eastAsia="Calibri" w:hAnsi="Arial" w:cs="Arial"/>
          <w:color w:val="000000" w:themeColor="text1"/>
          <w:sz w:val="22"/>
        </w:rPr>
        <w:t>r</w:t>
      </w:r>
      <w:r w:rsidR="00146D5B" w:rsidRPr="00146D5B">
        <w:rPr>
          <w:rFonts w:ascii="Arial" w:eastAsia="Calibri" w:hAnsi="Arial" w:cs="Arial"/>
          <w:color w:val="000000" w:themeColor="text1"/>
          <w:sz w:val="22"/>
        </w:rPr>
        <w:t>ado el proceso, y para modificar el cronograma</w:t>
      </w:r>
      <w:r w:rsidR="00146D5B">
        <w:rPr>
          <w:rFonts w:ascii="Arial" w:eastAsia="Calibri" w:hAnsi="Arial" w:cs="Arial"/>
          <w:color w:val="000000" w:themeColor="text1"/>
          <w:sz w:val="22"/>
        </w:rPr>
        <w:t xml:space="preserve"> </w:t>
      </w:r>
      <w:r w:rsidR="00146D5B" w:rsidRPr="00146D5B">
        <w:rPr>
          <w:rFonts w:ascii="Arial" w:eastAsia="Calibri" w:hAnsi="Arial" w:cs="Arial"/>
          <w:color w:val="000000" w:themeColor="text1"/>
          <w:sz w:val="22"/>
        </w:rPr>
        <w:t>una vez se haya presentado la propuesta</w:t>
      </w:r>
      <w:r w:rsidR="00146D5B">
        <w:rPr>
          <w:rFonts w:ascii="Arial" w:eastAsia="Calibri" w:hAnsi="Arial" w:cs="Arial"/>
          <w:color w:val="000000" w:themeColor="text1"/>
          <w:sz w:val="22"/>
        </w:rPr>
        <w:t>».</w:t>
      </w:r>
      <w:r w:rsidR="00BE1E33" w:rsidRPr="006C15D5">
        <w:rPr>
          <w:rFonts w:ascii="Arial" w:eastAsia="Calibri" w:hAnsi="Arial" w:cs="Arial"/>
          <w:color w:val="000000" w:themeColor="text1"/>
          <w:sz w:val="22"/>
        </w:rPr>
        <w:t xml:space="preserve"> </w:t>
      </w:r>
      <w:bookmarkEnd w:id="10"/>
    </w:p>
    <w:p w14:paraId="1EBED483" w14:textId="77777777" w:rsidR="00185441" w:rsidRPr="006C15D5" w:rsidRDefault="00185441" w:rsidP="00CE35D5">
      <w:pPr>
        <w:tabs>
          <w:tab w:val="left" w:pos="709"/>
        </w:tabs>
        <w:spacing w:line="276" w:lineRule="auto"/>
        <w:jc w:val="both"/>
        <w:rPr>
          <w:rFonts w:ascii="Arial" w:eastAsia="Calibri" w:hAnsi="Arial" w:cs="Arial"/>
          <w:color w:val="000000" w:themeColor="text1"/>
          <w:sz w:val="22"/>
        </w:rPr>
      </w:pP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391F1ACD" w14:textId="77777777" w:rsidR="00491F16" w:rsidRDefault="00491F16" w:rsidP="00491F16">
      <w:pPr>
        <w:spacing w:line="276" w:lineRule="auto"/>
        <w:jc w:val="both"/>
        <w:rPr>
          <w:rFonts w:ascii="Arial" w:eastAsia="Calibri" w:hAnsi="Arial" w:cs="Arial"/>
          <w:color w:val="000000" w:themeColor="text1"/>
          <w:sz w:val="22"/>
        </w:rPr>
      </w:pPr>
    </w:p>
    <w:p w14:paraId="68A3D7DC" w14:textId="0CB5E501" w:rsidR="00554A31" w:rsidRDefault="0096646C" w:rsidP="00554A31">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R</w:t>
      </w:r>
      <w:r w:rsidRPr="0096646C">
        <w:rPr>
          <w:rFonts w:ascii="Arial" w:eastAsia="Calibri" w:hAnsi="Arial" w:cs="Arial"/>
          <w:color w:val="000000" w:themeColor="text1"/>
          <w:sz w:val="22"/>
        </w:rPr>
        <w:t xml:space="preserve">ecientemente esta Subdirección expidió </w:t>
      </w:r>
      <w:r w:rsidR="00612D14">
        <w:rPr>
          <w:rFonts w:ascii="Arial" w:eastAsia="Calibri" w:hAnsi="Arial" w:cs="Arial"/>
          <w:color w:val="000000" w:themeColor="text1"/>
          <w:sz w:val="22"/>
        </w:rPr>
        <w:t>el</w:t>
      </w:r>
      <w:r w:rsidRPr="0096646C">
        <w:rPr>
          <w:rFonts w:ascii="Arial" w:eastAsia="Calibri" w:hAnsi="Arial" w:cs="Arial"/>
          <w:color w:val="000000" w:themeColor="text1"/>
          <w:sz w:val="22"/>
        </w:rPr>
        <w:t xml:space="preserve"> Concepto</w:t>
      </w:r>
      <w:r w:rsidR="00612D14">
        <w:rPr>
          <w:rFonts w:ascii="Arial" w:eastAsia="Calibri" w:hAnsi="Arial" w:cs="Arial"/>
          <w:color w:val="000000" w:themeColor="text1"/>
          <w:sz w:val="22"/>
        </w:rPr>
        <w:t xml:space="preserve"> </w:t>
      </w:r>
      <w:r w:rsidR="007C6894">
        <w:rPr>
          <w:rFonts w:ascii="Arial" w:eastAsia="Calibri" w:hAnsi="Arial" w:cs="Arial"/>
          <w:color w:val="000000" w:themeColor="text1"/>
          <w:sz w:val="22"/>
        </w:rPr>
        <w:t>C-</w:t>
      </w:r>
      <w:r w:rsidR="00AF41B6">
        <w:rPr>
          <w:rFonts w:ascii="Arial" w:eastAsia="Calibri" w:hAnsi="Arial" w:cs="Arial"/>
          <w:color w:val="000000" w:themeColor="text1"/>
          <w:sz w:val="22"/>
        </w:rPr>
        <w:t>002</w:t>
      </w:r>
      <w:r w:rsidR="007C6894">
        <w:rPr>
          <w:rFonts w:ascii="Arial" w:eastAsia="Calibri" w:hAnsi="Arial" w:cs="Arial"/>
          <w:color w:val="000000" w:themeColor="text1"/>
          <w:sz w:val="22"/>
        </w:rPr>
        <w:t xml:space="preserve"> del </w:t>
      </w:r>
      <w:r w:rsidR="00AF41B6">
        <w:rPr>
          <w:rFonts w:ascii="Arial" w:eastAsia="Calibri" w:hAnsi="Arial" w:cs="Arial"/>
          <w:color w:val="000000" w:themeColor="text1"/>
          <w:sz w:val="22"/>
        </w:rPr>
        <w:t>5 de mayo</w:t>
      </w:r>
      <w:r w:rsidR="007C6894">
        <w:rPr>
          <w:rFonts w:ascii="Arial" w:eastAsia="Calibri" w:hAnsi="Arial" w:cs="Arial"/>
          <w:color w:val="000000" w:themeColor="text1"/>
          <w:sz w:val="22"/>
        </w:rPr>
        <w:t xml:space="preserve"> de 2020</w:t>
      </w:r>
      <w:r w:rsidR="00612D14">
        <w:rPr>
          <w:rFonts w:ascii="Arial" w:eastAsia="Calibri" w:hAnsi="Arial" w:cs="Arial"/>
          <w:color w:val="000000" w:themeColor="text1"/>
          <w:sz w:val="22"/>
        </w:rPr>
        <w:t xml:space="preserve">, </w:t>
      </w:r>
      <w:r w:rsidRPr="0096646C">
        <w:rPr>
          <w:rFonts w:ascii="Arial" w:eastAsia="Calibri" w:hAnsi="Arial" w:cs="Arial"/>
          <w:color w:val="000000" w:themeColor="text1"/>
          <w:sz w:val="22"/>
        </w:rPr>
        <w:t>donde</w:t>
      </w:r>
      <w:r w:rsidR="008D7A9D">
        <w:rPr>
          <w:rFonts w:ascii="Arial" w:eastAsia="Calibri" w:hAnsi="Arial" w:cs="Arial"/>
          <w:color w:val="000000" w:themeColor="text1"/>
          <w:sz w:val="22"/>
        </w:rPr>
        <w:t xml:space="preserve"> –entre otros temas–</w:t>
      </w:r>
      <w:r w:rsidRPr="0096646C">
        <w:rPr>
          <w:rFonts w:ascii="Arial" w:eastAsia="Calibri" w:hAnsi="Arial" w:cs="Arial"/>
          <w:color w:val="000000" w:themeColor="text1"/>
          <w:sz w:val="22"/>
        </w:rPr>
        <w:t xml:space="preserve"> se explicó</w:t>
      </w:r>
      <w:r w:rsidR="00923548">
        <w:rPr>
          <w:rFonts w:ascii="Arial" w:eastAsia="Calibri" w:hAnsi="Arial" w:cs="Arial"/>
          <w:color w:val="000000" w:themeColor="text1"/>
          <w:sz w:val="22"/>
        </w:rPr>
        <w:t xml:space="preserve"> </w:t>
      </w:r>
      <w:r w:rsidR="00AF41B6" w:rsidRPr="00AF41B6">
        <w:rPr>
          <w:rFonts w:ascii="Arial" w:eastAsia="Calibri" w:hAnsi="Arial" w:cs="Arial"/>
          <w:color w:val="000000" w:themeColor="text1"/>
          <w:sz w:val="22"/>
        </w:rPr>
        <w:t>el</w:t>
      </w:r>
      <w:r w:rsidR="00AF41B6">
        <w:rPr>
          <w:rFonts w:ascii="Arial" w:eastAsia="Calibri" w:hAnsi="Arial" w:cs="Arial"/>
          <w:color w:val="000000" w:themeColor="text1"/>
          <w:sz w:val="22"/>
        </w:rPr>
        <w:t xml:space="preserve"> alcance del</w:t>
      </w:r>
      <w:r w:rsidR="00AF41B6" w:rsidRPr="00AF41B6">
        <w:rPr>
          <w:rFonts w:ascii="Arial" w:eastAsia="Calibri" w:hAnsi="Arial" w:cs="Arial"/>
          <w:color w:val="000000" w:themeColor="text1"/>
          <w:sz w:val="22"/>
        </w:rPr>
        <w:t xml:space="preserve"> artículo 2.2.1.1.2.2.1 del Decreto 1082 de 2015</w:t>
      </w:r>
      <w:r w:rsidR="008D7A9D">
        <w:rPr>
          <w:rFonts w:ascii="Arial" w:eastAsia="Calibri" w:hAnsi="Arial" w:cs="Arial"/>
          <w:color w:val="000000" w:themeColor="text1"/>
          <w:sz w:val="22"/>
        </w:rPr>
        <w:t xml:space="preserve"> sobre la expedición de adendas para la modificar el cronograma del procedimiento de selección</w:t>
      </w:r>
      <w:r w:rsidR="00694209" w:rsidRPr="00694209">
        <w:rPr>
          <w:rFonts w:ascii="Arial" w:eastAsia="Calibri" w:hAnsi="Arial" w:cs="Arial"/>
          <w:color w:val="000000" w:themeColor="text1"/>
          <w:sz w:val="22"/>
        </w:rPr>
        <w:t xml:space="preserve">. </w:t>
      </w:r>
      <w:r w:rsidR="008D7A9D">
        <w:rPr>
          <w:rFonts w:ascii="Arial" w:eastAsia="Calibri" w:hAnsi="Arial" w:cs="Arial"/>
          <w:color w:val="000000" w:themeColor="text1"/>
          <w:sz w:val="22"/>
        </w:rPr>
        <w:t>En lo pertinente, la</w:t>
      </w:r>
      <w:r w:rsidRPr="0096646C">
        <w:rPr>
          <w:rFonts w:ascii="Arial" w:eastAsia="Calibri" w:hAnsi="Arial" w:cs="Arial"/>
          <w:color w:val="000000" w:themeColor="text1"/>
          <w:sz w:val="22"/>
        </w:rPr>
        <w:t xml:space="preserve"> tesis propuesta </w:t>
      </w:r>
      <w:r w:rsidR="0072152F">
        <w:rPr>
          <w:rFonts w:ascii="Arial" w:eastAsia="Calibri" w:hAnsi="Arial" w:cs="Arial"/>
          <w:color w:val="000000" w:themeColor="text1"/>
          <w:sz w:val="22"/>
        </w:rPr>
        <w:t>en est</w:t>
      </w:r>
      <w:r w:rsidR="00D85E33">
        <w:rPr>
          <w:rFonts w:ascii="Arial" w:eastAsia="Calibri" w:hAnsi="Arial" w:cs="Arial"/>
          <w:color w:val="000000" w:themeColor="text1"/>
          <w:sz w:val="22"/>
        </w:rPr>
        <w:t>e</w:t>
      </w:r>
      <w:r w:rsidR="0072152F">
        <w:rPr>
          <w:rFonts w:ascii="Arial" w:eastAsia="Calibri" w:hAnsi="Arial" w:cs="Arial"/>
          <w:color w:val="000000" w:themeColor="text1"/>
          <w:sz w:val="22"/>
        </w:rPr>
        <w:t xml:space="preserve"> concepto</w:t>
      </w:r>
      <w:r w:rsidRPr="0096646C">
        <w:rPr>
          <w:rFonts w:ascii="Arial" w:eastAsia="Calibri" w:hAnsi="Arial" w:cs="Arial"/>
          <w:color w:val="000000" w:themeColor="text1"/>
          <w:sz w:val="22"/>
        </w:rPr>
        <w:t xml:space="preserve"> se expone a continuación:</w:t>
      </w:r>
    </w:p>
    <w:p w14:paraId="744D5685" w14:textId="7795E33F" w:rsidR="00C85287" w:rsidRDefault="00554A31" w:rsidP="00C85287">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bookmarkStart w:id="11" w:name="_Hlk43822972"/>
      <w:r w:rsidR="00C85FA6">
        <w:rPr>
          <w:rFonts w:ascii="Arial" w:eastAsia="Calibri" w:hAnsi="Arial" w:cs="Arial"/>
          <w:color w:val="000000" w:themeColor="text1"/>
          <w:sz w:val="22"/>
        </w:rPr>
        <w:t>El diccionario de la Real Academia Española define el cronograma como un «Calendario de trabajo»</w:t>
      </w:r>
      <w:r w:rsidR="00C85FA6">
        <w:rPr>
          <w:rStyle w:val="Refdenotaalpie"/>
          <w:rFonts w:ascii="Arial" w:eastAsia="Calibri" w:hAnsi="Arial" w:cs="Arial"/>
          <w:color w:val="000000" w:themeColor="text1"/>
          <w:sz w:val="22"/>
        </w:rPr>
        <w:footnoteReference w:id="1"/>
      </w:r>
      <w:r w:rsidR="00C85FA6">
        <w:rPr>
          <w:rFonts w:ascii="Arial" w:eastAsia="Calibri" w:hAnsi="Arial" w:cs="Arial"/>
          <w:color w:val="000000" w:themeColor="text1"/>
          <w:sz w:val="22"/>
        </w:rPr>
        <w:t xml:space="preserve">. Etimológicamente, </w:t>
      </w:r>
      <w:r w:rsidR="00692BBD">
        <w:rPr>
          <w:rFonts w:ascii="Arial" w:eastAsia="Calibri" w:hAnsi="Arial" w:cs="Arial"/>
          <w:color w:val="000000" w:themeColor="text1"/>
          <w:sz w:val="22"/>
        </w:rPr>
        <w:t xml:space="preserve">deriva de las palabras griegas </w:t>
      </w:r>
      <w:r w:rsidR="00692BBD" w:rsidRPr="00692BBD">
        <w:rPr>
          <w:rFonts w:ascii="Arial" w:eastAsia="Calibri" w:hAnsi="Arial" w:cs="Arial"/>
          <w:i/>
          <w:iCs/>
          <w:color w:val="000000" w:themeColor="text1"/>
          <w:sz w:val="22"/>
        </w:rPr>
        <w:t>chronos</w:t>
      </w:r>
      <w:r w:rsidR="00C85FA6">
        <w:rPr>
          <w:rFonts w:ascii="Arial" w:eastAsia="Calibri" w:hAnsi="Arial" w:cs="Arial"/>
          <w:color w:val="000000" w:themeColor="text1"/>
          <w:sz w:val="22"/>
        </w:rPr>
        <w:t xml:space="preserve"> </w:t>
      </w:r>
      <w:r w:rsidR="00692BBD">
        <w:rPr>
          <w:rFonts w:ascii="Arial" w:eastAsia="Calibri" w:hAnsi="Arial" w:cs="Arial"/>
          <w:color w:val="000000" w:themeColor="text1"/>
          <w:sz w:val="22"/>
        </w:rPr>
        <w:t xml:space="preserve">–tiempo– y </w:t>
      </w:r>
      <w:r w:rsidR="00692BBD" w:rsidRPr="00692BBD">
        <w:rPr>
          <w:rFonts w:ascii="Arial" w:eastAsia="Calibri" w:hAnsi="Arial" w:cs="Arial"/>
          <w:i/>
          <w:iCs/>
          <w:color w:val="000000" w:themeColor="text1"/>
          <w:sz w:val="22"/>
        </w:rPr>
        <w:t>grama</w:t>
      </w:r>
      <w:r w:rsidR="00692BBD">
        <w:rPr>
          <w:rFonts w:ascii="Arial" w:eastAsia="Calibri" w:hAnsi="Arial" w:cs="Arial"/>
          <w:color w:val="000000" w:themeColor="text1"/>
          <w:sz w:val="22"/>
        </w:rPr>
        <w:t xml:space="preserve"> –mensaje escrito–, por lo cual implica una representación del tiempo, especialmente, aquel requerido para ejecutar una tarea</w:t>
      </w:r>
      <w:r w:rsidR="00692BBD">
        <w:rPr>
          <w:rStyle w:val="Refdenotaalpie"/>
          <w:rFonts w:ascii="Arial" w:eastAsia="Calibri" w:hAnsi="Arial" w:cs="Arial"/>
          <w:color w:val="000000" w:themeColor="text1"/>
          <w:sz w:val="22"/>
        </w:rPr>
        <w:footnoteReference w:id="2"/>
      </w:r>
      <w:r w:rsidR="00692BBD">
        <w:rPr>
          <w:rFonts w:ascii="Arial" w:eastAsia="Calibri" w:hAnsi="Arial" w:cs="Arial"/>
          <w:color w:val="000000" w:themeColor="text1"/>
          <w:sz w:val="22"/>
        </w:rPr>
        <w:t xml:space="preserve">. Aunque el artículo 28 del Código Civil dispone que las palabras de la ley se entenderán en su sentido natural y obvio, es decir, </w:t>
      </w:r>
      <w:r w:rsidR="002D06BB">
        <w:rPr>
          <w:rFonts w:ascii="Arial" w:eastAsia="Calibri" w:hAnsi="Arial" w:cs="Arial"/>
          <w:color w:val="000000" w:themeColor="text1"/>
          <w:sz w:val="22"/>
        </w:rPr>
        <w:t xml:space="preserve">de acuerdo a su sentido general, la norma también dispone que «[…] </w:t>
      </w:r>
      <w:r w:rsidR="002D06BB" w:rsidRPr="002D06BB">
        <w:rPr>
          <w:rFonts w:ascii="Arial" w:eastAsia="Calibri" w:hAnsi="Arial" w:cs="Arial"/>
          <w:color w:val="000000" w:themeColor="text1"/>
          <w:sz w:val="22"/>
        </w:rPr>
        <w:t>cuando el legislador las haya definido expresamente para ciertas materias, se les dará en éstas su significado legal</w:t>
      </w:r>
      <w:r w:rsidR="002D06BB">
        <w:rPr>
          <w:rFonts w:ascii="Arial" w:eastAsia="Calibri" w:hAnsi="Arial" w:cs="Arial"/>
          <w:color w:val="000000" w:themeColor="text1"/>
          <w:sz w:val="22"/>
        </w:rPr>
        <w:t xml:space="preserve">». Con fundamento en el aparte citado, es necesario sujetarse al artículo </w:t>
      </w:r>
      <w:r w:rsidR="002D06BB" w:rsidRPr="002D06BB">
        <w:rPr>
          <w:rFonts w:ascii="Arial" w:eastAsia="Calibri" w:hAnsi="Arial" w:cs="Arial"/>
          <w:color w:val="000000" w:themeColor="text1"/>
          <w:sz w:val="22"/>
        </w:rPr>
        <w:t>2.2.1.1.1.3.1</w:t>
      </w:r>
      <w:r w:rsidR="002D06BB">
        <w:rPr>
          <w:rFonts w:ascii="Arial" w:eastAsia="Calibri" w:hAnsi="Arial" w:cs="Arial"/>
          <w:color w:val="000000" w:themeColor="text1"/>
          <w:sz w:val="22"/>
        </w:rPr>
        <w:t xml:space="preserve"> del Decreto 1082 de 2015, pues define el cronograma como el «</w:t>
      </w:r>
      <w:r w:rsidR="002D06BB" w:rsidRPr="002D06BB">
        <w:rPr>
          <w:rFonts w:ascii="Arial" w:eastAsia="Calibri" w:hAnsi="Arial" w:cs="Arial"/>
          <w:color w:val="000000" w:themeColor="text1"/>
          <w:sz w:val="22"/>
        </w:rPr>
        <w:t>Documento en el cual la Entidad Estatal establece las fechas, horas y plazos para las actividades propias del Proceso de Contratación y el lugar en el que estas deben llevarse a cabo</w:t>
      </w:r>
      <w:r w:rsidR="002D06BB">
        <w:rPr>
          <w:rFonts w:ascii="Arial" w:eastAsia="Calibri" w:hAnsi="Arial" w:cs="Arial"/>
          <w:color w:val="000000" w:themeColor="text1"/>
          <w:sz w:val="22"/>
        </w:rPr>
        <w:t>»</w:t>
      </w:r>
      <w:r w:rsidR="002D06BB" w:rsidRPr="002D06BB">
        <w:rPr>
          <w:rFonts w:ascii="Arial" w:eastAsia="Calibri" w:hAnsi="Arial" w:cs="Arial"/>
          <w:color w:val="000000" w:themeColor="text1"/>
          <w:sz w:val="22"/>
        </w:rPr>
        <w:t>.</w:t>
      </w:r>
      <w:r w:rsidR="002D06BB">
        <w:rPr>
          <w:rFonts w:ascii="Arial" w:eastAsia="Calibri" w:hAnsi="Arial" w:cs="Arial"/>
          <w:color w:val="000000" w:themeColor="text1"/>
          <w:sz w:val="22"/>
        </w:rPr>
        <w:t xml:space="preserve"> </w:t>
      </w:r>
    </w:p>
    <w:p w14:paraId="62F197FE" w14:textId="4C3BE52B" w:rsidR="002D06BB" w:rsidRDefault="00C85287" w:rsidP="00CA51DE">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E</w:t>
      </w:r>
      <w:r w:rsidR="002D06BB">
        <w:rPr>
          <w:rFonts w:ascii="Arial" w:eastAsia="Calibri" w:hAnsi="Arial" w:cs="Arial"/>
          <w:color w:val="000000" w:themeColor="text1"/>
          <w:sz w:val="22"/>
        </w:rPr>
        <w:t xml:space="preserve">l tiempo es una cuestión vital </w:t>
      </w:r>
      <w:r w:rsidR="00ED1DBA">
        <w:rPr>
          <w:rFonts w:ascii="Arial" w:eastAsia="Calibri" w:hAnsi="Arial" w:cs="Arial"/>
          <w:color w:val="000000" w:themeColor="text1"/>
          <w:sz w:val="22"/>
        </w:rPr>
        <w:t>en</w:t>
      </w:r>
      <w:r>
        <w:rPr>
          <w:rFonts w:ascii="Arial" w:eastAsia="Calibri" w:hAnsi="Arial" w:cs="Arial"/>
          <w:color w:val="000000" w:themeColor="text1"/>
          <w:sz w:val="22"/>
        </w:rPr>
        <w:t xml:space="preserve"> los procedimientos de selección, ya que una contratación eficiente contribuye a la satisfacción oportuna del interés general y al cumplimiento de los fines del Estado. </w:t>
      </w:r>
      <w:r w:rsidR="005505C3">
        <w:rPr>
          <w:rFonts w:ascii="Arial" w:eastAsia="Calibri" w:hAnsi="Arial" w:cs="Arial"/>
          <w:color w:val="000000" w:themeColor="text1"/>
          <w:sz w:val="22"/>
        </w:rPr>
        <w:t>C</w:t>
      </w:r>
      <w:r>
        <w:rPr>
          <w:rFonts w:ascii="Arial" w:eastAsia="Calibri" w:hAnsi="Arial" w:cs="Arial"/>
          <w:color w:val="000000" w:themeColor="text1"/>
          <w:sz w:val="22"/>
        </w:rPr>
        <w:t xml:space="preserve">onforme al principio de economía, «[…] </w:t>
      </w:r>
      <w:r w:rsidRPr="00C85287">
        <w:rPr>
          <w:rFonts w:ascii="Arial" w:eastAsia="Calibri" w:hAnsi="Arial" w:cs="Arial"/>
          <w:color w:val="000000" w:themeColor="text1"/>
          <w:sz w:val="22"/>
        </w:rPr>
        <w:t xml:space="preserve">en los pliegos de condiciones </w:t>
      </w:r>
      <w:r>
        <w:rPr>
          <w:rFonts w:ascii="Arial" w:eastAsia="Calibri" w:hAnsi="Arial" w:cs="Arial"/>
          <w:color w:val="000000" w:themeColor="text1"/>
          <w:sz w:val="22"/>
        </w:rPr>
        <w:t xml:space="preserve">[…] </w:t>
      </w:r>
      <w:r w:rsidRPr="00C85287">
        <w:rPr>
          <w:rFonts w:ascii="Arial" w:eastAsia="Calibri" w:hAnsi="Arial" w:cs="Arial"/>
          <w:color w:val="000000" w:themeColor="text1"/>
          <w:sz w:val="22"/>
        </w:rPr>
        <w:t xml:space="preserve">se señalarán términos preclusivos y perentorios para las diferentes etapas de la selección </w:t>
      </w:r>
      <w:r>
        <w:rPr>
          <w:rFonts w:ascii="Arial" w:eastAsia="Calibri" w:hAnsi="Arial" w:cs="Arial"/>
          <w:color w:val="000000" w:themeColor="text1"/>
          <w:sz w:val="22"/>
        </w:rPr>
        <w:t>[…]» –art. 25.1 de la Ley 80 de 1993– y «</w:t>
      </w:r>
      <w:r w:rsidRPr="00C85287">
        <w:rPr>
          <w:rFonts w:ascii="Arial" w:eastAsia="Calibri" w:hAnsi="Arial" w:cs="Arial"/>
          <w:color w:val="000000" w:themeColor="text1"/>
          <w:sz w:val="22"/>
        </w:rPr>
        <w:t>Los trámites se adelantarán con austeridad de tiempo, medios y gastos y se impedirán las dilaciones y los retardos en la ejecución del contrato</w:t>
      </w:r>
      <w:r>
        <w:rPr>
          <w:rFonts w:ascii="Arial" w:eastAsia="Calibri" w:hAnsi="Arial" w:cs="Arial"/>
          <w:color w:val="000000" w:themeColor="text1"/>
          <w:sz w:val="22"/>
        </w:rPr>
        <w:t>» –</w:t>
      </w:r>
      <w:r w:rsidRPr="00C85287">
        <w:rPr>
          <w:rFonts w:ascii="Arial" w:eastAsia="Calibri" w:hAnsi="Arial" w:cs="Arial"/>
          <w:color w:val="000000" w:themeColor="text1"/>
          <w:sz w:val="22"/>
        </w:rPr>
        <w:t xml:space="preserve"> </w:t>
      </w:r>
      <w:r>
        <w:rPr>
          <w:rFonts w:ascii="Arial" w:eastAsia="Calibri" w:hAnsi="Arial" w:cs="Arial"/>
          <w:color w:val="000000" w:themeColor="text1"/>
          <w:sz w:val="22"/>
        </w:rPr>
        <w:t>art. 25.4 de la Ley 80 de 1993–</w:t>
      </w:r>
      <w:r w:rsidRPr="00C85287">
        <w:rPr>
          <w:rFonts w:ascii="Arial" w:eastAsia="Calibri" w:hAnsi="Arial" w:cs="Arial"/>
          <w:color w:val="000000" w:themeColor="text1"/>
          <w:sz w:val="22"/>
        </w:rPr>
        <w:t>.</w:t>
      </w:r>
      <w:r>
        <w:rPr>
          <w:rFonts w:ascii="Arial" w:eastAsia="Calibri" w:hAnsi="Arial" w:cs="Arial"/>
          <w:color w:val="000000" w:themeColor="text1"/>
          <w:sz w:val="22"/>
        </w:rPr>
        <w:t xml:space="preserve"> </w:t>
      </w:r>
      <w:r w:rsidR="005505C3">
        <w:rPr>
          <w:rFonts w:ascii="Arial" w:eastAsia="Calibri" w:hAnsi="Arial" w:cs="Arial"/>
          <w:color w:val="000000" w:themeColor="text1"/>
          <w:sz w:val="22"/>
        </w:rPr>
        <w:t xml:space="preserve">De acuerdo con la jurisprudencia, estos plazos tienen como propósito </w:t>
      </w:r>
      <w:r w:rsidR="005505C3" w:rsidRPr="005505C3">
        <w:rPr>
          <w:rFonts w:ascii="Arial" w:eastAsia="Calibri" w:hAnsi="Arial" w:cs="Arial"/>
          <w:color w:val="000000" w:themeColor="text1"/>
          <w:sz w:val="22"/>
        </w:rPr>
        <w:t xml:space="preserve">no mantener a los oferentes en una situación de indefinición a la espera de la voluntad </w:t>
      </w:r>
      <w:r w:rsidR="005505C3">
        <w:rPr>
          <w:rFonts w:ascii="Arial" w:eastAsia="Calibri" w:hAnsi="Arial" w:cs="Arial"/>
          <w:color w:val="000000" w:themeColor="text1"/>
          <w:sz w:val="22"/>
        </w:rPr>
        <w:t>administrativa; además, contribuyen a que los proponentes no dilaten los procedimientos de selección a través de actuaciones extemporáneas.</w:t>
      </w:r>
      <w:bookmarkEnd w:id="11"/>
      <w:r w:rsidR="005505C3">
        <w:rPr>
          <w:rFonts w:ascii="Arial" w:eastAsia="Calibri" w:hAnsi="Arial" w:cs="Arial"/>
          <w:color w:val="000000" w:themeColor="text1"/>
          <w:sz w:val="22"/>
        </w:rPr>
        <w:t xml:space="preserve"> Por ello, explica que:</w:t>
      </w:r>
    </w:p>
    <w:p w14:paraId="7A66B629" w14:textId="77777777" w:rsidR="00CA51DE" w:rsidRDefault="00CA51DE" w:rsidP="00CA51DE">
      <w:pPr>
        <w:spacing w:line="276" w:lineRule="auto"/>
        <w:ind w:firstLine="708"/>
        <w:jc w:val="both"/>
        <w:rPr>
          <w:rFonts w:ascii="Arial" w:eastAsia="Calibri" w:hAnsi="Arial" w:cs="Arial"/>
          <w:color w:val="000000" w:themeColor="text1"/>
          <w:sz w:val="22"/>
        </w:rPr>
      </w:pPr>
    </w:p>
    <w:p w14:paraId="751B9CC2" w14:textId="3764ECE8" w:rsidR="005505C3" w:rsidRPr="00CA51DE" w:rsidRDefault="005505C3" w:rsidP="00CA51DE">
      <w:pPr>
        <w:ind w:left="709" w:right="709"/>
        <w:jc w:val="both"/>
        <w:rPr>
          <w:rFonts w:ascii="Arial" w:eastAsia="Calibri" w:hAnsi="Arial" w:cs="Arial"/>
          <w:color w:val="000000" w:themeColor="text1"/>
          <w:sz w:val="21"/>
          <w:szCs w:val="21"/>
        </w:rPr>
      </w:pPr>
      <w:r w:rsidRPr="00CA51DE">
        <w:rPr>
          <w:rFonts w:ascii="Arial" w:eastAsia="Calibri" w:hAnsi="Arial" w:cs="Arial"/>
          <w:color w:val="000000" w:themeColor="text1"/>
          <w:sz w:val="21"/>
          <w:szCs w:val="21"/>
        </w:rPr>
        <w:t xml:space="preserve">[…] no hay que olvidar que en todo proceso de selección para la celebración de un contrato con la administración pública, son de su esencia los términos dentro de los cuales éste se llevará a cabo.  Si en algo deben ser claras las condiciones de contratación es en señalarle a los interesados el tiempo de que disponen para elaborar sus ofertas, el plazo que se tomará la entidad para estudiarlas y el término en que procederá a la adjudicación o declaratoria de desierta, al punto de que si no se acatan, las consecuencias para uno u otro serán determinantes, tales como rechazar la propuesta por extemporánea o perder la facultad para </w:t>
      </w:r>
      <w:r w:rsidRPr="00CA51DE">
        <w:rPr>
          <w:rFonts w:ascii="Arial" w:eastAsia="Calibri" w:hAnsi="Arial" w:cs="Arial"/>
          <w:color w:val="000000" w:themeColor="text1"/>
          <w:sz w:val="21"/>
          <w:szCs w:val="21"/>
        </w:rPr>
        <w:lastRenderedPageBreak/>
        <w:t xml:space="preserve">adjudicar si no se hace en el tiempo previsto.  De esta manera, el interés de los proponentes en una licitación debe persistir hasta que culmine el procedimiento con la selección del contratista o la deserción del mismo, razón de ser del señalamiento de los términos </w:t>
      </w:r>
      <w:r w:rsidR="00B86D58" w:rsidRPr="00CA51DE">
        <w:rPr>
          <w:rFonts w:ascii="Arial" w:eastAsia="Calibri" w:hAnsi="Arial" w:cs="Arial"/>
          <w:color w:val="000000" w:themeColor="text1"/>
          <w:sz w:val="21"/>
          <w:szCs w:val="21"/>
        </w:rPr>
        <w:t>y de</w:t>
      </w:r>
      <w:r w:rsidRPr="00CA51DE">
        <w:rPr>
          <w:rFonts w:ascii="Arial" w:eastAsia="Calibri" w:hAnsi="Arial" w:cs="Arial"/>
          <w:color w:val="000000" w:themeColor="text1"/>
          <w:sz w:val="21"/>
          <w:szCs w:val="21"/>
        </w:rPr>
        <w:t xml:space="preserve"> la vigencia de la garantía de seriedad, por ejemplo</w:t>
      </w:r>
      <w:r w:rsidR="00CA51DE">
        <w:rPr>
          <w:rStyle w:val="Refdenotaalpie"/>
          <w:rFonts w:ascii="Arial" w:eastAsia="Calibri" w:hAnsi="Arial" w:cs="Arial"/>
          <w:color w:val="000000" w:themeColor="text1"/>
          <w:sz w:val="21"/>
          <w:szCs w:val="21"/>
        </w:rPr>
        <w:footnoteReference w:id="3"/>
      </w:r>
      <w:r w:rsidR="00B86D58" w:rsidRPr="00CA51DE">
        <w:rPr>
          <w:rFonts w:ascii="Arial" w:eastAsia="Calibri" w:hAnsi="Arial" w:cs="Arial"/>
          <w:color w:val="000000" w:themeColor="text1"/>
          <w:sz w:val="21"/>
          <w:szCs w:val="21"/>
        </w:rPr>
        <w:t xml:space="preserve">. </w:t>
      </w:r>
    </w:p>
    <w:p w14:paraId="031855BA" w14:textId="77777777" w:rsidR="00CA51DE" w:rsidRDefault="00CA51DE" w:rsidP="00CA51DE">
      <w:pPr>
        <w:spacing w:line="276" w:lineRule="auto"/>
        <w:jc w:val="both"/>
        <w:rPr>
          <w:rFonts w:ascii="Arial" w:eastAsia="Calibri" w:hAnsi="Arial" w:cs="Arial"/>
          <w:color w:val="000000" w:themeColor="text1"/>
          <w:sz w:val="22"/>
        </w:rPr>
      </w:pPr>
    </w:p>
    <w:p w14:paraId="7F935183" w14:textId="7C634288" w:rsidR="008561E0" w:rsidRDefault="00C362A0" w:rsidP="00C85287">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Para estos efectos</w:t>
      </w:r>
      <w:r w:rsidR="00C85287">
        <w:rPr>
          <w:rFonts w:ascii="Arial" w:eastAsia="Calibri" w:hAnsi="Arial" w:cs="Arial"/>
          <w:color w:val="000000" w:themeColor="text1"/>
          <w:sz w:val="22"/>
        </w:rPr>
        <w:t>,</w:t>
      </w:r>
      <w:r w:rsidR="00ED1DBA">
        <w:rPr>
          <w:rFonts w:ascii="Arial" w:eastAsia="Calibri" w:hAnsi="Arial" w:cs="Arial"/>
          <w:color w:val="000000" w:themeColor="text1"/>
          <w:sz w:val="22"/>
        </w:rPr>
        <w:t xml:space="preserve"> sin perjuicio de las demás referencias contenidas en el reglamento,</w:t>
      </w:r>
      <w:r w:rsidR="00C85287">
        <w:rPr>
          <w:rFonts w:ascii="Arial" w:eastAsia="Calibri" w:hAnsi="Arial" w:cs="Arial"/>
          <w:color w:val="000000" w:themeColor="text1"/>
          <w:sz w:val="22"/>
        </w:rPr>
        <w:t xml:space="preserve"> </w:t>
      </w:r>
      <w:r w:rsidR="00E847F2">
        <w:rPr>
          <w:rFonts w:ascii="Arial" w:eastAsia="Calibri" w:hAnsi="Arial" w:cs="Arial"/>
          <w:color w:val="000000" w:themeColor="text1"/>
          <w:sz w:val="22"/>
        </w:rPr>
        <w:t>el Decreto 1082 de 2015</w:t>
      </w:r>
      <w:r w:rsidR="00C85287">
        <w:rPr>
          <w:rFonts w:ascii="Arial" w:eastAsia="Calibri" w:hAnsi="Arial" w:cs="Arial"/>
          <w:color w:val="000000" w:themeColor="text1"/>
          <w:sz w:val="22"/>
        </w:rPr>
        <w:t xml:space="preserve"> </w:t>
      </w:r>
      <w:r w:rsidR="00717930">
        <w:rPr>
          <w:rFonts w:ascii="Arial" w:eastAsia="Calibri" w:hAnsi="Arial" w:cs="Arial"/>
          <w:color w:val="000000" w:themeColor="text1"/>
          <w:sz w:val="22"/>
        </w:rPr>
        <w:t>señala</w:t>
      </w:r>
      <w:r w:rsidR="00ED1DBA">
        <w:rPr>
          <w:rFonts w:ascii="Arial" w:eastAsia="Calibri" w:hAnsi="Arial" w:cs="Arial"/>
          <w:color w:val="000000" w:themeColor="text1"/>
          <w:sz w:val="22"/>
        </w:rPr>
        <w:t xml:space="preserve"> la importancia</w:t>
      </w:r>
      <w:r w:rsidR="00E847F2">
        <w:rPr>
          <w:rFonts w:ascii="Arial" w:eastAsia="Calibri" w:hAnsi="Arial" w:cs="Arial"/>
          <w:color w:val="000000" w:themeColor="text1"/>
          <w:sz w:val="22"/>
        </w:rPr>
        <w:t xml:space="preserve"> </w:t>
      </w:r>
      <w:r w:rsidR="00ED1DBA">
        <w:rPr>
          <w:rFonts w:ascii="Arial" w:eastAsia="Calibri" w:hAnsi="Arial" w:cs="Arial"/>
          <w:color w:val="000000" w:themeColor="text1"/>
          <w:sz w:val="22"/>
        </w:rPr>
        <w:t>de</w:t>
      </w:r>
      <w:r w:rsidR="00E847F2">
        <w:rPr>
          <w:rFonts w:ascii="Arial" w:eastAsia="Calibri" w:hAnsi="Arial" w:cs="Arial"/>
          <w:color w:val="000000" w:themeColor="text1"/>
          <w:sz w:val="22"/>
        </w:rPr>
        <w:t>l cronograma como</w:t>
      </w:r>
      <w:r w:rsidR="00EF7502">
        <w:rPr>
          <w:rFonts w:ascii="Arial" w:eastAsia="Calibri" w:hAnsi="Arial" w:cs="Arial"/>
          <w:color w:val="000000" w:themeColor="text1"/>
          <w:sz w:val="22"/>
        </w:rPr>
        <w:t xml:space="preserve"> parte del </w:t>
      </w:r>
      <w:r w:rsidR="00E847F2">
        <w:rPr>
          <w:rFonts w:ascii="Arial" w:eastAsia="Calibri" w:hAnsi="Arial" w:cs="Arial"/>
          <w:color w:val="000000" w:themeColor="text1"/>
          <w:sz w:val="22"/>
        </w:rPr>
        <w:t xml:space="preserve">aviso de convocatoria –art. </w:t>
      </w:r>
      <w:r w:rsidR="00E847F2" w:rsidRPr="00E847F2">
        <w:rPr>
          <w:rFonts w:ascii="Arial" w:eastAsia="Calibri" w:hAnsi="Arial" w:cs="Arial"/>
          <w:color w:val="000000" w:themeColor="text1"/>
          <w:sz w:val="22"/>
        </w:rPr>
        <w:t>2.2.1.1.2.1.2</w:t>
      </w:r>
      <w:r w:rsidR="00E847F2">
        <w:rPr>
          <w:rFonts w:ascii="Arial" w:eastAsia="Calibri" w:hAnsi="Arial" w:cs="Arial"/>
          <w:color w:val="000000" w:themeColor="text1"/>
          <w:sz w:val="22"/>
        </w:rPr>
        <w:t xml:space="preserve">, num. 12–, el pliego de condiciones –art. </w:t>
      </w:r>
      <w:r w:rsidR="00E847F2" w:rsidRPr="00E847F2">
        <w:rPr>
          <w:rFonts w:ascii="Arial" w:eastAsia="Calibri" w:hAnsi="Arial" w:cs="Arial"/>
          <w:color w:val="000000" w:themeColor="text1"/>
          <w:sz w:val="22"/>
        </w:rPr>
        <w:t>2.2.1.1.2.1.3</w:t>
      </w:r>
      <w:r w:rsidR="00E847F2">
        <w:rPr>
          <w:rFonts w:ascii="Arial" w:eastAsia="Calibri" w:hAnsi="Arial" w:cs="Arial"/>
          <w:color w:val="000000" w:themeColor="text1"/>
          <w:sz w:val="22"/>
        </w:rPr>
        <w:t>, num. 14– y el acto administrativo de apertura del proce</w:t>
      </w:r>
      <w:r w:rsidR="007915BB">
        <w:rPr>
          <w:rFonts w:ascii="Arial" w:eastAsia="Calibri" w:hAnsi="Arial" w:cs="Arial"/>
          <w:color w:val="000000" w:themeColor="text1"/>
          <w:sz w:val="22"/>
        </w:rPr>
        <w:t>dimiento</w:t>
      </w:r>
      <w:r w:rsidR="00E847F2">
        <w:rPr>
          <w:rFonts w:ascii="Arial" w:eastAsia="Calibri" w:hAnsi="Arial" w:cs="Arial"/>
          <w:color w:val="000000" w:themeColor="text1"/>
          <w:sz w:val="22"/>
        </w:rPr>
        <w:t xml:space="preserve"> de selección –art. </w:t>
      </w:r>
      <w:r w:rsidR="00E847F2" w:rsidRPr="00E847F2">
        <w:rPr>
          <w:rFonts w:ascii="Arial" w:eastAsia="Calibri" w:hAnsi="Arial" w:cs="Arial"/>
          <w:color w:val="000000" w:themeColor="text1"/>
          <w:sz w:val="22"/>
        </w:rPr>
        <w:t>2.2.1.1.2.1.5</w:t>
      </w:r>
      <w:r w:rsidR="00E847F2">
        <w:rPr>
          <w:rFonts w:ascii="Arial" w:eastAsia="Calibri" w:hAnsi="Arial" w:cs="Arial"/>
          <w:color w:val="000000" w:themeColor="text1"/>
          <w:sz w:val="22"/>
        </w:rPr>
        <w:t>, num. 3–</w:t>
      </w:r>
      <w:r>
        <w:rPr>
          <w:rFonts w:ascii="Arial" w:eastAsia="Calibri" w:hAnsi="Arial" w:cs="Arial"/>
          <w:color w:val="000000" w:themeColor="text1"/>
          <w:sz w:val="22"/>
        </w:rPr>
        <w:t xml:space="preserve">, </w:t>
      </w:r>
      <w:r w:rsidR="00381DFA">
        <w:rPr>
          <w:rFonts w:ascii="Arial" w:eastAsia="Calibri" w:hAnsi="Arial" w:cs="Arial"/>
          <w:color w:val="000000" w:themeColor="text1"/>
          <w:sz w:val="22"/>
        </w:rPr>
        <w:t>plazos que</w:t>
      </w:r>
      <w:r>
        <w:rPr>
          <w:rFonts w:ascii="Arial" w:eastAsia="Calibri" w:hAnsi="Arial" w:cs="Arial"/>
          <w:color w:val="000000" w:themeColor="text1"/>
          <w:sz w:val="22"/>
        </w:rPr>
        <w:t xml:space="preserve"> debe</w:t>
      </w:r>
      <w:r w:rsidR="00381DFA">
        <w:rPr>
          <w:rFonts w:ascii="Arial" w:eastAsia="Calibri" w:hAnsi="Arial" w:cs="Arial"/>
          <w:color w:val="000000" w:themeColor="text1"/>
          <w:sz w:val="22"/>
        </w:rPr>
        <w:t>n</w:t>
      </w:r>
      <w:r>
        <w:rPr>
          <w:rFonts w:ascii="Arial" w:eastAsia="Calibri" w:hAnsi="Arial" w:cs="Arial"/>
          <w:color w:val="000000" w:themeColor="text1"/>
          <w:sz w:val="22"/>
        </w:rPr>
        <w:t xml:space="preserve"> estar acorde</w:t>
      </w:r>
      <w:r w:rsidR="00381DFA">
        <w:rPr>
          <w:rFonts w:ascii="Arial" w:eastAsia="Calibri" w:hAnsi="Arial" w:cs="Arial"/>
          <w:color w:val="000000" w:themeColor="text1"/>
          <w:sz w:val="22"/>
        </w:rPr>
        <w:t xml:space="preserve">s a </w:t>
      </w:r>
      <w:r>
        <w:rPr>
          <w:rFonts w:ascii="Arial" w:eastAsia="Calibri" w:hAnsi="Arial" w:cs="Arial"/>
          <w:color w:val="000000" w:themeColor="text1"/>
          <w:sz w:val="22"/>
        </w:rPr>
        <w:t>los tratados aplicables a la contratación pública cubierta –</w:t>
      </w:r>
      <w:r w:rsidRPr="00C362A0">
        <w:rPr>
          <w:rFonts w:ascii="Arial" w:hAnsi="Arial" w:cs="Arial"/>
          <w:sz w:val="22"/>
        </w:rPr>
        <w:t>art.</w:t>
      </w:r>
      <w:r>
        <w:t xml:space="preserve"> </w:t>
      </w:r>
      <w:r w:rsidRPr="00C362A0">
        <w:rPr>
          <w:rFonts w:ascii="Arial" w:eastAsia="Calibri" w:hAnsi="Arial" w:cs="Arial"/>
          <w:color w:val="000000" w:themeColor="text1"/>
          <w:sz w:val="22"/>
        </w:rPr>
        <w:t>2.2.1.2.4.1.1</w:t>
      </w:r>
      <w:r>
        <w:rPr>
          <w:rFonts w:ascii="Arial" w:eastAsia="Calibri" w:hAnsi="Arial" w:cs="Arial"/>
          <w:color w:val="000000" w:themeColor="text1"/>
          <w:sz w:val="22"/>
        </w:rPr>
        <w:t>–</w:t>
      </w:r>
      <w:r w:rsidR="00E847F2">
        <w:rPr>
          <w:rFonts w:ascii="Arial" w:eastAsia="Calibri" w:hAnsi="Arial" w:cs="Arial"/>
          <w:color w:val="000000" w:themeColor="text1"/>
          <w:sz w:val="22"/>
        </w:rPr>
        <w:t>.</w:t>
      </w:r>
      <w:r>
        <w:rPr>
          <w:rFonts w:ascii="Arial" w:eastAsia="Calibri" w:hAnsi="Arial" w:cs="Arial"/>
          <w:color w:val="000000" w:themeColor="text1"/>
          <w:sz w:val="22"/>
        </w:rPr>
        <w:t xml:space="preserve">  </w:t>
      </w:r>
    </w:p>
    <w:p w14:paraId="1CB09F2F" w14:textId="3479D61C" w:rsidR="007915BB" w:rsidRDefault="008561E0" w:rsidP="00C85287">
      <w:pPr>
        <w:spacing w:after="120" w:line="276" w:lineRule="auto"/>
        <w:ind w:firstLine="708"/>
        <w:jc w:val="both"/>
        <w:rPr>
          <w:rFonts w:ascii="Arial" w:eastAsia="Calibri" w:hAnsi="Arial" w:cs="Arial"/>
          <w:color w:val="000000" w:themeColor="text1"/>
          <w:sz w:val="22"/>
        </w:rPr>
      </w:pPr>
      <w:bookmarkStart w:id="12" w:name="_Hlk43823137"/>
      <w:r>
        <w:rPr>
          <w:rFonts w:ascii="Arial" w:eastAsia="Calibri" w:hAnsi="Arial" w:cs="Arial"/>
          <w:color w:val="000000" w:themeColor="text1"/>
          <w:sz w:val="22"/>
        </w:rPr>
        <w:t xml:space="preserve">En lo que respecta a la modificación del cronograma, es necesario distinguir entre las etapas previas y posteriores al cierre del proceso de selección. Para estas últimas, </w:t>
      </w:r>
      <w:bookmarkStart w:id="13" w:name="_Hlk43808021"/>
      <w:r w:rsidR="007915BB" w:rsidRPr="007915BB">
        <w:rPr>
          <w:rFonts w:ascii="Arial" w:eastAsia="Calibri" w:hAnsi="Arial" w:cs="Arial"/>
          <w:color w:val="000000" w:themeColor="text1"/>
          <w:sz w:val="22"/>
        </w:rPr>
        <w:t>el artículo 2.2.1.1.2.2.1 del Decreto 1082 de 2015</w:t>
      </w:r>
      <w:bookmarkEnd w:id="13"/>
      <w:r w:rsidR="007915BB" w:rsidRPr="007915BB">
        <w:rPr>
          <w:rFonts w:ascii="Arial" w:eastAsia="Calibri" w:hAnsi="Arial" w:cs="Arial"/>
          <w:color w:val="000000" w:themeColor="text1"/>
          <w:sz w:val="22"/>
        </w:rPr>
        <w:t xml:space="preserve"> dispone, en lo pertinente, que «La Entidad Estatal puede modificar los pliegos de condiciones a través de Adendas expedidas antes del vencimiento del plazo para presentar ofertas» y que «La Entidad Estatal puede expedir Adendas para modificar el Cronograma una vez vencido el término para la presentación de las ofertas y antes de la adjudicación del contrato»</w:t>
      </w:r>
      <w:r w:rsidR="007915BB">
        <w:rPr>
          <w:rFonts w:ascii="Arial" w:eastAsia="Calibri" w:hAnsi="Arial" w:cs="Arial"/>
          <w:color w:val="000000" w:themeColor="text1"/>
          <w:sz w:val="22"/>
        </w:rPr>
        <w:t>.</w:t>
      </w:r>
    </w:p>
    <w:p w14:paraId="4117BBED" w14:textId="2FCA9CC8" w:rsidR="00E528C8" w:rsidRPr="00E528C8" w:rsidRDefault="00E528C8" w:rsidP="00E528C8">
      <w:pPr>
        <w:spacing w:after="120" w:line="276" w:lineRule="auto"/>
        <w:ind w:firstLine="708"/>
        <w:jc w:val="both"/>
        <w:rPr>
          <w:rFonts w:ascii="Arial" w:eastAsia="Calibri" w:hAnsi="Arial" w:cs="Arial"/>
          <w:sz w:val="22"/>
          <w:lang w:val="es-CO"/>
        </w:rPr>
      </w:pPr>
      <w:r>
        <w:rPr>
          <w:rFonts w:ascii="Arial" w:eastAsia="Calibri" w:hAnsi="Arial" w:cs="Arial"/>
          <w:sz w:val="22"/>
        </w:rPr>
        <w:t>El entendimiento de la norma citada supone diferenciar entre dos (2) tipos de ajustes: i) los referidos a las condiciones técnicas, jurídicas y económicas del pliego definitivo y ii) los del cronograma del proceso de selección, de manera que mientras ambos ajustes son posibles antes de la presentarse de las ofertas, después solo se permite modificar los plazos de las etapas siguientes</w:t>
      </w:r>
      <w:r w:rsidR="00491C25">
        <w:rPr>
          <w:rStyle w:val="Refdenotaalpie"/>
          <w:rFonts w:ascii="Arial" w:eastAsia="Calibri" w:hAnsi="Arial" w:cs="Arial"/>
          <w:sz w:val="22"/>
        </w:rPr>
        <w:footnoteReference w:id="4"/>
      </w:r>
      <w:r>
        <w:rPr>
          <w:rFonts w:ascii="Arial" w:eastAsia="Calibri" w:hAnsi="Arial" w:cs="Arial"/>
          <w:sz w:val="22"/>
        </w:rPr>
        <w:t>. Por tanto, aunque las condiciones técnicas, jurídicas y económicas no son modificables después de la presentación de las propuestas, nada obsta para que se amplíen los plazos de las diferentes etapas, ya que este aspecto no incide en la comparación de las ofertas.</w:t>
      </w:r>
    </w:p>
    <w:bookmarkEnd w:id="12"/>
    <w:p w14:paraId="672380B6" w14:textId="30D37113" w:rsidR="005D4CDB" w:rsidRDefault="007915BB" w:rsidP="00C85287">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Naturalmente, </w:t>
      </w:r>
      <w:bookmarkStart w:id="14" w:name="_Hlk43823345"/>
      <w:r w:rsidR="00E528C8" w:rsidRPr="00E528C8">
        <w:rPr>
          <w:rFonts w:ascii="Arial" w:eastAsia="Calibri" w:hAnsi="Arial" w:cs="Arial"/>
          <w:color w:val="000000" w:themeColor="text1"/>
          <w:sz w:val="22"/>
        </w:rPr>
        <w:t>el artículo 2.2.1.1.2.2.1 del Decreto 1082 de 2015</w:t>
      </w:r>
      <w:r>
        <w:rPr>
          <w:rFonts w:ascii="Arial" w:eastAsia="Calibri" w:hAnsi="Arial" w:cs="Arial"/>
          <w:color w:val="000000" w:themeColor="text1"/>
          <w:sz w:val="22"/>
        </w:rPr>
        <w:t xml:space="preserve"> se refiere a la modificación del </w:t>
      </w:r>
      <w:r w:rsidRPr="007915BB">
        <w:rPr>
          <w:rFonts w:ascii="Arial" w:eastAsia="Calibri" w:hAnsi="Arial" w:cs="Arial"/>
          <w:i/>
          <w:iCs/>
          <w:color w:val="000000" w:themeColor="text1"/>
          <w:sz w:val="22"/>
        </w:rPr>
        <w:t>pliego definitivo</w:t>
      </w:r>
      <w:r>
        <w:rPr>
          <w:rFonts w:ascii="Arial" w:eastAsia="Calibri" w:hAnsi="Arial" w:cs="Arial"/>
          <w:color w:val="000000" w:themeColor="text1"/>
          <w:sz w:val="22"/>
        </w:rPr>
        <w:t>, esto es, aquel que se p</w:t>
      </w:r>
      <w:r w:rsidR="00D4126F">
        <w:rPr>
          <w:rFonts w:ascii="Arial" w:eastAsia="Calibri" w:hAnsi="Arial" w:cs="Arial"/>
          <w:color w:val="000000" w:themeColor="text1"/>
          <w:sz w:val="22"/>
        </w:rPr>
        <w:t>u</w:t>
      </w:r>
      <w:r>
        <w:rPr>
          <w:rFonts w:ascii="Arial" w:eastAsia="Calibri" w:hAnsi="Arial" w:cs="Arial"/>
          <w:color w:val="000000" w:themeColor="text1"/>
          <w:sz w:val="22"/>
        </w:rPr>
        <w:t>blica con el acto administrativo de apertura del procedimiento de selección</w:t>
      </w:r>
      <w:r w:rsidR="00B9416B">
        <w:rPr>
          <w:rFonts w:ascii="Arial" w:eastAsia="Calibri" w:hAnsi="Arial" w:cs="Arial"/>
          <w:color w:val="000000" w:themeColor="text1"/>
          <w:sz w:val="22"/>
        </w:rPr>
        <w:t xml:space="preserve">, pues con él la entidad </w:t>
      </w:r>
      <w:r w:rsidR="005D4CDB">
        <w:rPr>
          <w:rFonts w:ascii="Arial" w:eastAsia="Calibri" w:hAnsi="Arial" w:cs="Arial"/>
          <w:color w:val="000000" w:themeColor="text1"/>
          <w:sz w:val="22"/>
        </w:rPr>
        <w:t xml:space="preserve">se obliga a recibir las </w:t>
      </w:r>
      <w:r w:rsidR="005D4CDB">
        <w:rPr>
          <w:rFonts w:ascii="Arial" w:eastAsia="Calibri" w:hAnsi="Arial" w:cs="Arial"/>
          <w:color w:val="000000" w:themeColor="text1"/>
          <w:sz w:val="22"/>
        </w:rPr>
        <w:lastRenderedPageBreak/>
        <w:t xml:space="preserve">propuestas y a evaluarlas, adjudicando el contrato salvo que finalice con la declaración de desierta. </w:t>
      </w:r>
      <w:r w:rsidR="00D4126F">
        <w:rPr>
          <w:rFonts w:ascii="Arial" w:eastAsia="Calibri" w:hAnsi="Arial" w:cs="Arial"/>
          <w:color w:val="000000" w:themeColor="text1"/>
          <w:sz w:val="22"/>
        </w:rPr>
        <w:t>P</w:t>
      </w:r>
      <w:r w:rsidR="00E528C8">
        <w:rPr>
          <w:rFonts w:ascii="Arial" w:eastAsia="Calibri" w:hAnsi="Arial" w:cs="Arial"/>
          <w:color w:val="000000" w:themeColor="text1"/>
          <w:sz w:val="22"/>
        </w:rPr>
        <w:t>or sustracción de materia</w:t>
      </w:r>
      <w:r w:rsidR="00D4126F">
        <w:rPr>
          <w:rFonts w:ascii="Arial" w:eastAsia="Calibri" w:hAnsi="Arial" w:cs="Arial"/>
          <w:color w:val="000000" w:themeColor="text1"/>
          <w:sz w:val="22"/>
        </w:rPr>
        <w:t>,</w:t>
      </w:r>
      <w:r w:rsidR="00E528C8">
        <w:rPr>
          <w:rFonts w:ascii="Arial" w:eastAsia="Calibri" w:hAnsi="Arial" w:cs="Arial"/>
          <w:color w:val="000000" w:themeColor="text1"/>
          <w:sz w:val="22"/>
        </w:rPr>
        <w:t xml:space="preserve"> esta norma no aplica al contenido </w:t>
      </w:r>
      <w:r w:rsidR="00491C25">
        <w:rPr>
          <w:rFonts w:ascii="Arial" w:eastAsia="Calibri" w:hAnsi="Arial" w:cs="Arial"/>
          <w:color w:val="000000" w:themeColor="text1"/>
          <w:sz w:val="22"/>
        </w:rPr>
        <w:t>d</w:t>
      </w:r>
      <w:r w:rsidR="00D4126F">
        <w:rPr>
          <w:rFonts w:ascii="Arial" w:eastAsia="Calibri" w:hAnsi="Arial" w:cs="Arial"/>
          <w:color w:val="000000" w:themeColor="text1"/>
          <w:sz w:val="22"/>
        </w:rPr>
        <w:t xml:space="preserve">el </w:t>
      </w:r>
      <w:r w:rsidR="00D4126F" w:rsidRPr="00D4126F">
        <w:rPr>
          <w:rFonts w:ascii="Arial" w:eastAsia="Calibri" w:hAnsi="Arial" w:cs="Arial"/>
          <w:i/>
          <w:iCs/>
          <w:color w:val="000000" w:themeColor="text1"/>
          <w:sz w:val="22"/>
        </w:rPr>
        <w:t>prepliego</w:t>
      </w:r>
      <w:r w:rsidR="00E528C8">
        <w:rPr>
          <w:rFonts w:ascii="Arial" w:eastAsia="Calibri" w:hAnsi="Arial" w:cs="Arial"/>
          <w:color w:val="000000" w:themeColor="text1"/>
          <w:sz w:val="22"/>
        </w:rPr>
        <w:t xml:space="preserve"> </w:t>
      </w:r>
      <w:r w:rsidR="00D4126F">
        <w:rPr>
          <w:rFonts w:ascii="Arial" w:eastAsia="Calibri" w:hAnsi="Arial" w:cs="Arial"/>
          <w:color w:val="000000" w:themeColor="text1"/>
          <w:sz w:val="22"/>
        </w:rPr>
        <w:t>que se p</w:t>
      </w:r>
      <w:r w:rsidR="00380875">
        <w:rPr>
          <w:rFonts w:ascii="Arial" w:eastAsia="Calibri" w:hAnsi="Arial" w:cs="Arial"/>
          <w:color w:val="000000" w:themeColor="text1"/>
          <w:sz w:val="22"/>
        </w:rPr>
        <w:t>u</w:t>
      </w:r>
      <w:r w:rsidR="00D4126F">
        <w:rPr>
          <w:rFonts w:ascii="Arial" w:eastAsia="Calibri" w:hAnsi="Arial" w:cs="Arial"/>
          <w:color w:val="000000" w:themeColor="text1"/>
          <w:sz w:val="22"/>
        </w:rPr>
        <w:t>blica con el aviso de convocatoria</w:t>
      </w:r>
      <w:r w:rsidR="006018AA">
        <w:rPr>
          <w:rFonts w:ascii="Arial" w:eastAsia="Calibri" w:hAnsi="Arial" w:cs="Arial"/>
          <w:color w:val="000000" w:themeColor="text1"/>
          <w:sz w:val="22"/>
        </w:rPr>
        <w:t xml:space="preserve"> y los estudios previos</w:t>
      </w:r>
      <w:r w:rsidR="005D4CDB">
        <w:rPr>
          <w:rFonts w:ascii="Arial" w:eastAsia="Calibri" w:hAnsi="Arial" w:cs="Arial"/>
          <w:color w:val="000000" w:themeColor="text1"/>
          <w:sz w:val="22"/>
        </w:rPr>
        <w:t>, ya que «</w:t>
      </w:r>
      <w:r w:rsidR="005D4CDB" w:rsidRPr="005D4CDB">
        <w:rPr>
          <w:rFonts w:ascii="Arial" w:eastAsia="Calibri" w:hAnsi="Arial" w:cs="Arial"/>
          <w:color w:val="000000" w:themeColor="text1"/>
          <w:sz w:val="22"/>
        </w:rPr>
        <w:t>La publicación de los proyectos de pliegos de condiciones o sus equivalentes no genera obligación para la entidad de dar apertura al proceso de selección</w:t>
      </w:r>
      <w:r w:rsidR="005D4CDB">
        <w:rPr>
          <w:rFonts w:ascii="Arial" w:eastAsia="Calibri" w:hAnsi="Arial" w:cs="Arial"/>
          <w:color w:val="000000" w:themeColor="text1"/>
          <w:sz w:val="22"/>
        </w:rPr>
        <w:t>» –art</w:t>
      </w:r>
      <w:r w:rsidR="00A9000F">
        <w:rPr>
          <w:rFonts w:ascii="Arial" w:eastAsia="Calibri" w:hAnsi="Arial" w:cs="Arial"/>
          <w:color w:val="000000" w:themeColor="text1"/>
          <w:sz w:val="22"/>
        </w:rPr>
        <w:t>.</w:t>
      </w:r>
      <w:r w:rsidR="005D4CDB">
        <w:rPr>
          <w:rFonts w:ascii="Arial" w:eastAsia="Calibri" w:hAnsi="Arial" w:cs="Arial"/>
          <w:color w:val="000000" w:themeColor="text1"/>
          <w:sz w:val="22"/>
        </w:rPr>
        <w:t xml:space="preserve"> 8, inc. 2, de la Ley 1150 de 2007–.</w:t>
      </w:r>
      <w:bookmarkEnd w:id="14"/>
    </w:p>
    <w:p w14:paraId="0A0F0238" w14:textId="64B69D3D" w:rsidR="008007EE" w:rsidRDefault="003D0670" w:rsidP="001D7420">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De esta manera es necesario preguntarse si existe un fundamento jurídico</w:t>
      </w:r>
      <w:r w:rsidR="004D1293">
        <w:rPr>
          <w:rFonts w:ascii="Arial" w:eastAsia="Calibri" w:hAnsi="Arial" w:cs="Arial"/>
          <w:color w:val="000000" w:themeColor="text1"/>
          <w:sz w:val="22"/>
        </w:rPr>
        <w:t xml:space="preserve"> para modificar el cronograma </w:t>
      </w:r>
      <w:r w:rsidR="00693313">
        <w:rPr>
          <w:rFonts w:ascii="Arial" w:eastAsia="Calibri" w:hAnsi="Arial" w:cs="Arial"/>
          <w:color w:val="000000" w:themeColor="text1"/>
          <w:sz w:val="22"/>
        </w:rPr>
        <w:t>d</w:t>
      </w:r>
      <w:r w:rsidR="004D1293">
        <w:rPr>
          <w:rFonts w:ascii="Arial" w:eastAsia="Calibri" w:hAnsi="Arial" w:cs="Arial"/>
          <w:color w:val="000000" w:themeColor="text1"/>
          <w:sz w:val="22"/>
        </w:rPr>
        <w:t>el</w:t>
      </w:r>
      <w:r w:rsidR="00D42C1B">
        <w:rPr>
          <w:rFonts w:ascii="Arial" w:eastAsia="Calibri" w:hAnsi="Arial" w:cs="Arial"/>
          <w:color w:val="000000" w:themeColor="text1"/>
          <w:sz w:val="22"/>
        </w:rPr>
        <w:t xml:space="preserve"> aviso de convocatoria y el</w:t>
      </w:r>
      <w:r w:rsidR="004D1293">
        <w:rPr>
          <w:rFonts w:ascii="Arial" w:eastAsia="Calibri" w:hAnsi="Arial" w:cs="Arial"/>
          <w:color w:val="000000" w:themeColor="text1"/>
          <w:sz w:val="22"/>
        </w:rPr>
        <w:t xml:space="preserve"> </w:t>
      </w:r>
      <w:r w:rsidR="004D1293" w:rsidRPr="00693313">
        <w:rPr>
          <w:rFonts w:ascii="Arial" w:eastAsia="Calibri" w:hAnsi="Arial" w:cs="Arial"/>
          <w:i/>
          <w:iCs/>
          <w:color w:val="000000" w:themeColor="text1"/>
          <w:sz w:val="22"/>
        </w:rPr>
        <w:t>prepliego</w:t>
      </w:r>
      <w:r>
        <w:rPr>
          <w:rFonts w:ascii="Arial" w:eastAsia="Calibri" w:hAnsi="Arial" w:cs="Arial"/>
          <w:color w:val="000000" w:themeColor="text1"/>
          <w:sz w:val="22"/>
        </w:rPr>
        <w:t xml:space="preserve">. Esta pregunta es importante para analizar la prórroga de los plazos para que los proponentes formulen observaciones al proyecto de pliegos y para que la entidad responda </w:t>
      </w:r>
      <w:r w:rsidR="00D42C1B">
        <w:rPr>
          <w:rFonts w:ascii="Arial" w:eastAsia="Calibri" w:hAnsi="Arial" w:cs="Arial"/>
          <w:color w:val="000000" w:themeColor="text1"/>
          <w:sz w:val="22"/>
        </w:rPr>
        <w:t>las mismas</w:t>
      </w:r>
      <w:r>
        <w:rPr>
          <w:rFonts w:ascii="Arial" w:eastAsia="Calibri" w:hAnsi="Arial" w:cs="Arial"/>
          <w:color w:val="000000" w:themeColor="text1"/>
          <w:sz w:val="22"/>
        </w:rPr>
        <w:t xml:space="preserve">, pues los términos de las demás etapas del procedimiento de selección </w:t>
      </w:r>
      <w:r w:rsidR="00D42C1B">
        <w:rPr>
          <w:rFonts w:ascii="Arial" w:eastAsia="Calibri" w:hAnsi="Arial" w:cs="Arial"/>
          <w:color w:val="000000" w:themeColor="text1"/>
          <w:sz w:val="22"/>
        </w:rPr>
        <w:t xml:space="preserve">se encuentran tanto en el acto de apertura como en el </w:t>
      </w:r>
      <w:r w:rsidR="00D42C1B" w:rsidRPr="00D42C1B">
        <w:rPr>
          <w:rFonts w:ascii="Arial" w:eastAsia="Calibri" w:hAnsi="Arial" w:cs="Arial"/>
          <w:i/>
          <w:iCs/>
          <w:color w:val="000000" w:themeColor="text1"/>
          <w:sz w:val="22"/>
        </w:rPr>
        <w:t>pliego definitivo</w:t>
      </w:r>
      <w:r w:rsidR="00D42C1B">
        <w:rPr>
          <w:rFonts w:ascii="Arial" w:eastAsia="Calibri" w:hAnsi="Arial" w:cs="Arial"/>
          <w:color w:val="000000" w:themeColor="text1"/>
          <w:sz w:val="22"/>
        </w:rPr>
        <w:t xml:space="preserve">, los cuales –como se explicó </w:t>
      </w:r>
      <w:r w:rsidR="00D42C1B" w:rsidRPr="00D42C1B">
        <w:rPr>
          <w:rFonts w:ascii="Arial" w:eastAsia="Calibri" w:hAnsi="Arial" w:cs="Arial"/>
          <w:i/>
          <w:iCs/>
          <w:color w:val="000000" w:themeColor="text1"/>
          <w:sz w:val="22"/>
        </w:rPr>
        <w:t>ut supra</w:t>
      </w:r>
      <w:r w:rsidR="00D42C1B">
        <w:rPr>
          <w:rFonts w:ascii="Arial" w:eastAsia="Calibri" w:hAnsi="Arial" w:cs="Arial"/>
          <w:color w:val="000000" w:themeColor="text1"/>
          <w:sz w:val="22"/>
        </w:rPr>
        <w:t xml:space="preserve">– </w:t>
      </w:r>
      <w:r w:rsidR="00B00055">
        <w:rPr>
          <w:rFonts w:ascii="Arial" w:eastAsia="Calibri" w:hAnsi="Arial" w:cs="Arial"/>
          <w:color w:val="000000" w:themeColor="text1"/>
          <w:sz w:val="22"/>
        </w:rPr>
        <w:t>cambian mediante las adendas</w:t>
      </w:r>
      <w:r w:rsidR="00D42C1B">
        <w:rPr>
          <w:rFonts w:ascii="Arial" w:eastAsia="Calibri" w:hAnsi="Arial" w:cs="Arial"/>
          <w:color w:val="000000" w:themeColor="text1"/>
          <w:sz w:val="22"/>
        </w:rPr>
        <w:t xml:space="preserve">. </w:t>
      </w:r>
    </w:p>
    <w:p w14:paraId="75B74887" w14:textId="77777777" w:rsidR="00717930" w:rsidRDefault="00D42C1B" w:rsidP="008007EE">
      <w:pPr>
        <w:spacing w:after="120" w:line="276" w:lineRule="auto"/>
        <w:ind w:firstLine="708"/>
        <w:jc w:val="both"/>
        <w:rPr>
          <w:rFonts w:ascii="Arial" w:eastAsia="Calibri" w:hAnsi="Arial" w:cs="Arial"/>
          <w:sz w:val="22"/>
        </w:rPr>
      </w:pPr>
      <w:bookmarkStart w:id="15" w:name="_Hlk43823729"/>
      <w:r>
        <w:rPr>
          <w:rFonts w:ascii="Arial" w:eastAsia="Calibri" w:hAnsi="Arial" w:cs="Arial"/>
          <w:color w:val="000000" w:themeColor="text1"/>
          <w:sz w:val="22"/>
        </w:rPr>
        <w:t xml:space="preserve">En principio, podría sostenerse que las entidades </w:t>
      </w:r>
      <w:r w:rsidR="006929BA">
        <w:rPr>
          <w:rFonts w:ascii="Arial" w:eastAsia="Calibri" w:hAnsi="Arial" w:cs="Arial"/>
          <w:color w:val="000000" w:themeColor="text1"/>
          <w:sz w:val="22"/>
        </w:rPr>
        <w:t>modifican</w:t>
      </w:r>
      <w:r>
        <w:rPr>
          <w:rFonts w:ascii="Arial" w:eastAsia="Calibri" w:hAnsi="Arial" w:cs="Arial"/>
          <w:color w:val="000000" w:themeColor="text1"/>
          <w:sz w:val="22"/>
        </w:rPr>
        <w:t xml:space="preserve"> los plazos de las etapas previas a la apertura del procedimiento de selección siempre que, a través del SECOP, informen a los interesados la intención de prorroga</w:t>
      </w:r>
      <w:r w:rsidR="006929BA">
        <w:rPr>
          <w:rFonts w:ascii="Arial" w:eastAsia="Calibri" w:hAnsi="Arial" w:cs="Arial"/>
          <w:color w:val="000000" w:themeColor="text1"/>
          <w:sz w:val="22"/>
        </w:rPr>
        <w:t xml:space="preserve">rlos. Pese al estrecho parecido con la adenda, esta comunicación no tendría un </w:t>
      </w:r>
      <w:r w:rsidR="006929BA" w:rsidRPr="006929BA">
        <w:rPr>
          <w:rFonts w:ascii="Arial" w:eastAsia="Calibri" w:hAnsi="Arial" w:cs="Arial"/>
          <w:i/>
          <w:iCs/>
          <w:color w:val="000000" w:themeColor="text1"/>
          <w:sz w:val="22"/>
        </w:rPr>
        <w:t>nomen iuris</w:t>
      </w:r>
      <w:r w:rsidR="006929BA">
        <w:rPr>
          <w:rFonts w:ascii="Arial" w:eastAsia="Calibri" w:hAnsi="Arial" w:cs="Arial"/>
          <w:color w:val="000000" w:themeColor="text1"/>
          <w:sz w:val="22"/>
        </w:rPr>
        <w:t xml:space="preserve"> definido por la ley, pero vincularía a la </w:t>
      </w:r>
      <w:r w:rsidR="00B00055">
        <w:rPr>
          <w:rFonts w:ascii="Arial" w:eastAsia="Calibri" w:hAnsi="Arial" w:cs="Arial"/>
          <w:color w:val="000000" w:themeColor="text1"/>
          <w:sz w:val="22"/>
        </w:rPr>
        <w:t>A</w:t>
      </w:r>
      <w:r w:rsidR="006929BA">
        <w:rPr>
          <w:rFonts w:ascii="Arial" w:eastAsia="Calibri" w:hAnsi="Arial" w:cs="Arial"/>
          <w:color w:val="000000" w:themeColor="text1"/>
          <w:sz w:val="22"/>
        </w:rPr>
        <w:t xml:space="preserve">dministración y a los proponentes. Sin embargo, la Subdirección no comparte </w:t>
      </w:r>
      <w:r w:rsidR="001D7420">
        <w:rPr>
          <w:rFonts w:ascii="Arial" w:eastAsia="Calibri" w:hAnsi="Arial" w:cs="Arial"/>
          <w:color w:val="000000" w:themeColor="text1"/>
          <w:sz w:val="22"/>
        </w:rPr>
        <w:t xml:space="preserve">la posibilidad de modificar el </w:t>
      </w:r>
      <w:r w:rsidR="001D7420" w:rsidRPr="001D7420">
        <w:rPr>
          <w:rFonts w:ascii="Arial" w:eastAsia="Calibri" w:hAnsi="Arial" w:cs="Arial"/>
          <w:i/>
          <w:iCs/>
          <w:color w:val="000000" w:themeColor="text1"/>
          <w:sz w:val="22"/>
        </w:rPr>
        <w:t>prepliego</w:t>
      </w:r>
      <w:r w:rsidR="001D7420">
        <w:rPr>
          <w:rFonts w:ascii="Arial" w:eastAsia="Calibri" w:hAnsi="Arial" w:cs="Arial"/>
          <w:color w:val="000000" w:themeColor="text1"/>
          <w:sz w:val="22"/>
        </w:rPr>
        <w:t xml:space="preserve">, ya que el </w:t>
      </w:r>
      <w:r w:rsidR="001D7420" w:rsidRPr="00E528C8">
        <w:rPr>
          <w:rFonts w:ascii="Arial" w:eastAsia="Calibri" w:hAnsi="Arial" w:cs="Arial"/>
          <w:color w:val="000000" w:themeColor="text1"/>
          <w:sz w:val="22"/>
        </w:rPr>
        <w:t>artículo 2.2.1.1.2.2.1 del Decreto 1082 de 2015</w:t>
      </w:r>
      <w:r w:rsidR="001D7420">
        <w:rPr>
          <w:rFonts w:ascii="Arial" w:eastAsia="Calibri" w:hAnsi="Arial" w:cs="Arial"/>
          <w:color w:val="000000" w:themeColor="text1"/>
          <w:sz w:val="22"/>
        </w:rPr>
        <w:t xml:space="preserve"> se refiere </w:t>
      </w:r>
      <w:r w:rsidR="00B00055">
        <w:rPr>
          <w:rFonts w:ascii="Arial" w:eastAsia="Calibri" w:hAnsi="Arial" w:cs="Arial"/>
          <w:color w:val="000000" w:themeColor="text1"/>
          <w:sz w:val="22"/>
        </w:rPr>
        <w:t xml:space="preserve">únicamente </w:t>
      </w:r>
      <w:r w:rsidR="001D7420">
        <w:rPr>
          <w:rFonts w:ascii="Arial" w:eastAsia="Calibri" w:hAnsi="Arial" w:cs="Arial"/>
          <w:color w:val="000000" w:themeColor="text1"/>
          <w:sz w:val="22"/>
        </w:rPr>
        <w:t xml:space="preserve">al </w:t>
      </w:r>
      <w:r w:rsidR="001D7420" w:rsidRPr="001D7420">
        <w:rPr>
          <w:rFonts w:ascii="Arial" w:eastAsia="Calibri" w:hAnsi="Arial" w:cs="Arial"/>
          <w:i/>
          <w:iCs/>
          <w:color w:val="000000" w:themeColor="text1"/>
          <w:sz w:val="22"/>
        </w:rPr>
        <w:t>pliego definitivo</w:t>
      </w:r>
      <w:r w:rsidR="001D7420">
        <w:rPr>
          <w:rFonts w:ascii="Arial" w:eastAsia="Calibri" w:hAnsi="Arial" w:cs="Arial"/>
          <w:color w:val="000000" w:themeColor="text1"/>
          <w:sz w:val="22"/>
        </w:rPr>
        <w:t>.</w:t>
      </w:r>
      <w:r w:rsidR="008007EE">
        <w:rPr>
          <w:rFonts w:ascii="Arial" w:eastAsia="Calibri" w:hAnsi="Arial" w:cs="Arial"/>
          <w:color w:val="000000" w:themeColor="text1"/>
          <w:sz w:val="22"/>
        </w:rPr>
        <w:t xml:space="preserve"> Es decir, no es posible modificar aquel por sustracción de materia, especialmente, cuando el artículo 25.2 de la Ley 80 de 1993 dispone que «</w:t>
      </w:r>
      <w:r w:rsidR="008007EE">
        <w:rPr>
          <w:rFonts w:ascii="Arial" w:eastAsia="Calibri" w:hAnsi="Arial" w:cs="Arial"/>
          <w:sz w:val="22"/>
        </w:rPr>
        <w:t>Las normas de los procedimientos contractuales se interpretarán de tal manera que no den ocasión a seguir trámites distintos y adicionales a los expresamente previstos […]»</w:t>
      </w:r>
      <w:r w:rsidR="00B00055">
        <w:rPr>
          <w:rFonts w:ascii="Arial" w:eastAsia="Calibri" w:hAnsi="Arial" w:cs="Arial"/>
          <w:sz w:val="22"/>
        </w:rPr>
        <w:t xml:space="preserve">. </w:t>
      </w:r>
    </w:p>
    <w:p w14:paraId="3C528EB2" w14:textId="446833B1" w:rsidR="00717930" w:rsidRDefault="00B00055" w:rsidP="00717930">
      <w:pPr>
        <w:spacing w:line="276" w:lineRule="auto"/>
        <w:ind w:firstLine="708"/>
        <w:jc w:val="both"/>
        <w:rPr>
          <w:rFonts w:ascii="Arial" w:eastAsia="Calibri" w:hAnsi="Arial" w:cs="Arial"/>
          <w:sz w:val="22"/>
        </w:rPr>
      </w:pPr>
      <w:bookmarkStart w:id="16" w:name="_Hlk44245713"/>
      <w:r>
        <w:rPr>
          <w:rFonts w:ascii="Arial" w:eastAsia="Calibri" w:hAnsi="Arial" w:cs="Arial"/>
          <w:sz w:val="22"/>
        </w:rPr>
        <w:t xml:space="preserve">Conforme </w:t>
      </w:r>
      <w:r w:rsidR="00717930">
        <w:rPr>
          <w:rFonts w:ascii="Arial" w:eastAsia="Calibri" w:hAnsi="Arial" w:cs="Arial"/>
          <w:sz w:val="22"/>
        </w:rPr>
        <w:t>la norma citada en el párrafo precedente</w:t>
      </w:r>
      <w:r>
        <w:rPr>
          <w:rFonts w:ascii="Arial" w:eastAsia="Calibri" w:hAnsi="Arial" w:cs="Arial"/>
          <w:sz w:val="22"/>
        </w:rPr>
        <w:t xml:space="preserve">, </w:t>
      </w:r>
      <w:r w:rsidR="001427E8">
        <w:rPr>
          <w:rFonts w:ascii="Arial" w:eastAsia="Calibri" w:hAnsi="Arial" w:cs="Arial"/>
          <w:sz w:val="22"/>
        </w:rPr>
        <w:t xml:space="preserve">la Agencia concluye que </w:t>
      </w:r>
      <w:r w:rsidR="009C1FFE">
        <w:rPr>
          <w:rFonts w:ascii="Arial" w:eastAsia="Calibri" w:hAnsi="Arial" w:cs="Arial"/>
          <w:sz w:val="22"/>
        </w:rPr>
        <w:t>solo</w:t>
      </w:r>
      <w:r>
        <w:rPr>
          <w:rFonts w:ascii="Arial" w:eastAsia="Calibri" w:hAnsi="Arial" w:cs="Arial"/>
          <w:sz w:val="22"/>
        </w:rPr>
        <w:t xml:space="preserve"> es posible modificar los plazos del procedimiento de selección contenidos en el </w:t>
      </w:r>
      <w:r w:rsidRPr="00B00055">
        <w:rPr>
          <w:rFonts w:ascii="Arial" w:eastAsia="Calibri" w:hAnsi="Arial" w:cs="Arial"/>
          <w:i/>
          <w:iCs/>
          <w:sz w:val="22"/>
        </w:rPr>
        <w:t>pliego definitivo</w:t>
      </w:r>
      <w:r>
        <w:rPr>
          <w:rFonts w:ascii="Arial" w:eastAsia="Calibri" w:hAnsi="Arial" w:cs="Arial"/>
          <w:sz w:val="22"/>
        </w:rPr>
        <w:t xml:space="preserve">, razón por la cual –con independencia del </w:t>
      </w:r>
      <w:r w:rsidRPr="006929BA">
        <w:rPr>
          <w:rFonts w:ascii="Arial" w:eastAsia="Calibri" w:hAnsi="Arial" w:cs="Arial"/>
          <w:i/>
          <w:iCs/>
          <w:color w:val="000000" w:themeColor="text1"/>
          <w:sz w:val="22"/>
        </w:rPr>
        <w:t>nomen iuris</w:t>
      </w:r>
      <w:r>
        <w:rPr>
          <w:rFonts w:ascii="Arial" w:eastAsia="Calibri" w:hAnsi="Arial" w:cs="Arial"/>
          <w:color w:val="000000" w:themeColor="text1"/>
          <w:sz w:val="22"/>
        </w:rPr>
        <w:t xml:space="preserve">– </w:t>
      </w:r>
      <w:r w:rsidR="009C1FFE">
        <w:rPr>
          <w:rFonts w:ascii="Arial" w:eastAsia="Calibri" w:hAnsi="Arial" w:cs="Arial"/>
          <w:color w:val="000000" w:themeColor="text1"/>
          <w:sz w:val="22"/>
        </w:rPr>
        <w:t xml:space="preserve">las adendas </w:t>
      </w:r>
      <w:r>
        <w:rPr>
          <w:rFonts w:ascii="Arial" w:eastAsia="Calibri" w:hAnsi="Arial" w:cs="Arial"/>
          <w:color w:val="000000" w:themeColor="text1"/>
          <w:sz w:val="22"/>
        </w:rPr>
        <w:t xml:space="preserve">están prohibidas en el </w:t>
      </w:r>
      <w:r w:rsidRPr="00B00055">
        <w:rPr>
          <w:rFonts w:ascii="Arial" w:eastAsia="Calibri" w:hAnsi="Arial" w:cs="Arial"/>
          <w:i/>
          <w:iCs/>
          <w:color w:val="000000" w:themeColor="text1"/>
          <w:sz w:val="22"/>
        </w:rPr>
        <w:t>prepliego</w:t>
      </w:r>
      <w:r>
        <w:rPr>
          <w:rFonts w:ascii="Arial" w:eastAsia="Calibri" w:hAnsi="Arial" w:cs="Arial"/>
          <w:color w:val="000000" w:themeColor="text1"/>
          <w:sz w:val="22"/>
        </w:rPr>
        <w:t>.</w:t>
      </w:r>
      <w:r w:rsidR="00717930">
        <w:rPr>
          <w:rFonts w:ascii="Arial" w:eastAsia="Calibri" w:hAnsi="Arial" w:cs="Arial"/>
          <w:i/>
          <w:iCs/>
          <w:color w:val="000000" w:themeColor="text1"/>
          <w:sz w:val="22"/>
        </w:rPr>
        <w:t xml:space="preserve"> </w:t>
      </w:r>
      <w:r w:rsidR="006018AA">
        <w:rPr>
          <w:rFonts w:ascii="Arial" w:eastAsia="Calibri" w:hAnsi="Arial" w:cs="Arial"/>
          <w:sz w:val="22"/>
        </w:rPr>
        <w:t xml:space="preserve">Esta conclusión </w:t>
      </w:r>
      <w:r>
        <w:rPr>
          <w:rFonts w:ascii="Arial" w:eastAsia="Calibri" w:hAnsi="Arial" w:cs="Arial"/>
          <w:sz w:val="22"/>
        </w:rPr>
        <w:t xml:space="preserve">es razonable, ya que cuando </w:t>
      </w:r>
      <w:r w:rsidR="00717930">
        <w:rPr>
          <w:rFonts w:ascii="Arial" w:eastAsia="Calibri" w:hAnsi="Arial" w:cs="Arial"/>
          <w:sz w:val="22"/>
        </w:rPr>
        <w:t xml:space="preserve">se </w:t>
      </w:r>
      <w:r w:rsidR="006018AA">
        <w:rPr>
          <w:rFonts w:ascii="Arial" w:eastAsia="Calibri" w:hAnsi="Arial" w:cs="Arial"/>
          <w:sz w:val="22"/>
        </w:rPr>
        <w:t>resuelve</w:t>
      </w:r>
      <w:r w:rsidR="00717930">
        <w:rPr>
          <w:rFonts w:ascii="Arial" w:eastAsia="Calibri" w:hAnsi="Arial" w:cs="Arial"/>
          <w:sz w:val="22"/>
        </w:rPr>
        <w:t>n</w:t>
      </w:r>
      <w:r>
        <w:rPr>
          <w:rFonts w:ascii="Arial" w:eastAsia="Calibri" w:hAnsi="Arial" w:cs="Arial"/>
          <w:sz w:val="22"/>
        </w:rPr>
        <w:t xml:space="preserve"> favorablemente </w:t>
      </w:r>
      <w:r w:rsidR="006018AA">
        <w:rPr>
          <w:rFonts w:ascii="Arial" w:eastAsia="Calibri" w:hAnsi="Arial" w:cs="Arial"/>
          <w:sz w:val="22"/>
        </w:rPr>
        <w:t xml:space="preserve">las </w:t>
      </w:r>
      <w:r>
        <w:rPr>
          <w:rFonts w:ascii="Arial" w:eastAsia="Calibri" w:hAnsi="Arial" w:cs="Arial"/>
          <w:sz w:val="22"/>
        </w:rPr>
        <w:t xml:space="preserve">observaciones </w:t>
      </w:r>
      <w:r w:rsidR="000857BC">
        <w:rPr>
          <w:rFonts w:ascii="Arial" w:eastAsia="Calibri" w:hAnsi="Arial" w:cs="Arial"/>
          <w:sz w:val="22"/>
        </w:rPr>
        <w:t>del proyecto de pliegos</w:t>
      </w:r>
      <w:r>
        <w:rPr>
          <w:rFonts w:ascii="Arial" w:eastAsia="Calibri" w:hAnsi="Arial" w:cs="Arial"/>
          <w:sz w:val="22"/>
        </w:rPr>
        <w:t xml:space="preserve">, los cambios </w:t>
      </w:r>
      <w:r w:rsidR="006018AA">
        <w:rPr>
          <w:rFonts w:ascii="Arial" w:eastAsia="Calibri" w:hAnsi="Arial" w:cs="Arial"/>
          <w:sz w:val="22"/>
        </w:rPr>
        <w:t xml:space="preserve">se unifican en el </w:t>
      </w:r>
      <w:r w:rsidR="000857BC" w:rsidRPr="00B00055">
        <w:rPr>
          <w:rFonts w:ascii="Arial" w:eastAsia="Calibri" w:hAnsi="Arial" w:cs="Arial"/>
          <w:i/>
          <w:iCs/>
          <w:sz w:val="22"/>
        </w:rPr>
        <w:t>pliego definitivo</w:t>
      </w:r>
      <w:r w:rsidR="006018AA">
        <w:rPr>
          <w:rFonts w:ascii="Arial" w:eastAsia="Calibri" w:hAnsi="Arial" w:cs="Arial"/>
          <w:sz w:val="22"/>
        </w:rPr>
        <w:t>.</w:t>
      </w:r>
      <w:bookmarkEnd w:id="15"/>
      <w:bookmarkEnd w:id="16"/>
      <w:r w:rsidR="00717930">
        <w:rPr>
          <w:rFonts w:ascii="Arial" w:eastAsia="Calibri" w:hAnsi="Arial" w:cs="Arial"/>
          <w:sz w:val="22"/>
        </w:rPr>
        <w:t xml:space="preserve"> </w:t>
      </w:r>
      <w:r w:rsidR="006018AA">
        <w:rPr>
          <w:rFonts w:ascii="Arial" w:eastAsia="Calibri" w:hAnsi="Arial" w:cs="Arial"/>
          <w:sz w:val="22"/>
        </w:rPr>
        <w:t xml:space="preserve"> </w:t>
      </w:r>
    </w:p>
    <w:p w14:paraId="4564D37B" w14:textId="3541E748" w:rsidR="00BC7B6A" w:rsidRPr="00717930" w:rsidRDefault="006018AA" w:rsidP="00717930">
      <w:pPr>
        <w:spacing w:line="276" w:lineRule="auto"/>
        <w:ind w:firstLine="708"/>
        <w:jc w:val="both"/>
        <w:rPr>
          <w:rFonts w:ascii="Arial" w:eastAsia="Calibri" w:hAnsi="Arial" w:cs="Arial"/>
          <w:sz w:val="22"/>
        </w:rPr>
      </w:pPr>
      <w:r>
        <w:rPr>
          <w:rFonts w:ascii="Arial" w:eastAsia="Calibri" w:hAnsi="Arial" w:cs="Arial"/>
          <w:sz w:val="22"/>
        </w:rPr>
        <w:t xml:space="preserve"> </w:t>
      </w:r>
      <w:r w:rsidR="00B00055">
        <w:rPr>
          <w:rFonts w:ascii="Arial" w:eastAsia="Calibri" w:hAnsi="Arial" w:cs="Arial"/>
          <w:sz w:val="22"/>
        </w:rPr>
        <w:t xml:space="preserve"> </w:t>
      </w: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5C2D6EF8" w14:textId="0684EAAA" w:rsidR="00BE1E33" w:rsidRPr="006C15D5" w:rsidRDefault="00185441" w:rsidP="00856B64">
      <w:pPr>
        <w:ind w:left="709" w:right="709"/>
        <w:jc w:val="both"/>
        <w:rPr>
          <w:rFonts w:ascii="Arial" w:eastAsia="Calibri" w:hAnsi="Arial" w:cs="Arial"/>
          <w:color w:val="000000" w:themeColor="text1"/>
          <w:sz w:val="21"/>
          <w:szCs w:val="21"/>
        </w:rPr>
      </w:pPr>
      <w:r w:rsidRPr="00185441">
        <w:rPr>
          <w:rFonts w:ascii="Arial" w:eastAsia="Calibri" w:hAnsi="Arial" w:cs="Arial"/>
          <w:color w:val="000000" w:themeColor="text1"/>
          <w:sz w:val="21"/>
          <w:szCs w:val="21"/>
        </w:rPr>
        <w:t>«¿Por medio de qué documento se modifica el cronograma del proceso antes de la apertura del mismo?». Lo anterior, en la medida que «[…]  el decreto 1082 de 2015, solo autoriza la expedición de adendas para modificar el pliego de condiciones y el cronograma una vez aperturado el proceso, y para modificar el cronograma una vez se haya presentado la propuesta».</w:t>
      </w:r>
    </w:p>
    <w:p w14:paraId="543576F5" w14:textId="77777777" w:rsidR="00F722BD" w:rsidRDefault="00F722BD" w:rsidP="00CE35D5">
      <w:pPr>
        <w:spacing w:line="276" w:lineRule="auto"/>
        <w:jc w:val="both"/>
        <w:rPr>
          <w:rFonts w:ascii="Arial" w:eastAsia="Calibri" w:hAnsi="Arial" w:cs="Arial"/>
          <w:color w:val="000000" w:themeColor="text1"/>
          <w:sz w:val="22"/>
        </w:rPr>
      </w:pPr>
    </w:p>
    <w:p w14:paraId="04048464" w14:textId="7EFF8423" w:rsidR="00462A87" w:rsidRDefault="001427E8" w:rsidP="00054B43">
      <w:pPr>
        <w:spacing w:line="276" w:lineRule="auto"/>
        <w:jc w:val="both"/>
        <w:rPr>
          <w:rFonts w:ascii="Arial" w:eastAsia="Calibri" w:hAnsi="Arial" w:cs="Arial"/>
          <w:color w:val="000000" w:themeColor="text1"/>
          <w:sz w:val="22"/>
        </w:rPr>
      </w:pPr>
      <w:r>
        <w:rPr>
          <w:rFonts w:ascii="Arial" w:eastAsia="Calibri" w:hAnsi="Arial" w:cs="Arial"/>
          <w:sz w:val="22"/>
        </w:rPr>
        <w:t xml:space="preserve">Teniendo en cuenta que el </w:t>
      </w:r>
      <w:r w:rsidRPr="007915BB">
        <w:rPr>
          <w:rFonts w:ascii="Arial" w:eastAsia="Calibri" w:hAnsi="Arial" w:cs="Arial"/>
          <w:color w:val="000000" w:themeColor="text1"/>
          <w:sz w:val="22"/>
        </w:rPr>
        <w:t>artículo 2.2.1.1.2.2.1 del Decreto 1082 de 2015</w:t>
      </w:r>
      <w:r>
        <w:rPr>
          <w:rFonts w:ascii="Arial" w:eastAsia="Calibri" w:hAnsi="Arial" w:cs="Arial"/>
          <w:color w:val="000000" w:themeColor="text1"/>
          <w:sz w:val="22"/>
        </w:rPr>
        <w:t xml:space="preserve"> solo permite la expedición de adendas </w:t>
      </w:r>
      <w:r>
        <w:rPr>
          <w:rFonts w:ascii="Arial" w:eastAsia="Calibri" w:hAnsi="Arial" w:cs="Arial"/>
          <w:sz w:val="22"/>
        </w:rPr>
        <w:t xml:space="preserve">para modificar el </w:t>
      </w:r>
      <w:r w:rsidRPr="001427E8">
        <w:rPr>
          <w:rFonts w:ascii="Arial" w:eastAsia="Calibri" w:hAnsi="Arial" w:cs="Arial"/>
          <w:i/>
          <w:iCs/>
          <w:sz w:val="22"/>
        </w:rPr>
        <w:t>pliego definitivo</w:t>
      </w:r>
      <w:r>
        <w:rPr>
          <w:rFonts w:ascii="Arial" w:eastAsia="Calibri" w:hAnsi="Arial" w:cs="Arial"/>
          <w:sz w:val="22"/>
        </w:rPr>
        <w:t>,</w:t>
      </w:r>
      <w:r w:rsidR="00E30356">
        <w:rPr>
          <w:rFonts w:ascii="Arial" w:eastAsia="Calibri" w:hAnsi="Arial" w:cs="Arial"/>
          <w:sz w:val="22"/>
        </w:rPr>
        <w:t xml:space="preserve"> por sustracción de materia</w:t>
      </w:r>
      <w:r>
        <w:rPr>
          <w:rFonts w:ascii="Arial" w:eastAsia="Calibri" w:hAnsi="Arial" w:cs="Arial"/>
          <w:sz w:val="22"/>
        </w:rPr>
        <w:t xml:space="preserve"> no es posible modificar el </w:t>
      </w:r>
      <w:r w:rsidRPr="001427E8">
        <w:rPr>
          <w:rFonts w:ascii="Arial" w:eastAsia="Calibri" w:hAnsi="Arial" w:cs="Arial"/>
          <w:i/>
          <w:iCs/>
          <w:sz w:val="22"/>
        </w:rPr>
        <w:t>prepliego</w:t>
      </w:r>
      <w:r>
        <w:rPr>
          <w:rFonts w:ascii="Arial" w:eastAsia="Calibri" w:hAnsi="Arial" w:cs="Arial"/>
          <w:sz w:val="22"/>
        </w:rPr>
        <w:t xml:space="preserve"> antes de la apertura del proceso de selección</w:t>
      </w:r>
      <w:r w:rsidR="00E30356">
        <w:rPr>
          <w:rFonts w:ascii="Arial" w:eastAsia="Calibri" w:hAnsi="Arial" w:cs="Arial"/>
          <w:sz w:val="22"/>
        </w:rPr>
        <w:t xml:space="preserve">, pues aplica la </w:t>
      </w:r>
      <w:r w:rsidR="00E30356">
        <w:rPr>
          <w:rFonts w:ascii="Arial" w:eastAsia="Calibri" w:hAnsi="Arial" w:cs="Arial"/>
          <w:sz w:val="22"/>
        </w:rPr>
        <w:lastRenderedPageBreak/>
        <w:t xml:space="preserve">prohibición del citado </w:t>
      </w:r>
      <w:r w:rsidR="00E30356">
        <w:rPr>
          <w:rFonts w:ascii="Arial" w:eastAsia="Calibri" w:hAnsi="Arial" w:cs="Arial"/>
          <w:color w:val="000000" w:themeColor="text1"/>
          <w:sz w:val="22"/>
        </w:rPr>
        <w:t xml:space="preserve">artículo 25.2 de la Ley 80 de 1993 </w:t>
      </w:r>
      <w:r w:rsidR="00054B43">
        <w:rPr>
          <w:rFonts w:ascii="Arial" w:eastAsia="Calibri" w:hAnsi="Arial" w:cs="Arial"/>
          <w:color w:val="000000" w:themeColor="text1"/>
          <w:sz w:val="22"/>
        </w:rPr>
        <w:t>por</w:t>
      </w:r>
      <w:r w:rsidR="00E30356">
        <w:rPr>
          <w:rFonts w:ascii="Arial" w:eastAsia="Calibri" w:hAnsi="Arial" w:cs="Arial"/>
          <w:color w:val="000000" w:themeColor="text1"/>
          <w:sz w:val="22"/>
        </w:rPr>
        <w:t xml:space="preserve">que el tema no está expresamente regulado en el Estatuto General. En este contexto, la única forma de modificar el </w:t>
      </w:r>
      <w:r w:rsidR="00E30356" w:rsidRPr="001427E8">
        <w:rPr>
          <w:rFonts w:ascii="Arial" w:eastAsia="Calibri" w:hAnsi="Arial" w:cs="Arial"/>
          <w:i/>
          <w:iCs/>
          <w:sz w:val="22"/>
        </w:rPr>
        <w:t>prepliego</w:t>
      </w:r>
      <w:r w:rsidR="00E30356">
        <w:rPr>
          <w:rFonts w:ascii="Arial" w:eastAsia="Calibri" w:hAnsi="Arial" w:cs="Arial"/>
          <w:sz w:val="22"/>
        </w:rPr>
        <w:t xml:space="preserve"> es a través de los ajustes </w:t>
      </w:r>
      <w:r w:rsidR="006328CC">
        <w:rPr>
          <w:rFonts w:ascii="Arial" w:eastAsia="Calibri" w:hAnsi="Arial" w:cs="Arial"/>
          <w:sz w:val="22"/>
        </w:rPr>
        <w:t xml:space="preserve">incorporados en el </w:t>
      </w:r>
      <w:r w:rsidR="00E30356" w:rsidRPr="001427E8">
        <w:rPr>
          <w:rFonts w:ascii="Arial" w:eastAsia="Calibri" w:hAnsi="Arial" w:cs="Arial"/>
          <w:i/>
          <w:iCs/>
          <w:sz w:val="22"/>
        </w:rPr>
        <w:t>pliego definitivo</w:t>
      </w:r>
      <w:r w:rsidR="00E30356">
        <w:rPr>
          <w:rFonts w:ascii="Arial" w:eastAsia="Calibri" w:hAnsi="Arial" w:cs="Arial"/>
          <w:sz w:val="22"/>
        </w:rPr>
        <w:t>, el cual se p</w:t>
      </w:r>
      <w:r w:rsidR="006328CC">
        <w:rPr>
          <w:rFonts w:ascii="Arial" w:eastAsia="Calibri" w:hAnsi="Arial" w:cs="Arial"/>
          <w:sz w:val="22"/>
        </w:rPr>
        <w:t>u</w:t>
      </w:r>
      <w:r w:rsidR="00E30356">
        <w:rPr>
          <w:rFonts w:ascii="Arial" w:eastAsia="Calibri" w:hAnsi="Arial" w:cs="Arial"/>
          <w:sz w:val="22"/>
        </w:rPr>
        <w:t>blica con el acto de apertura y la respuesta de las observaciones formuladas al primero.</w:t>
      </w:r>
      <w:r w:rsidR="00E30356">
        <w:rPr>
          <w:rFonts w:ascii="Arial" w:eastAsia="Calibri" w:hAnsi="Arial" w:cs="Arial"/>
          <w:color w:val="000000" w:themeColor="text1"/>
          <w:sz w:val="22"/>
        </w:rPr>
        <w:t xml:space="preserve"> </w:t>
      </w:r>
      <w:r w:rsidR="00E30356">
        <w:rPr>
          <w:rFonts w:ascii="Arial" w:eastAsia="Calibri" w:hAnsi="Arial" w:cs="Arial"/>
          <w:sz w:val="22"/>
        </w:rPr>
        <w:t xml:space="preserve">  </w:t>
      </w:r>
      <w:r>
        <w:rPr>
          <w:rFonts w:ascii="Arial" w:eastAsia="Calibri" w:hAnsi="Arial" w:cs="Arial"/>
          <w:sz w:val="22"/>
        </w:rPr>
        <w:t xml:space="preserve"> </w:t>
      </w:r>
      <w:r w:rsidR="003F4E8A">
        <w:rPr>
          <w:rFonts w:ascii="Arial" w:eastAsia="Calibri" w:hAnsi="Arial" w:cs="Arial"/>
          <w:sz w:val="22"/>
        </w:rPr>
        <w:t xml:space="preserve"> </w:t>
      </w:r>
      <w:r w:rsidR="003F4E8A">
        <w:rPr>
          <w:rFonts w:ascii="Arial" w:eastAsia="Calibri" w:hAnsi="Arial" w:cs="Arial"/>
          <w:color w:val="000000" w:themeColor="text1"/>
          <w:sz w:val="22"/>
        </w:rPr>
        <w:t xml:space="preserve"> </w:t>
      </w:r>
      <w:r w:rsidR="00457CF2">
        <w:rPr>
          <w:rFonts w:ascii="Arial" w:hAnsi="Arial" w:cs="Arial"/>
          <w:bCs/>
          <w:color w:val="000000" w:themeColor="text1"/>
          <w:sz w:val="22"/>
          <w:lang w:val="es-ES"/>
        </w:rPr>
        <w:t xml:space="preserve">  </w:t>
      </w:r>
    </w:p>
    <w:p w14:paraId="5B0B1E86" w14:textId="77777777" w:rsidR="00185441" w:rsidRDefault="00185441" w:rsidP="00185441">
      <w:pPr>
        <w:spacing w:line="276" w:lineRule="auto"/>
        <w:jc w:val="both"/>
        <w:rPr>
          <w:rFonts w:ascii="Arial" w:eastAsia="Calibri" w:hAnsi="Arial" w:cs="Arial"/>
          <w:color w:val="000000" w:themeColor="text1"/>
          <w:sz w:val="22"/>
        </w:rPr>
      </w:pPr>
    </w:p>
    <w:p w14:paraId="66CE4DD8" w14:textId="40186C6E" w:rsidR="00BE1E33" w:rsidRPr="006C15D5" w:rsidRDefault="00BE1E33" w:rsidP="00BE1E33">
      <w:pPr>
        <w:spacing w:before="120"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48AC5EFE" w:rsidR="00BE1E33" w:rsidRDefault="00D43160" w:rsidP="00BE1E33">
      <w:pPr>
        <w:jc w:val="center"/>
        <w:rPr>
          <w:rFonts w:ascii="Arial" w:eastAsia="Times New Roman" w:hAnsi="Arial" w:cs="Arial"/>
          <w:color w:val="000000" w:themeColor="text1"/>
          <w:sz w:val="18"/>
          <w:szCs w:val="20"/>
          <w:lang w:eastAsia="es-CO"/>
        </w:rPr>
      </w:pPr>
      <w:r>
        <w:rPr>
          <w:noProof/>
          <w:lang w:val="en-US"/>
        </w:rPr>
        <w:drawing>
          <wp:inline distT="0" distB="0" distL="0" distR="0" wp14:anchorId="17C51E34" wp14:editId="002461E6">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5897BB3C" w:rsidR="00982E99" w:rsidRPr="006C15D5" w:rsidRDefault="00982E99"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CDD15" w14:textId="2B7D3B16" w:rsidR="00730CDB" w:rsidRPr="006C15D5" w:rsidRDefault="00F80411"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Cristian Andrés Díaz Díez</w:t>
            </w:r>
          </w:p>
          <w:p w14:paraId="72718C99" w14:textId="7E5084F1" w:rsidR="00BE1E33" w:rsidRPr="006C15D5" w:rsidRDefault="00F80411" w:rsidP="00730CDB">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w:t>
            </w:r>
            <w:r w:rsidR="00730CDB" w:rsidRPr="006C15D5">
              <w:rPr>
                <w:rFonts w:ascii="Arial" w:eastAsia="Times New Roman" w:hAnsi="Arial" w:cs="Arial"/>
                <w:color w:val="000000" w:themeColor="text1"/>
                <w:sz w:val="16"/>
                <w:szCs w:val="16"/>
                <w:lang w:eastAsia="es-ES"/>
              </w:rPr>
              <w:t>Subdirec</w:t>
            </w:r>
            <w:r>
              <w:rPr>
                <w:rFonts w:ascii="Arial" w:eastAsia="Times New Roman" w:hAnsi="Arial" w:cs="Arial"/>
                <w:color w:val="000000" w:themeColor="text1"/>
                <w:sz w:val="16"/>
                <w:szCs w:val="16"/>
                <w:lang w:eastAsia="es-ES"/>
              </w:rPr>
              <w:t>ción</w:t>
            </w:r>
            <w:r w:rsidR="00730CDB" w:rsidRPr="006C15D5">
              <w:rPr>
                <w:rFonts w:ascii="Arial" w:eastAsia="Times New Roman" w:hAnsi="Arial" w:cs="Arial"/>
                <w:color w:val="000000" w:themeColor="text1"/>
                <w:sz w:val="16"/>
                <w:szCs w:val="16"/>
                <w:lang w:eastAsia="es-ES"/>
              </w:rPr>
              <w:t xml:space="preserve"> de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5BC677C"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7748B46" w14:textId="77777777" w:rsidR="00BE1E33" w:rsidRPr="006C15D5" w:rsidRDefault="00BE1E33" w:rsidP="00BE1E33">
      <w:pPr>
        <w:rPr>
          <w:rFonts w:ascii="Arial" w:hAnsi="Arial" w:cs="Arial"/>
          <w:color w:val="000000" w:themeColor="text1"/>
        </w:rPr>
      </w:pPr>
    </w:p>
    <w:p w14:paraId="085A31AB" w14:textId="77777777" w:rsidR="006C5955" w:rsidRPr="006C15D5" w:rsidRDefault="006C5955" w:rsidP="00BE1E3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0E941A" w14:textId="77777777" w:rsidR="00991820" w:rsidRDefault="00991820" w:rsidP="008C487C">
      <w:r>
        <w:separator/>
      </w:r>
    </w:p>
  </w:endnote>
  <w:endnote w:type="continuationSeparator" w:id="0">
    <w:p w14:paraId="1D51784A" w14:textId="77777777" w:rsidR="00991820" w:rsidRDefault="00991820"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FD386C" w:rsidRDefault="00FD386C" w:rsidP="00AC43E7">
    <w:pPr>
      <w:pStyle w:val="Sinespaciado"/>
      <w:jc w:val="right"/>
      <w:rPr>
        <w:rFonts w:ascii="Arial" w:hAnsi="Arial" w:cs="Arial"/>
        <w:sz w:val="18"/>
        <w:szCs w:val="18"/>
      </w:rPr>
    </w:pPr>
  </w:p>
  <w:p w14:paraId="709352A1" w14:textId="77777777" w:rsidR="00FD386C" w:rsidRDefault="00FD386C" w:rsidP="00AC43E7">
    <w:pPr>
      <w:pStyle w:val="Sinespaciado"/>
      <w:jc w:val="right"/>
      <w:rPr>
        <w:rFonts w:ascii="Arial" w:hAnsi="Arial" w:cs="Arial"/>
        <w:sz w:val="18"/>
        <w:szCs w:val="18"/>
      </w:rPr>
    </w:pPr>
  </w:p>
  <w:p w14:paraId="3D3EB348" w14:textId="5C57CDF1" w:rsidR="00FD386C" w:rsidRPr="008217B7" w:rsidRDefault="00FD386C"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43160">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43160">
      <w:rPr>
        <w:rFonts w:ascii="Arial" w:hAnsi="Arial" w:cs="Arial"/>
        <w:b/>
        <w:bCs/>
        <w:noProof/>
        <w:color w:val="7F7F7F" w:themeColor="text1" w:themeTint="80"/>
        <w:sz w:val="16"/>
        <w:szCs w:val="16"/>
      </w:rPr>
      <w:t>6</w:t>
    </w:r>
    <w:r w:rsidRPr="00084B97">
      <w:rPr>
        <w:rFonts w:ascii="Arial" w:hAnsi="Arial" w:cs="Arial"/>
        <w:b/>
        <w:bCs/>
        <w:color w:val="7F7F7F" w:themeColor="text1" w:themeTint="80"/>
        <w:sz w:val="16"/>
        <w:szCs w:val="16"/>
      </w:rPr>
      <w:fldChar w:fldCharType="end"/>
    </w:r>
  </w:p>
  <w:p w14:paraId="29709EEF" w14:textId="77777777" w:rsidR="00FD386C" w:rsidRDefault="00FD386C" w:rsidP="00AC43E7">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FD386C" w:rsidRPr="00E756AC" w:rsidRDefault="00FD386C" w:rsidP="00AC43E7">
    <w:pPr>
      <w:pStyle w:val="Piedepgina"/>
      <w:jc w:val="center"/>
      <w:rPr>
        <w:sz w:val="18"/>
        <w:szCs w:val="18"/>
        <w:lang w:val="es-ES"/>
      </w:rPr>
    </w:pPr>
  </w:p>
  <w:p w14:paraId="428179B1" w14:textId="77777777" w:rsidR="00FD386C" w:rsidRPr="00E756AC" w:rsidRDefault="00FD386C"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331E29" w14:textId="77777777" w:rsidR="00991820" w:rsidRDefault="00991820" w:rsidP="008C487C">
      <w:r>
        <w:separator/>
      </w:r>
    </w:p>
  </w:footnote>
  <w:footnote w:type="continuationSeparator" w:id="0">
    <w:p w14:paraId="4AFA673C" w14:textId="77777777" w:rsidR="00991820" w:rsidRDefault="00991820" w:rsidP="008C487C">
      <w:r>
        <w:continuationSeparator/>
      </w:r>
    </w:p>
  </w:footnote>
  <w:footnote w:id="1">
    <w:p w14:paraId="26C31055" w14:textId="4459C295" w:rsidR="00FD386C" w:rsidRPr="000857BC" w:rsidRDefault="00FD386C" w:rsidP="00C85FA6">
      <w:pPr>
        <w:pStyle w:val="Textonotapie"/>
        <w:ind w:firstLine="708"/>
        <w:jc w:val="both"/>
        <w:rPr>
          <w:rFonts w:ascii="Arial" w:hAnsi="Arial" w:cs="Arial"/>
          <w:color w:val="000000" w:themeColor="text1"/>
          <w:sz w:val="19"/>
          <w:szCs w:val="19"/>
        </w:rPr>
      </w:pPr>
      <w:r w:rsidRPr="000857BC">
        <w:rPr>
          <w:rStyle w:val="Refdenotaalpie"/>
          <w:rFonts w:ascii="Arial" w:hAnsi="Arial" w:cs="Arial"/>
          <w:color w:val="000000" w:themeColor="text1"/>
          <w:sz w:val="19"/>
          <w:szCs w:val="19"/>
        </w:rPr>
        <w:footnoteRef/>
      </w:r>
      <w:r w:rsidRPr="000857BC">
        <w:rPr>
          <w:rFonts w:ascii="Arial" w:hAnsi="Arial" w:cs="Arial"/>
          <w:color w:val="000000" w:themeColor="text1"/>
          <w:sz w:val="19"/>
          <w:szCs w:val="19"/>
        </w:rPr>
        <w:t xml:space="preserve"> Consultado el 23 de junio de 2020 en la página web </w:t>
      </w:r>
      <w:hyperlink r:id="rId1" w:history="1">
        <w:r w:rsidRPr="000857BC">
          <w:rPr>
            <w:rStyle w:val="Hipervnculo"/>
            <w:rFonts w:ascii="Arial" w:hAnsi="Arial" w:cs="Arial"/>
            <w:color w:val="000000" w:themeColor="text1"/>
            <w:sz w:val="19"/>
            <w:szCs w:val="19"/>
          </w:rPr>
          <w:t>https://dle.rae.es/cronograma?m=form</w:t>
        </w:r>
      </w:hyperlink>
      <w:r w:rsidRPr="000857BC">
        <w:rPr>
          <w:rFonts w:ascii="Arial" w:hAnsi="Arial" w:cs="Arial"/>
          <w:color w:val="000000" w:themeColor="text1"/>
          <w:sz w:val="19"/>
          <w:szCs w:val="19"/>
        </w:rPr>
        <w:t>.</w:t>
      </w:r>
    </w:p>
    <w:p w14:paraId="428A96E2" w14:textId="77777777" w:rsidR="00FD386C" w:rsidRPr="000857BC" w:rsidRDefault="00FD386C" w:rsidP="00C85FA6">
      <w:pPr>
        <w:pStyle w:val="Textonotapie"/>
        <w:ind w:firstLine="708"/>
        <w:jc w:val="both"/>
        <w:rPr>
          <w:rFonts w:ascii="Arial" w:hAnsi="Arial" w:cs="Arial"/>
          <w:color w:val="000000" w:themeColor="text1"/>
          <w:sz w:val="19"/>
          <w:szCs w:val="19"/>
          <w:lang w:val="es-ES"/>
        </w:rPr>
      </w:pPr>
    </w:p>
  </w:footnote>
  <w:footnote w:id="2">
    <w:p w14:paraId="4581DFCF" w14:textId="101B8118" w:rsidR="00FD386C" w:rsidRPr="000857BC" w:rsidRDefault="00FD386C" w:rsidP="00491F16">
      <w:pPr>
        <w:pStyle w:val="Textonotapie"/>
        <w:ind w:firstLine="708"/>
        <w:jc w:val="both"/>
        <w:rPr>
          <w:rFonts w:ascii="Arial" w:hAnsi="Arial" w:cs="Arial"/>
          <w:color w:val="000000" w:themeColor="text1"/>
          <w:sz w:val="19"/>
          <w:szCs w:val="19"/>
        </w:rPr>
      </w:pPr>
      <w:r w:rsidRPr="000857BC">
        <w:rPr>
          <w:rStyle w:val="Refdenotaalpie"/>
          <w:rFonts w:ascii="Arial" w:hAnsi="Arial" w:cs="Arial"/>
          <w:color w:val="000000" w:themeColor="text1"/>
          <w:sz w:val="19"/>
          <w:szCs w:val="19"/>
        </w:rPr>
        <w:footnoteRef/>
      </w:r>
      <w:r w:rsidRPr="000857BC">
        <w:rPr>
          <w:rFonts w:ascii="Arial" w:hAnsi="Arial" w:cs="Arial"/>
          <w:color w:val="000000" w:themeColor="text1"/>
          <w:sz w:val="19"/>
          <w:szCs w:val="19"/>
        </w:rPr>
        <w:t xml:space="preserve"> Consultado el 23 de junio de 2020 en la página web </w:t>
      </w:r>
      <w:hyperlink r:id="rId2" w:history="1">
        <w:r w:rsidRPr="000857BC">
          <w:rPr>
            <w:rStyle w:val="Hipervnculo"/>
            <w:rFonts w:ascii="Arial" w:hAnsi="Arial" w:cs="Arial"/>
            <w:color w:val="000000" w:themeColor="text1"/>
            <w:sz w:val="19"/>
            <w:szCs w:val="19"/>
          </w:rPr>
          <w:t>http://etimologias.dechile.net/?cronograma</w:t>
        </w:r>
      </w:hyperlink>
      <w:r w:rsidRPr="000857BC">
        <w:rPr>
          <w:rFonts w:ascii="Arial" w:hAnsi="Arial" w:cs="Arial"/>
          <w:color w:val="000000" w:themeColor="text1"/>
          <w:sz w:val="19"/>
          <w:szCs w:val="19"/>
        </w:rPr>
        <w:t xml:space="preserve">. </w:t>
      </w:r>
    </w:p>
    <w:p w14:paraId="0A341FD5" w14:textId="77777777" w:rsidR="00FD386C" w:rsidRPr="000857BC" w:rsidRDefault="00FD386C" w:rsidP="00491F16">
      <w:pPr>
        <w:pStyle w:val="Textonotapie"/>
        <w:ind w:firstLine="708"/>
        <w:jc w:val="both"/>
        <w:rPr>
          <w:rFonts w:ascii="Arial" w:hAnsi="Arial" w:cs="Arial"/>
          <w:color w:val="000000" w:themeColor="text1"/>
          <w:sz w:val="19"/>
          <w:szCs w:val="19"/>
        </w:rPr>
      </w:pPr>
    </w:p>
  </w:footnote>
  <w:footnote w:id="3">
    <w:p w14:paraId="35E15420" w14:textId="75B2D3A2" w:rsidR="00FD386C" w:rsidRPr="000857BC" w:rsidRDefault="00FD386C" w:rsidP="00CA51DE">
      <w:pPr>
        <w:pStyle w:val="Textonotapie"/>
        <w:ind w:firstLine="708"/>
        <w:jc w:val="both"/>
        <w:rPr>
          <w:rFonts w:ascii="Arial" w:hAnsi="Arial" w:cs="Arial"/>
          <w:color w:val="000000" w:themeColor="text1"/>
          <w:sz w:val="19"/>
          <w:szCs w:val="19"/>
        </w:rPr>
      </w:pPr>
      <w:r w:rsidRPr="000857BC">
        <w:rPr>
          <w:rStyle w:val="Refdenotaalpie"/>
          <w:rFonts w:ascii="Arial" w:hAnsi="Arial" w:cs="Arial"/>
          <w:color w:val="000000" w:themeColor="text1"/>
          <w:sz w:val="19"/>
          <w:szCs w:val="19"/>
        </w:rPr>
        <w:footnoteRef/>
      </w:r>
      <w:r w:rsidRPr="000857BC">
        <w:rPr>
          <w:rFonts w:ascii="Arial" w:hAnsi="Arial" w:cs="Arial"/>
          <w:color w:val="000000" w:themeColor="text1"/>
          <w:sz w:val="19"/>
          <w:szCs w:val="19"/>
        </w:rPr>
        <w:t xml:space="preserve"> CONSEJO DE ESTADO. Sección Tercera. Sentencia del 29 de enero de 1998. Exp. 10.495. C.P. Ricardo Hoyos Duque. </w:t>
      </w:r>
    </w:p>
    <w:p w14:paraId="686DF3F9" w14:textId="77777777" w:rsidR="00FD386C" w:rsidRPr="000857BC" w:rsidRDefault="00FD386C" w:rsidP="00CA51DE">
      <w:pPr>
        <w:pStyle w:val="Textonotapie"/>
        <w:ind w:firstLine="708"/>
        <w:jc w:val="both"/>
        <w:rPr>
          <w:rFonts w:ascii="Arial" w:hAnsi="Arial" w:cs="Arial"/>
          <w:color w:val="000000" w:themeColor="text1"/>
          <w:sz w:val="19"/>
          <w:szCs w:val="19"/>
          <w:lang w:val="es-ES"/>
        </w:rPr>
      </w:pPr>
    </w:p>
  </w:footnote>
  <w:footnote w:id="4">
    <w:p w14:paraId="0AED671F" w14:textId="106129AE" w:rsidR="00FD386C" w:rsidRPr="000857BC" w:rsidRDefault="00FD386C" w:rsidP="00491C25">
      <w:pPr>
        <w:pStyle w:val="Textonotapie"/>
        <w:ind w:firstLine="708"/>
        <w:jc w:val="both"/>
        <w:rPr>
          <w:rFonts w:ascii="Arial" w:hAnsi="Arial" w:cs="Arial"/>
          <w:color w:val="000000" w:themeColor="text1"/>
          <w:sz w:val="19"/>
          <w:szCs w:val="19"/>
          <w:lang w:val="es-ES"/>
        </w:rPr>
      </w:pPr>
      <w:r w:rsidRPr="000857BC">
        <w:rPr>
          <w:rStyle w:val="Refdenotaalpie"/>
          <w:rFonts w:ascii="Arial" w:hAnsi="Arial" w:cs="Arial"/>
          <w:color w:val="000000" w:themeColor="text1"/>
          <w:sz w:val="19"/>
          <w:szCs w:val="19"/>
        </w:rPr>
        <w:footnoteRef/>
      </w:r>
      <w:r w:rsidRPr="000857BC">
        <w:rPr>
          <w:rFonts w:ascii="Arial" w:hAnsi="Arial" w:cs="Arial"/>
          <w:color w:val="000000" w:themeColor="text1"/>
          <w:sz w:val="19"/>
          <w:szCs w:val="19"/>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Séptima Edición. Medellín: Librería Jurídica Sánchez, 2014. p. 266).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FD386C" w:rsidRDefault="00FD386C">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BE0"/>
    <w:rsid w:val="000047EA"/>
    <w:rsid w:val="000072CE"/>
    <w:rsid w:val="00010D30"/>
    <w:rsid w:val="00021180"/>
    <w:rsid w:val="00023057"/>
    <w:rsid w:val="00024771"/>
    <w:rsid w:val="0003091B"/>
    <w:rsid w:val="000333A2"/>
    <w:rsid w:val="0003625C"/>
    <w:rsid w:val="00036E73"/>
    <w:rsid w:val="00040C88"/>
    <w:rsid w:val="00040D6E"/>
    <w:rsid w:val="00042C0C"/>
    <w:rsid w:val="00043A4D"/>
    <w:rsid w:val="00044FF2"/>
    <w:rsid w:val="000466AC"/>
    <w:rsid w:val="00047050"/>
    <w:rsid w:val="00054B43"/>
    <w:rsid w:val="00061E34"/>
    <w:rsid w:val="00061EE4"/>
    <w:rsid w:val="00062B0D"/>
    <w:rsid w:val="0006519B"/>
    <w:rsid w:val="00076F69"/>
    <w:rsid w:val="000857BC"/>
    <w:rsid w:val="00086A16"/>
    <w:rsid w:val="00091570"/>
    <w:rsid w:val="00091D8F"/>
    <w:rsid w:val="000929DE"/>
    <w:rsid w:val="00093E58"/>
    <w:rsid w:val="00096569"/>
    <w:rsid w:val="00097CD6"/>
    <w:rsid w:val="000A1DBA"/>
    <w:rsid w:val="000A3B96"/>
    <w:rsid w:val="000A6338"/>
    <w:rsid w:val="000A6B6F"/>
    <w:rsid w:val="000C0E39"/>
    <w:rsid w:val="000C3D66"/>
    <w:rsid w:val="000C51AF"/>
    <w:rsid w:val="000C5830"/>
    <w:rsid w:val="000C5C37"/>
    <w:rsid w:val="000D088F"/>
    <w:rsid w:val="000E4A3C"/>
    <w:rsid w:val="000E5BB2"/>
    <w:rsid w:val="000E6867"/>
    <w:rsid w:val="000F1B34"/>
    <w:rsid w:val="000F1E3D"/>
    <w:rsid w:val="000F211E"/>
    <w:rsid w:val="00100AEC"/>
    <w:rsid w:val="001056C0"/>
    <w:rsid w:val="00107607"/>
    <w:rsid w:val="00112597"/>
    <w:rsid w:val="0012074A"/>
    <w:rsid w:val="001321AB"/>
    <w:rsid w:val="00140E57"/>
    <w:rsid w:val="00141B19"/>
    <w:rsid w:val="00141C64"/>
    <w:rsid w:val="001427E8"/>
    <w:rsid w:val="00142E4E"/>
    <w:rsid w:val="0014462B"/>
    <w:rsid w:val="00146D5B"/>
    <w:rsid w:val="0015466A"/>
    <w:rsid w:val="001573F8"/>
    <w:rsid w:val="00163EED"/>
    <w:rsid w:val="00164E79"/>
    <w:rsid w:val="00166C81"/>
    <w:rsid w:val="0017603D"/>
    <w:rsid w:val="00181A3E"/>
    <w:rsid w:val="00185441"/>
    <w:rsid w:val="001865DB"/>
    <w:rsid w:val="00194C50"/>
    <w:rsid w:val="00196FB5"/>
    <w:rsid w:val="001B2E5D"/>
    <w:rsid w:val="001B53BD"/>
    <w:rsid w:val="001B5E36"/>
    <w:rsid w:val="001C1D25"/>
    <w:rsid w:val="001D38A0"/>
    <w:rsid w:val="001D5ECE"/>
    <w:rsid w:val="001D7420"/>
    <w:rsid w:val="001E1C6D"/>
    <w:rsid w:val="001E3F37"/>
    <w:rsid w:val="001E44A9"/>
    <w:rsid w:val="001E5745"/>
    <w:rsid w:val="001E5DBB"/>
    <w:rsid w:val="001E7044"/>
    <w:rsid w:val="001F1051"/>
    <w:rsid w:val="001F1A2D"/>
    <w:rsid w:val="001F34A8"/>
    <w:rsid w:val="001F40B2"/>
    <w:rsid w:val="001F4B99"/>
    <w:rsid w:val="00200F92"/>
    <w:rsid w:val="002034AD"/>
    <w:rsid w:val="00203BF1"/>
    <w:rsid w:val="00203F46"/>
    <w:rsid w:val="00207033"/>
    <w:rsid w:val="00210D66"/>
    <w:rsid w:val="00217339"/>
    <w:rsid w:val="002239B4"/>
    <w:rsid w:val="00227D08"/>
    <w:rsid w:val="0023008F"/>
    <w:rsid w:val="0023180C"/>
    <w:rsid w:val="00234C6C"/>
    <w:rsid w:val="0023576D"/>
    <w:rsid w:val="00244A28"/>
    <w:rsid w:val="00247EBA"/>
    <w:rsid w:val="0025095A"/>
    <w:rsid w:val="002532DE"/>
    <w:rsid w:val="00265031"/>
    <w:rsid w:val="00266277"/>
    <w:rsid w:val="002723C7"/>
    <w:rsid w:val="002807AD"/>
    <w:rsid w:val="00283163"/>
    <w:rsid w:val="00284C12"/>
    <w:rsid w:val="00286834"/>
    <w:rsid w:val="00286FAD"/>
    <w:rsid w:val="00297358"/>
    <w:rsid w:val="002A153A"/>
    <w:rsid w:val="002A6417"/>
    <w:rsid w:val="002A6631"/>
    <w:rsid w:val="002B282F"/>
    <w:rsid w:val="002B4B30"/>
    <w:rsid w:val="002B56DF"/>
    <w:rsid w:val="002B79E1"/>
    <w:rsid w:val="002C004E"/>
    <w:rsid w:val="002C441F"/>
    <w:rsid w:val="002D06BB"/>
    <w:rsid w:val="002E320B"/>
    <w:rsid w:val="002E67C5"/>
    <w:rsid w:val="002E7BC2"/>
    <w:rsid w:val="002F1C33"/>
    <w:rsid w:val="002F2DB4"/>
    <w:rsid w:val="002F63BB"/>
    <w:rsid w:val="002F6C10"/>
    <w:rsid w:val="002F6DBB"/>
    <w:rsid w:val="002F701E"/>
    <w:rsid w:val="003001AC"/>
    <w:rsid w:val="00302F9F"/>
    <w:rsid w:val="00303EC5"/>
    <w:rsid w:val="00304386"/>
    <w:rsid w:val="00326B54"/>
    <w:rsid w:val="00334E97"/>
    <w:rsid w:val="003373C2"/>
    <w:rsid w:val="003401FE"/>
    <w:rsid w:val="00340A7A"/>
    <w:rsid w:val="003417F0"/>
    <w:rsid w:val="003459F3"/>
    <w:rsid w:val="00350A47"/>
    <w:rsid w:val="0036125C"/>
    <w:rsid w:val="00377CD3"/>
    <w:rsid w:val="00380875"/>
    <w:rsid w:val="00381DFA"/>
    <w:rsid w:val="00387D0F"/>
    <w:rsid w:val="00390DCF"/>
    <w:rsid w:val="00392DA5"/>
    <w:rsid w:val="00396821"/>
    <w:rsid w:val="003A06BB"/>
    <w:rsid w:val="003A2944"/>
    <w:rsid w:val="003B0DEF"/>
    <w:rsid w:val="003C2074"/>
    <w:rsid w:val="003C3ADB"/>
    <w:rsid w:val="003C7207"/>
    <w:rsid w:val="003D0670"/>
    <w:rsid w:val="003D0E4A"/>
    <w:rsid w:val="003D11B5"/>
    <w:rsid w:val="003D134C"/>
    <w:rsid w:val="003D69A5"/>
    <w:rsid w:val="003E14F9"/>
    <w:rsid w:val="003F309F"/>
    <w:rsid w:val="003F3119"/>
    <w:rsid w:val="003F4E8A"/>
    <w:rsid w:val="003F6D32"/>
    <w:rsid w:val="00411760"/>
    <w:rsid w:val="004161D4"/>
    <w:rsid w:val="0041784E"/>
    <w:rsid w:val="004208F0"/>
    <w:rsid w:val="00421EA9"/>
    <w:rsid w:val="00430B5A"/>
    <w:rsid w:val="00431C20"/>
    <w:rsid w:val="004329A3"/>
    <w:rsid w:val="0044207D"/>
    <w:rsid w:val="004439E2"/>
    <w:rsid w:val="00447FE5"/>
    <w:rsid w:val="00451231"/>
    <w:rsid w:val="004526D3"/>
    <w:rsid w:val="00457CF2"/>
    <w:rsid w:val="004617B8"/>
    <w:rsid w:val="00462A87"/>
    <w:rsid w:val="00463E5F"/>
    <w:rsid w:val="0046504E"/>
    <w:rsid w:val="00467620"/>
    <w:rsid w:val="00467C7C"/>
    <w:rsid w:val="004758FE"/>
    <w:rsid w:val="00476C17"/>
    <w:rsid w:val="00480836"/>
    <w:rsid w:val="004830C8"/>
    <w:rsid w:val="004837AB"/>
    <w:rsid w:val="00483A2F"/>
    <w:rsid w:val="00490DBF"/>
    <w:rsid w:val="00491C25"/>
    <w:rsid w:val="00491F16"/>
    <w:rsid w:val="0049739C"/>
    <w:rsid w:val="004A128C"/>
    <w:rsid w:val="004A1C13"/>
    <w:rsid w:val="004A5E72"/>
    <w:rsid w:val="004A6EE1"/>
    <w:rsid w:val="004B07EC"/>
    <w:rsid w:val="004B1BEE"/>
    <w:rsid w:val="004B2AB8"/>
    <w:rsid w:val="004B5B9E"/>
    <w:rsid w:val="004D1293"/>
    <w:rsid w:val="004D1ADE"/>
    <w:rsid w:val="004D770C"/>
    <w:rsid w:val="004E0D21"/>
    <w:rsid w:val="004E370E"/>
    <w:rsid w:val="004E7EAE"/>
    <w:rsid w:val="004F4387"/>
    <w:rsid w:val="00510BF5"/>
    <w:rsid w:val="00510EDC"/>
    <w:rsid w:val="00513233"/>
    <w:rsid w:val="00521BA7"/>
    <w:rsid w:val="005252E2"/>
    <w:rsid w:val="005379AD"/>
    <w:rsid w:val="005505C3"/>
    <w:rsid w:val="005511D5"/>
    <w:rsid w:val="00554A31"/>
    <w:rsid w:val="005678B1"/>
    <w:rsid w:val="00575DC6"/>
    <w:rsid w:val="005820AB"/>
    <w:rsid w:val="00585FB5"/>
    <w:rsid w:val="00590EE1"/>
    <w:rsid w:val="00591586"/>
    <w:rsid w:val="00592DB1"/>
    <w:rsid w:val="00595363"/>
    <w:rsid w:val="00595A2B"/>
    <w:rsid w:val="005A17D2"/>
    <w:rsid w:val="005A5E4A"/>
    <w:rsid w:val="005B7357"/>
    <w:rsid w:val="005C5B7C"/>
    <w:rsid w:val="005C673B"/>
    <w:rsid w:val="005D4CDB"/>
    <w:rsid w:val="005E247C"/>
    <w:rsid w:val="005F12C4"/>
    <w:rsid w:val="005F5D19"/>
    <w:rsid w:val="005F6CBF"/>
    <w:rsid w:val="006018AA"/>
    <w:rsid w:val="00612D14"/>
    <w:rsid w:val="006135E6"/>
    <w:rsid w:val="006328CC"/>
    <w:rsid w:val="00632E10"/>
    <w:rsid w:val="00632EA5"/>
    <w:rsid w:val="00635CBC"/>
    <w:rsid w:val="00637F5E"/>
    <w:rsid w:val="00644F52"/>
    <w:rsid w:val="0065701C"/>
    <w:rsid w:val="006604A6"/>
    <w:rsid w:val="00662792"/>
    <w:rsid w:val="00667868"/>
    <w:rsid w:val="00671B54"/>
    <w:rsid w:val="00673DB8"/>
    <w:rsid w:val="00675BFE"/>
    <w:rsid w:val="006818B6"/>
    <w:rsid w:val="006824B8"/>
    <w:rsid w:val="0068288E"/>
    <w:rsid w:val="006843B8"/>
    <w:rsid w:val="006852EB"/>
    <w:rsid w:val="006929BA"/>
    <w:rsid w:val="00692ABF"/>
    <w:rsid w:val="00692BBD"/>
    <w:rsid w:val="00693313"/>
    <w:rsid w:val="00694209"/>
    <w:rsid w:val="00697718"/>
    <w:rsid w:val="00697A99"/>
    <w:rsid w:val="006A1226"/>
    <w:rsid w:val="006A172E"/>
    <w:rsid w:val="006A3329"/>
    <w:rsid w:val="006A7743"/>
    <w:rsid w:val="006B150B"/>
    <w:rsid w:val="006B1785"/>
    <w:rsid w:val="006B317D"/>
    <w:rsid w:val="006B6C6A"/>
    <w:rsid w:val="006B7F25"/>
    <w:rsid w:val="006C15D5"/>
    <w:rsid w:val="006C1C02"/>
    <w:rsid w:val="006C234F"/>
    <w:rsid w:val="006C2D0C"/>
    <w:rsid w:val="006C3D0C"/>
    <w:rsid w:val="006C5955"/>
    <w:rsid w:val="006D3624"/>
    <w:rsid w:val="006D39A8"/>
    <w:rsid w:val="006D519D"/>
    <w:rsid w:val="006E4EE7"/>
    <w:rsid w:val="006E65C2"/>
    <w:rsid w:val="006F31BC"/>
    <w:rsid w:val="006F3802"/>
    <w:rsid w:val="006F39D0"/>
    <w:rsid w:val="006F7746"/>
    <w:rsid w:val="0070582B"/>
    <w:rsid w:val="00711157"/>
    <w:rsid w:val="00714800"/>
    <w:rsid w:val="00715B7E"/>
    <w:rsid w:val="00717930"/>
    <w:rsid w:val="0072152F"/>
    <w:rsid w:val="00721C21"/>
    <w:rsid w:val="007229FD"/>
    <w:rsid w:val="00730CDB"/>
    <w:rsid w:val="007323E9"/>
    <w:rsid w:val="00736945"/>
    <w:rsid w:val="00736C89"/>
    <w:rsid w:val="00741965"/>
    <w:rsid w:val="0074421C"/>
    <w:rsid w:val="00745744"/>
    <w:rsid w:val="00745A21"/>
    <w:rsid w:val="0075032A"/>
    <w:rsid w:val="00750C12"/>
    <w:rsid w:val="00754433"/>
    <w:rsid w:val="00763652"/>
    <w:rsid w:val="00764BF7"/>
    <w:rsid w:val="007650D8"/>
    <w:rsid w:val="00766030"/>
    <w:rsid w:val="00770D7D"/>
    <w:rsid w:val="00772497"/>
    <w:rsid w:val="007754C3"/>
    <w:rsid w:val="007768FE"/>
    <w:rsid w:val="007902C3"/>
    <w:rsid w:val="00790BB8"/>
    <w:rsid w:val="00791377"/>
    <w:rsid w:val="007915BB"/>
    <w:rsid w:val="00795C86"/>
    <w:rsid w:val="007A45E7"/>
    <w:rsid w:val="007B1754"/>
    <w:rsid w:val="007B4AAA"/>
    <w:rsid w:val="007C6894"/>
    <w:rsid w:val="007D3B8C"/>
    <w:rsid w:val="007D62C7"/>
    <w:rsid w:val="007E001D"/>
    <w:rsid w:val="007F5F0C"/>
    <w:rsid w:val="007F7AC6"/>
    <w:rsid w:val="008007EE"/>
    <w:rsid w:val="00803061"/>
    <w:rsid w:val="008057D4"/>
    <w:rsid w:val="00807EEE"/>
    <w:rsid w:val="008103E9"/>
    <w:rsid w:val="008135F4"/>
    <w:rsid w:val="00813893"/>
    <w:rsid w:val="0082266E"/>
    <w:rsid w:val="008234E2"/>
    <w:rsid w:val="00824361"/>
    <w:rsid w:val="00825FD3"/>
    <w:rsid w:val="00826793"/>
    <w:rsid w:val="0083146F"/>
    <w:rsid w:val="008327EE"/>
    <w:rsid w:val="00833F8E"/>
    <w:rsid w:val="0083539E"/>
    <w:rsid w:val="00836E71"/>
    <w:rsid w:val="00837EBE"/>
    <w:rsid w:val="00842E74"/>
    <w:rsid w:val="00843BE5"/>
    <w:rsid w:val="008535C9"/>
    <w:rsid w:val="008561E0"/>
    <w:rsid w:val="00856B64"/>
    <w:rsid w:val="00860A39"/>
    <w:rsid w:val="0086177D"/>
    <w:rsid w:val="00862463"/>
    <w:rsid w:val="00863DD9"/>
    <w:rsid w:val="00865960"/>
    <w:rsid w:val="00866446"/>
    <w:rsid w:val="0086741B"/>
    <w:rsid w:val="00871568"/>
    <w:rsid w:val="00872D25"/>
    <w:rsid w:val="00881CD2"/>
    <w:rsid w:val="00886E66"/>
    <w:rsid w:val="00886F29"/>
    <w:rsid w:val="008917A3"/>
    <w:rsid w:val="00891A49"/>
    <w:rsid w:val="00897DAB"/>
    <w:rsid w:val="008A0633"/>
    <w:rsid w:val="008A3386"/>
    <w:rsid w:val="008A53F2"/>
    <w:rsid w:val="008B09B1"/>
    <w:rsid w:val="008B6430"/>
    <w:rsid w:val="008C24B6"/>
    <w:rsid w:val="008C487C"/>
    <w:rsid w:val="008C4C28"/>
    <w:rsid w:val="008D3473"/>
    <w:rsid w:val="008D575A"/>
    <w:rsid w:val="008D7A9D"/>
    <w:rsid w:val="008E0FCC"/>
    <w:rsid w:val="008E2FE3"/>
    <w:rsid w:val="008E5698"/>
    <w:rsid w:val="008E5F34"/>
    <w:rsid w:val="008E7D3F"/>
    <w:rsid w:val="008F00CF"/>
    <w:rsid w:val="008F2267"/>
    <w:rsid w:val="008F3EE2"/>
    <w:rsid w:val="008F5D4C"/>
    <w:rsid w:val="008F67FD"/>
    <w:rsid w:val="00905A7E"/>
    <w:rsid w:val="00905B18"/>
    <w:rsid w:val="00905B2F"/>
    <w:rsid w:val="009231E0"/>
    <w:rsid w:val="00923548"/>
    <w:rsid w:val="00923B70"/>
    <w:rsid w:val="00925293"/>
    <w:rsid w:val="00930B6C"/>
    <w:rsid w:val="00930E4B"/>
    <w:rsid w:val="009436DA"/>
    <w:rsid w:val="0094508D"/>
    <w:rsid w:val="00946E85"/>
    <w:rsid w:val="00947C5C"/>
    <w:rsid w:val="009506A7"/>
    <w:rsid w:val="0095113A"/>
    <w:rsid w:val="00954CF5"/>
    <w:rsid w:val="0096646C"/>
    <w:rsid w:val="00967230"/>
    <w:rsid w:val="00972087"/>
    <w:rsid w:val="00972C13"/>
    <w:rsid w:val="0097456D"/>
    <w:rsid w:val="00974A47"/>
    <w:rsid w:val="009812D7"/>
    <w:rsid w:val="00982E99"/>
    <w:rsid w:val="00991820"/>
    <w:rsid w:val="009947D1"/>
    <w:rsid w:val="009A5714"/>
    <w:rsid w:val="009A5DA7"/>
    <w:rsid w:val="009B1AEC"/>
    <w:rsid w:val="009B7329"/>
    <w:rsid w:val="009C1FFE"/>
    <w:rsid w:val="009C27A9"/>
    <w:rsid w:val="009D16ED"/>
    <w:rsid w:val="009D1D57"/>
    <w:rsid w:val="009D4F8F"/>
    <w:rsid w:val="009E2544"/>
    <w:rsid w:val="009E2770"/>
    <w:rsid w:val="009E4710"/>
    <w:rsid w:val="009E4A43"/>
    <w:rsid w:val="009E6225"/>
    <w:rsid w:val="009F2261"/>
    <w:rsid w:val="009F3537"/>
    <w:rsid w:val="009F6ADC"/>
    <w:rsid w:val="009F78A4"/>
    <w:rsid w:val="00A032F8"/>
    <w:rsid w:val="00A10347"/>
    <w:rsid w:val="00A158AB"/>
    <w:rsid w:val="00A21C5A"/>
    <w:rsid w:val="00A25657"/>
    <w:rsid w:val="00A329B6"/>
    <w:rsid w:val="00A367A1"/>
    <w:rsid w:val="00A36ABC"/>
    <w:rsid w:val="00A40178"/>
    <w:rsid w:val="00A415D2"/>
    <w:rsid w:val="00A460BA"/>
    <w:rsid w:val="00A510F6"/>
    <w:rsid w:val="00A54828"/>
    <w:rsid w:val="00A57F74"/>
    <w:rsid w:val="00A60EB1"/>
    <w:rsid w:val="00A651C9"/>
    <w:rsid w:val="00A67D0F"/>
    <w:rsid w:val="00A70E2D"/>
    <w:rsid w:val="00A73161"/>
    <w:rsid w:val="00A740E7"/>
    <w:rsid w:val="00A80739"/>
    <w:rsid w:val="00A83829"/>
    <w:rsid w:val="00A862C0"/>
    <w:rsid w:val="00A87EE1"/>
    <w:rsid w:val="00A9000F"/>
    <w:rsid w:val="00A91A20"/>
    <w:rsid w:val="00A9229F"/>
    <w:rsid w:val="00A95100"/>
    <w:rsid w:val="00AA0652"/>
    <w:rsid w:val="00AA2A39"/>
    <w:rsid w:val="00AA2C16"/>
    <w:rsid w:val="00AA615B"/>
    <w:rsid w:val="00AA6272"/>
    <w:rsid w:val="00AB0DED"/>
    <w:rsid w:val="00AB14AB"/>
    <w:rsid w:val="00AC0C81"/>
    <w:rsid w:val="00AC1B48"/>
    <w:rsid w:val="00AC29D6"/>
    <w:rsid w:val="00AC43E7"/>
    <w:rsid w:val="00AD1E1B"/>
    <w:rsid w:val="00AD54C3"/>
    <w:rsid w:val="00AD7725"/>
    <w:rsid w:val="00AE0522"/>
    <w:rsid w:val="00AE668A"/>
    <w:rsid w:val="00AE6858"/>
    <w:rsid w:val="00AE7EF0"/>
    <w:rsid w:val="00AF2EFF"/>
    <w:rsid w:val="00AF41B6"/>
    <w:rsid w:val="00AF5C62"/>
    <w:rsid w:val="00AF643C"/>
    <w:rsid w:val="00AF6B2F"/>
    <w:rsid w:val="00AF7270"/>
    <w:rsid w:val="00AF727E"/>
    <w:rsid w:val="00B00055"/>
    <w:rsid w:val="00B14450"/>
    <w:rsid w:val="00B17BC5"/>
    <w:rsid w:val="00B20582"/>
    <w:rsid w:val="00B2158C"/>
    <w:rsid w:val="00B217CA"/>
    <w:rsid w:val="00B24E57"/>
    <w:rsid w:val="00B30D96"/>
    <w:rsid w:val="00B44C35"/>
    <w:rsid w:val="00B5123E"/>
    <w:rsid w:val="00B51B58"/>
    <w:rsid w:val="00B522C4"/>
    <w:rsid w:val="00B52B0E"/>
    <w:rsid w:val="00B5337D"/>
    <w:rsid w:val="00B533F4"/>
    <w:rsid w:val="00B62BEA"/>
    <w:rsid w:val="00B64B90"/>
    <w:rsid w:val="00B65290"/>
    <w:rsid w:val="00B70E26"/>
    <w:rsid w:val="00B86CB5"/>
    <w:rsid w:val="00B86D58"/>
    <w:rsid w:val="00B8745F"/>
    <w:rsid w:val="00B90754"/>
    <w:rsid w:val="00B936F7"/>
    <w:rsid w:val="00B9416B"/>
    <w:rsid w:val="00B9572C"/>
    <w:rsid w:val="00B9782C"/>
    <w:rsid w:val="00B97D95"/>
    <w:rsid w:val="00B97E3C"/>
    <w:rsid w:val="00BA7E78"/>
    <w:rsid w:val="00BB0833"/>
    <w:rsid w:val="00BB0EA7"/>
    <w:rsid w:val="00BB4CDF"/>
    <w:rsid w:val="00BB595B"/>
    <w:rsid w:val="00BB59F9"/>
    <w:rsid w:val="00BC15B8"/>
    <w:rsid w:val="00BC5279"/>
    <w:rsid w:val="00BC6C4E"/>
    <w:rsid w:val="00BC7B6A"/>
    <w:rsid w:val="00BD0EAC"/>
    <w:rsid w:val="00BD31AB"/>
    <w:rsid w:val="00BD58A7"/>
    <w:rsid w:val="00BD6EE4"/>
    <w:rsid w:val="00BE1E33"/>
    <w:rsid w:val="00BE2AD3"/>
    <w:rsid w:val="00BE36F7"/>
    <w:rsid w:val="00BF2443"/>
    <w:rsid w:val="00C07755"/>
    <w:rsid w:val="00C07B5E"/>
    <w:rsid w:val="00C10D3E"/>
    <w:rsid w:val="00C10DE8"/>
    <w:rsid w:val="00C12201"/>
    <w:rsid w:val="00C12AD2"/>
    <w:rsid w:val="00C1405A"/>
    <w:rsid w:val="00C14F61"/>
    <w:rsid w:val="00C31412"/>
    <w:rsid w:val="00C362A0"/>
    <w:rsid w:val="00C365AF"/>
    <w:rsid w:val="00C42740"/>
    <w:rsid w:val="00C4526C"/>
    <w:rsid w:val="00C50B1B"/>
    <w:rsid w:val="00C50C99"/>
    <w:rsid w:val="00C52801"/>
    <w:rsid w:val="00C60C0C"/>
    <w:rsid w:val="00C61C54"/>
    <w:rsid w:val="00C6210F"/>
    <w:rsid w:val="00C745C6"/>
    <w:rsid w:val="00C750BA"/>
    <w:rsid w:val="00C7706E"/>
    <w:rsid w:val="00C826EF"/>
    <w:rsid w:val="00C8442D"/>
    <w:rsid w:val="00C85287"/>
    <w:rsid w:val="00C85FA6"/>
    <w:rsid w:val="00C92692"/>
    <w:rsid w:val="00C95AC9"/>
    <w:rsid w:val="00C964DE"/>
    <w:rsid w:val="00C96F18"/>
    <w:rsid w:val="00CA4545"/>
    <w:rsid w:val="00CA51AC"/>
    <w:rsid w:val="00CA51DE"/>
    <w:rsid w:val="00CA5790"/>
    <w:rsid w:val="00CA634C"/>
    <w:rsid w:val="00CA652B"/>
    <w:rsid w:val="00CA7BFF"/>
    <w:rsid w:val="00CC0C56"/>
    <w:rsid w:val="00CC11B6"/>
    <w:rsid w:val="00CC164B"/>
    <w:rsid w:val="00CC4245"/>
    <w:rsid w:val="00CD23FE"/>
    <w:rsid w:val="00CE35D5"/>
    <w:rsid w:val="00CF326B"/>
    <w:rsid w:val="00D029D8"/>
    <w:rsid w:val="00D0300E"/>
    <w:rsid w:val="00D0763E"/>
    <w:rsid w:val="00D12644"/>
    <w:rsid w:val="00D134CC"/>
    <w:rsid w:val="00D14C1E"/>
    <w:rsid w:val="00D24682"/>
    <w:rsid w:val="00D24F06"/>
    <w:rsid w:val="00D25AEF"/>
    <w:rsid w:val="00D31785"/>
    <w:rsid w:val="00D349EE"/>
    <w:rsid w:val="00D35298"/>
    <w:rsid w:val="00D36296"/>
    <w:rsid w:val="00D36DC3"/>
    <w:rsid w:val="00D4126F"/>
    <w:rsid w:val="00D418AD"/>
    <w:rsid w:val="00D42C1B"/>
    <w:rsid w:val="00D43160"/>
    <w:rsid w:val="00D44227"/>
    <w:rsid w:val="00D46629"/>
    <w:rsid w:val="00D527DA"/>
    <w:rsid w:val="00D56D47"/>
    <w:rsid w:val="00D57835"/>
    <w:rsid w:val="00D655FB"/>
    <w:rsid w:val="00D70FB4"/>
    <w:rsid w:val="00D73854"/>
    <w:rsid w:val="00D73A38"/>
    <w:rsid w:val="00D74A1C"/>
    <w:rsid w:val="00D815C1"/>
    <w:rsid w:val="00D82E7D"/>
    <w:rsid w:val="00D85C85"/>
    <w:rsid w:val="00D85E33"/>
    <w:rsid w:val="00D866EC"/>
    <w:rsid w:val="00D9096A"/>
    <w:rsid w:val="00D92F6C"/>
    <w:rsid w:val="00D95879"/>
    <w:rsid w:val="00D97A6B"/>
    <w:rsid w:val="00DA2FA3"/>
    <w:rsid w:val="00DA7875"/>
    <w:rsid w:val="00DB0AD7"/>
    <w:rsid w:val="00DB751D"/>
    <w:rsid w:val="00DC09BD"/>
    <w:rsid w:val="00DC679E"/>
    <w:rsid w:val="00DD0E98"/>
    <w:rsid w:val="00DD14BC"/>
    <w:rsid w:val="00DE3F87"/>
    <w:rsid w:val="00DE64DE"/>
    <w:rsid w:val="00DE73B4"/>
    <w:rsid w:val="00DE787B"/>
    <w:rsid w:val="00DE7AB4"/>
    <w:rsid w:val="00DF4D86"/>
    <w:rsid w:val="00DF63E3"/>
    <w:rsid w:val="00DF6B09"/>
    <w:rsid w:val="00E00B41"/>
    <w:rsid w:val="00E01D84"/>
    <w:rsid w:val="00E048AB"/>
    <w:rsid w:val="00E104CD"/>
    <w:rsid w:val="00E111AA"/>
    <w:rsid w:val="00E137BB"/>
    <w:rsid w:val="00E20266"/>
    <w:rsid w:val="00E235DD"/>
    <w:rsid w:val="00E261CD"/>
    <w:rsid w:val="00E30356"/>
    <w:rsid w:val="00E3199C"/>
    <w:rsid w:val="00E41E74"/>
    <w:rsid w:val="00E42D0B"/>
    <w:rsid w:val="00E441BF"/>
    <w:rsid w:val="00E528C8"/>
    <w:rsid w:val="00E56980"/>
    <w:rsid w:val="00E56B59"/>
    <w:rsid w:val="00E62D29"/>
    <w:rsid w:val="00E64988"/>
    <w:rsid w:val="00E64A38"/>
    <w:rsid w:val="00E719F6"/>
    <w:rsid w:val="00E7345E"/>
    <w:rsid w:val="00E756AC"/>
    <w:rsid w:val="00E8168D"/>
    <w:rsid w:val="00E8381A"/>
    <w:rsid w:val="00E847F2"/>
    <w:rsid w:val="00E87596"/>
    <w:rsid w:val="00E87794"/>
    <w:rsid w:val="00E96422"/>
    <w:rsid w:val="00E97B21"/>
    <w:rsid w:val="00EA5A59"/>
    <w:rsid w:val="00EA62F1"/>
    <w:rsid w:val="00EB3D8F"/>
    <w:rsid w:val="00ED0FE3"/>
    <w:rsid w:val="00ED1DBA"/>
    <w:rsid w:val="00ED3F7E"/>
    <w:rsid w:val="00ED4715"/>
    <w:rsid w:val="00ED7ACF"/>
    <w:rsid w:val="00EE3B97"/>
    <w:rsid w:val="00EF2CA6"/>
    <w:rsid w:val="00EF7502"/>
    <w:rsid w:val="00F02034"/>
    <w:rsid w:val="00F03E21"/>
    <w:rsid w:val="00F117B1"/>
    <w:rsid w:val="00F134F9"/>
    <w:rsid w:val="00F2461C"/>
    <w:rsid w:val="00F24C62"/>
    <w:rsid w:val="00F24FC8"/>
    <w:rsid w:val="00F331F0"/>
    <w:rsid w:val="00F34138"/>
    <w:rsid w:val="00F35E57"/>
    <w:rsid w:val="00F44566"/>
    <w:rsid w:val="00F47FCE"/>
    <w:rsid w:val="00F501D2"/>
    <w:rsid w:val="00F5266F"/>
    <w:rsid w:val="00F52BC9"/>
    <w:rsid w:val="00F557C0"/>
    <w:rsid w:val="00F56447"/>
    <w:rsid w:val="00F5798C"/>
    <w:rsid w:val="00F61A04"/>
    <w:rsid w:val="00F64055"/>
    <w:rsid w:val="00F6564C"/>
    <w:rsid w:val="00F710C6"/>
    <w:rsid w:val="00F722BD"/>
    <w:rsid w:val="00F72873"/>
    <w:rsid w:val="00F73620"/>
    <w:rsid w:val="00F758ED"/>
    <w:rsid w:val="00F80411"/>
    <w:rsid w:val="00F872CE"/>
    <w:rsid w:val="00F91CF0"/>
    <w:rsid w:val="00F93A2F"/>
    <w:rsid w:val="00F9481A"/>
    <w:rsid w:val="00F956D1"/>
    <w:rsid w:val="00F9687F"/>
    <w:rsid w:val="00F97F15"/>
    <w:rsid w:val="00FA08DE"/>
    <w:rsid w:val="00FB328E"/>
    <w:rsid w:val="00FB3430"/>
    <w:rsid w:val="00FB5E18"/>
    <w:rsid w:val="00FC07D3"/>
    <w:rsid w:val="00FC2626"/>
    <w:rsid w:val="00FC755D"/>
    <w:rsid w:val="00FD386C"/>
    <w:rsid w:val="00FD3922"/>
    <w:rsid w:val="00FD6452"/>
    <w:rsid w:val="00FF0A4E"/>
    <w:rsid w:val="00FF14A6"/>
    <w:rsid w:val="00FF3F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E1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etimologias.dechile.net/?cronograma" TargetMode="External"/><Relationship Id="rId1" Type="http://schemas.openxmlformats.org/officeDocument/2006/relationships/hyperlink" Target="https://dle.rae.es/cronograma?m=fo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63EF7970-397F-47A6-8BA6-A565AC1BE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3484</TotalTime>
  <Pages>6</Pages>
  <Words>2260</Words>
  <Characters>12433</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478</cp:revision>
  <cp:lastPrinted>2020-03-17T17:42:00Z</cp:lastPrinted>
  <dcterms:created xsi:type="dcterms:W3CDTF">2020-03-17T17:21:00Z</dcterms:created>
  <dcterms:modified xsi:type="dcterms:W3CDTF">2020-07-20T19:17:00Z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