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FBC39" w14:textId="77777777" w:rsidR="00DD3396" w:rsidRPr="0008465D" w:rsidRDefault="00DD3396" w:rsidP="00DD3396">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16F63DC4" w14:textId="77777777" w:rsidR="00FF3F45" w:rsidRDefault="00FF3F45" w:rsidP="008B685E">
      <w:pPr>
        <w:jc w:val="both"/>
        <w:rPr>
          <w:rFonts w:ascii="Arial" w:eastAsia="Calibri" w:hAnsi="Arial" w:cs="Arial"/>
          <w:b/>
          <w:bCs/>
          <w:sz w:val="20"/>
          <w:szCs w:val="20"/>
        </w:rPr>
      </w:pPr>
    </w:p>
    <w:p w14:paraId="34B21ED4" w14:textId="64B8508B" w:rsidR="000F0DA0" w:rsidRDefault="002F6BE4" w:rsidP="008B685E">
      <w:pPr>
        <w:jc w:val="both"/>
        <w:rPr>
          <w:rFonts w:ascii="Arial" w:eastAsia="Calibri" w:hAnsi="Arial" w:cs="Arial"/>
          <w:b/>
          <w:bCs/>
          <w:sz w:val="20"/>
          <w:szCs w:val="20"/>
        </w:rPr>
      </w:pPr>
      <w:r>
        <w:rPr>
          <w:rFonts w:ascii="Arial" w:eastAsia="Calibri" w:hAnsi="Arial" w:cs="Arial"/>
          <w:b/>
          <w:bCs/>
          <w:sz w:val="20"/>
          <w:szCs w:val="20"/>
        </w:rPr>
        <w:t xml:space="preserve">CONTRATACIÓN DE BIENES Y SERVICIOS ADICIONALES – Experiencia adicional – Pliegos tipo </w:t>
      </w:r>
    </w:p>
    <w:p w14:paraId="0DF6BE1D" w14:textId="4DE81B4D" w:rsidR="002F6BE4" w:rsidRDefault="002F6BE4" w:rsidP="008B685E">
      <w:pPr>
        <w:jc w:val="both"/>
        <w:rPr>
          <w:rFonts w:ascii="Arial" w:eastAsia="Calibri" w:hAnsi="Arial" w:cs="Arial"/>
          <w:b/>
          <w:bCs/>
          <w:sz w:val="20"/>
          <w:szCs w:val="20"/>
        </w:rPr>
      </w:pPr>
    </w:p>
    <w:p w14:paraId="147A2D9A" w14:textId="77777777" w:rsidR="002F6BE4" w:rsidRPr="002F6BE4" w:rsidRDefault="002F6BE4" w:rsidP="002F6BE4">
      <w:pPr>
        <w:jc w:val="both"/>
        <w:rPr>
          <w:rFonts w:ascii="Arial" w:eastAsia="Calibri" w:hAnsi="Arial" w:cs="Arial"/>
          <w:color w:val="0D0D0D"/>
          <w:sz w:val="20"/>
          <w:szCs w:val="20"/>
          <w:lang w:val="es-MX"/>
        </w:rPr>
      </w:pPr>
      <w:r w:rsidRPr="002F6BE4">
        <w:rPr>
          <w:rFonts w:ascii="Arial" w:eastAsia="Calibri" w:hAnsi="Arial" w:cs="Arial"/>
          <w:color w:val="0D0D0D"/>
          <w:sz w:val="20"/>
          <w:szCs w:val="20"/>
          <w:lang w:val="es-MX"/>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E342E22" w14:textId="77777777" w:rsidR="002F6BE4" w:rsidRPr="002F6BE4" w:rsidRDefault="002F6BE4" w:rsidP="002F6BE4">
      <w:pPr>
        <w:spacing w:before="120" w:after="120"/>
        <w:jc w:val="both"/>
        <w:rPr>
          <w:rFonts w:ascii="Arial" w:eastAsia="Calibri" w:hAnsi="Arial" w:cs="Arial"/>
          <w:color w:val="0D0D0D"/>
          <w:sz w:val="20"/>
          <w:szCs w:val="20"/>
          <w:lang w:val="es-MX"/>
        </w:rPr>
      </w:pPr>
      <w:r w:rsidRPr="002F6BE4">
        <w:rPr>
          <w:rFonts w:ascii="Arial" w:eastAsia="Calibri" w:hAnsi="Arial" w:cs="Arial"/>
          <w:color w:val="0D0D0D"/>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2DAA93E" w14:textId="77777777" w:rsidR="002F6BE4" w:rsidRPr="002F6BE4" w:rsidRDefault="002F6BE4" w:rsidP="002F6BE4">
      <w:pPr>
        <w:spacing w:before="120" w:after="120"/>
        <w:jc w:val="both"/>
        <w:rPr>
          <w:rFonts w:ascii="Arial" w:eastAsia="Calibri" w:hAnsi="Arial" w:cs="Arial"/>
          <w:color w:val="0D0D0D"/>
          <w:sz w:val="20"/>
          <w:szCs w:val="20"/>
          <w:lang w:val="es-MX"/>
        </w:rPr>
      </w:pPr>
      <w:r w:rsidRPr="002F6BE4">
        <w:rPr>
          <w:rFonts w:ascii="Arial" w:eastAsia="Calibri" w:hAnsi="Arial" w:cs="Arial"/>
          <w:color w:val="0D0D0D"/>
          <w:sz w:val="20"/>
          <w:szCs w:val="20"/>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los documentos tipo, mientras que en el caso contrario no será forzosa su aplicación.</w:t>
      </w:r>
    </w:p>
    <w:p w14:paraId="5C6C3EB9" w14:textId="77777777" w:rsidR="002F6BE4" w:rsidRDefault="002F6BE4" w:rsidP="008B685E">
      <w:pPr>
        <w:jc w:val="both"/>
        <w:rPr>
          <w:rFonts w:ascii="Arial" w:eastAsia="Calibri" w:hAnsi="Arial" w:cs="Arial"/>
          <w:b/>
          <w:bCs/>
          <w:sz w:val="20"/>
          <w:szCs w:val="20"/>
        </w:rPr>
      </w:pPr>
    </w:p>
    <w:p w14:paraId="59CAC9C2" w14:textId="0CCB2FDF" w:rsidR="008B685E" w:rsidRPr="002F6BE4" w:rsidRDefault="002F6BE4" w:rsidP="008B685E">
      <w:pPr>
        <w:pStyle w:val="Normal11pt"/>
        <w:spacing w:line="276" w:lineRule="auto"/>
        <w:ind w:left="0"/>
        <w:rPr>
          <w:b/>
          <w:bCs/>
          <w:sz w:val="20"/>
          <w:szCs w:val="20"/>
        </w:rPr>
      </w:pPr>
      <w:r w:rsidRPr="002F6BE4">
        <w:rPr>
          <w:b/>
          <w:bCs/>
          <w:sz w:val="20"/>
          <w:szCs w:val="20"/>
        </w:rPr>
        <w:t xml:space="preserve">GLOSARIO – </w:t>
      </w:r>
      <w:r w:rsidR="00A20516">
        <w:rPr>
          <w:b/>
          <w:bCs/>
          <w:sz w:val="20"/>
          <w:szCs w:val="20"/>
        </w:rPr>
        <w:t>B</w:t>
      </w:r>
      <w:r w:rsidR="00A20516" w:rsidRPr="002F6BE4">
        <w:rPr>
          <w:b/>
          <w:bCs/>
          <w:sz w:val="20"/>
          <w:szCs w:val="20"/>
        </w:rPr>
        <w:t xml:space="preserve">ienes y servicios adicionales </w:t>
      </w:r>
    </w:p>
    <w:p w14:paraId="7AC86E7C" w14:textId="2E4C385C" w:rsidR="002F6BE4" w:rsidRDefault="002F6BE4" w:rsidP="008B685E">
      <w:pPr>
        <w:pStyle w:val="Normal11pt"/>
        <w:spacing w:line="276" w:lineRule="auto"/>
        <w:ind w:left="0"/>
        <w:rPr>
          <w:sz w:val="20"/>
          <w:szCs w:val="20"/>
        </w:rPr>
      </w:pPr>
    </w:p>
    <w:p w14:paraId="13E96775" w14:textId="77777777" w:rsidR="00CF6814" w:rsidRPr="00CF6814" w:rsidRDefault="00CF6814" w:rsidP="00CF6814">
      <w:pPr>
        <w:spacing w:before="120" w:after="120"/>
        <w:jc w:val="both"/>
        <w:rPr>
          <w:rFonts w:ascii="Arial" w:hAnsi="Arial" w:cs="Arial"/>
          <w:color w:val="000000"/>
          <w:sz w:val="20"/>
          <w:szCs w:val="20"/>
          <w:bdr w:val="none" w:sz="0" w:space="0" w:color="auto" w:frame="1"/>
          <w:lang w:val="es-ES_tradnl"/>
        </w:rPr>
      </w:pPr>
      <w:r w:rsidRPr="00CF6814">
        <w:rPr>
          <w:rFonts w:ascii="Arial" w:hAnsi="Arial" w:cs="Arial"/>
          <w:color w:val="000000"/>
          <w:sz w:val="20"/>
          <w:szCs w:val="20"/>
          <w:bdr w:val="none" w:sz="0" w:space="0" w:color="auto" w:frame="1"/>
          <w:lang w:val="es-ES_tradnl"/>
        </w:rPr>
        <w:t>Siguiendo el procedimiento referido, cada entidad estatal determinará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1. De esta manera, deberá aplicar estrictamente lo contenido en dicha matriz y, por tanto, no podrá incluir, modificar, suprimir o alterar las condiciones de experiencia allí establecidas, salvo cuando de forma expresa esta lo determine.</w:t>
      </w:r>
    </w:p>
    <w:p w14:paraId="607C6EE4" w14:textId="32AB7264" w:rsidR="00C60DD3" w:rsidRPr="00CF6814" w:rsidRDefault="00CF6814" w:rsidP="00CF6814">
      <w:pPr>
        <w:spacing w:after="120"/>
        <w:jc w:val="both"/>
        <w:rPr>
          <w:rFonts w:ascii="Arial" w:eastAsia="Calibri" w:hAnsi="Arial" w:cs="Arial"/>
          <w:color w:val="000000"/>
          <w:sz w:val="20"/>
          <w:szCs w:val="20"/>
          <w:lang w:val="es-ES_tradnl" w:eastAsia="es-ES"/>
        </w:rPr>
      </w:pPr>
      <w:r w:rsidRPr="00CF6814">
        <w:rPr>
          <w:rFonts w:ascii="Arial" w:hAnsi="Arial" w:cs="Arial"/>
          <w:color w:val="000000"/>
          <w:sz w:val="20"/>
          <w:szCs w:val="20"/>
          <w:lang w:val="es-ES_tradnl" w:eastAsia="es-ES"/>
        </w:rPr>
        <w:t xml:space="preserve">De otro lado, en la aplicación de los documentos tipo, la posibilidad de exigir experiencia adicional a la estandarizada en la Matriz 1 se refiere a bienes y servicios adicionales a la obra pública de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 que los proponentes acrediten cierta idoneidad. Ante estos supuestos, debe aplicarse </w:t>
      </w:r>
      <w:r w:rsidRPr="00CF6814">
        <w:rPr>
          <w:rFonts w:ascii="Arial" w:eastAsia="Calibri" w:hAnsi="Arial" w:cs="Arial"/>
          <w:color w:val="000000"/>
          <w:sz w:val="20"/>
          <w:szCs w:val="20"/>
          <w:lang w:val="es-ES_tradnl" w:eastAsia="es-ES"/>
        </w:rPr>
        <w:t>lo dispuesto en el artículo 4 de las Resoluciones 240 y 241 de 2020, así como el artículo 2.2.1.2.6.3.5 del Decreto 1082 de 2015. Estas normas disponen que, para los procesos adelantados por licitación pública, selección abreviada de menor cuantía y mínima cuantía, la entidad puede incluir experiencia adicional para evaluar la idoneidad respecto de los bienes o servicios adicionales a la obra pública</w:t>
      </w:r>
      <w:r w:rsidRPr="00CF6814">
        <w:rPr>
          <w:rFonts w:ascii="Arial" w:hAnsi="Arial" w:cs="Arial"/>
          <w:color w:val="000000"/>
          <w:sz w:val="20"/>
          <w:szCs w:val="20"/>
          <w:lang w:val="es-ES_tradnl" w:eastAsia="es-ES"/>
        </w:rPr>
        <w:t xml:space="preserve"> de infraestructura de transporte</w:t>
      </w:r>
      <w:r w:rsidRPr="00CF6814">
        <w:rPr>
          <w:rFonts w:ascii="Arial" w:eastAsia="Calibri" w:hAnsi="Arial" w:cs="Arial"/>
          <w:color w:val="000000"/>
          <w:sz w:val="20"/>
          <w:szCs w:val="20"/>
          <w:lang w:val="es-ES_tradnl" w:eastAsia="es-ES"/>
        </w:rPr>
        <w:t xml:space="preserve">. </w:t>
      </w:r>
    </w:p>
    <w:p w14:paraId="66513F8E" w14:textId="77777777" w:rsidR="004C46BC" w:rsidRPr="0008465D" w:rsidRDefault="004C46BC" w:rsidP="004C46BC">
      <w:pPr>
        <w:jc w:val="right"/>
        <w:rPr>
          <w:rFonts w:ascii="Arial" w:hAnsi="Arial" w:cs="Arial"/>
          <w:b/>
          <w:sz w:val="16"/>
          <w:szCs w:val="16"/>
          <w:lang w:val="es-ES" w:eastAsia="es-ES"/>
        </w:rPr>
      </w:pPr>
      <w:r w:rsidRPr="0008465D">
        <w:rPr>
          <w:rFonts w:ascii="Arial" w:hAnsi="Arial" w:cs="Arial"/>
          <w:b/>
          <w:sz w:val="16"/>
          <w:szCs w:val="16"/>
          <w:lang w:val="es-ES" w:eastAsia="es-ES"/>
        </w:rPr>
        <w:lastRenderedPageBreak/>
        <w:t>CCE-DES-FM-17</w:t>
      </w:r>
    </w:p>
    <w:p w14:paraId="0FC1F222" w14:textId="57F9F97B" w:rsidR="004C46BC" w:rsidRDefault="004C46BC" w:rsidP="00DD3396">
      <w:pPr>
        <w:rPr>
          <w:rFonts w:ascii="Arial" w:eastAsia="Calibri" w:hAnsi="Arial" w:cs="Arial"/>
          <w:sz w:val="22"/>
          <w:szCs w:val="22"/>
          <w:lang w:val="es-ES"/>
        </w:rPr>
      </w:pPr>
    </w:p>
    <w:p w14:paraId="6405A6BD" w14:textId="5FC99CB8" w:rsidR="00BC5580" w:rsidRPr="00BC5580" w:rsidRDefault="00BC5580" w:rsidP="00BC5580">
      <w:pPr>
        <w:jc w:val="right"/>
      </w:pPr>
      <w:r w:rsidRPr="00BC5580">
        <w:fldChar w:fldCharType="begin"/>
      </w:r>
      <w:r w:rsidRPr="00BC5580">
        <w:instrText xml:space="preserve"> INCLUDEPICTURE "/var/folders/tb/0fmk9b510f57pz5rwhv8lnpw0000gp/T/com.microsoft.Word/WebArchiveCopyPasteTempFiles/page1image10797680" \* MERGEFORMATINET </w:instrText>
      </w:r>
      <w:r w:rsidRPr="00BC5580">
        <w:fldChar w:fldCharType="separate"/>
      </w:r>
      <w:r w:rsidRPr="00BC5580">
        <w:rPr>
          <w:noProof/>
        </w:rPr>
        <w:drawing>
          <wp:inline distT="0" distB="0" distL="0" distR="0" wp14:anchorId="7C1C4811" wp14:editId="107E7E8D">
            <wp:extent cx="2401570" cy="605790"/>
            <wp:effectExtent l="0" t="0" r="0" b="3810"/>
            <wp:docPr id="4" name="Imagen 4" descr="page1image1079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7976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BC5580">
        <w:fldChar w:fldCharType="end"/>
      </w:r>
    </w:p>
    <w:p w14:paraId="2BE4C325" w14:textId="77777777" w:rsidR="00CF6814" w:rsidRDefault="00CF6814" w:rsidP="00DD3396">
      <w:pPr>
        <w:rPr>
          <w:rFonts w:ascii="Arial" w:eastAsia="Calibri" w:hAnsi="Arial" w:cs="Arial"/>
          <w:sz w:val="22"/>
          <w:szCs w:val="22"/>
          <w:lang w:val="es-ES"/>
        </w:rPr>
      </w:pPr>
    </w:p>
    <w:p w14:paraId="71BD1AA1" w14:textId="77777777" w:rsidR="004C46BC" w:rsidRDefault="004C46BC" w:rsidP="00DD3396">
      <w:pPr>
        <w:rPr>
          <w:rFonts w:ascii="Arial" w:eastAsia="Calibri" w:hAnsi="Arial" w:cs="Arial"/>
          <w:sz w:val="22"/>
          <w:szCs w:val="22"/>
          <w:lang w:val="es-ES"/>
        </w:rPr>
      </w:pPr>
    </w:p>
    <w:p w14:paraId="02751DA7" w14:textId="4CEDB0E0" w:rsidR="004C46BC" w:rsidRDefault="004C46BC" w:rsidP="00DD3396">
      <w:pPr>
        <w:rPr>
          <w:rFonts w:ascii="Arial" w:eastAsia="Calibri" w:hAnsi="Arial" w:cs="Arial"/>
          <w:sz w:val="22"/>
          <w:szCs w:val="22"/>
          <w:lang w:val="es-ES"/>
        </w:rPr>
      </w:pPr>
      <w:r>
        <w:rPr>
          <w:rFonts w:ascii="Arial" w:eastAsia="Calibri" w:hAnsi="Arial" w:cs="Arial"/>
          <w:sz w:val="22"/>
          <w:szCs w:val="22"/>
          <w:lang w:val="es-ES"/>
        </w:rPr>
        <w:t>Bogotá D.C</w:t>
      </w:r>
      <w:r w:rsidR="00750D83">
        <w:rPr>
          <w:rFonts w:ascii="Arial" w:eastAsia="Calibri" w:hAnsi="Arial" w:cs="Arial"/>
          <w:sz w:val="22"/>
          <w:szCs w:val="22"/>
          <w:lang w:val="es-ES"/>
        </w:rPr>
        <w:t>.</w:t>
      </w:r>
      <w:r>
        <w:rPr>
          <w:rFonts w:ascii="Arial" w:eastAsia="Calibri" w:hAnsi="Arial" w:cs="Arial"/>
          <w:sz w:val="22"/>
          <w:szCs w:val="22"/>
          <w:lang w:val="es-ES"/>
        </w:rPr>
        <w:t>,</w:t>
      </w:r>
      <w:r w:rsidR="00A20516">
        <w:rPr>
          <w:rFonts w:ascii="Arial" w:eastAsia="Calibri" w:hAnsi="Arial" w:cs="Arial"/>
          <w:sz w:val="22"/>
          <w:szCs w:val="22"/>
          <w:lang w:val="es-ES"/>
        </w:rPr>
        <w:t xml:space="preserve"> 8 de junio de 2022</w:t>
      </w:r>
    </w:p>
    <w:p w14:paraId="4B9BB12D" w14:textId="77777777" w:rsidR="004C46BC" w:rsidRDefault="004C46BC" w:rsidP="00DD3396">
      <w:pPr>
        <w:rPr>
          <w:rFonts w:ascii="Arial" w:eastAsia="Calibri" w:hAnsi="Arial" w:cs="Arial"/>
          <w:sz w:val="22"/>
          <w:szCs w:val="22"/>
          <w:lang w:val="es-ES"/>
        </w:rPr>
      </w:pPr>
    </w:p>
    <w:p w14:paraId="42A7F8C8" w14:textId="77777777" w:rsidR="004C46BC" w:rsidRDefault="004C46BC" w:rsidP="00DD3396">
      <w:pPr>
        <w:rPr>
          <w:rFonts w:ascii="Arial" w:eastAsia="Calibri" w:hAnsi="Arial" w:cs="Arial"/>
          <w:sz w:val="22"/>
          <w:szCs w:val="22"/>
          <w:lang w:val="es-ES"/>
        </w:rPr>
      </w:pPr>
    </w:p>
    <w:p w14:paraId="43041A3F" w14:textId="74A03F44" w:rsidR="00DD3396" w:rsidRDefault="00DD3396" w:rsidP="00DD3396">
      <w:pPr>
        <w:rPr>
          <w:rFonts w:ascii="Arial" w:eastAsia="Calibri" w:hAnsi="Arial" w:cs="Arial"/>
          <w:sz w:val="22"/>
          <w:szCs w:val="22"/>
          <w:lang w:val="es-ES"/>
        </w:rPr>
      </w:pPr>
      <w:r w:rsidRPr="006244FD">
        <w:rPr>
          <w:rFonts w:ascii="Arial" w:eastAsia="Calibri" w:hAnsi="Arial" w:cs="Arial"/>
          <w:sz w:val="22"/>
          <w:szCs w:val="22"/>
          <w:lang w:val="es-ES"/>
        </w:rPr>
        <w:t>Señor</w:t>
      </w:r>
    </w:p>
    <w:p w14:paraId="453DCC18" w14:textId="640F3921" w:rsidR="00EF6A38" w:rsidRDefault="00EF6A38" w:rsidP="00DD3396">
      <w:pPr>
        <w:rPr>
          <w:rFonts w:ascii="Arial" w:eastAsia="Calibri" w:hAnsi="Arial" w:cs="Arial"/>
          <w:b/>
          <w:bCs/>
          <w:sz w:val="22"/>
          <w:szCs w:val="22"/>
          <w:lang w:val="es-ES"/>
        </w:rPr>
      </w:pPr>
      <w:r>
        <w:rPr>
          <w:rFonts w:ascii="Arial" w:eastAsia="Calibri" w:hAnsi="Arial" w:cs="Arial"/>
          <w:b/>
          <w:bCs/>
          <w:sz w:val="22"/>
          <w:szCs w:val="22"/>
          <w:lang w:val="es-ES"/>
        </w:rPr>
        <w:t>Hernando Pava</w:t>
      </w:r>
    </w:p>
    <w:p w14:paraId="370F82C7" w14:textId="6E3A7698" w:rsidR="00EF6A38" w:rsidRPr="00EF6A38" w:rsidRDefault="00EF6A38" w:rsidP="00DD3396">
      <w:pPr>
        <w:rPr>
          <w:rFonts w:ascii="Arial" w:eastAsia="Calibri" w:hAnsi="Arial" w:cs="Arial"/>
          <w:sz w:val="22"/>
          <w:szCs w:val="22"/>
          <w:lang w:val="es-ES"/>
        </w:rPr>
      </w:pPr>
      <w:r>
        <w:rPr>
          <w:rFonts w:ascii="Arial" w:eastAsia="Calibri" w:hAnsi="Arial" w:cs="Arial"/>
          <w:sz w:val="22"/>
          <w:szCs w:val="22"/>
          <w:lang w:val="es-ES"/>
        </w:rPr>
        <w:t xml:space="preserve">Bogotá D.C. </w:t>
      </w:r>
    </w:p>
    <w:p w14:paraId="75074BB3" w14:textId="77777777" w:rsidR="00DD3396" w:rsidRPr="00924DEF" w:rsidRDefault="00DD3396" w:rsidP="00DD3396">
      <w:pPr>
        <w:rPr>
          <w:rFonts w:ascii="Arial" w:eastAsia="Calibri" w:hAnsi="Arial" w:cs="Arial"/>
          <w:sz w:val="22"/>
          <w:szCs w:val="22"/>
          <w:lang w:val="es-ES"/>
        </w:rPr>
      </w:pPr>
    </w:p>
    <w:p w14:paraId="33F00292" w14:textId="77777777" w:rsidR="00DD3396" w:rsidRPr="00924DEF" w:rsidRDefault="00DD3396" w:rsidP="00DD3396">
      <w:pPr>
        <w:rPr>
          <w:rFonts w:ascii="Arial" w:eastAsia="Calibri" w:hAnsi="Arial" w:cs="Arial"/>
          <w:b/>
          <w:sz w:val="22"/>
          <w:szCs w:val="22"/>
          <w:lang w:val="es-ES"/>
        </w:rPr>
      </w:pPr>
    </w:p>
    <w:p w14:paraId="199F6E49" w14:textId="53E49084" w:rsidR="00DD3396" w:rsidRPr="00F35189" w:rsidRDefault="00DD3396" w:rsidP="00DD3396">
      <w:pPr>
        <w:rPr>
          <w:rFonts w:ascii="Arial" w:eastAsia="Calibri" w:hAnsi="Arial" w:cs="Arial"/>
          <w:b/>
          <w:sz w:val="22"/>
          <w:szCs w:val="22"/>
          <w:lang w:val="es-ES"/>
        </w:rPr>
      </w:pPr>
      <w:r w:rsidRPr="00924DEF">
        <w:rPr>
          <w:rFonts w:ascii="Arial" w:eastAsia="Calibri" w:hAnsi="Arial" w:cs="Arial"/>
          <w:b/>
          <w:sz w:val="22"/>
          <w:szCs w:val="22"/>
          <w:lang w:val="es-ES"/>
        </w:rPr>
        <w:t xml:space="preserve">    </w:t>
      </w:r>
      <w:r w:rsidRPr="00F35189">
        <w:rPr>
          <w:rFonts w:ascii="Arial" w:eastAsia="Calibri" w:hAnsi="Arial" w:cs="Arial"/>
          <w:b/>
          <w:sz w:val="22"/>
          <w:szCs w:val="22"/>
          <w:lang w:val="es-ES"/>
        </w:rPr>
        <w:t xml:space="preserve">                                      Concepto C – </w:t>
      </w:r>
      <w:r w:rsidR="000734EC">
        <w:rPr>
          <w:rFonts w:ascii="Arial" w:eastAsia="Calibri" w:hAnsi="Arial" w:cs="Arial"/>
          <w:b/>
          <w:sz w:val="22"/>
          <w:szCs w:val="22"/>
          <w:lang w:val="es-ES"/>
        </w:rPr>
        <w:t>371</w:t>
      </w:r>
      <w:r w:rsidRPr="00F35189">
        <w:rPr>
          <w:rFonts w:ascii="Arial" w:eastAsia="Calibri" w:hAnsi="Arial" w:cs="Arial"/>
          <w:b/>
          <w:sz w:val="22"/>
          <w:szCs w:val="22"/>
          <w:lang w:val="es-ES"/>
        </w:rPr>
        <w:t xml:space="preserve"> de 2022</w:t>
      </w:r>
    </w:p>
    <w:p w14:paraId="1456B8CB" w14:textId="77777777" w:rsidR="00DD3396" w:rsidRPr="00F35189" w:rsidRDefault="00DD3396" w:rsidP="00DD3396">
      <w:pPr>
        <w:rPr>
          <w:rFonts w:ascii="Arial" w:eastAsia="Calibri" w:hAnsi="Arial" w:cs="Arial"/>
          <w:b/>
          <w:sz w:val="22"/>
          <w:szCs w:val="22"/>
          <w:lang w:val="es-ES"/>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095"/>
      </w:tblGrid>
      <w:tr w:rsidR="00DD3396" w:rsidRPr="002F6BE4" w14:paraId="5E976589" w14:textId="77777777" w:rsidTr="002F6BE4">
        <w:trPr>
          <w:trHeight w:val="550"/>
        </w:trPr>
        <w:tc>
          <w:tcPr>
            <w:tcW w:w="2552" w:type="dxa"/>
          </w:tcPr>
          <w:p w14:paraId="5DFC0827" w14:textId="77777777" w:rsidR="00DD3396" w:rsidRPr="00F35189" w:rsidRDefault="00DD3396" w:rsidP="008A5DF2">
            <w:pPr>
              <w:rPr>
                <w:rFonts w:ascii="Arial" w:eastAsia="Calibri" w:hAnsi="Arial" w:cs="Arial"/>
                <w:sz w:val="22"/>
                <w:szCs w:val="22"/>
                <w:lang w:val="es-ES"/>
              </w:rPr>
            </w:pPr>
            <w:r w:rsidRPr="00F35189">
              <w:rPr>
                <w:rFonts w:ascii="Arial" w:eastAsia="Calibri" w:hAnsi="Arial" w:cs="Arial"/>
                <w:b/>
                <w:sz w:val="22"/>
                <w:szCs w:val="22"/>
                <w:lang w:val="es-ES"/>
              </w:rPr>
              <w:t>Temas:</w:t>
            </w:r>
            <w:r w:rsidRPr="00F35189">
              <w:rPr>
                <w:rFonts w:ascii="Arial" w:eastAsia="Calibri" w:hAnsi="Arial" w:cs="Arial"/>
                <w:sz w:val="22"/>
                <w:szCs w:val="22"/>
                <w:lang w:val="es-ES"/>
              </w:rPr>
              <w:t xml:space="preserve">                                    </w:t>
            </w:r>
          </w:p>
        </w:tc>
        <w:tc>
          <w:tcPr>
            <w:tcW w:w="6095" w:type="dxa"/>
          </w:tcPr>
          <w:p w14:paraId="10DF38EC" w14:textId="7102C07A" w:rsidR="001E528E" w:rsidRPr="002F6BE4" w:rsidRDefault="002F6BE4" w:rsidP="00C1373A">
            <w:pPr>
              <w:spacing w:after="120" w:line="276" w:lineRule="auto"/>
              <w:jc w:val="both"/>
              <w:rPr>
                <w:rFonts w:ascii="Arial" w:eastAsia="Calibri" w:hAnsi="Arial" w:cs="Arial"/>
                <w:sz w:val="22"/>
                <w:szCs w:val="22"/>
              </w:rPr>
            </w:pPr>
            <w:r w:rsidRPr="002F6BE4">
              <w:rPr>
                <w:rFonts w:ascii="Arial" w:eastAsia="Calibri" w:hAnsi="Arial" w:cs="Arial"/>
                <w:sz w:val="22"/>
                <w:szCs w:val="22"/>
              </w:rPr>
              <w:t xml:space="preserve">CONTRATACIÓN DE BIENES Y SERVICIOS ADICIONALES – Experiencia adicional – Pliegos tipo / </w:t>
            </w:r>
            <w:r w:rsidRPr="002F6BE4">
              <w:rPr>
                <w:rFonts w:ascii="Arial" w:hAnsi="Arial" w:cs="Arial"/>
                <w:sz w:val="22"/>
                <w:szCs w:val="22"/>
              </w:rPr>
              <w:t>GLOSARIO – BIENES Y SERVICIOS ADICIONALES</w:t>
            </w:r>
          </w:p>
        </w:tc>
      </w:tr>
      <w:tr w:rsidR="00DD3396" w:rsidRPr="00F35189" w14:paraId="173B1FB9" w14:textId="77777777" w:rsidTr="002F6BE4">
        <w:tc>
          <w:tcPr>
            <w:tcW w:w="2552" w:type="dxa"/>
          </w:tcPr>
          <w:p w14:paraId="711F34A0" w14:textId="77777777" w:rsidR="00DD3396" w:rsidRPr="00F35189" w:rsidRDefault="00DD3396" w:rsidP="008A5DF2">
            <w:pPr>
              <w:rPr>
                <w:rFonts w:ascii="Arial" w:eastAsia="Calibri" w:hAnsi="Arial" w:cs="Arial"/>
                <w:sz w:val="22"/>
                <w:szCs w:val="22"/>
                <w:lang w:val="es-ES"/>
              </w:rPr>
            </w:pPr>
            <w:r w:rsidRPr="00F35189">
              <w:rPr>
                <w:rFonts w:ascii="Arial" w:eastAsia="Calibri" w:hAnsi="Arial" w:cs="Arial"/>
                <w:b/>
                <w:sz w:val="22"/>
                <w:szCs w:val="22"/>
                <w:lang w:val="es-ES"/>
              </w:rPr>
              <w:t>Radicación:</w:t>
            </w:r>
            <w:r w:rsidRPr="00F35189">
              <w:rPr>
                <w:rFonts w:ascii="Arial" w:eastAsia="Calibri" w:hAnsi="Arial" w:cs="Arial"/>
                <w:sz w:val="22"/>
                <w:szCs w:val="22"/>
                <w:lang w:val="es-ES"/>
              </w:rPr>
              <w:t xml:space="preserve">                              </w:t>
            </w:r>
          </w:p>
        </w:tc>
        <w:tc>
          <w:tcPr>
            <w:tcW w:w="6095" w:type="dxa"/>
          </w:tcPr>
          <w:p w14:paraId="5532C1A1" w14:textId="5A3A138C" w:rsidR="00DD3396" w:rsidRPr="00F35189" w:rsidRDefault="00DD3396" w:rsidP="008A5DF2">
            <w:pPr>
              <w:rPr>
                <w:rFonts w:ascii="Arial" w:eastAsia="Calibri" w:hAnsi="Arial" w:cs="Arial"/>
                <w:sz w:val="22"/>
                <w:szCs w:val="22"/>
                <w:lang w:val="es-ES"/>
              </w:rPr>
            </w:pPr>
            <w:r w:rsidRPr="00F35189">
              <w:rPr>
                <w:rFonts w:ascii="Arial" w:eastAsia="Calibri" w:hAnsi="Arial" w:cs="Arial"/>
                <w:sz w:val="22"/>
                <w:szCs w:val="22"/>
                <w:lang w:val="es-ES"/>
              </w:rPr>
              <w:t xml:space="preserve">Respuesta a consulta </w:t>
            </w:r>
            <w:r w:rsidR="000734EC" w:rsidRPr="00745440">
              <w:rPr>
                <w:rFonts w:ascii="Arial" w:hAnsi="Arial" w:cs="Arial"/>
                <w:sz w:val="22"/>
                <w:szCs w:val="22"/>
              </w:rPr>
              <w:t>P20220426004089</w:t>
            </w:r>
          </w:p>
        </w:tc>
      </w:tr>
    </w:tbl>
    <w:p w14:paraId="523CB4B4" w14:textId="77777777" w:rsidR="00DD3396" w:rsidRPr="00924DEF" w:rsidRDefault="00DD3396" w:rsidP="00DD3396">
      <w:pPr>
        <w:spacing w:line="276" w:lineRule="auto"/>
        <w:rPr>
          <w:rFonts w:ascii="Arial" w:eastAsia="Calibri" w:hAnsi="Arial" w:cs="Arial"/>
          <w:sz w:val="22"/>
          <w:szCs w:val="22"/>
          <w:lang w:val="es-ES"/>
        </w:rPr>
      </w:pPr>
    </w:p>
    <w:p w14:paraId="7DED3594" w14:textId="77777777" w:rsidR="00DD3396" w:rsidRPr="00924DEF" w:rsidRDefault="00DD3396" w:rsidP="00DD3396">
      <w:pPr>
        <w:spacing w:line="276" w:lineRule="auto"/>
        <w:rPr>
          <w:rFonts w:ascii="Arial" w:eastAsia="Calibri" w:hAnsi="Arial" w:cs="Arial"/>
          <w:sz w:val="22"/>
          <w:szCs w:val="22"/>
          <w:lang w:val="es-ES"/>
        </w:rPr>
      </w:pPr>
    </w:p>
    <w:p w14:paraId="102D66F4" w14:textId="76499D52" w:rsidR="00DD3396" w:rsidRPr="00924DEF" w:rsidRDefault="00DD3396" w:rsidP="00DD3396">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sidR="002A64A3">
        <w:rPr>
          <w:rFonts w:ascii="Arial" w:eastAsia="Calibri" w:hAnsi="Arial" w:cs="Arial"/>
          <w:sz w:val="22"/>
          <w:szCs w:val="22"/>
          <w:lang w:val="es-ES"/>
        </w:rPr>
        <w:t>o</w:t>
      </w:r>
      <w:r w:rsidRPr="00924DEF">
        <w:rPr>
          <w:rFonts w:ascii="Arial" w:eastAsia="Calibri" w:hAnsi="Arial" w:cs="Arial"/>
          <w:sz w:val="22"/>
          <w:szCs w:val="22"/>
          <w:lang w:val="es-ES"/>
        </w:rPr>
        <w:t xml:space="preserve"> señor</w:t>
      </w:r>
      <w:r w:rsidR="00EF6A38">
        <w:rPr>
          <w:rFonts w:ascii="Arial" w:eastAsia="Calibri" w:hAnsi="Arial" w:cs="Arial"/>
          <w:sz w:val="22"/>
          <w:szCs w:val="22"/>
          <w:lang w:val="es-ES"/>
        </w:rPr>
        <w:t xml:space="preserve"> Pava</w:t>
      </w:r>
      <w:r w:rsidR="002A64A3">
        <w:rPr>
          <w:rFonts w:ascii="Arial" w:eastAsia="Calibri" w:hAnsi="Arial" w:cs="Arial"/>
          <w:sz w:val="22"/>
          <w:szCs w:val="22"/>
          <w:lang w:val="es-ES"/>
        </w:rPr>
        <w:t>:</w:t>
      </w:r>
      <w:r w:rsidRPr="00924DEF">
        <w:rPr>
          <w:rFonts w:ascii="Arial" w:eastAsia="Calibri" w:hAnsi="Arial" w:cs="Arial"/>
          <w:sz w:val="22"/>
          <w:szCs w:val="22"/>
          <w:lang w:val="es-ES"/>
        </w:rPr>
        <w:tab/>
      </w:r>
    </w:p>
    <w:p w14:paraId="38D35F9B" w14:textId="77777777" w:rsidR="00DD3396" w:rsidRPr="00924DEF" w:rsidRDefault="00DD3396" w:rsidP="00DD3396">
      <w:pPr>
        <w:spacing w:line="276" w:lineRule="auto"/>
        <w:rPr>
          <w:rFonts w:ascii="Arial" w:eastAsia="Calibri" w:hAnsi="Arial" w:cs="Arial"/>
          <w:sz w:val="22"/>
          <w:szCs w:val="22"/>
          <w:lang w:val="es-ES"/>
        </w:rPr>
      </w:pPr>
    </w:p>
    <w:p w14:paraId="2007834B" w14:textId="308772C6"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sidR="000734EC">
        <w:rPr>
          <w:rFonts w:ascii="Arial" w:eastAsia="Calibri" w:hAnsi="Arial" w:cs="Arial"/>
          <w:sz w:val="22"/>
          <w:szCs w:val="22"/>
          <w:lang w:val="es-ES"/>
        </w:rPr>
        <w:t>26</w:t>
      </w:r>
      <w:r w:rsidR="00862E0E">
        <w:rPr>
          <w:rFonts w:ascii="Arial" w:eastAsia="Calibri" w:hAnsi="Arial" w:cs="Arial"/>
          <w:sz w:val="22"/>
          <w:szCs w:val="22"/>
          <w:lang w:val="es-ES"/>
        </w:rPr>
        <w:t xml:space="preserve"> de</w:t>
      </w:r>
      <w:r w:rsidR="000734EC">
        <w:rPr>
          <w:rFonts w:ascii="Arial" w:eastAsia="Calibri" w:hAnsi="Arial" w:cs="Arial"/>
          <w:sz w:val="22"/>
          <w:szCs w:val="22"/>
          <w:lang w:val="es-ES"/>
        </w:rPr>
        <w:t xml:space="preserve"> abril </w:t>
      </w:r>
      <w:r>
        <w:rPr>
          <w:rFonts w:ascii="Arial" w:eastAsia="Calibri" w:hAnsi="Arial" w:cs="Arial"/>
          <w:sz w:val="22"/>
          <w:szCs w:val="22"/>
          <w:lang w:val="es-ES"/>
        </w:rPr>
        <w:t>de 2022.</w:t>
      </w:r>
    </w:p>
    <w:p w14:paraId="5B44A0BF" w14:textId="77777777" w:rsidR="00DD3396" w:rsidRPr="00924DEF" w:rsidRDefault="00DD3396" w:rsidP="00DD3396">
      <w:pPr>
        <w:pStyle w:val="Prrafodelista"/>
        <w:spacing w:line="276" w:lineRule="auto"/>
        <w:ind w:left="0"/>
        <w:rPr>
          <w:rFonts w:ascii="Arial" w:eastAsia="Calibri" w:hAnsi="Arial" w:cs="Arial"/>
          <w:sz w:val="22"/>
          <w:lang w:val="es-ES"/>
        </w:rPr>
      </w:pPr>
    </w:p>
    <w:p w14:paraId="72D7AAAE" w14:textId="77777777" w:rsidR="00DD3396" w:rsidRPr="00924DEF" w:rsidRDefault="00DD3396" w:rsidP="00DD3396">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56BBD99C" w14:textId="77777777" w:rsidR="00DD3396" w:rsidRPr="00924DEF" w:rsidRDefault="00DD3396" w:rsidP="00DD3396">
      <w:pPr>
        <w:rPr>
          <w:rFonts w:ascii="Arial" w:eastAsia="Calibri" w:hAnsi="Arial" w:cs="Arial"/>
          <w:sz w:val="22"/>
          <w:szCs w:val="22"/>
          <w:lang w:val="es-ES"/>
        </w:rPr>
      </w:pPr>
    </w:p>
    <w:p w14:paraId="6AD8577F" w14:textId="1663BB45" w:rsidR="000734EC" w:rsidRPr="00745440" w:rsidRDefault="00DD3396" w:rsidP="000F0DA0">
      <w:pPr>
        <w:spacing w:line="276" w:lineRule="auto"/>
        <w:jc w:val="both"/>
        <w:rPr>
          <w:rFonts w:ascii="Arial" w:hAnsi="Arial" w:cs="Arial"/>
          <w:sz w:val="22"/>
          <w:szCs w:val="22"/>
        </w:rPr>
      </w:pPr>
      <w:r w:rsidRPr="001032B4">
        <w:rPr>
          <w:rFonts w:ascii="Arial" w:eastAsia="Calibri" w:hAnsi="Arial" w:cs="Arial"/>
          <w:sz w:val="22"/>
          <w:szCs w:val="22"/>
          <w:lang w:val="es-ES"/>
        </w:rPr>
        <w:t xml:space="preserve">Usted realiza la siguiente pregunta: </w:t>
      </w:r>
      <w:r w:rsidR="000734EC" w:rsidRPr="00490D34">
        <w:rPr>
          <w:rFonts w:ascii="Arial" w:hAnsi="Arial" w:cs="Arial"/>
          <w:color w:val="000000"/>
          <w:sz w:val="22"/>
          <w:szCs w:val="22"/>
        </w:rPr>
        <w:t>«</w:t>
      </w:r>
      <w:r w:rsidR="000734EC">
        <w:rPr>
          <w:rFonts w:ascii="Arial" w:hAnsi="Arial" w:cs="Arial"/>
          <w:color w:val="000000"/>
          <w:sz w:val="22"/>
          <w:szCs w:val="22"/>
        </w:rPr>
        <w:t xml:space="preserve">[…] </w:t>
      </w:r>
      <w:r w:rsidR="000734EC" w:rsidRPr="00745440">
        <w:rPr>
          <w:rFonts w:ascii="Arial" w:hAnsi="Arial" w:cs="Arial"/>
          <w:color w:val="000000"/>
          <w:sz w:val="22"/>
          <w:szCs w:val="22"/>
        </w:rPr>
        <w:t>qu</w:t>
      </w:r>
      <w:r w:rsidR="000734EC">
        <w:rPr>
          <w:rFonts w:ascii="Arial" w:hAnsi="Arial" w:cs="Arial"/>
          <w:color w:val="000000"/>
          <w:sz w:val="22"/>
          <w:szCs w:val="22"/>
        </w:rPr>
        <w:t>é</w:t>
      </w:r>
      <w:r w:rsidR="000734EC" w:rsidRPr="00745440">
        <w:rPr>
          <w:rFonts w:ascii="Arial" w:hAnsi="Arial" w:cs="Arial"/>
          <w:color w:val="000000"/>
          <w:sz w:val="22"/>
          <w:szCs w:val="22"/>
        </w:rPr>
        <w:t xml:space="preserve"> parámetros debo tener en cuenta, para solicitar servicios adicionales en pliegos tipo para infraestructura de transporte, por ejemplo</w:t>
      </w:r>
      <w:r w:rsidR="000734EC">
        <w:rPr>
          <w:rFonts w:ascii="Arial" w:hAnsi="Arial" w:cs="Arial"/>
          <w:color w:val="000000"/>
          <w:sz w:val="22"/>
          <w:szCs w:val="22"/>
        </w:rPr>
        <w:t>,</w:t>
      </w:r>
      <w:r w:rsidR="000734EC" w:rsidRPr="00745440">
        <w:rPr>
          <w:rFonts w:ascii="Arial" w:hAnsi="Arial" w:cs="Arial"/>
          <w:color w:val="000000"/>
          <w:sz w:val="22"/>
          <w:szCs w:val="22"/>
        </w:rPr>
        <w:t xml:space="preserve"> </w:t>
      </w:r>
      <w:r w:rsidR="000734EC">
        <w:rPr>
          <w:rFonts w:ascii="Arial" w:hAnsi="Arial" w:cs="Arial"/>
          <w:color w:val="000000"/>
          <w:sz w:val="22"/>
          <w:szCs w:val="22"/>
        </w:rPr>
        <w:t>¿</w:t>
      </w:r>
      <w:r w:rsidR="000734EC" w:rsidRPr="00745440">
        <w:rPr>
          <w:rFonts w:ascii="Arial" w:hAnsi="Arial" w:cs="Arial"/>
          <w:color w:val="000000"/>
          <w:sz w:val="22"/>
          <w:szCs w:val="22"/>
        </w:rPr>
        <w:t>una rocería o una obra eléctrica son servicios adicionales</w:t>
      </w:r>
      <w:r w:rsidR="000734EC">
        <w:rPr>
          <w:rFonts w:ascii="Arial" w:hAnsi="Arial" w:cs="Arial"/>
          <w:color w:val="000000"/>
          <w:sz w:val="22"/>
          <w:szCs w:val="22"/>
        </w:rPr>
        <w:t>?</w:t>
      </w:r>
      <w:r w:rsidR="000734EC" w:rsidRPr="00490D34">
        <w:rPr>
          <w:rFonts w:ascii="Arial" w:hAnsi="Arial" w:cs="Arial"/>
          <w:color w:val="000000"/>
          <w:sz w:val="22"/>
          <w:szCs w:val="22"/>
        </w:rPr>
        <w:t>»</w:t>
      </w:r>
      <w:r w:rsidR="000F0DA0">
        <w:rPr>
          <w:rFonts w:ascii="Arial" w:hAnsi="Arial" w:cs="Arial"/>
          <w:color w:val="000000"/>
          <w:sz w:val="22"/>
          <w:szCs w:val="22"/>
        </w:rPr>
        <w:t xml:space="preserve">. </w:t>
      </w:r>
    </w:p>
    <w:p w14:paraId="0FCE11AD" w14:textId="08A187C5" w:rsidR="001032B4" w:rsidRDefault="001032B4" w:rsidP="00DD3396">
      <w:pPr>
        <w:spacing w:line="276" w:lineRule="auto"/>
        <w:jc w:val="both"/>
        <w:rPr>
          <w:rFonts w:ascii="Arial" w:eastAsia="Calibri" w:hAnsi="Arial" w:cs="Arial"/>
          <w:b/>
          <w:sz w:val="22"/>
          <w:szCs w:val="22"/>
          <w:lang w:val="es-ES"/>
        </w:rPr>
      </w:pPr>
    </w:p>
    <w:p w14:paraId="0439D80B" w14:textId="0543A999" w:rsidR="00DD3396" w:rsidRDefault="00DD3396" w:rsidP="00DD3396">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3A21D8E4" w14:textId="77777777" w:rsidR="00DD3396" w:rsidRDefault="00DD3396" w:rsidP="00DD3396">
      <w:pPr>
        <w:rPr>
          <w:rFonts w:ascii="Arial" w:hAnsi="Arial" w:cs="Arial"/>
          <w:bCs/>
          <w:sz w:val="22"/>
        </w:rPr>
      </w:pPr>
    </w:p>
    <w:p w14:paraId="21FAD8C5" w14:textId="77777777" w:rsidR="00F60B77" w:rsidRPr="00C1373A" w:rsidRDefault="00F60B77" w:rsidP="00F60B77">
      <w:pPr>
        <w:spacing w:after="120" w:line="276" w:lineRule="auto"/>
        <w:jc w:val="both"/>
        <w:rPr>
          <w:rFonts w:ascii="Arial" w:eastAsia="Calibri" w:hAnsi="Arial" w:cs="Arial"/>
          <w:sz w:val="22"/>
          <w:szCs w:val="22"/>
          <w:lang w:val="es-ES_tradnl" w:eastAsia="es-ES_tradnl"/>
        </w:rPr>
      </w:pPr>
      <w:r w:rsidRPr="00C1373A">
        <w:rPr>
          <w:rFonts w:ascii="Arial" w:eastAsia="Calibri" w:hAnsi="Arial" w:cs="Arial"/>
          <w:sz w:val="22"/>
          <w:szCs w:val="22"/>
          <w:lang w:val="es-ES_tradnl" w:eastAsia="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w:t>
      </w:r>
      <w:r w:rsidRPr="00C1373A">
        <w:rPr>
          <w:rFonts w:ascii="Arial" w:eastAsia="Calibri" w:hAnsi="Arial" w:cs="Arial"/>
          <w:sz w:val="22"/>
          <w:szCs w:val="22"/>
          <w:lang w:val="es-ES_tradnl" w:eastAsia="es-ES_tradnl"/>
        </w:rPr>
        <w:lastRenderedPageBreak/>
        <w:t>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2F5ACD97" w14:textId="77777777" w:rsidR="00F60B77" w:rsidRPr="00C1373A" w:rsidRDefault="00F60B77" w:rsidP="00F60B77">
      <w:pPr>
        <w:tabs>
          <w:tab w:val="left" w:pos="426"/>
        </w:tabs>
        <w:spacing w:after="120" w:line="276" w:lineRule="auto"/>
        <w:jc w:val="both"/>
        <w:rPr>
          <w:rFonts w:ascii="Arial" w:eastAsia="Calibri" w:hAnsi="Arial" w:cs="Arial"/>
          <w:bCs/>
          <w:sz w:val="22"/>
          <w:szCs w:val="22"/>
        </w:rPr>
      </w:pPr>
      <w:r w:rsidRPr="00C1373A">
        <w:rPr>
          <w:rFonts w:ascii="Arial" w:eastAsia="Calibri" w:hAnsi="Arial" w:cs="Arial"/>
          <w:sz w:val="22"/>
          <w:szCs w:val="22"/>
          <w:lang w:val="es-ES_tradnl" w:eastAsia="es-ES_tradnl"/>
        </w:rPr>
        <w:tab/>
      </w:r>
      <w:r w:rsidRPr="00C1373A">
        <w:rPr>
          <w:rFonts w:ascii="Arial" w:eastAsia="Calibri" w:hAnsi="Arial" w:cs="Arial"/>
          <w:sz w:val="22"/>
          <w:szCs w:val="22"/>
          <w:lang w:val="es-ES_tradnl" w:eastAsia="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proofErr w:type="gramStart"/>
      <w:r w:rsidRPr="00C1373A">
        <w:rPr>
          <w:rFonts w:ascii="Arial" w:eastAsia="Calibri" w:hAnsi="Arial" w:cs="Arial"/>
          <w:sz w:val="22"/>
          <w:szCs w:val="22"/>
          <w:lang w:val="es-ES_tradnl" w:eastAsia="es-ES_tradnl"/>
        </w:rPr>
        <w:t>que</w:t>
      </w:r>
      <w:proofErr w:type="gramEnd"/>
      <w:r w:rsidRPr="00C1373A">
        <w:rPr>
          <w:rFonts w:ascii="Arial" w:eastAsia="Calibri" w:hAnsi="Arial" w:cs="Arial"/>
          <w:sz w:val="22"/>
          <w:szCs w:val="22"/>
          <w:lang w:val="es-ES_tradnl" w:eastAsia="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C1373A">
        <w:rPr>
          <w:rFonts w:ascii="Arial" w:eastAsia="Calibri" w:hAnsi="Arial" w:cs="Arial"/>
          <w:bCs/>
          <w:sz w:val="22"/>
          <w:szCs w:val="22"/>
        </w:rPr>
        <w:t>que adelanta el procedimiento de selección y, en caso de conflicto, a las autoridades judiciales, fiscales y disciplinarias.</w:t>
      </w:r>
    </w:p>
    <w:p w14:paraId="498DF365" w14:textId="77777777" w:rsidR="00F60B77" w:rsidRPr="00C1373A" w:rsidRDefault="00F60B77" w:rsidP="00F60B77">
      <w:pPr>
        <w:tabs>
          <w:tab w:val="left" w:pos="426"/>
        </w:tabs>
        <w:spacing w:after="120" w:line="276" w:lineRule="auto"/>
        <w:jc w:val="both"/>
        <w:rPr>
          <w:rFonts w:ascii="Arial" w:eastAsia="Calibri" w:hAnsi="Arial" w:cs="Arial"/>
          <w:bCs/>
          <w:sz w:val="22"/>
          <w:szCs w:val="22"/>
        </w:rPr>
      </w:pPr>
      <w:r w:rsidRPr="00C1373A">
        <w:rPr>
          <w:rFonts w:ascii="Arial" w:eastAsia="Calibri" w:hAnsi="Arial" w:cs="Arial"/>
          <w:bCs/>
          <w:sz w:val="22"/>
          <w:szCs w:val="22"/>
        </w:rPr>
        <w:tab/>
      </w:r>
      <w:r w:rsidRPr="00C1373A">
        <w:rPr>
          <w:rFonts w:ascii="Arial" w:eastAsia="Calibri" w:hAnsi="Arial" w:cs="Arial"/>
          <w:bCs/>
          <w:sz w:val="22"/>
          <w:szCs w:val="22"/>
        </w:rPr>
        <w:tab/>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65BF45DA" w14:textId="26ECD5E3" w:rsidR="00F60B77" w:rsidRPr="00C1373A" w:rsidRDefault="00F60B77" w:rsidP="00F60B77">
      <w:pPr>
        <w:spacing w:after="120" w:line="276" w:lineRule="auto"/>
        <w:jc w:val="both"/>
        <w:rPr>
          <w:rFonts w:ascii="Arial" w:hAnsi="Arial" w:cs="Arial"/>
          <w:b/>
          <w:bCs/>
          <w:sz w:val="22"/>
          <w:szCs w:val="22"/>
        </w:rPr>
      </w:pPr>
      <w:r w:rsidRPr="00C1373A">
        <w:rPr>
          <w:rFonts w:ascii="Arial" w:eastAsia="Calibri" w:hAnsi="Arial" w:cs="Arial"/>
          <w:bCs/>
          <w:sz w:val="22"/>
          <w:szCs w:val="22"/>
        </w:rPr>
        <w:tab/>
        <w:t>Por</w:t>
      </w:r>
      <w:r w:rsidRPr="00C1373A">
        <w:rPr>
          <w:rFonts w:ascii="Arial" w:eastAsia="Calibri" w:hAnsi="Arial" w:cs="Arial"/>
          <w:color w:val="000000" w:themeColor="text1"/>
          <w:sz w:val="22"/>
          <w:szCs w:val="22"/>
          <w:lang w:val="es-ES"/>
        </w:rPr>
        <w:t xml:space="preserve"> ello, la Subdirección, dentro de los límites de sus atribuciones, resolverá la consulta conforme a las normas generales en materia de contratación estatal. Con este objetivo se analizarán los siguientes temas:</w:t>
      </w:r>
      <w:r w:rsidRPr="00C1373A">
        <w:rPr>
          <w:rFonts w:ascii="Arial" w:eastAsia="Calibri" w:hAnsi="Arial" w:cs="Arial"/>
          <w:bCs/>
          <w:sz w:val="22"/>
          <w:szCs w:val="22"/>
        </w:rPr>
        <w:t xml:space="preserve"> i) fundamento normativo de los documentos tipo</w:t>
      </w:r>
      <w:r w:rsidR="00F6693B">
        <w:rPr>
          <w:rFonts w:ascii="Arial" w:eastAsia="Calibri" w:hAnsi="Arial" w:cs="Arial"/>
          <w:bCs/>
          <w:sz w:val="22"/>
          <w:szCs w:val="22"/>
        </w:rPr>
        <w:t xml:space="preserve"> de infraestructura de transporte</w:t>
      </w:r>
      <w:r w:rsidRPr="00C1373A">
        <w:rPr>
          <w:rFonts w:ascii="Arial" w:eastAsia="Calibri" w:hAnsi="Arial" w:cs="Arial"/>
          <w:bCs/>
          <w:sz w:val="22"/>
          <w:szCs w:val="22"/>
        </w:rPr>
        <w:t xml:space="preserve"> y </w:t>
      </w:r>
      <w:proofErr w:type="spellStart"/>
      <w:r w:rsidRPr="00C1373A">
        <w:rPr>
          <w:rFonts w:ascii="Arial" w:eastAsia="Calibri" w:hAnsi="Arial" w:cs="Arial"/>
          <w:bCs/>
          <w:sz w:val="22"/>
          <w:szCs w:val="22"/>
        </w:rPr>
        <w:t>iii</w:t>
      </w:r>
      <w:proofErr w:type="spellEnd"/>
      <w:r w:rsidRPr="00C1373A">
        <w:rPr>
          <w:rFonts w:ascii="Arial" w:eastAsia="Calibri" w:hAnsi="Arial" w:cs="Arial"/>
          <w:bCs/>
          <w:sz w:val="22"/>
          <w:szCs w:val="22"/>
        </w:rPr>
        <w:t xml:space="preserve">) </w:t>
      </w:r>
      <w:r w:rsidRPr="00C1373A">
        <w:rPr>
          <w:rFonts w:ascii="Arial" w:hAnsi="Arial" w:cs="Arial"/>
          <w:sz w:val="22"/>
          <w:szCs w:val="22"/>
        </w:rPr>
        <w:t>aplicación de la Matriz 1 – Experiencia y experiencia adicional para bienes o servicios adicionales en los documentos tipo.</w:t>
      </w:r>
      <w:r w:rsidRPr="00C1373A">
        <w:rPr>
          <w:rFonts w:ascii="Arial" w:hAnsi="Arial" w:cs="Arial"/>
          <w:b/>
          <w:bCs/>
          <w:sz w:val="22"/>
          <w:szCs w:val="22"/>
        </w:rPr>
        <w:t xml:space="preserve"> </w:t>
      </w:r>
    </w:p>
    <w:p w14:paraId="75E7A611" w14:textId="77777777" w:rsidR="00F60B77" w:rsidRPr="00C1373A" w:rsidRDefault="00F60B77" w:rsidP="00F60B77">
      <w:pPr>
        <w:spacing w:after="120" w:line="276" w:lineRule="auto"/>
        <w:ind w:firstLine="708"/>
        <w:jc w:val="both"/>
        <w:rPr>
          <w:rFonts w:ascii="Arial" w:eastAsia="Calibri" w:hAnsi="Arial" w:cs="Arial"/>
          <w:sz w:val="22"/>
          <w:szCs w:val="22"/>
          <w:lang w:val="es-ES_tradnl" w:eastAsia="es-ES_tradnl"/>
        </w:rPr>
      </w:pPr>
      <w:r w:rsidRPr="00C1373A">
        <w:rPr>
          <w:rFonts w:ascii="Arial" w:eastAsia="Calibri" w:hAnsi="Arial" w:cs="Arial"/>
          <w:sz w:val="22"/>
          <w:szCs w:val="22"/>
          <w:lang w:val="es-ES_tradnl" w:eastAsia="es-ES_tradnl"/>
        </w:rPr>
        <w:t xml:space="preserve">La Agencia Nacional de Contratación Pública – Colombia Compra Eficiente analizó el fundamento normativo de los pliegos de condiciones tipo en la contratación estatal, entre otros, en los siguientes conceptos: </w:t>
      </w:r>
      <w:r w:rsidRPr="00C1373A">
        <w:rPr>
          <w:rFonts w:ascii="Arial" w:hAnsi="Arial" w:cs="Arial"/>
          <w:sz w:val="22"/>
          <w:szCs w:val="22"/>
          <w:lang w:val="es-ES_tradnl" w:eastAsia="es-ES_tradnl"/>
        </w:rPr>
        <w:t xml:space="preserve">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w:t>
      </w:r>
      <w:r w:rsidRPr="00C1373A">
        <w:rPr>
          <w:rFonts w:ascii="Arial" w:hAnsi="Arial" w:cs="Arial"/>
          <w:sz w:val="22"/>
          <w:szCs w:val="22"/>
          <w:lang w:val="es-ES_tradnl" w:eastAsia="es-ES_tradnl"/>
        </w:rPr>
        <w:lastRenderedPageBreak/>
        <w:t>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C1373A">
        <w:rPr>
          <w:rFonts w:ascii="Arial" w:eastAsia="Calibri" w:hAnsi="Arial" w:cs="Arial"/>
          <w:sz w:val="22"/>
          <w:szCs w:val="22"/>
          <w:lang w:val="es-ES_tradnl" w:eastAsia="es-ES_tradnl"/>
        </w:rPr>
        <w:t xml:space="preserve">,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 C-690 del 27 de diciembre de 2022, C-706 del 17 de enero de 2022, C-679 del 24 de enero de 2022, C-066 del 28 de enero de 2022, C-705 del 5 de enero de 2022, C-753 del 6 de febrero de 2022, C-011 del 18 de febrero de 2022, C-033 del 4 de marzo de 2022, C-060 del 10 de marzo de 2022, C-086 del 15 de marzo de 2022, C-130 del 22 de marzo de 2022, C-110 del 23 de marzo de 2022 y C-137 del 29 de marzo de 2022. </w:t>
      </w:r>
    </w:p>
    <w:p w14:paraId="52DACD44" w14:textId="4395DB53" w:rsidR="00F60B77" w:rsidRPr="00C1373A" w:rsidRDefault="00F60B77" w:rsidP="00F60B77">
      <w:pPr>
        <w:spacing w:line="276" w:lineRule="auto"/>
        <w:ind w:firstLine="708"/>
        <w:jc w:val="both"/>
        <w:rPr>
          <w:rFonts w:ascii="Arial" w:eastAsia="Calibri" w:hAnsi="Arial" w:cs="Arial"/>
          <w:color w:val="000000" w:themeColor="text1"/>
          <w:sz w:val="22"/>
          <w:szCs w:val="22"/>
          <w:lang w:val="es-ES"/>
        </w:rPr>
      </w:pPr>
      <w:r w:rsidRPr="00C1373A">
        <w:rPr>
          <w:rFonts w:ascii="Arial" w:hAnsi="Arial" w:cs="Arial"/>
          <w:noProof/>
          <w:color w:val="000000"/>
          <w:sz w:val="22"/>
          <w:szCs w:val="22"/>
          <w:lang w:val="es-MX" w:eastAsia="es-ES_tradnl"/>
        </w:rPr>
        <w:t xml:space="preserve">De otra parte, </w:t>
      </w:r>
      <w:r w:rsidRPr="00C1373A">
        <w:rPr>
          <w:rFonts w:ascii="Arial" w:hAnsi="Arial" w:cs="Arial"/>
          <w:noProof/>
          <w:color w:val="000000"/>
          <w:sz w:val="22"/>
          <w:szCs w:val="22"/>
          <w:lang w:val="es-ES" w:eastAsia="es-ES_tradnl"/>
        </w:rPr>
        <w:t xml:space="preserve">la Agencia Nacional de Contratación Pública −Colombia Compra Eficiente−, </w:t>
      </w:r>
      <w:r w:rsidRPr="00C1373A">
        <w:rPr>
          <w:rFonts w:ascii="Arial" w:hAnsi="Arial" w:cs="Arial"/>
          <w:noProof/>
          <w:color w:val="000000"/>
          <w:sz w:val="22"/>
          <w:szCs w:val="22"/>
          <w:lang w:val="es-MX" w:eastAsia="es-ES_tradnl"/>
        </w:rPr>
        <w:t xml:space="preserve">en el concepto </w:t>
      </w:r>
      <w:r w:rsidRPr="00C1373A">
        <w:rPr>
          <w:rFonts w:ascii="Arial" w:hAnsi="Arial" w:cs="Arial"/>
          <w:noProof/>
          <w:color w:val="000000"/>
          <w:sz w:val="22"/>
          <w:szCs w:val="22"/>
          <w:lang w:val="es-ES" w:eastAsia="es-ES_tradnl"/>
        </w:rPr>
        <w:t>No. 4201912000004855 del 13 de agosto de 2019, reiterado y desarrollado en los conceptos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 C-341 del 22 de mayo de 2020, C-596 del 8 de septiembre de 2020, C-588 del 14 de septiembre de 2020, C-440 del 21 de octubre de 2020, C-649 del 27 de octubre de 2020, C-736 del 15 de diciembre 2020, C-801 del 21 de enero de 2021, C-109 del 29 de marzo de 2021, C-142 del 7 de abril de 2021, C-152 del 12 de abril de 2021, C-225 del 1 de junio de 2021, C-287 del 18 de junio de 2021, C-330 del 8 de julio de 2021, C-399 del 28 de septiembre de 2021, C-039 del 21 de febrero de 2022,</w:t>
      </w:r>
      <w:r w:rsidR="00657F2C">
        <w:rPr>
          <w:rFonts w:ascii="Arial" w:hAnsi="Arial" w:cs="Arial"/>
          <w:noProof/>
          <w:color w:val="000000"/>
          <w:sz w:val="22"/>
          <w:szCs w:val="22"/>
          <w:lang w:val="es-ES" w:eastAsia="es-ES_tradnl"/>
        </w:rPr>
        <w:t xml:space="preserve"> C-</w:t>
      </w:r>
      <w:r w:rsidR="00DA0BF9">
        <w:rPr>
          <w:rFonts w:ascii="Arial" w:hAnsi="Arial" w:cs="Arial"/>
          <w:noProof/>
          <w:color w:val="000000"/>
          <w:sz w:val="22"/>
          <w:szCs w:val="22"/>
          <w:lang w:val="es-ES" w:eastAsia="es-ES_tradnl"/>
        </w:rPr>
        <w:t>311 del 16 de mayo de 2022</w:t>
      </w:r>
      <w:r w:rsidRPr="00C1373A">
        <w:rPr>
          <w:rFonts w:ascii="Arial" w:hAnsi="Arial" w:cs="Arial"/>
          <w:noProof/>
          <w:color w:val="000000"/>
          <w:sz w:val="22"/>
          <w:szCs w:val="22"/>
          <w:lang w:val="es-ES" w:eastAsia="es-ES_tradnl"/>
        </w:rPr>
        <w:t xml:space="preserve"> entre otros, estudió la posibilidad de solicitar experiencia adicional cuando se requiere contratar en contratos de obra pública, bienes o servicios adicionales a la obra pública de infraestructura de </w:t>
      </w:r>
      <w:r w:rsidRPr="00C1373A">
        <w:rPr>
          <w:rFonts w:ascii="Arial" w:hAnsi="Arial" w:cs="Arial"/>
          <w:noProof/>
          <w:color w:val="000000"/>
          <w:sz w:val="22"/>
          <w:szCs w:val="22"/>
          <w:lang w:val="es-ES" w:eastAsia="es-ES_tradnl"/>
        </w:rPr>
        <w:lastRenderedPageBreak/>
        <w:t>transporte.</w:t>
      </w:r>
      <w:r w:rsidRPr="00C1373A">
        <w:rPr>
          <w:rFonts w:ascii="Arial" w:hAnsi="Arial" w:cs="Arial"/>
          <w:noProof/>
          <w:color w:val="000000"/>
          <w:sz w:val="22"/>
          <w:szCs w:val="22"/>
          <w:lang w:eastAsia="es-ES_tradnl"/>
        </w:rPr>
        <w:t xml:space="preserve"> </w:t>
      </w:r>
      <w:r w:rsidRPr="00C1373A">
        <w:rPr>
          <w:rFonts w:ascii="Arial" w:hAnsi="Arial" w:cs="Arial"/>
          <w:color w:val="000000" w:themeColor="text1"/>
          <w:sz w:val="22"/>
          <w:szCs w:val="22"/>
        </w:rPr>
        <w:t>La tesis expuesta en estos conceptos se reitera a continuación y se complementa en lo pertinente:</w:t>
      </w:r>
    </w:p>
    <w:p w14:paraId="2F01838B" w14:textId="77777777" w:rsidR="00F60B77" w:rsidRPr="00C1373A" w:rsidRDefault="00F60B77" w:rsidP="00F60B77">
      <w:pPr>
        <w:jc w:val="both"/>
        <w:rPr>
          <w:rFonts w:ascii="Arial" w:eastAsia="Calibri" w:hAnsi="Arial" w:cs="Arial"/>
          <w:color w:val="000000"/>
          <w:sz w:val="22"/>
          <w:szCs w:val="22"/>
          <w:lang w:val="es-ES_tradnl"/>
        </w:rPr>
      </w:pPr>
    </w:p>
    <w:p w14:paraId="68203D2A" w14:textId="77777777" w:rsidR="00F60B77" w:rsidRPr="00C1373A" w:rsidRDefault="00F60B77" w:rsidP="00F60B77">
      <w:pPr>
        <w:spacing w:line="276" w:lineRule="auto"/>
        <w:jc w:val="both"/>
        <w:rPr>
          <w:rFonts w:ascii="Arial" w:eastAsia="Calibri" w:hAnsi="Arial" w:cs="Arial"/>
          <w:b/>
          <w:bCs/>
          <w:color w:val="000000" w:themeColor="text1"/>
          <w:sz w:val="22"/>
          <w:szCs w:val="22"/>
          <w:lang w:val="es-ES_tradnl"/>
        </w:rPr>
      </w:pPr>
      <w:r w:rsidRPr="00C1373A">
        <w:rPr>
          <w:rFonts w:ascii="Arial" w:eastAsia="Calibri" w:hAnsi="Arial" w:cs="Arial"/>
          <w:b/>
          <w:bCs/>
          <w:color w:val="000000" w:themeColor="text1"/>
          <w:sz w:val="22"/>
          <w:szCs w:val="22"/>
          <w:lang w:val="es-ES_tradnl"/>
        </w:rPr>
        <w:t>2.1. Antecedentes y fundamentos de los documentos del sector de infraestructura de transporte</w:t>
      </w:r>
    </w:p>
    <w:p w14:paraId="37D77403" w14:textId="77777777" w:rsidR="00F60B77" w:rsidRPr="00C1373A" w:rsidRDefault="00F60B77" w:rsidP="00F60B77">
      <w:pPr>
        <w:spacing w:line="276" w:lineRule="auto"/>
        <w:jc w:val="both"/>
        <w:rPr>
          <w:rFonts w:ascii="Arial" w:eastAsia="Calibri" w:hAnsi="Arial" w:cs="Arial"/>
          <w:b/>
          <w:bCs/>
          <w:color w:val="000000" w:themeColor="text1"/>
          <w:sz w:val="22"/>
          <w:szCs w:val="22"/>
          <w:lang w:val="es-ES_tradnl"/>
        </w:rPr>
      </w:pPr>
    </w:p>
    <w:p w14:paraId="5F8A6550" w14:textId="77777777" w:rsidR="00F60B77" w:rsidRPr="00C1373A" w:rsidRDefault="00F60B77" w:rsidP="00F60B77">
      <w:pPr>
        <w:spacing w:after="120" w:line="276" w:lineRule="auto"/>
        <w:jc w:val="both"/>
        <w:rPr>
          <w:rFonts w:ascii="Arial" w:eastAsia="Calibri" w:hAnsi="Arial" w:cs="Arial"/>
          <w:sz w:val="22"/>
          <w:szCs w:val="22"/>
          <w:lang w:val="es-ES_tradnl"/>
        </w:rPr>
      </w:pPr>
      <w:r w:rsidRPr="00C1373A">
        <w:rPr>
          <w:rFonts w:ascii="Arial" w:eastAsia="Calibri" w:hAnsi="Arial" w:cs="Arial"/>
          <w:sz w:val="22"/>
          <w:szCs w:val="22"/>
          <w:lang w:val="es-ES_tradnl"/>
        </w:rPr>
        <w:t>La adopción de los documentos tipo obligatorios en el ordenamiento jurídico colombiano se incluyó por primera vez en el parágrafo 3 del artículo 2 de la Ley 1150 de 2007</w:t>
      </w:r>
      <w:r w:rsidRPr="00C1373A">
        <w:rPr>
          <w:rStyle w:val="Refdenotaalpie"/>
          <w:rFonts w:ascii="Arial" w:eastAsia="Calibri" w:hAnsi="Arial" w:cs="Arial"/>
          <w:sz w:val="22"/>
          <w:szCs w:val="22"/>
        </w:rPr>
        <w:footnoteReference w:id="1"/>
      </w:r>
      <w:r w:rsidRPr="00C1373A">
        <w:rPr>
          <w:rFonts w:ascii="Arial" w:eastAsia="Calibri" w:hAnsi="Arial" w:cs="Arial"/>
          <w:sz w:val="22"/>
          <w:szCs w:val="22"/>
        </w:rPr>
        <w:t xml:space="preserve">. Esta norma </w:t>
      </w:r>
      <w:r w:rsidRPr="00C1373A">
        <w:rPr>
          <w:rFonts w:ascii="Arial" w:eastAsia="Calibri" w:hAnsi="Arial" w:cs="Arial"/>
          <w:sz w:val="22"/>
          <w:szCs w:val="22"/>
          <w:lang w:val="es-ES_tradnl"/>
        </w:rPr>
        <w:t xml:space="preserve">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B5DA02D" w14:textId="77777777" w:rsidR="00F60B77" w:rsidRPr="00C1373A" w:rsidRDefault="00F60B77" w:rsidP="00F60B77">
      <w:pPr>
        <w:spacing w:line="276" w:lineRule="auto"/>
        <w:ind w:firstLine="708"/>
        <w:jc w:val="both"/>
        <w:rPr>
          <w:rFonts w:ascii="Arial" w:eastAsia="Calibri" w:hAnsi="Arial" w:cs="Arial"/>
          <w:sz w:val="22"/>
          <w:szCs w:val="22"/>
          <w:lang w:val="es-ES_tradnl"/>
        </w:rPr>
      </w:pPr>
      <w:r w:rsidRPr="00C1373A">
        <w:rPr>
          <w:rFonts w:ascii="Arial" w:eastAsia="Calibri" w:hAnsi="Arial" w:cs="Arial"/>
          <w:sz w:val="22"/>
          <w:szCs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31D6D0B0" w14:textId="77777777" w:rsidR="00F60B77" w:rsidRPr="00C1373A" w:rsidRDefault="00F60B77" w:rsidP="00F60B77">
      <w:pPr>
        <w:spacing w:before="120" w:after="120" w:line="276" w:lineRule="auto"/>
        <w:ind w:firstLine="708"/>
        <w:jc w:val="both"/>
        <w:rPr>
          <w:rFonts w:ascii="Arial" w:eastAsia="Calibri" w:hAnsi="Arial" w:cs="Arial"/>
          <w:sz w:val="22"/>
          <w:szCs w:val="22"/>
          <w:lang w:val="es-ES_tradnl"/>
        </w:rPr>
      </w:pPr>
      <w:r w:rsidRPr="00C1373A">
        <w:rPr>
          <w:rFonts w:ascii="Arial" w:eastAsia="Calibri" w:hAnsi="Arial" w:cs="Arial"/>
          <w:sz w:val="22"/>
          <w:szCs w:val="22"/>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C1373A">
        <w:rPr>
          <w:rStyle w:val="Refdenotaalpie"/>
          <w:rFonts w:ascii="Arial" w:eastAsia="Calibri" w:hAnsi="Arial" w:cs="Arial"/>
          <w:sz w:val="22"/>
          <w:szCs w:val="22"/>
        </w:rPr>
        <w:footnoteReference w:id="2"/>
      </w:r>
      <w:r w:rsidRPr="00C1373A">
        <w:rPr>
          <w:rFonts w:ascii="Arial" w:eastAsia="Calibri" w:hAnsi="Arial" w:cs="Arial"/>
          <w:sz w:val="22"/>
          <w:szCs w:val="22"/>
          <w:lang w:val="es-ES_tradnl"/>
        </w:rPr>
        <w:t>.</w:t>
      </w:r>
    </w:p>
    <w:p w14:paraId="1910D0D3" w14:textId="77777777" w:rsidR="00F60B77" w:rsidRPr="00C1373A" w:rsidRDefault="00F60B77" w:rsidP="00F60B77">
      <w:pPr>
        <w:spacing w:before="120" w:after="120" w:line="276" w:lineRule="auto"/>
        <w:jc w:val="both"/>
        <w:rPr>
          <w:rFonts w:ascii="Arial" w:eastAsia="Calibri" w:hAnsi="Arial" w:cs="Arial"/>
          <w:sz w:val="22"/>
          <w:szCs w:val="22"/>
          <w:lang w:val="es-ES_tradnl"/>
        </w:rPr>
      </w:pPr>
      <w:r w:rsidRPr="00C1373A">
        <w:rPr>
          <w:rFonts w:ascii="Arial" w:eastAsia="Calibri" w:hAnsi="Arial" w:cs="Arial"/>
          <w:sz w:val="22"/>
          <w:szCs w:val="22"/>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527DCCF" w14:textId="77777777" w:rsidR="00F60B77" w:rsidRPr="00C1373A" w:rsidRDefault="00F60B77" w:rsidP="00F60B77">
      <w:pPr>
        <w:spacing w:before="120" w:after="120" w:line="276" w:lineRule="auto"/>
        <w:jc w:val="both"/>
        <w:rPr>
          <w:rFonts w:ascii="Arial" w:eastAsia="Calibri" w:hAnsi="Arial" w:cs="Arial"/>
          <w:sz w:val="22"/>
          <w:szCs w:val="22"/>
          <w:lang w:val="es-ES_tradnl"/>
        </w:rPr>
      </w:pPr>
      <w:r w:rsidRPr="00C1373A">
        <w:rPr>
          <w:rFonts w:ascii="Arial" w:eastAsia="Calibri" w:hAnsi="Arial" w:cs="Arial"/>
          <w:sz w:val="22"/>
          <w:szCs w:val="22"/>
          <w:lang w:val="es-ES_tradnl"/>
        </w:rPr>
        <w:tab/>
        <w:t xml:space="preserve">De la norma descrita se concluía lo siguiente: i) la adopción de los documentos tipo estaba en cabeza del Gobierno Nacional. </w:t>
      </w:r>
      <w:proofErr w:type="spellStart"/>
      <w:r w:rsidRPr="00C1373A">
        <w:rPr>
          <w:rFonts w:ascii="Arial" w:eastAsia="Calibri" w:hAnsi="Arial" w:cs="Arial"/>
          <w:sz w:val="22"/>
          <w:szCs w:val="22"/>
          <w:lang w:val="es-ES_tradnl"/>
        </w:rPr>
        <w:t>ii</w:t>
      </w:r>
      <w:proofErr w:type="spellEnd"/>
      <w:r w:rsidRPr="00C1373A">
        <w:rPr>
          <w:rFonts w:ascii="Arial" w:eastAsia="Calibri" w:hAnsi="Arial" w:cs="Arial"/>
          <w:sz w:val="22"/>
          <w:szCs w:val="22"/>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C1373A">
        <w:rPr>
          <w:rFonts w:ascii="Arial" w:eastAsia="Calibri" w:hAnsi="Arial" w:cs="Arial"/>
          <w:sz w:val="22"/>
          <w:szCs w:val="22"/>
          <w:lang w:val="es-ES_tradnl"/>
        </w:rPr>
        <w:t>iii</w:t>
      </w:r>
      <w:proofErr w:type="spellEnd"/>
      <w:r w:rsidRPr="00C1373A">
        <w:rPr>
          <w:rFonts w:ascii="Arial" w:eastAsia="Calibri" w:hAnsi="Arial" w:cs="Arial"/>
          <w:sz w:val="22"/>
          <w:szCs w:val="22"/>
          <w:lang w:val="es-ES_tradnl"/>
        </w:rPr>
        <w:t xml:space="preserve">) Eran de obligatorio cumplimiento por parte de todas las entidades sometidas al Estatuto General de Contratación de la Administración Pública. </w:t>
      </w:r>
      <w:proofErr w:type="spellStart"/>
      <w:r w:rsidRPr="00C1373A">
        <w:rPr>
          <w:rFonts w:ascii="Arial" w:eastAsia="Calibri" w:hAnsi="Arial" w:cs="Arial"/>
          <w:sz w:val="22"/>
          <w:szCs w:val="22"/>
          <w:lang w:val="es-ES_tradnl"/>
        </w:rPr>
        <w:t>iv</w:t>
      </w:r>
      <w:proofErr w:type="spellEnd"/>
      <w:r w:rsidRPr="00C1373A">
        <w:rPr>
          <w:rFonts w:ascii="Arial" w:eastAsia="Calibri" w:hAnsi="Arial" w:cs="Arial"/>
          <w:sz w:val="22"/>
          <w:szCs w:val="22"/>
          <w:lang w:val="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554EC6D7" w14:textId="77777777" w:rsidR="00F60B77" w:rsidRPr="00C1373A" w:rsidRDefault="00F60B77" w:rsidP="00F60B77">
      <w:pPr>
        <w:spacing w:before="120" w:after="120" w:line="276" w:lineRule="auto"/>
        <w:jc w:val="both"/>
        <w:rPr>
          <w:rFonts w:ascii="Arial" w:eastAsia="Calibri" w:hAnsi="Arial" w:cs="Arial"/>
          <w:sz w:val="22"/>
          <w:szCs w:val="22"/>
          <w:lang w:val="es-ES_tradnl"/>
        </w:rPr>
      </w:pPr>
      <w:r w:rsidRPr="00C1373A">
        <w:rPr>
          <w:rFonts w:ascii="Arial" w:eastAsia="Calibri" w:hAnsi="Arial" w:cs="Arial"/>
          <w:sz w:val="22"/>
          <w:szCs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0" w:name="_Hlk48665985"/>
      <w:r w:rsidRPr="00C1373A">
        <w:rPr>
          <w:rFonts w:ascii="Arial" w:eastAsia="Calibri" w:hAnsi="Arial" w:cs="Arial"/>
          <w:sz w:val="22"/>
          <w:szCs w:val="22"/>
          <w:lang w:val="es-ES_tradnl"/>
        </w:rPr>
        <w:t>y los criterios de escogencia, elementos propios del procedimiento de selección del contratista, materia en la que existe reserva de ley y que no se encuentra atribuida a la regulación de las entidades territoriales</w:t>
      </w:r>
      <w:bookmarkEnd w:id="0"/>
      <w:r w:rsidRPr="00C1373A">
        <w:rPr>
          <w:rFonts w:ascii="Arial" w:eastAsia="Calibri" w:hAnsi="Arial" w:cs="Arial"/>
          <w:sz w:val="22"/>
          <w:szCs w:val="22"/>
          <w:lang w:val="es-ES_tradnl"/>
        </w:rPr>
        <w:t>. De igual manera, se establece que esta autonomía se garantiza con la identificación autónoma de sus necesidades y la configuración de los elementos del contrato</w:t>
      </w:r>
      <w:r w:rsidRPr="00C1373A">
        <w:rPr>
          <w:rStyle w:val="Refdenotaalpie"/>
          <w:rFonts w:ascii="Arial" w:eastAsia="Calibri" w:hAnsi="Arial" w:cs="Arial"/>
          <w:sz w:val="22"/>
          <w:szCs w:val="22"/>
        </w:rPr>
        <w:footnoteReference w:id="3"/>
      </w:r>
      <w:r w:rsidRPr="00C1373A">
        <w:rPr>
          <w:rFonts w:ascii="Arial" w:eastAsia="Calibri" w:hAnsi="Arial" w:cs="Arial"/>
          <w:sz w:val="22"/>
          <w:szCs w:val="22"/>
          <w:lang w:val="es-ES_tradnl"/>
        </w:rPr>
        <w:t>.</w:t>
      </w:r>
    </w:p>
    <w:p w14:paraId="4A2F178C" w14:textId="77777777" w:rsidR="00F60B77" w:rsidRPr="00C1373A" w:rsidRDefault="00F60B77" w:rsidP="00F60B77">
      <w:pPr>
        <w:spacing w:before="120" w:after="120" w:line="276" w:lineRule="auto"/>
        <w:jc w:val="both"/>
        <w:rPr>
          <w:rFonts w:ascii="Arial" w:eastAsia="Calibri" w:hAnsi="Arial" w:cs="Arial"/>
          <w:sz w:val="22"/>
          <w:szCs w:val="22"/>
          <w:lang w:val="es-ES_tradnl"/>
        </w:rPr>
      </w:pPr>
      <w:r w:rsidRPr="00C1373A">
        <w:rPr>
          <w:rFonts w:ascii="Arial" w:eastAsia="Calibri" w:hAnsi="Arial" w:cs="Arial"/>
          <w:sz w:val="22"/>
          <w:szCs w:val="22"/>
          <w:lang w:val="es-ES_tradnl"/>
        </w:rPr>
        <w:lastRenderedPageBreak/>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0BA72FDA" w14:textId="77777777" w:rsidR="00F60B77" w:rsidRPr="00C1373A" w:rsidRDefault="00F60B77" w:rsidP="00F60B77">
      <w:pPr>
        <w:spacing w:before="120" w:after="120" w:line="276" w:lineRule="auto"/>
        <w:jc w:val="both"/>
        <w:rPr>
          <w:rFonts w:ascii="Arial" w:eastAsia="Calibri" w:hAnsi="Arial" w:cs="Arial"/>
          <w:sz w:val="22"/>
          <w:szCs w:val="22"/>
          <w:lang w:val="es-ES_tradnl"/>
        </w:rPr>
      </w:pPr>
      <w:r w:rsidRPr="00C1373A">
        <w:rPr>
          <w:rFonts w:ascii="Arial" w:eastAsia="Calibri" w:hAnsi="Arial" w:cs="Arial"/>
          <w:sz w:val="22"/>
          <w:szCs w:val="22"/>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27E37771" w14:textId="77777777" w:rsidR="00F60B77" w:rsidRPr="00C1373A" w:rsidRDefault="00F60B77" w:rsidP="00F60B77">
      <w:pPr>
        <w:spacing w:before="120" w:after="120" w:line="276" w:lineRule="auto"/>
        <w:ind w:firstLine="708"/>
        <w:jc w:val="both"/>
        <w:rPr>
          <w:rFonts w:ascii="Arial" w:eastAsia="Calibri" w:hAnsi="Arial" w:cs="Arial"/>
          <w:sz w:val="22"/>
          <w:szCs w:val="22"/>
          <w:lang w:val="es-ES_tradnl"/>
        </w:rPr>
      </w:pPr>
      <w:r w:rsidRPr="00C1373A">
        <w:rPr>
          <w:rFonts w:ascii="Arial" w:eastAsia="Calibri" w:hAnsi="Arial" w:cs="Arial"/>
          <w:sz w:val="22"/>
          <w:szCs w:val="22"/>
          <w:lang w:val="es-ES_tradnl"/>
        </w:rPr>
        <w:t>Finalmente, se profirió el Decreto 594 de 2020, frente a los documentos tipo para los contratos de obra pública</w:t>
      </w:r>
      <w:r w:rsidRPr="00C1373A" w:rsidDel="00A434AB">
        <w:rPr>
          <w:rFonts w:ascii="Arial" w:eastAsia="Calibri" w:hAnsi="Arial" w:cs="Arial"/>
          <w:sz w:val="22"/>
          <w:szCs w:val="22"/>
          <w:lang w:val="es-ES_tradnl"/>
        </w:rPr>
        <w:t xml:space="preserve"> </w:t>
      </w:r>
      <w:r w:rsidRPr="00C1373A">
        <w:rPr>
          <w:rFonts w:ascii="Arial" w:eastAsia="Calibri" w:hAnsi="Arial" w:cs="Arial"/>
          <w:sz w:val="22"/>
          <w:szCs w:val="22"/>
          <w:lang w:val="es-ES_tradnl"/>
        </w:rPr>
        <w:t xml:space="preserve">de infraestructura de transporte que se surtieran por la modalidad de mínima cuantía. Estos documentos fueron implementados y desarrollados por la Agencia Nacional de Contratación Pública </w:t>
      </w:r>
      <w:bookmarkStart w:id="1" w:name="_Hlk37841850"/>
      <w:r w:rsidRPr="00C1373A">
        <w:rPr>
          <w:rFonts w:ascii="Arial" w:eastAsia="Calibri" w:hAnsi="Arial" w:cs="Arial"/>
          <w:sz w:val="22"/>
          <w:szCs w:val="22"/>
          <w:lang w:val="es-ES_tradnl"/>
        </w:rPr>
        <w:t xml:space="preserve">– Colombia Compra Eficiente, </w:t>
      </w:r>
      <w:bookmarkEnd w:id="1"/>
      <w:r w:rsidRPr="00C1373A">
        <w:rPr>
          <w:rFonts w:ascii="Arial" w:eastAsia="Calibri" w:hAnsi="Arial" w:cs="Arial"/>
          <w:sz w:val="22"/>
          <w:szCs w:val="22"/>
          <w:lang w:val="es-ES_tradnl"/>
        </w:rPr>
        <w:t>por medio de la Resolución 1798 de 2019 –derogada por la Resolución 045 de 2020–, la Resolución 044 de 2020 y la Resolución 094 de 2020.</w:t>
      </w:r>
    </w:p>
    <w:p w14:paraId="5C69FB32" w14:textId="77777777" w:rsidR="00F60B77" w:rsidRPr="00F60B77" w:rsidRDefault="00F60B77" w:rsidP="00F60B77">
      <w:pPr>
        <w:pStyle w:val="Normal11pt"/>
        <w:spacing w:before="120" w:line="276" w:lineRule="auto"/>
        <w:ind w:left="0" w:firstLine="709"/>
        <w:rPr>
          <w:rFonts w:eastAsia="Calibri"/>
          <w:color w:val="auto"/>
        </w:rPr>
      </w:pPr>
      <w:r w:rsidRPr="00F60B77">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F60B77">
        <w:rPr>
          <w:rStyle w:val="Refdenotaalpie"/>
          <w:rFonts w:eastAsia="Calibri"/>
        </w:rPr>
        <w:footnoteReference w:id="4"/>
      </w:r>
      <w:r w:rsidRPr="00F60B77">
        <w:rPr>
          <w:rFonts w:eastAsia="Calibri"/>
          <w:color w:val="auto"/>
        </w:rPr>
        <w:t xml:space="preserve">. Con esta modificación, si bien se </w:t>
      </w:r>
      <w:r w:rsidRPr="00F60B77">
        <w:rPr>
          <w:rFonts w:eastAsia="Calibri"/>
          <w:color w:val="auto"/>
        </w:rPr>
        <w:lastRenderedPageBreak/>
        <w:t xml:space="preserve">mantuvo el mandato de aplicación obligatoria de los documentos tipo por parte de las entidades sometidas al Estatuto General de Contratación de la Administración Pública, se atribuyó, específicamente, a la </w:t>
      </w:r>
      <w:r w:rsidRPr="00F60B77">
        <w:rPr>
          <w:rFonts w:eastAsia="Calibri"/>
          <w:color w:val="auto"/>
          <w:lang w:eastAsia="en-US"/>
        </w:rPr>
        <w:t xml:space="preserve">Agencia Nacional de Contratación Pública – Colombia Compra Eficiente la competencia para su adopción. </w:t>
      </w:r>
      <w:r w:rsidRPr="00F60B77">
        <w:rPr>
          <w:rFonts w:eastAsia="Calibri"/>
          <w:color w:val="auto"/>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68D6A280" w14:textId="77777777" w:rsidR="00F60B77" w:rsidRPr="00F60B77" w:rsidRDefault="00F60B77" w:rsidP="00F60B77">
      <w:pPr>
        <w:pStyle w:val="Normal11pt"/>
        <w:spacing w:before="120" w:line="276" w:lineRule="auto"/>
        <w:ind w:left="0" w:firstLine="709"/>
        <w:rPr>
          <w:color w:val="auto"/>
        </w:rPr>
      </w:pPr>
      <w:r w:rsidRPr="00F60B77">
        <w:rPr>
          <w:rFonts w:eastAsia="Calibri"/>
          <w:color w:val="auto"/>
        </w:rPr>
        <w:t xml:space="preserve">De igual manera, se expidió la Resolución 241 de 2020, «Por la cual se actualizan los Documentos Tipo para los procesos de selección abreviada de menor cuantía de obra pública de infraestructura de transporte y se deroga la Resolución 0044 de 2020». También </w:t>
      </w:r>
      <w:proofErr w:type="gramStart"/>
      <w:r w:rsidRPr="00F60B77">
        <w:rPr>
          <w:rFonts w:eastAsia="Calibri"/>
          <w:color w:val="auto"/>
        </w:rPr>
        <w:t>entró en vigencia</w:t>
      </w:r>
      <w:proofErr w:type="gramEnd"/>
      <w:r w:rsidRPr="00F60B77">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así como la Resolución 193 de 2021, </w:t>
      </w:r>
      <w:r w:rsidRPr="00F60B77">
        <w:rPr>
          <w:color w:val="auto"/>
        </w:rPr>
        <w:t>«Por la cual se adoptan los documentos tipo para los procesos de selección de concurso de méritos, para contratar la consultoría de estudios de ingeniería de infraestructura de transporte».</w:t>
      </w:r>
    </w:p>
    <w:p w14:paraId="0D24F393" w14:textId="77777777" w:rsidR="00F60B77" w:rsidRPr="00F60B77" w:rsidRDefault="00F60B77" w:rsidP="00F60B77">
      <w:pPr>
        <w:pStyle w:val="Normal11pt"/>
        <w:spacing w:before="120" w:line="276" w:lineRule="auto"/>
        <w:ind w:left="0" w:firstLine="709"/>
        <w:rPr>
          <w:rFonts w:eastAsia="Calibri"/>
          <w:color w:val="auto"/>
        </w:rPr>
      </w:pPr>
      <w:r w:rsidRPr="00F60B77">
        <w:rPr>
          <w:color w:val="auto"/>
        </w:rPr>
        <w:t xml:space="preserve">Los documentos tipo también han sido objeto de modificaciones para adecuarlos a los factores de desempate del artículo 35 de la Ley 2069 de 2020 –Resolución 161 del 17 de junio de 2021–, así como la regla de origen del Decreto 680 de 2021 –Resolución 304 del 13 de octubre de 2021–. Recientemente, el documento tipo de mínima cuantía para obra pública de infraestructura de transporte también fue ajustado mediante la Resolución 146 del 25 de marzo de 2022. </w:t>
      </w:r>
    </w:p>
    <w:p w14:paraId="5DA11788" w14:textId="77777777" w:rsidR="00F60B77" w:rsidRPr="00F60B77" w:rsidRDefault="00F60B77" w:rsidP="00F60B77">
      <w:pPr>
        <w:pStyle w:val="Normal11pt"/>
        <w:spacing w:before="120" w:after="120" w:line="276" w:lineRule="auto"/>
        <w:ind w:left="0" w:firstLine="708"/>
        <w:rPr>
          <w:color w:val="auto"/>
        </w:rPr>
      </w:pPr>
      <w:r w:rsidRPr="00F60B77">
        <w:rPr>
          <w:color w:val="auto"/>
        </w:rPr>
        <w:t xml:space="preserve">En cuanto al ámbito de aplicación de estos documentos, es preciso explicar que cada una de estas resoluciones está relacionada con un sector, un objeto contractual y una </w:t>
      </w:r>
      <w:r w:rsidRPr="00F60B77">
        <w:rPr>
          <w:color w:val="auto"/>
        </w:rPr>
        <w:lastRenderedPageBreak/>
        <w:t xml:space="preserve">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0810A10A" w14:textId="77777777" w:rsidR="00F60B77" w:rsidRPr="00C1373A" w:rsidRDefault="00F60B77" w:rsidP="00F60B77">
      <w:pPr>
        <w:spacing w:line="276" w:lineRule="auto"/>
        <w:ind w:firstLine="708"/>
        <w:jc w:val="both"/>
        <w:rPr>
          <w:rFonts w:ascii="Arial" w:hAnsi="Arial" w:cs="Arial"/>
          <w:sz w:val="22"/>
          <w:szCs w:val="22"/>
          <w:shd w:val="clear" w:color="auto" w:fill="FFFFFF"/>
          <w:lang w:val="es-ES_tradnl"/>
        </w:rPr>
      </w:pPr>
      <w:r w:rsidRPr="00C1373A">
        <w:rPr>
          <w:rFonts w:ascii="Arial" w:hAnsi="Arial" w:cs="Arial"/>
          <w:sz w:val="22"/>
          <w:szCs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C1373A">
        <w:rPr>
          <w:rFonts w:ascii="Arial" w:hAnsi="Arial" w:cs="Arial"/>
          <w:i/>
          <w:iCs/>
          <w:sz w:val="22"/>
          <w:szCs w:val="22"/>
          <w:shd w:val="clear" w:color="auto" w:fill="FFFFFF"/>
          <w:lang w:val="es-ES_tradnl"/>
        </w:rPr>
        <w:t>Documentos del Proceso</w:t>
      </w:r>
      <w:r w:rsidRPr="00C1373A">
        <w:rPr>
          <w:rFonts w:ascii="Arial" w:hAnsi="Arial" w:cs="Arial"/>
          <w:sz w:val="22"/>
          <w:szCs w:val="22"/>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0FEADF1" w14:textId="77777777" w:rsidR="00F60B77" w:rsidRPr="00F60B77" w:rsidRDefault="00F60B77" w:rsidP="00F60B77">
      <w:pPr>
        <w:pStyle w:val="Normal11pt"/>
        <w:spacing w:before="120" w:line="276" w:lineRule="auto"/>
        <w:ind w:left="0" w:firstLine="709"/>
        <w:rPr>
          <w:rFonts w:eastAsia="Calibri"/>
        </w:rPr>
      </w:pPr>
      <w:r w:rsidRPr="00F60B77">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45639798" w14:textId="77777777" w:rsidR="00F60B77" w:rsidRPr="00C1373A" w:rsidRDefault="00F60B77" w:rsidP="00F60B77">
      <w:pPr>
        <w:spacing w:line="276" w:lineRule="auto"/>
        <w:ind w:firstLine="709"/>
        <w:jc w:val="both"/>
        <w:rPr>
          <w:rFonts w:ascii="Arial" w:eastAsia="Arial" w:hAnsi="Arial" w:cs="Arial"/>
          <w:bCs/>
          <w:sz w:val="22"/>
          <w:szCs w:val="22"/>
          <w:lang w:val="es-ES_tradnl" w:eastAsia="es-ES" w:bidi="es-ES"/>
        </w:rPr>
      </w:pPr>
    </w:p>
    <w:p w14:paraId="18BB8008" w14:textId="77777777" w:rsidR="00F60B77" w:rsidRPr="00C1373A" w:rsidRDefault="00F60B77" w:rsidP="00F60B77">
      <w:pPr>
        <w:spacing w:line="276" w:lineRule="auto"/>
        <w:jc w:val="both"/>
        <w:rPr>
          <w:rFonts w:ascii="Arial" w:hAnsi="Arial" w:cs="Arial"/>
          <w:b/>
          <w:bCs/>
          <w:sz w:val="22"/>
          <w:szCs w:val="22"/>
        </w:rPr>
      </w:pPr>
      <w:r w:rsidRPr="00C1373A">
        <w:rPr>
          <w:rFonts w:ascii="Arial" w:eastAsia="Calibri" w:hAnsi="Arial" w:cs="Arial"/>
          <w:b/>
          <w:color w:val="000000"/>
          <w:sz w:val="22"/>
          <w:szCs w:val="22"/>
          <w:lang w:eastAsia="es-ES_tradnl"/>
        </w:rPr>
        <w:t xml:space="preserve">2.2. </w:t>
      </w:r>
      <w:r w:rsidRPr="00C1373A">
        <w:rPr>
          <w:rFonts w:ascii="Arial" w:hAnsi="Arial" w:cs="Arial"/>
          <w:b/>
          <w:bCs/>
          <w:sz w:val="22"/>
          <w:szCs w:val="22"/>
        </w:rPr>
        <w:t xml:space="preserve">Aplicación de la Matriz 1 – Experiencia y experiencia adicional para bienes o servicios adicionales en los documentos tipo </w:t>
      </w:r>
    </w:p>
    <w:p w14:paraId="6C2B81BA" w14:textId="77777777" w:rsidR="00F60B77" w:rsidRPr="00C1373A" w:rsidRDefault="00F60B77" w:rsidP="00F60B77">
      <w:pPr>
        <w:shd w:val="clear" w:color="auto" w:fill="FFFFFF"/>
        <w:spacing w:line="276" w:lineRule="auto"/>
        <w:jc w:val="both"/>
        <w:rPr>
          <w:rFonts w:ascii="Arial" w:eastAsia="Calibri" w:hAnsi="Arial" w:cs="Arial"/>
          <w:sz w:val="22"/>
          <w:szCs w:val="22"/>
          <w:lang w:val="es-MX"/>
        </w:rPr>
      </w:pPr>
    </w:p>
    <w:p w14:paraId="5C1CC011" w14:textId="77777777" w:rsidR="00F60B77" w:rsidRPr="00C1373A" w:rsidRDefault="00F60B77" w:rsidP="00F60B77">
      <w:pPr>
        <w:spacing w:line="276" w:lineRule="auto"/>
        <w:jc w:val="both"/>
        <w:rPr>
          <w:rFonts w:ascii="Arial" w:eastAsia="Calibri" w:hAnsi="Arial" w:cs="Arial"/>
          <w:color w:val="0D0D0D"/>
          <w:sz w:val="22"/>
          <w:szCs w:val="22"/>
          <w:lang w:val="es-MX"/>
        </w:rPr>
      </w:pPr>
      <w:r w:rsidRPr="00C1373A">
        <w:rPr>
          <w:rFonts w:ascii="Arial" w:eastAsia="Calibri" w:hAnsi="Arial" w:cs="Arial"/>
          <w:color w:val="0D0D0D"/>
          <w:sz w:val="22"/>
          <w:szCs w:val="22"/>
          <w:lang w:val="es-MX"/>
        </w:rPr>
        <w:t>Los documentos tipo establecen las condiciones habilitantes, los factores técnicos y económicos de escogencia y los sistemas de ponderación de carácter obligatorio para las entidades estatales sometidas al Estatuto General de la Contratación Pública que</w:t>
      </w:r>
      <w:r w:rsidRPr="00C1373A">
        <w:rPr>
          <w:rFonts w:ascii="Arial" w:eastAsia="Calibri" w:hAnsi="Arial" w:cs="Arial"/>
          <w:color w:val="000000"/>
          <w:sz w:val="22"/>
          <w:szCs w:val="22"/>
          <w:bdr w:val="none" w:sz="0" w:space="0" w:color="auto" w:frame="1"/>
        </w:rPr>
        <w:t xml:space="preserve"> adelanten procesos de contratación mediante la modalidad que establecen los documentos tipo para cada sector</w:t>
      </w:r>
      <w:r w:rsidRPr="00C1373A">
        <w:rPr>
          <w:rFonts w:ascii="Arial" w:eastAsia="Calibri" w:hAnsi="Arial" w:cs="Arial"/>
          <w:color w:val="0D0D0D"/>
          <w:sz w:val="22"/>
          <w:szCs w:val="22"/>
          <w:lang w:val="es-MX"/>
        </w:rPr>
        <w:t>. Estos consisten en un grupo de documentos, conformados por un documento base, anexos, matrices, formatos y formularios, que sirven tanto a las entidades para elaborar los documentos del proceso, como a los proponentes para conformar y presentar sus ofertas.</w:t>
      </w:r>
    </w:p>
    <w:p w14:paraId="560143FC" w14:textId="77777777" w:rsidR="00F60B77" w:rsidRPr="00C1373A" w:rsidRDefault="00F60B77" w:rsidP="00F60B77">
      <w:pPr>
        <w:spacing w:before="120" w:line="276" w:lineRule="auto"/>
        <w:ind w:firstLine="709"/>
        <w:jc w:val="both"/>
        <w:rPr>
          <w:rFonts w:ascii="Arial" w:eastAsia="Calibri" w:hAnsi="Arial" w:cs="Arial"/>
          <w:color w:val="0D0D0D"/>
          <w:sz w:val="22"/>
          <w:szCs w:val="22"/>
          <w:lang w:val="es-MX"/>
        </w:rPr>
      </w:pPr>
      <w:r w:rsidRPr="00C1373A">
        <w:rPr>
          <w:rFonts w:ascii="Arial" w:eastAsia="Calibri" w:hAnsi="Arial" w:cs="Arial"/>
          <w:color w:val="0D0D0D"/>
          <w:sz w:val="22"/>
          <w:szCs w:val="22"/>
          <w:lang w:val="es-MX"/>
        </w:rPr>
        <w:t xml:space="preserve">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w:t>
      </w:r>
      <w:r w:rsidRPr="00C1373A">
        <w:rPr>
          <w:rFonts w:ascii="Arial" w:eastAsia="Calibri" w:hAnsi="Arial" w:cs="Arial"/>
          <w:color w:val="0D0D0D"/>
          <w:sz w:val="22"/>
          <w:szCs w:val="22"/>
          <w:lang w:val="es-MX"/>
        </w:rPr>
        <w:lastRenderedPageBreak/>
        <w:t>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099A0566" w14:textId="77777777" w:rsidR="00F60B77" w:rsidRPr="00C1373A" w:rsidRDefault="00F60B77" w:rsidP="00F60B77">
      <w:pPr>
        <w:spacing w:before="120" w:after="120" w:line="276" w:lineRule="auto"/>
        <w:ind w:firstLine="709"/>
        <w:jc w:val="both"/>
        <w:rPr>
          <w:rFonts w:ascii="Arial" w:eastAsia="Calibri" w:hAnsi="Arial" w:cs="Arial"/>
          <w:color w:val="0D0D0D"/>
          <w:sz w:val="22"/>
          <w:szCs w:val="22"/>
          <w:lang w:val="es-MX"/>
        </w:rPr>
      </w:pPr>
      <w:r w:rsidRPr="00C1373A">
        <w:rPr>
          <w:rFonts w:ascii="Arial" w:eastAsia="Calibri" w:hAnsi="Arial" w:cs="Arial"/>
          <w:color w:val="0D0D0D"/>
          <w:sz w:val="22"/>
          <w:szCs w:val="22"/>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4CDCE47" w14:textId="77777777" w:rsidR="00F60B77" w:rsidRPr="00C1373A" w:rsidRDefault="00F60B77" w:rsidP="00F60B77">
      <w:pPr>
        <w:spacing w:before="120" w:after="120" w:line="276" w:lineRule="auto"/>
        <w:ind w:firstLine="709"/>
        <w:jc w:val="both"/>
        <w:rPr>
          <w:rFonts w:ascii="Arial" w:eastAsia="Calibri" w:hAnsi="Arial" w:cs="Arial"/>
          <w:color w:val="0D0D0D"/>
          <w:sz w:val="22"/>
          <w:szCs w:val="22"/>
          <w:lang w:val="es-MX"/>
        </w:rPr>
      </w:pPr>
      <w:r w:rsidRPr="00C1373A">
        <w:rPr>
          <w:rFonts w:ascii="Arial" w:eastAsia="Calibri" w:hAnsi="Arial" w:cs="Arial"/>
          <w:color w:val="0D0D0D"/>
          <w:sz w:val="22"/>
          <w:szCs w:val="22"/>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los documentos tipo, mientras que en el caso contrario no será forzosa su aplicación.</w:t>
      </w:r>
    </w:p>
    <w:p w14:paraId="166F6ACA" w14:textId="690C8587" w:rsidR="00F60B77" w:rsidRPr="00C1373A" w:rsidRDefault="00F60B77" w:rsidP="00F60B77">
      <w:pPr>
        <w:spacing w:line="276" w:lineRule="auto"/>
        <w:ind w:firstLine="708"/>
        <w:jc w:val="both"/>
        <w:rPr>
          <w:rFonts w:ascii="Arial" w:hAnsi="Arial" w:cs="Arial"/>
          <w:color w:val="000000"/>
          <w:sz w:val="22"/>
          <w:szCs w:val="22"/>
          <w:bdr w:val="none" w:sz="0" w:space="0" w:color="auto" w:frame="1"/>
          <w:lang w:val="es-ES_tradnl"/>
        </w:rPr>
      </w:pPr>
      <w:r w:rsidRPr="00C1373A">
        <w:rPr>
          <w:rFonts w:ascii="Arial" w:eastAsia="Calibri" w:hAnsi="Arial" w:cs="Arial"/>
          <w:color w:val="0D0D0D"/>
          <w:sz w:val="22"/>
          <w:szCs w:val="22"/>
          <w:lang w:val="es-MX"/>
        </w:rPr>
        <w:t>En este sentido, l</w:t>
      </w:r>
      <w:r w:rsidRPr="00C1373A">
        <w:rPr>
          <w:rFonts w:ascii="Arial" w:hAnsi="Arial" w:cs="Arial"/>
          <w:color w:val="000000"/>
          <w:sz w:val="22"/>
          <w:szCs w:val="22"/>
          <w:bdr w:val="none" w:sz="0" w:space="0" w:color="auto" w:frame="1"/>
          <w:lang w:val="es-ES_tradnl"/>
        </w:rPr>
        <w:t xml:space="preserve">a experiencia general y específica que puede exigir la entidad estatal y que deben acreditar los proponentes están detalladas de manera expresa en la Matriz 1 </w:t>
      </w:r>
      <w:r w:rsidRPr="00C1373A">
        <w:rPr>
          <w:rFonts w:ascii="Arial" w:eastAsia="Calibri" w:hAnsi="Arial" w:cs="Arial"/>
          <w:sz w:val="22"/>
          <w:szCs w:val="22"/>
          <w:lang w:val="es-MX"/>
        </w:rPr>
        <w:t>adoptada para cada documento tipo</w:t>
      </w:r>
      <w:r w:rsidRPr="00C1373A">
        <w:rPr>
          <w:rFonts w:ascii="Arial" w:hAnsi="Arial" w:cs="Arial"/>
          <w:color w:val="000000"/>
          <w:sz w:val="22"/>
          <w:szCs w:val="22"/>
          <w:bdr w:val="none" w:sz="0" w:space="0" w:color="auto" w:frame="1"/>
          <w:lang w:val="es-ES_tradnl"/>
        </w:rPr>
        <w:t>. Po</w:t>
      </w:r>
      <w:r w:rsidR="00311F36">
        <w:rPr>
          <w:rFonts w:ascii="Arial" w:hAnsi="Arial" w:cs="Arial"/>
          <w:color w:val="000000"/>
          <w:sz w:val="22"/>
          <w:szCs w:val="22"/>
          <w:bdr w:val="none" w:sz="0" w:space="0" w:color="auto" w:frame="1"/>
          <w:lang w:val="es-ES_tradnl"/>
        </w:rPr>
        <w:t>r</w:t>
      </w:r>
      <w:r w:rsidRPr="00C1373A">
        <w:rPr>
          <w:rFonts w:ascii="Arial" w:hAnsi="Arial" w:cs="Arial"/>
          <w:color w:val="000000"/>
          <w:sz w:val="22"/>
          <w:szCs w:val="22"/>
          <w:bdr w:val="none" w:sz="0" w:space="0" w:color="auto" w:frame="1"/>
          <w:lang w:val="es-ES_tradnl"/>
        </w:rPr>
        <w:t xml:space="preserve"> ejemplo, para el caso de los documentos tipo de licitación de obra pública de infraestructura de transporte, el numeral 3.5.1 del documento base establece que «La entidad debe indicar en esta sección las condiciones de experiencia que serán requeridas en el proceso de selección de acuerdo con las condiciones establecidas en la Matriz 1 – Experiencia. […]» y el numeral 3.5.2 regula las características de los contratos que deben presentar</w:t>
      </w:r>
      <w:r w:rsidR="00826C09">
        <w:rPr>
          <w:rFonts w:ascii="Arial" w:hAnsi="Arial" w:cs="Arial"/>
          <w:color w:val="000000"/>
          <w:sz w:val="22"/>
          <w:szCs w:val="22"/>
          <w:bdr w:val="none" w:sz="0" w:space="0" w:color="auto" w:frame="1"/>
          <w:lang w:val="es-ES_tradnl"/>
        </w:rPr>
        <w:t>se</w:t>
      </w:r>
      <w:r w:rsidRPr="00C1373A">
        <w:rPr>
          <w:rFonts w:ascii="Arial" w:hAnsi="Arial" w:cs="Arial"/>
          <w:color w:val="000000"/>
          <w:sz w:val="22"/>
          <w:szCs w:val="22"/>
          <w:bdr w:val="none" w:sz="0" w:space="0" w:color="auto" w:frame="1"/>
          <w:lang w:val="es-ES_tradnl"/>
        </w:rPr>
        <w:t xml:space="preserve"> para acreditarla.</w:t>
      </w:r>
    </w:p>
    <w:p w14:paraId="4B607790" w14:textId="289E850A" w:rsidR="00F60B77" w:rsidRPr="00C1373A" w:rsidRDefault="00F60B77" w:rsidP="00F60B77">
      <w:pPr>
        <w:spacing w:before="120" w:after="120" w:line="276" w:lineRule="auto"/>
        <w:ind w:firstLine="708"/>
        <w:jc w:val="both"/>
        <w:rPr>
          <w:rFonts w:ascii="Arial" w:hAnsi="Arial" w:cs="Arial"/>
          <w:color w:val="000000"/>
          <w:sz w:val="22"/>
          <w:szCs w:val="22"/>
          <w:bdr w:val="none" w:sz="0" w:space="0" w:color="auto" w:frame="1"/>
          <w:lang w:val="es-ES_tradnl"/>
        </w:rPr>
      </w:pPr>
      <w:r w:rsidRPr="00C1373A">
        <w:rPr>
          <w:rFonts w:ascii="Arial" w:hAnsi="Arial" w:cs="Arial"/>
          <w:color w:val="000000"/>
          <w:sz w:val="22"/>
          <w:szCs w:val="22"/>
          <w:bdr w:val="none" w:sz="0" w:space="0" w:color="auto" w:frame="1"/>
          <w:lang w:val="es-ES_tradnl"/>
        </w:rPr>
        <w:t>Siguiendo el procedimiento referido, cada entidad estatal determinar</w:t>
      </w:r>
      <w:r w:rsidR="00635BC1">
        <w:rPr>
          <w:rFonts w:ascii="Arial" w:hAnsi="Arial" w:cs="Arial"/>
          <w:color w:val="000000"/>
          <w:sz w:val="22"/>
          <w:szCs w:val="22"/>
          <w:bdr w:val="none" w:sz="0" w:space="0" w:color="auto" w:frame="1"/>
          <w:lang w:val="es-ES_tradnl"/>
        </w:rPr>
        <w:t>á</w:t>
      </w:r>
      <w:r w:rsidRPr="00C1373A">
        <w:rPr>
          <w:rFonts w:ascii="Arial" w:hAnsi="Arial" w:cs="Arial"/>
          <w:color w:val="000000"/>
          <w:sz w:val="22"/>
          <w:szCs w:val="22"/>
          <w:bdr w:val="none" w:sz="0" w:space="0" w:color="auto" w:frame="1"/>
          <w:lang w:val="es-ES_tradnl"/>
        </w:rPr>
        <w:t xml:space="preserve">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1. De esta manera, deberá aplicar estrictamente lo contenido en dicha matriz y, por tanto, no podrá incluir, modificar, suprimir o alterar las condiciones de experiencia allí establecidas, salvo cuando de forma expresa esta lo determine.</w:t>
      </w:r>
    </w:p>
    <w:p w14:paraId="4ED7A149" w14:textId="2675896E" w:rsidR="00F60B77" w:rsidRPr="00C1373A" w:rsidRDefault="00F60B77" w:rsidP="00F60B77">
      <w:pPr>
        <w:spacing w:after="120" w:line="276" w:lineRule="auto"/>
        <w:ind w:firstLine="708"/>
        <w:jc w:val="both"/>
        <w:rPr>
          <w:rFonts w:ascii="Arial" w:eastAsia="Calibri" w:hAnsi="Arial" w:cs="Arial"/>
          <w:color w:val="000000"/>
          <w:sz w:val="22"/>
          <w:szCs w:val="22"/>
          <w:lang w:val="es-ES_tradnl" w:eastAsia="es-ES"/>
        </w:rPr>
      </w:pPr>
      <w:r w:rsidRPr="00C1373A">
        <w:rPr>
          <w:rFonts w:ascii="Arial" w:hAnsi="Arial" w:cs="Arial"/>
          <w:color w:val="000000"/>
          <w:sz w:val="22"/>
          <w:szCs w:val="22"/>
          <w:lang w:val="es-ES_tradnl" w:eastAsia="es-ES"/>
        </w:rPr>
        <w:t xml:space="preserve">De </w:t>
      </w:r>
      <w:bookmarkStart w:id="2" w:name="_Hlk101876973"/>
      <w:r w:rsidRPr="00C1373A">
        <w:rPr>
          <w:rFonts w:ascii="Arial" w:hAnsi="Arial" w:cs="Arial"/>
          <w:color w:val="000000"/>
          <w:sz w:val="22"/>
          <w:szCs w:val="22"/>
          <w:lang w:val="es-ES_tradnl" w:eastAsia="es-ES"/>
        </w:rPr>
        <w:t xml:space="preserve">otro lado, en la aplicación de los documentos tipo, la posibilidad de exigir experiencia adicional a la estandarizada en la Matriz 1 se refiere a bienes y servicios adicionales a la obra pública de infraestructura de transporte. Esta posibilidad surge cuando en el marco de la contratación de una de las actividades enlistadas en la Matriz 1, también se requieren contratar bienes y servicios adicionales cuya contratación, en principio, se </w:t>
      </w:r>
      <w:r w:rsidRPr="00C1373A">
        <w:rPr>
          <w:rFonts w:ascii="Arial" w:hAnsi="Arial" w:cs="Arial"/>
          <w:color w:val="000000"/>
          <w:sz w:val="22"/>
          <w:szCs w:val="22"/>
          <w:lang w:val="es-ES_tradnl" w:eastAsia="es-ES"/>
        </w:rPr>
        <w:lastRenderedPageBreak/>
        <w:t xml:space="preserve">encuentra excluida de la aplicación de los documentos tipo de infraestructura de transporte y respecto a los cuales la entidad requiere que los proponentes acrediten cierta idoneidad. Ante estos supuestos, debe aplicarse </w:t>
      </w:r>
      <w:r w:rsidRPr="00C1373A">
        <w:rPr>
          <w:rFonts w:ascii="Arial" w:eastAsia="Calibri" w:hAnsi="Arial" w:cs="Arial"/>
          <w:color w:val="000000"/>
          <w:sz w:val="22"/>
          <w:szCs w:val="22"/>
          <w:lang w:val="es-ES_tradnl" w:eastAsia="es-ES"/>
        </w:rPr>
        <w:t>lo dispuesto en el artículo 4 de las Resoluciones 240</w:t>
      </w:r>
      <w:r w:rsidR="00490325">
        <w:rPr>
          <w:rFonts w:ascii="Arial" w:eastAsia="Calibri" w:hAnsi="Arial" w:cs="Arial"/>
          <w:color w:val="000000"/>
          <w:sz w:val="22"/>
          <w:szCs w:val="22"/>
          <w:lang w:val="es-ES_tradnl" w:eastAsia="es-ES"/>
        </w:rPr>
        <w:t xml:space="preserve"> y 241 de 2020</w:t>
      </w:r>
      <w:r w:rsidR="00291BA5">
        <w:rPr>
          <w:rFonts w:ascii="Arial" w:eastAsia="Calibri" w:hAnsi="Arial" w:cs="Arial"/>
          <w:color w:val="000000"/>
          <w:sz w:val="22"/>
          <w:szCs w:val="22"/>
          <w:lang w:val="es-ES_tradnl" w:eastAsia="es-ES"/>
        </w:rPr>
        <w:t xml:space="preserve">, así como el artículo </w:t>
      </w:r>
      <w:r w:rsidR="003D53B9" w:rsidRPr="003D53B9">
        <w:rPr>
          <w:rFonts w:ascii="Arial" w:eastAsia="Calibri" w:hAnsi="Arial" w:cs="Arial"/>
          <w:color w:val="000000"/>
          <w:sz w:val="22"/>
          <w:szCs w:val="22"/>
          <w:lang w:val="es-ES_tradnl" w:eastAsia="es-ES"/>
        </w:rPr>
        <w:t>2.2.1.2.6.3.5</w:t>
      </w:r>
      <w:r w:rsidR="003D53B9">
        <w:rPr>
          <w:rFonts w:ascii="Arial" w:eastAsia="Calibri" w:hAnsi="Arial" w:cs="Arial"/>
          <w:color w:val="000000"/>
          <w:sz w:val="22"/>
          <w:szCs w:val="22"/>
          <w:lang w:val="es-ES_tradnl" w:eastAsia="es-ES"/>
        </w:rPr>
        <w:t xml:space="preserve"> del Decreto 1082 de 2015</w:t>
      </w:r>
      <w:r w:rsidRPr="00C1373A">
        <w:rPr>
          <w:rFonts w:ascii="Arial" w:eastAsia="Calibri" w:hAnsi="Arial" w:cs="Arial"/>
          <w:color w:val="000000"/>
          <w:sz w:val="22"/>
          <w:szCs w:val="22"/>
          <w:lang w:val="es-ES_tradnl" w:eastAsia="es-ES"/>
        </w:rPr>
        <w:t>. Esta</w:t>
      </w:r>
      <w:r w:rsidR="0093110F">
        <w:rPr>
          <w:rFonts w:ascii="Arial" w:eastAsia="Calibri" w:hAnsi="Arial" w:cs="Arial"/>
          <w:color w:val="000000"/>
          <w:sz w:val="22"/>
          <w:szCs w:val="22"/>
          <w:lang w:val="es-ES_tradnl" w:eastAsia="es-ES"/>
        </w:rPr>
        <w:t>s</w:t>
      </w:r>
      <w:r w:rsidRPr="00C1373A">
        <w:rPr>
          <w:rFonts w:ascii="Arial" w:eastAsia="Calibri" w:hAnsi="Arial" w:cs="Arial"/>
          <w:color w:val="000000"/>
          <w:sz w:val="22"/>
          <w:szCs w:val="22"/>
          <w:lang w:val="es-ES_tradnl" w:eastAsia="es-ES"/>
        </w:rPr>
        <w:t xml:space="preserve"> norma</w:t>
      </w:r>
      <w:r w:rsidR="0093110F">
        <w:rPr>
          <w:rFonts w:ascii="Arial" w:eastAsia="Calibri" w:hAnsi="Arial" w:cs="Arial"/>
          <w:color w:val="000000"/>
          <w:sz w:val="22"/>
          <w:szCs w:val="22"/>
          <w:lang w:val="es-ES_tradnl" w:eastAsia="es-ES"/>
        </w:rPr>
        <w:t>s</w:t>
      </w:r>
      <w:r w:rsidRPr="00C1373A">
        <w:rPr>
          <w:rFonts w:ascii="Arial" w:eastAsia="Calibri" w:hAnsi="Arial" w:cs="Arial"/>
          <w:color w:val="000000"/>
          <w:sz w:val="22"/>
          <w:szCs w:val="22"/>
          <w:lang w:val="es-ES_tradnl" w:eastAsia="es-ES"/>
        </w:rPr>
        <w:t xml:space="preserve"> </w:t>
      </w:r>
      <w:r w:rsidR="0093110F">
        <w:rPr>
          <w:rFonts w:ascii="Arial" w:eastAsia="Calibri" w:hAnsi="Arial" w:cs="Arial"/>
          <w:color w:val="000000"/>
          <w:sz w:val="22"/>
          <w:szCs w:val="22"/>
          <w:lang w:val="es-ES_tradnl" w:eastAsia="es-ES"/>
        </w:rPr>
        <w:t>disponen</w:t>
      </w:r>
      <w:r w:rsidRPr="00C1373A">
        <w:rPr>
          <w:rFonts w:ascii="Arial" w:eastAsia="Calibri" w:hAnsi="Arial" w:cs="Arial"/>
          <w:color w:val="000000"/>
          <w:sz w:val="22"/>
          <w:szCs w:val="22"/>
          <w:lang w:val="es-ES_tradnl" w:eastAsia="es-ES"/>
        </w:rPr>
        <w:t xml:space="preserve"> que</w:t>
      </w:r>
      <w:r w:rsidR="001C24A6">
        <w:rPr>
          <w:rFonts w:ascii="Arial" w:eastAsia="Calibri" w:hAnsi="Arial" w:cs="Arial"/>
          <w:color w:val="000000"/>
          <w:sz w:val="22"/>
          <w:szCs w:val="22"/>
          <w:lang w:val="es-ES_tradnl" w:eastAsia="es-ES"/>
        </w:rPr>
        <w:t>, para los procesos adelantados por licitación pública</w:t>
      </w:r>
      <w:r w:rsidR="004A6E04">
        <w:rPr>
          <w:rFonts w:ascii="Arial" w:eastAsia="Calibri" w:hAnsi="Arial" w:cs="Arial"/>
          <w:color w:val="000000"/>
          <w:sz w:val="22"/>
          <w:szCs w:val="22"/>
          <w:lang w:val="es-ES_tradnl" w:eastAsia="es-ES"/>
        </w:rPr>
        <w:t xml:space="preserve">, selección abreviada de menor cuantía y mínima cuantía, </w:t>
      </w:r>
      <w:r w:rsidRPr="00C1373A">
        <w:rPr>
          <w:rFonts w:ascii="Arial" w:eastAsia="Calibri" w:hAnsi="Arial" w:cs="Arial"/>
          <w:color w:val="000000"/>
          <w:sz w:val="22"/>
          <w:szCs w:val="22"/>
          <w:lang w:val="es-ES_tradnl" w:eastAsia="es-ES"/>
        </w:rPr>
        <w:t>la entidad puede incluir experiencia adicional para evaluar la idoneidad respecto de los bienes o servicios adicionales a la obra pública</w:t>
      </w:r>
      <w:r w:rsidRPr="00C1373A">
        <w:rPr>
          <w:rFonts w:ascii="Arial" w:hAnsi="Arial" w:cs="Arial"/>
          <w:color w:val="000000"/>
          <w:sz w:val="22"/>
          <w:szCs w:val="22"/>
          <w:lang w:val="es-ES_tradnl" w:eastAsia="es-ES"/>
        </w:rPr>
        <w:t xml:space="preserve"> de infraestructura de transporte</w:t>
      </w:r>
      <w:r w:rsidRPr="00C1373A">
        <w:rPr>
          <w:rFonts w:ascii="Arial" w:eastAsia="Calibri" w:hAnsi="Arial" w:cs="Arial"/>
          <w:color w:val="000000"/>
          <w:sz w:val="22"/>
          <w:szCs w:val="22"/>
          <w:lang w:val="es-ES_tradnl" w:eastAsia="es-ES"/>
        </w:rPr>
        <w:t xml:space="preserve">. </w:t>
      </w:r>
    </w:p>
    <w:p w14:paraId="41533C6B" w14:textId="77777777" w:rsidR="00F60B77" w:rsidRPr="00C1373A" w:rsidRDefault="00F60B77" w:rsidP="00F60B77">
      <w:pPr>
        <w:spacing w:before="120" w:after="120" w:line="276" w:lineRule="auto"/>
        <w:ind w:firstLine="709"/>
        <w:jc w:val="both"/>
        <w:rPr>
          <w:rFonts w:ascii="Arial" w:eastAsia="Calibri" w:hAnsi="Arial" w:cs="Arial"/>
          <w:sz w:val="22"/>
          <w:szCs w:val="22"/>
        </w:rPr>
      </w:pPr>
      <w:r w:rsidRPr="00C1373A">
        <w:rPr>
          <w:rFonts w:ascii="Arial" w:eastAsia="Calibri" w:hAnsi="Arial" w:cs="Arial"/>
          <w:sz w:val="22"/>
          <w:szCs w:val="22"/>
        </w:rPr>
        <w:t>Por ejemplo, tratándose de los documentos tipo de licitación pública, deben seguirse estos parámetros: i) demostrar en los estudios previos que ha verificado las condiciones de mercado para la adquisición de las obras, bienes o servicios adicionales al componente de obra pública</w:t>
      </w:r>
      <w:r w:rsidRPr="00C1373A">
        <w:rPr>
          <w:rFonts w:ascii="Arial" w:eastAsia="Calibri" w:hAnsi="Arial" w:cs="Arial"/>
          <w:color w:val="000000"/>
          <w:sz w:val="22"/>
          <w:szCs w:val="22"/>
          <w:lang w:val="es-ES_tradnl" w:eastAsia="es-ES"/>
        </w:rPr>
        <w:t xml:space="preserve">, </w:t>
      </w:r>
      <w:r w:rsidRPr="00C1373A">
        <w:rPr>
          <w:rFonts w:ascii="Arial" w:eastAsia="Calibri" w:hAnsi="Arial" w:cs="Arial"/>
          <w:sz w:val="22"/>
          <w:szCs w:val="22"/>
        </w:rPr>
        <w:t xml:space="preserve">de tal forma que la experiencia adicional garantiza la pluralidad de oferentes, </w:t>
      </w:r>
      <w:proofErr w:type="spellStart"/>
      <w:r w:rsidRPr="00C1373A">
        <w:rPr>
          <w:rFonts w:ascii="Arial" w:eastAsia="Calibri" w:hAnsi="Arial" w:cs="Arial"/>
          <w:sz w:val="22"/>
          <w:szCs w:val="22"/>
        </w:rPr>
        <w:t>ii</w:t>
      </w:r>
      <w:proofErr w:type="spellEnd"/>
      <w:r w:rsidRPr="00C1373A">
        <w:rPr>
          <w:rFonts w:ascii="Arial" w:eastAsia="Calibri" w:hAnsi="Arial" w:cs="Arial"/>
          <w:sz w:val="22"/>
          <w:szCs w:val="22"/>
        </w:rPr>
        <w:t xml:space="preserve">) conservar los requisitos exigidos en los Documentos Tipo, </w:t>
      </w:r>
      <w:proofErr w:type="spellStart"/>
      <w:r w:rsidRPr="00C1373A">
        <w:rPr>
          <w:rFonts w:ascii="Arial" w:eastAsia="Calibri" w:hAnsi="Arial" w:cs="Arial"/>
          <w:sz w:val="22"/>
          <w:szCs w:val="22"/>
        </w:rPr>
        <w:t>iii</w:t>
      </w:r>
      <w:proofErr w:type="spellEnd"/>
      <w:r w:rsidRPr="00C1373A">
        <w:rPr>
          <w:rFonts w:ascii="Arial" w:eastAsia="Calibri" w:hAnsi="Arial" w:cs="Arial"/>
          <w:sz w:val="22"/>
          <w:szCs w:val="22"/>
        </w:rPr>
        <w:t xml:space="preserve">) abstenerse de pedir experiencia exclusiva con entidades estatales, experiencia previa en un territorio específico, limitada en el tiempo o que incluya volúmenes o cantidades de obra específica, </w:t>
      </w:r>
      <w:proofErr w:type="spellStart"/>
      <w:r w:rsidRPr="00C1373A">
        <w:rPr>
          <w:rFonts w:ascii="Arial" w:eastAsia="Calibri" w:hAnsi="Arial" w:cs="Arial"/>
          <w:sz w:val="22"/>
          <w:szCs w:val="22"/>
        </w:rPr>
        <w:t>iv</w:t>
      </w:r>
      <w:proofErr w:type="spellEnd"/>
      <w:r w:rsidRPr="00C1373A">
        <w:rPr>
          <w:rFonts w:ascii="Arial" w:eastAsia="Calibri" w:hAnsi="Arial" w:cs="Arial"/>
          <w:sz w:val="22"/>
          <w:szCs w:val="22"/>
        </w:rPr>
        <w:t>) clasificar la experiencia requerida solo hasta el tercer nivel del Clasificador de Bienes y Servicios e incluir exclusivamente los códigos que estén relacionados directamente con el objeto a contratar</w:t>
      </w:r>
      <w:r w:rsidRPr="00C1373A">
        <w:rPr>
          <w:rFonts w:ascii="Arial" w:eastAsia="Calibri" w:hAnsi="Arial" w:cs="Arial"/>
          <w:color w:val="000000"/>
          <w:sz w:val="22"/>
          <w:szCs w:val="22"/>
          <w:vertAlign w:val="superscript"/>
          <w:lang w:val="es-ES_tradnl" w:eastAsia="es-ES"/>
        </w:rPr>
        <w:footnoteReference w:id="5"/>
      </w:r>
      <w:r w:rsidRPr="00C1373A">
        <w:rPr>
          <w:rFonts w:ascii="Arial" w:eastAsia="Calibri" w:hAnsi="Arial" w:cs="Arial"/>
          <w:sz w:val="22"/>
          <w:szCs w:val="22"/>
        </w:rPr>
        <w:t>.</w:t>
      </w:r>
    </w:p>
    <w:p w14:paraId="3141B8FA" w14:textId="6E21F2DA" w:rsidR="00F60B77" w:rsidRPr="00C1373A" w:rsidRDefault="00F60B77" w:rsidP="00F60B77">
      <w:pPr>
        <w:spacing w:after="120" w:line="276" w:lineRule="auto"/>
        <w:ind w:firstLine="708"/>
        <w:jc w:val="both"/>
        <w:rPr>
          <w:rFonts w:ascii="Arial" w:eastAsia="Arial" w:hAnsi="Arial" w:cs="Arial"/>
          <w:sz w:val="22"/>
          <w:szCs w:val="22"/>
          <w:lang w:val="es-ES"/>
        </w:rPr>
      </w:pPr>
      <w:r w:rsidRPr="00C1373A">
        <w:rPr>
          <w:rStyle w:val="normaltextrun"/>
          <w:rFonts w:ascii="Arial" w:hAnsi="Arial" w:cs="Arial"/>
          <w:color w:val="000000"/>
          <w:sz w:val="22"/>
          <w:szCs w:val="22"/>
          <w:shd w:val="clear" w:color="auto" w:fill="FFFFFF"/>
          <w:lang w:val="es-ES"/>
        </w:rPr>
        <w:t>La entidad que opte por solicitar experiencia adicional en desarrollo de esta norma debe evidenciar en los documentos del proceso que agotó estos parámetros. Para ello, justificar</w:t>
      </w:r>
      <w:r w:rsidR="005934B4">
        <w:rPr>
          <w:rStyle w:val="normaltextrun"/>
          <w:rFonts w:ascii="Arial" w:hAnsi="Arial" w:cs="Arial"/>
          <w:color w:val="000000"/>
          <w:sz w:val="22"/>
          <w:szCs w:val="22"/>
          <w:shd w:val="clear" w:color="auto" w:fill="FFFFFF"/>
          <w:lang w:val="es-ES"/>
        </w:rPr>
        <w:t>á</w:t>
      </w:r>
      <w:r w:rsidRPr="00C1373A">
        <w:rPr>
          <w:rStyle w:val="normaltextrun"/>
          <w:rFonts w:ascii="Arial" w:hAnsi="Arial" w:cs="Arial"/>
          <w:color w:val="000000"/>
          <w:sz w:val="22"/>
          <w:szCs w:val="22"/>
          <w:shd w:val="clear" w:color="auto" w:fill="FFFFFF"/>
          <w:lang w:val="es-ES"/>
        </w:rPr>
        <w:t xml:space="preserve"> en los estudios y documentos previos, como parte del deber 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w:t>
      </w:r>
      <w:r w:rsidRPr="00C1373A">
        <w:rPr>
          <w:rFonts w:ascii="Arial" w:eastAsia="Calibri" w:hAnsi="Arial" w:cs="Arial"/>
          <w:sz w:val="22"/>
          <w:szCs w:val="22"/>
        </w:rPr>
        <w:t xml:space="preserve">. </w:t>
      </w:r>
      <w:r w:rsidRPr="00C1373A">
        <w:rPr>
          <w:rFonts w:ascii="Arial" w:eastAsia="Arial" w:hAnsi="Arial" w:cs="Arial"/>
          <w:sz w:val="22"/>
          <w:szCs w:val="22"/>
          <w:lang w:val="es-ES"/>
        </w:rPr>
        <w:t xml:space="preserve">En segundo lugar, la solicitud de esta experiencia no </w:t>
      </w:r>
      <w:r w:rsidRPr="00C1373A">
        <w:rPr>
          <w:rFonts w:ascii="Arial" w:eastAsia="Arial" w:hAnsi="Arial" w:cs="Arial"/>
          <w:sz w:val="22"/>
          <w:szCs w:val="22"/>
          <w:lang w:val="es-ES"/>
        </w:rPr>
        <w:lastRenderedPageBreak/>
        <w:t>permite que la entidad modifique los requisitos habilitantes y de ponderación de la propuesta, por lo cual se deben mantener los establecidos en los documentos tipo.</w:t>
      </w:r>
    </w:p>
    <w:p w14:paraId="41621C12" w14:textId="77777777" w:rsidR="00F60B77" w:rsidRPr="00C1373A" w:rsidRDefault="00F60B77" w:rsidP="00F60B77">
      <w:pPr>
        <w:widowControl w:val="0"/>
        <w:autoSpaceDE w:val="0"/>
        <w:autoSpaceDN w:val="0"/>
        <w:spacing w:after="120" w:line="276" w:lineRule="auto"/>
        <w:ind w:firstLine="709"/>
        <w:jc w:val="both"/>
        <w:rPr>
          <w:rFonts w:ascii="Arial" w:eastAsia="Arial" w:hAnsi="Arial" w:cs="Arial"/>
          <w:sz w:val="22"/>
          <w:szCs w:val="22"/>
          <w:lang w:val="es-ES"/>
        </w:rPr>
      </w:pPr>
      <w:r w:rsidRPr="00C1373A">
        <w:rPr>
          <w:rFonts w:ascii="Arial" w:eastAsia="Arial" w:hAnsi="Arial" w:cs="Arial"/>
          <w:sz w:val="22"/>
          <w:szCs w:val="22"/>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adquirido</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en</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un</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territorio</w:t>
      </w:r>
      <w:r w:rsidRPr="00C1373A">
        <w:rPr>
          <w:rFonts w:ascii="Arial" w:eastAsia="Arial" w:hAnsi="Arial" w:cs="Arial"/>
          <w:spacing w:val="-17"/>
          <w:sz w:val="22"/>
          <w:szCs w:val="22"/>
          <w:lang w:val="es-ES"/>
        </w:rPr>
        <w:t xml:space="preserve"> </w:t>
      </w:r>
      <w:r w:rsidRPr="00C1373A">
        <w:rPr>
          <w:rFonts w:ascii="Arial" w:eastAsia="Arial" w:hAnsi="Arial" w:cs="Arial"/>
          <w:sz w:val="22"/>
          <w:szCs w:val="22"/>
          <w:lang w:val="es-ES"/>
        </w:rPr>
        <w:t>o</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con</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alguna</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entidad</w:t>
      </w:r>
      <w:r w:rsidRPr="00C1373A">
        <w:rPr>
          <w:rFonts w:ascii="Arial" w:eastAsia="Arial" w:hAnsi="Arial" w:cs="Arial"/>
          <w:spacing w:val="-18"/>
          <w:sz w:val="22"/>
          <w:szCs w:val="22"/>
          <w:lang w:val="es-ES"/>
        </w:rPr>
        <w:t xml:space="preserve"> </w:t>
      </w:r>
      <w:r w:rsidRPr="00C1373A">
        <w:rPr>
          <w:rFonts w:ascii="Arial" w:eastAsia="Arial" w:hAnsi="Arial" w:cs="Arial"/>
          <w:sz w:val="22"/>
          <w:szCs w:val="22"/>
          <w:lang w:val="es-ES"/>
        </w:rPr>
        <w:t>determinada,</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ni</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establecer</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limitantes temporales</w:t>
      </w:r>
      <w:r w:rsidRPr="00C1373A">
        <w:rPr>
          <w:rFonts w:ascii="Arial" w:eastAsia="Arial" w:hAnsi="Arial" w:cs="Arial"/>
          <w:spacing w:val="-18"/>
          <w:sz w:val="22"/>
          <w:szCs w:val="22"/>
          <w:lang w:val="es-ES"/>
        </w:rPr>
        <w:t xml:space="preserve"> </w:t>
      </w:r>
      <w:r w:rsidRPr="00C1373A">
        <w:rPr>
          <w:rFonts w:ascii="Arial" w:eastAsia="Arial" w:hAnsi="Arial" w:cs="Arial"/>
          <w:sz w:val="22"/>
          <w:szCs w:val="22"/>
          <w:lang w:val="es-ES"/>
        </w:rPr>
        <w:t>o</w:t>
      </w:r>
      <w:r w:rsidRPr="00C1373A">
        <w:rPr>
          <w:rFonts w:ascii="Arial" w:eastAsia="Arial" w:hAnsi="Arial" w:cs="Arial"/>
          <w:spacing w:val="-20"/>
          <w:sz w:val="22"/>
          <w:szCs w:val="22"/>
          <w:lang w:val="es-ES"/>
        </w:rPr>
        <w:t xml:space="preserve"> </w:t>
      </w:r>
      <w:r w:rsidRPr="00C1373A">
        <w:rPr>
          <w:rFonts w:ascii="Arial" w:eastAsia="Arial" w:hAnsi="Arial" w:cs="Arial"/>
          <w:sz w:val="22"/>
          <w:szCs w:val="22"/>
          <w:lang w:val="es-ES"/>
        </w:rPr>
        <w:t>la</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acreditación</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de</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volúmenes</w:t>
      </w:r>
      <w:r w:rsidRPr="00C1373A">
        <w:rPr>
          <w:rFonts w:ascii="Arial" w:eastAsia="Arial" w:hAnsi="Arial" w:cs="Arial"/>
          <w:spacing w:val="-20"/>
          <w:sz w:val="22"/>
          <w:szCs w:val="22"/>
          <w:lang w:val="es-ES"/>
        </w:rPr>
        <w:t xml:space="preserve"> </w:t>
      </w:r>
      <w:r w:rsidRPr="00C1373A">
        <w:rPr>
          <w:rFonts w:ascii="Arial" w:eastAsia="Arial" w:hAnsi="Arial" w:cs="Arial"/>
          <w:sz w:val="22"/>
          <w:szCs w:val="22"/>
          <w:lang w:val="es-ES"/>
        </w:rPr>
        <w:t>o</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cantidades.</w:t>
      </w:r>
      <w:r w:rsidRPr="00C1373A">
        <w:rPr>
          <w:rFonts w:ascii="Arial" w:eastAsia="Arial" w:hAnsi="Arial" w:cs="Arial"/>
          <w:spacing w:val="-20"/>
          <w:sz w:val="22"/>
          <w:szCs w:val="22"/>
          <w:lang w:val="es-ES"/>
        </w:rPr>
        <w:t xml:space="preserve"> </w:t>
      </w:r>
      <w:r w:rsidRPr="00C1373A">
        <w:rPr>
          <w:rFonts w:ascii="Arial" w:eastAsia="Arial" w:hAnsi="Arial" w:cs="Arial"/>
          <w:sz w:val="22"/>
          <w:szCs w:val="22"/>
          <w:lang w:val="es-ES"/>
        </w:rPr>
        <w:t>Este</w:t>
      </w:r>
      <w:r w:rsidRPr="00C1373A">
        <w:rPr>
          <w:rFonts w:ascii="Arial" w:eastAsia="Arial" w:hAnsi="Arial" w:cs="Arial"/>
          <w:spacing w:val="-18"/>
          <w:sz w:val="22"/>
          <w:szCs w:val="22"/>
          <w:lang w:val="es-ES"/>
        </w:rPr>
        <w:t xml:space="preserve"> </w:t>
      </w:r>
      <w:r w:rsidRPr="00C1373A">
        <w:rPr>
          <w:rFonts w:ascii="Arial" w:eastAsia="Arial" w:hAnsi="Arial" w:cs="Arial"/>
          <w:sz w:val="22"/>
          <w:szCs w:val="22"/>
          <w:lang w:val="es-ES"/>
        </w:rPr>
        <w:t>parámetro</w:t>
      </w:r>
      <w:r w:rsidRPr="00C1373A">
        <w:rPr>
          <w:rFonts w:ascii="Arial" w:eastAsia="Arial" w:hAnsi="Arial" w:cs="Arial"/>
          <w:spacing w:val="-19"/>
          <w:sz w:val="22"/>
          <w:szCs w:val="22"/>
          <w:lang w:val="es-ES"/>
        </w:rPr>
        <w:t xml:space="preserve"> </w:t>
      </w:r>
      <w:r w:rsidRPr="00C1373A">
        <w:rPr>
          <w:rFonts w:ascii="Arial" w:eastAsia="Arial" w:hAnsi="Arial" w:cs="Arial"/>
          <w:sz w:val="22"/>
          <w:szCs w:val="22"/>
          <w:lang w:val="es-ES"/>
        </w:rPr>
        <w:t>va</w:t>
      </w:r>
      <w:r w:rsidRPr="00C1373A">
        <w:rPr>
          <w:rFonts w:ascii="Arial" w:eastAsia="Arial" w:hAnsi="Arial" w:cs="Arial"/>
          <w:spacing w:val="-20"/>
          <w:sz w:val="22"/>
          <w:szCs w:val="22"/>
          <w:lang w:val="es-ES"/>
        </w:rPr>
        <w:t xml:space="preserve"> </w:t>
      </w:r>
      <w:r w:rsidRPr="00C1373A">
        <w:rPr>
          <w:rFonts w:ascii="Arial" w:eastAsia="Arial" w:hAnsi="Arial" w:cs="Arial"/>
          <w:sz w:val="22"/>
          <w:szCs w:val="22"/>
          <w:lang w:val="es-ES"/>
        </w:rPr>
        <w:t>encaminado a determinar si la experiencia solicitada es acorde, adecuada y proporcional a la necesidad identificada por la entidad, por lo cual no puede desbordar los límites racionales ni solicitar experiencias de imposible</w:t>
      </w:r>
      <w:r w:rsidRPr="00C1373A">
        <w:rPr>
          <w:rFonts w:ascii="Arial" w:eastAsia="Arial" w:hAnsi="Arial" w:cs="Arial"/>
          <w:spacing w:val="-8"/>
          <w:sz w:val="22"/>
          <w:szCs w:val="22"/>
          <w:lang w:val="es-ES"/>
        </w:rPr>
        <w:t xml:space="preserve"> </w:t>
      </w:r>
      <w:r w:rsidRPr="00C1373A">
        <w:rPr>
          <w:rFonts w:ascii="Arial" w:eastAsia="Arial" w:hAnsi="Arial" w:cs="Arial"/>
          <w:sz w:val="22"/>
          <w:szCs w:val="22"/>
          <w:lang w:val="es-ES"/>
        </w:rPr>
        <w:t>cumplimiento. Por último, la experiencia requerida debe clasificarse hasta el tercer nivel del clasificador de bienes y servicios. Por lo tanto, la entidad no puede requerir que se acredite el «producto» de este clasificador.</w:t>
      </w:r>
    </w:p>
    <w:p w14:paraId="6BDBC2CA" w14:textId="078B080F" w:rsidR="00F60B77" w:rsidRPr="00C1373A" w:rsidRDefault="00427C10" w:rsidP="00F60B77">
      <w:pPr>
        <w:spacing w:after="120" w:line="276" w:lineRule="auto"/>
        <w:ind w:firstLine="709"/>
        <w:jc w:val="both"/>
        <w:rPr>
          <w:rFonts w:ascii="Arial" w:eastAsia="Calibri" w:hAnsi="Arial" w:cs="Arial"/>
          <w:sz w:val="22"/>
          <w:szCs w:val="22"/>
        </w:rPr>
      </w:pPr>
      <w:r>
        <w:rPr>
          <w:rStyle w:val="normaltextrun"/>
          <w:rFonts w:ascii="Arial" w:hAnsi="Arial" w:cs="Arial"/>
          <w:color w:val="000000"/>
          <w:sz w:val="22"/>
          <w:szCs w:val="22"/>
          <w:shd w:val="clear" w:color="auto" w:fill="FFFFFF"/>
          <w:lang w:val="es-ES"/>
        </w:rPr>
        <w:t>L</w:t>
      </w:r>
      <w:r w:rsidR="00F60B77" w:rsidRPr="00C1373A">
        <w:rPr>
          <w:rStyle w:val="normaltextrun"/>
          <w:rFonts w:ascii="Arial" w:hAnsi="Arial" w:cs="Arial"/>
          <w:color w:val="000000"/>
          <w:sz w:val="22"/>
          <w:szCs w:val="22"/>
          <w:shd w:val="clear" w:color="auto" w:fill="FFFFFF"/>
          <w:lang w:val="es-ES"/>
        </w:rPr>
        <w:t xml:space="preserve">a posibilidad de solicitar experiencia adicional ocurre cuando el objeto contractual incluye bienes o servicios adicionales a la obra pública de infraestructura de transporte. Esto implica que: i) la actividad que se requiere, si bien es una labor de obra, no está relacionada con la infraestructura de transporte, por ejemplo, la construcción de un parque cerca de la vía, y </w:t>
      </w:r>
      <w:proofErr w:type="spellStart"/>
      <w:r w:rsidR="00F60B77" w:rsidRPr="00C1373A">
        <w:rPr>
          <w:rStyle w:val="normaltextrun"/>
          <w:rFonts w:ascii="Arial" w:hAnsi="Arial" w:cs="Arial"/>
          <w:color w:val="000000"/>
          <w:sz w:val="22"/>
          <w:szCs w:val="22"/>
          <w:shd w:val="clear" w:color="auto" w:fill="FFFFFF"/>
          <w:lang w:val="es-ES"/>
        </w:rPr>
        <w:t>ii</w:t>
      </w:r>
      <w:proofErr w:type="spellEnd"/>
      <w:r w:rsidR="00F60B77" w:rsidRPr="00C1373A">
        <w:rPr>
          <w:rStyle w:val="normaltextrun"/>
          <w:rFonts w:ascii="Arial" w:hAnsi="Arial" w:cs="Arial"/>
          <w:color w:val="000000"/>
          <w:sz w:val="22"/>
          <w:szCs w:val="22"/>
          <w:shd w:val="clear" w:color="auto" w:fill="FFFFFF"/>
          <w:lang w:val="es-ES"/>
        </w:rPr>
        <w:t xml:space="preserve">) el bien o servicio adicional es distinto a la actividad principal, aun cuando se relaciona con la infraestructura de transporte, </w:t>
      </w:r>
      <w:r w:rsidR="00F60B77" w:rsidRPr="00C1373A">
        <w:rPr>
          <w:rStyle w:val="normaltextrun"/>
          <w:rFonts w:ascii="Arial" w:hAnsi="Arial" w:cs="Arial"/>
          <w:i/>
          <w:iCs/>
          <w:color w:val="000000"/>
          <w:sz w:val="22"/>
          <w:szCs w:val="22"/>
          <w:shd w:val="clear" w:color="auto" w:fill="FFFFFF"/>
          <w:lang w:val="es-ES"/>
        </w:rPr>
        <w:t>v. gr</w:t>
      </w:r>
      <w:r w:rsidR="00F60B77" w:rsidRPr="00C1373A">
        <w:rPr>
          <w:rStyle w:val="normaltextrun"/>
          <w:rFonts w:ascii="Arial" w:hAnsi="Arial" w:cs="Arial"/>
          <w:color w:val="000000"/>
          <w:sz w:val="22"/>
          <w:szCs w:val="22"/>
          <w:shd w:val="clear" w:color="auto" w:fill="FFFFFF"/>
          <w:lang w:val="es-ES"/>
        </w:rPr>
        <w:t>., 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r w:rsidR="00F60B77" w:rsidRPr="00C1373A">
        <w:rPr>
          <w:rFonts w:ascii="Arial" w:eastAsia="Calibri" w:hAnsi="Arial" w:cs="Arial"/>
          <w:sz w:val="22"/>
          <w:szCs w:val="22"/>
        </w:rPr>
        <w:t xml:space="preserve">. </w:t>
      </w:r>
    </w:p>
    <w:p w14:paraId="68CCC0EF" w14:textId="494D87C7" w:rsidR="00F60B77" w:rsidRPr="00C1373A" w:rsidRDefault="00F60B77" w:rsidP="00F60B77">
      <w:pPr>
        <w:spacing w:before="120" w:after="120" w:line="276" w:lineRule="auto"/>
        <w:ind w:firstLine="709"/>
        <w:jc w:val="both"/>
        <w:rPr>
          <w:rFonts w:ascii="Arial" w:eastAsia="Calibri" w:hAnsi="Arial" w:cs="Arial"/>
          <w:sz w:val="22"/>
          <w:szCs w:val="22"/>
          <w:lang w:val="es-MX"/>
        </w:rPr>
      </w:pPr>
      <w:r w:rsidRPr="00C1373A">
        <w:rPr>
          <w:rFonts w:ascii="Arial" w:eastAsia="Calibri" w:hAnsi="Arial" w:cs="Arial"/>
          <w:sz w:val="22"/>
          <w:szCs w:val="22"/>
          <w:lang w:val="es-MX"/>
        </w:rPr>
        <w:t xml:space="preserve">Además de lo anterior, debe tenerse presente la regla de la inalterabilidad de los </w:t>
      </w:r>
      <w:r w:rsidR="00E7088F" w:rsidRPr="00E7088F">
        <w:rPr>
          <w:rFonts w:ascii="Arial" w:eastAsia="Calibri" w:hAnsi="Arial" w:cs="Arial"/>
          <w:sz w:val="22"/>
          <w:szCs w:val="22"/>
          <w:lang w:val="es-MX"/>
        </w:rPr>
        <w:t>documentos tipo</w:t>
      </w:r>
      <w:r w:rsidRPr="00C1373A">
        <w:rPr>
          <w:rFonts w:ascii="Arial" w:eastAsia="Calibri" w:hAnsi="Arial" w:cs="Arial"/>
          <w:sz w:val="22"/>
          <w:szCs w:val="22"/>
          <w:lang w:val="es-MX"/>
        </w:rPr>
        <w:t xml:space="preserve">, </w:t>
      </w:r>
      <w:r w:rsidR="00E7088F">
        <w:rPr>
          <w:rFonts w:ascii="Arial" w:eastAsia="Calibri" w:hAnsi="Arial" w:cs="Arial"/>
          <w:sz w:val="22"/>
          <w:szCs w:val="22"/>
          <w:lang w:val="es-MX"/>
        </w:rPr>
        <w:t>la cual</w:t>
      </w:r>
      <w:r w:rsidRPr="00C1373A">
        <w:rPr>
          <w:rFonts w:ascii="Arial" w:eastAsia="Calibri" w:hAnsi="Arial" w:cs="Arial"/>
          <w:sz w:val="22"/>
          <w:szCs w:val="22"/>
          <w:lang w:val="es-MX"/>
        </w:rPr>
        <w:t xml:space="preserve"> se fundamenta el artículo 3 de las Resoluciones 240</w:t>
      </w:r>
      <w:r w:rsidR="00C27777">
        <w:rPr>
          <w:rFonts w:ascii="Arial" w:eastAsia="Calibri" w:hAnsi="Arial" w:cs="Arial"/>
          <w:sz w:val="22"/>
          <w:szCs w:val="22"/>
          <w:lang w:val="es-MX"/>
        </w:rPr>
        <w:t xml:space="preserve"> y 241</w:t>
      </w:r>
      <w:r w:rsidRPr="00C1373A">
        <w:rPr>
          <w:rFonts w:ascii="Arial" w:eastAsia="Calibri" w:hAnsi="Arial" w:cs="Arial"/>
          <w:sz w:val="22"/>
          <w:szCs w:val="22"/>
          <w:lang w:val="es-MX"/>
        </w:rPr>
        <w:t xml:space="preserve"> de 2020,</w:t>
      </w:r>
      <w:r w:rsidR="00C27777">
        <w:rPr>
          <w:rFonts w:ascii="Arial" w:eastAsia="Calibri" w:hAnsi="Arial" w:cs="Arial"/>
          <w:sz w:val="22"/>
          <w:szCs w:val="22"/>
          <w:lang w:val="es-MX"/>
        </w:rPr>
        <w:t xml:space="preserve"> </w:t>
      </w:r>
      <w:r w:rsidR="00663E11">
        <w:rPr>
          <w:rFonts w:ascii="Arial" w:eastAsia="Calibri" w:hAnsi="Arial" w:cs="Arial"/>
          <w:sz w:val="22"/>
          <w:szCs w:val="22"/>
          <w:lang w:val="es-MX"/>
        </w:rPr>
        <w:t xml:space="preserve">así como en el artículo 2 de la Resolución </w:t>
      </w:r>
      <w:r w:rsidR="004F0A35">
        <w:rPr>
          <w:rFonts w:ascii="Arial" w:eastAsia="Calibri" w:hAnsi="Arial" w:cs="Arial"/>
          <w:sz w:val="22"/>
          <w:szCs w:val="22"/>
          <w:lang w:val="es-MX"/>
        </w:rPr>
        <w:t>094 de 2020</w:t>
      </w:r>
      <w:r w:rsidRPr="00C1373A">
        <w:rPr>
          <w:rFonts w:ascii="Arial" w:eastAsia="Calibri" w:hAnsi="Arial" w:cs="Arial"/>
          <w:sz w:val="22"/>
          <w:szCs w:val="22"/>
          <w:lang w:val="es-MX"/>
        </w:rPr>
        <w:t xml:space="preserve">. La norma citada dispone que las entidades contratantes no podrán incluir o modificar dentro de los documentos del proceso las condiciones habilitantes, los factores técnicos y económicos de escogencia y los sistemas de ponderación señalados en los documentos tipo. </w:t>
      </w:r>
      <w:r w:rsidRPr="00C1373A">
        <w:rPr>
          <w:rFonts w:ascii="Arial" w:eastAsia="Calibri" w:hAnsi="Arial" w:cs="Arial"/>
          <w:sz w:val="22"/>
          <w:szCs w:val="22"/>
        </w:rPr>
        <w:t>En consecuencia, las entidades estatales al adelantar sus procedimientos de selección solo podrán modificarlos en los aspectos en que los documentos tipo lo permitan.</w:t>
      </w:r>
    </w:p>
    <w:bookmarkEnd w:id="2"/>
    <w:p w14:paraId="12126CEA" w14:textId="43C3EC3D" w:rsidR="00F60B77" w:rsidRPr="00C1373A" w:rsidRDefault="00F60B77" w:rsidP="00F60B77">
      <w:pPr>
        <w:spacing w:line="276" w:lineRule="auto"/>
        <w:ind w:firstLine="709"/>
        <w:jc w:val="both"/>
        <w:rPr>
          <w:rFonts w:ascii="Arial" w:eastAsia="Calibri" w:hAnsi="Arial" w:cs="Arial"/>
          <w:sz w:val="22"/>
          <w:szCs w:val="22"/>
        </w:rPr>
      </w:pPr>
      <w:r w:rsidRPr="00C1373A">
        <w:rPr>
          <w:rFonts w:ascii="Arial" w:eastAsia="Calibri" w:hAnsi="Arial" w:cs="Arial"/>
          <w:sz w:val="22"/>
          <w:szCs w:val="22"/>
          <w:lang w:val="es-MX"/>
        </w:rPr>
        <w:t xml:space="preserve">Adicionalmente,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último de acuerdo con su necesidad y las instrucciones que precise el pliego. </w:t>
      </w:r>
      <w:r w:rsidRPr="00C1373A">
        <w:rPr>
          <w:rFonts w:ascii="Arial" w:eastAsia="Arial" w:hAnsi="Arial" w:cs="Arial"/>
          <w:sz w:val="22"/>
          <w:szCs w:val="22"/>
          <w:lang w:val="es-ES"/>
        </w:rPr>
        <w:t>Por tanto, para solicitar experiencia</w:t>
      </w:r>
      <w:r w:rsidRPr="00C1373A">
        <w:rPr>
          <w:rFonts w:ascii="Arial" w:eastAsia="Arial" w:hAnsi="Arial" w:cs="Arial"/>
          <w:spacing w:val="-6"/>
          <w:sz w:val="22"/>
          <w:szCs w:val="22"/>
          <w:lang w:val="es-ES"/>
        </w:rPr>
        <w:t xml:space="preserve"> </w:t>
      </w:r>
      <w:r w:rsidRPr="00C1373A">
        <w:rPr>
          <w:rFonts w:ascii="Arial" w:eastAsia="Arial" w:hAnsi="Arial" w:cs="Arial"/>
          <w:sz w:val="22"/>
          <w:szCs w:val="22"/>
          <w:lang w:val="es-ES"/>
        </w:rPr>
        <w:t>frente</w:t>
      </w:r>
      <w:r w:rsidRPr="00C1373A">
        <w:rPr>
          <w:rFonts w:ascii="Arial" w:eastAsia="Arial" w:hAnsi="Arial" w:cs="Arial"/>
          <w:spacing w:val="-5"/>
          <w:sz w:val="22"/>
          <w:szCs w:val="22"/>
          <w:lang w:val="es-ES"/>
        </w:rPr>
        <w:t xml:space="preserve"> </w:t>
      </w:r>
      <w:r w:rsidRPr="00C1373A">
        <w:rPr>
          <w:rFonts w:ascii="Arial" w:eastAsia="Arial" w:hAnsi="Arial" w:cs="Arial"/>
          <w:sz w:val="22"/>
          <w:szCs w:val="22"/>
          <w:lang w:val="es-ES"/>
        </w:rPr>
        <w:t>a</w:t>
      </w:r>
      <w:r w:rsidRPr="00C1373A">
        <w:rPr>
          <w:rFonts w:ascii="Arial" w:eastAsia="Arial" w:hAnsi="Arial" w:cs="Arial"/>
          <w:spacing w:val="-5"/>
          <w:sz w:val="22"/>
          <w:szCs w:val="22"/>
          <w:lang w:val="es-ES"/>
        </w:rPr>
        <w:t xml:space="preserve"> </w:t>
      </w:r>
      <w:r w:rsidRPr="00C1373A">
        <w:rPr>
          <w:rFonts w:ascii="Arial" w:eastAsia="Arial" w:hAnsi="Arial" w:cs="Arial"/>
          <w:sz w:val="22"/>
          <w:szCs w:val="22"/>
          <w:lang w:val="es-ES"/>
        </w:rPr>
        <w:t>bienes</w:t>
      </w:r>
      <w:r w:rsidRPr="00C1373A">
        <w:rPr>
          <w:rFonts w:ascii="Arial" w:eastAsia="Arial" w:hAnsi="Arial" w:cs="Arial"/>
          <w:spacing w:val="-6"/>
          <w:sz w:val="22"/>
          <w:szCs w:val="22"/>
          <w:lang w:val="es-ES"/>
        </w:rPr>
        <w:t xml:space="preserve"> </w:t>
      </w:r>
      <w:r w:rsidRPr="00C1373A">
        <w:rPr>
          <w:rFonts w:ascii="Arial" w:eastAsia="Arial" w:hAnsi="Arial" w:cs="Arial"/>
          <w:sz w:val="22"/>
          <w:szCs w:val="22"/>
          <w:lang w:val="es-ES"/>
        </w:rPr>
        <w:t>o</w:t>
      </w:r>
      <w:r w:rsidRPr="00C1373A">
        <w:rPr>
          <w:rFonts w:ascii="Arial" w:eastAsia="Arial" w:hAnsi="Arial" w:cs="Arial"/>
          <w:spacing w:val="-5"/>
          <w:sz w:val="22"/>
          <w:szCs w:val="22"/>
          <w:lang w:val="es-ES"/>
        </w:rPr>
        <w:t xml:space="preserve"> </w:t>
      </w:r>
      <w:r w:rsidRPr="00C1373A">
        <w:rPr>
          <w:rFonts w:ascii="Arial" w:eastAsia="Arial" w:hAnsi="Arial" w:cs="Arial"/>
          <w:sz w:val="22"/>
          <w:szCs w:val="22"/>
          <w:lang w:val="es-ES"/>
        </w:rPr>
        <w:t>servicios</w:t>
      </w:r>
      <w:r w:rsidRPr="00C1373A">
        <w:rPr>
          <w:rFonts w:ascii="Arial" w:eastAsia="Arial" w:hAnsi="Arial" w:cs="Arial"/>
          <w:spacing w:val="-6"/>
          <w:sz w:val="22"/>
          <w:szCs w:val="22"/>
          <w:lang w:val="es-ES"/>
        </w:rPr>
        <w:t xml:space="preserve"> </w:t>
      </w:r>
      <w:r w:rsidRPr="00C1373A">
        <w:rPr>
          <w:rFonts w:ascii="Arial" w:eastAsia="Arial" w:hAnsi="Arial" w:cs="Arial"/>
          <w:sz w:val="22"/>
          <w:szCs w:val="22"/>
          <w:lang w:val="es-ES"/>
        </w:rPr>
        <w:t>adicionales</w:t>
      </w:r>
      <w:r w:rsidRPr="00C1373A">
        <w:rPr>
          <w:rFonts w:ascii="Arial" w:eastAsia="Arial" w:hAnsi="Arial" w:cs="Arial"/>
          <w:spacing w:val="-6"/>
          <w:sz w:val="22"/>
          <w:szCs w:val="22"/>
          <w:lang w:val="es-ES"/>
        </w:rPr>
        <w:t xml:space="preserve"> </w:t>
      </w:r>
      <w:r w:rsidRPr="00C1373A">
        <w:rPr>
          <w:rFonts w:ascii="Arial" w:eastAsia="Arial" w:hAnsi="Arial" w:cs="Arial"/>
          <w:sz w:val="22"/>
          <w:szCs w:val="22"/>
          <w:lang w:val="es-ES"/>
        </w:rPr>
        <w:t>que</w:t>
      </w:r>
      <w:r w:rsidRPr="00C1373A">
        <w:rPr>
          <w:rFonts w:ascii="Arial" w:eastAsia="Arial" w:hAnsi="Arial" w:cs="Arial"/>
          <w:spacing w:val="-5"/>
          <w:sz w:val="22"/>
          <w:szCs w:val="22"/>
          <w:lang w:val="es-ES"/>
        </w:rPr>
        <w:t xml:space="preserve"> </w:t>
      </w:r>
      <w:r w:rsidRPr="00C1373A">
        <w:rPr>
          <w:rFonts w:ascii="Arial" w:eastAsia="Arial" w:hAnsi="Arial" w:cs="Arial"/>
          <w:sz w:val="22"/>
          <w:szCs w:val="22"/>
          <w:lang w:val="es-ES"/>
        </w:rPr>
        <w:t>no</w:t>
      </w:r>
      <w:r w:rsidRPr="00C1373A">
        <w:rPr>
          <w:rFonts w:ascii="Arial" w:eastAsia="Arial" w:hAnsi="Arial" w:cs="Arial"/>
          <w:spacing w:val="-6"/>
          <w:sz w:val="22"/>
          <w:szCs w:val="22"/>
          <w:lang w:val="es-ES"/>
        </w:rPr>
        <w:t xml:space="preserve"> </w:t>
      </w:r>
      <w:r w:rsidRPr="00C1373A">
        <w:rPr>
          <w:rFonts w:ascii="Arial" w:eastAsia="Arial" w:hAnsi="Arial" w:cs="Arial"/>
          <w:sz w:val="22"/>
          <w:szCs w:val="22"/>
          <w:lang w:val="es-ES"/>
        </w:rPr>
        <w:t>se</w:t>
      </w:r>
      <w:r w:rsidRPr="00C1373A">
        <w:rPr>
          <w:rFonts w:ascii="Arial" w:eastAsia="Arial" w:hAnsi="Arial" w:cs="Arial"/>
          <w:spacing w:val="-5"/>
          <w:sz w:val="22"/>
          <w:szCs w:val="22"/>
          <w:lang w:val="es-ES"/>
        </w:rPr>
        <w:t xml:space="preserve"> </w:t>
      </w:r>
      <w:r w:rsidRPr="00C1373A">
        <w:rPr>
          <w:rFonts w:ascii="Arial" w:eastAsia="Arial" w:hAnsi="Arial" w:cs="Arial"/>
          <w:sz w:val="22"/>
          <w:szCs w:val="22"/>
          <w:lang w:val="es-ES"/>
        </w:rPr>
        <w:t>encuentren</w:t>
      </w:r>
      <w:r w:rsidRPr="00C1373A">
        <w:rPr>
          <w:rFonts w:ascii="Arial" w:eastAsia="Arial" w:hAnsi="Arial" w:cs="Arial"/>
          <w:spacing w:val="-6"/>
          <w:sz w:val="22"/>
          <w:szCs w:val="22"/>
          <w:lang w:val="es-ES"/>
        </w:rPr>
        <w:t xml:space="preserve"> </w:t>
      </w:r>
      <w:r w:rsidRPr="00C1373A">
        <w:rPr>
          <w:rFonts w:ascii="Arial" w:eastAsia="Arial" w:hAnsi="Arial" w:cs="Arial"/>
          <w:sz w:val="22"/>
          <w:szCs w:val="22"/>
          <w:lang w:val="es-ES"/>
        </w:rPr>
        <w:t>contemplados en</w:t>
      </w:r>
      <w:r w:rsidRPr="00C1373A">
        <w:rPr>
          <w:rFonts w:ascii="Arial" w:eastAsia="Arial" w:hAnsi="Arial" w:cs="Arial"/>
          <w:spacing w:val="-17"/>
          <w:sz w:val="22"/>
          <w:szCs w:val="22"/>
          <w:lang w:val="es-ES"/>
        </w:rPr>
        <w:t xml:space="preserve"> </w:t>
      </w:r>
      <w:r w:rsidRPr="00C1373A">
        <w:rPr>
          <w:rFonts w:ascii="Arial" w:eastAsia="Arial" w:hAnsi="Arial" w:cs="Arial"/>
          <w:sz w:val="22"/>
          <w:szCs w:val="22"/>
          <w:lang w:val="es-ES"/>
        </w:rPr>
        <w:t>la</w:t>
      </w:r>
      <w:r w:rsidRPr="00C1373A">
        <w:rPr>
          <w:rFonts w:ascii="Arial" w:eastAsia="Arial" w:hAnsi="Arial" w:cs="Arial"/>
          <w:spacing w:val="-17"/>
          <w:sz w:val="22"/>
          <w:szCs w:val="22"/>
          <w:lang w:val="es-ES"/>
        </w:rPr>
        <w:t xml:space="preserve"> </w:t>
      </w:r>
      <w:r w:rsidRPr="00C1373A">
        <w:rPr>
          <w:rFonts w:ascii="Arial" w:eastAsia="Arial" w:hAnsi="Arial" w:cs="Arial"/>
          <w:sz w:val="22"/>
          <w:szCs w:val="22"/>
          <w:lang w:val="es-ES"/>
        </w:rPr>
        <w:t>«Matriz</w:t>
      </w:r>
      <w:r w:rsidRPr="00C1373A">
        <w:rPr>
          <w:rFonts w:ascii="Arial" w:eastAsia="Arial" w:hAnsi="Arial" w:cs="Arial"/>
          <w:spacing w:val="-16"/>
          <w:sz w:val="22"/>
          <w:szCs w:val="22"/>
          <w:lang w:val="es-ES"/>
        </w:rPr>
        <w:t xml:space="preserve"> </w:t>
      </w:r>
      <w:r w:rsidRPr="00C1373A">
        <w:rPr>
          <w:rFonts w:ascii="Arial" w:eastAsia="Arial" w:hAnsi="Arial" w:cs="Arial"/>
          <w:sz w:val="22"/>
          <w:szCs w:val="22"/>
          <w:lang w:val="es-ES"/>
        </w:rPr>
        <w:t>1</w:t>
      </w:r>
      <w:r w:rsidRPr="00C1373A">
        <w:rPr>
          <w:rFonts w:ascii="Arial" w:eastAsia="Arial" w:hAnsi="Arial" w:cs="Arial"/>
          <w:spacing w:val="-17"/>
          <w:sz w:val="22"/>
          <w:szCs w:val="22"/>
          <w:lang w:val="es-ES"/>
        </w:rPr>
        <w:t xml:space="preserve"> </w:t>
      </w:r>
      <w:r w:rsidRPr="00C1373A">
        <w:rPr>
          <w:rFonts w:ascii="Arial" w:eastAsia="Arial" w:hAnsi="Arial" w:cs="Arial"/>
          <w:sz w:val="22"/>
          <w:szCs w:val="22"/>
          <w:lang w:val="es-ES"/>
        </w:rPr>
        <w:t>–</w:t>
      </w:r>
      <w:r w:rsidRPr="00C1373A">
        <w:rPr>
          <w:rFonts w:ascii="Arial" w:eastAsia="Arial" w:hAnsi="Arial" w:cs="Arial"/>
          <w:spacing w:val="-17"/>
          <w:sz w:val="22"/>
          <w:szCs w:val="22"/>
          <w:lang w:val="es-ES"/>
        </w:rPr>
        <w:t xml:space="preserve"> </w:t>
      </w:r>
      <w:r w:rsidRPr="00C1373A">
        <w:rPr>
          <w:rFonts w:ascii="Arial" w:eastAsia="Arial" w:hAnsi="Arial" w:cs="Arial"/>
          <w:sz w:val="22"/>
          <w:szCs w:val="22"/>
          <w:lang w:val="es-ES"/>
        </w:rPr>
        <w:t>Experiencia»,</w:t>
      </w:r>
      <w:r w:rsidRPr="00C1373A">
        <w:rPr>
          <w:rFonts w:ascii="Arial" w:eastAsia="Arial" w:hAnsi="Arial" w:cs="Arial"/>
          <w:spacing w:val="-14"/>
          <w:sz w:val="22"/>
          <w:szCs w:val="22"/>
          <w:lang w:val="es-ES"/>
        </w:rPr>
        <w:t xml:space="preserve"> </w:t>
      </w:r>
      <w:r w:rsidR="00620891" w:rsidRPr="007C15A2">
        <w:rPr>
          <w:rFonts w:ascii="Arial" w:eastAsia="Calibri" w:hAnsi="Arial" w:cs="Arial"/>
          <w:sz w:val="22"/>
          <w:szCs w:val="22"/>
        </w:rPr>
        <w:t>el literal h) del numeral 3.5.2</w:t>
      </w:r>
      <w:r w:rsidR="00620891">
        <w:rPr>
          <w:rFonts w:ascii="Arial" w:eastAsia="Calibri" w:hAnsi="Arial" w:cs="Arial"/>
          <w:sz w:val="22"/>
          <w:szCs w:val="22"/>
        </w:rPr>
        <w:t xml:space="preserve"> d</w:t>
      </w:r>
      <w:r w:rsidRPr="00C1373A">
        <w:rPr>
          <w:rFonts w:ascii="Arial" w:eastAsia="Calibri" w:hAnsi="Arial" w:cs="Arial"/>
          <w:sz w:val="22"/>
          <w:szCs w:val="22"/>
        </w:rPr>
        <w:t>el</w:t>
      </w:r>
      <w:r w:rsidR="004F0A35">
        <w:rPr>
          <w:rFonts w:ascii="Arial" w:eastAsia="Calibri" w:hAnsi="Arial" w:cs="Arial"/>
          <w:sz w:val="22"/>
          <w:szCs w:val="22"/>
        </w:rPr>
        <w:t xml:space="preserve"> pliego de condiciones</w:t>
      </w:r>
      <w:r w:rsidRPr="00C1373A">
        <w:rPr>
          <w:rFonts w:ascii="Arial" w:eastAsia="Calibri" w:hAnsi="Arial" w:cs="Arial"/>
          <w:sz w:val="22"/>
          <w:szCs w:val="22"/>
        </w:rPr>
        <w:t xml:space="preserve"> de los </w:t>
      </w:r>
      <w:r w:rsidR="004F0A35">
        <w:rPr>
          <w:rFonts w:ascii="Arial" w:eastAsia="Calibri" w:hAnsi="Arial" w:cs="Arial"/>
          <w:sz w:val="22"/>
          <w:szCs w:val="22"/>
        </w:rPr>
        <w:lastRenderedPageBreak/>
        <w:t>«</w:t>
      </w:r>
      <w:r w:rsidR="004F0A35" w:rsidRPr="004F0A35">
        <w:rPr>
          <w:rFonts w:ascii="Arial" w:eastAsia="Calibri" w:hAnsi="Arial" w:cs="Arial"/>
          <w:sz w:val="22"/>
          <w:szCs w:val="22"/>
        </w:rPr>
        <w:t>Documentos Tipo</w:t>
      </w:r>
      <w:r w:rsidR="004F0A35">
        <w:rPr>
          <w:rFonts w:ascii="Arial" w:eastAsia="Calibri" w:hAnsi="Arial" w:cs="Arial"/>
          <w:sz w:val="22"/>
          <w:szCs w:val="22"/>
        </w:rPr>
        <w:t xml:space="preserve"> – Versión 3»</w:t>
      </w:r>
      <w:r w:rsidRPr="00C1373A">
        <w:rPr>
          <w:rFonts w:ascii="Arial" w:eastAsia="Calibri" w:hAnsi="Arial" w:cs="Arial"/>
          <w:sz w:val="22"/>
          <w:szCs w:val="22"/>
        </w:rPr>
        <w:t xml:space="preserve"> de licitación de obra pública de infraestructura de transporte </w:t>
      </w:r>
      <w:r w:rsidR="009456FD">
        <w:rPr>
          <w:rFonts w:ascii="Arial" w:eastAsia="Calibri" w:hAnsi="Arial" w:cs="Arial"/>
          <w:sz w:val="22"/>
          <w:szCs w:val="22"/>
        </w:rPr>
        <w:t>dispone</w:t>
      </w:r>
      <w:r w:rsidRPr="00C1373A">
        <w:rPr>
          <w:rFonts w:ascii="Arial" w:eastAsia="Calibri" w:hAnsi="Arial" w:cs="Arial"/>
          <w:sz w:val="22"/>
          <w:szCs w:val="22"/>
        </w:rPr>
        <w:t xml:space="preserve"> lo siguiente:</w:t>
      </w:r>
    </w:p>
    <w:p w14:paraId="67E9098C" w14:textId="77777777" w:rsidR="00F60B77" w:rsidRPr="00C1373A" w:rsidRDefault="00F60B77" w:rsidP="00F60B77">
      <w:pPr>
        <w:spacing w:line="276" w:lineRule="auto"/>
        <w:ind w:firstLine="708"/>
        <w:jc w:val="both"/>
        <w:rPr>
          <w:rFonts w:ascii="Arial" w:eastAsia="Calibri" w:hAnsi="Arial" w:cs="Arial"/>
          <w:sz w:val="22"/>
          <w:szCs w:val="22"/>
        </w:rPr>
      </w:pPr>
    </w:p>
    <w:p w14:paraId="72203711" w14:textId="77777777" w:rsidR="00F60B77" w:rsidRPr="00AB0BA8" w:rsidRDefault="00F60B77" w:rsidP="00F60B77">
      <w:pPr>
        <w:spacing w:after="120"/>
        <w:ind w:left="709" w:right="709"/>
        <w:jc w:val="both"/>
        <w:rPr>
          <w:rFonts w:ascii="Arial" w:hAnsi="Arial" w:cs="Arial"/>
          <w:sz w:val="21"/>
          <w:szCs w:val="21"/>
          <w:highlight w:val="lightGray"/>
          <w:lang w:val="es-MX"/>
        </w:rPr>
      </w:pPr>
      <w:r w:rsidRPr="00AB0BA8">
        <w:rPr>
          <w:rFonts w:ascii="Arial" w:hAnsi="Arial" w:cs="Arial"/>
          <w:sz w:val="21"/>
          <w:szCs w:val="21"/>
          <w:lang w:val="es-MX"/>
        </w:rPr>
        <w:t>H. [</w:t>
      </w:r>
      <w:r w:rsidRPr="00AB0BA8">
        <w:rPr>
          <w:rFonts w:ascii="Arial" w:hAnsi="Arial" w:cs="Arial"/>
          <w:sz w:val="21"/>
          <w:szCs w:val="21"/>
          <w:highlight w:val="lightGray"/>
          <w:lang w:val="es-MX"/>
        </w:rPr>
        <w:t>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p>
    <w:p w14:paraId="58ED8701" w14:textId="77777777" w:rsidR="00F60B77" w:rsidRPr="00AB0BA8" w:rsidRDefault="00F60B77" w:rsidP="00F60B77">
      <w:pPr>
        <w:spacing w:after="120"/>
        <w:ind w:left="709" w:right="709"/>
        <w:jc w:val="both"/>
        <w:rPr>
          <w:rFonts w:ascii="Arial" w:hAnsi="Arial" w:cs="Arial"/>
          <w:sz w:val="21"/>
          <w:szCs w:val="21"/>
          <w:highlight w:val="lightGray"/>
          <w:lang w:val="es-MX"/>
        </w:rPr>
      </w:pPr>
      <w:r w:rsidRPr="00AB0BA8">
        <w:rPr>
          <w:rFonts w:ascii="Arial" w:hAnsi="Arial" w:cs="Arial"/>
          <w:sz w:val="21"/>
          <w:szCs w:val="21"/>
          <w:highlight w:val="lightGray"/>
          <w:lang w:val="es-MX"/>
        </w:rPr>
        <w:t>Conforme a esta disposición, la entidad no puede requerir experiencia adicional que incluya volúmenes o cantidades de obra específica expresadas en SMMLV]</w:t>
      </w:r>
    </w:p>
    <w:p w14:paraId="2B6106B5" w14:textId="77777777" w:rsidR="00F60B77" w:rsidRPr="00AB0BA8" w:rsidRDefault="00F60B77" w:rsidP="00C1373A">
      <w:pPr>
        <w:ind w:left="709" w:right="709"/>
        <w:jc w:val="both"/>
        <w:rPr>
          <w:rFonts w:ascii="Arial" w:hAnsi="Arial" w:cs="Arial"/>
          <w:sz w:val="21"/>
          <w:szCs w:val="21"/>
          <w:lang w:val="es-MX"/>
        </w:rPr>
      </w:pPr>
      <w:r w:rsidRPr="00AB0BA8">
        <w:rPr>
          <w:rFonts w:ascii="Arial" w:hAnsi="Arial" w:cs="Arial"/>
          <w:sz w:val="21"/>
          <w:szCs w:val="21"/>
          <w:highlight w:val="lightGray"/>
          <w:lang w:val="es-MX"/>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444B2352" w14:textId="77777777" w:rsidR="00F60B77" w:rsidRPr="00C1373A" w:rsidRDefault="00F60B77" w:rsidP="00F60B77">
      <w:pPr>
        <w:spacing w:line="276" w:lineRule="auto"/>
        <w:ind w:right="709"/>
        <w:jc w:val="both"/>
        <w:rPr>
          <w:rFonts w:ascii="Arial" w:eastAsia="Calibri" w:hAnsi="Arial" w:cs="Arial"/>
          <w:sz w:val="22"/>
          <w:szCs w:val="22"/>
        </w:rPr>
      </w:pPr>
    </w:p>
    <w:p w14:paraId="1196EB44" w14:textId="75DABA19" w:rsidR="00F60B77" w:rsidRPr="00C1373A" w:rsidRDefault="00F60B77" w:rsidP="00C1373A">
      <w:pPr>
        <w:widowControl w:val="0"/>
        <w:autoSpaceDE w:val="0"/>
        <w:autoSpaceDN w:val="0"/>
        <w:spacing w:after="120" w:line="276" w:lineRule="auto"/>
        <w:ind w:firstLine="709"/>
        <w:jc w:val="both"/>
        <w:rPr>
          <w:rFonts w:ascii="Arial" w:eastAsia="Arial" w:hAnsi="Arial" w:cs="Arial"/>
          <w:sz w:val="22"/>
          <w:szCs w:val="22"/>
          <w:lang w:val="es-ES"/>
        </w:rPr>
      </w:pPr>
      <w:r w:rsidRPr="00C1373A">
        <w:rPr>
          <w:rFonts w:ascii="Arial" w:eastAsia="Arial" w:hAnsi="Arial" w:cs="Arial"/>
          <w:sz w:val="22"/>
          <w:szCs w:val="22"/>
          <w:lang w:val="es-ES"/>
        </w:rPr>
        <w:t>De</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esta</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manera,</w:t>
      </w:r>
      <w:r w:rsidRPr="00C1373A">
        <w:rPr>
          <w:rFonts w:ascii="Arial" w:eastAsia="Arial" w:hAnsi="Arial" w:cs="Arial"/>
          <w:spacing w:val="-11"/>
          <w:sz w:val="22"/>
          <w:szCs w:val="22"/>
          <w:lang w:val="es-ES"/>
        </w:rPr>
        <w:t xml:space="preserve"> </w:t>
      </w:r>
      <w:r w:rsidRPr="00C1373A">
        <w:rPr>
          <w:rFonts w:ascii="Arial" w:eastAsia="Arial" w:hAnsi="Arial" w:cs="Arial"/>
          <w:sz w:val="22"/>
          <w:szCs w:val="22"/>
          <w:lang w:val="es-ES"/>
        </w:rPr>
        <w:t>la</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regla</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general</w:t>
      </w:r>
      <w:r w:rsidRPr="00C1373A">
        <w:rPr>
          <w:rFonts w:ascii="Arial" w:eastAsia="Arial" w:hAnsi="Arial" w:cs="Arial"/>
          <w:spacing w:val="-11"/>
          <w:sz w:val="22"/>
          <w:szCs w:val="22"/>
          <w:lang w:val="es-ES"/>
        </w:rPr>
        <w:t xml:space="preserve"> </w:t>
      </w:r>
      <w:r w:rsidRPr="00C1373A">
        <w:rPr>
          <w:rFonts w:ascii="Arial" w:eastAsia="Arial" w:hAnsi="Arial" w:cs="Arial"/>
          <w:sz w:val="22"/>
          <w:szCs w:val="22"/>
          <w:lang w:val="es-ES"/>
        </w:rPr>
        <w:t>frente</w:t>
      </w:r>
      <w:r w:rsidRPr="00C1373A">
        <w:rPr>
          <w:rFonts w:ascii="Arial" w:eastAsia="Arial" w:hAnsi="Arial" w:cs="Arial"/>
          <w:spacing w:val="-11"/>
          <w:sz w:val="22"/>
          <w:szCs w:val="22"/>
          <w:lang w:val="es-ES"/>
        </w:rPr>
        <w:t xml:space="preserve"> </w:t>
      </w:r>
      <w:r w:rsidRPr="00C1373A">
        <w:rPr>
          <w:rFonts w:ascii="Arial" w:eastAsia="Arial" w:hAnsi="Arial" w:cs="Arial"/>
          <w:sz w:val="22"/>
          <w:szCs w:val="22"/>
          <w:lang w:val="es-ES"/>
        </w:rPr>
        <w:t>a</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la</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aplicación</w:t>
      </w:r>
      <w:r w:rsidRPr="00C1373A">
        <w:rPr>
          <w:rFonts w:ascii="Arial" w:eastAsia="Arial" w:hAnsi="Arial" w:cs="Arial"/>
          <w:spacing w:val="-11"/>
          <w:sz w:val="22"/>
          <w:szCs w:val="22"/>
          <w:lang w:val="es-ES"/>
        </w:rPr>
        <w:t xml:space="preserve"> </w:t>
      </w:r>
      <w:r w:rsidRPr="00C1373A">
        <w:rPr>
          <w:rFonts w:ascii="Arial" w:eastAsia="Arial" w:hAnsi="Arial" w:cs="Arial"/>
          <w:sz w:val="22"/>
          <w:szCs w:val="22"/>
          <w:lang w:val="es-ES"/>
        </w:rPr>
        <w:t>del</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documento</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base</w:t>
      </w:r>
      <w:r w:rsidRPr="00C1373A">
        <w:rPr>
          <w:rFonts w:ascii="Arial" w:eastAsia="Arial" w:hAnsi="Arial" w:cs="Arial"/>
          <w:spacing w:val="-11"/>
          <w:sz w:val="22"/>
          <w:szCs w:val="22"/>
          <w:lang w:val="es-ES"/>
        </w:rPr>
        <w:t xml:space="preserve"> </w:t>
      </w:r>
      <w:r w:rsidRPr="00C1373A">
        <w:rPr>
          <w:rFonts w:ascii="Arial" w:eastAsia="Arial" w:hAnsi="Arial" w:cs="Arial"/>
          <w:sz w:val="22"/>
          <w:szCs w:val="22"/>
          <w:lang w:val="es-ES"/>
        </w:rPr>
        <w:t>es</w:t>
      </w:r>
      <w:r w:rsidRPr="00C1373A">
        <w:rPr>
          <w:rFonts w:ascii="Arial" w:eastAsia="Arial" w:hAnsi="Arial" w:cs="Arial"/>
          <w:spacing w:val="-12"/>
          <w:sz w:val="22"/>
          <w:szCs w:val="22"/>
          <w:lang w:val="es-ES"/>
        </w:rPr>
        <w:t xml:space="preserve"> </w:t>
      </w:r>
      <w:r w:rsidRPr="00C1373A">
        <w:rPr>
          <w:rFonts w:ascii="Arial" w:eastAsia="Arial" w:hAnsi="Arial" w:cs="Arial"/>
          <w:sz w:val="22"/>
          <w:szCs w:val="22"/>
          <w:lang w:val="es-ES"/>
        </w:rPr>
        <w:t xml:space="preserve">su inalterabilidad. Por lo tanto, no se podrán incluir o modificar dentro de los documentos del proceso las condiciones habilitantes, los factores técnicos y económicos de escogencia y los sistemas </w:t>
      </w:r>
      <w:r w:rsidRPr="00C1373A">
        <w:rPr>
          <w:rFonts w:ascii="Arial" w:eastAsia="Calibri" w:hAnsi="Arial" w:cs="Arial"/>
          <w:color w:val="000000"/>
          <w:sz w:val="22"/>
          <w:szCs w:val="22"/>
          <w:lang w:val="es-ES_tradnl" w:eastAsia="es-ES"/>
        </w:rPr>
        <w:t>de ponderación señalados en los documentos tipo, salvo lo previsto en el artículo 4 de las Resoluciones 240</w:t>
      </w:r>
      <w:r w:rsidR="005F2015">
        <w:rPr>
          <w:rFonts w:ascii="Arial" w:eastAsia="Calibri" w:hAnsi="Arial" w:cs="Arial"/>
          <w:color w:val="000000"/>
          <w:sz w:val="22"/>
          <w:szCs w:val="22"/>
          <w:lang w:val="es-ES_tradnl" w:eastAsia="es-ES"/>
        </w:rPr>
        <w:t xml:space="preserve"> y 241</w:t>
      </w:r>
      <w:r w:rsidRPr="00C1373A">
        <w:rPr>
          <w:rFonts w:ascii="Arial" w:eastAsia="Calibri" w:hAnsi="Arial" w:cs="Arial"/>
          <w:color w:val="000000"/>
          <w:sz w:val="22"/>
          <w:szCs w:val="22"/>
          <w:lang w:val="es-ES_tradnl" w:eastAsia="es-ES"/>
        </w:rPr>
        <w:t xml:space="preserve"> de 2020</w:t>
      </w:r>
      <w:r w:rsidR="005F2015">
        <w:rPr>
          <w:rFonts w:ascii="Arial" w:eastAsia="Calibri" w:hAnsi="Arial" w:cs="Arial"/>
          <w:color w:val="000000"/>
          <w:sz w:val="22"/>
          <w:szCs w:val="22"/>
          <w:lang w:val="es-ES_tradnl" w:eastAsia="es-ES"/>
        </w:rPr>
        <w:t>,</w:t>
      </w:r>
      <w:r w:rsidR="006E4887">
        <w:rPr>
          <w:rFonts w:ascii="Arial" w:eastAsia="Calibri" w:hAnsi="Arial" w:cs="Arial"/>
          <w:color w:val="000000"/>
          <w:sz w:val="22"/>
          <w:szCs w:val="22"/>
          <w:lang w:val="es-ES_tradnl" w:eastAsia="es-ES"/>
        </w:rPr>
        <w:t xml:space="preserve"> así como el artículo </w:t>
      </w:r>
      <w:r w:rsidR="006E4887" w:rsidRPr="003D53B9">
        <w:rPr>
          <w:rFonts w:ascii="Arial" w:eastAsia="Calibri" w:hAnsi="Arial" w:cs="Arial"/>
          <w:color w:val="000000"/>
          <w:sz w:val="22"/>
          <w:szCs w:val="22"/>
          <w:lang w:val="es-ES_tradnl" w:eastAsia="es-ES"/>
        </w:rPr>
        <w:t>2.2.1.2.6.3.5</w:t>
      </w:r>
      <w:r w:rsidR="006E4887">
        <w:rPr>
          <w:rFonts w:ascii="Arial" w:eastAsia="Calibri" w:hAnsi="Arial" w:cs="Arial"/>
          <w:color w:val="000000"/>
          <w:sz w:val="22"/>
          <w:szCs w:val="22"/>
          <w:lang w:val="es-ES_tradnl" w:eastAsia="es-ES"/>
        </w:rPr>
        <w:t xml:space="preserve"> del Decreto 1082 de 2015</w:t>
      </w:r>
      <w:r w:rsidRPr="00C1373A">
        <w:rPr>
          <w:rFonts w:ascii="Arial" w:eastAsia="Calibri" w:hAnsi="Arial" w:cs="Arial"/>
          <w:color w:val="000000"/>
          <w:sz w:val="22"/>
          <w:szCs w:val="22"/>
          <w:lang w:val="es-ES_tradnl" w:eastAsia="es-ES"/>
        </w:rPr>
        <w:t>. Por tanto, si el objeto contractual incluye bienes o servicios ajenos a la obra pública de infraestructura de transporte, de allí solo se deriva que podrá incluirse la experiencia adicional que se considere conveniente, atendiendo a las reglas cada uno de los actos administrativos citados.</w:t>
      </w:r>
    </w:p>
    <w:p w14:paraId="7DE6629A" w14:textId="445DF618" w:rsidR="002943BE" w:rsidRPr="00667150" w:rsidRDefault="00AF4401" w:rsidP="00C1373A">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Sin perjuicio de lo anterior, es necesario tener en cuenta que l</w:t>
      </w:r>
      <w:r w:rsidR="002943BE" w:rsidRPr="00667150">
        <w:rPr>
          <w:rFonts w:ascii="Arial" w:hAnsi="Arial" w:cs="Arial"/>
          <w:color w:val="000000" w:themeColor="text1"/>
          <w:sz w:val="22"/>
        </w:rPr>
        <w:t>as actividades de mantenimiento sobre bienes inmuebles, se encuentran en principio comprendidas dentro de los posibles objetos del contrato de obra pública definido por el</w:t>
      </w:r>
      <w:r w:rsidR="00BA25BB">
        <w:rPr>
          <w:rFonts w:ascii="Arial" w:hAnsi="Arial" w:cs="Arial"/>
          <w:color w:val="000000" w:themeColor="text1"/>
          <w:sz w:val="22"/>
        </w:rPr>
        <w:t xml:space="preserve"> artículo </w:t>
      </w:r>
      <w:r w:rsidR="002943BE" w:rsidRPr="00667150">
        <w:rPr>
          <w:rFonts w:ascii="Arial" w:hAnsi="Arial" w:cs="Arial"/>
          <w:color w:val="000000" w:themeColor="text1"/>
          <w:sz w:val="22"/>
        </w:rPr>
        <w:t>32</w:t>
      </w:r>
      <w:r w:rsidR="00BA25BB">
        <w:rPr>
          <w:rFonts w:ascii="Arial" w:hAnsi="Arial" w:cs="Arial"/>
          <w:color w:val="000000" w:themeColor="text1"/>
          <w:sz w:val="22"/>
        </w:rPr>
        <w:t>.1</w:t>
      </w:r>
      <w:r w:rsidR="002943BE" w:rsidRPr="00667150">
        <w:rPr>
          <w:rFonts w:ascii="Arial" w:hAnsi="Arial" w:cs="Arial"/>
          <w:color w:val="000000" w:themeColor="text1"/>
          <w:sz w:val="22"/>
        </w:rPr>
        <w:t xml:space="preserve"> de la Ley 80 de 1993</w:t>
      </w:r>
      <w:r w:rsidR="00BA25BB">
        <w:rPr>
          <w:rStyle w:val="Refdenotaalpie"/>
          <w:rFonts w:ascii="Arial" w:hAnsi="Arial" w:cs="Arial"/>
          <w:color w:val="000000" w:themeColor="text1"/>
          <w:sz w:val="22"/>
        </w:rPr>
        <w:footnoteReference w:id="6"/>
      </w:r>
      <w:r w:rsidR="002943BE" w:rsidRPr="00667150">
        <w:rPr>
          <w:rFonts w:ascii="Arial" w:hAnsi="Arial" w:cs="Arial"/>
          <w:color w:val="000000" w:themeColor="text1"/>
          <w:sz w:val="22"/>
        </w:rPr>
        <w:t xml:space="preserve">. En ese sentido, el hecho de que no se realicen actividades de construcción, no desvirtúa la naturaleza del contrato, al ser el mantenimiento una </w:t>
      </w:r>
      <w:r w:rsidR="002943BE">
        <w:rPr>
          <w:rFonts w:ascii="Arial" w:hAnsi="Arial" w:cs="Arial"/>
          <w:color w:val="000000" w:themeColor="text1"/>
          <w:sz w:val="22"/>
        </w:rPr>
        <w:t xml:space="preserve">de </w:t>
      </w:r>
      <w:r w:rsidR="002943BE" w:rsidRPr="00667150">
        <w:rPr>
          <w:rFonts w:ascii="Arial" w:hAnsi="Arial" w:cs="Arial"/>
          <w:color w:val="000000" w:themeColor="text1"/>
          <w:sz w:val="22"/>
        </w:rPr>
        <w:t>las actividades propias de la ejecución de los contratos de obra pública.</w:t>
      </w:r>
    </w:p>
    <w:p w14:paraId="0A61AEFA" w14:textId="69F659B8" w:rsidR="002943BE" w:rsidRPr="00667150" w:rsidRDefault="002943BE" w:rsidP="002943BE">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t xml:space="preserve">Ahora bien, en los numerales </w:t>
      </w:r>
      <w:r>
        <w:rPr>
          <w:rFonts w:ascii="Arial" w:hAnsi="Arial" w:cs="Arial"/>
          <w:color w:val="000000" w:themeColor="text1"/>
          <w:sz w:val="22"/>
        </w:rPr>
        <w:t>1.3</w:t>
      </w:r>
      <w:r w:rsidRPr="00667150">
        <w:rPr>
          <w:rFonts w:ascii="Arial" w:hAnsi="Arial" w:cs="Arial"/>
          <w:color w:val="000000" w:themeColor="text1"/>
          <w:sz w:val="22"/>
        </w:rPr>
        <w:t xml:space="preserve"> y </w:t>
      </w:r>
      <w:r>
        <w:rPr>
          <w:rFonts w:ascii="Arial" w:hAnsi="Arial" w:cs="Arial"/>
          <w:color w:val="000000" w:themeColor="text1"/>
          <w:sz w:val="22"/>
        </w:rPr>
        <w:t>2.3</w:t>
      </w:r>
      <w:r w:rsidRPr="00667150">
        <w:rPr>
          <w:rFonts w:ascii="Arial" w:hAnsi="Arial" w:cs="Arial"/>
          <w:color w:val="000000" w:themeColor="text1"/>
          <w:sz w:val="22"/>
        </w:rPr>
        <w:t xml:space="preserve"> de la </w:t>
      </w:r>
      <w:r>
        <w:rPr>
          <w:rFonts w:ascii="Arial" w:hAnsi="Arial" w:cs="Arial"/>
          <w:color w:val="000000" w:themeColor="text1"/>
          <w:sz w:val="22"/>
        </w:rPr>
        <w:t>m</w:t>
      </w:r>
      <w:r w:rsidRPr="00667150">
        <w:rPr>
          <w:rFonts w:ascii="Arial" w:hAnsi="Arial" w:cs="Arial"/>
          <w:color w:val="000000" w:themeColor="text1"/>
          <w:sz w:val="22"/>
        </w:rPr>
        <w:t>atriz 1</w:t>
      </w:r>
      <w:r>
        <w:rPr>
          <w:rFonts w:ascii="Arial" w:hAnsi="Arial" w:cs="Arial"/>
          <w:color w:val="000000" w:themeColor="text1"/>
          <w:sz w:val="22"/>
        </w:rPr>
        <w:t xml:space="preserve"> de experiencia para los procesos de </w:t>
      </w:r>
      <w:r w:rsidR="00793CA3">
        <w:rPr>
          <w:rFonts w:ascii="Arial" w:hAnsi="Arial" w:cs="Arial"/>
          <w:color w:val="000000" w:themeColor="text1"/>
          <w:sz w:val="22"/>
        </w:rPr>
        <w:t>licitación, se</w:t>
      </w:r>
      <w:r w:rsidR="00551F4C">
        <w:rPr>
          <w:rFonts w:ascii="Arial" w:hAnsi="Arial" w:cs="Arial"/>
          <w:color w:val="000000" w:themeColor="text1"/>
          <w:sz w:val="22"/>
        </w:rPr>
        <w:t>lección abreviada de menor cuantía y mínima cuantía</w:t>
      </w:r>
      <w:r w:rsidRPr="00667150">
        <w:rPr>
          <w:rFonts w:ascii="Arial" w:hAnsi="Arial" w:cs="Arial"/>
          <w:color w:val="000000" w:themeColor="text1"/>
          <w:sz w:val="22"/>
        </w:rPr>
        <w:t xml:space="preserve"> se hace referencia al mantenimiento de vías </w:t>
      </w:r>
      <w:r>
        <w:rPr>
          <w:rFonts w:ascii="Arial" w:hAnsi="Arial" w:cs="Arial"/>
          <w:color w:val="000000" w:themeColor="text1"/>
          <w:sz w:val="22"/>
        </w:rPr>
        <w:t xml:space="preserve">primarias o </w:t>
      </w:r>
      <w:r w:rsidRPr="00667150">
        <w:rPr>
          <w:rFonts w:ascii="Arial" w:hAnsi="Arial" w:cs="Arial"/>
          <w:color w:val="000000" w:themeColor="text1"/>
          <w:sz w:val="22"/>
        </w:rPr>
        <w:t>secundarias y terciarias,</w:t>
      </w:r>
      <w:r>
        <w:rPr>
          <w:rFonts w:ascii="Arial" w:hAnsi="Arial" w:cs="Arial"/>
          <w:color w:val="000000" w:themeColor="text1"/>
          <w:sz w:val="22"/>
        </w:rPr>
        <w:t xml:space="preserve"> respectivamente,</w:t>
      </w:r>
      <w:r w:rsidRPr="00667150">
        <w:rPr>
          <w:rFonts w:ascii="Arial" w:hAnsi="Arial" w:cs="Arial"/>
          <w:color w:val="000000" w:themeColor="text1"/>
          <w:sz w:val="22"/>
        </w:rPr>
        <w:t xml:space="preserve"> por lo que en principio la contratación de estas actividades por parte de entidades sometidas al Estatuto General de Contratación de la Administración Pública estaría sometida a la </w:t>
      </w:r>
      <w:r w:rsidRPr="00667150">
        <w:rPr>
          <w:rFonts w:ascii="Arial" w:hAnsi="Arial" w:cs="Arial"/>
          <w:color w:val="000000" w:themeColor="text1"/>
          <w:sz w:val="22"/>
        </w:rPr>
        <w:lastRenderedPageBreak/>
        <w:t xml:space="preserve">aplicación de los documentos tipo de conformidad con el parágrafo 7 del artículo 2 de la Ley 1150 de 2007, adicionado por la Ley 1882 de 2018.    </w:t>
      </w:r>
    </w:p>
    <w:p w14:paraId="60825834" w14:textId="77777777" w:rsidR="002943BE" w:rsidRDefault="002943BE" w:rsidP="002943BE">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r>
      <w:r>
        <w:rPr>
          <w:rFonts w:ascii="Arial" w:hAnsi="Arial" w:cs="Arial"/>
          <w:color w:val="000000" w:themeColor="text1"/>
          <w:sz w:val="22"/>
        </w:rPr>
        <w:t>L</w:t>
      </w:r>
      <w:r w:rsidRPr="00667150">
        <w:rPr>
          <w:rFonts w:ascii="Arial" w:hAnsi="Arial" w:cs="Arial"/>
          <w:color w:val="000000" w:themeColor="text1"/>
          <w:sz w:val="22"/>
        </w:rPr>
        <w:t xml:space="preserve">a implementación de proyectos de mantenimiento involucra el desarrollo de diferentes tipos de actividades que deben realizarse de manera rutinaria o periódica sobre la infraestructura vial, a efectos de contrarrestar el deterioro ocasionado por el tránsito y los fenómenos climáticos. </w:t>
      </w:r>
      <w:r>
        <w:rPr>
          <w:rFonts w:ascii="Arial" w:hAnsi="Arial" w:cs="Arial"/>
          <w:color w:val="000000" w:themeColor="text1"/>
          <w:sz w:val="22"/>
        </w:rPr>
        <w:t xml:space="preserve">Particularmente, respecto a </w:t>
      </w:r>
      <w:r w:rsidRPr="00667150">
        <w:rPr>
          <w:rFonts w:ascii="Arial" w:hAnsi="Arial" w:cs="Arial"/>
          <w:color w:val="000000" w:themeColor="text1"/>
          <w:sz w:val="22"/>
        </w:rPr>
        <w:t>la actividad de</w:t>
      </w:r>
      <w:r w:rsidRPr="00667150">
        <w:rPr>
          <w:rFonts w:ascii="Arial" w:hAnsi="Arial" w:cs="Arial"/>
          <w:i/>
          <w:iCs/>
          <w:color w:val="000000" w:themeColor="text1"/>
          <w:sz w:val="22"/>
        </w:rPr>
        <w:t xml:space="preserve"> rocería</w:t>
      </w:r>
      <w:r w:rsidRPr="00667150">
        <w:rPr>
          <w:rFonts w:ascii="Arial" w:hAnsi="Arial" w:cs="Arial"/>
          <w:color w:val="000000" w:themeColor="text1"/>
          <w:sz w:val="22"/>
        </w:rPr>
        <w:t xml:space="preserve"> a la que hace referencia en </w:t>
      </w:r>
      <w:r>
        <w:rPr>
          <w:rFonts w:ascii="Arial" w:hAnsi="Arial" w:cs="Arial"/>
          <w:color w:val="000000" w:themeColor="text1"/>
          <w:sz w:val="22"/>
        </w:rPr>
        <w:t>la consulta, si bien no se encuentra ejemplificada en la matriz 1 de experiencia, ello no resulta de manera alguna excluyente para hacer uso de los documentos tipo</w:t>
      </w:r>
      <w:r w:rsidRPr="00667150">
        <w:rPr>
          <w:rFonts w:ascii="Arial" w:hAnsi="Arial" w:cs="Arial"/>
          <w:color w:val="000000" w:themeColor="text1"/>
          <w:sz w:val="22"/>
        </w:rPr>
        <w:t xml:space="preserve">. </w:t>
      </w:r>
    </w:p>
    <w:p w14:paraId="037EA341" w14:textId="2A0B0211" w:rsidR="002943BE" w:rsidRPr="00667150" w:rsidRDefault="002943BE" w:rsidP="002943BE">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Para establecer la procedencia de dicha actividad frente a la utilización de los documentos tipo </w:t>
      </w:r>
      <w:r w:rsidR="00CF6E82">
        <w:rPr>
          <w:rFonts w:ascii="Arial" w:hAnsi="Arial" w:cs="Arial"/>
          <w:color w:val="000000" w:themeColor="text1"/>
          <w:sz w:val="22"/>
        </w:rPr>
        <w:t>de infraestructura de transporte</w:t>
      </w:r>
      <w:r>
        <w:rPr>
          <w:rFonts w:ascii="Arial" w:hAnsi="Arial" w:cs="Arial"/>
          <w:color w:val="000000" w:themeColor="text1"/>
          <w:sz w:val="22"/>
        </w:rPr>
        <w:t xml:space="preserve"> es necesario realizar algunas apreciaciones respecto a este tipo de trabajos. </w:t>
      </w:r>
      <w:r w:rsidRPr="00667150">
        <w:rPr>
          <w:rFonts w:ascii="Arial" w:hAnsi="Arial" w:cs="Arial"/>
          <w:color w:val="000000" w:themeColor="text1"/>
          <w:sz w:val="22"/>
        </w:rPr>
        <w:t>Este término se encuentra acotado por la Real Academia Española de la Le</w:t>
      </w:r>
      <w:r>
        <w:rPr>
          <w:rFonts w:ascii="Arial" w:hAnsi="Arial" w:cs="Arial"/>
          <w:color w:val="000000" w:themeColor="text1"/>
          <w:sz w:val="22"/>
        </w:rPr>
        <w:t>n</w:t>
      </w:r>
      <w:r w:rsidRPr="00667150">
        <w:rPr>
          <w:rFonts w:ascii="Arial" w:hAnsi="Arial" w:cs="Arial"/>
          <w:color w:val="000000" w:themeColor="text1"/>
          <w:sz w:val="22"/>
        </w:rPr>
        <w:t>gua como «</w:t>
      </w:r>
      <w:r w:rsidRPr="00667150">
        <w:rPr>
          <w:rFonts w:ascii="Arial" w:hAnsi="Arial" w:cs="Arial"/>
          <w:i/>
          <w:iCs/>
          <w:color w:val="000000" w:themeColor="text1"/>
          <w:sz w:val="22"/>
        </w:rPr>
        <w:t xml:space="preserve">De rozar. </w:t>
      </w:r>
      <w:r w:rsidRPr="00667150">
        <w:rPr>
          <w:rFonts w:ascii="Arial" w:hAnsi="Arial" w:cs="Arial"/>
          <w:color w:val="000000" w:themeColor="text1"/>
          <w:sz w:val="22"/>
        </w:rPr>
        <w:t>1. f. Col. Roza, desmonte, derribo»</w:t>
      </w:r>
      <w:r w:rsidRPr="00667150">
        <w:rPr>
          <w:rStyle w:val="Refdenotaalpie"/>
          <w:rFonts w:ascii="Arial" w:hAnsi="Arial" w:cs="Arial"/>
          <w:color w:val="000000" w:themeColor="text1"/>
          <w:sz w:val="22"/>
        </w:rPr>
        <w:footnoteReference w:id="7"/>
      </w:r>
      <w:r w:rsidRPr="00667150">
        <w:rPr>
          <w:rFonts w:ascii="Arial" w:hAnsi="Arial" w:cs="Arial"/>
          <w:color w:val="000000" w:themeColor="text1"/>
          <w:sz w:val="22"/>
        </w:rPr>
        <w:t>.</w:t>
      </w:r>
      <w:r>
        <w:rPr>
          <w:rFonts w:ascii="Arial" w:hAnsi="Arial" w:cs="Arial"/>
          <w:color w:val="000000" w:themeColor="text1"/>
          <w:sz w:val="22"/>
        </w:rPr>
        <w:t xml:space="preserve"> </w:t>
      </w:r>
      <w:r w:rsidRPr="00667150">
        <w:rPr>
          <w:rFonts w:ascii="Arial" w:hAnsi="Arial" w:cs="Arial"/>
          <w:color w:val="000000" w:themeColor="text1"/>
          <w:sz w:val="22"/>
        </w:rPr>
        <w:t xml:space="preserve"> De otra parte, el «Glosario de Manual de diseño geométrico de carreteras»</w:t>
      </w:r>
      <w:r>
        <w:rPr>
          <w:rFonts w:ascii="Arial" w:hAnsi="Arial" w:cs="Arial"/>
          <w:color w:val="000000" w:themeColor="text1"/>
          <w:sz w:val="22"/>
        </w:rPr>
        <w:t xml:space="preserve">, </w:t>
      </w:r>
      <w:r w:rsidRPr="00667150">
        <w:rPr>
          <w:rFonts w:ascii="Arial" w:hAnsi="Arial" w:cs="Arial"/>
          <w:color w:val="000000" w:themeColor="text1"/>
          <w:sz w:val="22"/>
        </w:rPr>
        <w:t xml:space="preserve">define la </w:t>
      </w:r>
      <w:r w:rsidRPr="00667150">
        <w:rPr>
          <w:rFonts w:ascii="Arial" w:hAnsi="Arial" w:cs="Arial"/>
          <w:i/>
          <w:iCs/>
          <w:color w:val="000000" w:themeColor="text1"/>
          <w:sz w:val="22"/>
        </w:rPr>
        <w:t>rocería</w:t>
      </w:r>
      <w:r w:rsidRPr="00667150">
        <w:rPr>
          <w:rFonts w:ascii="Arial" w:hAnsi="Arial" w:cs="Arial"/>
          <w:color w:val="000000" w:themeColor="text1"/>
          <w:sz w:val="22"/>
        </w:rPr>
        <w:t xml:space="preserve"> como «Actividad de mantenimiento rutinario encaminada a mantener baja la vegetación de las zonas laterales de la vía»</w:t>
      </w:r>
      <w:r w:rsidRPr="00667150">
        <w:rPr>
          <w:rStyle w:val="Refdenotaalpie"/>
          <w:rFonts w:ascii="Arial" w:hAnsi="Arial" w:cs="Arial"/>
          <w:color w:val="000000" w:themeColor="text1"/>
          <w:sz w:val="22"/>
        </w:rPr>
        <w:footnoteReference w:id="8"/>
      </w:r>
      <w:r w:rsidRPr="00667150">
        <w:rPr>
          <w:rFonts w:ascii="Arial" w:hAnsi="Arial" w:cs="Arial"/>
          <w:color w:val="000000" w:themeColor="text1"/>
          <w:sz w:val="22"/>
        </w:rPr>
        <w:t>.</w:t>
      </w:r>
    </w:p>
    <w:p w14:paraId="2C49985B" w14:textId="77777777" w:rsidR="002943BE" w:rsidRPr="00C1373A" w:rsidRDefault="002943BE" w:rsidP="002943BE">
      <w:pPr>
        <w:spacing w:after="120" w:line="276" w:lineRule="auto"/>
        <w:ind w:firstLine="708"/>
        <w:jc w:val="both"/>
        <w:rPr>
          <w:rFonts w:ascii="Arial" w:hAnsi="Arial" w:cs="Arial"/>
          <w:color w:val="000000" w:themeColor="text1"/>
          <w:sz w:val="22"/>
          <w:szCs w:val="22"/>
        </w:rPr>
      </w:pPr>
      <w:r>
        <w:rPr>
          <w:rFonts w:ascii="Arial" w:hAnsi="Arial" w:cs="Arial"/>
          <w:color w:val="000000" w:themeColor="text1"/>
          <w:sz w:val="22"/>
        </w:rPr>
        <w:t>En este mismo sentido</w:t>
      </w:r>
      <w:r w:rsidRPr="00667150">
        <w:rPr>
          <w:rFonts w:ascii="Arial" w:hAnsi="Arial" w:cs="Arial"/>
          <w:color w:val="000000" w:themeColor="text1"/>
          <w:sz w:val="22"/>
        </w:rPr>
        <w:t>, el «Manual de Mantenimiento de Carreteras» del Instituto Nacional de Vías –INVIAS– establece como parte de las especificaciones generales de mantenimiento de carreteras el control de la vegetación a través de diversas actividades como: rocería y desmonte, remoción de arbustos y poda de árboles</w:t>
      </w:r>
      <w:r>
        <w:rPr>
          <w:rFonts w:ascii="Arial" w:hAnsi="Arial" w:cs="Arial"/>
          <w:color w:val="000000" w:themeColor="text1"/>
          <w:sz w:val="22"/>
        </w:rPr>
        <w:t xml:space="preserve">. </w:t>
      </w:r>
      <w:r w:rsidRPr="00C1373A">
        <w:rPr>
          <w:rFonts w:ascii="Arial" w:hAnsi="Arial" w:cs="Arial"/>
          <w:color w:val="000000" w:themeColor="text1"/>
          <w:sz w:val="22"/>
          <w:szCs w:val="22"/>
        </w:rPr>
        <w:t>Al respecto, define la rocería y desmonte como «</w:t>
      </w:r>
      <w:r w:rsidRPr="00C1373A">
        <w:rPr>
          <w:rFonts w:ascii="Arial" w:hAnsi="Arial" w:cs="Arial"/>
          <w:sz w:val="22"/>
          <w:szCs w:val="22"/>
        </w:rPr>
        <w:t>Actividad de mantenimiento rutinario encaminada a mantener baja la vegetación de las zonas laterales de la vía</w:t>
      </w:r>
      <w:r w:rsidRPr="00C1373A">
        <w:rPr>
          <w:rFonts w:ascii="Arial" w:hAnsi="Arial" w:cs="Arial"/>
          <w:color w:val="000000" w:themeColor="text1"/>
          <w:sz w:val="22"/>
          <w:szCs w:val="22"/>
        </w:rPr>
        <w:t>»</w:t>
      </w:r>
      <w:r w:rsidRPr="00C1373A">
        <w:rPr>
          <w:rStyle w:val="Refdenotaalpie"/>
          <w:rFonts w:ascii="Arial" w:hAnsi="Arial" w:cs="Arial"/>
          <w:color w:val="000000" w:themeColor="text1"/>
          <w:sz w:val="22"/>
          <w:szCs w:val="22"/>
        </w:rPr>
        <w:footnoteReference w:id="9"/>
      </w:r>
      <w:r w:rsidRPr="00C1373A">
        <w:rPr>
          <w:rFonts w:ascii="Arial" w:hAnsi="Arial" w:cs="Arial"/>
          <w:color w:val="000000" w:themeColor="text1"/>
          <w:sz w:val="22"/>
          <w:szCs w:val="22"/>
        </w:rPr>
        <w:t xml:space="preserve">. </w:t>
      </w:r>
    </w:p>
    <w:p w14:paraId="1E66A730" w14:textId="77777777" w:rsidR="002943BE" w:rsidRPr="00667150" w:rsidRDefault="002943BE" w:rsidP="002943BE">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t xml:space="preserve">Estas nociones de </w:t>
      </w:r>
      <w:r w:rsidRPr="00667150">
        <w:rPr>
          <w:rFonts w:ascii="Arial" w:hAnsi="Arial" w:cs="Arial"/>
          <w:i/>
          <w:iCs/>
          <w:color w:val="000000" w:themeColor="text1"/>
          <w:sz w:val="22"/>
        </w:rPr>
        <w:t xml:space="preserve">rocería </w:t>
      </w:r>
      <w:r w:rsidRPr="00667150">
        <w:rPr>
          <w:rFonts w:ascii="Arial" w:hAnsi="Arial" w:cs="Arial"/>
          <w:color w:val="000000" w:themeColor="text1"/>
          <w:sz w:val="22"/>
        </w:rPr>
        <w:t>nos indican que est</w:t>
      </w:r>
      <w:r>
        <w:rPr>
          <w:rFonts w:ascii="Arial" w:hAnsi="Arial" w:cs="Arial"/>
          <w:color w:val="000000" w:themeColor="text1"/>
          <w:sz w:val="22"/>
        </w:rPr>
        <w:t>a</w:t>
      </w:r>
      <w:r w:rsidRPr="00667150">
        <w:rPr>
          <w:rFonts w:ascii="Arial" w:hAnsi="Arial" w:cs="Arial"/>
          <w:color w:val="000000" w:themeColor="text1"/>
          <w:sz w:val="22"/>
        </w:rPr>
        <w:t xml:space="preserve"> es concebida como una actividad propia del mantenimiento rutinario de carreteras</w:t>
      </w:r>
      <w:r>
        <w:rPr>
          <w:rFonts w:ascii="Arial" w:hAnsi="Arial" w:cs="Arial"/>
          <w:color w:val="000000" w:themeColor="text1"/>
          <w:sz w:val="22"/>
        </w:rPr>
        <w:t>. Esta se</w:t>
      </w:r>
      <w:r w:rsidRPr="00667150">
        <w:rPr>
          <w:rFonts w:ascii="Arial" w:hAnsi="Arial" w:cs="Arial"/>
          <w:color w:val="000000" w:themeColor="text1"/>
          <w:sz w:val="22"/>
        </w:rPr>
        <w:t xml:space="preserve"> dirig</w:t>
      </w:r>
      <w:r>
        <w:rPr>
          <w:rFonts w:ascii="Arial" w:hAnsi="Arial" w:cs="Arial"/>
          <w:color w:val="000000" w:themeColor="text1"/>
          <w:sz w:val="22"/>
        </w:rPr>
        <w:t>e</w:t>
      </w:r>
      <w:r w:rsidRPr="00667150">
        <w:rPr>
          <w:rFonts w:ascii="Arial" w:hAnsi="Arial" w:cs="Arial"/>
          <w:color w:val="000000" w:themeColor="text1"/>
          <w:sz w:val="22"/>
        </w:rPr>
        <w:t xml:space="preserve"> a remover la vegetación que crece alrededor de las vías, cuya realización es indispensable en casos en los que el crecimiento de estas capas vegetales puede deteriorar la infraestructura vial al punto de no permitir su uso en condiciones óptimas</w:t>
      </w:r>
      <w:r>
        <w:rPr>
          <w:rFonts w:ascii="Arial" w:hAnsi="Arial" w:cs="Arial"/>
          <w:color w:val="000000" w:themeColor="text1"/>
          <w:sz w:val="22"/>
        </w:rPr>
        <w:t xml:space="preserve">. Incluso, </w:t>
      </w:r>
      <w:r w:rsidRPr="00667150">
        <w:rPr>
          <w:rFonts w:ascii="Arial" w:hAnsi="Arial" w:cs="Arial"/>
          <w:color w:val="000000" w:themeColor="text1"/>
          <w:sz w:val="22"/>
        </w:rPr>
        <w:t xml:space="preserve">puede estar asociado a los diferentes fenómenos climáticos, por lo que debe realizarse de manera periódica o rutinaria según las condiciones </w:t>
      </w:r>
      <w:r>
        <w:rPr>
          <w:rFonts w:ascii="Arial" w:hAnsi="Arial" w:cs="Arial"/>
          <w:color w:val="000000" w:themeColor="text1"/>
          <w:sz w:val="22"/>
        </w:rPr>
        <w:t>de la</w:t>
      </w:r>
      <w:r w:rsidRPr="00667150">
        <w:rPr>
          <w:rFonts w:ascii="Arial" w:hAnsi="Arial" w:cs="Arial"/>
          <w:color w:val="000000" w:themeColor="text1"/>
          <w:sz w:val="22"/>
        </w:rPr>
        <w:t xml:space="preserve"> vía. </w:t>
      </w:r>
    </w:p>
    <w:p w14:paraId="6328A4E4" w14:textId="77777777" w:rsidR="002943BE" w:rsidRPr="00667150" w:rsidRDefault="002943BE" w:rsidP="002943BE">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lastRenderedPageBreak/>
        <w:t>De esta manera</w:t>
      </w:r>
      <w:r w:rsidRPr="00667150">
        <w:rPr>
          <w:rFonts w:ascii="Arial" w:hAnsi="Arial" w:cs="Arial"/>
          <w:color w:val="000000" w:themeColor="text1"/>
          <w:sz w:val="22"/>
        </w:rPr>
        <w:t xml:space="preserve">, a pesar de que la </w:t>
      </w:r>
      <w:r w:rsidRPr="00667150">
        <w:rPr>
          <w:rFonts w:ascii="Arial" w:hAnsi="Arial" w:cs="Arial"/>
          <w:i/>
          <w:iCs/>
          <w:color w:val="000000" w:themeColor="text1"/>
          <w:sz w:val="22"/>
        </w:rPr>
        <w:t>rocería</w:t>
      </w:r>
      <w:r w:rsidRPr="00667150">
        <w:rPr>
          <w:rFonts w:ascii="Arial" w:hAnsi="Arial" w:cs="Arial"/>
          <w:color w:val="000000" w:themeColor="text1"/>
          <w:sz w:val="22"/>
        </w:rPr>
        <w:t xml:space="preserve"> no aparece explícitamente relacionada dentro de la </w:t>
      </w:r>
      <w:r>
        <w:rPr>
          <w:rFonts w:ascii="Arial" w:hAnsi="Arial" w:cs="Arial"/>
          <w:color w:val="000000" w:themeColor="text1"/>
          <w:sz w:val="22"/>
        </w:rPr>
        <w:t>m</w:t>
      </w:r>
      <w:r w:rsidRPr="00667150">
        <w:rPr>
          <w:rFonts w:ascii="Arial" w:hAnsi="Arial" w:cs="Arial"/>
          <w:color w:val="000000" w:themeColor="text1"/>
          <w:sz w:val="22"/>
        </w:rPr>
        <w:t xml:space="preserve">atriz 1, podemos concluir </w:t>
      </w:r>
      <w:r>
        <w:rPr>
          <w:rFonts w:ascii="Arial" w:hAnsi="Arial" w:cs="Arial"/>
          <w:color w:val="000000" w:themeColor="text1"/>
          <w:sz w:val="22"/>
        </w:rPr>
        <w:t xml:space="preserve">que </w:t>
      </w:r>
      <w:r w:rsidRPr="00667150">
        <w:rPr>
          <w:rFonts w:ascii="Arial" w:hAnsi="Arial" w:cs="Arial"/>
          <w:color w:val="000000" w:themeColor="text1"/>
          <w:sz w:val="22"/>
        </w:rPr>
        <w:t>el desarrollo de esta respecto de infraestructura vial encaja dentro de la noción de mantenimiento adoptada por los documentos tipo</w:t>
      </w:r>
      <w:r>
        <w:rPr>
          <w:rFonts w:ascii="Arial" w:hAnsi="Arial" w:cs="Arial"/>
          <w:color w:val="000000" w:themeColor="text1"/>
          <w:sz w:val="22"/>
        </w:rPr>
        <w:t xml:space="preserve"> y lo definido en el artículo 12 de la Ley 1682 de 2013</w:t>
      </w:r>
      <w:r>
        <w:rPr>
          <w:rStyle w:val="Refdenotaalpie"/>
          <w:rFonts w:ascii="Arial" w:hAnsi="Arial" w:cs="Arial"/>
          <w:color w:val="000000" w:themeColor="text1"/>
          <w:sz w:val="22"/>
        </w:rPr>
        <w:footnoteReference w:id="10"/>
      </w:r>
      <w:r>
        <w:rPr>
          <w:rFonts w:ascii="Arial" w:hAnsi="Arial" w:cs="Arial"/>
          <w:color w:val="000000" w:themeColor="text1"/>
          <w:sz w:val="22"/>
        </w:rPr>
        <w:t>. Lo anterior en la medida</w:t>
      </w:r>
      <w:r w:rsidRPr="00667150">
        <w:rPr>
          <w:rFonts w:ascii="Arial" w:hAnsi="Arial" w:cs="Arial"/>
          <w:color w:val="000000" w:themeColor="text1"/>
          <w:sz w:val="22"/>
        </w:rPr>
        <w:t xml:space="preserve"> que el desarrollo de esta actividad est</w:t>
      </w:r>
      <w:r>
        <w:rPr>
          <w:rFonts w:ascii="Arial" w:hAnsi="Arial" w:cs="Arial"/>
          <w:color w:val="000000" w:themeColor="text1"/>
          <w:sz w:val="22"/>
        </w:rPr>
        <w:t>á</w:t>
      </w:r>
      <w:r w:rsidRPr="00667150">
        <w:rPr>
          <w:rFonts w:ascii="Arial" w:hAnsi="Arial" w:cs="Arial"/>
          <w:color w:val="000000" w:themeColor="text1"/>
          <w:sz w:val="22"/>
        </w:rPr>
        <w:t xml:space="preserve"> encaminado a mantener las vías en condiciones óptimas para el uso al cual están destinadas. </w:t>
      </w:r>
    </w:p>
    <w:p w14:paraId="294AB178" w14:textId="1292909F" w:rsidR="002943BE" w:rsidRDefault="002943BE" w:rsidP="002943BE">
      <w:pPr>
        <w:spacing w:line="276" w:lineRule="auto"/>
        <w:ind w:firstLine="708"/>
        <w:jc w:val="both"/>
        <w:rPr>
          <w:rFonts w:ascii="Arial" w:hAnsi="Arial" w:cs="Arial"/>
          <w:color w:val="000000" w:themeColor="text1"/>
          <w:sz w:val="22"/>
        </w:rPr>
      </w:pPr>
      <w:r w:rsidRPr="00667150">
        <w:rPr>
          <w:rFonts w:ascii="Arial" w:hAnsi="Arial" w:cs="Arial"/>
          <w:color w:val="000000" w:themeColor="text1"/>
          <w:sz w:val="22"/>
        </w:rPr>
        <w:t xml:space="preserve">En ese sentido, el mantenimiento de vías </w:t>
      </w:r>
      <w:r>
        <w:rPr>
          <w:rFonts w:ascii="Arial" w:hAnsi="Arial" w:cs="Arial"/>
          <w:color w:val="000000" w:themeColor="text1"/>
          <w:sz w:val="22"/>
        </w:rPr>
        <w:t xml:space="preserve">primarias, </w:t>
      </w:r>
      <w:r w:rsidRPr="00667150">
        <w:rPr>
          <w:rFonts w:ascii="Arial" w:hAnsi="Arial" w:cs="Arial"/>
          <w:color w:val="000000" w:themeColor="text1"/>
          <w:sz w:val="22"/>
        </w:rPr>
        <w:t>secundar</w:t>
      </w:r>
      <w:r>
        <w:rPr>
          <w:rFonts w:ascii="Arial" w:hAnsi="Arial" w:cs="Arial"/>
          <w:color w:val="000000" w:themeColor="text1"/>
          <w:sz w:val="22"/>
        </w:rPr>
        <w:t>i</w:t>
      </w:r>
      <w:r w:rsidRPr="00667150">
        <w:rPr>
          <w:rFonts w:ascii="Arial" w:hAnsi="Arial" w:cs="Arial"/>
          <w:color w:val="000000" w:themeColor="text1"/>
          <w:sz w:val="22"/>
        </w:rPr>
        <w:t>as</w:t>
      </w:r>
      <w:r>
        <w:rPr>
          <w:rFonts w:ascii="Arial" w:hAnsi="Arial" w:cs="Arial"/>
          <w:color w:val="000000" w:themeColor="text1"/>
          <w:sz w:val="22"/>
        </w:rPr>
        <w:t>, y</w:t>
      </w:r>
      <w:r w:rsidRPr="00667150">
        <w:rPr>
          <w:rFonts w:ascii="Arial" w:hAnsi="Arial" w:cs="Arial"/>
          <w:color w:val="000000" w:themeColor="text1"/>
          <w:sz w:val="22"/>
        </w:rPr>
        <w:t xml:space="preserve"> terciarias</w:t>
      </w:r>
      <w:r>
        <w:rPr>
          <w:rFonts w:ascii="Arial" w:hAnsi="Arial" w:cs="Arial"/>
          <w:color w:val="000000" w:themeColor="text1"/>
          <w:sz w:val="22"/>
        </w:rPr>
        <w:t xml:space="preserve">, </w:t>
      </w:r>
      <w:r w:rsidRPr="00667150">
        <w:rPr>
          <w:rFonts w:ascii="Arial" w:hAnsi="Arial" w:cs="Arial"/>
          <w:color w:val="000000" w:themeColor="text1"/>
          <w:sz w:val="22"/>
        </w:rPr>
        <w:t xml:space="preserve">mediante actividades de </w:t>
      </w:r>
      <w:r w:rsidRPr="00667150">
        <w:rPr>
          <w:rFonts w:ascii="Arial" w:hAnsi="Arial" w:cs="Arial"/>
          <w:i/>
          <w:iCs/>
          <w:color w:val="000000" w:themeColor="text1"/>
          <w:sz w:val="22"/>
        </w:rPr>
        <w:t>rocería</w:t>
      </w:r>
      <w:r w:rsidRPr="00667150">
        <w:rPr>
          <w:rFonts w:ascii="Arial" w:hAnsi="Arial" w:cs="Arial"/>
          <w:color w:val="000000" w:themeColor="text1"/>
          <w:sz w:val="22"/>
        </w:rPr>
        <w:t xml:space="preserve"> </w:t>
      </w:r>
      <w:r>
        <w:rPr>
          <w:rFonts w:ascii="Arial" w:hAnsi="Arial" w:cs="Arial"/>
          <w:color w:val="000000" w:themeColor="text1"/>
          <w:sz w:val="22"/>
        </w:rPr>
        <w:t xml:space="preserve">y aquellas que se ejecuten para realizar un mantenimiento rutinario de las vías, </w:t>
      </w:r>
      <w:r w:rsidRPr="00667150">
        <w:rPr>
          <w:rFonts w:ascii="Arial" w:hAnsi="Arial" w:cs="Arial"/>
          <w:color w:val="000000" w:themeColor="text1"/>
          <w:sz w:val="22"/>
        </w:rPr>
        <w:t>se enmarca en el objeto del contrato de obra</w:t>
      </w:r>
      <w:r w:rsidR="00B81010">
        <w:rPr>
          <w:rFonts w:ascii="Arial" w:hAnsi="Arial" w:cs="Arial"/>
          <w:color w:val="000000" w:themeColor="text1"/>
          <w:sz w:val="22"/>
        </w:rPr>
        <w:t>,</w:t>
      </w:r>
      <w:r w:rsidR="004431BA">
        <w:rPr>
          <w:rFonts w:ascii="Arial" w:hAnsi="Arial" w:cs="Arial"/>
          <w:color w:val="000000" w:themeColor="text1"/>
          <w:sz w:val="22"/>
        </w:rPr>
        <w:t xml:space="preserve"> </w:t>
      </w:r>
      <w:r w:rsidR="00B81010">
        <w:rPr>
          <w:rFonts w:ascii="Arial" w:hAnsi="Arial" w:cs="Arial"/>
          <w:color w:val="000000" w:themeColor="text1"/>
          <w:sz w:val="22"/>
        </w:rPr>
        <w:t>por lo que</w:t>
      </w:r>
      <w:r w:rsidR="004431BA">
        <w:rPr>
          <w:rFonts w:ascii="Arial" w:hAnsi="Arial" w:cs="Arial"/>
          <w:color w:val="000000" w:themeColor="text1"/>
          <w:sz w:val="22"/>
        </w:rPr>
        <w:t xml:space="preserve"> no constituye una obra o servicio adicional en los términos explicados </w:t>
      </w:r>
      <w:r w:rsidR="004431BA" w:rsidRPr="00C1373A">
        <w:rPr>
          <w:rFonts w:ascii="Arial" w:hAnsi="Arial" w:cs="Arial"/>
          <w:i/>
          <w:iCs/>
          <w:color w:val="000000" w:themeColor="text1"/>
          <w:sz w:val="22"/>
        </w:rPr>
        <w:t>ut supra</w:t>
      </w:r>
      <w:r>
        <w:rPr>
          <w:rFonts w:ascii="Arial" w:hAnsi="Arial" w:cs="Arial"/>
          <w:color w:val="000000" w:themeColor="text1"/>
          <w:sz w:val="22"/>
        </w:rPr>
        <w:t xml:space="preserve">. Dado </w:t>
      </w:r>
      <w:r w:rsidRPr="00667150">
        <w:rPr>
          <w:rFonts w:ascii="Arial" w:hAnsi="Arial" w:cs="Arial"/>
          <w:color w:val="000000" w:themeColor="text1"/>
          <w:sz w:val="22"/>
        </w:rPr>
        <w:t xml:space="preserve">que el mantenimiento de este tipo de vías </w:t>
      </w:r>
      <w:r>
        <w:rPr>
          <w:rFonts w:ascii="Arial" w:hAnsi="Arial" w:cs="Arial"/>
          <w:color w:val="000000" w:themeColor="text1"/>
          <w:sz w:val="22"/>
        </w:rPr>
        <w:t>está previsto</w:t>
      </w:r>
      <w:r w:rsidRPr="00667150">
        <w:rPr>
          <w:rFonts w:ascii="Arial" w:hAnsi="Arial" w:cs="Arial"/>
          <w:color w:val="000000" w:themeColor="text1"/>
          <w:sz w:val="22"/>
        </w:rPr>
        <w:t xml:space="preserve"> en los numerales </w:t>
      </w:r>
      <w:r>
        <w:rPr>
          <w:rFonts w:ascii="Arial" w:hAnsi="Arial" w:cs="Arial"/>
          <w:color w:val="000000" w:themeColor="text1"/>
          <w:sz w:val="22"/>
        </w:rPr>
        <w:t>1</w:t>
      </w:r>
      <w:r w:rsidRPr="00667150">
        <w:rPr>
          <w:rFonts w:ascii="Arial" w:hAnsi="Arial" w:cs="Arial"/>
          <w:color w:val="000000" w:themeColor="text1"/>
          <w:sz w:val="22"/>
        </w:rPr>
        <w:t>.</w:t>
      </w:r>
      <w:r>
        <w:rPr>
          <w:rFonts w:ascii="Arial" w:hAnsi="Arial" w:cs="Arial"/>
          <w:color w:val="000000" w:themeColor="text1"/>
          <w:sz w:val="22"/>
        </w:rPr>
        <w:t>3</w:t>
      </w:r>
      <w:r w:rsidRPr="00667150">
        <w:rPr>
          <w:rFonts w:ascii="Arial" w:hAnsi="Arial" w:cs="Arial"/>
          <w:color w:val="000000" w:themeColor="text1"/>
          <w:sz w:val="22"/>
        </w:rPr>
        <w:t xml:space="preserve"> y 2.3 de la Matriz 1, </w:t>
      </w:r>
      <w:r w:rsidR="00A82ADB">
        <w:rPr>
          <w:rFonts w:ascii="Arial" w:hAnsi="Arial" w:cs="Arial"/>
          <w:color w:val="000000" w:themeColor="text1"/>
          <w:sz w:val="22"/>
        </w:rPr>
        <w:t xml:space="preserve">en </w:t>
      </w:r>
      <w:r w:rsidR="00786CDD">
        <w:rPr>
          <w:rFonts w:ascii="Arial" w:hAnsi="Arial" w:cs="Arial"/>
          <w:color w:val="000000" w:themeColor="text1"/>
          <w:sz w:val="22"/>
        </w:rPr>
        <w:t>l</w:t>
      </w:r>
      <w:r w:rsidRPr="00667150">
        <w:rPr>
          <w:rFonts w:ascii="Arial" w:hAnsi="Arial" w:cs="Arial"/>
          <w:color w:val="000000" w:themeColor="text1"/>
          <w:sz w:val="22"/>
        </w:rPr>
        <w:t>os procesos que adelanten entidades estatales regidas por el Estatuto General de Contratación de la Administración Pública para la contratación de tales actividades deberá</w:t>
      </w:r>
      <w:r w:rsidR="00F308E2">
        <w:rPr>
          <w:rFonts w:ascii="Arial" w:hAnsi="Arial" w:cs="Arial"/>
          <w:color w:val="000000" w:themeColor="text1"/>
          <w:sz w:val="22"/>
        </w:rPr>
        <w:t xml:space="preserve"> exigirse la experiencia prevista en </w:t>
      </w:r>
      <w:r w:rsidRPr="00667150">
        <w:rPr>
          <w:rFonts w:ascii="Arial" w:hAnsi="Arial" w:cs="Arial"/>
          <w:color w:val="000000" w:themeColor="text1"/>
          <w:sz w:val="22"/>
        </w:rPr>
        <w:t xml:space="preserve">los documentos tipo adoptados </w:t>
      </w:r>
      <w:r>
        <w:rPr>
          <w:rFonts w:ascii="Arial" w:hAnsi="Arial" w:cs="Arial"/>
          <w:color w:val="000000" w:themeColor="text1"/>
          <w:sz w:val="22"/>
        </w:rPr>
        <w:t>mediante la</w:t>
      </w:r>
      <w:r w:rsidR="000819EB">
        <w:rPr>
          <w:rFonts w:ascii="Arial" w:hAnsi="Arial" w:cs="Arial"/>
          <w:color w:val="000000" w:themeColor="text1"/>
          <w:sz w:val="22"/>
        </w:rPr>
        <w:t>s</w:t>
      </w:r>
      <w:r>
        <w:rPr>
          <w:rFonts w:ascii="Arial" w:hAnsi="Arial" w:cs="Arial"/>
          <w:color w:val="000000" w:themeColor="text1"/>
          <w:sz w:val="22"/>
        </w:rPr>
        <w:t xml:space="preserve"> </w:t>
      </w:r>
      <w:r w:rsidR="000819EB">
        <w:rPr>
          <w:rFonts w:ascii="Arial" w:hAnsi="Arial" w:cs="Arial"/>
          <w:color w:val="000000" w:themeColor="text1"/>
          <w:sz w:val="22"/>
        </w:rPr>
        <w:t xml:space="preserve">Resoluciones </w:t>
      </w:r>
      <w:r w:rsidR="00A56521" w:rsidRPr="007C15A2">
        <w:rPr>
          <w:rFonts w:ascii="Arial" w:eastAsia="Calibri" w:hAnsi="Arial" w:cs="Arial"/>
          <w:color w:val="000000"/>
          <w:sz w:val="22"/>
          <w:szCs w:val="22"/>
          <w:lang w:val="es-ES_tradnl" w:eastAsia="es-ES"/>
        </w:rPr>
        <w:t>Resoluciones 240</w:t>
      </w:r>
      <w:r w:rsidR="00A56521">
        <w:rPr>
          <w:rFonts w:ascii="Arial" w:eastAsia="Calibri" w:hAnsi="Arial" w:cs="Arial"/>
          <w:color w:val="000000"/>
          <w:sz w:val="22"/>
          <w:szCs w:val="22"/>
          <w:lang w:val="es-ES_tradnl" w:eastAsia="es-ES"/>
        </w:rPr>
        <w:t>, 241 y 094 de 2020</w:t>
      </w:r>
      <w:r w:rsidRPr="00667150">
        <w:rPr>
          <w:rFonts w:ascii="Arial" w:hAnsi="Arial" w:cs="Arial"/>
          <w:color w:val="000000" w:themeColor="text1"/>
          <w:sz w:val="22"/>
        </w:rPr>
        <w:t>.</w:t>
      </w:r>
    </w:p>
    <w:p w14:paraId="646297ED" w14:textId="6FEB4A23" w:rsidR="000450B0" w:rsidRPr="00C1373A" w:rsidRDefault="000450B0" w:rsidP="00C1373A">
      <w:pPr>
        <w:spacing w:before="120" w:line="276" w:lineRule="auto"/>
        <w:ind w:firstLine="708"/>
        <w:jc w:val="both"/>
        <w:rPr>
          <w:rFonts w:ascii="Arial" w:hAnsi="Arial" w:cs="Arial"/>
          <w:b/>
          <w:bCs/>
          <w:sz w:val="22"/>
          <w:szCs w:val="22"/>
          <w:lang w:eastAsia="es-CO"/>
        </w:rPr>
      </w:pPr>
      <w:r>
        <w:rPr>
          <w:rFonts w:ascii="Arial" w:eastAsia="Calibri" w:hAnsi="Arial" w:cs="Arial"/>
          <w:color w:val="000000"/>
          <w:sz w:val="22"/>
          <w:szCs w:val="22"/>
          <w:lang w:eastAsia="es-ES_tradnl"/>
        </w:rPr>
        <w:t>D</w:t>
      </w:r>
      <w:r w:rsidRPr="00C1373A">
        <w:rPr>
          <w:rFonts w:ascii="Arial" w:hAnsi="Arial" w:cs="Arial"/>
          <w:sz w:val="22"/>
          <w:szCs w:val="22"/>
          <w:lang w:eastAsia="es-ES_tradnl"/>
        </w:rPr>
        <w:t xml:space="preserve">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que contemplada en dicha matriz. </w:t>
      </w:r>
      <w:r w:rsidRPr="00C1373A">
        <w:rPr>
          <w:rFonts w:ascii="Arial" w:eastAsia="Calibri" w:hAnsi="Arial" w:cs="Arial"/>
          <w:sz w:val="22"/>
          <w:szCs w:val="22"/>
        </w:rPr>
        <w:t xml:space="preserve">Asimismo, si el bien o servicio adicional está asociado a un proyecto del sector transporte, la entidad contratante aplicará los parámetros </w:t>
      </w:r>
      <w:r w:rsidRPr="00C1373A">
        <w:rPr>
          <w:rFonts w:ascii="Arial" w:hAnsi="Arial" w:cs="Arial"/>
          <w:sz w:val="22"/>
          <w:szCs w:val="22"/>
        </w:rPr>
        <w:t>y reglas estandarizadas en el documento tipo, teniendo en cuenta además las reglas de experiencia adicional previstas en e</w:t>
      </w:r>
      <w:r w:rsidR="00DD2E4F" w:rsidRPr="00DD2E4F">
        <w:rPr>
          <w:rFonts w:ascii="Arial" w:hAnsi="Arial" w:cs="Arial"/>
          <w:sz w:val="22"/>
          <w:szCs w:val="22"/>
        </w:rPr>
        <w:t>l artículo 4 de las Resoluciones 240 y 241 de 2020, así como el artículo 2.2.1.2.6.3.5 del Decreto 1082 de 2015</w:t>
      </w:r>
      <w:r w:rsidRPr="00C1373A">
        <w:rPr>
          <w:rFonts w:ascii="Arial" w:hAnsi="Arial" w:cs="Arial"/>
          <w:sz w:val="22"/>
          <w:szCs w:val="22"/>
        </w:rPr>
        <w:t xml:space="preserve">.  </w:t>
      </w:r>
    </w:p>
    <w:p w14:paraId="502D6C6F" w14:textId="77777777" w:rsidR="000F0DA0" w:rsidRPr="00F60B77" w:rsidRDefault="000F0DA0" w:rsidP="00862E0E">
      <w:pPr>
        <w:pStyle w:val="Normal11pt"/>
        <w:spacing w:line="276" w:lineRule="auto"/>
        <w:ind w:left="0"/>
        <w:rPr>
          <w:rFonts w:eastAsia="Calibri"/>
        </w:rPr>
      </w:pPr>
    </w:p>
    <w:p w14:paraId="51F2BE74" w14:textId="2AEA17C5" w:rsidR="00DD3396" w:rsidRDefault="00DD3396" w:rsidP="00DD3396">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719EB4DC" w14:textId="1F90F0B4" w:rsidR="008A6195" w:rsidRDefault="008A6195" w:rsidP="00DD3396">
      <w:pPr>
        <w:tabs>
          <w:tab w:val="left" w:pos="709"/>
        </w:tabs>
        <w:spacing w:line="276" w:lineRule="auto"/>
        <w:jc w:val="both"/>
        <w:rPr>
          <w:rFonts w:ascii="Arial" w:eastAsia="Calibri" w:hAnsi="Arial" w:cs="Arial"/>
          <w:b/>
          <w:sz w:val="22"/>
          <w:szCs w:val="22"/>
          <w:lang w:val="es-ES"/>
        </w:rPr>
      </w:pPr>
    </w:p>
    <w:p w14:paraId="399CD9F9" w14:textId="77777777" w:rsidR="008A6195" w:rsidRPr="00C1373A" w:rsidRDefault="008A6195" w:rsidP="00C1373A">
      <w:pPr>
        <w:ind w:left="709" w:right="709"/>
        <w:jc w:val="both"/>
        <w:rPr>
          <w:rFonts w:ascii="Arial" w:hAnsi="Arial" w:cs="Arial"/>
          <w:sz w:val="21"/>
          <w:szCs w:val="21"/>
        </w:rPr>
      </w:pPr>
      <w:r w:rsidRPr="00C1373A">
        <w:rPr>
          <w:rFonts w:ascii="Arial" w:hAnsi="Arial" w:cs="Arial"/>
          <w:color w:val="000000"/>
          <w:sz w:val="21"/>
          <w:szCs w:val="21"/>
        </w:rPr>
        <w:t xml:space="preserve">«[…] qué parámetros debo tener en cuenta, para solicitar servicios adicionales en pliegos tipo para infraestructura de transporte, por ejemplo, ¿una rocería o una obra eléctrica son servicios adicionales?». </w:t>
      </w:r>
    </w:p>
    <w:p w14:paraId="1023A830" w14:textId="77777777" w:rsidR="00B12A1C" w:rsidRDefault="00B12A1C" w:rsidP="00C1373A">
      <w:pPr>
        <w:spacing w:line="276" w:lineRule="auto"/>
        <w:jc w:val="both"/>
        <w:rPr>
          <w:rFonts w:ascii="Arial" w:hAnsi="Arial" w:cs="Arial"/>
          <w:sz w:val="22"/>
          <w:szCs w:val="22"/>
        </w:rPr>
      </w:pPr>
    </w:p>
    <w:p w14:paraId="165833DF" w14:textId="1590DA1C" w:rsidR="007D5CF7" w:rsidRDefault="00ED145A" w:rsidP="00E57CC3">
      <w:pPr>
        <w:widowControl w:val="0"/>
        <w:autoSpaceDE w:val="0"/>
        <w:autoSpaceDN w:val="0"/>
        <w:spacing w:after="120" w:line="276" w:lineRule="auto"/>
        <w:jc w:val="both"/>
        <w:rPr>
          <w:rFonts w:ascii="Arial" w:eastAsia="Calibri" w:hAnsi="Arial" w:cs="Arial"/>
          <w:color w:val="000000"/>
          <w:sz w:val="22"/>
          <w:szCs w:val="22"/>
          <w:lang w:val="es-ES_tradnl" w:eastAsia="es-ES"/>
        </w:rPr>
      </w:pPr>
      <w:r>
        <w:rPr>
          <w:rFonts w:ascii="Arial" w:hAnsi="Arial" w:cs="Arial"/>
          <w:sz w:val="22"/>
          <w:szCs w:val="22"/>
        </w:rPr>
        <w:t>Conforme a la interpretación de las normas generales del sistema de compras públicas</w:t>
      </w:r>
      <w:r w:rsidR="004911AA">
        <w:rPr>
          <w:rFonts w:ascii="Arial" w:hAnsi="Arial" w:cs="Arial"/>
          <w:sz w:val="22"/>
          <w:szCs w:val="22"/>
        </w:rPr>
        <w:t>,</w:t>
      </w:r>
      <w:r w:rsidR="007D5CF7">
        <w:rPr>
          <w:rFonts w:ascii="Arial" w:hAnsi="Arial" w:cs="Arial"/>
          <w:sz w:val="22"/>
          <w:szCs w:val="22"/>
        </w:rPr>
        <w:t xml:space="preserve"> </w:t>
      </w:r>
      <w:r w:rsidR="007D5CF7" w:rsidRPr="007C15A2">
        <w:rPr>
          <w:rFonts w:ascii="Arial" w:eastAsia="Arial" w:hAnsi="Arial" w:cs="Arial"/>
          <w:sz w:val="22"/>
          <w:szCs w:val="22"/>
          <w:lang w:val="es-ES"/>
        </w:rPr>
        <w:t>la</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regla</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general</w:t>
      </w:r>
      <w:r w:rsidR="007D5CF7" w:rsidRPr="007C15A2">
        <w:rPr>
          <w:rFonts w:ascii="Arial" w:eastAsia="Arial" w:hAnsi="Arial" w:cs="Arial"/>
          <w:spacing w:val="-11"/>
          <w:sz w:val="22"/>
          <w:szCs w:val="22"/>
          <w:lang w:val="es-ES"/>
        </w:rPr>
        <w:t xml:space="preserve"> </w:t>
      </w:r>
      <w:r w:rsidR="007D5CF7" w:rsidRPr="007C15A2">
        <w:rPr>
          <w:rFonts w:ascii="Arial" w:eastAsia="Arial" w:hAnsi="Arial" w:cs="Arial"/>
          <w:sz w:val="22"/>
          <w:szCs w:val="22"/>
          <w:lang w:val="es-ES"/>
        </w:rPr>
        <w:t>frente</w:t>
      </w:r>
      <w:r w:rsidR="007D5CF7" w:rsidRPr="007C15A2">
        <w:rPr>
          <w:rFonts w:ascii="Arial" w:eastAsia="Arial" w:hAnsi="Arial" w:cs="Arial"/>
          <w:spacing w:val="-11"/>
          <w:sz w:val="22"/>
          <w:szCs w:val="22"/>
          <w:lang w:val="es-ES"/>
        </w:rPr>
        <w:t xml:space="preserve"> </w:t>
      </w:r>
      <w:r w:rsidR="007D5CF7" w:rsidRPr="007C15A2">
        <w:rPr>
          <w:rFonts w:ascii="Arial" w:eastAsia="Arial" w:hAnsi="Arial" w:cs="Arial"/>
          <w:sz w:val="22"/>
          <w:szCs w:val="22"/>
          <w:lang w:val="es-ES"/>
        </w:rPr>
        <w:t>a</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la</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aplicación</w:t>
      </w:r>
      <w:r w:rsidR="007D5CF7" w:rsidRPr="007C15A2">
        <w:rPr>
          <w:rFonts w:ascii="Arial" w:eastAsia="Arial" w:hAnsi="Arial" w:cs="Arial"/>
          <w:spacing w:val="-11"/>
          <w:sz w:val="22"/>
          <w:szCs w:val="22"/>
          <w:lang w:val="es-ES"/>
        </w:rPr>
        <w:t xml:space="preserve"> </w:t>
      </w:r>
      <w:r w:rsidR="007D5CF7" w:rsidRPr="007C15A2">
        <w:rPr>
          <w:rFonts w:ascii="Arial" w:eastAsia="Arial" w:hAnsi="Arial" w:cs="Arial"/>
          <w:sz w:val="22"/>
          <w:szCs w:val="22"/>
          <w:lang w:val="es-ES"/>
        </w:rPr>
        <w:t>del</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documento</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base</w:t>
      </w:r>
      <w:r w:rsidR="007D5CF7" w:rsidRPr="007C15A2">
        <w:rPr>
          <w:rFonts w:ascii="Arial" w:eastAsia="Arial" w:hAnsi="Arial" w:cs="Arial"/>
          <w:spacing w:val="-11"/>
          <w:sz w:val="22"/>
          <w:szCs w:val="22"/>
          <w:lang w:val="es-ES"/>
        </w:rPr>
        <w:t xml:space="preserve"> </w:t>
      </w:r>
      <w:r w:rsidR="007D5CF7" w:rsidRPr="007C15A2">
        <w:rPr>
          <w:rFonts w:ascii="Arial" w:eastAsia="Arial" w:hAnsi="Arial" w:cs="Arial"/>
          <w:sz w:val="22"/>
          <w:szCs w:val="22"/>
          <w:lang w:val="es-ES"/>
        </w:rPr>
        <w:t>es</w:t>
      </w:r>
      <w:r w:rsidR="007D5CF7" w:rsidRPr="007C15A2">
        <w:rPr>
          <w:rFonts w:ascii="Arial" w:eastAsia="Arial" w:hAnsi="Arial" w:cs="Arial"/>
          <w:spacing w:val="-12"/>
          <w:sz w:val="22"/>
          <w:szCs w:val="22"/>
          <w:lang w:val="es-ES"/>
        </w:rPr>
        <w:t xml:space="preserve"> </w:t>
      </w:r>
      <w:r w:rsidR="007D5CF7" w:rsidRPr="007C15A2">
        <w:rPr>
          <w:rFonts w:ascii="Arial" w:eastAsia="Arial" w:hAnsi="Arial" w:cs="Arial"/>
          <w:sz w:val="22"/>
          <w:szCs w:val="22"/>
          <w:lang w:val="es-ES"/>
        </w:rPr>
        <w:t xml:space="preserve">su inalterabilidad. Por lo tanto, no se podrán incluir o modificar dentro de los documentos del proceso las condiciones habilitantes, los factores técnicos y económicos de escogencia y los sistemas </w:t>
      </w:r>
      <w:r w:rsidR="007D5CF7" w:rsidRPr="007C15A2">
        <w:rPr>
          <w:rFonts w:ascii="Arial" w:eastAsia="Calibri" w:hAnsi="Arial" w:cs="Arial"/>
          <w:color w:val="000000"/>
          <w:sz w:val="22"/>
          <w:szCs w:val="22"/>
          <w:lang w:val="es-ES_tradnl" w:eastAsia="es-ES"/>
        </w:rPr>
        <w:t>de ponderación señalados en los documentos tipo, salvo lo previsto en el artículo 4 de las Resoluciones 240</w:t>
      </w:r>
      <w:r w:rsidR="007D5CF7">
        <w:rPr>
          <w:rFonts w:ascii="Arial" w:eastAsia="Calibri" w:hAnsi="Arial" w:cs="Arial"/>
          <w:color w:val="000000"/>
          <w:sz w:val="22"/>
          <w:szCs w:val="22"/>
          <w:lang w:val="es-ES_tradnl" w:eastAsia="es-ES"/>
        </w:rPr>
        <w:t xml:space="preserve"> y 241</w:t>
      </w:r>
      <w:r w:rsidR="007D5CF7" w:rsidRPr="007C15A2">
        <w:rPr>
          <w:rFonts w:ascii="Arial" w:eastAsia="Calibri" w:hAnsi="Arial" w:cs="Arial"/>
          <w:color w:val="000000"/>
          <w:sz w:val="22"/>
          <w:szCs w:val="22"/>
          <w:lang w:val="es-ES_tradnl" w:eastAsia="es-ES"/>
        </w:rPr>
        <w:t xml:space="preserve"> de 2020</w:t>
      </w:r>
      <w:r w:rsidR="007D5CF7">
        <w:rPr>
          <w:rFonts w:ascii="Arial" w:eastAsia="Calibri" w:hAnsi="Arial" w:cs="Arial"/>
          <w:color w:val="000000"/>
          <w:sz w:val="22"/>
          <w:szCs w:val="22"/>
          <w:lang w:val="es-ES_tradnl" w:eastAsia="es-ES"/>
        </w:rPr>
        <w:t xml:space="preserve">, así como el artículo </w:t>
      </w:r>
      <w:r w:rsidR="007D5CF7" w:rsidRPr="003D53B9">
        <w:rPr>
          <w:rFonts w:ascii="Arial" w:eastAsia="Calibri" w:hAnsi="Arial" w:cs="Arial"/>
          <w:color w:val="000000"/>
          <w:sz w:val="22"/>
          <w:szCs w:val="22"/>
          <w:lang w:val="es-ES_tradnl" w:eastAsia="es-ES"/>
        </w:rPr>
        <w:t>2.2.1.2.6.3.5</w:t>
      </w:r>
      <w:r w:rsidR="007D5CF7">
        <w:rPr>
          <w:rFonts w:ascii="Arial" w:eastAsia="Calibri" w:hAnsi="Arial" w:cs="Arial"/>
          <w:color w:val="000000"/>
          <w:sz w:val="22"/>
          <w:szCs w:val="22"/>
          <w:lang w:val="es-ES_tradnl" w:eastAsia="es-ES"/>
        </w:rPr>
        <w:t xml:space="preserve"> del Decreto 1082 de 2015</w:t>
      </w:r>
      <w:r w:rsidR="007D5CF7" w:rsidRPr="007C15A2">
        <w:rPr>
          <w:rFonts w:ascii="Arial" w:eastAsia="Calibri" w:hAnsi="Arial" w:cs="Arial"/>
          <w:color w:val="000000"/>
          <w:sz w:val="22"/>
          <w:szCs w:val="22"/>
          <w:lang w:val="es-ES_tradnl" w:eastAsia="es-ES"/>
        </w:rPr>
        <w:t>. Por tanto, si el objeto contractual incluye bienes o servicios ajenos a la obra pública de infraestructura de transporte, de allí solo se deriva que podrá incluirse la experiencia adicional que se considere conveniente, atendiendo a las reglas cada uno de los actos administrativos citados.</w:t>
      </w:r>
    </w:p>
    <w:p w14:paraId="4F67DB69" w14:textId="77777777" w:rsidR="009906CA" w:rsidRPr="007C15A2" w:rsidRDefault="009906CA" w:rsidP="009906CA">
      <w:pPr>
        <w:spacing w:after="120" w:line="276" w:lineRule="auto"/>
        <w:ind w:firstLine="709"/>
        <w:jc w:val="both"/>
        <w:rPr>
          <w:rFonts w:ascii="Arial" w:eastAsia="Calibri" w:hAnsi="Arial" w:cs="Arial"/>
          <w:sz w:val="22"/>
          <w:szCs w:val="22"/>
        </w:rPr>
      </w:pPr>
      <w:r>
        <w:rPr>
          <w:rStyle w:val="normaltextrun"/>
          <w:rFonts w:ascii="Arial" w:hAnsi="Arial" w:cs="Arial"/>
          <w:color w:val="000000"/>
          <w:sz w:val="22"/>
          <w:szCs w:val="22"/>
          <w:shd w:val="clear" w:color="auto" w:fill="FFFFFF"/>
          <w:lang w:val="es-ES"/>
        </w:rPr>
        <w:t>L</w:t>
      </w:r>
      <w:r w:rsidRPr="007C15A2">
        <w:rPr>
          <w:rStyle w:val="normaltextrun"/>
          <w:rFonts w:ascii="Arial" w:hAnsi="Arial" w:cs="Arial"/>
          <w:color w:val="000000"/>
          <w:sz w:val="22"/>
          <w:szCs w:val="22"/>
          <w:shd w:val="clear" w:color="auto" w:fill="FFFFFF"/>
          <w:lang w:val="es-ES"/>
        </w:rPr>
        <w:t xml:space="preserve">a posibilidad de solicitar experiencia adicional ocurre cuando el objeto contractual incluye bienes o servicios adicionales a la obra pública de infraestructura de transporte. Esto implica que: i) la actividad que se requiere, si bien es una labor de obra, no está relacionada con la infraestructura de transporte, por ejemplo, la construcción de un parque cerca de la vía, y </w:t>
      </w:r>
      <w:proofErr w:type="spellStart"/>
      <w:r w:rsidRPr="007C15A2">
        <w:rPr>
          <w:rStyle w:val="normaltextrun"/>
          <w:rFonts w:ascii="Arial" w:hAnsi="Arial" w:cs="Arial"/>
          <w:color w:val="000000"/>
          <w:sz w:val="22"/>
          <w:szCs w:val="22"/>
          <w:shd w:val="clear" w:color="auto" w:fill="FFFFFF"/>
          <w:lang w:val="es-ES"/>
        </w:rPr>
        <w:t>ii</w:t>
      </w:r>
      <w:proofErr w:type="spellEnd"/>
      <w:r w:rsidRPr="007C15A2">
        <w:rPr>
          <w:rStyle w:val="normaltextrun"/>
          <w:rFonts w:ascii="Arial" w:hAnsi="Arial" w:cs="Arial"/>
          <w:color w:val="000000"/>
          <w:sz w:val="22"/>
          <w:szCs w:val="22"/>
          <w:shd w:val="clear" w:color="auto" w:fill="FFFFFF"/>
          <w:lang w:val="es-ES"/>
        </w:rPr>
        <w:t xml:space="preserve">) el bien o servicio adicional es distinto a la actividad principal, aun cuando se relaciona con la infraestructura de transporte, </w:t>
      </w:r>
      <w:r w:rsidRPr="007C15A2">
        <w:rPr>
          <w:rStyle w:val="normaltextrun"/>
          <w:rFonts w:ascii="Arial" w:hAnsi="Arial" w:cs="Arial"/>
          <w:i/>
          <w:iCs/>
          <w:color w:val="000000"/>
          <w:sz w:val="22"/>
          <w:szCs w:val="22"/>
          <w:shd w:val="clear" w:color="auto" w:fill="FFFFFF"/>
          <w:lang w:val="es-ES"/>
        </w:rPr>
        <w:t>v. gr</w:t>
      </w:r>
      <w:r w:rsidRPr="007C15A2">
        <w:rPr>
          <w:rStyle w:val="normaltextrun"/>
          <w:rFonts w:ascii="Arial" w:hAnsi="Arial" w:cs="Arial"/>
          <w:color w:val="000000"/>
          <w:sz w:val="22"/>
          <w:szCs w:val="22"/>
          <w:shd w:val="clear" w:color="auto" w:fill="FFFFFF"/>
          <w:lang w:val="es-ES"/>
        </w:rPr>
        <w:t>., 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r w:rsidRPr="007C15A2">
        <w:rPr>
          <w:rFonts w:ascii="Arial" w:eastAsia="Calibri" w:hAnsi="Arial" w:cs="Arial"/>
          <w:sz w:val="22"/>
          <w:szCs w:val="22"/>
        </w:rPr>
        <w:t xml:space="preserve">. </w:t>
      </w:r>
    </w:p>
    <w:p w14:paraId="5ADD189A" w14:textId="0DDE2EE9" w:rsidR="00BA40F4" w:rsidRPr="00BA40F4" w:rsidRDefault="001D2495" w:rsidP="00C1373A">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Sin perjuicio de lo anterior,</w:t>
      </w:r>
      <w:r w:rsidR="00634376">
        <w:rPr>
          <w:rFonts w:ascii="Arial" w:eastAsia="Calibri" w:hAnsi="Arial" w:cs="Arial"/>
          <w:color w:val="000000" w:themeColor="text1"/>
          <w:sz w:val="22"/>
        </w:rPr>
        <w:t xml:space="preserve"> es necesario tener en cuenta que </w:t>
      </w:r>
      <w:r w:rsidR="00634376" w:rsidRPr="00667150">
        <w:rPr>
          <w:rFonts w:ascii="Arial" w:hAnsi="Arial" w:cs="Arial"/>
          <w:color w:val="000000" w:themeColor="text1"/>
          <w:sz w:val="22"/>
        </w:rPr>
        <w:t xml:space="preserve">el mantenimiento de vías </w:t>
      </w:r>
      <w:r w:rsidR="00634376">
        <w:rPr>
          <w:rFonts w:ascii="Arial" w:hAnsi="Arial" w:cs="Arial"/>
          <w:color w:val="000000" w:themeColor="text1"/>
          <w:sz w:val="22"/>
        </w:rPr>
        <w:t xml:space="preserve">primarias, </w:t>
      </w:r>
      <w:r w:rsidR="00634376" w:rsidRPr="00667150">
        <w:rPr>
          <w:rFonts w:ascii="Arial" w:hAnsi="Arial" w:cs="Arial"/>
          <w:color w:val="000000" w:themeColor="text1"/>
          <w:sz w:val="22"/>
        </w:rPr>
        <w:t>secundar</w:t>
      </w:r>
      <w:r w:rsidR="00634376">
        <w:rPr>
          <w:rFonts w:ascii="Arial" w:hAnsi="Arial" w:cs="Arial"/>
          <w:color w:val="000000" w:themeColor="text1"/>
          <w:sz w:val="22"/>
        </w:rPr>
        <w:t>i</w:t>
      </w:r>
      <w:r w:rsidR="00634376" w:rsidRPr="00667150">
        <w:rPr>
          <w:rFonts w:ascii="Arial" w:hAnsi="Arial" w:cs="Arial"/>
          <w:color w:val="000000" w:themeColor="text1"/>
          <w:sz w:val="22"/>
        </w:rPr>
        <w:t>as</w:t>
      </w:r>
      <w:r w:rsidR="00634376">
        <w:rPr>
          <w:rFonts w:ascii="Arial" w:hAnsi="Arial" w:cs="Arial"/>
          <w:color w:val="000000" w:themeColor="text1"/>
          <w:sz w:val="22"/>
        </w:rPr>
        <w:t>, y</w:t>
      </w:r>
      <w:r w:rsidR="00634376" w:rsidRPr="00667150">
        <w:rPr>
          <w:rFonts w:ascii="Arial" w:hAnsi="Arial" w:cs="Arial"/>
          <w:color w:val="000000" w:themeColor="text1"/>
          <w:sz w:val="22"/>
        </w:rPr>
        <w:t xml:space="preserve"> terciarias</w:t>
      </w:r>
      <w:r w:rsidR="00634376">
        <w:rPr>
          <w:rFonts w:ascii="Arial" w:hAnsi="Arial" w:cs="Arial"/>
          <w:color w:val="000000" w:themeColor="text1"/>
          <w:sz w:val="22"/>
        </w:rPr>
        <w:t xml:space="preserve">, </w:t>
      </w:r>
      <w:r w:rsidR="00634376" w:rsidRPr="00667150">
        <w:rPr>
          <w:rFonts w:ascii="Arial" w:hAnsi="Arial" w:cs="Arial"/>
          <w:color w:val="000000" w:themeColor="text1"/>
          <w:sz w:val="22"/>
        </w:rPr>
        <w:t xml:space="preserve">mediante actividades de </w:t>
      </w:r>
      <w:r w:rsidR="00634376" w:rsidRPr="00667150">
        <w:rPr>
          <w:rFonts w:ascii="Arial" w:hAnsi="Arial" w:cs="Arial"/>
          <w:i/>
          <w:iCs/>
          <w:color w:val="000000" w:themeColor="text1"/>
          <w:sz w:val="22"/>
        </w:rPr>
        <w:t>rocería</w:t>
      </w:r>
      <w:r w:rsidR="00634376" w:rsidRPr="00667150">
        <w:rPr>
          <w:rFonts w:ascii="Arial" w:hAnsi="Arial" w:cs="Arial"/>
          <w:color w:val="000000" w:themeColor="text1"/>
          <w:sz w:val="22"/>
        </w:rPr>
        <w:t xml:space="preserve"> </w:t>
      </w:r>
      <w:r w:rsidR="00634376">
        <w:rPr>
          <w:rFonts w:ascii="Arial" w:hAnsi="Arial" w:cs="Arial"/>
          <w:color w:val="000000" w:themeColor="text1"/>
          <w:sz w:val="22"/>
        </w:rPr>
        <w:t xml:space="preserve">y aquellas que se ejecuten para realizar un mantenimiento rutinario de las vías, </w:t>
      </w:r>
      <w:r w:rsidR="00634376" w:rsidRPr="00667150">
        <w:rPr>
          <w:rFonts w:ascii="Arial" w:hAnsi="Arial" w:cs="Arial"/>
          <w:color w:val="000000" w:themeColor="text1"/>
          <w:sz w:val="22"/>
        </w:rPr>
        <w:t>se enmarca en el objeto del contrato de obra</w:t>
      </w:r>
      <w:r w:rsidR="00634376">
        <w:rPr>
          <w:rFonts w:ascii="Arial" w:hAnsi="Arial" w:cs="Arial"/>
          <w:color w:val="000000" w:themeColor="text1"/>
          <w:sz w:val="22"/>
        </w:rPr>
        <w:t xml:space="preserve">, por lo que no constituye una obra o servicio adicional en los términos explicados </w:t>
      </w:r>
      <w:r w:rsidR="00634376" w:rsidRPr="007C15A2">
        <w:rPr>
          <w:rFonts w:ascii="Arial" w:hAnsi="Arial" w:cs="Arial"/>
          <w:i/>
          <w:iCs/>
          <w:color w:val="000000" w:themeColor="text1"/>
          <w:sz w:val="22"/>
        </w:rPr>
        <w:t>ut supra</w:t>
      </w:r>
      <w:r w:rsidR="00634376">
        <w:rPr>
          <w:rFonts w:ascii="Arial" w:hAnsi="Arial" w:cs="Arial"/>
          <w:color w:val="000000" w:themeColor="text1"/>
          <w:sz w:val="22"/>
        </w:rPr>
        <w:t xml:space="preserve">. Dado </w:t>
      </w:r>
      <w:r w:rsidR="00634376" w:rsidRPr="00667150">
        <w:rPr>
          <w:rFonts w:ascii="Arial" w:hAnsi="Arial" w:cs="Arial"/>
          <w:color w:val="000000" w:themeColor="text1"/>
          <w:sz w:val="22"/>
        </w:rPr>
        <w:t xml:space="preserve">que el mantenimiento de este tipo de vías </w:t>
      </w:r>
      <w:r w:rsidR="00634376">
        <w:rPr>
          <w:rFonts w:ascii="Arial" w:hAnsi="Arial" w:cs="Arial"/>
          <w:color w:val="000000" w:themeColor="text1"/>
          <w:sz w:val="22"/>
        </w:rPr>
        <w:t>está previsto</w:t>
      </w:r>
      <w:r w:rsidR="00634376" w:rsidRPr="00667150">
        <w:rPr>
          <w:rFonts w:ascii="Arial" w:hAnsi="Arial" w:cs="Arial"/>
          <w:color w:val="000000" w:themeColor="text1"/>
          <w:sz w:val="22"/>
        </w:rPr>
        <w:t xml:space="preserve"> en los numerales </w:t>
      </w:r>
      <w:r w:rsidR="00634376">
        <w:rPr>
          <w:rFonts w:ascii="Arial" w:hAnsi="Arial" w:cs="Arial"/>
          <w:color w:val="000000" w:themeColor="text1"/>
          <w:sz w:val="22"/>
        </w:rPr>
        <w:t>1</w:t>
      </w:r>
      <w:r w:rsidR="00634376" w:rsidRPr="00667150">
        <w:rPr>
          <w:rFonts w:ascii="Arial" w:hAnsi="Arial" w:cs="Arial"/>
          <w:color w:val="000000" w:themeColor="text1"/>
          <w:sz w:val="22"/>
        </w:rPr>
        <w:t>.</w:t>
      </w:r>
      <w:r w:rsidR="00634376">
        <w:rPr>
          <w:rFonts w:ascii="Arial" w:hAnsi="Arial" w:cs="Arial"/>
          <w:color w:val="000000" w:themeColor="text1"/>
          <w:sz w:val="22"/>
        </w:rPr>
        <w:t>3</w:t>
      </w:r>
      <w:r w:rsidR="00634376" w:rsidRPr="00667150">
        <w:rPr>
          <w:rFonts w:ascii="Arial" w:hAnsi="Arial" w:cs="Arial"/>
          <w:color w:val="000000" w:themeColor="text1"/>
          <w:sz w:val="22"/>
        </w:rPr>
        <w:t xml:space="preserve"> y 2.3 de la Matriz 1, </w:t>
      </w:r>
      <w:r w:rsidR="00634376">
        <w:rPr>
          <w:rFonts w:ascii="Arial" w:hAnsi="Arial" w:cs="Arial"/>
          <w:color w:val="000000" w:themeColor="text1"/>
          <w:sz w:val="22"/>
        </w:rPr>
        <w:t>en l</w:t>
      </w:r>
      <w:r w:rsidR="00634376" w:rsidRPr="00667150">
        <w:rPr>
          <w:rFonts w:ascii="Arial" w:hAnsi="Arial" w:cs="Arial"/>
          <w:color w:val="000000" w:themeColor="text1"/>
          <w:sz w:val="22"/>
        </w:rPr>
        <w:t>os procesos que adelanten entidades estatales regidas por el Estatuto General de Contratación de la Administración Pública para la contratación de tales actividades deberá</w:t>
      </w:r>
      <w:r w:rsidR="00634376">
        <w:rPr>
          <w:rFonts w:ascii="Arial" w:hAnsi="Arial" w:cs="Arial"/>
          <w:color w:val="000000" w:themeColor="text1"/>
          <w:sz w:val="22"/>
        </w:rPr>
        <w:t xml:space="preserve"> exigirse la experiencia prevista en </w:t>
      </w:r>
      <w:r w:rsidR="00634376" w:rsidRPr="00667150">
        <w:rPr>
          <w:rFonts w:ascii="Arial" w:hAnsi="Arial" w:cs="Arial"/>
          <w:color w:val="000000" w:themeColor="text1"/>
          <w:sz w:val="22"/>
        </w:rPr>
        <w:t xml:space="preserve">los documentos tipo adoptados </w:t>
      </w:r>
      <w:r w:rsidR="00634376">
        <w:rPr>
          <w:rFonts w:ascii="Arial" w:hAnsi="Arial" w:cs="Arial"/>
          <w:color w:val="000000" w:themeColor="text1"/>
          <w:sz w:val="22"/>
        </w:rPr>
        <w:t xml:space="preserve">mediante las Resoluciones </w:t>
      </w:r>
      <w:r w:rsidR="00634376" w:rsidRPr="007C15A2">
        <w:rPr>
          <w:rFonts w:ascii="Arial" w:eastAsia="Calibri" w:hAnsi="Arial" w:cs="Arial"/>
          <w:color w:val="000000"/>
          <w:sz w:val="22"/>
          <w:szCs w:val="22"/>
          <w:lang w:val="es-ES_tradnl" w:eastAsia="es-ES"/>
        </w:rPr>
        <w:t>Resoluciones 240</w:t>
      </w:r>
      <w:r w:rsidR="00634376">
        <w:rPr>
          <w:rFonts w:ascii="Arial" w:eastAsia="Calibri" w:hAnsi="Arial" w:cs="Arial"/>
          <w:color w:val="000000"/>
          <w:sz w:val="22"/>
          <w:szCs w:val="22"/>
          <w:lang w:val="es-ES_tradnl" w:eastAsia="es-ES"/>
        </w:rPr>
        <w:t>, 241 y 094 de 2020</w:t>
      </w:r>
      <w:r w:rsidR="005620A4" w:rsidRPr="00667150">
        <w:rPr>
          <w:rFonts w:ascii="Arial" w:eastAsia="Calibri" w:hAnsi="Arial" w:cs="Arial"/>
          <w:color w:val="000000" w:themeColor="text1"/>
          <w:sz w:val="22"/>
        </w:rPr>
        <w:t>.</w:t>
      </w:r>
    </w:p>
    <w:p w14:paraId="14466E16" w14:textId="77777777" w:rsidR="00BA40F4" w:rsidRPr="007C15A2" w:rsidRDefault="00BA40F4" w:rsidP="00BA40F4">
      <w:pPr>
        <w:spacing w:before="120" w:line="276" w:lineRule="auto"/>
        <w:ind w:firstLine="708"/>
        <w:jc w:val="both"/>
        <w:rPr>
          <w:rFonts w:ascii="Arial" w:hAnsi="Arial" w:cs="Arial"/>
          <w:b/>
          <w:bCs/>
          <w:sz w:val="22"/>
          <w:szCs w:val="22"/>
          <w:lang w:eastAsia="es-CO"/>
        </w:rPr>
      </w:pPr>
      <w:r>
        <w:rPr>
          <w:rFonts w:ascii="Arial" w:eastAsia="Calibri" w:hAnsi="Arial" w:cs="Arial"/>
          <w:color w:val="000000"/>
          <w:sz w:val="22"/>
          <w:szCs w:val="22"/>
          <w:lang w:eastAsia="es-ES_tradnl"/>
        </w:rPr>
        <w:t>D</w:t>
      </w:r>
      <w:r w:rsidRPr="007C15A2">
        <w:rPr>
          <w:rFonts w:ascii="Arial" w:hAnsi="Arial" w:cs="Arial"/>
          <w:sz w:val="22"/>
          <w:szCs w:val="22"/>
          <w:lang w:eastAsia="es-ES_tradnl"/>
        </w:rPr>
        <w:t xml:space="preserve">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que contemplada en dicha matriz. </w:t>
      </w:r>
      <w:r w:rsidRPr="007C15A2">
        <w:rPr>
          <w:rFonts w:ascii="Arial" w:eastAsia="Calibri" w:hAnsi="Arial" w:cs="Arial"/>
          <w:sz w:val="22"/>
          <w:szCs w:val="22"/>
        </w:rPr>
        <w:t xml:space="preserve">Asimismo, si el bien o servicio adicional está asociado a un proyecto del sector transporte, la entidad contratante aplicará los parámetros </w:t>
      </w:r>
      <w:r w:rsidRPr="007C15A2">
        <w:rPr>
          <w:rFonts w:ascii="Arial" w:hAnsi="Arial" w:cs="Arial"/>
          <w:sz w:val="22"/>
          <w:szCs w:val="22"/>
        </w:rPr>
        <w:t xml:space="preserve">y reglas estandarizadas en el documento </w:t>
      </w:r>
      <w:r w:rsidRPr="007C15A2">
        <w:rPr>
          <w:rFonts w:ascii="Arial" w:hAnsi="Arial" w:cs="Arial"/>
          <w:sz w:val="22"/>
          <w:szCs w:val="22"/>
        </w:rPr>
        <w:lastRenderedPageBreak/>
        <w:t>tipo, teniendo en cuenta además las reglas de experiencia adicional previstas en e</w:t>
      </w:r>
      <w:r w:rsidRPr="00DD2E4F">
        <w:rPr>
          <w:rFonts w:ascii="Arial" w:hAnsi="Arial" w:cs="Arial"/>
          <w:sz w:val="22"/>
          <w:szCs w:val="22"/>
        </w:rPr>
        <w:t>l artículo 4 de las Resoluciones 240 y 241 de 2020, así como el artículo 2.2.1.2.6.3.5 del Decreto 1082 de 2015</w:t>
      </w:r>
      <w:r w:rsidRPr="007C15A2">
        <w:rPr>
          <w:rFonts w:ascii="Arial" w:hAnsi="Arial" w:cs="Arial"/>
          <w:sz w:val="22"/>
          <w:szCs w:val="22"/>
        </w:rPr>
        <w:t xml:space="preserve">.  </w:t>
      </w:r>
    </w:p>
    <w:p w14:paraId="5D775A2C" w14:textId="77777777" w:rsidR="00DD3396" w:rsidRPr="00924DEF" w:rsidRDefault="00DD3396" w:rsidP="00C1373A">
      <w:pPr>
        <w:spacing w:after="120" w:line="276" w:lineRule="auto"/>
        <w:jc w:val="both"/>
      </w:pPr>
    </w:p>
    <w:p w14:paraId="46CB3F9F" w14:textId="77777777"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7E549757" w14:textId="77777777" w:rsidR="00DD3396" w:rsidRPr="00924DEF" w:rsidRDefault="00DD3396" w:rsidP="00DD3396">
      <w:pPr>
        <w:jc w:val="both"/>
        <w:rPr>
          <w:rFonts w:ascii="Arial" w:eastAsia="Calibri" w:hAnsi="Arial" w:cs="Arial"/>
          <w:sz w:val="22"/>
          <w:szCs w:val="22"/>
          <w:lang w:val="es-ES"/>
        </w:rPr>
      </w:pPr>
    </w:p>
    <w:p w14:paraId="3721BC85" w14:textId="3E0F8F2E" w:rsidR="00F35189" w:rsidRDefault="00DD3396" w:rsidP="00DD3396">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75F4B658" w14:textId="77777777" w:rsidR="00BC7BCA" w:rsidRPr="00924DEF" w:rsidRDefault="00BC7BCA" w:rsidP="00DD3396">
      <w:pPr>
        <w:jc w:val="both"/>
        <w:rPr>
          <w:rFonts w:ascii="Arial" w:hAnsi="Arial" w:cs="Arial"/>
          <w:sz w:val="22"/>
          <w:szCs w:val="22"/>
          <w:lang w:val="es-ES" w:eastAsia="es-CO"/>
        </w:rPr>
      </w:pPr>
    </w:p>
    <w:p w14:paraId="1EA301F3" w14:textId="67BF0B3A" w:rsidR="00DD3396" w:rsidRPr="0008465D" w:rsidRDefault="00BC5580" w:rsidP="00DD3396">
      <w:pPr>
        <w:jc w:val="center"/>
        <w:rPr>
          <w:rFonts w:ascii="Arial" w:hAnsi="Arial" w:cs="Arial"/>
          <w:sz w:val="18"/>
          <w:szCs w:val="20"/>
          <w:lang w:val="es-ES" w:eastAsia="es-CO"/>
        </w:rPr>
      </w:pPr>
      <w:r>
        <w:rPr>
          <w:noProof/>
        </w:rPr>
        <w:drawing>
          <wp:inline distT="0" distB="0" distL="0" distR="0" wp14:anchorId="271E972C" wp14:editId="5B9A4A6D">
            <wp:extent cx="2247182" cy="983411"/>
            <wp:effectExtent l="0" t="0" r="1270" b="7620"/>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2262203" cy="989984"/>
                    </a:xfrm>
                    <a:prstGeom prst="rect">
                      <a:avLst/>
                    </a:prstGeom>
                  </pic:spPr>
                </pic:pic>
              </a:graphicData>
            </a:graphic>
          </wp:inline>
        </w:drawing>
      </w:r>
    </w:p>
    <w:p w14:paraId="6E8E90DB" w14:textId="244A04A6" w:rsidR="00DD3396" w:rsidRDefault="00DD3396" w:rsidP="00DD3396">
      <w:pPr>
        <w:jc w:val="center"/>
        <w:rPr>
          <w:rFonts w:ascii="Arial" w:hAnsi="Arial" w:cs="Arial"/>
          <w:sz w:val="18"/>
          <w:szCs w:val="20"/>
          <w:lang w:val="es-ES" w:eastAsia="es-CO"/>
        </w:rPr>
      </w:pPr>
    </w:p>
    <w:p w14:paraId="46A10EF9" w14:textId="2BC848EA" w:rsidR="00F35189" w:rsidRDefault="00F35189" w:rsidP="00DD3396">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3396" w:rsidRPr="0008465D" w14:paraId="184BA4E2" w14:textId="77777777" w:rsidTr="008A5DF2">
        <w:trPr>
          <w:trHeight w:val="315"/>
        </w:trPr>
        <w:tc>
          <w:tcPr>
            <w:tcW w:w="812" w:type="dxa"/>
            <w:vAlign w:val="center"/>
            <w:hideMark/>
          </w:tcPr>
          <w:p w14:paraId="6E5809A2"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276713B"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54E2B521"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DD3396" w:rsidRPr="0008465D" w14:paraId="0FD9A13A" w14:textId="77777777" w:rsidTr="008A5DF2">
        <w:trPr>
          <w:trHeight w:val="330"/>
        </w:trPr>
        <w:tc>
          <w:tcPr>
            <w:tcW w:w="812" w:type="dxa"/>
            <w:vAlign w:val="center"/>
            <w:hideMark/>
          </w:tcPr>
          <w:p w14:paraId="2901292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956A3B" w14:textId="344C6E0A" w:rsidR="00DD3396" w:rsidRPr="009F5860" w:rsidRDefault="000F0DA0" w:rsidP="008A5DF2">
            <w:pPr>
              <w:rPr>
                <w:rFonts w:ascii="Arial" w:hAnsi="Arial" w:cs="Arial"/>
                <w:sz w:val="16"/>
                <w:szCs w:val="16"/>
                <w:lang w:val="es-ES" w:eastAsia="es-ES"/>
              </w:rPr>
            </w:pPr>
            <w:r>
              <w:rPr>
                <w:rFonts w:ascii="Arial" w:hAnsi="Arial" w:cs="Arial"/>
                <w:sz w:val="16"/>
                <w:szCs w:val="16"/>
                <w:lang w:val="es-ES" w:eastAsia="es-ES"/>
              </w:rPr>
              <w:t xml:space="preserve">Juan David Montoya Penagos </w:t>
            </w:r>
          </w:p>
          <w:p w14:paraId="7B192CD3" w14:textId="77777777" w:rsidR="00DD3396" w:rsidRPr="0008465D" w:rsidRDefault="00DD3396" w:rsidP="008A5DF2">
            <w:pPr>
              <w:rPr>
                <w:rFonts w:ascii="Arial" w:hAnsi="Arial" w:cs="Arial"/>
                <w:sz w:val="16"/>
                <w:szCs w:val="16"/>
                <w:lang w:val="es-ES" w:eastAsia="es-ES"/>
              </w:rPr>
            </w:pPr>
            <w:r w:rsidRPr="009F5860">
              <w:rPr>
                <w:rFonts w:ascii="Arial" w:hAnsi="Arial" w:cs="Arial"/>
                <w:sz w:val="16"/>
                <w:szCs w:val="16"/>
                <w:lang w:val="es-ES" w:eastAsia="es-ES"/>
              </w:rPr>
              <w:t>Gestor T1-1</w:t>
            </w:r>
            <w:r>
              <w:rPr>
                <w:rFonts w:ascii="Arial" w:hAnsi="Arial" w:cs="Arial"/>
                <w:sz w:val="16"/>
                <w:szCs w:val="16"/>
                <w:lang w:val="es-ES" w:eastAsia="es-ES"/>
              </w:rPr>
              <w:t>5</w:t>
            </w:r>
            <w:r w:rsidRPr="009F5860">
              <w:rPr>
                <w:rFonts w:ascii="Arial" w:hAnsi="Arial" w:cs="Arial"/>
                <w:sz w:val="16"/>
                <w:szCs w:val="16"/>
                <w:lang w:val="es-ES" w:eastAsia="es-ES"/>
              </w:rPr>
              <w:t xml:space="preserve"> de la Subdirección de Gestión Contractual</w:t>
            </w:r>
          </w:p>
        </w:tc>
      </w:tr>
      <w:tr w:rsidR="00DD3396" w:rsidRPr="0008465D" w14:paraId="22915ADC" w14:textId="77777777" w:rsidTr="008A5DF2">
        <w:trPr>
          <w:trHeight w:val="300"/>
        </w:trPr>
        <w:tc>
          <w:tcPr>
            <w:tcW w:w="812" w:type="dxa"/>
            <w:vAlign w:val="center"/>
            <w:hideMark/>
          </w:tcPr>
          <w:p w14:paraId="2B0AEA3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C8FA87"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253FFB1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79C38D80" w14:textId="77777777" w:rsidR="00B55C9B" w:rsidRDefault="00B55C9B"/>
    <w:sectPr w:rsidR="00B55C9B"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5D09B" w14:textId="77777777" w:rsidR="00CA175F" w:rsidRDefault="00CA175F" w:rsidP="00DD3396">
      <w:r>
        <w:separator/>
      </w:r>
    </w:p>
  </w:endnote>
  <w:endnote w:type="continuationSeparator" w:id="0">
    <w:p w14:paraId="72414C3D" w14:textId="77777777" w:rsidR="00CA175F" w:rsidRDefault="00CA175F" w:rsidP="00DD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34E8" w14:textId="77777777" w:rsidR="00387886" w:rsidRDefault="00000000" w:rsidP="007F1895">
    <w:pPr>
      <w:pStyle w:val="Sinespaciado"/>
      <w:jc w:val="right"/>
      <w:rPr>
        <w:rFonts w:ascii="Arial" w:hAnsi="Arial" w:cs="Arial"/>
        <w:sz w:val="18"/>
        <w:szCs w:val="18"/>
      </w:rPr>
    </w:pPr>
  </w:p>
  <w:p w14:paraId="05CFB081" w14:textId="77777777" w:rsidR="00387886" w:rsidRDefault="00000000" w:rsidP="007F1895">
    <w:pPr>
      <w:pStyle w:val="Sinespaciado"/>
      <w:jc w:val="right"/>
      <w:rPr>
        <w:rFonts w:ascii="Arial" w:hAnsi="Arial" w:cs="Arial"/>
        <w:sz w:val="18"/>
        <w:szCs w:val="18"/>
      </w:rPr>
    </w:pPr>
  </w:p>
  <w:p w14:paraId="0BB30109" w14:textId="77777777" w:rsidR="00387886" w:rsidRPr="008217B7" w:rsidRDefault="00AB6FA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D3B6446" w14:textId="77777777" w:rsidR="00387886" w:rsidRDefault="00AB6FA6" w:rsidP="007F1895">
    <w:pPr>
      <w:pStyle w:val="Piedepgina"/>
      <w:jc w:val="center"/>
      <w:rPr>
        <w:lang w:val="es-ES"/>
      </w:rPr>
    </w:pPr>
    <w:r>
      <w:rPr>
        <w:noProof/>
      </w:rPr>
      <w:drawing>
        <wp:inline distT="0" distB="0" distL="0" distR="0" wp14:anchorId="2E7C97FE" wp14:editId="7CDFBE9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A82BF81" w14:textId="77777777" w:rsidR="00387886" w:rsidRPr="00E756AC" w:rsidRDefault="00000000" w:rsidP="007F1895">
    <w:pPr>
      <w:pStyle w:val="Piedepgina"/>
      <w:jc w:val="center"/>
      <w:rPr>
        <w:sz w:val="18"/>
        <w:szCs w:val="18"/>
        <w:lang w:val="es-ES"/>
      </w:rPr>
    </w:pPr>
  </w:p>
  <w:p w14:paraId="24F964E6" w14:textId="77777777" w:rsidR="00387886" w:rsidRPr="00E756AC" w:rsidRDefault="0000000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A503A" w14:textId="77777777" w:rsidR="00CA175F" w:rsidRDefault="00CA175F" w:rsidP="00DD3396">
      <w:r>
        <w:separator/>
      </w:r>
    </w:p>
  </w:footnote>
  <w:footnote w:type="continuationSeparator" w:id="0">
    <w:p w14:paraId="0F1D7E9D" w14:textId="77777777" w:rsidR="00CA175F" w:rsidRDefault="00CA175F" w:rsidP="00DD3396">
      <w:r>
        <w:continuationSeparator/>
      </w:r>
    </w:p>
  </w:footnote>
  <w:footnote w:id="1">
    <w:p w14:paraId="68DDE602" w14:textId="77777777" w:rsidR="00F60B77" w:rsidRPr="00640E20" w:rsidRDefault="00F60B77" w:rsidP="00F60B77">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2">
    <w:p w14:paraId="23CDD5C3" w14:textId="77777777" w:rsidR="00F60B77" w:rsidRPr="00640E20" w:rsidRDefault="00F60B77" w:rsidP="00F60B77">
      <w:pPr>
        <w:pStyle w:val="Textonotapie"/>
        <w:spacing w:after="12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A8E570F" w14:textId="77777777" w:rsidR="00F60B77" w:rsidRPr="00640E20" w:rsidRDefault="00F60B77" w:rsidP="00F60B77">
      <w:pPr>
        <w:pStyle w:val="Textonotapie"/>
        <w:spacing w:after="120"/>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31AE9D49" w14:textId="77777777" w:rsidR="00F60B77" w:rsidRPr="00640E20" w:rsidRDefault="00F60B77" w:rsidP="00F60B77">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3">
    <w:p w14:paraId="12D4D443" w14:textId="77777777" w:rsidR="00F60B77" w:rsidRPr="00640E20" w:rsidRDefault="00F60B77" w:rsidP="00F60B77">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9DFC08C" w14:textId="77777777" w:rsidR="00F60B77" w:rsidRPr="00640E20" w:rsidRDefault="00F60B77" w:rsidP="00F60B77">
      <w:pPr>
        <w:pStyle w:val="Textonotapie"/>
        <w:ind w:firstLine="709"/>
        <w:jc w:val="both"/>
        <w:rPr>
          <w:rFonts w:ascii="Arial" w:hAnsi="Arial" w:cs="Arial"/>
          <w:color w:val="000000" w:themeColor="text1"/>
          <w:sz w:val="19"/>
          <w:szCs w:val="19"/>
        </w:rPr>
      </w:pPr>
    </w:p>
  </w:footnote>
  <w:footnote w:id="4">
    <w:p w14:paraId="67EA62CB"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25DCFED5"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»Artículo 4º.</w:t>
      </w:r>
      <w:r w:rsidRPr="00640E20">
        <w:rPr>
          <w:rFonts w:ascii="Arial" w:hAnsi="Arial" w:cs="Arial"/>
          <w:color w:val="000000" w:themeColor="text1"/>
          <w:sz w:val="19"/>
          <w:szCs w:val="19"/>
        </w:rPr>
        <w:t> Adiciónese el siguiente parágrafo al artículo 2º de la Ley 1150 de 2007. </w:t>
      </w:r>
    </w:p>
    <w:p w14:paraId="2A28F93D"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»Parágrafo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0EE540F"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21B6E15"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15B0309"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B902253" w14:textId="77777777" w:rsidR="00F60B77" w:rsidRPr="00640E20" w:rsidRDefault="00F60B77" w:rsidP="00F60B77">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1BABD06C" w14:textId="77777777" w:rsidR="00F60B77" w:rsidRPr="00B96E7C" w:rsidRDefault="00F60B77" w:rsidP="00F60B77">
      <w:pPr>
        <w:pStyle w:val="Textonotapie"/>
        <w:ind w:firstLine="708"/>
        <w:jc w:val="both"/>
        <w:rPr>
          <w:rFonts w:ascii="Arial" w:hAnsi="Arial" w:cs="Arial"/>
          <w:color w:val="000000" w:themeColor="text1"/>
          <w:sz w:val="19"/>
          <w:szCs w:val="19"/>
        </w:rPr>
      </w:pPr>
      <w:r w:rsidRPr="00B96E7C">
        <w:rPr>
          <w:rStyle w:val="Refdenotaalpie"/>
          <w:rFonts w:ascii="Arial" w:hAnsi="Arial" w:cs="Arial"/>
          <w:color w:val="000000" w:themeColor="text1"/>
          <w:sz w:val="19"/>
          <w:szCs w:val="19"/>
        </w:rPr>
        <w:footnoteRef/>
      </w:r>
      <w:r w:rsidRPr="00B96E7C">
        <w:rPr>
          <w:rFonts w:ascii="Arial" w:hAnsi="Arial" w:cs="Arial"/>
          <w:color w:val="000000" w:themeColor="text1"/>
          <w:sz w:val="19"/>
          <w:szCs w:val="19"/>
        </w:rPr>
        <w:t xml:space="preserve"> Agencia Nacional de Contratación Pública – Colombia Compra Eficiente. Resolución No. 240 de 2020: «Articulo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29676EA1" w14:textId="77777777" w:rsidR="00F60B77" w:rsidRPr="00B96E7C" w:rsidRDefault="00F60B77" w:rsidP="00F60B77">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000BD8D7" w14:textId="77777777" w:rsidR="00F60B77" w:rsidRPr="00B96E7C" w:rsidRDefault="00F60B77" w:rsidP="00F60B77">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»2. Conservar los requisitos exigidos en los Documentos Tipo. </w:t>
      </w:r>
    </w:p>
    <w:p w14:paraId="618A70BB" w14:textId="77777777" w:rsidR="00F60B77" w:rsidRPr="00B96E7C" w:rsidRDefault="00F60B77" w:rsidP="00F60B77">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»3. Abstenerse de pedir experiencia exclusiva con entidades estatales, experiencia previa en un territorio específico, limitada en el tiempo o que incluya volúmenes o cantidades de obra específica. </w:t>
      </w:r>
    </w:p>
    <w:p w14:paraId="1713961C" w14:textId="77777777" w:rsidR="00F60B77" w:rsidRPr="00B96E7C" w:rsidRDefault="00F60B77" w:rsidP="00F60B77">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»4. Clasificar la experiencia requerida solo hasta el tercer nivel del Clasificador de Bienes y Servicios e incluir exclusivamente los códigos que estén relacionados directamente con el objeto a contratar». </w:t>
      </w:r>
    </w:p>
  </w:footnote>
  <w:footnote w:id="6">
    <w:p w14:paraId="63B6D9C6" w14:textId="2EF5EBC6" w:rsidR="00BA25BB" w:rsidRPr="00C1373A" w:rsidRDefault="00BA25BB" w:rsidP="00C1373A">
      <w:pPr>
        <w:pStyle w:val="Textonotapie"/>
        <w:ind w:firstLine="708"/>
        <w:jc w:val="both"/>
        <w:rPr>
          <w:rFonts w:ascii="Arial" w:hAnsi="Arial" w:cs="Arial"/>
          <w:sz w:val="19"/>
          <w:szCs w:val="19"/>
        </w:rPr>
      </w:pPr>
      <w:r w:rsidRPr="00C1373A">
        <w:rPr>
          <w:rStyle w:val="Refdenotaalpie"/>
          <w:rFonts w:ascii="Arial" w:hAnsi="Arial" w:cs="Arial"/>
          <w:sz w:val="19"/>
          <w:szCs w:val="19"/>
        </w:rPr>
        <w:footnoteRef/>
      </w:r>
      <w:r w:rsidRPr="00C1373A">
        <w:rPr>
          <w:rFonts w:ascii="Arial" w:hAnsi="Arial" w:cs="Arial"/>
          <w:sz w:val="19"/>
          <w:szCs w:val="19"/>
        </w:rPr>
        <w:t xml:space="preserve"> </w:t>
      </w:r>
      <w:r w:rsidR="0094418F">
        <w:rPr>
          <w:rFonts w:ascii="Arial" w:hAnsi="Arial" w:cs="Arial"/>
          <w:sz w:val="19"/>
          <w:szCs w:val="19"/>
        </w:rPr>
        <w:t>El inciso primero de la norma citada dispone que «</w:t>
      </w:r>
      <w:r w:rsidR="0094418F" w:rsidRPr="0094418F">
        <w:rPr>
          <w:rFonts w:ascii="Arial" w:hAnsi="Arial" w:cs="Arial"/>
          <w:sz w:val="19"/>
          <w:szCs w:val="19"/>
        </w:rPr>
        <w:t xml:space="preserve">Son contratos de obra los que celebren las entidades estatales para la construcción, </w:t>
      </w:r>
      <w:r w:rsidR="0094418F" w:rsidRPr="00C1373A">
        <w:rPr>
          <w:rFonts w:ascii="Arial" w:hAnsi="Arial" w:cs="Arial"/>
          <w:i/>
          <w:iCs/>
          <w:sz w:val="19"/>
          <w:szCs w:val="19"/>
        </w:rPr>
        <w:t>mantenimiento</w:t>
      </w:r>
      <w:r w:rsidR="0094418F" w:rsidRPr="0094418F">
        <w:rPr>
          <w:rFonts w:ascii="Arial" w:hAnsi="Arial" w:cs="Arial"/>
          <w:sz w:val="19"/>
          <w:szCs w:val="19"/>
        </w:rPr>
        <w:t>, instalación y, en general, para la realización de cualquier otro trabajo material sobre bienes inmuebles, cualquiera que sea la modalidad de ejecución y pago</w:t>
      </w:r>
      <w:r w:rsidR="0094418F">
        <w:rPr>
          <w:rFonts w:ascii="Arial" w:hAnsi="Arial" w:cs="Arial"/>
          <w:sz w:val="19"/>
          <w:szCs w:val="19"/>
        </w:rPr>
        <w:t>» (Énfasis fuera de texto)</w:t>
      </w:r>
      <w:r w:rsidR="0094418F" w:rsidRPr="0094418F">
        <w:rPr>
          <w:rFonts w:ascii="Arial" w:hAnsi="Arial" w:cs="Arial"/>
          <w:sz w:val="19"/>
          <w:szCs w:val="19"/>
        </w:rPr>
        <w:t>.</w:t>
      </w:r>
    </w:p>
  </w:footnote>
  <w:footnote w:id="7">
    <w:p w14:paraId="31871EFD" w14:textId="77777777" w:rsidR="002943BE" w:rsidRPr="006643B2" w:rsidRDefault="002943BE" w:rsidP="002943BE">
      <w:pPr>
        <w:pStyle w:val="Textonotapie"/>
        <w:ind w:firstLine="708"/>
        <w:jc w:val="both"/>
        <w:rPr>
          <w:rFonts w:ascii="Arial" w:hAnsi="Arial" w:cs="Arial"/>
          <w:color w:val="000000" w:themeColor="text1"/>
          <w:sz w:val="18"/>
          <w:szCs w:val="18"/>
          <w:lang w:val="es-CO"/>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Pr="006643B2">
        <w:rPr>
          <w:rFonts w:ascii="Arial" w:hAnsi="Arial" w:cs="Arial"/>
          <w:color w:val="000000" w:themeColor="text1"/>
          <w:sz w:val="18"/>
          <w:szCs w:val="18"/>
        </w:rPr>
        <w:t xml:space="preserve">Diccionario de la Real Academia Española de la Legua. Recuperado en: </w:t>
      </w:r>
      <w:hyperlink r:id="rId1" w:history="1">
        <w:r w:rsidRPr="006643B2">
          <w:rPr>
            <w:rStyle w:val="Hipervnculo"/>
            <w:rFonts w:ascii="Arial" w:hAnsi="Arial" w:cs="Arial"/>
            <w:color w:val="000000" w:themeColor="text1"/>
            <w:sz w:val="18"/>
            <w:szCs w:val="18"/>
          </w:rPr>
          <w:t>https://dle.rae.es/rocer%C3%ADa</w:t>
        </w:r>
      </w:hyperlink>
      <w:r w:rsidRPr="006643B2">
        <w:rPr>
          <w:rFonts w:ascii="Arial" w:hAnsi="Arial" w:cs="Arial"/>
          <w:color w:val="000000" w:themeColor="text1"/>
          <w:sz w:val="18"/>
          <w:szCs w:val="18"/>
        </w:rPr>
        <w:t xml:space="preserve"> </w:t>
      </w:r>
    </w:p>
  </w:footnote>
  <w:footnote w:id="8">
    <w:p w14:paraId="27BC93F2" w14:textId="77777777" w:rsidR="002943BE" w:rsidRPr="006643B2" w:rsidRDefault="002943BE" w:rsidP="002943BE">
      <w:pPr>
        <w:pStyle w:val="Textonotapie"/>
        <w:ind w:firstLine="708"/>
        <w:jc w:val="both"/>
        <w:rPr>
          <w:rFonts w:ascii="Arial" w:hAnsi="Arial" w:cs="Arial"/>
          <w:color w:val="000000" w:themeColor="text1"/>
          <w:sz w:val="18"/>
          <w:szCs w:val="18"/>
        </w:rPr>
      </w:pPr>
    </w:p>
    <w:p w14:paraId="0884820F" w14:textId="77777777" w:rsidR="002943BE" w:rsidRPr="006643B2" w:rsidRDefault="002943BE" w:rsidP="002943BE">
      <w:pPr>
        <w:pStyle w:val="Textonotapie"/>
        <w:ind w:firstLine="708"/>
        <w:rPr>
          <w:rFonts w:ascii="Arial" w:hAnsi="Arial" w:cs="Arial"/>
          <w:color w:val="000000" w:themeColor="text1"/>
          <w:sz w:val="18"/>
          <w:szCs w:val="18"/>
          <w:u w:val="single"/>
        </w:rPr>
      </w:pPr>
      <w:r w:rsidRPr="006643B2">
        <w:rPr>
          <w:rStyle w:val="Refdenotaalpie"/>
          <w:rFonts w:ascii="Arial" w:hAnsi="Arial" w:cs="Arial"/>
          <w:color w:val="000000" w:themeColor="text1"/>
          <w:sz w:val="18"/>
          <w:szCs w:val="18"/>
        </w:rPr>
        <w:footnoteRef/>
      </w:r>
      <w:r w:rsidRPr="006643B2">
        <w:rPr>
          <w:rFonts w:ascii="Arial" w:hAnsi="Arial" w:cs="Arial"/>
          <w:color w:val="000000" w:themeColor="text1"/>
          <w:sz w:val="18"/>
          <w:szCs w:val="18"/>
        </w:rPr>
        <w:t xml:space="preserve"> Instituto Nacional de Vías- INVIAS. </w:t>
      </w:r>
      <w:r w:rsidRPr="006643B2">
        <w:rPr>
          <w:rFonts w:ascii="Arial" w:hAnsi="Arial" w:cs="Arial"/>
          <w:i/>
          <w:iCs/>
          <w:color w:val="000000" w:themeColor="text1"/>
          <w:sz w:val="18"/>
          <w:szCs w:val="18"/>
        </w:rPr>
        <w:t>Glosario de Manual de diseño geométrico de carreteras</w:t>
      </w:r>
      <w:r w:rsidRPr="006643B2">
        <w:rPr>
          <w:rFonts w:ascii="Arial" w:hAnsi="Arial" w:cs="Arial"/>
          <w:color w:val="000000" w:themeColor="text1"/>
          <w:sz w:val="18"/>
          <w:szCs w:val="18"/>
        </w:rPr>
        <w:t>. 2018. Recuperado en</w:t>
      </w:r>
      <w:r w:rsidRPr="006643B2">
        <w:rPr>
          <w:rFonts w:ascii="Arial" w:hAnsi="Arial" w:cs="Arial"/>
          <w:sz w:val="18"/>
          <w:szCs w:val="18"/>
        </w:rPr>
        <w:t xml:space="preserve">: </w:t>
      </w:r>
      <w:hyperlink r:id="rId2" w:history="1">
        <w:r w:rsidRPr="006643B2">
          <w:rPr>
            <w:rFonts w:ascii="Arial" w:hAnsi="Arial" w:cs="Arial"/>
            <w:color w:val="000000" w:themeColor="text1"/>
            <w:sz w:val="18"/>
            <w:szCs w:val="18"/>
            <w:u w:val="single"/>
          </w:rPr>
          <w:t>https://www.invias.gov.co/index.php/servicios-al-ciudadano/glosario/130-glosario-manual-diseno-geometrico-carreteras</w:t>
        </w:r>
      </w:hyperlink>
      <w:r w:rsidRPr="006643B2">
        <w:rPr>
          <w:rFonts w:ascii="Arial" w:hAnsi="Arial" w:cs="Arial"/>
          <w:color w:val="000000" w:themeColor="text1"/>
          <w:sz w:val="18"/>
          <w:szCs w:val="18"/>
          <w:u w:val="single"/>
        </w:rPr>
        <w:t xml:space="preserve">  </w:t>
      </w:r>
    </w:p>
  </w:footnote>
  <w:footnote w:id="9">
    <w:p w14:paraId="5E7E3670" w14:textId="77777777" w:rsidR="002943BE" w:rsidRPr="006643B2" w:rsidRDefault="002943BE" w:rsidP="002943BE">
      <w:pPr>
        <w:pStyle w:val="Textonotapie"/>
        <w:ind w:firstLine="708"/>
        <w:rPr>
          <w:rFonts w:ascii="Arial" w:hAnsi="Arial" w:cs="Arial"/>
          <w:color w:val="000000" w:themeColor="text1"/>
          <w:sz w:val="18"/>
          <w:szCs w:val="18"/>
          <w:u w:val="single"/>
        </w:rPr>
      </w:pPr>
    </w:p>
    <w:p w14:paraId="2AFB6159" w14:textId="2F897CE6" w:rsidR="002943BE" w:rsidRDefault="002943BE" w:rsidP="002943BE">
      <w:pPr>
        <w:pStyle w:val="Textonotapie"/>
        <w:ind w:firstLine="708"/>
        <w:rPr>
          <w:rFonts w:ascii="Arial" w:hAnsi="Arial" w:cs="Arial"/>
          <w:color w:val="000000" w:themeColor="text1"/>
          <w:sz w:val="18"/>
          <w:szCs w:val="18"/>
        </w:rPr>
      </w:pPr>
      <w:r w:rsidRPr="006643B2">
        <w:rPr>
          <w:rFonts w:ascii="Arial" w:hAnsi="Arial" w:cs="Arial"/>
          <w:sz w:val="18"/>
          <w:szCs w:val="18"/>
          <w:u w:val="single"/>
        </w:rPr>
        <w:footnoteRef/>
      </w:r>
      <w:r w:rsidRPr="006643B2">
        <w:rPr>
          <w:rFonts w:ascii="Arial" w:hAnsi="Arial" w:cs="Arial"/>
          <w:color w:val="000000" w:themeColor="text1"/>
          <w:sz w:val="18"/>
          <w:szCs w:val="18"/>
          <w:u w:val="single"/>
        </w:rPr>
        <w:t xml:space="preserve"> Instituto Nacional de Vías – INVIAS. Manual de mantenimiento de carreteras. Vo</w:t>
      </w:r>
      <w:r w:rsidRPr="006643B2">
        <w:rPr>
          <w:rFonts w:ascii="Arial" w:hAnsi="Arial" w:cs="Arial"/>
          <w:i/>
          <w:iCs/>
          <w:color w:val="000000" w:themeColor="text1"/>
          <w:sz w:val="18"/>
          <w:szCs w:val="18"/>
        </w:rPr>
        <w:t xml:space="preserve">lumen 1. 2016. </w:t>
      </w:r>
      <w:r w:rsidRPr="006643B2">
        <w:rPr>
          <w:rFonts w:ascii="Arial" w:hAnsi="Arial" w:cs="Arial"/>
          <w:color w:val="000000" w:themeColor="text1"/>
          <w:sz w:val="18"/>
          <w:szCs w:val="18"/>
        </w:rPr>
        <w:t xml:space="preserve">Disponible en: </w:t>
      </w:r>
      <w:r w:rsidRPr="006643B2">
        <w:rPr>
          <w:rFonts w:ascii="Arial" w:hAnsi="Arial" w:cs="Arial"/>
          <w:color w:val="000000" w:themeColor="text1"/>
          <w:sz w:val="18"/>
          <w:szCs w:val="18"/>
          <w:u w:val="single"/>
        </w:rPr>
        <w:t>https://www.invias.gov.co/index.php/archivo-y-documentos/documentos-tecnicos/7713-manual-de-mantenimiento-de-carreteras-2016-v1/file</w:t>
      </w:r>
      <w:r w:rsidRPr="006643B2">
        <w:rPr>
          <w:rFonts w:ascii="Arial" w:hAnsi="Arial" w:cs="Arial"/>
          <w:color w:val="000000" w:themeColor="text1"/>
          <w:sz w:val="18"/>
          <w:szCs w:val="18"/>
        </w:rPr>
        <w:t xml:space="preserve"> </w:t>
      </w:r>
    </w:p>
    <w:p w14:paraId="48894425" w14:textId="77777777" w:rsidR="009F0FE0" w:rsidRPr="006643B2" w:rsidRDefault="009F0FE0" w:rsidP="002943BE">
      <w:pPr>
        <w:pStyle w:val="Textonotapie"/>
        <w:ind w:firstLine="708"/>
        <w:rPr>
          <w:rFonts w:ascii="Arial" w:hAnsi="Arial" w:cs="Arial"/>
          <w:color w:val="000000" w:themeColor="text1"/>
          <w:sz w:val="18"/>
          <w:szCs w:val="18"/>
          <w:lang w:val="es-CO"/>
        </w:rPr>
      </w:pPr>
    </w:p>
  </w:footnote>
  <w:footnote w:id="10">
    <w:p w14:paraId="08D25413" w14:textId="77777777" w:rsidR="002943BE" w:rsidRDefault="002943BE" w:rsidP="00C1373A">
      <w:pPr>
        <w:pStyle w:val="Textonotapie"/>
        <w:ind w:firstLine="708"/>
        <w:jc w:val="both"/>
        <w:rPr>
          <w:rFonts w:ascii="Arial" w:hAnsi="Arial" w:cs="Arial"/>
          <w:color w:val="000000" w:themeColor="text1"/>
          <w:sz w:val="19"/>
          <w:szCs w:val="19"/>
        </w:rPr>
      </w:pPr>
      <w:r>
        <w:rPr>
          <w:rStyle w:val="Refdenotaalpie"/>
        </w:rPr>
        <w:footnoteRef/>
      </w:r>
      <w:r>
        <w:t xml:space="preserve"> </w:t>
      </w:r>
      <w:bookmarkStart w:id="3" w:name="12"/>
      <w:r>
        <w:t>A</w:t>
      </w:r>
      <w:r w:rsidRPr="004C5DBF">
        <w:rPr>
          <w:rFonts w:ascii="Arial" w:hAnsi="Arial" w:cs="Arial"/>
          <w:color w:val="000000" w:themeColor="text1"/>
          <w:sz w:val="19"/>
          <w:szCs w:val="19"/>
        </w:rPr>
        <w:t>rtículo 12 de la Ley 1682 de 2013.</w:t>
      </w:r>
      <w:bookmarkEnd w:id="3"/>
      <w:r w:rsidRPr="004C5DBF">
        <w:rPr>
          <w:rFonts w:ascii="Arial" w:hAnsi="Arial" w:cs="Arial"/>
          <w:color w:val="000000" w:themeColor="text1"/>
          <w:sz w:val="19"/>
          <w:szCs w:val="19"/>
        </w:rPr>
        <w:t> </w:t>
      </w:r>
      <w:r w:rsidRPr="00930864">
        <w:rPr>
          <w:rFonts w:ascii="Arial" w:eastAsia="Times New Roman" w:hAnsi="Arial" w:cs="Arial"/>
          <w:color w:val="000000"/>
          <w:sz w:val="18"/>
          <w:szCs w:val="18"/>
          <w:bdr w:val="none" w:sz="0" w:space="0" w:color="auto" w:frame="1"/>
          <w:lang w:eastAsia="es-CO"/>
        </w:rPr>
        <w:t>«</w:t>
      </w:r>
      <w:r w:rsidRPr="004C5DBF">
        <w:rPr>
          <w:rFonts w:ascii="Arial" w:hAnsi="Arial" w:cs="Arial"/>
          <w:color w:val="000000" w:themeColor="text1"/>
          <w:sz w:val="19"/>
          <w:szCs w:val="19"/>
        </w:rPr>
        <w:t xml:space="preserve">En lo que </w:t>
      </w:r>
      <w:r w:rsidRPr="006643B2">
        <w:rPr>
          <w:rFonts w:ascii="Arial" w:hAnsi="Arial" w:cs="Arial"/>
          <w:color w:val="000000" w:themeColor="text1"/>
          <w:sz w:val="19"/>
          <w:szCs w:val="19"/>
        </w:rPr>
        <w:t>se refiere a la infraestructura de transporte terrestre, aeronáutica, aeroportuaria y acuática, se tendrán en cuenta las siguientes definiciones:</w:t>
      </w:r>
    </w:p>
    <w:p w14:paraId="07F00DFC" w14:textId="77777777" w:rsidR="002943BE" w:rsidRDefault="002943BE" w:rsidP="00C1373A">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 xml:space="preserve">[…] </w:t>
      </w:r>
    </w:p>
    <w:p w14:paraId="1F552F0D" w14:textId="43E2D015" w:rsidR="002943BE" w:rsidRDefault="002943BE" w:rsidP="00C1373A">
      <w:pPr>
        <w:pStyle w:val="Textonotapie"/>
        <w:ind w:firstLine="708"/>
        <w:jc w:val="both"/>
        <w:rPr>
          <w:rFonts w:ascii="Arial" w:hAnsi="Arial" w:cs="Arial"/>
          <w:color w:val="000000" w:themeColor="text1"/>
          <w:sz w:val="19"/>
          <w:szCs w:val="19"/>
        </w:rPr>
      </w:pPr>
      <w:r w:rsidRPr="00930864">
        <w:rPr>
          <w:rFonts w:ascii="Arial" w:eastAsia="Times New Roman" w:hAnsi="Arial" w:cs="Arial"/>
          <w:color w:val="000000"/>
          <w:sz w:val="18"/>
          <w:szCs w:val="18"/>
          <w:bdr w:val="none" w:sz="0" w:space="0" w:color="auto" w:frame="1"/>
          <w:lang w:eastAsia="es-CO"/>
        </w:rPr>
        <w:t>»</w:t>
      </w:r>
      <w:r w:rsidRPr="004C5DBF">
        <w:rPr>
          <w:rFonts w:ascii="Arial" w:hAnsi="Arial" w:cs="Arial"/>
          <w:color w:val="000000" w:themeColor="text1"/>
          <w:sz w:val="19"/>
          <w:szCs w:val="19"/>
        </w:rPr>
        <w:t>Mantenimiento rutinario. Se refiere a la conservación continua (a intervalos menores de un año) con el fin de mantener las condiciones óptimas para el tránsito y uso adecuado de la infraestructura de transporte»</w:t>
      </w:r>
      <w:r w:rsidR="00761716">
        <w:rPr>
          <w:rFonts w:ascii="Arial" w:hAnsi="Arial" w:cs="Arial"/>
          <w:color w:val="000000" w:themeColor="text1"/>
          <w:sz w:val="19"/>
          <w:szCs w:val="19"/>
        </w:rPr>
        <w:t>.</w:t>
      </w:r>
    </w:p>
    <w:p w14:paraId="21FAC989" w14:textId="77777777" w:rsidR="002943BE" w:rsidRPr="006643B2" w:rsidRDefault="002943BE" w:rsidP="002943BE">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7F42" w14:textId="77777777" w:rsidR="00387886" w:rsidRDefault="00AB6FA6">
    <w:pPr>
      <w:pStyle w:val="Encabezado"/>
    </w:pPr>
    <w:r>
      <w:rPr>
        <w:noProof/>
        <w:lang w:val="es-CO" w:eastAsia="es-CO"/>
      </w:rPr>
      <w:drawing>
        <wp:anchor distT="0" distB="0" distL="114300" distR="114300" simplePos="0" relativeHeight="251659264" behindDoc="1" locked="0" layoutInCell="1" allowOverlap="1" wp14:anchorId="3F2A7C96" wp14:editId="5BFA5AD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85F2F"/>
    <w:multiLevelType w:val="multilevel"/>
    <w:tmpl w:val="BCA4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abstractNum w:abstractNumId="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2083017203">
    <w:abstractNumId w:val="2"/>
  </w:num>
  <w:num w:numId="2" w16cid:durableId="936672831">
    <w:abstractNumId w:val="1"/>
  </w:num>
  <w:num w:numId="3" w16cid:durableId="1703359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0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96"/>
    <w:rsid w:val="00030D2F"/>
    <w:rsid w:val="000450B0"/>
    <w:rsid w:val="00052A18"/>
    <w:rsid w:val="00060385"/>
    <w:rsid w:val="00060AEB"/>
    <w:rsid w:val="000734EC"/>
    <w:rsid w:val="000738B3"/>
    <w:rsid w:val="000819EB"/>
    <w:rsid w:val="0008579C"/>
    <w:rsid w:val="000B67A9"/>
    <w:rsid w:val="000E7C88"/>
    <w:rsid w:val="000F0DA0"/>
    <w:rsid w:val="000F0E49"/>
    <w:rsid w:val="001032B4"/>
    <w:rsid w:val="0013042F"/>
    <w:rsid w:val="001751BF"/>
    <w:rsid w:val="00182730"/>
    <w:rsid w:val="00186C90"/>
    <w:rsid w:val="001C24A6"/>
    <w:rsid w:val="001C3C9C"/>
    <w:rsid w:val="001D2495"/>
    <w:rsid w:val="001E528E"/>
    <w:rsid w:val="001F6332"/>
    <w:rsid w:val="00205342"/>
    <w:rsid w:val="0020534C"/>
    <w:rsid w:val="00221626"/>
    <w:rsid w:val="00222FAB"/>
    <w:rsid w:val="00245D5A"/>
    <w:rsid w:val="0029181B"/>
    <w:rsid w:val="002919D5"/>
    <w:rsid w:val="00291BA5"/>
    <w:rsid w:val="002943BE"/>
    <w:rsid w:val="002A64A3"/>
    <w:rsid w:val="002D7F6C"/>
    <w:rsid w:val="002F6BE4"/>
    <w:rsid w:val="003076AF"/>
    <w:rsid w:val="00311F36"/>
    <w:rsid w:val="00323D7F"/>
    <w:rsid w:val="00355E65"/>
    <w:rsid w:val="003A3DEA"/>
    <w:rsid w:val="003B7388"/>
    <w:rsid w:val="003D53B9"/>
    <w:rsid w:val="003E0750"/>
    <w:rsid w:val="003F6D7E"/>
    <w:rsid w:val="00417909"/>
    <w:rsid w:val="0042053C"/>
    <w:rsid w:val="00427C10"/>
    <w:rsid w:val="004370CB"/>
    <w:rsid w:val="00442240"/>
    <w:rsid w:val="004431BA"/>
    <w:rsid w:val="00450FEE"/>
    <w:rsid w:val="00490325"/>
    <w:rsid w:val="004911AA"/>
    <w:rsid w:val="004A6E04"/>
    <w:rsid w:val="004C46BC"/>
    <w:rsid w:val="004E508E"/>
    <w:rsid w:val="004F0A35"/>
    <w:rsid w:val="00551F4C"/>
    <w:rsid w:val="00553174"/>
    <w:rsid w:val="005620A4"/>
    <w:rsid w:val="005777B9"/>
    <w:rsid w:val="005934B4"/>
    <w:rsid w:val="005939DC"/>
    <w:rsid w:val="005C5284"/>
    <w:rsid w:val="005F2015"/>
    <w:rsid w:val="00620891"/>
    <w:rsid w:val="00634376"/>
    <w:rsid w:val="00635BC1"/>
    <w:rsid w:val="00657711"/>
    <w:rsid w:val="00657F2C"/>
    <w:rsid w:val="00663ABA"/>
    <w:rsid w:val="00663E11"/>
    <w:rsid w:val="006643B7"/>
    <w:rsid w:val="006B47E5"/>
    <w:rsid w:val="006D2290"/>
    <w:rsid w:val="006D53A1"/>
    <w:rsid w:val="006E4887"/>
    <w:rsid w:val="006F24BC"/>
    <w:rsid w:val="00716F99"/>
    <w:rsid w:val="007275BC"/>
    <w:rsid w:val="00737B31"/>
    <w:rsid w:val="007439E0"/>
    <w:rsid w:val="00744E67"/>
    <w:rsid w:val="007472C6"/>
    <w:rsid w:val="00750D83"/>
    <w:rsid w:val="00761716"/>
    <w:rsid w:val="007746E2"/>
    <w:rsid w:val="00786CDD"/>
    <w:rsid w:val="00793CA3"/>
    <w:rsid w:val="007D145E"/>
    <w:rsid w:val="007D5CF7"/>
    <w:rsid w:val="007E6C70"/>
    <w:rsid w:val="007F460D"/>
    <w:rsid w:val="00826C09"/>
    <w:rsid w:val="00836E8F"/>
    <w:rsid w:val="00862E0E"/>
    <w:rsid w:val="0086520C"/>
    <w:rsid w:val="008702D2"/>
    <w:rsid w:val="008926F4"/>
    <w:rsid w:val="008A18BF"/>
    <w:rsid w:val="008A6195"/>
    <w:rsid w:val="008B34F2"/>
    <w:rsid w:val="008B685E"/>
    <w:rsid w:val="008F659E"/>
    <w:rsid w:val="00910807"/>
    <w:rsid w:val="00916C1F"/>
    <w:rsid w:val="0093110F"/>
    <w:rsid w:val="00933CE1"/>
    <w:rsid w:val="00937E5E"/>
    <w:rsid w:val="0094418F"/>
    <w:rsid w:val="009456FD"/>
    <w:rsid w:val="00961946"/>
    <w:rsid w:val="00981C9F"/>
    <w:rsid w:val="009906CA"/>
    <w:rsid w:val="00991481"/>
    <w:rsid w:val="009A0499"/>
    <w:rsid w:val="009D0E01"/>
    <w:rsid w:val="009E4E53"/>
    <w:rsid w:val="009F0FE0"/>
    <w:rsid w:val="00A10A6F"/>
    <w:rsid w:val="00A16EF0"/>
    <w:rsid w:val="00A20516"/>
    <w:rsid w:val="00A2082D"/>
    <w:rsid w:val="00A32742"/>
    <w:rsid w:val="00A56521"/>
    <w:rsid w:val="00A7208C"/>
    <w:rsid w:val="00A82ADB"/>
    <w:rsid w:val="00A92EDF"/>
    <w:rsid w:val="00A940E1"/>
    <w:rsid w:val="00AA4B2A"/>
    <w:rsid w:val="00AA7EFB"/>
    <w:rsid w:val="00AB4B53"/>
    <w:rsid w:val="00AB6FA6"/>
    <w:rsid w:val="00AC415E"/>
    <w:rsid w:val="00AE0B71"/>
    <w:rsid w:val="00AE7FAB"/>
    <w:rsid w:val="00AF3F4F"/>
    <w:rsid w:val="00AF4401"/>
    <w:rsid w:val="00B05DFA"/>
    <w:rsid w:val="00B12A1C"/>
    <w:rsid w:val="00B172D2"/>
    <w:rsid w:val="00B3205D"/>
    <w:rsid w:val="00B47A38"/>
    <w:rsid w:val="00B55C9B"/>
    <w:rsid w:val="00B64D5C"/>
    <w:rsid w:val="00B81010"/>
    <w:rsid w:val="00BA1A16"/>
    <w:rsid w:val="00BA25BB"/>
    <w:rsid w:val="00BA40B0"/>
    <w:rsid w:val="00BA40F4"/>
    <w:rsid w:val="00BA78A5"/>
    <w:rsid w:val="00BC5580"/>
    <w:rsid w:val="00BC7BCA"/>
    <w:rsid w:val="00BE4960"/>
    <w:rsid w:val="00C1373A"/>
    <w:rsid w:val="00C27777"/>
    <w:rsid w:val="00C60DD3"/>
    <w:rsid w:val="00C60F04"/>
    <w:rsid w:val="00C667C0"/>
    <w:rsid w:val="00C770B0"/>
    <w:rsid w:val="00CA175F"/>
    <w:rsid w:val="00CB7C3C"/>
    <w:rsid w:val="00CD0ACD"/>
    <w:rsid w:val="00CD47EC"/>
    <w:rsid w:val="00CE56FB"/>
    <w:rsid w:val="00CF6814"/>
    <w:rsid w:val="00CF6E82"/>
    <w:rsid w:val="00D02A03"/>
    <w:rsid w:val="00D033BF"/>
    <w:rsid w:val="00D45A94"/>
    <w:rsid w:val="00D566FD"/>
    <w:rsid w:val="00D57F71"/>
    <w:rsid w:val="00D600CD"/>
    <w:rsid w:val="00D62C7E"/>
    <w:rsid w:val="00DA0BF9"/>
    <w:rsid w:val="00DD2E4F"/>
    <w:rsid w:val="00DD3396"/>
    <w:rsid w:val="00DD51F5"/>
    <w:rsid w:val="00DF3CC7"/>
    <w:rsid w:val="00DF6F53"/>
    <w:rsid w:val="00E002DB"/>
    <w:rsid w:val="00E13EE2"/>
    <w:rsid w:val="00E2395A"/>
    <w:rsid w:val="00E24028"/>
    <w:rsid w:val="00E31965"/>
    <w:rsid w:val="00E431A3"/>
    <w:rsid w:val="00E57CC3"/>
    <w:rsid w:val="00E7088F"/>
    <w:rsid w:val="00EA3503"/>
    <w:rsid w:val="00EA6F48"/>
    <w:rsid w:val="00EB1F75"/>
    <w:rsid w:val="00EC4D8E"/>
    <w:rsid w:val="00EC7E79"/>
    <w:rsid w:val="00ED145A"/>
    <w:rsid w:val="00ED2901"/>
    <w:rsid w:val="00EE2B40"/>
    <w:rsid w:val="00EF6A38"/>
    <w:rsid w:val="00F03EF6"/>
    <w:rsid w:val="00F07E1E"/>
    <w:rsid w:val="00F308E2"/>
    <w:rsid w:val="00F35189"/>
    <w:rsid w:val="00F55E88"/>
    <w:rsid w:val="00F60B77"/>
    <w:rsid w:val="00F658FF"/>
    <w:rsid w:val="00F6693B"/>
    <w:rsid w:val="00FD5C7B"/>
    <w:rsid w:val="00FF3BCC"/>
    <w:rsid w:val="00FF3F45"/>
    <w:rsid w:val="00FF695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85EA"/>
  <w15:chartTrackingRefBased/>
  <w15:docId w15:val="{41C741D8-2EDD-4579-8F21-E3570F7B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D3"/>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D339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D3396"/>
    <w:rPr>
      <w:sz w:val="24"/>
      <w:lang w:val="es-MX"/>
    </w:rPr>
  </w:style>
  <w:style w:type="paragraph" w:styleId="Encabezado">
    <w:name w:val="header"/>
    <w:basedOn w:val="Normal"/>
    <w:link w:val="EncabezadoCar"/>
    <w:uiPriority w:val="99"/>
    <w:unhideWhenUsed/>
    <w:rsid w:val="00DD339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D3396"/>
    <w:rPr>
      <w:sz w:val="24"/>
      <w:lang w:val="es-MX"/>
    </w:rPr>
  </w:style>
  <w:style w:type="table" w:styleId="Tablaconcuadrcula">
    <w:name w:val="Table Grid"/>
    <w:basedOn w:val="Tablanormal"/>
    <w:uiPriority w:val="39"/>
    <w:qFormat/>
    <w:rsid w:val="00DD3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D3396"/>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DD33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33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D33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D3396"/>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D339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3396"/>
    <w:rPr>
      <w:vertAlign w:val="superscript"/>
    </w:rPr>
  </w:style>
  <w:style w:type="paragraph" w:customStyle="1" w:styleId="Appelnotedebasde">
    <w:name w:val="Appel note de bas de..."/>
    <w:basedOn w:val="Normal"/>
    <w:link w:val="Refdenotaalpie"/>
    <w:uiPriority w:val="99"/>
    <w:rsid w:val="00DD3396"/>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link w:val="NormalWebCar"/>
    <w:uiPriority w:val="99"/>
    <w:unhideWhenUsed/>
    <w:rsid w:val="00DD3396"/>
    <w:pPr>
      <w:spacing w:before="100" w:beforeAutospacing="1" w:after="100" w:afterAutospacing="1"/>
    </w:pPr>
  </w:style>
  <w:style w:type="character" w:customStyle="1" w:styleId="NormalWebCar">
    <w:name w:val="Normal (Web) Car"/>
    <w:link w:val="NormalWeb"/>
    <w:uiPriority w:val="99"/>
    <w:rsid w:val="00DD3396"/>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1"/>
    <w:qFormat/>
    <w:rsid w:val="00DD3396"/>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DD3396"/>
    <w:rPr>
      <w:rFonts w:ascii="Arial" w:eastAsia="Arial" w:hAnsi="Arial" w:cs="Arial"/>
      <w:sz w:val="20"/>
      <w:szCs w:val="20"/>
      <w:lang w:val="es-ES"/>
    </w:rPr>
  </w:style>
  <w:style w:type="character" w:customStyle="1" w:styleId="baj">
    <w:name w:val="b_aj"/>
    <w:basedOn w:val="Fuentedeprrafopredeter"/>
    <w:rsid w:val="00DD3396"/>
  </w:style>
  <w:style w:type="paragraph" w:styleId="Revisin">
    <w:name w:val="Revision"/>
    <w:hidden/>
    <w:uiPriority w:val="99"/>
    <w:semiHidden/>
    <w:rsid w:val="00DD3396"/>
    <w:pPr>
      <w:spacing w:after="0"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D3396"/>
    <w:rPr>
      <w:b/>
      <w:bCs/>
    </w:rPr>
  </w:style>
  <w:style w:type="character" w:styleId="nfasis">
    <w:name w:val="Emphasis"/>
    <w:basedOn w:val="Fuentedeprrafopredeter"/>
    <w:uiPriority w:val="20"/>
    <w:qFormat/>
    <w:rsid w:val="00DD3396"/>
    <w:rPr>
      <w:i/>
      <w:iCs/>
    </w:rPr>
  </w:style>
  <w:style w:type="character" w:styleId="Hipervnculo">
    <w:name w:val="Hyperlink"/>
    <w:basedOn w:val="Fuentedeprrafopredeter"/>
    <w:uiPriority w:val="99"/>
    <w:unhideWhenUsed/>
    <w:rsid w:val="00DD3396"/>
    <w:rPr>
      <w:color w:val="0563C1" w:themeColor="hyperlink"/>
      <w:u w:val="single"/>
    </w:rPr>
  </w:style>
  <w:style w:type="character" w:styleId="Mencinsinresolver">
    <w:name w:val="Unresolved Mention"/>
    <w:basedOn w:val="Fuentedeprrafopredeter"/>
    <w:uiPriority w:val="99"/>
    <w:semiHidden/>
    <w:unhideWhenUsed/>
    <w:rsid w:val="00DD3396"/>
    <w:rPr>
      <w:color w:val="605E5C"/>
      <w:shd w:val="clear" w:color="auto" w:fill="E1DFDD"/>
    </w:rPr>
  </w:style>
  <w:style w:type="character" w:styleId="Refdecomentario">
    <w:name w:val="annotation reference"/>
    <w:basedOn w:val="Fuentedeprrafopredeter"/>
    <w:uiPriority w:val="99"/>
    <w:semiHidden/>
    <w:unhideWhenUsed/>
    <w:rsid w:val="00DD3396"/>
    <w:rPr>
      <w:sz w:val="16"/>
      <w:szCs w:val="16"/>
    </w:rPr>
  </w:style>
  <w:style w:type="paragraph" w:styleId="Textocomentario">
    <w:name w:val="annotation text"/>
    <w:basedOn w:val="Normal"/>
    <w:link w:val="TextocomentarioCar"/>
    <w:uiPriority w:val="99"/>
    <w:unhideWhenUsed/>
    <w:rsid w:val="00DD3396"/>
    <w:rPr>
      <w:sz w:val="20"/>
      <w:szCs w:val="20"/>
    </w:rPr>
  </w:style>
  <w:style w:type="character" w:customStyle="1" w:styleId="TextocomentarioCar">
    <w:name w:val="Texto comentario Car"/>
    <w:basedOn w:val="Fuentedeprrafopredeter"/>
    <w:link w:val="Textocomentario"/>
    <w:uiPriority w:val="99"/>
    <w:rsid w:val="00DD3396"/>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DD3396"/>
    <w:rPr>
      <w:b/>
      <w:bCs/>
    </w:rPr>
  </w:style>
  <w:style w:type="character" w:customStyle="1" w:styleId="AsuntodelcomentarioCar">
    <w:name w:val="Asunto del comentario Car"/>
    <w:basedOn w:val="TextocomentarioCar"/>
    <w:link w:val="Asuntodelcomentario"/>
    <w:uiPriority w:val="99"/>
    <w:semiHidden/>
    <w:rsid w:val="00DD3396"/>
    <w:rPr>
      <w:rFonts w:ascii="Times New Roman" w:eastAsia="Times New Roman" w:hAnsi="Times New Roman" w:cs="Times New Roman"/>
      <w:b/>
      <w:bCs/>
      <w:sz w:val="20"/>
      <w:szCs w:val="20"/>
      <w:lang w:eastAsia="es-MX"/>
    </w:rPr>
  </w:style>
  <w:style w:type="paragraph" w:customStyle="1" w:styleId="Normal11pt">
    <w:name w:val="Normal + 11 pt"/>
    <w:aliases w:val="Negro,Justificado,Izquierda:  -0,95 cm,Derecha:  0,04 cm"/>
    <w:basedOn w:val="Normal"/>
    <w:uiPriority w:val="99"/>
    <w:rsid w:val="00862E0E"/>
    <w:pPr>
      <w:ind w:left="-540"/>
      <w:jc w:val="both"/>
    </w:pPr>
    <w:rPr>
      <w:rFonts w:ascii="Arial" w:hAnsi="Arial" w:cs="Arial"/>
      <w:color w:val="000000"/>
      <w:sz w:val="22"/>
      <w:szCs w:val="22"/>
      <w:lang w:val="es-ES_tradnl" w:eastAsia="es-ES"/>
    </w:rPr>
  </w:style>
  <w:style w:type="character" w:customStyle="1" w:styleId="normaltextrun">
    <w:name w:val="normaltextrun"/>
    <w:basedOn w:val="Fuentedeprrafopredeter"/>
    <w:rsid w:val="00F6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00645">
      <w:bodyDiv w:val="1"/>
      <w:marLeft w:val="0"/>
      <w:marRight w:val="0"/>
      <w:marTop w:val="0"/>
      <w:marBottom w:val="0"/>
      <w:divBdr>
        <w:top w:val="none" w:sz="0" w:space="0" w:color="auto"/>
        <w:left w:val="none" w:sz="0" w:space="0" w:color="auto"/>
        <w:bottom w:val="none" w:sz="0" w:space="0" w:color="auto"/>
        <w:right w:val="none" w:sz="0" w:space="0" w:color="auto"/>
      </w:divBdr>
      <w:divsChild>
        <w:div w:id="802847870">
          <w:marLeft w:val="0"/>
          <w:marRight w:val="0"/>
          <w:marTop w:val="0"/>
          <w:marBottom w:val="0"/>
          <w:divBdr>
            <w:top w:val="none" w:sz="0" w:space="0" w:color="auto"/>
            <w:left w:val="none" w:sz="0" w:space="0" w:color="auto"/>
            <w:bottom w:val="none" w:sz="0" w:space="0" w:color="auto"/>
            <w:right w:val="none" w:sz="0" w:space="0" w:color="auto"/>
          </w:divBdr>
        </w:div>
      </w:divsChild>
    </w:div>
    <w:div w:id="1211695224">
      <w:bodyDiv w:val="1"/>
      <w:marLeft w:val="0"/>
      <w:marRight w:val="0"/>
      <w:marTop w:val="0"/>
      <w:marBottom w:val="0"/>
      <w:divBdr>
        <w:top w:val="none" w:sz="0" w:space="0" w:color="auto"/>
        <w:left w:val="none" w:sz="0" w:space="0" w:color="auto"/>
        <w:bottom w:val="none" w:sz="0" w:space="0" w:color="auto"/>
        <w:right w:val="none" w:sz="0" w:space="0" w:color="auto"/>
      </w:divBdr>
      <w:divsChild>
        <w:div w:id="103311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servicios-al-ciudadano/glosario/130-glosario-manual-diseno-geometrico-carreteras" TargetMode="External"/><Relationship Id="rId1" Type="http://schemas.openxmlformats.org/officeDocument/2006/relationships/hyperlink" Target="https://dle.rae.es/rocer%C3%A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D9D0C3-A3AE-4354-8C6C-B5F31A9A1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713283-4C68-4454-AE47-7627CD93280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C047DF1-58C4-43A0-80B3-17C61C02C992}">
  <ds:schemaRefs>
    <ds:schemaRef ds:uri="http://schemas.openxmlformats.org/officeDocument/2006/bibliography"/>
  </ds:schemaRefs>
</ds:datastoreItem>
</file>

<file path=customXml/itemProps4.xml><?xml version="1.0" encoding="utf-8"?>
<ds:datastoreItem xmlns:ds="http://schemas.openxmlformats.org/officeDocument/2006/customXml" ds:itemID="{BC333C0B-69F4-40A9-9DE1-BA272DAB4F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6610</Words>
  <Characters>36357</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Colombia Compra Eficiente</dc:creator>
  <cp:keywords/>
  <dc:description/>
  <cp:lastModifiedBy>Martin Rojas Mejia</cp:lastModifiedBy>
  <cp:revision>5</cp:revision>
  <dcterms:created xsi:type="dcterms:W3CDTF">2022-06-08T17:13:00Z</dcterms:created>
  <dcterms:modified xsi:type="dcterms:W3CDTF">2022-08-01T17:22:00Z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