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49FFE" w14:textId="77777777" w:rsidR="008A7C08" w:rsidRPr="00D52E00" w:rsidRDefault="008A7C08" w:rsidP="008A7C08">
      <w:pPr>
        <w:tabs>
          <w:tab w:val="left" w:pos="426"/>
        </w:tabs>
        <w:spacing w:line="240" w:lineRule="auto"/>
        <w:jc w:val="both"/>
        <w:rPr>
          <w:rFonts w:ascii="Arial" w:eastAsia="Calibri" w:hAnsi="Arial" w:cs="Arial"/>
          <w:b/>
          <w:bCs/>
          <w:color w:val="000000" w:themeColor="text1"/>
          <w:sz w:val="20"/>
          <w:szCs w:val="20"/>
          <w:lang w:val="es-ES" w:eastAsia="es-CO"/>
        </w:rPr>
      </w:pPr>
      <w:r w:rsidRPr="00D52E00">
        <w:rPr>
          <w:rFonts w:ascii="Arial" w:eastAsia="Calibri" w:hAnsi="Arial" w:cs="Arial"/>
          <w:b/>
          <w:bCs/>
          <w:color w:val="000000" w:themeColor="text1"/>
          <w:sz w:val="20"/>
          <w:szCs w:val="20"/>
          <w:lang w:val="es-ES" w:eastAsia="es-CO"/>
        </w:rPr>
        <w:t>PERSONAS EN CONDICIÓN DE DISCAPACIDAD – Decreto 392 de 2018 – Desarrollo normativo</w:t>
      </w:r>
    </w:p>
    <w:p w14:paraId="410AB129" w14:textId="77777777" w:rsidR="008A7C08" w:rsidRPr="00D52E00" w:rsidRDefault="008A7C08" w:rsidP="008A7C08">
      <w:pPr>
        <w:tabs>
          <w:tab w:val="left" w:pos="426"/>
        </w:tabs>
        <w:spacing w:line="240" w:lineRule="auto"/>
        <w:jc w:val="both"/>
        <w:rPr>
          <w:rFonts w:ascii="Arial" w:eastAsia="Calibri" w:hAnsi="Arial" w:cs="Arial"/>
          <w:b/>
          <w:bCs/>
          <w:color w:val="000000" w:themeColor="text1"/>
          <w:sz w:val="20"/>
          <w:szCs w:val="20"/>
          <w:lang w:val="es-ES" w:eastAsia="es-CO"/>
        </w:rPr>
      </w:pPr>
      <w:r w:rsidRPr="00D52E00">
        <w:rPr>
          <w:rFonts w:ascii="Arial" w:eastAsia="Times New Roman" w:hAnsi="Arial" w:cs="Arial"/>
          <w:color w:val="000000" w:themeColor="text1"/>
          <w:sz w:val="20"/>
          <w:szCs w:val="20"/>
          <w:lang w:val="es-MX" w:eastAsia="es-ES_tradnl"/>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w:t>
      </w:r>
    </w:p>
    <w:p w14:paraId="523B3C39" w14:textId="77777777" w:rsidR="008A7C08" w:rsidRPr="00D52E00" w:rsidRDefault="008A7C08" w:rsidP="008A7C08">
      <w:pPr>
        <w:tabs>
          <w:tab w:val="left" w:pos="426"/>
        </w:tabs>
        <w:spacing w:line="240" w:lineRule="auto"/>
        <w:jc w:val="both"/>
        <w:rPr>
          <w:rFonts w:ascii="Arial" w:eastAsia="Times New Roman" w:hAnsi="Arial" w:cs="Arial"/>
          <w:b/>
          <w:bCs/>
          <w:color w:val="000000"/>
          <w:sz w:val="20"/>
          <w:szCs w:val="20"/>
          <w:shd w:val="clear" w:color="auto" w:fill="FFFFFF"/>
          <w:lang w:val="es-MX" w:eastAsia="es-MX"/>
        </w:rPr>
      </w:pPr>
      <w:r w:rsidRPr="00D52E00">
        <w:rPr>
          <w:rFonts w:ascii="Arial" w:eastAsia="Times New Roman" w:hAnsi="Arial" w:cs="Arial"/>
          <w:b/>
          <w:bCs/>
          <w:color w:val="000000"/>
          <w:sz w:val="20"/>
          <w:szCs w:val="20"/>
          <w:shd w:val="clear" w:color="auto" w:fill="FFFFFF"/>
          <w:lang w:val="es-MX" w:eastAsia="es-MX"/>
        </w:rPr>
        <w:t>PERSONAS EN CONDICIÓN DE DISCAPACIDAD – Puntaje adicional – Fundamento normativo</w:t>
      </w:r>
    </w:p>
    <w:p w14:paraId="458237BD" w14:textId="77777777" w:rsidR="008A7C08" w:rsidRPr="00D52E00" w:rsidRDefault="008A7C08" w:rsidP="008A7C08">
      <w:pPr>
        <w:spacing w:after="120" w:line="240" w:lineRule="auto"/>
        <w:jc w:val="both"/>
        <w:rPr>
          <w:rFonts w:ascii="Arial" w:eastAsia="Calibri" w:hAnsi="Arial" w:cs="Arial"/>
          <w:color w:val="000000" w:themeColor="text1"/>
          <w:sz w:val="20"/>
          <w:szCs w:val="20"/>
          <w:lang w:val="es-ES_tradnl" w:eastAsia="es-CO"/>
        </w:rPr>
      </w:pPr>
      <w:r w:rsidRPr="00D52E00">
        <w:rPr>
          <w:rFonts w:ascii="Arial" w:eastAsia="Calibri" w:hAnsi="Arial" w:cs="Arial"/>
          <w:color w:val="000000" w:themeColor="text1"/>
          <w:sz w:val="20"/>
          <w:szCs w:val="20"/>
          <w:lang w:val="es-ES_tradnl" w:eastAsia="es-CO"/>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D52E00">
        <w:rPr>
          <w:rFonts w:ascii="Arial" w:eastAsia="Times New Roman" w:hAnsi="Arial" w:cs="Arial"/>
          <w:color w:val="000000"/>
          <w:sz w:val="20"/>
          <w:szCs w:val="20"/>
          <w:lang w:eastAsia="es-MX"/>
        </w:rPr>
        <w:t xml:space="preserve">Por su parte, cuando se trate de </w:t>
      </w:r>
      <w:r w:rsidRPr="00D52E00">
        <w:rPr>
          <w:rFonts w:ascii="Arial" w:eastAsia="Times New Roman" w:hAnsi="Arial" w:cs="Arial"/>
          <w:i/>
          <w:iCs/>
          <w:color w:val="000000"/>
          <w:sz w:val="20"/>
          <w:szCs w:val="20"/>
          <w:lang w:eastAsia="es-MX"/>
        </w:rPr>
        <w:t>proponentes plurales</w:t>
      </w:r>
      <w:r w:rsidRPr="00D52E00">
        <w:rPr>
          <w:rFonts w:ascii="Arial" w:eastAsia="Times New Roman" w:hAnsi="Arial" w:cs="Arial"/>
          <w:color w:val="000000"/>
          <w:sz w:val="20"/>
          <w:szCs w:val="20"/>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D52E00">
        <w:rPr>
          <w:rFonts w:ascii="Arial" w:eastAsia="Calibri" w:hAnsi="Arial" w:cs="Arial"/>
          <w:color w:val="000000" w:themeColor="text1"/>
          <w:sz w:val="20"/>
          <w:szCs w:val="20"/>
          <w:lang w:val="es-ES_tradnl" w:eastAsia="es-CO"/>
        </w:rPr>
        <w:t>En segundo lugar, para acreditar que se cumple con el número mínimo de trabajadores con discapacidad exigido, se empleará un certificado expedido por el Ministerio de Trabajo, el cual debe estar vigente al cierre del respectivo proceso.</w:t>
      </w:r>
    </w:p>
    <w:p w14:paraId="2FA1301E" w14:textId="77777777" w:rsidR="008A7C08" w:rsidRPr="00D52E00" w:rsidRDefault="008A7C08" w:rsidP="008A7C08">
      <w:pPr>
        <w:spacing w:after="120" w:line="240" w:lineRule="auto"/>
        <w:jc w:val="both"/>
        <w:rPr>
          <w:rFonts w:ascii="Arial" w:eastAsia="Calibri" w:hAnsi="Arial" w:cs="Arial"/>
          <w:color w:val="000000" w:themeColor="text1"/>
          <w:sz w:val="20"/>
          <w:szCs w:val="20"/>
          <w:lang w:val="es-ES_tradnl" w:eastAsia="es-CO"/>
        </w:rPr>
      </w:pPr>
      <w:r w:rsidRPr="00D52E00">
        <w:rPr>
          <w:rFonts w:ascii="Arial" w:eastAsia="Calibri" w:hAnsi="Arial" w:cs="Arial"/>
          <w:color w:val="000000" w:themeColor="text1"/>
          <w:sz w:val="20"/>
          <w:szCs w:val="20"/>
          <w:lang w:val="es-ES_tradnl" w:eastAsia="es-CO"/>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7FE1BD8C" w14:textId="77777777" w:rsidR="008423DB" w:rsidRPr="00D52E00" w:rsidRDefault="008423DB" w:rsidP="008A7C08">
      <w:pPr>
        <w:spacing w:after="120" w:line="240" w:lineRule="auto"/>
        <w:jc w:val="both"/>
        <w:rPr>
          <w:rFonts w:ascii="Arial" w:eastAsia="Calibri" w:hAnsi="Arial" w:cs="Arial"/>
          <w:color w:val="000000" w:themeColor="text1"/>
          <w:sz w:val="20"/>
          <w:szCs w:val="20"/>
          <w:lang w:val="es-ES_tradnl" w:eastAsia="es-CO"/>
        </w:rPr>
      </w:pPr>
    </w:p>
    <w:p w14:paraId="1A53D087" w14:textId="77777777" w:rsidR="008423DB" w:rsidRPr="008423DB" w:rsidRDefault="008423DB" w:rsidP="008423DB">
      <w:pPr>
        <w:tabs>
          <w:tab w:val="left" w:pos="426"/>
        </w:tabs>
        <w:spacing w:line="240" w:lineRule="auto"/>
        <w:jc w:val="both"/>
        <w:rPr>
          <w:rFonts w:ascii="Arial" w:eastAsia="Times New Roman" w:hAnsi="Arial" w:cs="Arial"/>
          <w:b/>
          <w:bCs/>
          <w:color w:val="000000"/>
          <w:sz w:val="20"/>
          <w:szCs w:val="20"/>
          <w:shd w:val="clear" w:color="auto" w:fill="FFFFFF"/>
          <w:lang w:val="es-MX" w:eastAsia="es-MX"/>
        </w:rPr>
      </w:pPr>
      <w:r w:rsidRPr="008423DB">
        <w:rPr>
          <w:rFonts w:ascii="Arial" w:eastAsia="Times New Roman" w:hAnsi="Arial" w:cs="Arial"/>
          <w:b/>
          <w:bCs/>
          <w:color w:val="000000"/>
          <w:sz w:val="20"/>
          <w:szCs w:val="20"/>
          <w:shd w:val="clear" w:color="auto" w:fill="FFFFFF"/>
          <w:lang w:val="es-MX" w:eastAsia="es-MX"/>
        </w:rPr>
        <w:t>PUNTAJE ADICIONAL – Vinculación – Personas en condición de discapacidad – Personas extranjeras</w:t>
      </w:r>
    </w:p>
    <w:p w14:paraId="1C739E24" w14:textId="77777777" w:rsidR="008423DB" w:rsidRPr="008423DB" w:rsidRDefault="008423DB" w:rsidP="008423DB">
      <w:pPr>
        <w:widowControl w:val="0"/>
        <w:autoSpaceDE w:val="0"/>
        <w:autoSpaceDN w:val="0"/>
        <w:spacing w:after="0" w:line="240" w:lineRule="auto"/>
        <w:ind w:left="284" w:right="326"/>
        <w:jc w:val="both"/>
        <w:rPr>
          <w:rFonts w:ascii="Arial" w:eastAsia="Arial" w:hAnsi="Arial" w:cs="Arial"/>
          <w:sz w:val="20"/>
          <w:szCs w:val="20"/>
          <w:lang w:val="es-ES" w:eastAsia="es-ES" w:bidi="es-ES"/>
        </w:rPr>
      </w:pPr>
    </w:p>
    <w:p w14:paraId="1A868F6A" w14:textId="77777777" w:rsidR="008423DB" w:rsidRDefault="008423DB" w:rsidP="008423DB">
      <w:pPr>
        <w:spacing w:after="120" w:line="240" w:lineRule="auto"/>
        <w:jc w:val="both"/>
        <w:rPr>
          <w:rFonts w:ascii="Arial" w:eastAsia="Calibri" w:hAnsi="Arial" w:cs="Arial"/>
          <w:color w:val="000000" w:themeColor="text1"/>
          <w:sz w:val="20"/>
          <w:szCs w:val="20"/>
          <w:lang w:val="es-ES_tradnl" w:eastAsia="es-CO"/>
        </w:rPr>
      </w:pPr>
      <w:r w:rsidRPr="008423DB">
        <w:rPr>
          <w:rFonts w:ascii="Arial" w:eastAsia="Calibri" w:hAnsi="Arial" w:cs="Arial"/>
          <w:color w:val="000000" w:themeColor="text1"/>
          <w:sz w:val="20"/>
          <w:szCs w:val="20"/>
          <w:lang w:val="es-ES_tradnl" w:eastAsia="es-CO"/>
        </w:rPr>
        <w:t>De esta manera, los proponentes, sin importar su nacionalidad, pueden acceder al puntaje adicional que reguló la Ley 1618 de 2013, reglamentado por el Decreto 392 de 2018, siempre que acrediten lo exigido allí, puesto que la norma no excluye el cumplimiento de los requisitos en razón a que el proponente sea nacional o extranjero, sino que, en general, se dirige a los proponentes que son aquellos que la Ley 80 de 1993 señala como personas con capacidad para contratar con entidades. Así, los proponentes extranjeros sin sucursal en Colombia están incluidos en la disposición del Decreto 392 de 2018, cuando se refiere a los “proponentes”, ya que la norma no distinguió respecto de la nacionalidad para exigir los requisitos señalados allí, y particularmente el que es objeto de su consulta, es decir, el certificado expedido por el Ministerio de Trabajo. Por ende, teniendo en cuenta la capacidad jurídica de los proponentes extranjeros, con o sin sucursal en Colombia, ya que la Ley 80 de 1993 no los distingue sino que le otorga capacidad al proponente extranjero, independientemente del asiento permanente de negocios en el país, ellos pueden contratar con el Estado y acceder al puntaje por vincular personal en condición de discapacidad, si aportan el certificado suscrito por la persona natural, por el representante legal de la persona jurídica o por el revisor fiscal del proponente o integrante que pretenda acreditar esta condición, acompañado del certificado expedido por el Ministerio de Trabajo.</w:t>
      </w:r>
    </w:p>
    <w:p w14:paraId="5C9E8EB6" w14:textId="77777777" w:rsidR="00E63E9E" w:rsidRDefault="00E63E9E" w:rsidP="008423DB">
      <w:pPr>
        <w:spacing w:after="120" w:line="240" w:lineRule="auto"/>
        <w:jc w:val="both"/>
        <w:rPr>
          <w:rFonts w:ascii="Arial" w:eastAsia="Calibri" w:hAnsi="Arial" w:cs="Arial"/>
          <w:color w:val="000000" w:themeColor="text1"/>
          <w:sz w:val="20"/>
          <w:szCs w:val="20"/>
          <w:lang w:val="es-ES_tradnl" w:eastAsia="es-CO"/>
        </w:rPr>
      </w:pPr>
    </w:p>
    <w:p w14:paraId="560D2AAC" w14:textId="77777777" w:rsidR="00E63E9E" w:rsidRPr="001E10C1" w:rsidRDefault="00E63E9E" w:rsidP="00E63E9E">
      <w:pPr>
        <w:spacing w:after="0" w:line="240" w:lineRule="auto"/>
        <w:jc w:val="both"/>
        <w:rPr>
          <w:rFonts w:ascii="Arial" w:eastAsia="Calibri" w:hAnsi="Arial" w:cs="Arial"/>
          <w:b/>
          <w:bCs/>
          <w:lang w:eastAsia="es-MX"/>
        </w:rPr>
      </w:pPr>
      <w:r w:rsidRPr="001E10C1">
        <w:rPr>
          <w:rFonts w:ascii="Arial" w:eastAsia="Calibri" w:hAnsi="Arial" w:cs="Arial"/>
          <w:b/>
          <w:bCs/>
          <w:lang w:eastAsia="es-MX"/>
        </w:rPr>
        <w:lastRenderedPageBreak/>
        <w:t>CAPACIDAD RESIDUAL – Definición – Cálculo – Factores – Contratos de obra</w:t>
      </w:r>
    </w:p>
    <w:p w14:paraId="522AE399" w14:textId="77777777" w:rsidR="00E63E9E" w:rsidRPr="001E10C1" w:rsidRDefault="00E63E9E" w:rsidP="00E63E9E">
      <w:pPr>
        <w:spacing w:after="0" w:line="240" w:lineRule="auto"/>
        <w:jc w:val="both"/>
        <w:rPr>
          <w:rFonts w:ascii="Arial" w:eastAsia="Calibri" w:hAnsi="Arial" w:cs="Arial"/>
          <w:b/>
          <w:sz w:val="20"/>
          <w:szCs w:val="20"/>
          <w:lang w:eastAsia="es-MX"/>
        </w:rPr>
      </w:pPr>
    </w:p>
    <w:p w14:paraId="526A39A0" w14:textId="77777777" w:rsidR="00E63E9E" w:rsidRPr="001E10C1" w:rsidRDefault="00E63E9E" w:rsidP="00E63E9E">
      <w:pPr>
        <w:spacing w:after="0" w:line="240" w:lineRule="auto"/>
        <w:jc w:val="both"/>
        <w:rPr>
          <w:rFonts w:ascii="Arial" w:eastAsia="Arial" w:hAnsi="Arial" w:cs="Arial"/>
          <w:sz w:val="20"/>
          <w:szCs w:val="20"/>
        </w:rPr>
      </w:pPr>
      <w:r w:rsidRPr="001E10C1">
        <w:rPr>
          <w:rFonts w:ascii="Arial" w:eastAsia="Arial" w:hAnsi="Arial" w:cs="Arial"/>
          <w:sz w:val="20"/>
          <w:szCs w:val="20"/>
        </w:rPr>
        <w:t xml:space="preserve">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 El Consejo de Estado ha definido la capacidad residual como </w:t>
      </w:r>
      <w:r>
        <w:rPr>
          <w:rFonts w:ascii="Arial" w:eastAsia="Arial" w:hAnsi="Arial" w:cs="Arial"/>
          <w:sz w:val="20"/>
          <w:szCs w:val="20"/>
        </w:rPr>
        <w:t>“</w:t>
      </w:r>
      <w:r w:rsidRPr="001E10C1">
        <w:rPr>
          <w:rFonts w:ascii="Arial" w:eastAsia="Arial" w:hAnsi="Arial" w:cs="Arial"/>
          <w:sz w:val="20"/>
          <w:szCs w:val="20"/>
        </w:rPr>
        <w:t>la diferencia que existe entre el potencial de contratación que se tiene y los compromisos que haya adquirido y que se encuentren en ejecución, para la fecha de presentación de la oferta</w:t>
      </w:r>
      <w:r>
        <w:rPr>
          <w:rFonts w:ascii="Arial" w:eastAsia="Arial" w:hAnsi="Arial" w:cs="Arial"/>
          <w:sz w:val="20"/>
          <w:szCs w:val="20"/>
        </w:rPr>
        <w:t>”</w:t>
      </w:r>
      <w:r w:rsidRPr="001E10C1">
        <w:rPr>
          <w:rFonts w:ascii="Arial" w:eastAsia="Arial" w:hAnsi="Arial" w:cs="Arial"/>
          <w:sz w:val="20"/>
          <w:szCs w:val="20"/>
        </w:rPr>
        <w:t>.</w:t>
      </w:r>
    </w:p>
    <w:p w14:paraId="50318F2F" w14:textId="77777777" w:rsidR="00E63E9E" w:rsidRPr="001E10C1" w:rsidRDefault="00E63E9E" w:rsidP="00E63E9E">
      <w:pPr>
        <w:spacing w:after="0" w:line="240" w:lineRule="auto"/>
        <w:jc w:val="both"/>
        <w:rPr>
          <w:rFonts w:ascii="Arial" w:eastAsia="Calibri" w:hAnsi="Arial" w:cs="Arial"/>
          <w:b/>
          <w:sz w:val="20"/>
          <w:szCs w:val="20"/>
          <w:lang w:eastAsia="es-MX"/>
        </w:rPr>
      </w:pPr>
      <w:r w:rsidRPr="001E10C1">
        <w:rPr>
          <w:rFonts w:ascii="Arial" w:eastAsia="Arial" w:hAnsi="Arial" w:cs="Arial"/>
          <w:sz w:val="20"/>
          <w:szCs w:val="20"/>
        </w:rPr>
        <w:t>[…]</w:t>
      </w:r>
    </w:p>
    <w:p w14:paraId="184ED2AC" w14:textId="77777777" w:rsidR="00E63E9E" w:rsidRPr="001E10C1" w:rsidRDefault="00E63E9E" w:rsidP="00E63E9E">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 la Ley 1150 de 2007 establece que la capacidad residual de los interesados en participar en procesos de selección para contratos de obra deberá ser igual o superior al que la entidad ha establecido en los pliegos de condiciones […].</w:t>
      </w:r>
    </w:p>
    <w:p w14:paraId="22F4C6BC" w14:textId="77777777" w:rsidR="00E63E9E" w:rsidRPr="001E10C1" w:rsidRDefault="00E63E9E" w:rsidP="00E63E9E">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w:t>
      </w:r>
    </w:p>
    <w:p w14:paraId="2378E142" w14:textId="77777777" w:rsidR="00E63E9E" w:rsidRPr="001E10C1" w:rsidRDefault="00E63E9E" w:rsidP="00E63E9E">
      <w:pPr>
        <w:spacing w:after="0" w:line="240" w:lineRule="auto"/>
        <w:jc w:val="both"/>
        <w:rPr>
          <w:rFonts w:ascii="Arial" w:eastAsia="Calibri" w:hAnsi="Arial" w:cs="Arial"/>
          <w:bCs/>
          <w:sz w:val="20"/>
          <w:szCs w:val="20"/>
          <w:lang w:eastAsia="es-MX"/>
        </w:rPr>
      </w:pPr>
      <w:r w:rsidRPr="001E10C1">
        <w:rPr>
          <w:rFonts w:ascii="Arial" w:eastAsia="Calibri" w:hAnsi="Arial" w:cs="Arial"/>
          <w:bCs/>
          <w:sz w:val="20"/>
          <w:szCs w:val="20"/>
          <w:lang w:eastAsia="es-MX"/>
        </w:rPr>
        <w:t xml:space="preserve">[…] el artículo 72 de la Ley 1682 de 2013, por la cual se adoptan medidas y disposiciones para los proyectos de infraestructura de transporte, establece que la </w:t>
      </w:r>
      <w:r>
        <w:rPr>
          <w:rFonts w:ascii="Arial" w:eastAsia="Calibri" w:hAnsi="Arial" w:cs="Arial"/>
          <w:bCs/>
          <w:sz w:val="20"/>
          <w:szCs w:val="20"/>
          <w:lang w:eastAsia="es-MX"/>
        </w:rPr>
        <w:t>“</w:t>
      </w:r>
      <w:r w:rsidRPr="001E10C1">
        <w:rPr>
          <w:rFonts w:ascii="Arial" w:eastAsia="Calibri" w:hAnsi="Arial" w:cs="Arial"/>
          <w:bCs/>
          <w:sz w:val="20"/>
          <w:szCs w:val="20"/>
          <w:lang w:eastAsia="es-MX"/>
        </w:rPr>
        <w:t>capacidad residual de contratación cuando se realicen contratos de obra pública se obtendrá de sustraer de la capacidad de contratación, el saldo del valor de los contratos en ejecución</w:t>
      </w:r>
      <w:r>
        <w:rPr>
          <w:rFonts w:ascii="Arial" w:eastAsia="Calibri" w:hAnsi="Arial" w:cs="Arial"/>
          <w:bCs/>
          <w:sz w:val="20"/>
          <w:szCs w:val="20"/>
          <w:lang w:eastAsia="es-MX"/>
        </w:rPr>
        <w:t>”</w:t>
      </w:r>
      <w:r w:rsidRPr="001E10C1">
        <w:rPr>
          <w:rFonts w:ascii="Arial" w:eastAsia="Calibri" w:hAnsi="Arial" w:cs="Arial"/>
          <w:bCs/>
          <w:sz w:val="20"/>
          <w:szCs w:val="20"/>
          <w:lang w:eastAsia="es-MX"/>
        </w:rPr>
        <w:t xml:space="preserve">. La </w:t>
      </w:r>
      <w:r>
        <w:rPr>
          <w:rFonts w:ascii="Arial" w:eastAsia="Calibri" w:hAnsi="Arial" w:cs="Arial"/>
          <w:bCs/>
          <w:sz w:val="20"/>
          <w:szCs w:val="20"/>
          <w:lang w:eastAsia="es-MX"/>
        </w:rPr>
        <w:t>“</w:t>
      </w:r>
      <w:r w:rsidRPr="001E10C1">
        <w:rPr>
          <w:rFonts w:ascii="Arial" w:eastAsia="Calibri" w:hAnsi="Arial" w:cs="Arial"/>
          <w:bCs/>
          <w:sz w:val="20"/>
          <w:szCs w:val="20"/>
          <w:lang w:eastAsia="es-MX"/>
        </w:rPr>
        <w:t>capacidad de contratación</w:t>
      </w:r>
      <w:r>
        <w:rPr>
          <w:rFonts w:ascii="Arial" w:eastAsia="Calibri" w:hAnsi="Arial" w:cs="Arial"/>
          <w:bCs/>
          <w:sz w:val="20"/>
          <w:szCs w:val="20"/>
          <w:lang w:eastAsia="es-MX"/>
        </w:rPr>
        <w:t>”</w:t>
      </w:r>
      <w:r w:rsidRPr="001E10C1">
        <w:rPr>
          <w:rFonts w:ascii="Arial" w:eastAsia="Calibri" w:hAnsi="Arial" w:cs="Arial"/>
          <w:bCs/>
          <w:sz w:val="20"/>
          <w:szCs w:val="20"/>
          <w:lang w:eastAsia="es-MX"/>
        </w:rPr>
        <w:t xml:space="preserve">, según se lee en la misma disposición, </w:t>
      </w:r>
      <w:r>
        <w:rPr>
          <w:rFonts w:ascii="Arial" w:eastAsia="Calibri" w:hAnsi="Arial" w:cs="Arial"/>
          <w:bCs/>
          <w:sz w:val="20"/>
          <w:szCs w:val="20"/>
          <w:lang w:eastAsia="es-MX"/>
        </w:rPr>
        <w:t>“</w:t>
      </w:r>
      <w:r w:rsidRPr="001E10C1">
        <w:rPr>
          <w:rFonts w:ascii="Arial" w:eastAsia="Calibri" w:hAnsi="Arial" w:cs="Arial"/>
          <w:bCs/>
          <w:sz w:val="20"/>
          <w:szCs w:val="20"/>
          <w:lang w:eastAsia="es-MX"/>
        </w:rPr>
        <w:t>[…] se deberá calcular mediante la evaluación de los siguientes factores: Experiencia (E), Capacidad Financiera (CF), Capacidad Técnica (CT), y Capacidad de Organización (CO)</w:t>
      </w:r>
      <w:r>
        <w:rPr>
          <w:rFonts w:ascii="Arial" w:eastAsia="Calibri" w:hAnsi="Arial" w:cs="Arial"/>
          <w:bCs/>
          <w:sz w:val="20"/>
          <w:szCs w:val="20"/>
          <w:lang w:eastAsia="es-MX"/>
        </w:rPr>
        <w:t>”</w:t>
      </w:r>
      <w:r w:rsidRPr="001E10C1">
        <w:rPr>
          <w:rFonts w:ascii="Arial" w:eastAsia="Calibri" w:hAnsi="Arial" w:cs="Arial"/>
          <w:bCs/>
          <w:sz w:val="20"/>
          <w:szCs w:val="20"/>
          <w:lang w:eastAsia="es-MX"/>
        </w:rPr>
        <w:t>.</w:t>
      </w:r>
    </w:p>
    <w:p w14:paraId="6F6654F9" w14:textId="77777777" w:rsidR="00E63E9E" w:rsidRPr="001E10C1" w:rsidRDefault="00E63E9E" w:rsidP="00E63E9E">
      <w:pPr>
        <w:spacing w:after="0" w:line="240" w:lineRule="auto"/>
        <w:jc w:val="both"/>
        <w:rPr>
          <w:rFonts w:ascii="Arial" w:eastAsia="Calibri" w:hAnsi="Arial" w:cs="Arial"/>
          <w:bCs/>
          <w:sz w:val="20"/>
          <w:szCs w:val="20"/>
          <w:lang w:eastAsia="es-MX"/>
        </w:rPr>
      </w:pPr>
    </w:p>
    <w:p w14:paraId="43D6D6E8" w14:textId="77777777" w:rsidR="00E63E9E" w:rsidRPr="001E10C1" w:rsidRDefault="00E63E9E" w:rsidP="00E63E9E">
      <w:pPr>
        <w:autoSpaceDE w:val="0"/>
        <w:autoSpaceDN w:val="0"/>
        <w:adjustRightInd w:val="0"/>
        <w:spacing w:after="0" w:line="240" w:lineRule="auto"/>
        <w:jc w:val="both"/>
        <w:rPr>
          <w:rFonts w:ascii="Arial" w:eastAsia="Calibri" w:hAnsi="Arial" w:cs="Arial"/>
          <w:b/>
          <w:bCs/>
          <w:lang w:eastAsia="es-MX"/>
        </w:rPr>
      </w:pPr>
      <w:r w:rsidRPr="001E10C1">
        <w:rPr>
          <w:rFonts w:ascii="Arial" w:eastAsia="Calibri" w:hAnsi="Arial" w:cs="Arial"/>
          <w:b/>
          <w:bCs/>
          <w:lang w:eastAsia="es-MX"/>
        </w:rPr>
        <w:t>CAPACIDAD RESIDUAL – Saldos de Contratos en Ejecución – SCE – Cálculo</w:t>
      </w:r>
    </w:p>
    <w:p w14:paraId="23FF6543" w14:textId="77777777" w:rsidR="00E63E9E" w:rsidRPr="001E10C1" w:rsidRDefault="00E63E9E" w:rsidP="00E63E9E">
      <w:pPr>
        <w:autoSpaceDE w:val="0"/>
        <w:autoSpaceDN w:val="0"/>
        <w:adjustRightInd w:val="0"/>
        <w:spacing w:after="0" w:line="240" w:lineRule="auto"/>
        <w:jc w:val="both"/>
        <w:rPr>
          <w:rFonts w:ascii="Arial" w:eastAsia="Calibri" w:hAnsi="Arial" w:cs="Arial"/>
          <w:b/>
          <w:szCs w:val="24"/>
          <w:lang w:eastAsia="es-MX"/>
        </w:rPr>
      </w:pPr>
    </w:p>
    <w:p w14:paraId="17DC9329" w14:textId="77777777" w:rsidR="00E63E9E" w:rsidRPr="001E10C1" w:rsidRDefault="00E63E9E" w:rsidP="00E63E9E">
      <w:pPr>
        <w:spacing w:after="0" w:line="240" w:lineRule="auto"/>
        <w:jc w:val="both"/>
        <w:rPr>
          <w:rFonts w:ascii="Arial" w:eastAsia="Arial," w:hAnsi="Arial" w:cs="Arial"/>
          <w:sz w:val="20"/>
          <w:szCs w:val="20"/>
          <w:lang w:eastAsia="es-MX"/>
        </w:rPr>
      </w:pPr>
      <w:r w:rsidRPr="001E10C1">
        <w:rPr>
          <w:rFonts w:ascii="Arial" w:eastAsia="Arial," w:hAnsi="Arial" w:cs="Arial"/>
          <w:sz w:val="20"/>
          <w:szCs w:val="20"/>
          <w:lang w:eastAsia="es-MX"/>
        </w:rPr>
        <w:t xml:space="preserve">Esta Agencia ha manifestado en anteriores oportunidades que los contratos en ejecución son aquellos que, a la fecha de </w:t>
      </w:r>
      <w:proofErr w:type="spellStart"/>
      <w:r w:rsidRPr="001E10C1">
        <w:rPr>
          <w:rFonts w:ascii="Arial" w:eastAsia="Arial," w:hAnsi="Arial" w:cs="Arial"/>
          <w:sz w:val="20"/>
          <w:szCs w:val="20"/>
          <w:lang w:eastAsia="es-MX"/>
        </w:rPr>
        <w:t>presentación</w:t>
      </w:r>
      <w:proofErr w:type="spellEnd"/>
      <w:r w:rsidRPr="001E10C1">
        <w:rPr>
          <w:rFonts w:ascii="Arial" w:eastAsia="Arial," w:hAnsi="Arial" w:cs="Arial"/>
          <w:sz w:val="20"/>
          <w:szCs w:val="20"/>
          <w:lang w:eastAsia="es-MX"/>
        </w:rPr>
        <w:t xml:space="preserve"> de la oferta, obligan al proponente con entidades estatales y con entidades privadas para ejecutar obras públicas, incluyendo la </w:t>
      </w:r>
      <w:proofErr w:type="spellStart"/>
      <w:r w:rsidRPr="001E10C1">
        <w:rPr>
          <w:rFonts w:ascii="Arial" w:eastAsia="Arial," w:hAnsi="Arial" w:cs="Arial"/>
          <w:sz w:val="20"/>
          <w:szCs w:val="20"/>
          <w:lang w:eastAsia="es-MX"/>
        </w:rPr>
        <w:t>ejecución</w:t>
      </w:r>
      <w:proofErr w:type="spellEnd"/>
      <w:r w:rsidRPr="001E10C1">
        <w:rPr>
          <w:rFonts w:ascii="Arial" w:eastAsia="Arial," w:hAnsi="Arial" w:cs="Arial"/>
          <w:sz w:val="20"/>
          <w:szCs w:val="20"/>
          <w:lang w:eastAsia="es-MX"/>
        </w:rPr>
        <w:t xml:space="preserve"> de obras civiles en los contratos de </w:t>
      </w:r>
      <w:proofErr w:type="spellStart"/>
      <w:r w:rsidRPr="001E10C1">
        <w:rPr>
          <w:rFonts w:ascii="Arial" w:eastAsia="Arial," w:hAnsi="Arial" w:cs="Arial"/>
          <w:sz w:val="20"/>
          <w:szCs w:val="20"/>
          <w:lang w:eastAsia="es-MX"/>
        </w:rPr>
        <w:t>concesión</w:t>
      </w:r>
      <w:proofErr w:type="spellEnd"/>
      <w:r w:rsidRPr="001E10C1">
        <w:rPr>
          <w:rFonts w:ascii="Arial" w:eastAsia="Arial," w:hAnsi="Arial" w:cs="Arial"/>
          <w:sz w:val="20"/>
          <w:szCs w:val="20"/>
          <w:lang w:eastAsia="es-MX"/>
        </w:rPr>
        <w:t xml:space="preserve">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w:t>
      </w:r>
      <w:proofErr w:type="spellStart"/>
      <w:r w:rsidRPr="001E10C1">
        <w:rPr>
          <w:rFonts w:ascii="Arial" w:eastAsia="Arial," w:hAnsi="Arial" w:cs="Arial"/>
          <w:sz w:val="20"/>
          <w:szCs w:val="20"/>
          <w:lang w:eastAsia="es-MX"/>
        </w:rPr>
        <w:t>ejecución</w:t>
      </w:r>
      <w:proofErr w:type="spellEnd"/>
      <w:r w:rsidRPr="001E10C1">
        <w:rPr>
          <w:rFonts w:ascii="Arial" w:eastAsia="Arial," w:hAnsi="Arial" w:cs="Arial"/>
          <w:sz w:val="20"/>
          <w:szCs w:val="20"/>
          <w:lang w:eastAsia="es-MX"/>
        </w:rPr>
        <w:t xml:space="preserve"> los que se encuentren en liquidación. Teniendo en cuenta que los contratos en </w:t>
      </w:r>
      <w:proofErr w:type="spellStart"/>
      <w:r w:rsidRPr="001E10C1">
        <w:rPr>
          <w:rFonts w:ascii="Arial" w:eastAsia="Arial," w:hAnsi="Arial" w:cs="Arial"/>
          <w:sz w:val="20"/>
          <w:szCs w:val="20"/>
          <w:lang w:eastAsia="es-MX"/>
        </w:rPr>
        <w:t>ejecución</w:t>
      </w:r>
      <w:proofErr w:type="spellEnd"/>
      <w:r w:rsidRPr="001E10C1">
        <w:rPr>
          <w:rFonts w:ascii="Arial" w:eastAsia="Arial," w:hAnsi="Arial" w:cs="Arial"/>
          <w:sz w:val="20"/>
          <w:szCs w:val="20"/>
          <w:lang w:eastAsia="es-MX"/>
        </w:rPr>
        <w:t xml:space="preserve"> son aquellos que a la fecha de presentación de la oferta obligan al proponente, se aclara que deben tenerse en cuenta los contratos sin acta de inicio, pues el criterio determinante para establecer si un contrato se encuentra en ejecución no lo determina el acta de inicio, sino que el mismo obligue al proponente. </w:t>
      </w:r>
    </w:p>
    <w:p w14:paraId="04063AE1" w14:textId="77777777" w:rsidR="00E63E9E" w:rsidRPr="001E10C1" w:rsidRDefault="00E63E9E" w:rsidP="00E63E9E">
      <w:pPr>
        <w:spacing w:after="0" w:line="240" w:lineRule="auto"/>
        <w:jc w:val="both"/>
        <w:rPr>
          <w:rFonts w:ascii="Arial" w:eastAsia="Arial," w:hAnsi="Arial" w:cs="Arial"/>
          <w:sz w:val="20"/>
          <w:szCs w:val="20"/>
          <w:lang w:eastAsia="es-MX"/>
        </w:rPr>
      </w:pPr>
      <w:r w:rsidRPr="001E10C1">
        <w:rPr>
          <w:rFonts w:ascii="Arial" w:eastAsia="Arial," w:hAnsi="Arial" w:cs="Arial"/>
          <w:sz w:val="20"/>
          <w:szCs w:val="20"/>
          <w:lang w:eastAsia="es-MX"/>
        </w:rPr>
        <w:t>[…]</w:t>
      </w:r>
    </w:p>
    <w:p w14:paraId="7E0D78F1" w14:textId="77777777" w:rsidR="00E63E9E" w:rsidRPr="001E10C1" w:rsidRDefault="00E63E9E" w:rsidP="00E63E9E">
      <w:pPr>
        <w:spacing w:after="0" w:line="240" w:lineRule="auto"/>
        <w:jc w:val="both"/>
        <w:rPr>
          <w:rFonts w:ascii="Arial" w:eastAsia="Times New Roman" w:hAnsi="Arial" w:cs="Arial"/>
          <w:sz w:val="20"/>
          <w:szCs w:val="20"/>
          <w:lang w:eastAsia="es-MX"/>
        </w:rPr>
      </w:pPr>
      <w:r w:rsidRPr="001E10C1">
        <w:rPr>
          <w:rFonts w:ascii="Arial" w:eastAsia="Arial," w:hAnsi="Arial" w:cs="Arial"/>
          <w:sz w:val="20"/>
          <w:szCs w:val="20"/>
          <w:lang w:eastAsia="es-MX"/>
        </w:rPr>
        <w:t xml:space="preserve"> Como se observa, los saldos pendientes por ejecutar de los contratos suspendidos constituyen información que interesa para el cálculo del factor (SCE) </w:t>
      </w:r>
      <w:r>
        <w:rPr>
          <w:rFonts w:ascii="Arial" w:eastAsia="Arial," w:hAnsi="Arial" w:cs="Arial"/>
          <w:sz w:val="20"/>
          <w:szCs w:val="20"/>
          <w:lang w:eastAsia="es-MX"/>
        </w:rPr>
        <w:t>“</w:t>
      </w:r>
      <w:r w:rsidRPr="001E10C1">
        <w:rPr>
          <w:rFonts w:ascii="Arial" w:eastAsia="Arial," w:hAnsi="Arial" w:cs="Arial"/>
          <w:sz w:val="20"/>
          <w:szCs w:val="20"/>
          <w:lang w:eastAsia="es-MX"/>
        </w:rPr>
        <w:t>Saldos contratos en ejecución</w:t>
      </w:r>
      <w:r>
        <w:rPr>
          <w:rFonts w:ascii="Arial" w:eastAsia="Arial," w:hAnsi="Arial" w:cs="Arial"/>
          <w:sz w:val="20"/>
          <w:szCs w:val="20"/>
          <w:lang w:eastAsia="es-MX"/>
        </w:rPr>
        <w:t>”</w:t>
      </w:r>
      <w:r w:rsidRPr="001E10C1">
        <w:rPr>
          <w:rFonts w:ascii="Arial" w:eastAsia="Arial," w:hAnsi="Arial" w:cs="Arial"/>
          <w:sz w:val="20"/>
          <w:szCs w:val="20"/>
          <w:lang w:eastAsia="es-MX"/>
        </w:rPr>
        <w:t xml:space="preserve">. Al respecto debe mencionarse </w:t>
      </w:r>
      <w:proofErr w:type="gramStart"/>
      <w:r w:rsidRPr="001E10C1">
        <w:rPr>
          <w:rFonts w:ascii="Arial" w:eastAsia="Arial," w:hAnsi="Arial" w:cs="Arial"/>
          <w:sz w:val="20"/>
          <w:szCs w:val="20"/>
          <w:lang w:eastAsia="es-MX"/>
        </w:rPr>
        <w:t>que</w:t>
      </w:r>
      <w:proofErr w:type="gramEnd"/>
      <w:r w:rsidRPr="001E10C1">
        <w:rPr>
          <w:rFonts w:ascii="Arial" w:eastAsia="Arial," w:hAnsi="Arial" w:cs="Arial"/>
          <w:sz w:val="20"/>
          <w:szCs w:val="20"/>
          <w:lang w:eastAsia="es-MX"/>
        </w:rPr>
        <w:t xml:space="preserve"> si bien la suspensión de los contratos estatales no es una institución regulada explícitamente en el Estatuto General de Contratación de la Administración Pública, los saldos de los contratos pendientes por ejecutar de los contratos afectados por una suspensión constituyen, también, información relevante para calcular la capacidad residual del proponente (CRP).</w:t>
      </w:r>
    </w:p>
    <w:p w14:paraId="65E5A006" w14:textId="77777777" w:rsidR="00E63E9E" w:rsidRPr="001E10C1" w:rsidRDefault="00E63E9E" w:rsidP="00E63E9E">
      <w:pPr>
        <w:spacing w:after="0" w:line="240" w:lineRule="auto"/>
        <w:jc w:val="both"/>
        <w:rPr>
          <w:rFonts w:ascii="Arial" w:eastAsia="Times New Roman" w:hAnsi="Arial" w:cs="Arial"/>
          <w:sz w:val="20"/>
          <w:szCs w:val="20"/>
          <w:lang w:eastAsia="es-MX"/>
        </w:rPr>
      </w:pPr>
    </w:p>
    <w:p w14:paraId="25EED279" w14:textId="77777777" w:rsidR="00E63E9E" w:rsidRPr="008423DB" w:rsidRDefault="00E63E9E" w:rsidP="008423DB">
      <w:pPr>
        <w:spacing w:after="120" w:line="240" w:lineRule="auto"/>
        <w:jc w:val="both"/>
        <w:rPr>
          <w:rFonts w:ascii="Arial" w:eastAsia="Calibri" w:hAnsi="Arial" w:cs="Arial"/>
          <w:color w:val="000000" w:themeColor="text1"/>
          <w:sz w:val="20"/>
          <w:szCs w:val="20"/>
          <w:lang w:val="es-ES_tradnl" w:eastAsia="es-CO"/>
        </w:rPr>
      </w:pPr>
    </w:p>
    <w:p w14:paraId="458B96B3" w14:textId="77777777" w:rsidR="001372B4" w:rsidRPr="00D52E00" w:rsidRDefault="001372B4" w:rsidP="008423DB">
      <w:pPr>
        <w:spacing w:after="120" w:line="240" w:lineRule="auto"/>
        <w:jc w:val="both"/>
        <w:rPr>
          <w:rFonts w:ascii="Arial" w:eastAsia="Calibri" w:hAnsi="Arial" w:cs="Arial"/>
          <w:color w:val="000000" w:themeColor="text1"/>
          <w:sz w:val="20"/>
          <w:szCs w:val="20"/>
          <w:lang w:val="es-ES_tradnl" w:eastAsia="es-CO"/>
        </w:rPr>
      </w:pPr>
    </w:p>
    <w:p w14:paraId="2DDC56E7" w14:textId="77777777" w:rsidR="001372B4" w:rsidRDefault="001372B4" w:rsidP="001372B4">
      <w:pPr>
        <w:spacing w:after="0"/>
        <w:jc w:val="right"/>
        <w:rPr>
          <w:rFonts w:ascii="Century Gothic" w:hAnsi="Century Gothic"/>
        </w:rPr>
      </w:pPr>
    </w:p>
    <w:p w14:paraId="5FCADBF9" w14:textId="5E0A153A" w:rsidR="00E245AB" w:rsidRPr="00C330EB" w:rsidRDefault="00E245AB" w:rsidP="008B4C28">
      <w:pPr>
        <w:spacing w:after="0"/>
        <w:rPr>
          <w:rFonts w:ascii="Century Gothic" w:hAnsi="Century Gothic"/>
        </w:rPr>
      </w:pPr>
    </w:p>
    <w:p w14:paraId="68E8941E" w14:textId="31AA281E" w:rsidR="00696912" w:rsidRDefault="00696912" w:rsidP="00696912">
      <w:pPr>
        <w:spacing w:after="0" w:line="240" w:lineRule="auto"/>
        <w:jc w:val="right"/>
        <w:rPr>
          <w:rFonts w:ascii="Arial" w:eastAsia="Calibri" w:hAnsi="Arial" w:cs="Arial"/>
          <w:color w:val="000000"/>
          <w:szCs w:val="24"/>
          <w:lang w:val="es-ES_tradnl" w:eastAsia="es-ES_tradnl"/>
        </w:rPr>
      </w:pPr>
      <w:bookmarkStart w:id="0" w:name="_Hlk72774216"/>
      <w:r w:rsidRPr="00696912">
        <w:rPr>
          <w:rFonts w:ascii="Arial" w:eastAsia="Calibri" w:hAnsi="Arial" w:cs="Arial"/>
          <w:noProof/>
          <w:color w:val="000000"/>
          <w:szCs w:val="24"/>
          <w:lang w:val="es-ES_tradnl" w:eastAsia="es-ES_tradnl"/>
        </w:rPr>
        <w:lastRenderedPageBreak/>
        <w:drawing>
          <wp:inline distT="0" distB="0" distL="0" distR="0" wp14:anchorId="454904AB" wp14:editId="0FED5668">
            <wp:extent cx="3077308" cy="843915"/>
            <wp:effectExtent l="0" t="0" r="8890" b="0"/>
            <wp:docPr id="129807954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85121" cy="846058"/>
                    </a:xfrm>
                    <a:prstGeom prst="rect">
                      <a:avLst/>
                    </a:prstGeom>
                    <a:noFill/>
                    <a:ln>
                      <a:noFill/>
                    </a:ln>
                  </pic:spPr>
                </pic:pic>
              </a:graphicData>
            </a:graphic>
          </wp:inline>
        </w:drawing>
      </w:r>
    </w:p>
    <w:p w14:paraId="0593F73F" w14:textId="77777777" w:rsidR="00696912" w:rsidRDefault="00696912" w:rsidP="0073186E">
      <w:pPr>
        <w:spacing w:after="0" w:line="240" w:lineRule="auto"/>
        <w:jc w:val="both"/>
        <w:rPr>
          <w:rFonts w:ascii="Arial" w:eastAsia="Calibri" w:hAnsi="Arial" w:cs="Arial"/>
          <w:color w:val="000000"/>
          <w:szCs w:val="24"/>
          <w:lang w:val="es-ES_tradnl" w:eastAsia="es-ES_tradnl"/>
        </w:rPr>
      </w:pPr>
    </w:p>
    <w:p w14:paraId="23E03AA1" w14:textId="77777777" w:rsidR="00696912" w:rsidRDefault="00696912" w:rsidP="0073186E">
      <w:pPr>
        <w:spacing w:after="0" w:line="240" w:lineRule="auto"/>
        <w:jc w:val="both"/>
        <w:rPr>
          <w:rFonts w:ascii="Arial" w:eastAsia="Calibri" w:hAnsi="Arial" w:cs="Arial"/>
          <w:color w:val="000000"/>
          <w:szCs w:val="24"/>
          <w:lang w:val="es-ES_tradnl" w:eastAsia="es-ES_tradnl"/>
        </w:rPr>
      </w:pPr>
    </w:p>
    <w:p w14:paraId="04DD0DAE" w14:textId="1880E50F" w:rsidR="0073186E" w:rsidRPr="0073186E" w:rsidRDefault="0073186E" w:rsidP="0073186E">
      <w:pPr>
        <w:spacing w:after="0" w:line="240" w:lineRule="auto"/>
        <w:jc w:val="both"/>
        <w:rPr>
          <w:rFonts w:ascii="Arial" w:eastAsia="Calibri" w:hAnsi="Arial" w:cs="Arial"/>
          <w:color w:val="000000"/>
          <w:szCs w:val="24"/>
          <w:lang w:val="es-ES_tradnl" w:eastAsia="es-ES_tradnl"/>
        </w:rPr>
      </w:pPr>
      <w:r w:rsidRPr="0073186E">
        <w:rPr>
          <w:rFonts w:ascii="Arial" w:eastAsia="Calibri" w:hAnsi="Arial" w:cs="Arial"/>
          <w:color w:val="000000"/>
          <w:szCs w:val="24"/>
          <w:lang w:val="es-ES_tradnl" w:eastAsia="es-ES_tradnl"/>
        </w:rPr>
        <w:t>Señor</w:t>
      </w:r>
      <w:r w:rsidR="00E314AC">
        <w:rPr>
          <w:rFonts w:ascii="Arial" w:eastAsia="Calibri" w:hAnsi="Arial" w:cs="Arial"/>
          <w:color w:val="000000"/>
          <w:szCs w:val="24"/>
          <w:lang w:val="es-ES_tradnl" w:eastAsia="es-ES_tradnl"/>
        </w:rPr>
        <w:t xml:space="preserve">a </w:t>
      </w:r>
    </w:p>
    <w:p w14:paraId="2F62804A" w14:textId="26CC0A03" w:rsidR="0073186E" w:rsidRDefault="00E314AC" w:rsidP="0073186E">
      <w:pPr>
        <w:spacing w:after="0" w:line="240" w:lineRule="auto"/>
        <w:jc w:val="both"/>
        <w:rPr>
          <w:rFonts w:ascii="Arial" w:eastAsia="Calibri" w:hAnsi="Arial" w:cs="Arial"/>
          <w:b/>
          <w:bCs/>
          <w:color w:val="000000"/>
          <w:szCs w:val="24"/>
          <w:lang w:val="es-ES_tradnl" w:eastAsia="es-ES_tradnl"/>
        </w:rPr>
      </w:pPr>
      <w:r w:rsidRPr="00E314AC">
        <w:rPr>
          <w:rFonts w:ascii="Arial" w:eastAsia="Calibri" w:hAnsi="Arial" w:cs="Arial"/>
          <w:b/>
          <w:bCs/>
          <w:color w:val="000000"/>
          <w:szCs w:val="24"/>
          <w:lang w:val="es-ES_tradnl" w:eastAsia="es-ES_tradnl"/>
        </w:rPr>
        <w:t>Lizeth Tatiana Beltrán Fonseca</w:t>
      </w:r>
    </w:p>
    <w:p w14:paraId="555DF5C6" w14:textId="75661BAA" w:rsidR="00E314AC" w:rsidRPr="00E314AC" w:rsidRDefault="00AC3B18" w:rsidP="0073186E">
      <w:pPr>
        <w:spacing w:after="0" w:line="240" w:lineRule="auto"/>
        <w:jc w:val="both"/>
        <w:rPr>
          <w:rFonts w:ascii="Arial" w:eastAsia="Calibri" w:hAnsi="Arial" w:cs="Arial"/>
          <w:color w:val="000000"/>
          <w:szCs w:val="24"/>
          <w:lang w:val="es-ES_tradnl" w:eastAsia="es-ES_tradnl"/>
        </w:rPr>
      </w:pPr>
      <w:hyperlink r:id="rId11" w:history="1">
        <w:r w:rsidR="00E314AC" w:rsidRPr="00E314AC">
          <w:rPr>
            <w:rStyle w:val="Hipervnculo"/>
            <w:rFonts w:ascii="Arial" w:eastAsia="Calibri" w:hAnsi="Arial" w:cs="Arial"/>
            <w:szCs w:val="24"/>
            <w:lang w:val="es-ES_tradnl" w:eastAsia="es-ES_tradnl"/>
          </w:rPr>
          <w:t>ltbeltran@aschinfraestrucutras.com</w:t>
        </w:r>
      </w:hyperlink>
      <w:r w:rsidR="00E314AC" w:rsidRPr="00E314AC">
        <w:rPr>
          <w:rFonts w:ascii="Arial" w:eastAsia="Calibri" w:hAnsi="Arial" w:cs="Arial"/>
          <w:color w:val="000000"/>
          <w:szCs w:val="24"/>
          <w:lang w:val="es-ES_tradnl" w:eastAsia="es-ES_tradnl"/>
        </w:rPr>
        <w:t xml:space="preserve"> </w:t>
      </w:r>
    </w:p>
    <w:p w14:paraId="70E05392" w14:textId="028E8232" w:rsidR="0073186E" w:rsidRPr="0073186E" w:rsidRDefault="00E314AC" w:rsidP="0073186E">
      <w:pPr>
        <w:spacing w:after="0" w:line="240" w:lineRule="auto"/>
        <w:jc w:val="both"/>
        <w:rPr>
          <w:rFonts w:ascii="Arial" w:eastAsia="Calibri" w:hAnsi="Arial" w:cs="Arial"/>
          <w:color w:val="000000"/>
          <w:szCs w:val="24"/>
          <w:lang w:val="es-ES_tradnl" w:eastAsia="es-ES_tradnl"/>
        </w:rPr>
      </w:pPr>
      <w:r>
        <w:rPr>
          <w:rFonts w:ascii="Arial" w:eastAsia="Calibri" w:hAnsi="Arial" w:cs="Arial"/>
          <w:color w:val="000000"/>
          <w:szCs w:val="24"/>
          <w:lang w:val="es-ES_tradnl" w:eastAsia="es-ES_tradnl"/>
        </w:rPr>
        <w:t xml:space="preserve">Bogotá D.C. </w:t>
      </w:r>
    </w:p>
    <w:p w14:paraId="68F30D2F"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p w14:paraId="4F4DBBBC"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p w14:paraId="7427F835" w14:textId="65D2FA06" w:rsidR="0073186E" w:rsidRPr="0073186E" w:rsidRDefault="0073186E" w:rsidP="0073186E">
      <w:pPr>
        <w:spacing w:after="0" w:line="240" w:lineRule="auto"/>
        <w:rPr>
          <w:rFonts w:ascii="Arial" w:eastAsia="Calibri" w:hAnsi="Arial" w:cs="Arial"/>
          <w:color w:val="000000"/>
          <w:szCs w:val="24"/>
          <w:lang w:val="es-ES_tradnl" w:eastAsia="es-ES_tradnl"/>
        </w:rPr>
      </w:pPr>
      <w:r w:rsidRPr="0073186E">
        <w:rPr>
          <w:rFonts w:ascii="Arial" w:eastAsia="Calibri" w:hAnsi="Arial" w:cs="Arial"/>
          <w:b/>
          <w:bCs/>
          <w:color w:val="000000"/>
          <w:szCs w:val="24"/>
          <w:lang w:val="es-ES_tradnl" w:eastAsia="es-ES_tradnl"/>
        </w:rPr>
        <w:t xml:space="preserve">                                            Concepto C ‒ </w:t>
      </w:r>
      <w:r w:rsidR="00E314AC">
        <w:rPr>
          <w:rFonts w:ascii="Arial" w:eastAsia="Calibri" w:hAnsi="Arial" w:cs="Arial"/>
          <w:b/>
          <w:bCs/>
          <w:color w:val="000000"/>
          <w:szCs w:val="24"/>
          <w:lang w:val="es-ES_tradnl" w:eastAsia="es-ES_tradnl"/>
        </w:rPr>
        <w:t>372</w:t>
      </w:r>
      <w:r w:rsidRPr="0073186E">
        <w:rPr>
          <w:rFonts w:ascii="Arial" w:eastAsia="Calibri" w:hAnsi="Arial" w:cs="Arial"/>
          <w:b/>
          <w:bCs/>
          <w:color w:val="000000"/>
          <w:szCs w:val="24"/>
          <w:lang w:val="es-ES_tradnl" w:eastAsia="es-ES_tradnl"/>
        </w:rPr>
        <w:t xml:space="preserve"> de 202</w:t>
      </w:r>
      <w:r w:rsidR="00CE0082">
        <w:rPr>
          <w:rFonts w:ascii="Arial" w:eastAsia="Calibri" w:hAnsi="Arial" w:cs="Arial"/>
          <w:b/>
          <w:bCs/>
          <w:color w:val="000000"/>
          <w:szCs w:val="24"/>
          <w:lang w:val="es-ES_tradnl" w:eastAsia="es-ES_tradnl"/>
        </w:rPr>
        <w:t>3</w:t>
      </w:r>
    </w:p>
    <w:p w14:paraId="3C69EC16"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3186E" w:rsidRPr="0073186E" w14:paraId="047D6D4C" w14:textId="77777777" w:rsidTr="00564F7A">
        <w:tc>
          <w:tcPr>
            <w:tcW w:w="2689" w:type="dxa"/>
          </w:tcPr>
          <w:p w14:paraId="4692D1F2" w14:textId="77777777" w:rsidR="0073186E" w:rsidRPr="0073186E" w:rsidRDefault="0073186E" w:rsidP="0073186E">
            <w:pPr>
              <w:jc w:val="both"/>
              <w:rPr>
                <w:rFonts w:ascii="Arial" w:eastAsia="Calibri" w:hAnsi="Arial" w:cs="Arial"/>
                <w:color w:val="000000"/>
                <w:szCs w:val="24"/>
                <w:lang w:val="es-ES_tradnl" w:eastAsia="es-ES_tradnl"/>
              </w:rPr>
            </w:pPr>
            <w:r w:rsidRPr="0073186E">
              <w:rPr>
                <w:rFonts w:ascii="Arial" w:eastAsia="Calibri" w:hAnsi="Arial" w:cs="Arial"/>
                <w:b/>
                <w:color w:val="000000"/>
                <w:szCs w:val="24"/>
                <w:lang w:val="es-ES_tradnl" w:eastAsia="es-ES_tradnl"/>
              </w:rPr>
              <w:t>Temas:</w:t>
            </w:r>
            <w:r w:rsidRPr="0073186E">
              <w:rPr>
                <w:rFonts w:ascii="Arial" w:eastAsia="Calibri" w:hAnsi="Arial" w:cs="Arial"/>
                <w:color w:val="000000"/>
                <w:szCs w:val="24"/>
                <w:lang w:val="es-ES_tradnl" w:eastAsia="es-ES_tradnl"/>
              </w:rPr>
              <w:t xml:space="preserve">                                      </w:t>
            </w:r>
          </w:p>
        </w:tc>
        <w:tc>
          <w:tcPr>
            <w:tcW w:w="6237" w:type="dxa"/>
          </w:tcPr>
          <w:p w14:paraId="098D1579" w14:textId="7E4E2BDF" w:rsidR="0073186E" w:rsidRPr="0073186E" w:rsidRDefault="0089058B" w:rsidP="0073186E">
            <w:pPr>
              <w:jc w:val="both"/>
              <w:rPr>
                <w:rFonts w:ascii="Arial" w:eastAsia="Calibri" w:hAnsi="Arial" w:cs="Arial"/>
                <w:szCs w:val="24"/>
                <w:lang w:eastAsia="es-ES_tradnl"/>
              </w:rPr>
            </w:pPr>
            <w:r w:rsidRPr="0089058B">
              <w:rPr>
                <w:rFonts w:ascii="Arial" w:eastAsia="Calibri" w:hAnsi="Arial" w:cs="Arial"/>
                <w:color w:val="000000"/>
                <w:szCs w:val="24"/>
                <w:lang w:eastAsia="es-ES_tradnl"/>
              </w:rPr>
              <w:t>PERSONAS EN CONDICIÓN DE DISCAPACIDAD – Decreto 392 de 2018 – Desarrollo normativo</w:t>
            </w:r>
            <w:r w:rsidR="00F30BA0">
              <w:rPr>
                <w:rFonts w:ascii="Arial" w:eastAsia="Calibri" w:hAnsi="Arial" w:cs="Arial"/>
                <w:color w:val="000000"/>
                <w:szCs w:val="24"/>
                <w:lang w:eastAsia="es-ES_tradnl"/>
              </w:rPr>
              <w:t xml:space="preserve"> </w:t>
            </w:r>
            <w:r w:rsidR="0073186E" w:rsidRPr="0073186E">
              <w:rPr>
                <w:rFonts w:ascii="Arial" w:eastAsia="Calibri" w:hAnsi="Arial" w:cs="Arial"/>
                <w:szCs w:val="24"/>
                <w:lang w:val="es-ES_tradnl" w:eastAsia="es-ES_tradnl"/>
              </w:rPr>
              <w:t xml:space="preserve">/ </w:t>
            </w:r>
            <w:r w:rsidR="00054B8D" w:rsidRPr="00054B8D">
              <w:rPr>
                <w:rFonts w:ascii="Arial" w:eastAsia="Calibri" w:hAnsi="Arial" w:cs="Arial"/>
                <w:szCs w:val="24"/>
                <w:lang w:val="es-ES_tradnl" w:eastAsia="es-ES_tradnl"/>
              </w:rPr>
              <w:t>PERSONAS EN CONDICIÓN DE DISCAPACIDAD – Puntaje adicional – Fundamento normativo</w:t>
            </w:r>
            <w:r w:rsidR="00054B8D">
              <w:rPr>
                <w:rFonts w:ascii="Arial" w:eastAsia="Calibri" w:hAnsi="Arial" w:cs="Arial"/>
                <w:szCs w:val="24"/>
                <w:lang w:val="es-ES_tradnl" w:eastAsia="es-ES_tradnl"/>
              </w:rPr>
              <w:t xml:space="preserve"> / </w:t>
            </w:r>
            <w:r w:rsidR="00054B8D" w:rsidRPr="00054B8D">
              <w:rPr>
                <w:rFonts w:ascii="Arial" w:eastAsia="Calibri" w:hAnsi="Arial" w:cs="Arial"/>
                <w:szCs w:val="24"/>
                <w:lang w:val="es-ES_tradnl" w:eastAsia="es-ES_tradnl"/>
              </w:rPr>
              <w:t>PUNTAJE ADICIONAL – Vinculación – Personas en condición de discapacidad – Personas extranjeras</w:t>
            </w:r>
            <w:r w:rsidR="003A6986">
              <w:rPr>
                <w:rFonts w:ascii="Arial" w:eastAsia="Calibri" w:hAnsi="Arial" w:cs="Arial"/>
                <w:szCs w:val="24"/>
                <w:lang w:val="es-ES_tradnl" w:eastAsia="es-ES_tradnl"/>
              </w:rPr>
              <w:t xml:space="preserve"> / </w:t>
            </w:r>
          </w:p>
        </w:tc>
      </w:tr>
      <w:tr w:rsidR="0073186E" w:rsidRPr="0073186E" w14:paraId="30460B08" w14:textId="77777777" w:rsidTr="00564F7A">
        <w:tc>
          <w:tcPr>
            <w:tcW w:w="2689" w:type="dxa"/>
          </w:tcPr>
          <w:p w14:paraId="5AD6A1C6" w14:textId="77777777" w:rsidR="0073186E" w:rsidRPr="0073186E" w:rsidRDefault="0073186E" w:rsidP="0073186E">
            <w:pPr>
              <w:spacing w:before="120"/>
              <w:jc w:val="both"/>
              <w:rPr>
                <w:rFonts w:ascii="Arial" w:eastAsia="Calibri" w:hAnsi="Arial" w:cs="Arial"/>
                <w:b/>
                <w:color w:val="000000"/>
                <w:szCs w:val="24"/>
                <w:lang w:val="es-ES_tradnl" w:eastAsia="es-ES_tradnl"/>
              </w:rPr>
            </w:pPr>
            <w:r w:rsidRPr="0073186E">
              <w:rPr>
                <w:rFonts w:ascii="Arial" w:eastAsia="Calibri" w:hAnsi="Arial" w:cs="Arial"/>
                <w:b/>
                <w:color w:val="000000"/>
                <w:szCs w:val="24"/>
                <w:lang w:val="es-ES_tradnl" w:eastAsia="es-ES_tradnl"/>
              </w:rPr>
              <w:t xml:space="preserve"> Radicación:</w:t>
            </w:r>
            <w:r w:rsidRPr="0073186E">
              <w:rPr>
                <w:rFonts w:ascii="Arial" w:eastAsia="Calibri" w:hAnsi="Arial" w:cs="Arial"/>
                <w:color w:val="000000"/>
                <w:szCs w:val="24"/>
                <w:lang w:val="es-ES_tradnl" w:eastAsia="es-ES_tradnl"/>
              </w:rPr>
              <w:t xml:space="preserve">                              </w:t>
            </w:r>
          </w:p>
        </w:tc>
        <w:tc>
          <w:tcPr>
            <w:tcW w:w="6237" w:type="dxa"/>
          </w:tcPr>
          <w:p w14:paraId="7709065D" w14:textId="3ADB5EFF" w:rsidR="0073186E" w:rsidRPr="0073186E" w:rsidRDefault="0073186E" w:rsidP="0073186E">
            <w:pPr>
              <w:spacing w:before="120"/>
              <w:ind w:left="708" w:hanging="708"/>
              <w:jc w:val="both"/>
              <w:rPr>
                <w:rFonts w:ascii="Arial" w:eastAsia="Calibri" w:hAnsi="Arial" w:cs="Arial"/>
                <w:color w:val="000000"/>
                <w:szCs w:val="24"/>
                <w:lang w:val="es-ES_tradnl" w:eastAsia="es-ES_tradnl"/>
              </w:rPr>
            </w:pPr>
            <w:r w:rsidRPr="0073186E">
              <w:rPr>
                <w:rFonts w:ascii="Arial" w:eastAsia="Calibri" w:hAnsi="Arial" w:cs="Arial"/>
                <w:color w:val="000000"/>
                <w:szCs w:val="24"/>
                <w:lang w:val="es-ES_tradnl" w:eastAsia="es-ES_tradnl"/>
              </w:rPr>
              <w:t>Respuesta a consulta P202</w:t>
            </w:r>
            <w:r w:rsidR="00E314AC">
              <w:rPr>
                <w:rFonts w:ascii="Arial" w:eastAsia="Calibri" w:hAnsi="Arial" w:cs="Arial"/>
                <w:color w:val="000000"/>
                <w:szCs w:val="24"/>
                <w:lang w:val="es-ES_tradnl" w:eastAsia="es-ES_tradnl"/>
              </w:rPr>
              <w:t>30728013752</w:t>
            </w:r>
          </w:p>
        </w:tc>
      </w:tr>
    </w:tbl>
    <w:p w14:paraId="0A220574"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p w14:paraId="5637FAEC"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p w14:paraId="3CA20A06" w14:textId="79C6991E" w:rsidR="0073186E" w:rsidRPr="0073186E" w:rsidRDefault="0073186E" w:rsidP="0073186E">
      <w:pPr>
        <w:spacing w:after="0" w:line="240" w:lineRule="auto"/>
        <w:jc w:val="both"/>
        <w:rPr>
          <w:rFonts w:ascii="Arial" w:eastAsia="Calibri" w:hAnsi="Arial" w:cs="Arial"/>
          <w:color w:val="000000"/>
          <w:szCs w:val="24"/>
          <w:lang w:val="es-ES_tradnl" w:eastAsia="es-ES_tradnl"/>
        </w:rPr>
      </w:pPr>
      <w:r w:rsidRPr="0073186E">
        <w:rPr>
          <w:rFonts w:ascii="Arial" w:eastAsia="Calibri" w:hAnsi="Arial" w:cs="Arial"/>
          <w:color w:val="000000"/>
          <w:szCs w:val="24"/>
          <w:lang w:val="es-ES_tradnl" w:eastAsia="es-ES_tradnl"/>
        </w:rPr>
        <w:t>Estimad</w:t>
      </w:r>
      <w:r w:rsidR="00E314AC">
        <w:rPr>
          <w:rFonts w:ascii="Arial" w:eastAsia="Calibri" w:hAnsi="Arial" w:cs="Arial"/>
          <w:color w:val="000000"/>
          <w:szCs w:val="24"/>
          <w:lang w:val="es-ES_tradnl" w:eastAsia="es-ES_tradnl"/>
        </w:rPr>
        <w:t>a</w:t>
      </w:r>
      <w:r w:rsidRPr="0073186E">
        <w:rPr>
          <w:rFonts w:ascii="Arial" w:eastAsia="Calibri" w:hAnsi="Arial" w:cs="Arial"/>
          <w:color w:val="000000"/>
          <w:szCs w:val="24"/>
          <w:lang w:val="es-ES_tradnl" w:eastAsia="es-ES_tradnl"/>
        </w:rPr>
        <w:t xml:space="preserve"> señor</w:t>
      </w:r>
      <w:r w:rsidR="00E314AC">
        <w:rPr>
          <w:rFonts w:ascii="Arial" w:eastAsia="Calibri" w:hAnsi="Arial" w:cs="Arial"/>
          <w:color w:val="000000"/>
          <w:szCs w:val="24"/>
          <w:lang w:val="es-ES_tradnl" w:eastAsia="es-ES_tradnl"/>
        </w:rPr>
        <w:t>a Beltrán</w:t>
      </w:r>
      <w:r w:rsidRPr="0073186E">
        <w:rPr>
          <w:rFonts w:ascii="Arial" w:eastAsia="Calibri" w:hAnsi="Arial" w:cs="Arial"/>
          <w:color w:val="000000"/>
          <w:szCs w:val="24"/>
          <w:lang w:val="es-ES_tradnl" w:eastAsia="es-ES_tradnl"/>
        </w:rPr>
        <w:t>:</w:t>
      </w:r>
    </w:p>
    <w:p w14:paraId="2F675D4D" w14:textId="77777777" w:rsidR="0073186E" w:rsidRPr="0073186E" w:rsidRDefault="0073186E" w:rsidP="0073186E">
      <w:pPr>
        <w:spacing w:after="0" w:line="240" w:lineRule="auto"/>
        <w:jc w:val="both"/>
        <w:rPr>
          <w:rFonts w:ascii="Arial" w:eastAsia="Calibri" w:hAnsi="Arial" w:cs="Arial"/>
          <w:color w:val="000000"/>
          <w:szCs w:val="24"/>
          <w:lang w:val="es-ES_tradnl" w:eastAsia="es-ES_tradnl"/>
        </w:rPr>
      </w:pPr>
    </w:p>
    <w:p w14:paraId="2B7313A3" w14:textId="673AAFA4" w:rsidR="0073186E" w:rsidRPr="0073186E" w:rsidRDefault="0073186E" w:rsidP="0073186E">
      <w:pPr>
        <w:spacing w:after="0" w:line="276" w:lineRule="auto"/>
        <w:jc w:val="both"/>
        <w:rPr>
          <w:rFonts w:ascii="Arial" w:eastAsia="Calibri" w:hAnsi="Arial" w:cs="Arial"/>
          <w:color w:val="000000"/>
          <w:szCs w:val="24"/>
          <w:lang w:val="es-ES_tradnl" w:eastAsia="es-ES_tradnl"/>
        </w:rPr>
      </w:pPr>
      <w:r w:rsidRPr="0073186E">
        <w:rPr>
          <w:rFonts w:ascii="Arial" w:eastAsia="Calibri" w:hAnsi="Arial" w:cs="Arial"/>
          <w:color w:val="000000"/>
          <w:szCs w:val="24"/>
          <w:lang w:val="es-ES_tradnl" w:eastAsia="es-ES_tradnl"/>
        </w:rPr>
        <w:t xml:space="preserve">En ejercicio de la competencia o torgada por el numeral 8 del artículo 11 y el numeral 5 del artículo 3 del Decreto Ley 4170 de 2011, la Agencia Nacional de Contratación Pública – Colombia Compra Eficiente, a través de la Subdirección de Gestión Contractual, responde su consulta del </w:t>
      </w:r>
      <w:r w:rsidR="00E314AC">
        <w:rPr>
          <w:rFonts w:ascii="Arial" w:eastAsia="Calibri" w:hAnsi="Arial" w:cs="Arial"/>
          <w:color w:val="000000"/>
          <w:szCs w:val="24"/>
          <w:lang w:val="es-ES_tradnl" w:eastAsia="es-ES_tradnl"/>
        </w:rPr>
        <w:t>28</w:t>
      </w:r>
      <w:r w:rsidRPr="0073186E">
        <w:rPr>
          <w:rFonts w:ascii="Arial" w:eastAsia="Calibri" w:hAnsi="Arial" w:cs="Arial"/>
          <w:color w:val="000000"/>
          <w:szCs w:val="24"/>
          <w:lang w:val="es-ES_tradnl" w:eastAsia="es-ES_tradnl"/>
        </w:rPr>
        <w:t xml:space="preserve"> de ju</w:t>
      </w:r>
      <w:r w:rsidR="00E314AC">
        <w:rPr>
          <w:rFonts w:ascii="Arial" w:eastAsia="Calibri" w:hAnsi="Arial" w:cs="Arial"/>
          <w:color w:val="000000"/>
          <w:szCs w:val="24"/>
          <w:lang w:val="es-ES_tradnl" w:eastAsia="es-ES_tradnl"/>
        </w:rPr>
        <w:t>lio</w:t>
      </w:r>
      <w:r w:rsidRPr="0073186E">
        <w:rPr>
          <w:rFonts w:ascii="Arial" w:eastAsia="Calibri" w:hAnsi="Arial" w:cs="Arial"/>
          <w:color w:val="000000"/>
          <w:szCs w:val="24"/>
          <w:lang w:val="es-ES_tradnl" w:eastAsia="es-ES_tradnl"/>
        </w:rPr>
        <w:t xml:space="preserve"> de 2023. </w:t>
      </w:r>
    </w:p>
    <w:p w14:paraId="78C524AF" w14:textId="77777777" w:rsidR="0073186E" w:rsidRPr="0073186E" w:rsidRDefault="0073186E" w:rsidP="0073186E">
      <w:pPr>
        <w:spacing w:after="0" w:line="276" w:lineRule="auto"/>
        <w:jc w:val="both"/>
        <w:rPr>
          <w:rFonts w:ascii="Arial" w:eastAsia="Calibri" w:hAnsi="Arial" w:cs="Arial"/>
          <w:b/>
          <w:color w:val="000000"/>
          <w:szCs w:val="24"/>
          <w:lang w:val="es-ES_tradnl" w:eastAsia="es-ES_tradnl"/>
        </w:rPr>
      </w:pPr>
    </w:p>
    <w:p w14:paraId="3E1D50ED" w14:textId="77777777" w:rsidR="0073186E" w:rsidRPr="0073186E" w:rsidRDefault="0073186E" w:rsidP="0073186E">
      <w:pPr>
        <w:numPr>
          <w:ilvl w:val="0"/>
          <w:numId w:val="6"/>
        </w:numPr>
        <w:tabs>
          <w:tab w:val="left" w:pos="0"/>
          <w:tab w:val="left" w:pos="142"/>
          <w:tab w:val="left" w:pos="284"/>
        </w:tabs>
        <w:spacing w:after="0" w:line="276" w:lineRule="auto"/>
        <w:ind w:left="0" w:firstLine="0"/>
        <w:contextualSpacing/>
        <w:jc w:val="both"/>
        <w:rPr>
          <w:rFonts w:ascii="Arial" w:eastAsia="Calibri" w:hAnsi="Arial" w:cs="Arial"/>
          <w:b/>
          <w:color w:val="000000"/>
          <w:lang w:val="es-ES_tradnl"/>
        </w:rPr>
      </w:pPr>
      <w:r w:rsidRPr="0073186E">
        <w:rPr>
          <w:rFonts w:ascii="Arial" w:eastAsia="Calibri" w:hAnsi="Arial" w:cs="Arial"/>
          <w:b/>
          <w:color w:val="000000"/>
          <w:lang w:val="es-ES_tradnl"/>
        </w:rPr>
        <w:t xml:space="preserve">Problema planteado </w:t>
      </w:r>
    </w:p>
    <w:p w14:paraId="05B6579D" w14:textId="77777777" w:rsidR="0073186E" w:rsidRPr="0073186E" w:rsidRDefault="0073186E" w:rsidP="0073186E">
      <w:pPr>
        <w:tabs>
          <w:tab w:val="left" w:pos="426"/>
        </w:tabs>
        <w:spacing w:after="0" w:line="276" w:lineRule="auto"/>
        <w:jc w:val="both"/>
        <w:rPr>
          <w:rFonts w:ascii="Arial" w:eastAsia="Calibri" w:hAnsi="Arial" w:cs="Arial"/>
          <w:b/>
          <w:color w:val="000000"/>
          <w:lang w:val="es-ES_tradnl" w:eastAsia="es-ES_tradnl"/>
        </w:rPr>
      </w:pPr>
    </w:p>
    <w:p w14:paraId="3F4BC866" w14:textId="433588EB" w:rsidR="0073186E" w:rsidRPr="0073186E" w:rsidRDefault="0073186E" w:rsidP="0073186E">
      <w:pPr>
        <w:spacing w:after="0" w:line="276" w:lineRule="auto"/>
        <w:jc w:val="both"/>
        <w:rPr>
          <w:rFonts w:ascii="Arial" w:eastAsia="Times New Roman" w:hAnsi="Arial" w:cs="Arial"/>
          <w:color w:val="000000"/>
          <w:lang w:val="es-ES_tradnl" w:eastAsia="es-ES_tradnl"/>
        </w:rPr>
      </w:pPr>
      <w:bookmarkStart w:id="1" w:name="_Hlk72155746"/>
      <w:r w:rsidRPr="0073186E">
        <w:rPr>
          <w:rFonts w:ascii="Arial" w:eastAsia="Times New Roman" w:hAnsi="Arial" w:cs="Arial"/>
          <w:color w:val="000000"/>
          <w:lang w:val="es-ES_tradnl" w:eastAsia="es-ES_tradnl"/>
        </w:rPr>
        <w:t xml:space="preserve">Usted realiza </w:t>
      </w:r>
      <w:r w:rsidR="00E314AC">
        <w:rPr>
          <w:rFonts w:ascii="Arial" w:eastAsia="Times New Roman" w:hAnsi="Arial" w:cs="Arial"/>
          <w:color w:val="000000"/>
          <w:lang w:val="es-ES_tradnl" w:eastAsia="es-ES_tradnl"/>
        </w:rPr>
        <w:t>la siguiente consulta</w:t>
      </w:r>
      <w:r w:rsidRPr="0073186E">
        <w:rPr>
          <w:rFonts w:ascii="Arial" w:eastAsia="Times New Roman" w:hAnsi="Arial" w:cs="Arial"/>
          <w:color w:val="000000"/>
          <w:lang w:val="es-ES_tradnl" w:eastAsia="es-ES_tradnl"/>
        </w:rPr>
        <w:t>:</w:t>
      </w:r>
    </w:p>
    <w:p w14:paraId="5953CAE4" w14:textId="77777777" w:rsidR="0073186E" w:rsidRPr="0073186E" w:rsidRDefault="0073186E" w:rsidP="0073186E">
      <w:pPr>
        <w:spacing w:after="0" w:line="276" w:lineRule="auto"/>
        <w:jc w:val="both"/>
        <w:rPr>
          <w:rFonts w:ascii="Arial" w:eastAsia="Times New Roman" w:hAnsi="Arial" w:cs="Arial"/>
          <w:color w:val="000000"/>
          <w:lang w:val="es-ES_tradnl" w:eastAsia="es-ES_tradnl"/>
        </w:rPr>
      </w:pPr>
    </w:p>
    <w:p w14:paraId="2EA546F4" w14:textId="77777777" w:rsidR="00E314AC" w:rsidRDefault="0073186E" w:rsidP="00E314AC">
      <w:pPr>
        <w:spacing w:after="0" w:line="240" w:lineRule="auto"/>
        <w:ind w:left="709" w:right="709"/>
        <w:jc w:val="both"/>
        <w:rPr>
          <w:rFonts w:ascii="Arial" w:eastAsia="Times New Roman" w:hAnsi="Arial" w:cs="Arial"/>
          <w:color w:val="000000"/>
          <w:sz w:val="21"/>
          <w:szCs w:val="21"/>
          <w:lang w:val="es-ES_tradnl" w:eastAsia="es-ES_tradnl"/>
        </w:rPr>
      </w:pPr>
      <w:bookmarkStart w:id="2" w:name="_Hlk140745655"/>
      <w:r w:rsidRPr="0073186E">
        <w:rPr>
          <w:rFonts w:ascii="Arial" w:eastAsia="Times New Roman" w:hAnsi="Arial" w:cs="Arial"/>
          <w:color w:val="000000"/>
          <w:sz w:val="21"/>
          <w:szCs w:val="21"/>
          <w:lang w:val="es-ES_tradnl" w:eastAsia="es-ES_tradnl"/>
        </w:rPr>
        <w:t>“</w:t>
      </w:r>
      <w:r w:rsidR="00E314AC" w:rsidRPr="00E314AC">
        <w:rPr>
          <w:rFonts w:ascii="Arial" w:eastAsia="Times New Roman" w:hAnsi="Arial" w:cs="Arial"/>
          <w:color w:val="000000"/>
          <w:sz w:val="21"/>
          <w:szCs w:val="21"/>
          <w:lang w:val="es-ES_tradnl" w:eastAsia="es-ES_tradnl"/>
        </w:rPr>
        <w:t>¿para establecer el número mínimo de trabajadores con discapacidad exigido para ser acreedor del puntaje mencionado en el artículo 2.2.1.2.4.2.6 del Decreto 1082 de 2015 se debe tener en cuenta el número de trabajadores de la matriz extranjera o únicamente los de la sucursal? ¿para acreditar el puntaje mencionado en el artículo 2.2.1.2.4.2.6 del Decreto 1082 de 2015 se deben tener en cuenta los trabajadores en situación de discapacidad de la casa matriz extranjera?</w:t>
      </w:r>
    </w:p>
    <w:p w14:paraId="309134BC" w14:textId="77777777" w:rsidR="00E314AC"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p>
    <w:p w14:paraId="35559275" w14:textId="77777777" w:rsidR="00E314AC"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Times New Roman" w:hAnsi="Arial" w:cs="Arial"/>
          <w:color w:val="000000"/>
          <w:sz w:val="21"/>
          <w:szCs w:val="21"/>
          <w:lang w:val="es-ES_tradnl" w:eastAsia="es-ES_tradnl"/>
        </w:rPr>
        <w:lastRenderedPageBreak/>
        <w:t>[…]</w:t>
      </w:r>
    </w:p>
    <w:p w14:paraId="73A91221" w14:textId="77777777" w:rsidR="00E314AC"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p>
    <w:p w14:paraId="2F44EBAD" w14:textId="49DF6669" w:rsidR="0073186E" w:rsidRPr="0073186E"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r w:rsidRPr="00E314AC">
        <w:rPr>
          <w:rFonts w:ascii="Arial" w:eastAsia="Times New Roman" w:hAnsi="Arial" w:cs="Arial"/>
          <w:color w:val="000000"/>
          <w:sz w:val="21"/>
          <w:szCs w:val="21"/>
          <w:lang w:val="es-ES_tradnl" w:eastAsia="es-ES_tradnl"/>
        </w:rPr>
        <w:t>Por otro lado, en el caso de las sucursales con matriz extranjera ¿cómo se deben acreditar cada uno de los componentes de la capacidad residual en los procesos de contratación pública? ¿es posible tomar la capacidad técnica, financiera y experiencia de la casa matriz extranjera o únicamente la de la sucursal colombiana? ¿los saldos de los contratos en ejecución deben ser los que están siendo ejecutados por la matriz extranjera o únicamente los ejecutados por la sucursal colombiana?</w:t>
      </w:r>
      <w:r w:rsidR="0073186E" w:rsidRPr="0073186E">
        <w:rPr>
          <w:rFonts w:ascii="Arial" w:eastAsia="Times New Roman" w:hAnsi="Arial" w:cs="Arial"/>
          <w:color w:val="000000"/>
          <w:sz w:val="21"/>
          <w:szCs w:val="21"/>
          <w:lang w:val="es-ES_tradnl" w:eastAsia="es-ES_tradnl"/>
        </w:rPr>
        <w:t>”</w:t>
      </w:r>
    </w:p>
    <w:bookmarkEnd w:id="1"/>
    <w:bookmarkEnd w:id="2"/>
    <w:p w14:paraId="02121A27" w14:textId="77777777" w:rsidR="0073186E" w:rsidRPr="0073186E" w:rsidRDefault="0073186E" w:rsidP="0073186E">
      <w:pPr>
        <w:spacing w:after="0" w:line="240" w:lineRule="auto"/>
        <w:ind w:right="709"/>
        <w:jc w:val="both"/>
        <w:rPr>
          <w:rFonts w:ascii="Arial" w:eastAsia="Times New Roman" w:hAnsi="Arial" w:cs="Arial"/>
          <w:color w:val="000000"/>
          <w:sz w:val="21"/>
          <w:szCs w:val="21"/>
          <w:lang w:val="es-ES_tradnl" w:eastAsia="es-ES_tradnl"/>
        </w:rPr>
      </w:pPr>
    </w:p>
    <w:p w14:paraId="0B81F687" w14:textId="77777777" w:rsidR="0073186E" w:rsidRPr="0073186E" w:rsidRDefault="0073186E" w:rsidP="0073186E">
      <w:pPr>
        <w:spacing w:after="0" w:line="276" w:lineRule="auto"/>
        <w:jc w:val="both"/>
        <w:rPr>
          <w:rFonts w:ascii="Arial" w:eastAsia="Times New Roman" w:hAnsi="Arial" w:cs="Arial"/>
          <w:color w:val="000000"/>
          <w:szCs w:val="24"/>
          <w:lang w:val="es-ES_tradnl" w:eastAsia="es-ES_tradnl"/>
        </w:rPr>
      </w:pPr>
    </w:p>
    <w:p w14:paraId="13DB60E8" w14:textId="77777777" w:rsidR="0073186E" w:rsidRPr="0073186E" w:rsidRDefault="0073186E" w:rsidP="0073186E">
      <w:pPr>
        <w:numPr>
          <w:ilvl w:val="0"/>
          <w:numId w:val="6"/>
        </w:numPr>
        <w:tabs>
          <w:tab w:val="left" w:pos="0"/>
          <w:tab w:val="left" w:pos="284"/>
        </w:tabs>
        <w:spacing w:after="0" w:line="240" w:lineRule="auto"/>
        <w:ind w:left="0" w:firstLine="0"/>
        <w:contextualSpacing/>
        <w:jc w:val="both"/>
        <w:rPr>
          <w:rFonts w:ascii="Arial" w:eastAsia="Calibri" w:hAnsi="Arial" w:cs="Arial"/>
          <w:b/>
          <w:color w:val="000000"/>
          <w:lang w:val="es-ES_tradnl"/>
        </w:rPr>
      </w:pPr>
      <w:r w:rsidRPr="0073186E">
        <w:rPr>
          <w:rFonts w:ascii="Arial" w:eastAsia="Calibri" w:hAnsi="Arial" w:cs="Arial"/>
          <w:b/>
          <w:color w:val="000000"/>
          <w:lang w:val="es-ES_tradnl"/>
        </w:rPr>
        <w:t>Consideraciones</w:t>
      </w:r>
    </w:p>
    <w:p w14:paraId="62214FCE" w14:textId="77777777" w:rsidR="0073186E" w:rsidRPr="0073186E" w:rsidRDefault="0073186E" w:rsidP="0073186E">
      <w:pPr>
        <w:tabs>
          <w:tab w:val="left" w:pos="0"/>
          <w:tab w:val="left" w:pos="284"/>
        </w:tabs>
        <w:spacing w:after="0" w:line="240" w:lineRule="auto"/>
        <w:jc w:val="both"/>
        <w:rPr>
          <w:rFonts w:ascii="Arial" w:eastAsia="Calibri" w:hAnsi="Arial" w:cs="Arial"/>
          <w:b/>
          <w:color w:val="000000"/>
          <w:szCs w:val="24"/>
          <w:lang w:val="es-ES_tradnl" w:eastAsia="es-ES_tradnl"/>
        </w:rPr>
      </w:pPr>
    </w:p>
    <w:p w14:paraId="32FF70E2" w14:textId="77777777" w:rsidR="0073186E" w:rsidRPr="0073186E" w:rsidRDefault="0073186E" w:rsidP="0073186E">
      <w:pPr>
        <w:spacing w:after="0" w:line="276" w:lineRule="auto"/>
        <w:jc w:val="both"/>
        <w:rPr>
          <w:rFonts w:ascii="Arial" w:eastAsia="Calibri" w:hAnsi="Arial" w:cs="Arial"/>
          <w:color w:val="000000"/>
          <w:szCs w:val="24"/>
          <w:lang w:eastAsia="es-ES_tradnl"/>
        </w:rPr>
      </w:pPr>
      <w:r w:rsidRPr="0073186E">
        <w:rPr>
          <w:rFonts w:ascii="Arial" w:eastAsia="Calibri" w:hAnsi="Arial" w:cs="Arial"/>
          <w:color w:val="000000"/>
          <w:szCs w:val="24"/>
          <w:lang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73186E">
        <w:rPr>
          <w:rFonts w:ascii="Arial" w:eastAsia="Calibri" w:hAnsi="Arial" w:cs="Arial"/>
          <w:color w:val="000000"/>
          <w:szCs w:val="24"/>
          <w:vertAlign w:val="superscript"/>
          <w:lang w:eastAsia="es-ES_tradnl"/>
        </w:rPr>
        <w:footnoteReference w:id="2"/>
      </w:r>
      <w:r w:rsidRPr="0073186E">
        <w:rPr>
          <w:rFonts w:ascii="Arial" w:eastAsia="Calibri" w:hAnsi="Arial" w:cs="Arial"/>
          <w:color w:val="000000"/>
          <w:szCs w:val="24"/>
          <w:lang w:eastAsia="es-ES_tradnl"/>
        </w:rPr>
        <w:t xml:space="preserve">. Es necesario tener en cuenta que esta entidad solo tiene competencia para responder solicitudes sobre la aplicación de normas de carácter general en materia de compras y contratación pública. En ese sentido, </w:t>
      </w:r>
      <w:r w:rsidRPr="00BE4E5D">
        <w:rPr>
          <w:rFonts w:ascii="Arial" w:eastAsia="Calibri" w:hAnsi="Arial" w:cs="Arial"/>
          <w:color w:val="000000"/>
          <w:szCs w:val="24"/>
          <w:u w:val="single"/>
          <w:lang w:eastAsia="es-ES_tradnl"/>
        </w:rPr>
        <w:t>resolver casos concretos</w:t>
      </w:r>
      <w:r w:rsidRPr="0073186E">
        <w:rPr>
          <w:rFonts w:ascii="Arial" w:eastAsia="Calibri" w:hAnsi="Arial" w:cs="Arial"/>
          <w:color w:val="000000"/>
          <w:szCs w:val="24"/>
          <w:lang w:eastAsia="es-ES_tradnl"/>
        </w:rPr>
        <w:t xml:space="preserve"> desborda las atribuciones asignadas por el legislador extraordinario, que no concibió a Colombia Compra Eficiente como una autoridad para solucionar problemas jurídicos particulares de todos los partícipes de la contratación estatal.</w:t>
      </w:r>
    </w:p>
    <w:p w14:paraId="56C794A6" w14:textId="0ADD5920" w:rsidR="00BE4E5D" w:rsidRPr="0073186E" w:rsidRDefault="0073186E" w:rsidP="00A86387">
      <w:pPr>
        <w:spacing w:before="120" w:after="120" w:line="276" w:lineRule="auto"/>
        <w:ind w:firstLine="709"/>
        <w:jc w:val="both"/>
        <w:rPr>
          <w:rFonts w:ascii="Arial" w:eastAsia="Calibri" w:hAnsi="Arial" w:cs="Arial"/>
          <w:color w:val="000000"/>
          <w:szCs w:val="24"/>
          <w:lang w:eastAsia="es-ES_tradnl"/>
        </w:rPr>
      </w:pPr>
      <w:r w:rsidRPr="0073186E">
        <w:rPr>
          <w:rFonts w:ascii="Arial" w:eastAsia="Calibri" w:hAnsi="Arial" w:cs="Arial"/>
          <w:color w:val="000000"/>
          <w:szCs w:val="24"/>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r w:rsidR="00A86387">
        <w:rPr>
          <w:rFonts w:ascii="Arial" w:eastAsia="Calibri" w:hAnsi="Arial" w:cs="Arial"/>
          <w:color w:val="000000"/>
          <w:szCs w:val="24"/>
          <w:lang w:eastAsia="es-ES_tradnl"/>
        </w:rPr>
        <w:t xml:space="preserve"> </w:t>
      </w:r>
      <w:r w:rsidR="00BE4E5D">
        <w:rPr>
          <w:rFonts w:ascii="Arial" w:eastAsia="Calibri" w:hAnsi="Arial" w:cs="Arial"/>
          <w:color w:val="000000"/>
          <w:szCs w:val="24"/>
          <w:lang w:eastAsia="es-ES_tradnl"/>
        </w:rPr>
        <w:t>Es menester mencionar, que a través del radicado de salida RS</w:t>
      </w:r>
      <w:r w:rsidR="008A15C5">
        <w:rPr>
          <w:rFonts w:ascii="Arial" w:eastAsia="Calibri" w:hAnsi="Arial" w:cs="Arial"/>
          <w:color w:val="000000"/>
          <w:szCs w:val="24"/>
          <w:lang w:eastAsia="es-ES_tradnl"/>
        </w:rPr>
        <w:t>20230803008342 del 3 de agosto de 2023</w:t>
      </w:r>
      <w:r w:rsidR="00A86387">
        <w:rPr>
          <w:rFonts w:ascii="Arial" w:eastAsia="Calibri" w:hAnsi="Arial" w:cs="Arial"/>
          <w:color w:val="000000"/>
          <w:szCs w:val="24"/>
          <w:lang w:eastAsia="es-ES_tradnl"/>
        </w:rPr>
        <w:t>, esta Agencia tramitó como  falta de competencia su pregunta número uno (1).</w:t>
      </w:r>
    </w:p>
    <w:p w14:paraId="1A11000C" w14:textId="6F0EDFED" w:rsidR="0073186E" w:rsidRDefault="00A86387" w:rsidP="0073186E">
      <w:pPr>
        <w:widowControl w:val="0"/>
        <w:tabs>
          <w:tab w:val="left" w:pos="1134"/>
        </w:tabs>
        <w:autoSpaceDE w:val="0"/>
        <w:autoSpaceDN w:val="0"/>
        <w:spacing w:after="0" w:line="276" w:lineRule="auto"/>
        <w:ind w:firstLine="709"/>
        <w:jc w:val="both"/>
        <w:rPr>
          <w:rFonts w:ascii="Arial" w:eastAsia="Times New Roman" w:hAnsi="Arial" w:cs="Arial"/>
          <w:szCs w:val="24"/>
          <w:lang w:val="es-MX" w:eastAsia="es-ES_tradnl"/>
        </w:rPr>
      </w:pPr>
      <w:r>
        <w:rPr>
          <w:rFonts w:ascii="Arial" w:eastAsia="Calibri" w:hAnsi="Arial" w:cs="Arial"/>
          <w:bCs/>
          <w:color w:val="000000"/>
          <w:lang w:val="es-ES_tradnl"/>
        </w:rPr>
        <w:lastRenderedPageBreak/>
        <w:t>Hecha la anterior aclaración, y s</w:t>
      </w:r>
      <w:r w:rsidR="0073186E" w:rsidRPr="0073186E">
        <w:rPr>
          <w:rFonts w:ascii="Arial" w:eastAsia="Calibri" w:hAnsi="Arial" w:cs="Arial"/>
          <w:bCs/>
          <w:color w:val="000000"/>
          <w:lang w:val="es-ES_tradnl"/>
        </w:rPr>
        <w:t>in perjuicio de lo anterior, dentro de los límites de la competencia consultiva atribuida a esta entidad, se resolverán sus preguntas, previo análisis</w:t>
      </w:r>
      <w:r w:rsidR="0073186E" w:rsidRPr="0073186E">
        <w:rPr>
          <w:rFonts w:ascii="Arial" w:eastAsia="Calibri" w:hAnsi="Arial" w:cs="Arial"/>
          <w:color w:val="000000"/>
          <w:lang w:val="es-ES"/>
        </w:rPr>
        <w:t xml:space="preserve"> de los siguientes temas:</w:t>
      </w:r>
      <w:r w:rsidR="0073186E" w:rsidRPr="0073186E">
        <w:rPr>
          <w:rFonts w:ascii="Arial" w:eastAsia="Calibri" w:hAnsi="Arial" w:cs="Arial"/>
          <w:color w:val="000000"/>
        </w:rPr>
        <w:t xml:space="preserve"> </w:t>
      </w:r>
      <w:r w:rsidR="0073186E" w:rsidRPr="0073186E">
        <w:rPr>
          <w:rFonts w:ascii="Arial" w:eastAsia="Calibri" w:hAnsi="Arial" w:cs="Arial"/>
          <w:bCs/>
          <w:color w:val="000000"/>
          <w:szCs w:val="24"/>
          <w:lang w:eastAsia="es-ES_tradnl"/>
        </w:rPr>
        <w:t>i)</w:t>
      </w:r>
      <w:r w:rsidR="00311C5F">
        <w:rPr>
          <w:rFonts w:ascii="Arial" w:eastAsia="Calibri" w:hAnsi="Arial" w:cs="Arial"/>
          <w:bCs/>
          <w:color w:val="000000"/>
          <w:szCs w:val="24"/>
          <w:lang w:eastAsia="es-ES_tradnl"/>
        </w:rPr>
        <w:t xml:space="preserve"> </w:t>
      </w:r>
      <w:r w:rsidR="00F06241" w:rsidRPr="00F06241">
        <w:rPr>
          <w:rFonts w:ascii="Arial" w:eastAsia="Calibri" w:hAnsi="Arial" w:cs="Arial"/>
          <w:bCs/>
          <w:color w:val="000000"/>
          <w:szCs w:val="24"/>
          <w:lang w:eastAsia="es-ES_tradnl"/>
        </w:rPr>
        <w:t>Desarrollo normativo de los incentivos en procesos de contratación estatal para favorecer a personas con discapacidad</w:t>
      </w:r>
      <w:r w:rsidR="00EA442E">
        <w:rPr>
          <w:rFonts w:ascii="Arial" w:eastAsia="Calibri" w:hAnsi="Arial" w:cs="Arial"/>
          <w:bCs/>
          <w:color w:val="000000"/>
          <w:szCs w:val="24"/>
          <w:lang w:eastAsia="es-ES_tradnl"/>
        </w:rPr>
        <w:t>;</w:t>
      </w:r>
      <w:r>
        <w:rPr>
          <w:rFonts w:ascii="Arial" w:eastAsia="Times New Roman" w:hAnsi="Arial" w:cs="Arial"/>
          <w:color w:val="000000"/>
          <w:lang w:val="es-ES_tradnl" w:eastAsia="es-ES_tradnl"/>
        </w:rPr>
        <w:t xml:space="preserve"> </w:t>
      </w:r>
      <w:r w:rsidR="004C34DD" w:rsidRPr="004C34DD">
        <w:rPr>
          <w:rFonts w:ascii="Arial" w:eastAsia="Times New Roman" w:hAnsi="Arial" w:cs="Arial"/>
          <w:color w:val="000000"/>
          <w:lang w:val="es-ES_tradnl" w:eastAsia="es-ES_tradnl"/>
        </w:rPr>
        <w:t>ii) Acreditación para obtener el puntaje de vinculación de trabajadores con discapacidad</w:t>
      </w:r>
      <w:r w:rsidR="004C34DD">
        <w:rPr>
          <w:rFonts w:ascii="Arial" w:eastAsia="Times New Roman" w:hAnsi="Arial" w:cs="Arial"/>
          <w:color w:val="000000"/>
          <w:lang w:val="es-ES_tradnl" w:eastAsia="es-ES_tradnl"/>
        </w:rPr>
        <w:t xml:space="preserve">, énfasis en el caso de </w:t>
      </w:r>
      <w:r w:rsidR="0094378B">
        <w:rPr>
          <w:rFonts w:ascii="Arial" w:eastAsia="Times New Roman" w:hAnsi="Arial" w:cs="Arial"/>
          <w:color w:val="000000"/>
          <w:lang w:val="es-ES_tradnl" w:eastAsia="es-ES_tradnl"/>
        </w:rPr>
        <w:t>personas extranjeras</w:t>
      </w:r>
      <w:r w:rsidR="00A136BD">
        <w:rPr>
          <w:rFonts w:ascii="Arial" w:eastAsia="Times New Roman" w:hAnsi="Arial" w:cs="Arial"/>
          <w:color w:val="000000"/>
          <w:lang w:val="es-ES_tradnl" w:eastAsia="es-ES_tradnl"/>
        </w:rPr>
        <w:t>;</w:t>
      </w:r>
      <w:r w:rsidR="00311C5F">
        <w:rPr>
          <w:rFonts w:ascii="Arial" w:eastAsia="Times New Roman" w:hAnsi="Arial" w:cs="Arial"/>
          <w:color w:val="000000"/>
          <w:lang w:val="es-ES_tradnl" w:eastAsia="es-ES_tradnl"/>
        </w:rPr>
        <w:t xml:space="preserve"> </w:t>
      </w:r>
      <w:proofErr w:type="spellStart"/>
      <w:r w:rsidR="00311C5F">
        <w:rPr>
          <w:rFonts w:ascii="Arial" w:eastAsia="Times New Roman" w:hAnsi="Arial" w:cs="Arial"/>
          <w:color w:val="000000"/>
          <w:lang w:val="es-ES_tradnl" w:eastAsia="es-ES_tradnl"/>
        </w:rPr>
        <w:t>iii</w:t>
      </w:r>
      <w:proofErr w:type="spellEnd"/>
      <w:r w:rsidR="00311C5F">
        <w:rPr>
          <w:rFonts w:ascii="Arial" w:eastAsia="Times New Roman" w:hAnsi="Arial" w:cs="Arial"/>
          <w:color w:val="000000"/>
          <w:lang w:val="es-ES_tradnl" w:eastAsia="es-ES_tradnl"/>
        </w:rPr>
        <w:t xml:space="preserve">) </w:t>
      </w:r>
      <w:r w:rsidR="00BB1332" w:rsidRPr="00BB1332">
        <w:rPr>
          <w:rFonts w:ascii="Arial" w:eastAsia="Times New Roman" w:hAnsi="Arial" w:cs="Arial"/>
          <w:color w:val="000000"/>
          <w:lang w:val="es-ES_tradnl" w:eastAsia="es-ES_tradnl"/>
        </w:rPr>
        <w:t>la capacidad residual en procesos de contratación de obra pública</w:t>
      </w:r>
      <w:r w:rsidR="00BB1332">
        <w:rPr>
          <w:rFonts w:ascii="Arial" w:eastAsia="Times New Roman" w:hAnsi="Arial" w:cs="Arial"/>
          <w:color w:val="000000"/>
          <w:lang w:val="es-ES_tradnl" w:eastAsia="es-ES_tradnl"/>
        </w:rPr>
        <w:t xml:space="preserve"> y iv)</w:t>
      </w:r>
      <w:r w:rsidR="00F027D2">
        <w:rPr>
          <w:rFonts w:ascii="Arial" w:eastAsia="Times New Roman" w:hAnsi="Arial" w:cs="Arial"/>
          <w:color w:val="000000"/>
          <w:lang w:val="es-ES_tradnl" w:eastAsia="es-ES_tradnl"/>
        </w:rPr>
        <w:t xml:space="preserve"> </w:t>
      </w:r>
      <w:r w:rsidR="00F027D2" w:rsidRPr="00F027D2">
        <w:rPr>
          <w:rFonts w:ascii="Arial" w:eastAsia="Times New Roman" w:hAnsi="Arial" w:cs="Arial"/>
          <w:color w:val="000000"/>
          <w:lang w:val="es-ES_tradnl" w:eastAsia="es-ES_tradnl"/>
        </w:rPr>
        <w:t>los saldos pendientes de los contratos en ejecución</w:t>
      </w:r>
      <w:r w:rsidR="0073186E" w:rsidRPr="0073186E">
        <w:rPr>
          <w:rFonts w:ascii="Arial" w:eastAsia="Times New Roman" w:hAnsi="Arial" w:cs="Arial"/>
          <w:color w:val="000000"/>
          <w:lang w:val="es-ES_tradnl" w:eastAsia="es-ES_tradnl"/>
        </w:rPr>
        <w:t xml:space="preserve">. </w:t>
      </w:r>
      <w:r w:rsidR="0073186E" w:rsidRPr="0073186E">
        <w:rPr>
          <w:rFonts w:ascii="Arial" w:eastAsia="Times New Roman" w:hAnsi="Arial" w:cs="Arial"/>
          <w:szCs w:val="24"/>
          <w:lang w:val="es-MX" w:eastAsia="es-ES_tradnl"/>
        </w:rPr>
        <w:t xml:space="preserve">La Agencia Nacional de Contratación Pública – Colombia Compra Eficiente se ha pronunciado en diferentes conceptos </w:t>
      </w:r>
      <w:r w:rsidR="00FB2F91">
        <w:rPr>
          <w:rFonts w:ascii="Arial" w:eastAsia="Times New Roman" w:hAnsi="Arial" w:cs="Arial"/>
          <w:szCs w:val="24"/>
          <w:lang w:val="es-MX" w:eastAsia="es-ES_tradnl"/>
        </w:rPr>
        <w:t xml:space="preserve">sobre </w:t>
      </w:r>
      <w:r w:rsidR="00FB2F91" w:rsidRPr="00FB2F91">
        <w:rPr>
          <w:rFonts w:ascii="Arial" w:eastAsia="Times New Roman" w:hAnsi="Arial" w:cs="Arial"/>
          <w:szCs w:val="24"/>
          <w:lang w:val="es-MX" w:eastAsia="es-ES_tradnl"/>
        </w:rPr>
        <w:t xml:space="preserve">los requisitos para acreditar el personal en situación de discapacidad y la aplicación de incentivos contractuales </w:t>
      </w:r>
      <w:r w:rsidR="00FB2F91">
        <w:rPr>
          <w:rFonts w:ascii="Arial" w:eastAsia="Times New Roman" w:hAnsi="Arial" w:cs="Arial"/>
          <w:szCs w:val="24"/>
          <w:lang w:val="es-MX" w:eastAsia="es-ES_tradnl"/>
        </w:rPr>
        <w:t>tales como</w:t>
      </w:r>
      <w:r w:rsidR="00B1588F">
        <w:rPr>
          <w:rFonts w:ascii="Arial" w:eastAsia="Times New Roman" w:hAnsi="Arial" w:cs="Arial"/>
          <w:szCs w:val="24"/>
          <w:lang w:val="es-MX" w:eastAsia="es-ES_tradnl"/>
        </w:rPr>
        <w:t xml:space="preserve"> el</w:t>
      </w:r>
      <w:r w:rsidR="00FB2F91" w:rsidRPr="00FB2F91">
        <w:rPr>
          <w:rFonts w:ascii="Arial" w:eastAsia="Times New Roman" w:hAnsi="Arial" w:cs="Arial"/>
          <w:szCs w:val="24"/>
          <w:lang w:val="es-MX" w:eastAsia="es-ES_tradnl"/>
        </w:rPr>
        <w:t xml:space="preserve"> C-377 de 9 de junio de 2020, C-567 de 10 de septiembre de 2020 y C-153 del 2 de junio de 2023 trató el tema de la aplicación de incentivos contractuales en la contratación estatal</w:t>
      </w:r>
      <w:r w:rsidR="00B1588F">
        <w:rPr>
          <w:rFonts w:ascii="Arial" w:eastAsia="Times New Roman" w:hAnsi="Arial" w:cs="Arial"/>
          <w:szCs w:val="24"/>
          <w:lang w:val="es-MX" w:eastAsia="es-ES_tradnl"/>
        </w:rPr>
        <w:t>. Así mismo,</w:t>
      </w:r>
      <w:r w:rsidR="00E57E92">
        <w:rPr>
          <w:rFonts w:ascii="Arial" w:eastAsia="Times New Roman" w:hAnsi="Arial" w:cs="Arial"/>
          <w:szCs w:val="24"/>
          <w:lang w:val="es-MX" w:eastAsia="es-ES_tradnl"/>
        </w:rPr>
        <w:t xml:space="preserve"> </w:t>
      </w:r>
      <w:r w:rsidR="00E57E92" w:rsidRPr="00E57E92">
        <w:rPr>
          <w:rFonts w:ascii="Arial" w:eastAsia="Times New Roman" w:hAnsi="Arial" w:cs="Arial"/>
          <w:szCs w:val="24"/>
          <w:lang w:val="es-MX" w:eastAsia="es-ES_tradnl"/>
        </w:rPr>
        <w:t>se ha pronunciado sobre la capacidad residual y la forma como esta se debe acreditar en los conceptos</w:t>
      </w:r>
      <w:r w:rsidR="00E57E92">
        <w:rPr>
          <w:rFonts w:ascii="Arial" w:eastAsia="Times New Roman" w:hAnsi="Arial" w:cs="Arial"/>
          <w:szCs w:val="24"/>
          <w:lang w:val="es-MX" w:eastAsia="es-ES_tradnl"/>
        </w:rPr>
        <w:t xml:space="preserve"> </w:t>
      </w:r>
      <w:r w:rsidR="00386983" w:rsidRPr="00386983">
        <w:rPr>
          <w:rFonts w:ascii="Arial" w:eastAsia="Times New Roman" w:hAnsi="Arial" w:cs="Arial"/>
          <w:szCs w:val="24"/>
          <w:lang w:val="es-MX" w:eastAsia="es-ES_tradnl"/>
        </w:rPr>
        <w:t>2201913000006275 del 27 de agosto y el 20 y 26 del 2 de diciembre de 2019 −radicados Nos., 2201913000009465, 2201913000009642 y 2201913000009640−; así como en los conceptos C–022 del 20 de febrero de 2020, C–089 del 4 de marzo de 2020, C–112 del 16 de marzo del 2020, C–133 del 25 de marzo del 2020, C – 194 de 2020 del 21 de abril de 2020, C–326 del 9 de junio de 2020 y C-446 del 6 de julio de 2020, C-045 del 5 de marzo de 2021, C-003 del 26 de marzo de 2021, C-143 del 9 de abril de 2021 C–202 del 7 de mayo de 2021, C–219 del 19 de mayo de 2021, C–368 del 28 de julio de 2021, C–392 del 5 de agosto de 2021, C–513 del 23 de septiembre de 2021, C–590 del 12 de octubre de 2021, C-068 del 9 de marzo de 2022, C-220 del 22 de abril de 2022, C-306 de 16 de mayo de 2022, C-351 de 23 de mayo de 2022, C-392 del 16 de junio de 2022, C-402 del 28 de junio de 2022, C-463 del 19 de julio de 2022, C-615 del 19 de agosto de 2022 y C-107 del 28 de febrero de 2023</w:t>
      </w:r>
      <w:r w:rsidR="00E57E92">
        <w:rPr>
          <w:rFonts w:ascii="Arial" w:eastAsia="Times New Roman" w:hAnsi="Arial" w:cs="Arial"/>
          <w:szCs w:val="24"/>
          <w:lang w:val="es-MX" w:eastAsia="es-ES_tradnl"/>
        </w:rPr>
        <w:t>.</w:t>
      </w:r>
      <w:r w:rsidR="00386983">
        <w:rPr>
          <w:rFonts w:ascii="Arial" w:eastAsia="Times New Roman" w:hAnsi="Arial" w:cs="Arial"/>
          <w:szCs w:val="24"/>
          <w:lang w:val="es-MX" w:eastAsia="es-ES_tradnl"/>
        </w:rPr>
        <w:t xml:space="preserve"> </w:t>
      </w:r>
      <w:r w:rsidR="00834A0D" w:rsidRPr="00834A0D">
        <w:rPr>
          <w:rFonts w:ascii="Arial" w:eastAsia="Times New Roman" w:hAnsi="Arial" w:cs="Arial"/>
          <w:szCs w:val="24"/>
          <w:lang w:val="es-MX" w:eastAsia="es-ES_tradnl"/>
        </w:rPr>
        <w:t>En lo pertinente, las tesis desarrolladas en estos conceptos se reiteran a continuación y se complementa con algunas ideas relativas a la consulta realizada.</w:t>
      </w:r>
      <w:r w:rsidR="00834A0D">
        <w:rPr>
          <w:rFonts w:ascii="Arial" w:eastAsia="Times New Roman" w:hAnsi="Arial" w:cs="Arial"/>
          <w:szCs w:val="24"/>
          <w:lang w:val="es-MX" w:eastAsia="es-ES_tradnl"/>
        </w:rPr>
        <w:t xml:space="preserve"> </w:t>
      </w:r>
    </w:p>
    <w:p w14:paraId="74074B91" w14:textId="77777777" w:rsidR="00940A37" w:rsidRDefault="00940A37" w:rsidP="00940A37">
      <w:pPr>
        <w:widowControl w:val="0"/>
        <w:tabs>
          <w:tab w:val="left" w:pos="1134"/>
        </w:tabs>
        <w:autoSpaceDE w:val="0"/>
        <w:autoSpaceDN w:val="0"/>
        <w:spacing w:after="0" w:line="276" w:lineRule="auto"/>
        <w:jc w:val="both"/>
        <w:rPr>
          <w:rFonts w:ascii="Arial" w:eastAsia="Times New Roman" w:hAnsi="Arial" w:cs="Arial"/>
          <w:szCs w:val="24"/>
          <w:lang w:val="es-MX" w:eastAsia="es-ES_tradnl"/>
        </w:rPr>
      </w:pPr>
    </w:p>
    <w:p w14:paraId="0BE8AEC5" w14:textId="77777777" w:rsidR="00EB4551" w:rsidRPr="00BD18A1" w:rsidRDefault="00EB4551" w:rsidP="00EB4551">
      <w:pPr>
        <w:spacing w:after="0" w:line="276" w:lineRule="auto"/>
        <w:jc w:val="both"/>
        <w:rPr>
          <w:rFonts w:ascii="Arial" w:eastAsia="Calibri" w:hAnsi="Arial" w:cs="Arial"/>
          <w:lang w:val="es-ES_tradnl" w:eastAsia="es-CO"/>
        </w:rPr>
      </w:pPr>
      <w:r w:rsidRPr="00696912">
        <w:rPr>
          <w:rFonts w:ascii="Arial" w:eastAsia="Arial" w:hAnsi="Arial" w:cs="Arial"/>
          <w:b/>
          <w:bCs/>
          <w:color w:val="000000"/>
          <w:lang w:val="es-ES_tradnl" w:eastAsia="es-CO"/>
        </w:rPr>
        <w:t xml:space="preserve">2.1. </w:t>
      </w:r>
      <w:r w:rsidRPr="00696912">
        <w:rPr>
          <w:rFonts w:ascii="Arial" w:eastAsia="Calibri" w:hAnsi="Arial" w:cs="Arial"/>
          <w:b/>
          <w:color w:val="000000" w:themeColor="text1"/>
          <w:lang w:val="es-MX" w:eastAsia="en-GB"/>
        </w:rPr>
        <w:t>Desarrollo normativo de los incentivos en procesos de contratación estatal para favorecer a personas con discapacidad</w:t>
      </w:r>
      <w:r w:rsidRPr="00BD18A1">
        <w:rPr>
          <w:rFonts w:ascii="Arial" w:eastAsia="Calibri" w:hAnsi="Arial" w:cs="Arial"/>
          <w:b/>
          <w:color w:val="000000" w:themeColor="text1"/>
          <w:lang w:val="es-ES_tradnl" w:eastAsia="en-GB"/>
        </w:rPr>
        <w:t xml:space="preserve"> </w:t>
      </w:r>
    </w:p>
    <w:p w14:paraId="6AF631F3" w14:textId="77777777" w:rsidR="00940A37" w:rsidRDefault="00940A37" w:rsidP="00940A37">
      <w:pPr>
        <w:widowControl w:val="0"/>
        <w:tabs>
          <w:tab w:val="left" w:pos="1134"/>
        </w:tabs>
        <w:autoSpaceDE w:val="0"/>
        <w:autoSpaceDN w:val="0"/>
        <w:spacing w:after="0" w:line="276" w:lineRule="auto"/>
        <w:jc w:val="both"/>
        <w:rPr>
          <w:rFonts w:ascii="Arial" w:eastAsia="Times New Roman" w:hAnsi="Arial" w:cs="Arial"/>
          <w:szCs w:val="24"/>
          <w:lang w:val="es-MX" w:eastAsia="es-ES_tradnl"/>
        </w:rPr>
      </w:pPr>
    </w:p>
    <w:p w14:paraId="6D37B3F2" w14:textId="06644801" w:rsidR="00025983" w:rsidRPr="00BD18A1" w:rsidRDefault="00025983" w:rsidP="00025983">
      <w:pPr>
        <w:spacing w:after="0" w:line="276" w:lineRule="auto"/>
        <w:jc w:val="both"/>
        <w:rPr>
          <w:rFonts w:ascii="Arial" w:eastAsia="Times New Roman" w:hAnsi="Arial" w:cs="Arial"/>
          <w:color w:val="000000" w:themeColor="text1"/>
          <w:lang w:val="es-MX" w:eastAsia="es-ES_tradnl"/>
        </w:rPr>
      </w:pPr>
      <w:r w:rsidRPr="00BD18A1">
        <w:rPr>
          <w:rFonts w:ascii="Arial" w:eastAsia="Times New Roman" w:hAnsi="Arial" w:cs="Arial"/>
          <w:color w:val="000000" w:themeColor="text1"/>
          <w:lang w:val="es-MX" w:eastAsia="es-ES_tradnl"/>
        </w:rPr>
        <w:t xml:space="preserve">Con el propósito de hacer posible la igualdad </w:t>
      </w:r>
      <w:r w:rsidR="00112153">
        <w:rPr>
          <w:rFonts w:ascii="Arial" w:eastAsia="Times New Roman" w:hAnsi="Arial" w:cs="Arial"/>
          <w:color w:val="000000" w:themeColor="text1"/>
          <w:lang w:val="es-MX" w:eastAsia="es-ES_tradnl"/>
        </w:rPr>
        <w:t>material</w:t>
      </w:r>
      <w:r w:rsidRPr="00BD18A1">
        <w:rPr>
          <w:rFonts w:ascii="Arial" w:eastAsia="Times New Roman" w:hAnsi="Arial" w:cs="Arial"/>
          <w:color w:val="000000" w:themeColor="text1"/>
          <w:lang w:val="es-MX" w:eastAsia="es-ES_tradnl"/>
        </w:rPr>
        <w:t xml:space="preserve">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0CFF3B4F" w14:textId="77777777" w:rsidR="00025983" w:rsidRPr="00BD18A1" w:rsidRDefault="00025983" w:rsidP="00025983">
      <w:pPr>
        <w:spacing w:before="120" w:after="0" w:line="276" w:lineRule="auto"/>
        <w:ind w:firstLine="709"/>
        <w:jc w:val="both"/>
        <w:rPr>
          <w:rFonts w:ascii="Arial" w:hAnsi="Arial" w:cs="Arial"/>
          <w:color w:val="000000" w:themeColor="text1"/>
          <w:lang w:val="es-MX" w:eastAsia="es-CO"/>
        </w:rPr>
      </w:pPr>
      <w:r w:rsidRPr="00BD18A1">
        <w:rPr>
          <w:rFonts w:ascii="Arial" w:eastAsia="Times New Roman" w:hAnsi="Arial" w:cs="Arial"/>
          <w:color w:val="000000" w:themeColor="text1"/>
          <w:lang w:val="es-MX" w:eastAsia="es-ES_tradnl"/>
        </w:rPr>
        <w:t xml:space="preserve">Como expresión de la finalidad antes enunciada y en aras de garantizar el derecho al trabajo en términos de igualdad material de oportunidades para las personas en condición de discapacidad, el artículo 13 de Ley 1618 de 2013 estableció acciones afirmativas en el </w:t>
      </w:r>
      <w:r w:rsidRPr="00BD18A1">
        <w:rPr>
          <w:rFonts w:ascii="Arial" w:eastAsia="Times New Roman" w:hAnsi="Arial" w:cs="Arial"/>
          <w:color w:val="000000" w:themeColor="text1"/>
          <w:lang w:val="es-MX" w:eastAsia="es-ES_tradnl"/>
        </w:rPr>
        <w:lastRenderedPageBreak/>
        <w:t>marco del sistema de compras públicas. Adicionalmente, ordenó al Gobierno Nacional expedir el decreto reglamentario que determinara una puntuación adicional y un sistema</w:t>
      </w:r>
      <w:r w:rsidRPr="00BD18A1">
        <w:rPr>
          <w:rFonts w:ascii="Arial" w:hAnsi="Arial" w:cs="Arial"/>
          <w:color w:val="000000" w:themeColor="text1"/>
          <w:lang w:val="es-MX" w:eastAsia="es-CO"/>
        </w:rPr>
        <w:t xml:space="preserve"> de preferencias en los procesos de contratación estatal. El artículo en mención prescribe lo siguiente: </w:t>
      </w:r>
    </w:p>
    <w:p w14:paraId="36930ADC" w14:textId="77777777" w:rsidR="00025983" w:rsidRPr="00BD18A1" w:rsidRDefault="00025983" w:rsidP="00025983">
      <w:pPr>
        <w:tabs>
          <w:tab w:val="left" w:pos="426"/>
        </w:tabs>
        <w:spacing w:after="0" w:line="276" w:lineRule="auto"/>
        <w:jc w:val="both"/>
        <w:rPr>
          <w:rFonts w:ascii="Arial" w:hAnsi="Arial" w:cs="Arial"/>
          <w:color w:val="000000" w:themeColor="text1"/>
          <w:lang w:val="es-MX" w:eastAsia="es-CO"/>
        </w:rPr>
      </w:pPr>
    </w:p>
    <w:p w14:paraId="42146680" w14:textId="77777777" w:rsidR="00025983" w:rsidRPr="00BD18A1" w:rsidRDefault="00025983" w:rsidP="00025983">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23AD0868" w14:textId="77777777" w:rsidR="00025983" w:rsidRPr="00BD18A1" w:rsidRDefault="00025983" w:rsidP="00025983">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40283155" w14:textId="77777777" w:rsidR="00025983" w:rsidRPr="00BD18A1" w:rsidRDefault="00025983" w:rsidP="00025983">
      <w:pPr>
        <w:spacing w:after="120" w:line="240" w:lineRule="auto"/>
        <w:ind w:left="709"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w:t>
      </w:r>
    </w:p>
    <w:p w14:paraId="60F96284" w14:textId="77777777" w:rsidR="00025983" w:rsidRPr="00BD18A1" w:rsidRDefault="00025983" w:rsidP="00025983">
      <w:pPr>
        <w:spacing w:after="0" w:line="240" w:lineRule="auto"/>
        <w:ind w:left="708" w:right="709"/>
        <w:jc w:val="both"/>
        <w:rPr>
          <w:rFonts w:ascii="Arial" w:eastAsia="Calibri" w:hAnsi="Arial" w:cs="Arial"/>
          <w:color w:val="000000" w:themeColor="text1"/>
          <w:sz w:val="21"/>
          <w:szCs w:val="21"/>
          <w:lang w:val="es-MX" w:eastAsia="es-CO"/>
        </w:rPr>
      </w:pPr>
      <w:r w:rsidRPr="00BD18A1">
        <w:rPr>
          <w:rFonts w:ascii="Arial" w:eastAsia="Calibri" w:hAnsi="Arial" w:cs="Arial"/>
          <w:color w:val="000000" w:themeColor="text1"/>
          <w:sz w:val="21"/>
          <w:szCs w:val="21"/>
          <w:lang w:val="es-MX" w:eastAsia="es-CO"/>
        </w:rPr>
        <w:t xml:space="preserve">8. Los </w:t>
      </w:r>
      <w:proofErr w:type="gramStart"/>
      <w:r w:rsidRPr="00BD18A1">
        <w:rPr>
          <w:rFonts w:ascii="Arial" w:eastAsia="Calibri" w:hAnsi="Arial" w:cs="Arial"/>
          <w:color w:val="000000" w:themeColor="text1"/>
          <w:sz w:val="21"/>
          <w:szCs w:val="21"/>
          <w:lang w:val="es-MX" w:eastAsia="es-CO"/>
        </w:rPr>
        <w:t>gobiernos nacional</w:t>
      </w:r>
      <w:proofErr w:type="gramEnd"/>
      <w:r w:rsidRPr="00BD18A1">
        <w:rPr>
          <w:rFonts w:ascii="Arial" w:eastAsia="Calibri" w:hAnsi="Arial" w:cs="Arial"/>
          <w:color w:val="000000" w:themeColor="text1"/>
          <w:sz w:val="21"/>
          <w:szCs w:val="21"/>
          <w:lang w:val="es-MX" w:eastAsia="es-CO"/>
        </w:rPr>
        <w:t>, departamentales, distritales y municipales, deberán fijar mediante decreto reglamentario, en los procesos de selección de los contratistas y proveedores, un sistema de preferencias a favor de las personas con discapacidad”.</w:t>
      </w:r>
    </w:p>
    <w:p w14:paraId="5A455D95" w14:textId="77777777" w:rsidR="00025983" w:rsidRPr="00BD18A1" w:rsidRDefault="00025983" w:rsidP="00025983">
      <w:pPr>
        <w:tabs>
          <w:tab w:val="left" w:pos="426"/>
        </w:tabs>
        <w:spacing w:after="0" w:line="240" w:lineRule="auto"/>
        <w:jc w:val="both"/>
        <w:rPr>
          <w:rFonts w:ascii="ArialMT" w:eastAsia="Times New Roman" w:hAnsi="ArialMT" w:cs="Times New Roman"/>
          <w:color w:val="000000" w:themeColor="text1"/>
          <w:sz w:val="19"/>
          <w:szCs w:val="19"/>
          <w:lang w:val="es-MX" w:eastAsia="es-ES_tradnl"/>
        </w:rPr>
      </w:pPr>
    </w:p>
    <w:p w14:paraId="32241218" w14:textId="77777777" w:rsidR="00025983" w:rsidRPr="00BD18A1" w:rsidRDefault="00025983" w:rsidP="00025983">
      <w:pPr>
        <w:tabs>
          <w:tab w:val="left" w:pos="426"/>
        </w:tabs>
        <w:spacing w:after="0" w:line="276" w:lineRule="auto"/>
        <w:ind w:firstLine="709"/>
        <w:jc w:val="both"/>
        <w:rPr>
          <w:rFonts w:ascii="Arial" w:eastAsia="Times New Roman" w:hAnsi="Arial" w:cs="Arial"/>
          <w:color w:val="000000" w:themeColor="text1"/>
          <w:lang w:val="es-MX" w:eastAsia="es-ES_tradnl"/>
        </w:rPr>
      </w:pPr>
      <w:r w:rsidRPr="00BD18A1">
        <w:rPr>
          <w:rFonts w:ascii="Arial" w:eastAsia="Times New Roman" w:hAnsi="Arial" w:cs="Arial"/>
          <w:color w:val="000000" w:themeColor="text1"/>
          <w:lang w:val="es-MX" w:eastAsia="es-ES_tradnl"/>
        </w:rPr>
        <w:t xml:space="preserve">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 Dicha norma señala: </w:t>
      </w:r>
    </w:p>
    <w:p w14:paraId="2CD6EAF3" w14:textId="77777777" w:rsidR="00025983" w:rsidRPr="00BD18A1" w:rsidRDefault="00025983" w:rsidP="00025983">
      <w:pPr>
        <w:tabs>
          <w:tab w:val="left" w:pos="426"/>
        </w:tabs>
        <w:spacing w:after="0" w:line="276" w:lineRule="auto"/>
        <w:ind w:firstLine="709"/>
        <w:jc w:val="both"/>
        <w:rPr>
          <w:rFonts w:ascii="Arial" w:eastAsia="Times New Roman" w:hAnsi="Arial" w:cs="Arial"/>
          <w:color w:val="000000" w:themeColor="text1"/>
          <w:lang w:val="es-MX" w:eastAsia="es-ES_tradnl"/>
        </w:rPr>
      </w:pPr>
    </w:p>
    <w:p w14:paraId="4C004A03" w14:textId="77777777" w:rsidR="00025983" w:rsidRPr="00BD18A1" w:rsidRDefault="00025983" w:rsidP="00025983">
      <w:pPr>
        <w:spacing w:after="120" w:line="240" w:lineRule="auto"/>
        <w:ind w:left="709" w:right="709"/>
        <w:jc w:val="both"/>
        <w:rPr>
          <w:rFonts w:ascii="Arial" w:eastAsia="Calibri" w:hAnsi="Arial" w:cs="Arial"/>
          <w:i/>
          <w:iCs/>
          <w:color w:val="000000" w:themeColor="text1"/>
          <w:sz w:val="21"/>
          <w:szCs w:val="21"/>
          <w:lang w:val="es-MX" w:eastAsia="es-CO"/>
        </w:rPr>
      </w:pPr>
      <w:r w:rsidRPr="00BD18A1">
        <w:rPr>
          <w:rFonts w:ascii="Arial" w:eastAsia="Times New Roman" w:hAnsi="Arial" w:cs="Arial"/>
          <w:bCs/>
          <w:color w:val="000000" w:themeColor="text1"/>
          <w:sz w:val="21"/>
          <w:szCs w:val="21"/>
          <w:lang w:val="es-MX" w:eastAsia="es-CO"/>
        </w:rPr>
        <w:t>“Artículo 2.2.1.2.4.2.6. Puntaje adicional para proponentes con trabajadores con discapacidad</w:t>
      </w:r>
      <w:r w:rsidRPr="00BD18A1">
        <w:rPr>
          <w:rFonts w:ascii="Arial" w:eastAsia="Times New Roman" w:hAnsi="Arial" w:cs="Arial"/>
          <w:color w:val="000000" w:themeColor="text1"/>
          <w:sz w:val="21"/>
          <w:szCs w:val="21"/>
          <w:lang w:val="es-MX" w:eastAsia="es-CO"/>
        </w:rPr>
        <w:t>. 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422437D8" w14:textId="77777777" w:rsidR="00025983" w:rsidRPr="00BD18A1" w:rsidRDefault="00025983" w:rsidP="00025983">
      <w:pPr>
        <w:spacing w:after="120" w:line="240" w:lineRule="auto"/>
        <w:ind w:left="709"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 xml:space="preserve">1. La persona natural, el representante legal de la persona jurídica o el revisor fiscal, según corresponda, certificará el número total de trabajadores vinculados </w:t>
      </w:r>
      <w:r w:rsidRPr="00BD18A1">
        <w:rPr>
          <w:rFonts w:ascii="Arial" w:eastAsia="Times New Roman" w:hAnsi="Arial" w:cs="Arial"/>
          <w:color w:val="000000" w:themeColor="text1"/>
          <w:sz w:val="21"/>
          <w:szCs w:val="21"/>
          <w:lang w:val="es-MX" w:eastAsia="es-CO"/>
        </w:rPr>
        <w:lastRenderedPageBreak/>
        <w:t>a la planta de personal del proponente o sus integrantes a la fecha de cierre del proceso de selección.</w:t>
      </w:r>
    </w:p>
    <w:p w14:paraId="027F42BF" w14:textId="77777777" w:rsidR="00025983" w:rsidRPr="00BD18A1" w:rsidRDefault="00025983" w:rsidP="00025983">
      <w:pPr>
        <w:spacing w:after="120" w:line="240" w:lineRule="auto"/>
        <w:ind w:left="709"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 xml:space="preserve">2. Acreditar el número mínimo de personas con discapacidad en su planta de personal, de conformidad con lo señalado en el </w:t>
      </w:r>
      <w:r w:rsidRPr="00853634">
        <w:rPr>
          <w:rFonts w:ascii="Arial" w:eastAsia="Times New Roman" w:hAnsi="Arial" w:cs="Arial"/>
          <w:color w:val="000000" w:themeColor="text1"/>
          <w:sz w:val="21"/>
          <w:szCs w:val="21"/>
          <w:u w:val="single"/>
          <w:lang w:val="es-MX" w:eastAsia="es-CO"/>
        </w:rPr>
        <w:t>certificado expedido por el Ministerio de Trabajo</w:t>
      </w:r>
      <w:r w:rsidRPr="00BD18A1">
        <w:rPr>
          <w:rFonts w:ascii="Arial" w:eastAsia="Times New Roman" w:hAnsi="Arial" w:cs="Arial"/>
          <w:color w:val="000000" w:themeColor="text1"/>
          <w:sz w:val="21"/>
          <w:szCs w:val="21"/>
          <w:lang w:val="es-MX" w:eastAsia="es-CO"/>
        </w:rPr>
        <w:t>, el cual deberá estar vigente a la fecha de cierre del proceso de selección. Verificados los anteriores requisitos, se asignará el 1%, a quienes acrediten el número mínimo de trabajadores con discapacidad, señalados a continuación:</w:t>
      </w:r>
    </w:p>
    <w:tbl>
      <w:tblPr>
        <w:tblW w:w="613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94"/>
        <w:gridCol w:w="2742"/>
      </w:tblGrid>
      <w:tr w:rsidR="00025983" w:rsidRPr="00BD18A1" w14:paraId="684494EA" w14:textId="77777777" w:rsidTr="00446D86">
        <w:trPr>
          <w:trHeight w:val="210"/>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673054BA" w14:textId="77777777" w:rsidR="00025983" w:rsidRPr="00BD18A1" w:rsidRDefault="00025983" w:rsidP="00446D86">
            <w:pPr>
              <w:spacing w:after="0" w:line="240" w:lineRule="auto"/>
              <w:jc w:val="center"/>
              <w:rPr>
                <w:rFonts w:ascii="Arial" w:eastAsia="Times New Roman" w:hAnsi="Arial" w:cs="Arial"/>
                <w:b/>
                <w:bCs/>
                <w:color w:val="000000" w:themeColor="text1"/>
                <w:sz w:val="19"/>
                <w:szCs w:val="19"/>
                <w:lang w:val="es-MX" w:eastAsia="es-CO"/>
              </w:rPr>
            </w:pPr>
            <w:r w:rsidRPr="00BD18A1">
              <w:rPr>
                <w:rFonts w:ascii="Arial" w:eastAsia="Times New Roman" w:hAnsi="Arial" w:cs="Arial"/>
                <w:b/>
                <w:bCs/>
                <w:color w:val="000000" w:themeColor="text1"/>
                <w:sz w:val="19"/>
                <w:szCs w:val="19"/>
                <w:lang w:val="es-MX" w:eastAsia="es-CO"/>
              </w:rPr>
              <w:t>Número total de trabajadores de la planta de personal del proponente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442F5E61" w14:textId="77777777" w:rsidR="00025983" w:rsidRPr="00BD18A1" w:rsidRDefault="00025983" w:rsidP="00446D86">
            <w:pPr>
              <w:spacing w:after="0" w:line="240" w:lineRule="auto"/>
              <w:jc w:val="center"/>
              <w:rPr>
                <w:rFonts w:ascii="Arial" w:eastAsia="Times New Roman" w:hAnsi="Arial" w:cs="Arial"/>
                <w:b/>
                <w:bCs/>
                <w:color w:val="000000" w:themeColor="text1"/>
                <w:sz w:val="19"/>
                <w:szCs w:val="19"/>
                <w:lang w:val="es-MX" w:eastAsia="es-CO"/>
              </w:rPr>
            </w:pPr>
            <w:r w:rsidRPr="00BD18A1">
              <w:rPr>
                <w:rFonts w:ascii="Arial" w:eastAsia="Times New Roman" w:hAnsi="Arial" w:cs="Arial"/>
                <w:b/>
                <w:bCs/>
                <w:color w:val="000000" w:themeColor="text1"/>
                <w:sz w:val="19"/>
                <w:szCs w:val="19"/>
                <w:lang w:val="es-MX" w:eastAsia="es-CO"/>
              </w:rPr>
              <w:t>Número mínimo de trabajadores con discapacidad exigido </w:t>
            </w:r>
          </w:p>
        </w:tc>
      </w:tr>
      <w:tr w:rsidR="00025983" w:rsidRPr="00BD18A1" w14:paraId="5F310907" w14:textId="77777777" w:rsidTr="00446D86">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2A11C181" w14:textId="77777777" w:rsidR="00025983" w:rsidRPr="00BD18A1" w:rsidRDefault="00025983" w:rsidP="00446D86">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 y 30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06394C4E" w14:textId="77777777" w:rsidR="00025983" w:rsidRPr="00BD18A1" w:rsidRDefault="00025983" w:rsidP="00446D86">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1 </w:t>
            </w:r>
          </w:p>
        </w:tc>
      </w:tr>
      <w:tr w:rsidR="00025983" w:rsidRPr="00BD18A1" w14:paraId="2817439B" w14:textId="77777777" w:rsidTr="00446D86">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77343053" w14:textId="77777777" w:rsidR="00025983" w:rsidRPr="00BD18A1" w:rsidRDefault="00025983" w:rsidP="00446D86">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31 y 100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282ED7BD" w14:textId="77777777" w:rsidR="00025983" w:rsidRPr="00BD18A1" w:rsidRDefault="00025983" w:rsidP="00446D86">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2 </w:t>
            </w:r>
          </w:p>
        </w:tc>
      </w:tr>
      <w:tr w:rsidR="00025983" w:rsidRPr="00BD18A1" w14:paraId="117D568F" w14:textId="77777777" w:rsidTr="00446D86">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F8951E6" w14:textId="77777777" w:rsidR="00025983" w:rsidRPr="00BD18A1" w:rsidRDefault="00025983" w:rsidP="00446D86">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101 y 150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217AE0E" w14:textId="77777777" w:rsidR="00025983" w:rsidRPr="00BD18A1" w:rsidRDefault="00025983" w:rsidP="00446D86">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3 </w:t>
            </w:r>
          </w:p>
        </w:tc>
      </w:tr>
      <w:tr w:rsidR="00025983" w:rsidRPr="00BD18A1" w14:paraId="2579FBB7" w14:textId="77777777" w:rsidTr="00446D86">
        <w:trPr>
          <w:trHeight w:val="105"/>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106E6F03" w14:textId="77777777" w:rsidR="00025983" w:rsidRPr="00BD18A1" w:rsidRDefault="00025983" w:rsidP="00446D86">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Entre 151 y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77A58F5E" w14:textId="77777777" w:rsidR="00025983" w:rsidRPr="00BD18A1" w:rsidRDefault="00025983" w:rsidP="00446D86">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4 </w:t>
            </w:r>
          </w:p>
        </w:tc>
      </w:tr>
      <w:tr w:rsidR="00025983" w:rsidRPr="00BD18A1" w14:paraId="6C111F58" w14:textId="77777777" w:rsidTr="00446D86">
        <w:trPr>
          <w:trHeight w:val="99"/>
          <w:tblCellSpacing w:w="0" w:type="dxa"/>
          <w:jc w:val="center"/>
        </w:trPr>
        <w:tc>
          <w:tcPr>
            <w:tcW w:w="3394" w:type="dxa"/>
            <w:tcBorders>
              <w:top w:val="outset" w:sz="6" w:space="0" w:color="auto"/>
              <w:left w:val="outset" w:sz="6" w:space="0" w:color="auto"/>
              <w:bottom w:val="outset" w:sz="6" w:space="0" w:color="auto"/>
              <w:right w:val="outset" w:sz="6" w:space="0" w:color="auto"/>
            </w:tcBorders>
            <w:vAlign w:val="center"/>
            <w:hideMark/>
          </w:tcPr>
          <w:p w14:paraId="53BA6AFA" w14:textId="77777777" w:rsidR="00025983" w:rsidRPr="00BD18A1" w:rsidRDefault="00025983" w:rsidP="00446D86">
            <w:pPr>
              <w:spacing w:after="0" w:line="240" w:lineRule="auto"/>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Más de 200 </w:t>
            </w:r>
          </w:p>
        </w:tc>
        <w:tc>
          <w:tcPr>
            <w:tcW w:w="2742" w:type="dxa"/>
            <w:tcBorders>
              <w:top w:val="outset" w:sz="6" w:space="0" w:color="auto"/>
              <w:left w:val="outset" w:sz="6" w:space="0" w:color="auto"/>
              <w:bottom w:val="outset" w:sz="6" w:space="0" w:color="auto"/>
              <w:right w:val="outset" w:sz="6" w:space="0" w:color="auto"/>
            </w:tcBorders>
            <w:vAlign w:val="center"/>
            <w:hideMark/>
          </w:tcPr>
          <w:p w14:paraId="31A6EE4F" w14:textId="77777777" w:rsidR="00025983" w:rsidRPr="00BD18A1" w:rsidRDefault="00025983" w:rsidP="00446D86">
            <w:pPr>
              <w:spacing w:after="0" w:line="240" w:lineRule="auto"/>
              <w:jc w:val="center"/>
              <w:rPr>
                <w:rFonts w:ascii="Arial" w:eastAsia="Times New Roman" w:hAnsi="Arial" w:cs="Arial"/>
                <w:color w:val="000000" w:themeColor="text1"/>
                <w:sz w:val="19"/>
                <w:szCs w:val="19"/>
                <w:lang w:val="es-MX" w:eastAsia="es-CO"/>
              </w:rPr>
            </w:pPr>
            <w:r w:rsidRPr="00BD18A1">
              <w:rPr>
                <w:rFonts w:ascii="Arial" w:eastAsia="Times New Roman" w:hAnsi="Arial" w:cs="Arial"/>
                <w:color w:val="000000" w:themeColor="text1"/>
                <w:sz w:val="19"/>
                <w:szCs w:val="19"/>
                <w:lang w:val="es-MX" w:eastAsia="es-CO"/>
              </w:rPr>
              <w:t>5 </w:t>
            </w:r>
          </w:p>
        </w:tc>
      </w:tr>
    </w:tbl>
    <w:p w14:paraId="67EC5A38" w14:textId="77777777" w:rsidR="00025983" w:rsidRPr="00BD18A1" w:rsidRDefault="00025983" w:rsidP="00025983">
      <w:pPr>
        <w:tabs>
          <w:tab w:val="left" w:pos="426"/>
        </w:tabs>
        <w:spacing w:after="0" w:line="240" w:lineRule="auto"/>
        <w:ind w:left="697" w:right="709"/>
        <w:jc w:val="both"/>
        <w:rPr>
          <w:rFonts w:ascii="Arial" w:eastAsia="Times New Roman" w:hAnsi="Arial" w:cs="Arial"/>
          <w:color w:val="000000" w:themeColor="text1"/>
          <w:sz w:val="19"/>
          <w:szCs w:val="19"/>
          <w:lang w:val="es-MX" w:eastAsia="es-CO"/>
        </w:rPr>
      </w:pPr>
    </w:p>
    <w:p w14:paraId="714DFBDE" w14:textId="77777777" w:rsidR="00025983" w:rsidRPr="00BD18A1" w:rsidRDefault="00025983" w:rsidP="00025983">
      <w:pPr>
        <w:tabs>
          <w:tab w:val="left" w:pos="426"/>
        </w:tabs>
        <w:spacing w:after="0" w:line="240" w:lineRule="auto"/>
        <w:ind w:left="697" w:right="709"/>
        <w:jc w:val="both"/>
        <w:rPr>
          <w:rFonts w:ascii="Arial" w:eastAsia="Times New Roman" w:hAnsi="Arial" w:cs="Arial"/>
          <w:color w:val="000000" w:themeColor="text1"/>
          <w:sz w:val="21"/>
          <w:szCs w:val="21"/>
          <w:lang w:val="es-MX" w:eastAsia="es-CO"/>
        </w:rPr>
      </w:pPr>
      <w:r w:rsidRPr="00BD18A1">
        <w:rPr>
          <w:rFonts w:ascii="Arial" w:eastAsia="Times New Roman" w:hAnsi="Arial" w:cs="Arial"/>
          <w:color w:val="000000" w:themeColor="text1"/>
          <w:sz w:val="21"/>
          <w:szCs w:val="21"/>
          <w:lang w:val="es-MX" w:eastAsia="es-CO"/>
        </w:rPr>
        <w:t>Parágrafo. Para efectos de lo señalado en el presente artículo, si la oferta es presentada por un consorcio, unión temporal o promesa de sociedad futura, se tendrá en cuenta la planta de personal del integrante del proponente plural que aporte como mínimo el cuarenta por ciento (40%) de la experiencia requerida para la respectiva contratación”.</w:t>
      </w:r>
    </w:p>
    <w:p w14:paraId="57C47892" w14:textId="77777777" w:rsidR="00025983" w:rsidRPr="00BD18A1" w:rsidRDefault="00025983" w:rsidP="00025983">
      <w:pPr>
        <w:tabs>
          <w:tab w:val="left" w:pos="426"/>
        </w:tabs>
        <w:spacing w:after="0" w:line="276" w:lineRule="auto"/>
        <w:jc w:val="both"/>
        <w:rPr>
          <w:rFonts w:ascii="ArialMT" w:eastAsia="Times New Roman" w:hAnsi="ArialMT" w:cs="Times New Roman"/>
          <w:color w:val="000000" w:themeColor="text1"/>
          <w:lang w:val="es-MX" w:eastAsia="es-ES_tradnl"/>
        </w:rPr>
      </w:pPr>
    </w:p>
    <w:p w14:paraId="27525BDF" w14:textId="77777777" w:rsidR="00025983" w:rsidRDefault="00025983" w:rsidP="00025983">
      <w:pPr>
        <w:spacing w:after="0" w:line="276" w:lineRule="auto"/>
        <w:ind w:firstLine="567"/>
        <w:jc w:val="both"/>
        <w:rPr>
          <w:rFonts w:ascii="Arial" w:eastAsia="Times New Roman" w:hAnsi="Arial" w:cs="Arial"/>
          <w:color w:val="000000" w:themeColor="text1"/>
          <w:lang w:val="es-ES" w:eastAsia="es-ES_tradnl"/>
        </w:rPr>
      </w:pPr>
      <w:r w:rsidRPr="00BD18A1">
        <w:rPr>
          <w:rFonts w:ascii="Arial" w:eastAsia="Times New Roman" w:hAnsi="Arial" w:cs="Arial"/>
          <w:color w:val="000000" w:themeColor="text1"/>
          <w:lang w:val="es-MX" w:eastAsia="es-ES_tradnl"/>
        </w:rPr>
        <w:t>La normativa antes mencionada determinó que en los referidos procesos se otorgaría el uno por ciento (1%) de los puntos establecidos en el pliego de condiciones a aquellos proponentes que acreditaran: i) el número total de trabajadores vinculados a la planta de personal; y, ii) la vinculación de, por lo menos, el número mínimo exigido de trabajadores con discapacidad</w:t>
      </w:r>
      <w:r w:rsidRPr="00BD18A1">
        <w:rPr>
          <w:rFonts w:ascii="Arial" w:eastAsia="Times New Roman" w:hAnsi="Arial" w:cs="Arial"/>
          <w:color w:val="000000" w:themeColor="text1"/>
          <w:lang w:val="es-ES" w:eastAsia="es-ES_tradnl"/>
        </w:rPr>
        <w:t xml:space="preserve">. </w:t>
      </w:r>
    </w:p>
    <w:p w14:paraId="57EDC6CF" w14:textId="77777777" w:rsidR="00025983" w:rsidRDefault="00025983" w:rsidP="00025983">
      <w:pPr>
        <w:spacing w:after="0" w:line="276" w:lineRule="auto"/>
        <w:ind w:firstLine="567"/>
        <w:jc w:val="both"/>
        <w:rPr>
          <w:rFonts w:ascii="Arial" w:eastAsia="Times New Roman" w:hAnsi="Arial" w:cs="Arial"/>
          <w:color w:val="000000" w:themeColor="text1"/>
          <w:lang w:val="es-ES" w:eastAsia="es-ES_tradnl"/>
        </w:rPr>
      </w:pPr>
    </w:p>
    <w:p w14:paraId="3A291A39" w14:textId="77777777" w:rsidR="0000152A" w:rsidRPr="00BD18A1" w:rsidRDefault="0000152A" w:rsidP="0000152A">
      <w:pPr>
        <w:tabs>
          <w:tab w:val="left" w:pos="426"/>
        </w:tabs>
        <w:spacing w:after="0" w:line="276" w:lineRule="auto"/>
        <w:jc w:val="both"/>
        <w:rPr>
          <w:rFonts w:ascii="Arial" w:eastAsia="Calibri" w:hAnsi="Arial" w:cs="Arial"/>
          <w:b/>
          <w:color w:val="000000" w:themeColor="text1"/>
          <w:lang w:val="es-ES" w:eastAsia="en-GB"/>
        </w:rPr>
      </w:pPr>
      <w:r w:rsidRPr="0000152A">
        <w:rPr>
          <w:rFonts w:ascii="Arial" w:eastAsia="Calibri" w:hAnsi="Arial" w:cs="Arial"/>
          <w:b/>
          <w:color w:val="000000" w:themeColor="text1"/>
          <w:lang w:val="es-ES" w:eastAsia="en-GB"/>
        </w:rPr>
        <w:t>2.</w:t>
      </w:r>
      <w:r w:rsidRPr="0000152A">
        <w:rPr>
          <w:rFonts w:ascii="Arial" w:eastAsia="Calibri" w:hAnsi="Arial" w:cs="Arial"/>
          <w:b/>
          <w:bCs/>
          <w:color w:val="000000" w:themeColor="text1"/>
          <w:lang w:val="es-ES" w:eastAsia="en-GB"/>
        </w:rPr>
        <w:t>2</w:t>
      </w:r>
      <w:r w:rsidRPr="0000152A">
        <w:rPr>
          <w:rFonts w:ascii="Arial" w:eastAsia="Calibri" w:hAnsi="Arial" w:cs="Arial"/>
          <w:b/>
          <w:color w:val="000000" w:themeColor="text1"/>
          <w:lang w:val="es-ES" w:eastAsia="en-GB"/>
        </w:rPr>
        <w:t xml:space="preserve">. Acreditación </w:t>
      </w:r>
      <w:r w:rsidRPr="0000152A">
        <w:rPr>
          <w:rFonts w:ascii="Arial" w:eastAsia="Times New Roman" w:hAnsi="Arial" w:cs="Arial"/>
          <w:b/>
          <w:color w:val="000000"/>
          <w:bdr w:val="none" w:sz="0" w:space="0" w:color="auto" w:frame="1"/>
          <w:lang w:eastAsia="es-MX"/>
        </w:rPr>
        <w:t>para obtener el puntaje de vinculación de trabajadores con discapacidad</w:t>
      </w:r>
      <w:r w:rsidRPr="00BD18A1">
        <w:rPr>
          <w:rFonts w:ascii="Arial" w:eastAsia="Times New Roman" w:hAnsi="Arial" w:cs="Arial"/>
          <w:b/>
          <w:color w:val="000000"/>
          <w:bdr w:val="none" w:sz="0" w:space="0" w:color="auto" w:frame="1"/>
          <w:lang w:eastAsia="es-MX"/>
        </w:rPr>
        <w:t xml:space="preserve"> </w:t>
      </w:r>
    </w:p>
    <w:p w14:paraId="55DFDB0A" w14:textId="77777777" w:rsidR="0000152A" w:rsidRPr="00BD18A1" w:rsidRDefault="0000152A" w:rsidP="0000152A">
      <w:pPr>
        <w:tabs>
          <w:tab w:val="left" w:pos="426"/>
        </w:tabs>
        <w:spacing w:after="0" w:line="276" w:lineRule="auto"/>
        <w:jc w:val="both"/>
        <w:rPr>
          <w:rFonts w:ascii="Arial" w:eastAsia="Times New Roman" w:hAnsi="Arial" w:cs="Arial"/>
          <w:color w:val="000000" w:themeColor="text1"/>
          <w:lang w:val="es-ES" w:eastAsia="es-ES_tradnl"/>
        </w:rPr>
      </w:pPr>
    </w:p>
    <w:p w14:paraId="07E302C7" w14:textId="77777777" w:rsidR="0000152A" w:rsidRPr="00BD18A1" w:rsidRDefault="0000152A" w:rsidP="0000152A">
      <w:pPr>
        <w:spacing w:after="120" w:line="276" w:lineRule="auto"/>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 w:eastAsia="en-GB"/>
        </w:rPr>
        <w:t xml:space="preserve">Delimitado el marco normativo que regula el incentivo contractual otorgable a los oferentes que emplean en su planta de trabajadores a personas con discapacidad, es necesario </w:t>
      </w:r>
      <w:r w:rsidRPr="00BD18A1">
        <w:rPr>
          <w:rFonts w:ascii="Arial" w:eastAsia="Calibri" w:hAnsi="Arial" w:cs="Arial"/>
          <w:color w:val="000000" w:themeColor="text1"/>
          <w:lang w:val="es-ES_tradnl" w:eastAsia="es-CO"/>
        </w:rPr>
        <w:t>examinar cuáles son las condiciones que los proponentes u oferentes deben cumplir para acceder a los estímulos estudiados.</w:t>
      </w:r>
    </w:p>
    <w:p w14:paraId="2AEE2E3D" w14:textId="77777777" w:rsidR="0000152A" w:rsidRPr="00BD18A1" w:rsidRDefault="0000152A" w:rsidP="0000152A">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t xml:space="preserve">Como se mencionó en el acápite anterior, el Decreto 392 de 2018 prescribe que, para alcanzar los incentivos por vinculación de personas con discapacidad, el proponente debe certificar el número total de trabajadores de su planta de personal y el número total de trabajadores con discapacidad pertenecientes a esta. Con esa finalidad, es necesario atender a las características de cada participante para determinar los mecanismos para acreditación de estos requisitos. </w:t>
      </w:r>
    </w:p>
    <w:p w14:paraId="0E709881" w14:textId="77777777" w:rsidR="0000152A" w:rsidRPr="00BD18A1" w:rsidRDefault="0000152A" w:rsidP="0000152A">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lastRenderedPageBreak/>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w:t>
      </w:r>
      <w:r w:rsidRPr="00BD18A1">
        <w:rPr>
          <w:rFonts w:ascii="Arial" w:eastAsia="Times New Roman" w:hAnsi="Arial" w:cs="Arial"/>
          <w:color w:val="000000"/>
          <w:szCs w:val="24"/>
          <w:lang w:eastAsia="es-MX"/>
        </w:rPr>
        <w:t xml:space="preserve">Por su parte, cuando se trate de </w:t>
      </w:r>
      <w:r w:rsidRPr="00BD18A1">
        <w:rPr>
          <w:rFonts w:ascii="Arial" w:eastAsia="Times New Roman" w:hAnsi="Arial" w:cs="Arial"/>
          <w:i/>
          <w:iCs/>
          <w:color w:val="000000"/>
          <w:szCs w:val="24"/>
          <w:lang w:eastAsia="es-MX"/>
        </w:rPr>
        <w:t>proponentes plurales</w:t>
      </w:r>
      <w:r w:rsidRPr="00BD18A1">
        <w:rPr>
          <w:rFonts w:ascii="Arial" w:eastAsia="Times New Roman" w:hAnsi="Arial" w:cs="Arial"/>
          <w:color w:val="000000"/>
          <w:szCs w:val="24"/>
          <w:lang w:eastAsia="es-MX"/>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r w:rsidRPr="00BD18A1">
        <w:rPr>
          <w:rFonts w:ascii="Arial" w:eastAsia="Calibri" w:hAnsi="Arial" w:cs="Arial"/>
          <w:color w:val="000000" w:themeColor="text1"/>
          <w:lang w:val="es-ES_tradnl" w:eastAsia="es-CO"/>
        </w:rPr>
        <w:t xml:space="preserve">En segundo lugar, para acreditar que se cumple con el número mínimo de trabajadores con discapacidad exigido, </w:t>
      </w:r>
      <w:r w:rsidRPr="00EA3AB7">
        <w:rPr>
          <w:rFonts w:ascii="Arial" w:eastAsia="Calibri" w:hAnsi="Arial" w:cs="Arial"/>
          <w:color w:val="000000" w:themeColor="text1"/>
          <w:u w:val="single"/>
          <w:lang w:val="es-ES_tradnl" w:eastAsia="es-CO"/>
        </w:rPr>
        <w:t>se empleará un certificado expedido por el Ministerio de Trabajo</w:t>
      </w:r>
      <w:r w:rsidRPr="00BD18A1">
        <w:rPr>
          <w:rFonts w:ascii="Arial" w:eastAsia="Calibri" w:hAnsi="Arial" w:cs="Arial"/>
          <w:color w:val="000000" w:themeColor="text1"/>
          <w:lang w:val="es-ES_tradnl" w:eastAsia="es-CO"/>
        </w:rPr>
        <w:t>, el cual debe estar vigente al cierre del respectivo proceso.</w:t>
      </w:r>
    </w:p>
    <w:p w14:paraId="10974523" w14:textId="77777777" w:rsidR="0000152A" w:rsidRPr="00BD18A1" w:rsidRDefault="0000152A" w:rsidP="0000152A">
      <w:pPr>
        <w:spacing w:after="120" w:line="276" w:lineRule="auto"/>
        <w:ind w:firstLine="709"/>
        <w:jc w:val="both"/>
        <w:rPr>
          <w:rFonts w:ascii="Arial" w:eastAsia="Calibri" w:hAnsi="Arial" w:cs="Arial"/>
          <w:color w:val="000000" w:themeColor="text1"/>
          <w:lang w:val="es-ES_tradnl" w:eastAsia="es-CO"/>
        </w:rPr>
      </w:pPr>
      <w:r w:rsidRPr="00BD18A1">
        <w:rPr>
          <w:rFonts w:ascii="Arial" w:eastAsia="Calibri" w:hAnsi="Arial" w:cs="Arial"/>
          <w:color w:val="000000" w:themeColor="text1"/>
          <w:lang w:val="es-ES_tradnl" w:eastAsia="es-CO"/>
        </w:rPr>
        <w:t xml:space="preserve">Se precisa que ambos certificados son necesarios, pues acreditan requisitos diferentes: </w:t>
      </w:r>
      <w:r w:rsidRPr="00EA3AB7">
        <w:rPr>
          <w:rFonts w:ascii="Arial" w:eastAsia="Calibri" w:hAnsi="Arial" w:cs="Arial"/>
          <w:color w:val="000000" w:themeColor="text1"/>
          <w:u w:val="single"/>
          <w:lang w:val="es-ES_tradnl" w:eastAsia="es-CO"/>
        </w:rPr>
        <w:t>el certificado emitido por el proponente relaciona el número total de trabajadores vinculados a la planta de personal hasta la fecha del cierre del proceso; mientras que en el certificado emitido por el Ministerio de Trabajo se acredita el número de personas con discapacidad</w:t>
      </w:r>
      <w:r w:rsidRPr="00BD18A1">
        <w:rPr>
          <w:rFonts w:ascii="Arial" w:eastAsia="Calibri" w:hAnsi="Arial" w:cs="Arial"/>
          <w:color w:val="000000" w:themeColor="text1"/>
          <w:lang w:val="es-ES_tradnl" w:eastAsia="es-CO"/>
        </w:rPr>
        <w:t>. Esto permitirá, conjuntamente, determinar si se cumple con el rango necesario que habilite al proponente a acceder al beneficio.</w:t>
      </w:r>
    </w:p>
    <w:p w14:paraId="16441301" w14:textId="77777777" w:rsidR="0000152A" w:rsidRPr="00BD18A1" w:rsidRDefault="0000152A" w:rsidP="0000152A">
      <w:pPr>
        <w:spacing w:after="0" w:line="276" w:lineRule="auto"/>
        <w:ind w:firstLine="709"/>
        <w:jc w:val="both"/>
        <w:rPr>
          <w:rFonts w:ascii="Arial" w:hAnsi="Arial" w:cs="Arial"/>
          <w:color w:val="000000" w:themeColor="text1"/>
          <w:lang w:val="es-ES" w:eastAsia="es-CO"/>
        </w:rPr>
      </w:pPr>
      <w:r w:rsidRPr="00BD18A1">
        <w:rPr>
          <w:rFonts w:ascii="Arial" w:eastAsia="Calibri" w:hAnsi="Arial" w:cs="Arial"/>
          <w:color w:val="000000" w:themeColor="text1"/>
          <w:lang w:val="es-ES" w:eastAsia="en-GB"/>
        </w:rPr>
        <w:t>Ahora bien, el parágrafo del artículo 2.2.1.2.4.6 del Decreto 1082 de 2015, adicionado por el artículo primero del Decreto 392</w:t>
      </w:r>
      <w:r w:rsidRPr="00BD18A1">
        <w:rPr>
          <w:rFonts w:ascii="Arial" w:hAnsi="Arial" w:cs="Arial"/>
          <w:color w:val="000000" w:themeColor="text1"/>
          <w:lang w:val="es-ES" w:eastAsia="es-CO"/>
        </w:rPr>
        <w:t xml:space="preserve"> de 2018, condicionó la postulación de los proponentes plurales. Para que la oferta presentada por proponentes plurales obtenga el puntaje adicional por vinculación de trabajadores con discapacidad, deberá tomarse en cuenta la acreditación del integrante que aporte como mínimo el cuarenta por ciento (40%) de la experiencia requerida en el proceso de contratación. Para tal efecto, esta Subdirección ya ha mencionado en anteriores oportunidades que: </w:t>
      </w:r>
    </w:p>
    <w:p w14:paraId="4C99C52F" w14:textId="77777777" w:rsidR="0000152A" w:rsidRPr="00BD18A1" w:rsidRDefault="0000152A" w:rsidP="0000152A">
      <w:pPr>
        <w:spacing w:after="0" w:line="276" w:lineRule="auto"/>
        <w:ind w:firstLine="709"/>
        <w:jc w:val="both"/>
        <w:rPr>
          <w:rFonts w:ascii="Arial" w:eastAsia="Calibri" w:hAnsi="Arial" w:cs="Arial"/>
          <w:color w:val="000000" w:themeColor="text1"/>
          <w:lang w:val="es-ES" w:eastAsia="en-GB"/>
        </w:rPr>
      </w:pPr>
    </w:p>
    <w:p w14:paraId="422E8247" w14:textId="77777777" w:rsidR="0000152A" w:rsidRPr="00BD18A1" w:rsidRDefault="0000152A" w:rsidP="0000152A">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r w:rsidRPr="00BD18A1">
        <w:rPr>
          <w:rFonts w:ascii="Arial" w:eastAsia="Calibri" w:hAnsi="Arial" w:cs="Arial"/>
          <w:color w:val="000000" w:themeColor="text1"/>
          <w:sz w:val="21"/>
          <w:szCs w:val="21"/>
          <w:lang w:val="es-ES" w:eastAsia="es-CO"/>
        </w:rPr>
        <w:t>“[…] cuando el numeral 1 señala “la planta de personal del proponente o sus integrantes”, esta debe ser entendida de acuerdo con el tipo de proponente que se presente al proceso de selección. Así, “proponente” se refiere tanto a las personas naturales o jurídicas que se presentan individualmente, como a las estructuras plurales, trátese de consorcio o unión temporal. De allí que la expresión “o sus integrantes”, califica el proponente y se refiere, exclusivamente, a los integrantes de las estructuras plurales enunciadas”.</w:t>
      </w:r>
      <w:r w:rsidRPr="00BD18A1">
        <w:rPr>
          <w:rFonts w:ascii="Arial" w:eastAsia="Calibri" w:hAnsi="Arial" w:cs="Arial"/>
          <w:color w:val="000000" w:themeColor="text1"/>
          <w:sz w:val="21"/>
          <w:szCs w:val="21"/>
          <w:vertAlign w:val="superscript"/>
          <w:lang w:val="es-ES" w:eastAsia="es-CO"/>
        </w:rPr>
        <w:footnoteReference w:id="3"/>
      </w:r>
    </w:p>
    <w:p w14:paraId="0D48AE58" w14:textId="77777777" w:rsidR="0000152A" w:rsidRPr="00BD18A1" w:rsidRDefault="0000152A" w:rsidP="0000152A">
      <w:pPr>
        <w:shd w:val="clear" w:color="auto" w:fill="FFFFFF"/>
        <w:spacing w:after="0" w:line="240" w:lineRule="auto"/>
        <w:ind w:left="709" w:right="709"/>
        <w:jc w:val="both"/>
        <w:rPr>
          <w:rFonts w:ascii="Arial" w:eastAsia="Calibri" w:hAnsi="Arial" w:cs="Arial"/>
          <w:color w:val="000000" w:themeColor="text1"/>
          <w:sz w:val="21"/>
          <w:szCs w:val="21"/>
          <w:lang w:val="es-ES" w:eastAsia="es-CO"/>
        </w:rPr>
      </w:pPr>
    </w:p>
    <w:p w14:paraId="38552390" w14:textId="77777777" w:rsidR="0000152A" w:rsidRPr="00BD18A1" w:rsidRDefault="0000152A" w:rsidP="0000152A">
      <w:pPr>
        <w:spacing w:after="120" w:line="276" w:lineRule="auto"/>
        <w:ind w:firstLine="709"/>
        <w:jc w:val="both"/>
        <w:rPr>
          <w:rFonts w:ascii="Arial" w:eastAsia="Times New Roman" w:hAnsi="Arial" w:cs="Arial"/>
          <w:color w:val="000000"/>
          <w:szCs w:val="24"/>
          <w:lang w:eastAsia="es-MX"/>
        </w:rPr>
      </w:pPr>
      <w:r w:rsidRPr="00BD18A1">
        <w:rPr>
          <w:rFonts w:ascii="Arial" w:eastAsia="Times New Roman" w:hAnsi="Arial" w:cs="Arial"/>
          <w:color w:val="000000"/>
          <w:szCs w:val="24"/>
          <w:lang w:eastAsia="es-MX"/>
        </w:rPr>
        <w:t xml:space="preserve">Por lo anterior es necesario tener en cuenta que esta condición es propia de la persona que pretende acreditar la obtención del puntaje de acuerdo con su naturaleza jurídica. En efecto, cuando el numeral 1 del artículo </w:t>
      </w:r>
      <w:r w:rsidRPr="00BD18A1">
        <w:rPr>
          <w:rFonts w:ascii="Arial" w:eastAsia="Calibri" w:hAnsi="Arial" w:cs="Arial"/>
          <w:color w:val="000000"/>
          <w:szCs w:val="24"/>
          <w:lang w:val="es-ES" w:eastAsia="es-MX"/>
        </w:rPr>
        <w:t>2.2.1.2.4.2.6 del Decreto 1082 de 2015 se refiere a</w:t>
      </w:r>
      <w:r w:rsidRPr="00BD18A1">
        <w:rPr>
          <w:rFonts w:ascii="Arial" w:eastAsia="Times New Roman" w:hAnsi="Arial" w:cs="Arial"/>
          <w:color w:val="000000"/>
          <w:szCs w:val="24"/>
          <w:lang w:eastAsia="es-MX"/>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w:t>
      </w:r>
      <w:r w:rsidRPr="00BD18A1">
        <w:rPr>
          <w:rFonts w:ascii="Arial" w:eastAsia="Times New Roman" w:hAnsi="Arial" w:cs="Arial"/>
          <w:color w:val="000000"/>
          <w:szCs w:val="24"/>
          <w:lang w:eastAsia="es-MX"/>
        </w:rPr>
        <w:lastRenderedPageBreak/>
        <w:t>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35420AA1" w14:textId="77777777" w:rsidR="0000152A" w:rsidRDefault="0000152A" w:rsidP="0000152A">
      <w:pPr>
        <w:spacing w:after="120" w:line="276" w:lineRule="auto"/>
        <w:ind w:firstLine="708"/>
        <w:jc w:val="both"/>
        <w:rPr>
          <w:rFonts w:ascii="Arial" w:eastAsia="Times New Roman" w:hAnsi="Arial" w:cs="Arial"/>
          <w:color w:val="000000"/>
          <w:szCs w:val="24"/>
          <w:lang w:eastAsia="es-MX"/>
        </w:rPr>
      </w:pPr>
      <w:r w:rsidRPr="00696912">
        <w:rPr>
          <w:rFonts w:ascii="Arial" w:eastAsia="Times New Roman" w:hAnsi="Arial" w:cs="Arial"/>
          <w:color w:val="000000"/>
          <w:szCs w:val="24"/>
          <w:lang w:eastAsia="es-MX"/>
        </w:rPr>
        <w:t>La forma de asignar el puntaje por vinculación</w:t>
      </w:r>
      <w:r w:rsidRPr="00BD18A1">
        <w:rPr>
          <w:rFonts w:ascii="Arial" w:eastAsia="Times New Roman" w:hAnsi="Arial" w:cs="Arial"/>
          <w:color w:val="000000"/>
          <w:szCs w:val="24"/>
          <w:lang w:eastAsia="es-MX"/>
        </w:rPr>
        <w:t xml:space="preserve">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5A44D9ED" w14:textId="3AEE4F27" w:rsidR="006B2602" w:rsidRPr="00BD18A1" w:rsidRDefault="006B2602" w:rsidP="009338BF">
      <w:pPr>
        <w:spacing w:after="120" w:line="276" w:lineRule="auto"/>
        <w:ind w:firstLine="708"/>
        <w:jc w:val="both"/>
        <w:rPr>
          <w:rFonts w:ascii="Arial" w:eastAsia="Times New Roman" w:hAnsi="Arial" w:cs="Arial"/>
          <w:color w:val="000000"/>
          <w:szCs w:val="24"/>
          <w:lang w:eastAsia="es-MX"/>
        </w:rPr>
      </w:pPr>
      <w:r w:rsidRPr="00F953AF">
        <w:rPr>
          <w:rFonts w:ascii="Arial" w:eastAsia="Times New Roman" w:hAnsi="Arial" w:cs="Arial"/>
          <w:color w:val="000000"/>
          <w:szCs w:val="24"/>
          <w:lang w:eastAsia="es-MX"/>
        </w:rPr>
        <w:t xml:space="preserve">Ahora bien, de conformidad con la consulta planteada, </w:t>
      </w:r>
      <w:r w:rsidR="00C81EB7" w:rsidRPr="00F953AF">
        <w:rPr>
          <w:rFonts w:ascii="Arial" w:eastAsia="Times New Roman" w:hAnsi="Arial" w:cs="Arial"/>
          <w:color w:val="000000"/>
          <w:szCs w:val="24"/>
          <w:lang w:eastAsia="es-MX"/>
        </w:rPr>
        <w:t xml:space="preserve">al revisar el artículo 1 del Decreto 392 de 2018, que enuncia los requisitos para acceder al puntaje adicional por vincular personal en condición de discapacidad, se observa que el deber que impone la norma a las entidades, de otorgar el 1% del total de puntos del procedimiento contractual, se dirige a los proponentes que acrediten los requisitos allí señalados. La palabra “proponente” debe interpretarse de conformidad con la Ley 80 de 1993 que, en el artículo 6, señala quiénes tienen capacidad para contratar, esto es, las personas con capacidad </w:t>
      </w:r>
      <w:proofErr w:type="gramStart"/>
      <w:r w:rsidR="00C81EB7" w:rsidRPr="00F953AF">
        <w:rPr>
          <w:rFonts w:ascii="Arial" w:eastAsia="Times New Roman" w:hAnsi="Arial" w:cs="Arial"/>
          <w:color w:val="000000"/>
          <w:szCs w:val="24"/>
          <w:lang w:eastAsia="es-MX"/>
        </w:rPr>
        <w:t>jurídica,</w:t>
      </w:r>
      <w:proofErr w:type="gramEnd"/>
      <w:r w:rsidR="00C81EB7" w:rsidRPr="00F953AF">
        <w:rPr>
          <w:rFonts w:ascii="Arial" w:eastAsia="Times New Roman" w:hAnsi="Arial" w:cs="Arial"/>
          <w:color w:val="000000"/>
          <w:szCs w:val="24"/>
          <w:lang w:eastAsia="es-MX"/>
        </w:rPr>
        <w:t xml:space="preserve"> </w:t>
      </w:r>
      <w:r w:rsidR="00C81EB7" w:rsidRPr="00F953AF">
        <w:rPr>
          <w:rFonts w:ascii="Arial" w:eastAsia="Times New Roman" w:hAnsi="Arial" w:cs="Arial"/>
          <w:color w:val="000000"/>
          <w:szCs w:val="24"/>
          <w:u w:val="single"/>
          <w:lang w:eastAsia="es-MX"/>
        </w:rPr>
        <w:t>sean nacionales o extranjeras</w:t>
      </w:r>
      <w:r w:rsidR="00C81EB7" w:rsidRPr="00F953AF">
        <w:rPr>
          <w:rStyle w:val="Refdenotaalpie"/>
        </w:rPr>
        <w:footnoteReference w:id="4"/>
      </w:r>
      <w:r w:rsidR="00C81EB7" w:rsidRPr="00F953AF">
        <w:rPr>
          <w:rFonts w:ascii="Arial" w:eastAsia="Times New Roman" w:hAnsi="Arial" w:cs="Arial"/>
          <w:color w:val="000000"/>
          <w:szCs w:val="24"/>
          <w:lang w:eastAsia="es-MX"/>
        </w:rPr>
        <w:t>. Lo anterior es congruente con el artículo 4 de la Ley 1618 de 2019 que incorpora los tratados sobre personas con discapacidad ratificados por Colombia, impidiendo que se restrinjan sus derechos en la legislación nacional o internacional, por lo cual no es posible interpretar que lo dispuesto en el Decreto 392 de 2018 excluya a proponentes extranjeros sin sucursal en Colombia y con planta de personal extranjera</w:t>
      </w:r>
      <w:r w:rsidR="00C81EB7" w:rsidRPr="00F953AF">
        <w:rPr>
          <w:rStyle w:val="Refdenotaalpie"/>
        </w:rPr>
        <w:footnoteReference w:id="5"/>
      </w:r>
      <w:r w:rsidR="00C81EB7" w:rsidRPr="00F953AF">
        <w:rPr>
          <w:rStyle w:val="Refdenotaalpie"/>
        </w:rPr>
        <w:t>.</w:t>
      </w:r>
    </w:p>
    <w:p w14:paraId="18130D06" w14:textId="1A631451" w:rsidR="0074121B" w:rsidRPr="0074121B" w:rsidRDefault="0074121B" w:rsidP="009338BF">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lastRenderedPageBreak/>
        <w:t xml:space="preserve">De esta manera, los proponentes, sin importar su nacionalidad, pueden acceder al puntaje adicional que reguló la Ley 1618 de 2013, reglamentado por el Decreto 392 de 2018, siempre que acrediten lo exigido allí, puesto que la norma no excluye el cumplimiento de los requisitos en razón a que el proponente sea nacional o extranjero, sino que, </w:t>
      </w:r>
      <w:r w:rsidRPr="00696912">
        <w:rPr>
          <w:rFonts w:ascii="Arial" w:eastAsia="Times New Roman" w:hAnsi="Arial" w:cs="Arial"/>
          <w:color w:val="000000"/>
          <w:szCs w:val="24"/>
          <w:u w:val="single"/>
          <w:lang w:eastAsia="es-MX"/>
        </w:rPr>
        <w:t>en general, se dirige a los proponentes que son aquellos que la Ley 80 de 1993 señala como personas con capacidad para contratar con entidades.</w:t>
      </w:r>
    </w:p>
    <w:p w14:paraId="2206BE6A" w14:textId="1DE26495" w:rsidR="0074121B" w:rsidRPr="0074121B" w:rsidRDefault="0074121B" w:rsidP="009338BF">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t xml:space="preserve">Así, los proponentes extranjeros sin sucursal en Colombia están incluidos en la disposición del Decreto 392 de 2018, cuando se refiere a los “proponentes”, ya que la norma no distinguió respecto de la nacionalidad para exigir los requisitos señalados allí, es decir, el certificado expedido por el Ministerio de Trabajo. Por ende, teniendo en cuenta la capacidad jurídica de los proponentes extranjeros, </w:t>
      </w:r>
      <w:r w:rsidRPr="0074121B">
        <w:rPr>
          <w:rFonts w:ascii="Arial" w:eastAsia="Times New Roman" w:hAnsi="Arial" w:cs="Arial"/>
          <w:color w:val="000000"/>
          <w:szCs w:val="24"/>
          <w:u w:val="single"/>
          <w:lang w:eastAsia="es-MX"/>
        </w:rPr>
        <w:t>con o sin sucursal en Colombia</w:t>
      </w:r>
      <w:r w:rsidRPr="0074121B">
        <w:rPr>
          <w:rFonts w:ascii="Arial" w:eastAsia="Times New Roman" w:hAnsi="Arial" w:cs="Arial"/>
          <w:color w:val="000000"/>
          <w:szCs w:val="24"/>
          <w:lang w:eastAsia="es-MX"/>
        </w:rPr>
        <w:t xml:space="preserve">, ya que la Ley 80 de 1993 no los distingue sino que le otorga capacidad al proponente extranjero, independientemente del asiento permanente de negocios en el país, ellos pueden contratar con el Estado y acceder al puntaje por vincular personal en condición de discapacidad, </w:t>
      </w:r>
      <w:r w:rsidRPr="0074121B">
        <w:rPr>
          <w:rFonts w:ascii="Arial" w:eastAsia="Times New Roman" w:hAnsi="Arial" w:cs="Arial"/>
          <w:color w:val="000000"/>
          <w:szCs w:val="24"/>
          <w:u w:val="single"/>
          <w:lang w:eastAsia="es-MX"/>
        </w:rPr>
        <w:t>si aportan el certificado suscrito por la persona natural, por el representante legal de la persona jurídica o por el revisor fiscal del proponente o integrante que pretenda acreditar esta condición, acompañado del certificado expedido por el Ministerio de Trabajo.</w:t>
      </w:r>
    </w:p>
    <w:p w14:paraId="77C3BD06" w14:textId="77777777" w:rsidR="0074121B" w:rsidRPr="0074121B" w:rsidRDefault="0074121B" w:rsidP="00091071">
      <w:pPr>
        <w:spacing w:after="120" w:line="276" w:lineRule="auto"/>
        <w:ind w:firstLine="708"/>
        <w:jc w:val="both"/>
        <w:rPr>
          <w:rFonts w:ascii="Arial" w:eastAsia="Times New Roman" w:hAnsi="Arial" w:cs="Arial"/>
          <w:color w:val="000000"/>
          <w:szCs w:val="24"/>
          <w:lang w:eastAsia="es-MX"/>
        </w:rPr>
      </w:pPr>
      <w:r w:rsidRPr="00696912">
        <w:rPr>
          <w:rFonts w:ascii="Arial" w:eastAsia="Times New Roman" w:hAnsi="Arial" w:cs="Arial"/>
          <w:color w:val="000000"/>
          <w:szCs w:val="24"/>
          <w:lang w:eastAsia="es-MX"/>
        </w:rPr>
        <w:t xml:space="preserve">Sobre el contenido del certificado que expide el Ministerio de Trabajo, el Decreto 392 de 2018 señala que versa sobre la planta de personal del proponente, que debe reflejar la vinculación de trabajadores con discapacidad. Nuevamente, </w:t>
      </w:r>
      <w:r w:rsidRPr="00696912">
        <w:rPr>
          <w:rFonts w:ascii="Arial" w:eastAsia="Times New Roman" w:hAnsi="Arial" w:cs="Arial"/>
          <w:color w:val="000000"/>
          <w:szCs w:val="24"/>
          <w:u w:val="single"/>
          <w:lang w:eastAsia="es-MX"/>
        </w:rPr>
        <w:t>la norma no cualifica la planta de personal según su nacionalidad</w:t>
      </w:r>
      <w:r w:rsidRPr="00696912">
        <w:rPr>
          <w:rFonts w:ascii="Arial" w:eastAsia="Times New Roman" w:hAnsi="Arial" w:cs="Arial"/>
          <w:color w:val="000000"/>
          <w:szCs w:val="24"/>
          <w:lang w:eastAsia="es-MX"/>
        </w:rPr>
        <w:t xml:space="preserve">, sino porque la mención que hace es amplia, sin importar si es nacional o extranjera, siempre que cumpla con el número mínimo de trabajadores en condición de discapacidad, lo cual depende del tamaño de la planta de personal, pero no de su nacionalidad, </w:t>
      </w:r>
      <w:r w:rsidRPr="00696912">
        <w:rPr>
          <w:rFonts w:ascii="Arial" w:eastAsia="Times New Roman" w:hAnsi="Arial" w:cs="Arial"/>
          <w:color w:val="000000"/>
          <w:szCs w:val="24"/>
          <w:u w:val="single"/>
          <w:lang w:eastAsia="es-MX"/>
        </w:rPr>
        <w:t>por lo cual es posible que la planta de personal sea extranjera.</w:t>
      </w:r>
    </w:p>
    <w:p w14:paraId="7DB32FD2" w14:textId="3127B9F6" w:rsidR="004C0E59" w:rsidRDefault="0074121B" w:rsidP="009338BF">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t xml:space="preserve">Así, siendo el Ministerio de Trabajo la entidad a quien el Decreto 392 de 2018 le asignó la competencia para expedir el certificado, respecto de la planta de personal del proponente que busca obtener el puntaje adicional vinculando personal en condición de discapacidad, en la cantidad señalada en la misma norma, </w:t>
      </w:r>
      <w:r w:rsidRPr="0074121B">
        <w:rPr>
          <w:rFonts w:ascii="Arial" w:eastAsia="Times New Roman" w:hAnsi="Arial" w:cs="Arial"/>
          <w:color w:val="000000"/>
          <w:szCs w:val="24"/>
          <w:u w:val="single"/>
          <w:lang w:eastAsia="es-MX"/>
        </w:rPr>
        <w:t>dicha entidad es la competente para dar las directrices respecto de las condiciones que debe informar el proponente</w:t>
      </w:r>
      <w:r w:rsidRPr="0074121B">
        <w:rPr>
          <w:rFonts w:ascii="Arial" w:eastAsia="Times New Roman" w:hAnsi="Arial" w:cs="Arial"/>
          <w:color w:val="000000"/>
          <w:szCs w:val="24"/>
          <w:lang w:eastAsia="es-MX"/>
        </w:rPr>
        <w:t xml:space="preserve">, con el fin de que se elabore y entregue el certificado, que, como se mencionó, contendrá la información aportada por el interesado, sin que el Decreto haya excluido a proponentes extranjeros sin sucursal en Colombia o </w:t>
      </w:r>
      <w:r w:rsidRPr="0074121B">
        <w:rPr>
          <w:rFonts w:ascii="Arial" w:eastAsia="Times New Roman" w:hAnsi="Arial" w:cs="Arial"/>
          <w:color w:val="000000"/>
          <w:szCs w:val="24"/>
          <w:u w:val="single"/>
          <w:lang w:eastAsia="es-MX"/>
        </w:rPr>
        <w:t>plantas de personal extranjeras</w:t>
      </w:r>
      <w:r w:rsidRPr="0074121B">
        <w:rPr>
          <w:rFonts w:ascii="Arial" w:eastAsia="Times New Roman" w:hAnsi="Arial" w:cs="Arial"/>
          <w:color w:val="000000"/>
          <w:szCs w:val="24"/>
          <w:lang w:eastAsia="es-MX"/>
        </w:rPr>
        <w:t>.</w:t>
      </w:r>
    </w:p>
    <w:p w14:paraId="4FEA9CC8" w14:textId="1C6CD441" w:rsidR="00025983" w:rsidRPr="00F312A5" w:rsidRDefault="004C0E59" w:rsidP="00F312A5">
      <w:pPr>
        <w:spacing w:after="120" w:line="276" w:lineRule="auto"/>
        <w:ind w:firstLine="708"/>
        <w:jc w:val="both"/>
        <w:rPr>
          <w:rFonts w:ascii="Arial" w:eastAsia="Times New Roman" w:hAnsi="Arial" w:cs="Arial"/>
          <w:color w:val="000000"/>
          <w:szCs w:val="24"/>
          <w:lang w:eastAsia="es-MX"/>
        </w:rPr>
      </w:pPr>
      <w:r>
        <w:rPr>
          <w:rFonts w:ascii="Arial" w:eastAsia="Times New Roman" w:hAnsi="Arial" w:cs="Arial"/>
          <w:color w:val="000000"/>
          <w:szCs w:val="24"/>
          <w:lang w:eastAsia="es-MX"/>
        </w:rPr>
        <w:lastRenderedPageBreak/>
        <w:t>En todo caso, las anteriores precisiones</w:t>
      </w:r>
      <w:r w:rsidR="004702C2">
        <w:rPr>
          <w:rFonts w:ascii="Arial" w:eastAsia="Times New Roman" w:hAnsi="Arial" w:cs="Arial"/>
          <w:color w:val="000000"/>
          <w:szCs w:val="24"/>
          <w:lang w:eastAsia="es-MX"/>
        </w:rPr>
        <w:t>,</w:t>
      </w:r>
      <w:r>
        <w:rPr>
          <w:rFonts w:ascii="Arial" w:eastAsia="Times New Roman" w:hAnsi="Arial" w:cs="Arial"/>
          <w:color w:val="000000"/>
          <w:szCs w:val="24"/>
          <w:lang w:eastAsia="es-MX"/>
        </w:rPr>
        <w:t xml:space="preserve"> sobre </w:t>
      </w:r>
      <w:r w:rsidR="005E26B8">
        <w:rPr>
          <w:rFonts w:ascii="Arial" w:eastAsia="Times New Roman" w:hAnsi="Arial" w:cs="Arial"/>
          <w:color w:val="000000"/>
          <w:szCs w:val="24"/>
          <w:lang w:eastAsia="es-MX"/>
        </w:rPr>
        <w:t>el</w:t>
      </w:r>
      <w:r w:rsidR="00FF0424">
        <w:rPr>
          <w:rFonts w:ascii="Arial" w:eastAsia="Times New Roman" w:hAnsi="Arial" w:cs="Arial"/>
          <w:color w:val="000000"/>
          <w:szCs w:val="24"/>
          <w:lang w:eastAsia="es-MX"/>
        </w:rPr>
        <w:t xml:space="preserve"> acceso </w:t>
      </w:r>
      <w:r w:rsidR="00E110DB">
        <w:rPr>
          <w:rFonts w:ascii="Arial" w:eastAsia="Times New Roman" w:hAnsi="Arial" w:cs="Arial"/>
          <w:color w:val="000000"/>
          <w:szCs w:val="24"/>
          <w:lang w:eastAsia="es-MX"/>
        </w:rPr>
        <w:t>al</w:t>
      </w:r>
      <w:r w:rsidR="005E26B8">
        <w:rPr>
          <w:rFonts w:ascii="Arial" w:eastAsia="Times New Roman" w:hAnsi="Arial" w:cs="Arial"/>
          <w:color w:val="000000"/>
          <w:szCs w:val="24"/>
          <w:lang w:eastAsia="es-MX"/>
        </w:rPr>
        <w:t xml:space="preserve"> </w:t>
      </w:r>
      <w:r w:rsidR="005E26B8" w:rsidRPr="005E26B8">
        <w:rPr>
          <w:rFonts w:ascii="Arial" w:eastAsia="Times New Roman" w:hAnsi="Arial" w:cs="Arial"/>
          <w:color w:val="000000"/>
          <w:szCs w:val="24"/>
          <w:lang w:eastAsia="es-MX"/>
        </w:rPr>
        <w:t>puntaje adicional que reguló la Ley 1618 de 2013</w:t>
      </w:r>
      <w:r w:rsidR="00373B40">
        <w:rPr>
          <w:rFonts w:ascii="Arial" w:eastAsia="Times New Roman" w:hAnsi="Arial" w:cs="Arial"/>
          <w:color w:val="000000"/>
          <w:szCs w:val="24"/>
          <w:lang w:eastAsia="es-MX"/>
        </w:rPr>
        <w:t xml:space="preserve"> </w:t>
      </w:r>
      <w:r w:rsidR="005E26B8" w:rsidRPr="005E26B8">
        <w:rPr>
          <w:rFonts w:ascii="Arial" w:eastAsia="Times New Roman" w:hAnsi="Arial" w:cs="Arial"/>
          <w:color w:val="000000"/>
          <w:szCs w:val="24"/>
          <w:lang w:eastAsia="es-MX"/>
        </w:rPr>
        <w:t xml:space="preserve"> </w:t>
      </w:r>
      <w:r w:rsidR="005E26B8">
        <w:rPr>
          <w:rFonts w:ascii="Arial" w:eastAsia="Times New Roman" w:hAnsi="Arial" w:cs="Arial"/>
          <w:color w:val="000000"/>
          <w:szCs w:val="24"/>
          <w:lang w:eastAsia="es-MX"/>
        </w:rPr>
        <w:t>y reglamentó</w:t>
      </w:r>
      <w:r w:rsidR="005E26B8" w:rsidRPr="005E26B8">
        <w:rPr>
          <w:rFonts w:ascii="Arial" w:eastAsia="Times New Roman" w:hAnsi="Arial" w:cs="Arial"/>
          <w:color w:val="000000"/>
          <w:szCs w:val="24"/>
          <w:lang w:eastAsia="es-MX"/>
        </w:rPr>
        <w:t xml:space="preserve"> el Decreto 392 de 2018</w:t>
      </w:r>
      <w:r w:rsidR="00E110DB">
        <w:rPr>
          <w:rFonts w:ascii="Arial" w:eastAsia="Times New Roman" w:hAnsi="Arial" w:cs="Arial"/>
          <w:color w:val="000000"/>
          <w:szCs w:val="24"/>
          <w:lang w:eastAsia="es-MX"/>
        </w:rPr>
        <w:t>, por parte</w:t>
      </w:r>
      <w:r w:rsidR="002F3DBD">
        <w:rPr>
          <w:rFonts w:ascii="Arial" w:eastAsia="Times New Roman" w:hAnsi="Arial" w:cs="Arial"/>
          <w:color w:val="000000"/>
          <w:szCs w:val="24"/>
          <w:lang w:eastAsia="es-MX"/>
        </w:rPr>
        <w:t xml:space="preserve"> de los proponentes extranjeros </w:t>
      </w:r>
      <w:r w:rsidR="00373B40" w:rsidRPr="00373B40">
        <w:rPr>
          <w:rFonts w:ascii="Arial" w:eastAsia="Times New Roman" w:hAnsi="Arial" w:cs="Arial"/>
          <w:color w:val="000000"/>
          <w:szCs w:val="24"/>
          <w:lang w:eastAsia="es-MX"/>
        </w:rPr>
        <w:t>con o sin sucursal en Colombia</w:t>
      </w:r>
      <w:r w:rsidR="00E110DB">
        <w:rPr>
          <w:rFonts w:ascii="Arial" w:eastAsia="Times New Roman" w:hAnsi="Arial" w:cs="Arial"/>
          <w:color w:val="000000"/>
          <w:szCs w:val="24"/>
          <w:lang w:eastAsia="es-MX"/>
        </w:rPr>
        <w:t xml:space="preserve"> no se </w:t>
      </w:r>
      <w:r w:rsidR="005775BA">
        <w:rPr>
          <w:rFonts w:ascii="Arial" w:eastAsia="Times New Roman" w:hAnsi="Arial" w:cs="Arial"/>
          <w:color w:val="000000"/>
          <w:szCs w:val="24"/>
          <w:lang w:eastAsia="es-MX"/>
        </w:rPr>
        <w:t xml:space="preserve">pueden analizar de manera aislada </w:t>
      </w:r>
      <w:r w:rsidR="00522661">
        <w:rPr>
          <w:rFonts w:ascii="Arial" w:eastAsia="Times New Roman" w:hAnsi="Arial" w:cs="Arial"/>
          <w:color w:val="000000"/>
          <w:szCs w:val="24"/>
          <w:lang w:eastAsia="es-MX"/>
        </w:rPr>
        <w:t>de</w:t>
      </w:r>
      <w:r w:rsidR="005775BA">
        <w:rPr>
          <w:rFonts w:ascii="Arial" w:eastAsia="Times New Roman" w:hAnsi="Arial" w:cs="Arial"/>
          <w:color w:val="000000"/>
          <w:szCs w:val="24"/>
          <w:lang w:eastAsia="es-MX"/>
        </w:rPr>
        <w:t xml:space="preserve"> los efect</w:t>
      </w:r>
      <w:r w:rsidR="00F312A5">
        <w:rPr>
          <w:rFonts w:ascii="Arial" w:eastAsia="Times New Roman" w:hAnsi="Arial" w:cs="Arial"/>
          <w:color w:val="000000"/>
          <w:szCs w:val="24"/>
          <w:lang w:eastAsia="es-MX"/>
        </w:rPr>
        <w:t>os de la ley en el  espacio</w:t>
      </w:r>
      <w:r w:rsidR="00616D14">
        <w:rPr>
          <w:rFonts w:ascii="Arial" w:eastAsia="Times New Roman" w:hAnsi="Arial" w:cs="Arial"/>
          <w:color w:val="000000"/>
          <w:szCs w:val="24"/>
          <w:lang w:eastAsia="es-MX"/>
        </w:rPr>
        <w:t xml:space="preserve"> y el lugar en donde se ejecutarán las obligaciones</w:t>
      </w:r>
      <w:r w:rsidR="00B8181D">
        <w:rPr>
          <w:rFonts w:ascii="Arial" w:eastAsia="Times New Roman" w:hAnsi="Arial" w:cs="Arial"/>
          <w:color w:val="000000"/>
          <w:szCs w:val="24"/>
          <w:lang w:eastAsia="es-MX"/>
        </w:rPr>
        <w:t xml:space="preserve">, estos aspectos deben observarse </w:t>
      </w:r>
      <w:r w:rsidR="00616D14">
        <w:rPr>
          <w:rFonts w:ascii="Arial" w:eastAsia="Times New Roman" w:hAnsi="Arial" w:cs="Arial"/>
          <w:color w:val="000000"/>
          <w:szCs w:val="24"/>
          <w:lang w:eastAsia="es-MX"/>
        </w:rPr>
        <w:t xml:space="preserve"> </w:t>
      </w:r>
      <w:r w:rsidR="009426F4">
        <w:rPr>
          <w:rFonts w:ascii="Arial" w:eastAsia="Times New Roman" w:hAnsi="Arial" w:cs="Arial"/>
          <w:color w:val="000000"/>
          <w:szCs w:val="24"/>
          <w:lang w:eastAsia="es-MX"/>
        </w:rPr>
        <w:t xml:space="preserve">para </w:t>
      </w:r>
      <w:r w:rsidR="00C41C8B">
        <w:rPr>
          <w:rFonts w:ascii="Arial" w:eastAsia="Times New Roman" w:hAnsi="Arial" w:cs="Arial"/>
          <w:color w:val="000000"/>
          <w:szCs w:val="24"/>
          <w:lang w:eastAsia="es-MX"/>
        </w:rPr>
        <w:t>acceder</w:t>
      </w:r>
      <w:r w:rsidR="009426F4">
        <w:rPr>
          <w:rFonts w:ascii="Arial" w:eastAsia="Times New Roman" w:hAnsi="Arial" w:cs="Arial"/>
          <w:color w:val="000000"/>
          <w:szCs w:val="24"/>
          <w:lang w:eastAsia="es-MX"/>
        </w:rPr>
        <w:t xml:space="preserve"> a</w:t>
      </w:r>
      <w:r w:rsidR="004E57C8">
        <w:rPr>
          <w:rFonts w:ascii="Arial" w:eastAsia="Times New Roman" w:hAnsi="Arial" w:cs="Arial"/>
          <w:color w:val="000000"/>
          <w:szCs w:val="24"/>
          <w:lang w:eastAsia="es-MX"/>
        </w:rPr>
        <w:t xml:space="preserve"> </w:t>
      </w:r>
      <w:r w:rsidR="00C41C8B" w:rsidRPr="00C41C8B">
        <w:rPr>
          <w:rFonts w:ascii="Arial" w:eastAsia="Times New Roman" w:hAnsi="Arial" w:cs="Arial"/>
          <w:color w:val="000000"/>
          <w:szCs w:val="24"/>
          <w:lang w:eastAsia="es-MX"/>
        </w:rPr>
        <w:t xml:space="preserve">los incentivos por vinculación de personas con discapacidad </w:t>
      </w:r>
      <w:r w:rsidR="009426F4">
        <w:rPr>
          <w:rFonts w:ascii="Arial" w:eastAsia="Times New Roman" w:hAnsi="Arial" w:cs="Arial"/>
          <w:color w:val="000000"/>
          <w:szCs w:val="24"/>
          <w:lang w:eastAsia="es-MX"/>
        </w:rPr>
        <w:t xml:space="preserve">y atendiendo a la </w:t>
      </w:r>
      <w:r w:rsidR="0022329E" w:rsidRPr="0022329E">
        <w:rPr>
          <w:rFonts w:ascii="Arial" w:eastAsia="Times New Roman" w:hAnsi="Arial" w:cs="Arial"/>
          <w:color w:val="000000"/>
          <w:szCs w:val="24"/>
          <w:lang w:eastAsia="es-MX"/>
        </w:rPr>
        <w:t xml:space="preserve">capacidad </w:t>
      </w:r>
      <w:r w:rsidR="0022329E">
        <w:rPr>
          <w:rFonts w:ascii="Arial" w:eastAsia="Times New Roman" w:hAnsi="Arial" w:cs="Arial"/>
          <w:color w:val="000000"/>
          <w:szCs w:val="24"/>
          <w:lang w:eastAsia="es-MX"/>
        </w:rPr>
        <w:t xml:space="preserve">jurídica del </w:t>
      </w:r>
      <w:r w:rsidR="0022329E" w:rsidRPr="0022329E">
        <w:rPr>
          <w:rFonts w:ascii="Arial" w:eastAsia="Times New Roman" w:hAnsi="Arial" w:cs="Arial"/>
          <w:color w:val="000000"/>
          <w:szCs w:val="24"/>
          <w:lang w:eastAsia="es-MX"/>
        </w:rPr>
        <w:t xml:space="preserve"> proponente extranjero</w:t>
      </w:r>
      <w:r w:rsidR="009426F4">
        <w:rPr>
          <w:rFonts w:ascii="Arial" w:eastAsia="Times New Roman" w:hAnsi="Arial" w:cs="Arial"/>
          <w:color w:val="000000"/>
          <w:szCs w:val="24"/>
          <w:lang w:eastAsia="es-MX"/>
        </w:rPr>
        <w:t>.</w:t>
      </w:r>
    </w:p>
    <w:p w14:paraId="300D8218" w14:textId="77777777" w:rsidR="004B07AB" w:rsidRPr="001E10C1" w:rsidRDefault="0073186E" w:rsidP="004B07AB">
      <w:pPr>
        <w:tabs>
          <w:tab w:val="left" w:pos="426"/>
          <w:tab w:val="left" w:pos="851"/>
        </w:tabs>
        <w:spacing w:after="0" w:line="276" w:lineRule="auto"/>
        <w:jc w:val="both"/>
        <w:rPr>
          <w:rFonts w:ascii="Arial" w:eastAsia="Times New Roman" w:hAnsi="Arial" w:cs="Arial"/>
          <w:b/>
          <w:bCs/>
          <w:color w:val="000000"/>
          <w:bdr w:val="none" w:sz="0" w:space="0" w:color="auto" w:frame="1"/>
          <w:lang w:eastAsia="es-MX"/>
        </w:rPr>
      </w:pPr>
      <w:r w:rsidRPr="0073186E">
        <w:rPr>
          <w:rFonts w:ascii="Arial" w:eastAsia="Calibri" w:hAnsi="Arial" w:cs="Arial"/>
          <w:color w:val="000000"/>
          <w:szCs w:val="24"/>
          <w:lang w:val="es-ES_tradnl" w:eastAsia="en-GB"/>
        </w:rPr>
        <w:t xml:space="preserve"> </w:t>
      </w:r>
      <w:r w:rsidR="004B07AB" w:rsidRPr="001E10C1">
        <w:rPr>
          <w:rFonts w:ascii="Arial" w:eastAsia="Times New Roman" w:hAnsi="Arial" w:cs="Arial"/>
          <w:b/>
          <w:bCs/>
          <w:color w:val="000000"/>
          <w:bdr w:val="none" w:sz="0" w:space="0" w:color="auto" w:frame="1"/>
          <w:lang w:eastAsia="es-MX"/>
        </w:rPr>
        <w:t>2.</w:t>
      </w:r>
      <w:r w:rsidR="004B07AB">
        <w:rPr>
          <w:rFonts w:ascii="Arial" w:eastAsia="Times New Roman" w:hAnsi="Arial" w:cs="Arial"/>
          <w:b/>
          <w:bCs/>
          <w:color w:val="000000"/>
          <w:bdr w:val="none" w:sz="0" w:space="0" w:color="auto" w:frame="1"/>
          <w:lang w:eastAsia="es-MX"/>
        </w:rPr>
        <w:t>3</w:t>
      </w:r>
      <w:r w:rsidR="004B07AB" w:rsidRPr="001E10C1">
        <w:rPr>
          <w:rFonts w:ascii="Arial" w:eastAsia="Times New Roman" w:hAnsi="Arial" w:cs="Arial"/>
          <w:b/>
          <w:bCs/>
          <w:color w:val="000000"/>
          <w:bdr w:val="none" w:sz="0" w:space="0" w:color="auto" w:frame="1"/>
          <w:lang w:eastAsia="es-MX"/>
        </w:rPr>
        <w:t xml:space="preserve">. Capacidad residual en procesos de contratación de obra pública  </w:t>
      </w:r>
    </w:p>
    <w:p w14:paraId="11449CAD" w14:textId="77777777" w:rsidR="004B07AB" w:rsidRPr="001E10C1" w:rsidRDefault="004B07AB" w:rsidP="004B07AB">
      <w:pPr>
        <w:widowControl w:val="0"/>
        <w:autoSpaceDE w:val="0"/>
        <w:autoSpaceDN w:val="0"/>
        <w:spacing w:after="0" w:line="276" w:lineRule="auto"/>
        <w:ind w:right="51"/>
        <w:jc w:val="both"/>
        <w:rPr>
          <w:rFonts w:ascii="Arial" w:eastAsia="Arial" w:hAnsi="Arial" w:cs="Arial"/>
        </w:rPr>
      </w:pPr>
    </w:p>
    <w:p w14:paraId="103B570B" w14:textId="77777777" w:rsidR="004B07AB" w:rsidRPr="001E10C1" w:rsidRDefault="004B07AB" w:rsidP="004B07AB">
      <w:pPr>
        <w:widowControl w:val="0"/>
        <w:autoSpaceDE w:val="0"/>
        <w:autoSpaceDN w:val="0"/>
        <w:spacing w:after="0" w:line="276" w:lineRule="auto"/>
        <w:jc w:val="both"/>
        <w:rPr>
          <w:rFonts w:ascii="Arial" w:eastAsia="Arial" w:hAnsi="Arial" w:cs="Arial"/>
        </w:rPr>
      </w:pPr>
      <w:bookmarkStart w:id="3" w:name="_Hlk145406952"/>
      <w:r w:rsidRPr="001E10C1">
        <w:rPr>
          <w:rFonts w:ascii="Arial" w:eastAsia="Arial" w:hAnsi="Arial" w:cs="Arial"/>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1E10C1">
        <w:rPr>
          <w:rFonts w:ascii="Arial" w:eastAsia="Arial" w:hAnsi="Arial" w:cs="Arial"/>
          <w:vertAlign w:val="superscript"/>
        </w:rPr>
        <w:footnoteReference w:id="6"/>
      </w:r>
      <w:r w:rsidRPr="001E10C1">
        <w:rPr>
          <w:rFonts w:ascii="Arial" w:eastAsia="Arial" w:hAnsi="Arial" w:cs="Arial"/>
        </w:rPr>
        <w:t xml:space="preserve">. El Consejo de Estado ha definido la capacidad residual como </w:t>
      </w:r>
      <w:r>
        <w:rPr>
          <w:rFonts w:ascii="Arial" w:eastAsia="Arial" w:hAnsi="Arial" w:cs="Arial"/>
        </w:rPr>
        <w:t>“</w:t>
      </w:r>
      <w:r w:rsidRPr="001E10C1">
        <w:rPr>
          <w:rFonts w:ascii="Arial" w:eastAsia="Arial" w:hAnsi="Arial" w:cs="Arial"/>
        </w:rPr>
        <w:t>la diferencia que existe entre el potencial de contratación que se tiene y los compromisos que haya adquirido y que se encuentren en ejecución, para la fecha de presentación de la oferta</w:t>
      </w:r>
      <w:r>
        <w:rPr>
          <w:rFonts w:ascii="Arial" w:eastAsia="Arial" w:hAnsi="Arial" w:cs="Arial"/>
        </w:rPr>
        <w:t>”</w:t>
      </w:r>
      <w:r w:rsidRPr="001E10C1">
        <w:rPr>
          <w:rFonts w:ascii="Arial" w:eastAsia="Arial" w:hAnsi="Arial" w:cs="Arial"/>
          <w:vertAlign w:val="superscript"/>
        </w:rPr>
        <w:footnoteReference w:id="7"/>
      </w:r>
      <w:r w:rsidRPr="001E10C1">
        <w:rPr>
          <w:rFonts w:ascii="Arial" w:eastAsia="Arial" w:hAnsi="Arial" w:cs="Arial"/>
        </w:rPr>
        <w:t>.</w:t>
      </w:r>
    </w:p>
    <w:bookmarkEnd w:id="3"/>
    <w:p w14:paraId="4F86EB54"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Teniendo en cuenta lo anterior, esta Agencia ha considerado que la capacidad residual hace referencia a la suficiencia que se predica del proponente para asumir nuevas obligaciones que se derivan del contrato objeto del proceso de contratación, en relación con las obligaciones que ha adquirido simultáneamente en contratos ya perfeccionados y en ejecución.</w:t>
      </w:r>
    </w:p>
    <w:p w14:paraId="05FEE769"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Al respecto, la Ley 1150 de 2007 establece que la capacidad residual de los interesados en participar en procesos de selección para contratos de obra pública deberá ser igual o superior a la que la entidad ha establecido en los pliegos de condiciones, en los siguientes términos:</w:t>
      </w:r>
    </w:p>
    <w:p w14:paraId="1F005E38" w14:textId="77777777" w:rsidR="004B07AB" w:rsidRPr="001E10C1" w:rsidRDefault="004B07AB" w:rsidP="004B07AB">
      <w:pPr>
        <w:widowControl w:val="0"/>
        <w:autoSpaceDE w:val="0"/>
        <w:autoSpaceDN w:val="0"/>
        <w:spacing w:after="0" w:line="240" w:lineRule="auto"/>
        <w:ind w:right="49"/>
        <w:rPr>
          <w:rFonts w:ascii="Arial" w:eastAsia="Arial" w:hAnsi="Arial" w:cs="Arial"/>
        </w:rPr>
      </w:pPr>
    </w:p>
    <w:p w14:paraId="6C2B5139" w14:textId="77777777" w:rsidR="004B07AB" w:rsidRPr="001E10C1" w:rsidRDefault="004B07AB" w:rsidP="004B07AB">
      <w:pPr>
        <w:widowControl w:val="0"/>
        <w:autoSpaceDE w:val="0"/>
        <w:autoSpaceDN w:val="0"/>
        <w:spacing w:after="0" w:line="240" w:lineRule="auto"/>
        <w:ind w:left="709" w:right="709"/>
        <w:jc w:val="both"/>
        <w:rPr>
          <w:rFonts w:ascii="Arial" w:eastAsia="Arial" w:hAnsi="Arial" w:cs="Arial"/>
          <w:sz w:val="21"/>
          <w:szCs w:val="21"/>
        </w:rPr>
      </w:pPr>
      <w:r>
        <w:rPr>
          <w:rFonts w:ascii="Arial" w:eastAsia="Calibri" w:hAnsi="Arial" w:cs="Arial"/>
          <w:color w:val="000000" w:themeColor="text1"/>
          <w:sz w:val="21"/>
          <w:szCs w:val="21"/>
          <w:lang w:val="es-ES"/>
        </w:rPr>
        <w:t>“</w:t>
      </w:r>
      <w:r w:rsidRPr="001E10C1">
        <w:rPr>
          <w:rFonts w:ascii="Arial" w:eastAsia="Arial" w:hAnsi="Arial" w:cs="Arial"/>
          <w:sz w:val="21"/>
          <w:szCs w:val="21"/>
        </w:rPr>
        <w:t xml:space="preserve">Artículo 6. De la verificación de las condiciones de los proponentes. Todas las </w:t>
      </w:r>
      <w:r w:rsidRPr="001E10C1">
        <w:rPr>
          <w:rFonts w:ascii="Arial" w:eastAsia="Arial" w:hAnsi="Arial" w:cs="Arial"/>
          <w:sz w:val="21"/>
          <w:szCs w:val="21"/>
        </w:rPr>
        <w:lastRenderedPageBreak/>
        <w:t>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1E10C1">
        <w:rPr>
          <w:rFonts w:ascii="Arial" w:eastAsia="Arial" w:hAnsi="Arial" w:cs="Arial"/>
          <w:spacing w:val="-3"/>
          <w:sz w:val="21"/>
          <w:szCs w:val="21"/>
        </w:rPr>
        <w:t xml:space="preserve"> </w:t>
      </w:r>
      <w:r w:rsidRPr="001E10C1">
        <w:rPr>
          <w:rFonts w:ascii="Arial" w:eastAsia="Arial" w:hAnsi="Arial" w:cs="Arial"/>
          <w:sz w:val="21"/>
          <w:szCs w:val="21"/>
        </w:rPr>
        <w:t>principal.</w:t>
      </w:r>
    </w:p>
    <w:p w14:paraId="54D7F177" w14:textId="77777777" w:rsidR="004B07AB" w:rsidRPr="001E10C1" w:rsidRDefault="004B07AB" w:rsidP="004B07AB">
      <w:pPr>
        <w:widowControl w:val="0"/>
        <w:autoSpaceDE w:val="0"/>
        <w:autoSpaceDN w:val="0"/>
        <w:spacing w:after="0" w:line="240" w:lineRule="auto"/>
        <w:ind w:left="709" w:right="709"/>
        <w:rPr>
          <w:rFonts w:ascii="Arial" w:eastAsia="Arial" w:hAnsi="Arial" w:cs="Arial"/>
          <w:sz w:val="21"/>
          <w:szCs w:val="21"/>
        </w:rPr>
      </w:pPr>
      <w:r w:rsidRPr="001E10C1">
        <w:rPr>
          <w:rFonts w:ascii="Arial" w:eastAsia="Arial" w:hAnsi="Arial" w:cs="Arial"/>
          <w:sz w:val="21"/>
          <w:szCs w:val="21"/>
        </w:rPr>
        <w:t>(…)</w:t>
      </w:r>
    </w:p>
    <w:p w14:paraId="7B574283" w14:textId="77777777" w:rsidR="004B07AB" w:rsidRPr="001E10C1" w:rsidRDefault="004B07AB" w:rsidP="004B07AB">
      <w:pPr>
        <w:widowControl w:val="0"/>
        <w:autoSpaceDE w:val="0"/>
        <w:autoSpaceDN w:val="0"/>
        <w:spacing w:before="2" w:after="0" w:line="240" w:lineRule="auto"/>
        <w:ind w:left="709" w:right="709"/>
        <w:rPr>
          <w:rFonts w:ascii="Arial" w:eastAsia="Arial" w:hAnsi="Arial" w:cs="Arial"/>
          <w:sz w:val="21"/>
          <w:szCs w:val="21"/>
        </w:rPr>
      </w:pPr>
    </w:p>
    <w:p w14:paraId="5D9F8516" w14:textId="77777777" w:rsidR="004B07AB" w:rsidRPr="001E10C1" w:rsidRDefault="004B07AB" w:rsidP="004B07AB">
      <w:pPr>
        <w:widowControl w:val="0"/>
        <w:autoSpaceDE w:val="0"/>
        <w:autoSpaceDN w:val="0"/>
        <w:spacing w:after="0" w:line="240" w:lineRule="auto"/>
        <w:ind w:left="709" w:right="709"/>
        <w:jc w:val="both"/>
        <w:rPr>
          <w:rFonts w:ascii="Arial" w:eastAsia="Arial" w:hAnsi="Arial" w:cs="Arial"/>
        </w:rPr>
      </w:pPr>
      <w:r w:rsidRPr="001E10C1">
        <w:rPr>
          <w:rFonts w:ascii="Arial" w:eastAsia="Arial" w:hAnsi="Arial" w:cs="Arial"/>
          <w:sz w:val="21"/>
          <w:szCs w:val="21"/>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r w:rsidRPr="001E10C1">
        <w:rPr>
          <w:rFonts w:ascii="Arial" w:eastAsia="Arial" w:hAnsi="Arial" w:cs="Arial"/>
        </w:rPr>
        <w:t>.</w:t>
      </w:r>
      <w:r>
        <w:rPr>
          <w:rFonts w:ascii="Arial" w:eastAsia="Calibri" w:hAnsi="Arial" w:cs="Arial"/>
          <w:color w:val="000000" w:themeColor="text1"/>
          <w:sz w:val="21"/>
          <w:szCs w:val="21"/>
          <w:lang w:val="es-ES"/>
        </w:rPr>
        <w:t>”</w:t>
      </w:r>
    </w:p>
    <w:p w14:paraId="4BC1939A" w14:textId="77777777" w:rsidR="004B07AB" w:rsidRPr="001E10C1" w:rsidRDefault="004B07AB" w:rsidP="004B07AB">
      <w:pPr>
        <w:widowControl w:val="0"/>
        <w:autoSpaceDE w:val="0"/>
        <w:autoSpaceDN w:val="0"/>
        <w:spacing w:after="0" w:line="240" w:lineRule="auto"/>
        <w:ind w:right="49"/>
        <w:rPr>
          <w:rFonts w:ascii="Arial" w:eastAsia="Arial" w:hAnsi="Arial" w:cs="Arial"/>
        </w:rPr>
      </w:pPr>
    </w:p>
    <w:p w14:paraId="5C486963" w14:textId="77777777" w:rsidR="004B07AB" w:rsidRPr="001E10C1" w:rsidRDefault="004B07AB" w:rsidP="004B07AB">
      <w:pPr>
        <w:widowControl w:val="0"/>
        <w:autoSpaceDE w:val="0"/>
        <w:autoSpaceDN w:val="0"/>
        <w:spacing w:before="1" w:after="0" w:line="276" w:lineRule="auto"/>
        <w:ind w:firstLine="709"/>
        <w:jc w:val="both"/>
        <w:rPr>
          <w:rFonts w:ascii="Arial" w:eastAsia="Arial" w:hAnsi="Arial" w:cs="Arial"/>
        </w:rPr>
      </w:pPr>
      <w:r w:rsidRPr="001E10C1">
        <w:rPr>
          <w:rFonts w:ascii="Arial" w:eastAsia="Arial" w:hAnsi="Arial" w:cs="Arial"/>
        </w:rPr>
        <w:t xml:space="preserve">A su turno, el artículo 72 de la Ley 1682 de 2013, por la cual se adoptan medidas y disposiciones para los proyectos de infraestructura de transporte, establece que la </w:t>
      </w:r>
      <w:r>
        <w:rPr>
          <w:rFonts w:ascii="Arial" w:eastAsia="Arial" w:hAnsi="Arial" w:cs="Arial"/>
        </w:rPr>
        <w:t>“</w:t>
      </w:r>
      <w:r w:rsidRPr="001E10C1">
        <w:rPr>
          <w:rFonts w:ascii="Arial" w:eastAsia="Arial" w:hAnsi="Arial" w:cs="Arial"/>
        </w:rPr>
        <w:t>capacidad residual de contratación cuando se realicen contratos de obra pública se obtendrá de sustraer de la capacidad de contratación, el saldo del valor de los contratos en ejecución</w:t>
      </w:r>
      <w:r>
        <w:rPr>
          <w:rFonts w:ascii="Arial" w:eastAsia="Arial" w:hAnsi="Arial" w:cs="Arial"/>
        </w:rPr>
        <w:t>”</w:t>
      </w:r>
      <w:r w:rsidRPr="001E10C1">
        <w:rPr>
          <w:rFonts w:ascii="Arial" w:eastAsia="Arial" w:hAnsi="Arial" w:cs="Arial"/>
        </w:rPr>
        <w:t xml:space="preserve">. La </w:t>
      </w:r>
      <w:r>
        <w:rPr>
          <w:rFonts w:ascii="Arial" w:eastAsia="Arial" w:hAnsi="Arial" w:cs="Arial"/>
        </w:rPr>
        <w:t>“</w:t>
      </w:r>
      <w:r w:rsidRPr="001E10C1">
        <w:rPr>
          <w:rFonts w:ascii="Arial" w:eastAsia="Arial" w:hAnsi="Arial" w:cs="Arial"/>
        </w:rPr>
        <w:t>capacidad de contratación</w:t>
      </w:r>
      <w:r>
        <w:rPr>
          <w:rFonts w:ascii="Arial" w:eastAsia="Arial" w:hAnsi="Arial" w:cs="Arial"/>
        </w:rPr>
        <w:t>”</w:t>
      </w:r>
      <w:r w:rsidRPr="001E10C1">
        <w:rPr>
          <w:rFonts w:ascii="Arial" w:eastAsia="Arial" w:hAnsi="Arial" w:cs="Arial"/>
        </w:rPr>
        <w:t xml:space="preserve">, según se lee en la misma disposición, </w:t>
      </w:r>
      <w:r>
        <w:rPr>
          <w:rFonts w:ascii="Arial" w:eastAsia="Arial" w:hAnsi="Arial" w:cs="Arial"/>
        </w:rPr>
        <w:t>“</w:t>
      </w:r>
      <w:r w:rsidRPr="001E10C1">
        <w:rPr>
          <w:rFonts w:ascii="Arial" w:eastAsia="Arial" w:hAnsi="Arial" w:cs="Arial"/>
        </w:rPr>
        <w:t>[…] se deberá calcular mediante la evaluación de los siguientes factores: Experiencia (E), Capacidad Financiera (CF), Capacidad Técnica (CT), y Capacidad de Organización (CO)</w:t>
      </w:r>
      <w:r>
        <w:rPr>
          <w:rFonts w:ascii="Arial" w:eastAsia="Arial" w:hAnsi="Arial" w:cs="Arial"/>
        </w:rPr>
        <w:t>”</w:t>
      </w:r>
      <w:r w:rsidRPr="001E10C1">
        <w:rPr>
          <w:rFonts w:ascii="Arial" w:eastAsia="Arial" w:hAnsi="Arial" w:cs="Arial"/>
        </w:rPr>
        <w:t>.</w:t>
      </w:r>
    </w:p>
    <w:p w14:paraId="60FFF120"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 xml:space="preserve">Por su parte, el artículo 2.2.1.1.1.6.4 del Decreto 1082 de 2015 dispuso que las entidades estatales deben calcular la capacidad residual conforme a la metodología definida por Colombia Compra Eficiente y precisó que, para tales fines, resulta necesario tener en cuenta los factores de: i) experiencia; ii) capacidad financiera; </w:t>
      </w:r>
      <w:proofErr w:type="spellStart"/>
      <w:r w:rsidRPr="001E10C1">
        <w:rPr>
          <w:rFonts w:ascii="Arial" w:eastAsia="Arial" w:hAnsi="Arial" w:cs="Arial"/>
        </w:rPr>
        <w:t>iii</w:t>
      </w:r>
      <w:proofErr w:type="spellEnd"/>
      <w:r w:rsidRPr="001E10C1">
        <w:rPr>
          <w:rFonts w:ascii="Arial" w:eastAsia="Arial" w:hAnsi="Arial" w:cs="Arial"/>
        </w:rPr>
        <w:t>) capacidad técnica; iv) capacidad de organización; y v) los saldos de los contratos en ejecución, así:</w:t>
      </w:r>
    </w:p>
    <w:p w14:paraId="55D2439F" w14:textId="77777777" w:rsidR="004B07AB" w:rsidRPr="001E10C1" w:rsidRDefault="004B07AB" w:rsidP="004B07AB">
      <w:pPr>
        <w:widowControl w:val="0"/>
        <w:autoSpaceDE w:val="0"/>
        <w:autoSpaceDN w:val="0"/>
        <w:spacing w:before="8" w:after="0" w:line="240" w:lineRule="auto"/>
        <w:ind w:right="49"/>
        <w:rPr>
          <w:rFonts w:ascii="Arial" w:eastAsia="Arial" w:hAnsi="Arial" w:cs="Arial"/>
        </w:rPr>
      </w:pPr>
    </w:p>
    <w:p w14:paraId="7E791348" w14:textId="77777777" w:rsidR="004B07AB" w:rsidRPr="001E10C1" w:rsidRDefault="004B07AB" w:rsidP="004B07AB">
      <w:pPr>
        <w:widowControl w:val="0"/>
        <w:autoSpaceDE w:val="0"/>
        <w:autoSpaceDN w:val="0"/>
        <w:spacing w:after="0" w:line="240" w:lineRule="auto"/>
        <w:ind w:left="709" w:right="709"/>
        <w:jc w:val="both"/>
        <w:rPr>
          <w:rFonts w:ascii="Arial" w:eastAsia="Arial" w:hAnsi="Arial" w:cs="Arial"/>
          <w:sz w:val="21"/>
          <w:szCs w:val="21"/>
        </w:rPr>
      </w:pPr>
      <w:r>
        <w:rPr>
          <w:rFonts w:ascii="Arial" w:eastAsia="Calibri" w:hAnsi="Arial" w:cs="Arial"/>
          <w:color w:val="000000" w:themeColor="text1"/>
          <w:sz w:val="21"/>
          <w:szCs w:val="21"/>
          <w:lang w:val="es-ES"/>
        </w:rPr>
        <w:t>“</w:t>
      </w:r>
      <w:r w:rsidRPr="001E10C1">
        <w:rPr>
          <w:rFonts w:ascii="Arial" w:eastAsia="Arial" w:hAnsi="Arial" w:cs="Arial"/>
          <w:sz w:val="21"/>
          <w:szCs w:val="21"/>
        </w:rPr>
        <w:t>Artículo 2.2.1.1.1.6.4. Capacidad Residual. El interesado en celebrar contratos de obra pública con Entidades Estatales debe acreditar su Capacidad Residual o K de Contratación con los siguientes documentos: (…)</w:t>
      </w:r>
    </w:p>
    <w:p w14:paraId="05E5C046" w14:textId="77777777" w:rsidR="004B07AB" w:rsidRPr="001E10C1" w:rsidRDefault="004B07AB" w:rsidP="004B07AB">
      <w:pPr>
        <w:widowControl w:val="0"/>
        <w:autoSpaceDE w:val="0"/>
        <w:autoSpaceDN w:val="0"/>
        <w:spacing w:after="0" w:line="240" w:lineRule="auto"/>
        <w:ind w:left="709" w:right="760"/>
        <w:rPr>
          <w:rFonts w:ascii="Arial" w:eastAsia="Arial" w:hAnsi="Arial" w:cs="Arial"/>
          <w:sz w:val="21"/>
          <w:szCs w:val="21"/>
        </w:rPr>
      </w:pPr>
    </w:p>
    <w:p w14:paraId="5A0DEE82" w14:textId="77777777" w:rsidR="004B07AB" w:rsidRPr="001E10C1" w:rsidRDefault="004B07AB" w:rsidP="004B07AB">
      <w:pPr>
        <w:widowControl w:val="0"/>
        <w:autoSpaceDE w:val="0"/>
        <w:autoSpaceDN w:val="0"/>
        <w:spacing w:after="0" w:line="240" w:lineRule="auto"/>
        <w:ind w:left="709" w:right="709"/>
        <w:jc w:val="both"/>
        <w:rPr>
          <w:rFonts w:ascii="Arial" w:eastAsia="Arial" w:hAnsi="Arial" w:cs="Arial"/>
        </w:rPr>
      </w:pPr>
      <w:r w:rsidRPr="001E10C1">
        <w:rPr>
          <w:rFonts w:ascii="Arial" w:eastAsia="Arial" w:hAnsi="Arial" w:cs="Arial"/>
          <w:sz w:val="21"/>
          <w:szCs w:val="21"/>
        </w:rPr>
        <w:t>La Entidad Estatal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r>
        <w:rPr>
          <w:rFonts w:ascii="Arial" w:eastAsia="Calibri" w:hAnsi="Arial" w:cs="Arial"/>
          <w:color w:val="000000" w:themeColor="text1"/>
          <w:sz w:val="21"/>
          <w:szCs w:val="21"/>
          <w:lang w:val="es-ES"/>
        </w:rPr>
        <w:t>”</w:t>
      </w:r>
    </w:p>
    <w:p w14:paraId="6383CA17" w14:textId="77777777" w:rsidR="004B07AB" w:rsidRPr="001E10C1" w:rsidRDefault="004B07AB" w:rsidP="004B07AB">
      <w:pPr>
        <w:widowControl w:val="0"/>
        <w:autoSpaceDE w:val="0"/>
        <w:autoSpaceDN w:val="0"/>
        <w:spacing w:after="0" w:line="240" w:lineRule="auto"/>
        <w:ind w:right="49"/>
        <w:rPr>
          <w:rFonts w:ascii="Arial" w:eastAsia="Arial" w:hAnsi="Arial" w:cs="Arial"/>
        </w:rPr>
      </w:pPr>
    </w:p>
    <w:p w14:paraId="51ECBE87" w14:textId="77777777" w:rsidR="004B07AB" w:rsidRPr="001E10C1" w:rsidRDefault="004B07AB" w:rsidP="004B07AB">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 xml:space="preserve">De conformidad con lo anterior, esta Agencia expidió la </w:t>
      </w:r>
      <w:r>
        <w:rPr>
          <w:rFonts w:ascii="Arial" w:eastAsia="Arial" w:hAnsi="Arial" w:cs="Arial"/>
        </w:rPr>
        <w:t>“</w:t>
      </w:r>
      <w:r w:rsidRPr="001E10C1">
        <w:rPr>
          <w:rFonts w:ascii="Arial" w:eastAsia="Arial" w:hAnsi="Arial" w:cs="Arial"/>
        </w:rPr>
        <w:t>Guía para Determinar y Verificar la Capacidad Residual del Proponente en los Procesos de Contratación de Obra Pública</w:t>
      </w:r>
      <w:r>
        <w:rPr>
          <w:rFonts w:ascii="Arial" w:eastAsia="Arial" w:hAnsi="Arial" w:cs="Arial"/>
        </w:rPr>
        <w:t>”</w:t>
      </w:r>
      <w:r w:rsidRPr="001E10C1">
        <w:rPr>
          <w:rFonts w:ascii="Arial" w:eastAsia="Arial" w:hAnsi="Arial" w:cs="Arial"/>
        </w:rPr>
        <w:t xml:space="preserve">. En este documento se establece, entre otras cuestiones, que a la entidad contratante le corresponde, primero, establecer la capacidad residual del proceso de contratación </w:t>
      </w:r>
      <w:r>
        <w:rPr>
          <w:rFonts w:ascii="Arial" w:eastAsia="Arial" w:hAnsi="Arial" w:cs="Arial"/>
        </w:rPr>
        <w:t>“</w:t>
      </w:r>
      <w:r w:rsidRPr="001E10C1">
        <w:rPr>
          <w:rFonts w:ascii="Arial" w:eastAsia="Arial" w:hAnsi="Arial" w:cs="Arial"/>
        </w:rPr>
        <w:t>CRPC</w:t>
      </w:r>
      <w:r>
        <w:rPr>
          <w:rFonts w:ascii="Arial" w:eastAsia="Arial" w:hAnsi="Arial" w:cs="Arial"/>
        </w:rPr>
        <w:t>”</w:t>
      </w:r>
      <w:r w:rsidRPr="001E10C1">
        <w:rPr>
          <w:rFonts w:ascii="Arial" w:eastAsia="Arial" w:hAnsi="Arial" w:cs="Arial"/>
        </w:rPr>
        <w:t xml:space="preserve"> y, segundo, determinar si los proponentes cumplen con la capacidad residual del proceso de contratación, claro está, teniendo en cuenta la siguiente información aportada por el proponente:</w:t>
      </w:r>
    </w:p>
    <w:p w14:paraId="025629A6" w14:textId="77777777" w:rsidR="004B07AB" w:rsidRPr="001E10C1" w:rsidRDefault="004B07AB" w:rsidP="004B07AB">
      <w:pPr>
        <w:widowControl w:val="0"/>
        <w:autoSpaceDE w:val="0"/>
        <w:autoSpaceDN w:val="0"/>
        <w:spacing w:after="0" w:line="240" w:lineRule="auto"/>
        <w:ind w:left="709" w:right="760"/>
        <w:jc w:val="both"/>
        <w:rPr>
          <w:rFonts w:ascii="Arial" w:eastAsia="Arial" w:hAnsi="Arial" w:cs="Arial"/>
        </w:rPr>
      </w:pPr>
    </w:p>
    <w:p w14:paraId="3E88684C" w14:textId="77777777" w:rsidR="004B07AB" w:rsidRPr="001E10C1" w:rsidRDefault="004B07AB" w:rsidP="004B07AB">
      <w:pPr>
        <w:widowControl w:val="0"/>
        <w:numPr>
          <w:ilvl w:val="0"/>
          <w:numId w:val="11"/>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 xml:space="preserve">La lista de los Contratos en Ejecución, así como el valor y plazo de tales </w:t>
      </w:r>
      <w:r w:rsidRPr="001E10C1">
        <w:rPr>
          <w:rFonts w:ascii="Arial" w:eastAsia="Arial" w:hAnsi="Arial" w:cs="Arial"/>
        </w:rPr>
        <w:lastRenderedPageBreak/>
        <w:t>contratos.</w:t>
      </w:r>
    </w:p>
    <w:p w14:paraId="1215FEC9" w14:textId="77777777" w:rsidR="004B07AB" w:rsidRPr="001E10C1" w:rsidRDefault="004B07AB" w:rsidP="004B07AB">
      <w:pPr>
        <w:widowControl w:val="0"/>
        <w:tabs>
          <w:tab w:val="left" w:pos="993"/>
        </w:tabs>
        <w:autoSpaceDE w:val="0"/>
        <w:autoSpaceDN w:val="0"/>
        <w:spacing w:after="0" w:line="240" w:lineRule="auto"/>
        <w:ind w:left="709" w:right="709"/>
        <w:jc w:val="both"/>
        <w:rPr>
          <w:rFonts w:ascii="Arial" w:eastAsia="Arial" w:hAnsi="Arial" w:cs="Arial"/>
        </w:rPr>
      </w:pPr>
    </w:p>
    <w:p w14:paraId="70DC20F6" w14:textId="77777777" w:rsidR="004B07AB" w:rsidRPr="001E10C1" w:rsidRDefault="004B07AB" w:rsidP="004B07AB">
      <w:pPr>
        <w:widowControl w:val="0"/>
        <w:numPr>
          <w:ilvl w:val="0"/>
          <w:numId w:val="11"/>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La lista de los Contratos en Ejecución, suscritos por sociedades, consorcios o uniones temporales, en los cuales el proponente tenga participación, así como el valor y plazo de tales contratos.</w:t>
      </w:r>
    </w:p>
    <w:p w14:paraId="47E96332" w14:textId="77777777" w:rsidR="004B07AB" w:rsidRPr="001E10C1" w:rsidRDefault="004B07AB" w:rsidP="004B07AB">
      <w:pPr>
        <w:widowControl w:val="0"/>
        <w:tabs>
          <w:tab w:val="left" w:pos="993"/>
        </w:tabs>
        <w:autoSpaceDE w:val="0"/>
        <w:autoSpaceDN w:val="0"/>
        <w:spacing w:after="0" w:line="240" w:lineRule="auto"/>
        <w:ind w:right="709"/>
        <w:jc w:val="both"/>
        <w:rPr>
          <w:rFonts w:ascii="Arial" w:eastAsia="Arial" w:hAnsi="Arial" w:cs="Arial"/>
        </w:rPr>
      </w:pPr>
    </w:p>
    <w:p w14:paraId="5F8F494F" w14:textId="77777777" w:rsidR="004B07AB" w:rsidRPr="001E10C1" w:rsidRDefault="004B07AB" w:rsidP="004B07AB">
      <w:pPr>
        <w:widowControl w:val="0"/>
        <w:numPr>
          <w:ilvl w:val="0"/>
          <w:numId w:val="11"/>
        </w:numPr>
        <w:tabs>
          <w:tab w:val="left" w:pos="993"/>
        </w:tabs>
        <w:autoSpaceDE w:val="0"/>
        <w:autoSpaceDN w:val="0"/>
        <w:spacing w:after="0" w:line="240" w:lineRule="auto"/>
        <w:ind w:left="709" w:right="709"/>
        <w:jc w:val="both"/>
        <w:rPr>
          <w:rFonts w:ascii="Arial" w:eastAsia="Arial" w:hAnsi="Arial" w:cs="Arial"/>
        </w:rPr>
      </w:pPr>
      <w:r w:rsidRPr="001E10C1">
        <w:rPr>
          <w:rFonts w:ascii="Arial" w:eastAsia="Arial" w:hAnsi="Arial" w:cs="Arial"/>
        </w:rPr>
        <w:t>El estado de resultados auditado que contiene el mejor ingreso operacional de los últimos cinco (5) años y el balance general auditado del último año, suscrito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que contiene el mejor ingreso operacional de los últimos cinco (5) años puesto que la información de la liquidez se encuentra en el RUP.</w:t>
      </w:r>
    </w:p>
    <w:p w14:paraId="16FC34DE" w14:textId="77777777" w:rsidR="004B07AB" w:rsidRPr="001E10C1" w:rsidRDefault="004B07AB" w:rsidP="004B07AB">
      <w:pPr>
        <w:widowControl w:val="0"/>
        <w:autoSpaceDE w:val="0"/>
        <w:autoSpaceDN w:val="0"/>
        <w:spacing w:after="0" w:line="276" w:lineRule="auto"/>
        <w:ind w:right="51" w:firstLine="709"/>
        <w:jc w:val="both"/>
        <w:rPr>
          <w:rFonts w:ascii="Arial" w:eastAsia="Arial" w:hAnsi="Arial" w:cs="Arial"/>
        </w:rPr>
      </w:pPr>
    </w:p>
    <w:p w14:paraId="6484E1F7" w14:textId="77777777" w:rsidR="004B07AB" w:rsidRPr="001E10C1" w:rsidRDefault="004B07AB" w:rsidP="004B07AB">
      <w:pPr>
        <w:widowControl w:val="0"/>
        <w:autoSpaceDE w:val="0"/>
        <w:autoSpaceDN w:val="0"/>
        <w:spacing w:after="0" w:line="276" w:lineRule="auto"/>
        <w:ind w:firstLine="709"/>
        <w:jc w:val="both"/>
        <w:rPr>
          <w:rFonts w:ascii="Arial" w:eastAsia="Arial" w:hAnsi="Arial" w:cs="Arial"/>
        </w:rPr>
      </w:pPr>
      <w:r w:rsidRPr="001E10C1">
        <w:rPr>
          <w:rFonts w:ascii="Arial" w:eastAsia="Arial" w:hAnsi="Arial" w:cs="Arial"/>
        </w:rPr>
        <w:t xml:space="preserve">Ahora bien, para lo primero, esto es, para establecer la capacidad residual del proceso de contratación </w:t>
      </w:r>
      <w:r>
        <w:rPr>
          <w:rFonts w:ascii="Arial" w:eastAsia="Arial" w:hAnsi="Arial" w:cs="Arial"/>
        </w:rPr>
        <w:t>“</w:t>
      </w:r>
      <w:r w:rsidRPr="001E10C1">
        <w:rPr>
          <w:rFonts w:ascii="Arial" w:eastAsia="Arial" w:hAnsi="Arial" w:cs="Arial"/>
        </w:rPr>
        <w:t>CRPC</w:t>
      </w:r>
      <w:r>
        <w:rPr>
          <w:rFonts w:ascii="Arial" w:eastAsia="Arial" w:hAnsi="Arial" w:cs="Arial"/>
        </w:rPr>
        <w:t>”</w:t>
      </w:r>
      <w:r w:rsidRPr="001E10C1">
        <w:rPr>
          <w:rFonts w:ascii="Arial" w:eastAsia="Arial" w:hAnsi="Arial" w:cs="Arial"/>
        </w:rPr>
        <w:t>, se debe determinar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58DDBF35"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 xml:space="preserve">Para lo segundo, es decir, para verificar que cada proponente cumple con la CRPC, la entidad pública debe verificar que la capacidad residual del proponente </w:t>
      </w:r>
      <w:r>
        <w:rPr>
          <w:rFonts w:ascii="Arial" w:eastAsia="Arial" w:hAnsi="Arial" w:cs="Arial"/>
        </w:rPr>
        <w:t>“</w:t>
      </w:r>
      <w:r w:rsidRPr="001E10C1">
        <w:rPr>
          <w:rFonts w:ascii="Arial" w:eastAsia="Arial" w:hAnsi="Arial" w:cs="Arial"/>
        </w:rPr>
        <w:t>CRP</w:t>
      </w:r>
      <w:r>
        <w:rPr>
          <w:rFonts w:ascii="Arial" w:eastAsia="Arial" w:hAnsi="Arial" w:cs="Arial"/>
        </w:rPr>
        <w:t>”</w:t>
      </w:r>
      <w:r w:rsidRPr="001E10C1">
        <w:rPr>
          <w:rFonts w:ascii="Arial" w:eastAsia="Arial" w:hAnsi="Arial" w:cs="Arial"/>
        </w:rPr>
        <w:t xml:space="preserve"> sea igual o superior a la capacidad referida en el párrafo precedente. De todas formas, previamente debe establecer la CRP, con fundamento en los siguientes factores: i) experiencia </w:t>
      </w:r>
      <w:r>
        <w:rPr>
          <w:rFonts w:ascii="Arial" w:eastAsia="Arial" w:hAnsi="Arial" w:cs="Arial"/>
        </w:rPr>
        <w:t>“</w:t>
      </w:r>
      <w:r w:rsidRPr="001E10C1">
        <w:rPr>
          <w:rFonts w:ascii="Arial" w:eastAsia="Arial" w:hAnsi="Arial" w:cs="Arial"/>
        </w:rPr>
        <w:t>E</w:t>
      </w:r>
      <w:r>
        <w:rPr>
          <w:rFonts w:ascii="Arial" w:eastAsia="Arial" w:hAnsi="Arial" w:cs="Arial"/>
        </w:rPr>
        <w:t>”</w:t>
      </w:r>
      <w:r w:rsidRPr="001E10C1">
        <w:rPr>
          <w:rFonts w:ascii="Arial" w:eastAsia="Arial" w:hAnsi="Arial" w:cs="Arial"/>
        </w:rPr>
        <w:t xml:space="preserve">; ii) capacidad financiera </w:t>
      </w:r>
      <w:r>
        <w:rPr>
          <w:rFonts w:ascii="Arial" w:eastAsia="Arial" w:hAnsi="Arial" w:cs="Arial"/>
        </w:rPr>
        <w:t>“</w:t>
      </w:r>
      <w:r w:rsidRPr="001E10C1">
        <w:rPr>
          <w:rFonts w:ascii="Arial" w:eastAsia="Arial" w:hAnsi="Arial" w:cs="Arial"/>
        </w:rPr>
        <w:t>CF</w:t>
      </w:r>
      <w:r>
        <w:rPr>
          <w:rFonts w:ascii="Arial" w:eastAsia="Arial" w:hAnsi="Arial" w:cs="Arial"/>
        </w:rPr>
        <w:t>”</w:t>
      </w:r>
      <w:r w:rsidRPr="001E10C1">
        <w:rPr>
          <w:rFonts w:ascii="Arial" w:eastAsia="Arial" w:hAnsi="Arial" w:cs="Arial"/>
        </w:rPr>
        <w:t xml:space="preserve">; </w:t>
      </w:r>
      <w:proofErr w:type="spellStart"/>
      <w:r w:rsidRPr="001E10C1">
        <w:rPr>
          <w:rFonts w:ascii="Arial" w:eastAsia="Arial" w:hAnsi="Arial" w:cs="Arial"/>
        </w:rPr>
        <w:t>iii</w:t>
      </w:r>
      <w:proofErr w:type="spellEnd"/>
      <w:r w:rsidRPr="001E10C1">
        <w:rPr>
          <w:rFonts w:ascii="Arial" w:eastAsia="Arial" w:hAnsi="Arial" w:cs="Arial"/>
        </w:rPr>
        <w:t xml:space="preserve">) capacidad técnica </w:t>
      </w:r>
      <w:r>
        <w:rPr>
          <w:rFonts w:ascii="Arial" w:eastAsia="Arial" w:hAnsi="Arial" w:cs="Arial"/>
        </w:rPr>
        <w:t>“</w:t>
      </w:r>
      <w:r w:rsidRPr="001E10C1">
        <w:rPr>
          <w:rFonts w:ascii="Arial" w:eastAsia="Arial" w:hAnsi="Arial" w:cs="Arial"/>
        </w:rPr>
        <w:t>CT</w:t>
      </w:r>
      <w:r>
        <w:rPr>
          <w:rFonts w:ascii="Arial" w:eastAsia="Arial" w:hAnsi="Arial" w:cs="Arial"/>
        </w:rPr>
        <w:t>”</w:t>
      </w:r>
      <w:r w:rsidRPr="001E10C1">
        <w:rPr>
          <w:rFonts w:ascii="Arial" w:eastAsia="Arial" w:hAnsi="Arial" w:cs="Arial"/>
        </w:rPr>
        <w:t xml:space="preserve">, iv) capacidad de organización </w:t>
      </w:r>
      <w:r>
        <w:rPr>
          <w:rFonts w:ascii="Arial" w:eastAsia="Arial" w:hAnsi="Arial" w:cs="Arial"/>
        </w:rPr>
        <w:t>“</w:t>
      </w:r>
      <w:r w:rsidRPr="001E10C1">
        <w:rPr>
          <w:rFonts w:ascii="Arial" w:eastAsia="Arial" w:hAnsi="Arial" w:cs="Arial"/>
        </w:rPr>
        <w:t>CO</w:t>
      </w:r>
      <w:r>
        <w:rPr>
          <w:rFonts w:ascii="Arial" w:eastAsia="Arial" w:hAnsi="Arial" w:cs="Arial"/>
        </w:rPr>
        <w:t>”</w:t>
      </w:r>
      <w:r w:rsidRPr="001E10C1">
        <w:rPr>
          <w:rFonts w:ascii="Arial" w:eastAsia="Arial" w:hAnsi="Arial" w:cs="Arial"/>
        </w:rPr>
        <w:t xml:space="preserve">; y v) los saldos de los contratos en ejecución </w:t>
      </w:r>
      <w:r>
        <w:rPr>
          <w:rFonts w:ascii="Arial" w:eastAsia="Arial" w:hAnsi="Arial" w:cs="Arial"/>
        </w:rPr>
        <w:t>“</w:t>
      </w:r>
      <w:r w:rsidRPr="001E10C1">
        <w:rPr>
          <w:rFonts w:ascii="Arial" w:eastAsia="Arial" w:hAnsi="Arial" w:cs="Arial"/>
        </w:rPr>
        <w:t>SCE</w:t>
      </w:r>
      <w:r>
        <w:rPr>
          <w:rFonts w:ascii="Arial" w:eastAsia="Arial" w:hAnsi="Arial" w:cs="Arial"/>
        </w:rPr>
        <w:t>”</w:t>
      </w:r>
      <w:r w:rsidRPr="001E10C1">
        <w:rPr>
          <w:rFonts w:ascii="Arial" w:eastAsia="Arial" w:hAnsi="Arial" w:cs="Arial"/>
        </w:rPr>
        <w:t>, según la siguiente fórmula:</w:t>
      </w:r>
    </w:p>
    <w:p w14:paraId="4DFD4578" w14:textId="77777777" w:rsidR="004B07AB" w:rsidRPr="001E10C1" w:rsidRDefault="004B07AB" w:rsidP="004B07AB">
      <w:pPr>
        <w:widowControl w:val="0"/>
        <w:tabs>
          <w:tab w:val="left" w:pos="709"/>
          <w:tab w:val="left" w:pos="8080"/>
        </w:tabs>
        <w:autoSpaceDE w:val="0"/>
        <w:autoSpaceDN w:val="0"/>
        <w:spacing w:before="10" w:after="0" w:line="240" w:lineRule="auto"/>
        <w:ind w:right="49"/>
        <w:rPr>
          <w:rFonts w:ascii="Arial" w:eastAsia="Arial" w:hAnsi="Arial" w:cs="Arial"/>
        </w:rPr>
      </w:pPr>
      <w:r w:rsidRPr="001E10C1">
        <w:rPr>
          <w:rFonts w:ascii="Arial" w:eastAsia="Arial" w:hAnsi="Arial" w:cs="Arial"/>
          <w:noProof/>
          <w:lang w:eastAsia="es-ES_tradnl"/>
        </w:rPr>
        <w:drawing>
          <wp:anchor distT="0" distB="0" distL="0" distR="0" simplePos="0" relativeHeight="251658240" behindDoc="0" locked="0" layoutInCell="1" allowOverlap="1" wp14:anchorId="0EC0745C" wp14:editId="083CAACB">
            <wp:simplePos x="0" y="0"/>
            <wp:positionH relativeFrom="page">
              <wp:posOffset>1545590</wp:posOffset>
            </wp:positionH>
            <wp:positionV relativeFrom="paragraph">
              <wp:posOffset>160655</wp:posOffset>
            </wp:positionV>
            <wp:extent cx="4638040" cy="674370"/>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2" cstate="print"/>
                    <a:stretch>
                      <a:fillRect/>
                    </a:stretch>
                  </pic:blipFill>
                  <pic:spPr>
                    <a:xfrm>
                      <a:off x="0" y="0"/>
                      <a:ext cx="4638040" cy="674370"/>
                    </a:xfrm>
                    <a:prstGeom prst="rect">
                      <a:avLst/>
                    </a:prstGeom>
                  </pic:spPr>
                </pic:pic>
              </a:graphicData>
            </a:graphic>
            <wp14:sizeRelH relativeFrom="margin">
              <wp14:pctWidth>0</wp14:pctWidth>
            </wp14:sizeRelH>
          </wp:anchor>
        </w:drawing>
      </w:r>
    </w:p>
    <w:p w14:paraId="085EF80B" w14:textId="77777777" w:rsidR="004B07AB" w:rsidRPr="001E10C1" w:rsidRDefault="004B07AB" w:rsidP="004B07AB">
      <w:pPr>
        <w:widowControl w:val="0"/>
        <w:autoSpaceDE w:val="0"/>
        <w:autoSpaceDN w:val="0"/>
        <w:spacing w:before="120" w:after="0" w:line="276" w:lineRule="auto"/>
        <w:ind w:right="51" w:firstLine="709"/>
        <w:jc w:val="both"/>
        <w:rPr>
          <w:rFonts w:ascii="Arial" w:eastAsia="Arial" w:hAnsi="Arial" w:cs="Arial"/>
        </w:rPr>
      </w:pPr>
    </w:p>
    <w:p w14:paraId="3E5E839B"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 xml:space="preserve">A cada uno de estos factores se les debe asignar el siguiente puntaje máximo: i) </w:t>
      </w:r>
      <w:r>
        <w:rPr>
          <w:rFonts w:ascii="Arial" w:eastAsia="Arial" w:hAnsi="Arial" w:cs="Arial"/>
        </w:rPr>
        <w:t>“</w:t>
      </w:r>
      <w:r w:rsidRPr="001E10C1">
        <w:rPr>
          <w:rFonts w:ascii="Arial" w:eastAsia="Arial" w:hAnsi="Arial" w:cs="Arial"/>
        </w:rPr>
        <w:t>E</w:t>
      </w:r>
      <w:r>
        <w:rPr>
          <w:rFonts w:ascii="Arial" w:eastAsia="Arial" w:hAnsi="Arial" w:cs="Arial"/>
        </w:rPr>
        <w:t>”</w:t>
      </w:r>
      <w:r w:rsidRPr="001E10C1">
        <w:rPr>
          <w:rFonts w:ascii="Arial" w:eastAsia="Arial" w:hAnsi="Arial" w:cs="Arial"/>
        </w:rPr>
        <w:t xml:space="preserve"> 120; ii) </w:t>
      </w:r>
      <w:r>
        <w:rPr>
          <w:rFonts w:ascii="Arial" w:eastAsia="Arial" w:hAnsi="Arial" w:cs="Arial"/>
        </w:rPr>
        <w:t>“</w:t>
      </w:r>
      <w:r w:rsidRPr="001E10C1">
        <w:rPr>
          <w:rFonts w:ascii="Arial" w:eastAsia="Arial" w:hAnsi="Arial" w:cs="Arial"/>
        </w:rPr>
        <w:t>CF</w:t>
      </w:r>
      <w:r>
        <w:rPr>
          <w:rFonts w:ascii="Arial" w:eastAsia="Arial" w:hAnsi="Arial" w:cs="Arial"/>
        </w:rPr>
        <w:t>”</w:t>
      </w:r>
      <w:r w:rsidRPr="001E10C1">
        <w:rPr>
          <w:rFonts w:ascii="Arial" w:eastAsia="Arial" w:hAnsi="Arial" w:cs="Arial"/>
        </w:rPr>
        <w:t xml:space="preserve"> 40; y </w:t>
      </w:r>
      <w:proofErr w:type="spellStart"/>
      <w:r w:rsidRPr="001E10C1">
        <w:rPr>
          <w:rFonts w:ascii="Arial" w:eastAsia="Arial" w:hAnsi="Arial" w:cs="Arial"/>
        </w:rPr>
        <w:t>iii</w:t>
      </w:r>
      <w:proofErr w:type="spellEnd"/>
      <w:r w:rsidRPr="001E10C1">
        <w:rPr>
          <w:rFonts w:ascii="Arial" w:eastAsia="Arial" w:hAnsi="Arial" w:cs="Arial"/>
        </w:rPr>
        <w:t xml:space="preserve">) </w:t>
      </w:r>
      <w:r>
        <w:rPr>
          <w:rFonts w:ascii="Arial" w:eastAsia="Arial" w:hAnsi="Arial" w:cs="Arial"/>
        </w:rPr>
        <w:t>“</w:t>
      </w:r>
      <w:r w:rsidRPr="001E10C1">
        <w:rPr>
          <w:rFonts w:ascii="Arial" w:eastAsia="Arial" w:hAnsi="Arial" w:cs="Arial"/>
        </w:rPr>
        <w:t>CT</w:t>
      </w:r>
      <w:r>
        <w:rPr>
          <w:rFonts w:ascii="Arial" w:eastAsia="Arial" w:hAnsi="Arial" w:cs="Arial"/>
        </w:rPr>
        <w:t>”</w:t>
      </w:r>
      <w:r w:rsidRPr="001E10C1">
        <w:rPr>
          <w:rFonts w:ascii="Arial" w:eastAsia="Arial" w:hAnsi="Arial" w:cs="Arial"/>
        </w:rPr>
        <w:t xml:space="preserve"> 40. La </w:t>
      </w:r>
      <w:r>
        <w:rPr>
          <w:rFonts w:ascii="Arial" w:eastAsia="Arial" w:hAnsi="Arial" w:cs="Arial"/>
        </w:rPr>
        <w:t>“</w:t>
      </w:r>
      <w:r w:rsidRPr="001E10C1">
        <w:rPr>
          <w:rFonts w:ascii="Arial" w:eastAsia="Arial" w:hAnsi="Arial" w:cs="Arial"/>
        </w:rPr>
        <w:t>CO</w:t>
      </w:r>
      <w:r>
        <w:rPr>
          <w:rFonts w:ascii="Arial" w:eastAsia="Arial" w:hAnsi="Arial" w:cs="Arial"/>
        </w:rPr>
        <w:t>”</w:t>
      </w:r>
      <w:r w:rsidRPr="001E10C1">
        <w:rPr>
          <w:rFonts w:ascii="Arial" w:eastAsia="Arial" w:hAnsi="Arial" w:cs="Arial"/>
        </w:rPr>
        <w:t xml:space="preserve"> no tiene asignación de puntaje en la fórmula, por un lado, porque su unidad de medida es en pesos colombianos </w:t>
      </w:r>
      <w:r>
        <w:rPr>
          <w:rFonts w:ascii="Arial" w:eastAsia="Arial" w:hAnsi="Arial" w:cs="Arial"/>
        </w:rPr>
        <w:t>“</w:t>
      </w:r>
      <w:r w:rsidRPr="001E10C1">
        <w:rPr>
          <w:rFonts w:ascii="Arial" w:eastAsia="Arial" w:hAnsi="Arial" w:cs="Arial"/>
        </w:rPr>
        <w:t>COP</w:t>
      </w:r>
      <w:r>
        <w:rPr>
          <w:rFonts w:ascii="Arial" w:eastAsia="Arial" w:hAnsi="Arial" w:cs="Arial"/>
        </w:rPr>
        <w:t>”</w:t>
      </w:r>
      <w:r w:rsidRPr="001E10C1">
        <w:rPr>
          <w:rFonts w:ascii="Arial" w:eastAsia="Arial" w:hAnsi="Arial" w:cs="Arial"/>
        </w:rPr>
        <w:t xml:space="preserve"> y, por el otro, debido a que el mismo constituye un factor multiplicador de los demás factores en la fórmula. A continuación, se explicará, en términos generales, cómo calcular cada factor:</w:t>
      </w:r>
    </w:p>
    <w:p w14:paraId="4AEBA155" w14:textId="77777777" w:rsidR="004B07AB" w:rsidRPr="001E10C1" w:rsidRDefault="004B07AB" w:rsidP="004B07AB">
      <w:pPr>
        <w:widowControl w:val="0"/>
        <w:numPr>
          <w:ilvl w:val="0"/>
          <w:numId w:val="12"/>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financiera.</w:t>
      </w:r>
      <w:r w:rsidRPr="001E10C1">
        <w:rPr>
          <w:rFonts w:ascii="Arial" w:eastAsia="Arial" w:hAnsi="Arial" w:cs="Arial"/>
        </w:rPr>
        <w:t xml:space="preserve"> Se mide por el </w:t>
      </w:r>
      <w:r>
        <w:rPr>
          <w:rFonts w:ascii="Arial" w:eastAsia="Arial" w:hAnsi="Arial" w:cs="Arial"/>
        </w:rPr>
        <w:t>“</w:t>
      </w:r>
      <w:r w:rsidRPr="001E10C1">
        <w:rPr>
          <w:rFonts w:ascii="Arial" w:eastAsia="Arial" w:hAnsi="Arial" w:cs="Arial"/>
        </w:rPr>
        <w:t>índice de liquidez</w:t>
      </w:r>
      <w:r>
        <w:rPr>
          <w:rFonts w:ascii="Arial" w:eastAsia="Arial" w:hAnsi="Arial" w:cs="Arial"/>
        </w:rPr>
        <w:t>”</w:t>
      </w:r>
      <w:r w:rsidRPr="001E10C1">
        <w:rPr>
          <w:rFonts w:ascii="Arial" w:eastAsia="Arial" w:hAnsi="Arial" w:cs="Arial"/>
        </w:rPr>
        <w:t xml:space="preserve"> y este, a su vez, </w:t>
      </w:r>
      <w:r w:rsidRPr="001E10C1">
        <w:rPr>
          <w:rFonts w:ascii="Arial" w:eastAsia="Arial" w:hAnsi="Arial" w:cs="Arial"/>
        </w:rPr>
        <w:lastRenderedPageBreak/>
        <w:t xml:space="preserve">corresponde al resultado de dividir el </w:t>
      </w:r>
      <w:r>
        <w:rPr>
          <w:rFonts w:ascii="Arial" w:eastAsia="Arial" w:hAnsi="Arial" w:cs="Arial"/>
        </w:rPr>
        <w:t>“</w:t>
      </w:r>
      <w:r w:rsidRPr="001E10C1">
        <w:rPr>
          <w:rFonts w:ascii="Arial" w:eastAsia="Arial" w:hAnsi="Arial" w:cs="Arial"/>
        </w:rPr>
        <w:t>activo corriente</w:t>
      </w:r>
      <w:r>
        <w:rPr>
          <w:rFonts w:ascii="Arial" w:eastAsia="Arial" w:hAnsi="Arial" w:cs="Arial"/>
        </w:rPr>
        <w:t>”</w:t>
      </w:r>
      <w:r w:rsidRPr="001E10C1">
        <w:rPr>
          <w:rFonts w:ascii="Arial" w:eastAsia="Arial" w:hAnsi="Arial" w:cs="Arial"/>
        </w:rPr>
        <w:t xml:space="preserve"> sobre el </w:t>
      </w:r>
      <w:r>
        <w:rPr>
          <w:rFonts w:ascii="Arial" w:eastAsia="Arial" w:hAnsi="Arial" w:cs="Arial"/>
        </w:rPr>
        <w:t>“</w:t>
      </w:r>
      <w:r w:rsidRPr="001E10C1">
        <w:rPr>
          <w:rFonts w:ascii="Arial" w:eastAsia="Arial" w:hAnsi="Arial" w:cs="Arial"/>
        </w:rPr>
        <w:t>pasivo corriente</w:t>
      </w:r>
      <w:r>
        <w:rPr>
          <w:rFonts w:ascii="Arial" w:eastAsia="Arial" w:hAnsi="Arial" w:cs="Arial"/>
        </w:rPr>
        <w:t>”</w:t>
      </w:r>
      <w:r w:rsidRPr="001E10C1">
        <w:rPr>
          <w:rFonts w:ascii="Arial" w:eastAsia="Arial" w:hAnsi="Arial" w:cs="Arial"/>
        </w:rPr>
        <w:t>. El resultado puede ser calificado entre 20 y cuarenta puntos, según se explica en la Guía.</w:t>
      </w:r>
    </w:p>
    <w:p w14:paraId="4C99136B" w14:textId="77777777" w:rsidR="004B07AB" w:rsidRPr="001E10C1" w:rsidRDefault="004B07AB" w:rsidP="004B07AB">
      <w:pPr>
        <w:widowControl w:val="0"/>
        <w:numPr>
          <w:ilvl w:val="0"/>
          <w:numId w:val="12"/>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técnica</w:t>
      </w:r>
      <w:r w:rsidRPr="001E10C1">
        <w:rPr>
          <w:rFonts w:ascii="Arial" w:eastAsia="Arial" w:hAnsi="Arial" w:cs="Arial"/>
        </w:rPr>
        <w:t xml:space="preserve">. Se determina teniendo en cuenta el número de socios y profesionales de la arquitectura, ingeniería y geología vinculados mediante una relación laboral o contractual. </w:t>
      </w:r>
      <w:proofErr w:type="gramStart"/>
      <w:r w:rsidRPr="001E10C1">
        <w:rPr>
          <w:rFonts w:ascii="Arial" w:eastAsia="Arial" w:hAnsi="Arial" w:cs="Arial"/>
        </w:rPr>
        <w:t>El puntaje a asignar</w:t>
      </w:r>
      <w:proofErr w:type="gramEnd"/>
      <w:r w:rsidRPr="001E10C1">
        <w:rPr>
          <w:rFonts w:ascii="Arial" w:eastAsia="Arial" w:hAnsi="Arial" w:cs="Arial"/>
        </w:rPr>
        <w:t xml:space="preserve">, según la Guía, oscila entre 20 y 40 puntos. Para tales fines, se aclara, el proponente debe diligenciar el Anexo 2 de la </w:t>
      </w:r>
      <w:r>
        <w:rPr>
          <w:rFonts w:ascii="Arial" w:eastAsia="Arial" w:hAnsi="Arial" w:cs="Arial"/>
        </w:rPr>
        <w:t>“</w:t>
      </w:r>
      <w:r w:rsidRPr="001E10C1">
        <w:rPr>
          <w:rFonts w:ascii="Arial" w:eastAsia="Arial" w:hAnsi="Arial" w:cs="Arial"/>
        </w:rPr>
        <w:t>Guía para Determinar y Verificar la Capacidad Residual del Proponente en los Procesos de Contratación de Obra Pública</w:t>
      </w:r>
      <w:r>
        <w:rPr>
          <w:rFonts w:ascii="Arial" w:eastAsia="Arial" w:hAnsi="Arial" w:cs="Arial"/>
        </w:rPr>
        <w:t>”</w:t>
      </w:r>
      <w:r w:rsidRPr="001E10C1">
        <w:rPr>
          <w:rFonts w:ascii="Arial" w:eastAsia="Arial" w:hAnsi="Arial" w:cs="Arial"/>
        </w:rPr>
        <w:t xml:space="preserve"> −este es diferente al Anexo 2 de los Documentos Tipo−.</w:t>
      </w:r>
    </w:p>
    <w:p w14:paraId="278ACC09" w14:textId="77777777" w:rsidR="004B07AB" w:rsidRPr="001E10C1" w:rsidRDefault="004B07AB" w:rsidP="004B07AB">
      <w:pPr>
        <w:widowControl w:val="0"/>
        <w:numPr>
          <w:ilvl w:val="0"/>
          <w:numId w:val="12"/>
        </w:numPr>
        <w:tabs>
          <w:tab w:val="left" w:pos="993"/>
        </w:tabs>
        <w:autoSpaceDE w:val="0"/>
        <w:autoSpaceDN w:val="0"/>
        <w:spacing w:before="120" w:after="0" w:line="276" w:lineRule="auto"/>
        <w:ind w:left="0" w:firstLine="709"/>
        <w:jc w:val="both"/>
        <w:rPr>
          <w:rFonts w:ascii="Arial" w:eastAsia="Arial" w:hAnsi="Arial" w:cs="Arial"/>
          <w:i/>
          <w:iCs/>
        </w:rPr>
      </w:pPr>
      <w:r w:rsidRPr="001E10C1">
        <w:rPr>
          <w:rFonts w:ascii="Arial" w:eastAsia="Arial" w:hAnsi="Arial" w:cs="Arial"/>
          <w:i/>
          <w:iCs/>
        </w:rPr>
        <w:t>Capacidad de organización</w:t>
      </w:r>
      <w:r w:rsidRPr="001E10C1">
        <w:rPr>
          <w:rFonts w:ascii="Arial" w:eastAsia="Arial" w:hAnsi="Arial" w:cs="Arial"/>
        </w:rPr>
        <w:t>. Corresponde a los ingresos operacionales, según el siguiente cuadro:</w:t>
      </w:r>
    </w:p>
    <w:p w14:paraId="12C238C8" w14:textId="77777777" w:rsidR="004B07AB" w:rsidRPr="001E10C1" w:rsidRDefault="004B07AB" w:rsidP="004B07AB">
      <w:pPr>
        <w:widowControl w:val="0"/>
        <w:tabs>
          <w:tab w:val="left" w:pos="993"/>
        </w:tabs>
        <w:autoSpaceDE w:val="0"/>
        <w:autoSpaceDN w:val="0"/>
        <w:spacing w:before="120" w:after="0" w:line="276" w:lineRule="auto"/>
        <w:ind w:right="51"/>
        <w:jc w:val="both"/>
        <w:rPr>
          <w:rFonts w:ascii="Arial" w:eastAsia="Arial" w:hAnsi="Arial" w:cs="Arial"/>
          <w:i/>
          <w:iCs/>
        </w:rPr>
      </w:pPr>
    </w:p>
    <w:tbl>
      <w:tblPr>
        <w:tblStyle w:val="Tablaconcuadrcula"/>
        <w:tblW w:w="7366" w:type="dxa"/>
        <w:tblInd w:w="709" w:type="dxa"/>
        <w:tblLook w:val="04A0" w:firstRow="1" w:lastRow="0" w:firstColumn="1" w:lastColumn="0" w:noHBand="0" w:noVBand="1"/>
      </w:tblPr>
      <w:tblGrid>
        <w:gridCol w:w="4053"/>
        <w:gridCol w:w="3313"/>
      </w:tblGrid>
      <w:tr w:rsidR="004B07AB" w:rsidRPr="001E10C1" w14:paraId="2F054AB9" w14:textId="77777777" w:rsidTr="00446D86">
        <w:tc>
          <w:tcPr>
            <w:tcW w:w="4053" w:type="dxa"/>
            <w:shd w:val="clear" w:color="auto" w:fill="D9D9D9" w:themeFill="background1" w:themeFillShade="D9"/>
          </w:tcPr>
          <w:p w14:paraId="40091D62" w14:textId="77777777" w:rsidR="004B07AB" w:rsidRPr="001E10C1" w:rsidRDefault="004B07AB" w:rsidP="00446D86">
            <w:pPr>
              <w:widowControl w:val="0"/>
              <w:tabs>
                <w:tab w:val="left" w:pos="993"/>
              </w:tabs>
              <w:spacing w:before="120" w:line="276" w:lineRule="auto"/>
              <w:ind w:right="51"/>
              <w:jc w:val="center"/>
              <w:rPr>
                <w:rFonts w:ascii="Arial" w:eastAsia="Arial" w:hAnsi="Arial" w:cs="Arial"/>
                <w:b/>
                <w:bCs/>
              </w:rPr>
            </w:pPr>
            <w:r w:rsidRPr="001E10C1">
              <w:rPr>
                <w:rFonts w:ascii="Arial" w:eastAsia="Arial" w:hAnsi="Arial" w:cs="Arial"/>
                <w:b/>
                <w:bCs/>
              </w:rPr>
              <w:t>Años de información financiera</w:t>
            </w:r>
          </w:p>
        </w:tc>
        <w:tc>
          <w:tcPr>
            <w:tcW w:w="3313" w:type="dxa"/>
            <w:shd w:val="clear" w:color="auto" w:fill="D9D9D9" w:themeFill="background1" w:themeFillShade="D9"/>
          </w:tcPr>
          <w:p w14:paraId="38B91271" w14:textId="77777777" w:rsidR="004B07AB" w:rsidRPr="001E10C1" w:rsidRDefault="004B07AB" w:rsidP="00446D86">
            <w:pPr>
              <w:widowControl w:val="0"/>
              <w:tabs>
                <w:tab w:val="left" w:pos="993"/>
              </w:tabs>
              <w:spacing w:before="120" w:line="276" w:lineRule="auto"/>
              <w:ind w:right="51"/>
              <w:jc w:val="center"/>
              <w:rPr>
                <w:rFonts w:ascii="Arial" w:eastAsia="Arial" w:hAnsi="Arial" w:cs="Arial"/>
                <w:b/>
                <w:bCs/>
              </w:rPr>
            </w:pPr>
            <w:r w:rsidRPr="001E10C1">
              <w:rPr>
                <w:rFonts w:ascii="Arial" w:eastAsia="Arial" w:hAnsi="Arial" w:cs="Arial"/>
                <w:b/>
                <w:bCs/>
              </w:rPr>
              <w:t>Capacidad de organización</w:t>
            </w:r>
          </w:p>
        </w:tc>
      </w:tr>
      <w:tr w:rsidR="004B07AB" w:rsidRPr="001E10C1" w14:paraId="0477D3F5" w14:textId="77777777" w:rsidTr="00446D86">
        <w:tc>
          <w:tcPr>
            <w:tcW w:w="4053" w:type="dxa"/>
          </w:tcPr>
          <w:p w14:paraId="79107498"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Cinco (5) años o más</w:t>
            </w:r>
          </w:p>
        </w:tc>
        <w:tc>
          <w:tcPr>
            <w:tcW w:w="3313" w:type="dxa"/>
          </w:tcPr>
          <w:p w14:paraId="0755DFD0"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Mayor ingreso operacional de los últimos cinco años</w:t>
            </w:r>
          </w:p>
        </w:tc>
      </w:tr>
      <w:tr w:rsidR="004B07AB" w:rsidRPr="001E10C1" w14:paraId="6F4F8FAC" w14:textId="77777777" w:rsidTr="00446D86">
        <w:tc>
          <w:tcPr>
            <w:tcW w:w="4053" w:type="dxa"/>
          </w:tcPr>
          <w:p w14:paraId="040B039F"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Entre uno (1) y cinco (5) años</w:t>
            </w:r>
          </w:p>
        </w:tc>
        <w:tc>
          <w:tcPr>
            <w:tcW w:w="3313" w:type="dxa"/>
          </w:tcPr>
          <w:p w14:paraId="3596A548"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Mayor ingreso operacional de los años de vida del oferente</w:t>
            </w:r>
          </w:p>
        </w:tc>
      </w:tr>
      <w:tr w:rsidR="004B07AB" w:rsidRPr="001E10C1" w14:paraId="0727FE0F" w14:textId="77777777" w:rsidTr="00446D86">
        <w:tc>
          <w:tcPr>
            <w:tcW w:w="4053" w:type="dxa"/>
          </w:tcPr>
          <w:p w14:paraId="5A47B57D"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Menos de un (1) año</w:t>
            </w:r>
          </w:p>
        </w:tc>
        <w:tc>
          <w:tcPr>
            <w:tcW w:w="3313" w:type="dxa"/>
          </w:tcPr>
          <w:p w14:paraId="0C0A6DEE" w14:textId="77777777" w:rsidR="004B07AB" w:rsidRPr="001E10C1" w:rsidRDefault="004B07AB" w:rsidP="00446D86">
            <w:pPr>
              <w:widowControl w:val="0"/>
              <w:tabs>
                <w:tab w:val="left" w:pos="993"/>
              </w:tabs>
              <w:spacing w:before="120" w:line="276" w:lineRule="auto"/>
              <w:ind w:right="51"/>
              <w:jc w:val="both"/>
              <w:rPr>
                <w:rFonts w:ascii="Arial" w:eastAsia="Arial" w:hAnsi="Arial" w:cs="Arial"/>
              </w:rPr>
            </w:pPr>
            <w:r w:rsidRPr="001E10C1">
              <w:rPr>
                <w:rFonts w:ascii="Arial" w:eastAsia="Arial" w:hAnsi="Arial" w:cs="Arial"/>
              </w:rPr>
              <w:t>USD 125.000</w:t>
            </w:r>
          </w:p>
        </w:tc>
      </w:tr>
    </w:tbl>
    <w:p w14:paraId="244A3A93" w14:textId="77777777" w:rsidR="004B07AB" w:rsidRPr="001E10C1" w:rsidRDefault="004B07AB" w:rsidP="004B07AB">
      <w:pPr>
        <w:widowControl w:val="0"/>
        <w:tabs>
          <w:tab w:val="left" w:pos="993"/>
        </w:tabs>
        <w:autoSpaceDE w:val="0"/>
        <w:autoSpaceDN w:val="0"/>
        <w:spacing w:before="120" w:after="0" w:line="276" w:lineRule="auto"/>
        <w:ind w:right="51"/>
        <w:jc w:val="both"/>
        <w:rPr>
          <w:rFonts w:ascii="Arial" w:eastAsia="Arial" w:hAnsi="Arial" w:cs="Arial"/>
          <w:i/>
          <w:iCs/>
        </w:rPr>
      </w:pPr>
    </w:p>
    <w:p w14:paraId="4EB5EAEC" w14:textId="77777777" w:rsidR="004B07AB" w:rsidRPr="00D70E23" w:rsidRDefault="004B07AB" w:rsidP="004B07AB">
      <w:pPr>
        <w:widowControl w:val="0"/>
        <w:numPr>
          <w:ilvl w:val="0"/>
          <w:numId w:val="12"/>
        </w:numPr>
        <w:tabs>
          <w:tab w:val="left" w:pos="993"/>
        </w:tabs>
        <w:autoSpaceDE w:val="0"/>
        <w:autoSpaceDN w:val="0"/>
        <w:spacing w:before="120" w:after="0" w:line="276" w:lineRule="auto"/>
        <w:ind w:left="0" w:firstLine="709"/>
        <w:jc w:val="both"/>
        <w:rPr>
          <w:rFonts w:ascii="Arial" w:eastAsia="Arial" w:hAnsi="Arial" w:cs="Arial"/>
          <w:u w:val="single"/>
        </w:rPr>
      </w:pPr>
      <w:r w:rsidRPr="00D70E23">
        <w:rPr>
          <w:rFonts w:ascii="Arial" w:eastAsia="Arial" w:hAnsi="Arial" w:cs="Arial"/>
          <w:i/>
          <w:iCs/>
          <w:u w:val="single"/>
        </w:rPr>
        <w:t>Saldos de los contratos en ejecución</w:t>
      </w:r>
      <w:r w:rsidRPr="00D70E23">
        <w:rPr>
          <w:rFonts w:ascii="Arial" w:eastAsia="Arial" w:hAnsi="Arial" w:cs="Arial"/>
          <w:u w:val="single"/>
        </w:rPr>
        <w:t>. Debe hacerse linealmente y calculando una “ejecución diaria equivalente al valor del contrato dividido por el plazo del contrato expresado en días”. El resultado obtenido se debe multiplicar por el número de días pendientes para cumplir el plazo del contrato. Si el número de días por ejecutar un contrato es superior a 360 días, solo se tendrá en cuenta la proporción lineal de 12 meses.</w:t>
      </w:r>
    </w:p>
    <w:p w14:paraId="3402518D" w14:textId="77777777" w:rsidR="004B07AB" w:rsidRPr="001E10C1" w:rsidRDefault="004B07AB" w:rsidP="004B07AB">
      <w:pPr>
        <w:widowControl w:val="0"/>
        <w:numPr>
          <w:ilvl w:val="0"/>
          <w:numId w:val="12"/>
        </w:numPr>
        <w:tabs>
          <w:tab w:val="left" w:pos="993"/>
        </w:tabs>
        <w:autoSpaceDE w:val="0"/>
        <w:autoSpaceDN w:val="0"/>
        <w:spacing w:before="120" w:after="0" w:line="276" w:lineRule="auto"/>
        <w:ind w:left="0" w:firstLine="709"/>
        <w:jc w:val="both"/>
        <w:rPr>
          <w:rFonts w:ascii="Arial" w:eastAsia="Arial" w:hAnsi="Arial" w:cs="Arial"/>
        </w:rPr>
      </w:pPr>
      <w:r w:rsidRPr="001E10C1">
        <w:rPr>
          <w:rFonts w:ascii="Arial" w:eastAsia="Arial" w:hAnsi="Arial" w:cs="Arial"/>
          <w:i/>
          <w:iCs/>
        </w:rPr>
        <w:t>Experiencia</w:t>
      </w:r>
      <w:r w:rsidRPr="001E10C1">
        <w:rPr>
          <w:rFonts w:ascii="Arial" w:eastAsia="Arial" w:hAnsi="Arial" w:cs="Arial"/>
        </w:rPr>
        <w:t xml:space="preserve">. Para los efectos de la capacidad residual −no para la experiencia general que debe acreditar el contratista según la Matriz 1−, corresponde de un lado, a la relación entre </w:t>
      </w:r>
      <w:r>
        <w:rPr>
          <w:rFonts w:ascii="Arial" w:eastAsia="Arial" w:hAnsi="Arial" w:cs="Arial"/>
        </w:rPr>
        <w:t>“</w:t>
      </w:r>
      <w:r w:rsidRPr="001E10C1">
        <w:rPr>
          <w:rFonts w:ascii="Arial" w:eastAsia="Arial" w:hAnsi="Arial" w:cs="Arial"/>
        </w:rPr>
        <w:t>el valor total en pesos de los contratos relacionados con la actividad de la construcción inscritos por el proponente en el Registro Único de Proponentes “RUP” en el segmento 72 […] del Clasificador de Bienes y Servicios</w:t>
      </w:r>
      <w:r>
        <w:rPr>
          <w:rFonts w:ascii="Arial" w:eastAsia="Arial" w:hAnsi="Arial" w:cs="Arial"/>
        </w:rPr>
        <w:t>”</w:t>
      </w:r>
      <w:r w:rsidRPr="001E10C1">
        <w:rPr>
          <w:rFonts w:ascii="Arial" w:eastAsia="Arial" w:hAnsi="Arial" w:cs="Arial"/>
        </w:rPr>
        <w:t xml:space="preserve">, y del otro, al presupuesto oficial estimado del Proceso de Contratación. La relación indica el número de veces que el proponente ha ejecutado contratos equivalentes a la cuantía del proceso de contratación.  </w:t>
      </w:r>
    </w:p>
    <w:p w14:paraId="57FF64B0" w14:textId="371B05C5" w:rsidR="004B07AB" w:rsidRDefault="004B07AB" w:rsidP="004B07AB">
      <w:pPr>
        <w:widowControl w:val="0"/>
        <w:autoSpaceDE w:val="0"/>
        <w:autoSpaceDN w:val="0"/>
        <w:spacing w:before="120" w:after="0" w:line="276" w:lineRule="auto"/>
        <w:ind w:firstLine="709"/>
        <w:jc w:val="both"/>
        <w:rPr>
          <w:rFonts w:ascii="Arial" w:eastAsia="Arial" w:hAnsi="Arial" w:cs="Arial"/>
        </w:rPr>
      </w:pPr>
      <w:r w:rsidRPr="001E10C1">
        <w:rPr>
          <w:rFonts w:ascii="Arial" w:eastAsia="Arial" w:hAnsi="Arial" w:cs="Arial"/>
        </w:rPr>
        <w:t xml:space="preserve">En este contexto, resulta oportuno precisar que, si bien es cierto la entidad estatal es la que debe calcular la capacidad residual de los proponentes, también lo es que estos últimos, como se referenció, tienen la carga de aportar los documentos para acreditar su </w:t>
      </w:r>
      <w:r w:rsidRPr="001E10C1">
        <w:rPr>
          <w:rFonts w:ascii="Arial" w:eastAsia="Arial" w:hAnsi="Arial" w:cs="Arial"/>
        </w:rPr>
        <w:lastRenderedPageBreak/>
        <w:t>capacidad residual</w:t>
      </w:r>
      <w:r w:rsidRPr="001E10C1">
        <w:rPr>
          <w:rFonts w:ascii="Arial" w:eastAsia="Arial" w:hAnsi="Arial" w:cs="Arial"/>
          <w:vertAlign w:val="superscript"/>
        </w:rPr>
        <w:footnoteReference w:id="8"/>
      </w:r>
      <w:r w:rsidRPr="001E10C1">
        <w:rPr>
          <w:rFonts w:ascii="Arial" w:eastAsia="Arial" w:hAnsi="Arial" w:cs="Arial"/>
        </w:rPr>
        <w:t xml:space="preserve">. </w:t>
      </w:r>
      <w:r>
        <w:rPr>
          <w:rFonts w:ascii="Arial" w:eastAsia="Arial" w:hAnsi="Arial" w:cs="Arial"/>
        </w:rPr>
        <w:t xml:space="preserve"> </w:t>
      </w:r>
    </w:p>
    <w:p w14:paraId="3D43AFB5" w14:textId="77777777" w:rsidR="002218AB" w:rsidRPr="002218AB" w:rsidRDefault="002218AB" w:rsidP="002218AB">
      <w:pPr>
        <w:spacing w:after="0" w:line="276" w:lineRule="auto"/>
        <w:jc w:val="both"/>
        <w:rPr>
          <w:rFonts w:ascii="Arial" w:eastAsia="Times New Roman" w:hAnsi="Arial" w:cs="Arial"/>
          <w:b/>
          <w:bCs/>
          <w:lang w:eastAsia="es-MX"/>
        </w:rPr>
      </w:pPr>
      <w:r w:rsidRPr="002218AB">
        <w:rPr>
          <w:rFonts w:ascii="Arial" w:eastAsia="Times New Roman" w:hAnsi="Arial" w:cs="Arial"/>
          <w:b/>
          <w:bCs/>
          <w:lang w:eastAsia="es-MX"/>
        </w:rPr>
        <w:t xml:space="preserve">2.4. Saldos pendientes provenientes de los contratos en ejecución </w:t>
      </w:r>
    </w:p>
    <w:p w14:paraId="68B88C24" w14:textId="77777777" w:rsidR="002218AB" w:rsidRPr="002218AB" w:rsidRDefault="002218AB" w:rsidP="002218AB">
      <w:pPr>
        <w:spacing w:after="0" w:line="276" w:lineRule="auto"/>
        <w:jc w:val="both"/>
        <w:rPr>
          <w:rFonts w:ascii="Arial" w:eastAsia="Times New Roman" w:hAnsi="Arial" w:cs="Arial"/>
          <w:b/>
          <w:bCs/>
          <w:lang w:eastAsia="es-MX"/>
        </w:rPr>
      </w:pPr>
    </w:p>
    <w:p w14:paraId="0AE535AC" w14:textId="77777777" w:rsidR="002218AB" w:rsidRPr="002218AB" w:rsidRDefault="002218AB" w:rsidP="002218AB">
      <w:pPr>
        <w:spacing w:after="0" w:line="276" w:lineRule="auto"/>
        <w:jc w:val="both"/>
        <w:rPr>
          <w:rFonts w:ascii="Arial" w:eastAsia="Times New Roman" w:hAnsi="Arial" w:cs="Arial"/>
          <w:lang w:eastAsia="es-MX"/>
        </w:rPr>
      </w:pPr>
      <w:bookmarkStart w:id="4" w:name="_Hlk128390666"/>
      <w:r w:rsidRPr="002218AB">
        <w:rPr>
          <w:rFonts w:ascii="Arial" w:eastAsia="Times New Roman" w:hAnsi="Arial" w:cs="Arial"/>
          <w:lang w:eastAsia="es-MX"/>
        </w:rPr>
        <w:t xml:space="preserve">Esta Agencia ha manifestado en anteriores oportunidades que los contratos en ejecución son aquellos que, a la fecha de </w:t>
      </w:r>
      <w:proofErr w:type="spellStart"/>
      <w:r w:rsidRPr="002218AB">
        <w:rPr>
          <w:rFonts w:ascii="Arial" w:eastAsia="Times New Roman" w:hAnsi="Arial" w:cs="Arial"/>
          <w:lang w:eastAsia="es-MX"/>
        </w:rPr>
        <w:t>presentación</w:t>
      </w:r>
      <w:proofErr w:type="spellEnd"/>
      <w:r w:rsidRPr="002218AB">
        <w:rPr>
          <w:rFonts w:ascii="Arial" w:eastAsia="Times New Roman" w:hAnsi="Arial" w:cs="Arial"/>
          <w:lang w:eastAsia="es-MX"/>
        </w:rPr>
        <w:t xml:space="preserve"> de la oferta, obligan al proponente con entidades estatales y con entidades privadas para ejecutar obras públicas, incluyendo la </w:t>
      </w:r>
      <w:proofErr w:type="spellStart"/>
      <w:r w:rsidRPr="002218AB">
        <w:rPr>
          <w:rFonts w:ascii="Arial" w:eastAsia="Times New Roman" w:hAnsi="Arial" w:cs="Arial"/>
          <w:lang w:eastAsia="es-MX"/>
        </w:rPr>
        <w:t>ejecución</w:t>
      </w:r>
      <w:proofErr w:type="spellEnd"/>
      <w:r w:rsidRPr="002218AB">
        <w:rPr>
          <w:rFonts w:ascii="Arial" w:eastAsia="Times New Roman" w:hAnsi="Arial" w:cs="Arial"/>
          <w:lang w:eastAsia="es-MX"/>
        </w:rPr>
        <w:t xml:space="preserve"> de obras civiles en los contratos de </w:t>
      </w:r>
      <w:proofErr w:type="spellStart"/>
      <w:r w:rsidRPr="002218AB">
        <w:rPr>
          <w:rFonts w:ascii="Arial" w:eastAsia="Times New Roman" w:hAnsi="Arial" w:cs="Arial"/>
          <w:lang w:eastAsia="es-MX"/>
        </w:rPr>
        <w:t>concesión</w:t>
      </w:r>
      <w:proofErr w:type="spellEnd"/>
      <w:r w:rsidRPr="002218AB">
        <w:rPr>
          <w:rFonts w:ascii="Arial" w:eastAsia="Times New Roman" w:hAnsi="Arial" w:cs="Arial"/>
          <w:lang w:eastAsia="es-MX"/>
        </w:rPr>
        <w:t xml:space="preserve"> y los contratos de obra suscritos con concesionarios, incluyendo los contratos suspendidos y aquellos que no tengan acta de inicio. Es decir, los saldos pendientes se derivan de las obligaciones que se encuentran en ejecución al momento de la presentación de la oferta. A este respecto, no se entenderán como contratos en </w:t>
      </w:r>
      <w:proofErr w:type="spellStart"/>
      <w:r w:rsidRPr="002218AB">
        <w:rPr>
          <w:rFonts w:ascii="Arial" w:eastAsia="Times New Roman" w:hAnsi="Arial" w:cs="Arial"/>
          <w:lang w:eastAsia="es-MX"/>
        </w:rPr>
        <w:t>ejecución</w:t>
      </w:r>
      <w:proofErr w:type="spellEnd"/>
      <w:r w:rsidRPr="002218AB">
        <w:rPr>
          <w:rFonts w:ascii="Arial" w:eastAsia="Times New Roman" w:hAnsi="Arial" w:cs="Arial"/>
          <w:lang w:eastAsia="es-MX"/>
        </w:rPr>
        <w:t xml:space="preserve"> los que se encuentren en </w:t>
      </w:r>
      <w:proofErr w:type="spellStart"/>
      <w:r w:rsidRPr="002218AB">
        <w:rPr>
          <w:rFonts w:ascii="Arial" w:eastAsia="Times New Roman" w:hAnsi="Arial" w:cs="Arial"/>
          <w:lang w:eastAsia="es-MX"/>
        </w:rPr>
        <w:t>liquidación</w:t>
      </w:r>
      <w:proofErr w:type="spellEnd"/>
      <w:r w:rsidRPr="002218AB">
        <w:rPr>
          <w:rFonts w:ascii="Arial" w:eastAsia="Times New Roman" w:hAnsi="Arial" w:cs="Arial"/>
          <w:lang w:eastAsia="es-MX"/>
        </w:rPr>
        <w:t xml:space="preserve">. Teniendo en cuenta que los contratos en </w:t>
      </w:r>
      <w:proofErr w:type="spellStart"/>
      <w:r w:rsidRPr="002218AB">
        <w:rPr>
          <w:rFonts w:ascii="Arial" w:eastAsia="Times New Roman" w:hAnsi="Arial" w:cs="Arial"/>
          <w:lang w:eastAsia="es-MX"/>
        </w:rPr>
        <w:t>ejecución</w:t>
      </w:r>
      <w:proofErr w:type="spellEnd"/>
      <w:r w:rsidRPr="002218AB">
        <w:rPr>
          <w:rFonts w:ascii="Arial" w:eastAsia="Times New Roman" w:hAnsi="Arial" w:cs="Arial"/>
          <w:lang w:eastAsia="es-MX"/>
        </w:rPr>
        <w:t xml:space="preserve"> son aquellos que a la fecha de </w:t>
      </w:r>
      <w:proofErr w:type="spellStart"/>
      <w:r w:rsidRPr="002218AB">
        <w:rPr>
          <w:rFonts w:ascii="Arial" w:eastAsia="Times New Roman" w:hAnsi="Arial" w:cs="Arial"/>
          <w:lang w:eastAsia="es-MX"/>
        </w:rPr>
        <w:t>presentación</w:t>
      </w:r>
      <w:proofErr w:type="spellEnd"/>
      <w:r w:rsidRPr="002218AB">
        <w:rPr>
          <w:rFonts w:ascii="Arial" w:eastAsia="Times New Roman" w:hAnsi="Arial" w:cs="Arial"/>
          <w:lang w:eastAsia="es-MX"/>
        </w:rPr>
        <w:t xml:space="preserve"> de la oferta obligan al proponente, se aclara que deben tenerse en cuenta los contratos sin acta de inicio, pues el criterio determinante para establecer si un contrato se encuentra en ejecución no lo determina el acta de inicio, sino que el mismo obligue al proponente</w:t>
      </w:r>
      <w:r w:rsidRPr="002218AB">
        <w:rPr>
          <w:rFonts w:ascii="Arial" w:eastAsia="Times New Roman" w:hAnsi="Arial" w:cs="Arial"/>
          <w:vertAlign w:val="superscript"/>
          <w:lang w:eastAsia="es-MX"/>
        </w:rPr>
        <w:footnoteReference w:id="9"/>
      </w:r>
      <w:r w:rsidRPr="002218AB">
        <w:rPr>
          <w:rFonts w:ascii="Arial" w:eastAsia="Times New Roman" w:hAnsi="Arial" w:cs="Arial"/>
          <w:lang w:eastAsia="es-MX"/>
        </w:rPr>
        <w:t xml:space="preserve">. </w:t>
      </w:r>
      <w:r w:rsidRPr="002218AB">
        <w:rPr>
          <w:rFonts w:ascii="Arial" w:eastAsia="Times New Roman" w:hAnsi="Arial" w:cs="Arial"/>
          <w:sz w:val="20"/>
          <w:szCs w:val="20"/>
          <w:lang w:eastAsia="es-MX"/>
        </w:rPr>
        <w:t xml:space="preserve"> </w:t>
      </w:r>
    </w:p>
    <w:bookmarkEnd w:id="4"/>
    <w:p w14:paraId="1648ACE0" w14:textId="77777777" w:rsidR="002218AB" w:rsidRPr="002218AB" w:rsidRDefault="002218AB" w:rsidP="002218AB">
      <w:pPr>
        <w:spacing w:before="120" w:after="0" w:line="276" w:lineRule="auto"/>
        <w:ind w:firstLine="708"/>
        <w:jc w:val="both"/>
        <w:rPr>
          <w:rFonts w:ascii="Arial" w:eastAsia="Times New Roman" w:hAnsi="Arial" w:cs="Arial"/>
          <w:i/>
          <w:iCs/>
          <w:lang w:eastAsia="es-MX"/>
        </w:rPr>
      </w:pPr>
      <w:r w:rsidRPr="002218AB">
        <w:rPr>
          <w:rFonts w:ascii="Arial" w:eastAsia="Times New Roman" w:hAnsi="Arial" w:cs="Arial"/>
          <w:lang w:eastAsia="es-MX"/>
        </w:rPr>
        <w:t>En este sentido, la “Guía para Determinar y Verificar la Capacidad Residual del Proponente en los Procesos de Contratación de Obra Pública</w:t>
      </w:r>
      <w:r w:rsidRPr="002218AB">
        <w:rPr>
          <w:rFonts w:ascii="Arial" w:eastAsia="Times New Roman" w:hAnsi="Arial" w:cs="Arial"/>
          <w:i/>
          <w:iCs/>
          <w:lang w:eastAsia="es-MX"/>
        </w:rPr>
        <w:t xml:space="preserve">” </w:t>
      </w:r>
      <w:r w:rsidRPr="002218AB">
        <w:rPr>
          <w:rFonts w:ascii="Arial" w:eastAsia="Times New Roman" w:hAnsi="Arial" w:cs="Arial"/>
          <w:lang w:eastAsia="es-MX"/>
        </w:rPr>
        <w:t xml:space="preserve">define los </w:t>
      </w:r>
      <w:r w:rsidRPr="002218AB">
        <w:rPr>
          <w:rFonts w:ascii="Arial" w:eastAsia="Times New Roman" w:hAnsi="Arial" w:cs="Arial"/>
          <w:i/>
          <w:iCs/>
          <w:lang w:eastAsia="es-MX"/>
        </w:rPr>
        <w:t>Contratos en ejecución</w:t>
      </w:r>
      <w:r w:rsidRPr="002218AB">
        <w:rPr>
          <w:rFonts w:ascii="Arial" w:eastAsia="Times New Roman" w:hAnsi="Arial" w:cs="Arial"/>
          <w:lang w:eastAsia="es-MX"/>
        </w:rPr>
        <w:t xml:space="preserve"> de la siguiente manera: </w:t>
      </w:r>
      <w:r w:rsidRPr="002218AB">
        <w:rPr>
          <w:rFonts w:ascii="Arial" w:eastAsia="Times New Roman" w:hAnsi="Arial" w:cs="Arial"/>
          <w:i/>
          <w:iCs/>
          <w:lang w:eastAsia="es-MX"/>
        </w:rPr>
        <w:t xml:space="preserve"> </w:t>
      </w:r>
    </w:p>
    <w:p w14:paraId="7D1CD959" w14:textId="77777777" w:rsidR="002218AB" w:rsidRPr="002218AB" w:rsidRDefault="002218AB" w:rsidP="002218AB">
      <w:pPr>
        <w:spacing w:after="0" w:line="240" w:lineRule="auto"/>
        <w:ind w:left="709" w:right="709"/>
        <w:jc w:val="both"/>
        <w:rPr>
          <w:rFonts w:ascii="Arial" w:eastAsia="Times New Roman" w:hAnsi="Arial" w:cs="Arial"/>
          <w:lang w:eastAsia="es-MX"/>
        </w:rPr>
      </w:pPr>
    </w:p>
    <w:p w14:paraId="56CB3294" w14:textId="77777777" w:rsidR="002218AB" w:rsidRPr="002218AB" w:rsidRDefault="002218AB" w:rsidP="002218AB">
      <w:pPr>
        <w:spacing w:after="0" w:line="240" w:lineRule="auto"/>
        <w:ind w:left="709" w:right="709"/>
        <w:jc w:val="both"/>
        <w:rPr>
          <w:rFonts w:ascii="Arial" w:eastAsia="Times New Roman" w:hAnsi="Arial" w:cs="Arial"/>
          <w:lang w:eastAsia="es-MX"/>
        </w:rPr>
      </w:pPr>
      <w:r w:rsidRPr="002218AB">
        <w:rPr>
          <w:rFonts w:ascii="Arial" w:eastAsia="Calibri" w:hAnsi="Arial" w:cs="Arial"/>
          <w:color w:val="000000" w:themeColor="text1"/>
          <w:sz w:val="21"/>
          <w:szCs w:val="21"/>
          <w:lang w:val="es-ES" w:eastAsia="es-MX"/>
        </w:rPr>
        <w:t>“</w:t>
      </w:r>
      <w:r w:rsidRPr="002218AB">
        <w:rPr>
          <w:rFonts w:ascii="Arial" w:eastAsia="Times New Roman" w:hAnsi="Arial" w:cs="Arial"/>
          <w:sz w:val="21"/>
          <w:szCs w:val="21"/>
          <w:lang w:eastAsia="es-MX"/>
        </w:rPr>
        <w:t xml:space="preserve">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2218AB">
        <w:rPr>
          <w:rFonts w:ascii="Arial" w:eastAsia="Times New Roman" w:hAnsi="Arial" w:cs="Arial"/>
          <w:sz w:val="21"/>
          <w:szCs w:val="21"/>
          <w:u w:val="single"/>
          <w:lang w:eastAsia="es-MX"/>
        </w:rPr>
        <w:t xml:space="preserve">incluyendo los contratos suspendidos y aquellos que no tengan acta de inicio. </w:t>
      </w:r>
      <w:r w:rsidRPr="002218AB">
        <w:rPr>
          <w:rFonts w:ascii="Arial" w:eastAsia="Times New Roman" w:hAnsi="Arial" w:cs="Arial"/>
          <w:sz w:val="21"/>
          <w:szCs w:val="21"/>
          <w:lang w:eastAsia="es-MX"/>
        </w:rPr>
        <w:t xml:space="preserve">No se entenderán </w:t>
      </w:r>
      <w:r w:rsidRPr="002218AB">
        <w:rPr>
          <w:rFonts w:ascii="Arial" w:eastAsia="Times New Roman" w:hAnsi="Arial" w:cs="Arial"/>
          <w:sz w:val="21"/>
          <w:szCs w:val="21"/>
          <w:lang w:eastAsia="es-MX"/>
        </w:rPr>
        <w:lastRenderedPageBreak/>
        <w:t>como contratos en ejecución los que se encuentren en liquidación. (Subrayas fuera del texto)</w:t>
      </w:r>
      <w:r w:rsidRPr="002218AB">
        <w:rPr>
          <w:rFonts w:ascii="Arial" w:eastAsia="Times New Roman" w:hAnsi="Arial" w:cs="Arial"/>
          <w:vertAlign w:val="superscript"/>
          <w:lang w:eastAsia="es-MX"/>
        </w:rPr>
        <w:footnoteReference w:id="10"/>
      </w:r>
      <w:r w:rsidRPr="002218AB">
        <w:rPr>
          <w:rFonts w:ascii="Arial" w:eastAsia="Times New Roman" w:hAnsi="Arial" w:cs="Arial"/>
          <w:lang w:eastAsia="es-MX"/>
        </w:rPr>
        <w:t>.</w:t>
      </w:r>
      <w:r w:rsidRPr="002218AB">
        <w:rPr>
          <w:rFonts w:ascii="Arial" w:eastAsia="Calibri" w:hAnsi="Arial" w:cs="Arial"/>
          <w:color w:val="000000" w:themeColor="text1"/>
          <w:sz w:val="21"/>
          <w:szCs w:val="21"/>
          <w:lang w:val="es-ES" w:eastAsia="es-MX"/>
        </w:rPr>
        <w:t>”</w:t>
      </w:r>
    </w:p>
    <w:p w14:paraId="4C602C5C" w14:textId="77777777" w:rsidR="002218AB" w:rsidRPr="002218AB" w:rsidRDefault="002218AB" w:rsidP="002218AB">
      <w:pPr>
        <w:spacing w:after="0" w:line="276" w:lineRule="auto"/>
        <w:jc w:val="both"/>
        <w:rPr>
          <w:rFonts w:ascii="Arial" w:eastAsia="Times New Roman" w:hAnsi="Arial" w:cs="Arial"/>
          <w:b/>
          <w:bCs/>
          <w:lang w:eastAsia="es-MX"/>
        </w:rPr>
      </w:pPr>
    </w:p>
    <w:p w14:paraId="2092A209" w14:textId="77777777" w:rsidR="002218AB" w:rsidRPr="002218AB" w:rsidRDefault="002218AB" w:rsidP="002218AB">
      <w:pPr>
        <w:spacing w:after="120" w:line="276" w:lineRule="auto"/>
        <w:ind w:firstLine="709"/>
        <w:jc w:val="both"/>
        <w:rPr>
          <w:rFonts w:ascii="Arial" w:eastAsia="Times New Roman" w:hAnsi="Arial" w:cs="Arial"/>
          <w:lang w:eastAsia="es-MX"/>
        </w:rPr>
      </w:pPr>
      <w:r w:rsidRPr="002218AB">
        <w:rPr>
          <w:rFonts w:ascii="Arial" w:eastAsia="Times New Roman" w:hAnsi="Arial" w:cs="Arial"/>
          <w:lang w:eastAsia="es-MX"/>
        </w:rPr>
        <w:t xml:space="preserve">Como se observa, los saldos pendientes por ejecutar de los contratos suspendidos constituyen información que interesa para el cálculo del factor (SCE) “Saldos contratos en ejecución”. Al respecto debe mencionarse </w:t>
      </w:r>
      <w:proofErr w:type="gramStart"/>
      <w:r w:rsidRPr="002218AB">
        <w:rPr>
          <w:rFonts w:ascii="Arial" w:eastAsia="Times New Roman" w:hAnsi="Arial" w:cs="Arial"/>
          <w:lang w:eastAsia="es-MX"/>
        </w:rPr>
        <w:t>que</w:t>
      </w:r>
      <w:proofErr w:type="gramEnd"/>
      <w:r w:rsidRPr="002218AB">
        <w:rPr>
          <w:rFonts w:ascii="Arial" w:eastAsia="Times New Roman" w:hAnsi="Arial" w:cs="Arial"/>
          <w:lang w:eastAsia="es-MX"/>
        </w:rPr>
        <w:t xml:space="preserve"> si bien la suspensión de los contratos estatales no es una institución regulada explícitamente en el Estatuto General de Contratación de la Administración Pública, los saldos de los contratos pendientes por ejecutar de los contratos afectados por una suspensión constituyen, también, información relevante para calcular la capacidad residual del proponente (CRP).</w:t>
      </w:r>
    </w:p>
    <w:p w14:paraId="345EFA3A" w14:textId="77777777" w:rsidR="002218AB" w:rsidRPr="002218AB" w:rsidRDefault="002218AB" w:rsidP="002218AB">
      <w:pPr>
        <w:spacing w:before="120" w:after="0" w:line="276" w:lineRule="auto"/>
        <w:ind w:firstLine="709"/>
        <w:jc w:val="both"/>
        <w:rPr>
          <w:rFonts w:ascii="Arial" w:eastAsia="Times New Roman" w:hAnsi="Arial" w:cs="Arial"/>
          <w:lang w:eastAsia="es-MX"/>
        </w:rPr>
      </w:pPr>
      <w:r w:rsidRPr="00696912">
        <w:rPr>
          <w:rFonts w:ascii="Arial" w:eastAsia="Times New Roman" w:hAnsi="Arial" w:cs="Arial"/>
          <w:lang w:eastAsia="es-MX"/>
        </w:rPr>
        <w:t xml:space="preserve">Para acreditar el factor (SCE) “Saldos contratos en ejecución”, como lo establece la Guía para determinar y verificar la Capacidad Residual del proponente en los procesos de contratación de obra pública, el proponente debe presentar la lista de Contratos en ejecución, </w:t>
      </w:r>
      <w:r w:rsidRPr="00696912">
        <w:rPr>
          <w:rFonts w:ascii="Arial" w:eastAsia="Times New Roman" w:hAnsi="Arial" w:cs="Arial"/>
          <w:u w:val="single"/>
          <w:lang w:eastAsia="es-MX"/>
        </w:rPr>
        <w:t>tanto a nivel nacional como internacional</w:t>
      </w:r>
      <w:r w:rsidRPr="00696912">
        <w:rPr>
          <w:rFonts w:ascii="Arial" w:eastAsia="Times New Roman" w:hAnsi="Arial" w:cs="Arial"/>
          <w:lang w:eastAsia="es-MX"/>
        </w:rPr>
        <w:t xml:space="preserve">, señalando i) el valor del contrato; ii) el plazo del contrato en meses; </w:t>
      </w:r>
      <w:proofErr w:type="spellStart"/>
      <w:r w:rsidRPr="00696912">
        <w:rPr>
          <w:rFonts w:ascii="Arial" w:eastAsia="Times New Roman" w:hAnsi="Arial" w:cs="Arial"/>
          <w:lang w:eastAsia="es-MX"/>
        </w:rPr>
        <w:t>iii</w:t>
      </w:r>
      <w:proofErr w:type="spellEnd"/>
      <w:r w:rsidRPr="00696912">
        <w:rPr>
          <w:rFonts w:ascii="Arial" w:eastAsia="Times New Roman" w:hAnsi="Arial" w:cs="Arial"/>
          <w:lang w:eastAsia="es-MX"/>
        </w:rPr>
        <w:t>)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AB25D6F" w14:textId="77777777" w:rsidR="002218AB" w:rsidRDefault="002218AB" w:rsidP="002218AB">
      <w:pPr>
        <w:spacing w:before="120" w:after="0" w:line="276" w:lineRule="auto"/>
        <w:ind w:firstLine="709"/>
        <w:jc w:val="both"/>
        <w:rPr>
          <w:rFonts w:ascii="Arial" w:eastAsia="Times New Roman" w:hAnsi="Arial" w:cs="Arial"/>
          <w:lang w:eastAsia="es-MX"/>
        </w:rPr>
      </w:pPr>
      <w:r w:rsidRPr="002218AB">
        <w:rPr>
          <w:rFonts w:ascii="Arial" w:eastAsia="Times New Roman" w:hAnsi="Arial" w:cs="Arial"/>
          <w:lang w:eastAsia="es-MX"/>
        </w:rPr>
        <w:t xml:space="preserve"> En efecto, su relevancia surge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 Conforme a esto, en virtud de la competencia otorgada a esta Agencia por el artículo 2.2.1.1.1.6.4 del Decreto 1082 de 2015 para determinar la metodología para el cálculo de la capacidad residual, en el marco de la expedición de la guía mencionada, incluyó el saldo pendiente por ejecutar de los contratos suspendidos dentro del factor (SCE) “Saldos contratos en ejecución” en los términos antes precisados. </w:t>
      </w:r>
    </w:p>
    <w:p w14:paraId="64B7C5E5" w14:textId="4439D100" w:rsidR="00F444F6" w:rsidRDefault="00F444F6" w:rsidP="002218AB">
      <w:pPr>
        <w:spacing w:before="120" w:after="0" w:line="276" w:lineRule="auto"/>
        <w:ind w:firstLine="709"/>
        <w:jc w:val="both"/>
        <w:rPr>
          <w:rFonts w:ascii="Arial" w:eastAsia="Times New Roman" w:hAnsi="Arial" w:cs="Arial"/>
          <w:lang w:eastAsia="es-MX"/>
        </w:rPr>
      </w:pPr>
      <w:r>
        <w:rPr>
          <w:rFonts w:ascii="Arial" w:eastAsia="Times New Roman" w:hAnsi="Arial" w:cs="Arial"/>
          <w:lang w:eastAsia="es-MX"/>
        </w:rPr>
        <w:t xml:space="preserve">Por </w:t>
      </w:r>
      <w:r w:rsidR="006D7BF9">
        <w:rPr>
          <w:rFonts w:ascii="Arial" w:eastAsia="Times New Roman" w:hAnsi="Arial" w:cs="Arial"/>
          <w:lang w:eastAsia="es-MX"/>
        </w:rPr>
        <w:t>último</w:t>
      </w:r>
      <w:r>
        <w:rPr>
          <w:rFonts w:ascii="Arial" w:eastAsia="Times New Roman" w:hAnsi="Arial" w:cs="Arial"/>
          <w:lang w:eastAsia="es-MX"/>
        </w:rPr>
        <w:t xml:space="preserve">, frente al </w:t>
      </w:r>
      <w:r w:rsidR="006D7BF9">
        <w:rPr>
          <w:rFonts w:ascii="Arial" w:eastAsia="Times New Roman" w:hAnsi="Arial" w:cs="Arial"/>
          <w:lang w:eastAsia="es-MX"/>
        </w:rPr>
        <w:t>cálculo</w:t>
      </w:r>
      <w:r>
        <w:rPr>
          <w:rFonts w:ascii="Arial" w:eastAsia="Times New Roman" w:hAnsi="Arial" w:cs="Arial"/>
          <w:lang w:eastAsia="es-MX"/>
        </w:rPr>
        <w:t xml:space="preserve"> </w:t>
      </w:r>
      <w:r w:rsidR="006D7BF9">
        <w:rPr>
          <w:rFonts w:ascii="Arial" w:eastAsia="Times New Roman" w:hAnsi="Arial" w:cs="Arial"/>
          <w:lang w:eastAsia="es-MX"/>
        </w:rPr>
        <w:t xml:space="preserve">de la capacidad residual de los proponentes extranjeros con </w:t>
      </w:r>
      <w:r w:rsidR="00FD4339" w:rsidRPr="00FD4339">
        <w:rPr>
          <w:rFonts w:ascii="Arial" w:eastAsia="Times New Roman" w:hAnsi="Arial" w:cs="Arial"/>
          <w:lang w:eastAsia="es-MX"/>
        </w:rPr>
        <w:t xml:space="preserve">asiento permanente de negocios en </w:t>
      </w:r>
      <w:r w:rsidR="00D3335A">
        <w:rPr>
          <w:rFonts w:ascii="Arial" w:eastAsia="Times New Roman" w:hAnsi="Arial" w:cs="Arial"/>
          <w:lang w:eastAsia="es-MX"/>
        </w:rPr>
        <w:t xml:space="preserve">Colombia debe observarse el factor </w:t>
      </w:r>
      <w:r w:rsidR="004E0761">
        <w:rPr>
          <w:rFonts w:ascii="Arial" w:eastAsia="Times New Roman" w:hAnsi="Arial" w:cs="Arial"/>
          <w:lang w:eastAsia="es-MX"/>
        </w:rPr>
        <w:t>territorial,</w:t>
      </w:r>
      <w:r w:rsidR="007559EF">
        <w:rPr>
          <w:rFonts w:ascii="Arial" w:eastAsia="Times New Roman" w:hAnsi="Arial" w:cs="Arial"/>
          <w:lang w:eastAsia="es-MX"/>
        </w:rPr>
        <w:t xml:space="preserve"> así como el lugar en donde se </w:t>
      </w:r>
      <w:r w:rsidR="00354BB8">
        <w:rPr>
          <w:rFonts w:ascii="Arial" w:eastAsia="Times New Roman" w:hAnsi="Arial" w:cs="Arial"/>
          <w:lang w:eastAsia="es-MX"/>
        </w:rPr>
        <w:t xml:space="preserve">vayan a ejecutar las obligaciones del contrato. En todo caso, en lo que </w:t>
      </w:r>
      <w:r w:rsidR="00C4437D">
        <w:rPr>
          <w:rFonts w:ascii="Arial" w:eastAsia="Times New Roman" w:hAnsi="Arial" w:cs="Arial"/>
          <w:lang w:eastAsia="es-MX"/>
        </w:rPr>
        <w:t xml:space="preserve">al proponente extranjero sin sucursal en Colombia respecta, </w:t>
      </w:r>
      <w:r w:rsidR="004555F6">
        <w:rPr>
          <w:rFonts w:ascii="Arial" w:eastAsia="Times New Roman" w:hAnsi="Arial" w:cs="Arial"/>
          <w:lang w:eastAsia="es-MX"/>
        </w:rPr>
        <w:t xml:space="preserve">la </w:t>
      </w:r>
      <w:r w:rsidR="004555F6" w:rsidRPr="004555F6">
        <w:rPr>
          <w:rFonts w:ascii="Arial" w:eastAsia="Times New Roman" w:hAnsi="Arial" w:cs="Arial"/>
          <w:lang w:eastAsia="es-MX"/>
        </w:rPr>
        <w:t xml:space="preserve">“Guía para Determinar </w:t>
      </w:r>
      <w:r w:rsidR="004555F6" w:rsidRPr="004555F6">
        <w:rPr>
          <w:rFonts w:ascii="Arial" w:eastAsia="Times New Roman" w:hAnsi="Arial" w:cs="Arial"/>
          <w:lang w:eastAsia="es-MX"/>
        </w:rPr>
        <w:lastRenderedPageBreak/>
        <w:t>y Verificar la Capacidad Residual del Proponente en los Procesos de Contratación de Obra Pública”</w:t>
      </w:r>
      <w:r w:rsidR="00D37E81">
        <w:rPr>
          <w:rFonts w:ascii="Arial" w:eastAsia="Times New Roman" w:hAnsi="Arial" w:cs="Arial"/>
          <w:lang w:eastAsia="es-MX"/>
        </w:rPr>
        <w:t>, en el capítulo 5 refiere lo siguiente:</w:t>
      </w:r>
    </w:p>
    <w:p w14:paraId="065E3C2E" w14:textId="1DB869EF" w:rsidR="00D37E81" w:rsidRDefault="007755FF" w:rsidP="007755FF">
      <w:pPr>
        <w:spacing w:after="0" w:line="240" w:lineRule="auto"/>
        <w:ind w:left="709" w:right="709"/>
        <w:jc w:val="both"/>
        <w:rPr>
          <w:rFonts w:ascii="Arial" w:eastAsia="Calibri" w:hAnsi="Arial" w:cs="Arial"/>
          <w:color w:val="000000" w:themeColor="text1"/>
          <w:sz w:val="21"/>
          <w:szCs w:val="21"/>
          <w:lang w:val="es-ES" w:eastAsia="es-MX"/>
        </w:rPr>
      </w:pPr>
      <w:r>
        <w:rPr>
          <w:rFonts w:ascii="Arial" w:eastAsia="Calibri" w:hAnsi="Arial" w:cs="Arial"/>
          <w:color w:val="000000" w:themeColor="text1"/>
          <w:sz w:val="21"/>
          <w:szCs w:val="21"/>
          <w:lang w:val="es-ES" w:eastAsia="es-MX"/>
        </w:rPr>
        <w:t>“</w:t>
      </w:r>
      <w:r w:rsidRPr="007755FF">
        <w:rPr>
          <w:rFonts w:ascii="Arial" w:eastAsia="Calibri" w:hAnsi="Arial" w:cs="Arial"/>
          <w:color w:val="000000" w:themeColor="text1"/>
          <w:sz w:val="21"/>
          <w:szCs w:val="21"/>
          <w:lang w:val="es-ES" w:eastAsia="es-MX"/>
        </w:rPr>
        <w:t>Los proponentes extranjeros sin sucursal en Colombia deben acreditar los factores de ponderación para el cálculo de la Capacidad Residual de la siguiente forma:</w:t>
      </w:r>
    </w:p>
    <w:p w14:paraId="0354ACFE" w14:textId="77777777" w:rsidR="007755FF" w:rsidRDefault="007755FF" w:rsidP="007755FF">
      <w:pPr>
        <w:spacing w:after="0" w:line="240" w:lineRule="auto"/>
        <w:ind w:left="709" w:right="709"/>
        <w:jc w:val="both"/>
        <w:rPr>
          <w:rFonts w:ascii="Arial" w:eastAsia="Calibri" w:hAnsi="Arial" w:cs="Arial"/>
          <w:color w:val="000000" w:themeColor="text1"/>
          <w:sz w:val="21"/>
          <w:szCs w:val="21"/>
          <w:lang w:val="es-ES" w:eastAsia="es-MX"/>
        </w:rPr>
      </w:pPr>
    </w:p>
    <w:p w14:paraId="5BA2EC3B" w14:textId="5A834015" w:rsidR="00D32DE0" w:rsidRDefault="00D32DE0" w:rsidP="00D32DE0">
      <w:pPr>
        <w:spacing w:after="0" w:line="240" w:lineRule="auto"/>
        <w:ind w:left="709" w:right="709"/>
        <w:jc w:val="both"/>
        <w:rPr>
          <w:rFonts w:ascii="Arial" w:eastAsia="Calibri" w:hAnsi="Arial" w:cs="Arial"/>
          <w:color w:val="000000" w:themeColor="text1"/>
          <w:sz w:val="21"/>
          <w:szCs w:val="21"/>
          <w:lang w:val="es-ES" w:eastAsia="es-MX"/>
        </w:rPr>
      </w:pPr>
      <w:r w:rsidRPr="00D32DE0">
        <w:rPr>
          <w:rFonts w:ascii="Arial" w:eastAsia="Calibri" w:hAnsi="Arial" w:cs="Arial"/>
          <w:b/>
          <w:bCs/>
          <w:color w:val="000000" w:themeColor="text1"/>
          <w:sz w:val="21"/>
          <w:szCs w:val="21"/>
          <w:lang w:val="es-ES" w:eastAsia="es-MX"/>
        </w:rPr>
        <w:t>Capacidad de organización y financiera</w:t>
      </w:r>
      <w:r w:rsidRPr="00D32DE0">
        <w:rPr>
          <w:rFonts w:ascii="Arial" w:eastAsia="Calibri" w:hAnsi="Arial" w:cs="Arial"/>
          <w:color w:val="000000" w:themeColor="text1"/>
          <w:sz w:val="21"/>
          <w:szCs w:val="21"/>
          <w:lang w:val="es-ES" w:eastAsia="es-MX"/>
        </w:rPr>
        <w:t>: deben presentar sus estados financieros en la moneda</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legal del país en el cual fueron emitidos y adicionalmente en pesos colombianos. El proponente y</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la Entidad Estatal para efectos de acreditar y verificar los requisitos tendrán en cuenta la tasa</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representativa del mercado vigente en la fecha en la cual los estados financieros fueron expedidos.</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Para el efecto, el proponente y la Entidad Estatal tendrán en cuenta las tasas de cambio certificadas</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por la Superintendencia Financiera.</w:t>
      </w:r>
    </w:p>
    <w:p w14:paraId="3A3D3E13" w14:textId="77777777" w:rsidR="00D32DE0" w:rsidRPr="00D32DE0" w:rsidRDefault="00D32DE0" w:rsidP="00D32DE0">
      <w:pPr>
        <w:spacing w:after="0" w:line="240" w:lineRule="auto"/>
        <w:ind w:left="709" w:right="709"/>
        <w:jc w:val="both"/>
        <w:rPr>
          <w:rFonts w:ascii="Arial" w:eastAsia="Calibri" w:hAnsi="Arial" w:cs="Arial"/>
          <w:color w:val="000000" w:themeColor="text1"/>
          <w:sz w:val="21"/>
          <w:szCs w:val="21"/>
          <w:lang w:val="es-ES" w:eastAsia="es-MX"/>
        </w:rPr>
      </w:pPr>
    </w:p>
    <w:p w14:paraId="780F50EC" w14:textId="1F98E9A1" w:rsidR="007755FF" w:rsidRDefault="00D32DE0" w:rsidP="0039737D">
      <w:pPr>
        <w:spacing w:after="0" w:line="240" w:lineRule="auto"/>
        <w:ind w:left="709" w:right="709"/>
        <w:jc w:val="both"/>
        <w:rPr>
          <w:rFonts w:ascii="Arial" w:eastAsia="Calibri" w:hAnsi="Arial" w:cs="Arial"/>
          <w:color w:val="000000" w:themeColor="text1"/>
          <w:sz w:val="21"/>
          <w:szCs w:val="21"/>
          <w:lang w:val="es-ES" w:eastAsia="es-MX"/>
        </w:rPr>
      </w:pPr>
      <w:r w:rsidRPr="00D32DE0">
        <w:rPr>
          <w:rFonts w:ascii="Arial" w:eastAsia="Calibri" w:hAnsi="Arial" w:cs="Arial"/>
          <w:b/>
          <w:bCs/>
          <w:color w:val="000000" w:themeColor="text1"/>
          <w:sz w:val="21"/>
          <w:szCs w:val="21"/>
          <w:lang w:val="es-ES" w:eastAsia="es-MX"/>
        </w:rPr>
        <w:t>Experiencia</w:t>
      </w:r>
      <w:r w:rsidRPr="00D32DE0">
        <w:rPr>
          <w:rFonts w:ascii="Arial" w:eastAsia="Calibri" w:hAnsi="Arial" w:cs="Arial"/>
          <w:color w:val="000000" w:themeColor="text1"/>
          <w:sz w:val="21"/>
          <w:szCs w:val="21"/>
          <w:lang w:val="es-ES" w:eastAsia="es-MX"/>
        </w:rPr>
        <w:t>: deben presentar el formato que hace parte de la presente Guía como anexo, suscrito</w:t>
      </w:r>
      <w:r w:rsidR="0039737D">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por el representante legal y revisor fiscal o contador del proponente. El proponente debe aportar</w:t>
      </w:r>
      <w:r w:rsidR="0039737D">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copia de los contratos ejecutados o certificaciones de terceros que hubieran recibido los servicios de</w:t>
      </w:r>
      <w:r w:rsidR="0039737D">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construcción de obras civiles con terceros, bien sean públicos o privados.</w:t>
      </w:r>
    </w:p>
    <w:p w14:paraId="1A81E243" w14:textId="77777777" w:rsidR="00F13B7A" w:rsidRPr="007755FF" w:rsidRDefault="00F13B7A" w:rsidP="0039737D">
      <w:pPr>
        <w:spacing w:after="0" w:line="240" w:lineRule="auto"/>
        <w:ind w:left="709" w:right="709"/>
        <w:jc w:val="both"/>
        <w:rPr>
          <w:rFonts w:ascii="Arial" w:eastAsia="Calibri" w:hAnsi="Arial" w:cs="Arial"/>
          <w:color w:val="000000" w:themeColor="text1"/>
          <w:sz w:val="21"/>
          <w:szCs w:val="21"/>
          <w:lang w:val="es-ES" w:eastAsia="es-MX"/>
        </w:rPr>
      </w:pPr>
    </w:p>
    <w:p w14:paraId="2DFA6EE8" w14:textId="0748D8AA" w:rsidR="00D37E81" w:rsidRPr="002218AB" w:rsidRDefault="00F13B7A" w:rsidP="00F13B7A">
      <w:pPr>
        <w:spacing w:after="0" w:line="240" w:lineRule="auto"/>
        <w:ind w:left="709" w:right="709"/>
        <w:jc w:val="both"/>
        <w:rPr>
          <w:rFonts w:ascii="Arial" w:eastAsia="Calibri" w:hAnsi="Arial" w:cs="Arial"/>
          <w:color w:val="000000" w:themeColor="text1"/>
          <w:sz w:val="21"/>
          <w:szCs w:val="21"/>
          <w:lang w:val="es-ES" w:eastAsia="es-MX"/>
        </w:rPr>
      </w:pPr>
      <w:r w:rsidRPr="00F13B7A">
        <w:rPr>
          <w:rFonts w:ascii="Arial" w:eastAsia="Calibri" w:hAnsi="Arial" w:cs="Arial"/>
          <w:color w:val="000000" w:themeColor="text1"/>
          <w:sz w:val="21"/>
          <w:szCs w:val="21"/>
          <w:lang w:val="es-ES" w:eastAsia="es-MX"/>
        </w:rPr>
        <w:t>Los proponentes extranjeros que de acuerdo con las normas aplicables aprueben sus estados financieros</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auditados con corte a 31 de diciembre en una fecha posterior al quinto día hábil del mes de abril, pueden</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presentar sus estados financieros a 31 de diciembre suscritos por el representante legal junto con un</w:t>
      </w:r>
      <w:r>
        <w:rPr>
          <w:rFonts w:ascii="Arial" w:eastAsia="Calibri" w:hAnsi="Arial" w:cs="Arial"/>
          <w:color w:val="000000" w:themeColor="text1"/>
          <w:sz w:val="21"/>
          <w:szCs w:val="21"/>
          <w:lang w:val="es-ES" w:eastAsia="es-MX"/>
        </w:rPr>
        <w:t xml:space="preserve"> </w:t>
      </w:r>
      <w:proofErr w:type="spellStart"/>
      <w:r w:rsidRPr="00F13B7A">
        <w:rPr>
          <w:rFonts w:ascii="Arial" w:eastAsia="Calibri" w:hAnsi="Arial" w:cs="Arial"/>
          <w:color w:val="000000" w:themeColor="text1"/>
          <w:sz w:val="21"/>
          <w:szCs w:val="21"/>
          <w:lang w:val="es-ES" w:eastAsia="es-MX"/>
        </w:rPr>
        <w:t>pre-informe</w:t>
      </w:r>
      <w:proofErr w:type="spellEnd"/>
      <w:r w:rsidRPr="00F13B7A">
        <w:rPr>
          <w:rFonts w:ascii="Arial" w:eastAsia="Calibri" w:hAnsi="Arial" w:cs="Arial"/>
          <w:color w:val="000000" w:themeColor="text1"/>
          <w:sz w:val="21"/>
          <w:szCs w:val="21"/>
          <w:lang w:val="es-ES" w:eastAsia="es-MX"/>
        </w:rPr>
        <w:t xml:space="preserve"> de auditoría en el cual el auditor o el revisor fiscal certifique que: (a) la información financiera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presentada a la Entidad Estatal es la entregada al auditor o revisor fiscal para cumplir su función de auditoría;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y (b) el proponente en forma regular y para ejercicios contables anteriores ha adoptado normas y principios de</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contabilidad generalmente aceptados para preparar su información y estados financieros. Esta disposición</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también es aplicable para la información que el proponente en estas condiciones debe presentar para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inscribirse en el RUP de acuerdo con el artículo 9 del Decreto 1082 de 2015.</w:t>
      </w:r>
      <w:r>
        <w:rPr>
          <w:rFonts w:ascii="Arial" w:eastAsia="Calibri" w:hAnsi="Arial" w:cs="Arial"/>
          <w:color w:val="000000" w:themeColor="text1"/>
          <w:sz w:val="21"/>
          <w:szCs w:val="21"/>
          <w:lang w:val="es-ES" w:eastAsia="es-MX"/>
        </w:rPr>
        <w:t>”</w:t>
      </w:r>
    </w:p>
    <w:p w14:paraId="31DF815B" w14:textId="77777777" w:rsidR="004B07AB" w:rsidRPr="001E10C1" w:rsidRDefault="004B07AB" w:rsidP="004B07AB">
      <w:pPr>
        <w:widowControl w:val="0"/>
        <w:autoSpaceDE w:val="0"/>
        <w:autoSpaceDN w:val="0"/>
        <w:spacing w:before="120" w:after="0" w:line="276" w:lineRule="auto"/>
        <w:ind w:firstLine="709"/>
        <w:jc w:val="both"/>
        <w:rPr>
          <w:rFonts w:ascii="Arial" w:eastAsia="Arial" w:hAnsi="Arial" w:cs="Arial"/>
        </w:rPr>
      </w:pPr>
    </w:p>
    <w:p w14:paraId="305763E7" w14:textId="77777777" w:rsidR="00FA1171" w:rsidRPr="0073186E" w:rsidRDefault="00FA1171" w:rsidP="00FA1171">
      <w:pPr>
        <w:spacing w:after="0" w:line="276" w:lineRule="auto"/>
        <w:jc w:val="both"/>
        <w:rPr>
          <w:rFonts w:ascii="Arial" w:eastAsia="Calibri" w:hAnsi="Arial" w:cs="Arial"/>
          <w:bCs/>
        </w:rPr>
      </w:pPr>
      <w:r w:rsidRPr="0073186E">
        <w:rPr>
          <w:rFonts w:ascii="Arial" w:eastAsia="Calibri" w:hAnsi="Arial" w:cs="Arial"/>
          <w:bCs/>
        </w:rPr>
        <w:t>En todo caso, corresponde a cada entidad pública, en ejercicio de su competencia y previa valoración de los elementos fácticos y jurídicos, determinar si es procedente o</w:t>
      </w:r>
      <w:r>
        <w:rPr>
          <w:rFonts w:ascii="Arial" w:eastAsia="Calibri" w:hAnsi="Arial" w:cs="Arial"/>
          <w:bCs/>
        </w:rPr>
        <w:t xml:space="preserve"> no </w:t>
      </w:r>
      <w:r w:rsidRPr="00CE1261">
        <w:rPr>
          <w:rFonts w:ascii="Arial" w:eastAsia="Calibri" w:hAnsi="Arial" w:cs="Arial"/>
          <w:bCs/>
        </w:rPr>
        <w:t>el puntaje adicional por acreditar personal en situación de discapacidad</w:t>
      </w:r>
      <w:r>
        <w:rPr>
          <w:rFonts w:ascii="Arial" w:eastAsia="Calibri" w:hAnsi="Arial" w:cs="Arial"/>
          <w:bCs/>
        </w:rPr>
        <w:t xml:space="preserve"> en cada caso concreto, así como la</w:t>
      </w:r>
      <w:r w:rsidRPr="00173207">
        <w:t xml:space="preserve"> </w:t>
      </w:r>
      <w:r>
        <w:rPr>
          <w:rFonts w:ascii="Arial" w:hAnsi="Arial" w:cs="Arial"/>
        </w:rPr>
        <w:t xml:space="preserve">certera </w:t>
      </w:r>
      <w:r w:rsidRPr="00173207">
        <w:rPr>
          <w:rFonts w:ascii="Arial" w:eastAsia="Calibri" w:hAnsi="Arial" w:cs="Arial"/>
          <w:bCs/>
        </w:rPr>
        <w:t>acredita</w:t>
      </w:r>
      <w:r>
        <w:rPr>
          <w:rFonts w:ascii="Arial" w:eastAsia="Calibri" w:hAnsi="Arial" w:cs="Arial"/>
          <w:bCs/>
        </w:rPr>
        <w:t>ción de</w:t>
      </w:r>
      <w:r w:rsidRPr="00173207">
        <w:rPr>
          <w:rFonts w:ascii="Arial" w:eastAsia="Calibri" w:hAnsi="Arial" w:cs="Arial"/>
          <w:bCs/>
        </w:rPr>
        <w:t xml:space="preserve"> cada uno de los componentes de la capacidad residual en los procesos de contratación pública</w:t>
      </w:r>
      <w:r w:rsidRPr="0073186E">
        <w:rPr>
          <w:rFonts w:ascii="Arial" w:eastAsia="Calibri" w:hAnsi="Arial" w:cs="Arial"/>
          <w:bCs/>
        </w:rPr>
        <w:t xml:space="preserve">.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734981C6" w14:textId="7BC6A54D" w:rsidR="0073186E" w:rsidRPr="0073186E" w:rsidRDefault="0073186E" w:rsidP="0073186E">
      <w:pPr>
        <w:tabs>
          <w:tab w:val="left" w:pos="0"/>
        </w:tabs>
        <w:spacing w:after="0" w:line="276" w:lineRule="auto"/>
        <w:jc w:val="both"/>
        <w:rPr>
          <w:rFonts w:ascii="Arial" w:eastAsia="Calibri" w:hAnsi="Arial" w:cs="Arial"/>
          <w:bCs/>
        </w:rPr>
      </w:pPr>
    </w:p>
    <w:p w14:paraId="66047460" w14:textId="77777777" w:rsidR="0073186E" w:rsidRPr="0073186E" w:rsidRDefault="0073186E" w:rsidP="0073186E">
      <w:pPr>
        <w:spacing w:after="0" w:line="276" w:lineRule="auto"/>
        <w:jc w:val="both"/>
        <w:rPr>
          <w:rFonts w:ascii="Arial" w:eastAsia="Times New Roman" w:hAnsi="Arial" w:cs="Arial"/>
          <w:color w:val="000000"/>
          <w:szCs w:val="24"/>
          <w:lang w:eastAsia="es-ES_tradnl"/>
        </w:rPr>
      </w:pPr>
    </w:p>
    <w:p w14:paraId="53F172FF" w14:textId="77777777" w:rsidR="0073186E" w:rsidRPr="0073186E" w:rsidRDefault="0073186E" w:rsidP="0073186E">
      <w:pPr>
        <w:tabs>
          <w:tab w:val="left" w:pos="0"/>
        </w:tabs>
        <w:spacing w:after="0" w:line="240" w:lineRule="auto"/>
        <w:jc w:val="both"/>
        <w:rPr>
          <w:rFonts w:ascii="Arial" w:eastAsia="Calibri" w:hAnsi="Arial" w:cs="Arial"/>
          <w:b/>
          <w:color w:val="000000"/>
          <w:szCs w:val="24"/>
          <w:lang w:val="es-ES_tradnl" w:eastAsia="es-ES_tradnl"/>
        </w:rPr>
      </w:pPr>
      <w:r w:rsidRPr="0073186E">
        <w:rPr>
          <w:rFonts w:ascii="Arial" w:eastAsia="Calibri" w:hAnsi="Arial" w:cs="Arial"/>
          <w:b/>
          <w:color w:val="000000"/>
          <w:szCs w:val="24"/>
          <w:lang w:val="es-ES_tradnl" w:eastAsia="es-ES_tradnl"/>
        </w:rPr>
        <w:lastRenderedPageBreak/>
        <w:t>3. Respuesta</w:t>
      </w:r>
    </w:p>
    <w:p w14:paraId="70D57E98" w14:textId="77777777" w:rsidR="0073186E" w:rsidRPr="0073186E" w:rsidRDefault="0073186E" w:rsidP="0073186E">
      <w:pPr>
        <w:tabs>
          <w:tab w:val="left" w:pos="0"/>
        </w:tabs>
        <w:spacing w:after="0" w:line="276" w:lineRule="auto"/>
        <w:jc w:val="both"/>
        <w:rPr>
          <w:rFonts w:ascii="Arial" w:eastAsia="Calibri" w:hAnsi="Arial" w:cs="Arial"/>
          <w:b/>
          <w:color w:val="000000"/>
          <w:szCs w:val="24"/>
          <w:lang w:val="es-ES_tradnl" w:eastAsia="es-ES_tradnl"/>
        </w:rPr>
      </w:pPr>
    </w:p>
    <w:p w14:paraId="088459A3" w14:textId="223B5F86" w:rsidR="00E314AC"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r w:rsidRPr="0073186E">
        <w:rPr>
          <w:rFonts w:ascii="Arial" w:eastAsia="Times New Roman" w:hAnsi="Arial" w:cs="Arial"/>
          <w:color w:val="000000"/>
          <w:sz w:val="21"/>
          <w:szCs w:val="21"/>
          <w:lang w:val="es-ES_tradnl" w:eastAsia="es-ES_tradnl"/>
        </w:rPr>
        <w:t>“</w:t>
      </w:r>
      <w:r w:rsidRPr="00E314AC">
        <w:rPr>
          <w:rFonts w:ascii="Arial" w:eastAsia="Times New Roman" w:hAnsi="Arial" w:cs="Arial"/>
          <w:color w:val="000000"/>
          <w:sz w:val="21"/>
          <w:szCs w:val="21"/>
          <w:lang w:val="es-ES_tradnl" w:eastAsia="es-ES_tradnl"/>
        </w:rPr>
        <w:t>¿para establecer el número mínimo de trabajadores con discapacidad exigido para ser acreedor del puntaje mencionado en el artículo 2.2.1.2.4.2.6 del Decreto 1082 de 2015 se debe tener en cuenta el número de trabajadores de la matriz extranjera o únicamente los de la sucursal? ¿para acreditar el puntaje mencionado en el artículo 2.2.1.2.4.2.6 del Decreto 1082 de 2015 se deben tener en cuenta los trabajadores en situación de discapacidad de la casa matriz extranjera?</w:t>
      </w:r>
      <w:r w:rsidR="00D0336F">
        <w:rPr>
          <w:rFonts w:ascii="Arial" w:eastAsia="Times New Roman" w:hAnsi="Arial" w:cs="Arial"/>
          <w:color w:val="000000"/>
          <w:sz w:val="21"/>
          <w:szCs w:val="21"/>
          <w:lang w:val="es-ES_tradnl" w:eastAsia="es-ES_tradnl"/>
        </w:rPr>
        <w:t>”</w:t>
      </w:r>
    </w:p>
    <w:p w14:paraId="6D79EC06" w14:textId="77777777" w:rsidR="00D0336F" w:rsidRDefault="00D0336F" w:rsidP="00E314AC">
      <w:pPr>
        <w:spacing w:after="0" w:line="240" w:lineRule="auto"/>
        <w:ind w:left="709" w:right="709"/>
        <w:jc w:val="both"/>
        <w:rPr>
          <w:rFonts w:ascii="Arial" w:eastAsia="Times New Roman" w:hAnsi="Arial" w:cs="Arial"/>
          <w:color w:val="000000"/>
          <w:sz w:val="21"/>
          <w:szCs w:val="21"/>
          <w:lang w:val="es-ES_tradnl" w:eastAsia="es-ES_tradnl"/>
        </w:rPr>
      </w:pPr>
    </w:p>
    <w:p w14:paraId="09EF2A9D" w14:textId="77777777" w:rsidR="00D0336F" w:rsidRDefault="00D0336F" w:rsidP="00E314AC">
      <w:pPr>
        <w:spacing w:after="0" w:line="240" w:lineRule="auto"/>
        <w:ind w:left="709" w:right="709"/>
        <w:jc w:val="both"/>
        <w:rPr>
          <w:rFonts w:ascii="Arial" w:eastAsia="Times New Roman" w:hAnsi="Arial" w:cs="Arial"/>
          <w:color w:val="000000"/>
          <w:sz w:val="21"/>
          <w:szCs w:val="21"/>
          <w:lang w:val="es-ES_tradnl" w:eastAsia="es-ES_tradnl"/>
        </w:rPr>
      </w:pPr>
    </w:p>
    <w:p w14:paraId="586F8008" w14:textId="2A8ABBD2" w:rsidR="00E314AC" w:rsidRDefault="00D0336F" w:rsidP="00D0336F">
      <w:pPr>
        <w:spacing w:after="0" w:line="276" w:lineRule="auto"/>
        <w:jc w:val="both"/>
        <w:rPr>
          <w:rFonts w:ascii="Arial" w:eastAsia="Calibri" w:hAnsi="Arial" w:cs="Arial"/>
          <w:bCs/>
        </w:rPr>
      </w:pPr>
      <w:r w:rsidRPr="00D0336F">
        <w:rPr>
          <w:rFonts w:ascii="Arial" w:eastAsia="Calibri" w:hAnsi="Arial" w:cs="Arial"/>
          <w:bCs/>
        </w:rPr>
        <w:t xml:space="preserve">Conforme a lo expuesto en las consideraciones, para obtener el puntaje adicional por acreditar personal en situación de discapacidad se debe aplicar  lo previsto en el Decreto 392 de 2018, que establece los siguientes requisitos: i) presentarse el certificado firmado por la persona natural, el representante legal de la persona jurídica o el revisor fiscal del proponente o integrante que pretenda acreditar esta condición; y ii) acreditar el número mínimo de personas con discapacidad </w:t>
      </w:r>
      <w:r w:rsidRPr="00E7494C">
        <w:rPr>
          <w:rFonts w:ascii="Arial" w:eastAsia="Calibri" w:hAnsi="Arial" w:cs="Arial"/>
          <w:bCs/>
          <w:u w:val="single"/>
        </w:rPr>
        <w:t>en su planta de personal, de conformidad con lo señalado en el certificado expedido por el Ministerio de Trabajo</w:t>
      </w:r>
      <w:r w:rsidRPr="00D0336F">
        <w:rPr>
          <w:rFonts w:ascii="Arial" w:eastAsia="Calibri" w:hAnsi="Arial" w:cs="Arial"/>
          <w:bCs/>
        </w:rPr>
        <w:t>.</w:t>
      </w:r>
    </w:p>
    <w:p w14:paraId="4F0A1837" w14:textId="77777777" w:rsidR="00693A47" w:rsidRDefault="00693A47" w:rsidP="00D0336F">
      <w:pPr>
        <w:spacing w:after="0" w:line="276" w:lineRule="auto"/>
        <w:jc w:val="both"/>
        <w:rPr>
          <w:rFonts w:ascii="Arial" w:eastAsia="Calibri" w:hAnsi="Arial" w:cs="Arial"/>
          <w:bCs/>
        </w:rPr>
      </w:pPr>
    </w:p>
    <w:p w14:paraId="654C2930" w14:textId="1A5A27A5" w:rsidR="00693A47" w:rsidRDefault="00534FD9" w:rsidP="00693A47">
      <w:pPr>
        <w:spacing w:after="120" w:line="276" w:lineRule="auto"/>
        <w:ind w:firstLine="708"/>
        <w:jc w:val="both"/>
      </w:pPr>
      <w:r>
        <w:rPr>
          <w:rFonts w:ascii="Arial" w:eastAsia="Times New Roman" w:hAnsi="Arial" w:cs="Arial"/>
          <w:color w:val="000000"/>
          <w:szCs w:val="24"/>
          <w:lang w:eastAsia="es-MX"/>
        </w:rPr>
        <w:t xml:space="preserve">Ahora bien, </w:t>
      </w:r>
      <w:r w:rsidR="00693A47" w:rsidRPr="00F953AF">
        <w:rPr>
          <w:rFonts w:ascii="Arial" w:eastAsia="Times New Roman" w:hAnsi="Arial" w:cs="Arial"/>
          <w:color w:val="000000"/>
          <w:szCs w:val="24"/>
          <w:lang w:eastAsia="es-MX"/>
        </w:rPr>
        <w:t xml:space="preserve">al revisar el artículo 1 del Decreto 392 de 2018, que enuncia los requisitos para acceder al puntaje adicional por vincular personal en condición de discapacidad, se observa que el deber que impone la norma a las entidades, de otorgar el 1% del total de puntos del procedimiento contractual, se dirige a los proponentes que acrediten los requisitos allí señalados. La palabra “proponente” debe interpretarse de conformidad con la Ley 80 de 1993 que, en el artículo 6, señala quiénes tienen capacidad para contratar, esto es, las personas con capacidad </w:t>
      </w:r>
      <w:r w:rsidRPr="00F953AF">
        <w:rPr>
          <w:rFonts w:ascii="Arial" w:eastAsia="Times New Roman" w:hAnsi="Arial" w:cs="Arial"/>
          <w:color w:val="000000"/>
          <w:szCs w:val="24"/>
          <w:lang w:eastAsia="es-MX"/>
        </w:rPr>
        <w:t>jurídica</w:t>
      </w:r>
      <w:r w:rsidR="00693A47" w:rsidRPr="00F953AF">
        <w:rPr>
          <w:rFonts w:ascii="Arial" w:eastAsia="Times New Roman" w:hAnsi="Arial" w:cs="Arial"/>
          <w:color w:val="000000"/>
          <w:szCs w:val="24"/>
          <w:lang w:eastAsia="es-MX"/>
        </w:rPr>
        <w:t xml:space="preserve"> </w:t>
      </w:r>
      <w:r w:rsidR="00693A47" w:rsidRPr="00F953AF">
        <w:rPr>
          <w:rFonts w:ascii="Arial" w:eastAsia="Times New Roman" w:hAnsi="Arial" w:cs="Arial"/>
          <w:color w:val="000000"/>
          <w:szCs w:val="24"/>
          <w:u w:val="single"/>
          <w:lang w:eastAsia="es-MX"/>
        </w:rPr>
        <w:t>sean nacionales o extranjeras</w:t>
      </w:r>
      <w:r w:rsidR="00693A47" w:rsidRPr="00F953AF">
        <w:rPr>
          <w:rStyle w:val="Refdenotaalpie"/>
        </w:rPr>
        <w:footnoteReference w:id="11"/>
      </w:r>
      <w:r w:rsidR="00693A47" w:rsidRPr="00F953AF">
        <w:rPr>
          <w:rFonts w:ascii="Arial" w:eastAsia="Times New Roman" w:hAnsi="Arial" w:cs="Arial"/>
          <w:color w:val="000000"/>
          <w:szCs w:val="24"/>
          <w:lang w:eastAsia="es-MX"/>
        </w:rPr>
        <w:t>. Lo anterior es congruente con el artículo 4 de la Ley 1618 de 2019 que incorpora los tratados sobre personas con discapacidad ratificados por Colombia, impidiendo que se restrinjan sus derechos en la legislación nacional o internacional, por lo cual no es posible interpretar que lo dispuesto en el Decreto 392 de 2018 excluya a proponentes extranjeros sin sucursal en Colombia y con planta de personal extranjera</w:t>
      </w:r>
      <w:r w:rsidR="00693A47">
        <w:t>.</w:t>
      </w:r>
    </w:p>
    <w:p w14:paraId="1E98CCDF" w14:textId="77777777" w:rsidR="00534FD9" w:rsidRPr="0074121B" w:rsidRDefault="00534FD9" w:rsidP="00534FD9">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t xml:space="preserve">De esta manera, los proponentes, sin importar su nacionalidad, pueden acceder al puntaje adicional que reguló la Ley 1618 de 2013, reglamentado por el Decreto 392 de </w:t>
      </w:r>
      <w:r w:rsidRPr="0074121B">
        <w:rPr>
          <w:rFonts w:ascii="Arial" w:eastAsia="Times New Roman" w:hAnsi="Arial" w:cs="Arial"/>
          <w:color w:val="000000"/>
          <w:szCs w:val="24"/>
          <w:lang w:eastAsia="es-MX"/>
        </w:rPr>
        <w:lastRenderedPageBreak/>
        <w:t xml:space="preserve">2018, siempre que acrediten lo exigido allí, puesto que la norma no excluye el cumplimiento de los requisitos en razón a que el proponente sea nacional o extranjero, sino que, </w:t>
      </w:r>
      <w:r w:rsidRPr="00696912">
        <w:rPr>
          <w:rFonts w:ascii="Arial" w:eastAsia="Times New Roman" w:hAnsi="Arial" w:cs="Arial"/>
          <w:color w:val="000000"/>
          <w:szCs w:val="24"/>
          <w:u w:val="single"/>
          <w:lang w:eastAsia="es-MX"/>
        </w:rPr>
        <w:t>en general, se dirige a los proponentes que son aquellos que la Ley 80 de 1993 señala como personas con capacidad para contratar con entidades.</w:t>
      </w:r>
    </w:p>
    <w:p w14:paraId="66F8560F" w14:textId="77777777" w:rsidR="00534FD9" w:rsidRPr="0074121B" w:rsidRDefault="00534FD9" w:rsidP="00534FD9">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t xml:space="preserve">Así, los proponentes extranjeros sin sucursal en Colombia están incluidos en la disposición del Decreto 392 de 2018, cuando se refiere a los “proponentes”, ya que la norma no distinguió respecto de la nacionalidad para exigir los requisitos señalados allí, es decir, el certificado expedido por el Ministerio de Trabajo. Por ende, teniendo en cuenta la capacidad jurídica de los proponentes extranjeros, </w:t>
      </w:r>
      <w:r w:rsidRPr="0074121B">
        <w:rPr>
          <w:rFonts w:ascii="Arial" w:eastAsia="Times New Roman" w:hAnsi="Arial" w:cs="Arial"/>
          <w:color w:val="000000"/>
          <w:szCs w:val="24"/>
          <w:u w:val="single"/>
          <w:lang w:eastAsia="es-MX"/>
        </w:rPr>
        <w:t>con o sin sucursal en Colombia</w:t>
      </w:r>
      <w:r w:rsidRPr="0074121B">
        <w:rPr>
          <w:rFonts w:ascii="Arial" w:eastAsia="Times New Roman" w:hAnsi="Arial" w:cs="Arial"/>
          <w:color w:val="000000"/>
          <w:szCs w:val="24"/>
          <w:lang w:eastAsia="es-MX"/>
        </w:rPr>
        <w:t xml:space="preserve">, ya que la Ley 80 de 1993 no los distingue sino que le otorga capacidad al proponente extranjero, </w:t>
      </w:r>
      <w:r w:rsidRPr="0074121B">
        <w:rPr>
          <w:rFonts w:ascii="Arial" w:eastAsia="Times New Roman" w:hAnsi="Arial" w:cs="Arial"/>
          <w:color w:val="000000"/>
          <w:szCs w:val="24"/>
          <w:u w:val="single"/>
          <w:lang w:eastAsia="es-MX"/>
        </w:rPr>
        <w:t>independientemente del asiento permanente de negocios en el país</w:t>
      </w:r>
      <w:r w:rsidRPr="0074121B">
        <w:rPr>
          <w:rFonts w:ascii="Arial" w:eastAsia="Times New Roman" w:hAnsi="Arial" w:cs="Arial"/>
          <w:color w:val="000000"/>
          <w:szCs w:val="24"/>
          <w:lang w:eastAsia="es-MX"/>
        </w:rPr>
        <w:t xml:space="preserve">, ellos pueden contratar con el Estado y acceder al puntaje por vincular personal en condición de discapacidad, </w:t>
      </w:r>
      <w:r w:rsidRPr="0074121B">
        <w:rPr>
          <w:rFonts w:ascii="Arial" w:eastAsia="Times New Roman" w:hAnsi="Arial" w:cs="Arial"/>
          <w:color w:val="000000"/>
          <w:szCs w:val="24"/>
          <w:u w:val="single"/>
          <w:lang w:eastAsia="es-MX"/>
        </w:rPr>
        <w:t>si aportan el certificado suscrito por la persona natural, por el representante legal de la persona jurídica o por el revisor fiscal del proponente o integrante que pretenda acreditar esta condición, acompañado del certificado expedido por el Ministerio de Trabajo.</w:t>
      </w:r>
    </w:p>
    <w:p w14:paraId="600A6F7D" w14:textId="77777777" w:rsidR="00534FD9" w:rsidRPr="0074121B" w:rsidRDefault="00534FD9" w:rsidP="00534FD9">
      <w:pPr>
        <w:spacing w:after="120" w:line="276" w:lineRule="auto"/>
        <w:ind w:firstLine="708"/>
        <w:jc w:val="both"/>
        <w:rPr>
          <w:rFonts w:ascii="Arial" w:eastAsia="Times New Roman" w:hAnsi="Arial" w:cs="Arial"/>
          <w:color w:val="000000"/>
          <w:szCs w:val="24"/>
          <w:lang w:eastAsia="es-MX"/>
        </w:rPr>
      </w:pPr>
      <w:r w:rsidRPr="0074121B">
        <w:rPr>
          <w:rFonts w:ascii="Arial" w:eastAsia="Times New Roman" w:hAnsi="Arial" w:cs="Arial"/>
          <w:color w:val="000000"/>
          <w:szCs w:val="24"/>
          <w:lang w:eastAsia="es-MX"/>
        </w:rPr>
        <w:t xml:space="preserve">Sobre el contenido del certificado que expide el Ministerio de Trabajo, el Decreto 392 de 2018 señala que versa sobre la planta de personal del proponente, que debe reflejar la vinculación de trabajadores con discapacidad. Nuevamente, </w:t>
      </w:r>
      <w:r w:rsidRPr="0074121B">
        <w:rPr>
          <w:rFonts w:ascii="Arial" w:eastAsia="Times New Roman" w:hAnsi="Arial" w:cs="Arial"/>
          <w:color w:val="000000"/>
          <w:szCs w:val="24"/>
          <w:u w:val="single"/>
          <w:lang w:eastAsia="es-MX"/>
        </w:rPr>
        <w:t>la norma no cualifica la planta de personal según su nacionalidad</w:t>
      </w:r>
      <w:r w:rsidRPr="0074121B">
        <w:rPr>
          <w:rFonts w:ascii="Arial" w:eastAsia="Times New Roman" w:hAnsi="Arial" w:cs="Arial"/>
          <w:color w:val="000000"/>
          <w:szCs w:val="24"/>
          <w:lang w:eastAsia="es-MX"/>
        </w:rPr>
        <w:t>, sino porque la mención que hace es amplia, sin importar si es nacional o extranjera, siempre que cumpla con el número mínimo de trabajadores en condición de discapacidad, lo cual depende del tamaño de la planta de personal, pero no de su nacionalidad</w:t>
      </w:r>
      <w:r w:rsidRPr="0074121B">
        <w:rPr>
          <w:rFonts w:ascii="Arial" w:eastAsia="Times New Roman" w:hAnsi="Arial" w:cs="Arial"/>
          <w:b/>
          <w:bCs/>
          <w:color w:val="000000"/>
          <w:szCs w:val="24"/>
          <w:lang w:eastAsia="es-MX"/>
        </w:rPr>
        <w:t xml:space="preserve">, </w:t>
      </w:r>
      <w:r w:rsidRPr="0074121B">
        <w:rPr>
          <w:rFonts w:ascii="Arial" w:eastAsia="Times New Roman" w:hAnsi="Arial" w:cs="Arial"/>
          <w:color w:val="000000"/>
          <w:szCs w:val="24"/>
          <w:u w:val="single"/>
          <w:lang w:eastAsia="es-MX"/>
        </w:rPr>
        <w:t>por lo cual es posible que la planta de personal sea extranjera.</w:t>
      </w:r>
    </w:p>
    <w:p w14:paraId="24AC13A8" w14:textId="04AE2DC5" w:rsidR="009F4784" w:rsidRDefault="0099030B" w:rsidP="009F4784">
      <w:pPr>
        <w:spacing w:after="120" w:line="276" w:lineRule="auto"/>
        <w:ind w:firstLine="708"/>
        <w:jc w:val="both"/>
        <w:rPr>
          <w:rFonts w:ascii="Arial" w:eastAsia="Times New Roman" w:hAnsi="Arial" w:cs="Arial"/>
          <w:color w:val="000000"/>
          <w:szCs w:val="24"/>
          <w:lang w:eastAsia="es-MX"/>
        </w:rPr>
      </w:pPr>
      <w:r>
        <w:rPr>
          <w:rFonts w:ascii="Arial" w:eastAsia="Times New Roman" w:hAnsi="Arial" w:cs="Arial"/>
          <w:color w:val="000000"/>
          <w:szCs w:val="24"/>
          <w:lang w:eastAsia="es-MX"/>
        </w:rPr>
        <w:t xml:space="preserve">Así pues, </w:t>
      </w:r>
      <w:r w:rsidR="009F4784" w:rsidRPr="0074121B">
        <w:rPr>
          <w:rFonts w:ascii="Arial" w:eastAsia="Times New Roman" w:hAnsi="Arial" w:cs="Arial"/>
          <w:color w:val="000000"/>
          <w:szCs w:val="24"/>
          <w:lang w:eastAsia="es-MX"/>
        </w:rPr>
        <w:t xml:space="preserve">siendo el Ministerio de Trabajo la entidad a quien el Decreto 392 de 2018 le asignó la competencia para expedir el certificado, respecto de la planta de personal del proponente que busca obtener el puntaje adicional vinculando personal en condición de discapacidad, en la cantidad señalada en la misma norma, </w:t>
      </w:r>
      <w:r w:rsidR="009F4784" w:rsidRPr="0074121B">
        <w:rPr>
          <w:rFonts w:ascii="Arial" w:eastAsia="Times New Roman" w:hAnsi="Arial" w:cs="Arial"/>
          <w:color w:val="000000"/>
          <w:szCs w:val="24"/>
          <w:u w:val="single"/>
          <w:lang w:eastAsia="es-MX"/>
        </w:rPr>
        <w:t>dicha entidad es la competente para dar las directrices respecto de las condiciones que debe informar el proponente</w:t>
      </w:r>
      <w:r w:rsidR="009F4784" w:rsidRPr="0074121B">
        <w:rPr>
          <w:rFonts w:ascii="Arial" w:eastAsia="Times New Roman" w:hAnsi="Arial" w:cs="Arial"/>
          <w:color w:val="000000"/>
          <w:szCs w:val="24"/>
          <w:lang w:eastAsia="es-MX"/>
        </w:rPr>
        <w:t xml:space="preserve">, con el fin de que se elabore y entregue el certificado, que, como se mencionó, contendrá la información aportada por el interesado, sin que el Decreto haya excluido a proponentes extranjeros sin sucursal en Colombia o </w:t>
      </w:r>
      <w:r w:rsidR="009F4784" w:rsidRPr="0074121B">
        <w:rPr>
          <w:rFonts w:ascii="Arial" w:eastAsia="Times New Roman" w:hAnsi="Arial" w:cs="Arial"/>
          <w:color w:val="000000"/>
          <w:szCs w:val="24"/>
          <w:u w:val="single"/>
          <w:lang w:eastAsia="es-MX"/>
        </w:rPr>
        <w:t>plantas de personal extranjeras</w:t>
      </w:r>
      <w:r w:rsidR="009F4784" w:rsidRPr="0074121B">
        <w:rPr>
          <w:rFonts w:ascii="Arial" w:eastAsia="Times New Roman" w:hAnsi="Arial" w:cs="Arial"/>
          <w:color w:val="000000"/>
          <w:szCs w:val="24"/>
          <w:lang w:eastAsia="es-MX"/>
        </w:rPr>
        <w:t>.</w:t>
      </w:r>
    </w:p>
    <w:p w14:paraId="665080CA" w14:textId="771CD07E" w:rsidR="00E7494C" w:rsidRPr="00A22083" w:rsidRDefault="009F4784" w:rsidP="00A22083">
      <w:pPr>
        <w:spacing w:after="120" w:line="276" w:lineRule="auto"/>
        <w:ind w:firstLine="708"/>
        <w:jc w:val="both"/>
        <w:rPr>
          <w:rFonts w:ascii="Arial" w:eastAsia="Times New Roman" w:hAnsi="Arial" w:cs="Arial"/>
          <w:color w:val="000000"/>
          <w:szCs w:val="24"/>
          <w:lang w:eastAsia="es-MX"/>
        </w:rPr>
      </w:pPr>
      <w:r>
        <w:rPr>
          <w:rFonts w:ascii="Arial" w:eastAsia="Times New Roman" w:hAnsi="Arial" w:cs="Arial"/>
          <w:color w:val="000000"/>
          <w:szCs w:val="24"/>
          <w:lang w:eastAsia="es-MX"/>
        </w:rPr>
        <w:t xml:space="preserve">En todo caso, las anteriores precisiones, sobre el acceso al </w:t>
      </w:r>
      <w:r w:rsidRPr="005E26B8">
        <w:rPr>
          <w:rFonts w:ascii="Arial" w:eastAsia="Times New Roman" w:hAnsi="Arial" w:cs="Arial"/>
          <w:color w:val="000000"/>
          <w:szCs w:val="24"/>
          <w:lang w:eastAsia="es-MX"/>
        </w:rPr>
        <w:t>puntaje adicional que reguló la Ley 1618 de 2013</w:t>
      </w:r>
      <w:r>
        <w:rPr>
          <w:rFonts w:ascii="Arial" w:eastAsia="Times New Roman" w:hAnsi="Arial" w:cs="Arial"/>
          <w:color w:val="000000"/>
          <w:szCs w:val="24"/>
          <w:lang w:eastAsia="es-MX"/>
        </w:rPr>
        <w:t xml:space="preserve"> </w:t>
      </w:r>
      <w:r w:rsidRPr="005E26B8">
        <w:rPr>
          <w:rFonts w:ascii="Arial" w:eastAsia="Times New Roman" w:hAnsi="Arial" w:cs="Arial"/>
          <w:color w:val="000000"/>
          <w:szCs w:val="24"/>
          <w:lang w:eastAsia="es-MX"/>
        </w:rPr>
        <w:t xml:space="preserve"> </w:t>
      </w:r>
      <w:r>
        <w:rPr>
          <w:rFonts w:ascii="Arial" w:eastAsia="Times New Roman" w:hAnsi="Arial" w:cs="Arial"/>
          <w:color w:val="000000"/>
          <w:szCs w:val="24"/>
          <w:lang w:eastAsia="es-MX"/>
        </w:rPr>
        <w:t>y reglamentó</w:t>
      </w:r>
      <w:r w:rsidRPr="005E26B8">
        <w:rPr>
          <w:rFonts w:ascii="Arial" w:eastAsia="Times New Roman" w:hAnsi="Arial" w:cs="Arial"/>
          <w:color w:val="000000"/>
          <w:szCs w:val="24"/>
          <w:lang w:eastAsia="es-MX"/>
        </w:rPr>
        <w:t xml:space="preserve"> el Decreto 392 de 2018</w:t>
      </w:r>
      <w:r>
        <w:rPr>
          <w:rFonts w:ascii="Arial" w:eastAsia="Times New Roman" w:hAnsi="Arial" w:cs="Arial"/>
          <w:color w:val="000000"/>
          <w:szCs w:val="24"/>
          <w:lang w:eastAsia="es-MX"/>
        </w:rPr>
        <w:t xml:space="preserve">, por parte de los proponentes extranjeros </w:t>
      </w:r>
      <w:r w:rsidRPr="00373B40">
        <w:rPr>
          <w:rFonts w:ascii="Arial" w:eastAsia="Times New Roman" w:hAnsi="Arial" w:cs="Arial"/>
          <w:color w:val="000000"/>
          <w:szCs w:val="24"/>
          <w:lang w:eastAsia="es-MX"/>
        </w:rPr>
        <w:t>con o sin sucursal en Colombia</w:t>
      </w:r>
      <w:r>
        <w:rPr>
          <w:rFonts w:ascii="Arial" w:eastAsia="Times New Roman" w:hAnsi="Arial" w:cs="Arial"/>
          <w:color w:val="000000"/>
          <w:szCs w:val="24"/>
          <w:lang w:eastAsia="es-MX"/>
        </w:rPr>
        <w:t xml:space="preserve"> no se pueden analizar de manera aislada de los efectos de la ley en el  espacio y el lugar en donde se ejecutarán las obligaciones, estos aspectos deben observarse  para acceder a </w:t>
      </w:r>
      <w:r w:rsidRPr="00C41C8B">
        <w:rPr>
          <w:rFonts w:ascii="Arial" w:eastAsia="Times New Roman" w:hAnsi="Arial" w:cs="Arial"/>
          <w:color w:val="000000"/>
          <w:szCs w:val="24"/>
          <w:lang w:eastAsia="es-MX"/>
        </w:rPr>
        <w:t xml:space="preserve">los incentivos por vinculación de personas con discapacidad </w:t>
      </w:r>
      <w:r>
        <w:rPr>
          <w:rFonts w:ascii="Arial" w:eastAsia="Times New Roman" w:hAnsi="Arial" w:cs="Arial"/>
          <w:color w:val="000000"/>
          <w:szCs w:val="24"/>
          <w:lang w:eastAsia="es-MX"/>
        </w:rPr>
        <w:t xml:space="preserve">y </w:t>
      </w:r>
      <w:r w:rsidR="00953787">
        <w:rPr>
          <w:rFonts w:ascii="Arial" w:eastAsia="Times New Roman" w:hAnsi="Arial" w:cs="Arial"/>
          <w:color w:val="000000"/>
          <w:szCs w:val="24"/>
          <w:lang w:eastAsia="es-MX"/>
        </w:rPr>
        <w:t xml:space="preserve">en </w:t>
      </w:r>
      <w:r w:rsidR="007C58AE">
        <w:rPr>
          <w:rFonts w:ascii="Arial" w:eastAsia="Times New Roman" w:hAnsi="Arial" w:cs="Arial"/>
          <w:color w:val="000000"/>
          <w:szCs w:val="24"/>
          <w:lang w:eastAsia="es-MX"/>
        </w:rPr>
        <w:t xml:space="preserve">armonía con </w:t>
      </w:r>
      <w:r>
        <w:rPr>
          <w:rFonts w:ascii="Arial" w:eastAsia="Times New Roman" w:hAnsi="Arial" w:cs="Arial"/>
          <w:color w:val="000000"/>
          <w:szCs w:val="24"/>
          <w:lang w:eastAsia="es-MX"/>
        </w:rPr>
        <w:t xml:space="preserve">la </w:t>
      </w:r>
      <w:r w:rsidRPr="007C58AE">
        <w:rPr>
          <w:rFonts w:ascii="Arial" w:eastAsia="Times New Roman" w:hAnsi="Arial" w:cs="Arial"/>
          <w:color w:val="000000"/>
          <w:szCs w:val="24"/>
          <w:u w:val="single"/>
          <w:lang w:eastAsia="es-MX"/>
        </w:rPr>
        <w:t>capacidad jurídica del  proponente extranjero</w:t>
      </w:r>
      <w:r w:rsidR="007C58AE">
        <w:rPr>
          <w:rFonts w:ascii="Arial" w:eastAsia="Times New Roman" w:hAnsi="Arial" w:cs="Arial"/>
          <w:color w:val="000000"/>
          <w:szCs w:val="24"/>
          <w:u w:val="single"/>
          <w:lang w:eastAsia="es-MX"/>
        </w:rPr>
        <w:t xml:space="preserve"> ya sea que tenga sucursal o no en Colombia</w:t>
      </w:r>
      <w:r>
        <w:rPr>
          <w:rFonts w:ascii="Arial" w:eastAsia="Times New Roman" w:hAnsi="Arial" w:cs="Arial"/>
          <w:color w:val="000000"/>
          <w:szCs w:val="24"/>
          <w:lang w:eastAsia="es-MX"/>
        </w:rPr>
        <w:t>.</w:t>
      </w:r>
    </w:p>
    <w:p w14:paraId="249AF90B" w14:textId="77777777" w:rsidR="00E7494C" w:rsidRPr="00D0336F" w:rsidRDefault="00E7494C" w:rsidP="00D0336F">
      <w:pPr>
        <w:spacing w:after="0" w:line="276" w:lineRule="auto"/>
        <w:jc w:val="both"/>
        <w:rPr>
          <w:rFonts w:ascii="Arial" w:eastAsia="Calibri" w:hAnsi="Arial" w:cs="Arial"/>
          <w:bCs/>
        </w:rPr>
      </w:pPr>
    </w:p>
    <w:p w14:paraId="453FB6C2" w14:textId="77777777" w:rsidR="00E314AC" w:rsidRDefault="00E314AC" w:rsidP="00E314AC">
      <w:pPr>
        <w:spacing w:after="0" w:line="240" w:lineRule="auto"/>
        <w:ind w:left="709" w:right="709"/>
        <w:jc w:val="both"/>
        <w:rPr>
          <w:rFonts w:ascii="Arial" w:eastAsia="Times New Roman" w:hAnsi="Arial" w:cs="Arial"/>
          <w:color w:val="000000"/>
          <w:sz w:val="21"/>
          <w:szCs w:val="21"/>
          <w:lang w:val="es-ES_tradnl" w:eastAsia="es-ES_tradnl"/>
        </w:rPr>
      </w:pPr>
    </w:p>
    <w:p w14:paraId="38530C0A" w14:textId="343809AC" w:rsidR="00E314AC" w:rsidRPr="0073186E" w:rsidRDefault="0099030B" w:rsidP="00E314AC">
      <w:pPr>
        <w:spacing w:after="0" w:line="240" w:lineRule="auto"/>
        <w:ind w:left="709" w:right="709"/>
        <w:jc w:val="both"/>
        <w:rPr>
          <w:rFonts w:ascii="Arial" w:eastAsia="Times New Roman" w:hAnsi="Arial" w:cs="Arial"/>
          <w:color w:val="000000"/>
          <w:sz w:val="21"/>
          <w:szCs w:val="21"/>
          <w:lang w:val="es-ES_tradnl" w:eastAsia="es-ES_tradnl"/>
        </w:rPr>
      </w:pPr>
      <w:r>
        <w:rPr>
          <w:rFonts w:ascii="Arial" w:eastAsia="Times New Roman" w:hAnsi="Arial" w:cs="Arial"/>
          <w:color w:val="000000"/>
          <w:sz w:val="21"/>
          <w:szCs w:val="21"/>
          <w:lang w:val="es-ES_tradnl" w:eastAsia="es-ES_tradnl"/>
        </w:rPr>
        <w:t>“</w:t>
      </w:r>
      <w:r w:rsidR="00E314AC" w:rsidRPr="00E314AC">
        <w:rPr>
          <w:rFonts w:ascii="Arial" w:eastAsia="Times New Roman" w:hAnsi="Arial" w:cs="Arial"/>
          <w:color w:val="000000"/>
          <w:sz w:val="21"/>
          <w:szCs w:val="21"/>
          <w:lang w:val="es-ES_tradnl" w:eastAsia="es-ES_tradnl"/>
        </w:rPr>
        <w:t>Por otro lado, en el caso de las sucursales con matriz extranjera ¿cómo se deben acreditar cada uno de los componentes de la capacidad residual en los procesos de contratación pública? ¿es posible tomar la capacidad técnica, financiera y experiencia de la casa matriz extranjera o únicamente la de la sucursal colombiana? ¿los saldos de los contratos en ejecución deben ser los que están siendo ejecutados por la matriz extranjera o únicamente los ejecutados por la sucursal colombiana?</w:t>
      </w:r>
      <w:r w:rsidR="00E314AC" w:rsidRPr="0073186E">
        <w:rPr>
          <w:rFonts w:ascii="Arial" w:eastAsia="Times New Roman" w:hAnsi="Arial" w:cs="Arial"/>
          <w:color w:val="000000"/>
          <w:sz w:val="21"/>
          <w:szCs w:val="21"/>
          <w:lang w:val="es-ES_tradnl" w:eastAsia="es-ES_tradnl"/>
        </w:rPr>
        <w:t>”</w:t>
      </w:r>
    </w:p>
    <w:p w14:paraId="31FE0B02" w14:textId="6501B41F" w:rsidR="0073186E" w:rsidRDefault="00E314AC" w:rsidP="0073186E">
      <w:pPr>
        <w:tabs>
          <w:tab w:val="left" w:pos="0"/>
        </w:tabs>
        <w:spacing w:after="0" w:line="276" w:lineRule="auto"/>
        <w:jc w:val="both"/>
        <w:rPr>
          <w:rFonts w:ascii="Arial" w:eastAsia="Calibri" w:hAnsi="Arial" w:cs="Arial"/>
          <w:b/>
          <w:color w:val="000000"/>
          <w:szCs w:val="24"/>
          <w:lang w:val="es-ES_tradnl" w:eastAsia="es-ES_tradnl"/>
        </w:rPr>
      </w:pPr>
      <w:r>
        <w:rPr>
          <w:rFonts w:ascii="Arial" w:eastAsia="Calibri" w:hAnsi="Arial" w:cs="Arial"/>
          <w:b/>
          <w:color w:val="000000"/>
          <w:szCs w:val="24"/>
          <w:lang w:val="es-ES_tradnl" w:eastAsia="es-ES_tradnl"/>
        </w:rPr>
        <w:t xml:space="preserve"> </w:t>
      </w:r>
    </w:p>
    <w:p w14:paraId="496D4019" w14:textId="77777777" w:rsidR="00F47DBE" w:rsidRDefault="00F47DBE" w:rsidP="00F47DBE">
      <w:pPr>
        <w:widowControl w:val="0"/>
        <w:autoSpaceDE w:val="0"/>
        <w:autoSpaceDN w:val="0"/>
        <w:spacing w:after="0" w:line="276" w:lineRule="auto"/>
        <w:jc w:val="both"/>
        <w:rPr>
          <w:rFonts w:ascii="Arial" w:eastAsia="Arial" w:hAnsi="Arial" w:cs="Arial"/>
        </w:rPr>
      </w:pPr>
      <w:r w:rsidRPr="001E10C1">
        <w:rPr>
          <w:rFonts w:ascii="Arial" w:eastAsia="Arial" w:hAnsi="Arial" w:cs="Arial"/>
        </w:rPr>
        <w:t>La capacidad residual es una aptitud que se exige a los oferentes en los procesos de selección contractual con el objetivo de establecer o determinar si éstos pueden o no cumplir de manera oportuna y a cabalidad con las obligaciones derivadas del contrato de obra pública, sin que los demás compromisos contractuales que hubieran adquirido afecten su capacidad para cumplir con el objeto del contrato que está en proceso de selección</w:t>
      </w:r>
      <w:r w:rsidRPr="001E10C1">
        <w:rPr>
          <w:rFonts w:ascii="Arial" w:eastAsia="Arial" w:hAnsi="Arial" w:cs="Arial"/>
          <w:vertAlign w:val="superscript"/>
        </w:rPr>
        <w:footnoteReference w:id="12"/>
      </w:r>
      <w:r w:rsidRPr="001E10C1">
        <w:rPr>
          <w:rFonts w:ascii="Arial" w:eastAsia="Arial" w:hAnsi="Arial" w:cs="Arial"/>
        </w:rPr>
        <w:t xml:space="preserve">. El Consejo de Estado ha definido la capacidad residual como </w:t>
      </w:r>
      <w:r>
        <w:rPr>
          <w:rFonts w:ascii="Arial" w:eastAsia="Arial" w:hAnsi="Arial" w:cs="Arial"/>
        </w:rPr>
        <w:t>“</w:t>
      </w:r>
      <w:r w:rsidRPr="001E10C1">
        <w:rPr>
          <w:rFonts w:ascii="Arial" w:eastAsia="Arial" w:hAnsi="Arial" w:cs="Arial"/>
        </w:rPr>
        <w:t>la diferencia que existe entre el potencial de contratación que se tiene y los compromisos que haya adquirido y que se encuentren en ejecución, para la fecha de presentación de la oferta</w:t>
      </w:r>
      <w:r>
        <w:rPr>
          <w:rFonts w:ascii="Arial" w:eastAsia="Arial" w:hAnsi="Arial" w:cs="Arial"/>
        </w:rPr>
        <w:t>”</w:t>
      </w:r>
      <w:r w:rsidRPr="001E10C1">
        <w:rPr>
          <w:rFonts w:ascii="Arial" w:eastAsia="Arial" w:hAnsi="Arial" w:cs="Arial"/>
          <w:vertAlign w:val="superscript"/>
        </w:rPr>
        <w:footnoteReference w:id="13"/>
      </w:r>
      <w:r w:rsidRPr="001E10C1">
        <w:rPr>
          <w:rFonts w:ascii="Arial" w:eastAsia="Arial" w:hAnsi="Arial" w:cs="Arial"/>
        </w:rPr>
        <w:t>.</w:t>
      </w:r>
    </w:p>
    <w:p w14:paraId="601082F7" w14:textId="77777777" w:rsidR="00FB5E69" w:rsidRDefault="00FB5E69" w:rsidP="00F47DBE">
      <w:pPr>
        <w:widowControl w:val="0"/>
        <w:autoSpaceDE w:val="0"/>
        <w:autoSpaceDN w:val="0"/>
        <w:spacing w:after="0" w:line="276" w:lineRule="auto"/>
        <w:jc w:val="both"/>
        <w:rPr>
          <w:rFonts w:ascii="Arial" w:eastAsia="Arial" w:hAnsi="Arial" w:cs="Arial"/>
        </w:rPr>
      </w:pPr>
    </w:p>
    <w:p w14:paraId="57120908" w14:textId="34A2F288" w:rsidR="00F47DBE" w:rsidRDefault="00FB5E69" w:rsidP="00F47DBE">
      <w:pPr>
        <w:widowControl w:val="0"/>
        <w:autoSpaceDE w:val="0"/>
        <w:autoSpaceDN w:val="0"/>
        <w:spacing w:after="0" w:line="276" w:lineRule="auto"/>
        <w:jc w:val="both"/>
        <w:rPr>
          <w:rFonts w:ascii="Arial" w:eastAsia="Arial" w:hAnsi="Arial" w:cs="Arial"/>
        </w:rPr>
      </w:pPr>
      <w:r>
        <w:rPr>
          <w:rFonts w:ascii="Arial" w:eastAsia="Arial" w:hAnsi="Arial" w:cs="Arial"/>
        </w:rPr>
        <w:t xml:space="preserve"> De igual forma, como se analizó en la parte considerativa,</w:t>
      </w:r>
      <w:r w:rsidRPr="00FB5E69">
        <w:t xml:space="preserve"> </w:t>
      </w:r>
      <w:r w:rsidRPr="00FB5E69">
        <w:rPr>
          <w:rFonts w:ascii="Arial" w:eastAsia="Arial" w:hAnsi="Arial" w:cs="Arial"/>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se lee en la misma disposición, “[…] se deberá calcular mediante la evaluación de los siguientes factores: Experiencia (E), Capacidad Financiera (CF), Capacidad Técnica (CT), y Capacidad de Organización (CO)”.</w:t>
      </w:r>
      <w:r>
        <w:rPr>
          <w:rFonts w:ascii="Arial" w:eastAsia="Arial" w:hAnsi="Arial" w:cs="Arial"/>
        </w:rPr>
        <w:t xml:space="preserve"> </w:t>
      </w:r>
    </w:p>
    <w:p w14:paraId="7667508F" w14:textId="77777777" w:rsidR="00F47DBE" w:rsidRPr="0073186E" w:rsidRDefault="00F47DBE" w:rsidP="0073186E">
      <w:pPr>
        <w:tabs>
          <w:tab w:val="left" w:pos="0"/>
        </w:tabs>
        <w:spacing w:after="0" w:line="276" w:lineRule="auto"/>
        <w:jc w:val="both"/>
        <w:rPr>
          <w:rFonts w:ascii="Arial" w:eastAsia="Calibri" w:hAnsi="Arial" w:cs="Arial"/>
          <w:b/>
          <w:color w:val="000000"/>
          <w:szCs w:val="24"/>
          <w:lang w:val="es-ES_tradnl" w:eastAsia="es-ES_tradnl"/>
        </w:rPr>
      </w:pPr>
    </w:p>
    <w:p w14:paraId="79F9117B" w14:textId="24E3D668" w:rsidR="0073186E" w:rsidRDefault="00C46A88" w:rsidP="00F47DBE">
      <w:pPr>
        <w:spacing w:after="0" w:line="276" w:lineRule="auto"/>
        <w:ind w:firstLine="708"/>
        <w:jc w:val="both"/>
        <w:rPr>
          <w:rFonts w:ascii="Arial" w:eastAsia="Calibri" w:hAnsi="Arial" w:cs="Arial"/>
          <w:bCs/>
        </w:rPr>
      </w:pPr>
      <w:r w:rsidRPr="00C46A88">
        <w:rPr>
          <w:rFonts w:ascii="Arial" w:eastAsia="Calibri" w:hAnsi="Arial" w:cs="Arial"/>
          <w:bCs/>
        </w:rPr>
        <w:t xml:space="preserve">Ahora bien, para acreditar el factor (SCE) “Saldos contratos en ejecución”, como lo establece la Guía para determinar y verificar la Capacidad Residual del proponente en los procesos de contratación de obra pública, </w:t>
      </w:r>
      <w:r w:rsidRPr="002B4A89">
        <w:rPr>
          <w:rFonts w:ascii="Arial" w:eastAsia="Calibri" w:hAnsi="Arial" w:cs="Arial"/>
          <w:bCs/>
          <w:u w:val="single"/>
        </w:rPr>
        <w:t xml:space="preserve">el proponente debe presentar la lista de </w:t>
      </w:r>
      <w:r w:rsidRPr="002B4A89">
        <w:rPr>
          <w:rFonts w:ascii="Arial" w:eastAsia="Calibri" w:hAnsi="Arial" w:cs="Arial"/>
          <w:bCs/>
          <w:u w:val="single"/>
        </w:rPr>
        <w:lastRenderedPageBreak/>
        <w:t>Contratos en ejecución, tanto a nivel nacional como internacional</w:t>
      </w:r>
      <w:r w:rsidRPr="00C46A88">
        <w:rPr>
          <w:rFonts w:ascii="Arial" w:eastAsia="Calibri" w:hAnsi="Arial" w:cs="Arial"/>
          <w:bCs/>
        </w:rPr>
        <w:t xml:space="preserve">, señalando i) el valor del contrato; ii) el plazo del contrato en meses; </w:t>
      </w:r>
      <w:proofErr w:type="spellStart"/>
      <w:r w:rsidRPr="00C46A88">
        <w:rPr>
          <w:rFonts w:ascii="Arial" w:eastAsia="Calibri" w:hAnsi="Arial" w:cs="Arial"/>
          <w:bCs/>
        </w:rPr>
        <w:t>iii</w:t>
      </w:r>
      <w:proofErr w:type="spellEnd"/>
      <w:r w:rsidRPr="00C46A88">
        <w:rPr>
          <w:rFonts w:ascii="Arial" w:eastAsia="Calibri" w:hAnsi="Arial" w:cs="Arial"/>
          <w:bCs/>
        </w:rPr>
        <w:t>)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3398867B" w14:textId="77777777" w:rsidR="00A24202" w:rsidRDefault="00A24202" w:rsidP="00F47DBE">
      <w:pPr>
        <w:spacing w:after="0" w:line="276" w:lineRule="auto"/>
        <w:ind w:firstLine="708"/>
        <w:jc w:val="both"/>
        <w:rPr>
          <w:rFonts w:ascii="Arial" w:eastAsia="Calibri" w:hAnsi="Arial" w:cs="Arial"/>
          <w:bCs/>
        </w:rPr>
      </w:pPr>
    </w:p>
    <w:p w14:paraId="5DE9BD5B" w14:textId="77777777" w:rsidR="00A24202" w:rsidRDefault="00A24202" w:rsidP="00A24202">
      <w:pPr>
        <w:spacing w:before="120" w:after="0" w:line="276" w:lineRule="auto"/>
        <w:ind w:firstLine="709"/>
        <w:jc w:val="both"/>
        <w:rPr>
          <w:rFonts w:ascii="Arial" w:eastAsia="Times New Roman" w:hAnsi="Arial" w:cs="Arial"/>
          <w:lang w:eastAsia="es-MX"/>
        </w:rPr>
      </w:pPr>
      <w:r>
        <w:rPr>
          <w:rFonts w:ascii="Arial" w:eastAsia="Times New Roman" w:hAnsi="Arial" w:cs="Arial"/>
          <w:lang w:eastAsia="es-MX"/>
        </w:rPr>
        <w:t xml:space="preserve">Por último, frente al cálculo de la capacidad residual de los proponentes extranjeros con </w:t>
      </w:r>
      <w:r w:rsidRPr="00FD4339">
        <w:rPr>
          <w:rFonts w:ascii="Arial" w:eastAsia="Times New Roman" w:hAnsi="Arial" w:cs="Arial"/>
          <w:lang w:eastAsia="es-MX"/>
        </w:rPr>
        <w:t xml:space="preserve">asiento permanente de negocios en </w:t>
      </w:r>
      <w:r>
        <w:rPr>
          <w:rFonts w:ascii="Arial" w:eastAsia="Times New Roman" w:hAnsi="Arial" w:cs="Arial"/>
          <w:lang w:eastAsia="es-MX"/>
        </w:rPr>
        <w:t xml:space="preserve">Colombia debe observarse el factor territorial, así como el lugar en donde se vayan a ejecutar las obligaciones del contrato. En todo caso, en lo que al proponente extranjero sin sucursal en Colombia respecta, la </w:t>
      </w:r>
      <w:r w:rsidRPr="004555F6">
        <w:rPr>
          <w:rFonts w:ascii="Arial" w:eastAsia="Times New Roman" w:hAnsi="Arial" w:cs="Arial"/>
          <w:lang w:eastAsia="es-MX"/>
        </w:rPr>
        <w:t>“Guía para Determinar y Verificar la Capacidad Residual del Proponente en los Procesos de Contratación de Obra Pública”</w:t>
      </w:r>
      <w:r>
        <w:rPr>
          <w:rFonts w:ascii="Arial" w:eastAsia="Times New Roman" w:hAnsi="Arial" w:cs="Arial"/>
          <w:lang w:eastAsia="es-MX"/>
        </w:rPr>
        <w:t>, en el capítulo 5 refiere lo siguiente:</w:t>
      </w:r>
    </w:p>
    <w:p w14:paraId="6F9CE1BF" w14:textId="77777777" w:rsidR="00A24202" w:rsidRDefault="00A24202" w:rsidP="00A24202">
      <w:pPr>
        <w:spacing w:before="120" w:after="0" w:line="276" w:lineRule="auto"/>
        <w:ind w:firstLine="709"/>
        <w:jc w:val="both"/>
        <w:rPr>
          <w:rFonts w:ascii="Arial" w:eastAsia="Times New Roman" w:hAnsi="Arial" w:cs="Arial"/>
          <w:lang w:eastAsia="es-MX"/>
        </w:rPr>
      </w:pPr>
    </w:p>
    <w:p w14:paraId="6B122239" w14:textId="77777777" w:rsidR="00A24202"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r>
        <w:rPr>
          <w:rFonts w:ascii="Arial" w:eastAsia="Calibri" w:hAnsi="Arial" w:cs="Arial"/>
          <w:color w:val="000000" w:themeColor="text1"/>
          <w:sz w:val="21"/>
          <w:szCs w:val="21"/>
          <w:lang w:val="es-ES" w:eastAsia="es-MX"/>
        </w:rPr>
        <w:t>“</w:t>
      </w:r>
      <w:r w:rsidRPr="007755FF">
        <w:rPr>
          <w:rFonts w:ascii="Arial" w:eastAsia="Calibri" w:hAnsi="Arial" w:cs="Arial"/>
          <w:color w:val="000000" w:themeColor="text1"/>
          <w:sz w:val="21"/>
          <w:szCs w:val="21"/>
          <w:lang w:val="es-ES" w:eastAsia="es-MX"/>
        </w:rPr>
        <w:t>Los proponentes extranjeros sin sucursal en Colombia deben acreditar los factores de ponderación para el cálculo de la Capacidad Residual de la siguiente forma:</w:t>
      </w:r>
    </w:p>
    <w:p w14:paraId="31B7E091" w14:textId="77777777" w:rsidR="00A24202"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p>
    <w:p w14:paraId="762ED7E4" w14:textId="77777777" w:rsidR="00A24202"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r w:rsidRPr="00D32DE0">
        <w:rPr>
          <w:rFonts w:ascii="Arial" w:eastAsia="Calibri" w:hAnsi="Arial" w:cs="Arial"/>
          <w:b/>
          <w:bCs/>
          <w:color w:val="000000" w:themeColor="text1"/>
          <w:sz w:val="21"/>
          <w:szCs w:val="21"/>
          <w:lang w:val="es-ES" w:eastAsia="es-MX"/>
        </w:rPr>
        <w:t>Capacidad de organización y financiera</w:t>
      </w:r>
      <w:r w:rsidRPr="00D32DE0">
        <w:rPr>
          <w:rFonts w:ascii="Arial" w:eastAsia="Calibri" w:hAnsi="Arial" w:cs="Arial"/>
          <w:color w:val="000000" w:themeColor="text1"/>
          <w:sz w:val="21"/>
          <w:szCs w:val="21"/>
          <w:lang w:val="es-ES" w:eastAsia="es-MX"/>
        </w:rPr>
        <w:t>: deben presentar sus estados financieros en la moneda</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legal del país en el cual fueron emitidos y adicionalmente en pesos colombianos. El proponente y</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la Entidad Estatal para efectos de acreditar y verificar los requisitos tendrán en cuenta la tasa</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representativa del mercado vigente en la fecha en la cual los estados financieros fueron expedidos.</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Para el efecto, el proponente y la Entidad Estatal tendrán en cuenta las tasas de cambio certificadas</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por la Superintendencia Financiera.</w:t>
      </w:r>
    </w:p>
    <w:p w14:paraId="7E1D2F06" w14:textId="77777777" w:rsidR="00A24202" w:rsidRPr="00D32DE0"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p>
    <w:p w14:paraId="40A1FA48" w14:textId="77777777" w:rsidR="00A24202"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r w:rsidRPr="00D32DE0">
        <w:rPr>
          <w:rFonts w:ascii="Arial" w:eastAsia="Calibri" w:hAnsi="Arial" w:cs="Arial"/>
          <w:b/>
          <w:bCs/>
          <w:color w:val="000000" w:themeColor="text1"/>
          <w:sz w:val="21"/>
          <w:szCs w:val="21"/>
          <w:lang w:val="es-ES" w:eastAsia="es-MX"/>
        </w:rPr>
        <w:t>Experiencia</w:t>
      </w:r>
      <w:r w:rsidRPr="00D32DE0">
        <w:rPr>
          <w:rFonts w:ascii="Arial" w:eastAsia="Calibri" w:hAnsi="Arial" w:cs="Arial"/>
          <w:color w:val="000000" w:themeColor="text1"/>
          <w:sz w:val="21"/>
          <w:szCs w:val="21"/>
          <w:lang w:val="es-ES" w:eastAsia="es-MX"/>
        </w:rPr>
        <w:t>: deben presentar el formato que hace parte de la presente Guía como anexo, suscrito</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por el representante legal y revisor fiscal o contador del proponente. El proponente debe aportar</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copia de los contratos ejecutados o certificaciones de terceros que hubieran recibido los servicios de</w:t>
      </w:r>
      <w:r>
        <w:rPr>
          <w:rFonts w:ascii="Arial" w:eastAsia="Calibri" w:hAnsi="Arial" w:cs="Arial"/>
          <w:color w:val="000000" w:themeColor="text1"/>
          <w:sz w:val="21"/>
          <w:szCs w:val="21"/>
          <w:lang w:val="es-ES" w:eastAsia="es-MX"/>
        </w:rPr>
        <w:t xml:space="preserve"> </w:t>
      </w:r>
      <w:r w:rsidRPr="00D32DE0">
        <w:rPr>
          <w:rFonts w:ascii="Arial" w:eastAsia="Calibri" w:hAnsi="Arial" w:cs="Arial"/>
          <w:color w:val="000000" w:themeColor="text1"/>
          <w:sz w:val="21"/>
          <w:szCs w:val="21"/>
          <w:lang w:val="es-ES" w:eastAsia="es-MX"/>
        </w:rPr>
        <w:t>construcción de obras civiles con terceros, bien sean públicos o privados.</w:t>
      </w:r>
    </w:p>
    <w:p w14:paraId="210B74CC" w14:textId="77777777" w:rsidR="00A24202" w:rsidRPr="007755FF"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p>
    <w:p w14:paraId="4F8C8B61" w14:textId="77777777" w:rsidR="00A24202" w:rsidRPr="002218AB" w:rsidRDefault="00A24202" w:rsidP="00A24202">
      <w:pPr>
        <w:spacing w:after="0" w:line="240" w:lineRule="auto"/>
        <w:ind w:left="709" w:right="709"/>
        <w:jc w:val="both"/>
        <w:rPr>
          <w:rFonts w:ascii="Arial" w:eastAsia="Calibri" w:hAnsi="Arial" w:cs="Arial"/>
          <w:color w:val="000000" w:themeColor="text1"/>
          <w:sz w:val="21"/>
          <w:szCs w:val="21"/>
          <w:lang w:val="es-ES" w:eastAsia="es-MX"/>
        </w:rPr>
      </w:pPr>
      <w:r w:rsidRPr="00F13B7A">
        <w:rPr>
          <w:rFonts w:ascii="Arial" w:eastAsia="Calibri" w:hAnsi="Arial" w:cs="Arial"/>
          <w:color w:val="000000" w:themeColor="text1"/>
          <w:sz w:val="21"/>
          <w:szCs w:val="21"/>
          <w:lang w:val="es-ES" w:eastAsia="es-MX"/>
        </w:rPr>
        <w:t>Los proponentes extranjeros que de acuerdo con las normas aplicables aprueben sus estados financieros</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auditados con corte a 31 de diciembre en una fecha posterior al quinto día hábil del mes de abril, pueden</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presentar sus estados financieros a 31 de diciembre suscritos por el representante legal junto con un</w:t>
      </w:r>
      <w:r>
        <w:rPr>
          <w:rFonts w:ascii="Arial" w:eastAsia="Calibri" w:hAnsi="Arial" w:cs="Arial"/>
          <w:color w:val="000000" w:themeColor="text1"/>
          <w:sz w:val="21"/>
          <w:szCs w:val="21"/>
          <w:lang w:val="es-ES" w:eastAsia="es-MX"/>
        </w:rPr>
        <w:t xml:space="preserve"> </w:t>
      </w:r>
      <w:proofErr w:type="spellStart"/>
      <w:r w:rsidRPr="00F13B7A">
        <w:rPr>
          <w:rFonts w:ascii="Arial" w:eastAsia="Calibri" w:hAnsi="Arial" w:cs="Arial"/>
          <w:color w:val="000000" w:themeColor="text1"/>
          <w:sz w:val="21"/>
          <w:szCs w:val="21"/>
          <w:lang w:val="es-ES" w:eastAsia="es-MX"/>
        </w:rPr>
        <w:t>pre-informe</w:t>
      </w:r>
      <w:proofErr w:type="spellEnd"/>
      <w:r w:rsidRPr="00F13B7A">
        <w:rPr>
          <w:rFonts w:ascii="Arial" w:eastAsia="Calibri" w:hAnsi="Arial" w:cs="Arial"/>
          <w:color w:val="000000" w:themeColor="text1"/>
          <w:sz w:val="21"/>
          <w:szCs w:val="21"/>
          <w:lang w:val="es-ES" w:eastAsia="es-MX"/>
        </w:rPr>
        <w:t xml:space="preserve"> de auditoría en el cual el auditor o el revisor fiscal certifique que: (a) la información financiera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presentada a la Entidad Estatal es la entregada al auditor o revisor fiscal para cumplir su función de auditoría;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y (b) el proponente en forma regular y para ejercicios contables anteriores ha adoptado normas y principios de</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contabilidad generalmente aceptados para preparar su información y estados financieros. Esta disposición</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 xml:space="preserve">también es aplicable para la información </w:t>
      </w:r>
      <w:r w:rsidRPr="00F13B7A">
        <w:rPr>
          <w:rFonts w:ascii="Arial" w:eastAsia="Calibri" w:hAnsi="Arial" w:cs="Arial"/>
          <w:color w:val="000000" w:themeColor="text1"/>
          <w:sz w:val="21"/>
          <w:szCs w:val="21"/>
          <w:lang w:val="es-ES" w:eastAsia="es-MX"/>
        </w:rPr>
        <w:lastRenderedPageBreak/>
        <w:t>que el proponente en estas condiciones debe presentar para</w:t>
      </w:r>
      <w:r>
        <w:rPr>
          <w:rFonts w:ascii="Arial" w:eastAsia="Calibri" w:hAnsi="Arial" w:cs="Arial"/>
          <w:color w:val="000000" w:themeColor="text1"/>
          <w:sz w:val="21"/>
          <w:szCs w:val="21"/>
          <w:lang w:val="es-ES" w:eastAsia="es-MX"/>
        </w:rPr>
        <w:t xml:space="preserve"> </w:t>
      </w:r>
      <w:r w:rsidRPr="00F13B7A">
        <w:rPr>
          <w:rFonts w:ascii="Arial" w:eastAsia="Calibri" w:hAnsi="Arial" w:cs="Arial"/>
          <w:color w:val="000000" w:themeColor="text1"/>
          <w:sz w:val="21"/>
          <w:szCs w:val="21"/>
          <w:lang w:val="es-ES" w:eastAsia="es-MX"/>
        </w:rPr>
        <w:t>inscribirse en el RUP de acuerdo con el artículo 9 del Decreto 1082 de 2015.</w:t>
      </w:r>
      <w:r>
        <w:rPr>
          <w:rFonts w:ascii="Arial" w:eastAsia="Calibri" w:hAnsi="Arial" w:cs="Arial"/>
          <w:color w:val="000000" w:themeColor="text1"/>
          <w:sz w:val="21"/>
          <w:szCs w:val="21"/>
          <w:lang w:val="es-ES" w:eastAsia="es-MX"/>
        </w:rPr>
        <w:t>”</w:t>
      </w:r>
    </w:p>
    <w:p w14:paraId="2EA72957" w14:textId="77777777" w:rsidR="00A24202" w:rsidRPr="00C46A88" w:rsidRDefault="00A24202" w:rsidP="00F47DBE">
      <w:pPr>
        <w:spacing w:after="0" w:line="276" w:lineRule="auto"/>
        <w:ind w:firstLine="708"/>
        <w:jc w:val="both"/>
        <w:rPr>
          <w:rFonts w:ascii="Arial" w:eastAsia="Calibri" w:hAnsi="Arial" w:cs="Arial"/>
          <w:bCs/>
        </w:rPr>
      </w:pPr>
    </w:p>
    <w:p w14:paraId="20B84F6E" w14:textId="77777777" w:rsidR="0073186E" w:rsidRPr="0073186E" w:rsidRDefault="0073186E" w:rsidP="0073186E">
      <w:pPr>
        <w:tabs>
          <w:tab w:val="left" w:pos="0"/>
        </w:tabs>
        <w:spacing w:after="0" w:line="276" w:lineRule="auto"/>
        <w:jc w:val="both"/>
        <w:rPr>
          <w:rFonts w:ascii="Arial" w:eastAsia="Calibri" w:hAnsi="Arial" w:cs="Arial"/>
          <w:bCs/>
        </w:rPr>
      </w:pPr>
    </w:p>
    <w:p w14:paraId="59CBE249" w14:textId="283893AC" w:rsidR="0073186E" w:rsidRPr="0073186E" w:rsidRDefault="0073186E" w:rsidP="56CB0E03">
      <w:pPr>
        <w:spacing w:after="0" w:line="276" w:lineRule="auto"/>
        <w:jc w:val="both"/>
        <w:rPr>
          <w:rFonts w:ascii="Arial" w:eastAsia="Calibri" w:hAnsi="Arial" w:cs="Arial"/>
          <w:bCs/>
        </w:rPr>
      </w:pPr>
      <w:r w:rsidRPr="0073186E">
        <w:rPr>
          <w:rFonts w:ascii="Arial" w:eastAsia="Calibri" w:hAnsi="Arial" w:cs="Arial"/>
          <w:bCs/>
        </w:rPr>
        <w:t>En todo caso, corresponde a cada entidad pública, en ejercicio de su competencia y previa valoración de los elementos fácticos y jurídicos, determinar si es procedente o</w:t>
      </w:r>
      <w:r w:rsidR="00CE1261">
        <w:rPr>
          <w:rFonts w:ascii="Arial" w:eastAsia="Calibri" w:hAnsi="Arial" w:cs="Arial"/>
          <w:bCs/>
        </w:rPr>
        <w:t xml:space="preserve"> no </w:t>
      </w:r>
      <w:r w:rsidR="00CE1261" w:rsidRPr="00CE1261">
        <w:rPr>
          <w:rFonts w:ascii="Arial" w:eastAsia="Calibri" w:hAnsi="Arial" w:cs="Arial"/>
          <w:bCs/>
        </w:rPr>
        <w:t>el puntaje adicional por acreditar personal en situación de discapacidad</w:t>
      </w:r>
      <w:r w:rsidR="00E209BD">
        <w:rPr>
          <w:rFonts w:ascii="Arial" w:eastAsia="Calibri" w:hAnsi="Arial" w:cs="Arial"/>
          <w:bCs/>
        </w:rPr>
        <w:t xml:space="preserve"> en cada caso concreto, así como </w:t>
      </w:r>
      <w:r w:rsidR="00173207">
        <w:rPr>
          <w:rFonts w:ascii="Arial" w:eastAsia="Calibri" w:hAnsi="Arial" w:cs="Arial"/>
          <w:bCs/>
        </w:rPr>
        <w:t>la</w:t>
      </w:r>
      <w:r w:rsidR="00173207" w:rsidRPr="00173207">
        <w:t xml:space="preserve"> </w:t>
      </w:r>
      <w:r w:rsidR="007D033F">
        <w:rPr>
          <w:rFonts w:ascii="Arial" w:hAnsi="Arial" w:cs="Arial"/>
        </w:rPr>
        <w:t>certer</w:t>
      </w:r>
      <w:r w:rsidR="00794D86">
        <w:rPr>
          <w:rFonts w:ascii="Arial" w:hAnsi="Arial" w:cs="Arial"/>
        </w:rPr>
        <w:t xml:space="preserve">a </w:t>
      </w:r>
      <w:r w:rsidR="00173207" w:rsidRPr="00173207">
        <w:rPr>
          <w:rFonts w:ascii="Arial" w:eastAsia="Calibri" w:hAnsi="Arial" w:cs="Arial"/>
          <w:bCs/>
        </w:rPr>
        <w:t>acredita</w:t>
      </w:r>
      <w:r w:rsidR="00794D86">
        <w:rPr>
          <w:rFonts w:ascii="Arial" w:eastAsia="Calibri" w:hAnsi="Arial" w:cs="Arial"/>
          <w:bCs/>
        </w:rPr>
        <w:t>ción</w:t>
      </w:r>
      <w:r w:rsidR="00F5780C">
        <w:rPr>
          <w:rFonts w:ascii="Arial" w:eastAsia="Calibri" w:hAnsi="Arial" w:cs="Arial"/>
          <w:bCs/>
        </w:rPr>
        <w:t xml:space="preserve"> de</w:t>
      </w:r>
      <w:r w:rsidR="00173207" w:rsidRPr="00173207">
        <w:rPr>
          <w:rFonts w:ascii="Arial" w:eastAsia="Calibri" w:hAnsi="Arial" w:cs="Arial"/>
          <w:bCs/>
        </w:rPr>
        <w:t xml:space="preserve"> cada uno de los componentes de la capacidad residual en los procesos de contratación pública</w:t>
      </w:r>
      <w:r w:rsidRPr="0073186E">
        <w:rPr>
          <w:rFonts w:ascii="Arial" w:eastAsia="Calibri" w:hAnsi="Arial" w:cs="Arial"/>
          <w:bCs/>
        </w:rPr>
        <w:t xml:space="preserve">. Lo anterior en razón a que,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w:t>
      </w:r>
    </w:p>
    <w:p w14:paraId="7DB4F49D" w14:textId="77777777" w:rsidR="0073186E" w:rsidRPr="0073186E" w:rsidRDefault="0073186E" w:rsidP="0073186E">
      <w:pPr>
        <w:spacing w:after="0" w:line="240" w:lineRule="auto"/>
        <w:ind w:left="709" w:right="709"/>
        <w:jc w:val="both"/>
        <w:rPr>
          <w:rFonts w:ascii="Arial" w:eastAsia="Times New Roman" w:hAnsi="Arial" w:cs="Arial"/>
          <w:color w:val="000000"/>
          <w:sz w:val="21"/>
          <w:szCs w:val="21"/>
          <w:lang w:val="es-ES_tradnl" w:eastAsia="es-ES_tradnl"/>
        </w:rPr>
      </w:pPr>
      <w:r w:rsidRPr="0073186E">
        <w:rPr>
          <w:rFonts w:ascii="Arial" w:eastAsia="Times New Roman" w:hAnsi="Arial" w:cs="Arial"/>
          <w:color w:val="000000"/>
          <w:sz w:val="21"/>
          <w:szCs w:val="21"/>
          <w:lang w:val="es-ES_tradnl" w:eastAsia="es-ES_tradnl"/>
        </w:rPr>
        <w:t xml:space="preserve"> </w:t>
      </w:r>
    </w:p>
    <w:p w14:paraId="22193308" w14:textId="77777777" w:rsidR="0073186E" w:rsidRPr="0073186E" w:rsidRDefault="0073186E" w:rsidP="0073186E">
      <w:pPr>
        <w:spacing w:after="0" w:line="240" w:lineRule="auto"/>
        <w:jc w:val="both"/>
        <w:textAlignment w:val="baseline"/>
        <w:rPr>
          <w:rFonts w:ascii="Arial" w:eastAsia="Calibri" w:hAnsi="Arial" w:cs="Arial"/>
          <w:lang w:val="es-ES"/>
        </w:rPr>
      </w:pPr>
      <w:r w:rsidRPr="56CB0E03">
        <w:rPr>
          <w:rFonts w:ascii="Arial" w:eastAsia="Calibri" w:hAnsi="Arial"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3BC78775" w14:textId="77777777" w:rsidR="0073186E" w:rsidRPr="0073186E" w:rsidRDefault="0073186E" w:rsidP="0073186E">
      <w:pPr>
        <w:spacing w:before="120" w:after="0" w:line="276" w:lineRule="auto"/>
        <w:jc w:val="both"/>
        <w:rPr>
          <w:rFonts w:ascii="Arial" w:eastAsia="Times New Roman" w:hAnsi="Arial" w:cs="Arial"/>
          <w:color w:val="000000"/>
          <w:szCs w:val="24"/>
          <w:lang w:val="es-ES_tradnl" w:eastAsia="es-ES_tradnl"/>
        </w:rPr>
      </w:pPr>
    </w:p>
    <w:p w14:paraId="70A46D44" w14:textId="77777777" w:rsidR="0073186E" w:rsidRPr="0073186E" w:rsidRDefault="0073186E" w:rsidP="0073186E">
      <w:pPr>
        <w:spacing w:after="0" w:line="276" w:lineRule="auto"/>
        <w:jc w:val="both"/>
        <w:rPr>
          <w:rFonts w:ascii="Arial" w:eastAsia="Times New Roman" w:hAnsi="Arial" w:cs="Arial"/>
          <w:color w:val="000000"/>
          <w:lang w:val="es-ES_tradnl" w:eastAsia="es-CO"/>
        </w:rPr>
      </w:pPr>
      <w:r w:rsidRPr="0073186E">
        <w:rPr>
          <w:rFonts w:ascii="Arial" w:eastAsia="Times New Roman" w:hAnsi="Arial" w:cs="Arial"/>
          <w:color w:val="000000"/>
          <w:lang w:val="es-ES_tradnl" w:eastAsia="es-CO"/>
        </w:rPr>
        <w:t>Atentamente,</w:t>
      </w:r>
    </w:p>
    <w:p w14:paraId="6F00BAC4" w14:textId="09C02F8F" w:rsidR="0073186E" w:rsidRPr="0073186E" w:rsidRDefault="00696912" w:rsidP="0073186E">
      <w:pPr>
        <w:spacing w:after="0" w:line="276" w:lineRule="auto"/>
        <w:jc w:val="center"/>
        <w:rPr>
          <w:rFonts w:ascii="Arial" w:eastAsia="Times New Roman" w:hAnsi="Arial" w:cs="Arial"/>
          <w:color w:val="000000"/>
          <w:lang w:val="es-ES_tradnl" w:eastAsia="es-CO"/>
        </w:rPr>
      </w:pPr>
      <w:r w:rsidRPr="00696912">
        <w:rPr>
          <w:rFonts w:ascii="Calibri" w:eastAsia="Calibri" w:hAnsi="Calibri" w:cs="Times New Roman"/>
          <w:noProof/>
          <w:lang w:val="es-ES"/>
        </w:rPr>
        <w:drawing>
          <wp:inline distT="0" distB="0" distL="0" distR="0" wp14:anchorId="2CED24B1" wp14:editId="20A5666E">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3"/>
                    <a:stretch>
                      <a:fillRect/>
                    </a:stretch>
                  </pic:blipFill>
                  <pic:spPr>
                    <a:xfrm>
                      <a:off x="0" y="0"/>
                      <a:ext cx="2785707" cy="1068836"/>
                    </a:xfrm>
                    <a:prstGeom prst="rect">
                      <a:avLst/>
                    </a:prstGeom>
                  </pic:spPr>
                </pic:pic>
              </a:graphicData>
            </a:graphic>
          </wp:inline>
        </w:drawing>
      </w:r>
    </w:p>
    <w:p w14:paraId="0A09F528" w14:textId="77777777" w:rsidR="0073186E" w:rsidRPr="0073186E" w:rsidRDefault="0073186E" w:rsidP="0073186E">
      <w:pPr>
        <w:spacing w:after="0" w:line="276" w:lineRule="auto"/>
        <w:rPr>
          <w:rFonts w:ascii="Arial" w:eastAsia="Times New Roman" w:hAnsi="Arial" w:cs="Arial"/>
          <w:color w:val="00000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3186E" w:rsidRPr="0073186E" w14:paraId="586BE608" w14:textId="77777777" w:rsidTr="0073186E">
        <w:trPr>
          <w:trHeight w:val="160"/>
        </w:trPr>
        <w:tc>
          <w:tcPr>
            <w:tcW w:w="812" w:type="dxa"/>
            <w:vAlign w:val="center"/>
            <w:hideMark/>
          </w:tcPr>
          <w:p w14:paraId="3B0EAE10" w14:textId="739902A5"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Elabor</w:t>
            </w:r>
            <w:r w:rsidR="00AD6C3F">
              <w:rPr>
                <w:rFonts w:ascii="Arial" w:eastAsia="Times New Roman" w:hAnsi="Arial" w:cs="Arial"/>
                <w:color w:val="000000"/>
                <w:sz w:val="16"/>
                <w:szCs w:val="16"/>
                <w:lang w:val="es-ES_tradnl" w:eastAsia="es-ES"/>
              </w:rPr>
              <w:t>ó</w:t>
            </w:r>
            <w:r w:rsidRPr="0073186E">
              <w:rPr>
                <w:rFonts w:ascii="Arial" w:eastAsia="Times New Roman" w:hAnsi="Arial" w:cs="Arial"/>
                <w:color w:val="000000"/>
                <w:sz w:val="16"/>
                <w:szCs w:val="16"/>
                <w:lang w:val="es-ES_tradnl" w:eastAsia="es-ES"/>
              </w:rPr>
              <w:t>:</w:t>
            </w:r>
          </w:p>
        </w:tc>
        <w:tc>
          <w:tcPr>
            <w:tcW w:w="4413" w:type="dxa"/>
            <w:tcBorders>
              <w:top w:val="nil"/>
              <w:left w:val="nil"/>
              <w:bottom w:val="dotted" w:sz="4" w:space="0" w:color="7F7F7F"/>
              <w:right w:val="nil"/>
            </w:tcBorders>
            <w:vAlign w:val="center"/>
            <w:hideMark/>
          </w:tcPr>
          <w:p w14:paraId="3D386DEF"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Gabriel Alejandro Murcia Taboada</w:t>
            </w:r>
          </w:p>
          <w:p w14:paraId="1D22BAFB" w14:textId="049C0E8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Contratista de la Subdirección de Gestión Contractual</w:t>
            </w:r>
          </w:p>
        </w:tc>
      </w:tr>
      <w:tr w:rsidR="0073186E" w:rsidRPr="0073186E" w14:paraId="64803546" w14:textId="77777777" w:rsidTr="0073186E">
        <w:trPr>
          <w:trHeight w:val="330"/>
        </w:trPr>
        <w:tc>
          <w:tcPr>
            <w:tcW w:w="812" w:type="dxa"/>
            <w:vAlign w:val="center"/>
            <w:hideMark/>
          </w:tcPr>
          <w:p w14:paraId="3E64993F"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3457E5A5" w14:textId="77777777" w:rsidR="0073186E" w:rsidRPr="0073186E" w:rsidRDefault="0073186E" w:rsidP="0073186E">
            <w:pPr>
              <w:jc w:val="both"/>
              <w:rPr>
                <w:rFonts w:ascii="Arial" w:eastAsia="Times New Roman" w:hAnsi="Arial" w:cs="Arial"/>
                <w:color w:val="000000"/>
                <w:sz w:val="16"/>
                <w:szCs w:val="16"/>
                <w:lang w:val="es-ES" w:eastAsia="es-ES"/>
              </w:rPr>
            </w:pPr>
            <w:r w:rsidRPr="0073186E">
              <w:rPr>
                <w:rFonts w:ascii="Arial" w:eastAsia="Times New Roman" w:hAnsi="Arial" w:cs="Arial"/>
                <w:color w:val="000000"/>
                <w:sz w:val="16"/>
                <w:szCs w:val="16"/>
                <w:lang w:val="es-ES" w:eastAsia="es-ES"/>
              </w:rPr>
              <w:t xml:space="preserve">Diana Carolina Armenta Celis </w:t>
            </w:r>
          </w:p>
          <w:p w14:paraId="2B11CA07"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 w:eastAsia="es-ES"/>
              </w:rPr>
              <w:t xml:space="preserve">Contratista de la Subdirección de Gestión Contractual    </w:t>
            </w:r>
          </w:p>
        </w:tc>
      </w:tr>
      <w:tr w:rsidR="0073186E" w:rsidRPr="0073186E" w14:paraId="1D384D9D" w14:textId="77777777" w:rsidTr="0073186E">
        <w:trPr>
          <w:trHeight w:val="300"/>
        </w:trPr>
        <w:tc>
          <w:tcPr>
            <w:tcW w:w="812" w:type="dxa"/>
            <w:vAlign w:val="center"/>
            <w:hideMark/>
          </w:tcPr>
          <w:p w14:paraId="2588AA41"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06F841B4"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Nohelia del Carmen Zawady Palacio</w:t>
            </w:r>
          </w:p>
          <w:p w14:paraId="7CFD51CE" w14:textId="77777777" w:rsidR="0073186E" w:rsidRPr="0073186E" w:rsidRDefault="0073186E" w:rsidP="0073186E">
            <w:pPr>
              <w:jc w:val="both"/>
              <w:rPr>
                <w:rFonts w:ascii="Arial" w:eastAsia="Times New Roman" w:hAnsi="Arial" w:cs="Arial"/>
                <w:color w:val="000000"/>
                <w:sz w:val="16"/>
                <w:szCs w:val="16"/>
                <w:lang w:val="es-ES_tradnl" w:eastAsia="es-ES"/>
              </w:rPr>
            </w:pPr>
            <w:r w:rsidRPr="0073186E">
              <w:rPr>
                <w:rFonts w:ascii="Arial" w:eastAsia="Times New Roman" w:hAnsi="Arial" w:cs="Arial"/>
                <w:color w:val="000000"/>
                <w:sz w:val="16"/>
                <w:szCs w:val="16"/>
                <w:lang w:val="es-ES_tradnl" w:eastAsia="es-ES"/>
              </w:rPr>
              <w:t>Subdirectora de Gestión Contractual ANCP – CCE</w:t>
            </w:r>
            <w:r w:rsidRPr="0073186E" w:rsidDel="003E289C">
              <w:rPr>
                <w:rFonts w:ascii="Arial" w:eastAsia="Times New Roman" w:hAnsi="Arial" w:cs="Arial"/>
                <w:color w:val="000000"/>
                <w:sz w:val="16"/>
                <w:szCs w:val="16"/>
                <w:lang w:val="es-ES_tradnl" w:eastAsia="es-ES"/>
              </w:rPr>
              <w:t xml:space="preserve"> </w:t>
            </w:r>
            <w:r w:rsidRPr="0073186E">
              <w:rPr>
                <w:rFonts w:ascii="Arial" w:eastAsia="Times New Roman" w:hAnsi="Arial" w:cs="Arial"/>
                <w:color w:val="000000"/>
                <w:sz w:val="16"/>
                <w:szCs w:val="16"/>
                <w:lang w:val="es-ES_tradnl" w:eastAsia="es-ES"/>
              </w:rPr>
              <w:t xml:space="preserve"> </w:t>
            </w:r>
          </w:p>
        </w:tc>
      </w:tr>
      <w:bookmarkEnd w:id="0"/>
    </w:tbl>
    <w:p w14:paraId="6E015620" w14:textId="77777777" w:rsidR="00AA6F9D" w:rsidRPr="00AA6F9D" w:rsidRDefault="00AA6F9D" w:rsidP="00AA6F9D">
      <w:pPr>
        <w:spacing w:after="0" w:line="240" w:lineRule="auto"/>
        <w:jc w:val="both"/>
        <w:rPr>
          <w:rFonts w:ascii="Arial" w:eastAsia="Times New Roman" w:hAnsi="Arial" w:cs="Arial"/>
          <w:bCs/>
          <w:color w:val="000000"/>
          <w:szCs w:val="24"/>
          <w:lang w:eastAsia="es-ES_tradnl"/>
        </w:rPr>
      </w:pPr>
    </w:p>
    <w:sectPr w:rsidR="00AA6F9D" w:rsidRPr="00AA6F9D" w:rsidSect="00923EEF">
      <w:headerReference w:type="default" r:id="rId14"/>
      <w:footerReference w:type="default" r:id="rId15"/>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00650" w14:textId="77777777" w:rsidR="001F45D0" w:rsidRDefault="001F45D0" w:rsidP="004A1847">
      <w:pPr>
        <w:spacing w:after="0" w:line="240" w:lineRule="auto"/>
      </w:pPr>
      <w:r>
        <w:separator/>
      </w:r>
    </w:p>
  </w:endnote>
  <w:endnote w:type="continuationSeparator" w:id="0">
    <w:p w14:paraId="63AF05AC" w14:textId="77777777" w:rsidR="001F45D0" w:rsidRDefault="001F45D0" w:rsidP="004A1847">
      <w:pPr>
        <w:spacing w:after="0" w:line="240" w:lineRule="auto"/>
      </w:pPr>
      <w:r>
        <w:continuationSeparator/>
      </w:r>
    </w:p>
  </w:endnote>
  <w:endnote w:type="continuationNotice" w:id="1">
    <w:p w14:paraId="6F0DB47F" w14:textId="77777777" w:rsidR="001F45D0" w:rsidRDefault="001F45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w:altName w:val="Arial"/>
    <w:charset w:val="00"/>
    <w:family w:val="auto"/>
    <w:pitch w:val="default"/>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62368336"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B72CD3">
            <w:rPr>
              <w:rFonts w:ascii="Century Gothic" w:hAnsi="Century Gothic"/>
              <w:sz w:val="16"/>
              <w:szCs w:val="16"/>
            </w:rPr>
            <w:t>1</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3F78C75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13</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E0DB946"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961B09">
            <w:rPr>
              <w:rFonts w:ascii="Century Gothic" w:hAnsi="Century Gothic"/>
              <w:sz w:val="16"/>
              <w:szCs w:val="16"/>
            </w:rPr>
            <w:t>15</w:t>
          </w:r>
          <w:r w:rsidRPr="003F3941">
            <w:rPr>
              <w:rFonts w:ascii="Century Gothic" w:hAnsi="Century Gothic"/>
              <w:sz w:val="16"/>
              <w:szCs w:val="16"/>
            </w:rPr>
            <w:t xml:space="preserve"> DE </w:t>
          </w:r>
          <w:r w:rsidR="00961B09">
            <w:rPr>
              <w:rFonts w:ascii="Century Gothic" w:hAnsi="Century Gothic"/>
              <w:sz w:val="16"/>
              <w:szCs w:val="16"/>
            </w:rPr>
            <w:t>JUNIO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A5A356" w14:textId="77777777" w:rsidR="001F45D0" w:rsidRDefault="001F45D0" w:rsidP="004A1847">
      <w:pPr>
        <w:spacing w:after="0" w:line="240" w:lineRule="auto"/>
      </w:pPr>
      <w:r>
        <w:separator/>
      </w:r>
    </w:p>
  </w:footnote>
  <w:footnote w:type="continuationSeparator" w:id="0">
    <w:p w14:paraId="4528B55B" w14:textId="77777777" w:rsidR="001F45D0" w:rsidRDefault="001F45D0" w:rsidP="004A1847">
      <w:pPr>
        <w:spacing w:after="0" w:line="240" w:lineRule="auto"/>
      </w:pPr>
      <w:r>
        <w:continuationSeparator/>
      </w:r>
    </w:p>
  </w:footnote>
  <w:footnote w:type="continuationNotice" w:id="1">
    <w:p w14:paraId="456EED84" w14:textId="77777777" w:rsidR="001F45D0" w:rsidRDefault="001F45D0">
      <w:pPr>
        <w:spacing w:after="0" w:line="240" w:lineRule="auto"/>
      </w:pPr>
    </w:p>
  </w:footnote>
  <w:footnote w:id="2">
    <w:p w14:paraId="73B9A035" w14:textId="77777777" w:rsidR="0073186E" w:rsidRPr="003D28C6" w:rsidRDefault="0073186E" w:rsidP="0073186E">
      <w:pPr>
        <w:pStyle w:val="Textonotapie"/>
        <w:ind w:firstLine="708"/>
        <w:contextualSpacing/>
        <w:rPr>
          <w:rFonts w:ascii="Arial" w:hAnsi="Arial" w:cs="Arial"/>
          <w:sz w:val="18"/>
          <w:szCs w:val="18"/>
        </w:rPr>
      </w:pPr>
      <w:r w:rsidRPr="003D28C6">
        <w:rPr>
          <w:rStyle w:val="Refdenotaalpie"/>
          <w:rFonts w:ascii="Arial" w:hAnsi="Arial" w:cs="Arial"/>
          <w:sz w:val="18"/>
          <w:szCs w:val="18"/>
        </w:rPr>
        <w:footnoteRef/>
      </w:r>
      <w:r w:rsidRPr="003D28C6">
        <w:rPr>
          <w:rFonts w:ascii="Arial" w:hAnsi="Arial" w:cs="Arial"/>
          <w:sz w:val="18"/>
          <w:szCs w:val="18"/>
        </w:rPr>
        <w:t xml:space="preserve"> “Artículo 3°. Funciones. La Agencia Nacional de Contratación Pública –Colombia Compra Eficiente– ejercerá las siguientes funciones: </w:t>
      </w:r>
    </w:p>
    <w:p w14:paraId="3343FF53" w14:textId="77777777" w:rsidR="0073186E" w:rsidRPr="003D28C6" w:rsidRDefault="0073186E" w:rsidP="0073186E">
      <w:pPr>
        <w:pStyle w:val="Textonotapie"/>
        <w:ind w:firstLine="709"/>
        <w:contextualSpacing/>
        <w:rPr>
          <w:rFonts w:ascii="Arial" w:hAnsi="Arial" w:cs="Arial"/>
          <w:sz w:val="18"/>
          <w:szCs w:val="18"/>
          <w:lang w:val="es-ES"/>
        </w:rPr>
      </w:pPr>
      <w:r w:rsidRPr="003D28C6">
        <w:rPr>
          <w:rFonts w:ascii="Arial" w:hAnsi="Arial" w:cs="Arial"/>
          <w:sz w:val="18"/>
          <w:szCs w:val="18"/>
          <w:lang w:val="es-ES"/>
        </w:rPr>
        <w:t xml:space="preserve">“[...] </w:t>
      </w:r>
    </w:p>
    <w:p w14:paraId="52A6E68C" w14:textId="77777777" w:rsidR="0073186E" w:rsidRPr="003D28C6" w:rsidRDefault="0073186E" w:rsidP="0073186E">
      <w:pPr>
        <w:pStyle w:val="Textonotapie"/>
        <w:ind w:firstLine="709"/>
        <w:contextualSpacing/>
        <w:rPr>
          <w:rFonts w:ascii="Arial" w:hAnsi="Arial" w:cs="Arial"/>
          <w:sz w:val="18"/>
          <w:szCs w:val="18"/>
          <w:lang w:val="es-ES"/>
        </w:rPr>
      </w:pPr>
      <w:r w:rsidRPr="003D28C6">
        <w:rPr>
          <w:rFonts w:ascii="Arial" w:hAnsi="Arial" w:cs="Arial"/>
          <w:sz w:val="18"/>
          <w:szCs w:val="18"/>
          <w:lang w:val="es-ES"/>
        </w:rPr>
        <w:t>“5. Absolver consultas sobre la aplicación de normas de carácter general y expedir circulares externas en materia de compras y contratación pública”.</w:t>
      </w:r>
    </w:p>
    <w:p w14:paraId="67E76911" w14:textId="77777777" w:rsidR="0073186E" w:rsidRPr="003D28C6" w:rsidRDefault="0073186E" w:rsidP="0073186E">
      <w:pPr>
        <w:pStyle w:val="Textonotapie"/>
        <w:ind w:firstLine="709"/>
        <w:contextualSpacing/>
        <w:rPr>
          <w:rFonts w:ascii="Arial" w:hAnsi="Arial" w:cs="Arial"/>
          <w:sz w:val="18"/>
          <w:szCs w:val="18"/>
          <w:lang w:val="es-ES"/>
        </w:rPr>
      </w:pPr>
      <w:r w:rsidRPr="003D28C6">
        <w:rPr>
          <w:rFonts w:ascii="Arial" w:eastAsia="Times New Roman" w:hAnsi="Arial" w:cs="Arial"/>
          <w:sz w:val="18"/>
          <w:szCs w:val="18"/>
          <w:lang w:val="es-CO" w:eastAsia="es-ES_tradnl"/>
        </w:rPr>
        <w:t>“</w:t>
      </w:r>
      <w:r w:rsidRPr="003D28C6">
        <w:rPr>
          <w:rFonts w:ascii="Arial" w:hAnsi="Arial" w:cs="Arial"/>
          <w:sz w:val="18"/>
          <w:szCs w:val="18"/>
          <w:lang w:val="es-ES"/>
        </w:rPr>
        <w:t xml:space="preserve">Artículo 11. Subdirección de Gestión Contractual. Son funciones de la Subdirección de Gestión Contractual las siguientes: </w:t>
      </w:r>
    </w:p>
    <w:p w14:paraId="33B693B5" w14:textId="77777777" w:rsidR="0073186E" w:rsidRPr="003D28C6" w:rsidRDefault="0073186E" w:rsidP="0073186E">
      <w:pPr>
        <w:pStyle w:val="Textonotapie"/>
        <w:ind w:firstLine="709"/>
        <w:contextualSpacing/>
        <w:rPr>
          <w:rFonts w:ascii="Arial" w:hAnsi="Arial" w:cs="Arial"/>
          <w:sz w:val="18"/>
          <w:szCs w:val="18"/>
          <w:lang w:val="es-ES"/>
        </w:rPr>
      </w:pPr>
      <w:r w:rsidRPr="003D28C6">
        <w:rPr>
          <w:rFonts w:ascii="Arial" w:hAnsi="Arial" w:cs="Arial"/>
          <w:sz w:val="18"/>
          <w:szCs w:val="18"/>
          <w:lang w:val="es-ES"/>
        </w:rPr>
        <w:t xml:space="preserve">“[...] </w:t>
      </w:r>
    </w:p>
    <w:p w14:paraId="7E4D5B1F" w14:textId="77777777" w:rsidR="0073186E" w:rsidRPr="003D28C6" w:rsidRDefault="0073186E" w:rsidP="0073186E">
      <w:pPr>
        <w:pStyle w:val="Textonotapie"/>
        <w:ind w:firstLine="708"/>
        <w:contextualSpacing/>
        <w:rPr>
          <w:rFonts w:ascii="Arial" w:hAnsi="Arial" w:cs="Arial"/>
          <w:sz w:val="18"/>
          <w:szCs w:val="18"/>
        </w:rPr>
      </w:pPr>
      <w:r w:rsidRPr="003D28C6">
        <w:rPr>
          <w:rFonts w:ascii="Arial" w:eastAsia="Times New Roman" w:hAnsi="Arial" w:cs="Arial"/>
          <w:sz w:val="18"/>
          <w:szCs w:val="18"/>
          <w:lang w:val="es-CO" w:eastAsia="es-ES_tradnl"/>
        </w:rPr>
        <w:t>“</w:t>
      </w:r>
      <w:r w:rsidRPr="003D28C6">
        <w:rPr>
          <w:rFonts w:ascii="Arial" w:hAnsi="Arial" w:cs="Arial"/>
          <w:sz w:val="18"/>
          <w:szCs w:val="18"/>
          <w:lang w:val="es-ES"/>
        </w:rPr>
        <w:t>8. Absolver consultas sobre la aplicación de normas de carácter general”.</w:t>
      </w:r>
    </w:p>
  </w:footnote>
  <w:footnote w:id="3">
    <w:p w14:paraId="419E889F" w14:textId="77777777" w:rsidR="0000152A" w:rsidRPr="003D28C6" w:rsidRDefault="0000152A" w:rsidP="0000152A">
      <w:pPr>
        <w:pStyle w:val="Textonotapie"/>
        <w:spacing w:after="120"/>
        <w:ind w:firstLine="709"/>
        <w:jc w:val="both"/>
        <w:rPr>
          <w:rFonts w:ascii="Arial" w:hAnsi="Arial" w:cs="Arial"/>
          <w:sz w:val="18"/>
          <w:szCs w:val="18"/>
          <w:lang w:val="es-ES"/>
        </w:rPr>
      </w:pPr>
      <w:r w:rsidRPr="003D28C6">
        <w:rPr>
          <w:rStyle w:val="Refdenotaalpie"/>
          <w:rFonts w:ascii="Arial" w:hAnsi="Arial" w:cs="Arial"/>
          <w:sz w:val="18"/>
          <w:szCs w:val="18"/>
        </w:rPr>
        <w:footnoteRef/>
      </w:r>
      <w:r w:rsidRPr="003D28C6">
        <w:rPr>
          <w:rFonts w:ascii="Arial" w:hAnsi="Arial" w:cs="Arial"/>
          <w:sz w:val="18"/>
          <w:szCs w:val="18"/>
        </w:rPr>
        <w:t xml:space="preserve"> </w:t>
      </w:r>
      <w:r w:rsidRPr="003D28C6">
        <w:rPr>
          <w:rFonts w:ascii="Arial" w:hAnsi="Arial" w:cs="Arial"/>
          <w:sz w:val="18"/>
          <w:szCs w:val="18"/>
          <w:lang w:val="es-ES"/>
        </w:rPr>
        <w:t xml:space="preserve">Agencia Nacional de Contratación Pública – Colombia Compra Eficiente, </w:t>
      </w:r>
      <w:r w:rsidRPr="003D28C6">
        <w:rPr>
          <w:rFonts w:ascii="Arial" w:hAnsi="Arial" w:cs="Arial"/>
          <w:sz w:val="18"/>
          <w:szCs w:val="18"/>
        </w:rPr>
        <w:t>Concepto C – 629 de 2020.</w:t>
      </w:r>
      <w:r w:rsidRPr="003D28C6">
        <w:rPr>
          <w:rFonts w:ascii="Arial" w:hAnsi="Arial" w:cs="Arial"/>
          <w:sz w:val="18"/>
          <w:szCs w:val="18"/>
          <w:lang w:val="es-ES"/>
        </w:rPr>
        <w:t xml:space="preserve"> </w:t>
      </w:r>
    </w:p>
  </w:footnote>
  <w:footnote w:id="4">
    <w:p w14:paraId="500565FE" w14:textId="77777777" w:rsidR="00C81EB7" w:rsidRPr="003D28C6" w:rsidRDefault="00C81EB7" w:rsidP="00C81EB7">
      <w:pPr>
        <w:spacing w:line="247" w:lineRule="auto"/>
        <w:ind w:left="300" w:right="308" w:firstLine="707"/>
        <w:jc w:val="both"/>
        <w:rPr>
          <w:rFonts w:ascii="Arial" w:hAnsi="Arial" w:cs="Arial"/>
          <w:sz w:val="18"/>
          <w:szCs w:val="18"/>
        </w:rPr>
      </w:pPr>
      <w:r w:rsidRPr="003D28C6">
        <w:rPr>
          <w:rStyle w:val="Refdenotaalpie"/>
          <w:rFonts w:ascii="Arial" w:hAnsi="Arial" w:cs="Arial"/>
          <w:sz w:val="18"/>
          <w:szCs w:val="18"/>
        </w:rPr>
        <w:footnoteRef/>
      </w:r>
      <w:r w:rsidRPr="003D28C6">
        <w:rPr>
          <w:rFonts w:ascii="Arial" w:hAnsi="Arial" w:cs="Arial"/>
          <w:sz w:val="18"/>
          <w:szCs w:val="18"/>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7A26AEAA" w14:textId="77777777" w:rsidR="00C81EB7" w:rsidRPr="003D28C6" w:rsidRDefault="00C81EB7" w:rsidP="00C81EB7">
      <w:pPr>
        <w:pStyle w:val="Textoindependiente"/>
        <w:spacing w:before="5"/>
        <w:rPr>
          <w:rFonts w:ascii="Arial" w:hAnsi="Arial" w:cs="Arial"/>
          <w:sz w:val="18"/>
          <w:szCs w:val="18"/>
        </w:rPr>
      </w:pPr>
    </w:p>
    <w:p w14:paraId="3907B774" w14:textId="77777777" w:rsidR="00C81EB7" w:rsidRPr="003D28C6" w:rsidRDefault="00C81EB7" w:rsidP="00C81EB7">
      <w:pPr>
        <w:ind w:left="300" w:right="305"/>
        <w:rPr>
          <w:rFonts w:ascii="Arial" w:hAnsi="Arial" w:cs="Arial"/>
          <w:sz w:val="18"/>
          <w:szCs w:val="18"/>
        </w:rPr>
      </w:pPr>
      <w:r w:rsidRPr="003D28C6">
        <w:rPr>
          <w:rFonts w:ascii="Arial" w:hAnsi="Arial" w:cs="Arial"/>
          <w:sz w:val="18"/>
          <w:szCs w:val="18"/>
        </w:rPr>
        <w:t>“Las personas jurídicas nacionales y extranjeras deberán acreditar que su duración no será inferior a la del plazo del contrato y un año más”.</w:t>
      </w:r>
    </w:p>
    <w:p w14:paraId="7815B52E" w14:textId="77777777" w:rsidR="00C81EB7" w:rsidRPr="003D28C6" w:rsidRDefault="00C81EB7" w:rsidP="00C81EB7">
      <w:pPr>
        <w:pStyle w:val="Textonotapie"/>
        <w:rPr>
          <w:rFonts w:ascii="Arial" w:hAnsi="Arial" w:cs="Arial"/>
          <w:sz w:val="18"/>
          <w:szCs w:val="18"/>
          <w:lang w:val="es-CO"/>
        </w:rPr>
      </w:pPr>
    </w:p>
  </w:footnote>
  <w:footnote w:id="5">
    <w:p w14:paraId="73D48FF5" w14:textId="77777777" w:rsidR="00C81EB7" w:rsidRPr="003D28C6" w:rsidRDefault="00C81EB7" w:rsidP="00C81EB7">
      <w:pPr>
        <w:spacing w:before="79" w:line="247" w:lineRule="auto"/>
        <w:ind w:left="300" w:right="307" w:firstLine="707"/>
        <w:jc w:val="both"/>
        <w:rPr>
          <w:rFonts w:ascii="Arial" w:hAnsi="Arial" w:cs="Arial"/>
          <w:sz w:val="18"/>
          <w:szCs w:val="18"/>
        </w:rPr>
      </w:pPr>
      <w:r w:rsidRPr="003D28C6">
        <w:rPr>
          <w:rStyle w:val="Refdenotaalpie"/>
          <w:rFonts w:ascii="Arial" w:hAnsi="Arial" w:cs="Arial"/>
          <w:sz w:val="18"/>
          <w:szCs w:val="18"/>
        </w:rPr>
        <w:footnoteRef/>
      </w:r>
      <w:r w:rsidRPr="003D28C6">
        <w:rPr>
          <w:rFonts w:ascii="Arial" w:hAnsi="Arial" w:cs="Arial"/>
          <w:sz w:val="18"/>
          <w:szCs w:val="18"/>
        </w:rPr>
        <w:t xml:space="preserve"> Ley 1618 de 2013: “Artículo 4. Dimensión normativa. La presente ley se complementa con los pactos, convenios y convenciones internacionales sobre derechos humanos relativos a las Personas con Discapacidad, aprobados y ratificados por</w:t>
      </w:r>
      <w:r w:rsidRPr="003D28C6">
        <w:rPr>
          <w:rFonts w:ascii="Arial" w:hAnsi="Arial" w:cs="Arial"/>
          <w:spacing w:val="-2"/>
          <w:sz w:val="18"/>
          <w:szCs w:val="18"/>
        </w:rPr>
        <w:t xml:space="preserve"> </w:t>
      </w:r>
      <w:r w:rsidRPr="003D28C6">
        <w:rPr>
          <w:rFonts w:ascii="Arial" w:hAnsi="Arial" w:cs="Arial"/>
          <w:sz w:val="18"/>
          <w:szCs w:val="18"/>
        </w:rPr>
        <w:t>Colombia.</w:t>
      </w:r>
    </w:p>
    <w:p w14:paraId="3CA399B9" w14:textId="77777777" w:rsidR="00C81EB7" w:rsidRPr="003D28C6" w:rsidRDefault="00C81EB7" w:rsidP="00C81EB7">
      <w:pPr>
        <w:pStyle w:val="Textoindependiente"/>
        <w:spacing w:before="5"/>
        <w:rPr>
          <w:rFonts w:ascii="Arial" w:hAnsi="Arial" w:cs="Arial"/>
          <w:sz w:val="18"/>
          <w:szCs w:val="18"/>
        </w:rPr>
      </w:pPr>
    </w:p>
    <w:p w14:paraId="6B4D2173" w14:textId="77777777" w:rsidR="00C81EB7" w:rsidRPr="003D28C6" w:rsidRDefault="00C81EB7" w:rsidP="00C81EB7">
      <w:pPr>
        <w:ind w:left="300" w:right="309"/>
        <w:jc w:val="both"/>
        <w:rPr>
          <w:rFonts w:ascii="Arial" w:hAnsi="Arial" w:cs="Arial"/>
          <w:sz w:val="18"/>
          <w:szCs w:val="18"/>
        </w:rPr>
      </w:pPr>
      <w:r w:rsidRPr="003D28C6">
        <w:rPr>
          <w:rFonts w:ascii="Arial" w:hAnsi="Arial" w:cs="Arial"/>
          <w:sz w:val="18"/>
          <w:szCs w:val="18"/>
        </w:rPr>
        <w:t>“En ningún caso, por implementación de esta norma podrán restringirse o menoscabarse ninguno de los derechos reconocidos en favor de las personas con discapacidad, en la legislación interna o de convenciones internacionales”.</w:t>
      </w:r>
    </w:p>
  </w:footnote>
  <w:footnote w:id="6">
    <w:p w14:paraId="1A70D828" w14:textId="77777777" w:rsidR="004B07AB" w:rsidRPr="00543959" w:rsidRDefault="004B07AB" w:rsidP="004B07AB">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w:t>
      </w:r>
      <w:r>
        <w:rPr>
          <w:rFonts w:ascii="Arial" w:hAnsi="Arial" w:cs="Arial"/>
          <w:color w:val="000000" w:themeColor="text1"/>
          <w:sz w:val="19"/>
          <w:szCs w:val="19"/>
        </w:rPr>
        <w:t>“</w:t>
      </w:r>
      <w:r w:rsidRPr="00543959">
        <w:rPr>
          <w:rFonts w:ascii="Arial" w:hAnsi="Arial" w:cs="Arial"/>
          <w:color w:val="000000" w:themeColor="text1"/>
          <w:sz w:val="19"/>
          <w:szCs w:val="19"/>
        </w:rPr>
        <w:t>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14:paraId="76214906" w14:textId="77777777" w:rsidR="004B07AB" w:rsidRPr="00543959" w:rsidRDefault="004B07AB" w:rsidP="004B07AB">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14:paraId="75FB6ADB" w14:textId="77777777" w:rsidR="004B07AB" w:rsidRPr="00543959" w:rsidRDefault="004B07AB" w:rsidP="004B07AB">
      <w:pPr>
        <w:spacing w:after="0" w:line="240" w:lineRule="auto"/>
        <w:ind w:right="49" w:firstLine="708"/>
        <w:jc w:val="both"/>
        <w:rPr>
          <w:rFonts w:ascii="Arial" w:hAnsi="Arial" w:cs="Arial"/>
          <w:color w:val="000000" w:themeColor="text1"/>
          <w:sz w:val="19"/>
          <w:szCs w:val="19"/>
        </w:rPr>
      </w:pPr>
      <w:r>
        <w:rPr>
          <w:rFonts w:ascii="Arial" w:hAnsi="Arial" w:cs="Arial"/>
          <w:color w:val="000000" w:themeColor="text1"/>
          <w:sz w:val="19"/>
          <w:szCs w:val="19"/>
        </w:rPr>
        <w:t>“</w:t>
      </w:r>
      <w:r w:rsidRPr="00543959">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color w:val="000000" w:themeColor="text1"/>
          <w:sz w:val="19"/>
          <w:szCs w:val="19"/>
        </w:rPr>
        <w:t>”</w:t>
      </w:r>
      <w:r w:rsidRPr="00543959">
        <w:rPr>
          <w:rFonts w:ascii="Arial" w:hAnsi="Arial" w:cs="Arial"/>
          <w:color w:val="000000" w:themeColor="text1"/>
          <w:sz w:val="19"/>
          <w:szCs w:val="19"/>
        </w:rPr>
        <w:t>.</w:t>
      </w:r>
    </w:p>
  </w:footnote>
  <w:footnote w:id="7">
    <w:p w14:paraId="493F412E" w14:textId="77777777" w:rsidR="004B07AB" w:rsidRPr="00543959" w:rsidRDefault="004B07AB" w:rsidP="004B07AB">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Consejo de Estado. Sección Tercera. Providencia del 26 de junio de 2003. </w:t>
      </w:r>
      <w:proofErr w:type="spellStart"/>
      <w:r w:rsidRPr="00543959">
        <w:rPr>
          <w:rFonts w:ascii="Arial" w:hAnsi="Arial" w:cs="Arial"/>
          <w:color w:val="000000" w:themeColor="text1"/>
          <w:sz w:val="19"/>
          <w:szCs w:val="19"/>
        </w:rPr>
        <w:t>Exp</w:t>
      </w:r>
      <w:proofErr w:type="spellEnd"/>
      <w:r w:rsidRPr="00543959">
        <w:rPr>
          <w:rFonts w:ascii="Arial" w:hAnsi="Arial" w:cs="Arial"/>
          <w:color w:val="000000" w:themeColor="text1"/>
          <w:sz w:val="19"/>
          <w:szCs w:val="19"/>
        </w:rPr>
        <w:t>. 13.354</w:t>
      </w:r>
      <w:r>
        <w:rPr>
          <w:rFonts w:ascii="Arial" w:hAnsi="Arial" w:cs="Arial"/>
          <w:color w:val="000000" w:themeColor="text1"/>
          <w:sz w:val="19"/>
          <w:szCs w:val="19"/>
        </w:rPr>
        <w:t>.</w:t>
      </w:r>
    </w:p>
    <w:p w14:paraId="1AB451A9" w14:textId="77777777" w:rsidR="004B07AB" w:rsidRPr="00543959" w:rsidRDefault="004B07AB" w:rsidP="004B07AB">
      <w:pPr>
        <w:pStyle w:val="Textonotapie"/>
        <w:ind w:right="49"/>
        <w:jc w:val="both"/>
        <w:rPr>
          <w:rFonts w:ascii="Arial" w:hAnsi="Arial" w:cs="Arial"/>
          <w:color w:val="000000" w:themeColor="text1"/>
          <w:sz w:val="19"/>
          <w:szCs w:val="19"/>
          <w:lang w:val="es-CO"/>
        </w:rPr>
      </w:pPr>
    </w:p>
  </w:footnote>
  <w:footnote w:id="8">
    <w:p w14:paraId="12AD92F8" w14:textId="77777777" w:rsidR="004B07AB" w:rsidRPr="00543959" w:rsidRDefault="004B07AB" w:rsidP="004B07AB">
      <w:pPr>
        <w:spacing w:after="0" w:line="240" w:lineRule="auto"/>
        <w:ind w:right="49" w:firstLine="708"/>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w:t>
      </w:r>
      <w:r>
        <w:rPr>
          <w:rFonts w:ascii="Arial" w:hAnsi="Arial" w:cs="Arial"/>
          <w:color w:val="000000" w:themeColor="text1"/>
          <w:sz w:val="19"/>
          <w:szCs w:val="19"/>
        </w:rPr>
        <w:t>“</w:t>
      </w:r>
      <w:r w:rsidRPr="00543959">
        <w:rPr>
          <w:rFonts w:ascii="Arial" w:hAnsi="Arial" w:cs="Arial"/>
          <w:color w:val="000000" w:themeColor="text1"/>
          <w:sz w:val="19"/>
          <w:szCs w:val="19"/>
        </w:rPr>
        <w:t>Artículo 2.2.1.1.1.6.4. Capacidad Residual. El interesado en celebrar contratos de obra pública con Entidades Estatales debe acreditar su Capacidad Residual o K de Contratación con los siguientes</w:t>
      </w:r>
      <w:r w:rsidRPr="00543959">
        <w:rPr>
          <w:rFonts w:ascii="Arial" w:hAnsi="Arial" w:cs="Arial"/>
          <w:color w:val="000000" w:themeColor="text1"/>
          <w:spacing w:val="-3"/>
          <w:sz w:val="19"/>
          <w:szCs w:val="19"/>
        </w:rPr>
        <w:t xml:space="preserve"> </w:t>
      </w:r>
      <w:r w:rsidRPr="00543959">
        <w:rPr>
          <w:rFonts w:ascii="Arial" w:hAnsi="Arial" w:cs="Arial"/>
          <w:color w:val="000000" w:themeColor="text1"/>
          <w:sz w:val="19"/>
          <w:szCs w:val="19"/>
        </w:rPr>
        <w:t>documentos:</w:t>
      </w:r>
    </w:p>
    <w:p w14:paraId="27EBEE04" w14:textId="77777777" w:rsidR="004B07AB" w:rsidRDefault="004B07AB" w:rsidP="004B07AB">
      <w:pPr>
        <w:spacing w:after="0" w:line="240" w:lineRule="auto"/>
        <w:ind w:right="49" w:firstLine="708"/>
        <w:jc w:val="both"/>
        <w:rPr>
          <w:rFonts w:ascii="Arial" w:hAnsi="Arial" w:cs="Arial"/>
          <w:color w:val="000000" w:themeColor="text1"/>
          <w:sz w:val="19"/>
          <w:szCs w:val="19"/>
        </w:rPr>
      </w:pPr>
      <w:r>
        <w:rPr>
          <w:rFonts w:ascii="Arial" w:hAnsi="Arial" w:cs="Arial"/>
          <w:color w:val="000000" w:themeColor="text1"/>
          <w:sz w:val="19"/>
          <w:szCs w:val="19"/>
        </w:rPr>
        <w:t>“</w:t>
      </w:r>
      <w:r w:rsidRPr="00543959">
        <w:rPr>
          <w:rFonts w:ascii="Arial" w:hAnsi="Arial" w:cs="Arial"/>
          <w:color w:val="000000" w:themeColor="text1"/>
          <w:sz w:val="19"/>
          <w:szCs w:val="19"/>
        </w:rPr>
        <w:t>1. La lista de los contratos de obras civiles en ejecución suscritos con Entidades Estatales y con entidades privadas, así como el valor y plazo de tales contratos, incluyendo contratos de concesión y los contratos de obra suscritos con</w:t>
      </w:r>
      <w:r w:rsidRPr="00543959">
        <w:rPr>
          <w:rFonts w:ascii="Arial" w:hAnsi="Arial" w:cs="Arial"/>
          <w:color w:val="000000" w:themeColor="text1"/>
          <w:spacing w:val="-4"/>
          <w:sz w:val="19"/>
          <w:szCs w:val="19"/>
        </w:rPr>
        <w:t xml:space="preserve"> </w:t>
      </w:r>
      <w:r w:rsidRPr="00543959">
        <w:rPr>
          <w:rFonts w:ascii="Arial" w:hAnsi="Arial" w:cs="Arial"/>
          <w:color w:val="000000" w:themeColor="text1"/>
          <w:sz w:val="19"/>
          <w:szCs w:val="19"/>
        </w:rPr>
        <w:t>concesionarios.</w:t>
      </w:r>
    </w:p>
    <w:p w14:paraId="2116D297" w14:textId="77777777" w:rsidR="004B07AB" w:rsidRPr="00543959" w:rsidRDefault="004B07AB" w:rsidP="004B07AB">
      <w:pPr>
        <w:spacing w:after="0" w:line="240" w:lineRule="auto"/>
        <w:ind w:right="49" w:firstLine="708"/>
        <w:jc w:val="both"/>
        <w:rPr>
          <w:rFonts w:ascii="Arial" w:hAnsi="Arial" w:cs="Arial"/>
          <w:color w:val="000000" w:themeColor="text1"/>
          <w:sz w:val="19"/>
          <w:szCs w:val="19"/>
        </w:rPr>
      </w:pPr>
      <w:r>
        <w:rPr>
          <w:rFonts w:ascii="Arial" w:hAnsi="Arial" w:cs="Arial"/>
          <w:color w:val="000000" w:themeColor="text1"/>
          <w:sz w:val="19"/>
          <w:szCs w:val="19"/>
        </w:rPr>
        <w:t>“</w:t>
      </w:r>
      <w:r w:rsidRPr="00543959">
        <w:rPr>
          <w:rFonts w:ascii="Arial" w:hAnsi="Arial" w:cs="Arial"/>
          <w:color w:val="000000" w:themeColor="text1"/>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0399BB1C" w14:textId="77777777" w:rsidR="004B07AB" w:rsidRPr="00543959" w:rsidRDefault="004B07AB" w:rsidP="004B07AB">
      <w:pPr>
        <w:spacing w:after="0" w:line="240" w:lineRule="auto"/>
        <w:ind w:right="49" w:firstLine="708"/>
        <w:jc w:val="both"/>
        <w:rPr>
          <w:rFonts w:ascii="Arial" w:hAnsi="Arial" w:cs="Arial"/>
          <w:color w:val="000000" w:themeColor="text1"/>
          <w:sz w:val="19"/>
          <w:szCs w:val="19"/>
        </w:rPr>
      </w:pPr>
      <w:r>
        <w:rPr>
          <w:rFonts w:ascii="Arial" w:hAnsi="Arial" w:cs="Arial"/>
          <w:color w:val="000000" w:themeColor="text1"/>
          <w:sz w:val="19"/>
          <w:szCs w:val="19"/>
        </w:rPr>
        <w:t>“</w:t>
      </w:r>
      <w:r w:rsidRPr="00543959">
        <w:rPr>
          <w:rFonts w:ascii="Arial" w:hAnsi="Arial" w:cs="Arial"/>
          <w:color w:val="000000" w:themeColor="text1"/>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p w14:paraId="3BABC2E4" w14:textId="77777777" w:rsidR="004B07AB" w:rsidRPr="00543959" w:rsidRDefault="004B07AB" w:rsidP="004B07AB">
      <w:pPr>
        <w:pStyle w:val="Textonotapie"/>
        <w:ind w:right="49"/>
        <w:jc w:val="both"/>
        <w:rPr>
          <w:rFonts w:ascii="Arial" w:hAnsi="Arial" w:cs="Arial"/>
          <w:color w:val="000000" w:themeColor="text1"/>
          <w:sz w:val="19"/>
          <w:szCs w:val="19"/>
        </w:rPr>
      </w:pPr>
    </w:p>
  </w:footnote>
  <w:footnote w:id="9">
    <w:p w14:paraId="67B74769" w14:textId="77777777" w:rsidR="002218AB" w:rsidRPr="00FB4D30" w:rsidRDefault="002218AB" w:rsidP="002218AB">
      <w:pPr>
        <w:pStyle w:val="NormalWeb"/>
        <w:shd w:val="clear" w:color="auto" w:fill="FFFFFF"/>
        <w:spacing w:after="0" w:line="240" w:lineRule="auto"/>
        <w:ind w:firstLine="708"/>
        <w:jc w:val="both"/>
        <w:rPr>
          <w:rFonts w:ascii="Arial" w:hAnsi="Arial" w:cs="Arial"/>
          <w:sz w:val="19"/>
          <w:szCs w:val="19"/>
        </w:rPr>
      </w:pPr>
      <w:r w:rsidRPr="00FB4D30">
        <w:rPr>
          <w:rStyle w:val="Refdenotaalpie"/>
          <w:rFonts w:ascii="Arial" w:hAnsi="Arial" w:cs="Arial"/>
          <w:sz w:val="19"/>
          <w:szCs w:val="19"/>
        </w:rPr>
        <w:footnoteRef/>
      </w:r>
      <w:r w:rsidRPr="00FB4D30">
        <w:rPr>
          <w:rFonts w:ascii="Arial" w:hAnsi="Arial" w:cs="Arial"/>
          <w:sz w:val="19"/>
          <w:szCs w:val="19"/>
        </w:rPr>
        <w:t xml:space="preserve"> </w:t>
      </w:r>
      <w:r w:rsidRPr="00FB4D30">
        <w:rPr>
          <w:rFonts w:ascii="Arial" w:hAnsi="Arial" w:cs="Arial"/>
          <w:sz w:val="19"/>
          <w:szCs w:val="19"/>
          <w:lang w:val="es-ES"/>
        </w:rPr>
        <w:t xml:space="preserve">Concepto con Radicado No. </w:t>
      </w:r>
      <w:r w:rsidRPr="00FB4D30">
        <w:rPr>
          <w:rFonts w:ascii="Arial" w:hAnsi="Arial" w:cs="Arial"/>
          <w:sz w:val="19"/>
          <w:szCs w:val="19"/>
        </w:rPr>
        <w:t xml:space="preserve">215130008786 </w:t>
      </w:r>
    </w:p>
  </w:footnote>
  <w:footnote w:id="10">
    <w:p w14:paraId="7D3B6A0C" w14:textId="77777777" w:rsidR="002218AB" w:rsidRPr="00EB4F7E" w:rsidRDefault="002218AB" w:rsidP="002218AB">
      <w:pPr>
        <w:pStyle w:val="Textonotapie"/>
        <w:ind w:firstLine="708"/>
        <w:jc w:val="both"/>
        <w:rPr>
          <w:lang w:val="es-CO"/>
        </w:rPr>
      </w:pPr>
      <w:r w:rsidRPr="00A16516">
        <w:rPr>
          <w:rStyle w:val="Refdenotaalpie"/>
          <w:rFonts w:ascii="Arial" w:hAnsi="Arial" w:cs="Arial"/>
          <w:sz w:val="19"/>
          <w:szCs w:val="19"/>
        </w:rPr>
        <w:footnoteRef/>
      </w:r>
      <w:r w:rsidRPr="00A16516">
        <w:rPr>
          <w:rFonts w:ascii="Arial" w:hAnsi="Arial" w:cs="Arial"/>
          <w:sz w:val="19"/>
          <w:szCs w:val="19"/>
        </w:rPr>
        <w:t xml:space="preserve"> Agencia Nacional de Contratación Pública – Colombia Compra Eficiente. Guía para Determinar y Verificar la Capacidad Residual del Proponente en los Procesos de Contratación de Obra Pública. 2017. </w:t>
      </w:r>
      <w:proofErr w:type="spellStart"/>
      <w:r w:rsidRPr="00A16516">
        <w:rPr>
          <w:rFonts w:ascii="Arial" w:hAnsi="Arial" w:cs="Arial"/>
          <w:sz w:val="19"/>
          <w:szCs w:val="19"/>
        </w:rPr>
        <w:t>Pág</w:t>
      </w:r>
      <w:proofErr w:type="spellEnd"/>
      <w:r w:rsidRPr="00A16516">
        <w:rPr>
          <w:rFonts w:ascii="Arial" w:hAnsi="Arial" w:cs="Arial"/>
          <w:sz w:val="19"/>
          <w:szCs w:val="19"/>
        </w:rPr>
        <w:t xml:space="preserve"> 4. Disponible en:</w:t>
      </w:r>
      <w:r>
        <w:rPr>
          <w:rFonts w:ascii="Arial" w:hAnsi="Arial" w:cs="Arial"/>
          <w:sz w:val="19"/>
          <w:szCs w:val="19"/>
        </w:rPr>
        <w:t xml:space="preserve"> </w:t>
      </w:r>
      <w:hyperlink r:id="rId1" w:history="1">
        <w:r w:rsidRPr="00A16516">
          <w:rPr>
            <w:rStyle w:val="Hipervnculo"/>
            <w:rFonts w:ascii="Arial" w:hAnsi="Arial" w:cs="Arial"/>
            <w:sz w:val="19"/>
            <w:szCs w:val="19"/>
          </w:rPr>
          <w:t>https://colombiacompra.gov.co/sites/cce_public/files/cce_documents/cce_guia_capacidad_residual.pdf</w:t>
        </w:r>
      </w:hyperlink>
      <w:r>
        <w:t xml:space="preserve"> </w:t>
      </w:r>
    </w:p>
  </w:footnote>
  <w:footnote w:id="11">
    <w:p w14:paraId="35D50003" w14:textId="77777777" w:rsidR="00693A47" w:rsidRPr="003D28C6" w:rsidRDefault="00693A47" w:rsidP="00693A47">
      <w:pPr>
        <w:spacing w:line="247" w:lineRule="auto"/>
        <w:ind w:left="300" w:right="308" w:firstLine="707"/>
        <w:jc w:val="both"/>
        <w:rPr>
          <w:rFonts w:ascii="Arial" w:hAnsi="Arial" w:cs="Arial"/>
          <w:sz w:val="18"/>
          <w:szCs w:val="18"/>
        </w:rPr>
      </w:pPr>
      <w:r w:rsidRPr="003D28C6">
        <w:rPr>
          <w:rStyle w:val="Refdenotaalpie"/>
          <w:rFonts w:ascii="Arial" w:hAnsi="Arial" w:cs="Arial"/>
          <w:sz w:val="18"/>
          <w:szCs w:val="18"/>
        </w:rPr>
        <w:footnoteRef/>
      </w:r>
      <w:r w:rsidRPr="003D28C6">
        <w:rPr>
          <w:rFonts w:ascii="Arial" w:hAnsi="Arial" w:cs="Arial"/>
          <w:sz w:val="18"/>
          <w:szCs w:val="18"/>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76E4A4E" w14:textId="77777777" w:rsidR="00693A47" w:rsidRPr="003D28C6" w:rsidRDefault="00693A47" w:rsidP="00693A47">
      <w:pPr>
        <w:pStyle w:val="Textoindependiente"/>
        <w:spacing w:before="5"/>
        <w:rPr>
          <w:rFonts w:ascii="Arial" w:hAnsi="Arial" w:cs="Arial"/>
          <w:sz w:val="18"/>
          <w:szCs w:val="18"/>
        </w:rPr>
      </w:pPr>
    </w:p>
    <w:p w14:paraId="6D257CA8" w14:textId="77777777" w:rsidR="00693A47" w:rsidRPr="003D28C6" w:rsidRDefault="00693A47" w:rsidP="00693A47">
      <w:pPr>
        <w:ind w:left="300" w:right="305"/>
        <w:rPr>
          <w:rFonts w:ascii="Arial" w:hAnsi="Arial" w:cs="Arial"/>
          <w:sz w:val="18"/>
          <w:szCs w:val="18"/>
        </w:rPr>
      </w:pPr>
      <w:r w:rsidRPr="003D28C6">
        <w:rPr>
          <w:rFonts w:ascii="Arial" w:hAnsi="Arial" w:cs="Arial"/>
          <w:sz w:val="18"/>
          <w:szCs w:val="18"/>
        </w:rPr>
        <w:t>“Las personas jurídicas nacionales y extranjeras deberán acreditar que su duración no será inferior a la del plazo del contrato y un año más”.</w:t>
      </w:r>
    </w:p>
    <w:p w14:paraId="522C2F91" w14:textId="77777777" w:rsidR="00693A47" w:rsidRPr="003D28C6" w:rsidRDefault="00693A47" w:rsidP="00693A47">
      <w:pPr>
        <w:pStyle w:val="Textonotapie"/>
        <w:rPr>
          <w:rFonts w:ascii="Arial" w:hAnsi="Arial" w:cs="Arial"/>
          <w:sz w:val="18"/>
          <w:szCs w:val="18"/>
          <w:lang w:val="es-CO"/>
        </w:rPr>
      </w:pPr>
    </w:p>
  </w:footnote>
  <w:footnote w:id="12">
    <w:p w14:paraId="7F40ED5F" w14:textId="77777777" w:rsidR="00F47DBE" w:rsidRPr="00543959" w:rsidRDefault="00F47DBE" w:rsidP="00F47DBE">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Decreto 1082 de 2015: </w:t>
      </w:r>
      <w:r>
        <w:rPr>
          <w:rFonts w:ascii="Arial" w:hAnsi="Arial" w:cs="Arial"/>
          <w:color w:val="000000" w:themeColor="text1"/>
          <w:sz w:val="19"/>
          <w:szCs w:val="19"/>
        </w:rPr>
        <w:t>“</w:t>
      </w:r>
      <w:r w:rsidRPr="00543959">
        <w:rPr>
          <w:rFonts w:ascii="Arial" w:hAnsi="Arial" w:cs="Arial"/>
          <w:color w:val="000000" w:themeColor="text1"/>
          <w:sz w:val="19"/>
          <w:szCs w:val="19"/>
        </w:rPr>
        <w:t>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543959">
        <w:rPr>
          <w:rFonts w:ascii="Arial" w:hAnsi="Arial" w:cs="Arial"/>
          <w:color w:val="000000" w:themeColor="text1"/>
          <w:spacing w:val="-14"/>
          <w:sz w:val="19"/>
          <w:szCs w:val="19"/>
        </w:rPr>
        <w:t xml:space="preserve"> </w:t>
      </w:r>
      <w:r w:rsidRPr="00543959">
        <w:rPr>
          <w:rFonts w:ascii="Arial" w:hAnsi="Arial" w:cs="Arial"/>
          <w:color w:val="000000" w:themeColor="text1"/>
          <w:sz w:val="19"/>
          <w:szCs w:val="19"/>
        </w:rPr>
        <w:t>utilizados.</w:t>
      </w:r>
    </w:p>
    <w:p w14:paraId="78DF6419" w14:textId="77777777" w:rsidR="00F47DBE" w:rsidRPr="00543959" w:rsidRDefault="00F47DBE" w:rsidP="00F47DBE">
      <w:pPr>
        <w:spacing w:after="0" w:line="240" w:lineRule="auto"/>
        <w:ind w:right="49" w:firstLine="708"/>
        <w:jc w:val="both"/>
        <w:rPr>
          <w:rFonts w:ascii="Arial" w:hAnsi="Arial" w:cs="Arial"/>
          <w:color w:val="000000" w:themeColor="text1"/>
          <w:sz w:val="19"/>
          <w:szCs w:val="19"/>
        </w:rPr>
      </w:pPr>
      <w:r w:rsidRPr="00543959">
        <w:rPr>
          <w:rFonts w:ascii="Arial" w:hAnsi="Arial" w:cs="Arial"/>
          <w:color w:val="000000" w:themeColor="text1"/>
          <w:sz w:val="19"/>
          <w:szCs w:val="19"/>
        </w:rPr>
        <w:t>[…]</w:t>
      </w:r>
    </w:p>
    <w:p w14:paraId="2D100666" w14:textId="77777777" w:rsidR="00F47DBE" w:rsidRPr="00543959" w:rsidRDefault="00F47DBE" w:rsidP="00F47DBE">
      <w:pPr>
        <w:spacing w:after="0" w:line="240" w:lineRule="auto"/>
        <w:ind w:right="49" w:firstLine="708"/>
        <w:jc w:val="both"/>
        <w:rPr>
          <w:rFonts w:ascii="Arial" w:hAnsi="Arial" w:cs="Arial"/>
          <w:color w:val="000000" w:themeColor="text1"/>
          <w:sz w:val="19"/>
          <w:szCs w:val="19"/>
        </w:rPr>
      </w:pPr>
      <w:r>
        <w:rPr>
          <w:rFonts w:ascii="Arial" w:hAnsi="Arial" w:cs="Arial"/>
          <w:color w:val="000000" w:themeColor="text1"/>
          <w:sz w:val="19"/>
          <w:szCs w:val="19"/>
        </w:rPr>
        <w:t>“</w:t>
      </w:r>
      <w:r w:rsidRPr="00543959">
        <w:rPr>
          <w:rFonts w:ascii="Arial" w:hAnsi="Arial" w:cs="Arial"/>
          <w:color w:val="000000" w:themeColor="text1"/>
          <w:sz w:val="19"/>
          <w:szCs w:val="19"/>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Pr>
          <w:rFonts w:ascii="Arial" w:hAnsi="Arial" w:cs="Arial"/>
          <w:color w:val="000000" w:themeColor="text1"/>
          <w:sz w:val="19"/>
          <w:szCs w:val="19"/>
        </w:rPr>
        <w:t>”</w:t>
      </w:r>
      <w:r w:rsidRPr="00543959">
        <w:rPr>
          <w:rFonts w:ascii="Arial" w:hAnsi="Arial" w:cs="Arial"/>
          <w:color w:val="000000" w:themeColor="text1"/>
          <w:sz w:val="19"/>
          <w:szCs w:val="19"/>
        </w:rPr>
        <w:t>.</w:t>
      </w:r>
    </w:p>
  </w:footnote>
  <w:footnote w:id="13">
    <w:p w14:paraId="5AD23F82" w14:textId="77777777" w:rsidR="00F47DBE" w:rsidRPr="00543959" w:rsidRDefault="00F47DBE" w:rsidP="00F47DBE">
      <w:pPr>
        <w:spacing w:after="0" w:line="240" w:lineRule="auto"/>
        <w:ind w:right="49" w:firstLine="720"/>
        <w:jc w:val="both"/>
        <w:rPr>
          <w:rFonts w:ascii="Arial" w:hAnsi="Arial" w:cs="Arial"/>
          <w:color w:val="000000" w:themeColor="text1"/>
          <w:sz w:val="19"/>
          <w:szCs w:val="19"/>
        </w:rPr>
      </w:pPr>
      <w:r w:rsidRPr="00543959">
        <w:rPr>
          <w:rStyle w:val="Refdenotaalpie"/>
          <w:rFonts w:ascii="Arial" w:hAnsi="Arial" w:cs="Arial"/>
          <w:color w:val="000000" w:themeColor="text1"/>
          <w:sz w:val="19"/>
          <w:szCs w:val="19"/>
        </w:rPr>
        <w:footnoteRef/>
      </w:r>
      <w:r w:rsidRPr="00543959">
        <w:rPr>
          <w:rFonts w:ascii="Arial" w:hAnsi="Arial" w:cs="Arial"/>
          <w:color w:val="000000" w:themeColor="text1"/>
          <w:sz w:val="19"/>
          <w:szCs w:val="19"/>
        </w:rPr>
        <w:t xml:space="preserve"> Consejo de Estado. Sección Tercera. Providencia del 26 de junio de 2003. </w:t>
      </w:r>
      <w:proofErr w:type="spellStart"/>
      <w:r w:rsidRPr="00543959">
        <w:rPr>
          <w:rFonts w:ascii="Arial" w:hAnsi="Arial" w:cs="Arial"/>
          <w:color w:val="000000" w:themeColor="text1"/>
          <w:sz w:val="19"/>
          <w:szCs w:val="19"/>
        </w:rPr>
        <w:t>Exp</w:t>
      </w:r>
      <w:proofErr w:type="spellEnd"/>
      <w:r w:rsidRPr="00543959">
        <w:rPr>
          <w:rFonts w:ascii="Arial" w:hAnsi="Arial" w:cs="Arial"/>
          <w:color w:val="000000" w:themeColor="text1"/>
          <w:sz w:val="19"/>
          <w:szCs w:val="19"/>
        </w:rPr>
        <w:t>. 13.354</w:t>
      </w:r>
      <w:r>
        <w:rPr>
          <w:rFonts w:ascii="Arial" w:hAnsi="Arial" w:cs="Arial"/>
          <w:color w:val="000000" w:themeColor="text1"/>
          <w:sz w:val="19"/>
          <w:szCs w:val="19"/>
        </w:rPr>
        <w:t>.</w:t>
      </w:r>
    </w:p>
    <w:p w14:paraId="4EDB50DE" w14:textId="77777777" w:rsidR="00F47DBE" w:rsidRPr="00543959" w:rsidRDefault="00F47DBE" w:rsidP="00F47DBE">
      <w:pPr>
        <w:pStyle w:val="Textonotapie"/>
        <w:ind w:right="49"/>
        <w:jc w:val="both"/>
        <w:rPr>
          <w:rFonts w:ascii="Arial" w:hAnsi="Arial" w:cs="Arial"/>
          <w:color w:val="000000" w:themeColor="text1"/>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7E5E717"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13</w:t>
    </w:r>
  </w:p>
  <w:p w14:paraId="5E18350A" w14:textId="3833E343"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CB6357">
      <w:rPr>
        <w:rFonts w:ascii="Century Gothic" w:eastAsia="Geo" w:hAnsi="Century Gothic" w:cs="Geo"/>
        <w:sz w:val="16"/>
        <w:szCs w:val="16"/>
        <w:lang w:eastAsia="es-CO"/>
      </w:rPr>
      <w:t>1</w:t>
    </w:r>
    <w:r w:rsidRPr="004A305D">
      <w:rPr>
        <w:rFonts w:ascii="Century Gothic" w:eastAsia="Geo" w:hAnsi="Century Gothic" w:cs="Geo"/>
        <w:sz w:val="16"/>
        <w:szCs w:val="16"/>
        <w:lang w:eastAsia="es-CO"/>
      </w:rPr>
      <w:t xml:space="preserve"> DEL </w:t>
    </w:r>
    <w:r w:rsidR="00CB6357">
      <w:rPr>
        <w:rFonts w:ascii="Century Gothic" w:eastAsia="Geo" w:hAnsi="Century Gothic" w:cs="Geo"/>
        <w:sz w:val="16"/>
        <w:szCs w:val="16"/>
        <w:lang w:eastAsia="es-CO"/>
      </w:rPr>
      <w:t xml:space="preserve">15 </w:t>
    </w:r>
    <w:r w:rsidRPr="004A305D">
      <w:rPr>
        <w:rFonts w:ascii="Century Gothic" w:eastAsia="Geo" w:hAnsi="Century Gothic" w:cs="Geo"/>
        <w:sz w:val="16"/>
        <w:szCs w:val="16"/>
        <w:lang w:eastAsia="es-CO"/>
      </w:rPr>
      <w:t xml:space="preserve">DE </w:t>
    </w:r>
    <w:r w:rsidR="00961B09">
      <w:rPr>
        <w:rFonts w:ascii="Century Gothic" w:eastAsia="Geo" w:hAnsi="Century Gothic" w:cs="Geo"/>
        <w:sz w:val="16"/>
        <w:szCs w:val="16"/>
        <w:lang w:eastAsia="es-CO"/>
      </w:rPr>
      <w:t>JUNIO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AC312E"/>
    <w:multiLevelType w:val="hybridMultilevel"/>
    <w:tmpl w:val="0448B0FA"/>
    <w:lvl w:ilvl="0" w:tplc="66ECD06A">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3891563E"/>
    <w:multiLevelType w:val="hybridMultilevel"/>
    <w:tmpl w:val="A466455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05413EB"/>
    <w:multiLevelType w:val="hybridMultilevel"/>
    <w:tmpl w:val="9190E604"/>
    <w:lvl w:ilvl="0" w:tplc="240A0015">
      <w:start w:val="1"/>
      <w:numFmt w:val="upperLetter"/>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7" w15:restartNumberingAfterBreak="0">
    <w:nsid w:val="44F110F6"/>
    <w:multiLevelType w:val="hybridMultilevel"/>
    <w:tmpl w:val="CD52373E"/>
    <w:lvl w:ilvl="0" w:tplc="BAA4D62C">
      <w:start w:val="9"/>
      <w:numFmt w:val="upperLetter"/>
      <w:lvlText w:val="%1."/>
      <w:lvlJc w:val="left"/>
      <w:pPr>
        <w:ind w:left="143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9"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948779781">
    <w:abstractNumId w:val="4"/>
  </w:num>
  <w:num w:numId="2" w16cid:durableId="19822139">
    <w:abstractNumId w:val="2"/>
  </w:num>
  <w:num w:numId="3" w16cid:durableId="876742304">
    <w:abstractNumId w:val="3"/>
  </w:num>
  <w:num w:numId="4" w16cid:durableId="2451864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434131592">
    <w:abstractNumId w:val="0"/>
  </w:num>
  <w:num w:numId="7" w16cid:durableId="1878808426">
    <w:abstractNumId w:val="6"/>
  </w:num>
  <w:num w:numId="8" w16cid:durableId="1284115722">
    <w:abstractNumId w:val="7"/>
  </w:num>
  <w:num w:numId="9" w16cid:durableId="2047482373">
    <w:abstractNumId w:val="1"/>
  </w:num>
  <w:num w:numId="10" w16cid:durableId="1536573849">
    <w:abstractNumId w:val="5"/>
  </w:num>
  <w:num w:numId="11" w16cid:durableId="1077089476">
    <w:abstractNumId w:val="9"/>
  </w:num>
  <w:num w:numId="12" w16cid:durableId="14609576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52A"/>
    <w:rsid w:val="00025983"/>
    <w:rsid w:val="00054B8D"/>
    <w:rsid w:val="00091071"/>
    <w:rsid w:val="000A683E"/>
    <w:rsid w:val="000B19B9"/>
    <w:rsid w:val="000D0334"/>
    <w:rsid w:val="000F6486"/>
    <w:rsid w:val="00100693"/>
    <w:rsid w:val="00112153"/>
    <w:rsid w:val="00125105"/>
    <w:rsid w:val="00127233"/>
    <w:rsid w:val="001338F2"/>
    <w:rsid w:val="001372B4"/>
    <w:rsid w:val="00173207"/>
    <w:rsid w:val="001E4177"/>
    <w:rsid w:val="001F45D0"/>
    <w:rsid w:val="002218AB"/>
    <w:rsid w:val="0022329E"/>
    <w:rsid w:val="0024564A"/>
    <w:rsid w:val="00265CCD"/>
    <w:rsid w:val="0027708C"/>
    <w:rsid w:val="002951A0"/>
    <w:rsid w:val="002962BC"/>
    <w:rsid w:val="002A093D"/>
    <w:rsid w:val="002A49AC"/>
    <w:rsid w:val="002A64FD"/>
    <w:rsid w:val="002B4A89"/>
    <w:rsid w:val="002C7A84"/>
    <w:rsid w:val="002F3DBD"/>
    <w:rsid w:val="00311C5F"/>
    <w:rsid w:val="00335F29"/>
    <w:rsid w:val="003448F4"/>
    <w:rsid w:val="00354BB8"/>
    <w:rsid w:val="00373B40"/>
    <w:rsid w:val="00384CD7"/>
    <w:rsid w:val="00386983"/>
    <w:rsid w:val="0039737D"/>
    <w:rsid w:val="003A6986"/>
    <w:rsid w:val="003A779E"/>
    <w:rsid w:val="003C2C91"/>
    <w:rsid w:val="003D0F4D"/>
    <w:rsid w:val="003D28C6"/>
    <w:rsid w:val="003E0499"/>
    <w:rsid w:val="003F3941"/>
    <w:rsid w:val="00400548"/>
    <w:rsid w:val="00424FBC"/>
    <w:rsid w:val="004514B6"/>
    <w:rsid w:val="004555F6"/>
    <w:rsid w:val="004702C2"/>
    <w:rsid w:val="004A1847"/>
    <w:rsid w:val="004A305D"/>
    <w:rsid w:val="004A50DE"/>
    <w:rsid w:val="004B07AB"/>
    <w:rsid w:val="004C0E59"/>
    <w:rsid w:val="004C34DD"/>
    <w:rsid w:val="004E0761"/>
    <w:rsid w:val="004E57C8"/>
    <w:rsid w:val="004F21C4"/>
    <w:rsid w:val="004F685F"/>
    <w:rsid w:val="004F72B7"/>
    <w:rsid w:val="00522661"/>
    <w:rsid w:val="00534FD9"/>
    <w:rsid w:val="00546396"/>
    <w:rsid w:val="005566E8"/>
    <w:rsid w:val="00560493"/>
    <w:rsid w:val="00574867"/>
    <w:rsid w:val="005775BA"/>
    <w:rsid w:val="005B0D54"/>
    <w:rsid w:val="005C5CDC"/>
    <w:rsid w:val="005D476C"/>
    <w:rsid w:val="005E26B8"/>
    <w:rsid w:val="00616D14"/>
    <w:rsid w:val="006219F8"/>
    <w:rsid w:val="00657427"/>
    <w:rsid w:val="00665D70"/>
    <w:rsid w:val="006775F8"/>
    <w:rsid w:val="00693A47"/>
    <w:rsid w:val="00696912"/>
    <w:rsid w:val="006B2602"/>
    <w:rsid w:val="006D7BF9"/>
    <w:rsid w:val="00706C16"/>
    <w:rsid w:val="0073186E"/>
    <w:rsid w:val="0074121B"/>
    <w:rsid w:val="007559EF"/>
    <w:rsid w:val="00756841"/>
    <w:rsid w:val="007649AB"/>
    <w:rsid w:val="007755FF"/>
    <w:rsid w:val="007833AC"/>
    <w:rsid w:val="00794D86"/>
    <w:rsid w:val="007B7171"/>
    <w:rsid w:val="007C3DC2"/>
    <w:rsid w:val="007C58AE"/>
    <w:rsid w:val="007D033F"/>
    <w:rsid w:val="007E5497"/>
    <w:rsid w:val="00806F5F"/>
    <w:rsid w:val="00820278"/>
    <w:rsid w:val="008337F0"/>
    <w:rsid w:val="00834A0D"/>
    <w:rsid w:val="008423DB"/>
    <w:rsid w:val="00853634"/>
    <w:rsid w:val="008843B6"/>
    <w:rsid w:val="0089058B"/>
    <w:rsid w:val="00890DA6"/>
    <w:rsid w:val="00891928"/>
    <w:rsid w:val="008A15C5"/>
    <w:rsid w:val="008A446D"/>
    <w:rsid w:val="008A7C08"/>
    <w:rsid w:val="008B4C28"/>
    <w:rsid w:val="008F0EA7"/>
    <w:rsid w:val="008F6F6E"/>
    <w:rsid w:val="00923EEF"/>
    <w:rsid w:val="009258B9"/>
    <w:rsid w:val="0093316F"/>
    <w:rsid w:val="009338BF"/>
    <w:rsid w:val="00940A37"/>
    <w:rsid w:val="009419F9"/>
    <w:rsid w:val="009426F4"/>
    <w:rsid w:val="00942785"/>
    <w:rsid w:val="0094378B"/>
    <w:rsid w:val="00953787"/>
    <w:rsid w:val="00961B09"/>
    <w:rsid w:val="00965334"/>
    <w:rsid w:val="0097093E"/>
    <w:rsid w:val="0099030B"/>
    <w:rsid w:val="0099558A"/>
    <w:rsid w:val="009C71FA"/>
    <w:rsid w:val="009C72E7"/>
    <w:rsid w:val="009F4784"/>
    <w:rsid w:val="00A136BD"/>
    <w:rsid w:val="00A17F13"/>
    <w:rsid w:val="00A20739"/>
    <w:rsid w:val="00A22083"/>
    <w:rsid w:val="00A24202"/>
    <w:rsid w:val="00A33C78"/>
    <w:rsid w:val="00A64BD9"/>
    <w:rsid w:val="00A86387"/>
    <w:rsid w:val="00AA1871"/>
    <w:rsid w:val="00AA6F9D"/>
    <w:rsid w:val="00AB0ADB"/>
    <w:rsid w:val="00AD6C3F"/>
    <w:rsid w:val="00B1588F"/>
    <w:rsid w:val="00B22101"/>
    <w:rsid w:val="00B72CD3"/>
    <w:rsid w:val="00B72FFF"/>
    <w:rsid w:val="00B8181D"/>
    <w:rsid w:val="00BA7F85"/>
    <w:rsid w:val="00BB1332"/>
    <w:rsid w:val="00BC71F4"/>
    <w:rsid w:val="00BD7F72"/>
    <w:rsid w:val="00BE4E5D"/>
    <w:rsid w:val="00C04FB3"/>
    <w:rsid w:val="00C330EB"/>
    <w:rsid w:val="00C41C8B"/>
    <w:rsid w:val="00C4437D"/>
    <w:rsid w:val="00C46A88"/>
    <w:rsid w:val="00C46C63"/>
    <w:rsid w:val="00C754BE"/>
    <w:rsid w:val="00C81EB7"/>
    <w:rsid w:val="00CB6357"/>
    <w:rsid w:val="00CC1B26"/>
    <w:rsid w:val="00CC51DC"/>
    <w:rsid w:val="00CE0082"/>
    <w:rsid w:val="00CE1261"/>
    <w:rsid w:val="00D0336F"/>
    <w:rsid w:val="00D32DE0"/>
    <w:rsid w:val="00D3335A"/>
    <w:rsid w:val="00D37E81"/>
    <w:rsid w:val="00D423A2"/>
    <w:rsid w:val="00D52E00"/>
    <w:rsid w:val="00D63AC2"/>
    <w:rsid w:val="00D70E23"/>
    <w:rsid w:val="00D7383B"/>
    <w:rsid w:val="00DA231B"/>
    <w:rsid w:val="00E110DB"/>
    <w:rsid w:val="00E16408"/>
    <w:rsid w:val="00E20894"/>
    <w:rsid w:val="00E209BD"/>
    <w:rsid w:val="00E245AB"/>
    <w:rsid w:val="00E314AC"/>
    <w:rsid w:val="00E50AFE"/>
    <w:rsid w:val="00E51C08"/>
    <w:rsid w:val="00E57E92"/>
    <w:rsid w:val="00E63E9E"/>
    <w:rsid w:val="00E7494C"/>
    <w:rsid w:val="00E75ACE"/>
    <w:rsid w:val="00E771DC"/>
    <w:rsid w:val="00E8772A"/>
    <w:rsid w:val="00E90F6B"/>
    <w:rsid w:val="00E92C27"/>
    <w:rsid w:val="00EA0E3D"/>
    <w:rsid w:val="00EA3AB7"/>
    <w:rsid w:val="00EA442E"/>
    <w:rsid w:val="00EB4551"/>
    <w:rsid w:val="00EE1AA8"/>
    <w:rsid w:val="00F027D2"/>
    <w:rsid w:val="00F06241"/>
    <w:rsid w:val="00F104D5"/>
    <w:rsid w:val="00F13B7A"/>
    <w:rsid w:val="00F204AB"/>
    <w:rsid w:val="00F210FD"/>
    <w:rsid w:val="00F30BA0"/>
    <w:rsid w:val="00F312A5"/>
    <w:rsid w:val="00F31EDC"/>
    <w:rsid w:val="00F444F6"/>
    <w:rsid w:val="00F47DBE"/>
    <w:rsid w:val="00F526F6"/>
    <w:rsid w:val="00F5664F"/>
    <w:rsid w:val="00F5780C"/>
    <w:rsid w:val="00F66303"/>
    <w:rsid w:val="00F76AFC"/>
    <w:rsid w:val="00F92C0D"/>
    <w:rsid w:val="00F953AF"/>
    <w:rsid w:val="00FA1171"/>
    <w:rsid w:val="00FB2F91"/>
    <w:rsid w:val="00FB4C16"/>
    <w:rsid w:val="00FB5DD1"/>
    <w:rsid w:val="00FB5E69"/>
    <w:rsid w:val="00FC2B5D"/>
    <w:rsid w:val="00FC5167"/>
    <w:rsid w:val="00FC68E3"/>
    <w:rsid w:val="00FD4339"/>
    <w:rsid w:val="00FF0424"/>
    <w:rsid w:val="00FF1449"/>
    <w:rsid w:val="3F98A319"/>
    <w:rsid w:val="5411EC76"/>
    <w:rsid w:val="56CB0E03"/>
    <w:rsid w:val="7BE23E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Appelnotedebasde">
    <w:name w:val="Appel note de bas de..."/>
    <w:basedOn w:val="Normal"/>
    <w:link w:val="Refdenotaalpie"/>
    <w:uiPriority w:val="99"/>
    <w:rsid w:val="00AA6F9D"/>
    <w:pPr>
      <w:spacing w:line="240" w:lineRule="exact"/>
    </w:pPr>
    <w:rPr>
      <w:vertAlign w:val="superscript"/>
    </w:rPr>
  </w:style>
  <w:style w:type="paragraph" w:styleId="Revisin">
    <w:name w:val="Revision"/>
    <w:hidden/>
    <w:uiPriority w:val="99"/>
    <w:semiHidden/>
    <w:rsid w:val="00FC68E3"/>
    <w:pPr>
      <w:spacing w:after="0" w:line="240" w:lineRule="auto"/>
    </w:pPr>
  </w:style>
  <w:style w:type="character" w:styleId="Mencinsinresolver">
    <w:name w:val="Unresolved Mention"/>
    <w:basedOn w:val="Fuentedeprrafopredeter"/>
    <w:uiPriority w:val="99"/>
    <w:semiHidden/>
    <w:unhideWhenUsed/>
    <w:rsid w:val="00E314AC"/>
    <w:rPr>
      <w:color w:val="605E5C"/>
      <w:shd w:val="clear" w:color="auto" w:fill="E1DFDD"/>
    </w:rPr>
  </w:style>
  <w:style w:type="paragraph" w:styleId="Textoindependiente">
    <w:name w:val="Body Text"/>
    <w:basedOn w:val="Normal"/>
    <w:link w:val="TextoindependienteCar"/>
    <w:uiPriority w:val="99"/>
    <w:semiHidden/>
    <w:unhideWhenUsed/>
    <w:rsid w:val="00C81EB7"/>
    <w:pPr>
      <w:spacing w:after="120"/>
    </w:pPr>
  </w:style>
  <w:style w:type="character" w:customStyle="1" w:styleId="TextoindependienteCar">
    <w:name w:val="Texto independiente Car"/>
    <w:basedOn w:val="Fuentedeprrafopredeter"/>
    <w:link w:val="Textoindependiente"/>
    <w:uiPriority w:val="99"/>
    <w:semiHidden/>
    <w:rsid w:val="00C81EB7"/>
  </w:style>
  <w:style w:type="paragraph" w:styleId="NormalWeb">
    <w:name w:val="Normal (Web)"/>
    <w:basedOn w:val="Normal"/>
    <w:uiPriority w:val="99"/>
    <w:semiHidden/>
    <w:unhideWhenUsed/>
    <w:rsid w:val="002218AB"/>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tbeltran@aschinfraestrucutras.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documents/cce_guia_capacidad_residual.pdf%2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7251A4D-7254-4560-A156-06B106C5A9B3}"/>
</file>

<file path=docProps/app.xml><?xml version="1.0" encoding="utf-8"?>
<Properties xmlns="http://schemas.openxmlformats.org/officeDocument/2006/extended-properties" xmlns:vt="http://schemas.openxmlformats.org/officeDocument/2006/docPropsVTypes">
  <Template>Normal</Template>
  <TotalTime>2</TotalTime>
  <Pages>22</Pages>
  <Words>8560</Words>
  <Characters>47080</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Alejandro Murcia Taboada</dc:creator>
  <cp:keywords/>
  <dc:description/>
  <cp:lastModifiedBy>alejandro murcia</cp:lastModifiedBy>
  <cp:revision>2</cp:revision>
  <cp:lastPrinted>2023-01-10T21:18:00Z</cp:lastPrinted>
  <dcterms:created xsi:type="dcterms:W3CDTF">2023-10-03T23:14:00Z</dcterms:created>
  <dcterms:modified xsi:type="dcterms:W3CDTF">2023-10-03T23:14:00Z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