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184C5" w14:textId="77777777" w:rsidR="003930AC" w:rsidRPr="00063B8D" w:rsidRDefault="003930AC" w:rsidP="003930AC">
      <w:pPr>
        <w:spacing w:after="0" w:line="240" w:lineRule="auto"/>
        <w:rPr>
          <w:rFonts w:ascii="Verdana" w:eastAsia="Calibri" w:hAnsi="Verdana" w:cs="Times New Roman"/>
        </w:rPr>
      </w:pPr>
      <w:bookmarkStart w:id="0" w:name="_Hlk143780582"/>
      <w:r w:rsidRPr="00063B8D">
        <w:rPr>
          <w:rFonts w:ascii="Verdana" w:eastAsia="Calibri" w:hAnsi="Verdana" w:cs="Times New Roman"/>
          <w:b/>
          <w:bCs/>
          <w:color w:val="000000"/>
        </w:rPr>
        <w:t xml:space="preserve">DOCUMENTOS TIPO – Fundamento normativo – Obligatoriedad </w:t>
      </w:r>
    </w:p>
    <w:p w14:paraId="734F42EB" w14:textId="77777777" w:rsidR="003930AC" w:rsidRPr="00452081" w:rsidRDefault="003930AC" w:rsidP="003930AC">
      <w:pPr>
        <w:spacing w:after="0" w:line="240" w:lineRule="auto"/>
        <w:jc w:val="both"/>
        <w:rPr>
          <w:rFonts w:ascii="Verdana" w:eastAsia="Calibri" w:hAnsi="Verdana" w:cs="Arial"/>
          <w:b/>
          <w:bCs/>
          <w:lang w:val="es-ES_tradnl"/>
        </w:rPr>
      </w:pPr>
    </w:p>
    <w:p w14:paraId="42C72AE8" w14:textId="77777777" w:rsidR="003930AC" w:rsidRPr="00452081" w:rsidRDefault="003930AC" w:rsidP="003930AC">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452081">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452081">
        <w:rPr>
          <w:rFonts w:ascii="Verdana" w:eastAsia="Symbol" w:hAnsi="Verdana" w:cs="Symbol"/>
          <w:sz w:val="20"/>
          <w:szCs w:val="20"/>
          <w:shd w:val="clear" w:color="auto" w:fill="FFFFFF"/>
          <w:lang w:val="es-ES_tradnl" w:eastAsia="es-ES_tradnl"/>
        </w:rPr>
        <w:t>-</w:t>
      </w:r>
      <w:r w:rsidRPr="00452081">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6DC5D1BB" w14:textId="77777777" w:rsidR="003930AC" w:rsidRDefault="003930AC" w:rsidP="003930AC">
      <w:pPr>
        <w:spacing w:after="0" w:line="240" w:lineRule="auto"/>
        <w:jc w:val="both"/>
        <w:rPr>
          <w:rFonts w:ascii="Verdana" w:eastAsia="Calibri" w:hAnsi="Verdana" w:cs="Arial"/>
        </w:rPr>
      </w:pPr>
    </w:p>
    <w:p w14:paraId="590BEFC3" w14:textId="77777777" w:rsidR="003930AC" w:rsidRDefault="003930AC" w:rsidP="003930AC">
      <w:pPr>
        <w:spacing w:after="0" w:line="240" w:lineRule="auto"/>
        <w:jc w:val="both"/>
        <w:rPr>
          <w:rFonts w:ascii="Verdana" w:eastAsia="Calibri" w:hAnsi="Verdana" w:cs="Times New Roman"/>
          <w:b/>
          <w:bCs/>
          <w:color w:val="000000"/>
        </w:rPr>
      </w:pPr>
      <w:r w:rsidRPr="00063B8D">
        <w:rPr>
          <w:rFonts w:ascii="Verdana" w:eastAsia="Calibri" w:hAnsi="Verdana" w:cs="Times New Roman"/>
          <w:b/>
          <w:bCs/>
          <w:color w:val="000000"/>
        </w:rPr>
        <w:t>DOCUMENTOS TIPO</w:t>
      </w:r>
      <w:r>
        <w:rPr>
          <w:rFonts w:ascii="Verdana" w:eastAsia="Calibri" w:hAnsi="Verdana" w:cs="Times New Roman"/>
          <w:b/>
          <w:bCs/>
          <w:color w:val="000000"/>
        </w:rPr>
        <w:t xml:space="preserve"> – Transporte – Versión 4 – Numeral 2.4 – Cierre del proceso – Apertura de ofertas – SECOP I</w:t>
      </w:r>
    </w:p>
    <w:p w14:paraId="39F9FD5B" w14:textId="77777777" w:rsidR="003930AC" w:rsidRDefault="003930AC" w:rsidP="003930AC">
      <w:pPr>
        <w:spacing w:after="0" w:line="240" w:lineRule="auto"/>
        <w:jc w:val="both"/>
        <w:rPr>
          <w:rFonts w:ascii="Verdana" w:eastAsia="Calibri" w:hAnsi="Verdana" w:cs="Arial"/>
        </w:rPr>
      </w:pPr>
    </w:p>
    <w:p w14:paraId="46796D04" w14:textId="77777777" w:rsidR="003930AC" w:rsidRPr="007735F1" w:rsidRDefault="003930AC" w:rsidP="003930AC">
      <w:pPr>
        <w:spacing w:after="0" w:line="240" w:lineRule="auto"/>
        <w:jc w:val="both"/>
        <w:rPr>
          <w:rFonts w:ascii="Verdana" w:eastAsia="Calibri" w:hAnsi="Verdana" w:cs="Arial"/>
          <w:sz w:val="20"/>
          <w:szCs w:val="20"/>
        </w:rPr>
      </w:pPr>
      <w:r w:rsidRPr="007735F1">
        <w:rPr>
          <w:rFonts w:ascii="Verdana" w:eastAsia="Calibri" w:hAnsi="Verdana" w:cs="Arial"/>
          <w:sz w:val="20"/>
          <w:szCs w:val="20"/>
        </w:rPr>
        <w:t>El numeral 2.4 “Cierre del proceso y apertura de ofertas”, contenido en el documento base de los documentos tipo para licitación de obra pública de infraestructura de transporte – versión 4, presenta dos opciones entre las cuales la entidad debe elegir, según si el proceso de contratación se adelanta a través del SECOP I o del SECOP II. Para los procesos de contratación adelantados mediante el SECOP I, el pliego establece lo siguiente (…)</w:t>
      </w:r>
    </w:p>
    <w:p w14:paraId="3B580DF1" w14:textId="77777777" w:rsidR="003930AC" w:rsidRDefault="003930AC" w:rsidP="003930AC">
      <w:pPr>
        <w:spacing w:after="0" w:line="240" w:lineRule="auto"/>
        <w:jc w:val="both"/>
        <w:rPr>
          <w:rFonts w:ascii="Verdana" w:eastAsia="Calibri" w:hAnsi="Verdana" w:cs="Arial"/>
          <w:sz w:val="21"/>
          <w:szCs w:val="21"/>
          <w:lang w:val="es-ES"/>
        </w:rPr>
      </w:pPr>
    </w:p>
    <w:p w14:paraId="3C1BA813" w14:textId="77777777" w:rsidR="003930AC" w:rsidRDefault="003930AC" w:rsidP="003930AC">
      <w:pPr>
        <w:spacing w:after="0" w:line="240" w:lineRule="auto"/>
        <w:jc w:val="both"/>
        <w:rPr>
          <w:rFonts w:ascii="Verdana" w:eastAsia="Calibri" w:hAnsi="Verdana" w:cs="Times New Roman"/>
          <w:b/>
          <w:bCs/>
          <w:color w:val="000000"/>
        </w:rPr>
      </w:pPr>
      <w:r w:rsidRPr="00063B8D">
        <w:rPr>
          <w:rFonts w:ascii="Verdana" w:eastAsia="Calibri" w:hAnsi="Verdana" w:cs="Times New Roman"/>
          <w:b/>
          <w:bCs/>
          <w:color w:val="000000"/>
        </w:rPr>
        <w:t>DOCUMENTOS TIPO</w:t>
      </w:r>
      <w:r>
        <w:rPr>
          <w:rFonts w:ascii="Verdana" w:eastAsia="Calibri" w:hAnsi="Verdana" w:cs="Times New Roman"/>
          <w:b/>
          <w:bCs/>
          <w:color w:val="000000"/>
        </w:rPr>
        <w:t xml:space="preserve"> – Transporte – Versión 4 – Numeral 2.4 – Cierre del proceso – Apertura de ofertas – SECOP I – Apertura Sobre No. 1</w:t>
      </w:r>
    </w:p>
    <w:p w14:paraId="0C0BAC5C" w14:textId="77777777" w:rsidR="003930AC" w:rsidRPr="00371935" w:rsidRDefault="003930AC" w:rsidP="003930AC">
      <w:pPr>
        <w:spacing w:after="0" w:line="240" w:lineRule="auto"/>
        <w:jc w:val="both"/>
        <w:rPr>
          <w:rFonts w:ascii="Verdana" w:eastAsia="Calibri" w:hAnsi="Verdana" w:cs="Arial"/>
          <w:sz w:val="21"/>
          <w:szCs w:val="21"/>
          <w:lang w:val="es-ES"/>
        </w:rPr>
      </w:pPr>
    </w:p>
    <w:p w14:paraId="36DFF587" w14:textId="77777777" w:rsidR="003930AC" w:rsidRPr="007735F1" w:rsidRDefault="003930AC" w:rsidP="003930AC">
      <w:pPr>
        <w:spacing w:after="0" w:line="276" w:lineRule="auto"/>
        <w:jc w:val="both"/>
        <w:rPr>
          <w:rFonts w:ascii="Verdana" w:eastAsia="Calibri" w:hAnsi="Verdana" w:cs="Arial"/>
          <w:sz w:val="20"/>
          <w:szCs w:val="20"/>
          <w:lang w:val="es-MX"/>
        </w:rPr>
      </w:pPr>
      <w:r w:rsidRPr="007735F1">
        <w:rPr>
          <w:rFonts w:ascii="Verdana" w:eastAsia="Calibri" w:hAnsi="Verdana" w:cs="Arial"/>
          <w:sz w:val="20"/>
          <w:szCs w:val="20"/>
        </w:rPr>
        <w:t xml:space="preserve">Por su parte, los incisos tercero (3), cuarto (4) y quinto (5) disponen el momento en que debe efectuarse la apertura del Sobre No. 1. Según dicha regulación, una vez vencido el plazo para la presentación de ofertas, se procederá a su apertura en presencia de los asistentes y con el correspondiente levantamiento del acta de cierre, </w:t>
      </w:r>
      <w:r w:rsidRPr="007735F1">
        <w:rPr>
          <w:rFonts w:ascii="Verdana" w:hAnsi="Verdana"/>
          <w:sz w:val="20"/>
          <w:szCs w:val="20"/>
          <w:lang w:val="es-MX"/>
        </w:rPr>
        <w:t>en la que conste la fecha y hora de recibo de las ofertas, indicando el nombre o razón social de los oferentes y sus representantes legales.</w:t>
      </w:r>
      <w:r w:rsidRPr="007735F1">
        <w:rPr>
          <w:rFonts w:ascii="Verdana" w:eastAsia="Calibri" w:hAnsi="Verdana" w:cs="Arial"/>
          <w:sz w:val="20"/>
          <w:szCs w:val="20"/>
          <w:lang w:val="es-MX"/>
        </w:rPr>
        <w:t xml:space="preserve"> </w:t>
      </w:r>
      <w:r w:rsidRPr="007735F1">
        <w:rPr>
          <w:rFonts w:ascii="Verdana" w:eastAsia="Calibri" w:hAnsi="Verdana" w:cs="Arial"/>
          <w:sz w:val="20"/>
          <w:szCs w:val="20"/>
        </w:rPr>
        <w:t xml:space="preserve">A partir de ese momento, el contenido del Sobre No. 1 se considera público, por lo que los interesados podrán solicitar copias o consultarlo, en ejercicio del derecho de petición ante la entidad contratante, conforme a lo dispuesto la Ley </w:t>
      </w:r>
      <w:r w:rsidRPr="007735F1">
        <w:rPr>
          <w:rFonts w:ascii="Verdana" w:hAnsi="Verdana"/>
          <w:sz w:val="20"/>
          <w:szCs w:val="20"/>
          <w:lang w:val="es-MX"/>
        </w:rPr>
        <w:t>1755 de 2015.</w:t>
      </w:r>
    </w:p>
    <w:p w14:paraId="48DB070C" w14:textId="77777777" w:rsidR="003930AC" w:rsidRPr="007735F1" w:rsidRDefault="003930AC" w:rsidP="003930AC">
      <w:pPr>
        <w:spacing w:after="0" w:line="276" w:lineRule="auto"/>
        <w:ind w:left="720"/>
        <w:jc w:val="both"/>
        <w:rPr>
          <w:rFonts w:ascii="Verdana" w:eastAsia="Calibri" w:hAnsi="Verdana" w:cs="Arial"/>
          <w:sz w:val="20"/>
          <w:szCs w:val="20"/>
          <w:lang w:val="es-MX"/>
        </w:rPr>
      </w:pPr>
    </w:p>
    <w:p w14:paraId="15AA2A62" w14:textId="77777777" w:rsidR="003930AC" w:rsidRPr="007735F1" w:rsidRDefault="003930AC" w:rsidP="003930AC">
      <w:pPr>
        <w:spacing w:after="0" w:line="276" w:lineRule="auto"/>
        <w:jc w:val="both"/>
        <w:rPr>
          <w:rFonts w:ascii="Verdana" w:eastAsia="Calibri" w:hAnsi="Verdana" w:cs="Arial"/>
          <w:sz w:val="20"/>
          <w:szCs w:val="20"/>
          <w:lang w:val="es-MX"/>
        </w:rPr>
      </w:pPr>
      <w:r w:rsidRPr="007735F1">
        <w:rPr>
          <w:rFonts w:ascii="Verdana" w:eastAsia="Calibri" w:hAnsi="Verdana" w:cs="Arial"/>
          <w:sz w:val="20"/>
          <w:szCs w:val="20"/>
          <w:lang w:val="es-MX"/>
        </w:rPr>
        <w:t xml:space="preserve">Igualmente se señala que los funcionarios o contratistas de la entidad que intervengan en la apertura de las ofertas deben suscribir el acta y, además, diligenciar como información mínima: el nombre de los proponentes, si la carta de presentación fue incluida y está firmada, el número de la garantía de seriedad de la oferta que la acompaña, el número de folios, </w:t>
      </w:r>
      <w:r w:rsidRPr="007735F1">
        <w:rPr>
          <w:rFonts w:ascii="Verdana" w:hAnsi="Verdana"/>
          <w:sz w:val="20"/>
          <w:szCs w:val="20"/>
          <w:lang w:val="es-MX"/>
        </w:rPr>
        <w:t xml:space="preserve">si hay folios en blanco, hojas por ambas caras, </w:t>
      </w:r>
      <w:r w:rsidRPr="007735F1">
        <w:rPr>
          <w:rFonts w:ascii="Verdana" w:eastAsia="Calibri" w:hAnsi="Verdana" w:cs="Arial"/>
          <w:sz w:val="20"/>
          <w:szCs w:val="20"/>
          <w:lang w:val="es-MX"/>
        </w:rPr>
        <w:t xml:space="preserve">las observaciones correspondientes, así como los demás aspectos relevantes que considere la entidad. De esta forma, la entidad tiene la discrecionalidad de incluir otros aspectos relevantes que considere. </w:t>
      </w:r>
    </w:p>
    <w:p w14:paraId="3C07C4D4" w14:textId="77777777" w:rsidR="00C24070" w:rsidRPr="00371935" w:rsidRDefault="00C24070" w:rsidP="003930AC">
      <w:pPr>
        <w:spacing w:after="0" w:line="276" w:lineRule="auto"/>
        <w:jc w:val="both"/>
        <w:rPr>
          <w:rFonts w:ascii="Verdana" w:eastAsia="Calibri" w:hAnsi="Verdana" w:cs="Arial"/>
          <w:lang w:val="es-MX"/>
        </w:rPr>
      </w:pPr>
    </w:p>
    <w:p w14:paraId="3C28AEF8" w14:textId="77777777" w:rsidR="003930AC" w:rsidRDefault="003930AC" w:rsidP="003930AC">
      <w:pPr>
        <w:spacing w:after="0" w:line="240" w:lineRule="auto"/>
        <w:jc w:val="both"/>
        <w:rPr>
          <w:rFonts w:ascii="Verdana" w:eastAsia="Calibri" w:hAnsi="Verdana" w:cs="Times New Roman"/>
          <w:b/>
          <w:bCs/>
          <w:color w:val="000000"/>
        </w:rPr>
      </w:pPr>
      <w:r w:rsidRPr="00063B8D">
        <w:rPr>
          <w:rFonts w:ascii="Verdana" w:eastAsia="Calibri" w:hAnsi="Verdana" w:cs="Times New Roman"/>
          <w:b/>
          <w:bCs/>
          <w:color w:val="000000"/>
        </w:rPr>
        <w:lastRenderedPageBreak/>
        <w:t>DOCUMENTOS TIPO</w:t>
      </w:r>
      <w:r>
        <w:rPr>
          <w:rFonts w:ascii="Verdana" w:eastAsia="Calibri" w:hAnsi="Verdana" w:cs="Times New Roman"/>
          <w:b/>
          <w:bCs/>
          <w:color w:val="000000"/>
        </w:rPr>
        <w:t xml:space="preserve"> – Transporte – Versión 4 – Numeral 2.4 – Cierre del proceso – Apertura de ofertas – SECOP I – Apertura y custodia Sobre 2</w:t>
      </w:r>
    </w:p>
    <w:p w14:paraId="7FCD30DD" w14:textId="77777777" w:rsidR="003930AC" w:rsidRPr="002632B5" w:rsidRDefault="003930AC" w:rsidP="003930AC">
      <w:pPr>
        <w:spacing w:after="0"/>
        <w:rPr>
          <w:rFonts w:ascii="Verdana" w:eastAsia="Calibri" w:hAnsi="Verdana" w:cs="Arial"/>
          <w:sz w:val="20"/>
          <w:szCs w:val="20"/>
          <w:lang w:val="es-MX"/>
        </w:rPr>
      </w:pPr>
    </w:p>
    <w:p w14:paraId="7DD88724" w14:textId="77777777" w:rsidR="003930AC" w:rsidRPr="002632B5" w:rsidRDefault="003930AC" w:rsidP="003930AC">
      <w:pPr>
        <w:spacing w:after="0" w:line="276" w:lineRule="auto"/>
        <w:jc w:val="both"/>
        <w:rPr>
          <w:rFonts w:ascii="Verdana" w:eastAsia="Calibri" w:hAnsi="Verdana" w:cs="Arial"/>
          <w:sz w:val="20"/>
          <w:szCs w:val="20"/>
          <w:lang w:val="es-MX"/>
        </w:rPr>
      </w:pPr>
      <w:r w:rsidRPr="002632B5">
        <w:rPr>
          <w:rFonts w:ascii="Verdana" w:eastAsia="Calibri" w:hAnsi="Verdana" w:cs="Arial"/>
          <w:sz w:val="20"/>
          <w:szCs w:val="20"/>
          <w:lang w:val="es-MX"/>
        </w:rPr>
        <w:t xml:space="preserve">Por otra parte, los dos (2) incisos finales del numeral 2.4 realizan algunas consideraciones en relación con la custodia y apertura del Sobre 2, en los siguientes términos: </w:t>
      </w:r>
      <w:r w:rsidRPr="002632B5">
        <w:rPr>
          <w:rFonts w:ascii="Verdana" w:hAnsi="Verdana"/>
          <w:sz w:val="20"/>
          <w:szCs w:val="20"/>
          <w:lang w:val="es-MX"/>
        </w:rPr>
        <w:t xml:space="preserve">(…) </w:t>
      </w:r>
    </w:p>
    <w:p w14:paraId="76C56FD4" w14:textId="77777777" w:rsidR="003930AC" w:rsidRPr="002632B5" w:rsidRDefault="003930AC" w:rsidP="003930AC">
      <w:pPr>
        <w:spacing w:after="0"/>
        <w:ind w:left="708" w:right="709"/>
        <w:jc w:val="both"/>
        <w:rPr>
          <w:rFonts w:ascii="Verdana" w:hAnsi="Verdana"/>
          <w:sz w:val="20"/>
          <w:szCs w:val="20"/>
          <w:lang w:val="es-MX"/>
        </w:rPr>
      </w:pPr>
    </w:p>
    <w:p w14:paraId="0F600CAF" w14:textId="77777777" w:rsidR="003930AC" w:rsidRPr="002632B5" w:rsidRDefault="003930AC" w:rsidP="003930AC">
      <w:pPr>
        <w:spacing w:after="0" w:line="276" w:lineRule="auto"/>
        <w:jc w:val="both"/>
        <w:rPr>
          <w:rFonts w:ascii="Verdana" w:eastAsia="Calibri" w:hAnsi="Verdana" w:cs="Arial"/>
          <w:sz w:val="20"/>
          <w:szCs w:val="20"/>
          <w:lang w:val="es-MX"/>
        </w:rPr>
      </w:pPr>
      <w:r w:rsidRPr="002632B5">
        <w:rPr>
          <w:rFonts w:ascii="Verdana" w:eastAsia="Calibri" w:hAnsi="Verdana" w:cs="Arial"/>
          <w:sz w:val="20"/>
          <w:szCs w:val="20"/>
          <w:lang w:val="es-MX"/>
        </w:rPr>
        <w:t xml:space="preserve">El primero de los incisos dispone la obligación de verificación por parte de un funcionario o contratista de la entidad, que el Sobre No. 2 que contiene la oferta económica se encuentre sellado. Además, establece que estos deben requerir a los asistentes para que firmen los sobres. Posteriormente, se señala que -para generar confianza- la entidad guardará los sobres económicos: i) en un solo sobre que firmaran los asistentes al cierre o ii) los custodiaran en una bolsa de seguridad. Cualquiera de estas opciones, con la finalidad de que en su apertura en la audiencia efectiva de adjudicación pueda verificarse que los sobres económicos no fueron alterados, cambiados o abiertos. Finalmente, en el numeral 2.4 se señala que en la apertura del sobre No. 2, la entidad “permitirá tomar fotos a la oferta económica, si así lo solicita cualquier proponente”. </w:t>
      </w:r>
    </w:p>
    <w:p w14:paraId="72D34201" w14:textId="77777777" w:rsidR="003930AC" w:rsidRDefault="003930AC" w:rsidP="003930AC">
      <w:pPr>
        <w:spacing w:after="0"/>
        <w:rPr>
          <w:rFonts w:ascii="Verdana" w:eastAsia="Calibri" w:hAnsi="Verdana" w:cs="Arial"/>
          <w:lang w:val="es-MX"/>
        </w:rPr>
      </w:pPr>
    </w:p>
    <w:p w14:paraId="2D98158D" w14:textId="77777777" w:rsidR="003930AC" w:rsidRDefault="003930AC" w:rsidP="003930AC">
      <w:pPr>
        <w:spacing w:after="0" w:line="240" w:lineRule="auto"/>
        <w:jc w:val="both"/>
        <w:rPr>
          <w:rFonts w:ascii="Verdana" w:eastAsia="Calibri" w:hAnsi="Verdana" w:cs="Times New Roman"/>
          <w:b/>
          <w:bCs/>
          <w:color w:val="000000"/>
        </w:rPr>
      </w:pPr>
      <w:r w:rsidRPr="00063B8D">
        <w:rPr>
          <w:rFonts w:ascii="Verdana" w:eastAsia="Calibri" w:hAnsi="Verdana" w:cs="Times New Roman"/>
          <w:b/>
          <w:bCs/>
          <w:color w:val="000000"/>
        </w:rPr>
        <w:t>DOCUMENTOS TIPO</w:t>
      </w:r>
      <w:r>
        <w:rPr>
          <w:rFonts w:ascii="Verdana" w:eastAsia="Calibri" w:hAnsi="Verdana" w:cs="Times New Roman"/>
          <w:b/>
          <w:bCs/>
          <w:color w:val="000000"/>
        </w:rPr>
        <w:t xml:space="preserve"> – Transporte – Versión 4 – Numeral 2.6 – Audiencia efectiva de adjudicación </w:t>
      </w:r>
    </w:p>
    <w:p w14:paraId="3E7F9F5C" w14:textId="77777777" w:rsidR="003930AC" w:rsidRDefault="003930AC" w:rsidP="003930AC">
      <w:pPr>
        <w:spacing w:after="0" w:line="276" w:lineRule="auto"/>
        <w:jc w:val="both"/>
        <w:rPr>
          <w:rFonts w:ascii="Verdana" w:eastAsia="Calibri" w:hAnsi="Verdana" w:cs="Arial"/>
          <w:lang w:val="es-MX"/>
        </w:rPr>
      </w:pPr>
    </w:p>
    <w:p w14:paraId="41115DCB" w14:textId="77777777" w:rsidR="003930AC" w:rsidRPr="004D4AE9" w:rsidRDefault="003930AC" w:rsidP="003930AC">
      <w:pPr>
        <w:spacing w:after="0" w:line="276" w:lineRule="auto"/>
        <w:jc w:val="both"/>
        <w:rPr>
          <w:rFonts w:ascii="Verdana" w:hAnsi="Verdana" w:cs="Arial"/>
          <w:sz w:val="20"/>
          <w:szCs w:val="20"/>
          <w:lang w:val="es-ES"/>
        </w:rPr>
      </w:pPr>
      <w:r w:rsidRPr="004D4AE9">
        <w:rPr>
          <w:rFonts w:ascii="Verdana" w:eastAsia="Calibri" w:hAnsi="Verdana" w:cs="Arial"/>
          <w:sz w:val="20"/>
          <w:szCs w:val="20"/>
          <w:lang w:val="es-MX"/>
        </w:rPr>
        <w:t xml:space="preserve">Visto el alcance del numeral 2.4 “Cierre del proceso y apertura de ofertas”, teniendo en cuenta el objeto de su consulta, ahora resulta pertinente referirnos al numeral “2.6 audiencia efectiva de adjudicación” contenido en el documento base del documento tipo de licitación de obra pública de infraestructura de transporte – versión 4. </w:t>
      </w:r>
      <w:r w:rsidRPr="004D4AE9">
        <w:rPr>
          <w:rFonts w:ascii="Verdana" w:hAnsi="Verdana" w:cs="Arial"/>
          <w:sz w:val="20"/>
          <w:szCs w:val="20"/>
          <w:lang w:val="es-ES"/>
        </w:rPr>
        <w:t>Concretamente, el contenido del primer inciso del numeral 2.6 sobre el cual recae su solicitud, es el siguiente:</w:t>
      </w:r>
    </w:p>
    <w:p w14:paraId="524818A0" w14:textId="77777777" w:rsidR="003930AC" w:rsidRPr="004D4AE9" w:rsidRDefault="003930AC" w:rsidP="003930AC">
      <w:pPr>
        <w:pStyle w:val="Prrafodelista"/>
        <w:spacing w:after="0"/>
        <w:contextualSpacing w:val="0"/>
        <w:rPr>
          <w:rFonts w:ascii="Verdana" w:hAnsi="Verdana" w:cs="Arial"/>
          <w:sz w:val="20"/>
          <w:szCs w:val="20"/>
        </w:rPr>
      </w:pPr>
    </w:p>
    <w:p w14:paraId="32E590D6" w14:textId="77777777" w:rsidR="003930AC" w:rsidRPr="004D4AE9" w:rsidRDefault="003930AC" w:rsidP="003930AC">
      <w:pPr>
        <w:spacing w:after="0"/>
        <w:ind w:left="708" w:right="709"/>
        <w:jc w:val="both"/>
        <w:rPr>
          <w:rFonts w:ascii="Verdana" w:hAnsi="Verdana"/>
          <w:sz w:val="20"/>
          <w:szCs w:val="20"/>
          <w:lang w:val="es-MX"/>
        </w:rPr>
      </w:pPr>
      <w:r w:rsidRPr="004D4AE9">
        <w:rPr>
          <w:rFonts w:ascii="Verdana" w:hAnsi="Verdana"/>
          <w:sz w:val="20"/>
          <w:szCs w:val="20"/>
          <w:lang w:val="es-MX"/>
        </w:rPr>
        <w:t>“En la fecha establecida en el Anexo 2 – Cronograma, la entidad procederá a la instalación y desarrollo de la audiencia efectiva de adjudicación, sin perjuicio de la utilización de los medios virtuales que garanticen la participación y la interacción de los interesados con la entidad contratante”.</w:t>
      </w:r>
    </w:p>
    <w:p w14:paraId="2BF22BFF" w14:textId="77777777" w:rsidR="003930AC" w:rsidRPr="004D4AE9" w:rsidRDefault="003930AC" w:rsidP="003930AC">
      <w:pPr>
        <w:spacing w:after="0"/>
        <w:ind w:left="708"/>
        <w:jc w:val="both"/>
        <w:rPr>
          <w:rFonts w:ascii="Verdana" w:hAnsi="Verdana"/>
          <w:sz w:val="20"/>
          <w:szCs w:val="20"/>
          <w:lang w:val="es-MX"/>
        </w:rPr>
      </w:pPr>
    </w:p>
    <w:p w14:paraId="048EAFB4" w14:textId="77777777" w:rsidR="003930AC" w:rsidRPr="004D4AE9" w:rsidRDefault="003930AC" w:rsidP="003930AC">
      <w:pPr>
        <w:spacing w:after="0" w:line="276" w:lineRule="auto"/>
        <w:jc w:val="both"/>
        <w:rPr>
          <w:rFonts w:ascii="Verdana" w:hAnsi="Verdana" w:cs="Arial"/>
          <w:sz w:val="20"/>
          <w:szCs w:val="20"/>
          <w:lang w:val="es-ES"/>
        </w:rPr>
      </w:pPr>
      <w:r w:rsidRPr="004D4AE9">
        <w:rPr>
          <w:rFonts w:ascii="Verdana" w:eastAsia="Calibri" w:hAnsi="Verdana" w:cs="Arial"/>
          <w:sz w:val="20"/>
          <w:szCs w:val="20"/>
          <w:lang w:val="es-MX"/>
        </w:rPr>
        <w:t xml:space="preserve">En el inciso señalado, se fija que la entidad deberá instalar y desarrollar la audiencia efectiva de adjudicación en la fecha indicada en el Anexo 2 – Cronograma, sin perjuicio de la utilización de los medios virtuales. Sobre este último aspecto a criterio de esta Agencia la expresión “sin perjuicio de la utilización de los medios virtuales” debe entenderse como la posibilidad para la entidad de realizar la audiencia efectiva de adjudicación por medios electrónicos, </w:t>
      </w:r>
      <w:r w:rsidRPr="004D4AE9">
        <w:rPr>
          <w:rFonts w:ascii="Verdana" w:hAnsi="Verdana" w:cs="Arial"/>
          <w:color w:val="000000" w:themeColor="text1"/>
          <w:sz w:val="20"/>
          <w:szCs w:val="20"/>
          <w:lang w:val="es-ES"/>
        </w:rPr>
        <w:t>es decir, utilizando los sistemas de información digitales que favorecen la tele-presencia, de modo que se permita una interacción simultánea entre las personas que quieran estar presentes y las entidades estatales.</w:t>
      </w:r>
    </w:p>
    <w:p w14:paraId="4D92ED99" w14:textId="1A4FF94B" w:rsidR="003930AC" w:rsidRPr="00195EAD" w:rsidRDefault="00E72AE7" w:rsidP="003930AC">
      <w:pPr>
        <w:spacing w:after="0"/>
        <w:rPr>
          <w:rFonts w:ascii="Verdana" w:hAnsi="Verdana"/>
        </w:rPr>
      </w:pPr>
      <w:r w:rsidRPr="00894D6C">
        <w:rPr>
          <w:rFonts w:ascii="Verdana" w:eastAsia="Calibri" w:hAnsi="Verdana" w:cs="Arial"/>
          <w:noProof/>
          <w:lang w:val="es-ES"/>
        </w:rPr>
        <w:lastRenderedPageBreak/>
        <w:drawing>
          <wp:anchor distT="0" distB="0" distL="114300" distR="114300" simplePos="0" relativeHeight="251658240" behindDoc="0" locked="0" layoutInCell="1" allowOverlap="1" wp14:anchorId="09701345" wp14:editId="3D5D4EDE">
            <wp:simplePos x="0" y="0"/>
            <wp:positionH relativeFrom="margin">
              <wp:posOffset>2910840</wp:posOffset>
            </wp:positionH>
            <wp:positionV relativeFrom="paragraph">
              <wp:posOffset>6350</wp:posOffset>
            </wp:positionV>
            <wp:extent cx="2696845" cy="993775"/>
            <wp:effectExtent l="0" t="0" r="8255" b="0"/>
            <wp:wrapSquare wrapText="bothSides"/>
            <wp:docPr id="172044793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47939"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696845" cy="993775"/>
                    </a:xfrm>
                    <a:prstGeom prst="rect">
                      <a:avLst/>
                    </a:prstGeom>
                  </pic:spPr>
                </pic:pic>
              </a:graphicData>
            </a:graphic>
            <wp14:sizeRelH relativeFrom="margin">
              <wp14:pctWidth>0</wp14:pctWidth>
            </wp14:sizeRelH>
            <wp14:sizeRelV relativeFrom="margin">
              <wp14:pctHeight>0</wp14:pctHeight>
            </wp14:sizeRelV>
          </wp:anchor>
        </w:drawing>
      </w:r>
      <w:r w:rsidR="003930AC" w:rsidRPr="0044528D">
        <w:rPr>
          <w:rFonts w:ascii="Verdana" w:hAnsi="Verdana"/>
        </w:rPr>
        <w:t xml:space="preserve">Bogotá D.C., </w:t>
      </w:r>
      <w:r w:rsidR="00894D6C">
        <w:rPr>
          <w:rFonts w:ascii="Verdana" w:hAnsi="Verdana"/>
        </w:rPr>
        <w:t>22 de abril de 2025</w:t>
      </w:r>
      <w:r w:rsidR="003930AC" w:rsidRPr="0044528D">
        <w:rPr>
          <w:rFonts w:ascii="Verdana" w:hAnsi="Verdana"/>
        </w:rPr>
        <w:tab/>
      </w:r>
    </w:p>
    <w:p w14:paraId="18B1D88E" w14:textId="50103F0F" w:rsidR="003930AC" w:rsidRDefault="003930AC" w:rsidP="003930AC">
      <w:pPr>
        <w:spacing w:after="0" w:line="240" w:lineRule="auto"/>
        <w:jc w:val="both"/>
        <w:rPr>
          <w:rFonts w:ascii="Verdana" w:eastAsia="Calibri" w:hAnsi="Verdana" w:cs="Arial"/>
          <w:lang w:val="es-ES"/>
        </w:rPr>
      </w:pPr>
    </w:p>
    <w:p w14:paraId="79CD8E7B" w14:textId="536481CA" w:rsidR="003930AC" w:rsidRPr="002E7B5D" w:rsidRDefault="003930AC" w:rsidP="00894D6C">
      <w:pPr>
        <w:spacing w:after="0" w:line="240" w:lineRule="auto"/>
        <w:jc w:val="right"/>
        <w:rPr>
          <w:rFonts w:ascii="Verdana" w:eastAsia="Calibri" w:hAnsi="Verdana" w:cs="Arial"/>
          <w:lang w:val="es-ES"/>
        </w:rPr>
      </w:pPr>
    </w:p>
    <w:p w14:paraId="5DE00F26" w14:textId="77777777" w:rsidR="003930AC" w:rsidRPr="002E7B5D" w:rsidRDefault="003930AC" w:rsidP="003930AC">
      <w:pPr>
        <w:spacing w:after="0" w:line="240" w:lineRule="auto"/>
        <w:jc w:val="both"/>
        <w:rPr>
          <w:rFonts w:ascii="Verdana" w:eastAsia="Calibri" w:hAnsi="Verdana" w:cs="Arial"/>
          <w:lang w:val="es-ES" w:eastAsia="es-ES"/>
        </w:rPr>
      </w:pPr>
      <w:r w:rsidRPr="002E7B5D">
        <w:rPr>
          <w:rFonts w:ascii="Verdana" w:eastAsia="Calibri" w:hAnsi="Verdana" w:cs="Arial"/>
          <w:lang w:val="es-ES" w:eastAsia="es-ES"/>
        </w:rPr>
        <w:t>Señor</w:t>
      </w:r>
    </w:p>
    <w:p w14:paraId="77B2186A" w14:textId="77777777" w:rsidR="003930AC" w:rsidRPr="002E7B5D" w:rsidRDefault="003930AC" w:rsidP="003930AC">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Diego Gerardo Chávez Granados</w:t>
      </w:r>
    </w:p>
    <w:p w14:paraId="065FA521" w14:textId="77777777" w:rsidR="003930AC" w:rsidRPr="002E7B5D" w:rsidRDefault="003930AC" w:rsidP="003930AC">
      <w:pPr>
        <w:spacing w:after="0" w:line="240" w:lineRule="auto"/>
        <w:rPr>
          <w:rFonts w:ascii="Verdana" w:eastAsia="Calibri" w:hAnsi="Verdana" w:cs="Arial"/>
          <w:b/>
          <w:bCs/>
          <w:lang w:val="es-ES_tradnl" w:eastAsia="es-ES_tradnl"/>
        </w:rPr>
      </w:pPr>
      <w:r>
        <w:rPr>
          <w:rFonts w:ascii="Verdana" w:eastAsia="Calibri" w:hAnsi="Verdana" w:cs="Arial"/>
          <w:lang w:val="es-ES" w:eastAsia="es-ES"/>
        </w:rPr>
        <w:t xml:space="preserve">Paz de Ariporo, Casanare </w:t>
      </w:r>
    </w:p>
    <w:p w14:paraId="1E4E97F7" w14:textId="77777777" w:rsidR="003930AC" w:rsidRPr="002E7B5D" w:rsidRDefault="003930AC" w:rsidP="003930A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930AC" w:rsidRPr="002E7B5D" w14:paraId="2D4E67FB" w14:textId="77777777" w:rsidTr="00255E3F">
        <w:trPr>
          <w:trHeight w:val="884"/>
        </w:trPr>
        <w:tc>
          <w:tcPr>
            <w:tcW w:w="2689" w:type="dxa"/>
          </w:tcPr>
          <w:p w14:paraId="4828A251" w14:textId="77777777" w:rsidR="003930AC" w:rsidRPr="002E7B5D" w:rsidRDefault="003930AC" w:rsidP="00255E3F">
            <w:pPr>
              <w:jc w:val="both"/>
              <w:rPr>
                <w:rFonts w:ascii="Verdana" w:eastAsia="Calibri" w:hAnsi="Verdana" w:cs="Arial"/>
                <w:b/>
                <w:bCs/>
                <w:lang w:val="es-ES_tradnl" w:eastAsia="es-ES_tradnl"/>
              </w:rPr>
            </w:pPr>
          </w:p>
        </w:tc>
        <w:tc>
          <w:tcPr>
            <w:tcW w:w="6100" w:type="dxa"/>
          </w:tcPr>
          <w:p w14:paraId="59E7D11F" w14:textId="77777777" w:rsidR="003930AC" w:rsidRPr="002E7B5D" w:rsidRDefault="003930AC" w:rsidP="00255E3F">
            <w:pPr>
              <w:jc w:val="both"/>
              <w:rPr>
                <w:rFonts w:ascii="Verdana" w:eastAsia="Calibri" w:hAnsi="Verdana" w:cs="Arial"/>
                <w:b/>
                <w:bCs/>
                <w:lang w:val="es-ES" w:eastAsia="es-ES"/>
              </w:rPr>
            </w:pPr>
            <w:r w:rsidRPr="002E7B5D">
              <w:rPr>
                <w:rFonts w:ascii="Verdana" w:eastAsia="Calibri" w:hAnsi="Verdana" w:cs="Arial"/>
                <w:b/>
                <w:bCs/>
                <w:lang w:val="es-ES" w:eastAsia="es-ES"/>
              </w:rPr>
              <w:t xml:space="preserve">Concepto C – </w:t>
            </w:r>
            <w:r>
              <w:rPr>
                <w:rFonts w:ascii="Verdana" w:eastAsia="Calibri" w:hAnsi="Verdana" w:cs="Arial"/>
                <w:b/>
                <w:bCs/>
                <w:lang w:val="es-ES" w:eastAsia="es-ES"/>
              </w:rPr>
              <w:t>374</w:t>
            </w:r>
            <w:r w:rsidRPr="002E7B5D">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3930AC" w:rsidRPr="002E7B5D" w14:paraId="3E8AC0A1" w14:textId="77777777" w:rsidTr="00255E3F">
        <w:trPr>
          <w:trHeight w:val="884"/>
        </w:trPr>
        <w:tc>
          <w:tcPr>
            <w:tcW w:w="2689" w:type="dxa"/>
          </w:tcPr>
          <w:p w14:paraId="33F7DA3B" w14:textId="77777777" w:rsidR="003930AC" w:rsidRPr="002E7B5D" w:rsidRDefault="003930AC" w:rsidP="00255E3F">
            <w:pPr>
              <w:jc w:val="both"/>
              <w:rPr>
                <w:rFonts w:ascii="Verdana" w:eastAsia="Calibri" w:hAnsi="Verdana" w:cs="Arial"/>
                <w:lang w:val="es-ES_tradnl" w:eastAsia="es-ES_tradnl"/>
              </w:rPr>
            </w:pPr>
            <w:r w:rsidRPr="002E7B5D">
              <w:rPr>
                <w:rFonts w:ascii="Verdana" w:eastAsia="Calibri" w:hAnsi="Verdana" w:cs="Arial"/>
                <w:b/>
                <w:lang w:val="es-ES_tradnl" w:eastAsia="es-ES_tradnl"/>
              </w:rPr>
              <w:t>Temas:</w:t>
            </w:r>
            <w:r w:rsidRPr="002E7B5D">
              <w:rPr>
                <w:rFonts w:ascii="Verdana" w:eastAsia="Calibri" w:hAnsi="Verdana" w:cs="Arial"/>
                <w:lang w:val="es-ES_tradnl" w:eastAsia="es-ES_tradnl"/>
              </w:rPr>
              <w:t xml:space="preserve">                   </w:t>
            </w:r>
          </w:p>
        </w:tc>
        <w:tc>
          <w:tcPr>
            <w:tcW w:w="6100" w:type="dxa"/>
          </w:tcPr>
          <w:p w14:paraId="4D476F70" w14:textId="77777777" w:rsidR="00AF1EA8" w:rsidRPr="007735F1" w:rsidRDefault="00AF1EA8" w:rsidP="00AF1EA8">
            <w:pPr>
              <w:jc w:val="both"/>
              <w:rPr>
                <w:rFonts w:ascii="Verdana" w:eastAsia="Calibri" w:hAnsi="Verdana" w:cs="Times New Roman"/>
                <w:color w:val="000000"/>
              </w:rPr>
            </w:pPr>
            <w:r w:rsidRPr="007735F1">
              <w:rPr>
                <w:rFonts w:ascii="Verdana" w:eastAsia="Calibri" w:hAnsi="Verdana" w:cs="Times New Roman"/>
                <w:color w:val="000000"/>
              </w:rPr>
              <w:t xml:space="preserve">DOCUMENTOS TIPO – Fundamento normativo – Obligatoriedad </w:t>
            </w:r>
            <w:r w:rsidRPr="00AF1EA8">
              <w:rPr>
                <w:rFonts w:ascii="Verdana" w:eastAsia="Calibri" w:hAnsi="Verdana" w:cs="Times New Roman"/>
              </w:rPr>
              <w:t xml:space="preserve">/ </w:t>
            </w:r>
            <w:r w:rsidRPr="007735F1">
              <w:rPr>
                <w:rFonts w:ascii="Verdana" w:eastAsia="Calibri" w:hAnsi="Verdana" w:cs="Times New Roman"/>
                <w:color w:val="000000"/>
              </w:rPr>
              <w:t xml:space="preserve">DOCUMENTOS TIPO – Transporte – Versión 4 – Numeral 2.4 – Cierre del proceso – Apertura de ofertas – SECOP I / DOCUMENTOS TIPO – Transporte – Versión 4 – Numeral 2.4 – Cierre del proceso – Apertura de ofertas – SECOP I – Apertura Sobre No. 1 / DOCUMENTOS TIPO – Transporte – Versión 4 – Numeral 2.4 – Cierre del proceso – Apertura de ofertas – SECOP I – Apertura y custodia Sobre 2 / DOCUMENTOS TIPO – Transporte – Versión 4 – Numeral 2.6 – Audiencia efectiva de adjudicación </w:t>
            </w:r>
          </w:p>
          <w:p w14:paraId="19326CF5" w14:textId="77777777" w:rsidR="003930AC" w:rsidRPr="002E7B5D" w:rsidRDefault="003930AC" w:rsidP="00255E3F">
            <w:pPr>
              <w:spacing w:line="276" w:lineRule="auto"/>
              <w:jc w:val="both"/>
              <w:rPr>
                <w:rFonts w:ascii="Verdana" w:eastAsia="Calibri" w:hAnsi="Verdana" w:cs="Arial"/>
                <w:highlight w:val="yellow"/>
                <w:lang w:val="es-ES" w:eastAsia="es-ES"/>
              </w:rPr>
            </w:pPr>
          </w:p>
        </w:tc>
      </w:tr>
      <w:tr w:rsidR="003930AC" w:rsidRPr="002E7B5D" w14:paraId="5B5CEAEB" w14:textId="77777777" w:rsidTr="00255E3F">
        <w:tc>
          <w:tcPr>
            <w:tcW w:w="2689" w:type="dxa"/>
          </w:tcPr>
          <w:p w14:paraId="6C0CC138" w14:textId="77777777" w:rsidR="003930AC" w:rsidRPr="002E7B5D" w:rsidRDefault="003930AC" w:rsidP="00255E3F">
            <w:pPr>
              <w:jc w:val="both"/>
              <w:rPr>
                <w:rFonts w:ascii="Verdana" w:eastAsia="Calibri" w:hAnsi="Verdana" w:cs="Arial"/>
                <w:b/>
                <w:lang w:val="es-ES_tradnl" w:eastAsia="es-ES_tradnl"/>
              </w:rPr>
            </w:pPr>
            <w:r w:rsidRPr="002E7B5D">
              <w:rPr>
                <w:rFonts w:ascii="Verdana" w:eastAsia="Calibri" w:hAnsi="Verdana" w:cs="Arial"/>
                <w:b/>
                <w:lang w:val="es-ES_tradnl" w:eastAsia="es-ES_tradnl"/>
              </w:rPr>
              <w:t>Radicación:</w:t>
            </w:r>
            <w:r w:rsidRPr="002E7B5D">
              <w:rPr>
                <w:rFonts w:ascii="Verdana" w:eastAsia="Calibri" w:hAnsi="Verdana" w:cs="Arial"/>
                <w:lang w:val="es-ES_tradnl" w:eastAsia="es-ES_tradnl"/>
              </w:rPr>
              <w:t xml:space="preserve">               </w:t>
            </w:r>
          </w:p>
        </w:tc>
        <w:tc>
          <w:tcPr>
            <w:tcW w:w="6100" w:type="dxa"/>
          </w:tcPr>
          <w:p w14:paraId="405D6E4A" w14:textId="77777777" w:rsidR="003930AC" w:rsidRPr="002E7B5D" w:rsidRDefault="003930AC" w:rsidP="00255E3F">
            <w:pPr>
              <w:jc w:val="both"/>
              <w:rPr>
                <w:rFonts w:ascii="Verdana" w:eastAsia="Calibri" w:hAnsi="Verdana" w:cs="Arial"/>
                <w:lang w:val="es-ES_tradnl" w:eastAsia="es-ES_tradnl"/>
              </w:rPr>
            </w:pPr>
            <w:r w:rsidRPr="002E7B5D">
              <w:rPr>
                <w:rFonts w:ascii="Verdana" w:eastAsia="Calibri" w:hAnsi="Verdana" w:cs="Arial"/>
                <w:lang w:val="es-ES_tradnl" w:eastAsia="es-ES_tradnl"/>
              </w:rPr>
              <w:t xml:space="preserve">Respuesta a consulta con radicado No. </w:t>
            </w:r>
            <w:r w:rsidRPr="00195EAD">
              <w:rPr>
                <w:rFonts w:ascii="Verdana" w:eastAsia="Calibri" w:hAnsi="Verdana" w:cs="Arial"/>
                <w:lang w:val="es-ES_tradnl" w:eastAsia="es-ES_tradnl"/>
              </w:rPr>
              <w:t>P20250327002953</w:t>
            </w:r>
          </w:p>
        </w:tc>
      </w:tr>
    </w:tbl>
    <w:p w14:paraId="16AD11A4" w14:textId="77777777" w:rsidR="003930AC" w:rsidRPr="002E7B5D" w:rsidRDefault="003930AC" w:rsidP="003930AC">
      <w:pPr>
        <w:spacing w:after="0" w:line="240" w:lineRule="auto"/>
        <w:jc w:val="both"/>
        <w:rPr>
          <w:rFonts w:ascii="Verdana" w:eastAsia="Calibri" w:hAnsi="Verdana" w:cs="Arial"/>
          <w:lang w:val="es-ES_tradnl" w:eastAsia="es-ES_tradnl"/>
        </w:rPr>
      </w:pPr>
    </w:p>
    <w:p w14:paraId="088A7302" w14:textId="77777777" w:rsidR="003930AC" w:rsidRPr="002E7B5D" w:rsidRDefault="003930AC" w:rsidP="003930AC">
      <w:pPr>
        <w:spacing w:after="0" w:line="240" w:lineRule="auto"/>
        <w:jc w:val="both"/>
        <w:rPr>
          <w:rFonts w:ascii="Verdana" w:eastAsia="Calibri" w:hAnsi="Verdana" w:cs="Arial"/>
          <w:lang w:val="es-ES_tradnl" w:eastAsia="es-ES_tradnl"/>
        </w:rPr>
      </w:pPr>
    </w:p>
    <w:p w14:paraId="426AD092" w14:textId="77777777" w:rsidR="003930AC" w:rsidRPr="002E7B5D" w:rsidRDefault="003930AC" w:rsidP="003930AC">
      <w:pPr>
        <w:spacing w:after="0" w:line="276" w:lineRule="auto"/>
        <w:jc w:val="both"/>
        <w:rPr>
          <w:rFonts w:ascii="Verdana" w:eastAsia="Calibri" w:hAnsi="Verdana" w:cs="Arial"/>
          <w:lang w:val="es-ES" w:eastAsia="es-ES"/>
        </w:rPr>
      </w:pPr>
      <w:r w:rsidRPr="002E7B5D">
        <w:rPr>
          <w:rFonts w:ascii="Verdana" w:eastAsia="Calibri" w:hAnsi="Verdana" w:cs="Arial"/>
          <w:lang w:val="es-ES" w:eastAsia="es-ES"/>
        </w:rPr>
        <w:t>Estimad</w:t>
      </w:r>
      <w:r>
        <w:rPr>
          <w:rFonts w:ascii="Verdana" w:eastAsia="Calibri" w:hAnsi="Verdana" w:cs="Arial"/>
          <w:lang w:val="es-ES" w:eastAsia="es-ES"/>
        </w:rPr>
        <w:t>o</w:t>
      </w:r>
      <w:r w:rsidRPr="002E7B5D">
        <w:rPr>
          <w:rFonts w:ascii="Verdana" w:eastAsia="Calibri" w:hAnsi="Verdana" w:cs="Arial"/>
          <w:lang w:val="es-ES" w:eastAsia="es-ES"/>
        </w:rPr>
        <w:t xml:space="preserve"> señor</w:t>
      </w:r>
      <w:r>
        <w:rPr>
          <w:rFonts w:ascii="Verdana" w:eastAsia="Calibri" w:hAnsi="Verdana" w:cs="Arial"/>
          <w:lang w:val="es-ES" w:eastAsia="es-ES"/>
        </w:rPr>
        <w:t xml:space="preserve"> </w:t>
      </w:r>
      <w:r w:rsidRPr="00195EAD">
        <w:rPr>
          <w:rFonts w:ascii="Verdana" w:eastAsia="Calibri" w:hAnsi="Verdana" w:cs="Arial"/>
          <w:bCs/>
          <w:lang w:val="es-ES_tradnl" w:eastAsia="es-ES_tradnl"/>
        </w:rPr>
        <w:t>Chávez Granados</w:t>
      </w:r>
      <w:r w:rsidRPr="002E7B5D">
        <w:rPr>
          <w:rFonts w:ascii="Verdana" w:eastAsia="Calibri" w:hAnsi="Verdana" w:cs="Arial"/>
          <w:lang w:val="es-ES" w:eastAsia="es-ES"/>
        </w:rPr>
        <w:t xml:space="preserve">: </w:t>
      </w:r>
    </w:p>
    <w:p w14:paraId="16D03766" w14:textId="77777777" w:rsidR="003930AC" w:rsidRPr="002E7B5D" w:rsidRDefault="003930AC" w:rsidP="003930AC">
      <w:pPr>
        <w:tabs>
          <w:tab w:val="left" w:pos="3768"/>
        </w:tabs>
        <w:spacing w:after="0" w:line="276" w:lineRule="auto"/>
        <w:jc w:val="both"/>
        <w:rPr>
          <w:rFonts w:ascii="Verdana" w:eastAsia="Calibri" w:hAnsi="Verdana" w:cs="Arial"/>
          <w:lang w:val="es-ES" w:eastAsia="es-ES"/>
        </w:rPr>
      </w:pPr>
      <w:r w:rsidRPr="002E7B5D">
        <w:rPr>
          <w:rFonts w:ascii="Verdana" w:eastAsia="Calibri" w:hAnsi="Verdana" w:cs="Arial"/>
          <w:lang w:val="es-ES" w:eastAsia="es-ES"/>
        </w:rPr>
        <w:tab/>
      </w:r>
    </w:p>
    <w:p w14:paraId="4CEA0D09" w14:textId="77777777" w:rsidR="003930AC" w:rsidRDefault="003930AC" w:rsidP="003930AC">
      <w:pPr>
        <w:spacing w:after="0" w:line="276" w:lineRule="auto"/>
        <w:jc w:val="both"/>
        <w:rPr>
          <w:rFonts w:ascii="Verdana" w:eastAsia="Calibri" w:hAnsi="Verdana" w:cs="Arial"/>
          <w:lang w:val="es-ES" w:eastAsia="es-ES"/>
        </w:rPr>
      </w:pPr>
      <w:r w:rsidRPr="002E7B5D">
        <w:rPr>
          <w:rFonts w:ascii="Verdana" w:eastAsia="Calibri" w:hAnsi="Verdana" w:cs="Arial"/>
          <w:lang w:val="es-ES" w:eastAsia="es-ES"/>
        </w:rPr>
        <w:t>En ejercicio de la competencia otorgada por los artículos 3, numeral 5º, y 11, numeral 8º, del Decreto Ley 4170 de 2011,</w:t>
      </w:r>
      <w:r w:rsidRPr="002E7B5D">
        <w:rPr>
          <w:rFonts w:ascii="Verdana" w:eastAsia="Arial MT" w:hAnsi="Verdana" w:cs="Arial MT"/>
          <w:lang w:val="es-ES" w:eastAsia="es-ES"/>
        </w:rPr>
        <w:t xml:space="preserve"> </w:t>
      </w:r>
      <w:r w:rsidRPr="002E7B5D">
        <w:rPr>
          <w:rFonts w:ascii="Verdana" w:eastAsia="Calibri" w:hAnsi="Verdana" w:cs="Arial"/>
        </w:rPr>
        <w:t xml:space="preserve">así como lo establecido en el artículo 4 de la Resolución 1707 de 2018 expedida por esta Entidad, </w:t>
      </w:r>
      <w:r w:rsidRPr="002E7B5D">
        <w:rPr>
          <w:rFonts w:ascii="Verdana" w:eastAsia="Calibri" w:hAnsi="Verdana" w:cs="Arial"/>
          <w:lang w:val="es-ES" w:eastAsia="es-ES"/>
        </w:rPr>
        <w:t>la Agencia Nacional de Contratación Pública – Colombia Compra Eficiente responde su solicitud de consulta de fecha 2</w:t>
      </w:r>
      <w:r>
        <w:rPr>
          <w:rFonts w:ascii="Verdana" w:eastAsia="Calibri" w:hAnsi="Verdana" w:cs="Arial"/>
          <w:lang w:val="es-ES" w:eastAsia="es-ES"/>
        </w:rPr>
        <w:t>7</w:t>
      </w:r>
      <w:r w:rsidRPr="002E7B5D">
        <w:rPr>
          <w:rFonts w:ascii="Verdana" w:eastAsia="Calibri" w:hAnsi="Verdana" w:cs="Arial"/>
          <w:lang w:val="es-ES" w:eastAsia="es-ES"/>
        </w:rPr>
        <w:t xml:space="preserve"> de </w:t>
      </w:r>
      <w:r>
        <w:rPr>
          <w:rFonts w:ascii="Verdana" w:eastAsia="Calibri" w:hAnsi="Verdana" w:cs="Arial"/>
          <w:lang w:val="es-ES" w:eastAsia="es-ES"/>
        </w:rPr>
        <w:t>marzo</w:t>
      </w:r>
      <w:r w:rsidRPr="002E7B5D">
        <w:rPr>
          <w:rFonts w:ascii="Verdana" w:eastAsia="Calibri" w:hAnsi="Verdana" w:cs="Arial"/>
          <w:lang w:val="es-ES" w:eastAsia="es-ES"/>
        </w:rPr>
        <w:t xml:space="preserve"> de 202</w:t>
      </w:r>
      <w:r>
        <w:rPr>
          <w:rFonts w:ascii="Verdana" w:eastAsia="Calibri" w:hAnsi="Verdana" w:cs="Arial"/>
          <w:lang w:val="es-ES" w:eastAsia="es-ES"/>
        </w:rPr>
        <w:t>5</w:t>
      </w:r>
      <w:r w:rsidRPr="002E7B5D">
        <w:rPr>
          <w:rFonts w:ascii="Verdana" w:eastAsia="Calibri" w:hAnsi="Verdana" w:cs="Arial"/>
          <w:lang w:val="es-ES" w:eastAsia="es-ES"/>
        </w:rPr>
        <w:t>, en la que manifiesta lo siguiente</w:t>
      </w:r>
      <w:r>
        <w:rPr>
          <w:rFonts w:ascii="Verdana" w:eastAsia="Calibri" w:hAnsi="Verdana" w:cs="Arial"/>
          <w:lang w:val="es-ES" w:eastAsia="es-ES"/>
        </w:rPr>
        <w:t xml:space="preserve"> en relación con los numerales 2.4 y 2.6 de los documentos tipo de licitación de obra pública de infraestructura de transporte – Versión 4</w:t>
      </w:r>
      <w:r w:rsidRPr="002E7B5D">
        <w:rPr>
          <w:rFonts w:ascii="Verdana" w:eastAsia="Calibri" w:hAnsi="Verdana" w:cs="Arial"/>
          <w:lang w:val="es-ES" w:eastAsia="es-ES"/>
        </w:rPr>
        <w:t>:</w:t>
      </w:r>
    </w:p>
    <w:p w14:paraId="4A02E8F6" w14:textId="77777777" w:rsidR="003930AC" w:rsidRDefault="003930AC" w:rsidP="003930AC">
      <w:pPr>
        <w:spacing w:after="0" w:line="276" w:lineRule="auto"/>
        <w:jc w:val="both"/>
        <w:rPr>
          <w:rFonts w:ascii="Verdana" w:eastAsia="Calibri" w:hAnsi="Verdana" w:cs="Arial"/>
          <w:lang w:val="es-ES" w:eastAsia="es-ES"/>
        </w:rPr>
      </w:pPr>
    </w:p>
    <w:p w14:paraId="6CB00546" w14:textId="77777777" w:rsidR="003930AC" w:rsidRPr="007735F1" w:rsidRDefault="003930AC" w:rsidP="003930AC">
      <w:pPr>
        <w:spacing w:line="240" w:lineRule="auto"/>
        <w:ind w:left="709" w:right="709"/>
        <w:jc w:val="both"/>
        <w:rPr>
          <w:rFonts w:ascii="Verdana" w:hAnsi="Verdana" w:cs="Arial"/>
          <w:color w:val="000000" w:themeColor="text1"/>
          <w:sz w:val="20"/>
          <w:szCs w:val="20"/>
          <w:lang w:val="es-ES_tradnl"/>
        </w:rPr>
      </w:pPr>
      <w:r>
        <w:rPr>
          <w:rFonts w:ascii="Arial" w:hAnsi="Arial" w:cs="Arial"/>
          <w:color w:val="000000" w:themeColor="text1"/>
          <w:sz w:val="21"/>
          <w:szCs w:val="21"/>
          <w:lang w:val="es-ES_tradnl"/>
        </w:rPr>
        <w:t>“</w:t>
      </w:r>
      <w:r w:rsidRPr="007735F1">
        <w:rPr>
          <w:rFonts w:ascii="Verdana" w:hAnsi="Verdana" w:cs="Arial"/>
          <w:color w:val="000000" w:themeColor="text1"/>
          <w:sz w:val="20"/>
          <w:szCs w:val="20"/>
          <w:lang w:val="es-ES_tradnl"/>
        </w:rPr>
        <w:t xml:space="preserve">Conforme lo anterior, es claro que la diligencia de cierre de procesos adelantados por SECOP I debe realizarse de </w:t>
      </w:r>
      <w:r w:rsidRPr="007735F1">
        <w:rPr>
          <w:rFonts w:ascii="Verdana" w:hAnsi="Verdana" w:cs="Arial"/>
          <w:b/>
          <w:bCs/>
          <w:color w:val="000000" w:themeColor="text1"/>
          <w:sz w:val="20"/>
          <w:szCs w:val="20"/>
          <w:lang w:val="es-ES_tradnl"/>
        </w:rPr>
        <w:t>manera presencial</w:t>
      </w:r>
      <w:r w:rsidRPr="007735F1">
        <w:rPr>
          <w:rFonts w:ascii="Verdana" w:hAnsi="Verdana" w:cs="Arial"/>
          <w:color w:val="000000" w:themeColor="text1"/>
          <w:sz w:val="20"/>
          <w:szCs w:val="20"/>
          <w:lang w:val="es-ES_tradnl"/>
        </w:rPr>
        <w:t>, ya que solo de esta manera es posible que los oferentes firmen el sobre No. 02 que contiene la oferta económica.</w:t>
      </w:r>
    </w:p>
    <w:p w14:paraId="37C73B74" w14:textId="77777777" w:rsidR="003930AC" w:rsidRPr="007735F1" w:rsidRDefault="003930AC" w:rsidP="003930AC">
      <w:pPr>
        <w:spacing w:line="240" w:lineRule="auto"/>
        <w:ind w:left="709" w:right="709"/>
        <w:jc w:val="both"/>
        <w:rPr>
          <w:rFonts w:ascii="Verdana" w:hAnsi="Verdana" w:cs="Arial"/>
          <w:color w:val="000000" w:themeColor="text1"/>
          <w:sz w:val="20"/>
          <w:szCs w:val="20"/>
          <w:lang w:val="es-ES_tradnl"/>
        </w:rPr>
      </w:pPr>
      <w:r w:rsidRPr="007735F1">
        <w:rPr>
          <w:rFonts w:ascii="Verdana" w:hAnsi="Verdana" w:cs="Arial"/>
          <w:color w:val="000000" w:themeColor="text1"/>
          <w:sz w:val="20"/>
          <w:szCs w:val="20"/>
          <w:lang w:val="es-ES_tradnl"/>
        </w:rPr>
        <w:lastRenderedPageBreak/>
        <w:t>Otro aspecto relevante del procedimiento que establece en numeral 2.4 es que, durante la apertura este sobre No. 02 la entidad estatal debe permitir a solicitud de cualquier oferente la toma de fotografías a las ofertas económicas.</w:t>
      </w:r>
    </w:p>
    <w:p w14:paraId="71408FB4" w14:textId="77777777" w:rsidR="003930AC" w:rsidRPr="007735F1" w:rsidRDefault="003930AC" w:rsidP="003930AC">
      <w:pPr>
        <w:spacing w:line="240" w:lineRule="auto"/>
        <w:ind w:left="709" w:right="709"/>
        <w:jc w:val="both"/>
        <w:rPr>
          <w:rFonts w:ascii="Verdana" w:hAnsi="Verdana" w:cs="Arial"/>
          <w:color w:val="000000" w:themeColor="text1"/>
          <w:sz w:val="20"/>
          <w:szCs w:val="20"/>
          <w:lang w:val="es-ES_tradnl"/>
        </w:rPr>
      </w:pPr>
    </w:p>
    <w:p w14:paraId="54D5DFEE" w14:textId="77777777" w:rsidR="003930AC" w:rsidRPr="007735F1" w:rsidRDefault="003930AC" w:rsidP="003930AC">
      <w:pPr>
        <w:spacing w:line="240" w:lineRule="auto"/>
        <w:ind w:left="709" w:right="709"/>
        <w:jc w:val="both"/>
        <w:rPr>
          <w:rFonts w:ascii="Verdana" w:hAnsi="Verdana" w:cs="Arial"/>
          <w:color w:val="000000" w:themeColor="text1"/>
          <w:sz w:val="20"/>
          <w:szCs w:val="20"/>
          <w:lang w:val="es-ES_tradnl"/>
        </w:rPr>
      </w:pPr>
      <w:r w:rsidRPr="007735F1">
        <w:rPr>
          <w:rFonts w:ascii="Verdana" w:hAnsi="Verdana" w:cs="Arial"/>
          <w:color w:val="000000" w:themeColor="text1"/>
          <w:sz w:val="20"/>
          <w:szCs w:val="20"/>
          <w:lang w:val="es-ES_tradnl"/>
        </w:rPr>
        <w:t>Ahora bien, con relación a la AUDIENCIA EFECTIVA DE ADJUDICACIÓN - numeral 2.6 de los «Documentos Tipo – Versión 4» de obra pública de infraestructura de transporte determina entre otros aspectos el siguiente:</w:t>
      </w:r>
    </w:p>
    <w:p w14:paraId="2BFC8AE6" w14:textId="77777777" w:rsidR="003930AC" w:rsidRPr="007735F1" w:rsidRDefault="003930AC" w:rsidP="003930AC">
      <w:pPr>
        <w:spacing w:line="240" w:lineRule="auto"/>
        <w:ind w:left="709" w:right="709"/>
        <w:jc w:val="both"/>
        <w:rPr>
          <w:rFonts w:ascii="Verdana" w:hAnsi="Verdana" w:cs="Arial"/>
          <w:color w:val="000000" w:themeColor="text1"/>
          <w:sz w:val="20"/>
          <w:szCs w:val="20"/>
          <w:lang w:val="es-ES_tradnl"/>
        </w:rPr>
      </w:pPr>
      <w:r w:rsidRPr="007735F1">
        <w:rPr>
          <w:rFonts w:ascii="Verdana" w:hAnsi="Verdana"/>
          <w:sz w:val="20"/>
          <w:szCs w:val="20"/>
          <w:lang w:val="es-MX"/>
        </w:rPr>
        <w:t>En la fecha establecida en el Anexo 2 – Cronograma, la entidad procederá a la instalación y desarrollo de la audiencia efectiva de adjudicación, sin perjuicio de la utilización de los medios virtuales que garanticen la participación y la interacción de los interesados con la entidad contratante</w:t>
      </w:r>
    </w:p>
    <w:p w14:paraId="12696071" w14:textId="77777777" w:rsidR="003930AC" w:rsidRPr="007735F1" w:rsidRDefault="003930AC" w:rsidP="003930AC">
      <w:pPr>
        <w:spacing w:line="240" w:lineRule="auto"/>
        <w:ind w:left="709" w:right="709"/>
        <w:jc w:val="both"/>
        <w:rPr>
          <w:rFonts w:ascii="Verdana" w:hAnsi="Verdana" w:cs="Arial"/>
          <w:color w:val="000000" w:themeColor="text1"/>
          <w:sz w:val="20"/>
          <w:szCs w:val="20"/>
          <w:lang w:val="es-ES_tradnl"/>
        </w:rPr>
      </w:pPr>
      <w:r w:rsidRPr="007735F1">
        <w:rPr>
          <w:rFonts w:ascii="Verdana" w:hAnsi="Verdana" w:cs="Arial"/>
          <w:color w:val="000000" w:themeColor="text1"/>
          <w:sz w:val="20"/>
          <w:szCs w:val="20"/>
          <w:lang w:val="es-ES_tradnl"/>
        </w:rPr>
        <w:t xml:space="preserve">Con todo lo anterior surge los siguientes interrogantes. </w:t>
      </w:r>
    </w:p>
    <w:p w14:paraId="6FA57C15" w14:textId="77777777" w:rsidR="003930AC" w:rsidRPr="007735F1" w:rsidRDefault="003930AC" w:rsidP="3167CCA2">
      <w:pPr>
        <w:pStyle w:val="Prrafodelista"/>
        <w:numPr>
          <w:ilvl w:val="0"/>
          <w:numId w:val="19"/>
        </w:numPr>
        <w:spacing w:after="120" w:line="240" w:lineRule="auto"/>
        <w:ind w:left="709" w:right="709" w:firstLine="0"/>
        <w:jc w:val="both"/>
        <w:rPr>
          <w:rFonts w:ascii="Verdana" w:hAnsi="Verdana" w:cs="Arial"/>
          <w:color w:val="000000" w:themeColor="text1"/>
          <w:sz w:val="20"/>
          <w:szCs w:val="20"/>
        </w:rPr>
      </w:pPr>
      <w:r w:rsidRPr="007735F1">
        <w:rPr>
          <w:rFonts w:ascii="Verdana" w:hAnsi="Verdana" w:cs="Arial"/>
          <w:color w:val="000000" w:themeColor="text1"/>
          <w:sz w:val="20"/>
          <w:szCs w:val="20"/>
        </w:rPr>
        <w:t xml:space="preserve">¿En procesos adelantados por la plataforma transaccional SECOP I, es obligatorio que la audiencia efectiva de adjudicación tenga que realizarse de </w:t>
      </w:r>
      <w:r w:rsidRPr="007735F1">
        <w:rPr>
          <w:rFonts w:ascii="Verdana" w:hAnsi="Verdana" w:cs="Arial"/>
          <w:b/>
          <w:bCs/>
          <w:color w:val="000000" w:themeColor="text1"/>
          <w:sz w:val="20"/>
          <w:szCs w:val="20"/>
        </w:rPr>
        <w:t>manera presencial</w:t>
      </w:r>
      <w:r w:rsidRPr="007735F1">
        <w:rPr>
          <w:rFonts w:ascii="Verdana" w:hAnsi="Verdana" w:cs="Arial"/>
          <w:color w:val="000000" w:themeColor="text1"/>
          <w:sz w:val="20"/>
          <w:szCs w:val="20"/>
        </w:rPr>
        <w:t xml:space="preserve"> y con ello poder dar cumplimiento al procedimiento definido en el numeral 2.4?. </w:t>
      </w:r>
    </w:p>
    <w:p w14:paraId="3A9611D6" w14:textId="77777777" w:rsidR="003930AC" w:rsidRPr="007735F1" w:rsidRDefault="003930AC" w:rsidP="003930AC">
      <w:pPr>
        <w:pStyle w:val="Prrafodelista"/>
        <w:numPr>
          <w:ilvl w:val="0"/>
          <w:numId w:val="19"/>
        </w:numPr>
        <w:spacing w:after="120" w:line="240" w:lineRule="auto"/>
        <w:ind w:left="709" w:right="709" w:firstLine="0"/>
        <w:contextualSpacing w:val="0"/>
        <w:jc w:val="both"/>
        <w:rPr>
          <w:rFonts w:ascii="Verdana" w:hAnsi="Verdana"/>
          <w:sz w:val="20"/>
          <w:szCs w:val="20"/>
          <w:lang w:val="es-ES_tradnl"/>
        </w:rPr>
      </w:pPr>
      <w:r w:rsidRPr="007735F1">
        <w:rPr>
          <w:rFonts w:ascii="Verdana" w:hAnsi="Verdana" w:cs="Arial"/>
          <w:color w:val="000000" w:themeColor="text1"/>
          <w:sz w:val="20"/>
          <w:szCs w:val="20"/>
          <w:lang w:val="es-ES_tradnl"/>
        </w:rPr>
        <w:t xml:space="preserve">Cuál es el alcance de la expresión </w:t>
      </w:r>
      <w:r w:rsidRPr="007735F1">
        <w:rPr>
          <w:rFonts w:ascii="Verdana" w:hAnsi="Verdana" w:cs="Arial"/>
          <w:i/>
          <w:iCs/>
          <w:color w:val="000000" w:themeColor="text1"/>
          <w:sz w:val="20"/>
          <w:szCs w:val="20"/>
          <w:u w:val="single"/>
          <w:lang w:val="es-ES_tradnl"/>
        </w:rPr>
        <w:t>“</w:t>
      </w:r>
      <w:r w:rsidRPr="007735F1">
        <w:rPr>
          <w:rFonts w:ascii="Verdana" w:hAnsi="Verdana"/>
          <w:i/>
          <w:iCs/>
          <w:sz w:val="20"/>
          <w:szCs w:val="20"/>
          <w:u w:val="single"/>
          <w:lang w:val="es-MX"/>
        </w:rPr>
        <w:t>sin perjuicio de la utilización de los medios virtuales”</w:t>
      </w:r>
      <w:r w:rsidRPr="007735F1">
        <w:rPr>
          <w:rFonts w:ascii="Verdana" w:hAnsi="Verdana"/>
          <w:sz w:val="20"/>
          <w:szCs w:val="20"/>
          <w:lang w:val="es-MX"/>
        </w:rPr>
        <w:t xml:space="preserve"> </w:t>
      </w:r>
      <w:r w:rsidRPr="007735F1">
        <w:rPr>
          <w:rFonts w:ascii="Verdana" w:hAnsi="Verdana" w:cs="Arial"/>
          <w:color w:val="000000" w:themeColor="text1"/>
          <w:sz w:val="20"/>
          <w:szCs w:val="20"/>
          <w:lang w:val="es-ES_tradnl"/>
        </w:rPr>
        <w:t xml:space="preserve">que se incluye en el numeral 2.6 de los «Documentos Tipo – Versión 4» de obra pública de infraestructura de transporte”. </w:t>
      </w:r>
    </w:p>
    <w:p w14:paraId="2A372146" w14:textId="77777777" w:rsidR="003930AC" w:rsidRPr="007735F1" w:rsidRDefault="003930AC" w:rsidP="003930AC">
      <w:pPr>
        <w:spacing w:after="0" w:line="240" w:lineRule="auto"/>
        <w:ind w:left="709" w:right="709"/>
        <w:jc w:val="both"/>
        <w:rPr>
          <w:rFonts w:ascii="Verdana" w:eastAsia="Calibri" w:hAnsi="Verdana" w:cs="Arial"/>
          <w:sz w:val="21"/>
          <w:szCs w:val="21"/>
          <w:lang w:val="es-ES_tradnl" w:eastAsia="es-ES"/>
        </w:rPr>
      </w:pPr>
    </w:p>
    <w:p w14:paraId="20044ECD" w14:textId="77777777" w:rsidR="003930AC" w:rsidRPr="002E7B5D" w:rsidRDefault="003930AC" w:rsidP="003930AC">
      <w:pPr>
        <w:spacing w:after="120" w:line="276" w:lineRule="auto"/>
        <w:ind w:firstLine="709"/>
        <w:jc w:val="both"/>
        <w:rPr>
          <w:rFonts w:ascii="Verdana" w:eastAsia="Calibri" w:hAnsi="Verdana" w:cs="Arial"/>
          <w:szCs w:val="24"/>
          <w:lang w:val="es-ES_tradnl" w:eastAsia="es-ES_tradnl"/>
        </w:rPr>
      </w:pPr>
      <w:r w:rsidRPr="002E7B5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7B5D">
        <w:rPr>
          <w:rFonts w:ascii="Verdana" w:eastAsia="Calibri" w:hAnsi="Verdana" w:cs="Arial"/>
          <w:szCs w:val="24"/>
          <w:lang w:val="es-ES_tradnl" w:eastAsia="es-ES_tradnl"/>
        </w:rPr>
        <w:tab/>
      </w:r>
    </w:p>
    <w:p w14:paraId="604FD62D" w14:textId="77777777" w:rsidR="003930AC" w:rsidRPr="002E7B5D" w:rsidRDefault="003930AC" w:rsidP="003930AC">
      <w:pPr>
        <w:spacing w:after="0" w:line="276" w:lineRule="auto"/>
        <w:ind w:firstLine="709"/>
        <w:jc w:val="both"/>
        <w:rPr>
          <w:rFonts w:ascii="Verdana" w:eastAsia="Calibri" w:hAnsi="Verdana" w:cs="Arial"/>
          <w:lang w:val="es-ES" w:eastAsia="es-ES"/>
        </w:rPr>
      </w:pPr>
      <w:r w:rsidRPr="002E7B5D">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w:t>
      </w:r>
      <w:r w:rsidRPr="002E7B5D">
        <w:rPr>
          <w:rFonts w:ascii="Verdana" w:eastAsia="Calibri" w:hAnsi="Verdana" w:cs="Arial"/>
          <w:lang w:val="es-ES" w:eastAsia="es-ES"/>
        </w:rPr>
        <w:lastRenderedPageBreak/>
        <w:t>sobre las normas generales relacionadas con el problema jurídico de su consulta.</w:t>
      </w:r>
      <w:r w:rsidRPr="002E7B5D">
        <w:rPr>
          <w:rFonts w:ascii="Verdana" w:eastAsia="Calibri" w:hAnsi="Verdana" w:cs="Arial"/>
          <w:lang w:val="es-ES" w:eastAsia="es-ES"/>
        </w:rPr>
        <w:tab/>
      </w:r>
    </w:p>
    <w:p w14:paraId="71D87607" w14:textId="77777777" w:rsidR="003930AC" w:rsidRPr="002E7B5D" w:rsidRDefault="003930AC" w:rsidP="003930AC">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Problema planteado:</w:t>
      </w:r>
    </w:p>
    <w:p w14:paraId="1834EA26" w14:textId="77777777" w:rsidR="003930AC" w:rsidRPr="002E7B5D" w:rsidRDefault="003930AC" w:rsidP="003930AC">
      <w:pPr>
        <w:tabs>
          <w:tab w:val="left" w:pos="426"/>
        </w:tabs>
        <w:spacing w:after="0" w:line="276" w:lineRule="auto"/>
        <w:jc w:val="both"/>
        <w:rPr>
          <w:rFonts w:ascii="Verdana" w:eastAsia="Century Gothic" w:hAnsi="Verdana" w:cs="Century Gothic"/>
          <w:lang w:val="es-ES"/>
        </w:rPr>
      </w:pPr>
    </w:p>
    <w:p w14:paraId="4107742B" w14:textId="473808DE" w:rsidR="003930AC" w:rsidRPr="002E7B5D" w:rsidRDefault="003930AC" w:rsidP="003930AC">
      <w:pPr>
        <w:snapToGrid w:val="0"/>
        <w:spacing w:after="0" w:line="276" w:lineRule="auto"/>
        <w:jc w:val="both"/>
        <w:rPr>
          <w:rFonts w:ascii="Verdana" w:eastAsia="Century Gothic" w:hAnsi="Verdana" w:cs="Century Gothic"/>
        </w:rPr>
      </w:pPr>
      <w:r w:rsidRPr="002E7B5D">
        <w:rPr>
          <w:rFonts w:ascii="Verdana" w:eastAsia="Century Gothic" w:hAnsi="Verdana" w:cs="Century Gothic"/>
        </w:rPr>
        <w:t>De acuerdo con el contenido de su solicitud, esta Agencia resolverá l</w:t>
      </w:r>
      <w:r>
        <w:rPr>
          <w:rFonts w:ascii="Verdana" w:eastAsia="Century Gothic" w:hAnsi="Verdana" w:cs="Century Gothic"/>
        </w:rPr>
        <w:t>os</w:t>
      </w:r>
      <w:r w:rsidRPr="002E7B5D">
        <w:rPr>
          <w:rFonts w:ascii="Verdana" w:eastAsia="Century Gothic" w:hAnsi="Verdana" w:cs="Century Gothic"/>
        </w:rPr>
        <w:t xml:space="preserve"> siguiente</w:t>
      </w:r>
      <w:r>
        <w:rPr>
          <w:rFonts w:ascii="Verdana" w:eastAsia="Century Gothic" w:hAnsi="Verdana" w:cs="Century Gothic"/>
        </w:rPr>
        <w:t>s</w:t>
      </w:r>
      <w:r w:rsidRPr="002E7B5D">
        <w:rPr>
          <w:rFonts w:ascii="Verdana" w:eastAsia="Century Gothic" w:hAnsi="Verdana" w:cs="Century Gothic"/>
        </w:rPr>
        <w:t xml:space="preserve"> problema</w:t>
      </w:r>
      <w:r>
        <w:rPr>
          <w:rFonts w:ascii="Verdana" w:eastAsia="Century Gothic" w:hAnsi="Verdana" w:cs="Century Gothic"/>
        </w:rPr>
        <w:t>s</w:t>
      </w:r>
      <w:r w:rsidRPr="002E7B5D">
        <w:rPr>
          <w:rFonts w:ascii="Verdana" w:eastAsia="Century Gothic" w:hAnsi="Verdana" w:cs="Century Gothic"/>
        </w:rPr>
        <w:t xml:space="preserve"> jurídico</w:t>
      </w:r>
      <w:r>
        <w:rPr>
          <w:rFonts w:ascii="Verdana" w:eastAsia="Century Gothic" w:hAnsi="Verdana" w:cs="Century Gothic"/>
        </w:rPr>
        <w:t>s en relación con los documentos tipo de licitación de obra pública de infraestructura de transporte – versión 4</w:t>
      </w:r>
      <w:r w:rsidRPr="002E7B5D">
        <w:rPr>
          <w:rFonts w:ascii="Verdana" w:eastAsia="Century Gothic" w:hAnsi="Verdana" w:cs="Century Gothic"/>
        </w:rPr>
        <w:t xml:space="preserve">: </w:t>
      </w:r>
      <w:r>
        <w:rPr>
          <w:rFonts w:ascii="Verdana" w:eastAsia="Century Gothic" w:hAnsi="Verdana" w:cs="Century Gothic"/>
        </w:rPr>
        <w:t xml:space="preserve">i) ¿Cuál es el alcance del numeral “2.4 cierre del proceso y apertura de ofertas” en relación con los procesos </w:t>
      </w:r>
      <w:r w:rsidR="00772134">
        <w:rPr>
          <w:rFonts w:ascii="Verdana" w:eastAsia="Century Gothic" w:hAnsi="Verdana" w:cs="Century Gothic"/>
        </w:rPr>
        <w:t xml:space="preserve">de selección </w:t>
      </w:r>
      <w:r>
        <w:rPr>
          <w:rFonts w:ascii="Verdana" w:eastAsia="Century Gothic" w:hAnsi="Verdana" w:cs="Century Gothic"/>
        </w:rPr>
        <w:t xml:space="preserve">adelantados </w:t>
      </w:r>
      <w:r w:rsidR="00772134">
        <w:rPr>
          <w:rFonts w:ascii="Verdana" w:eastAsia="Century Gothic" w:hAnsi="Verdana" w:cs="Century Gothic"/>
        </w:rPr>
        <w:t xml:space="preserve">en el </w:t>
      </w:r>
      <w:r>
        <w:rPr>
          <w:rFonts w:ascii="Verdana" w:eastAsia="Century Gothic" w:hAnsi="Verdana" w:cs="Century Gothic"/>
        </w:rPr>
        <w:t xml:space="preserve">SECOP I? y ii) ¿Puede una entidad realizar la audiencia efectiva de adjudicación contenida en el numeral 2.6 del documento base </w:t>
      </w:r>
      <w:r w:rsidR="00FB1927">
        <w:rPr>
          <w:rFonts w:ascii="Verdana" w:eastAsia="Century Gothic" w:hAnsi="Verdana" w:cs="Century Gothic"/>
        </w:rPr>
        <w:t xml:space="preserve">de los documentos tipo de licitación de obra pública de infraestructura de transporte – versión 4 </w:t>
      </w:r>
      <w:r>
        <w:rPr>
          <w:rFonts w:ascii="Verdana" w:eastAsia="Century Gothic" w:hAnsi="Verdana" w:cs="Century Gothic"/>
        </w:rPr>
        <w:t xml:space="preserve">por medios virtuales? </w:t>
      </w:r>
    </w:p>
    <w:p w14:paraId="56007095" w14:textId="77777777" w:rsidR="003930AC" w:rsidRPr="002E7B5D" w:rsidRDefault="003930AC" w:rsidP="003930AC">
      <w:pPr>
        <w:snapToGrid w:val="0"/>
        <w:spacing w:after="0" w:line="276" w:lineRule="auto"/>
        <w:jc w:val="both"/>
        <w:rPr>
          <w:rFonts w:ascii="Verdana" w:eastAsia="Calibri" w:hAnsi="Verdana" w:cs="Arial"/>
          <w:lang w:val="es-ES"/>
        </w:rPr>
      </w:pPr>
    </w:p>
    <w:p w14:paraId="69EBF199" w14:textId="77777777" w:rsidR="003930AC" w:rsidRPr="002E7B5D" w:rsidRDefault="003930AC" w:rsidP="003930A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Respuesta:</w:t>
      </w:r>
    </w:p>
    <w:p w14:paraId="1BA062E2" w14:textId="77777777" w:rsidR="003930AC" w:rsidRPr="002E7B5D" w:rsidRDefault="003930AC" w:rsidP="003930AC">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930AC" w:rsidRPr="002E7B5D" w14:paraId="68BD5FA8" w14:textId="77777777" w:rsidTr="00255E3F">
        <w:tc>
          <w:tcPr>
            <w:tcW w:w="8828" w:type="dxa"/>
            <w:shd w:val="clear" w:color="auto" w:fill="auto"/>
          </w:tcPr>
          <w:p w14:paraId="72FE4BF2" w14:textId="3DF10E72" w:rsidR="003930AC" w:rsidRDefault="003930AC" w:rsidP="003930AC">
            <w:pPr>
              <w:pStyle w:val="Prrafodelista"/>
              <w:numPr>
                <w:ilvl w:val="0"/>
                <w:numId w:val="22"/>
              </w:numPr>
              <w:ind w:left="11" w:firstLine="0"/>
              <w:jc w:val="both"/>
              <w:rPr>
                <w:rFonts w:ascii="Verdana" w:eastAsia="Calibri" w:hAnsi="Verdana" w:cs="Arial"/>
              </w:rPr>
            </w:pPr>
            <w:r w:rsidRPr="00B40A62">
              <w:rPr>
                <w:rFonts w:ascii="Verdana" w:eastAsia="Calibri" w:hAnsi="Verdana" w:cs="Arial"/>
              </w:rPr>
              <w:t xml:space="preserve">El numeral 2.4 “Cierre del proceso y apertura de ofertas” contenido en el documento base de los documentos tipo para licitación de obra pública de infraestructura de transporte – versión 4, presenta dos opciones entre las cuales la entidad debe elegir, según si el proceso de contratación se adelanta a través del SECOP I o II. </w:t>
            </w:r>
          </w:p>
          <w:p w14:paraId="20B46692" w14:textId="77777777" w:rsidR="003930AC" w:rsidRDefault="003930AC" w:rsidP="00255E3F">
            <w:pPr>
              <w:pStyle w:val="Prrafodelista"/>
              <w:ind w:left="731"/>
              <w:jc w:val="both"/>
              <w:rPr>
                <w:rFonts w:ascii="Verdana" w:eastAsia="Calibri" w:hAnsi="Verdana" w:cs="Arial"/>
              </w:rPr>
            </w:pPr>
          </w:p>
          <w:p w14:paraId="43CFB8FE" w14:textId="6BFAD2AB" w:rsidR="003930AC" w:rsidRPr="00D3230A" w:rsidRDefault="003930AC" w:rsidP="00255E3F">
            <w:pPr>
              <w:jc w:val="both"/>
              <w:rPr>
                <w:rFonts w:ascii="Verdana" w:eastAsia="Calibri" w:hAnsi="Verdana" w:cs="Arial"/>
              </w:rPr>
            </w:pPr>
            <w:r w:rsidRPr="00D3230A">
              <w:rPr>
                <w:rFonts w:ascii="Verdana" w:eastAsia="Calibri" w:hAnsi="Verdana" w:cs="Arial"/>
              </w:rPr>
              <w:t xml:space="preserve">Para los </w:t>
            </w:r>
            <w:r w:rsidR="00180933">
              <w:rPr>
                <w:rFonts w:ascii="Verdana" w:eastAsia="Calibri" w:hAnsi="Verdana" w:cs="Arial"/>
              </w:rPr>
              <w:t>P</w:t>
            </w:r>
            <w:r w:rsidRPr="00D3230A">
              <w:rPr>
                <w:rFonts w:ascii="Verdana" w:eastAsia="Calibri" w:hAnsi="Verdana" w:cs="Arial"/>
              </w:rPr>
              <w:t xml:space="preserve">rocesos de </w:t>
            </w:r>
            <w:r w:rsidR="00180933">
              <w:rPr>
                <w:rFonts w:ascii="Verdana" w:eastAsia="Calibri" w:hAnsi="Verdana" w:cs="Arial"/>
              </w:rPr>
              <w:t>C</w:t>
            </w:r>
            <w:r w:rsidRPr="00D3230A">
              <w:rPr>
                <w:rFonts w:ascii="Verdana" w:eastAsia="Calibri" w:hAnsi="Verdana" w:cs="Arial"/>
              </w:rPr>
              <w:t xml:space="preserve">ontratación adelantados mediante el SECOP I los dos primeros incisos establecen -respectivamente-, que se entenderán como recibidas por la Entidad aquellas ofertas que, en la fecha, hora y lugar definidos en el “Anexo 2 – Cronograma” del procedimiento de </w:t>
            </w:r>
            <w:r w:rsidR="00180933">
              <w:rPr>
                <w:rFonts w:ascii="Verdana" w:eastAsia="Calibri" w:hAnsi="Verdana" w:cs="Arial"/>
              </w:rPr>
              <w:t>selección</w:t>
            </w:r>
            <w:r w:rsidRPr="00D3230A">
              <w:rPr>
                <w:rFonts w:ascii="Verdana" w:eastAsia="Calibri" w:hAnsi="Verdana" w:cs="Arial"/>
              </w:rPr>
              <w:t>, se encuentren en el lugar de recepción indicado. Asimismo, se dispone que no se considerarán recibidas las ofertas que hayan sido radicadas o entregadas en otras dependencias de la Entidad.</w:t>
            </w:r>
          </w:p>
          <w:p w14:paraId="12F8CCD5" w14:textId="77777777" w:rsidR="003930AC" w:rsidRPr="00671D6B" w:rsidRDefault="003930AC" w:rsidP="00255E3F">
            <w:pPr>
              <w:pStyle w:val="Prrafodelista"/>
              <w:spacing w:line="276" w:lineRule="auto"/>
              <w:jc w:val="both"/>
              <w:rPr>
                <w:rFonts w:ascii="Verdana" w:eastAsia="Calibri" w:hAnsi="Verdana" w:cs="Arial"/>
                <w:lang w:val="es-MX"/>
              </w:rPr>
            </w:pPr>
          </w:p>
          <w:p w14:paraId="6DD6B1B6" w14:textId="77777777" w:rsidR="003930AC" w:rsidRPr="0085171B" w:rsidRDefault="003930AC" w:rsidP="00255E3F">
            <w:pPr>
              <w:spacing w:line="276" w:lineRule="auto"/>
              <w:jc w:val="both"/>
              <w:rPr>
                <w:rFonts w:ascii="Verdana" w:eastAsia="Calibri" w:hAnsi="Verdana" w:cs="Arial"/>
                <w:lang w:val="es-MX"/>
              </w:rPr>
            </w:pPr>
            <w:r w:rsidRPr="0085171B">
              <w:rPr>
                <w:rFonts w:ascii="Verdana" w:eastAsia="Calibri" w:hAnsi="Verdana" w:cs="Arial"/>
              </w:rPr>
              <w:t xml:space="preserve">Por su parte, los incisos tercero (3), cuarto (4) y quinto (5) </w:t>
            </w:r>
            <w:r>
              <w:rPr>
                <w:rFonts w:ascii="Verdana" w:eastAsia="Calibri" w:hAnsi="Verdana" w:cs="Arial"/>
              </w:rPr>
              <w:t xml:space="preserve">disponen </w:t>
            </w:r>
            <w:r w:rsidRPr="0085171B">
              <w:rPr>
                <w:rFonts w:ascii="Verdana" w:eastAsia="Calibri" w:hAnsi="Verdana" w:cs="Arial"/>
              </w:rPr>
              <w:t xml:space="preserve">el momento en que debe efectuarse la apertura del Sobre No. 1. Según dicha regulación, una vez vencido el plazo para la presentación de ofertas, se procederá a su apertura en presencia de los asistentes y con el correspondiente levantamiento del acta de cierre, </w:t>
            </w:r>
            <w:r w:rsidRPr="0085171B">
              <w:rPr>
                <w:rFonts w:ascii="Verdana" w:hAnsi="Verdana"/>
                <w:lang w:val="es-MX"/>
              </w:rPr>
              <w:t>en la que conste la fecha y hora de recibo de las ofertas, indicando el nombre o razón social de los oferentes y sus representantes legales.</w:t>
            </w:r>
            <w:r w:rsidRPr="0085171B">
              <w:rPr>
                <w:rFonts w:ascii="Verdana" w:eastAsia="Calibri" w:hAnsi="Verdana" w:cs="Arial"/>
                <w:lang w:val="es-MX"/>
              </w:rPr>
              <w:t xml:space="preserve"> </w:t>
            </w:r>
            <w:r w:rsidRPr="0085171B">
              <w:rPr>
                <w:rFonts w:ascii="Verdana" w:eastAsia="Calibri" w:hAnsi="Verdana" w:cs="Arial"/>
              </w:rPr>
              <w:t xml:space="preserve">A partir de ese momento, el contenido del Sobre No. 1 se considera público, por lo que los interesados podrán solicitar copias o consultarlo, en ejercicio del derecho de petición ante la entidad contratante, conforme a lo dispuesto </w:t>
            </w:r>
            <w:r>
              <w:rPr>
                <w:rFonts w:ascii="Verdana" w:eastAsia="Calibri" w:hAnsi="Verdana" w:cs="Arial"/>
              </w:rPr>
              <w:t xml:space="preserve">la Ley </w:t>
            </w:r>
            <w:r w:rsidRPr="00A139D6">
              <w:rPr>
                <w:rFonts w:ascii="Verdana" w:hAnsi="Verdana"/>
                <w:sz w:val="21"/>
                <w:szCs w:val="21"/>
                <w:lang w:val="es-MX"/>
              </w:rPr>
              <w:t>1755 de 2015</w:t>
            </w:r>
            <w:r>
              <w:rPr>
                <w:rFonts w:ascii="Verdana" w:hAnsi="Verdana"/>
                <w:sz w:val="21"/>
                <w:szCs w:val="21"/>
                <w:lang w:val="es-MX"/>
              </w:rPr>
              <w:t>.</w:t>
            </w:r>
          </w:p>
          <w:p w14:paraId="606C8502" w14:textId="77777777" w:rsidR="003930AC" w:rsidRPr="0085171B" w:rsidRDefault="003930AC" w:rsidP="00255E3F">
            <w:pPr>
              <w:spacing w:line="276" w:lineRule="auto"/>
              <w:ind w:left="720"/>
              <w:jc w:val="both"/>
              <w:rPr>
                <w:rFonts w:ascii="Verdana" w:eastAsia="Calibri" w:hAnsi="Verdana" w:cs="Arial"/>
                <w:lang w:val="es-MX"/>
              </w:rPr>
            </w:pPr>
          </w:p>
          <w:p w14:paraId="3E377B2A" w14:textId="77777777" w:rsidR="003930AC" w:rsidRPr="003848DE" w:rsidRDefault="003930AC" w:rsidP="00255E3F">
            <w:pPr>
              <w:spacing w:line="276" w:lineRule="auto"/>
              <w:jc w:val="both"/>
              <w:rPr>
                <w:rFonts w:ascii="Verdana" w:eastAsia="Calibri" w:hAnsi="Verdana" w:cs="Arial"/>
                <w:lang w:val="es-MX"/>
              </w:rPr>
            </w:pPr>
            <w:r w:rsidRPr="003848DE">
              <w:rPr>
                <w:rFonts w:ascii="Verdana" w:eastAsia="Calibri" w:hAnsi="Verdana" w:cs="Arial"/>
                <w:lang w:val="es-MX"/>
              </w:rPr>
              <w:t xml:space="preserve">Igualmente se señala que los funcionarios o contratistas de la entidad que intervengan en la apertura de las ofertas deben suscribir el acta y, además, diligenciar como información mínima: el nombre de los proponentes, si la carta de presentación fue incluida y está firmada, el número de la garantía de seriedad de la oferta que la acompaña, el número de folios, </w:t>
            </w:r>
            <w:r w:rsidRPr="003848DE">
              <w:rPr>
                <w:rFonts w:ascii="Verdana" w:hAnsi="Verdana"/>
                <w:lang w:val="es-MX"/>
              </w:rPr>
              <w:t xml:space="preserve">si hay folios en blanco, hojas por ambas caras, </w:t>
            </w:r>
            <w:r w:rsidRPr="003848DE">
              <w:rPr>
                <w:rFonts w:ascii="Verdana" w:eastAsia="Calibri" w:hAnsi="Verdana" w:cs="Arial"/>
                <w:lang w:val="es-MX"/>
              </w:rPr>
              <w:t xml:space="preserve">las observaciones correspondientes, así como los demás aspectos relevantes que considere la entidad. De esta forma, la entidad tiene la discrecionalidad de incluir otros aspectos relevantes que considere. </w:t>
            </w:r>
          </w:p>
          <w:p w14:paraId="717CC123" w14:textId="77777777" w:rsidR="003930AC" w:rsidRPr="002140AE" w:rsidRDefault="003930AC" w:rsidP="00255E3F">
            <w:pPr>
              <w:pStyle w:val="Prrafodelista"/>
              <w:rPr>
                <w:rFonts w:ascii="Verdana" w:eastAsia="Calibri" w:hAnsi="Verdana" w:cs="Arial"/>
                <w:lang w:val="es-MX"/>
              </w:rPr>
            </w:pPr>
          </w:p>
          <w:p w14:paraId="5A0A5579" w14:textId="77777777" w:rsidR="003930AC" w:rsidRPr="003848DE" w:rsidRDefault="003930AC" w:rsidP="00255E3F">
            <w:pPr>
              <w:spacing w:line="276" w:lineRule="auto"/>
              <w:jc w:val="both"/>
              <w:rPr>
                <w:rFonts w:ascii="Verdana" w:eastAsia="Calibri" w:hAnsi="Verdana" w:cs="Arial"/>
                <w:lang w:val="es-MX"/>
              </w:rPr>
            </w:pPr>
            <w:r w:rsidRPr="003848DE">
              <w:rPr>
                <w:rFonts w:ascii="Verdana" w:eastAsia="Calibri" w:hAnsi="Verdana" w:cs="Arial"/>
                <w:lang w:val="es-MX"/>
              </w:rPr>
              <w:t xml:space="preserve">Por otra parte, los dos (2) incisos finales del numeral 2.4 realizan algunas consideraciones en relación con la custodia y apertura del Sobre 2. De esta forma se dispone la obligación de verificación por parte de un funcionario o contratista de la entidad, que el Sobre No. 2 que contiene la oferta económica se encuentre sellado. Además, establece que estos deben requerir a los asistentes para que firmen los sobres. Posteriormente, se señala que -para generar confianza- la entidad guardará los sobres económicos: i) en un solo sobre que firmaran los asistentes al cierre o ii) los custodiaran en una bolsa de seguridad. Cualquiera de estas opciones, con la finalidad de que en su apertura en la audiencia efectiva de adjudicación pueda verificarse que los sobres económicos no fueron alterados, cambiados o abiertos. Finalmente, en el numeral 2.4 se señala que en la apertura del sobre No. 2, la entidad “permitirá tomar fotos a la oferta económica, si así lo solicita cualquier proponente”. </w:t>
            </w:r>
          </w:p>
          <w:p w14:paraId="597DE33D" w14:textId="77777777" w:rsidR="003930AC" w:rsidRPr="00266EA8" w:rsidRDefault="003930AC" w:rsidP="00255E3F">
            <w:pPr>
              <w:pStyle w:val="Prrafodelista"/>
              <w:rPr>
                <w:rFonts w:ascii="Verdana" w:eastAsia="Calibri" w:hAnsi="Verdana" w:cs="Arial"/>
                <w:lang w:val="es-MX"/>
              </w:rPr>
            </w:pPr>
          </w:p>
          <w:p w14:paraId="4D8384A9" w14:textId="1070D2A6" w:rsidR="003930AC" w:rsidRPr="003848DE" w:rsidRDefault="003930AC" w:rsidP="00255E3F">
            <w:pPr>
              <w:spacing w:line="276" w:lineRule="auto"/>
              <w:jc w:val="both"/>
              <w:rPr>
                <w:rFonts w:ascii="Verdana" w:eastAsia="Calibri" w:hAnsi="Verdana" w:cs="Arial"/>
                <w:lang w:val="es-MX"/>
              </w:rPr>
            </w:pPr>
            <w:r w:rsidRPr="003848DE">
              <w:rPr>
                <w:rFonts w:ascii="Verdana" w:eastAsia="Calibri" w:hAnsi="Verdana" w:cs="Arial"/>
                <w:lang w:val="es-MX"/>
              </w:rPr>
              <w:t>No obstante, lo dispuesto en los párrafos transcritos, tal como se enunció, solo es aplicable a las licitaciones públicas adelantadas enteramente en medio físico, cuya publicidad se surte a través de</w:t>
            </w:r>
            <w:r w:rsidR="00A02844">
              <w:rPr>
                <w:rFonts w:ascii="Verdana" w:eastAsia="Calibri" w:hAnsi="Verdana" w:cs="Arial"/>
                <w:lang w:val="es-MX"/>
              </w:rPr>
              <w:t xml:space="preserve">l </w:t>
            </w:r>
            <w:r w:rsidRPr="003848DE">
              <w:rPr>
                <w:rFonts w:ascii="Verdana" w:eastAsia="Calibri" w:hAnsi="Verdana" w:cs="Arial"/>
                <w:lang w:val="es-MX"/>
              </w:rPr>
              <w:t xml:space="preserve">SECOP I. </w:t>
            </w:r>
          </w:p>
          <w:p w14:paraId="498517A4" w14:textId="77777777" w:rsidR="003930AC" w:rsidRPr="000A1748" w:rsidRDefault="003930AC" w:rsidP="00255E3F">
            <w:pPr>
              <w:pStyle w:val="Prrafodelista"/>
              <w:rPr>
                <w:rFonts w:ascii="Verdana" w:eastAsia="Calibri" w:hAnsi="Verdana" w:cs="Arial"/>
                <w:lang w:val="es-MX"/>
              </w:rPr>
            </w:pPr>
          </w:p>
          <w:p w14:paraId="11E8DD07" w14:textId="77777777" w:rsidR="003930AC" w:rsidRPr="003848DE" w:rsidRDefault="003930AC" w:rsidP="003930AC">
            <w:pPr>
              <w:pStyle w:val="Prrafodelista"/>
              <w:numPr>
                <w:ilvl w:val="0"/>
                <w:numId w:val="22"/>
              </w:numPr>
              <w:ind w:left="11" w:firstLine="0"/>
              <w:jc w:val="both"/>
              <w:rPr>
                <w:rFonts w:ascii="Verdana" w:eastAsia="Calibri" w:hAnsi="Verdana" w:cs="Arial"/>
                <w:lang w:val="es-CO"/>
              </w:rPr>
            </w:pPr>
            <w:r>
              <w:rPr>
                <w:rFonts w:ascii="Verdana" w:eastAsia="Calibri" w:hAnsi="Verdana" w:cs="Arial"/>
              </w:rPr>
              <w:t xml:space="preserve">El </w:t>
            </w:r>
            <w:r w:rsidRPr="003848DE">
              <w:rPr>
                <w:rFonts w:ascii="Verdana" w:eastAsia="Calibri" w:hAnsi="Verdana" w:cs="Arial"/>
                <w:lang w:val="es-CO"/>
              </w:rPr>
              <w:t>numeral “2.6 audiencia efectiva de adjudicación” contenido en el documento base del documento tipo de licitación de obra pública de infraestructura de transporte – versión 4</w:t>
            </w:r>
            <w:r>
              <w:rPr>
                <w:rFonts w:ascii="Verdana" w:eastAsia="Calibri" w:hAnsi="Verdana" w:cs="Arial"/>
              </w:rPr>
              <w:t xml:space="preserve">, en su </w:t>
            </w:r>
            <w:r w:rsidRPr="003848DE">
              <w:rPr>
                <w:rFonts w:ascii="Verdana" w:eastAsia="Calibri" w:hAnsi="Verdana" w:cs="Arial"/>
                <w:lang w:val="es-CO"/>
              </w:rPr>
              <w:t xml:space="preserve">primer inciso </w:t>
            </w:r>
            <w:r>
              <w:rPr>
                <w:rFonts w:ascii="Verdana" w:eastAsia="Calibri" w:hAnsi="Verdana" w:cs="Arial"/>
              </w:rPr>
              <w:t>señala lo siguiente</w:t>
            </w:r>
            <w:r w:rsidRPr="003848DE">
              <w:rPr>
                <w:rFonts w:ascii="Verdana" w:eastAsia="Calibri" w:hAnsi="Verdana" w:cs="Arial"/>
                <w:lang w:val="es-CO"/>
              </w:rPr>
              <w:t>:</w:t>
            </w:r>
          </w:p>
          <w:p w14:paraId="2D73FEFB" w14:textId="77777777" w:rsidR="003930AC" w:rsidRPr="00F879BF" w:rsidRDefault="003930AC" w:rsidP="00255E3F">
            <w:pPr>
              <w:pStyle w:val="Prrafodelista"/>
              <w:contextualSpacing w:val="0"/>
              <w:rPr>
                <w:rFonts w:ascii="Verdana" w:hAnsi="Verdana" w:cs="Arial"/>
              </w:rPr>
            </w:pPr>
          </w:p>
          <w:p w14:paraId="5609A7D1" w14:textId="77777777" w:rsidR="003930AC" w:rsidRPr="002A1600" w:rsidRDefault="003930AC" w:rsidP="00255E3F">
            <w:pPr>
              <w:ind w:left="708" w:right="709"/>
              <w:jc w:val="both"/>
              <w:rPr>
                <w:rFonts w:ascii="Verdana" w:hAnsi="Verdana"/>
                <w:sz w:val="21"/>
                <w:szCs w:val="21"/>
                <w:lang w:val="es-MX"/>
              </w:rPr>
            </w:pPr>
            <w:r w:rsidRPr="002A1600">
              <w:rPr>
                <w:rFonts w:ascii="Verdana" w:hAnsi="Verdana"/>
                <w:sz w:val="21"/>
                <w:szCs w:val="21"/>
                <w:lang w:val="es-MX"/>
              </w:rPr>
              <w:t xml:space="preserve">“En la fecha establecida en el Anexo 2 – Cronograma, la entidad procederá a la instalación y desarrollo de la audiencia efectiva de adjudicación, sin perjuicio de la utilización de los medios virtuales </w:t>
            </w:r>
            <w:r w:rsidRPr="002A1600">
              <w:rPr>
                <w:rFonts w:ascii="Verdana" w:hAnsi="Verdana"/>
                <w:sz w:val="21"/>
                <w:szCs w:val="21"/>
                <w:lang w:val="es-MX"/>
              </w:rPr>
              <w:lastRenderedPageBreak/>
              <w:t>que garanticen la participación y la interacción de los interesados con la entidad contratante”.</w:t>
            </w:r>
          </w:p>
          <w:p w14:paraId="4B77E573" w14:textId="77777777" w:rsidR="003930AC" w:rsidRPr="00F879BF" w:rsidRDefault="003930AC" w:rsidP="00255E3F">
            <w:pPr>
              <w:ind w:left="708"/>
              <w:jc w:val="both"/>
              <w:rPr>
                <w:rFonts w:ascii="Verdana" w:hAnsi="Verdana"/>
                <w:lang w:val="es-MX"/>
              </w:rPr>
            </w:pPr>
          </w:p>
          <w:p w14:paraId="51AA5587" w14:textId="534DECC4" w:rsidR="003930AC" w:rsidRPr="00F61B37" w:rsidRDefault="003930AC" w:rsidP="00255E3F">
            <w:pPr>
              <w:spacing w:line="276" w:lineRule="auto"/>
              <w:jc w:val="both"/>
              <w:rPr>
                <w:rFonts w:ascii="Verdana" w:hAnsi="Verdana" w:cs="Arial"/>
                <w:lang w:val="es-ES"/>
              </w:rPr>
            </w:pPr>
            <w:r w:rsidRPr="00F61B37">
              <w:rPr>
                <w:rFonts w:ascii="Verdana" w:eastAsia="Calibri" w:hAnsi="Verdana" w:cs="Arial"/>
                <w:lang w:val="es-MX"/>
              </w:rPr>
              <w:t xml:space="preserve">En este se fija que la entidad deberá instalar y desarrollar la audiencia efectiva de adjudicación en la fecha indicada en el Anexo 2 – Cronograma, sin perjuicio de la utilización de los medios virtuales. Sobre este último aspecto a criterio de esta Agencia la expresión “sin perjuicio de la utilización de los medios virtuales” debe entenderse como la posibilidad para la entidad de realizar la audiencia efectiva de adjudicación por medios electrónicos, </w:t>
            </w:r>
            <w:r w:rsidRPr="00F61B37">
              <w:rPr>
                <w:rFonts w:ascii="Verdana" w:hAnsi="Verdana" w:cs="Arial"/>
                <w:color w:val="000000" w:themeColor="text1"/>
                <w:lang w:val="es-ES"/>
              </w:rPr>
              <w:t xml:space="preserve">es decir, utilizando los sistemas de información digitales que favorecen la tele-presencia, de modo que se permita una interacción simultánea entre las personas que quieran estar presentes y las entidades estatales. Esta posibilidad, se encuentra abierta para la entidad independientemente que se encuentre adelantando el proceso de contratación por el SECOP I o II. </w:t>
            </w:r>
          </w:p>
          <w:p w14:paraId="0E9FF356" w14:textId="77777777" w:rsidR="003930AC" w:rsidRPr="00F879BF" w:rsidRDefault="003930AC" w:rsidP="00255E3F">
            <w:pPr>
              <w:pStyle w:val="Prrafodelista"/>
              <w:spacing w:line="276" w:lineRule="auto"/>
              <w:ind w:left="641"/>
              <w:contextualSpacing w:val="0"/>
              <w:jc w:val="both"/>
              <w:rPr>
                <w:rFonts w:ascii="Verdana" w:hAnsi="Verdana" w:cs="Arial"/>
              </w:rPr>
            </w:pPr>
          </w:p>
          <w:p w14:paraId="2946F52C" w14:textId="77777777" w:rsidR="003930AC" w:rsidRPr="001B12F6" w:rsidRDefault="003930AC" w:rsidP="00255E3F">
            <w:pPr>
              <w:spacing w:line="276" w:lineRule="auto"/>
              <w:jc w:val="both"/>
              <w:rPr>
                <w:rFonts w:ascii="Verdana" w:hAnsi="Verdana" w:cs="Arial"/>
                <w:lang w:val="es-ES"/>
              </w:rPr>
            </w:pPr>
            <w:r w:rsidRPr="001B12F6">
              <w:rPr>
                <w:rFonts w:ascii="Verdana" w:hAnsi="Verdana" w:cs="Arial"/>
                <w:lang w:val="es-ES"/>
              </w:rPr>
              <w:t xml:space="preserve">La posibilidad de realizar la audiencia de adjudicación por medios virtuales ha sido analizada por la Agencia Nacional de Contratación Pública – Colombia Compra Eficiente en diferentes conceptos. Recientemente, el tema fue tratado en el concepto C-113 del 17 de febrero de 2025, en donde se señaló que “(…) </w:t>
            </w:r>
            <w:r w:rsidRPr="001B12F6">
              <w:rPr>
                <w:rFonts w:ascii="Verdana" w:hAnsi="Verdana" w:cs="Arial"/>
                <w:color w:val="000000" w:themeColor="text1"/>
                <w:lang w:val="es-ES"/>
              </w:rPr>
              <w:t>es viable concluir que la audiencia de adjudicación en la licitación pública se puede realizar por medios electrónicos” y además, se instó a que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p>
          <w:p w14:paraId="2238650A" w14:textId="77777777" w:rsidR="003930AC" w:rsidRPr="00F879BF" w:rsidRDefault="003930AC" w:rsidP="00255E3F">
            <w:pPr>
              <w:pStyle w:val="Prrafodelista"/>
              <w:rPr>
                <w:rFonts w:ascii="Verdana" w:hAnsi="Verdana" w:cs="Arial"/>
              </w:rPr>
            </w:pPr>
          </w:p>
          <w:p w14:paraId="6888F21E" w14:textId="77777777" w:rsidR="003930AC" w:rsidRPr="00B40A62" w:rsidRDefault="003930AC" w:rsidP="00255E3F">
            <w:pPr>
              <w:spacing w:line="276" w:lineRule="auto"/>
              <w:jc w:val="both"/>
              <w:rPr>
                <w:rFonts w:ascii="Verdana" w:eastAsia="Calibri" w:hAnsi="Verdana" w:cs="Times New Roman"/>
                <w:sz w:val="21"/>
                <w:szCs w:val="21"/>
              </w:rPr>
            </w:pPr>
            <w:r w:rsidRPr="001B12F6">
              <w:rPr>
                <w:rFonts w:ascii="Verdana" w:hAnsi="Verdana" w:cs="Arial"/>
                <w:lang w:val="es-ES"/>
              </w:rPr>
              <w:t xml:space="preserve">Así mismo, debe señalarse que, </w:t>
            </w:r>
            <w:r w:rsidRPr="001B12F6">
              <w:rPr>
                <w:rFonts w:ascii="Verdana" w:eastAsia="Century Gothic" w:hAnsi="Verdana" w:cs="Century Gothic"/>
                <w:color w:val="000000" w:themeColor="text1"/>
              </w:rPr>
              <w:t>aunque la audiencia de adjudicación, en la licitación pública, puede efectuarse por medios electrónicos, debe estar revestida de las garantías procedimentales establecidas en las normas que regulan esta etapa del procedimiento de selección. En efecto, de un lado, durante la audiencia de adjudicación las entidades estatales contratantes deben respetar los principios de la función administrativa previstos en el artículo 209 de la Constitución, que, además del interés general, exige la satisfacción de la igualdad, la moralidad, la eficacia, la economía, la celeridad, la imparcialidad y la publicidad.</w:t>
            </w:r>
            <w:r>
              <w:rPr>
                <w:rFonts w:ascii="Verdana" w:eastAsia="Century Gothic" w:hAnsi="Verdana" w:cs="Century Gothic"/>
                <w:color w:val="000000" w:themeColor="text1"/>
              </w:rPr>
              <w:t xml:space="preserve"> También, </w:t>
            </w:r>
            <w:r w:rsidRPr="001B12F6">
              <w:rPr>
                <w:rFonts w:ascii="Verdana" w:eastAsia="Century Gothic" w:hAnsi="Verdana" w:cs="Century Gothic"/>
                <w:color w:val="000000" w:themeColor="text1"/>
              </w:rPr>
              <w:t xml:space="preserve">durante la audiencia de adjudicación debe garantizarse el debido proceso, pues, como indica el artículo 29 de la </w:t>
            </w:r>
            <w:r w:rsidRPr="001B12F6">
              <w:rPr>
                <w:rFonts w:ascii="Verdana" w:eastAsia="Century Gothic" w:hAnsi="Verdana" w:cs="Century Gothic"/>
                <w:color w:val="000000" w:themeColor="text1"/>
              </w:rPr>
              <w:lastRenderedPageBreak/>
              <w:t xml:space="preserve">Constitución, este es un derecho fundamental que también rige en las actuaciones administrativas. </w:t>
            </w:r>
          </w:p>
        </w:tc>
      </w:tr>
    </w:tbl>
    <w:p w14:paraId="440BAC6A" w14:textId="77777777" w:rsidR="003930AC" w:rsidRPr="002E7B5D" w:rsidRDefault="003930AC" w:rsidP="003930AC">
      <w:pPr>
        <w:tabs>
          <w:tab w:val="left" w:pos="142"/>
          <w:tab w:val="left" w:pos="284"/>
        </w:tabs>
        <w:snapToGrid w:val="0"/>
        <w:spacing w:after="0" w:line="276" w:lineRule="auto"/>
        <w:jc w:val="both"/>
        <w:rPr>
          <w:rFonts w:ascii="Verdana" w:eastAsia="Century Gothic" w:hAnsi="Verdana" w:cs="Century Gothic"/>
          <w:b/>
          <w:bCs/>
          <w:lang w:val="es-ES"/>
        </w:rPr>
      </w:pPr>
    </w:p>
    <w:p w14:paraId="0EE22611" w14:textId="77777777" w:rsidR="003930AC" w:rsidRPr="002E7B5D" w:rsidRDefault="003930AC" w:rsidP="003930A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Razones de la respuesta:</w:t>
      </w:r>
    </w:p>
    <w:p w14:paraId="14DB1F90" w14:textId="77777777" w:rsidR="003930AC" w:rsidRPr="002E7B5D" w:rsidRDefault="003930AC" w:rsidP="003930AC">
      <w:pPr>
        <w:tabs>
          <w:tab w:val="left" w:pos="142"/>
          <w:tab w:val="left" w:pos="284"/>
        </w:tabs>
        <w:snapToGrid w:val="0"/>
        <w:spacing w:after="0" w:line="276" w:lineRule="auto"/>
        <w:ind w:left="357"/>
        <w:jc w:val="both"/>
        <w:rPr>
          <w:rFonts w:ascii="Verdana" w:eastAsia="Century Gothic" w:hAnsi="Verdana" w:cs="Century Gothic"/>
          <w:b/>
          <w:bCs/>
          <w:lang w:val="es-ES"/>
        </w:rPr>
      </w:pPr>
    </w:p>
    <w:p w14:paraId="3556926F" w14:textId="77777777" w:rsidR="003930AC" w:rsidRPr="002E7B5D" w:rsidRDefault="003930AC" w:rsidP="003930AC">
      <w:pPr>
        <w:snapToGrid w:val="0"/>
        <w:spacing w:after="0" w:line="276" w:lineRule="auto"/>
        <w:jc w:val="both"/>
        <w:rPr>
          <w:rFonts w:ascii="Verdana" w:eastAsia="Calibri" w:hAnsi="Verdana" w:cs="Arial"/>
          <w:lang w:val="es-ES"/>
        </w:rPr>
      </w:pPr>
      <w:r w:rsidRPr="002E7B5D">
        <w:rPr>
          <w:rFonts w:ascii="Verdana" w:eastAsia="Calibri" w:hAnsi="Verdana" w:cs="Arial"/>
          <w:lang w:val="es-ES"/>
        </w:rPr>
        <w:t xml:space="preserve">Lo anterior se sustenta en las siguientes consideraciones: </w:t>
      </w:r>
    </w:p>
    <w:p w14:paraId="553C6BDD" w14:textId="77777777" w:rsidR="003930AC" w:rsidRPr="002E7B5D" w:rsidRDefault="003930AC" w:rsidP="003930AC">
      <w:pPr>
        <w:snapToGrid w:val="0"/>
        <w:spacing w:after="0" w:line="276" w:lineRule="auto"/>
        <w:jc w:val="both"/>
        <w:rPr>
          <w:rFonts w:ascii="Verdana" w:eastAsia="Calibri" w:hAnsi="Verdana" w:cs="Arial"/>
          <w:lang w:val="es-ES"/>
        </w:rPr>
      </w:pPr>
    </w:p>
    <w:p w14:paraId="0A02D854" w14:textId="77777777" w:rsidR="003930AC" w:rsidRPr="00195EAD" w:rsidRDefault="003930AC" w:rsidP="003930AC">
      <w:pPr>
        <w:numPr>
          <w:ilvl w:val="0"/>
          <w:numId w:val="18"/>
        </w:numPr>
        <w:snapToGrid w:val="0"/>
        <w:spacing w:after="0" w:line="276" w:lineRule="auto"/>
        <w:jc w:val="both"/>
        <w:rPr>
          <w:rFonts w:ascii="Verdana" w:eastAsia="Arial MT" w:hAnsi="Verdana" w:cs="Arial"/>
          <w:color w:val="0C0C0C"/>
          <w:lang w:val="es-ES"/>
        </w:rPr>
      </w:pPr>
      <w:r w:rsidRPr="00195EAD">
        <w:rPr>
          <w:rFonts w:ascii="Verdana" w:eastAsia="Arial MT" w:hAnsi="Verdana" w:cs="Arial"/>
          <w:color w:val="0C0C0C"/>
          <w:lang w:val="es-ES"/>
        </w:rPr>
        <w:t xml:space="preserve">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A31B63B" w14:textId="77777777" w:rsidR="003930AC" w:rsidRPr="00195EAD" w:rsidRDefault="003930AC" w:rsidP="003930AC">
      <w:pPr>
        <w:snapToGrid w:val="0"/>
        <w:spacing w:after="0" w:line="276" w:lineRule="auto"/>
        <w:ind w:left="720"/>
        <w:jc w:val="both"/>
        <w:rPr>
          <w:rFonts w:ascii="Verdana" w:eastAsia="Arial MT" w:hAnsi="Verdana" w:cs="Arial"/>
          <w:color w:val="0C0C0C"/>
          <w:lang w:val="es-ES"/>
        </w:rPr>
      </w:pPr>
    </w:p>
    <w:p w14:paraId="5028B340" w14:textId="77777777" w:rsidR="003930AC" w:rsidRPr="00195EAD" w:rsidRDefault="003930AC" w:rsidP="003930AC">
      <w:pPr>
        <w:numPr>
          <w:ilvl w:val="0"/>
          <w:numId w:val="18"/>
        </w:numPr>
        <w:snapToGrid w:val="0"/>
        <w:spacing w:after="0" w:line="276" w:lineRule="auto"/>
        <w:jc w:val="both"/>
        <w:rPr>
          <w:rFonts w:ascii="Verdana" w:eastAsia="Arial MT" w:hAnsi="Verdana" w:cs="Arial"/>
          <w:color w:val="0C0C0C"/>
          <w:lang w:val="es-ES"/>
        </w:rPr>
      </w:pPr>
      <w:r w:rsidRPr="00195EAD">
        <w:rPr>
          <w:rFonts w:ascii="Verdana" w:eastAsia="Arial MT" w:hAnsi="Verdana" w:cs="Arial"/>
          <w:color w:val="0C0C0C"/>
          <w:lang w:val="es-ES"/>
        </w:rPr>
        <w:t xml:space="preserve">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 </w:t>
      </w:r>
    </w:p>
    <w:p w14:paraId="44717278" w14:textId="77777777" w:rsidR="003930AC" w:rsidRPr="00195EAD" w:rsidRDefault="003930AC" w:rsidP="003930AC">
      <w:pPr>
        <w:snapToGrid w:val="0"/>
        <w:spacing w:after="0" w:line="276" w:lineRule="auto"/>
        <w:ind w:left="720"/>
        <w:jc w:val="both"/>
        <w:rPr>
          <w:rFonts w:ascii="Verdana" w:eastAsia="Arial MT" w:hAnsi="Verdana" w:cs="Arial"/>
          <w:color w:val="0C0C0C"/>
          <w:lang w:val="es-ES"/>
        </w:rPr>
      </w:pPr>
    </w:p>
    <w:p w14:paraId="4F4145BA" w14:textId="77777777" w:rsidR="003930AC" w:rsidRPr="00195EAD" w:rsidRDefault="003930AC" w:rsidP="003930AC">
      <w:pPr>
        <w:numPr>
          <w:ilvl w:val="0"/>
          <w:numId w:val="18"/>
        </w:numPr>
        <w:snapToGrid w:val="0"/>
        <w:spacing w:after="0" w:line="276" w:lineRule="auto"/>
        <w:jc w:val="both"/>
        <w:rPr>
          <w:rFonts w:ascii="Verdana" w:eastAsia="Arial MT" w:hAnsi="Verdana" w:cs="Arial"/>
          <w:color w:val="0C0C0C"/>
          <w:lang w:val="es-ES"/>
        </w:rPr>
      </w:pPr>
      <w:r w:rsidRPr="00195EAD">
        <w:rPr>
          <w:rFonts w:ascii="Verdana" w:eastAsia="Arial MT" w:hAnsi="Verdana" w:cs="Arial"/>
          <w:color w:val="0C0C0C"/>
          <w:lang w:val="es-ES"/>
        </w:rPr>
        <w:t xml:space="preserve">En el sector de infraestructura de transporte, la Agencia Nacional de Contratación Pública – Colombia Compra Eficiente ha expedido </w:t>
      </w:r>
      <w:r>
        <w:rPr>
          <w:rFonts w:ascii="Verdana" w:eastAsia="Arial MT" w:hAnsi="Verdana" w:cs="Arial"/>
          <w:color w:val="0C0C0C"/>
          <w:lang w:val="es-ES"/>
        </w:rPr>
        <w:t>d</w:t>
      </w:r>
      <w:r w:rsidRPr="00195EAD">
        <w:rPr>
          <w:rFonts w:ascii="Verdana" w:eastAsia="Arial MT" w:hAnsi="Verdana" w:cs="Arial"/>
          <w:color w:val="0C0C0C"/>
          <w:lang w:val="es-ES"/>
        </w:rPr>
        <w:t xml:space="preserve">ocumentos </w:t>
      </w:r>
      <w:r>
        <w:rPr>
          <w:rFonts w:ascii="Verdana" w:eastAsia="Arial MT" w:hAnsi="Verdana" w:cs="Arial"/>
          <w:color w:val="0C0C0C"/>
          <w:lang w:val="es-ES"/>
        </w:rPr>
        <w:t>t</w:t>
      </w:r>
      <w:r w:rsidRPr="00195EAD">
        <w:rPr>
          <w:rFonts w:ascii="Verdana" w:eastAsia="Arial MT" w:hAnsi="Verdana" w:cs="Arial"/>
          <w:color w:val="0C0C0C"/>
          <w:lang w:val="es-ES"/>
        </w:rPr>
        <w:t xml:space="preserve">ipo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161CCC23" w14:textId="77777777" w:rsidR="003930AC" w:rsidRPr="00195EAD" w:rsidRDefault="003930AC" w:rsidP="003930AC">
      <w:pPr>
        <w:snapToGrid w:val="0"/>
        <w:spacing w:after="0" w:line="276" w:lineRule="auto"/>
        <w:ind w:left="720"/>
        <w:jc w:val="both"/>
        <w:rPr>
          <w:rFonts w:ascii="Verdana" w:eastAsia="Arial MT" w:hAnsi="Verdana" w:cs="Arial"/>
          <w:color w:val="0C0C0C"/>
          <w:lang w:val="es-ES"/>
        </w:rPr>
      </w:pPr>
    </w:p>
    <w:p w14:paraId="69D00CD7" w14:textId="77777777" w:rsidR="003930AC" w:rsidRPr="00195EAD" w:rsidRDefault="003930AC" w:rsidP="003930AC">
      <w:pPr>
        <w:numPr>
          <w:ilvl w:val="0"/>
          <w:numId w:val="18"/>
        </w:numPr>
        <w:snapToGrid w:val="0"/>
        <w:spacing w:after="0" w:line="276" w:lineRule="auto"/>
        <w:jc w:val="both"/>
        <w:rPr>
          <w:rFonts w:ascii="Verdana" w:eastAsia="Arial MT" w:hAnsi="Verdana" w:cs="Arial"/>
          <w:color w:val="0C0C0C"/>
          <w:lang w:val="es-ES"/>
        </w:rPr>
      </w:pPr>
      <w:r w:rsidRPr="00195EAD">
        <w:rPr>
          <w:rFonts w:ascii="Verdana" w:eastAsia="Arial MT" w:hAnsi="Verdana" w:cs="Arial"/>
          <w:color w:val="0C0C0C"/>
          <w:lang w:val="es-ES"/>
        </w:rPr>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w:t>
      </w:r>
      <w:r w:rsidRPr="00195EAD">
        <w:rPr>
          <w:rFonts w:ascii="Verdana" w:eastAsia="Arial MT" w:hAnsi="Verdana" w:cs="Arial"/>
          <w:color w:val="0C0C0C"/>
          <w:lang w:val="es-ES"/>
        </w:rPr>
        <w:lastRenderedPageBreak/>
        <w:t xml:space="preserve">comentarios a los documentos tipo de infraestructura de transporte, realizados por todos los partícipes del sistema de la compra pública en el primero y parte del segundo semestre del año 2024. Como consecuencia de ello, se expidieron los diferentes actos administrativos por medio de los cuales se adoptaron y/o modificaron los documentos tipo del sector de infraestructura de transporte, y en simultaneo se publicaron las respuestas a todas las observaciones y/o comentarios realizados a los proyectos de documentos tipo. </w:t>
      </w:r>
    </w:p>
    <w:p w14:paraId="6D8981CC" w14:textId="77777777" w:rsidR="003930AC" w:rsidRPr="00195EAD" w:rsidRDefault="003930AC" w:rsidP="003930AC">
      <w:pPr>
        <w:snapToGrid w:val="0"/>
        <w:spacing w:after="0" w:line="276" w:lineRule="auto"/>
        <w:ind w:left="720"/>
        <w:jc w:val="both"/>
        <w:rPr>
          <w:rFonts w:ascii="Verdana" w:eastAsia="Arial MT" w:hAnsi="Verdana" w:cs="Arial"/>
          <w:color w:val="0C0C0C"/>
          <w:lang w:val="es-ES"/>
        </w:rPr>
      </w:pPr>
    </w:p>
    <w:p w14:paraId="4F456C50" w14:textId="77777777" w:rsidR="003930AC" w:rsidRPr="00195EAD" w:rsidRDefault="003930AC" w:rsidP="003930AC">
      <w:pPr>
        <w:numPr>
          <w:ilvl w:val="0"/>
          <w:numId w:val="18"/>
        </w:numPr>
        <w:snapToGrid w:val="0"/>
        <w:spacing w:after="0" w:line="276" w:lineRule="auto"/>
        <w:jc w:val="both"/>
        <w:rPr>
          <w:rFonts w:ascii="Verdana" w:eastAsia="Arial MT" w:hAnsi="Verdana" w:cs="Arial"/>
          <w:color w:val="0C0C0C"/>
          <w:lang w:val="es-ES"/>
        </w:rPr>
      </w:pPr>
      <w:r w:rsidRPr="00195EAD">
        <w:rPr>
          <w:rFonts w:ascii="Verdana" w:eastAsia="Arial MT" w:hAnsi="Verdana" w:cs="Arial"/>
          <w:color w:val="0C0C0C"/>
          <w:lang w:val="es-ES"/>
        </w:rPr>
        <w:t xml:space="preserve">Así, los Documentos tipo para la contratación de obra pública de infraestructura de transporte fueron modificados después de surtir el procedimiento interno establecido por esta agencia. En la actualización de estos documentos tipo, participaron entidades técnicas y especializadas del sector transporte, tales como el Instituto Nacional de Vías – INVIAS, el Instituto de Desarrollo Urbano – UDU, el Instituto de Infraestructura y Concesiones de Cundinamarca – ICCU, entre otras. Por lo anterior, mediante la Resolución 465 del 10 de septiembre de 2024, esta Agencia adoptó la versión 4 de los documentos tipo para los procesos de selección de licitación de obra pública del sector de infraestructura de transporte, y a su vez se derogó la Resolución 240 de 2020, la cual, había acogido la versión 3 de esos documentos. </w:t>
      </w:r>
    </w:p>
    <w:p w14:paraId="355926FC" w14:textId="77777777" w:rsidR="003930AC" w:rsidRDefault="003930AC" w:rsidP="003930AC">
      <w:pPr>
        <w:snapToGrid w:val="0"/>
        <w:spacing w:after="0" w:line="276" w:lineRule="auto"/>
        <w:jc w:val="both"/>
        <w:rPr>
          <w:rFonts w:ascii="Verdana" w:eastAsia="Arial MT" w:hAnsi="Verdana" w:cs="Arial"/>
          <w:color w:val="0C0C0C"/>
          <w:lang w:val="es-ES"/>
        </w:rPr>
      </w:pPr>
    </w:p>
    <w:p w14:paraId="383956EE" w14:textId="77777777" w:rsidR="003930AC" w:rsidRPr="002E7B5D" w:rsidRDefault="003930AC" w:rsidP="003930AC">
      <w:pPr>
        <w:numPr>
          <w:ilvl w:val="0"/>
          <w:numId w:val="18"/>
        </w:numPr>
        <w:snapToGrid w:val="0"/>
        <w:spacing w:after="0" w:line="276" w:lineRule="auto"/>
        <w:jc w:val="both"/>
        <w:rPr>
          <w:rFonts w:ascii="Verdana" w:eastAsia="Arial MT" w:hAnsi="Verdana" w:cs="Arial"/>
          <w:color w:val="0C0C0C"/>
          <w:lang w:val="es-ES"/>
        </w:rPr>
      </w:pPr>
      <w:r>
        <w:rPr>
          <w:rFonts w:ascii="Verdana" w:eastAsia="Arial MT" w:hAnsi="Verdana" w:cs="Arial"/>
          <w:color w:val="0C0C0C"/>
          <w:lang w:val="es-ES"/>
        </w:rPr>
        <w:t>L</w:t>
      </w:r>
      <w:r w:rsidRPr="002E7B5D">
        <w:rPr>
          <w:rFonts w:ascii="Verdana" w:eastAsia="Arial MT" w:hAnsi="Verdana" w:cs="Arial"/>
          <w:color w:val="0C0C0C"/>
          <w:lang w:val="es-ES"/>
        </w:rPr>
        <w:t>os</w:t>
      </w:r>
      <w:r w:rsidRPr="002E7B5D">
        <w:rPr>
          <w:rFonts w:ascii="Verdana" w:eastAsia="Arial MT" w:hAnsi="Verdana" w:cs="Arial"/>
          <w:color w:val="0C0C0C"/>
          <w:spacing w:val="-11"/>
          <w:lang w:val="es-ES"/>
        </w:rPr>
        <w:t xml:space="preserve"> </w:t>
      </w:r>
      <w:r w:rsidRPr="002E7B5D">
        <w:rPr>
          <w:rFonts w:ascii="Verdana" w:eastAsia="Arial MT" w:hAnsi="Verdana" w:cs="Arial"/>
          <w:color w:val="0C0C0C"/>
          <w:lang w:val="es-ES"/>
        </w:rPr>
        <w:t>documentos</w:t>
      </w:r>
      <w:r w:rsidRPr="002E7B5D">
        <w:rPr>
          <w:rFonts w:ascii="Verdana" w:eastAsia="Arial MT" w:hAnsi="Verdana" w:cs="Arial"/>
          <w:color w:val="0C0C0C"/>
          <w:spacing w:val="-9"/>
          <w:lang w:val="es-ES"/>
        </w:rPr>
        <w:t xml:space="preserve"> </w:t>
      </w:r>
      <w:r w:rsidRPr="002E7B5D">
        <w:rPr>
          <w:rFonts w:ascii="Verdana" w:eastAsia="Arial MT" w:hAnsi="Verdana" w:cs="Arial"/>
          <w:color w:val="0C0C0C"/>
          <w:lang w:val="es-ES"/>
        </w:rPr>
        <w:t>tipo</w:t>
      </w:r>
      <w:r w:rsidRPr="002E7B5D">
        <w:rPr>
          <w:rFonts w:ascii="Verdana" w:eastAsia="Arial MT" w:hAnsi="Verdana" w:cs="Arial"/>
          <w:color w:val="0C0C0C"/>
          <w:spacing w:val="-9"/>
          <w:lang w:val="es-ES"/>
        </w:rPr>
        <w:t xml:space="preserve"> </w:t>
      </w:r>
      <w:r w:rsidRPr="002E7B5D">
        <w:rPr>
          <w:rFonts w:ascii="Verdana" w:eastAsia="Arial MT" w:hAnsi="Verdana" w:cs="Arial"/>
          <w:color w:val="0C0C0C"/>
          <w:lang w:val="es-ES"/>
        </w:rPr>
        <w:t>consisten</w:t>
      </w:r>
      <w:r w:rsidRPr="002E7B5D">
        <w:rPr>
          <w:rFonts w:ascii="Verdana" w:eastAsia="Arial MT" w:hAnsi="Verdana" w:cs="Arial"/>
          <w:color w:val="0C0C0C"/>
          <w:spacing w:val="-11"/>
          <w:lang w:val="es-ES"/>
        </w:rPr>
        <w:t xml:space="preserve"> </w:t>
      </w:r>
      <w:r w:rsidRPr="002E7B5D">
        <w:rPr>
          <w:rFonts w:ascii="Verdana" w:eastAsia="Arial MT" w:hAnsi="Verdana" w:cs="Arial"/>
          <w:color w:val="0C0C0C"/>
          <w:lang w:val="es-ES"/>
        </w:rPr>
        <w:t>en</w:t>
      </w:r>
      <w:r w:rsidRPr="002E7B5D">
        <w:rPr>
          <w:rFonts w:ascii="Verdana" w:eastAsia="Arial MT" w:hAnsi="Verdana" w:cs="Arial"/>
          <w:color w:val="0C0C0C"/>
          <w:spacing w:val="-10"/>
          <w:lang w:val="es-ES"/>
        </w:rPr>
        <w:t xml:space="preserve"> </w:t>
      </w:r>
      <w:r w:rsidRPr="002E7B5D">
        <w:rPr>
          <w:rFonts w:ascii="Verdana" w:eastAsia="Arial MT" w:hAnsi="Verdana" w:cs="Arial"/>
          <w:color w:val="0C0C0C"/>
          <w:lang w:val="es-ES"/>
        </w:rPr>
        <w:t>un</w:t>
      </w:r>
      <w:r w:rsidRPr="002E7B5D">
        <w:rPr>
          <w:rFonts w:ascii="Verdana" w:eastAsia="Arial MT" w:hAnsi="Verdana" w:cs="Arial"/>
          <w:color w:val="0C0C0C"/>
          <w:spacing w:val="-10"/>
          <w:lang w:val="es-ES"/>
        </w:rPr>
        <w:t xml:space="preserve"> </w:t>
      </w:r>
      <w:r w:rsidRPr="002E7B5D">
        <w:rPr>
          <w:rFonts w:ascii="Verdana" w:eastAsia="Arial MT" w:hAnsi="Verdana" w:cs="Arial"/>
          <w:color w:val="0C0C0C"/>
          <w:lang w:val="es-ES"/>
        </w:rPr>
        <w:t>grupo</w:t>
      </w:r>
      <w:r w:rsidRPr="002E7B5D">
        <w:rPr>
          <w:rFonts w:ascii="Verdana" w:eastAsia="Arial MT" w:hAnsi="Verdana" w:cs="Arial"/>
          <w:color w:val="0C0C0C"/>
          <w:spacing w:val="-10"/>
          <w:lang w:val="es-ES"/>
        </w:rPr>
        <w:t xml:space="preserve"> </w:t>
      </w:r>
      <w:r w:rsidRPr="002E7B5D">
        <w:rPr>
          <w:rFonts w:ascii="Verdana" w:eastAsia="Arial MT" w:hAnsi="Verdana" w:cs="Arial"/>
          <w:color w:val="0C0C0C"/>
          <w:lang w:val="es-ES"/>
        </w:rPr>
        <w:t>de</w:t>
      </w:r>
      <w:r w:rsidRPr="002E7B5D">
        <w:rPr>
          <w:rFonts w:ascii="Verdana" w:eastAsia="Arial MT" w:hAnsi="Verdana" w:cs="Arial"/>
          <w:color w:val="0C0C0C"/>
          <w:spacing w:val="-11"/>
          <w:lang w:val="es-ES"/>
        </w:rPr>
        <w:t xml:space="preserve"> </w:t>
      </w:r>
      <w:r w:rsidRPr="002E7B5D">
        <w:rPr>
          <w:rFonts w:ascii="Verdana" w:eastAsia="Arial MT" w:hAnsi="Verdana" w:cs="Arial"/>
          <w:color w:val="0C0C0C"/>
          <w:lang w:val="es-ES"/>
        </w:rPr>
        <w:t>documentos,</w:t>
      </w:r>
      <w:r w:rsidRPr="002E7B5D">
        <w:rPr>
          <w:rFonts w:ascii="Verdana" w:eastAsia="Arial MT" w:hAnsi="Verdana" w:cs="Arial"/>
          <w:color w:val="0C0C0C"/>
          <w:spacing w:val="-9"/>
          <w:lang w:val="es-ES"/>
        </w:rPr>
        <w:t xml:space="preserve"> </w:t>
      </w:r>
      <w:r w:rsidRPr="002E7B5D">
        <w:rPr>
          <w:rFonts w:ascii="Verdana" w:eastAsia="Arial MT" w:hAnsi="Verdana" w:cs="Arial"/>
          <w:color w:val="0C0C0C"/>
          <w:lang w:val="es-ES"/>
        </w:rPr>
        <w:t xml:space="preserve">conformados por un documento base, anexos, matrices, formatos y formularios, que sirven tanto a las entidades para elaborar los documentos del proceso, como a los proponentes para conformar y presentar sus ofertas. </w:t>
      </w:r>
    </w:p>
    <w:p w14:paraId="0AC8C9F2" w14:textId="77777777" w:rsidR="003930AC" w:rsidRPr="002E7B5D" w:rsidRDefault="003930AC" w:rsidP="003930AC">
      <w:pPr>
        <w:snapToGrid w:val="0"/>
        <w:spacing w:after="0" w:line="276" w:lineRule="auto"/>
        <w:jc w:val="both"/>
        <w:rPr>
          <w:rFonts w:ascii="Verdana" w:eastAsia="Arial MT" w:hAnsi="Verdana" w:cs="Arial"/>
          <w:color w:val="0C0C0C"/>
          <w:lang w:val="es-ES"/>
        </w:rPr>
      </w:pPr>
    </w:p>
    <w:p w14:paraId="53F80874" w14:textId="77777777" w:rsidR="003930AC" w:rsidRPr="002E7B5D" w:rsidRDefault="003930AC" w:rsidP="003930AC">
      <w:pPr>
        <w:numPr>
          <w:ilvl w:val="0"/>
          <w:numId w:val="18"/>
        </w:numPr>
        <w:snapToGrid w:val="0"/>
        <w:spacing w:after="0" w:line="276" w:lineRule="auto"/>
        <w:jc w:val="both"/>
        <w:rPr>
          <w:rFonts w:ascii="Verdana" w:eastAsia="Calibri" w:hAnsi="Verdana" w:cs="Arial"/>
          <w:lang w:val="es-ES"/>
        </w:rPr>
      </w:pPr>
      <w:r w:rsidRPr="002E7B5D">
        <w:rPr>
          <w:rFonts w:ascii="Verdana" w:eastAsia="Arial MT" w:hAnsi="Verdana" w:cs="Arial"/>
          <w:color w:val="0C0C0C"/>
          <w:lang w:val="es-ES"/>
        </w:rPr>
        <w:t xml:space="preserve">Uno de los elementos comunes a los diferentes documentos tipo es </w:t>
      </w:r>
      <w:r w:rsidRPr="002E7B5D">
        <w:rPr>
          <w:rFonts w:ascii="Verdana" w:eastAsia="Calibri" w:hAnsi="Verdana" w:cs="Arial"/>
          <w:lang w:val="es-ES"/>
        </w:rPr>
        <w:t xml:space="preserve">el “Documento Base o Pliego Tipo”, el cual no es otra cosa que un documento que sirve de base para la elaboración de los pliegos de condiciones en los procesos en los que corresponda la aplicación de estos </w:t>
      </w:r>
      <w:r>
        <w:rPr>
          <w:rFonts w:ascii="Verdana" w:eastAsia="Calibri" w:hAnsi="Verdana" w:cs="Arial"/>
          <w:lang w:val="es-ES"/>
        </w:rPr>
        <w:t>d</w:t>
      </w:r>
      <w:r w:rsidRPr="002E7B5D">
        <w:rPr>
          <w:rFonts w:ascii="Verdana" w:eastAsia="Calibri" w:hAnsi="Verdana" w:cs="Arial"/>
          <w:lang w:val="es-ES"/>
        </w:rPr>
        <w:t xml:space="preserve">ocumentos </w:t>
      </w:r>
      <w:r>
        <w:rPr>
          <w:rFonts w:ascii="Verdana" w:eastAsia="Calibri" w:hAnsi="Verdana" w:cs="Arial"/>
          <w:lang w:val="es-ES"/>
        </w:rPr>
        <w:t>t</w:t>
      </w:r>
      <w:r w:rsidRPr="002E7B5D">
        <w:rPr>
          <w:rFonts w:ascii="Verdana" w:eastAsia="Calibri" w:hAnsi="Verdana" w:cs="Arial"/>
          <w:lang w:val="es-ES"/>
        </w:rPr>
        <w:t xml:space="preserve">ipo. Este dista de ser un mero formato o modelo a seguir para las entidades, comoquiera que, además de contener una materialización de las normas aplicables a la modalidad de selección, en virtud de lo dispuesto en los artículos 4 de la Ley 1882 de 2018 y 2.2.1.2.6.1.4 del Decreto 1082 de 2015, la mayoría de su contenido, consistente en reglas y parámetros a seguir en el correspondiente proceso de contratación, </w:t>
      </w:r>
      <w:r>
        <w:rPr>
          <w:rFonts w:ascii="Verdana" w:eastAsia="Calibri" w:hAnsi="Verdana" w:cs="Arial"/>
          <w:lang w:val="es-ES"/>
        </w:rPr>
        <w:t xml:space="preserve">que </w:t>
      </w:r>
      <w:r w:rsidRPr="002E7B5D">
        <w:rPr>
          <w:rFonts w:ascii="Verdana" w:eastAsia="Calibri" w:hAnsi="Verdana" w:cs="Arial"/>
          <w:lang w:val="es-ES"/>
        </w:rPr>
        <w:t xml:space="preserve">se encuentra </w:t>
      </w:r>
      <w:r w:rsidRPr="002E7B5D">
        <w:rPr>
          <w:rFonts w:ascii="Verdana" w:eastAsia="Calibri" w:hAnsi="Verdana" w:cs="Arial"/>
          <w:lang w:val="es-ES"/>
        </w:rPr>
        <w:lastRenderedPageBreak/>
        <w:t xml:space="preserve">afectado por el mandato de inalterabilidad dispuesto en dichas normas, lo cual supone una limitación a la discrecionalidad de las entidades en la configuración del pliego de condiciones, la cual se ve reducida a la acotación de los apartados resaltados en color gris entre corchetes. </w:t>
      </w:r>
    </w:p>
    <w:p w14:paraId="6D69252D" w14:textId="77777777" w:rsidR="003930AC" w:rsidRPr="002E7B5D" w:rsidRDefault="003930AC" w:rsidP="003930AC">
      <w:pPr>
        <w:spacing w:after="0" w:line="276" w:lineRule="auto"/>
        <w:jc w:val="both"/>
        <w:rPr>
          <w:rFonts w:ascii="Verdana" w:eastAsia="Calibri" w:hAnsi="Verdana" w:cs="Arial"/>
          <w:lang w:val="es-ES"/>
        </w:rPr>
      </w:pPr>
    </w:p>
    <w:p w14:paraId="75C423C9" w14:textId="77777777" w:rsidR="003930AC" w:rsidRDefault="003930AC" w:rsidP="003930AC">
      <w:pPr>
        <w:pStyle w:val="Prrafodelista"/>
        <w:numPr>
          <w:ilvl w:val="0"/>
          <w:numId w:val="18"/>
        </w:numPr>
        <w:spacing w:after="0" w:line="240" w:lineRule="auto"/>
        <w:contextualSpacing w:val="0"/>
        <w:jc w:val="both"/>
        <w:rPr>
          <w:rFonts w:ascii="Verdana" w:eastAsia="Calibri" w:hAnsi="Verdana" w:cs="Arial"/>
        </w:rPr>
      </w:pPr>
      <w:r w:rsidRPr="00B31AC0">
        <w:rPr>
          <w:rFonts w:ascii="Verdana" w:eastAsia="Calibri" w:hAnsi="Verdana" w:cs="Arial"/>
          <w:lang w:val="es-CO"/>
        </w:rPr>
        <w:t>El numeral 2.4 “Cierre del proceso y apertura de ofertas”, contenido en el documento base de los documentos tipo para licitación de obra pública de infraestructura de transporte – versión 4, presenta dos opciones entre las cuales la entidad debe elegir, según si el proceso de contratación se adelanta a través del SECOP I o del SECOP II. Para los procesos de contratación adelantados mediante el SECOP I, el pliego establece lo siguiente:</w:t>
      </w:r>
    </w:p>
    <w:p w14:paraId="009DBA5A" w14:textId="77777777" w:rsidR="003930AC" w:rsidRPr="00A139D6" w:rsidRDefault="003930AC" w:rsidP="003930AC">
      <w:pPr>
        <w:pStyle w:val="Prrafodelista"/>
        <w:spacing w:after="0" w:line="240" w:lineRule="auto"/>
        <w:contextualSpacing w:val="0"/>
        <w:jc w:val="both"/>
        <w:rPr>
          <w:rFonts w:ascii="Verdana" w:eastAsia="Calibri" w:hAnsi="Verdana" w:cs="Arial"/>
          <w:sz w:val="21"/>
          <w:szCs w:val="21"/>
        </w:rPr>
      </w:pPr>
    </w:p>
    <w:p w14:paraId="3E02CA90" w14:textId="77777777" w:rsidR="003930AC" w:rsidRPr="00A139D6" w:rsidRDefault="003930AC" w:rsidP="003930AC">
      <w:pPr>
        <w:spacing w:after="0" w:line="240" w:lineRule="auto"/>
        <w:ind w:left="709" w:right="709"/>
        <w:jc w:val="both"/>
        <w:rPr>
          <w:rFonts w:ascii="Verdana" w:hAnsi="Verdana"/>
          <w:sz w:val="21"/>
          <w:szCs w:val="21"/>
          <w:lang w:val="es-MX"/>
        </w:rPr>
      </w:pPr>
      <w:r>
        <w:rPr>
          <w:rFonts w:ascii="Verdana" w:hAnsi="Verdana"/>
          <w:sz w:val="21"/>
          <w:szCs w:val="21"/>
          <w:highlight w:val="lightGray"/>
          <w:lang w:val="es-MX"/>
        </w:rPr>
        <w:t>“</w:t>
      </w:r>
      <w:r w:rsidRPr="00A139D6">
        <w:rPr>
          <w:rFonts w:ascii="Verdana" w:hAnsi="Verdana"/>
          <w:sz w:val="21"/>
          <w:szCs w:val="21"/>
          <w:highlight w:val="lightGray"/>
          <w:lang w:val="es-MX"/>
        </w:rPr>
        <w:t>[Incluir para los Procesos de Contratación adelantados en el SECOP I]</w:t>
      </w:r>
    </w:p>
    <w:p w14:paraId="0C21D52D" w14:textId="77777777" w:rsidR="003930AC" w:rsidRPr="00A139D6" w:rsidRDefault="003930AC" w:rsidP="003930AC">
      <w:pPr>
        <w:spacing w:after="120" w:line="240" w:lineRule="auto"/>
        <w:ind w:left="709" w:right="709"/>
        <w:jc w:val="both"/>
        <w:rPr>
          <w:rFonts w:ascii="Verdana" w:hAnsi="Verdana"/>
          <w:sz w:val="21"/>
          <w:szCs w:val="21"/>
          <w:lang w:val="es-MX"/>
        </w:rPr>
      </w:pPr>
      <w:r w:rsidRPr="00A139D6">
        <w:rPr>
          <w:rFonts w:ascii="Verdana" w:hAnsi="Verdana"/>
          <w:sz w:val="21"/>
          <w:szCs w:val="21"/>
          <w:lang w:val="es-MX"/>
        </w:rPr>
        <w:t>Se entenderán recibidas por la Entidad las ofertas que a la fecha y hora indicada en el cronograma del Proceso de Contratación se encuentren en el lugar destinado para su recepción.</w:t>
      </w:r>
    </w:p>
    <w:p w14:paraId="08FBDCA5" w14:textId="77777777" w:rsidR="003930AC" w:rsidRPr="00A139D6" w:rsidRDefault="003930AC" w:rsidP="003930AC">
      <w:pPr>
        <w:spacing w:after="120" w:line="240" w:lineRule="auto"/>
        <w:ind w:left="709" w:right="709"/>
        <w:jc w:val="both"/>
        <w:rPr>
          <w:rFonts w:ascii="Verdana" w:hAnsi="Verdana"/>
          <w:sz w:val="21"/>
          <w:szCs w:val="21"/>
          <w:lang w:val="es-MX"/>
        </w:rPr>
      </w:pPr>
      <w:r w:rsidRPr="00A139D6">
        <w:rPr>
          <w:rFonts w:ascii="Verdana" w:hAnsi="Verdana"/>
          <w:sz w:val="21"/>
          <w:szCs w:val="21"/>
          <w:lang w:val="es-MX"/>
        </w:rPr>
        <w:t>No serán tenidas como recibidas las ofertas que hayan sido radicadas o entregadas en otras dependencias de la entidad.</w:t>
      </w:r>
    </w:p>
    <w:p w14:paraId="414C4962" w14:textId="77777777" w:rsidR="003930AC" w:rsidRPr="00A139D6" w:rsidRDefault="003930AC" w:rsidP="003930AC">
      <w:pPr>
        <w:spacing w:after="120" w:line="240" w:lineRule="auto"/>
        <w:ind w:left="709" w:right="709"/>
        <w:jc w:val="both"/>
        <w:rPr>
          <w:rFonts w:ascii="Verdana" w:hAnsi="Verdana"/>
          <w:sz w:val="21"/>
          <w:szCs w:val="21"/>
          <w:lang w:val="es-MX"/>
        </w:rPr>
      </w:pPr>
      <w:r w:rsidRPr="00A139D6">
        <w:rPr>
          <w:rFonts w:ascii="Verdana" w:hAnsi="Verdana"/>
          <w:sz w:val="21"/>
          <w:szCs w:val="21"/>
          <w:lang w:val="es-MX"/>
        </w:rPr>
        <w:t>Una vez vencido el término para presentar ofertas, la Entidad Estatal debe realizar la apertura del Sobre No. 1 en presencia de los proponentes o veedores que deseen asistir y elaborar un acta de cierre en la cual conste la fecha y hora de recibo de las ofertas, indicando el nombre o razón social de los oferentes y sus representantes legales, conforme lo dispuesto en el artículo 2.2.1.1.2.2.5 del Decreto 1082 de 2015. La hora de referencia será la hora legal colombiana certificada por el Instituto Nacional de Metrología (utilizando para tal efecto la página web http://horalegal.inm.gov.co).</w:t>
      </w:r>
    </w:p>
    <w:p w14:paraId="26A80B38" w14:textId="77777777" w:rsidR="003930AC" w:rsidRPr="00A139D6" w:rsidRDefault="003930AC" w:rsidP="003930AC">
      <w:pPr>
        <w:spacing w:after="120" w:line="240" w:lineRule="auto"/>
        <w:ind w:left="709" w:right="709"/>
        <w:jc w:val="both"/>
        <w:rPr>
          <w:rFonts w:ascii="Verdana" w:hAnsi="Verdana"/>
          <w:sz w:val="21"/>
          <w:szCs w:val="21"/>
          <w:lang w:val="es-MX"/>
        </w:rPr>
      </w:pPr>
      <w:r w:rsidRPr="00A139D6">
        <w:rPr>
          <w:rFonts w:ascii="Verdana" w:hAnsi="Verdana"/>
          <w:sz w:val="21"/>
          <w:szCs w:val="21"/>
          <w:lang w:val="es-MX"/>
        </w:rPr>
        <w:t xml:space="preserve">En el lugar y fecha señalada, en un acto público se realizará la apertura del Sobre No. 1 de todas las ofertas y tendrá la responsabilidad de hacerlo la </w:t>
      </w:r>
      <w:r w:rsidRPr="00A139D6">
        <w:rPr>
          <w:rFonts w:ascii="Verdana" w:hAnsi="Verdana"/>
          <w:sz w:val="21"/>
          <w:szCs w:val="21"/>
          <w:highlight w:val="lightGray"/>
          <w:lang w:val="es-MX"/>
        </w:rPr>
        <w:t>[Dependencia de la Entidad encargada de abrir el sobre]</w:t>
      </w:r>
      <w:r w:rsidRPr="00A139D6">
        <w:rPr>
          <w:rFonts w:ascii="Verdana" w:hAnsi="Verdana"/>
          <w:sz w:val="21"/>
          <w:szCs w:val="21"/>
          <w:lang w:val="es-MX"/>
        </w:rPr>
        <w:t>. Una vez realizada la apertura, las propuestas son públicas y cualquier persona podrá consultarlas en el sitio o pedir copias, de conformidad con lo establecido en la Ley 1755 de 2015 y respetando la reserva de que gocen legalmente las patentes, procedimientos y privilegios.</w:t>
      </w:r>
    </w:p>
    <w:p w14:paraId="17C33C49" w14:textId="77777777" w:rsidR="003930AC" w:rsidRPr="00A139D6" w:rsidRDefault="003930AC" w:rsidP="003930AC">
      <w:pPr>
        <w:spacing w:after="120" w:line="240" w:lineRule="auto"/>
        <w:ind w:left="709" w:right="709"/>
        <w:jc w:val="both"/>
        <w:rPr>
          <w:rFonts w:ascii="Verdana" w:hAnsi="Verdana"/>
          <w:sz w:val="21"/>
          <w:szCs w:val="21"/>
          <w:lang w:val="es-MX"/>
        </w:rPr>
      </w:pPr>
      <w:r w:rsidRPr="00A139D6">
        <w:rPr>
          <w:rFonts w:ascii="Verdana" w:hAnsi="Verdana"/>
          <w:sz w:val="21"/>
          <w:szCs w:val="21"/>
          <w:lang w:val="es-MX"/>
        </w:rPr>
        <w:t xml:space="preserve">De lo anterior, se levantará un acta que solo será suscrita por los funcionarios o contratistas de la Entidad que intervengan en la diligencia de cierre, en la cual se relacionará como información del Sobre 1 de cada oferta, el nombre de los proponentes, si la carta de presentación fue incluida y está firmada; el número de la garantía de seriedad de la oferta que la acompaña; el número de folios, si hay </w:t>
      </w:r>
      <w:r w:rsidRPr="00A139D6">
        <w:rPr>
          <w:rFonts w:ascii="Verdana" w:hAnsi="Verdana"/>
          <w:sz w:val="21"/>
          <w:szCs w:val="21"/>
          <w:lang w:val="es-MX"/>
        </w:rPr>
        <w:lastRenderedPageBreak/>
        <w:t xml:space="preserve">folios en blanco, hojas por ambas caras, y las observaciones correspondientes, así como los demás aspectos relevantes que considere la entidad. </w:t>
      </w:r>
    </w:p>
    <w:p w14:paraId="37EC874C" w14:textId="77777777" w:rsidR="003930AC" w:rsidRPr="00A139D6" w:rsidRDefault="003930AC" w:rsidP="003930AC">
      <w:pPr>
        <w:spacing w:after="120" w:line="240" w:lineRule="auto"/>
        <w:ind w:left="709" w:right="709"/>
        <w:jc w:val="both"/>
        <w:rPr>
          <w:rFonts w:ascii="Verdana" w:hAnsi="Verdana"/>
          <w:sz w:val="21"/>
          <w:szCs w:val="21"/>
          <w:lang w:val="es-MX"/>
        </w:rPr>
      </w:pPr>
      <w:r w:rsidRPr="00A139D6">
        <w:rPr>
          <w:rFonts w:ascii="Verdana" w:hAnsi="Verdana"/>
          <w:sz w:val="21"/>
          <w:szCs w:val="21"/>
          <w:lang w:val="es-MX"/>
        </w:rPr>
        <w:t xml:space="preserve">Un funcionario o contratista de la entidad verificará que el Sobre No. 2 de cada oferta esté sellado y requerirá a los asistentes a la diligencia de cierre para que firmen cada uno de ellos. Para generar confianza, al momento del cierre la entidad guardará en un sobre todos los sobres económicos, y éste lo firmarán quienes asistan al cierre, o los custodiará en una bolsa de seguridad, con el fin de que, al momento de su apertura en la audiencia efectiva de adjudicación se pueda verificar que los mismos no fueron alterados, cambiados o abiertos. La entidad custodiará en un lugar idóneo este sobre o la bolsa de seguridad para garantizar su seguridad. </w:t>
      </w:r>
    </w:p>
    <w:p w14:paraId="080F5318" w14:textId="77777777" w:rsidR="003930AC" w:rsidRPr="00A139D6" w:rsidRDefault="003930AC" w:rsidP="003930AC">
      <w:pPr>
        <w:spacing w:after="0" w:line="240" w:lineRule="auto"/>
        <w:ind w:left="709" w:right="709"/>
        <w:jc w:val="both"/>
        <w:rPr>
          <w:rFonts w:ascii="Verdana" w:hAnsi="Verdana"/>
          <w:sz w:val="21"/>
          <w:szCs w:val="21"/>
          <w:lang w:val="es-MX"/>
        </w:rPr>
      </w:pPr>
      <w:r w:rsidRPr="00A139D6">
        <w:rPr>
          <w:rFonts w:ascii="Verdana" w:hAnsi="Verdana"/>
          <w:sz w:val="21"/>
          <w:szCs w:val="21"/>
          <w:lang w:val="es-MX"/>
        </w:rPr>
        <w:t>En la apertura del Sobre No. 2, la Entidad Estatal permitirá tomar fotos a las ofertas económicas, si así lo solicita cualquier proponente</w:t>
      </w:r>
      <w:r>
        <w:rPr>
          <w:rFonts w:ascii="Verdana" w:hAnsi="Verdana"/>
          <w:sz w:val="21"/>
          <w:szCs w:val="21"/>
          <w:lang w:val="es-MX"/>
        </w:rPr>
        <w:t>”</w:t>
      </w:r>
      <w:r w:rsidRPr="00A139D6">
        <w:rPr>
          <w:rFonts w:ascii="Verdana" w:hAnsi="Verdana"/>
          <w:sz w:val="21"/>
          <w:szCs w:val="21"/>
          <w:lang w:val="es-MX"/>
        </w:rPr>
        <w:t xml:space="preserve">. </w:t>
      </w:r>
    </w:p>
    <w:p w14:paraId="4EF36316" w14:textId="77777777" w:rsidR="003930AC" w:rsidRPr="00A139D6" w:rsidRDefault="003930AC" w:rsidP="003930AC">
      <w:pPr>
        <w:spacing w:after="0" w:line="276" w:lineRule="auto"/>
        <w:ind w:left="720"/>
        <w:jc w:val="both"/>
        <w:rPr>
          <w:rFonts w:ascii="Verdana" w:eastAsia="Calibri" w:hAnsi="Verdana" w:cs="Arial"/>
          <w:lang w:val="es-ES"/>
        </w:rPr>
      </w:pPr>
    </w:p>
    <w:p w14:paraId="6A2D12A4" w14:textId="77777777" w:rsidR="003930AC" w:rsidRPr="00671D6B" w:rsidRDefault="003930AC" w:rsidP="003930AC">
      <w:pPr>
        <w:pStyle w:val="Prrafodelista"/>
        <w:numPr>
          <w:ilvl w:val="0"/>
          <w:numId w:val="21"/>
        </w:numPr>
        <w:spacing w:after="0" w:line="276" w:lineRule="auto"/>
        <w:jc w:val="both"/>
        <w:rPr>
          <w:rFonts w:ascii="Verdana" w:eastAsia="Calibri" w:hAnsi="Verdana" w:cs="Arial"/>
          <w:lang w:val="es-MX"/>
        </w:rPr>
      </w:pPr>
      <w:bookmarkStart w:id="1" w:name="_Hlk167638762"/>
      <w:r w:rsidRPr="00671D6B">
        <w:rPr>
          <w:rFonts w:ascii="Verdana" w:eastAsia="Calibri" w:hAnsi="Verdana" w:cs="Arial"/>
        </w:rPr>
        <w:t>En relación con los párrafos precedentes, los dos primeros incisos establecen</w:t>
      </w:r>
      <w:r>
        <w:rPr>
          <w:rFonts w:ascii="Verdana" w:eastAsia="Calibri" w:hAnsi="Verdana" w:cs="Arial"/>
        </w:rPr>
        <w:t xml:space="preserve"> </w:t>
      </w:r>
      <w:r w:rsidRPr="00671D6B">
        <w:rPr>
          <w:rFonts w:ascii="Verdana" w:eastAsia="Calibri" w:hAnsi="Verdana" w:cs="Arial"/>
        </w:rPr>
        <w:t xml:space="preserve"> </w:t>
      </w:r>
      <w:r>
        <w:rPr>
          <w:rFonts w:ascii="Verdana" w:eastAsia="Calibri" w:hAnsi="Verdana" w:cs="Arial"/>
        </w:rPr>
        <w:t>-</w:t>
      </w:r>
      <w:r w:rsidRPr="00671D6B">
        <w:rPr>
          <w:rFonts w:ascii="Verdana" w:eastAsia="Calibri" w:hAnsi="Verdana" w:cs="Arial"/>
        </w:rPr>
        <w:t>respectivamente</w:t>
      </w:r>
      <w:r>
        <w:rPr>
          <w:rFonts w:ascii="Verdana" w:eastAsia="Calibri" w:hAnsi="Verdana" w:cs="Arial"/>
        </w:rPr>
        <w:t>-</w:t>
      </w:r>
      <w:r w:rsidRPr="00671D6B">
        <w:rPr>
          <w:rFonts w:ascii="Verdana" w:eastAsia="Calibri" w:hAnsi="Verdana" w:cs="Arial"/>
        </w:rPr>
        <w:t>, que se entenderán como recibidas por la Entidad aquellas ofertas que, en la fecha, hora y lugar definidos en el “Anexo 2 – Cronograma” del procedimiento de contratación, se encuentren en el lugar de recepción indicado. Asimismo, se dispone que no se considerarán recibidas las ofertas que hayan sido radicadas o entregadas en otras dependencias de la Entidad.</w:t>
      </w:r>
    </w:p>
    <w:p w14:paraId="5E30FAA3" w14:textId="77777777" w:rsidR="003930AC" w:rsidRPr="00671D6B" w:rsidRDefault="003930AC" w:rsidP="003930AC">
      <w:pPr>
        <w:pStyle w:val="Prrafodelista"/>
        <w:spacing w:after="0" w:line="276" w:lineRule="auto"/>
        <w:jc w:val="both"/>
        <w:rPr>
          <w:rFonts w:ascii="Verdana" w:eastAsia="Calibri" w:hAnsi="Verdana" w:cs="Arial"/>
          <w:lang w:val="es-MX"/>
        </w:rPr>
      </w:pPr>
    </w:p>
    <w:p w14:paraId="180C2FFC" w14:textId="77777777" w:rsidR="003930AC" w:rsidRPr="00E22B86" w:rsidRDefault="003930AC" w:rsidP="003930AC">
      <w:pPr>
        <w:pStyle w:val="Prrafodelista"/>
        <w:numPr>
          <w:ilvl w:val="0"/>
          <w:numId w:val="21"/>
        </w:numPr>
        <w:spacing w:after="0" w:line="276" w:lineRule="auto"/>
        <w:jc w:val="both"/>
        <w:rPr>
          <w:rFonts w:ascii="Verdana" w:eastAsia="Calibri" w:hAnsi="Verdana" w:cs="Arial"/>
          <w:lang w:val="es-MX"/>
        </w:rPr>
      </w:pPr>
      <w:r w:rsidRPr="00E22B86">
        <w:rPr>
          <w:rFonts w:ascii="Verdana" w:eastAsia="Calibri" w:hAnsi="Verdana" w:cs="Arial"/>
        </w:rPr>
        <w:t xml:space="preserve">Por su parte, los incisos tercero (3), cuarto (4) y quinto (5) disponen el momento en que debe efectuarse la apertura del Sobre No. 1. Según dicha regulación, una vez vencido el plazo para la presentación de ofertas, se procederá a su apertura en presencia de los asistentes y con el correspondiente levantamiento del acta de cierre, </w:t>
      </w:r>
      <w:r w:rsidRPr="00E22B86">
        <w:rPr>
          <w:rFonts w:ascii="Verdana" w:hAnsi="Verdana"/>
          <w:lang w:val="es-MX"/>
        </w:rPr>
        <w:t>en la que conste la fecha y hora de recibo de las ofertas, indicando el nombre o razón social de los oferentes y sus representantes legales.</w:t>
      </w:r>
      <w:r w:rsidRPr="00E22B86">
        <w:rPr>
          <w:rFonts w:ascii="Verdana" w:eastAsia="Calibri" w:hAnsi="Verdana" w:cs="Arial"/>
          <w:lang w:val="es-MX"/>
        </w:rPr>
        <w:t xml:space="preserve"> </w:t>
      </w:r>
      <w:r w:rsidRPr="00E22B86">
        <w:rPr>
          <w:rFonts w:ascii="Verdana" w:eastAsia="Calibri" w:hAnsi="Verdana" w:cs="Arial"/>
        </w:rPr>
        <w:t xml:space="preserve">A partir de ese momento, el contenido del Sobre No. 1 se considera público, por lo que los interesados podrán solicitar copias o consultarlo, en ejercicio del derecho de petición ante la entidad contratante, conforme a lo dispuesto la Ley </w:t>
      </w:r>
      <w:r w:rsidRPr="00E22B86">
        <w:rPr>
          <w:rFonts w:ascii="Verdana" w:hAnsi="Verdana"/>
          <w:sz w:val="21"/>
          <w:szCs w:val="21"/>
          <w:lang w:val="es-MX"/>
        </w:rPr>
        <w:t>1755 de 2015.</w:t>
      </w:r>
    </w:p>
    <w:p w14:paraId="26999830" w14:textId="77777777" w:rsidR="003930AC" w:rsidRPr="0085171B" w:rsidRDefault="003930AC" w:rsidP="003930AC">
      <w:pPr>
        <w:spacing w:after="0" w:line="276" w:lineRule="auto"/>
        <w:ind w:left="720"/>
        <w:jc w:val="both"/>
        <w:rPr>
          <w:rFonts w:ascii="Verdana" w:eastAsia="Calibri" w:hAnsi="Verdana" w:cs="Arial"/>
          <w:lang w:val="es-MX"/>
        </w:rPr>
      </w:pPr>
    </w:p>
    <w:p w14:paraId="6D702168" w14:textId="77777777" w:rsidR="003930AC" w:rsidRDefault="003930AC" w:rsidP="003930AC">
      <w:pPr>
        <w:pStyle w:val="Prrafodelista"/>
        <w:numPr>
          <w:ilvl w:val="0"/>
          <w:numId w:val="21"/>
        </w:numPr>
        <w:spacing w:after="0" w:line="276" w:lineRule="auto"/>
        <w:jc w:val="both"/>
        <w:rPr>
          <w:rFonts w:ascii="Verdana" w:eastAsia="Calibri" w:hAnsi="Verdana" w:cs="Arial"/>
          <w:lang w:val="es-MX"/>
        </w:rPr>
      </w:pPr>
      <w:r w:rsidRPr="0034790E">
        <w:rPr>
          <w:rFonts w:ascii="Verdana" w:eastAsia="Calibri" w:hAnsi="Verdana" w:cs="Arial"/>
          <w:lang w:val="es-MX"/>
        </w:rPr>
        <w:t xml:space="preserve">Igualmente se señala que los funcionarios o contratistas de la entidad que intervengan en la apertura de las ofertas deben suscribir el acta y, además, diligenciar como información mínima: el nombre de los </w:t>
      </w:r>
      <w:r w:rsidRPr="0034790E">
        <w:rPr>
          <w:rFonts w:ascii="Verdana" w:eastAsia="Calibri" w:hAnsi="Verdana" w:cs="Arial"/>
          <w:lang w:val="es-MX"/>
        </w:rPr>
        <w:lastRenderedPageBreak/>
        <w:t>proponentes</w:t>
      </w:r>
      <w:r>
        <w:rPr>
          <w:rFonts w:ascii="Verdana" w:eastAsia="Calibri" w:hAnsi="Verdana" w:cs="Arial"/>
          <w:lang w:val="es-MX"/>
        </w:rPr>
        <w:t>,</w:t>
      </w:r>
      <w:r w:rsidRPr="0034790E">
        <w:rPr>
          <w:rFonts w:ascii="Verdana" w:eastAsia="Calibri" w:hAnsi="Verdana" w:cs="Arial"/>
          <w:lang w:val="es-MX"/>
        </w:rPr>
        <w:t xml:space="preserve"> si la carta de presentación fue incluida y está firmada</w:t>
      </w:r>
      <w:r>
        <w:rPr>
          <w:rFonts w:ascii="Verdana" w:eastAsia="Calibri" w:hAnsi="Verdana" w:cs="Arial"/>
          <w:lang w:val="es-MX"/>
        </w:rPr>
        <w:t>,</w:t>
      </w:r>
      <w:r w:rsidRPr="0034790E">
        <w:rPr>
          <w:rFonts w:ascii="Verdana" w:eastAsia="Calibri" w:hAnsi="Verdana" w:cs="Arial"/>
          <w:lang w:val="es-MX"/>
        </w:rPr>
        <w:t xml:space="preserve"> el número de la garantía de seriedad de la oferta que la acompaña</w:t>
      </w:r>
      <w:r>
        <w:rPr>
          <w:rFonts w:ascii="Verdana" w:eastAsia="Calibri" w:hAnsi="Verdana" w:cs="Arial"/>
          <w:lang w:val="es-MX"/>
        </w:rPr>
        <w:t>,</w:t>
      </w:r>
      <w:r w:rsidRPr="0034790E">
        <w:rPr>
          <w:rFonts w:ascii="Verdana" w:eastAsia="Calibri" w:hAnsi="Verdana" w:cs="Arial"/>
          <w:lang w:val="es-MX"/>
        </w:rPr>
        <w:t xml:space="preserve"> el número de folios</w:t>
      </w:r>
      <w:r>
        <w:rPr>
          <w:rFonts w:ascii="Verdana" w:eastAsia="Calibri" w:hAnsi="Verdana" w:cs="Arial"/>
          <w:lang w:val="es-MX"/>
        </w:rPr>
        <w:t>,</w:t>
      </w:r>
      <w:r w:rsidRPr="0034790E">
        <w:rPr>
          <w:rFonts w:ascii="Verdana" w:eastAsia="Calibri" w:hAnsi="Verdana" w:cs="Arial"/>
          <w:lang w:val="es-MX"/>
        </w:rPr>
        <w:t xml:space="preserve"> </w:t>
      </w:r>
      <w:r w:rsidRPr="0034790E">
        <w:rPr>
          <w:rFonts w:ascii="Verdana" w:hAnsi="Verdana"/>
          <w:lang w:val="es-MX"/>
        </w:rPr>
        <w:t>si hay folios en blanco</w:t>
      </w:r>
      <w:r>
        <w:rPr>
          <w:rFonts w:ascii="Verdana" w:hAnsi="Verdana"/>
          <w:lang w:val="es-MX"/>
        </w:rPr>
        <w:t>,</w:t>
      </w:r>
      <w:r w:rsidRPr="0034790E">
        <w:rPr>
          <w:rFonts w:ascii="Verdana" w:hAnsi="Verdana"/>
          <w:lang w:val="es-MX"/>
        </w:rPr>
        <w:t xml:space="preserve"> hojas por ambas caras</w:t>
      </w:r>
      <w:r>
        <w:rPr>
          <w:rFonts w:ascii="Verdana" w:hAnsi="Verdana"/>
          <w:lang w:val="es-MX"/>
        </w:rPr>
        <w:t>,</w:t>
      </w:r>
      <w:r w:rsidRPr="0034790E">
        <w:rPr>
          <w:rFonts w:ascii="Verdana" w:hAnsi="Verdana"/>
          <w:lang w:val="es-MX"/>
        </w:rPr>
        <w:t xml:space="preserve"> </w:t>
      </w:r>
      <w:r w:rsidRPr="0034790E">
        <w:rPr>
          <w:rFonts w:ascii="Verdana" w:eastAsia="Calibri" w:hAnsi="Verdana" w:cs="Arial"/>
          <w:lang w:val="es-MX"/>
        </w:rPr>
        <w:t>las observaciones correspondientes</w:t>
      </w:r>
      <w:r>
        <w:rPr>
          <w:rFonts w:ascii="Verdana" w:eastAsia="Calibri" w:hAnsi="Verdana" w:cs="Arial"/>
          <w:lang w:val="es-MX"/>
        </w:rPr>
        <w:t>,</w:t>
      </w:r>
      <w:r w:rsidRPr="0034790E">
        <w:rPr>
          <w:rFonts w:ascii="Verdana" w:eastAsia="Calibri" w:hAnsi="Verdana" w:cs="Arial"/>
          <w:lang w:val="es-MX"/>
        </w:rPr>
        <w:t xml:space="preserve"> así como los demás aspectos relevantes que considere la entidad. De esta forma, la entidad tiene la discrecionalidad de incluir otros aspectos relevantes que considere. </w:t>
      </w:r>
    </w:p>
    <w:p w14:paraId="01BE86ED" w14:textId="77777777" w:rsidR="003930AC" w:rsidRPr="002140AE" w:rsidRDefault="003930AC" w:rsidP="003930AC">
      <w:pPr>
        <w:pStyle w:val="Prrafodelista"/>
        <w:rPr>
          <w:rFonts w:ascii="Verdana" w:eastAsia="Calibri" w:hAnsi="Verdana" w:cs="Arial"/>
          <w:lang w:val="es-MX"/>
        </w:rPr>
      </w:pPr>
    </w:p>
    <w:p w14:paraId="054AD432" w14:textId="77777777" w:rsidR="003930AC" w:rsidRPr="00E22B86" w:rsidRDefault="003930AC" w:rsidP="003930AC">
      <w:pPr>
        <w:pStyle w:val="Prrafodelista"/>
        <w:numPr>
          <w:ilvl w:val="0"/>
          <w:numId w:val="21"/>
        </w:numPr>
        <w:spacing w:after="0" w:line="276" w:lineRule="auto"/>
        <w:jc w:val="both"/>
        <w:rPr>
          <w:rFonts w:ascii="Verdana" w:eastAsia="Calibri" w:hAnsi="Verdana" w:cs="Arial"/>
          <w:lang w:val="es-MX"/>
        </w:rPr>
      </w:pPr>
      <w:r w:rsidRPr="00E22B86">
        <w:rPr>
          <w:rFonts w:ascii="Verdana" w:eastAsia="Calibri" w:hAnsi="Verdana" w:cs="Arial"/>
          <w:lang w:val="es-MX"/>
        </w:rPr>
        <w:t xml:space="preserve">Por otra parte, los dos (2) incisos finales del numeral 2.4 realizan algunas consideraciones en relación con la custodia y apertura del Sobre 2, en los siguientes términos: </w:t>
      </w:r>
    </w:p>
    <w:p w14:paraId="22BB2815" w14:textId="77777777" w:rsidR="003930AC" w:rsidRPr="002140AE" w:rsidRDefault="003930AC" w:rsidP="003930AC">
      <w:pPr>
        <w:pStyle w:val="Prrafodelista"/>
        <w:spacing w:after="0" w:line="276" w:lineRule="auto"/>
        <w:jc w:val="both"/>
        <w:rPr>
          <w:rFonts w:ascii="Verdana" w:eastAsia="Calibri" w:hAnsi="Verdana" w:cs="Arial"/>
          <w:lang w:val="es-MX"/>
        </w:rPr>
      </w:pPr>
    </w:p>
    <w:p w14:paraId="00FD74A8" w14:textId="77777777" w:rsidR="003930AC" w:rsidRPr="000D2B51" w:rsidRDefault="003930AC" w:rsidP="003930AC">
      <w:pPr>
        <w:pStyle w:val="Prrafodelista"/>
        <w:spacing w:after="120"/>
        <w:ind w:right="709"/>
        <w:contextualSpacing w:val="0"/>
        <w:jc w:val="both"/>
        <w:rPr>
          <w:rFonts w:ascii="Verdana" w:hAnsi="Verdana"/>
          <w:sz w:val="21"/>
          <w:szCs w:val="21"/>
          <w:lang w:val="es-MX"/>
        </w:rPr>
      </w:pPr>
      <w:r w:rsidRPr="000D2B51">
        <w:rPr>
          <w:rFonts w:ascii="Verdana" w:hAnsi="Verdana"/>
          <w:sz w:val="21"/>
          <w:szCs w:val="21"/>
          <w:lang w:val="es-MX"/>
        </w:rPr>
        <w:t xml:space="preserve">“Un funcionario o contratista de la entidad verificará que el Sobre No. 2 de cada oferta esté sellado y requerirá a los asistentes a la diligencia de cierre para que firmen cada uno de ellos. Para generar confianza, al momento del cierre la entidad guardará en un sobre todos los sobres económicos, y éste lo firmarán quienes asistan al cierre, o los custodiará en una bolsa de seguridad, con el fin de que, al momento de su apertura en la audiencia efectiva de adjudicación se pueda verificar que los mismos no fueron alterados, cambiados o abiertos. La entidad custodiará en un lugar idóneo este sobre o la bolsa de seguridad para garantizar su seguridad. </w:t>
      </w:r>
    </w:p>
    <w:p w14:paraId="1670FCC1" w14:textId="77777777" w:rsidR="003930AC" w:rsidRDefault="003930AC" w:rsidP="003930AC">
      <w:pPr>
        <w:spacing w:after="0"/>
        <w:ind w:left="708" w:right="709"/>
        <w:jc w:val="both"/>
        <w:rPr>
          <w:rFonts w:ascii="Verdana" w:hAnsi="Verdana"/>
          <w:sz w:val="21"/>
          <w:szCs w:val="21"/>
          <w:lang w:val="es-MX"/>
        </w:rPr>
      </w:pPr>
      <w:r w:rsidRPr="000D2B51">
        <w:rPr>
          <w:rFonts w:ascii="Verdana" w:hAnsi="Verdana"/>
          <w:sz w:val="21"/>
          <w:szCs w:val="21"/>
          <w:lang w:val="es-MX"/>
        </w:rPr>
        <w:t xml:space="preserve">En la apertura del Sobre No. 2, la Entidad Estatal permitirá tomar fotos a las ofertas económicas, si así lo solicita cualquier proponente”. </w:t>
      </w:r>
    </w:p>
    <w:p w14:paraId="079D3E4A" w14:textId="77777777" w:rsidR="003930AC" w:rsidRDefault="003930AC" w:rsidP="003930AC">
      <w:pPr>
        <w:spacing w:after="0"/>
        <w:ind w:left="708" w:right="709"/>
        <w:jc w:val="both"/>
        <w:rPr>
          <w:rFonts w:ascii="Verdana" w:hAnsi="Verdana"/>
          <w:sz w:val="21"/>
          <w:szCs w:val="21"/>
          <w:lang w:val="es-MX"/>
        </w:rPr>
      </w:pPr>
    </w:p>
    <w:p w14:paraId="366B4CC3" w14:textId="77777777" w:rsidR="003930AC" w:rsidRPr="00E22B86" w:rsidRDefault="003930AC" w:rsidP="003930AC">
      <w:pPr>
        <w:pStyle w:val="Prrafodelista"/>
        <w:numPr>
          <w:ilvl w:val="0"/>
          <w:numId w:val="23"/>
        </w:numPr>
        <w:spacing w:after="0" w:line="276" w:lineRule="auto"/>
        <w:jc w:val="both"/>
        <w:rPr>
          <w:rFonts w:ascii="Verdana" w:eastAsia="Calibri" w:hAnsi="Verdana" w:cs="Arial"/>
          <w:lang w:val="es-MX"/>
        </w:rPr>
      </w:pPr>
      <w:r w:rsidRPr="00E22B86">
        <w:rPr>
          <w:rFonts w:ascii="Verdana" w:eastAsia="Calibri" w:hAnsi="Verdana" w:cs="Arial"/>
          <w:lang w:val="es-MX"/>
        </w:rPr>
        <w:t xml:space="preserve">El primero de los incisos dispone la obligación de verificación por parte de un funcionario o contratista de la entidad, que el Sobre No. 2 que contiene la oferta económica se encuentre sellado. Además, establece que estos deben requerir a los asistentes para que firmen los sobres. Posteriormente, se señala que -para generar confianza- la entidad guardará los sobres económicos: i) en un solo sobre que firmaran los asistentes al cierre o ii) los custodiaran en una bolsa de seguridad. Cualquiera de estas opciones, con la finalidad de que en su apertura en la audiencia efectiva de adjudicación pueda verificarse que los sobres económicos no fueron alterados, cambiados o abiertos. Finalmente, en el numeral 2.4 se señala que en la apertura del sobre No. 2, la entidad “permitirá tomar fotos a la oferta económica, si así lo solicita cualquier proponente”. </w:t>
      </w:r>
    </w:p>
    <w:p w14:paraId="4D6CB14D" w14:textId="77777777" w:rsidR="003930AC" w:rsidRPr="00266EA8" w:rsidRDefault="003930AC" w:rsidP="003930AC">
      <w:pPr>
        <w:pStyle w:val="Prrafodelista"/>
        <w:rPr>
          <w:rFonts w:ascii="Verdana" w:eastAsia="Calibri" w:hAnsi="Verdana" w:cs="Arial"/>
          <w:lang w:val="es-MX"/>
        </w:rPr>
      </w:pPr>
    </w:p>
    <w:p w14:paraId="5DDAB65B" w14:textId="77777777" w:rsidR="003930AC" w:rsidRPr="00E22B86" w:rsidRDefault="003930AC" w:rsidP="003930AC">
      <w:pPr>
        <w:pStyle w:val="Prrafodelista"/>
        <w:numPr>
          <w:ilvl w:val="0"/>
          <w:numId w:val="23"/>
        </w:numPr>
        <w:spacing w:after="0" w:line="276" w:lineRule="auto"/>
        <w:jc w:val="both"/>
        <w:rPr>
          <w:rFonts w:ascii="Verdana" w:eastAsia="Calibri" w:hAnsi="Verdana" w:cs="Arial"/>
          <w:lang w:val="es-MX"/>
        </w:rPr>
      </w:pPr>
      <w:r w:rsidRPr="00E22B86">
        <w:rPr>
          <w:rFonts w:ascii="Verdana" w:eastAsia="Calibri" w:hAnsi="Verdana" w:cs="Arial"/>
          <w:lang w:val="es-MX"/>
        </w:rPr>
        <w:lastRenderedPageBreak/>
        <w:t xml:space="preserve">No obstante, lo dispuesto en los párrafos transcritos, tal como se enunció, solo es aplicable a las licitaciones públicas adelantadas enteramente en medio físico, cuya publicidad se surte a través de la plataforma SECOP I. </w:t>
      </w:r>
    </w:p>
    <w:p w14:paraId="2A92A3AA" w14:textId="77777777" w:rsidR="003930AC" w:rsidRPr="000A1748" w:rsidRDefault="003930AC" w:rsidP="003930AC">
      <w:pPr>
        <w:pStyle w:val="Prrafodelista"/>
        <w:rPr>
          <w:rFonts w:ascii="Verdana" w:eastAsia="Calibri" w:hAnsi="Verdana" w:cs="Arial"/>
          <w:lang w:val="es-MX"/>
        </w:rPr>
      </w:pPr>
    </w:p>
    <w:p w14:paraId="569D8C18" w14:textId="77777777" w:rsidR="003930AC" w:rsidRPr="00E22B86" w:rsidRDefault="003930AC" w:rsidP="003930AC">
      <w:pPr>
        <w:pStyle w:val="Prrafodelista"/>
        <w:numPr>
          <w:ilvl w:val="0"/>
          <w:numId w:val="23"/>
        </w:numPr>
        <w:spacing w:after="0" w:line="276" w:lineRule="auto"/>
        <w:jc w:val="both"/>
        <w:rPr>
          <w:rFonts w:ascii="Verdana" w:hAnsi="Verdana" w:cs="Arial"/>
        </w:rPr>
      </w:pPr>
      <w:r w:rsidRPr="00E22B86">
        <w:rPr>
          <w:rFonts w:ascii="Verdana" w:eastAsia="Calibri" w:hAnsi="Verdana" w:cs="Arial"/>
          <w:lang w:val="es-MX"/>
        </w:rPr>
        <w:t xml:space="preserve">Visto el alcance del numeral 2.4 “Cierre del proceso y apertura de ofertas”, teniendo en cuenta el objeto de su consulta, ahora resulta pertinente referirnos al numeral “2.6 audiencia efectiva de adjudicación” contenido en el documento base del documento tipo de licitación de obra pública de infraestructura de transporte – versión 4. </w:t>
      </w:r>
      <w:r w:rsidRPr="00E22B86">
        <w:rPr>
          <w:rFonts w:ascii="Verdana" w:hAnsi="Verdana" w:cs="Arial"/>
        </w:rPr>
        <w:t>Concretamente, el contenido del primer inciso del numeral 2.6 sobre el cual recae su solicitud, es el siguiente:</w:t>
      </w:r>
    </w:p>
    <w:p w14:paraId="75145EAA" w14:textId="77777777" w:rsidR="003930AC" w:rsidRPr="00F879BF" w:rsidRDefault="003930AC" w:rsidP="003930AC">
      <w:pPr>
        <w:pStyle w:val="Prrafodelista"/>
        <w:spacing w:after="0"/>
        <w:contextualSpacing w:val="0"/>
        <w:rPr>
          <w:rFonts w:ascii="Verdana" w:hAnsi="Verdana" w:cs="Arial"/>
        </w:rPr>
      </w:pPr>
    </w:p>
    <w:p w14:paraId="298099D1" w14:textId="77777777" w:rsidR="003930AC" w:rsidRPr="002A1600" w:rsidRDefault="003930AC" w:rsidP="003930AC">
      <w:pPr>
        <w:spacing w:after="0"/>
        <w:ind w:left="708" w:right="709"/>
        <w:jc w:val="both"/>
        <w:rPr>
          <w:rFonts w:ascii="Verdana" w:hAnsi="Verdana"/>
          <w:sz w:val="21"/>
          <w:szCs w:val="21"/>
          <w:lang w:val="es-MX"/>
        </w:rPr>
      </w:pPr>
      <w:r w:rsidRPr="002A1600">
        <w:rPr>
          <w:rFonts w:ascii="Verdana" w:hAnsi="Verdana"/>
          <w:sz w:val="21"/>
          <w:szCs w:val="21"/>
          <w:lang w:val="es-MX"/>
        </w:rPr>
        <w:t>“En la fecha establecida en el Anexo 2 – Cronograma, la entidad procederá a la instalación y desarrollo de la audiencia efectiva de adjudicación, sin perjuicio de la utilización de los medios virtuales que garanticen la participación y la interacción de los interesados con la entidad contratante”.</w:t>
      </w:r>
    </w:p>
    <w:p w14:paraId="4599BCB8" w14:textId="77777777" w:rsidR="003930AC" w:rsidRPr="00F879BF" w:rsidRDefault="003930AC" w:rsidP="003930AC">
      <w:pPr>
        <w:spacing w:after="0"/>
        <w:ind w:left="708"/>
        <w:jc w:val="both"/>
        <w:rPr>
          <w:rFonts w:ascii="Verdana" w:hAnsi="Verdana"/>
          <w:lang w:val="es-MX"/>
        </w:rPr>
      </w:pPr>
    </w:p>
    <w:p w14:paraId="35E9B7DC" w14:textId="6F80F976" w:rsidR="003930AC" w:rsidRPr="00F879BF" w:rsidRDefault="003930AC" w:rsidP="003930AC">
      <w:pPr>
        <w:pStyle w:val="Prrafodelista"/>
        <w:numPr>
          <w:ilvl w:val="0"/>
          <w:numId w:val="20"/>
        </w:numPr>
        <w:spacing w:after="0" w:line="276" w:lineRule="auto"/>
        <w:ind w:left="641" w:hanging="357"/>
        <w:contextualSpacing w:val="0"/>
        <w:jc w:val="both"/>
        <w:rPr>
          <w:rFonts w:ascii="Verdana" w:hAnsi="Verdana" w:cs="Arial"/>
        </w:rPr>
      </w:pPr>
      <w:r>
        <w:rPr>
          <w:rFonts w:ascii="Verdana" w:eastAsia="Calibri" w:hAnsi="Verdana" w:cs="Arial"/>
          <w:lang w:val="es-MX"/>
        </w:rPr>
        <w:t xml:space="preserve">En el inciso señalado, </w:t>
      </w:r>
      <w:r w:rsidRPr="00F879BF">
        <w:rPr>
          <w:rFonts w:ascii="Verdana" w:eastAsia="Calibri" w:hAnsi="Verdana" w:cs="Arial"/>
          <w:lang w:val="es-MX"/>
        </w:rPr>
        <w:t xml:space="preserve">se </w:t>
      </w:r>
      <w:r>
        <w:rPr>
          <w:rFonts w:ascii="Verdana" w:eastAsia="Calibri" w:hAnsi="Verdana" w:cs="Arial"/>
          <w:lang w:val="es-MX"/>
        </w:rPr>
        <w:t xml:space="preserve">fija </w:t>
      </w:r>
      <w:r w:rsidRPr="00F879BF">
        <w:rPr>
          <w:rFonts w:ascii="Verdana" w:eastAsia="Calibri" w:hAnsi="Verdana" w:cs="Arial"/>
          <w:lang w:val="es-MX"/>
        </w:rPr>
        <w:t xml:space="preserve">que la entidad deberá instalar y desarrollar la audiencia efectiva de adjudicación en la fecha </w:t>
      </w:r>
      <w:r>
        <w:rPr>
          <w:rFonts w:ascii="Verdana" w:eastAsia="Calibri" w:hAnsi="Verdana" w:cs="Arial"/>
          <w:lang w:val="es-MX"/>
        </w:rPr>
        <w:t xml:space="preserve">indicada </w:t>
      </w:r>
      <w:r w:rsidRPr="00F879BF">
        <w:rPr>
          <w:rFonts w:ascii="Verdana" w:eastAsia="Calibri" w:hAnsi="Verdana" w:cs="Arial"/>
          <w:lang w:val="es-MX"/>
        </w:rPr>
        <w:t xml:space="preserve">en el Anexo 2 – Cronograma, sin perjuicio de la utilización de los medios virtuales. Sobre este </w:t>
      </w:r>
      <w:r>
        <w:rPr>
          <w:rFonts w:ascii="Verdana" w:eastAsia="Calibri" w:hAnsi="Verdana" w:cs="Arial"/>
          <w:lang w:val="es-MX"/>
        </w:rPr>
        <w:t>último aspecto a criterio de esta Agencia la expresión “</w:t>
      </w:r>
      <w:r w:rsidRPr="00F879BF">
        <w:rPr>
          <w:rFonts w:ascii="Verdana" w:eastAsia="Calibri" w:hAnsi="Verdana" w:cs="Arial"/>
          <w:lang w:val="es-MX"/>
        </w:rPr>
        <w:t>sin perjuicio de la utilización de los medios virtuales</w:t>
      </w:r>
      <w:r>
        <w:rPr>
          <w:rFonts w:ascii="Verdana" w:eastAsia="Calibri" w:hAnsi="Verdana" w:cs="Arial"/>
          <w:lang w:val="es-MX"/>
        </w:rPr>
        <w:t xml:space="preserve">” debe entenderse como </w:t>
      </w:r>
      <w:r w:rsidRPr="00F879BF">
        <w:rPr>
          <w:rFonts w:ascii="Verdana" w:eastAsia="Calibri" w:hAnsi="Verdana" w:cs="Arial"/>
          <w:lang w:val="es-MX"/>
        </w:rPr>
        <w:t xml:space="preserve">la posibilidad </w:t>
      </w:r>
      <w:r>
        <w:rPr>
          <w:rFonts w:ascii="Verdana" w:eastAsia="Calibri" w:hAnsi="Verdana" w:cs="Arial"/>
          <w:lang w:val="es-MX"/>
        </w:rPr>
        <w:t xml:space="preserve">para la entidad </w:t>
      </w:r>
      <w:r w:rsidRPr="00F879BF">
        <w:rPr>
          <w:rFonts w:ascii="Verdana" w:eastAsia="Calibri" w:hAnsi="Verdana" w:cs="Arial"/>
          <w:lang w:val="es-MX"/>
        </w:rPr>
        <w:t xml:space="preserve">de </w:t>
      </w:r>
      <w:r>
        <w:rPr>
          <w:rFonts w:ascii="Verdana" w:eastAsia="Calibri" w:hAnsi="Verdana" w:cs="Arial"/>
          <w:lang w:val="es-MX"/>
        </w:rPr>
        <w:t>realizar l</w:t>
      </w:r>
      <w:r w:rsidRPr="00F879BF">
        <w:rPr>
          <w:rFonts w:ascii="Verdana" w:eastAsia="Calibri" w:hAnsi="Verdana" w:cs="Arial"/>
          <w:lang w:val="es-MX"/>
        </w:rPr>
        <w:t>a audiencia efectiva de adjudicación por medio</w:t>
      </w:r>
      <w:r>
        <w:rPr>
          <w:rFonts w:ascii="Verdana" w:eastAsia="Calibri" w:hAnsi="Verdana" w:cs="Arial"/>
          <w:lang w:val="es-MX"/>
        </w:rPr>
        <w:t>s</w:t>
      </w:r>
      <w:r w:rsidRPr="00F879BF">
        <w:rPr>
          <w:rFonts w:ascii="Verdana" w:eastAsia="Calibri" w:hAnsi="Verdana" w:cs="Arial"/>
          <w:lang w:val="es-MX"/>
        </w:rPr>
        <w:t xml:space="preserve"> electrónicos, </w:t>
      </w:r>
      <w:r w:rsidRPr="00F879BF">
        <w:rPr>
          <w:rFonts w:ascii="Verdana" w:hAnsi="Verdana" w:cs="Arial"/>
          <w:color w:val="000000" w:themeColor="text1"/>
        </w:rPr>
        <w:t>es decir, utilizando los sistemas de información digitales que favorecen la tele-presencia, de modo que se permita una interacción simultánea entre las personas que quieran estar presentes y las entidades estatales.</w:t>
      </w:r>
      <w:r>
        <w:rPr>
          <w:rFonts w:ascii="Verdana" w:hAnsi="Verdana" w:cs="Arial"/>
          <w:color w:val="000000" w:themeColor="text1"/>
        </w:rPr>
        <w:t xml:space="preserve"> Esta posibilidad, se encuentra abierta para la entidad independientemente que se encuentre adelantando el proceso de contratación por el SECOP I o II. </w:t>
      </w:r>
    </w:p>
    <w:p w14:paraId="623F44AB" w14:textId="77777777" w:rsidR="003930AC" w:rsidRPr="00F879BF" w:rsidRDefault="003930AC" w:rsidP="003930AC">
      <w:pPr>
        <w:pStyle w:val="Prrafodelista"/>
        <w:spacing w:after="0" w:line="276" w:lineRule="auto"/>
        <w:ind w:left="641"/>
        <w:contextualSpacing w:val="0"/>
        <w:jc w:val="both"/>
        <w:rPr>
          <w:rFonts w:ascii="Verdana" w:hAnsi="Verdana" w:cs="Arial"/>
        </w:rPr>
      </w:pPr>
    </w:p>
    <w:p w14:paraId="303A347B" w14:textId="77777777" w:rsidR="003930AC" w:rsidRPr="00F879BF" w:rsidRDefault="003930AC" w:rsidP="003930AC">
      <w:pPr>
        <w:pStyle w:val="Prrafodelista"/>
        <w:numPr>
          <w:ilvl w:val="0"/>
          <w:numId w:val="20"/>
        </w:numPr>
        <w:spacing w:after="0" w:line="276" w:lineRule="auto"/>
        <w:ind w:left="641" w:hanging="357"/>
        <w:contextualSpacing w:val="0"/>
        <w:jc w:val="both"/>
        <w:rPr>
          <w:rFonts w:ascii="Verdana" w:hAnsi="Verdana" w:cs="Arial"/>
        </w:rPr>
      </w:pPr>
      <w:r>
        <w:rPr>
          <w:rFonts w:ascii="Verdana" w:hAnsi="Verdana" w:cs="Arial"/>
        </w:rPr>
        <w:t xml:space="preserve">La </w:t>
      </w:r>
      <w:r w:rsidRPr="00F879BF">
        <w:rPr>
          <w:rFonts w:ascii="Verdana" w:hAnsi="Verdana" w:cs="Arial"/>
        </w:rPr>
        <w:t>posibilidad de realizar la audiencia de adjudicación por medios virtuales</w:t>
      </w:r>
      <w:r>
        <w:rPr>
          <w:rFonts w:ascii="Verdana" w:hAnsi="Verdana" w:cs="Arial"/>
        </w:rPr>
        <w:t xml:space="preserve"> ha sido analizada </w:t>
      </w:r>
      <w:r w:rsidRPr="00F879BF">
        <w:rPr>
          <w:rFonts w:ascii="Verdana" w:hAnsi="Verdana" w:cs="Arial"/>
        </w:rPr>
        <w:t xml:space="preserve">por </w:t>
      </w:r>
      <w:r>
        <w:rPr>
          <w:rFonts w:ascii="Verdana" w:hAnsi="Verdana" w:cs="Arial"/>
        </w:rPr>
        <w:t>la Agencia Nacional de Contratación Pública – Colombia Compra Eficiente</w:t>
      </w:r>
      <w:r w:rsidRPr="00F879BF">
        <w:rPr>
          <w:rFonts w:ascii="Verdana" w:hAnsi="Verdana" w:cs="Arial"/>
        </w:rPr>
        <w:t xml:space="preserve"> en diferentes conceptos</w:t>
      </w:r>
      <w:r>
        <w:rPr>
          <w:rFonts w:ascii="Verdana" w:hAnsi="Verdana" w:cs="Arial"/>
        </w:rPr>
        <w:t xml:space="preserve">. Recientemente, el tema fue tratado </w:t>
      </w:r>
      <w:r w:rsidRPr="00F879BF">
        <w:rPr>
          <w:rFonts w:ascii="Verdana" w:hAnsi="Verdana" w:cs="Arial"/>
        </w:rPr>
        <w:t xml:space="preserve">en el </w:t>
      </w:r>
      <w:r>
        <w:rPr>
          <w:rFonts w:ascii="Verdana" w:hAnsi="Verdana" w:cs="Arial"/>
        </w:rPr>
        <w:t xml:space="preserve">concepto </w:t>
      </w:r>
      <w:r w:rsidRPr="00F879BF">
        <w:rPr>
          <w:rFonts w:ascii="Verdana" w:hAnsi="Verdana" w:cs="Arial"/>
        </w:rPr>
        <w:t xml:space="preserve">C-113 </w:t>
      </w:r>
      <w:r>
        <w:rPr>
          <w:rFonts w:ascii="Verdana" w:hAnsi="Verdana" w:cs="Arial"/>
        </w:rPr>
        <w:t>del 17 de febrero de 2025</w:t>
      </w:r>
      <w:r w:rsidRPr="00F879BF">
        <w:rPr>
          <w:rFonts w:ascii="Verdana" w:hAnsi="Verdana" w:cs="Arial"/>
        </w:rPr>
        <w:t>, en donde se señaló que “</w:t>
      </w:r>
      <w:r>
        <w:rPr>
          <w:rFonts w:ascii="Verdana" w:hAnsi="Verdana" w:cs="Arial"/>
        </w:rPr>
        <w:t xml:space="preserve">(…) </w:t>
      </w:r>
      <w:r w:rsidRPr="00F879BF">
        <w:rPr>
          <w:rFonts w:ascii="Verdana" w:hAnsi="Verdana" w:cs="Arial"/>
          <w:color w:val="000000" w:themeColor="text1"/>
        </w:rPr>
        <w:t>es viable concluir que la audiencia de adjudicación en la licitación pública se puede realizar por medios electrónicos” y además</w:t>
      </w:r>
      <w:r>
        <w:rPr>
          <w:rFonts w:ascii="Verdana" w:hAnsi="Verdana" w:cs="Arial"/>
          <w:color w:val="000000" w:themeColor="text1"/>
        </w:rPr>
        <w:t>,</w:t>
      </w:r>
      <w:r w:rsidRPr="00F879BF">
        <w:rPr>
          <w:rFonts w:ascii="Verdana" w:hAnsi="Verdana" w:cs="Arial"/>
          <w:color w:val="000000" w:themeColor="text1"/>
        </w:rPr>
        <w:t xml:space="preserve"> se instó a que las tecnologías de la información y de las telecomunicaciones </w:t>
      </w:r>
      <w:r w:rsidRPr="00F879BF">
        <w:rPr>
          <w:rFonts w:ascii="Verdana" w:hAnsi="Verdana" w:cs="Arial"/>
          <w:color w:val="000000" w:themeColor="text1"/>
        </w:rPr>
        <w:lastRenderedPageBreak/>
        <w:t>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p>
    <w:p w14:paraId="43FC1CCA" w14:textId="77777777" w:rsidR="003930AC" w:rsidRPr="00F879BF" w:rsidRDefault="003930AC" w:rsidP="003930AC">
      <w:pPr>
        <w:pStyle w:val="Prrafodelista"/>
        <w:rPr>
          <w:rFonts w:ascii="Verdana" w:hAnsi="Verdana" w:cs="Arial"/>
        </w:rPr>
      </w:pPr>
    </w:p>
    <w:p w14:paraId="39E93D83" w14:textId="77777777" w:rsidR="003930AC" w:rsidRPr="00C410FC" w:rsidRDefault="003930AC" w:rsidP="003930AC">
      <w:pPr>
        <w:pStyle w:val="Prrafodelista"/>
        <w:numPr>
          <w:ilvl w:val="0"/>
          <w:numId w:val="20"/>
        </w:numPr>
        <w:spacing w:after="0" w:line="276" w:lineRule="auto"/>
        <w:ind w:left="641" w:hanging="357"/>
        <w:contextualSpacing w:val="0"/>
        <w:jc w:val="both"/>
        <w:rPr>
          <w:rFonts w:ascii="Verdana" w:eastAsia="Calibri" w:hAnsi="Verdana" w:cs="Arial"/>
          <w:color w:val="000000" w:themeColor="text1"/>
          <w:lang w:val="es-ES_tradnl"/>
        </w:rPr>
      </w:pPr>
      <w:r>
        <w:rPr>
          <w:rFonts w:ascii="Verdana" w:hAnsi="Verdana" w:cs="Arial"/>
        </w:rPr>
        <w:t xml:space="preserve">Así mismo, debe señalarse que, </w:t>
      </w:r>
      <w:r w:rsidRPr="00CC53BD">
        <w:rPr>
          <w:rFonts w:ascii="Verdana" w:eastAsia="Century Gothic" w:hAnsi="Verdana" w:cs="Century Gothic"/>
          <w:color w:val="000000" w:themeColor="text1"/>
        </w:rPr>
        <w:t>aunque la audiencia de adjudicación, en la licitación pública, puede efectuarse por medios electrónicos, debe estar revestida de las garantías procedimentales establecidas en las normas que regulan esta etapa del procedimiento de selección. En efecto, de un lado, durante la audiencia de adjudicación las entidades estatales contratantes deben respetar los principios de la función administrativa previstos en el artículo 209 de la Constitución, que, además del interés general, exige la satisfacción de la igualdad, la moralidad, la eficacia, la economía, la celeridad, la imparcialidad y la publicidad.</w:t>
      </w:r>
    </w:p>
    <w:p w14:paraId="43E9930C" w14:textId="77777777" w:rsidR="003930AC" w:rsidRPr="00C410FC" w:rsidRDefault="003930AC" w:rsidP="003930AC">
      <w:pPr>
        <w:spacing w:after="0" w:line="276" w:lineRule="auto"/>
        <w:jc w:val="both"/>
        <w:rPr>
          <w:rFonts w:ascii="Verdana" w:eastAsia="Calibri" w:hAnsi="Verdana" w:cs="Arial"/>
          <w:color w:val="000000" w:themeColor="text1"/>
          <w:lang w:val="es-ES_tradnl"/>
        </w:rPr>
      </w:pPr>
    </w:p>
    <w:p w14:paraId="72BAFFA2" w14:textId="77777777" w:rsidR="003930AC" w:rsidRPr="009162B3" w:rsidRDefault="003930AC" w:rsidP="003930AC">
      <w:pPr>
        <w:pStyle w:val="Prrafodelista"/>
        <w:widowControl w:val="0"/>
        <w:numPr>
          <w:ilvl w:val="0"/>
          <w:numId w:val="20"/>
        </w:numPr>
        <w:autoSpaceDE w:val="0"/>
        <w:autoSpaceDN w:val="0"/>
        <w:spacing w:after="0" w:line="276" w:lineRule="auto"/>
        <w:ind w:left="641" w:hanging="357"/>
        <w:contextualSpacing w:val="0"/>
        <w:jc w:val="both"/>
        <w:rPr>
          <w:rFonts w:ascii="Verdana" w:eastAsia="Calibri" w:hAnsi="Verdana" w:cs="Arial"/>
        </w:rPr>
      </w:pPr>
      <w:r w:rsidRPr="009162B3">
        <w:rPr>
          <w:rFonts w:ascii="Verdana" w:eastAsia="Century Gothic" w:hAnsi="Verdana" w:cs="Century Gothic"/>
          <w:color w:val="000000" w:themeColor="text1"/>
        </w:rPr>
        <w:t xml:space="preserve">De otro lado, durante la audiencia de adjudicación debe garantizarse el debido proceso, pues, como indica el artículo 29 de la Constitución, este es un derecho fundamental que también rige en las actuaciones administrativas. Las actuaciones contractuales no están exentas del deber de cumplir los principios que integran este derecho, como reconoce el artículo 17 de la Ley 1150 de 2007 y, en forma más transversal, el artículo 3.1 de la Ley 1437 de 2011. En tal medida, durante la audiencia de adjudicación, aunque se desarrolle de manera virtual –electrónica–, deben salvaguardarse principios del debido proceso como el de legalidad de las formas propias del procedimiento, funcionario competente, derecho de contradicción, prohibición de dilaciones injustificadas, publicidad, entre otros. </w:t>
      </w:r>
      <w:bookmarkEnd w:id="1"/>
    </w:p>
    <w:p w14:paraId="0AEDE69C" w14:textId="77777777" w:rsidR="003930AC" w:rsidRPr="009162B3" w:rsidRDefault="003930AC" w:rsidP="003930AC">
      <w:pPr>
        <w:widowControl w:val="0"/>
        <w:autoSpaceDE w:val="0"/>
        <w:autoSpaceDN w:val="0"/>
        <w:spacing w:after="0" w:line="276" w:lineRule="auto"/>
        <w:jc w:val="both"/>
        <w:rPr>
          <w:rFonts w:ascii="Verdana" w:eastAsia="Calibri" w:hAnsi="Verdana" w:cs="Arial"/>
        </w:rPr>
      </w:pPr>
    </w:p>
    <w:p w14:paraId="63B4B2C8" w14:textId="77777777" w:rsidR="003930AC" w:rsidRPr="002E7B5D" w:rsidRDefault="003930AC" w:rsidP="003930AC">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Referencias normativas, jurisprudenciales y otras fuentes:</w:t>
      </w:r>
    </w:p>
    <w:p w14:paraId="263B80C5" w14:textId="77777777" w:rsidR="003930AC" w:rsidRPr="002E7B5D" w:rsidRDefault="003930AC" w:rsidP="003930AC">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3930AC" w:rsidRPr="002E7B5D" w14:paraId="772BFF69" w14:textId="77777777" w:rsidTr="00255E3F">
        <w:trPr>
          <w:trHeight w:val="870"/>
        </w:trPr>
        <w:tc>
          <w:tcPr>
            <w:tcW w:w="8647" w:type="dxa"/>
          </w:tcPr>
          <w:p w14:paraId="53C7BE70" w14:textId="77777777" w:rsidR="003930AC" w:rsidRPr="002E7B5D" w:rsidRDefault="003930AC" w:rsidP="003930AC">
            <w:pPr>
              <w:widowControl w:val="0"/>
              <w:numPr>
                <w:ilvl w:val="0"/>
                <w:numId w:val="17"/>
              </w:numPr>
              <w:autoSpaceDE w:val="0"/>
              <w:autoSpaceDN w:val="0"/>
              <w:spacing w:after="120" w:line="276" w:lineRule="auto"/>
              <w:ind w:left="714" w:hanging="357"/>
              <w:jc w:val="both"/>
              <w:rPr>
                <w:rFonts w:ascii="Verdana" w:eastAsia="Calibri" w:hAnsi="Verdana" w:cs="Arial"/>
              </w:rPr>
            </w:pPr>
            <w:r w:rsidRPr="002E7B5D">
              <w:rPr>
                <w:rFonts w:ascii="Verdana" w:eastAsia="Calibri" w:hAnsi="Verdana" w:cs="Arial"/>
              </w:rPr>
              <w:t>Ley 2022 de 2020, artículo 1.</w:t>
            </w:r>
          </w:p>
          <w:p w14:paraId="30E1A35C" w14:textId="77777777" w:rsidR="003930AC" w:rsidRPr="002E7B5D" w:rsidRDefault="003930AC" w:rsidP="003930AC">
            <w:pPr>
              <w:widowControl w:val="0"/>
              <w:numPr>
                <w:ilvl w:val="0"/>
                <w:numId w:val="17"/>
              </w:numPr>
              <w:autoSpaceDE w:val="0"/>
              <w:autoSpaceDN w:val="0"/>
              <w:spacing w:after="120" w:line="276" w:lineRule="auto"/>
              <w:ind w:left="714" w:hanging="357"/>
              <w:jc w:val="both"/>
              <w:rPr>
                <w:rFonts w:ascii="Verdana" w:eastAsia="Calibri" w:hAnsi="Verdana" w:cs="Arial"/>
              </w:rPr>
            </w:pPr>
            <w:r w:rsidRPr="002E7B5D">
              <w:rPr>
                <w:rFonts w:ascii="Verdana" w:eastAsia="Calibri" w:hAnsi="Verdana" w:cs="Arial"/>
              </w:rPr>
              <w:t>Ley 80 de 1993, artículo 30.</w:t>
            </w:r>
          </w:p>
          <w:p w14:paraId="5B44BDA3" w14:textId="77777777" w:rsidR="003930AC" w:rsidRPr="002E7B5D" w:rsidRDefault="003930AC" w:rsidP="003930AC">
            <w:pPr>
              <w:widowControl w:val="0"/>
              <w:numPr>
                <w:ilvl w:val="0"/>
                <w:numId w:val="17"/>
              </w:numPr>
              <w:autoSpaceDE w:val="0"/>
              <w:autoSpaceDN w:val="0"/>
              <w:spacing w:after="120" w:line="276" w:lineRule="auto"/>
              <w:ind w:left="714" w:hanging="357"/>
              <w:jc w:val="both"/>
              <w:rPr>
                <w:rFonts w:ascii="Verdana" w:eastAsia="Calibri" w:hAnsi="Verdana" w:cs="Arial"/>
              </w:rPr>
            </w:pPr>
            <w:r w:rsidRPr="002E7B5D">
              <w:rPr>
                <w:rFonts w:ascii="Verdana" w:eastAsia="Calibri" w:hAnsi="Verdana" w:cs="Arial"/>
              </w:rPr>
              <w:t xml:space="preserve">Documentos </w:t>
            </w:r>
            <w:r>
              <w:rPr>
                <w:rFonts w:ascii="Verdana" w:eastAsia="Calibri" w:hAnsi="Verdana" w:cs="Arial"/>
              </w:rPr>
              <w:t xml:space="preserve">tipo </w:t>
            </w:r>
            <w:r w:rsidRPr="002E7B5D">
              <w:rPr>
                <w:rFonts w:ascii="Verdana" w:eastAsia="Calibri" w:hAnsi="Verdana" w:cs="Arial"/>
              </w:rPr>
              <w:t xml:space="preserve">de infraestructura de transporte. Disponibles en: </w:t>
            </w:r>
            <w:hyperlink r:id="rId11" w:history="1">
              <w:r w:rsidRPr="002E7B5D">
                <w:rPr>
                  <w:rFonts w:ascii="Verdana" w:eastAsia="Calibri" w:hAnsi="Verdana" w:cs="Arial"/>
                  <w:color w:val="0000FF"/>
                  <w:u w:val="single"/>
                </w:rPr>
                <w:t>https://www.colombiacompra.gov.co/content/documentos-tipo-de-infraestructura-de-transporte</w:t>
              </w:r>
            </w:hyperlink>
            <w:r w:rsidRPr="002E7B5D">
              <w:rPr>
                <w:rFonts w:ascii="Verdana" w:eastAsia="Calibri" w:hAnsi="Verdana" w:cs="Arial"/>
              </w:rPr>
              <w:t>.</w:t>
            </w:r>
          </w:p>
        </w:tc>
      </w:tr>
    </w:tbl>
    <w:p w14:paraId="6DF2603E" w14:textId="77777777" w:rsidR="003930AC" w:rsidRPr="002E7B5D" w:rsidRDefault="003930AC" w:rsidP="003930AC">
      <w:pPr>
        <w:widowControl w:val="0"/>
        <w:autoSpaceDE w:val="0"/>
        <w:autoSpaceDN w:val="0"/>
        <w:spacing w:after="0" w:line="276" w:lineRule="auto"/>
        <w:jc w:val="both"/>
        <w:rPr>
          <w:rFonts w:ascii="Verdana" w:eastAsia="Calibri" w:hAnsi="Verdana" w:cs="Arial"/>
        </w:rPr>
      </w:pPr>
    </w:p>
    <w:p w14:paraId="06632988" w14:textId="77777777" w:rsidR="003930AC" w:rsidRPr="002E7B5D" w:rsidRDefault="003930AC" w:rsidP="003930AC">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Doctrina de la Agencia Nacional de Contratación Pública:</w:t>
      </w:r>
    </w:p>
    <w:p w14:paraId="253CF563" w14:textId="77777777" w:rsidR="003930AC" w:rsidRDefault="003930AC" w:rsidP="003930AC">
      <w:pPr>
        <w:widowControl w:val="0"/>
        <w:autoSpaceDE w:val="0"/>
        <w:autoSpaceDN w:val="0"/>
        <w:spacing w:after="0" w:line="276" w:lineRule="auto"/>
        <w:jc w:val="both"/>
        <w:rPr>
          <w:rFonts w:ascii="Verdana" w:eastAsia="Calibri" w:hAnsi="Verdana" w:cs="Arial"/>
        </w:rPr>
      </w:pPr>
    </w:p>
    <w:p w14:paraId="2E9EAC89" w14:textId="77777777" w:rsidR="003930AC" w:rsidRPr="00AA1097" w:rsidRDefault="003930AC" w:rsidP="003930AC">
      <w:pPr>
        <w:widowControl w:val="0"/>
        <w:autoSpaceDE w:val="0"/>
        <w:autoSpaceDN w:val="0"/>
        <w:spacing w:after="0" w:line="276" w:lineRule="auto"/>
        <w:jc w:val="both"/>
        <w:rPr>
          <w:rFonts w:ascii="Verdana" w:eastAsia="Times New Roman" w:hAnsi="Verdana" w:cs="Arial"/>
          <w:shd w:val="clear" w:color="auto" w:fill="FFFFFF"/>
          <w:lang w:val="es-ES"/>
        </w:rPr>
      </w:pPr>
      <w:r w:rsidRPr="00AA1097">
        <w:rPr>
          <w:rFonts w:ascii="Verdana" w:eastAsia="Calibri" w:hAnsi="Verdana" w:cs="Arial"/>
          <w:shd w:val="clear" w:color="auto" w:fill="FFFFFF"/>
        </w:rPr>
        <w:t>L</w:t>
      </w:r>
      <w:r w:rsidRPr="00AA1097">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AA1097">
        <w:rPr>
          <w:rFonts w:ascii="Verdana" w:eastAsia="Times New Roman" w:hAnsi="Verdana" w:cs="Arial"/>
          <w:shd w:val="clear" w:color="auto" w:fill="FFFFFF"/>
          <w:lang w:val="es-ES"/>
        </w:rPr>
        <w:t>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w:t>
      </w:r>
      <w:r>
        <w:rPr>
          <w:rFonts w:ascii="Verdana" w:eastAsia="Times New Roman" w:hAnsi="Verdana" w:cs="Arial"/>
          <w:shd w:val="clear" w:color="auto" w:fill="FFFFFF"/>
          <w:lang w:val="es-ES"/>
        </w:rPr>
        <w:t xml:space="preserve">, </w:t>
      </w:r>
      <w:r w:rsidRPr="00AA1097">
        <w:rPr>
          <w:rFonts w:ascii="Verdana" w:eastAsia="Times New Roman" w:hAnsi="Verdana" w:cs="Arial"/>
          <w:shd w:val="clear" w:color="auto" w:fill="FFFFFF"/>
          <w:lang w:val="es-ES"/>
        </w:rPr>
        <w:t>C-753 del 4 de enero de 2024</w:t>
      </w:r>
      <w:r>
        <w:rPr>
          <w:rFonts w:ascii="Verdana" w:eastAsia="Times New Roman" w:hAnsi="Verdana" w:cs="Arial"/>
          <w:shd w:val="clear" w:color="auto" w:fill="FFFFFF"/>
          <w:lang w:val="es-ES"/>
        </w:rPr>
        <w:t xml:space="preserve"> y C-133 del 10 de marzo de 2025</w:t>
      </w:r>
      <w:r w:rsidRPr="00AA1097">
        <w:rPr>
          <w:rFonts w:ascii="Verdana" w:eastAsia="Times New Roman" w:hAnsi="Verdana" w:cs="Arial"/>
          <w:shd w:val="clear" w:color="auto" w:fill="FFFFFF"/>
          <w:lang w:val="es-ES"/>
        </w:rPr>
        <w:t xml:space="preserve">. </w:t>
      </w:r>
    </w:p>
    <w:p w14:paraId="184DC7E2" w14:textId="77777777" w:rsidR="003930AC" w:rsidRPr="002E7B5D" w:rsidRDefault="003930AC" w:rsidP="003930AC">
      <w:pPr>
        <w:widowControl w:val="0"/>
        <w:autoSpaceDE w:val="0"/>
        <w:autoSpaceDN w:val="0"/>
        <w:spacing w:after="0" w:line="276" w:lineRule="auto"/>
        <w:jc w:val="both"/>
        <w:rPr>
          <w:rFonts w:ascii="Verdana" w:eastAsia="Calibri" w:hAnsi="Verdana" w:cs="Arial"/>
        </w:rPr>
      </w:pPr>
    </w:p>
    <w:bookmarkEnd w:id="0"/>
    <w:p w14:paraId="7AF9E0D8" w14:textId="77777777" w:rsidR="003930AC" w:rsidRPr="0044528D" w:rsidRDefault="003930AC" w:rsidP="003930AC">
      <w:pPr>
        <w:spacing w:after="0"/>
        <w:jc w:val="both"/>
        <w:rPr>
          <w:rFonts w:ascii="Verdana" w:hAnsi="Verdana"/>
        </w:rPr>
      </w:pPr>
      <w:r w:rsidRPr="00654F7A">
        <w:rPr>
          <w:rFonts w:ascii="Verdana" w:eastAsia="Aptos" w:hAnsi="Verdana" w:cs="Arial"/>
          <w:color w:val="000000" w:themeColor="text1"/>
          <w:shd w:val="clear" w:color="auto" w:fill="FFFFFF"/>
          <w:lang w:val="es-ES"/>
        </w:rPr>
        <w:t xml:space="preserve">En relación con la posibilidad de realizar la audiencia de adjudicación en la licitación pública a través de medios electrónicos </w:t>
      </w:r>
      <w:r>
        <w:rPr>
          <w:rFonts w:ascii="Verdana" w:eastAsia="Aptos" w:hAnsi="Verdana" w:cs="Arial"/>
          <w:color w:val="000000" w:themeColor="text1"/>
          <w:shd w:val="clear" w:color="auto" w:fill="FFFFFF"/>
          <w:lang w:val="es-ES"/>
        </w:rPr>
        <w:t xml:space="preserve">y sus garantías procedimentales, </w:t>
      </w:r>
      <w:r w:rsidRPr="00654F7A">
        <w:rPr>
          <w:rFonts w:ascii="Verdana" w:eastAsia="Aptos" w:hAnsi="Verdana" w:cs="Arial"/>
          <w:color w:val="000000" w:themeColor="text1"/>
          <w:shd w:val="clear" w:color="auto" w:fill="FFFFFF"/>
          <w:lang w:val="es-ES"/>
        </w:rPr>
        <w:t>pueden consultarse, entre otros, los conceptos C-243 de 24 de marzo de 2020</w:t>
      </w:r>
      <w:r>
        <w:rPr>
          <w:rFonts w:ascii="Verdana" w:eastAsia="Aptos" w:hAnsi="Verdana" w:cs="Arial"/>
          <w:color w:val="000000" w:themeColor="text1"/>
          <w:shd w:val="clear" w:color="auto" w:fill="FFFFFF"/>
          <w:lang w:val="es-ES"/>
        </w:rPr>
        <w:t xml:space="preserve">, </w:t>
      </w:r>
      <w:r w:rsidRPr="00654F7A">
        <w:rPr>
          <w:rFonts w:ascii="Verdana" w:eastAsia="Aptos" w:hAnsi="Verdana" w:cs="Arial"/>
          <w:color w:val="000000" w:themeColor="text1"/>
          <w:shd w:val="clear" w:color="auto" w:fill="FFFFFF"/>
          <w:lang w:val="es-ES"/>
        </w:rPr>
        <w:t>C-247 de 7 de abril de 2020</w:t>
      </w:r>
      <w:r>
        <w:rPr>
          <w:rFonts w:ascii="Verdana" w:eastAsia="Aptos" w:hAnsi="Verdana" w:cs="Arial"/>
          <w:color w:val="000000" w:themeColor="text1"/>
          <w:shd w:val="clear" w:color="auto" w:fill="FFFFFF"/>
          <w:lang w:val="es-ES"/>
        </w:rPr>
        <w:t xml:space="preserve"> Y C-113 </w:t>
      </w:r>
      <w:r>
        <w:rPr>
          <w:rFonts w:ascii="Verdana" w:hAnsi="Verdana" w:cs="Arial"/>
          <w:lang w:val="es-ES"/>
        </w:rPr>
        <w:t xml:space="preserve">del 17 de febrero de 2025. </w:t>
      </w:r>
    </w:p>
    <w:p w14:paraId="5F33C410" w14:textId="77777777" w:rsidR="003930AC" w:rsidRDefault="003930AC" w:rsidP="003930AC">
      <w:pPr>
        <w:spacing w:after="0"/>
      </w:pPr>
    </w:p>
    <w:p w14:paraId="5FF594EB" w14:textId="77777777" w:rsidR="003930AC" w:rsidRPr="00452081" w:rsidRDefault="003930AC" w:rsidP="003930AC">
      <w:pPr>
        <w:widowControl w:val="0"/>
        <w:autoSpaceDE w:val="0"/>
        <w:autoSpaceDN w:val="0"/>
        <w:spacing w:after="0" w:line="276" w:lineRule="auto"/>
        <w:jc w:val="both"/>
        <w:rPr>
          <w:rFonts w:ascii="Verdana" w:eastAsia="Times New Roman" w:hAnsi="Verdana" w:cs="Arial"/>
          <w:shd w:val="clear" w:color="auto" w:fill="FFFFFF"/>
          <w:lang w:val="es-ES"/>
        </w:rPr>
      </w:pPr>
      <w:r w:rsidRPr="00452081">
        <w:rPr>
          <w:rFonts w:ascii="Verdana" w:eastAsia="Times New Roman" w:hAnsi="Verdana" w:cs="Arial"/>
          <w:shd w:val="clear" w:color="auto" w:fill="FFFFFF"/>
          <w:lang w:val="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452081">
          <w:rPr>
            <w:rFonts w:ascii="Verdana" w:eastAsia="Times New Roman" w:hAnsi="Verdana" w:cs="Arial"/>
            <w:shd w:val="clear" w:color="auto" w:fill="FFFFFF"/>
            <w:lang w:val="es-ES"/>
          </w:rPr>
          <w:t>https://relatoria.colombiacompra.gov.co/</w:t>
        </w:r>
      </w:hyperlink>
      <w:r w:rsidRPr="00452081">
        <w:rPr>
          <w:rFonts w:ascii="Verdana" w:eastAsia="Times New Roman" w:hAnsi="Verdana" w:cs="Arial"/>
          <w:shd w:val="clear" w:color="auto" w:fill="FFFFFF"/>
          <w:lang w:val="es-ES"/>
        </w:rPr>
        <w:t> .</w:t>
      </w:r>
    </w:p>
    <w:p w14:paraId="6B5EE5EB" w14:textId="77777777" w:rsidR="003930AC" w:rsidRPr="00452081" w:rsidRDefault="003930AC" w:rsidP="003930AC">
      <w:pPr>
        <w:spacing w:after="0" w:line="240" w:lineRule="auto"/>
        <w:jc w:val="both"/>
        <w:rPr>
          <w:rFonts w:ascii="Verdana" w:eastAsia="Calibri" w:hAnsi="Verdana" w:cs="Arial"/>
          <w:color w:val="000000" w:themeColor="text1"/>
          <w:shd w:val="clear" w:color="auto" w:fill="FFFFFF"/>
        </w:rPr>
      </w:pPr>
    </w:p>
    <w:p w14:paraId="32A74D73" w14:textId="77777777" w:rsidR="003930AC" w:rsidRPr="00452081" w:rsidRDefault="003930AC" w:rsidP="003930AC">
      <w:pPr>
        <w:shd w:val="clear" w:color="auto" w:fill="FFFFFF"/>
        <w:spacing w:line="240" w:lineRule="auto"/>
        <w:jc w:val="both"/>
        <w:rPr>
          <w:rFonts w:ascii="Verdana" w:hAnsi="Verdana"/>
          <w:color w:val="212121"/>
        </w:rPr>
      </w:pPr>
      <w:r w:rsidRPr="00452081">
        <w:rPr>
          <w:rFonts w:ascii="Verdana" w:hAnsi="Verdana"/>
          <w:color w:val="000000"/>
        </w:rPr>
        <w:t>Te informamos que ya se encuentra disponible la </w:t>
      </w:r>
      <w:r w:rsidRPr="00452081">
        <w:rPr>
          <w:rFonts w:ascii="Verdana" w:hAnsi="Verdana"/>
          <w:b/>
          <w:bCs/>
          <w:color w:val="000000"/>
        </w:rPr>
        <w:t>Cartilla para incentivar y fortalecer el acceso a las compras y contratación pública de los pueblos y comunidades étnicas en Colombia.</w:t>
      </w:r>
      <w:r w:rsidRPr="00452081">
        <w:rPr>
          <w:rFonts w:ascii="Verdana" w:hAnsi="Verdana"/>
          <w:color w:val="000000"/>
        </w:rPr>
        <w:t xml:space="preserve"> Esta cartilla es una apuesta de la Agencia Nacional de Contratación Pública – Colombia Compra Eficiente, para </w:t>
      </w:r>
      <w:r w:rsidRPr="00452081">
        <w:rPr>
          <w:rFonts w:ascii="Verdana" w:hAnsi="Verdana"/>
          <w:color w:val="000000"/>
        </w:rPr>
        <w:lastRenderedPageBreak/>
        <w:t>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452081">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57530FF7" w14:textId="77777777" w:rsidR="003930AC" w:rsidRPr="00452081" w:rsidRDefault="003930AC" w:rsidP="003930AC">
      <w:pPr>
        <w:jc w:val="both"/>
        <w:rPr>
          <w:rFonts w:ascii="Verdana" w:hAnsi="Verdana"/>
          <w:color w:val="212121"/>
        </w:rPr>
      </w:pPr>
      <w:r w:rsidRPr="00452081">
        <w:rPr>
          <w:rFonts w:ascii="Verdana" w:hAnsi="Verdana"/>
          <w:color w:val="000000"/>
        </w:rPr>
        <w:t>De otra parte, te informamos que, con el objetivo de garantizar un conocimiento adecuado de las </w:t>
      </w:r>
      <w:r w:rsidRPr="00452081">
        <w:rPr>
          <w:rFonts w:ascii="Verdana" w:hAnsi="Verdana"/>
          <w:b/>
          <w:bCs/>
          <w:color w:val="000000"/>
        </w:rPr>
        <w:t>modificaciones y/o actualizaciones realizadas a los Documentos Tipo</w:t>
      </w:r>
      <w:r w:rsidRPr="00452081">
        <w:rPr>
          <w:rFonts w:ascii="Verdana" w:hAnsi="Verdana"/>
          <w:color w:val="000000"/>
        </w:rPr>
        <w:t>, hemos programado una serie de </w:t>
      </w:r>
      <w:r w:rsidRPr="00452081">
        <w:rPr>
          <w:rFonts w:ascii="Verdana" w:hAnsi="Verdana"/>
          <w:b/>
          <w:bCs/>
          <w:color w:val="000000"/>
        </w:rPr>
        <w:t>capacitaciones </w:t>
      </w:r>
      <w:r w:rsidRPr="00452081">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452081">
          <w:rPr>
            <w:rFonts w:ascii="Verdana" w:hAnsi="Verdana"/>
            <w:color w:val="467886"/>
            <w:u w:val="single"/>
          </w:rPr>
          <w:t>Calendario | Colombia Compra Eficiente | Agencia Nacional de Contratación Pública</w:t>
        </w:r>
      </w:hyperlink>
    </w:p>
    <w:p w14:paraId="289852BF" w14:textId="77777777" w:rsidR="003930AC" w:rsidRPr="00452081" w:rsidRDefault="003930AC" w:rsidP="003930AC">
      <w:pPr>
        <w:spacing w:after="0"/>
        <w:jc w:val="both"/>
        <w:rPr>
          <w:rFonts w:ascii="Verdana" w:hAnsi="Verdana"/>
          <w:color w:val="212121"/>
        </w:rPr>
      </w:pPr>
      <w:r w:rsidRPr="00452081">
        <w:rPr>
          <w:rFonts w:ascii="Verdana" w:hAnsi="Verdana"/>
          <w:color w:val="000000"/>
        </w:rPr>
        <w:t>También, te contamos que ya publicamos </w:t>
      </w:r>
      <w:r w:rsidRPr="00452081">
        <w:rPr>
          <w:rFonts w:ascii="Verdana" w:hAnsi="Verdana"/>
          <w:b/>
          <w:bCs/>
          <w:color w:val="000000"/>
        </w:rPr>
        <w:t>la nueva Guía de Contratación Pública Sostenible y Socialmente Responsable</w:t>
      </w:r>
      <w:r w:rsidRPr="00452081">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452081">
          <w:rPr>
            <w:rFonts w:ascii="Verdana" w:hAnsi="Verdana"/>
            <w:color w:val="467886"/>
            <w:u w:val="single"/>
          </w:rPr>
          <w:t>Guía de Contratación Pública Sostenible y Socialmente Responsable | Colombia Compra Eficiente | Agencia Nacional de Contratación Pública</w:t>
        </w:r>
      </w:hyperlink>
    </w:p>
    <w:p w14:paraId="76AB1EF5" w14:textId="77777777" w:rsidR="003930AC" w:rsidRPr="00452081" w:rsidRDefault="003930AC" w:rsidP="003930AC">
      <w:pPr>
        <w:spacing w:after="0"/>
        <w:jc w:val="both"/>
        <w:rPr>
          <w:rFonts w:ascii="Verdana" w:hAnsi="Verdana"/>
          <w:color w:val="212121"/>
        </w:rPr>
      </w:pPr>
    </w:p>
    <w:p w14:paraId="1DCF9857" w14:textId="77777777" w:rsidR="003930AC" w:rsidRPr="00452081" w:rsidRDefault="003930AC" w:rsidP="003930AC">
      <w:pPr>
        <w:spacing w:after="0" w:line="240" w:lineRule="auto"/>
        <w:jc w:val="both"/>
        <w:rPr>
          <w:rFonts w:ascii="Verdana" w:eastAsia="Calibri" w:hAnsi="Verdana" w:cs="Times New Roman"/>
        </w:rPr>
      </w:pPr>
      <w:r w:rsidRPr="00452081">
        <w:rPr>
          <w:rFonts w:ascii="Verdana" w:hAnsi="Verdana"/>
        </w:rPr>
        <w:t xml:space="preserve">Por último, lo invitamos a seguirnos en las redes sociales en las cuales se difunde información institucional: </w:t>
      </w:r>
    </w:p>
    <w:p w14:paraId="4013F47B" w14:textId="77777777" w:rsidR="003930AC" w:rsidRPr="00452081" w:rsidRDefault="003930AC" w:rsidP="003930AC">
      <w:pPr>
        <w:spacing w:after="0" w:line="240" w:lineRule="auto"/>
        <w:jc w:val="both"/>
        <w:rPr>
          <w:rFonts w:ascii="Verdana" w:hAnsi="Verdana"/>
        </w:rPr>
      </w:pPr>
    </w:p>
    <w:p w14:paraId="5896F956" w14:textId="77777777" w:rsidR="003930AC" w:rsidRPr="00452081" w:rsidRDefault="003930AC" w:rsidP="003930AC">
      <w:pPr>
        <w:spacing w:after="0" w:line="240" w:lineRule="auto"/>
        <w:jc w:val="both"/>
        <w:rPr>
          <w:rFonts w:ascii="Verdana" w:hAnsi="Verdana"/>
        </w:rPr>
      </w:pPr>
      <w:r w:rsidRPr="00452081">
        <w:rPr>
          <w:rFonts w:ascii="Verdana" w:hAnsi="Verdana"/>
        </w:rPr>
        <w:t xml:space="preserve">Twitter: </w:t>
      </w:r>
      <w:r w:rsidRPr="00452081">
        <w:rPr>
          <w:rFonts w:ascii="Verdana" w:eastAsia="Calibri" w:hAnsi="Verdana" w:cs="Times New Roman"/>
          <w:color w:val="4472C4" w:themeColor="accent1"/>
          <w:u w:val="single"/>
        </w:rPr>
        <w:t>@colombiacompra</w:t>
      </w:r>
      <w:r w:rsidRPr="00452081">
        <w:rPr>
          <w:rFonts w:ascii="Verdana" w:eastAsia="Calibri" w:hAnsi="Verdana" w:cs="Times New Roman"/>
          <w:color w:val="4472C4" w:themeColor="accent1"/>
        </w:rPr>
        <w:t xml:space="preserve"> </w:t>
      </w:r>
    </w:p>
    <w:p w14:paraId="32E82C3D" w14:textId="77777777" w:rsidR="003930AC" w:rsidRPr="00452081" w:rsidRDefault="003930AC" w:rsidP="003930AC">
      <w:pPr>
        <w:spacing w:after="0" w:line="240" w:lineRule="auto"/>
        <w:jc w:val="both"/>
        <w:rPr>
          <w:rFonts w:ascii="Verdana" w:hAnsi="Verdana"/>
        </w:rPr>
      </w:pPr>
      <w:r w:rsidRPr="00452081">
        <w:rPr>
          <w:rFonts w:ascii="Verdana" w:hAnsi="Verdana"/>
        </w:rPr>
        <w:t xml:space="preserve">Facebook: </w:t>
      </w:r>
      <w:r w:rsidRPr="00452081">
        <w:rPr>
          <w:rFonts w:ascii="Verdana" w:eastAsia="Calibri" w:hAnsi="Verdana" w:cs="Times New Roman"/>
          <w:color w:val="4472C4" w:themeColor="accent1"/>
          <w:u w:val="single"/>
        </w:rPr>
        <w:t>ColombiaCompraEficiente</w:t>
      </w:r>
    </w:p>
    <w:p w14:paraId="0FF5EB64" w14:textId="77777777" w:rsidR="003930AC" w:rsidRPr="00452081" w:rsidRDefault="003930AC" w:rsidP="003930AC">
      <w:pPr>
        <w:spacing w:after="0" w:line="240" w:lineRule="auto"/>
        <w:jc w:val="both"/>
        <w:rPr>
          <w:rFonts w:ascii="Verdana" w:hAnsi="Verdana"/>
        </w:rPr>
      </w:pPr>
      <w:r w:rsidRPr="00452081">
        <w:rPr>
          <w:rFonts w:ascii="Verdana" w:hAnsi="Verdana"/>
        </w:rPr>
        <w:t xml:space="preserve">LinkedIn: </w:t>
      </w:r>
      <w:r w:rsidRPr="00452081">
        <w:rPr>
          <w:rFonts w:ascii="Verdana" w:eastAsia="Calibri" w:hAnsi="Verdana" w:cs="Times New Roman"/>
          <w:color w:val="4472C4" w:themeColor="accent1"/>
          <w:u w:val="single"/>
        </w:rPr>
        <w:t>Agencia Nacional de Contratación Pública - Colombia Compra Eficiente</w:t>
      </w:r>
      <w:r w:rsidRPr="00452081">
        <w:rPr>
          <w:rFonts w:ascii="Verdana" w:eastAsia="Calibri" w:hAnsi="Verdana" w:cs="Times New Roman"/>
          <w:color w:val="4472C4" w:themeColor="accent1"/>
        </w:rPr>
        <w:t xml:space="preserve"> </w:t>
      </w:r>
      <w:r w:rsidRPr="00452081">
        <w:rPr>
          <w:rFonts w:ascii="Verdana" w:hAnsi="Verdana"/>
        </w:rPr>
        <w:t xml:space="preserve">Instagram: </w:t>
      </w:r>
      <w:r w:rsidRPr="00452081">
        <w:rPr>
          <w:rFonts w:ascii="Verdana" w:eastAsia="Calibri" w:hAnsi="Verdana" w:cs="Times New Roman"/>
          <w:color w:val="4472C4" w:themeColor="accent1"/>
          <w:u w:val="single"/>
        </w:rPr>
        <w:t>@colombiacompraeficiente_cce</w:t>
      </w:r>
    </w:p>
    <w:p w14:paraId="68541CE3" w14:textId="77777777" w:rsidR="003930AC" w:rsidRPr="00452081" w:rsidRDefault="003930AC" w:rsidP="003930AC">
      <w:pPr>
        <w:widowControl w:val="0"/>
        <w:autoSpaceDE w:val="0"/>
        <w:autoSpaceDN w:val="0"/>
        <w:spacing w:after="0" w:line="276" w:lineRule="auto"/>
        <w:jc w:val="both"/>
        <w:rPr>
          <w:rFonts w:ascii="Verdana" w:hAnsi="Verdana"/>
        </w:rPr>
      </w:pPr>
    </w:p>
    <w:p w14:paraId="7DE52E31" w14:textId="77777777" w:rsidR="003930AC" w:rsidRPr="00452081" w:rsidRDefault="003930AC" w:rsidP="003930AC">
      <w:pPr>
        <w:widowControl w:val="0"/>
        <w:autoSpaceDE w:val="0"/>
        <w:autoSpaceDN w:val="0"/>
        <w:spacing w:after="0" w:line="276" w:lineRule="auto"/>
        <w:jc w:val="both"/>
        <w:rPr>
          <w:rFonts w:ascii="Verdana" w:eastAsia="Calibri" w:hAnsi="Verdana" w:cs="Arial"/>
          <w:lang w:val="es-ES_tradnl"/>
        </w:rPr>
      </w:pPr>
      <w:r w:rsidRPr="00452081">
        <w:rPr>
          <w:rFonts w:ascii="Verdana" w:eastAsia="Calibri" w:hAnsi="Verdana" w:cs="Arial"/>
        </w:rPr>
        <w:t>Este concepto tiene el alcance previsto en el artículo 28 del Código de Procedimiento Administrativo y de lo Contencioso Administrativo.</w:t>
      </w:r>
    </w:p>
    <w:p w14:paraId="5C2A060F" w14:textId="77777777" w:rsidR="003930AC" w:rsidRPr="00452081" w:rsidRDefault="003930AC" w:rsidP="003930AC">
      <w:pPr>
        <w:widowControl w:val="0"/>
        <w:autoSpaceDE w:val="0"/>
        <w:autoSpaceDN w:val="0"/>
        <w:spacing w:after="0" w:line="276" w:lineRule="auto"/>
        <w:jc w:val="both"/>
        <w:rPr>
          <w:rFonts w:ascii="Verdana" w:eastAsia="Calibri" w:hAnsi="Verdana" w:cs="Arial"/>
        </w:rPr>
      </w:pPr>
    </w:p>
    <w:p w14:paraId="53375BD1" w14:textId="77777777" w:rsidR="003930AC" w:rsidRPr="00452081" w:rsidRDefault="003930AC" w:rsidP="003930AC">
      <w:pPr>
        <w:spacing w:after="0" w:line="240" w:lineRule="auto"/>
        <w:rPr>
          <w:rFonts w:ascii="Verdana" w:eastAsia="Calibri" w:hAnsi="Verdana" w:cs="Arial"/>
          <w:lang w:eastAsia="es-CO"/>
        </w:rPr>
      </w:pPr>
      <w:r w:rsidRPr="00452081">
        <w:rPr>
          <w:rFonts w:ascii="Verdana" w:eastAsia="Times New Roman" w:hAnsi="Verdana" w:cs="Arial"/>
          <w:lang w:eastAsia="es-CO"/>
        </w:rPr>
        <w:t>Atentamente,</w:t>
      </w:r>
      <w:r w:rsidRPr="00452081">
        <w:rPr>
          <w:rFonts w:ascii="Verdana" w:eastAsia="Calibri" w:hAnsi="Verdana" w:cs="Arial"/>
          <w:lang w:eastAsia="es-CO"/>
        </w:rPr>
        <w:t xml:space="preserve"> </w:t>
      </w:r>
    </w:p>
    <w:p w14:paraId="0DCA501F" w14:textId="77777777" w:rsidR="003930AC" w:rsidRPr="00452081" w:rsidRDefault="003930AC" w:rsidP="003930AC">
      <w:pPr>
        <w:tabs>
          <w:tab w:val="left" w:pos="1320"/>
        </w:tabs>
        <w:rPr>
          <w:rFonts w:ascii="Verdana" w:hAnsi="Verdana"/>
        </w:rPr>
      </w:pPr>
    </w:p>
    <w:p w14:paraId="25707E05" w14:textId="00461591" w:rsidR="003930AC" w:rsidRPr="00452081" w:rsidRDefault="00192D67" w:rsidP="003930AC">
      <w:pPr>
        <w:tabs>
          <w:tab w:val="left" w:pos="1320"/>
        </w:tabs>
        <w:jc w:val="center"/>
        <w:rPr>
          <w:rFonts w:ascii="Century Gothic" w:hAnsi="Century Gothic"/>
        </w:rPr>
      </w:pPr>
      <w:r w:rsidRPr="004D5C25">
        <w:rPr>
          <w:rFonts w:ascii="Century Gothic" w:hAnsi="Century Gothic"/>
          <w:noProof/>
        </w:rPr>
        <w:lastRenderedPageBreak/>
        <w:drawing>
          <wp:inline distT="0" distB="0" distL="0" distR="0" wp14:anchorId="1BB5FA66" wp14:editId="2F53E0AA">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553823" cy="109637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930AC" w:rsidRPr="00452081" w14:paraId="73CCC8CA" w14:textId="77777777" w:rsidTr="00255E3F">
        <w:trPr>
          <w:trHeight w:val="315"/>
        </w:trPr>
        <w:tc>
          <w:tcPr>
            <w:tcW w:w="893" w:type="dxa"/>
            <w:vAlign w:val="center"/>
            <w:hideMark/>
          </w:tcPr>
          <w:p w14:paraId="679F479A" w14:textId="77777777" w:rsidR="003930AC" w:rsidRPr="00452081" w:rsidRDefault="003930AC" w:rsidP="00255E3F">
            <w:pPr>
              <w:rPr>
                <w:rFonts w:ascii="Verdana" w:eastAsia="Calibri" w:hAnsi="Verdana" w:cs="Arial"/>
                <w:sz w:val="16"/>
                <w:szCs w:val="16"/>
                <w:lang w:val="es-ES_tradnl" w:eastAsia="es-ES"/>
              </w:rPr>
            </w:pPr>
            <w:r w:rsidRPr="00452081">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648ACB37" w14:textId="4DA41DCE" w:rsidR="003930AC" w:rsidRPr="00452081" w:rsidRDefault="003930AC" w:rsidP="00255E3F">
            <w:pPr>
              <w:rPr>
                <w:rFonts w:ascii="Verdana" w:eastAsia="Arial" w:hAnsi="Verdana" w:cs="Arial"/>
                <w:sz w:val="16"/>
                <w:szCs w:val="16"/>
                <w:lang w:val="es-ES"/>
              </w:rPr>
            </w:pPr>
            <w:r w:rsidRPr="00452081">
              <w:rPr>
                <w:rFonts w:ascii="Verdana" w:eastAsia="Arial" w:hAnsi="Verdana" w:cs="Arial"/>
                <w:sz w:val="16"/>
                <w:szCs w:val="16"/>
                <w:lang w:val="es-ES"/>
              </w:rPr>
              <w:t xml:space="preserve">Carlos Mario </w:t>
            </w:r>
            <w:r w:rsidR="00BF1DA5" w:rsidRPr="00452081">
              <w:rPr>
                <w:rFonts w:ascii="Verdana" w:eastAsia="Arial" w:hAnsi="Verdana" w:cs="Arial"/>
                <w:sz w:val="16"/>
                <w:szCs w:val="16"/>
                <w:lang w:val="es-ES"/>
              </w:rPr>
              <w:t>Castrillón</w:t>
            </w:r>
            <w:r w:rsidRPr="00452081">
              <w:rPr>
                <w:rFonts w:ascii="Verdana" w:eastAsia="Arial" w:hAnsi="Verdana" w:cs="Arial"/>
                <w:sz w:val="16"/>
                <w:szCs w:val="16"/>
                <w:lang w:val="es-ES"/>
              </w:rPr>
              <w:t xml:space="preserve"> Endo </w:t>
            </w:r>
          </w:p>
          <w:p w14:paraId="3BA2E8E1" w14:textId="77777777" w:rsidR="003930AC" w:rsidRPr="00452081" w:rsidRDefault="003930AC" w:rsidP="00255E3F">
            <w:pPr>
              <w:rPr>
                <w:rFonts w:ascii="Verdana" w:eastAsia="Arial" w:hAnsi="Verdana" w:cs="Arial"/>
                <w:sz w:val="16"/>
                <w:szCs w:val="16"/>
                <w:lang w:val="es-ES_tradnl"/>
              </w:rPr>
            </w:pPr>
            <w:r w:rsidRPr="00452081">
              <w:rPr>
                <w:rFonts w:ascii="Verdana" w:eastAsia="Arial" w:hAnsi="Verdana" w:cs="Arial"/>
                <w:sz w:val="16"/>
                <w:szCs w:val="16"/>
                <w:lang w:val="es-ES_tradnl"/>
              </w:rPr>
              <w:t>Contratista de la Subdirección de Gestión Contractual</w:t>
            </w:r>
          </w:p>
        </w:tc>
      </w:tr>
      <w:tr w:rsidR="003930AC" w:rsidRPr="00452081" w14:paraId="026CDDA8" w14:textId="77777777" w:rsidTr="00255E3F">
        <w:trPr>
          <w:trHeight w:val="330"/>
        </w:trPr>
        <w:tc>
          <w:tcPr>
            <w:tcW w:w="893" w:type="dxa"/>
            <w:vAlign w:val="center"/>
            <w:hideMark/>
          </w:tcPr>
          <w:p w14:paraId="123FF169" w14:textId="77777777" w:rsidR="003930AC" w:rsidRPr="00452081" w:rsidRDefault="003930AC" w:rsidP="00255E3F">
            <w:pPr>
              <w:rPr>
                <w:rFonts w:ascii="Verdana" w:eastAsia="Calibri" w:hAnsi="Verdana" w:cs="Arial"/>
                <w:sz w:val="16"/>
                <w:szCs w:val="16"/>
                <w:lang w:val="es-ES_tradnl" w:eastAsia="es-ES"/>
              </w:rPr>
            </w:pPr>
            <w:r w:rsidRPr="00452081">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3A1CFEB8" w14:textId="77777777" w:rsidR="003930AC" w:rsidRDefault="003930AC" w:rsidP="00255E3F">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Martha Alicia Romero Vargas</w:t>
            </w:r>
          </w:p>
          <w:p w14:paraId="0564ADD1" w14:textId="77777777" w:rsidR="003930AC" w:rsidRPr="00452081" w:rsidRDefault="003930AC" w:rsidP="00255E3F">
            <w:pPr>
              <w:textAlignment w:val="baseline"/>
              <w:rPr>
                <w:rFonts w:ascii="Verdana" w:eastAsia="Times New Roman" w:hAnsi="Verdana" w:cs="Arial"/>
                <w:sz w:val="16"/>
                <w:szCs w:val="16"/>
                <w:lang w:val="es-ES_tradnl" w:eastAsia="es-ES_tradnl"/>
              </w:rPr>
            </w:pPr>
            <w:r>
              <w:rPr>
                <w:rFonts w:ascii="Verdana" w:eastAsia="Times New Roman" w:hAnsi="Verdana" w:cs="Segoe UI"/>
                <w:sz w:val="16"/>
                <w:szCs w:val="16"/>
                <w:lang w:val="es-ES_tradnl" w:eastAsia="es-ES_tradnl"/>
              </w:rPr>
              <w:t xml:space="preserve">Gestor T1-15 </w:t>
            </w:r>
            <w:r w:rsidRPr="00452081">
              <w:rPr>
                <w:rFonts w:ascii="Verdana" w:eastAsia="Arial" w:hAnsi="Verdana" w:cs="Arial"/>
                <w:sz w:val="16"/>
                <w:szCs w:val="16"/>
                <w:lang w:val="es-ES_tradnl"/>
              </w:rPr>
              <w:t>de la Subdirección de Gestión Contractual</w:t>
            </w:r>
          </w:p>
        </w:tc>
      </w:tr>
      <w:tr w:rsidR="003930AC" w:rsidRPr="00452081" w14:paraId="523B6065" w14:textId="77777777" w:rsidTr="00255E3F">
        <w:trPr>
          <w:trHeight w:val="300"/>
        </w:trPr>
        <w:tc>
          <w:tcPr>
            <w:tcW w:w="893" w:type="dxa"/>
            <w:vAlign w:val="center"/>
          </w:tcPr>
          <w:p w14:paraId="25802863" w14:textId="77777777" w:rsidR="003930AC" w:rsidRPr="00452081" w:rsidRDefault="003930AC" w:rsidP="00255E3F">
            <w:pPr>
              <w:rPr>
                <w:rFonts w:ascii="Verdana" w:eastAsia="Calibri" w:hAnsi="Verdana" w:cs="Arial"/>
                <w:sz w:val="16"/>
                <w:szCs w:val="16"/>
                <w:lang w:val="es-ES_tradnl" w:eastAsia="es-ES"/>
              </w:rPr>
            </w:pPr>
            <w:r w:rsidRPr="00452081">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409A13D7" w14:textId="77777777" w:rsidR="003930AC" w:rsidRPr="00452081" w:rsidRDefault="003930AC" w:rsidP="00255E3F">
            <w:pPr>
              <w:rPr>
                <w:rFonts w:ascii="Verdana" w:eastAsia="Calibri" w:hAnsi="Verdana" w:cs="Arial"/>
                <w:sz w:val="16"/>
                <w:szCs w:val="16"/>
                <w:lang w:val="es-ES" w:eastAsia="es-ES"/>
              </w:rPr>
            </w:pPr>
            <w:r w:rsidRPr="00452081">
              <w:rPr>
                <w:rFonts w:ascii="Verdana" w:eastAsia="Calibri" w:hAnsi="Verdana" w:cs="Arial"/>
                <w:sz w:val="16"/>
                <w:szCs w:val="16"/>
                <w:lang w:val="es-ES" w:eastAsia="es-ES"/>
              </w:rPr>
              <w:t>Carolina Quintero Gacharná</w:t>
            </w:r>
          </w:p>
          <w:p w14:paraId="71F80096" w14:textId="77777777" w:rsidR="003930AC" w:rsidRPr="00452081" w:rsidRDefault="003930AC" w:rsidP="00255E3F">
            <w:pPr>
              <w:rPr>
                <w:rFonts w:ascii="Verdana" w:eastAsia="Calibri" w:hAnsi="Verdana" w:cs="Arial"/>
                <w:sz w:val="16"/>
                <w:szCs w:val="16"/>
                <w:lang w:val="es-ES_tradnl" w:eastAsia="es-ES"/>
              </w:rPr>
            </w:pPr>
            <w:r w:rsidRPr="00452081">
              <w:rPr>
                <w:rFonts w:ascii="Verdana" w:eastAsia="Calibri" w:hAnsi="Verdana" w:cs="Arial"/>
                <w:sz w:val="16"/>
                <w:szCs w:val="16"/>
                <w:lang w:val="es-ES_tradnl" w:eastAsia="es-ES"/>
              </w:rPr>
              <w:t>Subdirectora de Gestión Contractual ANCP – CCE</w:t>
            </w:r>
          </w:p>
        </w:tc>
      </w:tr>
    </w:tbl>
    <w:p w14:paraId="4AEDDDBB" w14:textId="77777777" w:rsidR="003930AC" w:rsidRPr="00452081" w:rsidRDefault="003930AC" w:rsidP="003930AC">
      <w:pPr>
        <w:tabs>
          <w:tab w:val="left" w:pos="1320"/>
        </w:tabs>
        <w:rPr>
          <w:rFonts w:ascii="Century Gothic" w:hAnsi="Century Gothic"/>
        </w:rPr>
      </w:pPr>
    </w:p>
    <w:p w14:paraId="22601D03" w14:textId="77777777" w:rsidR="003930AC" w:rsidRPr="00452081" w:rsidRDefault="003930AC" w:rsidP="003930AC">
      <w:pPr>
        <w:widowControl w:val="0"/>
        <w:autoSpaceDE w:val="0"/>
        <w:autoSpaceDN w:val="0"/>
        <w:spacing w:after="0" w:line="276" w:lineRule="auto"/>
        <w:jc w:val="both"/>
      </w:pPr>
    </w:p>
    <w:p w14:paraId="5C45B9E7" w14:textId="77777777" w:rsidR="003930AC" w:rsidRPr="00452081" w:rsidRDefault="003930AC" w:rsidP="003930AC"/>
    <w:p w14:paraId="79F9CD7F" w14:textId="77777777" w:rsidR="003930AC" w:rsidRDefault="003930AC" w:rsidP="003930AC"/>
    <w:p w14:paraId="7F4D87A1" w14:textId="77777777" w:rsidR="003930AC" w:rsidRDefault="003930AC" w:rsidP="003930AC"/>
    <w:p w14:paraId="5C592D7D" w14:textId="77777777" w:rsidR="003D5B0D" w:rsidRPr="00911C6B" w:rsidRDefault="003D5B0D" w:rsidP="00911C6B"/>
    <w:sectPr w:rsidR="003D5B0D" w:rsidRPr="00911C6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028AF" w14:textId="77777777" w:rsidR="004F684D" w:rsidRDefault="004F684D" w:rsidP="004A1847">
      <w:pPr>
        <w:spacing w:after="0" w:line="240" w:lineRule="auto"/>
      </w:pPr>
      <w:r>
        <w:separator/>
      </w:r>
    </w:p>
  </w:endnote>
  <w:endnote w:type="continuationSeparator" w:id="0">
    <w:p w14:paraId="0AB750E4" w14:textId="77777777" w:rsidR="004F684D" w:rsidRDefault="004F684D" w:rsidP="004A1847">
      <w:pPr>
        <w:spacing w:after="0" w:line="240" w:lineRule="auto"/>
      </w:pPr>
      <w:r>
        <w:continuationSeparator/>
      </w:r>
    </w:p>
  </w:endnote>
  <w:endnote w:type="continuationNotice" w:id="1">
    <w:p w14:paraId="6238DF2D" w14:textId="77777777" w:rsidR="004F684D" w:rsidRDefault="004F68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38B3" w14:textId="77777777" w:rsidR="004A1847" w:rsidRDefault="004A1847">
    <w:pPr>
      <w:pStyle w:val="Piedepgina"/>
    </w:pPr>
  </w:p>
  <w:p w14:paraId="3E392383"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114356D"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F527275"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48FDE6DE"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36FD1" w14:textId="77777777" w:rsidR="004F684D" w:rsidRDefault="004F684D" w:rsidP="004A1847">
      <w:pPr>
        <w:spacing w:after="0" w:line="240" w:lineRule="auto"/>
      </w:pPr>
      <w:r>
        <w:separator/>
      </w:r>
    </w:p>
  </w:footnote>
  <w:footnote w:type="continuationSeparator" w:id="0">
    <w:p w14:paraId="780BF9DD" w14:textId="77777777" w:rsidR="004F684D" w:rsidRDefault="004F684D" w:rsidP="004A1847">
      <w:pPr>
        <w:spacing w:after="0" w:line="240" w:lineRule="auto"/>
      </w:pPr>
      <w:r>
        <w:continuationSeparator/>
      </w:r>
    </w:p>
  </w:footnote>
  <w:footnote w:type="continuationNotice" w:id="1">
    <w:p w14:paraId="30738C79" w14:textId="77777777" w:rsidR="004F684D" w:rsidRDefault="004F68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F3F1"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1C55519" w14:textId="77777777" w:rsidR="00756841" w:rsidRDefault="00756841">
    <w:pPr>
      <w:pStyle w:val="Encabezado"/>
    </w:pPr>
  </w:p>
  <w:p w14:paraId="5A5E4CD0" w14:textId="77777777" w:rsidR="00DC39FC" w:rsidRDefault="00DC39FC" w:rsidP="004A305D">
    <w:pPr>
      <w:spacing w:after="0"/>
      <w:rPr>
        <w:rFonts w:ascii="Verdana" w:hAnsi="Verdana"/>
        <w:b/>
        <w:bCs/>
      </w:rPr>
    </w:pPr>
  </w:p>
  <w:p w14:paraId="6EB5B242" w14:textId="77777777" w:rsidR="004A305D" w:rsidRPr="00DC39FC" w:rsidRDefault="004A305D" w:rsidP="004A305D">
    <w:pPr>
      <w:spacing w:after="0"/>
      <w:rPr>
        <w:rFonts w:ascii="Verdana" w:hAnsi="Verdana"/>
        <w:b/>
        <w:bCs/>
      </w:rPr>
    </w:pPr>
    <w:r w:rsidRPr="00DC39FC">
      <w:rPr>
        <w:rFonts w:ascii="Verdana" w:hAnsi="Verdana"/>
        <w:b/>
        <w:bCs/>
      </w:rPr>
      <w:t>FORMATO PQRSD</w:t>
    </w:r>
  </w:p>
  <w:p w14:paraId="4B8480FE" w14:textId="77777777" w:rsidR="004A305D" w:rsidRPr="004A305D" w:rsidRDefault="004A305D" w:rsidP="00B01B1A">
    <w:pPr>
      <w:spacing w:after="0" w:line="120" w:lineRule="auto"/>
      <w:rPr>
        <w:rFonts w:ascii="Century Gothic" w:eastAsia="Geo" w:hAnsi="Century Gothic" w:cs="Geo"/>
        <w:sz w:val="16"/>
        <w:szCs w:val="16"/>
        <w:lang w:eastAsia="es-CO"/>
      </w:rPr>
    </w:pPr>
  </w:p>
  <w:p w14:paraId="35556338"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3DE996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92467786" o:spid="_x0000_i1025" type="#_x0000_t75" style="width:11.25pt;height:11.25pt;visibility:visible;mso-wrap-style:square">
            <v:imagedata r:id="rId1" o:title=""/>
          </v:shape>
        </w:pict>
      </mc:Choice>
      <mc:Fallback>
        <w:drawing>
          <wp:inline distT="0" distB="0" distL="0" distR="0" wp14:anchorId="7C714C25" wp14:editId="218322B3">
            <wp:extent cx="142875" cy="142875"/>
            <wp:effectExtent l="0" t="0" r="0" b="0"/>
            <wp:docPr id="1492467786" name="Imagen 1492467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193633"/>
    <w:multiLevelType w:val="hybridMultilevel"/>
    <w:tmpl w:val="236C68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0C14AE5"/>
    <w:multiLevelType w:val="hybridMultilevel"/>
    <w:tmpl w:val="CCB261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161CEB"/>
    <w:multiLevelType w:val="hybridMultilevel"/>
    <w:tmpl w:val="E4122C92"/>
    <w:lvl w:ilvl="0" w:tplc="1356079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042325"/>
    <w:multiLevelType w:val="hybridMultilevel"/>
    <w:tmpl w:val="378AFD5C"/>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D0F3819"/>
    <w:multiLevelType w:val="hybridMultilevel"/>
    <w:tmpl w:val="D61CAD6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42018DA"/>
    <w:multiLevelType w:val="hybridMultilevel"/>
    <w:tmpl w:val="77985D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9"/>
  </w:num>
  <w:num w:numId="7" w16cid:durableId="1946422806">
    <w:abstractNumId w:val="7"/>
  </w:num>
  <w:num w:numId="8" w16cid:durableId="152644682">
    <w:abstractNumId w:val="18"/>
  </w:num>
  <w:num w:numId="9" w16cid:durableId="1317221377">
    <w:abstractNumId w:val="10"/>
  </w:num>
  <w:num w:numId="10" w16cid:durableId="1471245386">
    <w:abstractNumId w:val="17"/>
  </w:num>
  <w:num w:numId="11" w16cid:durableId="289172385">
    <w:abstractNumId w:val="11"/>
  </w:num>
  <w:num w:numId="12" w16cid:durableId="1470781324">
    <w:abstractNumId w:val="1"/>
  </w:num>
  <w:num w:numId="13" w16cid:durableId="1512908409">
    <w:abstractNumId w:val="5"/>
  </w:num>
  <w:num w:numId="14" w16cid:durableId="895897244">
    <w:abstractNumId w:val="20"/>
  </w:num>
  <w:num w:numId="15" w16cid:durableId="390349800">
    <w:abstractNumId w:val="16"/>
  </w:num>
  <w:num w:numId="16" w16cid:durableId="341274352">
    <w:abstractNumId w:val="0"/>
  </w:num>
  <w:num w:numId="17" w16cid:durableId="679089576">
    <w:abstractNumId w:val="13"/>
  </w:num>
  <w:num w:numId="18" w16cid:durableId="1284388630">
    <w:abstractNumId w:val="3"/>
  </w:num>
  <w:num w:numId="19" w16cid:durableId="1110395954">
    <w:abstractNumId w:val="14"/>
  </w:num>
  <w:num w:numId="20" w16cid:durableId="295523931">
    <w:abstractNumId w:val="12"/>
  </w:num>
  <w:num w:numId="21" w16cid:durableId="1014067097">
    <w:abstractNumId w:val="4"/>
  </w:num>
  <w:num w:numId="22" w16cid:durableId="1516067569">
    <w:abstractNumId w:val="8"/>
  </w:num>
  <w:num w:numId="23" w16cid:durableId="15423243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115D"/>
    <w:rsid w:val="000234E9"/>
    <w:rsid w:val="00046945"/>
    <w:rsid w:val="00061B2A"/>
    <w:rsid w:val="00082362"/>
    <w:rsid w:val="00084F11"/>
    <w:rsid w:val="000A683E"/>
    <w:rsid w:val="000B19B9"/>
    <w:rsid w:val="000D0334"/>
    <w:rsid w:val="000E56CC"/>
    <w:rsid w:val="000F6486"/>
    <w:rsid w:val="00125105"/>
    <w:rsid w:val="00127233"/>
    <w:rsid w:val="001511A0"/>
    <w:rsid w:val="00161311"/>
    <w:rsid w:val="00180933"/>
    <w:rsid w:val="00187212"/>
    <w:rsid w:val="00192D67"/>
    <w:rsid w:val="00194EE8"/>
    <w:rsid w:val="001A2CB2"/>
    <w:rsid w:val="001D0CCF"/>
    <w:rsid w:val="001E4177"/>
    <w:rsid w:val="001F7DC6"/>
    <w:rsid w:val="002367EC"/>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930AC"/>
    <w:rsid w:val="003A779E"/>
    <w:rsid w:val="003D0F4D"/>
    <w:rsid w:val="003D5B0D"/>
    <w:rsid w:val="003E0499"/>
    <w:rsid w:val="003F3941"/>
    <w:rsid w:val="00402F21"/>
    <w:rsid w:val="00406575"/>
    <w:rsid w:val="00414C74"/>
    <w:rsid w:val="00426D96"/>
    <w:rsid w:val="0042722E"/>
    <w:rsid w:val="0044528D"/>
    <w:rsid w:val="004A1847"/>
    <w:rsid w:val="004A305D"/>
    <w:rsid w:val="004D4AE9"/>
    <w:rsid w:val="004F21C4"/>
    <w:rsid w:val="004F684D"/>
    <w:rsid w:val="004F685F"/>
    <w:rsid w:val="00556698"/>
    <w:rsid w:val="005566E8"/>
    <w:rsid w:val="00574867"/>
    <w:rsid w:val="005854B3"/>
    <w:rsid w:val="00591460"/>
    <w:rsid w:val="005A25FF"/>
    <w:rsid w:val="005B3816"/>
    <w:rsid w:val="005C3777"/>
    <w:rsid w:val="005C5CDC"/>
    <w:rsid w:val="005D476C"/>
    <w:rsid w:val="005F07DF"/>
    <w:rsid w:val="006007D2"/>
    <w:rsid w:val="0061627C"/>
    <w:rsid w:val="006219F8"/>
    <w:rsid w:val="00665D70"/>
    <w:rsid w:val="006900D9"/>
    <w:rsid w:val="00706C16"/>
    <w:rsid w:val="00756841"/>
    <w:rsid w:val="007649AB"/>
    <w:rsid w:val="00771D0C"/>
    <w:rsid w:val="00772134"/>
    <w:rsid w:val="007735F1"/>
    <w:rsid w:val="007833AC"/>
    <w:rsid w:val="007B268C"/>
    <w:rsid w:val="007B7171"/>
    <w:rsid w:val="007C0C0F"/>
    <w:rsid w:val="007C3DC2"/>
    <w:rsid w:val="007E5497"/>
    <w:rsid w:val="00806F5F"/>
    <w:rsid w:val="00820278"/>
    <w:rsid w:val="00867F95"/>
    <w:rsid w:val="008843B6"/>
    <w:rsid w:val="00891928"/>
    <w:rsid w:val="00894D6C"/>
    <w:rsid w:val="008A446D"/>
    <w:rsid w:val="008D180B"/>
    <w:rsid w:val="008E7296"/>
    <w:rsid w:val="008F0EA7"/>
    <w:rsid w:val="00911C6B"/>
    <w:rsid w:val="00917784"/>
    <w:rsid w:val="00923EEF"/>
    <w:rsid w:val="009419F9"/>
    <w:rsid w:val="0095685E"/>
    <w:rsid w:val="00961B09"/>
    <w:rsid w:val="00965334"/>
    <w:rsid w:val="0097093E"/>
    <w:rsid w:val="00986AC5"/>
    <w:rsid w:val="009A0DFA"/>
    <w:rsid w:val="009B2D26"/>
    <w:rsid w:val="009C71FA"/>
    <w:rsid w:val="009C72E7"/>
    <w:rsid w:val="009D3058"/>
    <w:rsid w:val="009F3A13"/>
    <w:rsid w:val="00A02844"/>
    <w:rsid w:val="00A122D3"/>
    <w:rsid w:val="00A17F13"/>
    <w:rsid w:val="00A20739"/>
    <w:rsid w:val="00A33C78"/>
    <w:rsid w:val="00A7053E"/>
    <w:rsid w:val="00AB0ADB"/>
    <w:rsid w:val="00AF1EA8"/>
    <w:rsid w:val="00B01B1A"/>
    <w:rsid w:val="00B66319"/>
    <w:rsid w:val="00B72CD3"/>
    <w:rsid w:val="00B72FFF"/>
    <w:rsid w:val="00B94BE3"/>
    <w:rsid w:val="00BC3D36"/>
    <w:rsid w:val="00BD7F72"/>
    <w:rsid w:val="00BF1DA5"/>
    <w:rsid w:val="00C04FB3"/>
    <w:rsid w:val="00C24070"/>
    <w:rsid w:val="00C330EB"/>
    <w:rsid w:val="00C41061"/>
    <w:rsid w:val="00C754BE"/>
    <w:rsid w:val="00C76B1C"/>
    <w:rsid w:val="00CB6357"/>
    <w:rsid w:val="00CC1B26"/>
    <w:rsid w:val="00D0644C"/>
    <w:rsid w:val="00D423A2"/>
    <w:rsid w:val="00D520D8"/>
    <w:rsid w:val="00D63AC2"/>
    <w:rsid w:val="00D7383B"/>
    <w:rsid w:val="00DA231B"/>
    <w:rsid w:val="00DC39FC"/>
    <w:rsid w:val="00DD1502"/>
    <w:rsid w:val="00DF5254"/>
    <w:rsid w:val="00E16408"/>
    <w:rsid w:val="00E20894"/>
    <w:rsid w:val="00E245AB"/>
    <w:rsid w:val="00E2764C"/>
    <w:rsid w:val="00E27F2E"/>
    <w:rsid w:val="00E50AFE"/>
    <w:rsid w:val="00E72AE7"/>
    <w:rsid w:val="00E75C92"/>
    <w:rsid w:val="00E771DC"/>
    <w:rsid w:val="00E8772A"/>
    <w:rsid w:val="00E90F6B"/>
    <w:rsid w:val="00E92C27"/>
    <w:rsid w:val="00E94F90"/>
    <w:rsid w:val="00EA0E3D"/>
    <w:rsid w:val="00EA331A"/>
    <w:rsid w:val="00EC38A7"/>
    <w:rsid w:val="00EC7286"/>
    <w:rsid w:val="00EC72F8"/>
    <w:rsid w:val="00ED7384"/>
    <w:rsid w:val="00EE1AA8"/>
    <w:rsid w:val="00F31EDC"/>
    <w:rsid w:val="00F462B3"/>
    <w:rsid w:val="00F5664F"/>
    <w:rsid w:val="00F666C4"/>
    <w:rsid w:val="00F76AFC"/>
    <w:rsid w:val="00FA0854"/>
    <w:rsid w:val="00FA47C0"/>
    <w:rsid w:val="00FB1927"/>
    <w:rsid w:val="00FB5DD1"/>
    <w:rsid w:val="00FC2B5D"/>
    <w:rsid w:val="00FF1449"/>
    <w:rsid w:val="3167CC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Refdecomentario">
    <w:name w:val="annotation reference"/>
    <w:basedOn w:val="Fuentedeprrafopredeter"/>
    <w:uiPriority w:val="99"/>
    <w:semiHidden/>
    <w:unhideWhenUsed/>
    <w:rsid w:val="00772134"/>
    <w:rPr>
      <w:sz w:val="16"/>
      <w:szCs w:val="16"/>
    </w:rPr>
  </w:style>
  <w:style w:type="paragraph" w:styleId="Textocomentario">
    <w:name w:val="annotation text"/>
    <w:basedOn w:val="Normal"/>
    <w:link w:val="TextocomentarioCar"/>
    <w:uiPriority w:val="99"/>
    <w:unhideWhenUsed/>
    <w:rsid w:val="00772134"/>
    <w:pPr>
      <w:spacing w:line="240" w:lineRule="auto"/>
    </w:pPr>
    <w:rPr>
      <w:sz w:val="20"/>
      <w:szCs w:val="20"/>
    </w:rPr>
  </w:style>
  <w:style w:type="character" w:customStyle="1" w:styleId="TextocomentarioCar">
    <w:name w:val="Texto comentario Car"/>
    <w:basedOn w:val="Fuentedeprrafopredeter"/>
    <w:link w:val="Textocomentario"/>
    <w:uiPriority w:val="99"/>
    <w:rsid w:val="00772134"/>
    <w:rPr>
      <w:sz w:val="20"/>
      <w:szCs w:val="20"/>
    </w:rPr>
  </w:style>
  <w:style w:type="paragraph" w:styleId="Asuntodelcomentario">
    <w:name w:val="annotation subject"/>
    <w:basedOn w:val="Textocomentario"/>
    <w:next w:val="Textocomentario"/>
    <w:link w:val="AsuntodelcomentarioCar"/>
    <w:uiPriority w:val="99"/>
    <w:semiHidden/>
    <w:unhideWhenUsed/>
    <w:rsid w:val="00772134"/>
    <w:rPr>
      <w:b/>
      <w:bCs/>
    </w:rPr>
  </w:style>
  <w:style w:type="character" w:customStyle="1" w:styleId="AsuntodelcomentarioCar">
    <w:name w:val="Asunto del comentario Car"/>
    <w:basedOn w:val="TextocomentarioCar"/>
    <w:link w:val="Asuntodelcomentario"/>
    <w:uiPriority w:val="99"/>
    <w:semiHidden/>
    <w:rsid w:val="007721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de-infraestructura-de-transporte"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838F396-6A96-4D25-942C-E22F695FE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6092</Words>
  <Characters>33511</Characters>
  <Application>Microsoft Office Word</Application>
  <DocSecurity>0</DocSecurity>
  <Lines>279</Lines>
  <Paragraphs>79</Paragraphs>
  <ScaleCrop>false</ScaleCrop>
  <Company/>
  <LinksUpToDate>false</LinksUpToDate>
  <CharactersWithSpaces>39524</CharactersWithSpaces>
  <SharedDoc>false</SharedDoc>
  <HLinks>
    <vt:vector size="30" baseType="variant">
      <vt:variant>
        <vt:i4>6422581</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vt:lpwstr>
      </vt:variant>
      <vt:variant>
        <vt:lpwstr/>
      </vt:variant>
      <vt:variant>
        <vt:i4>6553647</vt:i4>
      </vt:variant>
      <vt:variant>
        <vt:i4>9</vt:i4>
      </vt:variant>
      <vt:variant>
        <vt:i4>0</vt:i4>
      </vt:variant>
      <vt:variant>
        <vt:i4>5</vt:i4>
      </vt:variant>
      <vt:variant>
        <vt:lpwstr>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vt:lpwstr>
      </vt:variant>
      <vt:variant>
        <vt:lpwstr/>
      </vt:variant>
      <vt:variant>
        <vt:i4>7143462</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vt:lpwstr>
      </vt:variant>
      <vt:variant>
        <vt:lpwstr/>
      </vt:variant>
      <vt:variant>
        <vt:i4>2162739</vt:i4>
      </vt:variant>
      <vt:variant>
        <vt:i4>3</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2883689</vt:i4>
      </vt:variant>
      <vt:variant>
        <vt:i4>0</vt:i4>
      </vt:variant>
      <vt:variant>
        <vt:i4>0</vt:i4>
      </vt:variant>
      <vt:variant>
        <vt:i4>5</vt:i4>
      </vt:variant>
      <vt:variant>
        <vt:lpwstr>https://www.colombiacompra.gov.co/content/documentos-tipo-de-infraestructura-de-transporte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2025-04-21T21:11:00Z</dcterms:created>
  <dcterms:modified xsi:type="dcterms:W3CDTF">2025-04-22T16:09:00Z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