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5CC72" w14:textId="77777777" w:rsidR="004C57D9" w:rsidRPr="00E02524" w:rsidRDefault="004C57D9" w:rsidP="004C57D9">
      <w:pPr>
        <w:spacing w:after="0" w:line="240" w:lineRule="auto"/>
        <w:jc w:val="both"/>
        <w:rPr>
          <w:rFonts w:ascii="Verdana" w:eastAsia="Verdana" w:hAnsi="Verdana" w:cs="Verdana"/>
          <w:b/>
          <w:bCs/>
          <w:lang w:val="es-MX"/>
        </w:rPr>
      </w:pPr>
      <w:bookmarkStart w:id="0" w:name="_Hlk143780582"/>
    </w:p>
    <w:p w14:paraId="07B0EDBC" w14:textId="77777777" w:rsidR="004C57D9" w:rsidRDefault="004C57D9" w:rsidP="004C57D9">
      <w:pPr>
        <w:spacing w:after="0"/>
        <w:contextualSpacing/>
        <w:jc w:val="both"/>
        <w:rPr>
          <w:rFonts w:ascii="Verdana" w:eastAsia="Calibri" w:hAnsi="Verdana" w:cs="Arial"/>
          <w:b/>
          <w:bCs/>
          <w:lang w:val="es-ES" w:eastAsia="es-ES"/>
        </w:rPr>
      </w:pPr>
      <w:bookmarkStart w:id="1" w:name="_Hlk215673488"/>
      <w:r w:rsidRPr="00F142EF">
        <w:rPr>
          <w:rFonts w:ascii="Verdana" w:eastAsia="Calibri" w:hAnsi="Verdana" w:cs="Arial"/>
          <w:b/>
          <w:bCs/>
          <w:lang w:val="es-ES" w:eastAsia="es-ES"/>
        </w:rPr>
        <w:t>LEY DE GARANTÍAS ELECTORALES – Finalidad</w:t>
      </w:r>
    </w:p>
    <w:p w14:paraId="299D013E" w14:textId="77777777" w:rsidR="004C57D9" w:rsidRDefault="004C57D9" w:rsidP="004C57D9">
      <w:pPr>
        <w:contextualSpacing/>
        <w:jc w:val="both"/>
        <w:rPr>
          <w:rFonts w:ascii="Verdana" w:eastAsia="Calibri" w:hAnsi="Verdana" w:cs="Arial"/>
          <w:b/>
          <w:bCs/>
          <w:lang w:val="es-ES" w:eastAsia="es-ES"/>
        </w:rPr>
      </w:pPr>
    </w:p>
    <w:p w14:paraId="074566FE" w14:textId="77777777" w:rsidR="004C57D9" w:rsidRPr="00E146FE" w:rsidRDefault="004C57D9" w:rsidP="004C57D9">
      <w:pPr>
        <w:spacing w:line="240" w:lineRule="auto"/>
        <w:contextualSpacing/>
        <w:jc w:val="both"/>
        <w:rPr>
          <w:rFonts w:ascii="Verdana" w:eastAsia="Times New Roman" w:hAnsi="Verdana" w:cs="Arial"/>
          <w:sz w:val="20"/>
          <w:szCs w:val="20"/>
          <w:lang w:val="es-ES" w:eastAsia="es-CO"/>
        </w:rPr>
      </w:pPr>
      <w:r w:rsidRPr="00E146F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0C8CCBFC" w14:textId="77777777" w:rsidR="004C57D9" w:rsidRPr="00F142EF" w:rsidRDefault="004C57D9" w:rsidP="004C57D9">
      <w:pPr>
        <w:spacing w:after="0" w:line="240" w:lineRule="auto"/>
        <w:contextualSpacing/>
        <w:jc w:val="both"/>
        <w:rPr>
          <w:rFonts w:ascii="Verdana" w:eastAsia="Calibri" w:hAnsi="Verdana" w:cs="Arial"/>
          <w:b/>
          <w:bCs/>
          <w:lang w:val="es-ES" w:eastAsia="es-ES"/>
        </w:rPr>
      </w:pPr>
    </w:p>
    <w:p w14:paraId="107A2E62" w14:textId="77777777" w:rsidR="004C57D9" w:rsidRDefault="004C57D9" w:rsidP="004C57D9">
      <w:pPr>
        <w:contextualSpacing/>
        <w:jc w:val="both"/>
        <w:rPr>
          <w:rFonts w:ascii="Verdana" w:eastAsia="Calibri" w:hAnsi="Verdana" w:cs="Arial"/>
          <w:b/>
          <w:bCs/>
          <w:lang w:val="es-ES" w:eastAsia="es-ES"/>
        </w:rPr>
      </w:pPr>
      <w:r w:rsidRPr="00F142EF">
        <w:rPr>
          <w:rFonts w:ascii="Verdana" w:eastAsia="Calibri" w:hAnsi="Verdana" w:cs="Arial"/>
          <w:b/>
          <w:bCs/>
          <w:lang w:val="es-ES" w:eastAsia="es-ES"/>
        </w:rPr>
        <w:t>LEY DE GARANTÍAS ELECTORALES ‒ Restricciones ‒ Contratación ‒ Tipos de elección</w:t>
      </w:r>
    </w:p>
    <w:p w14:paraId="3A52230B" w14:textId="77777777" w:rsidR="004C57D9" w:rsidRDefault="004C57D9" w:rsidP="004C57D9">
      <w:pPr>
        <w:contextualSpacing/>
        <w:jc w:val="both"/>
        <w:rPr>
          <w:rFonts w:ascii="Verdana" w:eastAsia="Calibri" w:hAnsi="Verdana" w:cs="Arial"/>
          <w:b/>
          <w:bCs/>
          <w:lang w:val="es-ES" w:eastAsia="es-ES"/>
        </w:rPr>
      </w:pPr>
    </w:p>
    <w:p w14:paraId="7C1734BC" w14:textId="77777777" w:rsidR="004C57D9" w:rsidRDefault="004C57D9" w:rsidP="004C57D9">
      <w:pPr>
        <w:spacing w:after="0" w:line="240" w:lineRule="auto"/>
        <w:jc w:val="both"/>
        <w:rPr>
          <w:rFonts w:ascii="Verdana" w:eastAsia="Calibri" w:hAnsi="Verdana" w:cs="Arial"/>
          <w:sz w:val="20"/>
          <w:szCs w:val="20"/>
          <w:lang w:val="es-ES"/>
        </w:rPr>
      </w:pPr>
      <w:r w:rsidRPr="00E146FE">
        <w:rPr>
          <w:rFonts w:ascii="Verdana" w:eastAsia="Calibri" w:hAnsi="Verdana" w:cs="Arial"/>
          <w:sz w:val="20"/>
          <w:szCs w:val="20"/>
          <w:lang w:val="es-ES"/>
        </w:rPr>
        <w:t xml:space="preserve">Por un lado, el </w:t>
      </w:r>
      <w:r w:rsidRPr="00E146FE">
        <w:rPr>
          <w:rFonts w:ascii="Verdana" w:eastAsia="Calibri" w:hAnsi="Verdana" w:cs="Arial"/>
          <w:i/>
          <w:iCs/>
          <w:sz w:val="20"/>
          <w:szCs w:val="20"/>
          <w:lang w:val="es-ES"/>
        </w:rPr>
        <w:t xml:space="preserve">artículo 33 </w:t>
      </w:r>
      <w:r w:rsidRPr="00E146FE">
        <w:rPr>
          <w:rFonts w:ascii="Verdana" w:eastAsia="Calibri" w:hAnsi="Verdana" w:cs="Arial"/>
          <w:sz w:val="20"/>
          <w:szCs w:val="20"/>
          <w:lang w:val="es-ES"/>
        </w:rPr>
        <w:t xml:space="preserve">de la Ley 996 de 2005 prohíbe “[…] la contratación directa por parte de </w:t>
      </w:r>
      <w:r w:rsidRPr="00E146FE">
        <w:rPr>
          <w:rFonts w:ascii="Verdana" w:eastAsia="Calibri" w:hAnsi="Verdana" w:cs="Arial"/>
          <w:i/>
          <w:iCs/>
          <w:sz w:val="20"/>
          <w:szCs w:val="20"/>
          <w:lang w:val="es-ES"/>
        </w:rPr>
        <w:t>todos los entes del Estado</w:t>
      </w:r>
      <w:r w:rsidRPr="00E146FE">
        <w:rPr>
          <w:rFonts w:ascii="Verdana" w:eastAsia="Calibri" w:hAnsi="Verdana" w:cs="Arial"/>
          <w:sz w:val="20"/>
          <w:szCs w:val="20"/>
          <w:lang w:val="es-ES"/>
        </w:rPr>
        <w:t xml:space="preserve">” durante los cuatro (4) meses anteriores a las </w:t>
      </w:r>
      <w:r w:rsidRPr="00E146FE">
        <w:rPr>
          <w:rFonts w:ascii="Verdana" w:eastAsia="Calibri" w:hAnsi="Verdana" w:cs="Arial"/>
          <w:i/>
          <w:iCs/>
          <w:sz w:val="20"/>
          <w:szCs w:val="20"/>
          <w:lang w:val="es-ES"/>
        </w:rPr>
        <w:t>elecciones presidenciales</w:t>
      </w:r>
      <w:r w:rsidRPr="00E146FE">
        <w:rPr>
          <w:rFonts w:ascii="Verdana" w:eastAsia="Calibri"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14F050A" w14:textId="77777777" w:rsidR="004C57D9" w:rsidRPr="00E146FE" w:rsidRDefault="004C57D9" w:rsidP="004C57D9">
      <w:pPr>
        <w:spacing w:after="0" w:line="240" w:lineRule="auto"/>
        <w:jc w:val="both"/>
        <w:rPr>
          <w:rFonts w:ascii="Verdana" w:eastAsia="Calibri" w:hAnsi="Verdana" w:cs="Arial"/>
          <w:sz w:val="20"/>
          <w:szCs w:val="20"/>
          <w:lang w:val="es-ES"/>
        </w:rPr>
      </w:pPr>
    </w:p>
    <w:p w14:paraId="6F81041B" w14:textId="77777777" w:rsidR="004C57D9" w:rsidRDefault="004C57D9" w:rsidP="004C57D9">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E146FE">
        <w:rPr>
          <w:rFonts w:ascii="Verdana" w:eastAsia="Calibri" w:hAnsi="Verdana" w:cs="Arial"/>
          <w:sz w:val="20"/>
          <w:szCs w:val="20"/>
          <w:lang w:val="es-ES"/>
        </w:rPr>
        <w:t xml:space="preserve">Por otro lado, </w:t>
      </w:r>
      <w:r w:rsidRPr="00E146FE">
        <w:rPr>
          <w:rFonts w:ascii="Verdana" w:eastAsia="Calibri" w:hAnsi="Verdana" w:cs="Arial"/>
          <w:i/>
          <w:iCs/>
          <w:sz w:val="20"/>
          <w:szCs w:val="20"/>
          <w:lang w:val="es-ES"/>
        </w:rPr>
        <w:t xml:space="preserve">el parágrafo del artículo 38 </w:t>
      </w:r>
      <w:r w:rsidRPr="00E146FE">
        <w:rPr>
          <w:rFonts w:ascii="Verdana" w:eastAsia="Calibri" w:hAnsi="Verdana" w:cs="Arial"/>
          <w:sz w:val="20"/>
          <w:szCs w:val="20"/>
          <w:lang w:val="es-ES"/>
        </w:rPr>
        <w:t xml:space="preserve">de la Ley 996 de 2005 prevé una restricción, aplicable respecto de </w:t>
      </w:r>
      <w:r w:rsidRPr="00E146FE">
        <w:rPr>
          <w:rFonts w:ascii="Verdana" w:eastAsia="Calibri" w:hAnsi="Verdana" w:cs="Arial"/>
          <w:i/>
          <w:iCs/>
          <w:sz w:val="20"/>
          <w:szCs w:val="20"/>
          <w:lang w:val="es-ES"/>
        </w:rPr>
        <w:t>cualquier tipo de contienda electoral</w:t>
      </w:r>
      <w:r w:rsidRPr="00E146FE">
        <w:rPr>
          <w:rFonts w:ascii="Verdana" w:eastAsia="Calibri"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146FE">
        <w:rPr>
          <w:rFonts w:ascii="Verdana" w:eastAsia="Arial" w:hAnsi="Verdana" w:cs="Arial"/>
          <w:sz w:val="20"/>
          <w:szCs w:val="20"/>
          <w:lang w:val="es-ES" w:eastAsia="es-ES" w:bidi="es-ES"/>
        </w:rPr>
        <w:t xml:space="preserve"> </w:t>
      </w:r>
    </w:p>
    <w:p w14:paraId="438777D8" w14:textId="77777777" w:rsidR="004C57D9" w:rsidRPr="00E146FE" w:rsidRDefault="004C57D9" w:rsidP="004C57D9">
      <w:pPr>
        <w:widowControl w:val="0"/>
        <w:autoSpaceDE w:val="0"/>
        <w:autoSpaceDN w:val="0"/>
        <w:spacing w:after="0" w:line="240" w:lineRule="auto"/>
        <w:ind w:right="113"/>
        <w:jc w:val="both"/>
        <w:rPr>
          <w:rFonts w:ascii="Verdana" w:eastAsia="Arial" w:hAnsi="Verdana" w:cs="Arial"/>
          <w:sz w:val="20"/>
          <w:szCs w:val="20"/>
          <w:lang w:val="es-ES" w:eastAsia="es-ES" w:bidi="es-ES"/>
        </w:rPr>
      </w:pPr>
    </w:p>
    <w:p w14:paraId="3F0D7302" w14:textId="77777777" w:rsidR="004C57D9" w:rsidRDefault="004C57D9" w:rsidP="004C57D9">
      <w:pPr>
        <w:spacing w:after="0" w:line="240" w:lineRule="auto"/>
        <w:jc w:val="both"/>
        <w:rPr>
          <w:rFonts w:ascii="Verdana" w:eastAsia="Arial" w:hAnsi="Verdana" w:cs="Arial"/>
          <w:sz w:val="20"/>
          <w:szCs w:val="20"/>
          <w:lang w:val="es-ES" w:eastAsia="es-ES" w:bidi="es-ES"/>
        </w:rPr>
      </w:pPr>
      <w:r w:rsidRPr="00E146FE">
        <w:rPr>
          <w:rFonts w:ascii="Verdana" w:eastAsia="Arial" w:hAnsi="Verdana" w:cs="Arial"/>
          <w:sz w:val="20"/>
          <w:szCs w:val="20"/>
          <w:lang w:val="es-ES" w:eastAsia="es-ES" w:bidi="es-ES"/>
        </w:rPr>
        <w:t xml:space="preserve">[…] De conformidad con lo anterior, la Ley 996 de 2005 establece dos (2) tipos de restricciones en materia de contratación, las cuales coinciden parcialmente. </w:t>
      </w:r>
      <w:r w:rsidRPr="00E146FE">
        <w:rPr>
          <w:rFonts w:ascii="Verdana" w:eastAsia="Arial" w:hAnsi="Verdana" w:cs="Arial"/>
          <w:i/>
          <w:sz w:val="20"/>
          <w:szCs w:val="20"/>
          <w:lang w:val="es-ES" w:eastAsia="es-ES" w:bidi="es-ES"/>
        </w:rPr>
        <w:t>En primer lugar</w:t>
      </w:r>
      <w:r w:rsidRPr="00E146FE">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146FE">
        <w:rPr>
          <w:rFonts w:ascii="Verdana" w:eastAsia="Arial" w:hAnsi="Verdana" w:cs="Arial"/>
          <w:i/>
          <w:sz w:val="20"/>
          <w:szCs w:val="20"/>
          <w:lang w:val="es-ES" w:eastAsia="es-ES" w:bidi="es-ES"/>
        </w:rPr>
        <w:t>En segundo lugar</w:t>
      </w:r>
      <w:r w:rsidRPr="00E146FE">
        <w:rPr>
          <w:rFonts w:ascii="Verdana" w:eastAsia="Arial" w:hAnsi="Verdana" w:cs="Arial"/>
          <w:sz w:val="20"/>
          <w:szCs w:val="20"/>
          <w:lang w:val="es-ES" w:eastAsia="es-ES" w:bidi="es-ES"/>
        </w:rPr>
        <w:t xml:space="preserve">, también se encuentra la prohibición del parágrafo del artículo 38, el cual debe aplicarse respecto de cualquier tipo de contienda electoral, y que prohíbe la celebración de convenios interadministrativos que impliquen la </w:t>
      </w:r>
      <w:r w:rsidRPr="00E146FE">
        <w:rPr>
          <w:rFonts w:ascii="Verdana" w:eastAsia="Arial" w:hAnsi="Verdana" w:cs="Arial"/>
          <w:sz w:val="20"/>
          <w:szCs w:val="20"/>
          <w:lang w:val="es-ES" w:eastAsia="es-ES" w:bidi="es-ES"/>
        </w:rPr>
        <w:lastRenderedPageBreak/>
        <w:t>ejecución de recursos públicos dentro de los cuatro (4) meses anteriores a la respectiva jornada de votaciones.</w:t>
      </w:r>
    </w:p>
    <w:p w14:paraId="0201EFE4" w14:textId="77777777" w:rsidR="004C57D9" w:rsidRPr="00E146FE" w:rsidRDefault="004C57D9" w:rsidP="004C57D9">
      <w:pPr>
        <w:spacing w:after="0" w:line="240" w:lineRule="auto"/>
        <w:jc w:val="both"/>
        <w:rPr>
          <w:rFonts w:ascii="Verdana" w:eastAsia="Arial" w:hAnsi="Verdana" w:cs="Arial"/>
          <w:sz w:val="20"/>
          <w:szCs w:val="20"/>
          <w:lang w:val="es-ES" w:eastAsia="es-ES" w:bidi="es-ES"/>
        </w:rPr>
      </w:pPr>
    </w:p>
    <w:p w14:paraId="1F5CC157" w14:textId="77777777" w:rsidR="004C57D9" w:rsidRDefault="004C57D9" w:rsidP="004C57D9">
      <w:pPr>
        <w:contextualSpacing/>
        <w:jc w:val="both"/>
        <w:rPr>
          <w:rFonts w:ascii="Verdana" w:eastAsia="Calibri" w:hAnsi="Verdana" w:cs="Arial"/>
          <w:b/>
          <w:bCs/>
          <w:lang w:val="es-ES" w:eastAsia="es-ES"/>
        </w:rPr>
      </w:pPr>
      <w:r w:rsidRPr="00F142EF">
        <w:rPr>
          <w:rFonts w:ascii="Verdana" w:eastAsia="Calibri" w:hAnsi="Verdana" w:cs="Arial"/>
          <w:b/>
          <w:bCs/>
          <w:lang w:val="es-ES" w:eastAsia="es-ES"/>
        </w:rPr>
        <w:t>LEY DE GARANTÍAS ELECTORALES ‒ Artículo 33 ‒ Ámbito material</w:t>
      </w:r>
    </w:p>
    <w:p w14:paraId="4471F356" w14:textId="77777777" w:rsidR="004C57D9" w:rsidRPr="00E146FE" w:rsidRDefault="004C57D9" w:rsidP="004C57D9">
      <w:pPr>
        <w:spacing w:line="240" w:lineRule="auto"/>
        <w:contextualSpacing/>
        <w:jc w:val="both"/>
        <w:rPr>
          <w:rFonts w:ascii="Verdana" w:eastAsia="Calibri" w:hAnsi="Verdana" w:cs="Arial"/>
          <w:b/>
          <w:bCs/>
          <w:sz w:val="20"/>
          <w:szCs w:val="20"/>
          <w:lang w:val="es-ES" w:eastAsia="es-ES"/>
        </w:rPr>
      </w:pPr>
    </w:p>
    <w:p w14:paraId="6290F4B8" w14:textId="77777777" w:rsidR="004C57D9" w:rsidRPr="00E146FE" w:rsidRDefault="004C57D9" w:rsidP="004C57D9">
      <w:pPr>
        <w:spacing w:after="0" w:line="240" w:lineRule="auto"/>
        <w:contextualSpacing/>
        <w:jc w:val="both"/>
        <w:rPr>
          <w:rFonts w:ascii="Verdana" w:eastAsia="Calibri" w:hAnsi="Verdana" w:cs="Arial"/>
          <w:b/>
          <w:bCs/>
          <w:sz w:val="20"/>
          <w:szCs w:val="20"/>
          <w:lang w:val="es-ES" w:eastAsia="es-ES"/>
        </w:rPr>
      </w:pPr>
      <w:r w:rsidRPr="00E146FE">
        <w:rPr>
          <w:rFonts w:ascii="Verdana" w:eastAsia="Times New Roman" w:hAnsi="Verdana" w:cs="Arial"/>
          <w:sz w:val="20"/>
          <w:szCs w:val="20"/>
          <w:lang w:val="es-ES"/>
        </w:rPr>
        <w:t xml:space="preserve">De lo anterior se desprende que la restricción aplica, sin perjuicio de las excepciones establecidas en la misma ley, para celebrar </w:t>
      </w:r>
      <w:r w:rsidRPr="00E146FE">
        <w:rPr>
          <w:rFonts w:ascii="Verdana" w:eastAsia="Times New Roman" w:hAnsi="Verdana" w:cs="Arial"/>
          <w:i/>
          <w:iCs/>
          <w:sz w:val="20"/>
          <w:szCs w:val="20"/>
          <w:lang w:val="es-ES"/>
        </w:rPr>
        <w:t>cualquier contrato de forma directa</w:t>
      </w:r>
      <w:r w:rsidRPr="00E146FE">
        <w:rPr>
          <w:rFonts w:ascii="Verdana" w:eastAsia="Times New Roman" w:hAnsi="Verdana" w:cs="Arial"/>
          <w:sz w:val="20"/>
          <w:szCs w:val="20"/>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E0925CF" w14:textId="77777777" w:rsidR="004C57D9" w:rsidRPr="00F142EF" w:rsidRDefault="004C57D9" w:rsidP="004C57D9">
      <w:pPr>
        <w:spacing w:after="0" w:line="240" w:lineRule="auto"/>
        <w:contextualSpacing/>
        <w:jc w:val="both"/>
        <w:rPr>
          <w:rFonts w:ascii="Verdana" w:eastAsia="Calibri" w:hAnsi="Verdana" w:cs="Arial"/>
          <w:b/>
          <w:bCs/>
          <w:lang w:val="es-ES" w:eastAsia="es-ES"/>
        </w:rPr>
      </w:pPr>
    </w:p>
    <w:p w14:paraId="6FFC76C6" w14:textId="77777777" w:rsidR="004C57D9" w:rsidRDefault="004C57D9" w:rsidP="004C57D9">
      <w:pPr>
        <w:spacing w:after="0"/>
        <w:contextualSpacing/>
        <w:jc w:val="both"/>
        <w:rPr>
          <w:rFonts w:ascii="Verdana" w:eastAsia="Calibri" w:hAnsi="Verdana" w:cs="Arial"/>
          <w:b/>
          <w:bCs/>
          <w:lang w:val="es-ES" w:eastAsia="es-ES"/>
        </w:rPr>
      </w:pPr>
      <w:r w:rsidRPr="00F142EF">
        <w:rPr>
          <w:rFonts w:ascii="Verdana" w:eastAsia="Calibri" w:hAnsi="Verdana" w:cs="Arial"/>
          <w:b/>
          <w:bCs/>
          <w:lang w:val="es-ES" w:eastAsia="es-ES"/>
        </w:rPr>
        <w:t>LEY DE GARANTÍAS ELECTORALES – Aplicación – Contratación PIC</w:t>
      </w:r>
    </w:p>
    <w:p w14:paraId="43657E71" w14:textId="77777777" w:rsidR="004C57D9" w:rsidRDefault="004C57D9" w:rsidP="004C57D9">
      <w:pPr>
        <w:contextualSpacing/>
        <w:jc w:val="both"/>
        <w:rPr>
          <w:rFonts w:ascii="Verdana" w:eastAsia="Calibri" w:hAnsi="Verdana" w:cs="Arial"/>
          <w:b/>
          <w:bCs/>
          <w:lang w:val="es-ES" w:eastAsia="es-ES"/>
        </w:rPr>
      </w:pPr>
    </w:p>
    <w:p w14:paraId="27B0A046" w14:textId="77777777" w:rsidR="004C57D9" w:rsidRPr="00E146FE" w:rsidRDefault="004C57D9" w:rsidP="004C57D9">
      <w:pPr>
        <w:spacing w:after="0" w:line="240" w:lineRule="auto"/>
        <w:jc w:val="both"/>
        <w:rPr>
          <w:rFonts w:ascii="Verdana" w:eastAsia="Arial" w:hAnsi="Verdana" w:cs="Arial"/>
          <w:bCs/>
          <w:color w:val="000000" w:themeColor="text1"/>
          <w:sz w:val="20"/>
          <w:szCs w:val="20"/>
          <w:lang w:val="es-ES"/>
        </w:rPr>
      </w:pPr>
      <w:r w:rsidRPr="00E146FE">
        <w:rPr>
          <w:rFonts w:ascii="Verdana" w:eastAsia="Arial" w:hAnsi="Verdana" w:cs="Arial"/>
          <w:bCs/>
          <w:color w:val="000000" w:themeColor="text1"/>
          <w:sz w:val="20"/>
          <w:szCs w:val="20"/>
          <w:lang w:val="es-ES"/>
        </w:rPr>
        <w:t>Conforme con lo expuesto, las entidades que requieran adelantar procesos de contratación directa durante el periodo de garantías electorales deberán analizar, primero, si se configuran los supuestos establecidos en el artículo 33 de la Ley 996 de 2005, es decir, si se trata de una entidad pública que pretenda adelantar un proceso no competitivo. Adicionalmente, será pertinente analizar si se configura alguna de las excepciones previstas en la norma. En este caso, será relevante determinar si la contratación del PIC se realiza con ocasión a una “emergencia sanitaria” o si es llevada a cabo por “entidades sanitarias u hospitalarias”. De ser así, la entidad podrá contratar directamente, a pesar de que haya iniciado el periodo de garantías electorales correspondiente al artículo 33 de la Ley 996 de 2005.</w:t>
      </w:r>
    </w:p>
    <w:p w14:paraId="3E01747F" w14:textId="77777777" w:rsidR="004C57D9" w:rsidRDefault="004C57D9" w:rsidP="004C57D9">
      <w:pPr>
        <w:widowControl w:val="0"/>
        <w:autoSpaceDE w:val="0"/>
        <w:autoSpaceDN w:val="0"/>
        <w:spacing w:after="120" w:line="240" w:lineRule="auto"/>
        <w:ind w:right="113"/>
        <w:jc w:val="both"/>
        <w:rPr>
          <w:rFonts w:ascii="Verdana" w:eastAsia="Calibri" w:hAnsi="Verdana" w:cs="Arial"/>
          <w:bCs/>
          <w:sz w:val="20"/>
          <w:szCs w:val="20"/>
          <w:lang w:val="es-ES" w:eastAsia="es-ES"/>
        </w:rPr>
      </w:pPr>
    </w:p>
    <w:p w14:paraId="58DF0886" w14:textId="77777777" w:rsidR="004C57D9" w:rsidRPr="00E146FE" w:rsidRDefault="004C57D9" w:rsidP="004C57D9">
      <w:pPr>
        <w:widowControl w:val="0"/>
        <w:autoSpaceDE w:val="0"/>
        <w:autoSpaceDN w:val="0"/>
        <w:spacing w:after="120" w:line="240" w:lineRule="auto"/>
        <w:ind w:right="113"/>
        <w:jc w:val="both"/>
        <w:rPr>
          <w:rFonts w:ascii="Verdana" w:eastAsia="Arial" w:hAnsi="Verdana" w:cs="Arial"/>
          <w:bCs/>
          <w:color w:val="000000" w:themeColor="text1"/>
          <w:sz w:val="20"/>
          <w:szCs w:val="20"/>
          <w:lang w:val="es-ES"/>
        </w:rPr>
      </w:pPr>
      <w:r w:rsidRPr="00E146FE">
        <w:rPr>
          <w:rFonts w:ascii="Verdana" w:eastAsia="Calibri" w:hAnsi="Verdana" w:cs="Arial"/>
          <w:bCs/>
          <w:sz w:val="20"/>
          <w:szCs w:val="20"/>
          <w:lang w:val="es-ES" w:eastAsia="es-ES"/>
        </w:rPr>
        <w:t xml:space="preserve">[…] </w:t>
      </w:r>
      <w:r w:rsidRPr="00E146FE">
        <w:rPr>
          <w:rFonts w:ascii="Verdana" w:eastAsia="Arial" w:hAnsi="Verdana" w:cs="Arial"/>
          <w:bCs/>
          <w:sz w:val="20"/>
          <w:szCs w:val="20"/>
          <w:lang w:val="es-ES" w:eastAsia="es-ES" w:bidi="es-ES"/>
        </w:rPr>
        <w:t xml:space="preserve">En efecto, con respecto a [la] prohibición [del parágrafo del artículo 38], </w:t>
      </w:r>
      <w:r w:rsidRPr="00E146FE">
        <w:rPr>
          <w:rFonts w:ascii="Verdana" w:eastAsia="Arial" w:hAnsi="Verdana" w:cs="Arial"/>
          <w:bCs/>
          <w:color w:val="000000" w:themeColor="text1"/>
          <w:sz w:val="20"/>
          <w:szCs w:val="20"/>
          <w:lang w:val="es-ES"/>
        </w:rPr>
        <w:t xml:space="preserve">es necesario verificar si la contratación del PIC es llevada a cabo por alguno de los sujetos señalados en la norma, </w:t>
      </w:r>
      <w:r w:rsidRPr="00E146FE">
        <w:rPr>
          <w:rFonts w:ascii="Verdana" w:eastAsia="Arial" w:hAnsi="Verdana" w:cs="Arial"/>
          <w:bCs/>
          <w:color w:val="000000" w:themeColor="text1"/>
          <w:sz w:val="20"/>
          <w:szCs w:val="20"/>
        </w:rPr>
        <w:t>así como</w:t>
      </w:r>
      <w:r w:rsidRPr="00E146FE">
        <w:rPr>
          <w:rFonts w:ascii="Verdana" w:eastAsia="Arial" w:hAnsi="Verdana" w:cs="Arial"/>
          <w:bCs/>
          <w:color w:val="000000" w:themeColor="text1"/>
          <w:sz w:val="20"/>
          <w:szCs w:val="20"/>
          <w:lang w:val="es-ES"/>
        </w:rPr>
        <w:t xml:space="preserve"> si lo que se pretende adelantar es un convenio o un contrato interadministrativo para la ejecución de recursos públicos. Cuando este sea el caso, operará la restricción señalada en el parágrafo y estará prohibido llevar a cabo la contratación en los cuatro meses anteriores a cualquier contienda electoral. Es importante resaltar que para esta prohibición la norma no contempló ninguna excepción, de modo que aplicará aunque se trate de entidades sanitarias u hospitalarias […] </w:t>
      </w:r>
      <w:r w:rsidRPr="00E146FE">
        <w:rPr>
          <w:rFonts w:ascii="Verdana" w:eastAsia="Times New Roman" w:hAnsi="Verdana" w:cs="Arial"/>
          <w:bCs/>
          <w:sz w:val="20"/>
          <w:szCs w:val="20"/>
          <w:lang w:val="es-ES" w:eastAsia="es-CO"/>
        </w:rPr>
        <w:t xml:space="preserve">es importante resaltar que el Ministerio de Salud y Protección Social </w:t>
      </w:r>
      <w:r w:rsidRPr="00E146FE">
        <w:rPr>
          <w:rFonts w:ascii="Verdana" w:eastAsia="Arial" w:hAnsi="Verdana" w:cs="Arial"/>
          <w:bCs/>
          <w:color w:val="000000" w:themeColor="text1"/>
          <w:sz w:val="20"/>
          <w:szCs w:val="20"/>
          <w:lang w:val="es-ES"/>
        </w:rPr>
        <w:t>dispuso que, con el fin de garantizar la continuidad de las intervenciones de promoción de salud y prevención, “se debe acudir a las demás modalidades de contratación autorizadas por la ley de manera que no se afecte la ejecución de las intervenciones colectivas a cargo de las entidades territoriales”.</w:t>
      </w:r>
    </w:p>
    <w:p w14:paraId="7F56D517" w14:textId="77777777" w:rsidR="004C57D9" w:rsidRDefault="004C57D9" w:rsidP="004C57D9">
      <w:pPr>
        <w:spacing w:after="0"/>
        <w:rPr>
          <w:rFonts w:ascii="Verdana" w:hAnsi="Verdana"/>
          <w:lang w:val="es-ES"/>
        </w:rPr>
      </w:pPr>
    </w:p>
    <w:p w14:paraId="4139E072" w14:textId="77777777" w:rsidR="004C57D9" w:rsidRDefault="004C57D9" w:rsidP="004C57D9">
      <w:pPr>
        <w:spacing w:after="0"/>
        <w:rPr>
          <w:rFonts w:ascii="Verdana" w:hAnsi="Verdana"/>
          <w:lang w:val="es-ES"/>
        </w:rPr>
      </w:pPr>
    </w:p>
    <w:p w14:paraId="64645073" w14:textId="77777777" w:rsidR="004C57D9" w:rsidRDefault="004C57D9" w:rsidP="004C57D9">
      <w:pPr>
        <w:spacing w:after="0" w:line="240" w:lineRule="auto"/>
        <w:contextualSpacing/>
        <w:jc w:val="both"/>
        <w:rPr>
          <w:rFonts w:ascii="Verdana" w:hAnsi="Verdana"/>
        </w:rPr>
      </w:pPr>
    </w:p>
    <w:p w14:paraId="776F4036" w14:textId="77777777" w:rsidR="004C57D9" w:rsidRDefault="004C57D9" w:rsidP="004C57D9">
      <w:pPr>
        <w:spacing w:after="0" w:line="240" w:lineRule="auto"/>
        <w:contextualSpacing/>
        <w:jc w:val="both"/>
        <w:rPr>
          <w:rFonts w:ascii="Verdana" w:hAnsi="Verdana"/>
        </w:rPr>
      </w:pPr>
    </w:p>
    <w:p w14:paraId="1C9766FC" w14:textId="77777777" w:rsidR="000C3279" w:rsidRDefault="000C3279" w:rsidP="004C57D9">
      <w:pPr>
        <w:spacing w:after="0" w:line="240" w:lineRule="auto"/>
        <w:rPr>
          <w:rFonts w:ascii="Verdana" w:hAnsi="Verdana"/>
        </w:rPr>
      </w:pPr>
    </w:p>
    <w:p w14:paraId="4D178A67" w14:textId="77777777" w:rsidR="000C3279" w:rsidRDefault="000C3279" w:rsidP="004C57D9">
      <w:pPr>
        <w:spacing w:after="0" w:line="240" w:lineRule="auto"/>
        <w:rPr>
          <w:rFonts w:ascii="Verdana" w:hAnsi="Verdana"/>
        </w:rPr>
      </w:pPr>
    </w:p>
    <w:p w14:paraId="072E8207" w14:textId="77777777" w:rsidR="000C3279" w:rsidRDefault="000C3279" w:rsidP="004C57D9">
      <w:pPr>
        <w:spacing w:after="0" w:line="240" w:lineRule="auto"/>
        <w:rPr>
          <w:rFonts w:ascii="Verdana" w:hAnsi="Verdana"/>
        </w:rPr>
      </w:pPr>
    </w:p>
    <w:p w14:paraId="01FF622A" w14:textId="3B86E242" w:rsidR="004C57D9" w:rsidRDefault="004C57D9" w:rsidP="004C57D9">
      <w:pPr>
        <w:spacing w:after="0" w:line="240" w:lineRule="auto"/>
        <w:rPr>
          <w:rFonts w:ascii="Verdana" w:eastAsia="Geomanist Light" w:hAnsi="Verdana" w:cs="Arial"/>
          <w:color w:val="201F1E"/>
        </w:rPr>
      </w:pPr>
      <w:r w:rsidRPr="00DA72EC">
        <w:rPr>
          <w:rFonts w:ascii="Verdana" w:hAnsi="Verdana"/>
        </w:rPr>
        <w:lastRenderedPageBreak/>
        <w:t xml:space="preserve">Bogotá D.C., </w:t>
      </w:r>
      <w:r w:rsidR="000C3279">
        <w:rPr>
          <w:rFonts w:ascii="Verdana" w:eastAsia="Geomanist Light" w:hAnsi="Verdana" w:cs="Arial"/>
          <w:color w:val="201F1E"/>
        </w:rPr>
        <w:t>21 de abril de 2026</w:t>
      </w:r>
    </w:p>
    <w:p w14:paraId="7BAC03B3" w14:textId="77777777" w:rsidR="009162E1" w:rsidRPr="00DA72EC" w:rsidRDefault="009162E1" w:rsidP="004C57D9">
      <w:pPr>
        <w:spacing w:after="0" w:line="240" w:lineRule="auto"/>
        <w:rPr>
          <w:rFonts w:ascii="Verdana" w:eastAsia="Geomanist Light" w:hAnsi="Verdana" w:cs="Arial"/>
          <w:color w:val="201F1E"/>
        </w:rPr>
      </w:pPr>
    </w:p>
    <w:p w14:paraId="3D659330" w14:textId="7414CAAC" w:rsidR="004C57D9" w:rsidRPr="00B1031E" w:rsidRDefault="009162E1" w:rsidP="009162E1">
      <w:pPr>
        <w:spacing w:after="0" w:line="240" w:lineRule="auto"/>
        <w:jc w:val="right"/>
        <w:rPr>
          <w:rFonts w:ascii="Verdana" w:hAnsi="Verdana" w:cs="Arial"/>
          <w:color w:val="000000"/>
        </w:rPr>
      </w:pPr>
      <w:r w:rsidRPr="009162E1">
        <w:rPr>
          <w:rFonts w:ascii="Verdana" w:hAnsi="Verdana" w:cs="Arial"/>
          <w:noProof/>
          <w:color w:val="000000"/>
        </w:rPr>
        <w:drawing>
          <wp:anchor distT="0" distB="0" distL="114300" distR="114300" simplePos="0" relativeHeight="251658240" behindDoc="0" locked="0" layoutInCell="1" allowOverlap="1" wp14:anchorId="03A2B87C" wp14:editId="7B7ED82E">
            <wp:simplePos x="0" y="0"/>
            <wp:positionH relativeFrom="column">
              <wp:posOffset>3301365</wp:posOffset>
            </wp:positionH>
            <wp:positionV relativeFrom="paragraph">
              <wp:posOffset>0</wp:posOffset>
            </wp:positionV>
            <wp:extent cx="2308860" cy="830580"/>
            <wp:effectExtent l="0" t="0" r="0" b="7620"/>
            <wp:wrapSquare wrapText="bothSides"/>
            <wp:docPr id="11938471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8860" cy="830580"/>
                    </a:xfrm>
                    <a:prstGeom prst="rect">
                      <a:avLst/>
                    </a:prstGeom>
                    <a:noFill/>
                    <a:ln>
                      <a:noFill/>
                    </a:ln>
                  </pic:spPr>
                </pic:pic>
              </a:graphicData>
            </a:graphic>
          </wp:anchor>
        </w:drawing>
      </w:r>
    </w:p>
    <w:p w14:paraId="7CCC7F8A" w14:textId="77777777" w:rsidR="004C57D9" w:rsidRPr="00B1031E" w:rsidRDefault="004C57D9" w:rsidP="004C57D9">
      <w:pPr>
        <w:spacing w:after="0" w:line="240" w:lineRule="auto"/>
        <w:jc w:val="right"/>
        <w:rPr>
          <w:rFonts w:ascii="Verdana" w:hAnsi="Verdana" w:cs="Arial"/>
          <w:lang w:eastAsia="es-ES"/>
        </w:rPr>
      </w:pPr>
    </w:p>
    <w:p w14:paraId="4C45BF94" w14:textId="77777777" w:rsidR="004C57D9" w:rsidRPr="00B1031E" w:rsidRDefault="004C57D9" w:rsidP="004C57D9">
      <w:pPr>
        <w:spacing w:after="0" w:line="240" w:lineRule="auto"/>
        <w:jc w:val="both"/>
        <w:rPr>
          <w:rFonts w:ascii="Verdana" w:hAnsi="Verdana" w:cs="Arial"/>
          <w:lang w:eastAsia="es-ES"/>
        </w:rPr>
      </w:pPr>
      <w:r w:rsidRPr="00B1031E">
        <w:rPr>
          <w:rFonts w:ascii="Verdana" w:hAnsi="Verdana" w:cs="Arial"/>
          <w:lang w:eastAsia="es-ES"/>
        </w:rPr>
        <w:t>Señor</w:t>
      </w:r>
    </w:p>
    <w:p w14:paraId="2AD360B7" w14:textId="77777777" w:rsidR="004C57D9" w:rsidRPr="00B1031E" w:rsidRDefault="004C57D9" w:rsidP="004C57D9">
      <w:pPr>
        <w:spacing w:after="0" w:line="240" w:lineRule="auto"/>
        <w:jc w:val="both"/>
        <w:rPr>
          <w:rFonts w:ascii="Verdana" w:hAnsi="Verdana" w:cs="Arial"/>
          <w:b/>
          <w:bCs/>
          <w:lang w:eastAsia="es-ES"/>
        </w:rPr>
      </w:pPr>
      <w:r w:rsidRPr="00B1031E">
        <w:rPr>
          <w:rFonts w:ascii="Verdana" w:hAnsi="Verdana" w:cs="Arial"/>
          <w:b/>
          <w:bCs/>
          <w:lang w:eastAsia="es-ES"/>
        </w:rPr>
        <w:t>Danny Steve Peñaloza Niño</w:t>
      </w:r>
    </w:p>
    <w:p w14:paraId="0A321F0E" w14:textId="77777777" w:rsidR="004C57D9" w:rsidRPr="00DA72EC" w:rsidRDefault="004C57D9" w:rsidP="004C57D9">
      <w:pPr>
        <w:spacing w:after="0" w:line="240" w:lineRule="auto"/>
        <w:jc w:val="both"/>
        <w:rPr>
          <w:rFonts w:ascii="Verdana" w:hAnsi="Verdana" w:cs="Arial"/>
          <w:lang w:eastAsia="es-ES"/>
        </w:rPr>
      </w:pPr>
      <w:hyperlink r:id="rId11" w:history="1">
        <w:r w:rsidRPr="00DA72EC">
          <w:rPr>
            <w:rStyle w:val="Hipervnculo"/>
            <w:rFonts w:ascii="Verdana" w:hAnsi="Verdana" w:cs="Arial"/>
            <w:lang w:eastAsia="es-ES"/>
          </w:rPr>
          <w:t>dannysteve3@gmail.com</w:t>
        </w:r>
      </w:hyperlink>
      <w:r w:rsidRPr="00DA72EC">
        <w:rPr>
          <w:rFonts w:ascii="Verdana" w:hAnsi="Verdana" w:cs="Arial"/>
          <w:lang w:eastAsia="es-ES"/>
        </w:rPr>
        <w:t xml:space="preserve"> </w:t>
      </w:r>
    </w:p>
    <w:p w14:paraId="3FDE1601" w14:textId="77777777" w:rsidR="004C57D9" w:rsidRPr="00DA72EC" w:rsidRDefault="004C57D9" w:rsidP="004C57D9">
      <w:pPr>
        <w:tabs>
          <w:tab w:val="left" w:pos="3708"/>
        </w:tabs>
        <w:spacing w:after="0" w:line="240" w:lineRule="auto"/>
        <w:rPr>
          <w:rFonts w:ascii="Verdana" w:hAnsi="Verdana" w:cs="Arial"/>
          <w:lang w:eastAsia="es-ES"/>
        </w:rPr>
      </w:pPr>
      <w:r w:rsidRPr="00FD442B">
        <w:rPr>
          <w:rFonts w:ascii="Verdana" w:hAnsi="Verdana" w:cs="Arial"/>
          <w:lang w:eastAsia="es-ES"/>
        </w:rPr>
        <w:t>Bogotá, D.C.</w:t>
      </w:r>
      <w:r w:rsidRPr="00DA72EC">
        <w:rPr>
          <w:rFonts w:ascii="Verdana" w:hAnsi="Verdana" w:cs="Arial"/>
          <w:lang w:eastAsia="es-ES"/>
        </w:rPr>
        <w:tab/>
      </w:r>
    </w:p>
    <w:p w14:paraId="45FF0DDD" w14:textId="77777777" w:rsidR="004C57D9" w:rsidRPr="00DA72EC" w:rsidRDefault="004C57D9" w:rsidP="004C57D9">
      <w:pPr>
        <w:spacing w:after="0" w:line="240" w:lineRule="auto"/>
        <w:rPr>
          <w:rFonts w:ascii="Verdana" w:hAnsi="Verdana" w:cs="Arial"/>
          <w:b/>
          <w:bCs/>
          <w:color w:val="000000"/>
          <w:lang w:eastAsia="es-ES_tradnl"/>
        </w:rPr>
      </w:pPr>
    </w:p>
    <w:p w14:paraId="64C3A788" w14:textId="77777777" w:rsidR="004C57D9" w:rsidRPr="00DA72EC" w:rsidRDefault="004C57D9" w:rsidP="004C57D9">
      <w:pPr>
        <w:spacing w:after="0" w:line="240" w:lineRule="auto"/>
        <w:rPr>
          <w:rFonts w:ascii="Verdana" w:hAnsi="Verdana" w:cs="Arial"/>
          <w:b/>
          <w:bCs/>
          <w:color w:val="000000"/>
          <w:lang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4C57D9" w:rsidRPr="00DA72EC" w14:paraId="07989746" w14:textId="77777777" w:rsidTr="005642F4">
        <w:trPr>
          <w:trHeight w:val="633"/>
        </w:trPr>
        <w:tc>
          <w:tcPr>
            <w:tcW w:w="2689" w:type="dxa"/>
          </w:tcPr>
          <w:p w14:paraId="40FEFADA" w14:textId="77777777" w:rsidR="004C57D9" w:rsidRPr="00DA72EC" w:rsidRDefault="004C57D9" w:rsidP="005642F4">
            <w:pPr>
              <w:jc w:val="both"/>
              <w:rPr>
                <w:rFonts w:ascii="Verdana" w:hAnsi="Verdana" w:cs="Arial"/>
                <w:b/>
                <w:bCs/>
                <w:color w:val="7030A0"/>
                <w:lang w:eastAsia="es-ES_tradnl"/>
              </w:rPr>
            </w:pPr>
          </w:p>
        </w:tc>
        <w:tc>
          <w:tcPr>
            <w:tcW w:w="6100" w:type="dxa"/>
          </w:tcPr>
          <w:p w14:paraId="10EA4CFF" w14:textId="77777777" w:rsidR="004C57D9" w:rsidRPr="00DA72EC" w:rsidRDefault="004C57D9" w:rsidP="005642F4">
            <w:pPr>
              <w:jc w:val="both"/>
              <w:rPr>
                <w:rFonts w:ascii="Verdana" w:hAnsi="Verdana" w:cs="Arial"/>
                <w:b/>
                <w:bCs/>
                <w:color w:val="7030A0"/>
                <w:lang w:eastAsia="es-ES"/>
              </w:rPr>
            </w:pPr>
            <w:r w:rsidRPr="00DA72EC">
              <w:rPr>
                <w:rFonts w:ascii="Verdana" w:hAnsi="Verdana" w:cs="Arial"/>
                <w:b/>
                <w:bCs/>
                <w:lang w:eastAsia="es-ES"/>
              </w:rPr>
              <w:t>Concepto C – 375 de 2026</w:t>
            </w:r>
          </w:p>
        </w:tc>
      </w:tr>
      <w:tr w:rsidR="004C57D9" w:rsidRPr="00DA72EC" w14:paraId="29D01EE0" w14:textId="77777777" w:rsidTr="005642F4">
        <w:trPr>
          <w:trHeight w:val="884"/>
        </w:trPr>
        <w:tc>
          <w:tcPr>
            <w:tcW w:w="2689" w:type="dxa"/>
          </w:tcPr>
          <w:p w14:paraId="03F01A98" w14:textId="77777777" w:rsidR="004C57D9" w:rsidRPr="00DA72EC" w:rsidRDefault="004C57D9" w:rsidP="005642F4">
            <w:pPr>
              <w:jc w:val="both"/>
              <w:rPr>
                <w:rFonts w:ascii="Verdana" w:hAnsi="Verdana" w:cs="Arial"/>
                <w:color w:val="000000"/>
                <w:lang w:eastAsia="es-ES_tradnl"/>
              </w:rPr>
            </w:pPr>
            <w:r w:rsidRPr="00DA72EC">
              <w:rPr>
                <w:rFonts w:ascii="Verdana" w:hAnsi="Verdana" w:cs="Arial"/>
                <w:b/>
                <w:color w:val="000000"/>
                <w:lang w:eastAsia="es-ES_tradnl"/>
              </w:rPr>
              <w:t>Temas:</w:t>
            </w:r>
            <w:r w:rsidRPr="00DA72EC">
              <w:rPr>
                <w:rFonts w:ascii="Verdana" w:hAnsi="Verdana" w:cs="Arial"/>
                <w:color w:val="000000"/>
                <w:lang w:eastAsia="es-ES_tradnl"/>
              </w:rPr>
              <w:t xml:space="preserve">                   </w:t>
            </w:r>
          </w:p>
        </w:tc>
        <w:tc>
          <w:tcPr>
            <w:tcW w:w="6100" w:type="dxa"/>
          </w:tcPr>
          <w:p w14:paraId="2D38FB9B" w14:textId="77777777" w:rsidR="004C57D9" w:rsidRPr="00DA72EC" w:rsidRDefault="004C57D9" w:rsidP="005642F4">
            <w:pPr>
              <w:jc w:val="both"/>
              <w:rPr>
                <w:rFonts w:ascii="Verdana" w:hAnsi="Verdana" w:cs="Arial"/>
                <w:color w:val="000000" w:themeColor="text1"/>
                <w:lang w:val="es-ES"/>
              </w:rPr>
            </w:pPr>
            <w:r w:rsidRPr="00B1031E">
              <w:rPr>
                <w:rFonts w:ascii="Verdana" w:eastAsia="Calibri" w:hAnsi="Verdana" w:cs="Arial"/>
                <w:lang w:val="es-ES" w:eastAsia="es-ES"/>
              </w:rPr>
              <w:t>LEY DE GARANTÍAS ELECTORALES – Finalidad / LEY DE GARANTÍAS ELECTORALES ‒ Restricciones ‒ Contratación ‒ Tipos de elección / LEY DE GARANTÍAS ELECTORALES ‒ Artículo 33 ‒ Ámbito material</w:t>
            </w:r>
            <w:r w:rsidRPr="00FD442B">
              <w:rPr>
                <w:rFonts w:ascii="Verdana" w:eastAsia="Calibri" w:hAnsi="Verdana" w:cs="Arial"/>
                <w:lang w:val="es-ES" w:eastAsia="es-ES"/>
              </w:rPr>
              <w:t xml:space="preserve"> / LEY DE GARANTÍAS ELECTORALES – </w:t>
            </w:r>
            <w:r w:rsidRPr="00DA72EC">
              <w:rPr>
                <w:rFonts w:ascii="Verdana" w:eastAsia="Calibri" w:hAnsi="Verdana" w:cs="Arial"/>
                <w:lang w:val="es-ES" w:eastAsia="es-ES"/>
              </w:rPr>
              <w:t>Aplicación – Contratación PIC</w:t>
            </w:r>
          </w:p>
          <w:p w14:paraId="7E194099" w14:textId="77777777" w:rsidR="004C57D9" w:rsidRPr="001E5A79" w:rsidRDefault="004C57D9" w:rsidP="005642F4">
            <w:pPr>
              <w:jc w:val="both"/>
              <w:rPr>
                <w:rFonts w:ascii="Verdana" w:hAnsi="Verdana"/>
              </w:rPr>
            </w:pPr>
          </w:p>
        </w:tc>
      </w:tr>
      <w:tr w:rsidR="004C57D9" w:rsidRPr="00DA72EC" w14:paraId="635BD02C" w14:textId="77777777" w:rsidTr="005642F4">
        <w:tc>
          <w:tcPr>
            <w:tcW w:w="2689" w:type="dxa"/>
          </w:tcPr>
          <w:p w14:paraId="303D436E" w14:textId="77777777" w:rsidR="004C57D9" w:rsidRPr="00DA72EC" w:rsidRDefault="004C57D9" w:rsidP="005642F4">
            <w:pPr>
              <w:jc w:val="both"/>
              <w:rPr>
                <w:rFonts w:ascii="Verdana" w:hAnsi="Verdana" w:cs="Arial"/>
                <w:b/>
                <w:lang w:eastAsia="es-ES_tradnl"/>
              </w:rPr>
            </w:pPr>
            <w:r w:rsidRPr="00DA72EC">
              <w:rPr>
                <w:rFonts w:ascii="Verdana" w:hAnsi="Verdana" w:cs="Arial"/>
                <w:b/>
                <w:lang w:eastAsia="es-ES_tradnl"/>
              </w:rPr>
              <w:t>Radicación:</w:t>
            </w:r>
            <w:r w:rsidRPr="00DA72EC">
              <w:rPr>
                <w:rFonts w:ascii="Verdana" w:hAnsi="Verdana" w:cs="Arial"/>
                <w:lang w:eastAsia="es-ES_tradnl"/>
              </w:rPr>
              <w:t xml:space="preserve">               </w:t>
            </w:r>
          </w:p>
        </w:tc>
        <w:tc>
          <w:tcPr>
            <w:tcW w:w="6100" w:type="dxa"/>
          </w:tcPr>
          <w:p w14:paraId="39509473" w14:textId="77777777" w:rsidR="004C57D9" w:rsidRPr="00FD442B" w:rsidRDefault="004C57D9" w:rsidP="005642F4">
            <w:pPr>
              <w:jc w:val="both"/>
              <w:rPr>
                <w:rFonts w:ascii="Verdana" w:hAnsi="Verdana" w:cs="Arial"/>
                <w:lang w:eastAsia="es-ES_tradnl"/>
              </w:rPr>
            </w:pPr>
            <w:r w:rsidRPr="00B1031E">
              <w:rPr>
                <w:rFonts w:ascii="Verdana" w:hAnsi="Verdana" w:cs="Arial"/>
                <w:lang w:eastAsia="es-ES_tradnl"/>
              </w:rPr>
              <w:t xml:space="preserve">Respuesta a la consulta con radicado No. </w:t>
            </w:r>
            <w:r w:rsidRPr="00FD442B">
              <w:rPr>
                <w:rFonts w:ascii="Verdana" w:hAnsi="Verdana" w:cs="Arial"/>
                <w:lang w:eastAsia="es-ES_tradnl"/>
              </w:rPr>
              <w:t>1_2026_03_06_003157 y 1_2026_03_06_003159</w:t>
            </w:r>
            <w:r>
              <w:rPr>
                <w:rFonts w:ascii="Verdana" w:hAnsi="Verdana" w:cs="Arial"/>
                <w:lang w:eastAsia="es-ES_tradnl"/>
              </w:rPr>
              <w:t xml:space="preserve"> (</w:t>
            </w:r>
            <w:proofErr w:type="spellStart"/>
            <w:r>
              <w:rPr>
                <w:rFonts w:ascii="Verdana" w:hAnsi="Verdana" w:cs="Arial"/>
                <w:lang w:eastAsia="es-ES_tradnl"/>
              </w:rPr>
              <w:t>Acumualdas</w:t>
            </w:r>
            <w:proofErr w:type="spellEnd"/>
            <w:r>
              <w:rPr>
                <w:rFonts w:ascii="Verdana" w:hAnsi="Verdana" w:cs="Arial"/>
                <w:lang w:eastAsia="es-ES_tradnl"/>
              </w:rPr>
              <w:t>)</w:t>
            </w:r>
          </w:p>
        </w:tc>
      </w:tr>
    </w:tbl>
    <w:p w14:paraId="544E245D" w14:textId="77777777" w:rsidR="004C57D9" w:rsidRDefault="004C57D9" w:rsidP="004C57D9">
      <w:pPr>
        <w:spacing w:after="0" w:line="240" w:lineRule="auto"/>
        <w:jc w:val="both"/>
        <w:rPr>
          <w:rFonts w:ascii="Verdana" w:hAnsi="Verdana" w:cs="Arial"/>
          <w:color w:val="000000"/>
          <w:lang w:eastAsia="es-ES_tradnl"/>
        </w:rPr>
      </w:pPr>
    </w:p>
    <w:p w14:paraId="54D5F1B4" w14:textId="77777777" w:rsidR="004C57D9" w:rsidRPr="00DA72EC" w:rsidRDefault="004C57D9" w:rsidP="004C57D9">
      <w:pPr>
        <w:spacing w:after="0" w:line="240" w:lineRule="auto"/>
        <w:jc w:val="both"/>
        <w:rPr>
          <w:rFonts w:ascii="Verdana" w:hAnsi="Verdana" w:cs="Arial"/>
          <w:color w:val="000000"/>
          <w:lang w:eastAsia="es-ES_tradnl"/>
        </w:rPr>
      </w:pPr>
    </w:p>
    <w:p w14:paraId="2EA67224" w14:textId="77777777" w:rsidR="004C57D9" w:rsidRPr="00A869FE" w:rsidRDefault="004C57D9" w:rsidP="004C57D9">
      <w:pPr>
        <w:spacing w:after="0" w:line="276" w:lineRule="auto"/>
        <w:jc w:val="both"/>
        <w:rPr>
          <w:rFonts w:ascii="Verdana" w:hAnsi="Verdana" w:cs="Arial"/>
          <w:lang w:eastAsia="es-ES"/>
        </w:rPr>
      </w:pPr>
      <w:r w:rsidRPr="00A869FE">
        <w:rPr>
          <w:rFonts w:ascii="Verdana" w:hAnsi="Verdana" w:cs="Arial"/>
          <w:lang w:eastAsia="es-ES"/>
        </w:rPr>
        <w:t>Estimad</w:t>
      </w:r>
      <w:r>
        <w:rPr>
          <w:rFonts w:ascii="Verdana" w:hAnsi="Verdana" w:cs="Arial"/>
          <w:lang w:eastAsia="es-ES"/>
        </w:rPr>
        <w:t xml:space="preserve">o señor </w:t>
      </w:r>
      <w:r w:rsidRPr="00582C26">
        <w:rPr>
          <w:rFonts w:ascii="Verdana" w:hAnsi="Verdana" w:cs="Arial"/>
          <w:lang w:eastAsia="es-ES"/>
        </w:rPr>
        <w:t>Peñaloza</w:t>
      </w:r>
      <w:r w:rsidRPr="00A869FE">
        <w:rPr>
          <w:rFonts w:ascii="Verdana" w:hAnsi="Verdana" w:cs="Arial"/>
          <w:lang w:eastAsia="es-ES"/>
        </w:rPr>
        <w:t xml:space="preserve">: </w:t>
      </w:r>
    </w:p>
    <w:p w14:paraId="42758A32" w14:textId="77777777" w:rsidR="004C57D9" w:rsidRPr="00A869FE" w:rsidRDefault="004C57D9" w:rsidP="004C57D9">
      <w:pPr>
        <w:tabs>
          <w:tab w:val="left" w:pos="3768"/>
        </w:tabs>
        <w:spacing w:after="0" w:line="276" w:lineRule="auto"/>
        <w:jc w:val="both"/>
        <w:rPr>
          <w:rFonts w:ascii="Verdana" w:hAnsi="Verdana" w:cs="Arial"/>
          <w:color w:val="000000" w:themeColor="text1"/>
          <w:lang w:eastAsia="es-ES"/>
        </w:rPr>
      </w:pPr>
      <w:r w:rsidRPr="00A869FE">
        <w:rPr>
          <w:rFonts w:ascii="Verdana" w:hAnsi="Verdana" w:cs="Arial"/>
          <w:color w:val="000000" w:themeColor="text1"/>
          <w:lang w:eastAsia="es-ES"/>
        </w:rPr>
        <w:tab/>
      </w:r>
    </w:p>
    <w:p w14:paraId="32438611" w14:textId="77777777" w:rsidR="004C57D9" w:rsidRPr="002034D9" w:rsidRDefault="004C57D9" w:rsidP="004C57D9">
      <w:pPr>
        <w:spacing w:after="0" w:line="276" w:lineRule="auto"/>
        <w:jc w:val="both"/>
        <w:rPr>
          <w:rFonts w:ascii="Verdana" w:hAnsi="Verdana" w:cs="Arial"/>
          <w:lang w:eastAsia="es-ES"/>
        </w:rPr>
      </w:pPr>
      <w:r w:rsidRPr="00A869FE">
        <w:rPr>
          <w:rFonts w:ascii="Verdana" w:hAnsi="Verdana" w:cs="Arial"/>
          <w:color w:val="000000" w:themeColor="text1"/>
          <w:lang w:eastAsia="es-ES"/>
        </w:rPr>
        <w:t>En ejercicio de la competencia otorgada por los artículos 3, numeral 5º, y 11, numeral 8º, del Decreto Ley 4170 de 2011,</w:t>
      </w:r>
      <w:r w:rsidRPr="00A869FE">
        <w:rPr>
          <w:rFonts w:ascii="Verdana" w:eastAsia="Arial MT" w:hAnsi="Verdana" w:cs="Arial MT"/>
          <w:lang w:eastAsia="es-ES"/>
        </w:rPr>
        <w:t xml:space="preserve"> </w:t>
      </w:r>
      <w:r w:rsidRPr="00A869FE">
        <w:rPr>
          <w:rFonts w:ascii="Verdana" w:hAnsi="Verdana" w:cs="Arial"/>
        </w:rPr>
        <w:t xml:space="preserve">así como lo establecido en la Resolución 469 de 2025 expedida por esta Entidad, </w:t>
      </w:r>
      <w:r w:rsidRPr="00A869FE">
        <w:rPr>
          <w:rFonts w:ascii="Verdana" w:hAnsi="Verdana" w:cs="Arial"/>
          <w:color w:val="000000" w:themeColor="text1"/>
          <w:lang w:eastAsia="es-ES"/>
        </w:rPr>
        <w:t>la Agencia Nacional de Contratación Pública – Colombia Compra Eficiente respo</w:t>
      </w:r>
      <w:r>
        <w:rPr>
          <w:rFonts w:ascii="Verdana" w:hAnsi="Verdana" w:cs="Arial"/>
          <w:color w:val="000000" w:themeColor="text1"/>
          <w:lang w:eastAsia="es-ES"/>
        </w:rPr>
        <w:t>nde los puntos 4 y 5 de su solicitud remitida por el Departamento Nacional de Planeació</w:t>
      </w:r>
      <w:r w:rsidRPr="00314D2A">
        <w:rPr>
          <w:rFonts w:ascii="Verdana" w:hAnsi="Verdana" w:cs="Arial"/>
          <w:color w:val="000000" w:themeColor="text1"/>
          <w:lang w:eastAsia="es-ES"/>
        </w:rPr>
        <w:t>n el</w:t>
      </w:r>
      <w:r w:rsidRPr="00314D2A">
        <w:rPr>
          <w:rFonts w:ascii="Verdana" w:hAnsi="Verdana" w:cs="Arial"/>
          <w:lang w:eastAsia="es-ES"/>
        </w:rPr>
        <w:t xml:space="preserve"> 06 de marzo de 2026, en l</w:t>
      </w:r>
      <w:r>
        <w:rPr>
          <w:rFonts w:ascii="Verdana" w:hAnsi="Verdana" w:cs="Arial"/>
          <w:lang w:eastAsia="es-ES"/>
        </w:rPr>
        <w:t xml:space="preserve">os cuales </w:t>
      </w:r>
      <w:r w:rsidRPr="00314D2A">
        <w:rPr>
          <w:rFonts w:ascii="Verdana" w:hAnsi="Verdana" w:cs="Arial"/>
          <w:lang w:eastAsia="es-ES"/>
        </w:rPr>
        <w:t>pregunta lo siguiente:</w:t>
      </w:r>
      <w:r w:rsidRPr="00A869FE">
        <w:rPr>
          <w:rFonts w:ascii="Verdana" w:hAnsi="Verdana" w:cs="Arial"/>
          <w:lang w:eastAsia="es-ES"/>
        </w:rPr>
        <w:t xml:space="preserve"> </w:t>
      </w:r>
    </w:p>
    <w:p w14:paraId="637B1536" w14:textId="77777777" w:rsidR="004C57D9" w:rsidRPr="00A869FE" w:rsidRDefault="004C57D9" w:rsidP="004C57D9">
      <w:pPr>
        <w:tabs>
          <w:tab w:val="left" w:pos="142"/>
          <w:tab w:val="left" w:pos="284"/>
        </w:tabs>
        <w:spacing w:after="0" w:line="276" w:lineRule="auto"/>
        <w:jc w:val="both"/>
        <w:rPr>
          <w:rFonts w:ascii="Verdana" w:eastAsia="Century Gothic" w:hAnsi="Verdana" w:cs="Century Gothic"/>
          <w:b/>
          <w:bCs/>
        </w:rPr>
      </w:pPr>
    </w:p>
    <w:p w14:paraId="03E9AD0F" w14:textId="77777777" w:rsidR="004C57D9" w:rsidRPr="00DF7D1E" w:rsidRDefault="004C57D9" w:rsidP="004C57D9">
      <w:pPr>
        <w:spacing w:after="0" w:line="240" w:lineRule="auto"/>
        <w:ind w:left="709" w:right="709"/>
        <w:jc w:val="both"/>
        <w:rPr>
          <w:rFonts w:ascii="Verdana" w:hAnsi="Verdana"/>
          <w:sz w:val="20"/>
          <w:szCs w:val="20"/>
        </w:rPr>
      </w:pPr>
      <w:r w:rsidRPr="00DF7D1E">
        <w:rPr>
          <w:rFonts w:ascii="Verdana" w:hAnsi="Verdana"/>
          <w:sz w:val="20"/>
          <w:szCs w:val="20"/>
        </w:rPr>
        <w:t xml:space="preserve">“(…) 4. Ley 996 – alcance “entidades sanitarias y hospitalarias”: si la excepción prevista en el artículo 33 de la Ley 996 de 2005 (“los que deban realizar las entidades sanitarias y hospitalarias”) se entiende aplicable a las entidades territoriales (Alcaldía/Secretaría con funciones de salud) en su condición de autoridad sanitaria, cuando contratan para garantizar un servicio esencial de salud pública como es el caso del PIC </w:t>
      </w:r>
    </w:p>
    <w:p w14:paraId="36A0D644" w14:textId="77777777" w:rsidR="004C57D9" w:rsidRPr="00DF7D1E" w:rsidRDefault="004C57D9" w:rsidP="004C57D9">
      <w:pPr>
        <w:spacing w:after="0" w:line="240" w:lineRule="auto"/>
        <w:ind w:left="709" w:right="709"/>
        <w:jc w:val="both"/>
        <w:rPr>
          <w:rFonts w:ascii="Verdana" w:hAnsi="Verdana"/>
          <w:sz w:val="20"/>
          <w:szCs w:val="20"/>
        </w:rPr>
      </w:pPr>
    </w:p>
    <w:p w14:paraId="5348C2EC" w14:textId="77777777" w:rsidR="004C57D9" w:rsidRPr="00DF7D1E" w:rsidRDefault="004C57D9" w:rsidP="004C57D9">
      <w:pPr>
        <w:spacing w:after="0" w:line="240" w:lineRule="auto"/>
        <w:ind w:left="709" w:right="709"/>
        <w:jc w:val="both"/>
        <w:rPr>
          <w:rFonts w:ascii="Verdana" w:eastAsia="Century Gothic" w:hAnsi="Verdana" w:cs="Century Gothic"/>
          <w:sz w:val="20"/>
          <w:szCs w:val="20"/>
        </w:rPr>
      </w:pPr>
      <w:r w:rsidRPr="00DF7D1E">
        <w:rPr>
          <w:rFonts w:ascii="Verdana" w:hAnsi="Verdana"/>
          <w:sz w:val="20"/>
          <w:szCs w:val="20"/>
        </w:rPr>
        <w:t xml:space="preserve">5. Ley 996 – contratación del PIC: si, bajo la Ley de Garantías, y en atención a la obligación del art. 12.5 de la Resolución 1597 de 2025 (contratar con ESE y asegurar continuidad abril– marzo), es jurídicamente </w:t>
      </w:r>
      <w:r w:rsidRPr="00DF7D1E">
        <w:rPr>
          <w:rFonts w:ascii="Verdana" w:hAnsi="Verdana"/>
          <w:sz w:val="20"/>
          <w:szCs w:val="20"/>
        </w:rPr>
        <w:lastRenderedPageBreak/>
        <w:t>viable suscribir de manera directa el convenio o contrato del PIC con la ESE del municipio (o del territorio correspondiente) (…)”.</w:t>
      </w:r>
    </w:p>
    <w:p w14:paraId="296AB7DE" w14:textId="77777777" w:rsidR="004C57D9" w:rsidRPr="00A869FE" w:rsidRDefault="004C57D9" w:rsidP="004C57D9">
      <w:pPr>
        <w:tabs>
          <w:tab w:val="left" w:pos="142"/>
          <w:tab w:val="left" w:pos="284"/>
        </w:tabs>
        <w:spacing w:after="0" w:line="276" w:lineRule="auto"/>
        <w:contextualSpacing/>
        <w:jc w:val="both"/>
        <w:rPr>
          <w:rFonts w:ascii="Verdana" w:eastAsia="Century Gothic" w:hAnsi="Verdana" w:cs="Century Gothic"/>
          <w:b/>
          <w:bCs/>
        </w:rPr>
      </w:pPr>
    </w:p>
    <w:p w14:paraId="7E1C9B35" w14:textId="77777777" w:rsidR="004C57D9" w:rsidRPr="00A869FE" w:rsidRDefault="004C57D9" w:rsidP="004C57D9">
      <w:pPr>
        <w:spacing w:after="120" w:line="276" w:lineRule="auto"/>
        <w:ind w:firstLine="709"/>
        <w:jc w:val="both"/>
        <w:rPr>
          <w:rFonts w:ascii="Verdana" w:hAnsi="Verdana" w:cs="Arial"/>
          <w:color w:val="000000"/>
          <w:lang w:eastAsia="es-ES"/>
        </w:rPr>
      </w:pPr>
      <w:r w:rsidRPr="00A869FE">
        <w:rPr>
          <w:rFonts w:ascii="Verdana" w:hAnsi="Verdana" w:cs="Arial"/>
          <w:color w:val="000000" w:themeColor="text1"/>
          <w:lang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hAnsi="Verdana" w:cs="Arial"/>
          <w:color w:val="000000" w:themeColor="text1"/>
          <w:lang w:eastAsia="es-ES"/>
        </w:rPr>
        <w:t xml:space="preserve">la Agencia Nacional de Contratación Pública – </w:t>
      </w:r>
      <w:r w:rsidRPr="00A869FE">
        <w:rPr>
          <w:rFonts w:ascii="Verdana" w:hAnsi="Verdana" w:cs="Arial"/>
          <w:color w:val="000000" w:themeColor="text1"/>
          <w:lang w:eastAsia="es-ES"/>
        </w:rPr>
        <w:t xml:space="preserve">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869FE">
        <w:tab/>
      </w:r>
    </w:p>
    <w:p w14:paraId="2A7B3F1C" w14:textId="77777777" w:rsidR="004C57D9" w:rsidRPr="00A869FE" w:rsidRDefault="004C57D9" w:rsidP="004C57D9">
      <w:pPr>
        <w:spacing w:after="0" w:line="276" w:lineRule="auto"/>
        <w:ind w:firstLine="709"/>
        <w:jc w:val="both"/>
        <w:rPr>
          <w:rFonts w:ascii="Verdana" w:hAnsi="Verdana" w:cs="Arial"/>
          <w:color w:val="000000"/>
          <w:lang w:eastAsia="es-ES"/>
        </w:rPr>
      </w:pPr>
      <w:r w:rsidRPr="00A869FE">
        <w:rPr>
          <w:rFonts w:ascii="Verdana"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A869FE">
        <w:rPr>
          <w:rFonts w:ascii="Verdana" w:hAnsi="Verdana" w:cs="Arial"/>
          <w:color w:val="7030A0"/>
          <w:lang w:eastAsia="es-ES"/>
        </w:rPr>
        <w:t xml:space="preserve"> </w:t>
      </w:r>
      <w:r w:rsidRPr="00A869FE">
        <w:rPr>
          <w:rFonts w:ascii="Verdana" w:hAnsi="Verdana" w:cs="Arial"/>
          <w:color w:val="000000"/>
          <w:lang w:eastAsia="es-ES"/>
        </w:rPr>
        <w:t>problema</w:t>
      </w:r>
      <w:r w:rsidRPr="00A869FE">
        <w:rPr>
          <w:rFonts w:ascii="Verdana" w:hAnsi="Verdana" w:cs="Arial"/>
          <w:color w:val="7030A0"/>
          <w:lang w:eastAsia="es-ES"/>
        </w:rPr>
        <w:t xml:space="preserve"> </w:t>
      </w:r>
      <w:r w:rsidRPr="00A869FE">
        <w:rPr>
          <w:rFonts w:ascii="Verdana" w:hAnsi="Verdana" w:cs="Arial"/>
          <w:color w:val="000000"/>
          <w:lang w:eastAsia="es-ES"/>
        </w:rPr>
        <w:t>jurídico</w:t>
      </w:r>
      <w:r w:rsidRPr="00A869FE">
        <w:rPr>
          <w:rFonts w:ascii="Verdana" w:hAnsi="Verdana" w:cs="Arial"/>
          <w:color w:val="7030A0"/>
          <w:lang w:eastAsia="es-ES"/>
        </w:rPr>
        <w:t xml:space="preserve"> </w:t>
      </w:r>
      <w:r w:rsidRPr="00A869FE">
        <w:rPr>
          <w:rFonts w:ascii="Verdana" w:hAnsi="Verdana" w:cs="Arial"/>
          <w:color w:val="000000"/>
          <w:lang w:eastAsia="es-ES"/>
        </w:rPr>
        <w:t xml:space="preserve">de su consulta. </w:t>
      </w:r>
      <w:r w:rsidRPr="00A869FE">
        <w:rPr>
          <w:rFonts w:ascii="Verdana" w:hAnsi="Verdana" w:cs="Arial"/>
          <w:lang w:eastAsia="es-ES"/>
        </w:rPr>
        <w:t xml:space="preserve"> </w:t>
      </w:r>
    </w:p>
    <w:p w14:paraId="5530DC94" w14:textId="77777777" w:rsidR="004C57D9" w:rsidRPr="00A869FE" w:rsidRDefault="004C57D9" w:rsidP="004C57D9">
      <w:pPr>
        <w:spacing w:after="0" w:line="276" w:lineRule="auto"/>
        <w:ind w:firstLine="708"/>
        <w:jc w:val="both"/>
        <w:rPr>
          <w:rFonts w:ascii="Verdana" w:hAnsi="Verdana" w:cs="Arial"/>
          <w:lang w:eastAsia="es-ES"/>
        </w:rPr>
      </w:pPr>
    </w:p>
    <w:p w14:paraId="4E8AF793" w14:textId="77777777" w:rsidR="004C57D9" w:rsidRPr="00A869FE" w:rsidRDefault="004C57D9" w:rsidP="004C57D9">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Problema planteado:</w:t>
      </w:r>
    </w:p>
    <w:p w14:paraId="4448AC20" w14:textId="77777777" w:rsidR="004C57D9" w:rsidRPr="00A869FE" w:rsidRDefault="004C57D9" w:rsidP="004C57D9">
      <w:pPr>
        <w:tabs>
          <w:tab w:val="left" w:pos="426"/>
        </w:tabs>
        <w:spacing w:after="0" w:line="276" w:lineRule="auto"/>
        <w:jc w:val="both"/>
        <w:rPr>
          <w:rFonts w:ascii="Verdana" w:eastAsia="Century Gothic" w:hAnsi="Verdana" w:cs="Century Gothic"/>
        </w:rPr>
      </w:pPr>
    </w:p>
    <w:p w14:paraId="33002CC8" w14:textId="77777777" w:rsidR="004C57D9" w:rsidRPr="00053755" w:rsidRDefault="004C57D9" w:rsidP="004C57D9">
      <w:pPr>
        <w:spacing w:after="0" w:line="276" w:lineRule="auto"/>
        <w:jc w:val="both"/>
        <w:rPr>
          <w:rFonts w:ascii="Verdana" w:eastAsia="Century Gothic" w:hAnsi="Verdana" w:cs="Century Gothic"/>
          <w:color w:val="000000" w:themeColor="text1"/>
          <w:lang w:val="es-ES"/>
        </w:rPr>
      </w:pPr>
      <w:r w:rsidRPr="00A869FE">
        <w:rPr>
          <w:rFonts w:ascii="Verdana" w:eastAsia="Century Gothic" w:hAnsi="Verdana" w:cs="Century Gothic"/>
        </w:rPr>
        <w:t xml:space="preserve">De acuerdo con el contenido de su solicitud, esta Agencia resolverá el siguiente problema jurídico: </w:t>
      </w:r>
      <w:r w:rsidRPr="00FC6F34">
        <w:rPr>
          <w:rFonts w:ascii="Verdana" w:eastAsia="Century Gothic" w:hAnsi="Verdana" w:cs="Century Gothic"/>
          <w:color w:val="000000" w:themeColor="text1"/>
          <w:lang w:val="es-ES"/>
        </w:rPr>
        <w:t>¿</w:t>
      </w:r>
      <w:r w:rsidRPr="00982071">
        <w:rPr>
          <w:rFonts w:ascii="Verdana" w:eastAsia="Century Gothic" w:hAnsi="Verdana" w:cs="Century Gothic"/>
          <w:color w:val="000000" w:themeColor="text1"/>
          <w:lang w:val="es-ES"/>
        </w:rPr>
        <w:t xml:space="preserve">Cuál es el marco jurídico para la </w:t>
      </w:r>
      <w:r>
        <w:rPr>
          <w:rFonts w:ascii="Verdana" w:eastAsia="Century Gothic" w:hAnsi="Verdana" w:cs="Century Gothic"/>
          <w:color w:val="000000" w:themeColor="text1"/>
          <w:lang w:val="es-ES"/>
        </w:rPr>
        <w:t xml:space="preserve">contratación </w:t>
      </w:r>
      <w:r w:rsidRPr="00982071">
        <w:rPr>
          <w:rFonts w:ascii="Verdana" w:eastAsia="Century Gothic" w:hAnsi="Verdana" w:cs="Century Gothic"/>
          <w:color w:val="000000" w:themeColor="text1"/>
          <w:lang w:val="es-ES"/>
        </w:rPr>
        <w:t>del Plan de Intervenciones Colectivas</w:t>
      </w:r>
      <w:r>
        <w:rPr>
          <w:rFonts w:ascii="Verdana" w:eastAsia="Century Gothic" w:hAnsi="Verdana" w:cs="Century Gothic"/>
          <w:color w:val="000000" w:themeColor="text1"/>
          <w:lang w:val="es-ES"/>
        </w:rPr>
        <w:t xml:space="preserve"> (en adelante PIC) </w:t>
      </w:r>
      <w:r w:rsidRPr="0076257C">
        <w:rPr>
          <w:rFonts w:ascii="Verdana" w:eastAsia="Century Gothic" w:hAnsi="Verdana" w:cs="Century Gothic"/>
          <w:color w:val="000000" w:themeColor="text1"/>
          <w:lang w:val="es-ES"/>
        </w:rPr>
        <w:t>en vigencia de la Ley de Garantías</w:t>
      </w:r>
      <w:r>
        <w:rPr>
          <w:rFonts w:ascii="Verdana" w:eastAsia="Century Gothic" w:hAnsi="Verdana" w:cs="Century Gothic"/>
          <w:color w:val="000000" w:themeColor="text1"/>
          <w:lang w:val="es-ES"/>
        </w:rPr>
        <w:t xml:space="preserve"> Electorales</w:t>
      </w:r>
      <w:r w:rsidRPr="00982071">
        <w:rPr>
          <w:rFonts w:ascii="Verdana" w:eastAsia="Century Gothic" w:hAnsi="Verdana" w:cs="Century Gothic"/>
          <w:color w:val="000000" w:themeColor="text1"/>
          <w:lang w:val="es-ES"/>
        </w:rPr>
        <w:t>?</w:t>
      </w:r>
    </w:p>
    <w:p w14:paraId="28C2B060" w14:textId="77777777" w:rsidR="004C57D9" w:rsidRPr="00A869FE" w:rsidRDefault="004C57D9" w:rsidP="004C57D9">
      <w:pPr>
        <w:spacing w:after="0" w:line="276" w:lineRule="auto"/>
        <w:jc w:val="both"/>
        <w:rPr>
          <w:rFonts w:ascii="Verdana" w:hAnsi="Verdana" w:cs="Arial"/>
          <w:color w:val="7030A0"/>
        </w:rPr>
      </w:pPr>
    </w:p>
    <w:p w14:paraId="4FF523CC" w14:textId="77777777" w:rsidR="004C57D9" w:rsidRPr="00A869FE" w:rsidRDefault="004C57D9" w:rsidP="004C57D9">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Respuesta:</w:t>
      </w:r>
    </w:p>
    <w:p w14:paraId="0A6B298C" w14:textId="77777777" w:rsidR="004C57D9" w:rsidRPr="00A869FE" w:rsidRDefault="004C57D9" w:rsidP="004C57D9">
      <w:pPr>
        <w:tabs>
          <w:tab w:val="left" w:pos="142"/>
          <w:tab w:val="left" w:pos="284"/>
        </w:tabs>
        <w:spacing w:after="0" w:line="276" w:lineRule="auto"/>
        <w:jc w:val="both"/>
        <w:rPr>
          <w:rFonts w:ascii="Verdana" w:eastAsia="Century Gothic" w:hAnsi="Verdana" w:cs="Century Gothic"/>
          <w:b/>
          <w:bCs/>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57D9" w:rsidRPr="00A869FE" w14:paraId="3BC61748" w14:textId="77777777" w:rsidTr="005642F4">
        <w:trPr>
          <w:jc w:val="center"/>
        </w:trPr>
        <w:tc>
          <w:tcPr>
            <w:tcW w:w="8828" w:type="dxa"/>
          </w:tcPr>
          <w:p w14:paraId="4C258A91" w14:textId="77777777" w:rsidR="004C57D9" w:rsidRDefault="004C57D9" w:rsidP="005642F4">
            <w:pPr>
              <w:spacing w:after="120" w:line="276" w:lineRule="auto"/>
              <w:jc w:val="both"/>
              <w:rPr>
                <w:rFonts w:ascii="Verdana" w:eastAsia="Calibri" w:hAnsi="Verdana" w:cs="Arial"/>
                <w:lang w:val="es-ES"/>
              </w:rPr>
            </w:pPr>
            <w:r w:rsidRPr="00FC6F34">
              <w:rPr>
                <w:rFonts w:ascii="Verdana" w:eastAsia="Calibri" w:hAnsi="Verdana" w:cs="Arial"/>
                <w:color w:val="000000" w:themeColor="text1"/>
                <w:lang w:val="es-ES"/>
              </w:rPr>
              <w:t>E</w:t>
            </w:r>
            <w:r w:rsidRPr="00FC6F34">
              <w:rPr>
                <w:rFonts w:ascii="Verdana" w:eastAsia="Calibri" w:hAnsi="Verdana" w:cs="Arial"/>
                <w:lang w:val="es-ES"/>
              </w:rPr>
              <w:t xml:space="preserve">l </w:t>
            </w:r>
            <w:r w:rsidRPr="00412D38">
              <w:rPr>
                <w:rFonts w:ascii="Verdana" w:eastAsia="Calibri" w:hAnsi="Verdana" w:cs="Arial"/>
                <w:i/>
                <w:iCs/>
                <w:lang w:val="es-ES"/>
              </w:rPr>
              <w:t>artículo 33</w:t>
            </w:r>
            <w:r w:rsidRPr="00FC6F34">
              <w:rPr>
                <w:rFonts w:ascii="Verdana" w:eastAsia="Calibri" w:hAnsi="Verdana" w:cs="Arial"/>
                <w:lang w:val="es-ES"/>
              </w:rPr>
              <w:t xml:space="preserve"> de la Ley 996 de 2005 prohíbe “[…] la contratación directa por parte de </w:t>
            </w:r>
            <w:r w:rsidRPr="00412D38">
              <w:rPr>
                <w:rFonts w:ascii="Verdana" w:eastAsia="Calibri" w:hAnsi="Verdana" w:cs="Arial"/>
                <w:lang w:val="es-ES"/>
              </w:rPr>
              <w:t>todos los entes del Estado</w:t>
            </w:r>
            <w:r w:rsidRPr="00FC6F34">
              <w:rPr>
                <w:rFonts w:ascii="Verdana" w:eastAsia="Calibri" w:hAnsi="Verdana" w:cs="Arial"/>
                <w:lang w:val="es-ES"/>
              </w:rPr>
              <w:t xml:space="preserve">”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w:t>
            </w:r>
            <w:r w:rsidRPr="00FC6F34">
              <w:rPr>
                <w:rFonts w:ascii="Verdana" w:eastAsia="Calibri" w:hAnsi="Verdana" w:cs="Arial"/>
                <w:lang w:val="es-ES"/>
              </w:rPr>
              <w:lastRenderedPageBreak/>
              <w:t>atentados, acciones terroristas, desastres naturales o casos de fuerza mayor, y los que deban realizar las entidades sanitarias y hospitalarias.</w:t>
            </w:r>
          </w:p>
          <w:p w14:paraId="5741CB0B" w14:textId="77777777" w:rsidR="004C57D9" w:rsidRDefault="004C57D9" w:rsidP="005642F4">
            <w:pPr>
              <w:spacing w:after="120" w:line="276" w:lineRule="auto"/>
              <w:ind w:firstLine="742"/>
              <w:jc w:val="both"/>
              <w:rPr>
                <w:rFonts w:ascii="Verdana" w:hAnsi="Verdana" w:cs="Arial"/>
                <w:bCs/>
                <w:color w:val="000000" w:themeColor="text1"/>
                <w:lang w:val="es-ES"/>
              </w:rPr>
            </w:pPr>
            <w:r>
              <w:rPr>
                <w:rFonts w:ascii="Verdana" w:eastAsia="Arial" w:hAnsi="Verdana" w:cs="Arial"/>
                <w:bCs/>
                <w:color w:val="000000" w:themeColor="text1"/>
                <w:lang w:val="es-ES"/>
              </w:rPr>
              <w:t>E</w:t>
            </w:r>
            <w:r w:rsidRPr="00FC6F34">
              <w:rPr>
                <w:rFonts w:ascii="Verdana" w:eastAsia="Arial" w:hAnsi="Verdana" w:cs="Arial"/>
                <w:bCs/>
                <w:color w:val="000000" w:themeColor="text1"/>
                <w:lang w:val="es-ES"/>
              </w:rPr>
              <w:t xml:space="preserve">n principio, todos los entes del Estado están cobijados por la prohibición para contratar directamente </w:t>
            </w:r>
            <w:r>
              <w:rPr>
                <w:rFonts w:ascii="Verdana" w:eastAsia="Arial" w:hAnsi="Verdana" w:cs="Arial"/>
                <w:bCs/>
                <w:color w:val="000000" w:themeColor="text1"/>
                <w:lang w:val="es-ES"/>
              </w:rPr>
              <w:t xml:space="preserve">según </w:t>
            </w:r>
            <w:r w:rsidRPr="00FC6F34">
              <w:rPr>
                <w:rFonts w:ascii="Verdana" w:eastAsia="Arial" w:hAnsi="Verdana" w:cs="Arial"/>
                <w:bCs/>
                <w:color w:val="000000" w:themeColor="text1"/>
                <w:lang w:val="es-ES"/>
              </w:rPr>
              <w:t xml:space="preserve">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w:t>
            </w:r>
            <w:r>
              <w:rPr>
                <w:rFonts w:ascii="Verdana" w:hAnsi="Verdana" w:cs="Arial"/>
                <w:bCs/>
                <w:color w:val="000000" w:themeColor="text1"/>
                <w:lang w:val="es-ES"/>
              </w:rPr>
              <w:t>, entre las cuales se incluyen “l</w:t>
            </w:r>
            <w:r w:rsidRPr="00FC6F34">
              <w:rPr>
                <w:rFonts w:ascii="Verdana" w:hAnsi="Verdana" w:cs="Arial"/>
                <w:bCs/>
                <w:color w:val="000000" w:themeColor="text1"/>
                <w:lang w:val="es-ES"/>
              </w:rPr>
              <w:t>os contratos requeridos para cubrir las emergencias educativas, sanitarias y desastres</w:t>
            </w:r>
            <w:r>
              <w:rPr>
                <w:rFonts w:ascii="Verdana" w:hAnsi="Verdana" w:cs="Arial"/>
                <w:bCs/>
                <w:color w:val="000000" w:themeColor="text1"/>
                <w:lang w:val="es-ES"/>
              </w:rPr>
              <w:t>” y “l</w:t>
            </w:r>
            <w:r w:rsidRPr="00FC6F34">
              <w:rPr>
                <w:rFonts w:ascii="Verdana" w:hAnsi="Verdana" w:cs="Arial"/>
                <w:bCs/>
                <w:color w:val="000000" w:themeColor="text1"/>
                <w:lang w:val="es-ES"/>
              </w:rPr>
              <w:t>a contratación que deban realizar las entidades sanitarias y hospitalarias</w:t>
            </w:r>
            <w:r>
              <w:rPr>
                <w:rFonts w:ascii="Verdana" w:hAnsi="Verdana" w:cs="Arial"/>
                <w:bCs/>
                <w:color w:val="000000" w:themeColor="text1"/>
                <w:lang w:val="es-ES"/>
              </w:rPr>
              <w:t>”</w:t>
            </w:r>
            <w:r w:rsidRPr="00FC6F34">
              <w:rPr>
                <w:rFonts w:ascii="Verdana" w:hAnsi="Verdana" w:cs="Arial"/>
                <w:bCs/>
                <w:color w:val="000000" w:themeColor="text1"/>
                <w:lang w:val="es-ES"/>
              </w:rPr>
              <w:t>.</w:t>
            </w:r>
          </w:p>
          <w:p w14:paraId="12175431" w14:textId="77777777" w:rsidR="004C57D9" w:rsidRDefault="004C57D9" w:rsidP="005642F4">
            <w:pPr>
              <w:spacing w:after="120" w:line="276" w:lineRule="auto"/>
              <w:ind w:firstLine="709"/>
              <w:jc w:val="both"/>
              <w:rPr>
                <w:rFonts w:ascii="Verdana" w:eastAsia="Arial" w:hAnsi="Verdana" w:cs="Arial"/>
                <w:bCs/>
                <w:color w:val="000000" w:themeColor="text1"/>
                <w:lang w:val="es-ES"/>
              </w:rPr>
            </w:pPr>
            <w:r w:rsidRPr="00FC6F34">
              <w:rPr>
                <w:rFonts w:ascii="Verdana" w:hAnsi="Verdana" w:cs="Arial"/>
                <w:bCs/>
                <w:color w:val="000000" w:themeColor="text1"/>
                <w:lang w:val="es-ES"/>
              </w:rPr>
              <w:t xml:space="preserve">Teniendo en cuenta el tema de su consulta, es pertinente </w:t>
            </w:r>
            <w:r>
              <w:rPr>
                <w:rFonts w:ascii="Verdana" w:hAnsi="Verdana" w:cs="Arial"/>
                <w:bCs/>
                <w:color w:val="000000" w:themeColor="text1"/>
                <w:lang w:val="es-ES"/>
              </w:rPr>
              <w:t xml:space="preserve">aclarar que, </w:t>
            </w:r>
            <w:r w:rsidRPr="00FC6F34">
              <w:rPr>
                <w:rFonts w:ascii="Verdana" w:hAnsi="Verdana" w:cs="Arial"/>
                <w:color w:val="000000" w:themeColor="text1"/>
                <w:lang w:val="es-ES"/>
              </w:rPr>
              <w:t>dentro de la estructura de la administración pública</w:t>
            </w:r>
            <w:r>
              <w:rPr>
                <w:rFonts w:ascii="Verdana" w:hAnsi="Verdana" w:cs="Arial"/>
                <w:color w:val="000000" w:themeColor="text1"/>
                <w:lang w:val="es-ES"/>
              </w:rPr>
              <w:t>,</w:t>
            </w:r>
            <w:r w:rsidRPr="00FC6F34">
              <w:rPr>
                <w:rFonts w:ascii="Verdana" w:hAnsi="Verdana" w:cs="Arial"/>
                <w:color w:val="000000" w:themeColor="text1"/>
                <w:lang w:val="es-ES"/>
              </w:rPr>
              <w:t xml:space="preserve"> las Empresas Sociales del Estado son las entidades encargadas de prestar el servicio de salud de manera directa</w:t>
            </w:r>
            <w:r>
              <w:rPr>
                <w:rFonts w:ascii="Verdana" w:hAnsi="Verdana" w:cs="Arial"/>
                <w:color w:val="000000" w:themeColor="text1"/>
                <w:lang w:val="es-ES"/>
              </w:rPr>
              <w:t xml:space="preserve"> </w:t>
            </w:r>
            <w:r>
              <w:rPr>
                <w:rFonts w:ascii="Verdana" w:hAnsi="Verdana" w:cs="Arial"/>
                <w:bCs/>
                <w:color w:val="000000" w:themeColor="text1"/>
                <w:lang w:val="es-ES"/>
              </w:rPr>
              <w:t>b</w:t>
            </w:r>
            <w:r w:rsidRPr="00FC6F34">
              <w:rPr>
                <w:rFonts w:ascii="Verdana" w:hAnsi="Verdana" w:cs="Arial"/>
                <w:color w:val="000000" w:themeColor="text1"/>
                <w:lang w:val="es-ES"/>
              </w:rPr>
              <w:t>ajo la Ley 100 de 1993</w:t>
            </w:r>
            <w:r>
              <w:rPr>
                <w:rFonts w:ascii="Verdana" w:hAnsi="Verdana" w:cs="Arial"/>
                <w:color w:val="000000" w:themeColor="text1"/>
                <w:lang w:val="es-ES"/>
              </w:rPr>
              <w:t xml:space="preserve">. Adicionalmente, </w:t>
            </w:r>
            <w:r w:rsidRPr="00FC6F34">
              <w:rPr>
                <w:rFonts w:ascii="Verdana" w:eastAsia="Arial" w:hAnsi="Verdana" w:cs="Arial"/>
                <w:bCs/>
                <w:color w:val="000000" w:themeColor="text1"/>
                <w:lang w:val="es-ES"/>
              </w:rPr>
              <w:t xml:space="preserve">el artículo 2.8.8.1.1.3 del Decreto 780 de 2016, Por medio del cual se expide el Decreto Único Reglamentario del Sector Salud y Protección Social, definió a las </w:t>
            </w:r>
            <w:r w:rsidRPr="00FC6F34">
              <w:rPr>
                <w:rFonts w:ascii="Verdana" w:eastAsia="Arial" w:hAnsi="Verdana" w:cs="Arial"/>
                <w:bCs/>
                <w:i/>
                <w:iCs/>
                <w:color w:val="000000" w:themeColor="text1"/>
                <w:lang w:val="es-ES"/>
              </w:rPr>
              <w:t>entidades sanitarias</w:t>
            </w:r>
            <w:r w:rsidRPr="00FC6F34">
              <w:rPr>
                <w:rFonts w:ascii="Verdana" w:eastAsia="Arial" w:hAnsi="Verdana" w:cs="Arial"/>
                <w:bCs/>
                <w:color w:val="000000" w:themeColor="text1"/>
                <w:lang w:val="es-ES"/>
              </w:rPr>
              <w:t xml:space="preserve"> como “Entidades del Estado que prestan servicios sanitarios o de sanidad con el propósito de preservar la salud humana y la salud pública”. De esta forma, </w:t>
            </w:r>
            <w:r>
              <w:rPr>
                <w:rFonts w:ascii="Verdana" w:eastAsia="Arial" w:hAnsi="Verdana" w:cs="Arial"/>
                <w:bCs/>
                <w:color w:val="000000" w:themeColor="text1"/>
                <w:lang w:val="es-ES"/>
              </w:rPr>
              <w:t>p</w:t>
            </w:r>
            <w:r w:rsidRPr="00FC6F34">
              <w:rPr>
                <w:rFonts w:ascii="Verdana" w:eastAsia="Arial" w:hAnsi="Verdana" w:cs="Arial"/>
                <w:bCs/>
                <w:color w:val="000000" w:themeColor="text1"/>
                <w:lang w:val="es-ES"/>
              </w:rPr>
              <w:t xml:space="preserve">ara efectos de la excepción, es indiferente que la </w:t>
            </w:r>
            <w:r>
              <w:rPr>
                <w:rFonts w:ascii="Verdana" w:eastAsia="Arial" w:hAnsi="Verdana" w:cs="Arial"/>
                <w:bCs/>
                <w:color w:val="000000" w:themeColor="text1"/>
                <w:lang w:val="es-ES"/>
              </w:rPr>
              <w:t>E</w:t>
            </w:r>
            <w:r w:rsidRPr="00FC6F34">
              <w:rPr>
                <w:rFonts w:ascii="Verdana" w:eastAsia="Arial" w:hAnsi="Verdana" w:cs="Arial"/>
                <w:bCs/>
                <w:color w:val="000000" w:themeColor="text1"/>
                <w:lang w:val="es-ES"/>
              </w:rPr>
              <w:t xml:space="preserve">ntidad </w:t>
            </w:r>
            <w:r>
              <w:rPr>
                <w:rFonts w:ascii="Verdana" w:eastAsia="Arial" w:hAnsi="Verdana" w:cs="Arial"/>
                <w:bCs/>
                <w:color w:val="000000" w:themeColor="text1"/>
                <w:lang w:val="es-ES"/>
              </w:rPr>
              <w:t>Es</w:t>
            </w:r>
            <w:r w:rsidRPr="00FC6F34">
              <w:rPr>
                <w:rFonts w:ascii="Verdana" w:eastAsia="Arial" w:hAnsi="Verdana" w:cs="Arial"/>
                <w:bCs/>
                <w:color w:val="000000" w:themeColor="text1"/>
                <w:lang w:val="es-ES"/>
              </w:rPr>
              <w:t xml:space="preserve">tatal tenga funciones de </w:t>
            </w:r>
            <w:r w:rsidRPr="00FC6F34">
              <w:rPr>
                <w:rFonts w:ascii="Verdana" w:eastAsia="Arial" w:hAnsi="Verdana" w:cs="Arial"/>
                <w:bCs/>
                <w:i/>
                <w:iCs/>
                <w:color w:val="000000" w:themeColor="text1"/>
                <w:lang w:val="es-ES"/>
              </w:rPr>
              <w:t>autoridad sanitaria</w:t>
            </w:r>
            <w:r w:rsidRPr="00FC6F34">
              <w:rPr>
                <w:rFonts w:ascii="Verdana" w:eastAsia="Arial" w:hAnsi="Verdana" w:cs="Arial"/>
                <w:bCs/>
                <w:color w:val="000000" w:themeColor="text1"/>
                <w:lang w:val="es-ES"/>
              </w:rPr>
              <w:t xml:space="preserve">, pues lo relevante para determinar si la contratación está exceptuada de la prohibición general </w:t>
            </w:r>
            <w:r>
              <w:rPr>
                <w:rFonts w:ascii="Verdana" w:eastAsia="Arial" w:hAnsi="Verdana" w:cs="Arial"/>
                <w:bCs/>
                <w:color w:val="000000" w:themeColor="text1"/>
                <w:lang w:val="es-ES"/>
              </w:rPr>
              <w:t xml:space="preserve">es que </w:t>
            </w:r>
            <w:r w:rsidRPr="00FC6F34">
              <w:rPr>
                <w:rFonts w:ascii="Verdana" w:eastAsia="Arial" w:hAnsi="Verdana" w:cs="Arial"/>
                <w:bCs/>
                <w:color w:val="000000" w:themeColor="text1"/>
                <w:lang w:val="es-ES"/>
              </w:rPr>
              <w:t xml:space="preserve">se trate de una </w:t>
            </w:r>
            <w:r w:rsidRPr="00FC6F34">
              <w:rPr>
                <w:rFonts w:ascii="Verdana" w:eastAsia="Arial" w:hAnsi="Verdana" w:cs="Arial"/>
                <w:bCs/>
                <w:i/>
                <w:iCs/>
                <w:color w:val="000000" w:themeColor="text1"/>
                <w:lang w:val="es-ES"/>
              </w:rPr>
              <w:t>entidad sanitaria</w:t>
            </w:r>
            <w:r w:rsidRPr="00FC6F34">
              <w:rPr>
                <w:rFonts w:ascii="Verdana" w:eastAsia="Arial" w:hAnsi="Verdana" w:cs="Arial"/>
                <w:bCs/>
                <w:color w:val="000000" w:themeColor="text1"/>
                <w:lang w:val="es-ES"/>
              </w:rPr>
              <w:t>. Sobre lo anterior</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el Consejo de Estado ha señalado que “las entidades que presten servicios tendientes a preservar la salud pública o humana deben ser consideradas como entidades sanitarias y en principio estarían exceptuadas de la prohibición de contratación directa”.</w:t>
            </w:r>
          </w:p>
          <w:p w14:paraId="2405A48F" w14:textId="77777777" w:rsidR="004C57D9" w:rsidRDefault="004C57D9" w:rsidP="005642F4">
            <w:pPr>
              <w:spacing w:after="120" w:line="276" w:lineRule="auto"/>
              <w:ind w:firstLine="742"/>
              <w:jc w:val="both"/>
              <w:rPr>
                <w:rFonts w:ascii="Verdana" w:eastAsia="Arial" w:hAnsi="Verdana" w:cs="Arial"/>
                <w:bCs/>
                <w:color w:val="000000" w:themeColor="text1"/>
                <w:lang w:val="es-ES"/>
              </w:rPr>
            </w:pPr>
            <w:r>
              <w:rPr>
                <w:rFonts w:ascii="Verdana" w:eastAsia="Arial" w:hAnsi="Verdana" w:cs="Arial"/>
                <w:bCs/>
                <w:color w:val="000000" w:themeColor="text1"/>
                <w:lang w:val="es-ES"/>
              </w:rPr>
              <w:t xml:space="preserve">Conforme con lo expuesto, las entidades que requieran adelantar procesos de contratación directa durante el periodo de garantías electorales deberán analizar, primero, si se configuran los supuestos establecidos en </w:t>
            </w:r>
            <w:r w:rsidRPr="00D43D96">
              <w:rPr>
                <w:rFonts w:ascii="Verdana" w:eastAsia="Arial" w:hAnsi="Verdana" w:cs="Arial"/>
                <w:bCs/>
                <w:color w:val="000000" w:themeColor="text1"/>
                <w:lang w:val="es-ES"/>
              </w:rPr>
              <w:t xml:space="preserve">el artículo 33 </w:t>
            </w:r>
            <w:r>
              <w:rPr>
                <w:rFonts w:ascii="Verdana" w:eastAsia="Arial" w:hAnsi="Verdana" w:cs="Arial"/>
                <w:bCs/>
                <w:color w:val="000000" w:themeColor="text1"/>
                <w:lang w:val="es-ES"/>
              </w:rPr>
              <w:t>de la Ley 996 de 2005, es decir, si se trata de una entidad pública que pretenda adelantar un proceso no competitivo. Adicionalmente, será pertinente analizar si se configura alguna de las excepciones previstas en la norma. En este caso, será relevante determinar si la contratación del PIC se realiza con ocasión a una “emergencia sanitaria” o si es llevada a cabo por “entidades sanitarias u hospitalarias”. De ser así, la entidad podrá contratar directamente, a pesar de que haya iniciado el periodo de garantías electorales correspondiente al artículo 33 de la Ley 996 de 2005.</w:t>
            </w:r>
          </w:p>
          <w:p w14:paraId="0786C3BD" w14:textId="77777777" w:rsidR="004C57D9" w:rsidRDefault="004C57D9" w:rsidP="005642F4">
            <w:pPr>
              <w:widowControl w:val="0"/>
              <w:tabs>
                <w:tab w:val="left" w:pos="3402"/>
              </w:tabs>
              <w:autoSpaceDE w:val="0"/>
              <w:autoSpaceDN w:val="0"/>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lastRenderedPageBreak/>
              <w:t>R</w:t>
            </w:r>
            <w:r w:rsidRPr="0027386B">
              <w:rPr>
                <w:rFonts w:ascii="Verdana" w:eastAsia="Arial" w:hAnsi="Verdana" w:cs="Arial"/>
                <w:lang w:val="es-ES" w:eastAsia="es-ES" w:bidi="es-ES"/>
              </w:rPr>
              <w:t>especto a la prohibición del parágrafo del artículo 38, es necesario verificar si la contratación del PIC es llevada a cabo por “</w:t>
            </w:r>
            <w:proofErr w:type="gramStart"/>
            <w:r w:rsidRPr="0027386B">
              <w:rPr>
                <w:rFonts w:ascii="Verdana" w:eastAsia="Arial" w:hAnsi="Verdana" w:cs="Arial"/>
                <w:lang w:val="es-ES" w:eastAsia="es-ES" w:bidi="es-ES"/>
              </w:rPr>
              <w:t>Alcaldes</w:t>
            </w:r>
            <w:proofErr w:type="gramEnd"/>
            <w:r w:rsidRPr="0027386B">
              <w:rPr>
                <w:rFonts w:ascii="Verdana" w:eastAsia="Arial" w:hAnsi="Verdana" w:cs="Arial"/>
                <w:lang w:val="es-ES" w:eastAsia="es-ES" w:bidi="es-ES"/>
              </w:rPr>
              <w:t xml:space="preserve">, Gobernadores, </w:t>
            </w:r>
            <w:proofErr w:type="gramStart"/>
            <w:r w:rsidRPr="0027386B">
              <w:rPr>
                <w:rFonts w:ascii="Verdana" w:eastAsia="Arial" w:hAnsi="Verdana" w:cs="Arial"/>
                <w:lang w:val="es-ES" w:eastAsia="es-ES" w:bidi="es-ES"/>
              </w:rPr>
              <w:t>Secretarios</w:t>
            </w:r>
            <w:proofErr w:type="gramEnd"/>
            <w:r w:rsidRPr="0027386B">
              <w:rPr>
                <w:rFonts w:ascii="Verdana" w:eastAsia="Arial" w:hAnsi="Verdana" w:cs="Arial"/>
                <w:lang w:val="es-ES" w:eastAsia="es-ES" w:bidi="es-ES"/>
              </w:rPr>
              <w:t xml:space="preserve">, Gerentes y </w:t>
            </w:r>
            <w:proofErr w:type="gramStart"/>
            <w:r w:rsidRPr="0027386B">
              <w:rPr>
                <w:rFonts w:ascii="Verdana" w:eastAsia="Arial" w:hAnsi="Verdana" w:cs="Arial"/>
                <w:lang w:val="es-ES" w:eastAsia="es-ES" w:bidi="es-ES"/>
              </w:rPr>
              <w:t>Directores</w:t>
            </w:r>
            <w:proofErr w:type="gramEnd"/>
            <w:r w:rsidRPr="0027386B">
              <w:rPr>
                <w:rFonts w:ascii="Verdana" w:eastAsia="Arial" w:hAnsi="Verdana" w:cs="Arial"/>
                <w:lang w:val="es-ES" w:eastAsia="es-ES" w:bidi="es-ES"/>
              </w:rPr>
              <w:t xml:space="preserve"> de las entidades del orden municipal, departamental o distrital”; así como determinar si lo que pretende adelantar es un convenio interadministrativo para la ejecución de recursos públicos. Cuando este sea el caso, operará la restricción señalada en el parágrafo y estará prohibido llevar a cabo la contratación de convenios en los cuatro meses anteriores a cualquier contienda electoral. Es importante resaltar que para esta prohibición la norma no contempló ninguna excepción, de modo que aplicará, aunque se trate de entidades sanitarias u hospitalarias.</w:t>
            </w:r>
          </w:p>
          <w:p w14:paraId="580FEF91" w14:textId="77777777" w:rsidR="004C57D9" w:rsidRDefault="004C57D9" w:rsidP="005642F4">
            <w:pPr>
              <w:widowControl w:val="0"/>
              <w:tabs>
                <w:tab w:val="left" w:pos="3402"/>
              </w:tabs>
              <w:autoSpaceDE w:val="0"/>
              <w:autoSpaceDN w:val="0"/>
              <w:spacing w:after="120" w:line="276" w:lineRule="auto"/>
              <w:ind w:firstLine="709"/>
              <w:jc w:val="both"/>
              <w:rPr>
                <w:rFonts w:ascii="Verdana" w:eastAsia="Arial" w:hAnsi="Verdana" w:cs="Arial"/>
                <w:bCs/>
                <w:color w:val="000000" w:themeColor="text1"/>
                <w:lang w:val="es-ES"/>
              </w:rPr>
            </w:pPr>
            <w:r>
              <w:rPr>
                <w:rFonts w:ascii="Verdana" w:eastAsia="Arial" w:hAnsi="Verdana" w:cs="Arial"/>
                <w:lang w:val="es-ES" w:eastAsia="es-ES" w:bidi="es-ES"/>
              </w:rPr>
              <w:t xml:space="preserve">Se resalta que el </w:t>
            </w:r>
            <w:r w:rsidRPr="00FC6F34">
              <w:rPr>
                <w:rFonts w:ascii="Verdana" w:eastAsia="Arial" w:hAnsi="Verdana" w:cs="Arial"/>
                <w:bCs/>
                <w:color w:val="000000" w:themeColor="text1"/>
                <w:lang w:val="es-ES"/>
              </w:rPr>
              <w:t>Ministerio de Salud y Protección Social</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mediante la Resolución 04 del 12 de </w:t>
            </w:r>
            <w:proofErr w:type="gramStart"/>
            <w:r w:rsidRPr="00FC6F34">
              <w:rPr>
                <w:rFonts w:ascii="Verdana" w:eastAsia="Arial" w:hAnsi="Verdana" w:cs="Arial"/>
                <w:bCs/>
                <w:color w:val="000000" w:themeColor="text1"/>
                <w:lang w:val="es-ES"/>
              </w:rPr>
              <w:t>Enero</w:t>
            </w:r>
            <w:proofErr w:type="gramEnd"/>
            <w:r w:rsidRPr="00FC6F34">
              <w:rPr>
                <w:rFonts w:ascii="Verdana" w:eastAsia="Arial" w:hAnsi="Verdana" w:cs="Arial"/>
                <w:bCs/>
                <w:color w:val="000000" w:themeColor="text1"/>
                <w:lang w:val="es-ES"/>
              </w:rPr>
              <w:t xml:space="preserve"> de 2018, dio “instrucciones para la ejecución de las acciones en salud pública en el marco de la Ley de Garantías electorales”.</w:t>
            </w:r>
            <w:r>
              <w:rPr>
                <w:rFonts w:ascii="Verdana" w:eastAsia="Arial" w:hAnsi="Verdana" w:cs="Arial"/>
                <w:bCs/>
                <w:color w:val="000000" w:themeColor="text1"/>
                <w:lang w:val="es-ES"/>
              </w:rPr>
              <w:t xml:space="preserve"> </w:t>
            </w:r>
            <w:r w:rsidRPr="00FC6F34">
              <w:rPr>
                <w:rFonts w:ascii="Verdana" w:eastAsia="Arial" w:hAnsi="Verdana" w:cs="Arial"/>
                <w:bCs/>
                <w:color w:val="000000" w:themeColor="text1"/>
                <w:lang w:val="es-ES"/>
              </w:rPr>
              <w:t xml:space="preserve">Respecto de la ejecución del </w:t>
            </w:r>
            <w:r>
              <w:rPr>
                <w:rFonts w:ascii="Verdana" w:eastAsia="Arial" w:hAnsi="Verdana" w:cs="Arial"/>
                <w:bCs/>
                <w:color w:val="000000" w:themeColor="text1"/>
                <w:lang w:val="es-ES"/>
              </w:rPr>
              <w:t>PIC</w:t>
            </w:r>
            <w:r w:rsidRPr="00FC6F34">
              <w:rPr>
                <w:rFonts w:ascii="Verdana" w:eastAsia="Arial" w:hAnsi="Verdana" w:cs="Arial"/>
                <w:bCs/>
                <w:color w:val="000000" w:themeColor="text1"/>
                <w:lang w:val="es-ES"/>
              </w:rPr>
              <w:t>,</w:t>
            </w:r>
            <w:r>
              <w:rPr>
                <w:rFonts w:ascii="Verdana" w:eastAsia="Arial" w:hAnsi="Verdana" w:cs="Arial"/>
                <w:bCs/>
                <w:color w:val="000000" w:themeColor="text1"/>
                <w:lang w:val="es-ES"/>
              </w:rPr>
              <w:t xml:space="preserve"> </w:t>
            </w:r>
            <w:r w:rsidRPr="00FC6F34">
              <w:rPr>
                <w:rFonts w:ascii="Verdana" w:eastAsia="Arial" w:hAnsi="Verdana" w:cs="Arial"/>
                <w:bCs/>
                <w:color w:val="000000" w:themeColor="text1"/>
                <w:lang w:val="es-ES"/>
              </w:rPr>
              <w:t xml:space="preserve">enfatizó que las entidades deben garantizar los tramites contractuales y la planeación para la continuidad del </w:t>
            </w:r>
            <w:r>
              <w:rPr>
                <w:rFonts w:ascii="Verdana" w:eastAsia="Arial" w:hAnsi="Verdana" w:cs="Arial"/>
                <w:bCs/>
                <w:color w:val="000000" w:themeColor="text1"/>
                <w:lang w:val="es-ES"/>
              </w:rPr>
              <w:t>programa</w:t>
            </w:r>
            <w:r w:rsidRPr="00FC6F34">
              <w:rPr>
                <w:rFonts w:ascii="Verdana" w:eastAsia="Arial" w:hAnsi="Verdana" w:cs="Arial"/>
                <w:bCs/>
                <w:color w:val="000000" w:themeColor="text1"/>
                <w:lang w:val="es-ES"/>
              </w:rPr>
              <w:t>. Además, señal</w:t>
            </w:r>
            <w:r>
              <w:rPr>
                <w:rFonts w:ascii="Verdana" w:eastAsia="Arial" w:hAnsi="Verdana" w:cs="Arial"/>
                <w:bCs/>
                <w:color w:val="000000" w:themeColor="text1"/>
                <w:lang w:val="es-ES"/>
              </w:rPr>
              <w:t>ó</w:t>
            </w:r>
            <w:r w:rsidRPr="00FC6F34">
              <w:rPr>
                <w:rFonts w:ascii="Verdana" w:eastAsia="Arial" w:hAnsi="Verdana" w:cs="Arial"/>
                <w:bCs/>
                <w:color w:val="000000" w:themeColor="text1"/>
                <w:lang w:val="es-ES"/>
              </w:rPr>
              <w:t xml:space="preserve"> que durante el periodo de prohibición del artículo 33 de la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 xml:space="preserve">ey 996 de 2005 “se exceptúan las acciones que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a entidad territorial requiera contratar como entidad sanitaria” con el fin de no paralizar su funcionamiento o interrumpir la prestación de los servicios públicos de carácter esencial, con lo cual resalt</w:t>
            </w:r>
            <w:r>
              <w:rPr>
                <w:rFonts w:ascii="Verdana" w:eastAsia="Arial" w:hAnsi="Verdana" w:cs="Arial"/>
                <w:bCs/>
                <w:color w:val="000000" w:themeColor="text1"/>
                <w:lang w:val="es-ES"/>
              </w:rPr>
              <w:t>ó</w:t>
            </w:r>
            <w:r w:rsidRPr="00FC6F34">
              <w:rPr>
                <w:rFonts w:ascii="Verdana" w:eastAsia="Arial" w:hAnsi="Verdana" w:cs="Arial"/>
                <w:bCs/>
                <w:color w:val="000000" w:themeColor="text1"/>
                <w:lang w:val="es-ES"/>
              </w:rPr>
              <w:t xml:space="preserve"> la excepción aplicable a </w:t>
            </w:r>
            <w:r>
              <w:rPr>
                <w:rFonts w:ascii="Verdana" w:eastAsia="Arial" w:hAnsi="Verdana" w:cs="Arial"/>
                <w:bCs/>
                <w:color w:val="000000" w:themeColor="text1"/>
                <w:lang w:val="es-ES"/>
              </w:rPr>
              <w:t>estas entidades</w:t>
            </w:r>
            <w:r w:rsidRPr="00FC6F34">
              <w:rPr>
                <w:rFonts w:ascii="Verdana" w:eastAsia="Arial" w:hAnsi="Verdana" w:cs="Arial"/>
                <w:bCs/>
                <w:color w:val="000000" w:themeColor="text1"/>
                <w:lang w:val="es-ES"/>
              </w:rPr>
              <w:t>. Sobre esto último</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estableció como criterios para determinar </w:t>
            </w:r>
            <w:r>
              <w:rPr>
                <w:rFonts w:ascii="Verdana" w:eastAsia="Arial" w:hAnsi="Verdana" w:cs="Arial"/>
                <w:bCs/>
                <w:color w:val="000000" w:themeColor="text1"/>
                <w:lang w:val="es-ES"/>
              </w:rPr>
              <w:t>la procedencia de la</w:t>
            </w:r>
            <w:r w:rsidRPr="00FC6F34">
              <w:rPr>
                <w:rFonts w:ascii="Verdana" w:eastAsia="Arial" w:hAnsi="Verdana" w:cs="Arial"/>
                <w:bCs/>
                <w:color w:val="000000" w:themeColor="text1"/>
                <w:lang w:val="es-ES"/>
              </w:rPr>
              <w:t xml:space="preserve"> excepción en materia de salud: i) </w:t>
            </w:r>
            <w:r>
              <w:rPr>
                <w:rFonts w:ascii="Verdana" w:eastAsia="Arial" w:hAnsi="Verdana" w:cs="Arial"/>
                <w:bCs/>
                <w:color w:val="000000" w:themeColor="text1"/>
                <w:lang w:val="es-ES"/>
              </w:rPr>
              <w:t>q</w:t>
            </w:r>
            <w:r w:rsidRPr="00FC6F34">
              <w:rPr>
                <w:rFonts w:ascii="Verdana" w:eastAsia="Arial" w:hAnsi="Verdana" w:cs="Arial"/>
                <w:bCs/>
                <w:color w:val="000000" w:themeColor="text1"/>
                <w:lang w:val="es-ES"/>
              </w:rPr>
              <w:t xml:space="preserve">ue la contratación sea necesaria para solventar las eventuales situaciones de urgencia en salud, y </w:t>
            </w:r>
            <w:proofErr w:type="spellStart"/>
            <w:r w:rsidRPr="00FC6F34">
              <w:rPr>
                <w:rFonts w:ascii="Verdana" w:eastAsia="Arial" w:hAnsi="Verdana" w:cs="Arial"/>
                <w:bCs/>
                <w:color w:val="000000" w:themeColor="text1"/>
                <w:lang w:val="es-ES"/>
              </w:rPr>
              <w:t>ii</w:t>
            </w:r>
            <w:proofErr w:type="spellEnd"/>
            <w:r w:rsidRPr="00FC6F34">
              <w:rPr>
                <w:rFonts w:ascii="Verdana" w:eastAsia="Arial" w:hAnsi="Verdana" w:cs="Arial"/>
                <w:bCs/>
                <w:color w:val="000000" w:themeColor="text1"/>
                <w:lang w:val="es-ES"/>
              </w:rPr>
              <w:t xml:space="preserve">) que se refiera al cumplimiento de deberes de las entidades sanitarias y hospitalarias. Finalmente, resaltó que durante el periodo de prohibición es posible realizar adiciones y prórrogas a los contratos vigentes, en el marco de los principios de planeación, transparencia y responsabilidad. </w:t>
            </w:r>
          </w:p>
          <w:p w14:paraId="76667992" w14:textId="77777777" w:rsidR="004C57D9" w:rsidRDefault="004C57D9" w:rsidP="005642F4">
            <w:pPr>
              <w:spacing w:after="120" w:line="276" w:lineRule="auto"/>
              <w:ind w:firstLine="709"/>
              <w:jc w:val="both"/>
              <w:rPr>
                <w:rFonts w:ascii="Verdana" w:eastAsia="Times New Roman" w:hAnsi="Verdana" w:cs="Arial"/>
                <w:bCs/>
                <w:lang w:val="es-ES" w:eastAsia="es-CO"/>
              </w:rPr>
            </w:pPr>
            <w:r>
              <w:rPr>
                <w:rFonts w:ascii="Verdana" w:eastAsia="Arial" w:hAnsi="Verdana" w:cs="Arial"/>
                <w:bCs/>
                <w:color w:val="000000" w:themeColor="text1"/>
                <w:lang w:val="es-ES"/>
              </w:rPr>
              <w:t xml:space="preserve">Esto último es acorde con </w:t>
            </w:r>
            <w:r>
              <w:rPr>
                <w:rFonts w:ascii="Verdana" w:eastAsia="Times New Roman" w:hAnsi="Verdana" w:cs="Arial"/>
                <w:bCs/>
                <w:lang w:val="es-ES" w:eastAsia="es-CO"/>
              </w:rPr>
              <w:t xml:space="preserve">lo </w:t>
            </w:r>
            <w:r w:rsidRPr="00FC6F34">
              <w:rPr>
                <w:rFonts w:ascii="Verdana" w:eastAsia="Times New Roman" w:hAnsi="Verdana" w:cs="Arial"/>
                <w:bCs/>
                <w:lang w:val="es-ES" w:eastAsia="es-CO"/>
              </w:rPr>
              <w:t xml:space="preserve">manifestado </w:t>
            </w:r>
            <w:r>
              <w:rPr>
                <w:rFonts w:ascii="Verdana" w:eastAsia="Times New Roman" w:hAnsi="Verdana" w:cs="Arial"/>
                <w:bCs/>
                <w:lang w:val="es-ES" w:eastAsia="es-CO"/>
              </w:rPr>
              <w:t xml:space="preserve">por </w:t>
            </w:r>
            <w:r w:rsidRPr="00FC6F34">
              <w:rPr>
                <w:rFonts w:ascii="Verdana" w:eastAsia="Times New Roman" w:hAnsi="Verdana" w:cs="Arial"/>
                <w:bCs/>
                <w:lang w:val="es-ES" w:eastAsia="es-CO"/>
              </w:rPr>
              <w:t>esta Agencia,</w:t>
            </w:r>
            <w:r>
              <w:rPr>
                <w:rFonts w:ascii="Verdana" w:eastAsia="Times New Roman" w:hAnsi="Verdana" w:cs="Arial"/>
                <w:bCs/>
                <w:lang w:val="es-ES" w:eastAsia="es-CO"/>
              </w:rPr>
              <w:t xml:space="preserve"> en el sentido de que</w:t>
            </w:r>
            <w:r w:rsidRPr="00FC6F34">
              <w:rPr>
                <w:rFonts w:ascii="Verdana" w:eastAsia="Times New Roman" w:hAnsi="Verdana" w:cs="Arial"/>
                <w:bCs/>
                <w:lang w:val="es-ES" w:eastAsia="es-CO"/>
              </w:rPr>
              <w:t xml:space="preserve"> las prórrogas, modificaciones o adiciones de los contratos suscritos antes de la entrada en vigencia de las prohibiciones</w:t>
            </w:r>
            <w:r>
              <w:rPr>
                <w:rFonts w:ascii="Verdana" w:eastAsia="Times New Roman" w:hAnsi="Verdana" w:cs="Arial"/>
                <w:bCs/>
                <w:lang w:val="es-ES" w:eastAsia="es-CO"/>
              </w:rPr>
              <w:t xml:space="preserve"> del artículo 33 y el parágrafo del artículo 38</w:t>
            </w:r>
            <w:r w:rsidRPr="00FC6F34">
              <w:rPr>
                <w:rFonts w:ascii="Verdana" w:eastAsia="Times New Roman" w:hAnsi="Verdana" w:cs="Arial"/>
                <w:bCs/>
                <w:lang w:val="es-ES" w:eastAsia="es-CO"/>
              </w:rPr>
              <w:t>, así como la cesión de los mismos, pueden tener lugar en el período de aplicación de la Ley de Garantías Electorales, sin que ello haga nugatoria la restricción de la contratación directa</w:t>
            </w:r>
            <w:r>
              <w:rPr>
                <w:rFonts w:ascii="Verdana" w:eastAsia="Times New Roman" w:hAnsi="Verdana" w:cs="Arial"/>
                <w:bCs/>
                <w:lang w:val="es-ES" w:eastAsia="es-CO"/>
              </w:rPr>
              <w:t xml:space="preserve">, </w:t>
            </w:r>
            <w:r w:rsidRPr="00FC6F34">
              <w:rPr>
                <w:rFonts w:ascii="Verdana" w:eastAsia="Times New Roman" w:hAnsi="Verdana" w:cs="Arial"/>
                <w:bCs/>
                <w:lang w:val="es-ES" w:eastAsia="es-CO"/>
              </w:rPr>
              <w:t xml:space="preserve">siempre que cumplan los principios de planeación, transparencia y responsabilidad. Además, también es posible que contratos celebrados previamente se continúen ejecutando con normalidad y, en consecuencia, se realicen los pagos en las condiciones pactadas. </w:t>
            </w:r>
          </w:p>
          <w:p w14:paraId="5452C575" w14:textId="77777777" w:rsidR="004C57D9" w:rsidRPr="00036A04" w:rsidRDefault="004C57D9" w:rsidP="005642F4">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lastRenderedPageBreak/>
              <w:t xml:space="preserve">Con respecto a la prohibición del parágrafo del artículo 38, es importante resaltar que el Ministerio de Salud y Protección Social </w:t>
            </w:r>
            <w:r>
              <w:rPr>
                <w:rFonts w:ascii="Verdana" w:eastAsia="Arial" w:hAnsi="Verdana" w:cs="Arial"/>
                <w:bCs/>
                <w:color w:val="000000" w:themeColor="text1"/>
                <w:lang w:val="es-ES"/>
              </w:rPr>
              <w:t xml:space="preserve">dispuso </w:t>
            </w:r>
            <w:r w:rsidRPr="00FC6F34">
              <w:rPr>
                <w:rFonts w:ascii="Verdana" w:eastAsia="Arial" w:hAnsi="Verdana" w:cs="Arial"/>
                <w:bCs/>
                <w:color w:val="000000" w:themeColor="text1"/>
                <w:lang w:val="es-ES"/>
              </w:rPr>
              <w:t>que</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con el fin de garantizar la continuidad de</w:t>
            </w:r>
            <w:r>
              <w:rPr>
                <w:rFonts w:ascii="Verdana" w:eastAsia="Arial" w:hAnsi="Verdana" w:cs="Arial"/>
                <w:bCs/>
                <w:color w:val="000000" w:themeColor="text1"/>
                <w:lang w:val="es-ES"/>
              </w:rPr>
              <w:t xml:space="preserve"> </w:t>
            </w:r>
            <w:r w:rsidRPr="00FC6F34">
              <w:rPr>
                <w:rFonts w:ascii="Verdana" w:eastAsia="Arial" w:hAnsi="Verdana" w:cs="Arial"/>
                <w:bCs/>
                <w:color w:val="000000" w:themeColor="text1"/>
                <w:lang w:val="es-ES"/>
              </w:rPr>
              <w:t xml:space="preserve">las intervenciones de promoción de salud y prevención, “se debe acudir a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 xml:space="preserve">as demás modalidades de contratación autorizadas por la ley de manera que no se afecte la ejecución de las intervenciones colectivas a cargo de las entidades territoriales”. </w:t>
            </w:r>
            <w:r>
              <w:rPr>
                <w:rFonts w:ascii="Verdana" w:eastAsia="Arial" w:hAnsi="Verdana" w:cs="Arial"/>
                <w:bCs/>
                <w:color w:val="000000" w:themeColor="text1"/>
                <w:lang w:val="es-ES"/>
              </w:rPr>
              <w:t xml:space="preserve">Lo anterior, considerando que esta prohibición no fijó excepción alguna para su aplicación. </w:t>
            </w:r>
          </w:p>
          <w:p w14:paraId="066DF73E" w14:textId="77777777" w:rsidR="004C57D9" w:rsidRPr="00584759" w:rsidRDefault="004C57D9" w:rsidP="005642F4">
            <w:pPr>
              <w:shd w:val="clear" w:color="auto" w:fill="FFFFFF"/>
              <w:spacing w:after="120" w:line="276" w:lineRule="auto"/>
              <w:ind w:firstLine="709"/>
              <w:jc w:val="both"/>
              <w:rPr>
                <w:rFonts w:ascii="Verdana" w:eastAsia="Calibri" w:hAnsi="Verdana" w:cs="Arial"/>
                <w:lang w:val="es-ES"/>
              </w:rPr>
            </w:pPr>
            <w:r>
              <w:rPr>
                <w:rFonts w:ascii="Verdana" w:eastAsia="Calibri" w:hAnsi="Verdana" w:cs="Arial"/>
                <w:lang w:val="es-ES"/>
              </w:rPr>
              <w:t xml:space="preserve">En suma, </w:t>
            </w:r>
            <w:r w:rsidRPr="00584759">
              <w:rPr>
                <w:rFonts w:ascii="Verdana" w:eastAsia="Calibri" w:hAnsi="Verdana" w:cs="Arial"/>
                <w:lang w:val="es-ES"/>
              </w:rPr>
              <w:t>corresponderá a cada entidad estatal, incluyendo a aquellas autorizadas para suscribir contratos en el marco de los Planes de Salud Pública de Intervenciones Colectivas</w:t>
            </w:r>
            <w:r>
              <w:rPr>
                <w:rFonts w:ascii="Verdana" w:eastAsia="Calibri" w:hAnsi="Verdana" w:cs="Arial"/>
                <w:lang w:val="es-ES"/>
              </w:rPr>
              <w:t xml:space="preserve">, </w:t>
            </w:r>
            <w:r w:rsidRPr="00584759">
              <w:rPr>
                <w:rFonts w:ascii="Verdana" w:eastAsia="Calibri" w:hAnsi="Verdana" w:cs="Arial"/>
                <w:lang w:val="es-ES"/>
              </w:rPr>
              <w:t>determinar la procedencia de celebrar un contrato estatal específico, para lo cual deberán tener en cuenta las prohibiciones establecidas en materia contractual en la Ley de Garantías Electorales, de acuerdo con lo explicado en las consideraciones de este concepto.</w:t>
            </w:r>
          </w:p>
          <w:p w14:paraId="43B2C1EA" w14:textId="77777777" w:rsidR="004C57D9" w:rsidRPr="001F741E" w:rsidRDefault="004C57D9" w:rsidP="005642F4">
            <w:pPr>
              <w:shd w:val="clear" w:color="auto" w:fill="FFFFFF"/>
              <w:spacing w:after="120" w:line="276" w:lineRule="auto"/>
              <w:ind w:firstLine="708"/>
              <w:jc w:val="both"/>
              <w:rPr>
                <w:rFonts w:ascii="Verdana" w:eastAsia="Calibri" w:hAnsi="Verdana" w:cs="Arial"/>
                <w:lang w:val="es-ES"/>
              </w:rPr>
            </w:pPr>
            <w:r>
              <w:rPr>
                <w:rFonts w:ascii="Verdana" w:eastAsia="Calibri" w:hAnsi="Verdana" w:cs="Arial"/>
                <w:lang w:val="es-ES"/>
              </w:rPr>
              <w:t>En particular</w:t>
            </w:r>
            <w:r w:rsidRPr="00584759">
              <w:rPr>
                <w:rFonts w:ascii="Verdana" w:eastAsia="Calibri" w:hAnsi="Verdana" w:cs="Arial"/>
                <w:lang w:val="es-ES"/>
              </w:rPr>
              <w:t xml:space="preserve">, corresponde a cada </w:t>
            </w:r>
            <w:r>
              <w:rPr>
                <w:rFonts w:ascii="Verdana" w:eastAsia="Calibri" w:hAnsi="Verdana" w:cs="Arial"/>
                <w:lang w:val="es-ES"/>
              </w:rPr>
              <w:t>E</w:t>
            </w:r>
            <w:r w:rsidRPr="00584759">
              <w:rPr>
                <w:rFonts w:ascii="Verdana" w:eastAsia="Calibri" w:hAnsi="Verdana" w:cs="Arial"/>
                <w:lang w:val="es-ES"/>
              </w:rPr>
              <w:t xml:space="preserve">ntidad </w:t>
            </w:r>
            <w:r>
              <w:rPr>
                <w:rFonts w:ascii="Verdana" w:eastAsia="Calibri" w:hAnsi="Verdana" w:cs="Arial"/>
                <w:lang w:val="es-ES"/>
              </w:rPr>
              <w:t>E</w:t>
            </w:r>
            <w:r w:rsidRPr="00584759">
              <w:rPr>
                <w:rFonts w:ascii="Verdana" w:eastAsia="Calibri" w:hAnsi="Verdana" w:cs="Arial"/>
                <w:lang w:val="es-ES"/>
              </w:rPr>
              <w:t>statal realizar el correspondiente análisis para determinar si aplica o no una determinada excepción</w:t>
            </w:r>
            <w:r>
              <w:rPr>
                <w:rFonts w:ascii="Verdana" w:eastAsia="Calibri" w:hAnsi="Verdana" w:cs="Arial"/>
                <w:lang w:val="es-ES"/>
              </w:rPr>
              <w:t xml:space="preserve"> a la prohibición del artículo 33 de la Ley de Garantías</w:t>
            </w:r>
            <w:r w:rsidRPr="00584759">
              <w:rPr>
                <w:rFonts w:ascii="Verdana" w:eastAsia="Calibri" w:hAnsi="Verdana" w:cs="Arial"/>
                <w:lang w:val="es-ES"/>
              </w:rPr>
              <w:t xml:space="preserve"> </w:t>
            </w:r>
            <w:r>
              <w:rPr>
                <w:rFonts w:ascii="Verdana" w:eastAsia="Calibri" w:hAnsi="Verdana" w:cs="Arial"/>
                <w:lang w:val="es-ES"/>
              </w:rPr>
              <w:t xml:space="preserve">Electorales, según </w:t>
            </w:r>
            <w:r w:rsidRPr="00584759">
              <w:rPr>
                <w:rFonts w:ascii="Verdana" w:eastAsia="Calibri" w:hAnsi="Verdana" w:cs="Arial"/>
                <w:lang w:val="es-ES"/>
              </w:rPr>
              <w:t xml:space="preserve">la situación fáctica y jurídica particular del caso concreto, para lo cual las consideraciones expuestas en el presente concepto constituyen un instrumento orientador. De ser procedente la excepción, la entidad </w:t>
            </w:r>
            <w:r>
              <w:rPr>
                <w:rFonts w:ascii="Verdana" w:eastAsia="Calibri" w:hAnsi="Verdana" w:cs="Arial"/>
                <w:lang w:val="es-ES"/>
              </w:rPr>
              <w:t xml:space="preserve">podrá </w:t>
            </w:r>
            <w:r w:rsidRPr="00584759">
              <w:rPr>
                <w:rFonts w:ascii="Verdana" w:eastAsia="Calibri" w:hAnsi="Verdana" w:cs="Arial"/>
                <w:lang w:val="es-ES"/>
              </w:rPr>
              <w:t>realizar la contratación directa justificando las razones que avalan su procedencia</w:t>
            </w:r>
            <w:r w:rsidRPr="00FC6F34">
              <w:rPr>
                <w:rFonts w:ascii="Verdana" w:hAnsi="Verdana" w:cs="Arial"/>
                <w:lang w:val="es-ES" w:eastAsia="es-CO"/>
              </w:rPr>
              <w:t>. Por el contrario, si el estudio determina que no aplica excepción alguna estará vedada la celebración de contratos de manera directa</w:t>
            </w:r>
            <w:r>
              <w:rPr>
                <w:rFonts w:ascii="Verdana" w:hAnsi="Verdana" w:cs="Arial"/>
                <w:lang w:val="es-ES" w:eastAsia="es-CO"/>
              </w:rPr>
              <w:t xml:space="preserve">. </w:t>
            </w:r>
            <w:r w:rsidRPr="00FC6F34">
              <w:rPr>
                <w:rFonts w:ascii="Verdana" w:hAnsi="Verdana" w:cs="Arial"/>
                <w:lang w:val="es-ES" w:eastAsia="es-CO"/>
              </w:rPr>
              <w:t>Lo anterior, sin perjuicio de la prohibición establecida en el parágrafo del artículo 38 de la Ley de Garantías Electorales</w:t>
            </w:r>
            <w:r>
              <w:rPr>
                <w:rFonts w:ascii="Verdana" w:hAnsi="Verdana" w:cs="Arial"/>
                <w:lang w:val="es-ES" w:eastAsia="es-CO"/>
              </w:rPr>
              <w:t>. En cualquier caso, las entidades podrán considerar l</w:t>
            </w:r>
            <w:r w:rsidRPr="00FC6F34">
              <w:rPr>
                <w:rFonts w:ascii="Verdana" w:hAnsi="Verdana" w:cs="Arial"/>
                <w:lang w:val="es-ES" w:eastAsia="es-CO"/>
              </w:rPr>
              <w:t xml:space="preserve">a posibilidad </w:t>
            </w:r>
            <w:r>
              <w:rPr>
                <w:rFonts w:ascii="Verdana" w:hAnsi="Verdana" w:cs="Arial"/>
                <w:lang w:val="es-ES" w:eastAsia="es-CO"/>
              </w:rPr>
              <w:t>de adelantar modalidades distintas a la contratación directa o tipologías distintas a la contratación interadministrativa</w:t>
            </w:r>
            <w:r w:rsidRPr="00FC6F34">
              <w:rPr>
                <w:rFonts w:ascii="Verdana" w:hAnsi="Verdana" w:cs="Arial"/>
                <w:lang w:val="es-ES" w:eastAsia="es-CO"/>
              </w:rPr>
              <w:t xml:space="preserve">, </w:t>
            </w:r>
            <w:r>
              <w:rPr>
                <w:rFonts w:ascii="Verdana" w:hAnsi="Verdana" w:cs="Arial"/>
                <w:lang w:val="es-ES" w:eastAsia="es-CO"/>
              </w:rPr>
              <w:t xml:space="preserve">es decir, aquellas que </w:t>
            </w:r>
            <w:r w:rsidRPr="00FC6F34">
              <w:rPr>
                <w:rFonts w:ascii="Verdana" w:hAnsi="Verdana" w:cs="Arial"/>
                <w:lang w:val="es-ES" w:eastAsia="es-CO"/>
              </w:rPr>
              <w:t>no se encuentr</w:t>
            </w:r>
            <w:r>
              <w:rPr>
                <w:rFonts w:ascii="Verdana" w:hAnsi="Verdana" w:cs="Arial"/>
                <w:lang w:val="es-ES" w:eastAsia="es-CO"/>
              </w:rPr>
              <w:t>e</w:t>
            </w:r>
            <w:r w:rsidRPr="00FC6F34">
              <w:rPr>
                <w:rFonts w:ascii="Verdana" w:hAnsi="Verdana" w:cs="Arial"/>
                <w:lang w:val="es-ES" w:eastAsia="es-CO"/>
              </w:rPr>
              <w:t>n restringidas por el artículo 33</w:t>
            </w:r>
            <w:r>
              <w:rPr>
                <w:rFonts w:ascii="Verdana" w:hAnsi="Verdana" w:cs="Arial"/>
                <w:lang w:val="es-ES" w:eastAsia="es-CO"/>
              </w:rPr>
              <w:t xml:space="preserve"> o el parágrafo del artículo 38</w:t>
            </w:r>
            <w:r w:rsidRPr="00FC6F34">
              <w:rPr>
                <w:rFonts w:ascii="Verdana" w:hAnsi="Verdana" w:cs="Arial"/>
                <w:lang w:val="es-ES" w:eastAsia="es-CO"/>
              </w:rPr>
              <w:t xml:space="preserve"> de la Ley 996 de 2005.</w:t>
            </w:r>
          </w:p>
        </w:tc>
      </w:tr>
    </w:tbl>
    <w:p w14:paraId="397806DD" w14:textId="77777777" w:rsidR="004C57D9" w:rsidRPr="00A869FE" w:rsidRDefault="004C57D9" w:rsidP="004C57D9">
      <w:pPr>
        <w:tabs>
          <w:tab w:val="left" w:pos="142"/>
          <w:tab w:val="left" w:pos="284"/>
        </w:tabs>
        <w:spacing w:after="0" w:line="276" w:lineRule="auto"/>
        <w:jc w:val="both"/>
        <w:rPr>
          <w:rFonts w:ascii="Verdana" w:eastAsia="Century Gothic" w:hAnsi="Verdana" w:cs="Century Gothic"/>
          <w:b/>
          <w:bCs/>
        </w:rPr>
      </w:pPr>
    </w:p>
    <w:p w14:paraId="4CAC20BB" w14:textId="77777777" w:rsidR="004C57D9" w:rsidRPr="00A869FE" w:rsidRDefault="004C57D9" w:rsidP="004C57D9">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Razones de la respuesta:</w:t>
      </w:r>
    </w:p>
    <w:p w14:paraId="0270749D" w14:textId="77777777" w:rsidR="004C57D9" w:rsidRPr="00A869FE" w:rsidRDefault="004C57D9" w:rsidP="004C57D9">
      <w:pPr>
        <w:spacing w:after="0" w:line="276" w:lineRule="auto"/>
        <w:jc w:val="both"/>
        <w:rPr>
          <w:rFonts w:ascii="Verdana" w:hAnsi="Verdana" w:cs="Arial"/>
          <w:color w:val="7030A0"/>
        </w:rPr>
      </w:pPr>
    </w:p>
    <w:p w14:paraId="2F3653DF" w14:textId="77777777" w:rsidR="004C57D9" w:rsidRPr="00A869FE" w:rsidRDefault="004C57D9" w:rsidP="004C57D9">
      <w:pPr>
        <w:spacing w:after="0" w:line="276" w:lineRule="auto"/>
        <w:jc w:val="both"/>
        <w:rPr>
          <w:rFonts w:ascii="Verdana" w:hAnsi="Verdana" w:cs="Arial"/>
        </w:rPr>
      </w:pPr>
      <w:r w:rsidRPr="00A869FE">
        <w:rPr>
          <w:rFonts w:ascii="Verdana" w:hAnsi="Verdana" w:cs="Arial"/>
        </w:rPr>
        <w:t>Lo anterior se sustenta en las siguientes consideraciones:</w:t>
      </w:r>
    </w:p>
    <w:p w14:paraId="523C6BA1" w14:textId="77777777" w:rsidR="004C57D9" w:rsidRPr="00A869FE" w:rsidRDefault="004C57D9" w:rsidP="004C57D9">
      <w:pPr>
        <w:spacing w:after="0" w:line="276" w:lineRule="auto"/>
        <w:ind w:firstLine="709"/>
        <w:jc w:val="both"/>
        <w:rPr>
          <w:rFonts w:ascii="Verdana" w:hAnsi="Verdana" w:cs="Arial"/>
          <w:color w:val="000000" w:themeColor="text1"/>
        </w:rPr>
      </w:pPr>
    </w:p>
    <w:p w14:paraId="72F9D341" w14:textId="77777777" w:rsidR="004C57D9" w:rsidRPr="00E84D2C" w:rsidRDefault="004C57D9" w:rsidP="004C57D9">
      <w:pPr>
        <w:tabs>
          <w:tab w:val="left" w:pos="426"/>
        </w:tabs>
        <w:spacing w:after="120" w:line="276" w:lineRule="auto"/>
        <w:jc w:val="both"/>
        <w:rPr>
          <w:rFonts w:ascii="Verdana" w:eastAsia="Times New Roman" w:hAnsi="Verdana" w:cs="Arial"/>
          <w:lang w:eastAsia="es-CO"/>
        </w:rPr>
      </w:pPr>
      <w:r>
        <w:rPr>
          <w:rFonts w:ascii="Verdana" w:eastAsia="Calibri" w:hAnsi="Verdana" w:cs="Arial"/>
        </w:rPr>
        <w:t xml:space="preserve">i) </w:t>
      </w:r>
      <w:r w:rsidRPr="00E84D2C">
        <w:rPr>
          <w:rFonts w:ascii="Verdana" w:eastAsia="Calibri" w:hAnsi="Verdana" w:cs="Arial"/>
        </w:rPr>
        <w:t>El ordenamiento jurídico colombiano contempla medidas para evitar la obtención de beneficios personales en asuntos propios de la administración pública</w:t>
      </w:r>
      <w:r w:rsidRPr="00E84D2C">
        <w:rPr>
          <w:rFonts w:ascii="Verdana" w:eastAsia="Calibri" w:hAnsi="Verdana" w:cs="Arial"/>
          <w:i/>
        </w:rPr>
        <w:t xml:space="preserve">. </w:t>
      </w:r>
      <w:r w:rsidRPr="00E84D2C">
        <w:rPr>
          <w:rFonts w:ascii="Verdana" w:eastAsia="Calibri" w:hAnsi="Verdana" w:cs="Arial"/>
        </w:rPr>
        <w:t xml:space="preserve">Por ejemplo, el artículo 127 de la Constitución Política establece una </w:t>
      </w:r>
      <w:r w:rsidRPr="00E84D2C">
        <w:rPr>
          <w:rFonts w:ascii="Verdana" w:eastAsia="Calibri" w:hAnsi="Verdana" w:cs="Arial"/>
        </w:rPr>
        <w:lastRenderedPageBreak/>
        <w:t>prohibición contractual a los servidores públicos y, en cuanto a aspectos políticos, señala restricciones a ciertos empleados del Estado, incluso en época no electoral</w:t>
      </w:r>
      <w:r w:rsidRPr="00FC6F34">
        <w:rPr>
          <w:vertAlign w:val="superscript"/>
        </w:rPr>
        <w:footnoteReference w:id="1"/>
      </w:r>
      <w:r w:rsidRPr="00E84D2C">
        <w:rPr>
          <w:rFonts w:ascii="Verdana" w:eastAsia="Calibri" w:hAnsi="Verdana" w:cs="Arial"/>
        </w:rPr>
        <w:t xml:space="preserve">. </w:t>
      </w:r>
    </w:p>
    <w:p w14:paraId="752A67A9" w14:textId="77777777" w:rsidR="004C57D9" w:rsidRPr="00FC6F34" w:rsidRDefault="004C57D9" w:rsidP="004C57D9">
      <w:pPr>
        <w:tabs>
          <w:tab w:val="left" w:pos="426"/>
        </w:tabs>
        <w:spacing w:after="12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F34">
        <w:rPr>
          <w:rFonts w:ascii="Verdana" w:eastAsia="Times New Roman" w:hAnsi="Verdana" w:cs="Arial"/>
          <w:vertAlign w:val="superscript"/>
          <w:lang w:val="es-ES" w:eastAsia="es-CO"/>
        </w:rPr>
        <w:footnoteReference w:id="2"/>
      </w:r>
      <w:r w:rsidRPr="00FC6F34">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FC6F34">
        <w:rPr>
          <w:rFonts w:ascii="Verdana" w:eastAsia="Calibri" w:hAnsi="Verdana" w:cs="Arial"/>
          <w:lang w:val="es-ES"/>
        </w:rPr>
        <w:t xml:space="preserve"> </w:t>
      </w:r>
    </w:p>
    <w:p w14:paraId="76D7B2C1" w14:textId="77777777" w:rsidR="004C57D9" w:rsidRPr="00FC6F34" w:rsidRDefault="004C57D9" w:rsidP="004C57D9">
      <w:pPr>
        <w:tabs>
          <w:tab w:val="left" w:pos="426"/>
        </w:tabs>
        <w:spacing w:after="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4BF199C3" w14:textId="77777777" w:rsidR="004C57D9" w:rsidRPr="00FC6F34" w:rsidRDefault="004C57D9" w:rsidP="004C57D9">
      <w:pPr>
        <w:spacing w:after="0" w:line="276" w:lineRule="auto"/>
        <w:ind w:right="709"/>
        <w:jc w:val="both"/>
        <w:rPr>
          <w:rFonts w:ascii="Verdana" w:eastAsia="Times New Roman" w:hAnsi="Verdana" w:cs="Arial"/>
          <w:lang w:val="es-ES" w:eastAsia="es-CO"/>
        </w:rPr>
      </w:pPr>
    </w:p>
    <w:p w14:paraId="0EA4AD3A" w14:textId="77777777" w:rsidR="004C57D9" w:rsidRPr="00FC6F34" w:rsidRDefault="004C57D9" w:rsidP="004C57D9">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5E964650" w14:textId="77777777" w:rsidR="004C57D9" w:rsidRPr="00FC6F34" w:rsidRDefault="004C57D9" w:rsidP="004C57D9">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 </w:t>
      </w:r>
    </w:p>
    <w:p w14:paraId="46144666" w14:textId="77777777" w:rsidR="004C57D9" w:rsidRPr="00FC6F34" w:rsidRDefault="004C57D9" w:rsidP="004C57D9">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C6F34">
        <w:rPr>
          <w:rFonts w:ascii="Verdana" w:eastAsia="Calibri" w:hAnsi="Verdana" w:cs="Arial"/>
          <w:sz w:val="20"/>
          <w:szCs w:val="20"/>
          <w:vertAlign w:val="superscript"/>
          <w:lang w:val="es-ES"/>
        </w:rPr>
        <w:footnoteReference w:id="3"/>
      </w:r>
    </w:p>
    <w:p w14:paraId="12DDA102" w14:textId="77777777" w:rsidR="004C57D9" w:rsidRPr="00FC6F34" w:rsidRDefault="004C57D9" w:rsidP="004C57D9">
      <w:pPr>
        <w:spacing w:after="0" w:line="276" w:lineRule="auto"/>
        <w:ind w:firstLine="709"/>
        <w:jc w:val="both"/>
        <w:rPr>
          <w:rFonts w:ascii="Verdana" w:eastAsia="Times New Roman" w:hAnsi="Verdana" w:cs="Arial"/>
          <w:lang w:val="es-ES" w:eastAsia="es-CO"/>
        </w:rPr>
      </w:pPr>
    </w:p>
    <w:p w14:paraId="5B76770F" w14:textId="77777777" w:rsidR="004C57D9" w:rsidRPr="00FC6F34" w:rsidRDefault="004C57D9" w:rsidP="004C57D9">
      <w:pPr>
        <w:spacing w:after="0" w:line="276" w:lineRule="auto"/>
        <w:ind w:firstLine="709"/>
        <w:jc w:val="both"/>
        <w:rPr>
          <w:rFonts w:ascii="Verdana" w:eastAsia="Times New Roman" w:hAnsi="Verdana" w:cs="Arial"/>
          <w:lang w:val="es-ES" w:eastAsia="es-CO"/>
        </w:rPr>
      </w:pPr>
      <w:r w:rsidRPr="00FC6F34">
        <w:rPr>
          <w:rFonts w:ascii="Verdana" w:eastAsia="Times New Roman" w:hAnsi="Verdana" w:cs="Arial"/>
          <w:lang w:val="es-ES" w:eastAsia="es-CO"/>
        </w:rPr>
        <w:lastRenderedPageBreak/>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6AC2502A" w14:textId="77777777" w:rsidR="004C57D9" w:rsidRPr="00FC6F34" w:rsidRDefault="004C57D9" w:rsidP="004C57D9">
      <w:pPr>
        <w:spacing w:after="0" w:line="276" w:lineRule="auto"/>
        <w:ind w:firstLine="709"/>
        <w:jc w:val="both"/>
        <w:rPr>
          <w:rFonts w:ascii="Verdana" w:eastAsia="Times New Roman" w:hAnsi="Verdana" w:cs="Arial"/>
          <w:lang w:val="es-ES" w:eastAsia="es-CO"/>
        </w:rPr>
      </w:pPr>
    </w:p>
    <w:p w14:paraId="3B8A53AB" w14:textId="77777777" w:rsidR="004C57D9" w:rsidRPr="00FC6F34" w:rsidRDefault="004C57D9" w:rsidP="004C57D9">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C6F34">
        <w:rPr>
          <w:rFonts w:ascii="Verdana" w:eastAsia="Times New Roman" w:hAnsi="Verdana" w:cs="Arial"/>
          <w:sz w:val="20"/>
          <w:szCs w:val="20"/>
          <w:lang w:val="es-ES" w:eastAsia="es-CO"/>
        </w:rPr>
        <w:t>legis</w:t>
      </w:r>
      <w:proofErr w:type="spellEnd"/>
      <w:r w:rsidRPr="00FC6F34">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4B89CFD" w14:textId="77777777" w:rsidR="004C57D9" w:rsidRPr="00FC6F34" w:rsidRDefault="004C57D9" w:rsidP="004C57D9">
      <w:pPr>
        <w:spacing w:after="0" w:line="240" w:lineRule="auto"/>
        <w:ind w:right="709"/>
        <w:jc w:val="both"/>
        <w:rPr>
          <w:rFonts w:ascii="Verdana" w:eastAsia="Times New Roman" w:hAnsi="Verdana" w:cs="Arial"/>
          <w:lang w:val="es-ES" w:eastAsia="es-CO"/>
        </w:rPr>
      </w:pPr>
    </w:p>
    <w:p w14:paraId="796B75E4" w14:textId="77777777" w:rsidR="004C57D9" w:rsidRPr="00FC6F34" w:rsidRDefault="004C57D9" w:rsidP="004C57D9">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La jurisprudencia de la Corte Constitucional</w:t>
      </w:r>
      <w:r w:rsidRPr="00FC6F34">
        <w:rPr>
          <w:rFonts w:ascii="Verdana" w:eastAsia="Times New Roman" w:hAnsi="Verdana" w:cs="Arial"/>
          <w:sz w:val="20"/>
          <w:szCs w:val="20"/>
          <w:vertAlign w:val="superscript"/>
          <w:lang w:val="es-ES" w:eastAsia="es-CO"/>
        </w:rPr>
        <w:footnoteReference w:id="4"/>
      </w:r>
      <w:r w:rsidRPr="00FC6F34">
        <w:rPr>
          <w:rFonts w:ascii="Verdana" w:eastAsia="Times New Roman" w:hAnsi="Verdana" w:cs="Arial"/>
          <w:sz w:val="20"/>
          <w:szCs w:val="20"/>
          <w:lang w:val="es-ES" w:eastAsia="es-CO"/>
        </w:rPr>
        <w:t> y del Consejo de Estado</w:t>
      </w:r>
      <w:r w:rsidRPr="00FC6F34">
        <w:rPr>
          <w:rFonts w:ascii="Verdana" w:eastAsia="Times New Roman" w:hAnsi="Verdana" w:cs="Arial"/>
          <w:sz w:val="20"/>
          <w:szCs w:val="20"/>
          <w:vertAlign w:val="superscript"/>
          <w:lang w:val="es-ES" w:eastAsia="es-CO"/>
        </w:rPr>
        <w:footnoteReference w:id="5"/>
      </w:r>
      <w:r w:rsidRPr="00FC6F34">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C6F34">
        <w:rPr>
          <w:rFonts w:ascii="Verdana" w:eastAsia="Times New Roman" w:hAnsi="Verdana" w:cs="Arial"/>
          <w:sz w:val="20"/>
          <w:szCs w:val="20"/>
          <w:vertAlign w:val="superscript"/>
          <w:lang w:val="es-ES" w:eastAsia="es-CO"/>
        </w:rPr>
        <w:footnoteReference w:id="6"/>
      </w:r>
      <w:r w:rsidRPr="00FC6F34">
        <w:rPr>
          <w:rFonts w:ascii="Verdana" w:eastAsia="Times New Roman" w:hAnsi="Verdana" w:cs="Arial"/>
          <w:sz w:val="20"/>
          <w:szCs w:val="20"/>
          <w:lang w:val="es-ES" w:eastAsia="es-CO"/>
        </w:rPr>
        <w:t>.</w:t>
      </w:r>
    </w:p>
    <w:p w14:paraId="2A969FD2" w14:textId="77777777" w:rsidR="004C57D9" w:rsidRPr="00FC6F34" w:rsidRDefault="004C57D9" w:rsidP="004C57D9">
      <w:pPr>
        <w:spacing w:after="0" w:line="276" w:lineRule="auto"/>
        <w:jc w:val="both"/>
        <w:rPr>
          <w:rFonts w:ascii="Verdana" w:eastAsia="Calibri" w:hAnsi="Verdana" w:cs="Arial"/>
          <w:bCs/>
          <w:lang w:val="es-ES"/>
        </w:rPr>
      </w:pPr>
    </w:p>
    <w:p w14:paraId="6F7DF5A8" w14:textId="77777777" w:rsidR="004C57D9" w:rsidRPr="00FC6F34" w:rsidRDefault="004C57D9" w:rsidP="004C57D9">
      <w:pPr>
        <w:spacing w:after="0" w:line="276" w:lineRule="auto"/>
        <w:ind w:firstLine="709"/>
        <w:jc w:val="both"/>
        <w:rPr>
          <w:rFonts w:ascii="Verdana" w:eastAsia="Arial" w:hAnsi="Verdana" w:cs="Arial"/>
          <w:lang w:val="es-ES" w:eastAsia="es-ES" w:bidi="es-ES"/>
        </w:rPr>
      </w:pPr>
      <w:r w:rsidRPr="00FC6F34">
        <w:rPr>
          <w:rFonts w:ascii="Verdana" w:eastAsia="Times New Roman" w:hAnsi="Verdana" w:cs="Arial"/>
          <w:lang w:val="es-ES" w:eastAsia="es-CO"/>
        </w:rPr>
        <w:t>De</w:t>
      </w:r>
      <w:r w:rsidRPr="00FC6F34">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w:t>
      </w:r>
      <w:r w:rsidRPr="00FC6F34">
        <w:rPr>
          <w:rFonts w:ascii="Verdana" w:eastAsia="Arial" w:hAnsi="Verdana" w:cs="Arial"/>
          <w:lang w:val="es-ES" w:eastAsia="es-ES" w:bidi="es-ES"/>
        </w:rPr>
        <w:lastRenderedPageBreak/>
        <w:t xml:space="preserve">siquiera sospecha de que, por ese medio, en los periodos previos a la contienda electoral, se alteren las condiciones de igualdad entre los candidatos. </w:t>
      </w:r>
    </w:p>
    <w:p w14:paraId="4E461AFA" w14:textId="77777777" w:rsidR="004C57D9" w:rsidRPr="00FC6F34" w:rsidRDefault="004C57D9" w:rsidP="004C57D9">
      <w:pPr>
        <w:spacing w:after="0" w:line="276" w:lineRule="auto"/>
        <w:ind w:firstLine="709"/>
        <w:jc w:val="both"/>
        <w:rPr>
          <w:rFonts w:ascii="Verdana" w:eastAsia="Arial" w:hAnsi="Verdana" w:cs="Arial"/>
          <w:lang w:val="es-ES" w:eastAsia="es-ES" w:bidi="es-ES"/>
        </w:rPr>
      </w:pPr>
    </w:p>
    <w:p w14:paraId="7285C6DA" w14:textId="77777777" w:rsidR="004C57D9" w:rsidRPr="00FC6F34" w:rsidRDefault="004C57D9" w:rsidP="004C57D9">
      <w:pPr>
        <w:spacing w:after="120" w:line="276" w:lineRule="auto"/>
        <w:jc w:val="both"/>
        <w:rPr>
          <w:rFonts w:ascii="Verdana" w:eastAsia="Arial" w:hAnsi="Verdana" w:cs="Arial"/>
          <w:lang w:val="es-ES" w:eastAsia="es-ES" w:bidi="es-ES"/>
        </w:rPr>
      </w:pPr>
      <w:proofErr w:type="spellStart"/>
      <w:r w:rsidRPr="00FC6F34">
        <w:rPr>
          <w:rFonts w:ascii="Verdana" w:eastAsia="Arial" w:hAnsi="Verdana" w:cs="Arial"/>
          <w:lang w:val="es-ES" w:eastAsia="es-ES" w:bidi="es-ES"/>
        </w:rPr>
        <w:t>ii</w:t>
      </w:r>
      <w:proofErr w:type="spellEnd"/>
      <w:r w:rsidRPr="00FC6F34">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112A97D4" w14:textId="77777777" w:rsidR="004C57D9" w:rsidRPr="00FC6F34" w:rsidRDefault="004C57D9" w:rsidP="004C57D9">
      <w:pPr>
        <w:spacing w:after="120" w:line="276" w:lineRule="auto"/>
        <w:ind w:firstLine="708"/>
        <w:jc w:val="both"/>
        <w:rPr>
          <w:rFonts w:ascii="Verdana" w:eastAsia="Calibri" w:hAnsi="Verdana" w:cs="Arial"/>
          <w:lang w:val="es-ES"/>
        </w:rPr>
      </w:pPr>
      <w:r w:rsidRPr="00FC6F34">
        <w:rPr>
          <w:rFonts w:ascii="Verdana" w:eastAsia="Calibri" w:hAnsi="Verdana" w:cs="Arial"/>
          <w:lang w:val="es-ES"/>
        </w:rPr>
        <w:t xml:space="preserve">Por un lado, el </w:t>
      </w:r>
      <w:r w:rsidRPr="00FC6F34">
        <w:rPr>
          <w:rFonts w:ascii="Verdana" w:eastAsia="Calibri" w:hAnsi="Verdana" w:cs="Arial"/>
          <w:i/>
          <w:iCs/>
          <w:lang w:val="es-ES"/>
        </w:rPr>
        <w:t xml:space="preserve">artículo 33 </w:t>
      </w:r>
      <w:r w:rsidRPr="00FC6F34">
        <w:rPr>
          <w:rFonts w:ascii="Verdana" w:eastAsia="Calibri" w:hAnsi="Verdana" w:cs="Arial"/>
          <w:lang w:val="es-ES"/>
        </w:rPr>
        <w:t xml:space="preserve">de la Ley 996 de 2005 prohíbe “[…] la contratación directa por parte de </w:t>
      </w:r>
      <w:r w:rsidRPr="00FC6F34">
        <w:rPr>
          <w:rFonts w:ascii="Verdana" w:eastAsia="Calibri" w:hAnsi="Verdana" w:cs="Arial"/>
          <w:i/>
          <w:iCs/>
          <w:lang w:val="es-ES"/>
        </w:rPr>
        <w:t>todos los entes del Estado</w:t>
      </w:r>
      <w:r w:rsidRPr="00FC6F34">
        <w:rPr>
          <w:rFonts w:ascii="Verdana" w:eastAsia="Calibri" w:hAnsi="Verdana" w:cs="Arial"/>
          <w:lang w:val="es-ES"/>
        </w:rPr>
        <w:t xml:space="preserve">” durante los cuatro (4) meses anteriores a las </w:t>
      </w:r>
      <w:r w:rsidRPr="00FC6F34">
        <w:rPr>
          <w:rFonts w:ascii="Verdana" w:eastAsia="Calibri" w:hAnsi="Verdana" w:cs="Arial"/>
          <w:i/>
          <w:iCs/>
          <w:lang w:val="es-ES"/>
        </w:rPr>
        <w:t>elecciones presidenciales</w:t>
      </w:r>
      <w:r w:rsidRPr="00FC6F34">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C6F34">
        <w:rPr>
          <w:rFonts w:ascii="Verdana" w:eastAsia="Calibri" w:hAnsi="Verdana" w:cs="Arial"/>
          <w:vertAlign w:val="superscript"/>
          <w:lang w:val="es-ES"/>
        </w:rPr>
        <w:footnoteReference w:id="7"/>
      </w:r>
      <w:r w:rsidRPr="00FC6F34">
        <w:rPr>
          <w:rFonts w:ascii="Verdana" w:eastAsia="Calibri" w:hAnsi="Verdana" w:cs="Arial"/>
          <w:lang w:val="es-ES"/>
        </w:rPr>
        <w:t>.</w:t>
      </w:r>
    </w:p>
    <w:p w14:paraId="2A0F5298" w14:textId="77777777" w:rsidR="004C57D9" w:rsidRPr="00FC6F34" w:rsidRDefault="004C57D9" w:rsidP="004C57D9">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FC6F34">
        <w:rPr>
          <w:rFonts w:ascii="Verdana" w:eastAsia="Calibri" w:hAnsi="Verdana" w:cs="Arial"/>
          <w:i/>
          <w:iCs/>
          <w:lang w:val="es-ES"/>
        </w:rPr>
        <w:t>cualquier tipo de contienda electoral</w:t>
      </w:r>
      <w:r w:rsidRPr="00FC6F34">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Calibri" w:hAnsi="Verdana" w:cs="Arial"/>
          <w:vertAlign w:val="superscript"/>
          <w:lang w:val="es-ES"/>
        </w:rPr>
        <w:footnoteReference w:id="8"/>
      </w:r>
      <w:r w:rsidRPr="00FC6F34">
        <w:rPr>
          <w:rFonts w:ascii="Verdana" w:eastAsia="Calibri" w:hAnsi="Verdana" w:cs="Arial"/>
          <w:lang w:val="es-ES"/>
        </w:rPr>
        <w:t>.</w:t>
      </w:r>
      <w:r w:rsidRPr="00FC6F34">
        <w:rPr>
          <w:rFonts w:ascii="Verdana" w:eastAsia="Arial" w:hAnsi="Verdana" w:cs="Arial"/>
          <w:lang w:val="es-ES" w:eastAsia="es-ES" w:bidi="es-ES"/>
        </w:rPr>
        <w:t xml:space="preserve"> </w:t>
      </w:r>
    </w:p>
    <w:p w14:paraId="28E05C00" w14:textId="77777777" w:rsidR="004C57D9" w:rsidRPr="00FC6F34" w:rsidRDefault="004C57D9" w:rsidP="004C57D9">
      <w:pPr>
        <w:widowControl w:val="0"/>
        <w:autoSpaceDE w:val="0"/>
        <w:autoSpaceDN w:val="0"/>
        <w:spacing w:after="120" w:line="276" w:lineRule="auto"/>
        <w:ind w:right="113" w:firstLine="708"/>
        <w:contextualSpacing/>
        <w:jc w:val="both"/>
        <w:rPr>
          <w:rFonts w:ascii="Verdana" w:eastAsia="Arial" w:hAnsi="Verdana" w:cs="Arial"/>
          <w:lang w:val="es-ES" w:eastAsia="es-ES" w:bidi="es-ES"/>
        </w:rPr>
      </w:pPr>
      <w:r w:rsidRPr="00FC6F34">
        <w:rPr>
          <w:rFonts w:ascii="Verdana" w:eastAsia="Arial" w:hAnsi="Verdana" w:cs="Arial"/>
          <w:lang w:val="es-ES" w:eastAsia="es-ES" w:bidi="es-ES"/>
        </w:rPr>
        <w:t xml:space="preserve">La Sala de Consulta y Servicio Civil del Consejo de Estado ha aclarado la </w:t>
      </w:r>
      <w:r w:rsidRPr="00FC6F34">
        <w:rPr>
          <w:rFonts w:ascii="Verdana" w:eastAsia="Arial" w:hAnsi="Verdana" w:cs="Arial"/>
          <w:lang w:val="es-ES" w:eastAsia="es-ES" w:bidi="es-ES"/>
        </w:rPr>
        <w:lastRenderedPageBreak/>
        <w:t>distinción en la aplicación de las prohibiciones de la Ley 996 de 2005, dependiendo del tipo de elección que se trate. Al respecto, señala:</w:t>
      </w:r>
    </w:p>
    <w:p w14:paraId="42362A1E" w14:textId="77777777" w:rsidR="004C57D9" w:rsidRPr="00FC6F34" w:rsidRDefault="004C57D9" w:rsidP="004C57D9">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2FA8AA1" w14:textId="77777777" w:rsidR="004C57D9" w:rsidRPr="00FC6F34" w:rsidRDefault="004C57D9" w:rsidP="004C57D9">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C6F34">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FC6F34">
        <w:rPr>
          <w:rFonts w:ascii="Verdana" w:eastAsia="Arial" w:hAnsi="Verdana" w:cs="Arial"/>
          <w:sz w:val="20"/>
          <w:szCs w:val="20"/>
          <w:lang w:val="es-ES" w:eastAsia="es-ES" w:bidi="es-ES"/>
        </w:rPr>
        <w:t>Presidente</w:t>
      </w:r>
      <w:proofErr w:type="gramEnd"/>
      <w:r w:rsidRPr="00FC6F34">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FC6F34">
        <w:rPr>
          <w:rFonts w:ascii="Verdana" w:eastAsia="Arial" w:hAnsi="Verdana" w:cs="Arial"/>
          <w:sz w:val="20"/>
          <w:szCs w:val="20"/>
          <w:vertAlign w:val="superscript"/>
          <w:lang w:val="es-ES" w:eastAsia="es-ES" w:bidi="es-ES"/>
        </w:rPr>
        <w:footnoteReference w:id="9"/>
      </w:r>
    </w:p>
    <w:p w14:paraId="50A51223" w14:textId="77777777" w:rsidR="004C57D9" w:rsidRPr="00FC6F34" w:rsidRDefault="004C57D9" w:rsidP="004C57D9">
      <w:pPr>
        <w:widowControl w:val="0"/>
        <w:autoSpaceDE w:val="0"/>
        <w:autoSpaceDN w:val="0"/>
        <w:spacing w:after="0" w:line="276" w:lineRule="auto"/>
        <w:contextualSpacing/>
        <w:rPr>
          <w:rFonts w:ascii="Verdana" w:eastAsia="Arial" w:hAnsi="Verdana" w:cs="Arial"/>
          <w:lang w:val="es-ES" w:eastAsia="es-ES" w:bidi="es-ES"/>
        </w:rPr>
      </w:pPr>
    </w:p>
    <w:p w14:paraId="67B5A5C6" w14:textId="77777777" w:rsidR="004C57D9" w:rsidRPr="00FC6F34" w:rsidRDefault="004C57D9" w:rsidP="004C57D9">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FC6F34">
        <w:rPr>
          <w:rFonts w:ascii="Verdana" w:eastAsia="Arial" w:hAnsi="Verdana" w:cs="Arial"/>
          <w:i/>
          <w:lang w:val="es-ES" w:eastAsia="es-ES" w:bidi="es-ES"/>
        </w:rPr>
        <w:t>En primer lugar</w:t>
      </w:r>
      <w:r w:rsidRPr="00FC6F34">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F34">
        <w:rPr>
          <w:rFonts w:ascii="Verdana" w:eastAsia="Arial" w:hAnsi="Verdana" w:cs="Arial"/>
          <w:i/>
          <w:lang w:val="es-ES" w:eastAsia="es-ES" w:bidi="es-ES"/>
        </w:rPr>
        <w:t>En segundo lugar</w:t>
      </w:r>
      <w:r w:rsidRPr="00FC6F34">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EA58DB2" w14:textId="77777777" w:rsidR="004C57D9" w:rsidRPr="00FC6F34" w:rsidRDefault="004C57D9" w:rsidP="004C57D9">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aplican las restricciones del artículo 33 con sus excepciones, así como las del parágrafo del </w:t>
      </w:r>
      <w:r w:rsidRPr="00FC6F34">
        <w:rPr>
          <w:rFonts w:ascii="Verdana" w:eastAsia="Arial" w:hAnsi="Verdana" w:cs="Arial"/>
          <w:lang w:val="es-ES" w:eastAsia="es-ES" w:bidi="es-ES"/>
        </w:rPr>
        <w:lastRenderedPageBreak/>
        <w:t xml:space="preserve">artículo 38, a todos los entes del Estado. En cambio, tratándose de elecciones en general, excluyendo las correspondientes al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7039CDA9" w14:textId="77777777" w:rsidR="004C57D9" w:rsidRDefault="004C57D9" w:rsidP="004C57D9">
      <w:pPr>
        <w:spacing w:after="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o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y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7493D117" w14:textId="77777777" w:rsidR="004C57D9" w:rsidRPr="00FC6F34" w:rsidRDefault="004C57D9" w:rsidP="004C57D9">
      <w:pPr>
        <w:spacing w:after="0" w:line="276" w:lineRule="auto"/>
        <w:ind w:firstLine="709"/>
        <w:jc w:val="both"/>
        <w:rPr>
          <w:rFonts w:ascii="Verdana" w:eastAsia="Arial" w:hAnsi="Verdana" w:cs="Arial"/>
          <w:lang w:val="es-ES" w:eastAsia="es-ES" w:bidi="es-ES"/>
        </w:rPr>
      </w:pPr>
    </w:p>
    <w:p w14:paraId="65C95391" w14:textId="77777777" w:rsidR="004C57D9" w:rsidRDefault="004C57D9" w:rsidP="004C57D9">
      <w:pPr>
        <w:spacing w:after="0" w:line="276" w:lineRule="auto"/>
        <w:jc w:val="both"/>
        <w:rPr>
          <w:rFonts w:ascii="Verdana" w:eastAsia="Times New Roman" w:hAnsi="Verdana" w:cs="Arial"/>
          <w:lang w:val="es-ES" w:eastAsia="es-CO"/>
        </w:rPr>
      </w:pPr>
      <w:proofErr w:type="spellStart"/>
      <w:r w:rsidRPr="00FC6F34">
        <w:rPr>
          <w:rFonts w:ascii="Verdana" w:eastAsia="Calibri" w:hAnsi="Verdana" w:cs="Arial"/>
          <w:lang w:val="es-ES"/>
        </w:rPr>
        <w:t>iii</w:t>
      </w:r>
      <w:proofErr w:type="spellEnd"/>
      <w:r w:rsidRPr="00FC6F34">
        <w:rPr>
          <w:rFonts w:ascii="Verdana" w:eastAsia="Calibri" w:hAnsi="Verdana" w:cs="Arial"/>
          <w:lang w:val="es-ES"/>
        </w:rPr>
        <w:t xml:space="preserve">) </w:t>
      </w:r>
      <w:r w:rsidRPr="00FC6F34">
        <w:rPr>
          <w:rFonts w:ascii="Verdana" w:eastAsia="Arial" w:hAnsi="Verdana" w:cs="Arial"/>
          <w:lang w:val="es-ES" w:eastAsia="es-ES" w:bidi="es-ES"/>
        </w:rPr>
        <w:t xml:space="preserve">Ahora bien, </w:t>
      </w:r>
      <w:r w:rsidRPr="00FC6F34">
        <w:rPr>
          <w:rFonts w:ascii="Verdana" w:eastAsia="Calibri" w:hAnsi="Verdana" w:cs="Arial"/>
          <w:lang w:val="es-ES" w:eastAsia="es-ES" w:bidi="es-ES"/>
        </w:rPr>
        <w:t xml:space="preserve">para responder al problema jurídico planteado es necesario precisar el alcance de la prohibición </w:t>
      </w:r>
      <w:r w:rsidRPr="00FC6F34">
        <w:rPr>
          <w:rFonts w:ascii="Verdana" w:eastAsia="Arial" w:hAnsi="Verdana" w:cs="Arial"/>
          <w:lang w:val="es-ES" w:eastAsia="es-ES" w:bidi="es-ES"/>
        </w:rPr>
        <w:t>establecida en e</w:t>
      </w:r>
      <w:r w:rsidRPr="00FC6F34">
        <w:rPr>
          <w:rFonts w:ascii="Verdana" w:eastAsia="Calibri" w:hAnsi="Verdana" w:cs="Arial"/>
          <w:lang w:val="es-ES"/>
        </w:rPr>
        <w:t xml:space="preserve">l </w:t>
      </w:r>
      <w:r w:rsidRPr="00FC6F34">
        <w:rPr>
          <w:rFonts w:ascii="Verdana" w:eastAsia="Times New Roman" w:hAnsi="Verdana" w:cs="Arial"/>
          <w:lang w:val="es-ES"/>
        </w:rPr>
        <w:t xml:space="preserve">artículo 33 de la Ley 996 de 2005. El ámbito material de esta prohibición está delimitado por la expresión </w:t>
      </w:r>
      <w:r w:rsidRPr="00FC6F34">
        <w:rPr>
          <w:rFonts w:ascii="Verdana" w:eastAsia="Calibri" w:hAnsi="Verdana" w:cs="Arial"/>
          <w:bCs/>
          <w:lang w:val="es-ES"/>
        </w:rPr>
        <w:t>“</w:t>
      </w:r>
      <w:r w:rsidRPr="00FC6F34">
        <w:rPr>
          <w:rFonts w:ascii="Verdana" w:eastAsia="Times New Roman" w:hAnsi="Verdana" w:cs="Arial"/>
          <w:lang w:val="es-ES"/>
        </w:rPr>
        <w:t>queda prohibida la contratación directa</w:t>
      </w:r>
      <w:r w:rsidRPr="00FC6F34">
        <w:rPr>
          <w:rFonts w:ascii="Verdana" w:eastAsia="Calibri" w:hAnsi="Verdana" w:cs="Arial"/>
          <w:lang w:val="es-ES"/>
        </w:rPr>
        <w:t>”</w:t>
      </w:r>
      <w:r w:rsidRPr="00FC6F34">
        <w:rPr>
          <w:rFonts w:ascii="Verdana" w:eastAsia="Times New Roman" w:hAnsi="Verdana" w:cs="Arial"/>
          <w:lang w:val="es-ES"/>
        </w:rPr>
        <w:t xml:space="preserve">. </w:t>
      </w:r>
      <w:r w:rsidRPr="00FC6F34">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7797D763" w14:textId="77777777" w:rsidR="004C57D9" w:rsidRPr="00FC6F34" w:rsidRDefault="004C57D9" w:rsidP="004C57D9">
      <w:pPr>
        <w:spacing w:after="0" w:line="276" w:lineRule="auto"/>
        <w:jc w:val="both"/>
        <w:rPr>
          <w:rFonts w:ascii="Verdana" w:eastAsia="Times New Roman" w:hAnsi="Verdana" w:cs="Arial"/>
          <w:bCs/>
          <w:lang w:val="es-ES" w:eastAsia="es-CO"/>
        </w:rPr>
      </w:pPr>
    </w:p>
    <w:p w14:paraId="172ED885" w14:textId="77777777" w:rsidR="004C57D9" w:rsidRPr="00FC6F34" w:rsidRDefault="004C57D9" w:rsidP="004C57D9">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C6F34">
        <w:rPr>
          <w:rFonts w:ascii="Verdana" w:eastAsia="Times New Roman" w:hAnsi="Verdana" w:cs="Arial"/>
          <w:sz w:val="20"/>
          <w:szCs w:val="20"/>
          <w:vertAlign w:val="superscript"/>
          <w:lang w:val="es-ES"/>
        </w:rPr>
        <w:footnoteReference w:id="10"/>
      </w:r>
      <w:r w:rsidRPr="00FC6F34">
        <w:rPr>
          <w:rFonts w:ascii="Verdana" w:eastAsia="Times New Roman" w:hAnsi="Verdana" w:cs="Arial"/>
          <w:sz w:val="20"/>
          <w:szCs w:val="20"/>
          <w:vertAlign w:val="superscript"/>
          <w:lang w:val="es-ES"/>
        </w:rPr>
        <w:t>.</w:t>
      </w:r>
      <w:r w:rsidRPr="00FC6F34">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w:t>
      </w:r>
      <w:r w:rsidRPr="00FC6F34">
        <w:rPr>
          <w:rFonts w:ascii="Verdana" w:eastAsia="Calibri" w:hAnsi="Verdana" w:cs="Arial"/>
          <w:sz w:val="20"/>
          <w:szCs w:val="20"/>
          <w:lang w:val="es-ES"/>
        </w:rPr>
        <w:lastRenderedPageBreak/>
        <w:t>por la cual en ese periodo preelectoral de que trata la disposición pueden las entidades públicas seguir contratando bajo estos sistemas. [...]</w:t>
      </w:r>
      <w:r w:rsidRPr="00FC6F34">
        <w:rPr>
          <w:rFonts w:ascii="Verdana" w:eastAsia="Times New Roman" w:hAnsi="Verdana" w:cs="Arial"/>
          <w:sz w:val="20"/>
          <w:szCs w:val="20"/>
          <w:vertAlign w:val="superscript"/>
          <w:lang w:val="es-ES" w:eastAsia="es-CO"/>
        </w:rPr>
        <w:footnoteReference w:id="11"/>
      </w:r>
      <w:r w:rsidRPr="00FC6F34">
        <w:rPr>
          <w:rFonts w:ascii="Verdana" w:eastAsia="Calibri" w:hAnsi="Verdana" w:cs="Arial"/>
          <w:sz w:val="20"/>
          <w:szCs w:val="20"/>
          <w:lang w:val="es-ES"/>
        </w:rPr>
        <w:t xml:space="preserve"> .</w:t>
      </w:r>
    </w:p>
    <w:p w14:paraId="7B351AFD" w14:textId="77777777" w:rsidR="004C57D9" w:rsidRPr="00FC6F34" w:rsidRDefault="004C57D9" w:rsidP="004C57D9">
      <w:pPr>
        <w:shd w:val="clear" w:color="auto" w:fill="FFFFFF" w:themeFill="background1"/>
        <w:spacing w:after="0" w:line="276" w:lineRule="auto"/>
        <w:ind w:firstLine="709"/>
        <w:jc w:val="both"/>
        <w:rPr>
          <w:rFonts w:ascii="Verdana" w:eastAsia="Times New Roman" w:hAnsi="Verdana" w:cs="Arial"/>
          <w:lang w:val="es-ES" w:eastAsia="x-none"/>
        </w:rPr>
      </w:pPr>
    </w:p>
    <w:p w14:paraId="3F595059" w14:textId="77777777" w:rsidR="004C57D9" w:rsidRPr="00FC6F34" w:rsidRDefault="004C57D9" w:rsidP="004C57D9">
      <w:pPr>
        <w:spacing w:after="120" w:line="276" w:lineRule="auto"/>
        <w:ind w:firstLine="708"/>
        <w:jc w:val="both"/>
        <w:rPr>
          <w:rFonts w:ascii="Verdana" w:eastAsia="Times New Roman" w:hAnsi="Verdana" w:cs="Arial"/>
          <w:bCs/>
          <w:lang w:val="es-ES" w:eastAsia="x-none"/>
        </w:rPr>
      </w:pPr>
      <w:r w:rsidRPr="00FC6F34">
        <w:rPr>
          <w:rFonts w:ascii="Verdana" w:eastAsia="Times New Roman" w:hAnsi="Verdana" w:cs="Arial"/>
          <w:lang w:val="es-ES" w:eastAsia="x-none"/>
        </w:rPr>
        <w:t xml:space="preserve">De acuerdo con este concepto, la prohibición del artículo 33 de la Ley de Garantías Electorales se refiere a </w:t>
      </w:r>
      <w:r w:rsidRPr="00FC6F34">
        <w:rPr>
          <w:rFonts w:ascii="Verdana" w:eastAsia="Times New Roman" w:hAnsi="Verdana" w:cs="Arial"/>
          <w:sz w:val="19"/>
          <w:szCs w:val="19"/>
          <w:lang w:val="es-ES" w:eastAsia="en-GB"/>
        </w:rPr>
        <w:t>“</w:t>
      </w:r>
      <w:r w:rsidRPr="00FC6F34">
        <w:rPr>
          <w:rFonts w:ascii="Verdana" w:eastAsia="Times New Roman" w:hAnsi="Verdana" w:cs="Arial"/>
          <w:lang w:val="es-ES" w:eastAsia="x-none"/>
        </w:rPr>
        <w:t>cualquier sistema que no implique 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C6F34">
        <w:rPr>
          <w:rFonts w:ascii="Verdana" w:eastAsia="Times New Roman" w:hAnsi="Verdana" w:cs="Arial"/>
          <w:lang w:val="es-ES"/>
        </w:rPr>
        <w:t>y la mínima cuantía</w:t>
      </w:r>
      <w:r w:rsidRPr="00FC6F34" w:rsidDel="00A85D9F">
        <w:rPr>
          <w:rFonts w:ascii="Verdana" w:eastAsia="Times New Roman" w:hAnsi="Verdana" w:cs="Arial"/>
          <w:lang w:val="es-ES" w:eastAsia="x-none"/>
        </w:rPr>
        <w:t xml:space="preserve"> </w:t>
      </w:r>
      <w:r w:rsidRPr="00FC6F34">
        <w:rPr>
          <w:rFonts w:ascii="Verdana" w:eastAsia="Times New Roman" w:hAnsi="Verdana" w:cs="Arial"/>
          <w:lang w:val="es-ES"/>
        </w:rPr>
        <w:t xml:space="preserve">u otros previstos en normas especiales. </w:t>
      </w:r>
      <w:r w:rsidRPr="00FC6F34">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C6F34">
        <w:rPr>
          <w:rFonts w:ascii="Verdana" w:eastAsia="Times New Roman" w:hAnsi="Verdana" w:cs="Arial"/>
          <w:vertAlign w:val="superscript"/>
          <w:lang w:val="es-ES" w:eastAsia="x-none"/>
        </w:rPr>
        <w:footnoteReference w:id="12"/>
      </w:r>
      <w:r w:rsidRPr="00FC6F34">
        <w:rPr>
          <w:rFonts w:ascii="Verdana" w:eastAsia="Times New Roman" w:hAnsi="Verdana" w:cs="Arial"/>
          <w:lang w:val="es-ES" w:eastAsia="x-none"/>
        </w:rPr>
        <w:t xml:space="preserve"> y sistematizó las causales de contratación directa</w:t>
      </w:r>
      <w:r w:rsidRPr="00FC6F34">
        <w:rPr>
          <w:rFonts w:ascii="Verdana" w:eastAsia="Times New Roman" w:hAnsi="Verdana" w:cs="Arial"/>
          <w:vertAlign w:val="superscript"/>
          <w:lang w:val="es-ES" w:eastAsia="x-none"/>
        </w:rPr>
        <w:footnoteReference w:id="13"/>
      </w:r>
      <w:r w:rsidRPr="00FC6F34">
        <w:rPr>
          <w:rFonts w:ascii="Verdana" w:eastAsia="Times New Roman" w:hAnsi="Verdana" w:cs="Arial"/>
          <w:lang w:val="es-ES" w:eastAsia="x-none"/>
        </w:rPr>
        <w:t xml:space="preserve">, </w:t>
      </w:r>
      <w:r w:rsidRPr="00FC6F34">
        <w:rPr>
          <w:rFonts w:ascii="Verdana" w:eastAsia="Calibri"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606C4AA9" w14:textId="77777777" w:rsidR="004C57D9" w:rsidRPr="00FC6F34" w:rsidRDefault="004C57D9" w:rsidP="004C57D9">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C6F34">
        <w:rPr>
          <w:rFonts w:ascii="Verdana" w:eastAsia="Times New Roman" w:hAnsi="Verdana" w:cs="Arial"/>
          <w:bCs/>
          <w:i/>
          <w:iCs/>
          <w:lang w:val="es-ES" w:eastAsia="es-CO"/>
        </w:rPr>
        <w:t>, sino también frente a las entidades que tengan un régimen especial de contratación</w:t>
      </w:r>
      <w:r w:rsidRPr="00FC6F34">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FC6F34">
        <w:rPr>
          <w:rFonts w:ascii="Verdana" w:eastAsia="Times New Roman" w:hAnsi="Verdana" w:cs="Arial"/>
          <w:lang w:val="es-ES"/>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C6F34">
        <w:rPr>
          <w:rFonts w:ascii="Verdana" w:eastAsia="Times New Roman" w:hAnsi="Verdana" w:cs="Arial"/>
          <w:vertAlign w:val="superscript"/>
          <w:lang w:val="es-ES" w:eastAsia="x-none"/>
        </w:rPr>
        <w:footnoteReference w:id="14"/>
      </w:r>
      <w:r w:rsidRPr="00FC6F34">
        <w:rPr>
          <w:rFonts w:ascii="Verdana" w:eastAsia="Times New Roman" w:hAnsi="Verdana" w:cs="Arial"/>
          <w:lang w:val="es-ES"/>
        </w:rPr>
        <w:t>.</w:t>
      </w:r>
      <w:r w:rsidRPr="00FC6F34">
        <w:rPr>
          <w:rFonts w:ascii="Verdana" w:eastAsia="Times New Roman" w:hAnsi="Verdana" w:cs="Arial"/>
          <w:vertAlign w:val="superscript"/>
          <w:lang w:val="es-ES" w:eastAsia="x-none"/>
        </w:rPr>
        <w:t xml:space="preserve"> </w:t>
      </w:r>
    </w:p>
    <w:p w14:paraId="3579178D" w14:textId="77777777" w:rsidR="004C57D9" w:rsidRDefault="004C57D9" w:rsidP="004C57D9">
      <w:pPr>
        <w:spacing w:after="0" w:line="276" w:lineRule="auto"/>
        <w:ind w:firstLine="708"/>
        <w:jc w:val="both"/>
        <w:rPr>
          <w:rFonts w:ascii="Verdana" w:eastAsia="Times New Roman" w:hAnsi="Verdana" w:cs="Arial"/>
          <w:lang w:val="es-ES"/>
        </w:rPr>
      </w:pPr>
      <w:r w:rsidRPr="00FC6F34">
        <w:rPr>
          <w:rFonts w:ascii="Verdana" w:eastAsia="Times New Roman" w:hAnsi="Verdana" w:cs="Arial"/>
          <w:lang w:val="es-ES"/>
        </w:rPr>
        <w:t xml:space="preserve">De lo anterior se desprende que la restricción aplica, sin perjuicio de las excepciones establecidas en la misma ley, para celebrar </w:t>
      </w:r>
      <w:r w:rsidRPr="00FC6F34">
        <w:rPr>
          <w:rFonts w:ascii="Verdana" w:eastAsia="Times New Roman" w:hAnsi="Verdana" w:cs="Arial"/>
          <w:i/>
          <w:iCs/>
          <w:lang w:val="es-ES"/>
        </w:rPr>
        <w:t>cualquier contrato de forma directa</w:t>
      </w:r>
      <w:r w:rsidRPr="00FC6F34">
        <w:rPr>
          <w:rFonts w:ascii="Verdana" w:eastAsia="Times New Roman" w:hAnsi="Verdana" w:cs="Arial"/>
          <w:lang w:val="es-ES"/>
        </w:rPr>
        <w:t xml:space="preserve">,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w:t>
      </w:r>
      <w:r w:rsidRPr="00FC6F34">
        <w:rPr>
          <w:rFonts w:ascii="Verdana" w:eastAsia="Times New Roman" w:hAnsi="Verdana" w:cs="Arial"/>
          <w:lang w:val="es-ES"/>
        </w:rPr>
        <w:lastRenderedPageBreak/>
        <w:t>preelectoral de que trata la disposición las entidades públicas pueden seguir contratando bajo estos sistemas.</w:t>
      </w:r>
    </w:p>
    <w:p w14:paraId="0189541E" w14:textId="77777777" w:rsidR="004C57D9" w:rsidRPr="00FC6F34" w:rsidRDefault="004C57D9" w:rsidP="004C57D9">
      <w:pPr>
        <w:spacing w:after="0" w:line="276" w:lineRule="auto"/>
        <w:ind w:firstLine="708"/>
        <w:jc w:val="both"/>
        <w:rPr>
          <w:rFonts w:ascii="Verdana" w:eastAsia="Times New Roman" w:hAnsi="Verdana" w:cs="Arial"/>
          <w:lang w:val="es-ES"/>
        </w:rPr>
      </w:pPr>
    </w:p>
    <w:p w14:paraId="0C6CB8DA" w14:textId="77777777" w:rsidR="004C57D9" w:rsidRPr="00FC6F34" w:rsidRDefault="004C57D9" w:rsidP="004C57D9">
      <w:pPr>
        <w:spacing w:after="0" w:line="276" w:lineRule="auto"/>
        <w:jc w:val="both"/>
        <w:rPr>
          <w:rFonts w:ascii="Verdana" w:eastAsia="Times New Roman" w:hAnsi="Verdana" w:cs="Arial"/>
          <w:lang w:val="es-ES"/>
        </w:rPr>
      </w:pPr>
      <w:proofErr w:type="spellStart"/>
      <w:r w:rsidRPr="00FC6F34">
        <w:rPr>
          <w:rFonts w:ascii="Verdana" w:eastAsia="Times New Roman" w:hAnsi="Verdana" w:cs="Arial"/>
          <w:bCs/>
          <w:lang w:val="es-ES" w:eastAsia="es-CO"/>
        </w:rPr>
        <w:t>iv</w:t>
      </w:r>
      <w:proofErr w:type="spellEnd"/>
      <w:r w:rsidRPr="00FC6F34">
        <w:rPr>
          <w:rFonts w:ascii="Verdana" w:eastAsia="Times New Roman" w:hAnsi="Verdana" w:cs="Arial"/>
          <w:bCs/>
          <w:lang w:val="es-ES" w:eastAsia="es-CO"/>
        </w:rPr>
        <w:t xml:space="preserve">) </w:t>
      </w:r>
      <w:r>
        <w:rPr>
          <w:rFonts w:ascii="Verdana" w:eastAsia="Times New Roman" w:hAnsi="Verdana" w:cs="Arial"/>
          <w:bCs/>
          <w:lang w:val="es-ES" w:eastAsia="es-CO"/>
        </w:rPr>
        <w:t>R</w:t>
      </w:r>
      <w:r w:rsidRPr="00FC6F34">
        <w:rPr>
          <w:rFonts w:ascii="Verdana" w:eastAsia="Times New Roman" w:hAnsi="Verdana" w:cs="Arial"/>
          <w:bCs/>
          <w:lang w:val="es-ES" w:eastAsia="es-CO"/>
        </w:rPr>
        <w:t xml:space="preserve">especto a los </w:t>
      </w:r>
      <w:r w:rsidRPr="00FC6F34">
        <w:rPr>
          <w:rFonts w:ascii="Verdana" w:eastAsia="Times New Roman" w:hAnsi="Verdana" w:cs="Arial"/>
          <w:bCs/>
          <w:i/>
          <w:iCs/>
          <w:lang w:val="es-ES" w:eastAsia="es-CO"/>
        </w:rPr>
        <w:t>sujetos</w:t>
      </w:r>
      <w:r w:rsidRPr="00FC6F34">
        <w:rPr>
          <w:rFonts w:ascii="Verdana" w:eastAsia="Times New Roman" w:hAnsi="Verdana" w:cs="Arial"/>
          <w:bCs/>
          <w:lang w:val="es-ES" w:eastAsia="es-CO"/>
        </w:rPr>
        <w:t xml:space="preserve"> que se encuentran enmarcados en la prohibición del artículo 33, </w:t>
      </w:r>
      <w:r w:rsidRPr="00FC6F34">
        <w:rPr>
          <w:rFonts w:ascii="Verdana" w:eastAsia="Times New Roman" w:hAnsi="Verdana" w:cs="Arial"/>
          <w:lang w:val="es-ES"/>
        </w:rPr>
        <w:t>la Ley 996 de 2005 señala expresamente que son “</w:t>
      </w:r>
      <w:r w:rsidRPr="00FC6F34">
        <w:rPr>
          <w:rFonts w:ascii="Verdana" w:eastAsia="Times New Roman" w:hAnsi="Verdana" w:cs="Arial"/>
          <w:i/>
          <w:iCs/>
          <w:u w:val="single"/>
          <w:lang w:val="es-ES"/>
        </w:rPr>
        <w:t>todos</w:t>
      </w:r>
      <w:r w:rsidRPr="00FC6F34">
        <w:rPr>
          <w:rFonts w:ascii="Verdana" w:eastAsia="Times New Roman" w:hAnsi="Verdana" w:cs="Arial"/>
          <w:i/>
          <w:iCs/>
          <w:lang w:val="es-ES"/>
        </w:rPr>
        <w:t xml:space="preserve"> los entes del Estado</w:t>
      </w:r>
      <w:r w:rsidRPr="00FC6F34">
        <w:rPr>
          <w:rFonts w:ascii="Verdana" w:eastAsia="Times New Roman" w:hAnsi="Verdana" w:cs="Arial"/>
          <w:lang w:val="es-ES"/>
        </w:rPr>
        <w:t>” [énfasis propio]. Al respecto la Sala De Consulta y Servicio Civil del Consejo de Estado señaló lo siguiente:</w:t>
      </w:r>
    </w:p>
    <w:p w14:paraId="41FC2E48" w14:textId="77777777" w:rsidR="004C57D9" w:rsidRPr="00FC6F34" w:rsidRDefault="004C57D9" w:rsidP="004C57D9">
      <w:pPr>
        <w:spacing w:after="0" w:line="276" w:lineRule="auto"/>
        <w:ind w:firstLine="708"/>
        <w:jc w:val="both"/>
        <w:rPr>
          <w:rFonts w:ascii="Verdana" w:eastAsia="Times New Roman" w:hAnsi="Verdana" w:cs="Arial"/>
          <w:lang w:val="es-ES"/>
        </w:rPr>
      </w:pPr>
    </w:p>
    <w:p w14:paraId="02885025" w14:textId="77777777" w:rsidR="004C57D9" w:rsidRDefault="004C57D9" w:rsidP="004C57D9">
      <w:pPr>
        <w:spacing w:after="0" w:line="240" w:lineRule="auto"/>
        <w:ind w:left="709" w:right="709"/>
        <w:jc w:val="both"/>
        <w:rPr>
          <w:rFonts w:ascii="Verdana" w:eastAsia="Times New Roman" w:hAnsi="Verdana" w:cs="Arial"/>
          <w:bCs/>
          <w:sz w:val="20"/>
          <w:szCs w:val="20"/>
          <w:lang w:val="es-ES" w:eastAsia="es-CO"/>
        </w:rPr>
      </w:pPr>
      <w:r w:rsidRPr="00FC6F34">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C6F34">
        <w:rPr>
          <w:rStyle w:val="Refdenotaalpie"/>
          <w:rFonts w:ascii="Verdana" w:eastAsia="Times New Roman" w:hAnsi="Verdana" w:cs="Arial"/>
          <w:bCs/>
          <w:sz w:val="20"/>
          <w:szCs w:val="20"/>
          <w:lang w:val="es-ES" w:eastAsia="es-CO"/>
        </w:rPr>
        <w:footnoteReference w:id="15"/>
      </w:r>
      <w:r w:rsidRPr="00FC6F34">
        <w:rPr>
          <w:rFonts w:ascii="Verdana" w:eastAsia="Times New Roman" w:hAnsi="Verdana" w:cs="Arial"/>
          <w:bCs/>
          <w:sz w:val="20"/>
          <w:szCs w:val="20"/>
          <w:lang w:val="es-ES" w:eastAsia="es-CO"/>
        </w:rPr>
        <w:t>.</w:t>
      </w:r>
    </w:p>
    <w:p w14:paraId="42775E47" w14:textId="77777777" w:rsidR="004C57D9" w:rsidRPr="00FC6F34" w:rsidRDefault="004C57D9" w:rsidP="004C57D9">
      <w:pPr>
        <w:spacing w:after="0" w:line="240" w:lineRule="auto"/>
        <w:ind w:left="709" w:right="709"/>
        <w:jc w:val="both"/>
        <w:rPr>
          <w:rFonts w:ascii="Verdana" w:eastAsia="Times New Roman" w:hAnsi="Verdana" w:cs="Arial"/>
          <w:bCs/>
          <w:lang w:val="es-ES" w:eastAsia="es-CO"/>
        </w:rPr>
      </w:pPr>
    </w:p>
    <w:p w14:paraId="7868A488" w14:textId="77777777" w:rsidR="004C57D9" w:rsidRPr="00FC6F34" w:rsidRDefault="004C57D9" w:rsidP="004C57D9">
      <w:pPr>
        <w:spacing w:after="120" w:line="276" w:lineRule="auto"/>
        <w:ind w:firstLine="708"/>
        <w:jc w:val="both"/>
        <w:rPr>
          <w:rFonts w:ascii="Verdana" w:hAnsi="Verdana" w:cs="Arial"/>
          <w:bCs/>
          <w:sz w:val="20"/>
          <w:szCs w:val="20"/>
          <w:lang w:val="es-ES" w:eastAsia="es-CO"/>
        </w:rPr>
      </w:pPr>
      <w:r w:rsidRPr="00FC6F34">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C6F34">
        <w:rPr>
          <w:rFonts w:ascii="Verdana" w:hAnsi="Verdana"/>
          <w:lang w:val="es-ES"/>
        </w:rPr>
        <w:t xml:space="preserve"> </w:t>
      </w:r>
      <w:r w:rsidRPr="00FC6F34">
        <w:rPr>
          <w:rFonts w:ascii="Verdana" w:hAnsi="Verdana" w:cs="Arial"/>
          <w:bCs/>
          <w:lang w:val="es-ES" w:eastAsia="x-none"/>
        </w:rPr>
        <w:t>En efecto, tal como lo ha sostenido el Consejo de Estado, el vocablo “todos” utilizado por el legislador comprende</w:t>
      </w:r>
      <w:r w:rsidRPr="00FC6F34">
        <w:rPr>
          <w:rFonts w:ascii="Verdana" w:hAnsi="Verdana"/>
          <w:lang w:val="es-ES"/>
        </w:rPr>
        <w:t xml:space="preserve"> </w:t>
      </w:r>
      <w:r w:rsidRPr="00FC6F34">
        <w:rPr>
          <w:rFonts w:ascii="Verdana"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FC6F34">
        <w:rPr>
          <w:rStyle w:val="Refdenotaalpie"/>
          <w:rFonts w:ascii="Verdana" w:hAnsi="Verdana" w:cs="Arial"/>
          <w:bCs/>
          <w:sz w:val="20"/>
          <w:szCs w:val="20"/>
          <w:lang w:val="es-ES" w:eastAsia="x-none"/>
        </w:rPr>
        <w:footnoteReference w:id="16"/>
      </w:r>
      <w:r w:rsidRPr="00FC6F34">
        <w:rPr>
          <w:rFonts w:ascii="Verdana" w:hAnsi="Verdana" w:cs="Arial"/>
          <w:bCs/>
          <w:sz w:val="20"/>
          <w:szCs w:val="20"/>
          <w:lang w:val="es-ES" w:eastAsia="x-none"/>
        </w:rPr>
        <w:t>.</w:t>
      </w:r>
      <w:r w:rsidRPr="00FC6F34">
        <w:rPr>
          <w:rFonts w:ascii="Verdana" w:hAnsi="Verdana" w:cs="Arial"/>
          <w:bCs/>
          <w:sz w:val="20"/>
          <w:szCs w:val="20"/>
          <w:lang w:val="es-ES" w:eastAsia="es-CO"/>
        </w:rPr>
        <w:t>”</w:t>
      </w:r>
    </w:p>
    <w:p w14:paraId="617CE4F9" w14:textId="77777777" w:rsidR="004C57D9" w:rsidRPr="00FC6F34" w:rsidRDefault="004C57D9" w:rsidP="004C57D9">
      <w:pPr>
        <w:spacing w:after="120" w:line="276" w:lineRule="auto"/>
        <w:ind w:firstLine="709"/>
        <w:jc w:val="both"/>
        <w:rPr>
          <w:rFonts w:ascii="Verdana" w:eastAsia="Arial" w:hAnsi="Verdana" w:cs="Arial"/>
          <w:bCs/>
          <w:color w:val="000000" w:themeColor="text1"/>
          <w:lang w:val="es-ES"/>
        </w:rPr>
      </w:pPr>
      <w:r w:rsidRPr="00FC6F34">
        <w:rPr>
          <w:rFonts w:ascii="Verdana" w:eastAsia="Arial" w:hAnsi="Verdana" w:cs="Arial"/>
          <w:color w:val="000000" w:themeColor="text1"/>
          <w:lang w:val="es-ES"/>
        </w:rPr>
        <w:t xml:space="preserve">Por lo tanto, la restricción del artículo 33 prevista en la Ley 996 de 2005, teniendo en cuenta la finalidad de la </w:t>
      </w:r>
      <w:r>
        <w:rPr>
          <w:rFonts w:ascii="Verdana" w:eastAsia="Arial" w:hAnsi="Verdana" w:cs="Arial"/>
          <w:color w:val="000000" w:themeColor="text1"/>
          <w:lang w:val="es-ES"/>
        </w:rPr>
        <w:t>L</w:t>
      </w:r>
      <w:r w:rsidRPr="00FC6F34">
        <w:rPr>
          <w:rFonts w:ascii="Verdana" w:eastAsia="Arial" w:hAnsi="Verdana" w:cs="Arial"/>
          <w:color w:val="000000" w:themeColor="text1"/>
          <w:lang w:val="es-ES"/>
        </w:rPr>
        <w:t xml:space="preserve">ey de </w:t>
      </w:r>
      <w:r>
        <w:rPr>
          <w:rFonts w:ascii="Verdana" w:eastAsia="Arial" w:hAnsi="Verdana" w:cs="Arial"/>
          <w:color w:val="000000" w:themeColor="text1"/>
          <w:lang w:val="es-ES"/>
        </w:rPr>
        <w:t>G</w:t>
      </w:r>
      <w:r w:rsidRPr="00FC6F34">
        <w:rPr>
          <w:rFonts w:ascii="Verdana" w:eastAsia="Arial" w:hAnsi="Verdana" w:cs="Arial"/>
          <w:color w:val="000000" w:themeColor="text1"/>
          <w:lang w:val="es-ES"/>
        </w:rPr>
        <w:t xml:space="preserve">arantías </w:t>
      </w:r>
      <w:r>
        <w:rPr>
          <w:rFonts w:ascii="Verdana" w:eastAsia="Arial" w:hAnsi="Verdana" w:cs="Arial"/>
          <w:color w:val="000000" w:themeColor="text1"/>
          <w:lang w:val="es-ES"/>
        </w:rPr>
        <w:t>E</w:t>
      </w:r>
      <w:r w:rsidRPr="00FC6F34">
        <w:rPr>
          <w:rFonts w:ascii="Verdana" w:eastAsia="Arial" w:hAnsi="Verdana" w:cs="Arial"/>
          <w:color w:val="000000" w:themeColor="text1"/>
          <w:lang w:val="es-ES"/>
        </w:rPr>
        <w:t xml:space="preserv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w:t>
      </w:r>
      <w:r w:rsidRPr="00FC6F34">
        <w:rPr>
          <w:rFonts w:ascii="Verdana" w:eastAsia="Arial" w:hAnsi="Verdana" w:cs="Arial"/>
          <w:color w:val="000000" w:themeColor="text1"/>
          <w:lang w:val="es-ES"/>
        </w:rPr>
        <w:lastRenderedPageBreak/>
        <w:t>de influir a los electores y alterar la voluntad popular en las contiendas electorales, se puede presentar tanto en la contratación regulada por la Ley 80 de 1993 como en la regida por el derecho privado o normas especiales.</w:t>
      </w:r>
    </w:p>
    <w:p w14:paraId="0F691022" w14:textId="77777777" w:rsidR="004C57D9" w:rsidRPr="00FC6F34" w:rsidRDefault="004C57D9" w:rsidP="004C57D9">
      <w:pPr>
        <w:spacing w:after="120" w:line="276" w:lineRule="auto"/>
        <w:ind w:firstLine="709"/>
        <w:jc w:val="both"/>
        <w:rPr>
          <w:rFonts w:ascii="Verdana" w:hAnsi="Verdana" w:cs="Arial"/>
          <w:bCs/>
          <w:color w:val="000000" w:themeColor="text1"/>
          <w:lang w:val="es-ES"/>
        </w:rPr>
      </w:pPr>
      <w:r w:rsidRPr="00FC6F34">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4C9C9C80" w14:textId="77777777" w:rsidR="004C57D9" w:rsidRPr="00FC6F34" w:rsidRDefault="004C57D9" w:rsidP="004C57D9">
      <w:pPr>
        <w:tabs>
          <w:tab w:val="left" w:pos="709"/>
        </w:tabs>
        <w:spacing w:after="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t>i) La contratación referente a la defensa y seguridad del Estado;</w:t>
      </w:r>
    </w:p>
    <w:p w14:paraId="2F2CC486" w14:textId="77777777" w:rsidR="004C57D9" w:rsidRPr="00FC6F34" w:rsidRDefault="004C57D9" w:rsidP="004C57D9">
      <w:pPr>
        <w:tabs>
          <w:tab w:val="left" w:pos="709"/>
        </w:tabs>
        <w:spacing w:after="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proofErr w:type="spellStart"/>
      <w:r w:rsidRPr="00FC6F34">
        <w:rPr>
          <w:rFonts w:ascii="Verdana" w:hAnsi="Verdana" w:cs="Arial"/>
          <w:bCs/>
          <w:color w:val="000000" w:themeColor="text1"/>
          <w:lang w:val="es-ES"/>
        </w:rPr>
        <w:t>ii</w:t>
      </w:r>
      <w:proofErr w:type="spellEnd"/>
      <w:r w:rsidRPr="00FC6F34">
        <w:rPr>
          <w:rFonts w:ascii="Verdana" w:hAnsi="Verdana" w:cs="Arial"/>
          <w:bCs/>
          <w:color w:val="000000" w:themeColor="text1"/>
          <w:lang w:val="es-ES"/>
        </w:rPr>
        <w:t>) Los contratos de crédito público;</w:t>
      </w:r>
    </w:p>
    <w:p w14:paraId="637C2357" w14:textId="77777777" w:rsidR="004C57D9" w:rsidRPr="00FC6F34" w:rsidRDefault="004C57D9" w:rsidP="004C57D9">
      <w:pPr>
        <w:tabs>
          <w:tab w:val="left" w:pos="709"/>
        </w:tabs>
        <w:spacing w:after="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proofErr w:type="spellStart"/>
      <w:r w:rsidRPr="00FC6F34">
        <w:rPr>
          <w:rFonts w:ascii="Verdana" w:hAnsi="Verdana" w:cs="Arial"/>
          <w:bCs/>
          <w:color w:val="000000" w:themeColor="text1"/>
          <w:lang w:val="es-ES"/>
        </w:rPr>
        <w:t>iii</w:t>
      </w:r>
      <w:proofErr w:type="spellEnd"/>
      <w:r w:rsidRPr="00FC6F34">
        <w:rPr>
          <w:rFonts w:ascii="Verdana" w:hAnsi="Verdana" w:cs="Arial"/>
          <w:bCs/>
          <w:color w:val="000000" w:themeColor="text1"/>
          <w:lang w:val="es-ES"/>
        </w:rPr>
        <w:t xml:space="preserve">) Los contratos requeridos para cubrir las emergencias educativas, sanitarias y desastres; </w:t>
      </w:r>
    </w:p>
    <w:p w14:paraId="2C64B891" w14:textId="77777777" w:rsidR="004C57D9" w:rsidRPr="00FC6F34" w:rsidRDefault="004C57D9" w:rsidP="004C57D9">
      <w:pPr>
        <w:tabs>
          <w:tab w:val="left" w:pos="709"/>
        </w:tabs>
        <w:spacing w:after="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proofErr w:type="spellStart"/>
      <w:r w:rsidRPr="00FC6F34">
        <w:rPr>
          <w:rFonts w:ascii="Verdana" w:hAnsi="Verdana" w:cs="Arial"/>
          <w:bCs/>
          <w:color w:val="000000" w:themeColor="text1"/>
          <w:lang w:val="es-ES"/>
        </w:rPr>
        <w:t>iv</w:t>
      </w:r>
      <w:proofErr w:type="spellEnd"/>
      <w:r w:rsidRPr="00FC6F34">
        <w:rPr>
          <w:rFonts w:ascii="Verdana" w:hAnsi="Verdana" w:cs="Arial"/>
          <w:bCs/>
          <w:color w:val="000000" w:themeColor="text1"/>
          <w:lang w:val="es-ES"/>
        </w:rPr>
        <w:t>) La contratación para la reconstrucción de vías, puentes, carreteras, infraestructura energética y de comunicaciones, en caso de que hayan sido objeto de atentados, acciones terroristas, desastres naturales o casos de fuerza mayor y;</w:t>
      </w:r>
    </w:p>
    <w:p w14:paraId="2F096519" w14:textId="77777777" w:rsidR="004C57D9" w:rsidRPr="00FC6F34" w:rsidRDefault="004C57D9" w:rsidP="004C57D9">
      <w:pPr>
        <w:tabs>
          <w:tab w:val="left" w:pos="709"/>
        </w:tabs>
        <w:spacing w:after="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t xml:space="preserve">v) La contratación que deban realizar las entidades sanitarias y hospitalarias. </w:t>
      </w:r>
    </w:p>
    <w:p w14:paraId="1678426E" w14:textId="77777777" w:rsidR="004C57D9" w:rsidRPr="00FC6F34" w:rsidRDefault="004C57D9" w:rsidP="004C57D9">
      <w:pPr>
        <w:spacing w:after="120" w:line="276" w:lineRule="auto"/>
        <w:ind w:firstLine="709"/>
        <w:jc w:val="both"/>
        <w:rPr>
          <w:rFonts w:ascii="Verdana" w:hAnsi="Verdana" w:cs="Arial"/>
          <w:lang w:val="es-ES" w:eastAsia="x-none"/>
        </w:rPr>
      </w:pPr>
      <w:r w:rsidRPr="00FC6F34">
        <w:rPr>
          <w:rFonts w:ascii="Verdana" w:hAnsi="Verdana" w:cs="Arial"/>
          <w:lang w:val="es-ES"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C6F34">
        <w:rPr>
          <w:rFonts w:ascii="Verdana" w:hAnsi="Verdana" w:cs="Arial"/>
          <w:color w:val="000000" w:themeColor="text1"/>
          <w:vertAlign w:val="superscript"/>
          <w:lang w:val="es-ES" w:eastAsia="es-CO"/>
        </w:rPr>
        <w:t xml:space="preserve"> </w:t>
      </w:r>
      <w:r w:rsidRPr="00FC6F34">
        <w:rPr>
          <w:rFonts w:ascii="Verdana" w:hAnsi="Verdana" w:cs="Arial"/>
          <w:color w:val="000000" w:themeColor="text1"/>
          <w:vertAlign w:val="superscript"/>
          <w:lang w:val="es-ES" w:eastAsia="es-CO"/>
        </w:rPr>
        <w:footnoteReference w:id="17"/>
      </w:r>
      <w:r w:rsidRPr="00FC6F34">
        <w:rPr>
          <w:rFonts w:ascii="Verdana" w:hAnsi="Verdana" w:cs="Arial"/>
          <w:lang w:val="es-ES"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E994157" w14:textId="77777777" w:rsidR="004C57D9" w:rsidRDefault="004C57D9" w:rsidP="004C57D9">
      <w:pPr>
        <w:tabs>
          <w:tab w:val="left" w:pos="426"/>
        </w:tabs>
        <w:spacing w:after="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La Sala de Consulta y Servicio Civil del Consejo de Estado, en concepto del 4 de febrero de 2010, se pronunció frente a las razones por las que el </w:t>
      </w:r>
      <w:r w:rsidRPr="00FC6F34">
        <w:rPr>
          <w:rFonts w:ascii="Verdana" w:hAnsi="Verdana" w:cs="Arial"/>
          <w:bCs/>
          <w:color w:val="000000" w:themeColor="text1"/>
          <w:lang w:val="es-ES"/>
        </w:rPr>
        <w:lastRenderedPageBreak/>
        <w:t xml:space="preserve">legislador consagró excepciones al artículo 33 de la Ley de Garantías Electorales en los siguientes términos: </w:t>
      </w:r>
    </w:p>
    <w:p w14:paraId="786C761A" w14:textId="77777777" w:rsidR="004C57D9" w:rsidRPr="00FC6F34" w:rsidRDefault="004C57D9" w:rsidP="004C57D9">
      <w:pPr>
        <w:tabs>
          <w:tab w:val="left" w:pos="426"/>
        </w:tabs>
        <w:spacing w:after="0" w:line="276" w:lineRule="auto"/>
        <w:ind w:firstLine="709"/>
        <w:jc w:val="both"/>
        <w:rPr>
          <w:rFonts w:ascii="Verdana" w:hAnsi="Verdana" w:cs="Arial"/>
          <w:bCs/>
          <w:color w:val="000000" w:themeColor="text1"/>
          <w:lang w:val="es-ES"/>
        </w:rPr>
      </w:pPr>
    </w:p>
    <w:p w14:paraId="73FBB8EE" w14:textId="77777777" w:rsidR="004C57D9" w:rsidRDefault="004C57D9" w:rsidP="004C57D9">
      <w:pPr>
        <w:shd w:val="clear" w:color="auto" w:fill="FFFFFF"/>
        <w:spacing w:after="0" w:line="240" w:lineRule="auto"/>
        <w:ind w:left="709" w:right="709"/>
        <w:jc w:val="both"/>
        <w:rPr>
          <w:rFonts w:ascii="Verdana" w:hAnsi="Verdana" w:cs="Arial"/>
          <w:color w:val="000000" w:themeColor="text1"/>
          <w:sz w:val="20"/>
          <w:szCs w:val="20"/>
          <w:lang w:val="es-ES" w:eastAsia="es-CO"/>
        </w:rPr>
      </w:pPr>
      <w:r w:rsidRPr="00FC6F34">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FC6F34">
        <w:rPr>
          <w:rFonts w:ascii="Verdana" w:hAnsi="Verdana" w:cs="Arial"/>
          <w:color w:val="000000" w:themeColor="text1"/>
          <w:sz w:val="20"/>
          <w:szCs w:val="20"/>
          <w:vertAlign w:val="superscript"/>
          <w:lang w:val="es-ES" w:eastAsia="es-CO"/>
        </w:rPr>
        <w:footnoteReference w:id="18"/>
      </w:r>
      <w:r w:rsidRPr="00FC6F34">
        <w:rPr>
          <w:rFonts w:ascii="Verdana" w:hAnsi="Verdana" w:cs="Arial"/>
          <w:color w:val="000000" w:themeColor="text1"/>
          <w:sz w:val="20"/>
          <w:szCs w:val="20"/>
          <w:lang w:val="es-ES" w:eastAsia="es-CO"/>
        </w:rPr>
        <w:t xml:space="preserve">”. </w:t>
      </w:r>
    </w:p>
    <w:p w14:paraId="1AF27B79" w14:textId="77777777" w:rsidR="004C57D9" w:rsidRPr="00FC6F34" w:rsidRDefault="004C57D9" w:rsidP="004C57D9">
      <w:pPr>
        <w:shd w:val="clear" w:color="auto" w:fill="FFFFFF"/>
        <w:spacing w:after="0" w:line="240" w:lineRule="auto"/>
        <w:ind w:left="709" w:right="709"/>
        <w:jc w:val="both"/>
        <w:rPr>
          <w:rFonts w:ascii="Verdana" w:hAnsi="Verdana" w:cs="Arial"/>
          <w:color w:val="000000" w:themeColor="text1"/>
          <w:sz w:val="20"/>
          <w:szCs w:val="20"/>
          <w:lang w:val="es-ES" w:eastAsia="es-CO"/>
        </w:rPr>
      </w:pPr>
    </w:p>
    <w:p w14:paraId="637791EB" w14:textId="77777777" w:rsidR="004C57D9" w:rsidRPr="00FC6F34" w:rsidRDefault="004C57D9" w:rsidP="004C57D9">
      <w:pPr>
        <w:tabs>
          <w:tab w:val="left" w:pos="426"/>
        </w:tabs>
        <w:spacing w:after="120" w:line="276" w:lineRule="auto"/>
        <w:ind w:firstLine="709"/>
        <w:jc w:val="both"/>
        <w:rPr>
          <w:rFonts w:ascii="Verdana" w:hAnsi="Verdana" w:cs="Arial"/>
          <w:color w:val="000000" w:themeColor="text1"/>
          <w:lang w:val="es-ES"/>
        </w:rPr>
      </w:pPr>
      <w:r w:rsidRPr="00FC6F34">
        <w:rPr>
          <w:rFonts w:ascii="Verdana" w:hAnsi="Verdana" w:cs="Arial"/>
          <w:bCs/>
          <w:color w:val="000000" w:themeColor="text1"/>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C6F34">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p>
    <w:p w14:paraId="7D25D0B7" w14:textId="77777777" w:rsidR="004C57D9" w:rsidRPr="00FC6F34" w:rsidRDefault="004C57D9" w:rsidP="004C57D9">
      <w:pPr>
        <w:tabs>
          <w:tab w:val="left" w:pos="426"/>
        </w:tabs>
        <w:spacing w:after="0" w:line="276" w:lineRule="auto"/>
        <w:ind w:firstLine="709"/>
        <w:jc w:val="both"/>
        <w:rPr>
          <w:rFonts w:ascii="Verdana" w:hAnsi="Verdana" w:cs="Arial"/>
          <w:color w:val="000000" w:themeColor="text1"/>
          <w:lang w:val="es-ES"/>
        </w:rPr>
      </w:pPr>
    </w:p>
    <w:p w14:paraId="2EC4EF59" w14:textId="77777777" w:rsidR="004C57D9" w:rsidRPr="00FC6F34" w:rsidRDefault="004C57D9" w:rsidP="004C57D9">
      <w:pPr>
        <w:tabs>
          <w:tab w:val="left" w:pos="426"/>
        </w:tabs>
        <w:spacing w:after="0"/>
        <w:ind w:right="709"/>
        <w:jc w:val="both"/>
        <w:rPr>
          <w:rFonts w:ascii="Verdana" w:hAnsi="Verdana" w:cs="Arial"/>
          <w:color w:val="000000" w:themeColor="text1"/>
          <w:sz w:val="20"/>
          <w:szCs w:val="20"/>
          <w:lang w:val="es-ES"/>
        </w:rPr>
      </w:pPr>
      <w:r w:rsidRPr="00FC6F34">
        <w:rPr>
          <w:rFonts w:ascii="Arial" w:hAnsi="Arial" w:cs="Arial"/>
          <w:color w:val="000000" w:themeColor="text1"/>
          <w:sz w:val="21"/>
          <w:szCs w:val="21"/>
          <w:lang w:val="es-ES"/>
        </w:rPr>
        <w:tab/>
      </w:r>
      <w:r w:rsidRPr="00FC6F34">
        <w:rPr>
          <w:rFonts w:ascii="Arial" w:hAnsi="Arial" w:cs="Arial"/>
          <w:color w:val="000000" w:themeColor="text1"/>
          <w:sz w:val="21"/>
          <w:szCs w:val="21"/>
          <w:lang w:val="es-ES"/>
        </w:rPr>
        <w:tab/>
        <w:t>“</w:t>
      </w:r>
      <w:r w:rsidRPr="00FC6F34">
        <w:rPr>
          <w:rFonts w:ascii="Verdana" w:hAnsi="Verdana" w:cs="Arial"/>
          <w:color w:val="000000" w:themeColor="text1"/>
          <w:sz w:val="20"/>
          <w:szCs w:val="20"/>
          <w:lang w:val="es-ES"/>
        </w:rPr>
        <w:t xml:space="preserve">[…] </w:t>
      </w:r>
      <w:r w:rsidRPr="00FC6F34">
        <w:rPr>
          <w:rFonts w:ascii="Verdana" w:hAnsi="Verdana" w:cs="Arial"/>
          <w:i/>
          <w:color w:val="000000" w:themeColor="text1"/>
          <w:sz w:val="20"/>
          <w:szCs w:val="20"/>
          <w:lang w:val="es-ES"/>
        </w:rPr>
        <w:t>Las excepciones aplicables a la restricción de contratación pública</w:t>
      </w:r>
    </w:p>
    <w:p w14:paraId="541EEE57" w14:textId="77777777" w:rsidR="004C57D9" w:rsidRPr="00FC6F34" w:rsidRDefault="004C57D9" w:rsidP="004C57D9">
      <w:pPr>
        <w:spacing w:after="0"/>
        <w:ind w:left="709" w:right="709"/>
        <w:jc w:val="both"/>
        <w:rPr>
          <w:rFonts w:ascii="Verdana" w:hAnsi="Verdana" w:cs="Arial"/>
          <w:color w:val="000000" w:themeColor="text1"/>
          <w:sz w:val="20"/>
          <w:szCs w:val="20"/>
          <w:shd w:val="clear" w:color="auto" w:fill="FFFFFF"/>
          <w:lang w:val="es-ES"/>
        </w:rPr>
      </w:pPr>
      <w:r w:rsidRPr="00FC6F34">
        <w:rPr>
          <w:rFonts w:ascii="Verdana" w:hAnsi="Verdana" w:cs="Arial"/>
          <w:color w:val="000000" w:themeColor="text1"/>
          <w:sz w:val="20"/>
          <w:szCs w:val="20"/>
          <w:shd w:val="clear" w:color="auto" w:fill="FFFFFF"/>
          <w:lang w:val="es-ES"/>
        </w:rPr>
        <w:t>Ahora bien, las únicas excepciones a las disposiciones previstas en la Ley de Garantías se encuentran numeradas taxativamente en el último inciso del artículo 33 de la ley 996 de 2005, dentro de las que se encuentran:</w:t>
      </w:r>
    </w:p>
    <w:p w14:paraId="41AA649C" w14:textId="77777777" w:rsidR="004C57D9" w:rsidRPr="00FC6F34" w:rsidRDefault="004C57D9" w:rsidP="004C57D9">
      <w:pPr>
        <w:spacing w:after="0"/>
        <w:ind w:left="709" w:right="709"/>
        <w:jc w:val="both"/>
        <w:rPr>
          <w:rFonts w:ascii="Verdana" w:hAnsi="Verdana" w:cs="Arial"/>
          <w:color w:val="000000" w:themeColor="text1"/>
          <w:sz w:val="20"/>
          <w:szCs w:val="20"/>
          <w:shd w:val="clear" w:color="auto" w:fill="FFFFFF"/>
          <w:lang w:val="es-ES"/>
        </w:rPr>
      </w:pPr>
      <w:r w:rsidRPr="00FC6F34">
        <w:rPr>
          <w:rFonts w:ascii="Verdana" w:hAnsi="Verdana" w:cs="Arial"/>
          <w:color w:val="000000" w:themeColor="text1"/>
          <w:sz w:val="20"/>
          <w:szCs w:val="20"/>
          <w:shd w:val="clear" w:color="auto" w:fill="FFFFFF"/>
          <w:lang w:val="es-ES"/>
        </w:rPr>
        <w:t xml:space="preserve">[…] </w:t>
      </w:r>
    </w:p>
    <w:p w14:paraId="40E288D1" w14:textId="77777777" w:rsidR="004C57D9" w:rsidRPr="00FC6F34" w:rsidRDefault="004C57D9" w:rsidP="004C57D9">
      <w:pPr>
        <w:spacing w:after="0"/>
        <w:ind w:left="709" w:right="709"/>
        <w:jc w:val="both"/>
        <w:rPr>
          <w:rFonts w:ascii="Verdana" w:hAnsi="Verdana" w:cs="Arial"/>
          <w:color w:val="000000" w:themeColor="text1"/>
          <w:sz w:val="20"/>
          <w:szCs w:val="20"/>
          <w:shd w:val="clear" w:color="auto" w:fill="FFFFFF"/>
          <w:lang w:val="es-ES"/>
        </w:rPr>
      </w:pPr>
      <w:r w:rsidRPr="00FC6F34">
        <w:rPr>
          <w:rFonts w:ascii="Verdana" w:hAnsi="Verdana" w:cs="Arial"/>
          <w:color w:val="000000" w:themeColor="text1"/>
          <w:sz w:val="20"/>
          <w:szCs w:val="20"/>
          <w:shd w:val="clear" w:color="auto" w:fill="FFFFFF"/>
          <w:lang w:val="es-ES"/>
        </w:rPr>
        <w:t>5. Los que deban realizar las entidades sanitarias y hospitalarias […]</w:t>
      </w:r>
      <w:r w:rsidRPr="00FC6F34">
        <w:rPr>
          <w:rFonts w:ascii="Verdana" w:hAnsi="Verdana" w:cs="Arial"/>
          <w:color w:val="000000" w:themeColor="text1"/>
          <w:sz w:val="20"/>
          <w:szCs w:val="20"/>
          <w:shd w:val="clear" w:color="auto" w:fill="FFFFFF"/>
          <w:vertAlign w:val="superscript"/>
          <w:lang w:val="es-ES"/>
        </w:rPr>
        <w:footnoteReference w:id="19"/>
      </w:r>
      <w:r w:rsidRPr="00FC6F34">
        <w:rPr>
          <w:rFonts w:ascii="Verdana" w:hAnsi="Verdana" w:cs="Arial"/>
          <w:color w:val="000000" w:themeColor="text1"/>
          <w:sz w:val="20"/>
          <w:szCs w:val="20"/>
          <w:shd w:val="clear" w:color="auto" w:fill="FFFFFF"/>
          <w:lang w:val="es-ES"/>
        </w:rPr>
        <w:t>.</w:t>
      </w:r>
    </w:p>
    <w:p w14:paraId="4DA79317" w14:textId="77777777" w:rsidR="004C57D9" w:rsidRPr="00FC6F34" w:rsidRDefault="004C57D9" w:rsidP="004C57D9">
      <w:pPr>
        <w:spacing w:after="0"/>
        <w:ind w:left="709" w:right="709"/>
        <w:jc w:val="both"/>
        <w:rPr>
          <w:rFonts w:ascii="Verdana" w:hAnsi="Verdana" w:cs="Arial"/>
          <w:color w:val="000000" w:themeColor="text1"/>
          <w:sz w:val="20"/>
          <w:szCs w:val="20"/>
          <w:shd w:val="clear" w:color="auto" w:fill="FFFFFF"/>
          <w:lang w:val="es-ES"/>
        </w:rPr>
      </w:pPr>
    </w:p>
    <w:p w14:paraId="30C2B90A" w14:textId="77777777" w:rsidR="004C57D9" w:rsidRPr="00FC6F34" w:rsidRDefault="004C57D9" w:rsidP="004C57D9">
      <w:pPr>
        <w:tabs>
          <w:tab w:val="left" w:pos="426"/>
        </w:tabs>
        <w:spacing w:after="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Lo anterior implica que las excepciones al artículo 33 en comento deben interpretarse y aplicarse de manera estricta. En otras palabras, no es factible hacer interpretaciones extensivas</w:t>
      </w:r>
      <w:r w:rsidRPr="00FC6F34">
        <w:rPr>
          <w:rFonts w:ascii="Verdana" w:hAnsi="Verdana" w:cs="Arial"/>
          <w:bCs/>
          <w:i/>
          <w:iCs/>
          <w:color w:val="000000" w:themeColor="text1"/>
          <w:lang w:val="es-ES"/>
        </w:rPr>
        <w:t xml:space="preserve"> </w:t>
      </w:r>
      <w:r w:rsidRPr="00FC6F34">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39418CC0" w14:textId="77777777" w:rsidR="004C57D9" w:rsidRPr="00FC6F34" w:rsidRDefault="004C57D9" w:rsidP="004C57D9">
      <w:pPr>
        <w:tabs>
          <w:tab w:val="left" w:pos="426"/>
        </w:tabs>
        <w:spacing w:after="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Teniendo en cuenta el tema de su consulta, es pertinente analizar el quinto evento exceptuado de la prohibición,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w:t>
      </w:r>
      <w:r w:rsidRPr="00FC6F34">
        <w:rPr>
          <w:rFonts w:ascii="Verdana" w:hAnsi="Verdana" w:cs="Arial"/>
          <w:bCs/>
          <w:color w:val="000000" w:themeColor="text1"/>
          <w:lang w:val="es-ES"/>
        </w:rPr>
        <w:lastRenderedPageBreak/>
        <w:t xml:space="preserve">entidad pública descentralizada, con personería jurídica, patrimonio propio y autonomía administrativa, creadas por la Ley o por las asambleas o concejos, según el caso, sometidas al régimen jurídico previsto en este capítulo”. </w:t>
      </w:r>
    </w:p>
    <w:p w14:paraId="22C16C9B" w14:textId="77777777" w:rsidR="004C57D9" w:rsidRPr="00FC6F34" w:rsidRDefault="004C57D9" w:rsidP="004C57D9">
      <w:pPr>
        <w:tabs>
          <w:tab w:val="left" w:pos="426"/>
        </w:tabs>
        <w:spacing w:after="120" w:line="276" w:lineRule="auto"/>
        <w:ind w:firstLine="709"/>
        <w:jc w:val="both"/>
        <w:rPr>
          <w:rFonts w:ascii="Verdana" w:hAnsi="Verdana" w:cs="Arial"/>
          <w:color w:val="000000" w:themeColor="text1"/>
          <w:lang w:val="es-ES"/>
        </w:rPr>
      </w:pPr>
      <w:r w:rsidRPr="00FC6F34">
        <w:rPr>
          <w:rFonts w:ascii="Verdana" w:hAnsi="Verdana" w:cs="Arial"/>
          <w:color w:val="000000" w:themeColor="text1"/>
          <w:lang w:val="es-ES"/>
        </w:rPr>
        <w:t>De lo anterior se desprende que, bajo la Ley 100 de 1993, dentro de la estructura de la administración pública las Empresas Sociales del Estado son las entidades encargadas de prestar el servicio de salud de manera directa. Además, el mismo artículo 197</w:t>
      </w:r>
      <w:r w:rsidRPr="00FC6F34">
        <w:rPr>
          <w:rFonts w:ascii="Arial" w:hAnsi="Arial" w:cs="Arial"/>
          <w:color w:val="000000" w:themeColor="text1"/>
          <w:vertAlign w:val="superscript"/>
          <w:lang w:val="es-ES"/>
        </w:rPr>
        <w:footnoteReference w:id="20"/>
      </w:r>
      <w:r w:rsidRPr="00FC6F34">
        <w:rPr>
          <w:rFonts w:ascii="Verdana" w:hAnsi="Verdana" w:cs="Arial"/>
          <w:color w:val="000000" w:themeColor="text1"/>
          <w:lang w:val="es-ES"/>
        </w:rPr>
        <w:t xml:space="preserve"> estableció el deber de reestructurar y transformar en 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71703B64" w14:textId="77777777" w:rsidR="004C57D9" w:rsidRDefault="004C57D9" w:rsidP="004C57D9">
      <w:pPr>
        <w:spacing w:after="120" w:line="276" w:lineRule="auto"/>
        <w:ind w:firstLine="709"/>
        <w:jc w:val="both"/>
        <w:rPr>
          <w:rFonts w:ascii="Verdana" w:eastAsia="Arial" w:hAnsi="Verdana" w:cs="Arial"/>
          <w:bCs/>
          <w:color w:val="000000" w:themeColor="text1"/>
          <w:lang w:val="es-ES"/>
        </w:rPr>
      </w:pPr>
      <w:r w:rsidRPr="00FC6F34">
        <w:rPr>
          <w:rFonts w:ascii="Verdana" w:eastAsia="Arial" w:hAnsi="Verdana" w:cs="Arial"/>
          <w:bCs/>
          <w:color w:val="000000" w:themeColor="text1"/>
          <w:lang w:val="es-ES"/>
        </w:rPr>
        <w:t xml:space="preserve">De otro lado, el artículo 2.8.8.1.1.3 del Decreto 780 de 2016, Por medio del cual se expide el Decreto Único Reglamentario del Sector Salud y Protección Social, definió a las </w:t>
      </w:r>
      <w:r w:rsidRPr="00FC6F34">
        <w:rPr>
          <w:rFonts w:ascii="Verdana" w:eastAsia="Arial" w:hAnsi="Verdana" w:cs="Arial"/>
          <w:bCs/>
          <w:i/>
          <w:iCs/>
          <w:color w:val="000000" w:themeColor="text1"/>
          <w:lang w:val="es-ES"/>
        </w:rPr>
        <w:t>entidades sanitarias</w:t>
      </w:r>
      <w:r w:rsidRPr="00FC6F34">
        <w:rPr>
          <w:rFonts w:ascii="Verdana" w:eastAsia="Arial" w:hAnsi="Verdana" w:cs="Arial"/>
          <w:bCs/>
          <w:color w:val="000000" w:themeColor="text1"/>
          <w:lang w:val="es-ES"/>
        </w:rPr>
        <w:t xml:space="preserve"> como “Entidades del Estado que prestan servicios sanitarios o de sanidad con el propósito de preservar la salud humana y la salud pública”. El artículo citado también define las </w:t>
      </w:r>
      <w:r w:rsidRPr="00FC6F34">
        <w:rPr>
          <w:rFonts w:ascii="Verdana" w:eastAsia="Arial" w:hAnsi="Verdana" w:cs="Arial"/>
          <w:bCs/>
          <w:i/>
          <w:iCs/>
          <w:color w:val="000000" w:themeColor="text1"/>
          <w:lang w:val="es-ES"/>
        </w:rPr>
        <w:t>autoridades sanitarias</w:t>
      </w:r>
      <w:r w:rsidRPr="00FC6F34">
        <w:rPr>
          <w:rFonts w:ascii="Verdana" w:eastAsia="Arial" w:hAnsi="Verdana" w:cs="Arial"/>
          <w:bCs/>
          <w:color w:val="000000" w:themeColor="text1"/>
          <w:lang w:val="es-ES"/>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FC6F34">
        <w:rPr>
          <w:rFonts w:ascii="Verdana" w:eastAsia="Arial" w:hAnsi="Verdana" w:cs="Arial"/>
          <w:bCs/>
          <w:color w:val="000000" w:themeColor="text1"/>
          <w:vertAlign w:val="superscript"/>
          <w:lang w:val="es-ES"/>
        </w:rPr>
        <w:footnoteReference w:id="21"/>
      </w:r>
      <w:r w:rsidRPr="00FC6F34">
        <w:rPr>
          <w:rFonts w:ascii="Verdana" w:eastAsia="Arial" w:hAnsi="Verdana" w:cs="Arial"/>
          <w:bCs/>
          <w:color w:val="000000" w:themeColor="text1"/>
          <w:lang w:val="es-ES"/>
        </w:rPr>
        <w:t xml:space="preserve">. De esta forma, la excepción del artículo 33 de la Ley de Garantías solo aplica a las </w:t>
      </w:r>
      <w:r w:rsidRPr="00FC6F34">
        <w:rPr>
          <w:rFonts w:ascii="Verdana" w:eastAsia="Arial" w:hAnsi="Verdana" w:cs="Arial"/>
          <w:bCs/>
          <w:i/>
          <w:iCs/>
          <w:color w:val="000000" w:themeColor="text1"/>
          <w:lang w:val="es-ES"/>
        </w:rPr>
        <w:t>entidades sanitarias</w:t>
      </w:r>
      <w:r w:rsidRPr="00FC6F34">
        <w:rPr>
          <w:rFonts w:ascii="Verdana" w:eastAsia="Arial" w:hAnsi="Verdana" w:cs="Arial"/>
          <w:bCs/>
          <w:color w:val="000000" w:themeColor="text1"/>
          <w:lang w:val="es-ES"/>
        </w:rPr>
        <w:t xml:space="preserve">, y no a las </w:t>
      </w:r>
      <w:r w:rsidRPr="00FC6F34">
        <w:rPr>
          <w:rFonts w:ascii="Verdana" w:eastAsia="Arial" w:hAnsi="Verdana" w:cs="Arial"/>
          <w:bCs/>
          <w:i/>
          <w:iCs/>
          <w:color w:val="000000" w:themeColor="text1"/>
          <w:lang w:val="es-ES"/>
        </w:rPr>
        <w:t>autoridades sanitarias</w:t>
      </w:r>
      <w:r w:rsidRPr="00FC6F34">
        <w:rPr>
          <w:rFonts w:ascii="Verdana" w:eastAsia="Arial" w:hAnsi="Verdana" w:cs="Arial"/>
          <w:bCs/>
          <w:color w:val="000000" w:themeColor="text1"/>
          <w:lang w:val="es-ES"/>
        </w:rPr>
        <w:t xml:space="preserve">. Para efectos de la excepción, es indiferente que la entidad estatal tenga funciones de </w:t>
      </w:r>
      <w:r w:rsidRPr="00FC6F34">
        <w:rPr>
          <w:rFonts w:ascii="Verdana" w:eastAsia="Arial" w:hAnsi="Verdana" w:cs="Arial"/>
          <w:bCs/>
          <w:i/>
          <w:iCs/>
          <w:color w:val="000000" w:themeColor="text1"/>
          <w:lang w:val="es-ES"/>
        </w:rPr>
        <w:t>autoridad sanitaria</w:t>
      </w:r>
      <w:r w:rsidRPr="00FC6F34">
        <w:rPr>
          <w:rFonts w:ascii="Verdana" w:eastAsia="Arial" w:hAnsi="Verdana" w:cs="Arial"/>
          <w:bCs/>
          <w:color w:val="000000" w:themeColor="text1"/>
          <w:lang w:val="es-ES"/>
        </w:rPr>
        <w:t xml:space="preserve">, pues lo relevante para determinar si la contratación está exceptuada de la prohibición general no es el carácter de autoridad sanitaria, sino que se trate de una </w:t>
      </w:r>
      <w:r w:rsidRPr="00FC6F34">
        <w:rPr>
          <w:rFonts w:ascii="Verdana" w:eastAsia="Arial" w:hAnsi="Verdana" w:cs="Arial"/>
          <w:bCs/>
          <w:i/>
          <w:iCs/>
          <w:color w:val="000000" w:themeColor="text1"/>
          <w:lang w:val="es-ES"/>
        </w:rPr>
        <w:t>entidad sanitaria</w:t>
      </w:r>
      <w:r w:rsidRPr="00FC6F34">
        <w:rPr>
          <w:rFonts w:ascii="Verdana" w:eastAsia="Arial" w:hAnsi="Verdana" w:cs="Arial"/>
          <w:bCs/>
          <w:color w:val="000000" w:themeColor="text1"/>
          <w:lang w:val="es-ES"/>
        </w:rPr>
        <w:t xml:space="preserve">. </w:t>
      </w:r>
    </w:p>
    <w:p w14:paraId="79A3574C" w14:textId="77777777" w:rsidR="004C57D9" w:rsidRPr="00E43F6D" w:rsidRDefault="004C57D9" w:rsidP="004C57D9">
      <w:pPr>
        <w:spacing w:after="120" w:line="276" w:lineRule="auto"/>
        <w:ind w:firstLine="709"/>
        <w:jc w:val="both"/>
        <w:rPr>
          <w:rFonts w:ascii="Verdana" w:eastAsia="Arial" w:hAnsi="Verdana" w:cs="Arial"/>
          <w:bCs/>
          <w:color w:val="000000" w:themeColor="text1"/>
          <w:lang w:val="es-ES"/>
        </w:rPr>
      </w:pPr>
      <w:r w:rsidRPr="00FC6F34">
        <w:rPr>
          <w:rFonts w:ascii="Verdana" w:eastAsia="Arial" w:hAnsi="Verdana" w:cs="Arial"/>
          <w:bCs/>
          <w:color w:val="000000" w:themeColor="text1"/>
          <w:lang w:val="es-ES"/>
        </w:rPr>
        <w:lastRenderedPageBreak/>
        <w:t>Sobre lo anterior</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el Consejo de Estado ha señalado que “las entidades que presten servicios tendientes a preservar la salud pública o humana deben ser consideradas como entidades sanitarias y en principio estarían exceptuadas de la prohibición de contratación directa”</w:t>
      </w:r>
      <w:r w:rsidRPr="00FC6F34">
        <w:rPr>
          <w:rStyle w:val="Refdenotaalpie"/>
          <w:rFonts w:ascii="Verdana" w:eastAsia="Arial" w:hAnsi="Verdana" w:cs="Arial"/>
          <w:bCs/>
          <w:color w:val="000000" w:themeColor="text1"/>
          <w:lang w:val="es-ES"/>
        </w:rPr>
        <w:footnoteReference w:id="22"/>
      </w:r>
      <w:r w:rsidRPr="00FC6F34">
        <w:rPr>
          <w:rFonts w:ascii="Verdana" w:eastAsia="Arial" w:hAnsi="Verdana" w:cs="Arial"/>
          <w:bCs/>
          <w:color w:val="000000" w:themeColor="text1"/>
          <w:lang w:val="es-ES"/>
        </w:rPr>
        <w:t>. 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w:t>
      </w:r>
      <w:r w:rsidRPr="00FC6F34">
        <w:rPr>
          <w:rStyle w:val="Refdenotaalpie"/>
          <w:rFonts w:ascii="Verdana" w:eastAsia="Arial" w:hAnsi="Verdana" w:cs="Arial"/>
          <w:bCs/>
          <w:color w:val="000000" w:themeColor="text1"/>
          <w:lang w:val="es-ES"/>
        </w:rPr>
        <w:footnoteReference w:id="23"/>
      </w:r>
      <w:r w:rsidRPr="00FC6F34">
        <w:rPr>
          <w:rFonts w:ascii="Verdana" w:eastAsia="Arial" w:hAnsi="Verdana" w:cs="Arial"/>
          <w:bCs/>
          <w:color w:val="000000" w:themeColor="text1"/>
          <w:lang w:val="es-ES"/>
        </w:rPr>
        <w:t xml:space="preserve">. </w:t>
      </w:r>
    </w:p>
    <w:p w14:paraId="0A58F513" w14:textId="77777777" w:rsidR="004C57D9" w:rsidRDefault="004C57D9" w:rsidP="004C57D9">
      <w:pPr>
        <w:spacing w:after="120" w:line="276" w:lineRule="auto"/>
        <w:jc w:val="both"/>
        <w:rPr>
          <w:rFonts w:ascii="Verdana" w:eastAsia="Arial" w:hAnsi="Verdana" w:cs="Arial"/>
          <w:bCs/>
          <w:color w:val="000000" w:themeColor="text1"/>
          <w:lang w:val="es-ES"/>
        </w:rPr>
      </w:pPr>
      <w:r>
        <w:rPr>
          <w:rFonts w:ascii="Verdana" w:eastAsia="Arial" w:hAnsi="Verdana" w:cs="Arial"/>
          <w:bCs/>
          <w:color w:val="000000" w:themeColor="text1"/>
          <w:lang w:val="es-ES"/>
        </w:rPr>
        <w:t xml:space="preserve">v) Conforme con lo expuesto, las entidades que requieran adelantar procesos de contratación directa durante el periodo de garantías electorales deberán analizar, primero, si se configuran los supuestos establecidos en </w:t>
      </w:r>
      <w:r w:rsidRPr="00C16886">
        <w:rPr>
          <w:rFonts w:ascii="Verdana" w:eastAsia="Arial" w:hAnsi="Verdana" w:cs="Arial"/>
          <w:bCs/>
          <w:i/>
          <w:iCs/>
          <w:color w:val="000000" w:themeColor="text1"/>
          <w:lang w:val="es-ES"/>
        </w:rPr>
        <w:t>el artículo 33</w:t>
      </w:r>
      <w:r>
        <w:rPr>
          <w:rFonts w:ascii="Verdana" w:eastAsia="Arial" w:hAnsi="Verdana" w:cs="Arial"/>
          <w:bCs/>
          <w:color w:val="000000" w:themeColor="text1"/>
          <w:lang w:val="es-ES"/>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del PIC se realiza con ocasión a una “emergencia sanitaria” o si es llevada a cabo por “entidades sanitarias u hospitalarias”. De ser así, la entidad podrá llevar a cabo la contratación directa, a pesar de que haya iniciado el periodo de garantías electorales correspondiente al artículo 33 de la Ley 996 de 2005.</w:t>
      </w:r>
    </w:p>
    <w:p w14:paraId="11BE9420" w14:textId="77777777" w:rsidR="004C57D9" w:rsidRPr="00FC6F34" w:rsidRDefault="004C57D9" w:rsidP="004C57D9">
      <w:pPr>
        <w:spacing w:after="120" w:line="276" w:lineRule="auto"/>
        <w:jc w:val="both"/>
        <w:rPr>
          <w:rFonts w:ascii="Verdana" w:eastAsia="Arial" w:hAnsi="Verdana" w:cs="Arial"/>
          <w:bCs/>
          <w:color w:val="000000" w:themeColor="text1"/>
          <w:lang w:val="es-ES"/>
        </w:rPr>
      </w:pPr>
      <w:r>
        <w:rPr>
          <w:rFonts w:ascii="Verdana" w:eastAsia="Arial" w:hAnsi="Verdana" w:cs="Arial"/>
          <w:bCs/>
          <w:color w:val="000000" w:themeColor="text1"/>
          <w:lang w:val="es-ES"/>
        </w:rPr>
        <w:tab/>
        <w:t xml:space="preserve">Con respecto a la prohibición del </w:t>
      </w:r>
      <w:r w:rsidRPr="00C16886">
        <w:rPr>
          <w:rFonts w:ascii="Verdana" w:eastAsia="Arial" w:hAnsi="Verdana" w:cs="Arial"/>
          <w:bCs/>
          <w:i/>
          <w:iCs/>
          <w:color w:val="000000" w:themeColor="text1"/>
          <w:lang w:val="es-ES"/>
        </w:rPr>
        <w:t>parágrafo del artículo 38</w:t>
      </w:r>
      <w:r>
        <w:rPr>
          <w:rFonts w:ascii="Verdana" w:eastAsia="Arial" w:hAnsi="Verdana" w:cs="Arial"/>
          <w:bCs/>
          <w:color w:val="000000" w:themeColor="text1"/>
          <w:lang w:val="es-ES"/>
        </w:rPr>
        <w:t>, es necesario verificar si la contratación del PIC es llevada a cabo por “</w:t>
      </w:r>
      <w:proofErr w:type="gramStart"/>
      <w:r w:rsidRPr="000C77A8">
        <w:rPr>
          <w:rFonts w:ascii="Verdana" w:eastAsia="Arial" w:hAnsi="Verdana" w:cs="Arial"/>
          <w:bCs/>
          <w:color w:val="000000" w:themeColor="text1"/>
        </w:rPr>
        <w:t>Alcaldes</w:t>
      </w:r>
      <w:proofErr w:type="gramEnd"/>
      <w:r w:rsidRPr="000C77A8">
        <w:rPr>
          <w:rFonts w:ascii="Verdana" w:eastAsia="Arial" w:hAnsi="Verdana" w:cs="Arial"/>
          <w:bCs/>
          <w:color w:val="000000" w:themeColor="text1"/>
        </w:rPr>
        <w:t xml:space="preserve">, Gobernadores, </w:t>
      </w:r>
      <w:proofErr w:type="gramStart"/>
      <w:r w:rsidRPr="000C77A8">
        <w:rPr>
          <w:rFonts w:ascii="Verdana" w:eastAsia="Arial" w:hAnsi="Verdana" w:cs="Arial"/>
          <w:bCs/>
          <w:color w:val="000000" w:themeColor="text1"/>
        </w:rPr>
        <w:t>Secretarios</w:t>
      </w:r>
      <w:proofErr w:type="gramEnd"/>
      <w:r w:rsidRPr="000C77A8">
        <w:rPr>
          <w:rFonts w:ascii="Verdana" w:eastAsia="Arial" w:hAnsi="Verdana" w:cs="Arial"/>
          <w:bCs/>
          <w:color w:val="000000" w:themeColor="text1"/>
        </w:rPr>
        <w:t xml:space="preserve">, Gerentes y </w:t>
      </w:r>
      <w:proofErr w:type="gramStart"/>
      <w:r w:rsidRPr="000C77A8">
        <w:rPr>
          <w:rFonts w:ascii="Verdana" w:eastAsia="Arial" w:hAnsi="Verdana" w:cs="Arial"/>
          <w:bCs/>
          <w:color w:val="000000" w:themeColor="text1"/>
        </w:rPr>
        <w:t>Directores</w:t>
      </w:r>
      <w:proofErr w:type="gramEnd"/>
      <w:r w:rsidRPr="000C77A8">
        <w:rPr>
          <w:rFonts w:ascii="Verdana" w:eastAsia="Arial" w:hAnsi="Verdana" w:cs="Arial"/>
          <w:bCs/>
          <w:color w:val="000000" w:themeColor="text1"/>
        </w:rPr>
        <w:t xml:space="preserve"> de las entidades del orden municipal, departamental o distrital</w:t>
      </w:r>
      <w:r>
        <w:rPr>
          <w:rFonts w:ascii="Verdana" w:eastAsia="Arial" w:hAnsi="Verdana" w:cs="Arial"/>
          <w:bCs/>
          <w:color w:val="000000" w:themeColor="text1"/>
        </w:rPr>
        <w:t>”; así como</w:t>
      </w:r>
      <w:r w:rsidRPr="000C77A8">
        <w:rPr>
          <w:rFonts w:ascii="Verdana" w:eastAsia="Arial" w:hAnsi="Verdana" w:cs="Arial"/>
          <w:bCs/>
          <w:color w:val="000000" w:themeColor="text1"/>
        </w:rPr>
        <w:t> </w:t>
      </w:r>
      <w:r>
        <w:rPr>
          <w:rFonts w:ascii="Verdana" w:eastAsia="Arial" w:hAnsi="Verdana" w:cs="Arial"/>
          <w:bCs/>
          <w:color w:val="000000" w:themeColor="text1"/>
          <w:lang w:val="es-ES"/>
        </w:rPr>
        <w:t xml:space="preserve">determinar si lo que pretende adelantar es un convenio interadministrativo para la ejecución de recursos públicos. Cuando este sea el caso, operará la restricción señalada en el parágrafo y estará prohibido llevar a cabo la contratación en los cuatro meses anteriores a cualquier </w:t>
      </w:r>
      <w:r>
        <w:rPr>
          <w:rFonts w:ascii="Verdana" w:eastAsia="Arial" w:hAnsi="Verdana" w:cs="Arial"/>
          <w:bCs/>
          <w:color w:val="000000" w:themeColor="text1"/>
          <w:lang w:val="es-ES"/>
        </w:rPr>
        <w:lastRenderedPageBreak/>
        <w:t xml:space="preserve">contienda electoral. Es importante resaltar que para esta prohibición la norma no contempló ninguna excepción, de modo que aplicará aunque se trate de entidades sanitarias u hospitalarias. </w:t>
      </w:r>
    </w:p>
    <w:p w14:paraId="57454845" w14:textId="77777777" w:rsidR="004C57D9" w:rsidRDefault="004C57D9" w:rsidP="004C57D9">
      <w:pPr>
        <w:spacing w:after="120" w:line="276" w:lineRule="auto"/>
        <w:ind w:firstLine="709"/>
        <w:jc w:val="both"/>
        <w:rPr>
          <w:rFonts w:ascii="Verdana" w:eastAsia="Arial" w:hAnsi="Verdana" w:cs="Arial"/>
          <w:bCs/>
          <w:color w:val="000000" w:themeColor="text1"/>
          <w:lang w:val="es-ES"/>
        </w:rPr>
      </w:pPr>
      <w:r>
        <w:rPr>
          <w:rFonts w:ascii="Verdana" w:eastAsia="Arial" w:hAnsi="Verdana" w:cs="Arial"/>
          <w:bCs/>
          <w:color w:val="000000" w:themeColor="text1"/>
          <w:lang w:val="es-ES"/>
        </w:rPr>
        <w:t>Sobre el tema de su consulta</w:t>
      </w:r>
      <w:r w:rsidRPr="00FC6F34">
        <w:rPr>
          <w:rFonts w:ascii="Verdana" w:eastAsia="Arial" w:hAnsi="Verdana" w:cs="Arial"/>
          <w:bCs/>
          <w:color w:val="000000" w:themeColor="text1"/>
          <w:lang w:val="es-ES"/>
        </w:rPr>
        <w:t xml:space="preserve">, mediante la Resolución 04 del 12 de </w:t>
      </w:r>
      <w:proofErr w:type="gramStart"/>
      <w:r w:rsidRPr="00FC6F34">
        <w:rPr>
          <w:rFonts w:ascii="Verdana" w:eastAsia="Arial" w:hAnsi="Verdana" w:cs="Arial"/>
          <w:bCs/>
          <w:color w:val="000000" w:themeColor="text1"/>
          <w:lang w:val="es-ES"/>
        </w:rPr>
        <w:t>Enero</w:t>
      </w:r>
      <w:proofErr w:type="gramEnd"/>
      <w:r w:rsidRPr="00FC6F34">
        <w:rPr>
          <w:rFonts w:ascii="Verdana" w:eastAsia="Arial" w:hAnsi="Verdana" w:cs="Arial"/>
          <w:bCs/>
          <w:color w:val="000000" w:themeColor="text1"/>
          <w:lang w:val="es-ES"/>
        </w:rPr>
        <w:t xml:space="preserve"> de 2018, el Ministerio de Salud y Protección Social dio “instrucciones para la ejecución de las acciones en salud pública en el marco de la Ley de Garantías electorales”. Respecto de la ejecución del Plan de Intervenciones Colectivas</w:t>
      </w:r>
      <w:r>
        <w:rPr>
          <w:rFonts w:ascii="Verdana" w:eastAsia="Arial" w:hAnsi="Verdana" w:cs="Arial"/>
          <w:bCs/>
          <w:color w:val="000000" w:themeColor="text1"/>
          <w:lang w:val="es-ES"/>
        </w:rPr>
        <w:t xml:space="preserve"> (PIC)</w:t>
      </w:r>
      <w:r w:rsidRPr="00FC6F34">
        <w:rPr>
          <w:rFonts w:ascii="Verdana" w:eastAsia="Arial" w:hAnsi="Verdana" w:cs="Arial"/>
          <w:bCs/>
          <w:color w:val="000000" w:themeColor="text1"/>
          <w:lang w:val="es-ES"/>
        </w:rPr>
        <w:t xml:space="preserve">, el Ministerio enfatizó que las entidades deben garantizar los tramites contractuales y la planeación para la continuidad del </w:t>
      </w:r>
      <w:r>
        <w:rPr>
          <w:rFonts w:ascii="Verdana" w:eastAsia="Arial" w:hAnsi="Verdana" w:cs="Arial"/>
          <w:bCs/>
          <w:color w:val="000000" w:themeColor="text1"/>
          <w:lang w:val="es-ES"/>
        </w:rPr>
        <w:t>programa</w:t>
      </w:r>
      <w:r w:rsidRPr="00FC6F34">
        <w:rPr>
          <w:rFonts w:ascii="Verdana" w:eastAsia="Arial" w:hAnsi="Verdana" w:cs="Arial"/>
          <w:bCs/>
          <w:color w:val="000000" w:themeColor="text1"/>
          <w:lang w:val="es-ES"/>
        </w:rPr>
        <w:t>. Además, señal</w:t>
      </w:r>
      <w:r>
        <w:rPr>
          <w:rFonts w:ascii="Verdana" w:eastAsia="Arial" w:hAnsi="Verdana" w:cs="Arial"/>
          <w:bCs/>
          <w:color w:val="000000" w:themeColor="text1"/>
          <w:lang w:val="es-ES"/>
        </w:rPr>
        <w:t>ó</w:t>
      </w:r>
      <w:r w:rsidRPr="00FC6F34">
        <w:rPr>
          <w:rFonts w:ascii="Verdana" w:eastAsia="Arial" w:hAnsi="Verdana" w:cs="Arial"/>
          <w:bCs/>
          <w:color w:val="000000" w:themeColor="text1"/>
          <w:lang w:val="es-ES"/>
        </w:rPr>
        <w:t xml:space="preserve"> que durante el periodo de prohibición del artículo 33 de la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 xml:space="preserve">ey 996 de 2005 “se exceptúan las acciones que </w:t>
      </w:r>
      <w:r>
        <w:rPr>
          <w:rFonts w:ascii="Verdana" w:eastAsia="Arial" w:hAnsi="Verdana" w:cs="Arial"/>
          <w:bCs/>
          <w:color w:val="000000" w:themeColor="text1"/>
          <w:lang w:val="es-ES"/>
        </w:rPr>
        <w:t>l</w:t>
      </w:r>
      <w:r w:rsidRPr="00FC6F34">
        <w:rPr>
          <w:rFonts w:ascii="Verdana" w:eastAsia="Arial" w:hAnsi="Verdana" w:cs="Arial"/>
          <w:bCs/>
          <w:color w:val="000000" w:themeColor="text1"/>
          <w:lang w:val="es-ES"/>
        </w:rPr>
        <w:t xml:space="preserve">a entidad territorial requiera contratar como entidad sanitaria” con el fin de no paralizar su funcionamiento o interrumpir la prestación de los servicios públicos de carácter esencial, con lo cual resalto la excepción aplicable a </w:t>
      </w:r>
      <w:r>
        <w:rPr>
          <w:rFonts w:ascii="Verdana" w:eastAsia="Arial" w:hAnsi="Verdana" w:cs="Arial"/>
          <w:bCs/>
          <w:color w:val="000000" w:themeColor="text1"/>
          <w:lang w:val="es-ES"/>
        </w:rPr>
        <w:t>estas entidades</w:t>
      </w:r>
      <w:r w:rsidRPr="00FC6F34">
        <w:rPr>
          <w:rFonts w:ascii="Verdana" w:eastAsia="Arial" w:hAnsi="Verdana" w:cs="Arial"/>
          <w:bCs/>
          <w:color w:val="000000" w:themeColor="text1"/>
          <w:lang w:val="es-ES"/>
        </w:rPr>
        <w:t>. Sobre esto último</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estableció como criterios para determinar </w:t>
      </w:r>
      <w:r>
        <w:rPr>
          <w:rFonts w:ascii="Verdana" w:eastAsia="Arial" w:hAnsi="Verdana" w:cs="Arial"/>
          <w:bCs/>
          <w:color w:val="000000" w:themeColor="text1"/>
          <w:lang w:val="es-ES"/>
        </w:rPr>
        <w:t>la aplicación de la</w:t>
      </w:r>
      <w:r w:rsidRPr="00FC6F34">
        <w:rPr>
          <w:rFonts w:ascii="Verdana" w:eastAsia="Arial" w:hAnsi="Verdana" w:cs="Arial"/>
          <w:bCs/>
          <w:color w:val="000000" w:themeColor="text1"/>
          <w:lang w:val="es-ES"/>
        </w:rPr>
        <w:t xml:space="preserve"> excepción en materia de salud: i) </w:t>
      </w:r>
      <w:r>
        <w:rPr>
          <w:rFonts w:ascii="Verdana" w:eastAsia="Arial" w:hAnsi="Verdana" w:cs="Arial"/>
          <w:bCs/>
          <w:color w:val="000000" w:themeColor="text1"/>
          <w:lang w:val="es-ES"/>
        </w:rPr>
        <w:t>q</w:t>
      </w:r>
      <w:r w:rsidRPr="00FC6F34">
        <w:rPr>
          <w:rFonts w:ascii="Verdana" w:eastAsia="Arial" w:hAnsi="Verdana" w:cs="Arial"/>
          <w:bCs/>
          <w:color w:val="000000" w:themeColor="text1"/>
          <w:lang w:val="es-ES"/>
        </w:rPr>
        <w:t xml:space="preserve">ue la contratación sea necesaria para solventar las eventuales situaciones de urgencia en salud, y </w:t>
      </w:r>
      <w:proofErr w:type="spellStart"/>
      <w:r w:rsidRPr="00FC6F34">
        <w:rPr>
          <w:rFonts w:ascii="Verdana" w:eastAsia="Arial" w:hAnsi="Verdana" w:cs="Arial"/>
          <w:bCs/>
          <w:color w:val="000000" w:themeColor="text1"/>
          <w:lang w:val="es-ES"/>
        </w:rPr>
        <w:t>ii</w:t>
      </w:r>
      <w:proofErr w:type="spellEnd"/>
      <w:r w:rsidRPr="00FC6F34">
        <w:rPr>
          <w:rFonts w:ascii="Verdana" w:eastAsia="Arial" w:hAnsi="Verdana" w:cs="Arial"/>
          <w:bCs/>
          <w:color w:val="000000" w:themeColor="text1"/>
          <w:lang w:val="es-ES"/>
        </w:rPr>
        <w:t xml:space="preserve">) que se refiera al cumplimiento de deberes de las entidades sanitarias y hospitalarias. Finalmente, resaltó que durante el periodo de prohibición es posible realizar adiciones y prórrogas a los contratos vigentes, en el marco de los principios de planeación, transparencia y responsabilidad. </w:t>
      </w:r>
    </w:p>
    <w:p w14:paraId="17F26532" w14:textId="77777777" w:rsidR="004C57D9" w:rsidRDefault="004C57D9" w:rsidP="004C57D9">
      <w:pPr>
        <w:spacing w:after="120" w:line="276" w:lineRule="auto"/>
        <w:ind w:firstLine="709"/>
        <w:jc w:val="both"/>
        <w:rPr>
          <w:rFonts w:ascii="Verdana" w:eastAsia="Times New Roman" w:hAnsi="Verdana" w:cs="Arial"/>
          <w:bCs/>
          <w:lang w:val="es-ES" w:eastAsia="es-CO"/>
        </w:rPr>
      </w:pPr>
      <w:r>
        <w:rPr>
          <w:rFonts w:ascii="Verdana" w:eastAsia="Arial" w:hAnsi="Verdana" w:cs="Arial"/>
          <w:bCs/>
          <w:color w:val="000000" w:themeColor="text1"/>
          <w:lang w:val="es-ES"/>
        </w:rPr>
        <w:t xml:space="preserve">Esto último es acorde con </w:t>
      </w:r>
      <w:r>
        <w:rPr>
          <w:rFonts w:ascii="Verdana" w:eastAsia="Times New Roman" w:hAnsi="Verdana" w:cs="Arial"/>
          <w:bCs/>
          <w:lang w:val="es-ES" w:eastAsia="es-CO"/>
        </w:rPr>
        <w:t xml:space="preserve">lo </w:t>
      </w:r>
      <w:r w:rsidRPr="00FC6F34">
        <w:rPr>
          <w:rFonts w:ascii="Verdana" w:eastAsia="Times New Roman" w:hAnsi="Verdana" w:cs="Arial"/>
          <w:bCs/>
          <w:lang w:val="es-ES" w:eastAsia="es-CO"/>
        </w:rPr>
        <w:t xml:space="preserve">manifestado </w:t>
      </w:r>
      <w:r>
        <w:rPr>
          <w:rFonts w:ascii="Verdana" w:eastAsia="Times New Roman" w:hAnsi="Verdana" w:cs="Arial"/>
          <w:bCs/>
          <w:lang w:val="es-ES" w:eastAsia="es-CO"/>
        </w:rPr>
        <w:t xml:space="preserve">por </w:t>
      </w:r>
      <w:r w:rsidRPr="00FC6F34">
        <w:rPr>
          <w:rFonts w:ascii="Verdana" w:eastAsia="Times New Roman" w:hAnsi="Verdana" w:cs="Arial"/>
          <w:bCs/>
          <w:lang w:val="es-ES" w:eastAsia="es-CO"/>
        </w:rPr>
        <w:t>esta Agencia,</w:t>
      </w:r>
      <w:r>
        <w:rPr>
          <w:rFonts w:ascii="Verdana" w:eastAsia="Times New Roman" w:hAnsi="Verdana" w:cs="Arial"/>
          <w:bCs/>
          <w:lang w:val="es-ES" w:eastAsia="es-CO"/>
        </w:rPr>
        <w:t xml:space="preserve"> en el sentido de que</w:t>
      </w:r>
      <w:r w:rsidRPr="00FC6F34">
        <w:rPr>
          <w:rFonts w:ascii="Verdana" w:eastAsia="Times New Roman" w:hAnsi="Verdana" w:cs="Arial"/>
          <w:bCs/>
          <w:lang w:val="es-ES" w:eastAsia="es-CO"/>
        </w:rPr>
        <w:t xml:space="preserve"> las prórrogas, modificaciones o adiciones de los contratos suscritos antes de la entrada en vigencia de las prohibiciones</w:t>
      </w:r>
      <w:r>
        <w:rPr>
          <w:rFonts w:ascii="Verdana" w:eastAsia="Times New Roman" w:hAnsi="Verdana" w:cs="Arial"/>
          <w:bCs/>
          <w:lang w:val="es-ES" w:eastAsia="es-CO"/>
        </w:rPr>
        <w:t xml:space="preserve"> del artículo 33 y el parágrafo del artículo 38</w:t>
      </w:r>
      <w:r w:rsidRPr="00FC6F34">
        <w:rPr>
          <w:rFonts w:ascii="Verdana" w:eastAsia="Times New Roman" w:hAnsi="Verdana" w:cs="Arial"/>
          <w:bCs/>
          <w:lang w:val="es-ES" w:eastAsia="es-CO"/>
        </w:rPr>
        <w:t>, así como la cesión de los mismos, pueden tener lugar en el período de aplicación de la Ley de Garantías Electorales, sin que ello haga nugatoria la restricción de la contratación directa y siempre que cumplan los principios de planeación, transparencia y responsabilidad</w:t>
      </w:r>
      <w:r w:rsidRPr="00FC6F34">
        <w:rPr>
          <w:rFonts w:ascii="Verdana" w:eastAsia="Times New Roman" w:hAnsi="Verdana" w:cs="Arial"/>
          <w:bCs/>
          <w:vertAlign w:val="superscript"/>
          <w:lang w:val="es-ES" w:eastAsia="es-CO"/>
        </w:rPr>
        <w:footnoteReference w:id="24"/>
      </w:r>
      <w:r w:rsidRPr="00FC6F34">
        <w:rPr>
          <w:rFonts w:ascii="Verdana" w:eastAsia="Times New Roman" w:hAnsi="Verdana" w:cs="Arial"/>
          <w:bCs/>
          <w:lang w:val="es-ES" w:eastAsia="es-CO"/>
        </w:rPr>
        <w:t xml:space="preserve">. Además, también es posible que contratos celebrados previamente se continúen ejecutando con normalidad y, en consecuencia, se realicen los pagos en las condiciones pactadas. </w:t>
      </w:r>
    </w:p>
    <w:p w14:paraId="4920F8BE" w14:textId="77777777" w:rsidR="004C57D9" w:rsidRDefault="004C57D9" w:rsidP="004C57D9">
      <w:pPr>
        <w:spacing w:after="120" w:line="276" w:lineRule="auto"/>
        <w:ind w:firstLine="709"/>
        <w:jc w:val="both"/>
        <w:rPr>
          <w:rFonts w:ascii="Verdana" w:eastAsia="Arial" w:hAnsi="Verdana" w:cs="Arial"/>
          <w:bCs/>
          <w:color w:val="000000" w:themeColor="text1"/>
        </w:rPr>
      </w:pPr>
      <w:r w:rsidRPr="00FF007A">
        <w:rPr>
          <w:rFonts w:ascii="Verdana" w:eastAsia="Calibri" w:hAnsi="Verdana" w:cs="Arial"/>
        </w:rPr>
        <w:t xml:space="preserve">En suma, corresponderá a cada entidad estatal, incluyendo a aquellas autorizadas para suscribir contratos en el marco de los Planes de Salud Pública de Intervenciones Colectivas, determinar la procedencia de celebrar un contrato </w:t>
      </w:r>
      <w:r w:rsidRPr="00FF007A">
        <w:rPr>
          <w:rFonts w:ascii="Verdana" w:eastAsia="Calibri" w:hAnsi="Verdana" w:cs="Arial"/>
        </w:rPr>
        <w:lastRenderedPageBreak/>
        <w:t>estatal específico, para lo cual deberán tener en cuenta las prohibiciones establecidas en materia contractual en la Ley de Garantías Electorales.</w:t>
      </w:r>
    </w:p>
    <w:p w14:paraId="10F3791A" w14:textId="77777777" w:rsidR="004C57D9" w:rsidRPr="006018C8" w:rsidRDefault="004C57D9" w:rsidP="004C57D9">
      <w:pPr>
        <w:spacing w:after="120" w:line="276" w:lineRule="auto"/>
        <w:ind w:firstLine="709"/>
        <w:jc w:val="both"/>
        <w:rPr>
          <w:rFonts w:ascii="Verdana" w:eastAsia="Arial" w:hAnsi="Verdana" w:cs="Arial"/>
          <w:bCs/>
          <w:color w:val="000000" w:themeColor="text1"/>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procedente la excepción, la entidad podrá realizar la contratación directa justificando las razones que avalan su procedencia</w:t>
      </w:r>
      <w:r w:rsidRPr="00FF007A">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 En cualquier caso, las entidades podrán considerar la posibilidad de adelantar modalidades distintas a la contratación directa o tipologías distintas a la c</w:t>
      </w:r>
      <w:r>
        <w:rPr>
          <w:rFonts w:ascii="Verdana" w:hAnsi="Verdana" w:cs="Arial"/>
          <w:lang w:eastAsia="es-CO"/>
        </w:rPr>
        <w:t>elebración de convenios</w:t>
      </w:r>
      <w:r w:rsidRPr="00FF007A">
        <w:rPr>
          <w:rFonts w:ascii="Verdana" w:hAnsi="Verdana" w:cs="Arial"/>
          <w:lang w:eastAsia="es-CO"/>
        </w:rPr>
        <w:t xml:space="preserve"> interadministrativ</w:t>
      </w:r>
      <w:r>
        <w:rPr>
          <w:rFonts w:ascii="Verdana" w:hAnsi="Verdana" w:cs="Arial"/>
          <w:lang w:eastAsia="es-CO"/>
        </w:rPr>
        <w:t>os</w:t>
      </w:r>
      <w:r w:rsidRPr="00FF007A">
        <w:rPr>
          <w:rFonts w:ascii="Verdana" w:hAnsi="Verdana" w:cs="Arial"/>
          <w:lang w:eastAsia="es-CO"/>
        </w:rPr>
        <w:t>, es decir, aquellas que no se encuentren restringidas por el artículo 33 o el parágrafo del artículo 38 de la Ley 996 de 2005.</w:t>
      </w:r>
    </w:p>
    <w:p w14:paraId="67799962" w14:textId="77777777" w:rsidR="004C57D9" w:rsidRPr="00E61635" w:rsidRDefault="004C57D9" w:rsidP="004C57D9">
      <w:pPr>
        <w:widowControl w:val="0"/>
        <w:autoSpaceDE w:val="0"/>
        <w:autoSpaceDN w:val="0"/>
        <w:spacing w:after="12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EFE349F" w14:textId="77777777" w:rsidR="004C57D9" w:rsidRPr="009D7FB4" w:rsidRDefault="004C57D9" w:rsidP="004C57D9">
      <w:pPr>
        <w:tabs>
          <w:tab w:val="left" w:pos="426"/>
          <w:tab w:val="left" w:pos="3402"/>
        </w:tabs>
        <w:spacing w:after="0" w:line="276" w:lineRule="auto"/>
        <w:ind w:firstLine="709"/>
        <w:jc w:val="both"/>
        <w:rPr>
          <w:rFonts w:ascii="Verdana" w:hAnsi="Verdana" w:cs="Arial"/>
          <w:bCs/>
          <w:color w:val="000000" w:themeColor="text1"/>
          <w:lang w:val="es-ES"/>
        </w:rPr>
      </w:pPr>
    </w:p>
    <w:p w14:paraId="39358071" w14:textId="77777777" w:rsidR="004C57D9" w:rsidRPr="00A869FE" w:rsidRDefault="004C57D9" w:rsidP="004C57D9">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Referencias normativas:</w:t>
      </w:r>
    </w:p>
    <w:p w14:paraId="548D503B" w14:textId="77777777" w:rsidR="004C57D9" w:rsidRPr="00A869FE" w:rsidRDefault="004C57D9" w:rsidP="004C57D9">
      <w:pPr>
        <w:widowControl w:val="0"/>
        <w:autoSpaceDE w:val="0"/>
        <w:autoSpaceDN w:val="0"/>
        <w:spacing w:after="0" w:line="276" w:lineRule="auto"/>
        <w:jc w:val="both"/>
        <w:rPr>
          <w:rFonts w:ascii="Verdana" w:hAnsi="Verdana" w:cs="Aria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57D9" w:rsidRPr="00A869FE" w14:paraId="43BD5541" w14:textId="77777777" w:rsidTr="005642F4">
        <w:trPr>
          <w:trHeight w:val="491"/>
          <w:jc w:val="center"/>
        </w:trPr>
        <w:tc>
          <w:tcPr>
            <w:tcW w:w="8647" w:type="dxa"/>
          </w:tcPr>
          <w:p w14:paraId="4C4BD7D3"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Constitución Política, artículo 127.</w:t>
            </w:r>
          </w:p>
          <w:p w14:paraId="14A3A52D"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Ley 80 de 1993, artículos 30 y 32.</w:t>
            </w:r>
          </w:p>
          <w:p w14:paraId="65047BEC"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Ley 100 de 1993: artículo 94 y 197</w:t>
            </w:r>
          </w:p>
          <w:p w14:paraId="7812FEFF" w14:textId="77777777" w:rsidR="004C57D9" w:rsidRPr="0092398D"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Ley 996 de 2005: artículos 33 y 38.</w:t>
            </w:r>
          </w:p>
          <w:p w14:paraId="0BCD7CEB"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Decreto 780 de 2016: artículo 2.8.8.1.1.3</w:t>
            </w:r>
          </w:p>
          <w:p w14:paraId="653DF5A5"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 xml:space="preserve">Consejo de Estado. Sala de Consulta y Servicio Civil. Concepto del 18 </w:t>
            </w:r>
            <w:r w:rsidRPr="00927B9F">
              <w:rPr>
                <w:rFonts w:ascii="Verdana" w:hAnsi="Verdana" w:cs="Arial"/>
              </w:rPr>
              <w:lastRenderedPageBreak/>
              <w:t>de febrero 2010. Rad. 11001-03-06-000-2010-00006-00 (1985). C.P. Enrique José Arboleda Perdomo.</w:t>
            </w:r>
          </w:p>
          <w:p w14:paraId="1505B693"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 xml:space="preserve">Consejo de Estado, Sección Primera. Sentencia de 3 de marzo de 2005, </w:t>
            </w:r>
            <w:proofErr w:type="spellStart"/>
            <w:r w:rsidRPr="00927B9F">
              <w:rPr>
                <w:rFonts w:ascii="Verdana" w:hAnsi="Verdana" w:cs="Arial"/>
              </w:rPr>
              <w:t>Exp</w:t>
            </w:r>
            <w:proofErr w:type="spellEnd"/>
            <w:r w:rsidRPr="00927B9F">
              <w:rPr>
                <w:rFonts w:ascii="Verdana" w:hAnsi="Verdana" w:cs="Arial"/>
              </w:rPr>
              <w:t xml:space="preserve">. 2004-00823-01(PI). </w:t>
            </w:r>
          </w:p>
          <w:p w14:paraId="1739F401"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Consejo de Estado, Sala de Consulta y Servicio Civil, Concepto de fecha 8 de mayo de 2018, No. 2382. C. P. Álvaro Namén Vargas.</w:t>
            </w:r>
          </w:p>
          <w:p w14:paraId="25529299"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Consejo de Estado. Sala de Consulta y Servicio Civil. Concepto del 02 de septiembre de 2013. Rad. 11001-03-06-000-2013-00412-00 (2168). C.P. Álvaro Namén Vargas.</w:t>
            </w:r>
          </w:p>
          <w:p w14:paraId="6BCEAEF4"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Consejo de Estado. Sala de Consulta y Servicio Civil. Concepto del 17 de febrero de 2015. C.P. William Zambrano Cetina. Radicación No. 11001-03-06-000-2015-00164-00(2269).</w:t>
            </w:r>
          </w:p>
          <w:p w14:paraId="731AA965" w14:textId="77777777" w:rsidR="004C57D9" w:rsidRPr="00927B9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Corte Constitucional. Sentencia C-1153 de 2005 M.P. Marco Gerardo Monroy Cabra.</w:t>
            </w:r>
          </w:p>
          <w:p w14:paraId="60E1711D" w14:textId="77777777" w:rsidR="004C57D9" w:rsidRPr="003905DF" w:rsidRDefault="004C57D9" w:rsidP="004C57D9">
            <w:pPr>
              <w:widowControl w:val="0"/>
              <w:numPr>
                <w:ilvl w:val="0"/>
                <w:numId w:val="3"/>
              </w:numPr>
              <w:autoSpaceDE w:val="0"/>
              <w:autoSpaceDN w:val="0"/>
              <w:spacing w:line="276" w:lineRule="auto"/>
              <w:jc w:val="both"/>
              <w:rPr>
                <w:rFonts w:ascii="Verdana" w:hAnsi="Verdana" w:cs="Arial"/>
              </w:rPr>
            </w:pPr>
            <w:r w:rsidRPr="00927B9F">
              <w:rPr>
                <w:rFonts w:ascii="Verdana" w:hAnsi="Verdana" w:cs="Arial"/>
              </w:rPr>
              <w:t xml:space="preserve">Ministerio de Salud y Protección Social, Resolución 04 del 12 de </w:t>
            </w:r>
            <w:proofErr w:type="gramStart"/>
            <w:r w:rsidRPr="00927B9F">
              <w:rPr>
                <w:rFonts w:ascii="Verdana" w:hAnsi="Verdana" w:cs="Arial"/>
              </w:rPr>
              <w:t>Enero</w:t>
            </w:r>
            <w:proofErr w:type="gramEnd"/>
            <w:r>
              <w:rPr>
                <w:rFonts w:ascii="Verdana" w:hAnsi="Verdana" w:cs="Arial"/>
              </w:rPr>
              <w:t xml:space="preserve"> </w:t>
            </w:r>
            <w:r w:rsidRPr="00927B9F">
              <w:rPr>
                <w:rFonts w:ascii="Verdana" w:hAnsi="Verdana" w:cs="Arial"/>
              </w:rPr>
              <w:t>de 2018.</w:t>
            </w:r>
          </w:p>
        </w:tc>
      </w:tr>
    </w:tbl>
    <w:p w14:paraId="517C71C8" w14:textId="77777777" w:rsidR="004C57D9" w:rsidRPr="00A47CF8" w:rsidRDefault="004C57D9" w:rsidP="004C57D9">
      <w:pPr>
        <w:widowControl w:val="0"/>
        <w:autoSpaceDE w:val="0"/>
        <w:autoSpaceDN w:val="0"/>
        <w:spacing w:after="0" w:line="276" w:lineRule="auto"/>
        <w:jc w:val="both"/>
        <w:rPr>
          <w:rFonts w:ascii="Verdana" w:hAnsi="Verdana" w:cs="Arial"/>
        </w:rPr>
      </w:pPr>
    </w:p>
    <w:p w14:paraId="2E25F753" w14:textId="77777777" w:rsidR="004C57D9" w:rsidRPr="00A47CF8" w:rsidRDefault="004C57D9" w:rsidP="004C57D9">
      <w:pPr>
        <w:numPr>
          <w:ilvl w:val="0"/>
          <w:numId w:val="2"/>
        </w:numPr>
        <w:tabs>
          <w:tab w:val="left" w:pos="142"/>
          <w:tab w:val="left" w:pos="284"/>
        </w:tabs>
        <w:spacing w:after="0" w:line="276" w:lineRule="auto"/>
        <w:jc w:val="both"/>
        <w:rPr>
          <w:rFonts w:ascii="Verdana" w:eastAsia="Century Gothic" w:hAnsi="Verdana" w:cs="Century Gothic"/>
          <w:b/>
          <w:bCs/>
        </w:rPr>
      </w:pPr>
      <w:r w:rsidRPr="00A47CF8">
        <w:rPr>
          <w:rFonts w:ascii="Verdana" w:eastAsia="Century Gothic" w:hAnsi="Verdana" w:cs="Century Gothic"/>
          <w:b/>
          <w:bCs/>
        </w:rPr>
        <w:t>Doctrina de la Agencia Nacional de Contratación Pública:</w:t>
      </w:r>
    </w:p>
    <w:p w14:paraId="018DF3B0" w14:textId="77777777" w:rsidR="004C57D9" w:rsidRPr="00A47CF8" w:rsidRDefault="004C57D9" w:rsidP="004C57D9">
      <w:pPr>
        <w:widowControl w:val="0"/>
        <w:autoSpaceDE w:val="0"/>
        <w:autoSpaceDN w:val="0"/>
        <w:spacing w:after="0" w:line="276" w:lineRule="auto"/>
        <w:jc w:val="both"/>
        <w:rPr>
          <w:rFonts w:ascii="Verdana" w:hAnsi="Verdana" w:cs="Arial"/>
        </w:rPr>
      </w:pPr>
    </w:p>
    <w:p w14:paraId="3DCA53D2" w14:textId="77777777" w:rsidR="004C57D9" w:rsidRPr="00A47CF8" w:rsidRDefault="004C57D9" w:rsidP="004C57D9">
      <w:pPr>
        <w:widowControl w:val="0"/>
        <w:autoSpaceDE w:val="0"/>
        <w:autoSpaceDN w:val="0"/>
        <w:spacing w:after="0" w:line="276" w:lineRule="auto"/>
        <w:jc w:val="both"/>
        <w:rPr>
          <w:rStyle w:val="normaltextrun"/>
          <w:rFonts w:ascii="Verdana" w:hAnsi="Verdana" w:cs="Arial"/>
          <w:shd w:val="clear" w:color="auto" w:fill="FFFFFF"/>
          <w:lang w:val="es-ES"/>
        </w:rPr>
      </w:pPr>
      <w:r w:rsidRPr="00A47CF8">
        <w:rPr>
          <w:rStyle w:val="normaltextrun"/>
          <w:rFonts w:ascii="Verdana" w:hAnsi="Verdana" w:cs="Arial"/>
          <w:shd w:val="clear" w:color="auto" w:fill="FFFFFF"/>
          <w:lang w:val="es-ES"/>
        </w:rPr>
        <w:t xml:space="preserve">Sobre la aplicación de la Ley de Garantías Electorales, esta Subdirección se ha pronunciado en los conceptos </w:t>
      </w:r>
      <w:r w:rsidRPr="00A47CF8">
        <w:rPr>
          <w:rFonts w:ascii="Verdana" w:hAnsi="Verdana" w:cs="Arial"/>
          <w:shd w:val="clear" w:color="auto" w:fill="FFFFFF"/>
          <w:lang w:val="es-ES"/>
        </w:rPr>
        <w:t xml:space="preserve">C-636 del 16 de noviembre de 2021, 681 del 7 de diciembre de 2021, C-686 del 21 de diciembre de 2021, C-1179 del 8 de abril de 2022, C-697 del 3 de enero de 2022, </w:t>
      </w:r>
      <w:r w:rsidRPr="00A47CF8">
        <w:rPr>
          <w:rStyle w:val="normaltextrun"/>
          <w:rFonts w:ascii="Verdana" w:hAnsi="Verdana" w:cs="Arial"/>
          <w:shd w:val="clear" w:color="auto" w:fill="FFFFFF"/>
          <w:lang w:val="es-ES"/>
        </w:rPr>
        <w:t xml:space="preserve">C-329 del 24 de mayo de 2022, </w:t>
      </w:r>
      <w:r w:rsidRPr="00A47CF8">
        <w:rPr>
          <w:rFonts w:ascii="Verdana" w:hAnsi="Verdana" w:cs="Arial"/>
          <w:shd w:val="clear" w:color="auto" w:fill="FFFFFF"/>
          <w:lang w:val="es-ES"/>
        </w:rPr>
        <w:t>C-180 del 21 de marzo de 2025, C-317 del 25 de abril de 2025, C-510 del 4 de junio de 2025, C-856 del 11 de agosto de 2025, C-979 del 25 de agosto del 2025, C-1124 del 18 de septiembre de 2025, C-066 del 26 de febrero de 2026, C-094 del 4 de marzo de 2026entre otros.</w:t>
      </w:r>
      <w:r w:rsidRPr="00A47CF8">
        <w:rPr>
          <w:rStyle w:val="normaltextrun"/>
          <w:rFonts w:ascii="Verdana" w:hAnsi="Verdana" w:cs="Arial"/>
          <w:shd w:val="clear" w:color="auto" w:fill="FFFFFF"/>
          <w:lang w:val="es-ES"/>
        </w:rPr>
        <w:t xml:space="preserve"> Es</w:t>
      </w:r>
      <w:r w:rsidRPr="00A47CF8">
        <w:rPr>
          <w:rFonts w:ascii="Verdana" w:hAnsi="Verdana"/>
        </w:rPr>
        <w:t>tos y otros conceptos se encuentran disponibles para consulta en el Sistema de relatoría de la Agencia, al cual se puede acceder a través del siguiente enlace:</w:t>
      </w:r>
      <w:r w:rsidRPr="00A47CF8">
        <w:rPr>
          <w:rStyle w:val="normaltextrun"/>
          <w:rFonts w:ascii="Verdana" w:hAnsi="Verdana" w:cs="Arial"/>
          <w:shd w:val="clear" w:color="auto" w:fill="FFFFFF"/>
          <w:lang w:val="es-ES"/>
        </w:rPr>
        <w:t xml:space="preserve"> </w:t>
      </w:r>
      <w:hyperlink r:id="rId12" w:history="1">
        <w:r w:rsidRPr="00A47CF8">
          <w:rPr>
            <w:rStyle w:val="Hipervnculo"/>
            <w:rFonts w:ascii="Verdana" w:hAnsi="Verdana" w:cs="Arial"/>
            <w:shd w:val="clear" w:color="auto" w:fill="FFFFFF"/>
            <w:lang w:val="es-ES"/>
          </w:rPr>
          <w:t>https://relatoria.colombiacompra.gov.co/busqueda/conceptos</w:t>
        </w:r>
      </w:hyperlink>
      <w:r w:rsidRPr="00A47CF8">
        <w:rPr>
          <w:rStyle w:val="normaltextrun"/>
          <w:rFonts w:ascii="Verdana" w:hAnsi="Verdana" w:cs="Arial"/>
          <w:color w:val="FF0000"/>
          <w:shd w:val="clear" w:color="auto" w:fill="FFFFFF"/>
          <w:lang w:val="es-ES"/>
        </w:rPr>
        <w:t xml:space="preserve">. </w:t>
      </w:r>
    </w:p>
    <w:p w14:paraId="15FE7190" w14:textId="77777777" w:rsidR="004C57D9" w:rsidRPr="00A47CF8" w:rsidRDefault="004C57D9" w:rsidP="004C57D9">
      <w:pPr>
        <w:widowControl w:val="0"/>
        <w:autoSpaceDE w:val="0"/>
        <w:autoSpaceDN w:val="0"/>
        <w:spacing w:after="0" w:line="276" w:lineRule="auto"/>
        <w:jc w:val="both"/>
        <w:rPr>
          <w:rFonts w:ascii="Verdana" w:hAnsi="Verdana" w:cs="Arial"/>
          <w:color w:val="FF0000"/>
          <w:shd w:val="clear" w:color="auto" w:fill="FFFFFF"/>
        </w:rPr>
      </w:pPr>
    </w:p>
    <w:bookmarkEnd w:id="1"/>
    <w:p w14:paraId="5D57712F" w14:textId="77777777" w:rsidR="004C57D9" w:rsidRPr="00A47CF8" w:rsidRDefault="004C57D9" w:rsidP="004C57D9">
      <w:pPr>
        <w:spacing w:after="0" w:line="276" w:lineRule="auto"/>
        <w:jc w:val="both"/>
        <w:rPr>
          <w:rFonts w:ascii="Verdana" w:hAnsi="Verdana"/>
        </w:rPr>
      </w:pPr>
      <w:r w:rsidRPr="00A47CF8">
        <w:rPr>
          <w:rFonts w:ascii="Verdana" w:hAnsi="Verdana"/>
        </w:rPr>
        <w:t xml:space="preserve">La sostenibilidad no es una opción, es una obligación. Por ello, la Agencia Nacional de Contratación Pública –Colombia Compra Eficiente– te invita a realizar el </w:t>
      </w:r>
      <w:r w:rsidRPr="00A47CF8">
        <w:rPr>
          <w:rFonts w:ascii="Verdana" w:hAnsi="Verdana"/>
          <w:b/>
          <w:bCs/>
        </w:rPr>
        <w:t>Curso de Contratación Pública Sostenible y Socialmente Responsable</w:t>
      </w:r>
      <w:r w:rsidRPr="00A47CF8">
        <w:rPr>
          <w:rFonts w:ascii="Verdana" w:hAnsi="Verdana"/>
        </w:rPr>
        <w:t xml:space="preserve">, una herramienta clave para fortalecer las capacidades de todos los compradores públicos, proveedores, servidores públicos v para generar mayor valor público. Accede al curso y aprende como implementar criterios </w:t>
      </w:r>
      <w:r w:rsidRPr="00A47CF8">
        <w:rPr>
          <w:rFonts w:ascii="Verdana" w:hAnsi="Verdana"/>
        </w:rPr>
        <w:lastRenderedPageBreak/>
        <w:t>sociales y ambientales en las diferentes etapas del proceso de contratación:</w:t>
      </w:r>
      <w:r w:rsidRPr="00A47CF8">
        <w:rPr>
          <w:rFonts w:ascii="Verdana" w:hAnsi="Verdana"/>
        </w:rPr>
        <w:br/>
      </w:r>
      <w:hyperlink r:id="rId13" w:tgtFrame="_new" w:history="1">
        <w:r w:rsidRPr="00A47CF8">
          <w:rPr>
            <w:rFonts w:ascii="Verdana" w:hAnsi="Verdana"/>
            <w:color w:val="0000FF"/>
            <w:u w:val="single"/>
          </w:rPr>
          <w:t>https://formacionvirtual.colombiacompra.gov.co/mod/page/view.php?id=3718</w:t>
        </w:r>
      </w:hyperlink>
    </w:p>
    <w:p w14:paraId="7E9E0A09" w14:textId="77777777" w:rsidR="004C57D9" w:rsidRDefault="004C57D9" w:rsidP="004C57D9">
      <w:pPr>
        <w:spacing w:after="0" w:line="276" w:lineRule="auto"/>
        <w:jc w:val="both"/>
        <w:rPr>
          <w:rFonts w:ascii="Verdana" w:hAnsi="Verdana"/>
          <w:color w:val="0000FF"/>
          <w:u w:val="single"/>
        </w:rPr>
      </w:pPr>
      <w:r w:rsidRPr="00A47CF8">
        <w:rPr>
          <w:rFonts w:ascii="Verdana" w:hAnsi="Verdana"/>
        </w:rPr>
        <w:t xml:space="preserve">De otro lado, te contamos que esta Agencia ha da un paso decisivo en la estandarización y modernización del </w:t>
      </w:r>
      <w:r w:rsidRPr="00A47CF8">
        <w:rPr>
          <w:rFonts w:ascii="Verdana" w:hAnsi="Verdana"/>
          <w:b/>
          <w:bCs/>
        </w:rPr>
        <w:t>sector  social</w:t>
      </w:r>
      <w:r w:rsidRPr="00A47CF8">
        <w:rPr>
          <w:rFonts w:ascii="Verdana" w:hAnsi="Verdana"/>
        </w:rPr>
        <w:t xml:space="preserve"> con la expedición de las </w:t>
      </w:r>
      <w:r w:rsidRPr="00A47CF8">
        <w:rPr>
          <w:rFonts w:ascii="Verdana" w:hAnsi="Verdana"/>
          <w:b/>
          <w:bCs/>
        </w:rPr>
        <w:t>Resoluciones 539, 540, 541, 952 y 953 de 2025</w:t>
      </w:r>
      <w:r w:rsidRPr="00A47CF8">
        <w:rPr>
          <w:rFonts w:ascii="Verdana" w:hAnsi="Verdana"/>
        </w:rPr>
        <w:t xml:space="preserve">, </w:t>
      </w:r>
      <w:r w:rsidRPr="00A47CF8">
        <w:rPr>
          <w:rFonts w:ascii="Verdana" w:hAnsi="Verdana"/>
          <w:b/>
          <w:bCs/>
        </w:rPr>
        <w:t>mediante las cuales adoptó Documentos Tipo</w:t>
      </w:r>
      <w:r w:rsidRPr="00A47CF8">
        <w:rPr>
          <w:rFonts w:ascii="Verdana" w:hAnsi="Verdana"/>
        </w:rPr>
        <w:t xml:space="preserve"> para las modalidades de selección de</w:t>
      </w:r>
      <w:r w:rsidRPr="00A47CF8">
        <w:rPr>
          <w:rFonts w:ascii="Verdana" w:hAnsi="Verdana"/>
          <w:b/>
          <w:bCs/>
        </w:rPr>
        <w:t xml:space="preserve"> licitación pública (versión 2), selección abreviada de menor cuantía, mínima cuantía, consultoría e interventoría</w:t>
      </w:r>
      <w:r w:rsidRPr="00A47CF8">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A47CF8">
          <w:rPr>
            <w:rFonts w:ascii="Verdana" w:hAnsi="Verdana"/>
            <w:color w:val="0000FF"/>
            <w:u w:val="single"/>
          </w:rPr>
          <w:t>https://www.colombiacompra.gov.co/normativa-y-relatoria/documentos-tipo</w:t>
        </w:r>
      </w:hyperlink>
    </w:p>
    <w:p w14:paraId="0FF4060A" w14:textId="77777777" w:rsidR="004C57D9" w:rsidRPr="00A47CF8" w:rsidRDefault="004C57D9" w:rsidP="004C57D9">
      <w:pPr>
        <w:spacing w:after="0" w:line="276" w:lineRule="auto"/>
        <w:jc w:val="both"/>
        <w:rPr>
          <w:rFonts w:ascii="Verdana" w:hAnsi="Verdana"/>
        </w:rPr>
      </w:pPr>
    </w:p>
    <w:p w14:paraId="1F987065" w14:textId="77777777" w:rsidR="004C57D9" w:rsidRDefault="004C57D9" w:rsidP="004C57D9">
      <w:pPr>
        <w:spacing w:after="0" w:line="276" w:lineRule="auto"/>
        <w:jc w:val="both"/>
        <w:rPr>
          <w:rFonts w:ascii="Verdana" w:hAnsi="Verdana"/>
          <w:color w:val="0000FF"/>
          <w:u w:val="single"/>
        </w:rPr>
      </w:pPr>
      <w:r w:rsidRPr="00A47CF8">
        <w:rPr>
          <w:rFonts w:ascii="Verdana" w:hAnsi="Verdana"/>
        </w:rPr>
        <w:t xml:space="preserve">Si quieres conocer más sobre la aplicación de Documentos Tipo puedes consultar la última versión de la </w:t>
      </w:r>
      <w:r w:rsidRPr="00A47CF8">
        <w:rPr>
          <w:rFonts w:ascii="Verdana" w:hAnsi="Verdana"/>
          <w:b/>
          <w:bCs/>
        </w:rPr>
        <w:t>Guía para la comprensión e implementación de los Documentos Tipo de obra pública de infraestructura de transporte</w:t>
      </w:r>
      <w:r w:rsidRPr="00A47CF8">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A47CF8">
        <w:rPr>
          <w:rFonts w:ascii="Verdana" w:hAnsi="Verdana"/>
        </w:rPr>
        <w:br/>
      </w:r>
      <w:hyperlink r:id="rId15" w:tgtFrame="_new" w:history="1">
        <w:r w:rsidRPr="00A47CF8">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361CA676" w14:textId="77777777" w:rsidR="004C57D9" w:rsidRPr="00A47CF8" w:rsidRDefault="004C57D9" w:rsidP="004C57D9">
      <w:pPr>
        <w:spacing w:after="0" w:line="276" w:lineRule="auto"/>
        <w:jc w:val="both"/>
        <w:rPr>
          <w:rFonts w:ascii="Verdana" w:hAnsi="Verdana"/>
          <w:color w:val="000000"/>
          <w:lang w:val="es-ES_tradnl"/>
        </w:rPr>
      </w:pPr>
    </w:p>
    <w:p w14:paraId="042AD98F" w14:textId="77777777" w:rsidR="004C57D9" w:rsidRPr="00A47CF8" w:rsidRDefault="004C57D9" w:rsidP="004C57D9">
      <w:pPr>
        <w:spacing w:after="0" w:line="276" w:lineRule="auto"/>
        <w:jc w:val="both"/>
        <w:rPr>
          <w:rFonts w:ascii="Verdana" w:hAnsi="Verdana"/>
        </w:rPr>
      </w:pPr>
      <w:r w:rsidRPr="00A47CF8">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AE8EA82" w14:textId="77777777" w:rsidR="004C57D9" w:rsidRPr="00A47CF8" w:rsidRDefault="004C57D9" w:rsidP="004C57D9">
      <w:pPr>
        <w:spacing w:after="0" w:line="276" w:lineRule="auto"/>
        <w:jc w:val="both"/>
        <w:rPr>
          <w:rFonts w:ascii="Verdana" w:hAnsi="Verdana"/>
        </w:rPr>
      </w:pPr>
    </w:p>
    <w:p w14:paraId="547979D5" w14:textId="77777777" w:rsidR="004C57D9" w:rsidRPr="00A47CF8" w:rsidRDefault="004C57D9" w:rsidP="004C57D9">
      <w:pPr>
        <w:numPr>
          <w:ilvl w:val="0"/>
          <w:numId w:val="1"/>
        </w:numPr>
        <w:spacing w:after="0" w:line="276" w:lineRule="auto"/>
        <w:contextualSpacing/>
        <w:jc w:val="both"/>
        <w:rPr>
          <w:rFonts w:ascii="Verdana" w:eastAsia="Verdana" w:hAnsi="Verdana" w:cs="Verdana"/>
          <w:color w:val="4472C4" w:themeColor="accent1"/>
          <w:u w:val="single"/>
          <w:lang w:val="es-MX"/>
        </w:rPr>
      </w:pPr>
      <w:r w:rsidRPr="00A47CF8">
        <w:rPr>
          <w:rFonts w:ascii="Verdana" w:eastAsia="Verdana" w:hAnsi="Verdana" w:cs="Verdana"/>
          <w:lang w:val="es-MX"/>
        </w:rPr>
        <w:t xml:space="preserve">Línea nacional gratuita o servicio a la ciudadanía (Mesa de servicio): </w:t>
      </w:r>
      <w:r w:rsidRPr="00A47CF8">
        <w:rPr>
          <w:rFonts w:ascii="Verdana" w:hAnsi="Verdana"/>
          <w:color w:val="0000FF"/>
          <w:u w:val="single"/>
          <w:lang w:val="es-ES"/>
        </w:rPr>
        <w:t>01800 0520808</w:t>
      </w:r>
    </w:p>
    <w:p w14:paraId="5343BCEA" w14:textId="77777777" w:rsidR="004C57D9" w:rsidRPr="00A47CF8" w:rsidRDefault="004C57D9" w:rsidP="004C57D9">
      <w:pPr>
        <w:numPr>
          <w:ilvl w:val="0"/>
          <w:numId w:val="1"/>
        </w:numPr>
        <w:spacing w:after="0" w:line="276" w:lineRule="auto"/>
        <w:contextualSpacing/>
        <w:rPr>
          <w:rFonts w:ascii="Verdana" w:eastAsia="Verdana" w:hAnsi="Verdana" w:cs="Verdana"/>
          <w:color w:val="4472C4" w:themeColor="accent1"/>
          <w:u w:val="single"/>
          <w:lang w:val="es-MX"/>
        </w:rPr>
      </w:pPr>
      <w:r w:rsidRPr="00A47CF8">
        <w:rPr>
          <w:rFonts w:ascii="Verdana" w:eastAsia="Verdana" w:hAnsi="Verdana" w:cs="Verdana"/>
          <w:lang w:val="es-MX"/>
        </w:rPr>
        <w:t>Línea en Bogotá (Mesa de servicio</w:t>
      </w:r>
      <w:proofErr w:type="gramStart"/>
      <w:r w:rsidRPr="00A47CF8">
        <w:rPr>
          <w:rFonts w:ascii="Verdana" w:eastAsia="Verdana" w:hAnsi="Verdana" w:cs="Verdana"/>
          <w:lang w:val="es-MX"/>
        </w:rPr>
        <w:t>):</w:t>
      </w:r>
      <w:r w:rsidRPr="00A47CF8">
        <w:rPr>
          <w:rFonts w:ascii="Verdana" w:hAnsi="Verdana"/>
          <w:color w:val="0000FF"/>
          <w:u w:val="single"/>
          <w:lang w:val="es-ES"/>
        </w:rPr>
        <w:t>+</w:t>
      </w:r>
      <w:proofErr w:type="gramEnd"/>
      <w:r w:rsidRPr="00A47CF8">
        <w:rPr>
          <w:rFonts w:ascii="Verdana" w:hAnsi="Verdana"/>
          <w:color w:val="0000FF"/>
          <w:u w:val="single"/>
          <w:lang w:val="es-ES"/>
        </w:rPr>
        <w:t>57 601 7456788</w:t>
      </w:r>
    </w:p>
    <w:p w14:paraId="68B3435C" w14:textId="77777777" w:rsidR="004C57D9" w:rsidRPr="00A47CF8" w:rsidRDefault="004C57D9" w:rsidP="004C57D9">
      <w:pPr>
        <w:numPr>
          <w:ilvl w:val="0"/>
          <w:numId w:val="1"/>
        </w:numPr>
        <w:spacing w:after="0" w:line="276" w:lineRule="auto"/>
        <w:contextualSpacing/>
        <w:rPr>
          <w:rFonts w:ascii="Verdana" w:eastAsia="Verdana" w:hAnsi="Verdana" w:cs="Verdana"/>
          <w:color w:val="0000FF"/>
          <w:u w:val="single"/>
          <w:lang w:val="es-MX"/>
        </w:rPr>
      </w:pPr>
      <w:r w:rsidRPr="00A47CF8">
        <w:rPr>
          <w:rFonts w:ascii="Verdana" w:eastAsia="Verdana" w:hAnsi="Verdana" w:cs="Verdana"/>
          <w:lang w:val="es-MX"/>
        </w:rPr>
        <w:t xml:space="preserve">Correo de radicación de correspondencia: </w:t>
      </w:r>
      <w:hyperlink r:id="rId16" w:history="1">
        <w:r w:rsidRPr="00A47CF8">
          <w:rPr>
            <w:rFonts w:ascii="Verdana" w:eastAsia="Verdana" w:hAnsi="Verdana" w:cs="Verdana"/>
            <w:color w:val="0000FF"/>
            <w:u w:val="single"/>
            <w:lang w:val="es-MX"/>
          </w:rPr>
          <w:t>ventanilladeradicacion@colombiacompra.gov.co</w:t>
        </w:r>
      </w:hyperlink>
    </w:p>
    <w:p w14:paraId="402BFEE8" w14:textId="77777777" w:rsidR="004C57D9" w:rsidRPr="00A47CF8" w:rsidRDefault="004C57D9" w:rsidP="004C57D9">
      <w:pPr>
        <w:numPr>
          <w:ilvl w:val="0"/>
          <w:numId w:val="1"/>
        </w:numPr>
        <w:spacing w:after="0" w:line="276" w:lineRule="auto"/>
        <w:contextualSpacing/>
        <w:rPr>
          <w:rFonts w:ascii="Verdana" w:eastAsia="Verdana" w:hAnsi="Verdana" w:cs="Verdana"/>
          <w:color w:val="0000FF"/>
          <w:u w:val="single"/>
          <w:lang w:val="es-MX"/>
        </w:rPr>
      </w:pPr>
      <w:r w:rsidRPr="00A47CF8">
        <w:rPr>
          <w:rFonts w:ascii="Verdana" w:eastAsia="Verdana" w:hAnsi="Verdana" w:cs="Verdana"/>
          <w:lang w:val="es-ES"/>
        </w:rPr>
        <w:lastRenderedPageBreak/>
        <w:t xml:space="preserve">Formulario web para PQRSD: </w:t>
      </w:r>
      <w:hyperlink r:id="rId17" w:history="1">
        <w:r w:rsidRPr="00A47CF8">
          <w:rPr>
            <w:rFonts w:ascii="Verdana" w:eastAsia="Verdana" w:hAnsi="Verdana" w:cs="Verdana"/>
            <w:color w:val="0000FF"/>
            <w:u w:val="single"/>
            <w:lang w:val="es-MX"/>
          </w:rPr>
          <w:t>https://www.colombiacompra.gov.co/pqrsd/informacion-importante-antes-de-formular-una-pqrsd</w:t>
        </w:r>
      </w:hyperlink>
    </w:p>
    <w:p w14:paraId="72DEE5FE" w14:textId="77777777" w:rsidR="004C57D9" w:rsidRPr="00A47CF8" w:rsidRDefault="004C57D9" w:rsidP="004C57D9">
      <w:pPr>
        <w:spacing w:after="0" w:line="276" w:lineRule="auto"/>
        <w:ind w:left="720"/>
        <w:jc w:val="both"/>
        <w:rPr>
          <w:rFonts w:ascii="Verdana" w:hAnsi="Verdana"/>
        </w:rPr>
      </w:pPr>
    </w:p>
    <w:p w14:paraId="6C2A27B3" w14:textId="77777777" w:rsidR="004C57D9" w:rsidRPr="00A47CF8" w:rsidRDefault="004C57D9" w:rsidP="004C57D9">
      <w:pPr>
        <w:spacing w:after="0" w:line="276" w:lineRule="auto"/>
        <w:rPr>
          <w:rFonts w:ascii="Verdana" w:hAnsi="Verdana"/>
        </w:rPr>
      </w:pPr>
      <w:r w:rsidRPr="00A47CF8">
        <w:rPr>
          <w:rFonts w:ascii="Verdana" w:hAnsi="Verdana"/>
        </w:rPr>
        <w:t xml:space="preserve">Evalúa el servicio que ofrece la Agencia por el canal de atención de PQRSD en el siguiente </w:t>
      </w:r>
      <w:proofErr w:type="gramStart"/>
      <w:r w:rsidRPr="00A47CF8">
        <w:rPr>
          <w:rFonts w:ascii="Verdana" w:hAnsi="Verdana"/>
        </w:rPr>
        <w:t>enlace :</w:t>
      </w:r>
      <w:proofErr w:type="gramEnd"/>
      <w:hyperlink r:id="rId18" w:tgtFrame="_blank" w:tooltip="https://forms.office.com/r/pphywvs2sz" w:history="1">
        <w:r w:rsidRPr="00A47CF8">
          <w:rPr>
            <w:rFonts w:ascii="Verdana" w:hAnsi="Verdana"/>
            <w:color w:val="0000FF"/>
            <w:u w:val="single"/>
          </w:rPr>
          <w:t>https://forms.office.com/r/pPHyWVs2SZ</w:t>
        </w:r>
      </w:hyperlink>
      <w:r w:rsidRPr="00A47CF8">
        <w:rPr>
          <w:rFonts w:ascii="Verdana" w:hAnsi="Verdana"/>
        </w:rPr>
        <w:t xml:space="preserve"> .¡Ayúdanos a mejorar porque el compromiso es de todos!</w:t>
      </w:r>
    </w:p>
    <w:p w14:paraId="2841E38F" w14:textId="77777777" w:rsidR="004C57D9" w:rsidRPr="00A47CF8" w:rsidRDefault="004C57D9" w:rsidP="004C57D9">
      <w:pPr>
        <w:spacing w:after="0" w:line="276" w:lineRule="auto"/>
        <w:rPr>
          <w:rFonts w:ascii="Verdana" w:hAnsi="Verdana"/>
        </w:rPr>
      </w:pPr>
    </w:p>
    <w:p w14:paraId="02C39D39" w14:textId="77777777" w:rsidR="004C57D9" w:rsidRPr="00A47CF8" w:rsidRDefault="004C57D9" w:rsidP="004C57D9">
      <w:pPr>
        <w:spacing w:after="0" w:line="276" w:lineRule="auto"/>
        <w:jc w:val="both"/>
        <w:rPr>
          <w:rFonts w:ascii="Verdana" w:hAnsi="Verdana"/>
        </w:rPr>
      </w:pPr>
      <w:r w:rsidRPr="00A47CF8">
        <w:rPr>
          <w:rFonts w:ascii="Verdana" w:hAnsi="Verdana"/>
        </w:rPr>
        <w:t xml:space="preserve">Por último, lo invitamos a seguirnos en las redes sociales en las cuales se difunde información institucional: </w:t>
      </w:r>
    </w:p>
    <w:p w14:paraId="257356FF" w14:textId="77777777" w:rsidR="004C57D9" w:rsidRPr="00A47CF8" w:rsidRDefault="004C57D9" w:rsidP="004C57D9">
      <w:pPr>
        <w:spacing w:after="0" w:line="276" w:lineRule="auto"/>
        <w:jc w:val="both"/>
        <w:rPr>
          <w:rFonts w:ascii="Verdana" w:hAnsi="Verdana"/>
        </w:rPr>
      </w:pPr>
    </w:p>
    <w:p w14:paraId="54DD2C76" w14:textId="77777777" w:rsidR="004C57D9" w:rsidRPr="004F3256" w:rsidRDefault="004C57D9" w:rsidP="004C57D9">
      <w:pPr>
        <w:spacing w:after="0" w:line="276" w:lineRule="auto"/>
        <w:jc w:val="both"/>
        <w:rPr>
          <w:rFonts w:ascii="Verdana" w:hAnsi="Verdana"/>
        </w:rPr>
      </w:pPr>
      <w:r w:rsidRPr="004F3256">
        <w:rPr>
          <w:rFonts w:ascii="Verdana" w:hAnsi="Verdana"/>
        </w:rPr>
        <w:t xml:space="preserve">Twitter: </w:t>
      </w:r>
      <w:r w:rsidRPr="004F3256">
        <w:rPr>
          <w:rFonts w:ascii="Verdana" w:hAnsi="Verdana"/>
          <w:color w:val="0000FF"/>
          <w:u w:val="single"/>
        </w:rPr>
        <w:t>@colombiacompra</w:t>
      </w:r>
      <w:r w:rsidRPr="004F3256">
        <w:rPr>
          <w:rFonts w:ascii="Verdana" w:hAnsi="Verdana"/>
        </w:rPr>
        <w:t xml:space="preserve"> </w:t>
      </w:r>
    </w:p>
    <w:p w14:paraId="43FF81B6" w14:textId="77777777" w:rsidR="004C57D9" w:rsidRPr="004F3256" w:rsidRDefault="004C57D9" w:rsidP="004C57D9">
      <w:pPr>
        <w:spacing w:after="0" w:line="276" w:lineRule="auto"/>
        <w:jc w:val="both"/>
        <w:rPr>
          <w:rFonts w:ascii="Verdana" w:hAnsi="Verdana"/>
        </w:rPr>
      </w:pPr>
      <w:r w:rsidRPr="004F3256">
        <w:rPr>
          <w:rFonts w:ascii="Verdana" w:hAnsi="Verdana"/>
        </w:rPr>
        <w:t xml:space="preserve">Facebook: </w:t>
      </w:r>
      <w:proofErr w:type="spellStart"/>
      <w:r w:rsidRPr="004F3256">
        <w:rPr>
          <w:rFonts w:ascii="Verdana" w:hAnsi="Verdana"/>
          <w:color w:val="0000FF"/>
          <w:u w:val="single"/>
        </w:rPr>
        <w:t>ColombiaCompraEficiente</w:t>
      </w:r>
      <w:proofErr w:type="spellEnd"/>
    </w:p>
    <w:p w14:paraId="3C1FEA99" w14:textId="77777777" w:rsidR="004C57D9" w:rsidRPr="004F3256" w:rsidRDefault="004C57D9" w:rsidP="004C57D9">
      <w:pPr>
        <w:spacing w:after="0" w:line="276" w:lineRule="auto"/>
        <w:jc w:val="both"/>
        <w:rPr>
          <w:rFonts w:ascii="Verdana" w:hAnsi="Verdana"/>
        </w:rPr>
      </w:pPr>
      <w:r w:rsidRPr="004F3256">
        <w:rPr>
          <w:rFonts w:ascii="Verdana" w:hAnsi="Verdana"/>
        </w:rPr>
        <w:t xml:space="preserve">LinkedIn: </w:t>
      </w:r>
      <w:r w:rsidRPr="004F3256">
        <w:rPr>
          <w:rFonts w:ascii="Verdana" w:hAnsi="Verdana"/>
          <w:color w:val="0000FF"/>
          <w:u w:val="single"/>
        </w:rPr>
        <w:t>Agencia Nacional de Contratación Pública - Colombia Compra Eficiente</w:t>
      </w:r>
      <w:r w:rsidRPr="004F3256">
        <w:rPr>
          <w:rFonts w:ascii="Verdana" w:hAnsi="Verdana"/>
        </w:rPr>
        <w:t xml:space="preserve"> Instagram: </w:t>
      </w:r>
      <w:r w:rsidRPr="004F3256">
        <w:rPr>
          <w:rFonts w:ascii="Verdana" w:hAnsi="Verdana"/>
          <w:color w:val="0000FF"/>
          <w:u w:val="single"/>
        </w:rPr>
        <w:t>@colombiacompraeficiente_cce</w:t>
      </w:r>
    </w:p>
    <w:p w14:paraId="2F77D45D" w14:textId="77777777" w:rsidR="004C57D9" w:rsidRPr="009B7987" w:rsidRDefault="004C57D9" w:rsidP="004C57D9">
      <w:pPr>
        <w:widowControl w:val="0"/>
        <w:autoSpaceDE w:val="0"/>
        <w:autoSpaceDN w:val="0"/>
        <w:spacing w:after="0" w:line="276" w:lineRule="auto"/>
        <w:jc w:val="both"/>
        <w:rPr>
          <w:rFonts w:ascii="Verdana" w:eastAsia="Calibri" w:hAnsi="Verdana" w:cs="Arial"/>
          <w:color w:val="000000" w:themeColor="text1"/>
        </w:rPr>
      </w:pPr>
    </w:p>
    <w:p w14:paraId="231AB307" w14:textId="77777777" w:rsidR="004C57D9" w:rsidRPr="009B7987" w:rsidRDefault="004C57D9" w:rsidP="004C57D9">
      <w:pPr>
        <w:widowControl w:val="0"/>
        <w:autoSpaceDE w:val="0"/>
        <w:autoSpaceDN w:val="0"/>
        <w:spacing w:after="0" w:line="276" w:lineRule="auto"/>
        <w:jc w:val="both"/>
        <w:rPr>
          <w:rFonts w:ascii="Verdana" w:hAnsi="Verdana" w:cs="Arial"/>
        </w:rPr>
      </w:pPr>
      <w:r w:rsidRPr="009B798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252D2B5" w14:textId="77777777" w:rsidR="004C57D9" w:rsidRPr="009B7987" w:rsidRDefault="004C57D9" w:rsidP="004C57D9">
      <w:pPr>
        <w:widowControl w:val="0"/>
        <w:autoSpaceDE w:val="0"/>
        <w:autoSpaceDN w:val="0"/>
        <w:spacing w:after="0" w:line="276" w:lineRule="auto"/>
        <w:jc w:val="both"/>
        <w:rPr>
          <w:rFonts w:ascii="Verdana" w:hAnsi="Verdana" w:cs="Arial"/>
        </w:rPr>
      </w:pPr>
    </w:p>
    <w:p w14:paraId="4E6A4850" w14:textId="77777777" w:rsidR="004C57D9" w:rsidRPr="009B7987" w:rsidRDefault="004C57D9" w:rsidP="004C57D9">
      <w:pPr>
        <w:spacing w:after="0" w:line="276" w:lineRule="auto"/>
        <w:rPr>
          <w:rFonts w:ascii="Verdana" w:hAnsi="Verdana" w:cs="Arial"/>
          <w:lang w:eastAsia="es-CO"/>
        </w:rPr>
      </w:pPr>
      <w:r w:rsidRPr="009B7987">
        <w:rPr>
          <w:rFonts w:ascii="Verdana" w:eastAsia="Times New Roman" w:hAnsi="Verdana" w:cs="Arial"/>
          <w:lang w:eastAsia="es-CO"/>
        </w:rPr>
        <w:t>Atentamente,</w:t>
      </w:r>
      <w:r w:rsidRPr="009B7987">
        <w:rPr>
          <w:rFonts w:ascii="Verdana" w:hAnsi="Verdana" w:cs="Arial"/>
          <w:lang w:eastAsia="es-CO"/>
        </w:rPr>
        <w:t xml:space="preserve"> </w:t>
      </w:r>
    </w:p>
    <w:p w14:paraId="5E6507BE" w14:textId="58CF0E8C" w:rsidR="004C57D9" w:rsidRPr="009B7987" w:rsidRDefault="0085308D" w:rsidP="004C57D9">
      <w:pPr>
        <w:spacing w:line="276" w:lineRule="auto"/>
        <w:jc w:val="center"/>
        <w:rPr>
          <w:rFonts w:ascii="Verdana" w:hAnsi="Verdana" w:cs="Arial"/>
          <w:color w:val="000000"/>
          <w:lang w:eastAsia="es-CO"/>
        </w:rPr>
      </w:pPr>
      <w:r>
        <w:rPr>
          <w:noProof/>
        </w:rPr>
        <w:drawing>
          <wp:inline distT="0" distB="0" distL="0" distR="0" wp14:anchorId="1A6DF138" wp14:editId="06CBBB74">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C57D9" w:rsidRPr="009B7987" w14:paraId="59DA9FD4" w14:textId="77777777" w:rsidTr="005642F4">
        <w:trPr>
          <w:trHeight w:val="315"/>
        </w:trPr>
        <w:tc>
          <w:tcPr>
            <w:tcW w:w="893" w:type="dxa"/>
            <w:vAlign w:val="center"/>
            <w:hideMark/>
          </w:tcPr>
          <w:p w14:paraId="64E6E654" w14:textId="77777777" w:rsidR="004C57D9" w:rsidRPr="009B7987" w:rsidRDefault="004C57D9" w:rsidP="005642F4">
            <w:pPr>
              <w:contextualSpacing/>
              <w:rPr>
                <w:rFonts w:ascii="Verdana" w:hAnsi="Verdana" w:cs="Arial"/>
                <w:sz w:val="16"/>
                <w:szCs w:val="16"/>
                <w:lang w:eastAsia="es-ES"/>
              </w:rPr>
            </w:pPr>
            <w:r w:rsidRPr="009B7987">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91F0A59" w14:textId="77777777" w:rsidR="004C57D9" w:rsidRPr="009B7987" w:rsidRDefault="004C57D9" w:rsidP="005642F4">
            <w:pPr>
              <w:contextualSpacing/>
              <w:rPr>
                <w:rFonts w:ascii="Verdana" w:hAnsi="Verdana"/>
                <w:sz w:val="16"/>
                <w:szCs w:val="16"/>
              </w:rPr>
            </w:pPr>
            <w:r w:rsidRPr="009B7987">
              <w:rPr>
                <w:rFonts w:ascii="Verdana" w:hAnsi="Verdana"/>
                <w:sz w:val="16"/>
                <w:szCs w:val="16"/>
              </w:rPr>
              <w:t>Tatiana Baquero Iguarán</w:t>
            </w:r>
          </w:p>
          <w:p w14:paraId="06DCA60B" w14:textId="77777777" w:rsidR="004C57D9" w:rsidRPr="009B7987" w:rsidRDefault="004C57D9" w:rsidP="005642F4">
            <w:pPr>
              <w:contextualSpacing/>
              <w:rPr>
                <w:rFonts w:ascii="Verdana" w:eastAsia="Arial" w:hAnsi="Verdana" w:cs="Arial"/>
                <w:sz w:val="16"/>
                <w:szCs w:val="16"/>
              </w:rPr>
            </w:pPr>
            <w:r w:rsidRPr="009B7987">
              <w:rPr>
                <w:rFonts w:ascii="Verdana" w:hAnsi="Verdana"/>
                <w:sz w:val="16"/>
                <w:szCs w:val="16"/>
              </w:rPr>
              <w:t>Contratista de la Subdirección de Gestión Contractual</w:t>
            </w:r>
          </w:p>
        </w:tc>
      </w:tr>
      <w:tr w:rsidR="004C57D9" w:rsidRPr="009B7987" w14:paraId="54C2E7D8" w14:textId="77777777" w:rsidTr="005642F4">
        <w:trPr>
          <w:trHeight w:val="330"/>
        </w:trPr>
        <w:tc>
          <w:tcPr>
            <w:tcW w:w="893" w:type="dxa"/>
            <w:vAlign w:val="center"/>
            <w:hideMark/>
          </w:tcPr>
          <w:p w14:paraId="33326BD2" w14:textId="77777777" w:rsidR="004C57D9" w:rsidRPr="009B7987" w:rsidRDefault="004C57D9" w:rsidP="005642F4">
            <w:pPr>
              <w:contextualSpacing/>
              <w:rPr>
                <w:rFonts w:ascii="Verdana" w:hAnsi="Verdana" w:cs="Arial"/>
                <w:sz w:val="16"/>
                <w:szCs w:val="16"/>
                <w:lang w:eastAsia="es-ES"/>
              </w:rPr>
            </w:pPr>
            <w:r w:rsidRPr="009B798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05F2F08" w14:textId="77777777" w:rsidR="004C57D9" w:rsidRPr="002D273E" w:rsidRDefault="004C57D9" w:rsidP="005642F4">
            <w:pPr>
              <w:spacing w:before="100" w:beforeAutospacing="1" w:afterAutospacing="1"/>
              <w:contextualSpacing/>
              <w:textAlignment w:val="baseline"/>
              <w:rPr>
                <w:rFonts w:ascii="Verdana" w:eastAsia="Times New Roman" w:hAnsi="Verdana" w:cs="Arial"/>
                <w:sz w:val="16"/>
                <w:szCs w:val="16"/>
                <w:lang w:val="es-ES" w:eastAsia="es-ES_tradnl"/>
              </w:rPr>
            </w:pPr>
            <w:r w:rsidRPr="002D273E">
              <w:rPr>
                <w:rFonts w:ascii="Verdana" w:eastAsia="Times New Roman" w:hAnsi="Verdana" w:cs="Arial"/>
                <w:sz w:val="16"/>
                <w:szCs w:val="16"/>
                <w:lang w:val="es-ES" w:eastAsia="es-ES_tradnl"/>
              </w:rPr>
              <w:t>Diana Lucía Saavedra Castañeda</w:t>
            </w:r>
          </w:p>
          <w:p w14:paraId="4E9C1448" w14:textId="77777777" w:rsidR="004C57D9" w:rsidRPr="008B52DA" w:rsidRDefault="004C57D9" w:rsidP="005642F4">
            <w:pPr>
              <w:spacing w:before="100" w:beforeAutospacing="1" w:afterAutospacing="1"/>
              <w:contextualSpacing/>
              <w:textAlignment w:val="baseline"/>
              <w:rPr>
                <w:rFonts w:ascii="Verdana" w:eastAsia="Times New Roman" w:hAnsi="Verdana" w:cs="Arial"/>
                <w:sz w:val="16"/>
                <w:szCs w:val="16"/>
                <w:lang w:eastAsia="es-ES_tradnl"/>
              </w:rPr>
            </w:pPr>
            <w:r w:rsidRPr="002D273E">
              <w:rPr>
                <w:rFonts w:ascii="Verdana" w:eastAsia="Times New Roman" w:hAnsi="Verdana" w:cs="Arial"/>
                <w:sz w:val="16"/>
                <w:szCs w:val="16"/>
                <w:lang w:val="es-ES" w:eastAsia="es-ES_tradnl"/>
              </w:rPr>
              <w:t>Contratista de la Subdirección de Gestión Contractual</w:t>
            </w:r>
            <w:r w:rsidRPr="009B7987">
              <w:rPr>
                <w:rFonts w:ascii="Verdana" w:eastAsia="Times New Roman" w:hAnsi="Verdana" w:cs="Arial"/>
                <w:sz w:val="16"/>
                <w:szCs w:val="16"/>
                <w:lang w:eastAsia="es-ES_tradnl"/>
              </w:rPr>
              <w:t xml:space="preserve"> </w:t>
            </w:r>
          </w:p>
        </w:tc>
      </w:tr>
      <w:tr w:rsidR="004C57D9" w:rsidRPr="009B7987" w14:paraId="18E9A04C" w14:textId="77777777" w:rsidTr="005642F4">
        <w:trPr>
          <w:trHeight w:val="300"/>
        </w:trPr>
        <w:tc>
          <w:tcPr>
            <w:tcW w:w="893" w:type="dxa"/>
            <w:vAlign w:val="center"/>
          </w:tcPr>
          <w:p w14:paraId="54453391" w14:textId="77777777" w:rsidR="004C57D9" w:rsidRPr="009B7987" w:rsidRDefault="004C57D9" w:rsidP="005642F4">
            <w:pPr>
              <w:contextualSpacing/>
              <w:rPr>
                <w:rFonts w:ascii="Verdana" w:hAnsi="Verdana" w:cs="Arial"/>
                <w:sz w:val="16"/>
                <w:szCs w:val="16"/>
                <w:lang w:eastAsia="es-ES"/>
              </w:rPr>
            </w:pPr>
            <w:r w:rsidRPr="009B798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DD8234E" w14:textId="77777777" w:rsidR="004C57D9" w:rsidRPr="009B7987" w:rsidRDefault="004C57D9" w:rsidP="005642F4">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Carolina Quintero Gacharná</w:t>
            </w:r>
          </w:p>
          <w:p w14:paraId="67CF5B2C" w14:textId="77777777" w:rsidR="004C57D9" w:rsidRPr="009B7987" w:rsidRDefault="004C57D9" w:rsidP="005642F4">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Subdirectora de Gestión Contractual ANCP – CCE</w:t>
            </w:r>
          </w:p>
        </w:tc>
      </w:tr>
    </w:tbl>
    <w:p w14:paraId="55B73A02" w14:textId="77777777" w:rsidR="004C57D9" w:rsidRPr="00E02524" w:rsidRDefault="004C57D9" w:rsidP="004C57D9">
      <w:pPr>
        <w:spacing w:after="0" w:line="240" w:lineRule="auto"/>
        <w:jc w:val="both"/>
        <w:rPr>
          <w:rFonts w:ascii="Verdana" w:eastAsia="Verdana" w:hAnsi="Verdana" w:cs="Verdana"/>
          <w:b/>
          <w:bCs/>
          <w:lang w:val="es-MX"/>
        </w:rPr>
      </w:pPr>
    </w:p>
    <w:p w14:paraId="7139339E" w14:textId="77777777" w:rsidR="004C57D9" w:rsidRPr="000E2B93" w:rsidRDefault="004C57D9" w:rsidP="004C57D9">
      <w:pPr>
        <w:spacing w:after="0" w:line="240" w:lineRule="auto"/>
        <w:jc w:val="both"/>
        <w:textAlignment w:val="baseline"/>
        <w:rPr>
          <w:rFonts w:ascii="Verdana" w:eastAsia="Verdana" w:hAnsi="Verdana" w:cs="Verdana"/>
          <w:lang w:eastAsia="es-CO"/>
        </w:rPr>
      </w:pPr>
    </w:p>
    <w:p w14:paraId="3A7E2CE2" w14:textId="77777777" w:rsidR="004C57D9" w:rsidRPr="000E2B93" w:rsidRDefault="004C57D9" w:rsidP="004C57D9">
      <w:pPr>
        <w:spacing w:after="0" w:line="240" w:lineRule="auto"/>
        <w:textAlignment w:val="baseline"/>
        <w:rPr>
          <w:rFonts w:ascii="Verdana" w:eastAsia="Verdana" w:hAnsi="Verdana" w:cs="Verdana"/>
          <w:lang w:eastAsia="es-CO"/>
        </w:rPr>
      </w:pPr>
      <w:r>
        <w:rPr>
          <w:noProof/>
        </w:rPr>
        <w:drawing>
          <wp:inline distT="0" distB="0" distL="0" distR="0" wp14:anchorId="52F64DB9" wp14:editId="4E108F6B">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r w:rsidRPr="30821638">
        <w:rPr>
          <w:rFonts w:ascii="Verdana" w:eastAsia="Verdana" w:hAnsi="Verdana" w:cs="Verdana"/>
          <w:lang w:eastAsia="es-CO"/>
        </w:rPr>
        <w:t> </w:t>
      </w:r>
      <w:bookmarkEnd w:id="0"/>
    </w:p>
    <w:p w14:paraId="30E72CA8" w14:textId="77777777" w:rsidR="00C24FFE" w:rsidRPr="004C57D9" w:rsidRDefault="00C24FFE" w:rsidP="004C57D9"/>
    <w:sectPr w:rsidR="00C24FFE" w:rsidRPr="004C57D9" w:rsidSect="004D0547">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E68C7" w14:textId="77777777" w:rsidR="007C666F" w:rsidRDefault="007C666F" w:rsidP="004D0547">
      <w:pPr>
        <w:spacing w:after="0" w:line="240" w:lineRule="auto"/>
      </w:pPr>
      <w:r>
        <w:separator/>
      </w:r>
    </w:p>
  </w:endnote>
  <w:endnote w:type="continuationSeparator" w:id="0">
    <w:p w14:paraId="19C7B8F6" w14:textId="77777777" w:rsidR="007C666F" w:rsidRDefault="007C666F" w:rsidP="004D0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6647" w14:textId="77777777" w:rsidR="004D0547" w:rsidRDefault="004D0547">
    <w:pPr>
      <w:pStyle w:val="Piedepgina"/>
    </w:pPr>
  </w:p>
  <w:p w14:paraId="2A3E638C" w14:textId="77777777" w:rsidR="004D0547" w:rsidRPr="00174B77" w:rsidRDefault="004D054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67DBCB7" w14:textId="77777777" w:rsidR="004D0547" w:rsidRDefault="004D054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0BD7D91" w14:textId="77777777" w:rsidR="004D0547" w:rsidRPr="00E41027" w:rsidRDefault="004D0547" w:rsidP="00D520D8">
    <w:pPr>
      <w:spacing w:after="0"/>
      <w:jc w:val="both"/>
      <w:rPr>
        <w:rFonts w:ascii="Verdana" w:hAnsi="Verdana"/>
        <w:sz w:val="18"/>
        <w:szCs w:val="18"/>
      </w:rPr>
    </w:pPr>
    <w:r w:rsidRPr="00E41027">
      <w:rPr>
        <w:rFonts w:ascii="Verdana" w:hAnsi="Verdana"/>
        <w:sz w:val="18"/>
        <w:szCs w:val="18"/>
      </w:rPr>
      <w:t>Mesa de servicio: (+57) 601 7456788</w:t>
    </w:r>
  </w:p>
  <w:p w14:paraId="5086E949" w14:textId="77777777" w:rsidR="004D0547" w:rsidRPr="003162EA" w:rsidRDefault="004D0547" w:rsidP="356CEDFD">
    <w:pPr>
      <w:pBdr>
        <w:top w:val="nil"/>
        <w:left w:val="nil"/>
        <w:bottom w:val="nil"/>
        <w:right w:val="nil"/>
        <w:between w:val="nil"/>
      </w:pBdr>
      <w:tabs>
        <w:tab w:val="center" w:pos="4419"/>
        <w:tab w:val="right" w:pos="8838"/>
        <w:tab w:val="center" w:pos="5400"/>
      </w:tabs>
      <w:spacing w:after="0"/>
      <w:jc w:val="right"/>
      <w:rPr>
        <w:lang w:val="pt-BR"/>
      </w:rPr>
    </w:pPr>
    <w:r w:rsidRPr="003162EA">
      <w:rPr>
        <w:rFonts w:ascii="Century Gothic" w:eastAsia="Geo" w:hAnsi="Century Gothic" w:cs="Geo"/>
        <w:b/>
        <w:bCs/>
        <w:color w:val="000000" w:themeColor="text1"/>
        <w:sz w:val="16"/>
        <w:szCs w:val="16"/>
        <w:lang w:val="pt-BR" w:eastAsia="es-CO"/>
      </w:rPr>
      <w:t xml:space="preserve">Código: </w:t>
    </w:r>
    <w:r w:rsidRPr="003162EA">
      <w:rPr>
        <w:rFonts w:ascii="Century Gothic" w:eastAsia="Geo" w:hAnsi="Century Gothic" w:cs="Geo"/>
        <w:color w:val="000000" w:themeColor="text1"/>
        <w:sz w:val="16"/>
        <w:szCs w:val="16"/>
        <w:lang w:val="pt-BR" w:eastAsia="es-CO"/>
      </w:rPr>
      <w:t xml:space="preserve">CCE-REC-FM-17 </w:t>
    </w:r>
    <w:r w:rsidRPr="003162EA">
      <w:rPr>
        <w:rFonts w:ascii="Century Gothic" w:eastAsia="Geo" w:hAnsi="Century Gothic" w:cs="Geo"/>
        <w:b/>
        <w:bCs/>
        <w:color w:val="000000" w:themeColor="text1"/>
        <w:sz w:val="16"/>
        <w:szCs w:val="16"/>
        <w:lang w:val="pt-BR" w:eastAsia="es-CO"/>
      </w:rPr>
      <w:t>V</w:t>
    </w:r>
    <w:r w:rsidRPr="003162EA">
      <w:rPr>
        <w:rFonts w:ascii="Century Gothic" w:eastAsia="Arial Nova" w:hAnsi="Century Gothic" w:cs="Arial Nova"/>
        <w:b/>
        <w:bCs/>
        <w:color w:val="000000" w:themeColor="text1"/>
        <w:sz w:val="16"/>
        <w:szCs w:val="16"/>
        <w:lang w:val="pt-BR" w:eastAsia="es-CO"/>
      </w:rPr>
      <w:t xml:space="preserve">: </w:t>
    </w:r>
    <w:r w:rsidRPr="003162EA">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FDAB4" w14:textId="77777777" w:rsidR="007C666F" w:rsidRDefault="007C666F" w:rsidP="004D0547">
      <w:pPr>
        <w:spacing w:after="0" w:line="240" w:lineRule="auto"/>
      </w:pPr>
      <w:r>
        <w:separator/>
      </w:r>
    </w:p>
  </w:footnote>
  <w:footnote w:type="continuationSeparator" w:id="0">
    <w:p w14:paraId="0C3BFA83" w14:textId="77777777" w:rsidR="007C666F" w:rsidRDefault="007C666F" w:rsidP="004D0547">
      <w:pPr>
        <w:spacing w:after="0" w:line="240" w:lineRule="auto"/>
      </w:pPr>
      <w:r>
        <w:continuationSeparator/>
      </w:r>
    </w:p>
  </w:footnote>
  <w:footnote w:id="1">
    <w:p w14:paraId="6C5AD436" w14:textId="77777777" w:rsidR="004C57D9" w:rsidRPr="0016660C" w:rsidRDefault="004C57D9" w:rsidP="004C57D9">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38BFB5F" w14:textId="77777777" w:rsidR="004C57D9" w:rsidRPr="0016660C" w:rsidRDefault="004C57D9" w:rsidP="004C57D9">
      <w:pPr>
        <w:pStyle w:val="Textonotapie"/>
        <w:ind w:firstLine="709"/>
        <w:contextualSpacing/>
        <w:jc w:val="both"/>
        <w:rPr>
          <w:rFonts w:ascii="Verdana" w:hAnsi="Verdana" w:cs="Arial"/>
          <w:sz w:val="16"/>
          <w:szCs w:val="16"/>
        </w:rPr>
      </w:pPr>
      <w:r w:rsidRPr="001666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5C37711C" w14:textId="77777777" w:rsidR="004C57D9" w:rsidRPr="0016660C" w:rsidRDefault="004C57D9" w:rsidP="004C57D9">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Gaceta del Congreso de la República No. 71 del 2005.</w:t>
      </w:r>
    </w:p>
  </w:footnote>
  <w:footnote w:id="3">
    <w:p w14:paraId="55FB13EA" w14:textId="77777777" w:rsidR="004C57D9" w:rsidRPr="0016660C" w:rsidRDefault="004C57D9" w:rsidP="004C57D9">
      <w:pPr>
        <w:pStyle w:val="Textonotapie"/>
        <w:ind w:firstLine="709"/>
        <w:contextualSpacing/>
        <w:jc w:val="both"/>
        <w:rPr>
          <w:rFonts w:ascii="Verdana" w:hAnsi="Verdana" w:cs="Arial"/>
          <w:sz w:val="16"/>
          <w:szCs w:val="16"/>
          <w:lang w:val="pt-BR"/>
        </w:rPr>
      </w:pPr>
      <w:r w:rsidRPr="0016660C">
        <w:rPr>
          <w:rStyle w:val="Refdenotaalpie"/>
          <w:rFonts w:ascii="Verdana" w:hAnsi="Verdana" w:cs="Arial"/>
          <w:sz w:val="16"/>
          <w:szCs w:val="16"/>
        </w:rPr>
        <w:footnoteRef/>
      </w:r>
      <w:r w:rsidRPr="0016660C">
        <w:rPr>
          <w:rFonts w:ascii="Verdana" w:hAnsi="Verdana" w:cs="Arial"/>
          <w:sz w:val="16"/>
          <w:szCs w:val="16"/>
          <w:lang w:val="pt-BR"/>
        </w:rPr>
        <w:t xml:space="preserve"> Corte Constitucional, Sentencia C- 1153 de 2005, M.P. Marco Gerardo Monroy Cabra.</w:t>
      </w:r>
    </w:p>
  </w:footnote>
  <w:footnote w:id="4">
    <w:p w14:paraId="1C37E28F" w14:textId="77777777" w:rsidR="004C57D9" w:rsidRPr="0016660C" w:rsidRDefault="004C57D9" w:rsidP="004C57D9">
      <w:pPr>
        <w:pStyle w:val="Textonotapie"/>
        <w:ind w:firstLine="709"/>
        <w:contextualSpacing/>
        <w:jc w:val="both"/>
        <w:rPr>
          <w:rFonts w:ascii="Verdana" w:hAnsi="Verdana" w:cs="Arial"/>
          <w:sz w:val="16"/>
          <w:szCs w:val="16"/>
          <w:lang w:val="pt-BR"/>
        </w:rPr>
      </w:pPr>
      <w:r w:rsidRPr="0016660C">
        <w:rPr>
          <w:rStyle w:val="Refdenotaalpie"/>
          <w:rFonts w:ascii="Verdana" w:hAnsi="Verdana" w:cs="Arial"/>
          <w:sz w:val="16"/>
          <w:szCs w:val="16"/>
        </w:rPr>
        <w:footnoteRef/>
      </w:r>
      <w:r w:rsidRPr="0016660C">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26FB46AB" w14:textId="77777777" w:rsidR="004C57D9" w:rsidRPr="0016660C" w:rsidRDefault="004C57D9" w:rsidP="004C57D9">
      <w:pPr>
        <w:pStyle w:val="Textonotapie"/>
        <w:ind w:firstLine="709"/>
        <w:contextualSpacing/>
        <w:jc w:val="both"/>
        <w:rPr>
          <w:rFonts w:ascii="Verdana" w:hAnsi="Verdana" w:cs="Arial"/>
          <w:sz w:val="16"/>
          <w:szCs w:val="16"/>
          <w:lang w:val="es-CO"/>
        </w:rPr>
      </w:pPr>
      <w:r w:rsidRPr="0016660C">
        <w:rPr>
          <w:rStyle w:val="Refdenotaalpie"/>
          <w:rFonts w:ascii="Verdana" w:hAnsi="Verdana" w:cs="Arial"/>
          <w:sz w:val="16"/>
          <w:szCs w:val="16"/>
        </w:rPr>
        <w:footnoteRef/>
      </w:r>
      <w:r w:rsidRPr="0016660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10D2C2E0" w14:textId="77777777" w:rsidR="004C57D9" w:rsidRPr="0016660C" w:rsidRDefault="004C57D9" w:rsidP="004C57D9">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de fecha 24 de julio de 2013, Rad. 2166, C. P. Álvaro Namén Vargas.  </w:t>
      </w:r>
    </w:p>
  </w:footnote>
  <w:footnote w:id="7">
    <w:p w14:paraId="008ABA0F" w14:textId="77777777" w:rsidR="004C57D9" w:rsidRPr="0016660C" w:rsidRDefault="004C57D9" w:rsidP="004C57D9">
      <w:pPr>
        <w:spacing w:after="0" w:line="240" w:lineRule="auto"/>
        <w:ind w:firstLine="709"/>
        <w:contextualSpacing/>
        <w:jc w:val="both"/>
        <w:rPr>
          <w:rFonts w:ascii="Verdana" w:eastAsia="Times New Roman"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5108B24" w14:textId="77777777" w:rsidR="004C57D9" w:rsidRPr="0016660C" w:rsidRDefault="004C57D9" w:rsidP="004C57D9">
      <w:pPr>
        <w:spacing w:after="0" w:line="240" w:lineRule="auto"/>
        <w:ind w:firstLine="709"/>
        <w:contextualSpacing/>
        <w:jc w:val="both"/>
        <w:rPr>
          <w:rFonts w:ascii="Verdana" w:eastAsia="Times New Roman" w:hAnsi="Verdana" w:cs="Arial"/>
          <w:sz w:val="16"/>
          <w:szCs w:val="16"/>
        </w:rPr>
      </w:pPr>
      <w:r w:rsidRPr="001666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6660C">
        <w:rPr>
          <w:rFonts w:ascii="Verdana" w:eastAsia="Calibri" w:hAnsi="Verdana" w:cs="Arial"/>
          <w:color w:val="000000"/>
          <w:sz w:val="16"/>
          <w:szCs w:val="16"/>
        </w:rPr>
        <w:t>”</w:t>
      </w:r>
      <w:r w:rsidRPr="0016660C">
        <w:rPr>
          <w:rFonts w:ascii="Verdana" w:eastAsia="Times New Roman" w:hAnsi="Verdana" w:cs="Arial"/>
          <w:sz w:val="16"/>
          <w:szCs w:val="16"/>
        </w:rPr>
        <w:t>.</w:t>
      </w:r>
    </w:p>
  </w:footnote>
  <w:footnote w:id="8">
    <w:p w14:paraId="46B6DF09" w14:textId="77777777" w:rsidR="004C57D9" w:rsidRPr="0016660C" w:rsidRDefault="004C57D9" w:rsidP="004C57D9">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Refdenotaalpie"/>
          <w:rFonts w:ascii="Verdana" w:eastAsiaTheme="majorEastAsi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hAnsi="Verdana" w:cs="Arial"/>
          <w:sz w:val="16"/>
          <w:szCs w:val="16"/>
          <w:lang w:val="es-MX"/>
        </w:rPr>
        <w:t>Artículo 38. Prohibiciones para los servidores públicos. A los empleados del Estado les está prohibido: […]</w:t>
      </w:r>
    </w:p>
    <w:p w14:paraId="70974458" w14:textId="77777777" w:rsidR="004C57D9" w:rsidRPr="0016660C" w:rsidRDefault="004C57D9" w:rsidP="004C57D9">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baj"/>
          <w:rFonts w:ascii="Verdana" w:hAnsi="Verdana" w:cs="Arial"/>
          <w:sz w:val="16"/>
          <w:szCs w:val="16"/>
          <w:lang w:val="es-MX"/>
        </w:rPr>
        <w:t>Parágrafo.</w:t>
      </w:r>
      <w:r w:rsidRPr="001666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6660C">
        <w:rPr>
          <w:rFonts w:ascii="Verdana" w:eastAsia="Calibri" w:hAnsi="Verdana" w:cs="Arial"/>
          <w:color w:val="000000"/>
          <w:sz w:val="16"/>
          <w:szCs w:val="16"/>
        </w:rPr>
        <w:t>”</w:t>
      </w:r>
      <w:r w:rsidRPr="0016660C">
        <w:rPr>
          <w:rFonts w:ascii="Verdana" w:hAnsi="Verdana" w:cs="Arial"/>
          <w:sz w:val="16"/>
          <w:szCs w:val="16"/>
          <w:lang w:val="es-MX"/>
        </w:rPr>
        <w:t>.</w:t>
      </w:r>
    </w:p>
  </w:footnote>
  <w:footnote w:id="9">
    <w:p w14:paraId="7625C945" w14:textId="77777777" w:rsidR="004C57D9" w:rsidRPr="0016660C" w:rsidRDefault="004C57D9" w:rsidP="004C57D9">
      <w:pPr>
        <w:spacing w:after="0" w:line="240" w:lineRule="auto"/>
        <w:ind w:left="100" w:right="244"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22A74C16" w14:textId="77777777" w:rsidR="004C57D9" w:rsidRPr="0016660C" w:rsidRDefault="004C57D9" w:rsidP="004C57D9">
      <w:pPr>
        <w:pStyle w:val="Textonotapie"/>
        <w:ind w:right="51"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[26] </w:t>
      </w:r>
      <w:r w:rsidRPr="0016660C">
        <w:rPr>
          <w:rFonts w:ascii="Verdana" w:hAnsi="Verdana" w:cs="Arial"/>
          <w:sz w:val="16"/>
          <w:szCs w:val="16"/>
        </w:rPr>
        <w:t>Al respecto ver el concepto 1712 de 2 de febrero de 2006. Consejo de Estado Sala de Consulta y Servicio Civil”.</w:t>
      </w:r>
    </w:p>
  </w:footnote>
  <w:footnote w:id="11">
    <w:p w14:paraId="071EB0C0" w14:textId="77777777" w:rsidR="004C57D9" w:rsidRPr="0016660C" w:rsidRDefault="004C57D9" w:rsidP="004C57D9">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2">
    <w:p w14:paraId="3F6F778A" w14:textId="77777777" w:rsidR="004C57D9" w:rsidRPr="0016660C" w:rsidRDefault="004C57D9" w:rsidP="004C57D9">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Artículo 2. </w:t>
      </w:r>
    </w:p>
  </w:footnote>
  <w:footnote w:id="13">
    <w:p w14:paraId="3249AF0B" w14:textId="77777777" w:rsidR="004C57D9" w:rsidRPr="0016660C" w:rsidRDefault="004C57D9" w:rsidP="004C57D9">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i/>
          <w:sz w:val="16"/>
          <w:szCs w:val="16"/>
          <w:lang w:val="es-ES"/>
        </w:rPr>
        <w:t>Ídem</w:t>
      </w:r>
      <w:r w:rsidRPr="0016660C">
        <w:rPr>
          <w:rFonts w:ascii="Verdana" w:hAnsi="Verdana" w:cs="Arial"/>
          <w:sz w:val="16"/>
          <w:szCs w:val="16"/>
          <w:lang w:val="es-ES"/>
        </w:rPr>
        <w:t>.</w:t>
      </w:r>
    </w:p>
  </w:footnote>
  <w:footnote w:id="14">
    <w:p w14:paraId="4FCCFE87" w14:textId="77777777" w:rsidR="004C57D9" w:rsidRPr="0016660C" w:rsidRDefault="004C57D9" w:rsidP="004C57D9">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08 de mayo de 2018. Exp. 2.382. C.P. Álvaro Namén Vargas.</w:t>
      </w:r>
    </w:p>
  </w:footnote>
  <w:footnote w:id="15">
    <w:p w14:paraId="064D7077" w14:textId="77777777" w:rsidR="004C57D9" w:rsidRPr="0016660C" w:rsidRDefault="004C57D9" w:rsidP="004C57D9">
      <w:pPr>
        <w:pStyle w:val="Textonotapie"/>
        <w:ind w:firstLine="708"/>
        <w:contextualSpacing/>
        <w:jc w:val="both"/>
        <w:rPr>
          <w:rFonts w:ascii="Verdana" w:hAnsi="Verdana"/>
          <w:sz w:val="16"/>
          <w:szCs w:val="16"/>
          <w:lang w:val="es-ES"/>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eastAsia="Calibri" w:hAnsi="Verdana" w:cs="Arial"/>
          <w:sz w:val="16"/>
          <w:szCs w:val="16"/>
          <w:lang w:val="es-ES"/>
        </w:rPr>
        <w:t xml:space="preserve">Consejo de Estado, Sala de Consulta y Servicio Civil, Concepto de fecha 8 de mayo de 2018, No. </w:t>
      </w:r>
      <w:r w:rsidRPr="0016660C">
        <w:rPr>
          <w:rFonts w:ascii="Verdana" w:hAnsi="Verdana"/>
          <w:sz w:val="16"/>
          <w:szCs w:val="16"/>
          <w:lang w:val="es-CO"/>
        </w:rPr>
        <w:t>2382.</w:t>
      </w:r>
      <w:r w:rsidRPr="0016660C">
        <w:rPr>
          <w:rFonts w:ascii="Verdana" w:hAnsi="Verdana"/>
          <w:sz w:val="16"/>
          <w:szCs w:val="16"/>
        </w:rPr>
        <w:t xml:space="preserve"> </w:t>
      </w:r>
      <w:r w:rsidRPr="0016660C">
        <w:rPr>
          <w:rFonts w:ascii="Verdana" w:hAnsi="Verdana"/>
          <w:sz w:val="16"/>
          <w:szCs w:val="16"/>
          <w:lang w:val="es-CO"/>
        </w:rPr>
        <w:t>C. P. Álvaro Namén Vargas.</w:t>
      </w:r>
    </w:p>
  </w:footnote>
  <w:footnote w:id="16">
    <w:p w14:paraId="63E03C87" w14:textId="77777777" w:rsidR="004C57D9" w:rsidRPr="0016660C" w:rsidRDefault="004C57D9" w:rsidP="004C57D9">
      <w:pPr>
        <w:spacing w:after="0" w:line="240" w:lineRule="auto"/>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7">
    <w:p w14:paraId="2C7EE2D5" w14:textId="77777777" w:rsidR="004C57D9" w:rsidRPr="0016660C" w:rsidRDefault="004C57D9" w:rsidP="004C57D9">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Corte Constitucional. Sentencia C-1153 de 2005 M.P. Marco Gerardo Monroy Cabra. </w:t>
      </w:r>
    </w:p>
  </w:footnote>
  <w:footnote w:id="18">
    <w:p w14:paraId="1AD0CC6A" w14:textId="77777777" w:rsidR="004C57D9" w:rsidRPr="0016660C" w:rsidRDefault="004C57D9" w:rsidP="004C57D9">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18 de febrero 2010. Rad. 11001-03-06-000-2010-00006-00 (1985). C.P. Enrique José Arboleda Perdomo.</w:t>
      </w:r>
    </w:p>
  </w:footnote>
  <w:footnote w:id="19">
    <w:p w14:paraId="573EB97A" w14:textId="77777777" w:rsidR="004C57D9" w:rsidRPr="0016660C" w:rsidRDefault="004C57D9" w:rsidP="004C57D9">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 w:id="20">
    <w:p w14:paraId="1C5E554A" w14:textId="77777777" w:rsidR="004C57D9" w:rsidRPr="0016660C" w:rsidRDefault="004C57D9" w:rsidP="004C57D9">
      <w:pPr>
        <w:pStyle w:val="Textonotapie"/>
        <w:ind w:firstLine="708"/>
        <w:contextualSpacing/>
        <w:jc w:val="both"/>
        <w:rPr>
          <w:rFonts w:ascii="Verdana" w:hAnsi="Verdana" w:cs="Arial"/>
          <w:color w:val="000000" w:themeColor="text1"/>
          <w:sz w:val="16"/>
          <w:szCs w:val="16"/>
          <w:lang w:val="es-ES"/>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w:t>
      </w:r>
      <w:r w:rsidRPr="0016660C">
        <w:rPr>
          <w:rFonts w:ascii="Verdana" w:hAnsi="Verdana" w:cs="Arial"/>
          <w:color w:val="000000" w:themeColor="text1"/>
          <w:sz w:val="16"/>
          <w:szCs w:val="16"/>
          <w:lang w:val="es-CO"/>
        </w:rPr>
        <w:t>“</w:t>
      </w:r>
      <w:r w:rsidRPr="0016660C">
        <w:rPr>
          <w:rFonts w:ascii="Verdana" w:hAnsi="Verdana" w:cs="Arial"/>
          <w:color w:val="000000" w:themeColor="text1"/>
          <w:sz w:val="16"/>
          <w:szCs w:val="16"/>
        </w:rPr>
        <w:t>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1">
    <w:p w14:paraId="69FAB4CC" w14:textId="77777777" w:rsidR="004C57D9" w:rsidRPr="0016660C" w:rsidRDefault="004C57D9" w:rsidP="004C57D9">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16660C">
        <w:rPr>
          <w:rFonts w:ascii="Verdana" w:hAnsi="Verdana" w:cs="Arial"/>
          <w:i/>
          <w:iCs/>
          <w:color w:val="000000" w:themeColor="text1"/>
          <w:sz w:val="16"/>
          <w:szCs w:val="16"/>
        </w:rPr>
        <w:t>y todas aquellas entidades que de acuerdo con la ley ejerzan funciones de vigilancia y control sanitario</w:t>
      </w:r>
      <w:r w:rsidRPr="0016660C">
        <w:rPr>
          <w:rFonts w:ascii="Verdana" w:hAnsi="Verdana" w:cs="Arial"/>
          <w:color w:val="000000" w:themeColor="text1"/>
          <w:sz w:val="16"/>
          <w:szCs w:val="16"/>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 w:id="22">
    <w:p w14:paraId="51F6E9CC" w14:textId="77777777" w:rsidR="004C57D9" w:rsidRPr="0016660C" w:rsidRDefault="004C57D9" w:rsidP="004C57D9">
      <w:pPr>
        <w:pStyle w:val="Textonotapie"/>
        <w:ind w:firstLine="708"/>
        <w:contextualSpacing/>
        <w:jc w:val="both"/>
        <w:rPr>
          <w:rFonts w:ascii="Verdana" w:hAnsi="Verdana"/>
          <w:sz w:val="16"/>
          <w:szCs w:val="16"/>
        </w:rPr>
      </w:pPr>
      <w:r w:rsidRPr="0016660C">
        <w:rPr>
          <w:rStyle w:val="Refdenotaalpie"/>
          <w:rFonts w:ascii="Verdana" w:hAnsi="Verdana"/>
          <w:sz w:val="16"/>
          <w:szCs w:val="16"/>
        </w:rPr>
        <w:footnoteRef/>
      </w:r>
      <w:r w:rsidRPr="0016660C">
        <w:rPr>
          <w:rFonts w:ascii="Verdana" w:hAnsi="Verdana"/>
          <w:sz w:val="16"/>
          <w:szCs w:val="16"/>
        </w:rPr>
        <w:t xml:space="preserve"> CONSEJO DE ESTADO. Sala de Consulta y Servicio Civil .Concepto del doce (12) de junio de dos mil dieciocho (2018).R adicación Interna: 11001-03-06-000-2018-0043-00. Número Único: 2371. Consejero Ponente: Oscar Darío Amaya Navas </w:t>
      </w:r>
    </w:p>
    <w:p w14:paraId="08742256" w14:textId="77777777" w:rsidR="004C57D9" w:rsidRPr="0016660C" w:rsidRDefault="004C57D9" w:rsidP="004C57D9">
      <w:pPr>
        <w:pStyle w:val="Textonotapie"/>
        <w:contextualSpacing/>
        <w:rPr>
          <w:rFonts w:ascii="Verdana" w:hAnsi="Verdana"/>
          <w:sz w:val="16"/>
          <w:szCs w:val="16"/>
          <w:lang w:val="es-ES"/>
        </w:rPr>
      </w:pPr>
    </w:p>
  </w:footnote>
  <w:footnote w:id="23">
    <w:p w14:paraId="6A55EDF1" w14:textId="77777777" w:rsidR="004C57D9" w:rsidRPr="0016660C" w:rsidRDefault="004C57D9" w:rsidP="004C57D9">
      <w:pPr>
        <w:pStyle w:val="Textonotapie"/>
        <w:ind w:firstLine="708"/>
        <w:contextualSpacing/>
        <w:rPr>
          <w:rFonts w:ascii="Verdana" w:hAnsi="Verdana"/>
          <w:sz w:val="16"/>
          <w:szCs w:val="16"/>
          <w:lang w:val="es-ES"/>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sz w:val="16"/>
          <w:szCs w:val="16"/>
          <w:lang w:val="es-ES"/>
        </w:rPr>
        <w:t>Ibidem</w:t>
      </w:r>
    </w:p>
  </w:footnote>
  <w:footnote w:id="24">
    <w:p w14:paraId="7D96394C" w14:textId="77777777" w:rsidR="004C57D9" w:rsidRPr="0016660C" w:rsidRDefault="004C57D9" w:rsidP="004C57D9">
      <w:pPr>
        <w:pStyle w:val="Textonotapie"/>
        <w:ind w:firstLine="708"/>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D5ED" w14:textId="77777777" w:rsidR="004D0547" w:rsidRDefault="004D0547"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80712D4" wp14:editId="326A0DA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99ABA2D" wp14:editId="2FE5298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F7ACE72" w14:textId="77777777" w:rsidR="004D0547" w:rsidRDefault="004D0547">
    <w:pPr>
      <w:pStyle w:val="Encabezado"/>
    </w:pPr>
  </w:p>
  <w:p w14:paraId="054ED418" w14:textId="77777777" w:rsidR="004D0547" w:rsidRPr="004A305D" w:rsidRDefault="004D0547" w:rsidP="00B01B1A">
    <w:pPr>
      <w:spacing w:after="0" w:line="120" w:lineRule="auto"/>
      <w:rPr>
        <w:rFonts w:ascii="Century Gothic" w:eastAsia="Geo" w:hAnsi="Century Gothic" w:cs="Geo"/>
        <w:sz w:val="16"/>
        <w:szCs w:val="16"/>
        <w:lang w:eastAsia="es-CO"/>
      </w:rPr>
    </w:pPr>
  </w:p>
  <w:p w14:paraId="3C2B46AE" w14:textId="77777777" w:rsidR="004D0547" w:rsidRDefault="004D0547" w:rsidP="00844AE9">
    <w:pPr>
      <w:spacing w:after="0" w:line="240" w:lineRule="auto"/>
      <w:rPr>
        <w:rFonts w:ascii="Verdana" w:hAnsi="Verdana"/>
        <w:sz w:val="24"/>
        <w:szCs w:val="24"/>
      </w:rPr>
    </w:pPr>
  </w:p>
  <w:p w14:paraId="63435042" w14:textId="77777777" w:rsidR="004D0547" w:rsidRPr="00C925AC" w:rsidRDefault="004D0547"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5" w15:restartNumberingAfterBreak="0">
    <w:nsid w:val="69F363F9"/>
    <w:multiLevelType w:val="hybridMultilevel"/>
    <w:tmpl w:val="965A7E98"/>
    <w:lvl w:ilvl="0" w:tplc="FD66BB4A">
      <w:start w:val="1"/>
      <w:numFmt w:val="lowerRoman"/>
      <w:lvlText w:val="%1."/>
      <w:lvlJc w:val="left"/>
      <w:pPr>
        <w:ind w:left="1080" w:hanging="720"/>
      </w:pPr>
      <w:rPr>
        <w:rFonts w:eastAsia="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DEC4F3D"/>
    <w:multiLevelType w:val="hybridMultilevel"/>
    <w:tmpl w:val="09B60FF6"/>
    <w:lvl w:ilvl="0" w:tplc="A712E462">
      <w:start w:val="2"/>
      <w:numFmt w:val="lowerRoman"/>
      <w:lvlText w:val="%1."/>
      <w:lvlJc w:val="left"/>
      <w:pPr>
        <w:ind w:left="1080" w:hanging="720"/>
      </w:pPr>
      <w:rPr>
        <w:rFonts w:eastAsia="Aria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390349800">
    <w:abstractNumId w:val="4"/>
  </w:num>
  <w:num w:numId="2" w16cid:durableId="518470888">
    <w:abstractNumId w:val="0"/>
  </w:num>
  <w:num w:numId="3" w16cid:durableId="2053143587">
    <w:abstractNumId w:val="2"/>
  </w:num>
  <w:num w:numId="4" w16cid:durableId="777065519">
    <w:abstractNumId w:val="1"/>
  </w:num>
  <w:num w:numId="5" w16cid:durableId="1272980060">
    <w:abstractNumId w:val="3"/>
  </w:num>
  <w:num w:numId="6" w16cid:durableId="1751584438">
    <w:abstractNumId w:val="5"/>
  </w:num>
  <w:num w:numId="7" w16cid:durableId="15664518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547"/>
    <w:rsid w:val="00025993"/>
    <w:rsid w:val="00053755"/>
    <w:rsid w:val="000C3279"/>
    <w:rsid w:val="001250C4"/>
    <w:rsid w:val="00142BAF"/>
    <w:rsid w:val="001F0B1C"/>
    <w:rsid w:val="001F741E"/>
    <w:rsid w:val="00265665"/>
    <w:rsid w:val="0027386B"/>
    <w:rsid w:val="00314D2A"/>
    <w:rsid w:val="00346D72"/>
    <w:rsid w:val="00393FEA"/>
    <w:rsid w:val="003C752E"/>
    <w:rsid w:val="003E1907"/>
    <w:rsid w:val="004467C0"/>
    <w:rsid w:val="004572DB"/>
    <w:rsid w:val="00474DF4"/>
    <w:rsid w:val="00485D25"/>
    <w:rsid w:val="004905DF"/>
    <w:rsid w:val="004A7281"/>
    <w:rsid w:val="004A74C2"/>
    <w:rsid w:val="004C57D9"/>
    <w:rsid w:val="004D0547"/>
    <w:rsid w:val="004D6CF6"/>
    <w:rsid w:val="004F471F"/>
    <w:rsid w:val="00526CD0"/>
    <w:rsid w:val="00544A36"/>
    <w:rsid w:val="00581847"/>
    <w:rsid w:val="00581EC1"/>
    <w:rsid w:val="00582C26"/>
    <w:rsid w:val="00584438"/>
    <w:rsid w:val="005979CA"/>
    <w:rsid w:val="005A557E"/>
    <w:rsid w:val="005B0464"/>
    <w:rsid w:val="005B3167"/>
    <w:rsid w:val="005D65D5"/>
    <w:rsid w:val="006078CA"/>
    <w:rsid w:val="00636C32"/>
    <w:rsid w:val="00651915"/>
    <w:rsid w:val="00697CFC"/>
    <w:rsid w:val="006C0D66"/>
    <w:rsid w:val="00751D31"/>
    <w:rsid w:val="00761B0F"/>
    <w:rsid w:val="00771EAD"/>
    <w:rsid w:val="00783773"/>
    <w:rsid w:val="0078468C"/>
    <w:rsid w:val="007B34D8"/>
    <w:rsid w:val="007C666F"/>
    <w:rsid w:val="007F4BA6"/>
    <w:rsid w:val="007F67DA"/>
    <w:rsid w:val="0080049B"/>
    <w:rsid w:val="00803C75"/>
    <w:rsid w:val="008050E2"/>
    <w:rsid w:val="00817E9F"/>
    <w:rsid w:val="0085308D"/>
    <w:rsid w:val="00884C70"/>
    <w:rsid w:val="008903F4"/>
    <w:rsid w:val="00895BAE"/>
    <w:rsid w:val="008A6285"/>
    <w:rsid w:val="008C3E1A"/>
    <w:rsid w:val="008D782A"/>
    <w:rsid w:val="00915BD7"/>
    <w:rsid w:val="009162E1"/>
    <w:rsid w:val="0092398D"/>
    <w:rsid w:val="00927B9F"/>
    <w:rsid w:val="009B0373"/>
    <w:rsid w:val="009F29F2"/>
    <w:rsid w:val="009F666E"/>
    <w:rsid w:val="00A23600"/>
    <w:rsid w:val="00A57C8E"/>
    <w:rsid w:val="00A63E6C"/>
    <w:rsid w:val="00A920DC"/>
    <w:rsid w:val="00AC7A45"/>
    <w:rsid w:val="00AE7F45"/>
    <w:rsid w:val="00B54AF7"/>
    <w:rsid w:val="00B67C73"/>
    <w:rsid w:val="00B76990"/>
    <w:rsid w:val="00B831B5"/>
    <w:rsid w:val="00B86C0D"/>
    <w:rsid w:val="00BA5CB0"/>
    <w:rsid w:val="00C24FFE"/>
    <w:rsid w:val="00C4353C"/>
    <w:rsid w:val="00C52E12"/>
    <w:rsid w:val="00CD1217"/>
    <w:rsid w:val="00D147BF"/>
    <w:rsid w:val="00D57887"/>
    <w:rsid w:val="00D74E74"/>
    <w:rsid w:val="00D80C35"/>
    <w:rsid w:val="00D95C07"/>
    <w:rsid w:val="00DF7D1E"/>
    <w:rsid w:val="00E2596B"/>
    <w:rsid w:val="00E43F6D"/>
    <w:rsid w:val="00EB7FF2"/>
    <w:rsid w:val="00EF6DEC"/>
    <w:rsid w:val="00EF7C71"/>
    <w:rsid w:val="00F26C42"/>
    <w:rsid w:val="00F322E6"/>
    <w:rsid w:val="00F778DD"/>
    <w:rsid w:val="00FF352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E70E9"/>
  <w15:chartTrackingRefBased/>
  <w15:docId w15:val="{CB63F9BA-93CC-45CE-9D15-FF0C1ED3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547"/>
    <w:rPr>
      <w:kern w:val="0"/>
      <w14:ligatures w14:val="none"/>
    </w:rPr>
  </w:style>
  <w:style w:type="paragraph" w:styleId="Ttulo1">
    <w:name w:val="heading 1"/>
    <w:basedOn w:val="Normal"/>
    <w:next w:val="Normal"/>
    <w:link w:val="Ttulo1Car"/>
    <w:uiPriority w:val="9"/>
    <w:qFormat/>
    <w:rsid w:val="004D05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D05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D054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D054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D054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D05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05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05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05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054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D054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D054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D054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D054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D05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05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05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0547"/>
    <w:rPr>
      <w:rFonts w:eastAsiaTheme="majorEastAsia" w:cstheme="majorBidi"/>
      <w:color w:val="272727" w:themeColor="text1" w:themeTint="D8"/>
    </w:rPr>
  </w:style>
  <w:style w:type="paragraph" w:styleId="Ttulo">
    <w:name w:val="Title"/>
    <w:basedOn w:val="Normal"/>
    <w:next w:val="Normal"/>
    <w:link w:val="TtuloCar"/>
    <w:uiPriority w:val="10"/>
    <w:qFormat/>
    <w:rsid w:val="004D0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05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05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05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0547"/>
    <w:pPr>
      <w:spacing w:before="160"/>
      <w:jc w:val="center"/>
    </w:pPr>
    <w:rPr>
      <w:i/>
      <w:iCs/>
      <w:color w:val="404040" w:themeColor="text1" w:themeTint="BF"/>
    </w:rPr>
  </w:style>
  <w:style w:type="character" w:customStyle="1" w:styleId="CitaCar">
    <w:name w:val="Cita Car"/>
    <w:basedOn w:val="Fuentedeprrafopredeter"/>
    <w:link w:val="Cita"/>
    <w:uiPriority w:val="29"/>
    <w:rsid w:val="004D0547"/>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4D0547"/>
    <w:pPr>
      <w:ind w:left="720"/>
      <w:contextualSpacing/>
    </w:pPr>
  </w:style>
  <w:style w:type="character" w:styleId="nfasisintenso">
    <w:name w:val="Intense Emphasis"/>
    <w:basedOn w:val="Fuentedeprrafopredeter"/>
    <w:uiPriority w:val="21"/>
    <w:qFormat/>
    <w:rsid w:val="004D0547"/>
    <w:rPr>
      <w:i/>
      <w:iCs/>
      <w:color w:val="2F5496" w:themeColor="accent1" w:themeShade="BF"/>
    </w:rPr>
  </w:style>
  <w:style w:type="paragraph" w:styleId="Citadestacada">
    <w:name w:val="Intense Quote"/>
    <w:basedOn w:val="Normal"/>
    <w:next w:val="Normal"/>
    <w:link w:val="CitadestacadaCar"/>
    <w:uiPriority w:val="30"/>
    <w:qFormat/>
    <w:rsid w:val="004D05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D0547"/>
    <w:rPr>
      <w:i/>
      <w:iCs/>
      <w:color w:val="2F5496" w:themeColor="accent1" w:themeShade="BF"/>
    </w:rPr>
  </w:style>
  <w:style w:type="character" w:styleId="Referenciaintensa">
    <w:name w:val="Intense Reference"/>
    <w:basedOn w:val="Fuentedeprrafopredeter"/>
    <w:uiPriority w:val="32"/>
    <w:qFormat/>
    <w:rsid w:val="004D0547"/>
    <w:rPr>
      <w:b/>
      <w:bCs/>
      <w:smallCaps/>
      <w:color w:val="2F5496" w:themeColor="accent1" w:themeShade="BF"/>
      <w:spacing w:val="5"/>
    </w:rPr>
  </w:style>
  <w:style w:type="paragraph" w:styleId="Encabezado">
    <w:name w:val="header"/>
    <w:basedOn w:val="Normal"/>
    <w:link w:val="EncabezadoCar"/>
    <w:uiPriority w:val="99"/>
    <w:unhideWhenUsed/>
    <w:rsid w:val="004D05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0547"/>
    <w:rPr>
      <w:kern w:val="0"/>
      <w14:ligatures w14:val="none"/>
    </w:rPr>
  </w:style>
  <w:style w:type="paragraph" w:styleId="Piedepgina">
    <w:name w:val="footer"/>
    <w:basedOn w:val="Normal"/>
    <w:link w:val="PiedepginaCar"/>
    <w:uiPriority w:val="99"/>
    <w:unhideWhenUsed/>
    <w:rsid w:val="004D05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054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D054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D054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D054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D0547"/>
    <w:rPr>
      <w:vertAlign w:val="superscript"/>
    </w:rPr>
  </w:style>
  <w:style w:type="character" w:customStyle="1" w:styleId="normaltextrun">
    <w:name w:val="normaltextrun"/>
    <w:basedOn w:val="Fuentedeprrafopredeter"/>
    <w:rsid w:val="004D0547"/>
  </w:style>
  <w:style w:type="table" w:styleId="Tablaconcuadrcula">
    <w:name w:val="Table Grid"/>
    <w:basedOn w:val="Tablanormal"/>
    <w:uiPriority w:val="39"/>
    <w:qFormat/>
    <w:rsid w:val="004D054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D054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4D054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4D0547"/>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39"/>
    <w:qFormat/>
    <w:rsid w:val="004D0547"/>
    <w:pPr>
      <w:spacing w:after="0" w:line="240" w:lineRule="auto"/>
    </w:pPr>
    <w:rPr>
      <w:kern w:val="0"/>
      <w14:ligatures w14:val="none"/>
    </w:rPr>
    <w:tblPr/>
  </w:style>
  <w:style w:type="character" w:customStyle="1" w:styleId="baj">
    <w:name w:val="b_aj"/>
    <w:basedOn w:val="Fuentedeprrafopredeter"/>
    <w:rsid w:val="004D0547"/>
  </w:style>
  <w:style w:type="character" w:customStyle="1" w:styleId="NormalWebCar">
    <w:name w:val="Normal (Web) Car"/>
    <w:link w:val="NormalWeb"/>
    <w:uiPriority w:val="99"/>
    <w:locked/>
    <w:rsid w:val="004D0547"/>
    <w:rPr>
      <w:rFonts w:ascii="Times New Roman" w:eastAsia="Times New Roman" w:hAnsi="Times New Roman" w:cs="Times New Roman"/>
      <w:kern w:val="0"/>
      <w:sz w:val="24"/>
      <w:szCs w:val="24"/>
      <w:lang w:eastAsia="es-CO"/>
      <w14:ligatures w14:val="none"/>
    </w:rPr>
  </w:style>
  <w:style w:type="paragraph" w:styleId="Sinespaciado">
    <w:name w:val="No Spacing"/>
    <w:uiPriority w:val="1"/>
    <w:qFormat/>
    <w:rsid w:val="004D0547"/>
    <w:pPr>
      <w:spacing w:after="0" w:line="240" w:lineRule="auto"/>
    </w:pPr>
    <w:rPr>
      <w:kern w:val="0"/>
      <w14:ligatures w14:val="none"/>
    </w:rPr>
  </w:style>
  <w:style w:type="character" w:styleId="Hipervnculo">
    <w:name w:val="Hyperlink"/>
    <w:basedOn w:val="Fuentedeprrafopredeter"/>
    <w:uiPriority w:val="99"/>
    <w:unhideWhenUsed/>
    <w:rsid w:val="00697CFC"/>
    <w:rPr>
      <w:color w:val="0563C1" w:themeColor="hyperlink"/>
      <w:u w:val="single"/>
    </w:rPr>
  </w:style>
  <w:style w:type="character" w:styleId="Mencinsinresolver">
    <w:name w:val="Unresolved Mention"/>
    <w:basedOn w:val="Fuentedeprrafopredeter"/>
    <w:uiPriority w:val="99"/>
    <w:semiHidden/>
    <w:unhideWhenUsed/>
    <w:rsid w:val="00697CFC"/>
    <w:rPr>
      <w:color w:val="605E5C"/>
      <w:shd w:val="clear" w:color="auto" w:fill="E1DFDD"/>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D121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nysteve3@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7D18BA-2C9A-41D5-B651-73636D852D1F}"/>
</file>

<file path=customXml/itemProps2.xml><?xml version="1.0" encoding="utf-8"?>
<ds:datastoreItem xmlns:ds="http://schemas.openxmlformats.org/officeDocument/2006/customXml" ds:itemID="{3F51CDFC-46EF-4D6E-8524-57C4A6300B8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C148B91-8835-4E55-A4F6-E378274037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8254</Words>
  <Characters>45398</Characters>
  <Application>Microsoft Office Word</Application>
  <DocSecurity>0</DocSecurity>
  <Lines>378</Lines>
  <Paragraphs>107</Paragraphs>
  <ScaleCrop>false</ScaleCrop>
  <Company/>
  <LinksUpToDate>false</LinksUpToDate>
  <CharactersWithSpaces>53545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ANCP</cp:lastModifiedBy>
  <cp:revision>5</cp:revision>
  <dcterms:created xsi:type="dcterms:W3CDTF">2026-04-21T18:56:00Z</dcterms:created>
  <dcterms:modified xsi:type="dcterms:W3CDTF">2026-04-21T18:59:00Z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